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A109AE" w:rsidR="00E04BAF" w:rsidP="00A109AE" w:rsidRDefault="00E04BAF">
      <w:pPr>
        <w:rPr>
          <w:rFonts w:ascii="Times New Roman" w:hAnsi="Times New Roman" w:cs="Times New Roman"/>
        </w:rPr>
      </w:pPr>
    </w:p>
    <w:p w:rsidRPr="00A109AE" w:rsidR="007A4070" w:rsidP="00A109AE" w:rsidRDefault="00E04BAF">
      <w:pPr>
        <w:pStyle w:val="DecHCase"/>
      </w:pPr>
      <w:r w:rsidRPr="00A109AE">
        <w:t>PREMIÈRE SECTION</w:t>
      </w:r>
    </w:p>
    <w:p w:rsidRPr="00A109AE" w:rsidR="007A4070" w:rsidP="00A109AE" w:rsidRDefault="007A4070">
      <w:pPr>
        <w:pStyle w:val="JuTitle"/>
      </w:pPr>
      <w:r w:rsidRPr="00A109AE">
        <w:t xml:space="preserve">AFFAIRE </w:t>
      </w:r>
      <w:r w:rsidRPr="00A109AE" w:rsidR="00E04BAF">
        <w:t xml:space="preserve">CLUB NAUTIQUE DE CHALCIDIQUE </w:t>
      </w:r>
      <w:r w:rsidRPr="00A109AE" w:rsidR="00C50069">
        <w:t>«</w:t>
      </w:r>
      <w:r w:rsidRPr="00A109AE" w:rsidR="006E6A67">
        <w:t> </w:t>
      </w:r>
      <w:r w:rsidRPr="00A109AE" w:rsidR="00E04BAF">
        <w:t>I KELYFOS</w:t>
      </w:r>
      <w:r w:rsidRPr="00A109AE" w:rsidR="006E6A67">
        <w:t> </w:t>
      </w:r>
      <w:r w:rsidRPr="00A109AE" w:rsidR="00C50069">
        <w:t>»</w:t>
      </w:r>
      <w:r w:rsidRPr="00A109AE" w:rsidR="00E04BAF">
        <w:t xml:space="preserve"> c.</w:t>
      </w:r>
      <w:r w:rsidRPr="00A109AE" w:rsidR="009E2D99">
        <w:t> </w:t>
      </w:r>
      <w:r w:rsidRPr="00A109AE" w:rsidR="00E04BAF">
        <w:t>GRÈCE</w:t>
      </w:r>
    </w:p>
    <w:p w:rsidRPr="00A109AE" w:rsidR="007A4070" w:rsidP="00A109AE" w:rsidRDefault="007A4070">
      <w:pPr>
        <w:pStyle w:val="Title4"/>
      </w:pPr>
      <w:r w:rsidRPr="00A109AE">
        <w:t>(</w:t>
      </w:r>
      <w:r w:rsidRPr="00A109AE" w:rsidR="00E04BAF">
        <w:t>Requêtes nos</w:t>
      </w:r>
      <w:r w:rsidRPr="00A109AE">
        <w:t xml:space="preserve"> </w:t>
      </w:r>
      <w:r w:rsidRPr="00A109AE" w:rsidR="00E04BAF">
        <w:t>6978/18 et 8547/18</w:t>
      </w:r>
      <w:r w:rsidRPr="00A109AE">
        <w:t>)</w:t>
      </w:r>
    </w:p>
    <w:p w:rsidRPr="00A109AE" w:rsidR="007A4070" w:rsidP="00ED4306" w:rsidRDefault="007A4070">
      <w:pPr>
        <w:pStyle w:val="DecHCase"/>
        <w:jc w:val="left"/>
      </w:pPr>
    </w:p>
    <w:p w:rsidR="007A4070" w:rsidP="00A109AE" w:rsidRDefault="007A4070">
      <w:pPr>
        <w:pStyle w:val="DecHCase"/>
      </w:pPr>
    </w:p>
    <w:p w:rsidRPr="00ED4306" w:rsidR="00ED4306" w:rsidP="00ED4306" w:rsidRDefault="00ED4306">
      <w:pPr>
        <w:pStyle w:val="JuPara"/>
      </w:pPr>
      <w:bookmarkStart w:name="_GoBack" w:id="0"/>
      <w:bookmarkEnd w:id="0"/>
    </w:p>
    <w:p w:rsidRPr="00A109AE" w:rsidR="00A109AE" w:rsidP="00A109AE" w:rsidRDefault="007A4070">
      <w:pPr>
        <w:pStyle w:val="DecHCase"/>
      </w:pPr>
      <w:r w:rsidRPr="00A109AE">
        <w:t>ARRÊT</w:t>
      </w:r>
    </w:p>
    <w:p w:rsidRPr="00A109AE" w:rsidR="00A109AE" w:rsidP="00A109AE" w:rsidRDefault="00A109AE">
      <w:pPr>
        <w:jc w:val="center"/>
      </w:pPr>
    </w:p>
    <w:p w:rsidRPr="00A109AE" w:rsidR="00A109AE" w:rsidP="004E5890" w:rsidRDefault="00A109A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alibri" w:hAnsi="Calibri" w:eastAsia="Times New Roman" w:cs="Times New Roman"/>
          <w:color w:val="000000"/>
          <w:sz w:val="22"/>
        </w:rPr>
      </w:pPr>
      <w:r w:rsidRPr="00A109AE">
        <w:rPr>
          <w:rFonts w:ascii="Calibri" w:hAnsi="Calibri" w:eastAsia="Times New Roman" w:cs="Times New Roman"/>
          <w:color w:val="000000"/>
          <w:sz w:val="22"/>
        </w:rPr>
        <w:t xml:space="preserve">Art 6 § 1 (civil) </w:t>
      </w:r>
      <w:r w:rsidRPr="00A109AE">
        <w:rPr>
          <w:rFonts w:ascii="Calibri" w:hAnsi="Calibri" w:eastAsia="Times New Roman" w:cs="Times New Roman"/>
          <w:sz w:val="22"/>
        </w:rPr>
        <w:t>•</w:t>
      </w:r>
      <w:r w:rsidRPr="00A109AE">
        <w:rPr>
          <w:rFonts w:ascii="Calibri" w:hAnsi="Calibri" w:eastAsia="Times New Roman" w:cs="Times New Roman"/>
          <w:color w:val="FF0000"/>
          <w:sz w:val="22"/>
        </w:rPr>
        <w:t xml:space="preserve"> </w:t>
      </w:r>
      <w:r w:rsidRPr="00A109AE">
        <w:rPr>
          <w:rFonts w:ascii="Calibri" w:hAnsi="Calibri" w:eastAsia="Times New Roman" w:cs="Times New Roman"/>
          <w:color w:val="000000"/>
          <w:sz w:val="22"/>
        </w:rPr>
        <w:t>Accès à un tribunal • Procédure déclarée sans objet après six ans d’instance au vu de la nouvelle législation • Absence de motifs déraisonnables ou arbitraires</w:t>
      </w:r>
    </w:p>
    <w:p w:rsidRPr="00A109AE" w:rsidR="00A109AE" w:rsidP="00A109AE" w:rsidRDefault="00A109AE">
      <w:pPr>
        <w:pStyle w:val="DecHCase"/>
      </w:pPr>
    </w:p>
    <w:p w:rsidRPr="00ED4306" w:rsidR="007A4070" w:rsidP="00A109AE" w:rsidRDefault="007A4070">
      <w:pPr>
        <w:pStyle w:val="DecHCase"/>
      </w:pPr>
      <w:r w:rsidRPr="00ED4306">
        <w:t>STRASBOURG</w:t>
      </w:r>
    </w:p>
    <w:p w:rsidRPr="00ED4306" w:rsidR="007A4070" w:rsidP="00A109AE" w:rsidRDefault="00E04BAF">
      <w:pPr>
        <w:pStyle w:val="DecHCase"/>
      </w:pPr>
      <w:r w:rsidRPr="00ED4306">
        <w:t>21 novembre 2019</w:t>
      </w:r>
    </w:p>
    <w:p w:rsidR="0001795B" w:rsidP="0001795B" w:rsidRDefault="0001795B">
      <w:pPr>
        <w:pStyle w:val="JuPara"/>
      </w:pPr>
    </w:p>
    <w:p w:rsidR="00ED4306" w:rsidP="0001795B" w:rsidRDefault="00ED4306">
      <w:pPr>
        <w:pStyle w:val="JuPara"/>
      </w:pPr>
    </w:p>
    <w:p w:rsidRPr="00ED4306" w:rsidR="00ED4306" w:rsidP="0001795B" w:rsidRDefault="00ED4306">
      <w:pPr>
        <w:pStyle w:val="JuPara"/>
      </w:pPr>
    </w:p>
    <w:p w:rsidRPr="00ED4306" w:rsidR="0001795B" w:rsidP="0001795B" w:rsidRDefault="0001795B">
      <w:pPr>
        <w:pStyle w:val="JuPara"/>
      </w:pPr>
    </w:p>
    <w:p w:rsidR="0001795B" w:rsidP="0001795B" w:rsidRDefault="0001795B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01795B" w:rsidP="0001795B" w:rsidRDefault="0001795B">
      <w:pPr>
        <w:pStyle w:val="jupara0"/>
        <w:ind w:firstLine="0"/>
        <w:jc w:val="center"/>
        <w:rPr>
          <w:color w:val="FF0000"/>
          <w:sz w:val="28"/>
          <w:szCs w:val="28"/>
          <w:lang w:val="fr-FR"/>
        </w:rPr>
      </w:pPr>
    </w:p>
    <w:p w:rsidR="0001795B" w:rsidP="0001795B" w:rsidRDefault="0001795B">
      <w:pPr>
        <w:pStyle w:val="jupara0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15/04/2020</w:t>
      </w:r>
    </w:p>
    <w:p w:rsidR="0001795B" w:rsidP="0001795B" w:rsidRDefault="0001795B">
      <w:pPr>
        <w:jc w:val="center"/>
        <w:rPr>
          <w:u w:val="single"/>
        </w:rPr>
      </w:pPr>
    </w:p>
    <w:p w:rsidRPr="00ED4306" w:rsidR="00516B59" w:rsidP="0001795B" w:rsidRDefault="0001795B">
      <w:pPr>
        <w:jc w:val="center"/>
        <w:rPr>
          <w:rFonts w:ascii="Times New Roman" w:hAnsi="Times New Roman" w:cs="Times New Roman"/>
          <w:i/>
          <w:sz w:val="22"/>
        </w:rPr>
      </w:pPr>
      <w:r>
        <w:rPr>
          <w:i/>
          <w:iCs/>
          <w:sz w:val="22"/>
        </w:rPr>
        <w:t xml:space="preserve">Cet arrêt est devenu définitif en vertu de l’article 44 § 2 de la Convention. </w:t>
      </w:r>
      <w:r w:rsidRPr="00ED4306">
        <w:rPr>
          <w:i/>
          <w:iCs/>
          <w:sz w:val="22"/>
        </w:rPr>
        <w:t xml:space="preserve">Il peut </w:t>
      </w:r>
      <w:proofErr w:type="gramStart"/>
      <w:r w:rsidRPr="00ED4306">
        <w:rPr>
          <w:i/>
          <w:iCs/>
          <w:sz w:val="22"/>
        </w:rPr>
        <w:t>subir</w:t>
      </w:r>
      <w:proofErr w:type="gramEnd"/>
      <w:r w:rsidRPr="00ED4306">
        <w:rPr>
          <w:i/>
          <w:iCs/>
          <w:sz w:val="22"/>
        </w:rPr>
        <w:t xml:space="preserve"> des retouches de forme.</w:t>
      </w:r>
    </w:p>
    <w:p w:rsidRPr="00ED4306" w:rsidR="00516B59" w:rsidP="00A109AE" w:rsidRDefault="00516B59">
      <w:pPr>
        <w:ind w:left="720"/>
        <w:rPr>
          <w:rFonts w:ascii="Times New Roman" w:hAnsi="Times New Roman" w:cs="Times New Roman"/>
          <w:sz w:val="22"/>
        </w:rPr>
        <w:sectPr w:rsidRPr="00ED4306" w:rsidR="00516B59">
          <w:headerReference w:type="default" r:id="rId8"/>
          <w:footerReference w:type="default" r:id="rId9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</w:sectPr>
      </w:pPr>
    </w:p>
    <w:p w:rsidRPr="00ED4306" w:rsidR="004344E6" w:rsidP="00A109AE" w:rsidRDefault="004344E6">
      <w:pPr>
        <w:pStyle w:val="JuCase"/>
      </w:pPr>
      <w:r w:rsidRPr="00ED4306">
        <w:t>En l</w:t>
      </w:r>
      <w:r w:rsidRPr="00ED4306" w:rsidR="00A109AE">
        <w:t>’</w:t>
      </w:r>
      <w:r w:rsidRPr="00ED4306">
        <w:t xml:space="preserve">affaire </w:t>
      </w:r>
      <w:r w:rsidRPr="00ED4306" w:rsidR="00E04BAF">
        <w:t xml:space="preserve">Club </w:t>
      </w:r>
      <w:r w:rsidRPr="00ED4306" w:rsidR="00C50069">
        <w:t>n</w:t>
      </w:r>
      <w:r w:rsidRPr="00ED4306" w:rsidR="00E04BAF">
        <w:t xml:space="preserve">autique de Chalcidique </w:t>
      </w:r>
      <w:r w:rsidRPr="00ED4306" w:rsidR="00C50069">
        <w:t>«</w:t>
      </w:r>
      <w:r w:rsidRPr="00ED4306" w:rsidR="006E6A67">
        <w:t> </w:t>
      </w:r>
      <w:r w:rsidRPr="00ED4306" w:rsidR="00E04BAF">
        <w:t xml:space="preserve">I </w:t>
      </w:r>
      <w:proofErr w:type="spellStart"/>
      <w:r w:rsidRPr="00ED4306" w:rsidR="00E04BAF">
        <w:t>Kelyfos</w:t>
      </w:r>
      <w:proofErr w:type="spellEnd"/>
      <w:r w:rsidRPr="00ED4306" w:rsidR="006E6A67">
        <w:t> </w:t>
      </w:r>
      <w:r w:rsidRPr="00ED4306" w:rsidR="00C50069">
        <w:t>»</w:t>
      </w:r>
      <w:r w:rsidRPr="00ED4306" w:rsidR="00E04BAF">
        <w:t xml:space="preserve"> c. Grèce</w:t>
      </w:r>
      <w:r w:rsidRPr="00ED4306">
        <w:t>,</w:t>
      </w:r>
    </w:p>
    <w:p w:rsidRPr="00A109AE" w:rsidR="004344E6" w:rsidP="00A109AE" w:rsidRDefault="004344E6">
      <w:pPr>
        <w:pStyle w:val="JuPara"/>
      </w:pPr>
      <w:r w:rsidRPr="00A109AE">
        <w:t>La Cour européenne des droits de l</w:t>
      </w:r>
      <w:r w:rsidRPr="00A109AE" w:rsidR="00A109AE">
        <w:t>’</w:t>
      </w:r>
      <w:r w:rsidRPr="00A109AE">
        <w:t>homme (</w:t>
      </w:r>
      <w:r w:rsidRPr="00A109AE" w:rsidR="00E04BAF">
        <w:t>première section</w:t>
      </w:r>
      <w:r w:rsidRPr="00A109AE">
        <w:t xml:space="preserve">), siégeant en </w:t>
      </w:r>
      <w:r w:rsidRPr="00A109AE" w:rsidR="00E04BAF">
        <w:rPr>
          <w:color w:val="000000"/>
        </w:rPr>
        <w:t>une</w:t>
      </w:r>
      <w:r w:rsidRPr="00A109AE" w:rsidR="00E04BAF">
        <w:t xml:space="preserve"> Chambre composée</w:t>
      </w:r>
      <w:r w:rsidRPr="00A109AE">
        <w:t xml:space="preserve"> de :</w:t>
      </w:r>
    </w:p>
    <w:p w:rsidRPr="00A109AE" w:rsidR="009E2D99" w:rsidP="00A109AE" w:rsidRDefault="009E2D99">
      <w:pPr>
        <w:pStyle w:val="JuJudges"/>
        <w:jc w:val="both"/>
        <w:rPr>
          <w:i/>
        </w:rPr>
      </w:pPr>
      <w:r w:rsidRPr="00A109AE">
        <w:tab/>
      </w:r>
      <w:proofErr w:type="spellStart"/>
      <w:r w:rsidRPr="00A109AE">
        <w:t>Ksenija</w:t>
      </w:r>
      <w:proofErr w:type="spellEnd"/>
      <w:r w:rsidRPr="00A109AE">
        <w:t xml:space="preserve"> </w:t>
      </w:r>
      <w:proofErr w:type="spellStart"/>
      <w:r w:rsidRPr="00A109AE">
        <w:t>Turković</w:t>
      </w:r>
      <w:proofErr w:type="spellEnd"/>
      <w:r w:rsidRPr="00A109AE">
        <w:t>,</w:t>
      </w:r>
      <w:r w:rsidRPr="00A109AE">
        <w:rPr>
          <w:i/>
        </w:rPr>
        <w:t xml:space="preserve"> présidente,</w:t>
      </w:r>
    </w:p>
    <w:p w:rsidRPr="00A109AE" w:rsidR="009E2D99" w:rsidP="00A109AE" w:rsidRDefault="009E2D99">
      <w:pPr>
        <w:pStyle w:val="JuJudges"/>
        <w:jc w:val="both"/>
      </w:pPr>
      <w:r w:rsidRPr="00A109AE">
        <w:tab/>
        <w:t>Linos-Alexandre Sicilianos,</w:t>
      </w:r>
    </w:p>
    <w:p w:rsidRPr="00A109AE" w:rsidR="009E2D99" w:rsidP="00A109AE" w:rsidRDefault="009E2D99">
      <w:pPr>
        <w:pStyle w:val="JuJudges"/>
        <w:jc w:val="both"/>
        <w:rPr>
          <w:lang w:val="it-IT"/>
        </w:rPr>
      </w:pPr>
      <w:r w:rsidRPr="00A109AE">
        <w:tab/>
      </w:r>
      <w:proofErr w:type="spellStart"/>
      <w:r w:rsidRPr="00A109AE">
        <w:rPr>
          <w:lang w:val="it-IT"/>
        </w:rPr>
        <w:t>Aleš</w:t>
      </w:r>
      <w:proofErr w:type="spellEnd"/>
      <w:r w:rsidRPr="00A109AE">
        <w:rPr>
          <w:lang w:val="it-IT"/>
        </w:rPr>
        <w:t xml:space="preserve"> </w:t>
      </w:r>
      <w:proofErr w:type="spellStart"/>
      <w:r w:rsidRPr="00A109AE">
        <w:rPr>
          <w:lang w:val="it-IT"/>
        </w:rPr>
        <w:t>Pejchal</w:t>
      </w:r>
      <w:proofErr w:type="spellEnd"/>
      <w:r w:rsidRPr="00A109AE">
        <w:rPr>
          <w:lang w:val="it-IT"/>
        </w:rPr>
        <w:t>,</w:t>
      </w:r>
    </w:p>
    <w:p w:rsidRPr="00A109AE" w:rsidR="009E2D99" w:rsidP="00A109AE" w:rsidRDefault="009E2D99">
      <w:pPr>
        <w:pStyle w:val="JuJudges"/>
        <w:jc w:val="both"/>
        <w:rPr>
          <w:lang w:val="it-IT"/>
        </w:rPr>
      </w:pPr>
      <w:r w:rsidRPr="00A109AE">
        <w:rPr>
          <w:lang w:val="it-IT"/>
        </w:rPr>
        <w:tab/>
        <w:t xml:space="preserve">Armen </w:t>
      </w:r>
      <w:proofErr w:type="spellStart"/>
      <w:r w:rsidRPr="00A109AE">
        <w:rPr>
          <w:lang w:val="it-IT"/>
        </w:rPr>
        <w:t>Harutyunyan</w:t>
      </w:r>
      <w:proofErr w:type="spellEnd"/>
      <w:r w:rsidRPr="00A109AE">
        <w:rPr>
          <w:lang w:val="it-IT"/>
        </w:rPr>
        <w:t>,</w:t>
      </w:r>
    </w:p>
    <w:p w:rsidRPr="00A109AE" w:rsidR="009E2D99" w:rsidP="00A109AE" w:rsidRDefault="009E2D99">
      <w:pPr>
        <w:pStyle w:val="JuJudges"/>
        <w:jc w:val="both"/>
        <w:rPr>
          <w:lang w:val="it-IT"/>
        </w:rPr>
      </w:pPr>
      <w:r w:rsidRPr="00A109AE">
        <w:rPr>
          <w:lang w:val="it-IT"/>
        </w:rPr>
        <w:tab/>
        <w:t>Pere Pastor Vilanova,</w:t>
      </w:r>
    </w:p>
    <w:p w:rsidRPr="00A109AE" w:rsidR="009E2D99" w:rsidP="00A109AE" w:rsidRDefault="009E2D99">
      <w:pPr>
        <w:pStyle w:val="JuJudges"/>
        <w:jc w:val="both"/>
        <w:rPr>
          <w:lang w:val="it-IT"/>
        </w:rPr>
      </w:pPr>
      <w:r w:rsidRPr="00A109AE">
        <w:rPr>
          <w:lang w:val="it-IT"/>
        </w:rPr>
        <w:tab/>
        <w:t xml:space="preserve">Tim </w:t>
      </w:r>
      <w:proofErr w:type="spellStart"/>
      <w:r w:rsidRPr="00A109AE">
        <w:rPr>
          <w:lang w:val="it-IT"/>
        </w:rPr>
        <w:t>Eicke</w:t>
      </w:r>
      <w:proofErr w:type="spellEnd"/>
      <w:r w:rsidRPr="00A109AE">
        <w:rPr>
          <w:lang w:val="it-IT"/>
        </w:rPr>
        <w:t>,</w:t>
      </w:r>
    </w:p>
    <w:p w:rsidRPr="00A109AE" w:rsidR="009E2D99" w:rsidP="00A109AE" w:rsidRDefault="009E2D99">
      <w:pPr>
        <w:pStyle w:val="JuJudges"/>
        <w:jc w:val="both"/>
        <w:rPr>
          <w:i/>
          <w:lang w:val="it-IT"/>
        </w:rPr>
      </w:pPr>
      <w:r w:rsidRPr="00A109AE">
        <w:rPr>
          <w:lang w:val="it-IT"/>
        </w:rPr>
        <w:tab/>
        <w:t>Raffaele Sabato,</w:t>
      </w:r>
      <w:r w:rsidRPr="00A109AE">
        <w:rPr>
          <w:i/>
          <w:lang w:val="it-IT"/>
        </w:rPr>
        <w:t xml:space="preserve"> </w:t>
      </w:r>
      <w:proofErr w:type="spellStart"/>
      <w:r w:rsidRPr="00A109AE">
        <w:rPr>
          <w:i/>
          <w:lang w:val="it-IT"/>
        </w:rPr>
        <w:t>juges</w:t>
      </w:r>
      <w:proofErr w:type="spellEnd"/>
      <w:r w:rsidRPr="00A109AE">
        <w:rPr>
          <w:i/>
          <w:lang w:val="it-IT"/>
        </w:rPr>
        <w:t>,</w:t>
      </w:r>
    </w:p>
    <w:p w:rsidRPr="00A109AE" w:rsidR="004344E6" w:rsidP="00A109AE" w:rsidRDefault="004344E6">
      <w:pPr>
        <w:pStyle w:val="JuJudges"/>
        <w:jc w:val="both"/>
      </w:pPr>
      <w:proofErr w:type="gramStart"/>
      <w:r w:rsidRPr="00A109AE">
        <w:t>et</w:t>
      </w:r>
      <w:proofErr w:type="gramEnd"/>
      <w:r w:rsidRPr="00A109AE">
        <w:t xml:space="preserve"> de </w:t>
      </w:r>
      <w:r w:rsidRPr="00A109AE" w:rsidR="009E2D99">
        <w:rPr>
          <w:rStyle w:val="JuJudgesChar"/>
          <w:szCs w:val="24"/>
        </w:rPr>
        <w:t xml:space="preserve">Renata </w:t>
      </w:r>
      <w:proofErr w:type="spellStart"/>
      <w:r w:rsidRPr="00A109AE" w:rsidR="009E2D99">
        <w:rPr>
          <w:rStyle w:val="JuJudgesChar"/>
          <w:szCs w:val="24"/>
        </w:rPr>
        <w:t>Degener</w:t>
      </w:r>
      <w:proofErr w:type="spellEnd"/>
      <w:r w:rsidRPr="00A109AE">
        <w:t xml:space="preserve">, </w:t>
      </w:r>
      <w:r w:rsidRPr="00A109AE" w:rsidR="009E2D99">
        <w:rPr>
          <w:i/>
          <w:szCs w:val="24"/>
        </w:rPr>
        <w:t xml:space="preserve">greffière adjointe </w:t>
      </w:r>
      <w:r w:rsidRPr="00A109AE" w:rsidR="00E04BAF">
        <w:rPr>
          <w:i/>
          <w:iCs/>
        </w:rPr>
        <w:t>d</w:t>
      </w:r>
      <w:r w:rsidRPr="00A109AE" w:rsidR="00E04BAF">
        <w:rPr>
          <w:i/>
        </w:rPr>
        <w:t>e section</w:t>
      </w:r>
      <w:r w:rsidRPr="00A109AE">
        <w:t>,</w:t>
      </w:r>
    </w:p>
    <w:p w:rsidRPr="00A109AE" w:rsidR="004344E6" w:rsidP="00A109AE" w:rsidRDefault="004344E6">
      <w:pPr>
        <w:pStyle w:val="JuPara"/>
      </w:pPr>
      <w:r w:rsidRPr="00A109AE">
        <w:t xml:space="preserve">Après en avoir délibéré en chambre du conseil le </w:t>
      </w:r>
      <w:r w:rsidRPr="00A109AE" w:rsidR="00E04BAF">
        <w:rPr>
          <w:szCs w:val="24"/>
        </w:rPr>
        <w:t>22 octobre 2019</w:t>
      </w:r>
      <w:r w:rsidRPr="00A109AE">
        <w:t>,</w:t>
      </w:r>
    </w:p>
    <w:p w:rsidRPr="00A109AE" w:rsidR="00876F03" w:rsidP="00A109AE" w:rsidRDefault="004344E6">
      <w:pPr>
        <w:pStyle w:val="JuPara"/>
      </w:pPr>
      <w:r w:rsidRPr="00A109AE">
        <w:t>Rend l</w:t>
      </w:r>
      <w:r w:rsidRPr="00A109AE" w:rsidR="00A109AE">
        <w:t>’</w:t>
      </w:r>
      <w:r w:rsidRPr="00A109AE">
        <w:t>arrêt que voici</w:t>
      </w:r>
      <w:r w:rsidRPr="00A109AE" w:rsidR="00876F03">
        <w:t>, adopté à cette date :</w:t>
      </w:r>
    </w:p>
    <w:p w:rsidRPr="00A109AE" w:rsidR="00E04BAF" w:rsidP="00A109AE" w:rsidRDefault="00E04BAF">
      <w:pPr>
        <w:pStyle w:val="JuHHead"/>
      </w:pPr>
      <w:r w:rsidRPr="00A109AE">
        <w:t>PROCÉDURE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</w:t>
      </w:r>
      <w:r w:rsidRPr="00A109AE">
        <w:fldChar w:fldCharType="end"/>
      </w:r>
      <w:r w:rsidRPr="00A109AE">
        <w:t>.  À l</w:t>
      </w:r>
      <w:r w:rsidRPr="00A109AE" w:rsidR="00A109AE">
        <w:t>’</w:t>
      </w:r>
      <w:r w:rsidRPr="00A109AE">
        <w:t>origine de l</w:t>
      </w:r>
      <w:r w:rsidRPr="00A109AE" w:rsidR="00A109AE">
        <w:t>’</w:t>
      </w:r>
      <w:r w:rsidRPr="00A109AE">
        <w:t xml:space="preserve">affaire se trouvent </w:t>
      </w:r>
      <w:r w:rsidRPr="00A109AE">
        <w:rPr>
          <w:color w:val="000000"/>
        </w:rPr>
        <w:t xml:space="preserve">deux </w:t>
      </w:r>
      <w:r w:rsidRPr="00A109AE">
        <w:t>requêtes</w:t>
      </w:r>
      <w:r w:rsidRPr="00A109AE">
        <w:rPr>
          <w:color w:val="000000"/>
        </w:rPr>
        <w:t xml:space="preserve"> </w:t>
      </w:r>
      <w:r w:rsidRPr="00A109AE">
        <w:t>(n</w:t>
      </w:r>
      <w:r w:rsidRPr="00A109AE">
        <w:rPr>
          <w:vertAlign w:val="superscript"/>
        </w:rPr>
        <w:t>o</w:t>
      </w:r>
      <w:r w:rsidRPr="00A109AE" w:rsidR="00A109AE">
        <w:t> 6978/18 et </w:t>
      </w:r>
      <w:r w:rsidRPr="00A109AE">
        <w:t>n</w:t>
      </w:r>
      <w:r w:rsidRPr="00A109AE">
        <w:rPr>
          <w:vertAlign w:val="superscript"/>
        </w:rPr>
        <w:t>o</w:t>
      </w:r>
      <w:r w:rsidRPr="00A109AE">
        <w:rPr>
          <w:color w:val="000000"/>
        </w:rPr>
        <w:t> </w:t>
      </w:r>
      <w:r w:rsidRPr="00A109AE">
        <w:rPr>
          <w:szCs w:val="24"/>
        </w:rPr>
        <w:t>8547/18</w:t>
      </w:r>
      <w:r w:rsidRPr="00A109AE">
        <w:rPr>
          <w:color w:val="000000"/>
        </w:rPr>
        <w:t>)</w:t>
      </w:r>
      <w:r w:rsidRPr="00A109AE">
        <w:t xml:space="preserve"> dirigées contre la République hellénique et dont deux ressortissants de cet</w:t>
      </w:r>
      <w:r w:rsidRPr="00A109AE" w:rsidR="006E6A67">
        <w:t xml:space="preserve"> État (« les requérants »), le C</w:t>
      </w:r>
      <w:r w:rsidRPr="00A109AE">
        <w:t xml:space="preserve">lub nautique de Chalcidique </w:t>
      </w:r>
      <w:r w:rsidRPr="00A109AE" w:rsidR="00C50069">
        <w:t>«</w:t>
      </w:r>
      <w:r w:rsidRPr="00A109AE" w:rsidR="006E6A67">
        <w:t xml:space="preserve"> I </w:t>
      </w:r>
      <w:proofErr w:type="spellStart"/>
      <w:r w:rsidRPr="00A109AE">
        <w:t>Kelyfos</w:t>
      </w:r>
      <w:proofErr w:type="spellEnd"/>
      <w:r w:rsidRPr="00A109AE" w:rsidR="006E6A67">
        <w:t> </w:t>
      </w:r>
      <w:r w:rsidRPr="00A109AE" w:rsidR="00C50069">
        <w:t>»</w:t>
      </w:r>
      <w:r w:rsidRPr="00A109AE">
        <w:t xml:space="preserve"> (« le premier requérant ») et M. </w:t>
      </w:r>
      <w:proofErr w:type="spellStart"/>
      <w:r w:rsidRPr="00A109AE">
        <w:t>Dimitrios</w:t>
      </w:r>
      <w:proofErr w:type="spellEnd"/>
      <w:r w:rsidRPr="00A109AE">
        <w:t xml:space="preserve"> </w:t>
      </w:r>
      <w:proofErr w:type="spellStart"/>
      <w:r w:rsidRPr="00A109AE">
        <w:t>Papafilippou</w:t>
      </w:r>
      <w:proofErr w:type="spellEnd"/>
      <w:r w:rsidRPr="00A109AE">
        <w:t xml:space="preserve"> (« le deuxième requérant »), ont saisi la Cour le 31 janvier 2018 et le 12 février 2018 respectivement en vertu de l</w:t>
      </w:r>
      <w:r w:rsidRPr="00A109AE" w:rsidR="00A109AE">
        <w:t>’</w:t>
      </w:r>
      <w:r w:rsidRPr="00A109AE">
        <w:t>article 34 de la Convention de sauvegarde des droits de l</w:t>
      </w:r>
      <w:r w:rsidRPr="00A109AE" w:rsidR="00A109AE">
        <w:t>’</w:t>
      </w:r>
      <w:r w:rsidRPr="00A109AE">
        <w:t>homme et des libertés fondamentales (« la Convention »).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</w:t>
      </w:r>
      <w:r w:rsidRPr="00A109AE">
        <w:fldChar w:fldCharType="end"/>
      </w:r>
      <w:r w:rsidRPr="00A109AE">
        <w:t>.  Les requérants ont été représentés par le deuxième requérant, M</w:t>
      </w:r>
      <w:r w:rsidRPr="00A109AE">
        <w:rPr>
          <w:vertAlign w:val="superscript"/>
        </w:rPr>
        <w:t>e</w:t>
      </w:r>
      <w:r w:rsidRPr="00A109AE">
        <w:t> D. </w:t>
      </w:r>
      <w:proofErr w:type="spellStart"/>
      <w:r w:rsidRPr="00A109AE">
        <w:t>Papafilippou</w:t>
      </w:r>
      <w:proofErr w:type="spellEnd"/>
      <w:r w:rsidRPr="00A109AE">
        <w:t>, avocat à Thessalonique. Le gouvernement grec (« le Gouvernement ») a été représenté par la déléguée de son agent, M</w:t>
      </w:r>
      <w:r w:rsidRPr="00A109AE">
        <w:rPr>
          <w:vertAlign w:val="superscript"/>
        </w:rPr>
        <w:t>me</w:t>
      </w:r>
      <w:r w:rsidRPr="00A109AE">
        <w:t> G. </w:t>
      </w:r>
      <w:proofErr w:type="spellStart"/>
      <w:r w:rsidRPr="00A109AE">
        <w:t>Papadaki</w:t>
      </w:r>
      <w:proofErr w:type="spellEnd"/>
      <w:r w:rsidRPr="00A109AE">
        <w:t>, assesseure au Conseil juridique de l</w:t>
      </w:r>
      <w:r w:rsidRPr="00A109AE" w:rsidR="00A109AE">
        <w:t>’</w:t>
      </w:r>
      <w:r w:rsidRPr="00A109AE">
        <w:t>État.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</w:t>
      </w:r>
      <w:r w:rsidRPr="00A109AE">
        <w:fldChar w:fldCharType="end"/>
      </w:r>
      <w:r w:rsidRPr="00A109AE">
        <w:t>.  Les requérants alléguaient, en particulier, une violation de l</w:t>
      </w:r>
      <w:r w:rsidRPr="00A109AE" w:rsidR="00A109AE">
        <w:t>’</w:t>
      </w:r>
      <w:r w:rsidRPr="00A109AE" w:rsidR="006E6A67">
        <w:t xml:space="preserve">article 6 </w:t>
      </w:r>
      <w:r w:rsidRPr="00A109AE">
        <w:t>§ 1 (droit d</w:t>
      </w:r>
      <w:r w:rsidRPr="00A109AE" w:rsidR="00A109AE">
        <w:t>’</w:t>
      </w:r>
      <w:r w:rsidRPr="00A109AE">
        <w:t>accès à un tribunal) de la Convention.</w:t>
      </w:r>
    </w:p>
    <w:p w:rsidRPr="00A109AE" w:rsidR="00E04BAF" w:rsidP="00A109AE" w:rsidRDefault="00E04BAF">
      <w:pPr>
        <w:pStyle w:val="JuPara"/>
        <w:rPr>
          <w:szCs w:val="24"/>
          <w:lang w:eastAsia="en-GB"/>
        </w:rPr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</w:t>
      </w:r>
      <w:r w:rsidRPr="00A109AE">
        <w:fldChar w:fldCharType="end"/>
      </w:r>
      <w:r w:rsidRPr="00A109AE">
        <w:t xml:space="preserve">.  Le 23 août 2018, </w:t>
      </w:r>
      <w:r w:rsidRPr="00A109AE">
        <w:rPr>
          <w:rFonts w:ascii="Times New Roman" w:hAnsi="Times New Roman" w:eastAsia="Times New Roman" w:cs="Times New Roman"/>
        </w:rPr>
        <w:t>les griefs concernant l</w:t>
      </w:r>
      <w:r w:rsidRPr="00A109AE" w:rsidR="00A109AE">
        <w:rPr>
          <w:rFonts w:ascii="Times New Roman" w:hAnsi="Times New Roman" w:eastAsia="Times New Roman" w:cs="Times New Roman"/>
        </w:rPr>
        <w:t>’</w:t>
      </w:r>
      <w:r w:rsidRPr="00A109AE">
        <w:rPr>
          <w:rFonts w:ascii="Times New Roman" w:hAnsi="Times New Roman" w:eastAsia="Times New Roman" w:cs="Times New Roman"/>
        </w:rPr>
        <w:t>article 6 § 1 de la Convention ont été communiqués au Gouvernement et les requêtes ont été déclarées irrecevables pour le surplus</w:t>
      </w:r>
      <w:r w:rsidRPr="00A109AE">
        <w:t xml:space="preserve"> conformément à l</w:t>
      </w:r>
      <w:r w:rsidRPr="00A109AE" w:rsidR="00A109AE">
        <w:t>’</w:t>
      </w:r>
      <w:r w:rsidRPr="00A109AE">
        <w:t>article 54 § 3 du règlement de la Cour.</w:t>
      </w:r>
    </w:p>
    <w:p w:rsidRPr="00A109AE" w:rsidR="00E04BAF" w:rsidP="00A109AE" w:rsidRDefault="00E04BAF">
      <w:pPr>
        <w:pStyle w:val="JuHHead"/>
        <w:tabs>
          <w:tab w:val="left" w:pos="5387"/>
        </w:tabs>
      </w:pPr>
      <w:r w:rsidRPr="00A109AE">
        <w:t>EN FAIT</w:t>
      </w:r>
    </w:p>
    <w:p w:rsidRPr="00A109AE" w:rsidR="00E04BAF" w:rsidP="00A109AE" w:rsidRDefault="00E04BAF">
      <w:pPr>
        <w:pStyle w:val="JuHIRoman"/>
      </w:pPr>
      <w:r w:rsidRPr="00A109AE">
        <w:t>LES CIRCONSTANCES DE L</w:t>
      </w:r>
      <w:r w:rsidRPr="00A109AE" w:rsidR="00A109AE">
        <w:t>’</w:t>
      </w:r>
      <w:r w:rsidRPr="00A109AE">
        <w:t>ESPÈCE</w:t>
      </w:r>
    </w:p>
    <w:p w:rsidRPr="00A109AE" w:rsidR="00E04BAF" w:rsidP="00A109AE" w:rsidRDefault="00E04BAF">
      <w:pPr>
        <w:pStyle w:val="JuPara"/>
        <w:rPr>
          <w:bCs/>
        </w:rPr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</w:t>
      </w:r>
      <w:r w:rsidRPr="00A109AE">
        <w:fldChar w:fldCharType="end"/>
      </w:r>
      <w:r w:rsidRPr="00A109AE">
        <w:t>.  </w:t>
      </w:r>
      <w:r w:rsidRPr="00A109AE" w:rsidR="009E2D99">
        <w:t xml:space="preserve">Le premier requérant, le </w:t>
      </w:r>
      <w:r w:rsidRPr="00A109AE" w:rsidR="00C50069">
        <w:t>C</w:t>
      </w:r>
      <w:r w:rsidRPr="00A109AE" w:rsidR="009E2D99">
        <w:t xml:space="preserve">lub nautique de Chalcidique (« le club nautique »), est un groupement de propriétaires de bateaux qui louent des emplacements à la marina Porto </w:t>
      </w:r>
      <w:proofErr w:type="spellStart"/>
      <w:r w:rsidRPr="00A109AE" w:rsidR="009E2D99">
        <w:t>Karras</w:t>
      </w:r>
      <w:proofErr w:type="spellEnd"/>
      <w:r w:rsidRPr="00A109AE" w:rsidR="009E2D99">
        <w:t xml:space="preserve">, à </w:t>
      </w:r>
      <w:proofErr w:type="spellStart"/>
      <w:r w:rsidRPr="00A109AE" w:rsidR="009E2D99">
        <w:t>Sithonie</w:t>
      </w:r>
      <w:proofErr w:type="spellEnd"/>
      <w:r w:rsidRPr="00A109AE" w:rsidR="009E2D99">
        <w:t xml:space="preserve">, en Chalcidique. </w:t>
      </w:r>
      <w:r w:rsidRPr="00A109AE" w:rsidR="009E2D99">
        <w:rPr>
          <w:bCs/>
        </w:rPr>
        <w:t>Selon l</w:t>
      </w:r>
      <w:r w:rsidRPr="00A109AE" w:rsidR="00A109AE">
        <w:rPr>
          <w:bCs/>
        </w:rPr>
        <w:t>’</w:t>
      </w:r>
      <w:r w:rsidRPr="00A109AE" w:rsidR="009E2D99">
        <w:rPr>
          <w:bCs/>
        </w:rPr>
        <w:t>article 2 de ses statuts, le but de l</w:t>
      </w:r>
      <w:r w:rsidRPr="00A109AE" w:rsidR="00A109AE">
        <w:rPr>
          <w:bCs/>
        </w:rPr>
        <w:t>’</w:t>
      </w:r>
      <w:r w:rsidRPr="00A109AE" w:rsidR="009E2D99">
        <w:rPr>
          <w:bCs/>
        </w:rPr>
        <w:t>association consiste en la protection des droits de ses membres par tout moyen et sous toutes les formes. De manière plus particulière, ces buts consistent en : a)  la protection et la défense des droits des membres devant toute autorité et toute juridiction, au cas où il y a des affaires qui doivent être réglées ou il est nécessaire d</w:t>
      </w:r>
      <w:r w:rsidRPr="00A109AE" w:rsidR="00A109AE">
        <w:rPr>
          <w:bCs/>
        </w:rPr>
        <w:t>’</w:t>
      </w:r>
      <w:r w:rsidRPr="00A109AE" w:rsidR="009E2D99">
        <w:rPr>
          <w:bCs/>
        </w:rPr>
        <w:t>exercer des voies de recours judiciaires ; dans ce cas, la protection doit se manifester par tout moyen légal ; b) toute sorte de coopération entre les membres et les organismes privés ou publics ; c) l</w:t>
      </w:r>
      <w:r w:rsidRPr="00A109AE" w:rsidR="00A109AE">
        <w:rPr>
          <w:bCs/>
        </w:rPr>
        <w:t>’</w:t>
      </w:r>
      <w:r w:rsidRPr="00A109AE" w:rsidR="009E2D99">
        <w:rPr>
          <w:bCs/>
        </w:rPr>
        <w:t>organisation de manifestations et la participation à celles-ci, la réalisation d</w:t>
      </w:r>
      <w:r w:rsidRPr="00A109AE" w:rsidR="00A109AE">
        <w:rPr>
          <w:bCs/>
        </w:rPr>
        <w:t>’</w:t>
      </w:r>
      <w:r w:rsidRPr="00A109AE" w:rsidR="009E2D99">
        <w:rPr>
          <w:bCs/>
        </w:rPr>
        <w:t>imprimés et de tout matériel audiovisuel ; d) l</w:t>
      </w:r>
      <w:r w:rsidRPr="00A109AE" w:rsidR="00A109AE">
        <w:rPr>
          <w:bCs/>
        </w:rPr>
        <w:t>’</w:t>
      </w:r>
      <w:r w:rsidRPr="00A109AE" w:rsidR="009E2D99">
        <w:rPr>
          <w:bCs/>
        </w:rPr>
        <w:t>organisation et la participation à toute action relative à l</w:t>
      </w:r>
      <w:r w:rsidRPr="00A109AE" w:rsidR="00A109AE">
        <w:rPr>
          <w:bCs/>
        </w:rPr>
        <w:t>’</w:t>
      </w:r>
      <w:r w:rsidRPr="00A109AE" w:rsidR="009E2D99">
        <w:rPr>
          <w:bCs/>
        </w:rPr>
        <w:t>environnement et à la mer ; e) l</w:t>
      </w:r>
      <w:r w:rsidRPr="00A109AE" w:rsidR="00A109AE">
        <w:rPr>
          <w:bCs/>
        </w:rPr>
        <w:t>’</w:t>
      </w:r>
      <w:r w:rsidRPr="00A109AE" w:rsidR="009E2D99">
        <w:rPr>
          <w:bCs/>
        </w:rPr>
        <w:t>amélioration des conditions d</w:t>
      </w:r>
      <w:r w:rsidRPr="00A109AE" w:rsidR="00A109AE">
        <w:rPr>
          <w:bCs/>
        </w:rPr>
        <w:t>’</w:t>
      </w:r>
      <w:r w:rsidRPr="00A109AE" w:rsidR="009E2D99">
        <w:rPr>
          <w:bCs/>
        </w:rPr>
        <w:t>ancrage et la protection de l</w:t>
      </w:r>
      <w:r w:rsidRPr="00A109AE" w:rsidR="00A109AE">
        <w:rPr>
          <w:bCs/>
        </w:rPr>
        <w:t>’</w:t>
      </w:r>
      <w:r w:rsidRPr="00A109AE" w:rsidR="009E2D99">
        <w:rPr>
          <w:bCs/>
        </w:rPr>
        <w:t>environnement marin.</w:t>
      </w:r>
    </w:p>
    <w:p w:rsidRPr="00A109AE" w:rsidR="00F11CE7" w:rsidP="00A109AE" w:rsidRDefault="00F11CE7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</w:t>
      </w:r>
      <w:r w:rsidRPr="00A109AE">
        <w:fldChar w:fldCharType="end"/>
      </w:r>
      <w:r w:rsidRPr="00A109AE">
        <w:t>.  Le deuxième requérant, qui est propriétaire de bateaux, est membre du club nautique et président du conseil d</w:t>
      </w:r>
      <w:r w:rsidRPr="00A109AE" w:rsidR="00A109AE">
        <w:t>’</w:t>
      </w:r>
      <w:r w:rsidRPr="00A109AE">
        <w:t>administration et représentant légal de celui-ci.</w:t>
      </w:r>
    </w:p>
    <w:p w:rsidRPr="00A109AE" w:rsidR="00E04BAF" w:rsidP="00A109AE" w:rsidRDefault="00E04BAF">
      <w:pPr>
        <w:pStyle w:val="JuHA"/>
      </w:pPr>
      <w:r w:rsidRPr="00A109AE">
        <w:t>La genèse de l</w:t>
      </w:r>
      <w:r w:rsidRPr="00A109AE" w:rsidR="00A109AE">
        <w:t>’</w:t>
      </w:r>
      <w:r w:rsidRPr="00A109AE">
        <w:t>affaire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7</w:t>
      </w:r>
      <w:r w:rsidRPr="00A109AE">
        <w:fldChar w:fldCharType="end"/>
      </w:r>
      <w:r w:rsidRPr="00A109AE">
        <w:t>.  </w:t>
      </w:r>
      <w:r w:rsidRPr="00A109AE" w:rsidR="00F11CE7">
        <w:t>Les membres du premier requérant payaient des droits d</w:t>
      </w:r>
      <w:r w:rsidRPr="00A109AE" w:rsidR="00A109AE">
        <w:t>’</w:t>
      </w:r>
      <w:r w:rsidRPr="00A109AE" w:rsidR="00F11CE7">
        <w:t xml:space="preserve">ancrage et de mouillage à une société anonyme dénommée « marina Porto </w:t>
      </w:r>
      <w:proofErr w:type="spellStart"/>
      <w:r w:rsidRPr="00A109AE" w:rsidR="00F11CE7">
        <w:t>Karras</w:t>
      </w:r>
      <w:proofErr w:type="spellEnd"/>
      <w:r w:rsidRPr="00A109AE" w:rsidR="00F11CE7">
        <w:t> », laquelle se présentait comme la société gestionnaire de la marina. En 2010, la société augmenta considérablement les droits d</w:t>
      </w:r>
      <w:r w:rsidRPr="00A109AE" w:rsidR="00A109AE">
        <w:t>’</w:t>
      </w:r>
      <w:r w:rsidRPr="00A109AE" w:rsidR="00F11CE7">
        <w:t>ancrage et de mouillage réclamés aux propriétaires de bateaux. D</w:t>
      </w:r>
      <w:r w:rsidRPr="00A109AE" w:rsidR="00A109AE">
        <w:t>’</w:t>
      </w:r>
      <w:r w:rsidRPr="00A109AE" w:rsidR="00F11CE7">
        <w:t>après les requérants, la société anonyme n</w:t>
      </w:r>
      <w:r w:rsidRPr="00A109AE" w:rsidR="00A109AE">
        <w:t>’</w:t>
      </w:r>
      <w:r w:rsidRPr="00A109AE" w:rsidR="00F11CE7">
        <w:t>avait pas le droit de fixer et de percevoir les droits d</w:t>
      </w:r>
      <w:r w:rsidRPr="00A109AE" w:rsidR="00A109AE">
        <w:t>’</w:t>
      </w:r>
      <w:r w:rsidRPr="00A109AE" w:rsidR="00F11CE7">
        <w:t>ancrage et de mouillage : en effet, seul l</w:t>
      </w:r>
      <w:r w:rsidRPr="00A109AE" w:rsidR="00A109AE">
        <w:t>’</w:t>
      </w:r>
      <w:r w:rsidRPr="00A109AE" w:rsidR="00F11CE7">
        <w:t>État, qui était propriétaire de tous les ports du pays, serait en droit d</w:t>
      </w:r>
      <w:r w:rsidRPr="00A109AE" w:rsidR="00A109AE">
        <w:t>’</w:t>
      </w:r>
      <w:r w:rsidRPr="00A109AE" w:rsidR="00F11CE7">
        <w:t>assurer la gestion des marinas ou de confier celle-ci à d</w:t>
      </w:r>
      <w:r w:rsidRPr="00A109AE" w:rsidR="00A109AE">
        <w:t>’</w:t>
      </w:r>
      <w:r w:rsidRPr="00A109AE" w:rsidR="00F11CE7">
        <w:t>autres personnes selon une procédure prévue par la loi, et, en l</w:t>
      </w:r>
      <w:r w:rsidRPr="00A109AE" w:rsidR="00A109AE">
        <w:t>’</w:t>
      </w:r>
      <w:r w:rsidRPr="00A109AE" w:rsidR="00F11CE7">
        <w:t xml:space="preserve">occurrence, la société « marina Porto </w:t>
      </w:r>
      <w:proofErr w:type="spellStart"/>
      <w:r w:rsidRPr="00A109AE" w:rsidR="00F11CE7">
        <w:t>Karras</w:t>
      </w:r>
      <w:proofErr w:type="spellEnd"/>
      <w:r w:rsidRPr="00A109AE" w:rsidR="00F11CE7">
        <w:t> » n</w:t>
      </w:r>
      <w:r w:rsidRPr="00A109AE" w:rsidR="00A109AE">
        <w:t>’</w:t>
      </w:r>
      <w:r w:rsidRPr="00A109AE" w:rsidR="00F11CE7">
        <w:t>avait reçu aucune habilitation à cet effet</w:t>
      </w:r>
      <w:r w:rsidRPr="00A109AE" w:rsidR="009E2D99">
        <w:t>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8</w:t>
      </w:r>
      <w:r w:rsidRPr="00A109AE">
        <w:fldChar w:fldCharType="end"/>
      </w:r>
      <w:r w:rsidRPr="00A109AE">
        <w:t>.  Le montant des droits d</w:t>
      </w:r>
      <w:r w:rsidRPr="00A109AE" w:rsidR="00A109AE">
        <w:t>’</w:t>
      </w:r>
      <w:r w:rsidRPr="00A109AE">
        <w:t>ancrage et de mouillage dans chaque port était fixé par une liste de tarification annuelle que le gérant légal du port soumettait pour approbation au ministère du Tourisme. La décision d</w:t>
      </w:r>
      <w:r w:rsidRPr="00A109AE" w:rsidR="00A109AE">
        <w:t>’</w:t>
      </w:r>
      <w:r w:rsidRPr="00A109AE">
        <w:t>approbation prise par le ministre était valable pour une certaine période, qu</w:t>
      </w:r>
      <w:r w:rsidRPr="00A109AE" w:rsidR="00A109AE">
        <w:t>’</w:t>
      </w:r>
      <w:r w:rsidRPr="00A109AE">
        <w:t>elle déterminait, et elle liait le gestionnaire du port et les propriétaires de bateaux. Sa validité prenait fin avec l</w:t>
      </w:r>
      <w:r w:rsidRPr="00A109AE" w:rsidR="00A109AE">
        <w:t>’</w:t>
      </w:r>
      <w:r w:rsidRPr="00A109AE">
        <w:t>adoption d</w:t>
      </w:r>
      <w:r w:rsidRPr="00A109AE" w:rsidR="00A109AE">
        <w:t>’</w:t>
      </w:r>
      <w:r w:rsidRPr="00A109AE">
        <w:t>une nouvelle décision, qui pouvait modifier le montant des droits d</w:t>
      </w:r>
      <w:r w:rsidRPr="00A109AE" w:rsidR="00A109AE">
        <w:t>’</w:t>
      </w:r>
      <w:r w:rsidRPr="00A109AE">
        <w:t>ancrage et de mouillage.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9</w:t>
      </w:r>
      <w:r w:rsidRPr="00A109AE">
        <w:fldChar w:fldCharType="end"/>
      </w:r>
      <w:r w:rsidRPr="00A109AE">
        <w:t xml:space="preserve">.  À une date non précisée, la société « marina Porto </w:t>
      </w:r>
      <w:proofErr w:type="spellStart"/>
      <w:r w:rsidRPr="00A109AE">
        <w:t>Karras</w:t>
      </w:r>
      <w:proofErr w:type="spellEnd"/>
      <w:r w:rsidRPr="00A109AE">
        <w:t> » avait soumis une liste de tarification, qui avait été approuvée par une décision, n</w:t>
      </w:r>
      <w:r w:rsidRPr="00A109AE">
        <w:rPr>
          <w:vertAlign w:val="superscript"/>
        </w:rPr>
        <w:t>o</w:t>
      </w:r>
      <w:r w:rsidRPr="00A109AE">
        <w:t> 14004/2009, du ministre du Tourisme, en date du 29 juillet 2009, et était valable jusqu</w:t>
      </w:r>
      <w:r w:rsidRPr="00A109AE" w:rsidR="00A109AE">
        <w:t>’</w:t>
      </w:r>
      <w:r w:rsidRPr="00A109AE">
        <w:t>au 31 décembre 2009 (décision prise sur le fondement de l</w:t>
      </w:r>
      <w:r w:rsidRPr="00A109AE" w:rsidR="00A109AE">
        <w:t>’</w:t>
      </w:r>
      <w:r w:rsidRPr="00A109AE">
        <w:t>article 31 de la loi n</w:t>
      </w:r>
      <w:r w:rsidRPr="00A109AE">
        <w:rPr>
          <w:vertAlign w:val="superscript"/>
        </w:rPr>
        <w:t>o</w:t>
      </w:r>
      <w:r w:rsidRPr="00A109AE">
        <w:t xml:space="preserve"> 2160/1993). Par la suite, elle avait soumis une nouvelle liste, qui avait été approuvée le 6 août 2010 par la décision ministérielle n</w:t>
      </w:r>
      <w:r w:rsidRPr="00A109AE">
        <w:rPr>
          <w:vertAlign w:val="superscript"/>
        </w:rPr>
        <w:t>o</w:t>
      </w:r>
      <w:r w:rsidRPr="00A109AE">
        <w:t> 9051/2010 (également prise sur le fondement de l</w:t>
      </w:r>
      <w:r w:rsidRPr="00A109AE" w:rsidR="00A109AE">
        <w:t>’</w:t>
      </w:r>
      <w:r w:rsidRPr="00A109AE">
        <w:t>article 31 de la loi n</w:t>
      </w:r>
      <w:r w:rsidRPr="00A109AE">
        <w:rPr>
          <w:vertAlign w:val="superscript"/>
        </w:rPr>
        <w:t>o</w:t>
      </w:r>
      <w:r w:rsidRPr="00A109AE">
        <w:t> 2160/1993) et était valable pour les années 2010 et 2011. La nouvelle liste prévoyait des droits d</w:t>
      </w:r>
      <w:r w:rsidRPr="00A109AE" w:rsidR="00A109AE">
        <w:t>’</w:t>
      </w:r>
      <w:r w:rsidRPr="00A109AE">
        <w:t>ancrage et de mouillage d</w:t>
      </w:r>
      <w:r w:rsidRPr="00A109AE" w:rsidR="00A109AE">
        <w:t>’</w:t>
      </w:r>
      <w:r w:rsidRPr="00A109AE">
        <w:t>un montant plus élevé que celui fixé en 2009.</w:t>
      </w:r>
    </w:p>
    <w:p w:rsidRPr="00A109AE" w:rsidR="00E04BAF" w:rsidP="00A109AE" w:rsidRDefault="00E04BAF">
      <w:pPr>
        <w:pStyle w:val="JuHA"/>
      </w:pPr>
      <w:r w:rsidRPr="00A109AE">
        <w:t>Les procédures introduites par le club nautique devant le Conseil d</w:t>
      </w:r>
      <w:r w:rsidRPr="00A109AE" w:rsidR="00A109AE">
        <w:t>’</w:t>
      </w:r>
      <w:r w:rsidRPr="00A109AE">
        <w:t>État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10</w:t>
      </w:r>
      <w:r w:rsidRPr="00A109AE">
        <w:fldChar w:fldCharType="end"/>
      </w:r>
      <w:r w:rsidRPr="00A109AE">
        <w:t>.  </w:t>
      </w:r>
      <w:r w:rsidRPr="00A109AE" w:rsidR="009E2D99">
        <w:rPr>
          <w:lang w:eastAsia="fr-FR"/>
        </w:rPr>
        <w:t xml:space="preserve">Le 27 octobre 2010, </w:t>
      </w:r>
      <w:r w:rsidRPr="00A109AE" w:rsidR="009E2D99">
        <w:rPr>
          <w:bCs/>
          <w:lang w:eastAsia="fr-FR"/>
        </w:rPr>
        <w:t>sur le fondement de l</w:t>
      </w:r>
      <w:r w:rsidRPr="00A109AE" w:rsidR="00A109AE">
        <w:rPr>
          <w:bCs/>
          <w:lang w:eastAsia="fr-FR"/>
        </w:rPr>
        <w:t>’</w:t>
      </w:r>
      <w:r w:rsidRPr="00A109AE" w:rsidR="009E2D99">
        <w:rPr>
          <w:bCs/>
          <w:lang w:eastAsia="fr-FR"/>
        </w:rPr>
        <w:t>article 2 de ses statuts</w:t>
      </w:r>
      <w:r w:rsidRPr="00A109AE" w:rsidR="009E2D99">
        <w:rPr>
          <w:lang w:eastAsia="fr-FR"/>
        </w:rPr>
        <w:t xml:space="preserve">, le club nautique saisit </w:t>
      </w:r>
      <w:r w:rsidRPr="00A109AE">
        <w:t>le Conseil d</w:t>
      </w:r>
      <w:r w:rsidRPr="00A109AE" w:rsidR="00A109AE">
        <w:t>’</w:t>
      </w:r>
      <w:r w:rsidRPr="00A109AE">
        <w:t>État d</w:t>
      </w:r>
      <w:r w:rsidRPr="00A109AE" w:rsidR="00A109AE">
        <w:t>’</w:t>
      </w:r>
      <w:r w:rsidRPr="00A109AE">
        <w:t>un recours en annulation des décisions ministérielles n</w:t>
      </w:r>
      <w:r w:rsidRPr="00A109AE">
        <w:rPr>
          <w:vertAlign w:val="superscript"/>
        </w:rPr>
        <w:t>o</w:t>
      </w:r>
      <w:r w:rsidRPr="00A109AE">
        <w:t> 14004/2009 et n</w:t>
      </w:r>
      <w:r w:rsidRPr="00A109AE">
        <w:rPr>
          <w:vertAlign w:val="superscript"/>
        </w:rPr>
        <w:t>o</w:t>
      </w:r>
      <w:r w:rsidRPr="00A109AE">
        <w:t> 9051/2010. Il soutenait que ces décisions étaient nulles au motif qu</w:t>
      </w:r>
      <w:r w:rsidRPr="00A109AE" w:rsidR="00A109AE">
        <w:t>’</w:t>
      </w:r>
      <w:r w:rsidRPr="00A109AE">
        <w:t>elles approuvaient des listes de tarification établies par une société qui n</w:t>
      </w:r>
      <w:r w:rsidRPr="00A109AE" w:rsidR="00A109AE">
        <w:t>’</w:t>
      </w:r>
      <w:r w:rsidRPr="00A109AE">
        <w:t xml:space="preserve">était ni propriétaire ni gestionnaire légale de la marina. Il exposait que la société « marina Porto </w:t>
      </w:r>
      <w:proofErr w:type="spellStart"/>
      <w:r w:rsidRPr="00A109AE">
        <w:t>Karras</w:t>
      </w:r>
      <w:proofErr w:type="spellEnd"/>
      <w:r w:rsidRPr="00A109AE">
        <w:t> » percevait depuis des années des droits d</w:t>
      </w:r>
      <w:r w:rsidRPr="00A109AE" w:rsidR="00A109AE">
        <w:t>’</w:t>
      </w:r>
      <w:r w:rsidRPr="00A109AE">
        <w:t>ancrage et de mouillage alors que, selon lui, elle n</w:t>
      </w:r>
      <w:r w:rsidRPr="00A109AE" w:rsidR="00A109AE">
        <w:t>’</w:t>
      </w:r>
      <w:r w:rsidRPr="00A109AE">
        <w:t>avait conclu aucun contrat à cet effet avec l</w:t>
      </w:r>
      <w:r w:rsidRPr="00A109AE" w:rsidR="00A109AE">
        <w:t>’</w:t>
      </w:r>
      <w:r w:rsidRPr="00A109AE">
        <w:t>État et ne pouvait pas se prévaloir d</w:t>
      </w:r>
      <w:r w:rsidRPr="00A109AE" w:rsidR="00A109AE">
        <w:t>’</w:t>
      </w:r>
      <w:r w:rsidRPr="00A109AE">
        <w:t>une compétence à cet égard qui lui aurait été conférée par la loi.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11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audience, initialement fixée au 11 mai 2011, fut ajournée en raison d</w:t>
      </w:r>
      <w:r w:rsidRPr="00A109AE" w:rsidR="00A109AE">
        <w:t>’</w:t>
      </w:r>
      <w:r w:rsidRPr="00A109AE">
        <w:t>une grève des avocats (paragraphe 2</w:t>
      </w:r>
      <w:r w:rsidRPr="00A109AE" w:rsidR="00F11CE7">
        <w:t>2</w:t>
      </w:r>
      <w:r w:rsidRPr="00A109AE">
        <w:t xml:space="preserve"> ci-dessous).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12</w:t>
      </w:r>
      <w:r w:rsidRPr="00A109AE">
        <w:fldChar w:fldCharType="end"/>
      </w:r>
      <w:r w:rsidRPr="00A109AE">
        <w:t xml:space="preserve">.  En 2012, la société « marina Porto </w:t>
      </w:r>
      <w:proofErr w:type="spellStart"/>
      <w:r w:rsidRPr="00A109AE">
        <w:t>Karras</w:t>
      </w:r>
      <w:proofErr w:type="spellEnd"/>
      <w:r w:rsidRPr="00A109AE">
        <w:t> » soumit une nouvelle liste de tarification, augmentant encore plus le montant des droits d</w:t>
      </w:r>
      <w:r w:rsidRPr="00A109AE" w:rsidR="00A109AE">
        <w:t>’</w:t>
      </w:r>
      <w:r w:rsidRPr="00A109AE">
        <w:t>ancrage et de mouillage. Le ministre du Tourisme approuva cette liste par la décision n</w:t>
      </w:r>
      <w:r w:rsidRPr="00A109AE">
        <w:rPr>
          <w:vertAlign w:val="superscript"/>
        </w:rPr>
        <w:t>o</w:t>
      </w:r>
      <w:r w:rsidRPr="00A109AE">
        <w:t> 6866/2012 du 3 mai 2012 (prise sur le fondement de l</w:t>
      </w:r>
      <w:r w:rsidRPr="00A109AE" w:rsidR="00A109AE">
        <w:t>’</w:t>
      </w:r>
      <w:r w:rsidRPr="00A109AE" w:rsidR="007843EA">
        <w:t>article </w:t>
      </w:r>
      <w:r w:rsidRPr="00A109AE">
        <w:t>31 de la loi n</w:t>
      </w:r>
      <w:r w:rsidRPr="00A109AE">
        <w:rPr>
          <w:vertAlign w:val="superscript"/>
        </w:rPr>
        <w:t>o</w:t>
      </w:r>
      <w:r w:rsidRPr="00A109AE">
        <w:t xml:space="preserve"> 2160/1993), adoptée</w:t>
      </w:r>
      <w:r w:rsidRPr="00A109AE" w:rsidR="00A109AE">
        <w:t xml:space="preserve"> en remplacement de la décision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9051/2010. La validité de la décision n</w:t>
      </w:r>
      <w:r w:rsidRPr="00A109AE">
        <w:rPr>
          <w:vertAlign w:val="superscript"/>
        </w:rPr>
        <w:t>o</w:t>
      </w:r>
      <w:r w:rsidRPr="00A109AE">
        <w:t> 6866/2012 expirait le 31 décembre 2012.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13</w:t>
      </w:r>
      <w:r w:rsidRPr="00A109AE">
        <w:fldChar w:fldCharType="end"/>
      </w:r>
      <w:r w:rsidRPr="00A109AE">
        <w:t>.  Le 3 juillet 2012, le club nautique saisit à nouveau le Conseil d</w:t>
      </w:r>
      <w:r w:rsidRPr="00A109AE" w:rsidR="00A109AE">
        <w:t>’</w:t>
      </w:r>
      <w:r w:rsidRPr="00A109AE">
        <w:t>État d</w:t>
      </w:r>
      <w:r w:rsidRPr="00A109AE" w:rsidR="00A109AE">
        <w:t>’</w:t>
      </w:r>
      <w:r w:rsidRPr="00A109AE">
        <w:t>un recours en annulation, dirigé cette fois contre la décision n</w:t>
      </w:r>
      <w:r w:rsidRPr="00A109AE">
        <w:rPr>
          <w:vertAlign w:val="superscript"/>
        </w:rPr>
        <w:t>o</w:t>
      </w:r>
      <w:r w:rsidRPr="00A109AE">
        <w:t> 6866/2012. Afin d</w:t>
      </w:r>
      <w:r w:rsidRPr="00A109AE" w:rsidR="00A109AE">
        <w:t>’</w:t>
      </w:r>
      <w:r w:rsidRPr="00A109AE">
        <w:t>éviter le prononcé d</w:t>
      </w:r>
      <w:r w:rsidRPr="00A109AE" w:rsidR="00A109AE">
        <w:t>’</w:t>
      </w:r>
      <w:r w:rsidRPr="00A109AE">
        <w:t>un non-lieu à statuer (</w:t>
      </w:r>
      <w:r w:rsidRPr="00A109AE">
        <w:rPr>
          <w:i/>
          <w:iCs/>
          <w:lang w:val="el-GR"/>
        </w:rPr>
        <w:t>κατάργηση</w:t>
      </w:r>
      <w:r w:rsidRPr="00A109AE">
        <w:rPr>
          <w:i/>
          <w:iCs/>
        </w:rPr>
        <w:t xml:space="preserve"> </w:t>
      </w:r>
      <w:r w:rsidRPr="00A109AE">
        <w:rPr>
          <w:i/>
          <w:iCs/>
          <w:lang w:val="el-GR"/>
        </w:rPr>
        <w:t>της</w:t>
      </w:r>
      <w:r w:rsidRPr="00A109AE">
        <w:rPr>
          <w:i/>
          <w:iCs/>
        </w:rPr>
        <w:t xml:space="preserve"> </w:t>
      </w:r>
      <w:r w:rsidRPr="00A109AE">
        <w:rPr>
          <w:i/>
          <w:iCs/>
          <w:lang w:val="el-GR"/>
        </w:rPr>
        <w:t>δίκης</w:t>
      </w:r>
      <w:r w:rsidRPr="00A109AE">
        <w:rPr>
          <w:iCs/>
        </w:rPr>
        <w:t xml:space="preserve">) </w:t>
      </w:r>
      <w:r w:rsidRPr="00A109AE">
        <w:t>dans la première procédure, engagée le 27 octobre 2010, à raison de l</w:t>
      </w:r>
      <w:r w:rsidRPr="00A109AE" w:rsidR="00A109AE">
        <w:t>’</w:t>
      </w:r>
      <w:r w:rsidRPr="00A109AE">
        <w:t>adoption de la nouvelle décision ministérielle en remplacement de la décision n</w:t>
      </w:r>
      <w:r w:rsidRPr="00A109AE">
        <w:rPr>
          <w:vertAlign w:val="superscript"/>
        </w:rPr>
        <w:t>o</w:t>
      </w:r>
      <w:r w:rsidRPr="00A109AE">
        <w:t> 98051/2010, le club nautique exprima expressément son intérêt pour la poursuite de cette procédure (article 32 § 3 du décret n</w:t>
      </w:r>
      <w:r w:rsidRPr="00A109AE">
        <w:rPr>
          <w:vertAlign w:val="superscript"/>
        </w:rPr>
        <w:t>o</w:t>
      </w:r>
      <w:r w:rsidRPr="00A109AE">
        <w:t> 18/1989</w:t>
      </w:r>
      <w:r w:rsidRPr="00A109AE" w:rsidR="00F11CE7">
        <w:t xml:space="preserve"> – paragraphe 34 ci-dessous)</w:t>
      </w:r>
      <w:r w:rsidRPr="00A109AE">
        <w:t>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14</w:t>
      </w:r>
      <w:r w:rsidRPr="00A109AE">
        <w:fldChar w:fldCharType="end"/>
      </w:r>
      <w:r w:rsidRPr="00A109AE">
        <w:t>.  Le 17 septembre 2012, le club nautique introduisit devant le Conseil d</w:t>
      </w:r>
      <w:r w:rsidRPr="00A109AE" w:rsidR="00A109AE">
        <w:t>’</w:t>
      </w:r>
      <w:r w:rsidRPr="00A109AE">
        <w:t>État une demande par laquelle il sollicitait la fixation, en priorité, avant le 31 décembre 2012, de l</w:t>
      </w:r>
      <w:r w:rsidRPr="00A109AE" w:rsidR="00A109AE">
        <w:t>’</w:t>
      </w:r>
      <w:r w:rsidRPr="00A109AE">
        <w:t>audience relative au recours introduit le 3 juillet 2012.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15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audience, initialement fixée au 5 décembre 2012, fut ajournée d</w:t>
      </w:r>
      <w:r w:rsidRPr="00A109AE" w:rsidR="00A109AE">
        <w:t>’</w:t>
      </w:r>
      <w:r w:rsidRPr="00A109AE">
        <w:t>office (paragraphe 22 ci-dessous).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16</w:t>
      </w:r>
      <w:r w:rsidRPr="00A109AE">
        <w:fldChar w:fldCharType="end"/>
      </w:r>
      <w:r w:rsidRPr="00A109AE">
        <w:t>.  Avant la fin de l</w:t>
      </w:r>
      <w:r w:rsidRPr="00A109AE" w:rsidR="00A109AE">
        <w:t>’</w:t>
      </w:r>
      <w:r w:rsidRPr="00A109AE">
        <w:t xml:space="preserve">année 2012, la société « marina Porto </w:t>
      </w:r>
      <w:proofErr w:type="spellStart"/>
      <w:r w:rsidRPr="00A109AE">
        <w:t>Karras</w:t>
      </w:r>
      <w:proofErr w:type="spellEnd"/>
      <w:r w:rsidRPr="00A109AE">
        <w:t> » soumit une nouvelle liste de tarification, augmentant encore le montant des droits d</w:t>
      </w:r>
      <w:r w:rsidRPr="00A109AE" w:rsidR="00A109AE">
        <w:t>’</w:t>
      </w:r>
      <w:r w:rsidRPr="00A109AE">
        <w:t>ancrage et de mouillage. Le ministre du Tourisme approuva cette liste par la décision n</w:t>
      </w:r>
      <w:r w:rsidRPr="00A109AE">
        <w:rPr>
          <w:vertAlign w:val="superscript"/>
        </w:rPr>
        <w:t>o</w:t>
      </w:r>
      <w:r w:rsidRPr="00A109AE">
        <w:t> 18268/2012 du 27 décembre 2012 (prise sur le fondement de l</w:t>
      </w:r>
      <w:r w:rsidRPr="00A109AE" w:rsidR="00A109AE">
        <w:t>’</w:t>
      </w:r>
      <w:r w:rsidRPr="00A109AE">
        <w:t>article 31 de la loi n</w:t>
      </w:r>
      <w:r w:rsidRPr="00A109AE">
        <w:rPr>
          <w:vertAlign w:val="superscript"/>
        </w:rPr>
        <w:t>o</w:t>
      </w:r>
      <w:r w:rsidRPr="00A109AE">
        <w:t xml:space="preserve"> 2160/1993), venue remplacer la décision n</w:t>
      </w:r>
      <w:r w:rsidRPr="00A109AE">
        <w:rPr>
          <w:vertAlign w:val="superscript"/>
        </w:rPr>
        <w:t>o</w:t>
      </w:r>
      <w:r w:rsidRPr="00A109AE">
        <w:t> 6866/2012. La validité de la nouvelle décision expirait le 31 décembre 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17</w:t>
      </w:r>
      <w:r w:rsidRPr="00A109AE">
        <w:fldChar w:fldCharType="end"/>
      </w:r>
      <w:r w:rsidRPr="00A109AE">
        <w:t>.  Afin d</w:t>
      </w:r>
      <w:r w:rsidRPr="00A109AE" w:rsidR="00A109AE">
        <w:t>’</w:t>
      </w:r>
      <w:r w:rsidRPr="00A109AE">
        <w:t>éviter qu</w:t>
      </w:r>
      <w:r w:rsidRPr="00A109AE" w:rsidR="00A109AE">
        <w:t>’</w:t>
      </w:r>
      <w:r w:rsidRPr="00A109AE">
        <w:t>un non-lieu à statuer fût prononcé dans la première procédure (engagée le 27 octobre 2010) à raison de l</w:t>
      </w:r>
      <w:r w:rsidRPr="00A109AE" w:rsidR="00A109AE">
        <w:t>’</w:t>
      </w:r>
      <w:r w:rsidRPr="00A109AE">
        <w:t>adoption d</w:t>
      </w:r>
      <w:r w:rsidRPr="00A109AE" w:rsidR="00A109AE">
        <w:t>’</w:t>
      </w:r>
      <w:r w:rsidRPr="00A109AE">
        <w:t>une nouvelle décision ministérielle en remplacement de la décision attaquée dans le cadre de la deuxième procédure, le club nautique exprima, par écrit et sur le fondement de l</w:t>
      </w:r>
      <w:r w:rsidRPr="00A109AE" w:rsidR="00A109AE">
        <w:t>’</w:t>
      </w:r>
      <w:r w:rsidRPr="00A109AE">
        <w:t>article 32 § 3 du décret n</w:t>
      </w:r>
      <w:r w:rsidRPr="00A109AE">
        <w:rPr>
          <w:vertAlign w:val="superscript"/>
        </w:rPr>
        <w:t>o</w:t>
      </w:r>
      <w:r w:rsidRPr="00A109AE">
        <w:t> 18/1989, son intérêt pour la poursuite de la deuxième procédure.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18</w:t>
      </w:r>
      <w:r w:rsidRPr="00A109AE">
        <w:fldChar w:fldCharType="end"/>
      </w:r>
      <w:r w:rsidRPr="00A109AE">
        <w:t>.  Le 8 août 2013, la loi n</w:t>
      </w:r>
      <w:r w:rsidRPr="00A109AE">
        <w:rPr>
          <w:vertAlign w:val="superscript"/>
        </w:rPr>
        <w:t>o</w:t>
      </w:r>
      <w:r w:rsidRPr="00A109AE">
        <w:t xml:space="preserve"> 4179/2013 (article 11 § 4) supprima l</w:t>
      </w:r>
      <w:r w:rsidRPr="00A109AE" w:rsidR="00A109AE">
        <w:t>’</w:t>
      </w:r>
      <w:r w:rsidRPr="00A109AE">
        <w:t>obligation de l</w:t>
      </w:r>
      <w:r w:rsidRPr="00A109AE" w:rsidR="00A109AE">
        <w:t>’</w:t>
      </w:r>
      <w:r w:rsidRPr="00A109AE">
        <w:t>approbation des listes de tarification par une décision ministérielle et établit la simple notification de ces listes au ministère du Tourisme. Puis, en 2014, la loi n</w:t>
      </w:r>
      <w:r w:rsidRPr="00A109AE">
        <w:rPr>
          <w:vertAlign w:val="superscript"/>
        </w:rPr>
        <w:t>o</w:t>
      </w:r>
      <w:r w:rsidRPr="00A109AE">
        <w:t> 4254/2014 (article 1 § 6, alinéa F, 6 b)) supprima toute obligation de notification et d</w:t>
      </w:r>
      <w:r w:rsidRPr="00A109AE" w:rsidR="00A109AE">
        <w:t>’</w:t>
      </w:r>
      <w:r w:rsidRPr="00A109AE">
        <w:t>approbation par le ministère du Tourisme des listes de tarification. Le rapport explicatif de cette loi précisait que les dispositions relatives à la communication des montants des droits de mouillage au ministère et à leur approbation par le ministre devaient être supprimées car elles renforçaient la rigidité des prix, ne permettaient pas leur fluctuation en fonction des besoins et portaient atteinte à la concurrence.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19</w:t>
      </w:r>
      <w:r w:rsidRPr="00A109AE">
        <w:fldChar w:fldCharType="end"/>
      </w:r>
      <w:r w:rsidRPr="00A109AE">
        <w:t>.  Le 24 novembre 2014, le premier requérant déposa, sur le fondement des paragraphes 2 et 3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 xml:space="preserve"> 18/1989, une demande écrite de poursuite de la procédure en ce qui concernait le deuxième recours en annulation, introduit le 3 juillet 2012. Sous l</w:t>
      </w:r>
      <w:r w:rsidRPr="00A109AE" w:rsidR="00A109AE">
        <w:t>’</w:t>
      </w:r>
      <w:r w:rsidRPr="00A109AE">
        <w:t>angle du paragraphe 2 de l</w:t>
      </w:r>
      <w:r w:rsidRPr="00A109AE" w:rsidR="00A109AE">
        <w:t>’</w:t>
      </w:r>
      <w:r w:rsidRPr="00A109AE">
        <w:t>article 32 dudit décret, le club nautique soutenait que l</w:t>
      </w:r>
      <w:r w:rsidRPr="00A109AE" w:rsidR="00A109AE">
        <w:t>’</w:t>
      </w:r>
      <w:r w:rsidRPr="00A109AE">
        <w:t>acte contesté continuait à produire des effets préjudiciables pour ses membres car, selon lui, il privait ces derniers du droit d</w:t>
      </w:r>
      <w:r w:rsidRPr="00A109AE" w:rsidR="00A109AE">
        <w:t>’</w:t>
      </w:r>
      <w:r w:rsidRPr="00A109AE">
        <w:t>utiliser une marina qui appartenait à l</w:t>
      </w:r>
      <w:r w:rsidRPr="00A109AE" w:rsidR="00A109AE">
        <w:t>’</w:t>
      </w:r>
      <w:r w:rsidRPr="00A109AE">
        <w:t>État et portait atteinte à leur droit à la personnalité (article 57 du code civil). Il tirait aussi argument de l</w:t>
      </w:r>
      <w:r w:rsidRPr="00A109AE" w:rsidR="00A109AE">
        <w:t>’</w:t>
      </w:r>
      <w:r w:rsidRPr="00A109AE">
        <w:t xml:space="preserve">enrichissement sans cause de la société « marina Porto </w:t>
      </w:r>
      <w:proofErr w:type="spellStart"/>
      <w:r w:rsidRPr="00A109AE">
        <w:t>Karras</w:t>
      </w:r>
      <w:proofErr w:type="spellEnd"/>
      <w:r w:rsidRPr="00A109AE">
        <w:t> » aux dépens de ses membres. Enfin, il plaidait que l</w:t>
      </w:r>
      <w:r w:rsidRPr="00A109AE" w:rsidR="00A109AE">
        <w:t>’</w:t>
      </w:r>
      <w:r w:rsidRPr="00A109AE">
        <w:t>acte contesté constituerait une base légale pour l</w:t>
      </w:r>
      <w:r w:rsidRPr="00A109AE" w:rsidR="00A109AE">
        <w:t>’</w:t>
      </w:r>
      <w:r w:rsidRPr="00A109AE">
        <w:t>émission d</w:t>
      </w:r>
      <w:r w:rsidRPr="00A109AE" w:rsidR="00A109AE">
        <w:t>’</w:t>
      </w:r>
      <w:r w:rsidRPr="00A109AE">
        <w:t>autres actes portant réajustement des droits de mouillage. Sous l</w:t>
      </w:r>
      <w:r w:rsidRPr="00A109AE" w:rsidR="00A109AE">
        <w:t>’</w:t>
      </w:r>
      <w:r w:rsidRPr="00A109AE">
        <w:t>angle du paragraphe 3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> 18/1989, le club nautique indiquait que, après la fin de validité de la décision n</w:t>
      </w:r>
      <w:r w:rsidRPr="00A109AE">
        <w:rPr>
          <w:vertAlign w:val="superscript"/>
        </w:rPr>
        <w:t>o</w:t>
      </w:r>
      <w:r w:rsidRPr="00A109AE">
        <w:t> 6866/2012, une nouvelle décision ministérielle, n</w:t>
      </w:r>
      <w:r w:rsidRPr="00A109AE">
        <w:rPr>
          <w:vertAlign w:val="superscript"/>
        </w:rPr>
        <w:t>o</w:t>
      </w:r>
      <w:r w:rsidRPr="00A109AE">
        <w:t xml:space="preserve"> 18268/2012, avait été prise, qui, à ses dires, avait les mêmes contenu et effets préjudiciables que la précédente.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20</w:t>
      </w:r>
      <w:r w:rsidRPr="00A109AE">
        <w:fldChar w:fldCharType="end"/>
      </w:r>
      <w:r w:rsidRPr="00A109AE">
        <w:t xml:space="preserve">.  En 2014 et en 2015, la société « marina Porto </w:t>
      </w:r>
      <w:proofErr w:type="spellStart"/>
      <w:r w:rsidRPr="00A109AE">
        <w:t>Karras</w:t>
      </w:r>
      <w:proofErr w:type="spellEnd"/>
      <w:r w:rsidRPr="00A109AE">
        <w:t> » établit de nouvelles listes de tarification pour l</w:t>
      </w:r>
      <w:r w:rsidRPr="00A109AE" w:rsidR="00A109AE">
        <w:t>’</w:t>
      </w:r>
      <w:r w:rsidRPr="00A109AE">
        <w:t>année 2015 et l</w:t>
      </w:r>
      <w:r w:rsidRPr="00A109AE" w:rsidR="00A109AE">
        <w:t>’</w:t>
      </w:r>
      <w:r w:rsidRPr="00A109AE">
        <w:t>année 2016, respectivement.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21</w:t>
      </w:r>
      <w:r w:rsidRPr="00A109AE">
        <w:fldChar w:fldCharType="end"/>
      </w:r>
      <w:r w:rsidRPr="00A109AE">
        <w:t>.  Le 10 novembre 2016, alors que les procédures étaient pendantes devant le Conseil d</w:t>
      </w:r>
      <w:r w:rsidRPr="00A109AE" w:rsidR="00A109AE">
        <w:t>’</w:t>
      </w:r>
      <w:r w:rsidRPr="00A109AE">
        <w:t>État et les lois n</w:t>
      </w:r>
      <w:r w:rsidRPr="00A109AE">
        <w:rPr>
          <w:vertAlign w:val="superscript"/>
        </w:rPr>
        <w:t>o</w:t>
      </w:r>
      <w:r w:rsidRPr="00A109AE">
        <w:t xml:space="preserve"> 4179/2013 et n</w:t>
      </w:r>
      <w:r w:rsidRPr="00A109AE">
        <w:rPr>
          <w:vertAlign w:val="superscript"/>
        </w:rPr>
        <w:t>o</w:t>
      </w:r>
      <w:r w:rsidRPr="00A109AE">
        <w:t> 4254/2014 entrées en vigueur, le premier requérant déposa auprès du Conseil d</w:t>
      </w:r>
      <w:r w:rsidRPr="00A109AE" w:rsidR="00A109AE">
        <w:t>’</w:t>
      </w:r>
      <w:r w:rsidRPr="00A109AE">
        <w:t>État deux nouveaux mémoires dans lesquels, entre autres, il invitait cette haute juridiction, sur le fondement du paragraphe 3 de l</w:t>
      </w:r>
      <w:r w:rsidRPr="00A109AE" w:rsidR="00A109AE">
        <w:t>’</w:t>
      </w:r>
      <w:r w:rsidRPr="00A109AE">
        <w:t>article 32 précité, à poursuivre l</w:t>
      </w:r>
      <w:r w:rsidRPr="00A109AE" w:rsidR="00A109AE">
        <w:t>’</w:t>
      </w:r>
      <w:r w:rsidRPr="00A109AE">
        <w:t>examen des deux recours : il exposait que les décisions ministérielles attaquées continuaient à produire des effets et estimait que le Conseil d</w:t>
      </w:r>
      <w:r w:rsidRPr="00A109AE" w:rsidR="00A109AE">
        <w:t>’</w:t>
      </w:r>
      <w:r w:rsidRPr="00A109AE">
        <w:t>État devait se prononcer sur le fond, en dépit de l</w:t>
      </w:r>
      <w:r w:rsidRPr="00A109AE" w:rsidR="00A109AE">
        <w:t>’</w:t>
      </w:r>
      <w:r w:rsidRPr="00A109AE">
        <w:t>entrée en vigueur de ces lois, qui, à ses yeux, scellaient en quelque sorte le sort des procédures.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22</w:t>
      </w:r>
      <w:r w:rsidRPr="00A109AE">
        <w:fldChar w:fldCharType="end"/>
      </w:r>
      <w:r w:rsidRPr="00A109AE">
        <w:t>.  Dans le cadre de la première procédure (engagée le 27 octobre 2010), l</w:t>
      </w:r>
      <w:r w:rsidRPr="00A109AE" w:rsidR="00A109AE">
        <w:t>’</w:t>
      </w:r>
      <w:r w:rsidRPr="00A109AE">
        <w:t>audience, fixée d</w:t>
      </w:r>
      <w:r w:rsidRPr="00A109AE" w:rsidR="00A109AE">
        <w:t>’</w:t>
      </w:r>
      <w:r w:rsidRPr="00A109AE">
        <w:t>abord au 11 mai 2011, fut reportée, en raison d</w:t>
      </w:r>
      <w:r w:rsidRPr="00A109AE" w:rsidR="00A109AE">
        <w:t>’</w:t>
      </w:r>
      <w:r w:rsidRPr="00A109AE">
        <w:t>une grève des avocats, au 2 novembre 2011, puis aux 7 mars, 4 avril, 24 octobre et 5 décembre 2012, aux 27 mars et 2 octobre 2013, aux 29 janvier, 14 mai (ajournement d</w:t>
      </w:r>
      <w:r w:rsidRPr="00A109AE" w:rsidR="00A109AE">
        <w:t>’</w:t>
      </w:r>
      <w:r w:rsidRPr="00A109AE">
        <w:t>audience motivé, cette fois-là, par les élections législatives) et 3 décembre 2014, aux 22 avril, 30 septembre et 16 décembre 2015, et aux 13 avril, 8 juin et 19 octobre 2016. Elle eut lieu le 2 novembre 2016.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23</w:t>
      </w:r>
      <w:r w:rsidRPr="00A109AE">
        <w:fldChar w:fldCharType="end"/>
      </w:r>
      <w:r w:rsidRPr="00A109AE">
        <w:t>.  Dans le cadre de la deuxième procédure (engagée le 3 juillet 2012), l</w:t>
      </w:r>
      <w:r w:rsidRPr="00A109AE" w:rsidR="00A109AE">
        <w:t>’</w:t>
      </w:r>
      <w:r w:rsidRPr="00A109AE">
        <w:t>audience, initialement prévue au 5 décembre 2012, fut ajournée, également en raison de la grève des avocats, aux dates suivantes : les 27 mars et 2 octobre 2013 ; les 29 janvier, 15 mai (report d</w:t>
      </w:r>
      <w:r w:rsidRPr="00A109AE" w:rsidR="00A109AE">
        <w:t>’</w:t>
      </w:r>
      <w:r w:rsidRPr="00A109AE">
        <w:t>audience motivé, cette fois</w:t>
      </w:r>
      <w:r w:rsidRPr="00A109AE">
        <w:noBreakHyphen/>
        <w:t>là, par les élections législatives) et 3 décembre 2014 ; les 22 avril, 30 septembre et 16 décembre 2015 ; et les 13 avril, 8 juin et 19 octobre 2016. Cette audience eut également lieu le 2 novembre 2016.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24</w:t>
      </w:r>
      <w:r w:rsidRPr="00A109AE">
        <w:fldChar w:fldCharType="end"/>
      </w:r>
      <w:r w:rsidRPr="00A109AE">
        <w:t xml:space="preserve">.  Par deux arrêts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1216/2017 et 1217/2017, rendus le 3 mai 2017 (mis au net et certifiés conformes le 17 août 2017), le Conseil d</w:t>
      </w:r>
      <w:r w:rsidRPr="00A109AE" w:rsidR="00A109AE">
        <w:t>’</w:t>
      </w:r>
      <w:r w:rsidRPr="00A109AE">
        <w:t>État prononça le non-lieu à statuer dans les procédures introduites par le club nautique, estimant que celles-ci étaient sa</w:t>
      </w:r>
      <w:r w:rsidRPr="00A109AE" w:rsidR="00A109AE">
        <w:t>ns objet : il releva que la loi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4254/2014 avait supprimé l</w:t>
      </w:r>
      <w:r w:rsidRPr="00A109AE" w:rsidR="00A109AE">
        <w:t>’</w:t>
      </w:r>
      <w:r w:rsidRPr="00A109AE">
        <w:t>obligation de faire approuver les listes de tarification par une décision du ministre du Tourisme et que la validité des décisions n</w:t>
      </w:r>
      <w:r w:rsidRPr="00A109AE">
        <w:rPr>
          <w:vertAlign w:val="superscript"/>
        </w:rPr>
        <w:t>o</w:t>
      </w:r>
      <w:r w:rsidRPr="00A109AE">
        <w:t> 9051/2010, n</w:t>
      </w:r>
      <w:r w:rsidRPr="00A109AE">
        <w:rPr>
          <w:vertAlign w:val="superscript"/>
        </w:rPr>
        <w:t>o</w:t>
      </w:r>
      <w:r w:rsidRPr="00A109AE">
        <w:t> 6866/2012 et n</w:t>
      </w:r>
      <w:r w:rsidRPr="00A109AE">
        <w:rPr>
          <w:vertAlign w:val="superscript"/>
        </w:rPr>
        <w:t>o</w:t>
      </w:r>
      <w:r w:rsidRPr="00A109AE">
        <w:t> 18268/2012 avait cessé, respectivement le 31 décembre 2011, le 31 décembre 2012 et le 31 décembre 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25</w:t>
      </w:r>
      <w:r w:rsidRPr="00A109AE">
        <w:fldChar w:fldCharType="end"/>
      </w:r>
      <w:r w:rsidRPr="00A109AE">
        <w:t>.  Dans son arrêt n</w:t>
      </w:r>
      <w:r w:rsidRPr="00A109AE">
        <w:rPr>
          <w:vertAlign w:val="superscript"/>
        </w:rPr>
        <w:t>o</w:t>
      </w:r>
      <w:r w:rsidRPr="00A109AE">
        <w:t xml:space="preserve"> 1216/2017, le Conseil d</w:t>
      </w:r>
      <w:r w:rsidRPr="00A109AE" w:rsidR="00A109AE">
        <w:t>’</w:t>
      </w:r>
      <w:r w:rsidRPr="00A109AE">
        <w:t>État considéra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y avait pas lieu de poursuivre la procédure relative au recours introduit contre la décision ministérielle n</w:t>
      </w:r>
      <w:r w:rsidRPr="00A109AE">
        <w:rPr>
          <w:vertAlign w:val="superscript"/>
        </w:rPr>
        <w:t>o</w:t>
      </w:r>
      <w:r w:rsidRPr="00A109AE">
        <w:t xml:space="preserve">  9051/2010, en application du paragraphe 2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> 18/1989, au motif que le club nautique ne s</w:t>
      </w:r>
      <w:r w:rsidRPr="00A109AE" w:rsidR="00A109AE">
        <w:t>’</w:t>
      </w:r>
      <w:r w:rsidRPr="00A109AE">
        <w:t>était pas prévalu, pas même oralement à l</w:t>
      </w:r>
      <w:r w:rsidRPr="00A109AE" w:rsidR="00A109AE">
        <w:t>’</w:t>
      </w:r>
      <w:r w:rsidRPr="00A109AE">
        <w:t>audience, de l</w:t>
      </w:r>
      <w:r w:rsidRPr="00A109AE" w:rsidR="00A109AE">
        <w:t>’</w:t>
      </w:r>
      <w:r w:rsidRPr="00A109AE">
        <w:t>existence d</w:t>
      </w:r>
      <w:r w:rsidRPr="00A109AE" w:rsidR="00A109AE">
        <w:t>’</w:t>
      </w:r>
      <w:r w:rsidRPr="00A109AE">
        <w:t>un intérêt légal particulier. En outre, il déclara que le paragraphe 3 de l</w:t>
      </w:r>
      <w:r w:rsidRPr="00A109AE" w:rsidR="00A109AE">
        <w:t>’</w:t>
      </w:r>
      <w:r w:rsidRPr="00A109AE">
        <w:t>article 32 du même décret ne trouvait pas à s</w:t>
      </w:r>
      <w:r w:rsidRPr="00A109AE" w:rsidR="00A109AE">
        <w:t>’</w:t>
      </w:r>
      <w:r w:rsidRPr="00A109AE">
        <w:t>appliquer car le club nautique avait introduit un recours autonome contre la décision ministérielle n</w:t>
      </w:r>
      <w:r w:rsidRPr="00A109AE">
        <w:rPr>
          <w:vertAlign w:val="superscript"/>
        </w:rPr>
        <w:t>o</w:t>
      </w:r>
      <w:r w:rsidRPr="00A109AE">
        <w:t xml:space="preserve"> 6866/2012.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26</w:t>
      </w:r>
      <w:r w:rsidRPr="00A109AE">
        <w:fldChar w:fldCharType="end"/>
      </w:r>
      <w:r w:rsidRPr="00A109AE">
        <w:t>.  Dans son arrêt n</w:t>
      </w:r>
      <w:r w:rsidRPr="00A109AE">
        <w:rPr>
          <w:vertAlign w:val="superscript"/>
        </w:rPr>
        <w:t>o</w:t>
      </w:r>
      <w:r w:rsidRPr="00A109AE">
        <w:t xml:space="preserve"> 1217/2017, le Conseil d</w:t>
      </w:r>
      <w:r w:rsidRPr="00A109AE" w:rsidR="00A109AE">
        <w:t>’</w:t>
      </w:r>
      <w:r w:rsidRPr="00A109AE">
        <w:t>État estima que le premier requérant ne pouvait pas se prévaloir d</w:t>
      </w:r>
      <w:r w:rsidRPr="00A109AE" w:rsidR="00A109AE">
        <w:t>’</w:t>
      </w:r>
      <w:r w:rsidRPr="00A109AE">
        <w:t>un intérêt légal justifiant la poursuite de la procédure (en application de l</w:t>
      </w:r>
      <w:r w:rsidRPr="00A109AE" w:rsidR="00A109AE">
        <w:t>’</w:t>
      </w:r>
      <w:r w:rsidRPr="00A109AE">
        <w:t>article 32 § 2 du décret n</w:t>
      </w:r>
      <w:r w:rsidRPr="00A109AE">
        <w:rPr>
          <w:vertAlign w:val="superscript"/>
        </w:rPr>
        <w:t>o</w:t>
      </w:r>
      <w:r w:rsidRPr="00A109AE">
        <w:t xml:space="preserve"> 18/1989) pour les motifs suivants : d</w:t>
      </w:r>
      <w:r w:rsidRPr="00A109AE" w:rsidR="00A109AE">
        <w:t>’</w:t>
      </w:r>
      <w:r w:rsidRPr="00A109AE">
        <w:t>une part, la privation du droit constitutionnel des membres du club nautique d</w:t>
      </w:r>
      <w:r w:rsidRPr="00A109AE" w:rsidR="00A109AE">
        <w:t>’</w:t>
      </w:r>
      <w:r w:rsidRPr="00A109AE">
        <w:t>utiliser un bien public (en l</w:t>
      </w:r>
      <w:r w:rsidRPr="00A109AE" w:rsidR="00A109AE">
        <w:t>’</w:t>
      </w:r>
      <w:r w:rsidRPr="00A109AE">
        <w:t>occurrence une marina appartenant à l</w:t>
      </w:r>
      <w:r w:rsidRPr="00A109AE" w:rsidR="00A109AE">
        <w:t>’</w:t>
      </w:r>
      <w:r w:rsidRPr="00A109AE">
        <w:t>État) destiné à l</w:t>
      </w:r>
      <w:r w:rsidRPr="00A109AE" w:rsidR="00A109AE">
        <w:t>’</w:t>
      </w:r>
      <w:r w:rsidRPr="00A109AE">
        <w:t>usage commun et l</w:t>
      </w:r>
      <w:r w:rsidRPr="00A109AE" w:rsidR="00A109AE">
        <w:t>’</w:t>
      </w:r>
      <w:r w:rsidRPr="00A109AE">
        <w:t>atteinte au droit à la personnalité (article 5 de la Constitution et article 57 du code civil) dénoncées par ledit club ne concernaient pas les effets d</w:t>
      </w:r>
      <w:r w:rsidRPr="00A109AE" w:rsidR="00A109AE">
        <w:t>’</w:t>
      </w:r>
      <w:r w:rsidRPr="00A109AE">
        <w:t>ordre administratif des décisions ministérielles contestées ; d</w:t>
      </w:r>
      <w:r w:rsidRPr="00A109AE" w:rsidR="00A109AE">
        <w:t>’</w:t>
      </w:r>
      <w:r w:rsidRPr="00A109AE">
        <w:t>autre part, l</w:t>
      </w:r>
      <w:r w:rsidRPr="00A109AE" w:rsidR="00A109AE">
        <w:t>’</w:t>
      </w:r>
      <w:r w:rsidRPr="00A109AE">
        <w:t xml:space="preserve">enrichissement sans cause allégué de la société « marina Porto </w:t>
      </w:r>
      <w:proofErr w:type="spellStart"/>
      <w:r w:rsidRPr="00A109AE">
        <w:t>Karras</w:t>
      </w:r>
      <w:proofErr w:type="spellEnd"/>
      <w:r w:rsidRPr="00A109AE">
        <w:t> », les éventuelles prétentions que l</w:t>
      </w:r>
      <w:r w:rsidRPr="00A109AE" w:rsidR="00A109AE">
        <w:t>’</w:t>
      </w:r>
      <w:r w:rsidRPr="00A109AE">
        <w:t>État pourrait formuler à l</w:t>
      </w:r>
      <w:r w:rsidRPr="00A109AE" w:rsidR="00A109AE">
        <w:t>’</w:t>
      </w:r>
      <w:r w:rsidRPr="00A109AE">
        <w:t>avenir en vue de contraindre le club nautique à lui verser à nouveau des droits de mouillage et l</w:t>
      </w:r>
      <w:r w:rsidRPr="00A109AE" w:rsidR="00A109AE">
        <w:t>’</w:t>
      </w:r>
      <w:r w:rsidRPr="00A109AE">
        <w:t>impact du non-lieu à statuer sur les procédures civiles introduites par la société contre les membres du club nautique pour non-paiement des droits étaient des questions de nature économique qui pouvaient être soumises aux juridictions civiles, lesquelles avaient compétence pour examiner de manière incidente la légalité des décisions ministérielles.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27</w:t>
      </w:r>
      <w:r w:rsidRPr="00A109AE">
        <w:fldChar w:fldCharType="end"/>
      </w:r>
      <w:r w:rsidRPr="00A109AE">
        <w:t>.  Sur le terrain du paragraphe 3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> 18/1989, le Conseil d</w:t>
      </w:r>
      <w:r w:rsidRPr="00A109AE" w:rsidR="00A109AE">
        <w:t>’</w:t>
      </w:r>
      <w:r w:rsidRPr="00A109AE">
        <w:t>État releva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était plus nécessaire de poursuivre la procédure (du fait que la décision ministérielle n</w:t>
      </w:r>
      <w:r w:rsidRPr="00A109AE">
        <w:rPr>
          <w:vertAlign w:val="superscript"/>
        </w:rPr>
        <w:t>o</w:t>
      </w:r>
      <w:r w:rsidRPr="00A109AE">
        <w:t> 18268/2012 avait remplacé la décision n</w:t>
      </w:r>
      <w:r w:rsidRPr="00A109AE">
        <w:rPr>
          <w:vertAlign w:val="superscript"/>
        </w:rPr>
        <w:t>o</w:t>
      </w:r>
      <w:r w:rsidRPr="00A109AE">
        <w:t> 6686/2012) en raison de la</w:t>
      </w:r>
      <w:r w:rsidRPr="00A109AE" w:rsidR="00A109AE">
        <w:t xml:space="preserve"> fin de validité de la décision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18268/2012, survenue dans l</w:t>
      </w:r>
      <w:r w:rsidRPr="00A109AE" w:rsidR="00A109AE">
        <w:t>’</w:t>
      </w:r>
      <w:r w:rsidRPr="00A109AE">
        <w:t>intervalle, en 2014, et de l</w:t>
      </w:r>
      <w:r w:rsidRPr="00A109AE" w:rsidR="00A109AE">
        <w:t>’</w:t>
      </w:r>
      <w:r w:rsidRPr="00A109AE">
        <w:t>entrée en vigueur de la loi n</w:t>
      </w:r>
      <w:r w:rsidRPr="00A109AE">
        <w:rPr>
          <w:vertAlign w:val="superscript"/>
        </w:rPr>
        <w:t>o</w:t>
      </w:r>
      <w:r w:rsidRPr="00A109AE">
        <w:t> 4254/2014.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28</w:t>
      </w:r>
      <w:r w:rsidRPr="00A109AE">
        <w:fldChar w:fldCharType="end"/>
      </w:r>
      <w:r w:rsidRPr="00A109AE">
        <w:t>.  Enfin, le Conseil d</w:t>
      </w:r>
      <w:r w:rsidRPr="00A109AE" w:rsidR="00A109AE">
        <w:t>’</w:t>
      </w:r>
      <w:r w:rsidRPr="00A109AE">
        <w:t>État jugea aussi que les dispositions pertinentes en la matière des lois n</w:t>
      </w:r>
      <w:r w:rsidRPr="00A109AE">
        <w:rPr>
          <w:vertAlign w:val="superscript"/>
        </w:rPr>
        <w:t>o</w:t>
      </w:r>
      <w:r w:rsidRPr="00A109AE">
        <w:t xml:space="preserve"> 4179/2013 et n</w:t>
      </w:r>
      <w:r w:rsidRPr="00A109AE">
        <w:rPr>
          <w:vertAlign w:val="superscript"/>
        </w:rPr>
        <w:t>o</w:t>
      </w:r>
      <w:r w:rsidRPr="00A109AE">
        <w:t> 4254/2014 n</w:t>
      </w:r>
      <w:r w:rsidRPr="00A109AE" w:rsidR="00A109AE">
        <w:t>’</w:t>
      </w:r>
      <w:r w:rsidRPr="00A109AE">
        <w:t>étaient pas contraires à la Constitution, notamment à ses articles 4 (égalité devant la loi) et 20 § 1 (droit d</w:t>
      </w:r>
      <w:r w:rsidRPr="00A109AE" w:rsidR="00A109AE">
        <w:t>’</w:t>
      </w:r>
      <w:r w:rsidRPr="00A109AE">
        <w:t>accès à un tribunal) car elles n</w:t>
      </w:r>
      <w:r w:rsidRPr="00A109AE" w:rsidR="00A109AE">
        <w:t>’</w:t>
      </w:r>
      <w:r w:rsidRPr="00A109AE">
        <w:t>entérinaient ni ne supprimaient la décision ministérielle n</w:t>
      </w:r>
      <w:r w:rsidRPr="00A109AE">
        <w:rPr>
          <w:vertAlign w:val="superscript"/>
        </w:rPr>
        <w:t>o</w:t>
      </w:r>
      <w:r w:rsidRPr="00A109AE">
        <w:t xml:space="preserve"> 18268/2012. Enfin, elles ne constituaient pas un moyen pour le législateur d</w:t>
      </w:r>
      <w:r w:rsidRPr="00A109AE" w:rsidR="00A109AE">
        <w:t>’</w:t>
      </w:r>
      <w:r w:rsidRPr="00A109AE">
        <w:t>intervenir dans une procédure judiciaire pendante.</w:t>
      </w:r>
    </w:p>
    <w:p w:rsidRPr="00A109AE" w:rsidR="00E04BAF" w:rsidP="00A109AE" w:rsidRDefault="00E04BAF">
      <w:pPr>
        <w:pStyle w:val="JuHA"/>
      </w:pPr>
      <w:r w:rsidRPr="00A109AE">
        <w:t xml:space="preserve">Les actions introduites par la société « marina Porto </w:t>
      </w:r>
      <w:proofErr w:type="spellStart"/>
      <w:r w:rsidRPr="00A109AE">
        <w:t>Karras</w:t>
      </w:r>
      <w:proofErr w:type="spellEnd"/>
      <w:r w:rsidRPr="00A109AE">
        <w:t> » contre les membres du club nautique devant les juridictions civiles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29</w:t>
      </w:r>
      <w:r w:rsidRPr="00A109AE">
        <w:fldChar w:fldCharType="end"/>
      </w:r>
      <w:r w:rsidRPr="00A109AE">
        <w:t xml:space="preserve">.  De son côté, la société « marina Porto </w:t>
      </w:r>
      <w:proofErr w:type="spellStart"/>
      <w:r w:rsidRPr="00A109AE">
        <w:t>Karras</w:t>
      </w:r>
      <w:proofErr w:type="spellEnd"/>
      <w:r w:rsidRPr="00A109AE">
        <w:t> » engagea des procédures civiles successives contre les membres du club nautique, par lesquelles elle réclamait le paiement des droits d</w:t>
      </w:r>
      <w:r w:rsidRPr="00A109AE" w:rsidR="00A109AE">
        <w:t>’</w:t>
      </w:r>
      <w:r w:rsidRPr="00A109AE">
        <w:t>ancrage et de mouillage. Les juges de paix et les tribunaux de première instance saisis décidèrent de surseoir à statuer en attendant que le Conseil d</w:t>
      </w:r>
      <w:r w:rsidRPr="00A109AE" w:rsidR="00A109AE">
        <w:t>’</w:t>
      </w:r>
      <w:r w:rsidRPr="00A109AE">
        <w:t xml:space="preserve">État se prononçât (jugements et arrêts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441/2013, 556/2013, 110/2014, 117/2014, 118/2014 et 119/2014).</w:t>
      </w:r>
    </w:p>
    <w:p w:rsidRPr="00A109AE" w:rsidR="00E04BAF" w:rsidP="00A109AE" w:rsidRDefault="00E04BAF">
      <w:pPr>
        <w:pStyle w:val="JuHIRoman"/>
      </w:pPr>
      <w:r w:rsidRPr="00A109AE">
        <w:t>LE DROIT ET LA PRATIQUE INTERNES PERTINENTS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30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article 22 § 1 de la loi n</w:t>
      </w:r>
      <w:r w:rsidRPr="00A109AE">
        <w:rPr>
          <w:vertAlign w:val="superscript"/>
        </w:rPr>
        <w:t>o</w:t>
      </w:r>
      <w:r w:rsidRPr="00A109AE">
        <w:t xml:space="preserve"> 2971/2001 dispose ce qui suit :</w:t>
      </w:r>
    </w:p>
    <w:p w:rsidRPr="00A109AE" w:rsidR="00E04BAF" w:rsidP="00A109AE" w:rsidRDefault="00E04BAF">
      <w:pPr>
        <w:pStyle w:val="JuQuot"/>
      </w:pPr>
      <w:r w:rsidRPr="00A109AE">
        <w:t>« Les espaces et tous les terrains inclus dans une zone portuaire sont des biens publics et la propriété de l</w:t>
      </w:r>
      <w:r w:rsidRPr="00A109AE" w:rsidR="00A109AE">
        <w:t>’</w:t>
      </w:r>
      <w:r w:rsidRPr="00A109AE">
        <w:t>État, mais leurs usage et exploitation relèvent de l</w:t>
      </w:r>
      <w:r w:rsidRPr="00A109AE" w:rsidR="00A109AE">
        <w:t>’</w:t>
      </w:r>
      <w:r w:rsidRPr="00A109AE">
        <w:t>organisme de gestion et d</w:t>
      </w:r>
      <w:r w:rsidRPr="00A109AE" w:rsidR="00A109AE">
        <w:t>’</w:t>
      </w:r>
      <w:r w:rsidRPr="00A109AE">
        <w:t>exploitation du port. »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31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article 29 § 3 de la loi n</w:t>
      </w:r>
      <w:r w:rsidRPr="00A109AE">
        <w:rPr>
          <w:vertAlign w:val="superscript"/>
        </w:rPr>
        <w:t>o</w:t>
      </w:r>
      <w:r w:rsidRPr="00A109AE">
        <w:t xml:space="preserve"> 2160/1993 (tel que modifié par l</w:t>
      </w:r>
      <w:r w:rsidRPr="00A109AE" w:rsidR="00A109AE">
        <w:t>’</w:t>
      </w:r>
      <w:r w:rsidRPr="00A109AE">
        <w:t>article 156 § 1 de la loi n</w:t>
      </w:r>
      <w:r w:rsidRPr="00A109AE">
        <w:rPr>
          <w:vertAlign w:val="superscript"/>
        </w:rPr>
        <w:t>o</w:t>
      </w:r>
      <w:r w:rsidRPr="00A109AE">
        <w:t xml:space="preserve"> 4070/2012) prévoit ce qui suit :</w:t>
      </w:r>
    </w:p>
    <w:p w:rsidRPr="00A109AE" w:rsidR="00E04BAF" w:rsidP="00A109AE" w:rsidRDefault="00E04BAF">
      <w:pPr>
        <w:pStyle w:val="JuQuot"/>
      </w:pPr>
      <w:r w:rsidRPr="00A109AE">
        <w:t>« [L</w:t>
      </w:r>
      <w:r w:rsidRPr="00A109AE" w:rsidR="00A109AE">
        <w:t>’</w:t>
      </w:r>
      <w:r w:rsidRPr="00A109AE">
        <w:t>organisme de gestion d</w:t>
      </w:r>
      <w:r w:rsidRPr="00A109AE" w:rsidR="00A109AE">
        <w:t>’</w:t>
      </w:r>
      <w:r w:rsidRPr="00A109AE">
        <w:t>un port de plaisance] est la personne physique ou morale de droit public ou privé qui assume, soit en vertu d</w:t>
      </w:r>
      <w:r w:rsidRPr="00A109AE" w:rsidR="00A109AE">
        <w:t>’</w:t>
      </w:r>
      <w:r w:rsidRPr="00A109AE">
        <w:t>un contrat conclu avec l</w:t>
      </w:r>
      <w:r w:rsidRPr="00A109AE" w:rsidR="00A109AE">
        <w:t>’</w:t>
      </w:r>
      <w:r w:rsidRPr="00A109AE">
        <w:t>État ou avec la Société anonyme des biens touristiques grecs, soit en vertu d</w:t>
      </w:r>
      <w:r w:rsidRPr="00A109AE" w:rsidR="00A109AE">
        <w:t>’</w:t>
      </w:r>
      <w:r w:rsidRPr="00A109AE">
        <w:t>une compétence conférée par la loi, la construction, le fonctionnement et l</w:t>
      </w:r>
      <w:r w:rsidRPr="00A109AE" w:rsidR="00A109AE">
        <w:t>’</w:t>
      </w:r>
      <w:r w:rsidRPr="00A109AE">
        <w:t>exploitation d</w:t>
      </w:r>
      <w:r w:rsidRPr="00A109AE" w:rsidR="00A109AE">
        <w:t>’</w:t>
      </w:r>
      <w:r w:rsidRPr="00A109AE">
        <w:t>un port de plaisance conformément aux dispositions de la présente loi. »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32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article 31 a) §§ 5 et 6 de la loi n</w:t>
      </w:r>
      <w:r w:rsidRPr="00A109AE">
        <w:rPr>
          <w:vertAlign w:val="superscript"/>
        </w:rPr>
        <w:t>o</w:t>
      </w:r>
      <w:r w:rsidRPr="00A109AE">
        <w:t xml:space="preserve"> 2160/1993 était ainsi libellé :</w:t>
      </w:r>
    </w:p>
    <w:p w:rsidRPr="00A109AE" w:rsidR="00E04BAF" w:rsidP="00A109AE" w:rsidRDefault="00E04BAF">
      <w:pPr>
        <w:pStyle w:val="JuQuot"/>
      </w:pPr>
      <w:r w:rsidRPr="00A109AE">
        <w:t>« 5.  (...) l</w:t>
      </w:r>
      <w:r w:rsidRPr="00A109AE" w:rsidR="00A109AE">
        <w:t>’</w:t>
      </w:r>
      <w:r w:rsidRPr="00A109AE">
        <w:t>organisme de gestion a l</w:t>
      </w:r>
      <w:r w:rsidRPr="00A109AE" w:rsidR="00A109AE">
        <w:t>’</w:t>
      </w:r>
      <w:r w:rsidRPr="00A109AE">
        <w:t>obligation de notifier au préalable la liste de tarification concernant les droits d</w:t>
      </w:r>
      <w:r w:rsidRPr="00A109AE" w:rsidR="00A109AE">
        <w:t>’</w:t>
      </w:r>
      <w:r w:rsidRPr="00A109AE">
        <w:t>ancrage et de mouillage (...) au ministère du Tourisme.</w:t>
      </w:r>
    </w:p>
    <w:p w:rsidRPr="00A109AE" w:rsidR="00E04BAF" w:rsidP="00A109AE" w:rsidRDefault="00E04BAF">
      <w:pPr>
        <w:pStyle w:val="JuQuot"/>
      </w:pPr>
      <w:r w:rsidRPr="00A109AE">
        <w:t xml:space="preserve">6.  (...) les listes de tarification des ports de plaisance sont établies par les organismes de gestion et soumises au service compétent du ministère du </w:t>
      </w:r>
      <w:r w:rsidRPr="00A109AE" w:rsidR="00A109AE">
        <w:t>Tourisme pour approbation (...) »</w:t>
      </w:r>
    </w:p>
    <w:p w:rsidRPr="00A109AE" w:rsidR="00E04BAF" w:rsidP="00A109AE" w:rsidRDefault="00E04BAF">
      <w:pPr>
        <w:pStyle w:val="JuPara"/>
        <w:rPr>
          <w:b/>
        </w:rPr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33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article 1 § 6, alinéa F, 6 b)</w:t>
      </w:r>
      <w:r w:rsidRPr="00A109AE">
        <w:rPr>
          <w:b/>
        </w:rPr>
        <w:t xml:space="preserve"> </w:t>
      </w:r>
      <w:r w:rsidRPr="00A109AE">
        <w:t>de la loi n</w:t>
      </w:r>
      <w:r w:rsidRPr="00A109AE">
        <w:rPr>
          <w:vertAlign w:val="superscript"/>
        </w:rPr>
        <w:t>o</w:t>
      </w:r>
      <w:r w:rsidRPr="00A109AE">
        <w:t xml:space="preserve"> 4254/2014 est ainsi libellé :</w:t>
      </w:r>
    </w:p>
    <w:p w:rsidRPr="00A109AE" w:rsidR="00E04BAF" w:rsidP="00A109AE" w:rsidRDefault="00E04BAF">
      <w:pPr>
        <w:pStyle w:val="JuQuot"/>
      </w:pPr>
      <w:r w:rsidRPr="00A109AE">
        <w:t>« Le paragraphe 5 de l</w:t>
      </w:r>
      <w:r w:rsidRPr="00A109AE" w:rsidR="00A109AE">
        <w:t>’</w:t>
      </w:r>
      <w:r w:rsidRPr="00A109AE">
        <w:t>article 31 a) de la loi n</w:t>
      </w:r>
      <w:r w:rsidRPr="00A109AE">
        <w:rPr>
          <w:vertAlign w:val="superscript"/>
        </w:rPr>
        <w:t>o</w:t>
      </w:r>
      <w:r w:rsidRPr="00A109AE">
        <w:t xml:space="preserve"> 2160/1993 (...) et [toutes les autres dispositions] qui se rapportent à l</w:t>
      </w:r>
      <w:r w:rsidRPr="00A109AE" w:rsidR="00A109AE">
        <w:t>’</w:t>
      </w:r>
      <w:r w:rsidRPr="00A109AE">
        <w:t>obligation de faire approuver ou de notifier les listes de tarification pour les prestations fournies dans les ports de plaisance sont supprimés. »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34</w:t>
      </w:r>
      <w:r w:rsidRPr="00A109AE">
        <w:fldChar w:fldCharType="end"/>
      </w:r>
      <w:r w:rsidRPr="00A109AE">
        <w:t>.  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 xml:space="preserve"> 18/1989 prévoit ce qui suit :</w:t>
      </w:r>
    </w:p>
    <w:p w:rsidRPr="00A109AE" w:rsidR="00E04BAF" w:rsidP="00A109AE" w:rsidRDefault="00E04BAF">
      <w:pPr>
        <w:pStyle w:val="JuQuot"/>
      </w:pPr>
      <w:r w:rsidRPr="00A109AE">
        <w:t>« (...)</w:t>
      </w:r>
    </w:p>
    <w:p w:rsidRPr="00A109AE" w:rsidR="00E04BAF" w:rsidP="00A109AE" w:rsidRDefault="00E04BAF">
      <w:pPr>
        <w:pStyle w:val="JuQuot"/>
      </w:pPr>
      <w:r w:rsidRPr="00A109AE">
        <w:t>2.  [Un non-lieu à statuer est prononcé dans la procédure] lorsque, après l</w:t>
      </w:r>
      <w:r w:rsidRPr="00A109AE" w:rsidR="00A109AE">
        <w:t>’</w:t>
      </w:r>
      <w:r w:rsidRPr="00A109AE">
        <w:t>introduction du recours en annulation et [avant la tenue de] l</w:t>
      </w:r>
      <w:r w:rsidRPr="00A109AE" w:rsidR="00A109AE">
        <w:t>’</w:t>
      </w:r>
      <w:r w:rsidRPr="00A109AE">
        <w:t>audience, la validité de l</w:t>
      </w:r>
      <w:r w:rsidRPr="00A109AE" w:rsidR="00A109AE">
        <w:t>’</w:t>
      </w:r>
      <w:r w:rsidRPr="00A109AE">
        <w:t>acte contesté a pris fin pour quelque raison que ce soit, sauf si l</w:t>
      </w:r>
      <w:r w:rsidRPr="00A109AE" w:rsidR="00A109AE">
        <w:t>’</w:t>
      </w:r>
      <w:r w:rsidRPr="00A109AE">
        <w:t>auteur du recours se prévaut d</w:t>
      </w:r>
      <w:r w:rsidRPr="00A109AE" w:rsidR="00A109AE">
        <w:t>’</w:t>
      </w:r>
      <w:r w:rsidRPr="00A109AE">
        <w:t>un intérêt légal qui justifie la poursuite de la procédure (...).</w:t>
      </w:r>
    </w:p>
    <w:p w:rsidRPr="00A109AE" w:rsidR="00E04BAF" w:rsidP="00A109AE" w:rsidRDefault="00E04BAF">
      <w:pPr>
        <w:pStyle w:val="JuQuot"/>
      </w:pPr>
      <w:r w:rsidRPr="00A109AE">
        <w:t>3.  Si la fin de validité de l</w:t>
      </w:r>
      <w:r w:rsidRPr="00A109AE" w:rsidR="00A109AE">
        <w:t>’</w:t>
      </w:r>
      <w:r w:rsidRPr="00A109AE">
        <w:t>acte contesté est due au fait que la durée de celle-ci était limitée dans le temps, et si après la fin de validité un nouvel acte au contenu identique est émis ou bien si l</w:t>
      </w:r>
      <w:r w:rsidRPr="00A109AE" w:rsidR="00A109AE">
        <w:t>’</w:t>
      </w:r>
      <w:r w:rsidRPr="00A109AE">
        <w:t>acte est modifié ou remplacé par un autre [acte] qui [fait perdurer les effets préjudiciables à l</w:t>
      </w:r>
      <w:r w:rsidRPr="00A109AE" w:rsidR="00A109AE">
        <w:t>’</w:t>
      </w:r>
      <w:r w:rsidRPr="00A109AE">
        <w:t>égard du] recourant, [le non-lieu à statuer dans la procédure n</w:t>
      </w:r>
      <w:r w:rsidRPr="00A109AE" w:rsidR="00A109AE">
        <w:t>’</w:t>
      </w:r>
      <w:r w:rsidRPr="00A109AE">
        <w:t>est pas prononcé] si le recourant tire argument [de ces circonstances] par écrit six jours avant la première audience et demande la poursuite de la procédure. (...) »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35</w:t>
      </w:r>
      <w:r w:rsidRPr="00A109AE">
        <w:fldChar w:fldCharType="end"/>
      </w:r>
      <w:r w:rsidRPr="00A109AE">
        <w:t>.  Le Gouvernement précise que, selon le paragraphe 2 de l</w:t>
      </w:r>
      <w:r w:rsidRPr="00A109AE" w:rsidR="00A109AE">
        <w:t>’</w:t>
      </w:r>
      <w:r w:rsidRPr="00A109AE">
        <w:t>article 32 dudit décret, l</w:t>
      </w:r>
      <w:r w:rsidRPr="00A109AE" w:rsidR="00A109AE">
        <w:t>’</w:t>
      </w:r>
      <w:r w:rsidRPr="00A109AE">
        <w:t>existence d</w:t>
      </w:r>
      <w:r w:rsidRPr="00A109AE" w:rsidR="00A109AE">
        <w:t>’</w:t>
      </w:r>
      <w:r w:rsidRPr="00A109AE">
        <w:t>effets préjudiciables causés à l</w:t>
      </w:r>
      <w:r w:rsidRPr="00A109AE" w:rsidR="00A109AE">
        <w:t>’</w:t>
      </w:r>
      <w:r w:rsidRPr="00A109AE">
        <w:t>auteur d</w:t>
      </w:r>
      <w:r w:rsidRPr="00A109AE" w:rsidR="00A109AE">
        <w:t>’</w:t>
      </w:r>
      <w:r w:rsidRPr="00A109AE">
        <w:t>un recours en annulation qui perdurent après la fin de validité de l</w:t>
      </w:r>
      <w:r w:rsidRPr="00A109AE" w:rsidR="00A109AE">
        <w:t>’</w:t>
      </w:r>
      <w:r w:rsidRPr="00A109AE">
        <w:t>acte contesté justifie la poursuite de la procédure si l</w:t>
      </w:r>
      <w:r w:rsidRPr="00A109AE" w:rsidR="00A109AE">
        <w:t>’</w:t>
      </w:r>
      <w:r w:rsidRPr="00A109AE">
        <w:t>auteur du recours en tire argument et en apporte la preuve en vue de mettre un terme, au moyen de l</w:t>
      </w:r>
      <w:r w:rsidRPr="00A109AE" w:rsidR="00A109AE">
        <w:t>’</w:t>
      </w:r>
      <w:r w:rsidRPr="00A109AE">
        <w:t>annulation de l</w:t>
      </w:r>
      <w:r w:rsidRPr="00A109AE" w:rsidR="00A109AE">
        <w:t>’</w:t>
      </w:r>
      <w:r w:rsidRPr="00A109AE">
        <w:t>acte critiqué, à la production de ces effets (arrêt n</w:t>
      </w:r>
      <w:r w:rsidRPr="00A109AE">
        <w:rPr>
          <w:vertAlign w:val="superscript"/>
        </w:rPr>
        <w:t>o</w:t>
      </w:r>
      <w:r w:rsidRPr="00A109AE">
        <w:t> 67/2009 du Conseil d</w:t>
      </w:r>
      <w:r w:rsidRPr="00A109AE" w:rsidR="00A109AE">
        <w:t>’</w:t>
      </w:r>
      <w:r w:rsidRPr="00A109AE">
        <w:t>État adopté en formation plénière) au cas où il ne peut pas être mis fin à ces effets par l</w:t>
      </w:r>
      <w:r w:rsidRPr="00A109AE" w:rsidR="00A109AE">
        <w:t>’</w:t>
      </w:r>
      <w:r w:rsidRPr="00A109AE">
        <w:t>exercice d</w:t>
      </w:r>
      <w:r w:rsidRPr="00A109AE" w:rsidR="00A109AE">
        <w:t>’</w:t>
      </w:r>
      <w:r w:rsidRPr="00A109AE">
        <w:t>autres voies de recours (arrêts du Conseil d</w:t>
      </w:r>
      <w:r w:rsidRPr="00A109AE" w:rsidR="00A109AE">
        <w:t>’</w:t>
      </w:r>
      <w:r w:rsidRPr="00A109AE">
        <w:t xml:space="preserve">État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4366/1997, 405/2004, 609/2004, 1171/2008, 2450/2009, 818/2010, 513/2012, 1919/2012, 2185/2012, 1162/2014).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36</w:t>
      </w:r>
      <w:r w:rsidRPr="00A109AE">
        <w:fldChar w:fldCharType="end"/>
      </w:r>
      <w:r w:rsidRPr="00A109AE">
        <w:t>.  Le Gouvernement précise aussi que le paragraphe 3 de l</w:t>
      </w:r>
      <w:r w:rsidRPr="00A109AE" w:rsidR="00A109AE">
        <w:t>’</w:t>
      </w:r>
      <w:r w:rsidRPr="00A109AE">
        <w:t>article 32 du même décret établit un cas spécifique de poursuite de la procédure, en sus de celui prévu au paragraphe 2. Selon lui, dans ce cas, non seulement l</w:t>
      </w:r>
      <w:r w:rsidRPr="00A109AE" w:rsidR="00A109AE">
        <w:t>’</w:t>
      </w:r>
      <w:r w:rsidRPr="00A109AE">
        <w:t>objet initial de la procédure est maintenu, mais en outre la procédure est poursuivie avec un objet plus étendu, qui est déterminé par la contestation de l</w:t>
      </w:r>
      <w:r w:rsidRPr="00A109AE" w:rsidR="00A109AE">
        <w:t>’</w:t>
      </w:r>
      <w:r w:rsidRPr="00A109AE">
        <w:t>acte initial, dont la validité a pris fin, ainsi que par la contestation du nouvel acte, qui est considéré comme étant contesté conjointement avec l</w:t>
      </w:r>
      <w:r w:rsidRPr="00A109AE" w:rsidR="00A109AE">
        <w:t>’</w:t>
      </w:r>
      <w:r w:rsidRPr="00A109AE">
        <w:t>acte initial (arrêts du Conseil d</w:t>
      </w:r>
      <w:r w:rsidRPr="00A109AE" w:rsidR="00A109AE">
        <w:t>’</w:t>
      </w:r>
      <w:r w:rsidRPr="00A109AE">
        <w:t xml:space="preserve">État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2929/2017, 2202/2016, 4707/2014, 3175/2014).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37</w:t>
      </w:r>
      <w:r w:rsidRPr="00A109AE">
        <w:fldChar w:fldCharType="end"/>
      </w:r>
      <w:r w:rsidRPr="00A109AE">
        <w:t>.  Par ailleurs, lorsque l</w:t>
      </w:r>
      <w:r w:rsidRPr="00A109AE" w:rsidR="00A109AE">
        <w:t>’</w:t>
      </w:r>
      <w:r w:rsidRPr="00A109AE">
        <w:t>acte contesté est remplacé, modifié ou repris de manière identique par un nouvel acte alors qu</w:t>
      </w:r>
      <w:r w:rsidRPr="00A109AE" w:rsidR="00A109AE">
        <w:t>’</w:t>
      </w:r>
      <w:r w:rsidRPr="00A109AE">
        <w:t>il fait l</w:t>
      </w:r>
      <w:r w:rsidRPr="00A109AE" w:rsidR="00A109AE">
        <w:t>’</w:t>
      </w:r>
      <w:r w:rsidRPr="00A109AE">
        <w:t>objet d</w:t>
      </w:r>
      <w:r w:rsidRPr="00A109AE" w:rsidR="00A109AE">
        <w:t>’</w:t>
      </w:r>
      <w:r w:rsidRPr="00A109AE">
        <w:t>un recours pendant, le paragraphe 3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> 18/1989 trouve à s</w:t>
      </w:r>
      <w:r w:rsidRPr="00A109AE" w:rsidR="00A109AE">
        <w:t>’</w:t>
      </w:r>
      <w:r w:rsidRPr="00A109AE">
        <w:t xml:space="preserve">appliquer uniquement si la partie </w:t>
      </w:r>
      <w:proofErr w:type="spellStart"/>
      <w:r w:rsidRPr="00A109AE">
        <w:t>recourante</w:t>
      </w:r>
      <w:proofErr w:type="spellEnd"/>
      <w:r w:rsidRPr="00A109AE">
        <w:t xml:space="preserve"> décide de ne pas introduire un autre recours contre le nouvel acte. Par conséquent, l</w:t>
      </w:r>
      <w:r w:rsidRPr="00A109AE" w:rsidR="00A109AE">
        <w:t>’</w:t>
      </w:r>
      <w:r w:rsidRPr="00A109AE">
        <w:t>auteur d</w:t>
      </w:r>
      <w:r w:rsidRPr="00A109AE" w:rsidR="00A109AE">
        <w:t>’</w:t>
      </w:r>
      <w:r w:rsidRPr="00A109AE">
        <w:t>un recours en annulation dirigé contre un acte ne peut pas se prévaloir du paragraphe 3 précité s</w:t>
      </w:r>
      <w:r w:rsidRPr="00A109AE" w:rsidR="00A109AE">
        <w:t>’</w:t>
      </w:r>
      <w:r w:rsidRPr="00A109AE">
        <w:t>il a également introduit un autre recours en annulation contre le nouvel acte venu remplacer, modifier ou reprendre de manière identique l</w:t>
      </w:r>
      <w:r w:rsidRPr="00A109AE" w:rsidR="00A109AE">
        <w:t>’</w:t>
      </w:r>
      <w:r w:rsidRPr="00A109AE">
        <w:t>acte initialement contesté (arrêts du Conseil d</w:t>
      </w:r>
      <w:r w:rsidRPr="00A109AE" w:rsidR="00A109AE">
        <w:t>’</w:t>
      </w:r>
      <w:r w:rsidRPr="00A109AE">
        <w:t xml:space="preserve">État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1046/2018, 1395/2017, 1586/2016, 3266/2014, 2244/2014, 4485/2013, 1037/2013).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38</w:t>
      </w:r>
      <w:r w:rsidRPr="00A109AE">
        <w:fldChar w:fldCharType="end"/>
      </w:r>
      <w:r w:rsidRPr="00A109AE">
        <w:t>.  Le 21 avril 2004, la deuxième chambre du Conseil d</w:t>
      </w:r>
      <w:r w:rsidRPr="00A109AE" w:rsidR="00A109AE">
        <w:t>’</w:t>
      </w:r>
      <w:r w:rsidRPr="00A109AE">
        <w:t>État a renvoyé à la formation plénière de cette haute juridiction un recours en annulation dirigé contre une décision du ministre du Développement portant approbation de la décision d</w:t>
      </w:r>
      <w:r w:rsidRPr="00A109AE" w:rsidR="00A109AE">
        <w:t>’</w:t>
      </w:r>
      <w:r w:rsidRPr="00A109AE">
        <w:t xml:space="preserve">une société anonyme fixant les tarifs des droits de mouillage des bateaux pour certaines marinas autres que la marina Porto </w:t>
      </w:r>
      <w:proofErr w:type="spellStart"/>
      <w:r w:rsidRPr="00A109AE">
        <w:t>Karras</w:t>
      </w:r>
      <w:proofErr w:type="spellEnd"/>
      <w:r w:rsidRPr="00A109AE">
        <w:t>. Le renvoi était motivé par l</w:t>
      </w:r>
      <w:r w:rsidRPr="00A109AE" w:rsidR="00A109AE">
        <w:t>’</w:t>
      </w:r>
      <w:r w:rsidRPr="00A109AE">
        <w:t>importance des questions posées, à savoir : a) la compétence du Conseil d</w:t>
      </w:r>
      <w:r w:rsidRPr="00A109AE" w:rsidR="00A109AE">
        <w:t>’</w:t>
      </w:r>
      <w:r w:rsidRPr="00A109AE">
        <w:t>État en la matière ; b) le non-lieu à statuer à raison de l</w:t>
      </w:r>
      <w:r w:rsidRPr="00A109AE" w:rsidR="00A109AE">
        <w:t>’</w:t>
      </w:r>
      <w:r w:rsidRPr="00A109AE">
        <w:t>émission d</w:t>
      </w:r>
      <w:r w:rsidRPr="00A109AE" w:rsidR="00A109AE">
        <w:t>’</w:t>
      </w:r>
      <w:r w:rsidRPr="00A109AE">
        <w:t>une décision ministérielle venue remplacer la décision contestée postérieurement à l</w:t>
      </w:r>
      <w:r w:rsidRPr="00A109AE" w:rsidR="00A109AE">
        <w:t>’</w:t>
      </w:r>
      <w:r w:rsidRPr="00A109AE">
        <w:t>introduction du recours en annulation et c) le caractère suffisant de la délégation législative en matière de gestion des marinas et l</w:t>
      </w:r>
      <w:r w:rsidRPr="00A109AE" w:rsidR="00A109AE">
        <w:t>’</w:t>
      </w:r>
      <w:r w:rsidRPr="00A109AE">
        <w:t>existence d</w:t>
      </w:r>
      <w:r w:rsidRPr="00A109AE" w:rsidR="00A109AE">
        <w:t>’</w:t>
      </w:r>
      <w:r w:rsidRPr="00A109AE">
        <w:t>une jurisprudence contraire de la sixième chambre du Conseil d</w:t>
      </w:r>
      <w:r w:rsidRPr="00A109AE" w:rsidR="00A109AE">
        <w:t>’</w:t>
      </w:r>
      <w:r w:rsidRPr="00A109AE">
        <w:t xml:space="preserve">État. Le 30 juin 2014, la formation plénière de la haute juridiction a rendu ses arrêts,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2403/2014, 2</w:t>
      </w:r>
      <w:r w:rsidRPr="00A109AE" w:rsidR="00A109AE">
        <w:t>404/2014 et </w:t>
      </w:r>
      <w:r w:rsidRPr="00A109AE">
        <w:t>2405/2014.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39</w:t>
      </w:r>
      <w:r w:rsidRPr="00A109AE">
        <w:fldChar w:fldCharType="end"/>
      </w:r>
      <w:r w:rsidRPr="00A109AE">
        <w:t>.  Par un arrêt n</w:t>
      </w:r>
      <w:r w:rsidRPr="00A109AE">
        <w:rPr>
          <w:vertAlign w:val="superscript"/>
        </w:rPr>
        <w:t>o</w:t>
      </w:r>
      <w:r w:rsidRPr="00A109AE">
        <w:t xml:space="preserve"> 1558/2015, la deuxième chambre du Conseil d</w:t>
      </w:r>
      <w:r w:rsidRPr="00A109AE" w:rsidR="00A109AE">
        <w:t>’</w:t>
      </w:r>
      <w:r w:rsidRPr="00A109AE">
        <w:t>État, à laquelle la formation plénière avait renvoyé l</w:t>
      </w:r>
      <w:r w:rsidRPr="00A109AE" w:rsidR="00A109AE">
        <w:t>’</w:t>
      </w:r>
      <w:r w:rsidRPr="00A109AE">
        <w:t>affaire objet de l</w:t>
      </w:r>
      <w:r w:rsidRPr="00A109AE" w:rsidR="00A109AE">
        <w:t>’arrêt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2404/2014, a décidé de ne pas prononcer de non-lieu à statuer en application de l</w:t>
      </w:r>
      <w:r w:rsidRPr="00A109AE" w:rsidR="00A109AE">
        <w:t>’</w:t>
      </w:r>
      <w:r w:rsidRPr="00A109AE">
        <w:t>article 32 § 2 du décret n</w:t>
      </w:r>
      <w:r w:rsidRPr="00A109AE">
        <w:rPr>
          <w:vertAlign w:val="superscript"/>
        </w:rPr>
        <w:t>o</w:t>
      </w:r>
      <w:r w:rsidRPr="00A109AE">
        <w:t xml:space="preserve"> 18/1989, et en dépit des dispositions des lois n</w:t>
      </w:r>
      <w:r w:rsidRPr="00A109AE">
        <w:rPr>
          <w:vertAlign w:val="superscript"/>
        </w:rPr>
        <w:t>o</w:t>
      </w:r>
      <w:r w:rsidRPr="00A109AE">
        <w:t xml:space="preserve"> 4179/2013 et n</w:t>
      </w:r>
      <w:r w:rsidRPr="00A109AE">
        <w:rPr>
          <w:vertAlign w:val="superscript"/>
        </w:rPr>
        <w:t>o</w:t>
      </w:r>
      <w:r w:rsidRPr="00A109AE">
        <w:t xml:space="preserve"> 4254/2014, après avoir souligné que la validité de la décision attaquée n</w:t>
      </w:r>
      <w:r w:rsidRPr="00A109AE" w:rsidR="00A109AE">
        <w:t>’</w:t>
      </w:r>
      <w:r w:rsidRPr="00A109AE">
        <w:t>avait pas pris fin au moment de la tenue de la première audience devant la formation plénière, qui avait eu lieu le 15 février 2013, soit avant l</w:t>
      </w:r>
      <w:r w:rsidRPr="00A109AE" w:rsidR="00A109AE">
        <w:t>’</w:t>
      </w:r>
      <w:r w:rsidRPr="00A109AE">
        <w:t>entrée en vigueur de la loi n</w:t>
      </w:r>
      <w:r w:rsidRPr="00A109AE">
        <w:rPr>
          <w:vertAlign w:val="superscript"/>
        </w:rPr>
        <w:t>o</w:t>
      </w:r>
      <w:r w:rsidRPr="00A109AE">
        <w:t> 4179/2013.</w:t>
      </w:r>
    </w:p>
    <w:p w:rsidRPr="00A109AE" w:rsidR="00E04BAF" w:rsidP="00A109AE" w:rsidRDefault="00E04BAF">
      <w:pPr>
        <w:pStyle w:val="JuHHead"/>
      </w:pPr>
      <w:r w:rsidRPr="00A109AE">
        <w:t>EN DROIT</w:t>
      </w:r>
    </w:p>
    <w:p w:rsidRPr="00A109AE" w:rsidR="00E04BAF" w:rsidP="00A109AE" w:rsidRDefault="00E04BAF">
      <w:pPr>
        <w:pStyle w:val="JuHIRoman"/>
      </w:pPr>
      <w:r w:rsidRPr="00A109AE">
        <w:t>SUR LA JONCTION DES REQUÊTES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40</w:t>
      </w:r>
      <w:r w:rsidRPr="00A109AE">
        <w:fldChar w:fldCharType="end"/>
      </w:r>
      <w:r w:rsidRPr="00A109AE">
        <w:t xml:space="preserve">.  Compte tenu de la similitude des requêtes, la Cour estime </w:t>
      </w:r>
      <w:proofErr w:type="gramStart"/>
      <w:r w:rsidRPr="00A109AE">
        <w:t>approprié</w:t>
      </w:r>
      <w:proofErr w:type="gramEnd"/>
      <w:r w:rsidRPr="00A109AE">
        <w:t xml:space="preserve"> d</w:t>
      </w:r>
      <w:r w:rsidRPr="00A109AE" w:rsidR="00A109AE">
        <w:t>’</w:t>
      </w:r>
      <w:r w:rsidRPr="00A109AE">
        <w:t>examiner celles-ci conjointement dans un seul arrêt.</w:t>
      </w:r>
    </w:p>
    <w:p w:rsidRPr="00A109AE" w:rsidR="00E04BAF" w:rsidP="00A109AE" w:rsidRDefault="00E04BAF">
      <w:pPr>
        <w:pStyle w:val="JuHIRoman"/>
      </w:pPr>
      <w:r w:rsidRPr="00A109AE">
        <w:t>SUR LA VIOLATION ALLÉGUÉE DE L</w:t>
      </w:r>
      <w:r w:rsidRPr="00A109AE" w:rsidR="00A109AE">
        <w:t>’</w:t>
      </w:r>
      <w:r w:rsidRPr="00A109AE">
        <w:t>ARTICLE 6 § 1 DE LA CONVENTION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41</w:t>
      </w:r>
      <w:r w:rsidRPr="00A109AE">
        <w:fldChar w:fldCharType="end"/>
      </w:r>
      <w:r w:rsidRPr="00A109AE">
        <w:t>.  Invoquant l</w:t>
      </w:r>
      <w:r w:rsidRPr="00A109AE" w:rsidR="00A109AE">
        <w:t>’</w:t>
      </w:r>
      <w:r w:rsidRPr="00A109AE">
        <w:t>article 6 § 1 de la Convention, les requérants se plaignent d</w:t>
      </w:r>
      <w:r w:rsidRPr="00A109AE" w:rsidR="00A109AE">
        <w:t>’</w:t>
      </w:r>
      <w:r w:rsidRPr="00A109AE">
        <w:t>une violation de leur droit d</w:t>
      </w:r>
      <w:r w:rsidRPr="00A109AE" w:rsidR="00A109AE">
        <w:t>’</w:t>
      </w:r>
      <w:r w:rsidRPr="00A109AE">
        <w:t>accès à un tribunal : ils reprochent au Conseil d</w:t>
      </w:r>
      <w:r w:rsidRPr="00A109AE" w:rsidR="00A109AE">
        <w:t>’</w:t>
      </w:r>
      <w:r w:rsidRPr="00A109AE">
        <w:t>État d</w:t>
      </w:r>
      <w:r w:rsidRPr="00A109AE" w:rsidR="00A109AE">
        <w:t>’</w:t>
      </w:r>
      <w:r w:rsidRPr="00A109AE">
        <w:t>avoir tardé à se prononcer sur les recours en annulation formés par eux et d</w:t>
      </w:r>
      <w:r w:rsidRPr="00A109AE" w:rsidR="00A109AE">
        <w:t>’</w:t>
      </w:r>
      <w:r w:rsidRPr="00A109AE">
        <w:t>avoir conclu les procédures par un non-lieu à statuer adopté six ans après l</w:t>
      </w:r>
      <w:r w:rsidRPr="00A109AE" w:rsidR="00A109AE">
        <w:t>’</w:t>
      </w:r>
      <w:r w:rsidRPr="00A109AE">
        <w:t>introduction de ces recours au motif que l</w:t>
      </w:r>
      <w:r w:rsidRPr="00A109AE" w:rsidR="00A109AE">
        <w:t>’</w:t>
      </w:r>
      <w:r w:rsidRPr="00A109AE">
        <w:t>entrée en vigueur des deux nouvelles lois avait rendu lesdites procédures sans objet, et, ce faisant, de ne pas avoir examiné le bien-fondé de leurs recours. En sa partie pertinente en l</w:t>
      </w:r>
      <w:r w:rsidRPr="00A109AE" w:rsidR="00A109AE">
        <w:t>’</w:t>
      </w:r>
      <w:r w:rsidRPr="00A109AE">
        <w:t>espèce, l</w:t>
      </w:r>
      <w:r w:rsidRPr="00A109AE" w:rsidR="00A109AE">
        <w:t>’</w:t>
      </w:r>
      <w:r w:rsidRPr="00A109AE">
        <w:t>article 6 § 1 de la Convention est ainsi libellé :</w:t>
      </w:r>
    </w:p>
    <w:p w:rsidRPr="00A109AE" w:rsidR="00E04BAF" w:rsidP="00A109AE" w:rsidRDefault="00E04BAF">
      <w:pPr>
        <w:pStyle w:val="JuQuot"/>
      </w:pPr>
      <w:r w:rsidRPr="00A109AE">
        <w:t>« Toute personne a droit à ce que sa cause soit entendue équitablement (...) par un tribunal (...), qui décidera (...) des contestations sur ses droits et obligations de caractère civil (...) »</w:t>
      </w:r>
    </w:p>
    <w:p w:rsidRPr="00A109AE" w:rsidR="00E04BAF" w:rsidP="00A109AE" w:rsidRDefault="00E04BAF">
      <w:pPr>
        <w:pStyle w:val="JuHA"/>
      </w:pPr>
      <w:r w:rsidRPr="00A109AE">
        <w:t>Sur la recevabilité</w:t>
      </w:r>
    </w:p>
    <w:p w:rsidRPr="00A109AE" w:rsidR="00E04BAF" w:rsidP="00A109AE" w:rsidRDefault="00E04BAF">
      <w:pPr>
        <w:pStyle w:val="JuH1"/>
      </w:pPr>
      <w:r w:rsidRPr="00A109AE">
        <w:t>Le second requérant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42</w:t>
      </w:r>
      <w:r w:rsidRPr="00A109AE">
        <w:fldChar w:fldCharType="end"/>
      </w:r>
      <w:r w:rsidRPr="00A109AE">
        <w:t>.  En premier lieu, le Gouvernement expose que le second requérant n</w:t>
      </w:r>
      <w:r w:rsidRPr="00A109AE" w:rsidR="00A109AE">
        <w:t>’</w:t>
      </w:r>
      <w:r w:rsidRPr="00A109AE">
        <w:t>a pas introduit à titre individuel un recours devant le Conseil d</w:t>
      </w:r>
      <w:r w:rsidRPr="00A109AE" w:rsidR="00A109AE">
        <w:t>’</w:t>
      </w:r>
      <w:r w:rsidRPr="00A109AE">
        <w:t>État et estime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a donc pas épuisé les voies de recours internes.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43</w:t>
      </w:r>
      <w:r w:rsidRPr="00A109AE">
        <w:fldChar w:fldCharType="end"/>
      </w:r>
      <w:r w:rsidRPr="00A109AE">
        <w:t>.  Ce requérant réplique que l</w:t>
      </w:r>
      <w:r w:rsidRPr="00A109AE" w:rsidR="00A109AE">
        <w:t>’</w:t>
      </w:r>
      <w:r w:rsidRPr="00A109AE">
        <w:t>exception du Gouvernement le visant personnellement est formaliste et va à l</w:t>
      </w:r>
      <w:r w:rsidRPr="00A109AE" w:rsidR="00A109AE">
        <w:t>’</w:t>
      </w:r>
      <w:r w:rsidRPr="00A109AE">
        <w:t>encontre de la jurisprudence de la Cour. Il dit qu</w:t>
      </w:r>
      <w:r w:rsidRPr="00A109AE" w:rsidR="00A109AE">
        <w:t>’</w:t>
      </w:r>
      <w:r w:rsidRPr="00A109AE">
        <w:t>il a fait tout ce qui pouvait être raisonnablement exigé de lui quant à l</w:t>
      </w:r>
      <w:r w:rsidRPr="00A109AE" w:rsidR="00A109AE">
        <w:t>’</w:t>
      </w:r>
      <w:r w:rsidRPr="00A109AE">
        <w:t>épuisement des voies de recours internes. Le Conseil d</w:t>
      </w:r>
      <w:r w:rsidRPr="00A109AE" w:rsidR="00A109AE">
        <w:t>’</w:t>
      </w:r>
      <w:r w:rsidRPr="00A109AE">
        <w:t>État ayant statué sur les questions soulevées en l</w:t>
      </w:r>
      <w:r w:rsidRPr="00A109AE" w:rsidR="00A109AE">
        <w:t>’</w:t>
      </w:r>
      <w:r w:rsidRPr="00A109AE">
        <w:t>espèce par ses arrêts concernant le club nautique, l</w:t>
      </w:r>
      <w:r w:rsidRPr="00A109AE" w:rsidR="00A109AE">
        <w:t>’</w:t>
      </w:r>
      <w:r w:rsidRPr="00A109AE">
        <w:t>exercice par lui d</w:t>
      </w:r>
      <w:r w:rsidRPr="00A109AE" w:rsidR="00A109AE">
        <w:t>’</w:t>
      </w:r>
      <w:r w:rsidRPr="00A109AE">
        <w:t>un recours devant cette juridiction n</w:t>
      </w:r>
      <w:r w:rsidRPr="00A109AE" w:rsidR="00A109AE">
        <w:t>’</w:t>
      </w:r>
      <w:r w:rsidRPr="00A109AE">
        <w:t>aurait été ni raisonnable ni effectif.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44</w:t>
      </w:r>
      <w:r w:rsidRPr="00A109AE">
        <w:fldChar w:fldCharType="end"/>
      </w:r>
      <w:r w:rsidRPr="00A109AE">
        <w:t>.  La Cour considère que l</w:t>
      </w:r>
      <w:r w:rsidRPr="00A109AE" w:rsidR="00A109AE">
        <w:t>’</w:t>
      </w:r>
      <w:r w:rsidRPr="00A109AE">
        <w:t>exception soulevée par le Gouvernement revient en réalité à alléguer que le second requérant ne revêt pas la qualité de « victime ». C</w:t>
      </w:r>
      <w:r w:rsidRPr="00A109AE" w:rsidR="00A109AE">
        <w:t>’</w:t>
      </w:r>
      <w:r w:rsidRPr="00A109AE">
        <w:t>est sous cet angle que la Cour examinera l</w:t>
      </w:r>
      <w:r w:rsidRPr="00A109AE" w:rsidR="00A109AE">
        <w:t>’</w:t>
      </w:r>
      <w:r w:rsidRPr="00A109AE">
        <w:t>exception.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45</w:t>
      </w:r>
      <w:r w:rsidRPr="00A109AE">
        <w:fldChar w:fldCharType="end"/>
      </w:r>
      <w:r w:rsidRPr="00A109AE">
        <w:t>.  La Cour réitère sa jurisprudence selon laquelle une personne ne saurait se plaindre de la violation de ses droits dans le cadre d</w:t>
      </w:r>
      <w:r w:rsidRPr="00A109AE" w:rsidR="00A109AE">
        <w:t>’</w:t>
      </w:r>
      <w:r w:rsidRPr="00A109AE">
        <w:t>une procédure à laquelle elle n</w:t>
      </w:r>
      <w:r w:rsidRPr="00A109AE" w:rsidR="00A109AE">
        <w:t>’</w:t>
      </w:r>
      <w:r w:rsidRPr="00A109AE">
        <w:t>était pas partie, malgré sa qualité d</w:t>
      </w:r>
      <w:r w:rsidRPr="00A109AE" w:rsidR="00A109AE">
        <w:t>’</w:t>
      </w:r>
      <w:r w:rsidRPr="00A109AE">
        <w:t>actionnaire et/ou de dirigeant d</w:t>
      </w:r>
      <w:r w:rsidRPr="00A109AE" w:rsidR="00A109AE">
        <w:t>’</w:t>
      </w:r>
      <w:r w:rsidRPr="00A109AE">
        <w:t>une société qui était partie à la procédure. Faire abstraction de la personnalité juridique d</w:t>
      </w:r>
      <w:r w:rsidRPr="00A109AE" w:rsidR="00A109AE">
        <w:t>’</w:t>
      </w:r>
      <w:r w:rsidRPr="00A109AE">
        <w:t>une société ne se justifie que dans des circonstances exceptionnelles, notamment lorsqu</w:t>
      </w:r>
      <w:r w:rsidRPr="00A109AE" w:rsidR="00A109AE">
        <w:t>’</w:t>
      </w:r>
      <w:r w:rsidRPr="00A109AE">
        <w:t>il est clairement établi que la société se trouve dans l</w:t>
      </w:r>
      <w:r w:rsidRPr="00A109AE" w:rsidR="00A109AE">
        <w:t>’</w:t>
      </w:r>
      <w:r w:rsidRPr="00A109AE">
        <w:t>impossibilité de saisir les organes de la Convention par l</w:t>
      </w:r>
      <w:r w:rsidRPr="00A109AE" w:rsidR="00A109AE">
        <w:t>’</w:t>
      </w:r>
      <w:r w:rsidRPr="00A109AE">
        <w:t>intermédiaire de ses organes statutaires (</w:t>
      </w:r>
      <w:r w:rsidRPr="00A109AE">
        <w:rPr>
          <w:i/>
        </w:rPr>
        <w:t xml:space="preserve">Centro Europa 7 </w:t>
      </w:r>
      <w:proofErr w:type="spellStart"/>
      <w:r w:rsidRPr="00A109AE">
        <w:rPr>
          <w:i/>
        </w:rPr>
        <w:t>S.r.l</w:t>
      </w:r>
      <w:proofErr w:type="spellEnd"/>
      <w:r w:rsidRPr="00A109AE">
        <w:rPr>
          <w:i/>
        </w:rPr>
        <w:t>. et Di Stefano c. Italie</w:t>
      </w:r>
      <w:r w:rsidRPr="00A109AE">
        <w:t xml:space="preserve"> [GC], n</w:t>
      </w:r>
      <w:r w:rsidRPr="00A109AE">
        <w:rPr>
          <w:vertAlign w:val="superscript"/>
        </w:rPr>
        <w:t>o</w:t>
      </w:r>
      <w:r w:rsidRPr="00A109AE">
        <w:t xml:space="preserve"> </w:t>
      </w:r>
      <w:r w:rsidRPr="00A109AE">
        <w:rPr>
          <w:szCs w:val="24"/>
        </w:rPr>
        <w:t>38433/09, § 92, CEDH 2012). En l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espèce, la Cour note qu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en dépit de sa qualité de président du conseil d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administration du club nautique et de représentant légal de celui-ci, le second requérant n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a pas été partie à la procédure devant le Conseil d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 xml:space="preserve">État. </w:t>
      </w:r>
      <w:r w:rsidRPr="00A109AE">
        <w:t>Par conséquent, elle ne saurait considérer ce requérant comme une « victime », au sens de l</w:t>
      </w:r>
      <w:r w:rsidRPr="00A109AE" w:rsidR="00A109AE">
        <w:t>’</w:t>
      </w:r>
      <w:r w:rsidRPr="00A109AE">
        <w:t>article 34 de la Convention, des faits qu</w:t>
      </w:r>
      <w:r w:rsidRPr="00A109AE" w:rsidR="00A109AE">
        <w:t>’</w:t>
      </w:r>
      <w:r w:rsidRPr="00A109AE">
        <w:t>il dénonce.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46</w:t>
      </w:r>
      <w:r w:rsidRPr="00A109AE">
        <w:fldChar w:fldCharType="end"/>
      </w:r>
      <w:r w:rsidRPr="00A109AE">
        <w:t>.  </w:t>
      </w:r>
      <w:r w:rsidRPr="00A109AE">
        <w:rPr>
          <w:lang w:eastAsia="en-GB"/>
        </w:rPr>
        <w:t xml:space="preserve">A la lumière de ce qui précède, la Cour conclut que la partie des requêtes concernant les griefs soulevés par le second requérant est incompatible </w:t>
      </w:r>
      <w:proofErr w:type="spellStart"/>
      <w:r w:rsidRPr="00A109AE">
        <w:rPr>
          <w:i/>
          <w:iCs/>
          <w:lang w:eastAsia="en-GB"/>
        </w:rPr>
        <w:t>ratione</w:t>
      </w:r>
      <w:proofErr w:type="spellEnd"/>
      <w:r w:rsidRPr="00A109AE">
        <w:rPr>
          <w:i/>
          <w:iCs/>
          <w:lang w:eastAsia="en-GB"/>
        </w:rPr>
        <w:t xml:space="preserve"> personae </w:t>
      </w:r>
      <w:r w:rsidRPr="00A109AE">
        <w:rPr>
          <w:lang w:eastAsia="en-GB"/>
        </w:rPr>
        <w:t>avec les dispositions de la Convention</w:t>
      </w:r>
      <w:r w:rsidRPr="00A109AE">
        <w:rPr>
          <w:i/>
          <w:iCs/>
          <w:lang w:eastAsia="en-GB"/>
        </w:rPr>
        <w:t xml:space="preserve"> </w:t>
      </w:r>
      <w:r w:rsidRPr="00A109AE">
        <w:t>au sens de l</w:t>
      </w:r>
      <w:r w:rsidRPr="00A109AE" w:rsidR="00A109AE">
        <w:t>’</w:t>
      </w:r>
      <w:r w:rsidRPr="00A109AE">
        <w:t>article 35 § 3 a), et doit être rejetée en application de l</w:t>
      </w:r>
      <w:r w:rsidRPr="00A109AE" w:rsidR="00A109AE">
        <w:t>’</w:t>
      </w:r>
      <w:r w:rsidRPr="00A109AE">
        <w:t>article</w:t>
      </w:r>
      <w:r w:rsidRPr="00A109AE" w:rsidR="003546A1">
        <w:t> </w:t>
      </w:r>
      <w:r w:rsidRPr="00A109AE">
        <w:t>35</w:t>
      </w:r>
      <w:r w:rsidRPr="00A109AE" w:rsidR="00A109AE">
        <w:t xml:space="preserve"> </w:t>
      </w:r>
      <w:r w:rsidRPr="00A109AE">
        <w:t>§</w:t>
      </w:r>
      <w:r w:rsidRPr="00A109AE" w:rsidR="003546A1">
        <w:t> </w:t>
      </w:r>
      <w:r w:rsidRPr="00A109AE">
        <w:t>4.</w:t>
      </w:r>
    </w:p>
    <w:p w:rsidRPr="00A109AE" w:rsidR="00E04BAF" w:rsidP="00A109AE" w:rsidRDefault="00E04BAF">
      <w:pPr>
        <w:pStyle w:val="JuH1"/>
      </w:pPr>
      <w:r w:rsidRPr="00A109AE">
        <w:t>Le premier requérant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47</w:t>
      </w:r>
      <w:r w:rsidRPr="00A109AE">
        <w:fldChar w:fldCharType="end"/>
      </w:r>
      <w:r w:rsidRPr="00A109AE">
        <w:t>.  Le Gouvernement indique, s</w:t>
      </w:r>
      <w:r w:rsidRPr="00A109AE" w:rsidR="00A109AE">
        <w:t>’</w:t>
      </w:r>
      <w:r w:rsidRPr="00A109AE">
        <w:t>agissant du premier requérant, que le recours contre la décision ministérielle n</w:t>
      </w:r>
      <w:r w:rsidRPr="00A109AE">
        <w:rPr>
          <w:vertAlign w:val="superscript"/>
        </w:rPr>
        <w:t>o</w:t>
      </w:r>
      <w:r w:rsidRPr="00A109AE">
        <w:t> 14004/2009, dont la validité prenait fin le 31 décembre 2009, a été introduit postérieurement à cette date, à savoir le 27 octobre 2010, et que le Conseil d</w:t>
      </w:r>
      <w:r w:rsidRPr="00A109AE" w:rsidR="00A109AE">
        <w:t>’</w:t>
      </w:r>
      <w:r w:rsidRPr="00A109AE">
        <w:t>État l</w:t>
      </w:r>
      <w:r w:rsidRPr="00A109AE" w:rsidR="00A109AE">
        <w:t>’</w:t>
      </w:r>
      <w:r w:rsidRPr="00A109AE">
        <w:t>a par conséquent déclaré irrecevable. Il dit en outre que, dans le cadre du recours en annulation de la décision ministérielle n</w:t>
      </w:r>
      <w:r w:rsidRPr="00A109AE">
        <w:rPr>
          <w:vertAlign w:val="superscript"/>
        </w:rPr>
        <w:t>o</w:t>
      </w:r>
      <w:r w:rsidRPr="00A109AE">
        <w:t> 9051/2010, le premier requérant n</w:t>
      </w:r>
      <w:r w:rsidRPr="00A109AE" w:rsidR="00A109AE">
        <w:t>’</w:t>
      </w:r>
      <w:r w:rsidRPr="00A109AE">
        <w:t>a pas fait usage de la possibilité offerte par l</w:t>
      </w:r>
      <w:r w:rsidRPr="00A109AE" w:rsidR="00A109AE">
        <w:t>’article 32 § 2 du décret </w:t>
      </w:r>
      <w:r w:rsidRPr="00A109AE">
        <w:t>n</w:t>
      </w:r>
      <w:r w:rsidRPr="00A109AE">
        <w:rPr>
          <w:vertAlign w:val="superscript"/>
        </w:rPr>
        <w:t>o</w:t>
      </w:r>
      <w:r w:rsidRPr="00A109AE" w:rsidR="003546A1">
        <w:rPr>
          <w:vertAlign w:val="superscript"/>
        </w:rPr>
        <w:t> </w:t>
      </w:r>
      <w:r w:rsidRPr="00A109AE">
        <w:t>18/1989 et n</w:t>
      </w:r>
      <w:r w:rsidRPr="00A109AE" w:rsidR="00A109AE">
        <w:t>’</w:t>
      </w:r>
      <w:r w:rsidRPr="00A109AE">
        <w:t>a pas demandé la poursuite de la procédure, pas même oralement à l</w:t>
      </w:r>
      <w:r w:rsidRPr="00A109AE" w:rsidR="00A109AE">
        <w:t>’</w:t>
      </w:r>
      <w:r w:rsidRPr="00A109AE">
        <w:t>audience, et que le Conseil d</w:t>
      </w:r>
      <w:r w:rsidRPr="00A109AE" w:rsidR="00A109AE">
        <w:t>’</w:t>
      </w:r>
      <w:r w:rsidRPr="00A109AE">
        <w:t>État a de la sorte considéré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y avait pas de raison de poursuivre la procédure. Il expose enfin ce qui suit : étant donné que le premier requérant avait introduit un recours autonome contre la décision ministérielle n</w:t>
      </w:r>
      <w:r w:rsidRPr="00A109AE">
        <w:rPr>
          <w:vertAlign w:val="superscript"/>
        </w:rPr>
        <w:t>o</w:t>
      </w:r>
      <w:r w:rsidRPr="00A109AE">
        <w:t> 6866/2012, l</w:t>
      </w:r>
      <w:r w:rsidRPr="00A109AE" w:rsidR="00A109AE">
        <w:t>’</w:t>
      </w:r>
      <w:r w:rsidRPr="00A109AE">
        <w:t>application du paragraphe 3 de l</w:t>
      </w:r>
      <w:r w:rsidRPr="00A109AE" w:rsidR="00A109AE">
        <w:t>’</w:t>
      </w:r>
      <w:r w:rsidRPr="00A109AE">
        <w:t>article 32 dudit décret, qui permet la poursuite de la procédure, n</w:t>
      </w:r>
      <w:r w:rsidRPr="00A109AE" w:rsidR="00A109AE">
        <w:t>’</w:t>
      </w:r>
      <w:r w:rsidRPr="00A109AE">
        <w:t>était pas possible, et le Conseil d</w:t>
      </w:r>
      <w:r w:rsidRPr="00A109AE" w:rsidR="00A109AE">
        <w:t>’</w:t>
      </w:r>
      <w:r w:rsidRPr="00A109AE">
        <w:t>État a donc rejeté la demande du premier requérant fondée sur le paragraphe 3 de l</w:t>
      </w:r>
      <w:r w:rsidRPr="00A109AE" w:rsidR="00A109AE">
        <w:t>’</w:t>
      </w:r>
      <w:r w:rsidRPr="00A109AE" w:rsidR="007843EA">
        <w:t>article </w:t>
      </w:r>
      <w:r w:rsidRPr="00A109AE">
        <w:t>32 susmentionné. Pour le Gouvernement, le premier requérant n</w:t>
      </w:r>
      <w:r w:rsidRPr="00A109AE" w:rsidR="00A109AE">
        <w:t>’</w:t>
      </w:r>
      <w:r w:rsidRPr="00A109AE">
        <w:t>a donc pas utilisé correctement les voies de recours ouvertes en droit interne.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48</w:t>
      </w:r>
      <w:r w:rsidRPr="00A109AE">
        <w:fldChar w:fldCharType="end"/>
      </w:r>
      <w:r w:rsidRPr="00A109AE">
        <w:t>.  Le premier requérant soutient qu</w:t>
      </w:r>
      <w:r w:rsidRPr="00A109AE" w:rsidR="00A109AE">
        <w:t>’</w:t>
      </w:r>
      <w:r w:rsidRPr="00A109AE">
        <w:t>il a épuisé les voies de recours internes et énumère toutes les démarches qu</w:t>
      </w:r>
      <w:r w:rsidRPr="00A109AE" w:rsidR="00A109AE">
        <w:t>’</w:t>
      </w:r>
      <w:r w:rsidRPr="00A109AE">
        <w:t>il a entreprises en ce sens. Il indique que son recours en annulation visait trois décisions ministérielles et que, par conséquent, la déclaration d</w:t>
      </w:r>
      <w:r w:rsidRPr="00A109AE" w:rsidR="00A109AE">
        <w:t>’</w:t>
      </w:r>
      <w:r w:rsidRPr="00A109AE">
        <w:t>irrecevabilité de leur premier recours au motif de la fin de validité de la première décision ministérielle à la date d</w:t>
      </w:r>
      <w:r w:rsidRPr="00A109AE" w:rsidR="00A109AE">
        <w:t>’</w:t>
      </w:r>
      <w:r w:rsidRPr="00A109AE">
        <w:t>introduction de ce recours n</w:t>
      </w:r>
      <w:r w:rsidRPr="00A109AE" w:rsidR="00A109AE">
        <w:t>’</w:t>
      </w:r>
      <w:r w:rsidRPr="00A109AE">
        <w:t>est pas pertinente aux fins de l</w:t>
      </w:r>
      <w:r w:rsidRPr="00A109AE" w:rsidR="00A109AE">
        <w:t>’</w:t>
      </w:r>
      <w:r w:rsidRPr="00A109AE">
        <w:t>épuisement des voies de recours internes.</w:t>
      </w:r>
    </w:p>
    <w:p w:rsidRPr="00A109AE" w:rsidR="00E04BAF" w:rsidP="00A109AE" w:rsidRDefault="00E04BAF">
      <w:pPr>
        <w:pStyle w:val="JuPara"/>
        <w:rPr>
          <w:u w:val="single"/>
        </w:rPr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49</w:t>
      </w:r>
      <w:r w:rsidRPr="00A109AE">
        <w:fldChar w:fldCharType="end"/>
      </w:r>
      <w:r w:rsidRPr="00A109AE">
        <w:t>.  La Cour rappelle que l</w:t>
      </w:r>
      <w:r w:rsidRPr="00A109AE" w:rsidR="00A109AE">
        <w:t>’</w:t>
      </w:r>
      <w:r w:rsidRPr="00A109AE">
        <w:t>obligation d</w:t>
      </w:r>
      <w:r w:rsidRPr="00A109AE" w:rsidR="00A109AE">
        <w:t>’</w:t>
      </w:r>
      <w:r w:rsidRPr="00A109AE">
        <w:t xml:space="preserve">épuiser les recours internes impose </w:t>
      </w:r>
      <w:r w:rsidRPr="00A109AE">
        <w:rPr>
          <w:szCs w:val="24"/>
        </w:rPr>
        <w:t>aux requérants de faire un usage normal des recours disponibles et suffisants pour leur permettre d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obtenir réparation des violations qu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ils allèguent. Ces recours doivent exister à un degré suffisant de certitude, en pratique comme en théorie, sans quoi leur manquent l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effectivité et l</w:t>
      </w:r>
      <w:r w:rsidRPr="00A109AE" w:rsidR="00A109AE">
        <w:rPr>
          <w:szCs w:val="24"/>
        </w:rPr>
        <w:t>’</w:t>
      </w:r>
      <w:r w:rsidRPr="00A109AE">
        <w:rPr>
          <w:szCs w:val="24"/>
        </w:rPr>
        <w:t>accessibilité voulues (</w:t>
      </w:r>
      <w:proofErr w:type="spellStart"/>
      <w:r w:rsidRPr="00A109AE">
        <w:rPr>
          <w:i/>
        </w:rPr>
        <w:t>Vučković</w:t>
      </w:r>
      <w:proofErr w:type="spellEnd"/>
      <w:r w:rsidRPr="00A109AE">
        <w:rPr>
          <w:i/>
        </w:rPr>
        <w:t xml:space="preserve"> et autres c. Serbie</w:t>
      </w:r>
      <w:r w:rsidRPr="00A109AE">
        <w:rPr>
          <w:iCs/>
          <w:szCs w:val="24"/>
        </w:rPr>
        <w:t xml:space="preserve"> (exception préliminaire) [GC], n</w:t>
      </w:r>
      <w:r w:rsidRPr="00A109AE">
        <w:rPr>
          <w:iCs/>
          <w:szCs w:val="24"/>
          <w:vertAlign w:val="superscript"/>
        </w:rPr>
        <w:t>os</w:t>
      </w:r>
      <w:r w:rsidRPr="00A109AE">
        <w:rPr>
          <w:iCs/>
          <w:szCs w:val="24"/>
        </w:rPr>
        <w:t xml:space="preserve"> 17153/11 et 29 autres, § 71, 25 mars 2014). </w:t>
      </w:r>
      <w:r w:rsidRPr="00A109AE">
        <w:t>Rien n</w:t>
      </w:r>
      <w:r w:rsidRPr="00A109AE" w:rsidR="00A109AE">
        <w:t>’</w:t>
      </w:r>
      <w:r w:rsidRPr="00A109AE">
        <w:t>impose d</w:t>
      </w:r>
      <w:r w:rsidRPr="00A109AE" w:rsidR="00A109AE">
        <w:t>’</w:t>
      </w:r>
      <w:r w:rsidRPr="00A109AE">
        <w:t>user de recours qui ne sont ni adéquats ni effectifs. De plus, selon les « principes de droit international généralement reconnus », certaines circonstances particulières peuvent dispenser les requérants de l</w:t>
      </w:r>
      <w:r w:rsidRPr="00A109AE" w:rsidR="00A109AE">
        <w:t>’</w:t>
      </w:r>
      <w:r w:rsidRPr="00A109AE">
        <w:t>obligation d</w:t>
      </w:r>
      <w:r w:rsidRPr="00A109AE" w:rsidR="00A109AE">
        <w:t>’</w:t>
      </w:r>
      <w:r w:rsidRPr="00A109AE">
        <w:t>épuiser les recours internes qui s</w:t>
      </w:r>
      <w:r w:rsidRPr="00A109AE" w:rsidR="00A109AE">
        <w:t>’</w:t>
      </w:r>
      <w:r w:rsidRPr="00A109AE">
        <w:t>offrent à eux (</w:t>
      </w:r>
      <w:r w:rsidRPr="00A109AE">
        <w:rPr>
          <w:i/>
        </w:rPr>
        <w:t>ibidem</w:t>
      </w:r>
      <w:r w:rsidRPr="00A109AE">
        <w:t>, § 73). Enfin, si une personne a plusieurs recours internes à sa disposition, elle est en droit d</w:t>
      </w:r>
      <w:r w:rsidRPr="00A109AE" w:rsidR="00A109AE">
        <w:t>’</w:t>
      </w:r>
      <w:r w:rsidRPr="00A109AE">
        <w:t>en choisir un susceptible d</w:t>
      </w:r>
      <w:r w:rsidRPr="00A109AE" w:rsidR="00A109AE">
        <w:t>’</w:t>
      </w:r>
      <w:r w:rsidRPr="00A109AE">
        <w:t>aboutir au redressement de son principal grief. En d</w:t>
      </w:r>
      <w:r w:rsidRPr="00A109AE" w:rsidR="00A109AE">
        <w:t>’</w:t>
      </w:r>
      <w:r w:rsidRPr="00A109AE">
        <w:t>autres termes, lorsqu</w:t>
      </w:r>
      <w:r w:rsidRPr="00A109AE" w:rsidR="00A109AE">
        <w:t>’</w:t>
      </w:r>
      <w:r w:rsidRPr="00A109AE">
        <w:t>une voie de recours a été utilisée, l</w:t>
      </w:r>
      <w:r w:rsidRPr="00A109AE" w:rsidR="00A109AE">
        <w:t>’</w:t>
      </w:r>
      <w:r w:rsidRPr="00A109AE">
        <w:t>usage d</w:t>
      </w:r>
      <w:r w:rsidRPr="00A109AE" w:rsidR="00A109AE">
        <w:t>’</w:t>
      </w:r>
      <w:r w:rsidRPr="00A109AE">
        <w:t>une autre voie dont le but est pratiquement le même n</w:t>
      </w:r>
      <w:r w:rsidRPr="00A109AE" w:rsidR="00A109AE">
        <w:t>’</w:t>
      </w:r>
      <w:r w:rsidRPr="00A109AE">
        <w:t>est pas exigé (</w:t>
      </w:r>
      <w:proofErr w:type="spellStart"/>
      <w:r w:rsidRPr="00A109AE">
        <w:rPr>
          <w:i/>
        </w:rPr>
        <w:t>O</w:t>
      </w:r>
      <w:r w:rsidRPr="00A109AE" w:rsidR="00A109AE">
        <w:rPr>
          <w:i/>
        </w:rPr>
        <w:t>’</w:t>
      </w:r>
      <w:r w:rsidRPr="00A109AE">
        <w:rPr>
          <w:i/>
        </w:rPr>
        <w:t>Keeffe</w:t>
      </w:r>
      <w:proofErr w:type="spellEnd"/>
      <w:r w:rsidRPr="00A109AE">
        <w:rPr>
          <w:i/>
        </w:rPr>
        <w:t xml:space="preserve"> c. Irlande</w:t>
      </w:r>
      <w:r w:rsidRPr="00A109AE">
        <w:t xml:space="preserve"> [GC], n</w:t>
      </w:r>
      <w:r w:rsidRPr="00A109AE">
        <w:rPr>
          <w:vertAlign w:val="superscript"/>
        </w:rPr>
        <w:t>o</w:t>
      </w:r>
      <w:r w:rsidRPr="00A109AE">
        <w:t> 35810/09, §§ 109-111, CEDH 2014).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50</w:t>
      </w:r>
      <w:r w:rsidRPr="00A109AE">
        <w:fldChar w:fldCharType="end"/>
      </w:r>
      <w:r w:rsidRPr="00A109AE">
        <w:t>.  La Cour relève que le premier requérant a introduit devant le Conseil d</w:t>
      </w:r>
      <w:r w:rsidRPr="00A109AE" w:rsidR="00A109AE">
        <w:t>’</w:t>
      </w:r>
      <w:r w:rsidRPr="00A109AE">
        <w:t xml:space="preserve">État deux recours en annulation contre les décisions ministérielles </w:t>
      </w:r>
      <w:r w:rsidRPr="00A109AE">
        <w:rPr>
          <w:iCs/>
        </w:rPr>
        <w:t>n</w:t>
      </w:r>
      <w:r w:rsidRPr="00A109AE">
        <w:rPr>
          <w:iCs/>
          <w:vertAlign w:val="superscript"/>
        </w:rPr>
        <w:t>os</w:t>
      </w:r>
      <w:r w:rsidRPr="00A109AE">
        <w:t> 14004/2009, 9051/2010 et 6866/2012 et quatre demandes de poursuite de la procédure fondées sur l</w:t>
      </w:r>
      <w:r w:rsidRPr="00A109AE" w:rsidR="00A109AE">
        <w:t>’</w:t>
      </w:r>
      <w:r w:rsidRPr="00A109AE">
        <w:t>article 32 §§ 2 et 3 du décret n</w:t>
      </w:r>
      <w:r w:rsidRPr="00A109AE">
        <w:rPr>
          <w:vertAlign w:val="superscript"/>
        </w:rPr>
        <w:t>o</w:t>
      </w:r>
      <w:r w:rsidRPr="00A109AE">
        <w:t xml:space="preserve"> 18/1989, à savoir une le 17 septembre 2012 (paragraphe 1</w:t>
      </w:r>
      <w:r w:rsidRPr="00A109AE" w:rsidR="00D0111C">
        <w:t>4</w:t>
      </w:r>
      <w:r w:rsidRPr="00A109AE">
        <w:t xml:space="preserve"> ci-dessus), une le 24 novembre 2014 (paragraphe 1</w:t>
      </w:r>
      <w:r w:rsidRPr="00A109AE" w:rsidR="00D0111C">
        <w:t>9</w:t>
      </w:r>
      <w:r w:rsidRPr="00A109AE">
        <w:t xml:space="preserve"> ci-dessus) et deux le 10 novembre 2016, soit après l</w:t>
      </w:r>
      <w:r w:rsidRPr="00A109AE" w:rsidR="00A109AE">
        <w:t>’</w:t>
      </w:r>
      <w:r w:rsidRPr="00A109AE">
        <w:t>adoption et l</w:t>
      </w:r>
      <w:r w:rsidRPr="00A109AE" w:rsidR="00A109AE">
        <w:t>’</w:t>
      </w:r>
      <w:r w:rsidRPr="00A109AE">
        <w:t>entrée en vigueur des lois n</w:t>
      </w:r>
      <w:r w:rsidRPr="00A109AE">
        <w:rPr>
          <w:vertAlign w:val="superscript"/>
        </w:rPr>
        <w:t>o</w:t>
      </w:r>
      <w:r w:rsidRPr="00A109AE" w:rsidR="00A109AE">
        <w:t xml:space="preserve"> 4179/2013 et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4254/2014, qui ont eu pour effet de fixer l</w:t>
      </w:r>
      <w:r w:rsidRPr="00A109AE" w:rsidR="00A109AE">
        <w:t>’</w:t>
      </w:r>
      <w:r w:rsidRPr="00A109AE">
        <w:t>issue de la procédure devant le Conseil d</w:t>
      </w:r>
      <w:r w:rsidRPr="00A109AE" w:rsidR="00A109AE">
        <w:t>’</w:t>
      </w:r>
      <w:r w:rsidRPr="00A109AE">
        <w:t>État (paragraphe 2</w:t>
      </w:r>
      <w:r w:rsidRPr="00A109AE" w:rsidR="00D0111C">
        <w:t>1</w:t>
      </w:r>
      <w:r w:rsidRPr="00A109AE">
        <w:t xml:space="preserve"> ci-dessus). Eu égard à ces considérations, la Cour ne saurait suivre le Gouvernement quant à ses allégations selon lesquelles le premier requérant a omis d</w:t>
      </w:r>
      <w:r w:rsidRPr="00A109AE" w:rsidR="00A109AE">
        <w:t>’</w:t>
      </w:r>
      <w:r w:rsidRPr="00A109AE">
        <w:t>exercer certains recours qui auraient pu être déterminants aux fins de l</w:t>
      </w:r>
      <w:r w:rsidRPr="00A109AE" w:rsidR="00A109AE">
        <w:t>’</w:t>
      </w:r>
      <w:r w:rsidRPr="00A109AE">
        <w:t>article 35 § 1 de la Convention.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51</w:t>
      </w:r>
      <w:r w:rsidRPr="00A109AE">
        <w:fldChar w:fldCharType="end"/>
      </w:r>
      <w:r w:rsidRPr="00A109AE">
        <w:t>.  Dès lors, la Cour rejette l</w:t>
      </w:r>
      <w:r w:rsidRPr="00A109AE" w:rsidR="00A109AE">
        <w:t>’</w:t>
      </w:r>
      <w:r w:rsidRPr="00A109AE">
        <w:t>exception de non-épuisement des voies de recours internes soulevée par le Gouvernement à l</w:t>
      </w:r>
      <w:r w:rsidRPr="00A109AE" w:rsidR="00A109AE">
        <w:t>’</w:t>
      </w:r>
      <w:r w:rsidRPr="00A109AE">
        <w:t>égard du premier requérant.</w:t>
      </w:r>
    </w:p>
    <w:p w:rsidRPr="00A109AE" w:rsidR="00E04BAF" w:rsidP="00A109AE" w:rsidRDefault="00E04BAF">
      <w:pPr>
        <w:pStyle w:val="JuPara"/>
        <w:rPr>
          <w:bCs/>
        </w:rPr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52</w:t>
      </w:r>
      <w:r w:rsidRPr="00A109AE">
        <w:fldChar w:fldCharType="end"/>
      </w:r>
      <w:r w:rsidRPr="00A109AE">
        <w:t>.  </w:t>
      </w:r>
      <w:r w:rsidRPr="00A109AE" w:rsidR="009E2D99">
        <w:rPr>
          <w:bCs/>
        </w:rPr>
        <w:t>En outre, la Cour rappelle sa jurisprudence selon laquelle elle n</w:t>
      </w:r>
      <w:r w:rsidRPr="00A109AE" w:rsidR="00A109AE">
        <w:rPr>
          <w:bCs/>
        </w:rPr>
        <w:t>’</w:t>
      </w:r>
      <w:r w:rsidRPr="00A109AE" w:rsidR="009E2D99">
        <w:rPr>
          <w:bCs/>
        </w:rPr>
        <w:t>a pas accordé le statut de victime aux associations dont les intérêts n</w:t>
      </w:r>
      <w:r w:rsidRPr="00A109AE" w:rsidR="00A109AE">
        <w:rPr>
          <w:bCs/>
        </w:rPr>
        <w:t>’</w:t>
      </w:r>
      <w:r w:rsidRPr="00A109AE" w:rsidR="009E2D99">
        <w:rPr>
          <w:bCs/>
        </w:rPr>
        <w:t>étaient pas en jeu, même si les intérêts de leurs membres – ou de certains d</w:t>
      </w:r>
      <w:r w:rsidRPr="00A109AE" w:rsidR="00A109AE">
        <w:rPr>
          <w:bCs/>
        </w:rPr>
        <w:t>’</w:t>
      </w:r>
      <w:r w:rsidRPr="00A109AE" w:rsidR="009E2D99">
        <w:rPr>
          <w:bCs/>
        </w:rPr>
        <w:t>entre eux  – pouvaient l</w:t>
      </w:r>
      <w:r w:rsidRPr="00A109AE" w:rsidR="00A109AE">
        <w:rPr>
          <w:bCs/>
        </w:rPr>
        <w:t>’</w:t>
      </w:r>
      <w:r w:rsidRPr="00A109AE" w:rsidR="009E2D99">
        <w:rPr>
          <w:bCs/>
        </w:rPr>
        <w:t>être (</w:t>
      </w:r>
      <w:r w:rsidRPr="00A109AE" w:rsidR="009E2D99">
        <w:rPr>
          <w:bCs/>
          <w:snapToGrid w:val="0"/>
        </w:rPr>
        <w:t>voir, parmi d</w:t>
      </w:r>
      <w:r w:rsidRPr="00A109AE" w:rsidR="00A109AE">
        <w:rPr>
          <w:bCs/>
          <w:snapToGrid w:val="0"/>
        </w:rPr>
        <w:t>’</w:t>
      </w:r>
      <w:r w:rsidRPr="00A109AE" w:rsidR="009E2D99">
        <w:rPr>
          <w:bCs/>
          <w:snapToGrid w:val="0"/>
        </w:rPr>
        <w:t xml:space="preserve">autres, </w:t>
      </w:r>
      <w:r w:rsidRPr="00A109AE" w:rsidR="009E2D99">
        <w:rPr>
          <w:bCs/>
          <w:i/>
          <w:iCs/>
        </w:rPr>
        <w:t>Association des amis de Saint-Raphaël et de Fréjus et autres</w:t>
      </w:r>
      <w:r w:rsidRPr="00A109AE" w:rsidR="009E2D99">
        <w:rPr>
          <w:bCs/>
          <w:i/>
          <w:iCs/>
          <w:snapToGrid w:val="0"/>
        </w:rPr>
        <w:t xml:space="preserve"> c. France</w:t>
      </w:r>
      <w:r w:rsidRPr="00A109AE" w:rsidR="009E2D99">
        <w:rPr>
          <w:bCs/>
          <w:snapToGrid w:val="0"/>
        </w:rPr>
        <w:t xml:space="preserve"> (déc.), n</w:t>
      </w:r>
      <w:r w:rsidRPr="00A109AE" w:rsidR="009E2D99">
        <w:rPr>
          <w:bCs/>
          <w:snapToGrid w:val="0"/>
          <w:vertAlign w:val="superscript"/>
        </w:rPr>
        <w:t>o</w:t>
      </w:r>
      <w:r w:rsidRPr="00A109AE" w:rsidR="009E2D99">
        <w:rPr>
          <w:bCs/>
          <w:snapToGrid w:val="0"/>
        </w:rPr>
        <w:t xml:space="preserve"> 45053/98, 29 février 2000, </w:t>
      </w:r>
      <w:proofErr w:type="spellStart"/>
      <w:r w:rsidRPr="00A109AE" w:rsidR="009E2D99">
        <w:rPr>
          <w:bCs/>
          <w:i/>
          <w:iCs/>
        </w:rPr>
        <w:t>Dayras</w:t>
      </w:r>
      <w:proofErr w:type="spellEnd"/>
      <w:r w:rsidRPr="00A109AE" w:rsidR="009E2D99">
        <w:rPr>
          <w:bCs/>
          <w:i/>
          <w:iCs/>
        </w:rPr>
        <w:t xml:space="preserve"> et autres et l</w:t>
      </w:r>
      <w:r w:rsidRPr="00A109AE" w:rsidR="00A109AE">
        <w:rPr>
          <w:bCs/>
          <w:i/>
          <w:iCs/>
        </w:rPr>
        <w:t>’</w:t>
      </w:r>
      <w:r w:rsidRPr="00A109AE" w:rsidR="009E2D99">
        <w:rPr>
          <w:bCs/>
          <w:i/>
          <w:iCs/>
        </w:rPr>
        <w:t>association « SOS Sexisme » c. France</w:t>
      </w:r>
      <w:r w:rsidRPr="00A109AE" w:rsidR="009E2D99">
        <w:rPr>
          <w:bCs/>
        </w:rPr>
        <w:t xml:space="preserve"> (déc.), n</w:t>
      </w:r>
      <w:r w:rsidRPr="00A109AE" w:rsidR="009E2D99">
        <w:rPr>
          <w:bCs/>
          <w:vertAlign w:val="superscript"/>
        </w:rPr>
        <w:t>o</w:t>
      </w:r>
      <w:r w:rsidRPr="00A109AE" w:rsidR="007B02C2">
        <w:rPr>
          <w:bCs/>
          <w:vertAlign w:val="superscript"/>
        </w:rPr>
        <w:t> </w:t>
      </w:r>
      <w:r w:rsidRPr="00A109AE" w:rsidR="009E2D99">
        <w:rPr>
          <w:bCs/>
        </w:rPr>
        <w:t xml:space="preserve">65390/01, 6 janvier 2005 ; </w:t>
      </w:r>
      <w:r w:rsidRPr="00A109AE" w:rsidR="009E2D99">
        <w:rPr>
          <w:bCs/>
          <w:i/>
          <w:iCs/>
        </w:rPr>
        <w:t>Grande Oriente d</w:t>
      </w:r>
      <w:r w:rsidRPr="00A109AE" w:rsidR="00A109AE">
        <w:rPr>
          <w:bCs/>
          <w:i/>
          <w:iCs/>
        </w:rPr>
        <w:t>’</w:t>
      </w:r>
      <w:proofErr w:type="spellStart"/>
      <w:r w:rsidRPr="00A109AE" w:rsidR="009E2D99">
        <w:rPr>
          <w:bCs/>
          <w:i/>
          <w:iCs/>
        </w:rPr>
        <w:t>Italia</w:t>
      </w:r>
      <w:proofErr w:type="spellEnd"/>
      <w:r w:rsidRPr="00A109AE" w:rsidR="009E2D99">
        <w:rPr>
          <w:bCs/>
          <w:i/>
          <w:iCs/>
        </w:rPr>
        <w:t xml:space="preserve"> di </w:t>
      </w:r>
      <w:proofErr w:type="spellStart"/>
      <w:r w:rsidRPr="00A109AE" w:rsidR="009E2D99">
        <w:rPr>
          <w:bCs/>
          <w:i/>
          <w:iCs/>
        </w:rPr>
        <w:t>Palazzo</w:t>
      </w:r>
      <w:proofErr w:type="spellEnd"/>
      <w:r w:rsidRPr="00A109AE" w:rsidR="009E2D99">
        <w:rPr>
          <w:bCs/>
          <w:i/>
          <w:iCs/>
        </w:rPr>
        <w:t xml:space="preserve"> </w:t>
      </w:r>
      <w:proofErr w:type="spellStart"/>
      <w:r w:rsidRPr="00A109AE" w:rsidR="009E2D99">
        <w:rPr>
          <w:bCs/>
          <w:i/>
          <w:iCs/>
        </w:rPr>
        <w:t>Giustiniani</w:t>
      </w:r>
      <w:proofErr w:type="spellEnd"/>
      <w:r w:rsidRPr="00A109AE" w:rsidR="009E2D99">
        <w:rPr>
          <w:bCs/>
          <w:i/>
          <w:iCs/>
        </w:rPr>
        <w:t xml:space="preserve"> c. Italie (n</w:t>
      </w:r>
      <w:r w:rsidRPr="00A109AE" w:rsidR="009E2D99">
        <w:rPr>
          <w:bCs/>
          <w:i/>
          <w:iCs/>
          <w:vertAlign w:val="superscript"/>
        </w:rPr>
        <w:t>o</w:t>
      </w:r>
      <w:r w:rsidRPr="00A109AE" w:rsidR="009E2D99">
        <w:rPr>
          <w:bCs/>
          <w:i/>
          <w:iCs/>
        </w:rPr>
        <w:t xml:space="preserve"> 2)</w:t>
      </w:r>
      <w:r w:rsidRPr="00A109AE" w:rsidR="009E2D99">
        <w:rPr>
          <w:bCs/>
        </w:rPr>
        <w:t>, n</w:t>
      </w:r>
      <w:r w:rsidRPr="00A109AE" w:rsidR="009E2D99">
        <w:rPr>
          <w:bCs/>
          <w:vertAlign w:val="superscript"/>
        </w:rPr>
        <w:t>o</w:t>
      </w:r>
      <w:r w:rsidRPr="00A109AE" w:rsidR="009E2D99">
        <w:rPr>
          <w:bCs/>
        </w:rPr>
        <w:t xml:space="preserve"> 26740/02, § 20, 31 mai 2007). Toutefois, la Cour note qu</w:t>
      </w:r>
      <w:r w:rsidRPr="00A109AE" w:rsidR="00A109AE">
        <w:rPr>
          <w:bCs/>
        </w:rPr>
        <w:t>’</w:t>
      </w:r>
      <w:r w:rsidRPr="00A109AE" w:rsidR="009E2D99">
        <w:rPr>
          <w:bCs/>
        </w:rPr>
        <w:t>en l</w:t>
      </w:r>
      <w:r w:rsidRPr="00A109AE" w:rsidR="00A109AE">
        <w:rPr>
          <w:bCs/>
        </w:rPr>
        <w:t>’</w:t>
      </w:r>
      <w:r w:rsidRPr="00A109AE" w:rsidR="009E2D99">
        <w:rPr>
          <w:bCs/>
        </w:rPr>
        <w:t>espèce, le premier requérant est une association dont l</w:t>
      </w:r>
      <w:r w:rsidRPr="00A109AE" w:rsidR="00A109AE">
        <w:rPr>
          <w:bCs/>
        </w:rPr>
        <w:t>’</w:t>
      </w:r>
      <w:r w:rsidRPr="00A109AE" w:rsidR="009E2D99">
        <w:rPr>
          <w:bCs/>
        </w:rPr>
        <w:t>un des buts principaux, tels qu</w:t>
      </w:r>
      <w:r w:rsidRPr="00A109AE" w:rsidR="00A109AE">
        <w:rPr>
          <w:bCs/>
        </w:rPr>
        <w:t>’</w:t>
      </w:r>
      <w:r w:rsidRPr="00A109AE" w:rsidR="009E2D99">
        <w:rPr>
          <w:bCs/>
        </w:rPr>
        <w:t>énoncé à l</w:t>
      </w:r>
      <w:r w:rsidRPr="00A109AE" w:rsidR="00A109AE">
        <w:rPr>
          <w:bCs/>
        </w:rPr>
        <w:t>’</w:t>
      </w:r>
      <w:r w:rsidRPr="00A109AE" w:rsidR="009E2D99">
        <w:rPr>
          <w:bCs/>
        </w:rPr>
        <w:t>article 2 de ses statuts, consiste en la protection et en la défense des droits de ses membres, entre autres, devant toute juridiction, lorsqu</w:t>
      </w:r>
      <w:r w:rsidRPr="00A109AE" w:rsidR="00A109AE">
        <w:rPr>
          <w:bCs/>
        </w:rPr>
        <w:t>’</w:t>
      </w:r>
      <w:r w:rsidRPr="00A109AE" w:rsidR="009E2D99">
        <w:rPr>
          <w:bCs/>
        </w:rPr>
        <w:t>il est nécessaire d</w:t>
      </w:r>
      <w:r w:rsidRPr="00A109AE" w:rsidR="00A109AE">
        <w:rPr>
          <w:bCs/>
        </w:rPr>
        <w:t>’</w:t>
      </w:r>
      <w:r w:rsidRPr="00A109AE" w:rsidR="009E2D99">
        <w:rPr>
          <w:bCs/>
        </w:rPr>
        <w:t>exercer des voies de recours judiciaires. Lui refuser la qualité de victime devant la Cour reviendrait à l</w:t>
      </w:r>
      <w:r w:rsidRPr="00A109AE" w:rsidR="00A109AE">
        <w:rPr>
          <w:bCs/>
        </w:rPr>
        <w:t>’</w:t>
      </w:r>
      <w:r w:rsidRPr="00A109AE" w:rsidR="009E2D99">
        <w:rPr>
          <w:bCs/>
        </w:rPr>
        <w:t>empêcher d</w:t>
      </w:r>
      <w:r w:rsidRPr="00A109AE" w:rsidR="00A109AE">
        <w:rPr>
          <w:bCs/>
        </w:rPr>
        <w:t>’</w:t>
      </w:r>
      <w:r w:rsidRPr="00A109AE" w:rsidR="009E2D99">
        <w:rPr>
          <w:bCs/>
        </w:rPr>
        <w:t xml:space="preserve">œuvrer à la réalisation de ses objectifs, les circonstances dénoncées dans la présente affaire ayant sans nul doute un impact sur ses activités (voir, </w:t>
      </w:r>
      <w:r w:rsidRPr="00A109AE" w:rsidR="009E2D99">
        <w:rPr>
          <w:bCs/>
          <w:i/>
          <w:iCs/>
        </w:rPr>
        <w:t>a contrario</w:t>
      </w:r>
      <w:r w:rsidRPr="00A109AE" w:rsidR="009E2D99">
        <w:rPr>
          <w:bCs/>
        </w:rPr>
        <w:t xml:space="preserve">, </w:t>
      </w:r>
      <w:proofErr w:type="spellStart"/>
      <w:r w:rsidRPr="00A109AE" w:rsidR="009E2D99">
        <w:rPr>
          <w:bCs/>
          <w:i/>
          <w:iCs/>
        </w:rPr>
        <w:t>Nencheva</w:t>
      </w:r>
      <w:proofErr w:type="spellEnd"/>
      <w:r w:rsidRPr="00A109AE" w:rsidR="009E2D99">
        <w:rPr>
          <w:bCs/>
          <w:i/>
          <w:iCs/>
        </w:rPr>
        <w:t xml:space="preserve"> et autres c. Bulgarie</w:t>
      </w:r>
      <w:r w:rsidRPr="00A109AE" w:rsidR="009E2D99">
        <w:rPr>
          <w:bCs/>
        </w:rPr>
        <w:t>, n</w:t>
      </w:r>
      <w:r w:rsidRPr="00A109AE" w:rsidR="007843EA">
        <w:rPr>
          <w:bCs/>
          <w:vertAlign w:val="superscript"/>
        </w:rPr>
        <w:t>o</w:t>
      </w:r>
      <w:r w:rsidRPr="00A109AE" w:rsidR="009E2D99">
        <w:rPr>
          <w:bCs/>
        </w:rPr>
        <w:t xml:space="preserve"> 48609/06, §</w:t>
      </w:r>
      <w:r w:rsidRPr="00A109AE" w:rsidR="007B02C2">
        <w:rPr>
          <w:bCs/>
        </w:rPr>
        <w:t> </w:t>
      </w:r>
      <w:r w:rsidRPr="00A109AE" w:rsidR="009E2D99">
        <w:rPr>
          <w:bCs/>
        </w:rPr>
        <w:t>92, 18 juin 2013). En conséquence, le premier requérant a qualité pour introduire, au titre de l</w:t>
      </w:r>
      <w:r w:rsidRPr="00A109AE" w:rsidR="00A109AE">
        <w:rPr>
          <w:bCs/>
        </w:rPr>
        <w:t>’</w:t>
      </w:r>
      <w:r w:rsidRPr="00A109AE" w:rsidR="009E2D99">
        <w:rPr>
          <w:bCs/>
        </w:rPr>
        <w:t>article 34 de la Convention, une requête concernant les faits dénoncés.</w:t>
      </w:r>
    </w:p>
    <w:p w:rsidRPr="00A109AE" w:rsidR="00D0111C" w:rsidP="00A109AE" w:rsidRDefault="00D0111C">
      <w:pPr>
        <w:pStyle w:val="JuPara"/>
      </w:pPr>
      <w:r w:rsidRPr="00A109AE">
        <w:rPr>
          <w:bCs/>
        </w:rPr>
        <w:fldChar w:fldCharType="begin"/>
      </w:r>
      <w:r w:rsidRPr="00A109AE">
        <w:rPr>
          <w:bCs/>
        </w:rPr>
        <w:instrText xml:space="preserve"> SEQ level0 \*arabic </w:instrText>
      </w:r>
      <w:r w:rsidRPr="00A109AE">
        <w:rPr>
          <w:bCs/>
        </w:rPr>
        <w:fldChar w:fldCharType="separate"/>
      </w:r>
      <w:r w:rsidR="00ED4306">
        <w:rPr>
          <w:bCs/>
          <w:noProof/>
        </w:rPr>
        <w:t>53</w:t>
      </w:r>
      <w:r w:rsidRPr="00A109AE">
        <w:rPr>
          <w:bCs/>
        </w:rPr>
        <w:fldChar w:fldCharType="end"/>
      </w:r>
      <w:r w:rsidRPr="00A109AE">
        <w:rPr>
          <w:bCs/>
        </w:rPr>
        <w:t>.  </w:t>
      </w:r>
      <w:r w:rsidRPr="00A109AE">
        <w:t>Constatant que cette partie des requêtes n</w:t>
      </w:r>
      <w:r w:rsidRPr="00A109AE" w:rsidR="00A109AE">
        <w:t>’</w:t>
      </w:r>
      <w:r w:rsidRPr="00A109AE">
        <w:t>est pas manifestement mal fondée au sens de l</w:t>
      </w:r>
      <w:r w:rsidRPr="00A109AE" w:rsidR="00A109AE">
        <w:t>’</w:t>
      </w:r>
      <w:r w:rsidRPr="00A109AE">
        <w:t>article 35 § 3 a) de la Convention et qu</w:t>
      </w:r>
      <w:r w:rsidRPr="00A109AE" w:rsidR="00A109AE">
        <w:t>’</w:t>
      </w:r>
      <w:r w:rsidRPr="00A109AE">
        <w:t>elle ne se heurte par ailleurs à aucun autre motif d</w:t>
      </w:r>
      <w:r w:rsidRPr="00A109AE" w:rsidR="00A109AE">
        <w:t>’</w:t>
      </w:r>
      <w:r w:rsidRPr="00A109AE">
        <w:t>irrecevabilité, la Cour la déclare recevable</w:t>
      </w:r>
    </w:p>
    <w:p w:rsidRPr="00A109AE" w:rsidR="00E04BAF" w:rsidP="00A109AE" w:rsidRDefault="00E04BAF">
      <w:pPr>
        <w:pStyle w:val="JuHA"/>
      </w:pPr>
      <w:r w:rsidRPr="00A109AE">
        <w:t>Sur le fond</w:t>
      </w:r>
    </w:p>
    <w:p w:rsidRPr="00A109AE" w:rsidR="00E04BAF" w:rsidP="00A109AE" w:rsidRDefault="00E04BAF">
      <w:pPr>
        <w:pStyle w:val="JuH1"/>
      </w:pPr>
      <w:r w:rsidRPr="00A109AE">
        <w:t>Arguments des parties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54</w:t>
      </w:r>
      <w:r w:rsidRPr="00A109AE">
        <w:fldChar w:fldCharType="end"/>
      </w:r>
      <w:r w:rsidRPr="00A109AE">
        <w:t>.  Le premier requérant se fonde sur l</w:t>
      </w:r>
      <w:r w:rsidRPr="00A109AE" w:rsidR="00A109AE">
        <w:t>’</w:t>
      </w:r>
      <w:r w:rsidRPr="00A109AE">
        <w:t>arrêt de violation rendu dans l</w:t>
      </w:r>
      <w:r w:rsidRPr="00A109AE" w:rsidR="00A109AE">
        <w:t>’</w:t>
      </w:r>
      <w:r w:rsidRPr="00A109AE">
        <w:t xml:space="preserve">affaire </w:t>
      </w:r>
      <w:proofErr w:type="spellStart"/>
      <w:r w:rsidRPr="00A109AE">
        <w:rPr>
          <w:i/>
        </w:rPr>
        <w:t>Frezadou</w:t>
      </w:r>
      <w:proofErr w:type="spellEnd"/>
      <w:r w:rsidRPr="00A109AE">
        <w:rPr>
          <w:i/>
        </w:rPr>
        <w:t xml:space="preserve"> c. Grèce</w:t>
      </w:r>
      <w:r w:rsidRPr="00A109AE">
        <w:t xml:space="preserve"> (n</w:t>
      </w:r>
      <w:r w:rsidRPr="00A109AE">
        <w:rPr>
          <w:vertAlign w:val="superscript"/>
        </w:rPr>
        <w:t>o</w:t>
      </w:r>
      <w:r w:rsidRPr="00A109AE">
        <w:t> 2683/12, 8 novembre 2018), qui présenterait quelques similitudes avec la présente affaire, mais argue que la violation dans son cas est encore plus évidente car, à ses yeux, la durée de validité des décisions ministérielles en l</w:t>
      </w:r>
      <w:r w:rsidRPr="00A109AE" w:rsidR="00A109AE">
        <w:t>’</w:t>
      </w:r>
      <w:r w:rsidRPr="00A109AE">
        <w:t>espèce, qui aurait été très courte, commandait un examen plus rapide de la légalité de ces décisions.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55</w:t>
      </w:r>
      <w:r w:rsidRPr="00A109AE">
        <w:fldChar w:fldCharType="end"/>
      </w:r>
      <w:r w:rsidRPr="00A109AE">
        <w:t>.  Le premier requérant expose que tous les ajournements ont été décidés par le Conseil d</w:t>
      </w:r>
      <w:r w:rsidRPr="00A109AE" w:rsidR="00A109AE">
        <w:t>’</w:t>
      </w:r>
      <w:r w:rsidRPr="00A109AE">
        <w:t>État, une institution de l</w:t>
      </w:r>
      <w:r w:rsidRPr="00A109AE" w:rsidR="00A109AE">
        <w:t>’</w:t>
      </w:r>
      <w:r w:rsidRPr="00A109AE">
        <w:t>État défendeur. Selon lui, l</w:t>
      </w:r>
      <w:r w:rsidRPr="00A109AE" w:rsidR="00A109AE">
        <w:t>’</w:t>
      </w:r>
      <w:r w:rsidRPr="00A109AE">
        <w:t>argument du Gouvernement, qui, pour échapper à sa responsabilité, affirme que la plupart de ces ajournements étaient dus à la grève des avocats, n</w:t>
      </w:r>
      <w:r w:rsidRPr="00A109AE" w:rsidR="00A109AE">
        <w:t>’</w:t>
      </w:r>
      <w:r w:rsidRPr="00A109AE">
        <w:t>est pas fondé. Toujours selon lui, même après les reports d</w:t>
      </w:r>
      <w:r w:rsidRPr="00A109AE" w:rsidR="00A109AE">
        <w:t>’</w:t>
      </w:r>
      <w:r w:rsidRPr="00A109AE">
        <w:t>audience liés à la grève, le Conseil d</w:t>
      </w:r>
      <w:r w:rsidRPr="00A109AE" w:rsidR="00A109AE">
        <w:t>’</w:t>
      </w:r>
      <w:r w:rsidRPr="00A109AE">
        <w:t>État a continué à ajourner l</w:t>
      </w:r>
      <w:r w:rsidRPr="00A109AE" w:rsidR="00A109AE">
        <w:t>’</w:t>
      </w:r>
      <w:r w:rsidRPr="00A109AE">
        <w:t>examen des recours, et ce en raison du non-établissement de son rapport par le juge rapporteur désigné dans ces affaires.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56</w:t>
      </w:r>
      <w:r w:rsidRPr="00A109AE">
        <w:fldChar w:fldCharType="end"/>
      </w:r>
      <w:r w:rsidRPr="00A109AE">
        <w:t>.  Enfin, en ce qui concerne la grève des avocats, le premier requérant soutient qu</w:t>
      </w:r>
      <w:r w:rsidRPr="00A109AE" w:rsidR="00A109AE">
        <w:t>’</w:t>
      </w:r>
      <w:r w:rsidRPr="00A109AE">
        <w:t>il ne pouvait pas défendre sa cause car, selon lui, l</w:t>
      </w:r>
      <w:r w:rsidRPr="00A109AE" w:rsidR="00A109AE">
        <w:t>’</w:t>
      </w:r>
      <w:r w:rsidRPr="00A109AE">
        <w:t>avocat du club nautique, aurait encouru des sanctions de la part du barreau s</w:t>
      </w:r>
      <w:r w:rsidRPr="00A109AE" w:rsidR="00A109AE">
        <w:t>’</w:t>
      </w:r>
      <w:r w:rsidRPr="00A109AE">
        <w:t>il avait voulu plaider l</w:t>
      </w:r>
      <w:r w:rsidRPr="00A109AE" w:rsidR="00A109AE">
        <w:t>’</w:t>
      </w:r>
      <w:r w:rsidRPr="00A109AE">
        <w:t>affaire. Il expose qu</w:t>
      </w:r>
      <w:r w:rsidRPr="00A109AE" w:rsidR="00A109AE">
        <w:t>’</w:t>
      </w:r>
      <w:r w:rsidRPr="00A109AE">
        <w:t>en cas de grève du barreau l</w:t>
      </w:r>
      <w:r w:rsidRPr="00A109AE" w:rsidR="00A109AE">
        <w:t>’</w:t>
      </w:r>
      <w:r w:rsidRPr="00A109AE">
        <w:t>avocat d</w:t>
      </w:r>
      <w:r w:rsidRPr="00A109AE" w:rsidR="00A109AE">
        <w:t>’</w:t>
      </w:r>
      <w:r w:rsidRPr="00A109AE">
        <w:t>une partie à la procédure ne peut comparaître à l</w:t>
      </w:r>
      <w:r w:rsidRPr="00A109AE" w:rsidR="00A109AE">
        <w:t>’</w:t>
      </w:r>
      <w:r w:rsidRPr="00A109AE">
        <w:t>audience fixée que si les avocats des deux parties sollicitent et obtiennent une autorisation du barreau. Il précise qu</w:t>
      </w:r>
      <w:r w:rsidRPr="00A109AE" w:rsidR="00A109AE">
        <w:t>’</w:t>
      </w:r>
      <w:r w:rsidRPr="00A109AE">
        <w:t>une telle autorisation n</w:t>
      </w:r>
      <w:r w:rsidRPr="00A109AE" w:rsidR="00A109AE">
        <w:t>’</w:t>
      </w:r>
      <w:r w:rsidRPr="00A109AE">
        <w:t>est accordée que dans les cas des procédures susceptibles de se solder par la prescription de l</w:t>
      </w:r>
      <w:r w:rsidRPr="00A109AE" w:rsidR="00A109AE">
        <w:t>’</w:t>
      </w:r>
      <w:r w:rsidRPr="00A109AE">
        <w:t>action ou des procédures de flagrance, et que la situation en cause en l</w:t>
      </w:r>
      <w:r w:rsidRPr="00A109AE" w:rsidR="00A109AE">
        <w:t>’</w:t>
      </w:r>
      <w:r w:rsidRPr="00A109AE">
        <w:t xml:space="preserve">espèce ne </w:t>
      </w:r>
      <w:proofErr w:type="gramStart"/>
      <w:r w:rsidRPr="00A109AE">
        <w:t>relevait</w:t>
      </w:r>
      <w:proofErr w:type="gramEnd"/>
      <w:r w:rsidRPr="00A109AE">
        <w:t xml:space="preserve"> pas de ces cas de figure.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57</w:t>
      </w:r>
      <w:r w:rsidRPr="00A109AE">
        <w:fldChar w:fldCharType="end"/>
      </w:r>
      <w:r w:rsidRPr="00A109AE">
        <w:t>.  Le Gouvernement soutient que les ajournements d</w:t>
      </w:r>
      <w:r w:rsidRPr="00A109AE" w:rsidR="00A109AE">
        <w:t>’</w:t>
      </w:r>
      <w:r w:rsidRPr="00A109AE">
        <w:t>audience concernant les deux recours en annulation n</w:t>
      </w:r>
      <w:r w:rsidRPr="00A109AE" w:rsidR="00A109AE">
        <w:t>’</w:t>
      </w:r>
      <w:r w:rsidRPr="00A109AE">
        <w:t>é</w:t>
      </w:r>
      <w:r w:rsidRPr="00A109AE" w:rsidR="006E6A67">
        <w:t xml:space="preserve">taient nullement injustifiés. À </w:t>
      </w:r>
      <w:r w:rsidRPr="00A109AE">
        <w:t>cet égard, il expose ce qui suit : d</w:t>
      </w:r>
      <w:r w:rsidRPr="00A109AE" w:rsidR="00A109AE">
        <w:t>’</w:t>
      </w:r>
      <w:r w:rsidRPr="00A109AE">
        <w:t>une part, des questions similaires à celles soulevées en l</w:t>
      </w:r>
      <w:r w:rsidRPr="00A109AE" w:rsidR="00A109AE">
        <w:t>’</w:t>
      </w:r>
      <w:r w:rsidRPr="00A109AE">
        <w:t>espèce étaient pendantes devant la formation plénière du Conseil d</w:t>
      </w:r>
      <w:r w:rsidRPr="00A109AE" w:rsidR="00A109AE">
        <w:t>’</w:t>
      </w:r>
      <w:r w:rsidRPr="00A109AE">
        <w:t>État (paragraphes 3</w:t>
      </w:r>
      <w:r w:rsidRPr="00A109AE" w:rsidR="009F1583">
        <w:t>8</w:t>
      </w:r>
      <w:r w:rsidRPr="00A109AE">
        <w:t xml:space="preserve"> et </w:t>
      </w:r>
      <w:r w:rsidRPr="00A109AE" w:rsidR="009F1583">
        <w:t>39</w:t>
      </w:r>
      <w:r w:rsidRPr="00A109AE">
        <w:t xml:space="preserve"> ci-dessus), qui a rendu ses arrêts le 30 juin 2014, et ce alors qu</w:t>
      </w:r>
      <w:r w:rsidRPr="00A109AE" w:rsidR="00A109AE">
        <w:t>’</w:t>
      </w:r>
      <w:r w:rsidRPr="00A109AE">
        <w:t>une audience était fixée en l</w:t>
      </w:r>
      <w:r w:rsidRPr="00A109AE" w:rsidR="00A109AE">
        <w:t>’</w:t>
      </w:r>
      <w:r w:rsidRPr="00A109AE">
        <w:t>espèce au 3 décembre 2014 ; or, si l</w:t>
      </w:r>
      <w:r w:rsidRPr="00A109AE" w:rsidR="00A109AE">
        <w:t>’</w:t>
      </w:r>
      <w:r w:rsidRPr="00A109AE">
        <w:t>audience avait eu lieu à cette date, le Conseil d</w:t>
      </w:r>
      <w:r w:rsidRPr="00A109AE" w:rsidR="00A109AE">
        <w:t>’</w:t>
      </w:r>
      <w:r w:rsidRPr="00A109AE">
        <w:t>État aurait pu examiner la demande tendant à la poursuite de la procédure car la décision ministérielle n</w:t>
      </w:r>
      <w:r w:rsidRPr="00A109AE">
        <w:rPr>
          <w:vertAlign w:val="superscript"/>
        </w:rPr>
        <w:t>o</w:t>
      </w:r>
      <w:r w:rsidRPr="00A109AE">
        <w:t xml:space="preserve"> 18268/2012 était encore en vigueur ; d</w:t>
      </w:r>
      <w:r w:rsidRPr="00A109AE" w:rsidR="00A109AE">
        <w:t>’</w:t>
      </w:r>
      <w:r w:rsidRPr="00A109AE">
        <w:t>autre part, il y a eu une grève des avocats, qui a duré du 19 au 21 novembre 2014, puis du 25 novembre au 5 décembre 2014 et du 8 au 31 décembre 2014 ; or le club nautique aurait pu, en dépit de cette grève, demander au Conseil d</w:t>
      </w:r>
      <w:r w:rsidRPr="00A109AE" w:rsidR="00A109AE">
        <w:t>’</w:t>
      </w:r>
      <w:r w:rsidRPr="00A109AE">
        <w:t>État de procéder à l</w:t>
      </w:r>
      <w:r w:rsidRPr="00A109AE" w:rsidR="00A109AE">
        <w:t>’</w:t>
      </w:r>
      <w:r w:rsidRPr="00A109AE">
        <w:t>examen du recours après avoir obtenu l</w:t>
      </w:r>
      <w:r w:rsidRPr="00A109AE" w:rsidR="00A109AE">
        <w:t>’</w:t>
      </w:r>
      <w:r w:rsidRPr="00A109AE">
        <w:t>autorisation du barreau de se faire représenter par un avocat avant la fin de validité de la décision n</w:t>
      </w:r>
      <w:r w:rsidRPr="00A109AE">
        <w:rPr>
          <w:vertAlign w:val="superscript"/>
        </w:rPr>
        <w:t>o</w:t>
      </w:r>
      <w:r w:rsidRPr="00A109AE">
        <w:t xml:space="preserve"> 18268/2012, soit avant le 31 décembre 2014 ; les ajournements postérieurs n</w:t>
      </w:r>
      <w:r w:rsidRPr="00A109AE" w:rsidR="00A109AE">
        <w:t>’</w:t>
      </w:r>
      <w:r w:rsidRPr="00A109AE">
        <w:t>ont pas eu d</w:t>
      </w:r>
      <w:r w:rsidRPr="00A109AE" w:rsidR="00A109AE">
        <w:t>’</w:t>
      </w:r>
      <w:r w:rsidRPr="00A109AE">
        <w:t>incidence sur l</w:t>
      </w:r>
      <w:r w:rsidRPr="00A109AE" w:rsidR="00A109AE">
        <w:t>’</w:t>
      </w:r>
      <w:r w:rsidRPr="00A109AE">
        <w:t>adoption du non-lieu à statuer dans la procédure car celle-ci était devenue sans objet à la date du 31 décembre 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58</w:t>
      </w:r>
      <w:r w:rsidRPr="00A109AE">
        <w:fldChar w:fldCharType="end"/>
      </w:r>
      <w:r w:rsidRPr="00A109AE">
        <w:t>.  Le Gouvernement indique ensuite que les deux demandes du club nautique tendant à la poursuite des procédures (paragraphes 1</w:t>
      </w:r>
      <w:r w:rsidRPr="00A109AE" w:rsidR="009F1583">
        <w:t>3</w:t>
      </w:r>
      <w:r w:rsidRPr="00A109AE">
        <w:t>, 1</w:t>
      </w:r>
      <w:r w:rsidRPr="00A109AE" w:rsidR="009F1583">
        <w:t>9</w:t>
      </w:r>
      <w:r w:rsidRPr="00A109AE">
        <w:t xml:space="preserve"> et 2</w:t>
      </w:r>
      <w:r w:rsidRPr="00A109AE" w:rsidR="009F1583">
        <w:t>1</w:t>
      </w:r>
      <w:r w:rsidRPr="00A109AE">
        <w:t xml:space="preserve"> ci</w:t>
      </w:r>
      <w:r w:rsidRPr="00A109AE">
        <w:noBreakHyphen/>
        <w:t>dessus) ont été rejetées par l</w:t>
      </w:r>
      <w:r w:rsidRPr="00A109AE" w:rsidR="009F1583">
        <w:t>e Conseil d</w:t>
      </w:r>
      <w:r w:rsidRPr="00A109AE" w:rsidR="00A109AE">
        <w:t>’</w:t>
      </w:r>
      <w:r w:rsidRPr="00A109AE" w:rsidR="007843EA">
        <w:t>État (paragraphes </w:t>
      </w:r>
      <w:r w:rsidRPr="00A109AE" w:rsidR="009F1583">
        <w:t>25</w:t>
      </w:r>
      <w:r w:rsidRPr="00A109AE">
        <w:t>-2</w:t>
      </w:r>
      <w:r w:rsidRPr="00A109AE" w:rsidR="009F1583">
        <w:t>7</w:t>
      </w:r>
      <w:r w:rsidRPr="00A109AE">
        <w:t xml:space="preserve"> ci</w:t>
      </w:r>
      <w:r w:rsidRPr="00A109AE">
        <w:noBreakHyphen/>
        <w:t>dessus), qui aurait suivi sa jurisprudence en la matière. Il ajoute que le prononcé du non-lieu à statuer dans les procédures menées devant cette haute juridiction n</w:t>
      </w:r>
      <w:r w:rsidRPr="00A109AE" w:rsidR="00A109AE">
        <w:t>’</w:t>
      </w:r>
      <w:r w:rsidRPr="00A109AE">
        <w:t xml:space="preserve">implique pas nécessairement une issue favorable pour les procédures civiles engagées par la société « marina Porto </w:t>
      </w:r>
      <w:proofErr w:type="spellStart"/>
      <w:r w:rsidRPr="00A109AE">
        <w:t>Karras</w:t>
      </w:r>
      <w:proofErr w:type="spellEnd"/>
      <w:r w:rsidRPr="00A109AE">
        <w:t> » contre les membres du club nautique car, à ses dires, les tribunaux civils saisis dans le cadre de ces procédures ont l</w:t>
      </w:r>
      <w:r w:rsidRPr="00A109AE" w:rsidR="00A109AE">
        <w:t>’</w:t>
      </w:r>
      <w:r w:rsidRPr="00A109AE">
        <w:t>obligation d</w:t>
      </w:r>
      <w:r w:rsidRPr="00A109AE" w:rsidR="00A109AE">
        <w:t>’</w:t>
      </w:r>
      <w:r w:rsidRPr="00A109AE">
        <w:t>examiner à titre incident la légalité des décisions ministérielles portant approbation des augmentations des droits de mouillage.</w:t>
      </w:r>
    </w:p>
    <w:p w:rsidRPr="00A109AE" w:rsidR="00E04BAF" w:rsidP="00A109AE" w:rsidRDefault="00E04BAF">
      <w:pPr>
        <w:pStyle w:val="JuH1"/>
      </w:pPr>
      <w:r w:rsidRPr="00A109AE">
        <w:t>Appréciation de la Cour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59</w:t>
      </w:r>
      <w:r w:rsidRPr="00A109AE">
        <w:fldChar w:fldCharType="end"/>
      </w:r>
      <w:r w:rsidRPr="00A109AE">
        <w:t>.  La Cour rappelle que le droit d</w:t>
      </w:r>
      <w:r w:rsidRPr="00A109AE" w:rsidR="00A109AE">
        <w:t>’</w:t>
      </w:r>
      <w:r w:rsidRPr="00A109AE">
        <w:t>accès à un tribunal – c</w:t>
      </w:r>
      <w:r w:rsidRPr="00A109AE" w:rsidR="00A109AE">
        <w:t>’</w:t>
      </w:r>
      <w:r w:rsidRPr="00A109AE">
        <w:t>est-à-dire le droit de saisir un tribunal en matière civile – constitue un élément inhérent au droit énoncé à l</w:t>
      </w:r>
      <w:r w:rsidRPr="00A109AE" w:rsidR="00A109AE">
        <w:t>’</w:t>
      </w:r>
      <w:r w:rsidRPr="00A109AE">
        <w:t>article 6 § 1 de la Convention, qui pose les garanties applicables en ce qui concerne tant l</w:t>
      </w:r>
      <w:r w:rsidRPr="00A109AE" w:rsidR="00A109AE">
        <w:t>’</w:t>
      </w:r>
      <w:r w:rsidRPr="00A109AE">
        <w:t>organisation et la composition du tribunal que la conduite de la procédure. Le tout forme le droit à un procès équitable protégé par l</w:t>
      </w:r>
      <w:r w:rsidRPr="00A109AE" w:rsidR="00A109AE">
        <w:t>’</w:t>
      </w:r>
      <w:r w:rsidRPr="00A109AE">
        <w:t>article 6 § 1 (</w:t>
      </w:r>
      <w:proofErr w:type="spellStart"/>
      <w:r w:rsidRPr="00A109AE">
        <w:rPr>
          <w:i/>
        </w:rPr>
        <w:t>Golder</w:t>
      </w:r>
      <w:proofErr w:type="spellEnd"/>
      <w:r w:rsidRPr="00A109AE">
        <w:rPr>
          <w:i/>
        </w:rPr>
        <w:t xml:space="preserve"> c. Royaume-Uni</w:t>
      </w:r>
      <w:r w:rsidRPr="00A109AE">
        <w:t>, 21 février 1975, § 36, série A n</w:t>
      </w:r>
      <w:r w:rsidRPr="00A109AE">
        <w:rPr>
          <w:vertAlign w:val="superscript"/>
        </w:rPr>
        <w:t xml:space="preserve">o </w:t>
      </w:r>
      <w:r w:rsidRPr="00A109AE">
        <w:t>18). Toutefois, le droit d</w:t>
      </w:r>
      <w:r w:rsidRPr="00A109AE" w:rsidR="00A109AE">
        <w:t>’</w:t>
      </w:r>
      <w:r w:rsidRPr="00A109AE">
        <w:t>accès à un tribunal n</w:t>
      </w:r>
      <w:r w:rsidRPr="00A109AE" w:rsidR="00A109AE">
        <w:t>’</w:t>
      </w:r>
      <w:r w:rsidRPr="00A109AE">
        <w:t>est pas absolu. Il peut être soumis à des limitations pour autant que celles-ci ne restreignent ni ne réduisent l</w:t>
      </w:r>
      <w:r w:rsidRPr="00A109AE" w:rsidR="00A109AE">
        <w:t>’</w:t>
      </w:r>
      <w:r w:rsidRPr="00A109AE">
        <w:t>accès de l</w:t>
      </w:r>
      <w:r w:rsidRPr="00A109AE" w:rsidR="00A109AE">
        <w:t>’</w:t>
      </w:r>
      <w:r w:rsidRPr="00A109AE">
        <w:t>individu au juge d</w:t>
      </w:r>
      <w:r w:rsidRPr="00A109AE" w:rsidR="00A109AE">
        <w:t>’</w:t>
      </w:r>
      <w:r w:rsidRPr="00A109AE">
        <w:t>une manière ou à un point tels que le droit s</w:t>
      </w:r>
      <w:r w:rsidRPr="00A109AE" w:rsidR="00A109AE">
        <w:t>’</w:t>
      </w:r>
      <w:r w:rsidRPr="00A109AE">
        <w:t>en trouve atteint dans sa substance même. En outre, ces limitations ne se concilient avec l</w:t>
      </w:r>
      <w:r w:rsidRPr="00A109AE" w:rsidR="00A109AE">
        <w:t>’</w:t>
      </w:r>
      <w:r w:rsidRPr="00A109AE">
        <w:t>article 6 § 1 que si elles poursuivent un but légitime et s</w:t>
      </w:r>
      <w:r w:rsidRPr="00A109AE" w:rsidR="00A109AE">
        <w:t>’</w:t>
      </w:r>
      <w:r w:rsidRPr="00A109AE">
        <w:t>il existe un rapport raisonnable de proportionnalité entre les moyens employés et le but visé (</w:t>
      </w:r>
      <w:proofErr w:type="spellStart"/>
      <w:r w:rsidRPr="00A109AE">
        <w:rPr>
          <w:i/>
        </w:rPr>
        <w:t>Baka</w:t>
      </w:r>
      <w:proofErr w:type="spellEnd"/>
      <w:r w:rsidRPr="00A109AE">
        <w:rPr>
          <w:i/>
        </w:rPr>
        <w:t xml:space="preserve"> c. Hongrie </w:t>
      </w:r>
      <w:r w:rsidRPr="00A109AE">
        <w:t>[GC], n</w:t>
      </w:r>
      <w:r w:rsidRPr="00A109AE">
        <w:rPr>
          <w:vertAlign w:val="superscript"/>
        </w:rPr>
        <w:t>o</w:t>
      </w:r>
      <w:r w:rsidRPr="00A109AE">
        <w:t> 20261/12</w:t>
      </w:r>
      <w:r w:rsidRPr="00A109AE">
        <w:rPr>
          <w:snapToGrid w:val="0"/>
        </w:rPr>
        <w:t xml:space="preserve">, § 120, 23 juin 2016, et </w:t>
      </w:r>
      <w:r w:rsidRPr="00A109AE">
        <w:rPr>
          <w:i/>
        </w:rPr>
        <w:t>Paroisse Gréco-Catholique</w:t>
      </w:r>
      <w:r w:rsidRPr="00A109AE">
        <w:t xml:space="preserve"> </w:t>
      </w:r>
      <w:r w:rsidRPr="00A109AE">
        <w:rPr>
          <w:i/>
        </w:rPr>
        <w:t xml:space="preserve">Lupeni et autres c. Roumanie </w:t>
      </w:r>
      <w:r w:rsidRPr="00A109AE">
        <w:t>[GC], n</w:t>
      </w:r>
      <w:r w:rsidRPr="00A109AE">
        <w:rPr>
          <w:vertAlign w:val="superscript"/>
        </w:rPr>
        <w:t>o</w:t>
      </w:r>
      <w:r w:rsidRPr="00A109AE">
        <w:t> 76943/11, § 89, 29 novembre 2016).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60</w:t>
      </w:r>
      <w:r w:rsidRPr="00A109AE">
        <w:fldChar w:fldCharType="end"/>
      </w:r>
      <w:r w:rsidRPr="00A109AE">
        <w:t>.  Aux yeux de la Cour, les retards importants et récurrents dans l</w:t>
      </w:r>
      <w:r w:rsidRPr="00A109AE" w:rsidR="00A109AE">
        <w:t>’</w:t>
      </w:r>
      <w:r w:rsidRPr="00A109AE">
        <w:t>administration de la justice représentent un phénomène particulièrement préoccupant, à même de compromettre la confiance du public dans l</w:t>
      </w:r>
      <w:r w:rsidRPr="00A109AE" w:rsidR="00A109AE">
        <w:t>’</w:t>
      </w:r>
      <w:r w:rsidRPr="00A109AE">
        <w:t>efficacité du système judiciaire. Ainsi, en principe, il ne saurait être exclu que, dans des cas exceptionnels, le maintien d</w:t>
      </w:r>
      <w:r w:rsidRPr="00A109AE" w:rsidR="00A109AE">
        <w:t>’</w:t>
      </w:r>
      <w:r w:rsidRPr="00A109AE">
        <w:t>une procédure en instance pour une période excessive soit susceptible de porter atteinte même au droit d</w:t>
      </w:r>
      <w:r w:rsidRPr="00A109AE" w:rsidR="00A109AE">
        <w:t>’</w:t>
      </w:r>
      <w:r w:rsidRPr="00A109AE">
        <w:t>accès à un tribunal. En particulier, l</w:t>
      </w:r>
      <w:r w:rsidRPr="00A109AE" w:rsidR="00A109AE">
        <w:t>’</w:t>
      </w:r>
      <w:r w:rsidRPr="00A109AE">
        <w:t>absence injustifiée de décision par la juridiction saisie pour une période particulièrement prolongée peut, par la force des choses, s</w:t>
      </w:r>
      <w:r w:rsidRPr="00A109AE" w:rsidR="00A109AE">
        <w:t>’</w:t>
      </w:r>
      <w:r w:rsidRPr="00A109AE">
        <w:t>assimiler à un déni de justice ; le recours exercé par l</w:t>
      </w:r>
      <w:r w:rsidRPr="00A109AE" w:rsidR="00A109AE">
        <w:t>’</w:t>
      </w:r>
      <w:r w:rsidRPr="00A109AE">
        <w:t>intéressé peut ainsi se voir privé de toute son effectivité, lorsque la juridiction concernée ne parvient pas à trancher le litige en temps utile, comme l</w:t>
      </w:r>
      <w:r w:rsidRPr="00A109AE" w:rsidR="00A109AE">
        <w:t>’</w:t>
      </w:r>
      <w:r w:rsidRPr="00A109AE">
        <w:t>exigent les circonstances et l</w:t>
      </w:r>
      <w:r w:rsidRPr="00A109AE" w:rsidR="00A109AE">
        <w:t>’</w:t>
      </w:r>
      <w:r w:rsidRPr="00A109AE">
        <w:t>enjeu de chaque affaire donnée (</w:t>
      </w:r>
      <w:proofErr w:type="spellStart"/>
      <w:r w:rsidRPr="00A109AE">
        <w:rPr>
          <w:i/>
        </w:rPr>
        <w:t>Vassilios</w:t>
      </w:r>
      <w:proofErr w:type="spellEnd"/>
      <w:r w:rsidRPr="00A109AE">
        <w:rPr>
          <w:i/>
        </w:rPr>
        <w:t xml:space="preserve"> </w:t>
      </w:r>
      <w:proofErr w:type="spellStart"/>
      <w:r w:rsidRPr="00A109AE">
        <w:rPr>
          <w:i/>
        </w:rPr>
        <w:t>Athanasiou</w:t>
      </w:r>
      <w:proofErr w:type="spellEnd"/>
      <w:r w:rsidRPr="00A109AE">
        <w:rPr>
          <w:i/>
        </w:rPr>
        <w:t xml:space="preserve"> et autres c. Grèce</w:t>
      </w:r>
      <w:r w:rsidRPr="00A109AE">
        <w:t>, n</w:t>
      </w:r>
      <w:r w:rsidRPr="00A109AE">
        <w:rPr>
          <w:vertAlign w:val="superscript"/>
        </w:rPr>
        <w:t>o</w:t>
      </w:r>
      <w:r w:rsidRPr="00A109AE">
        <w:t xml:space="preserve"> 50973/08, § 52, 21 décembre 2010).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61</w:t>
      </w:r>
      <w:r w:rsidRPr="00A109AE">
        <w:fldChar w:fldCharType="end"/>
      </w:r>
      <w:r w:rsidRPr="00A109AE">
        <w:t>.  En l</w:t>
      </w:r>
      <w:r w:rsidRPr="00A109AE" w:rsidR="00A109AE">
        <w:t>’</w:t>
      </w:r>
      <w:r w:rsidRPr="00A109AE">
        <w:t>espèce, la Cour note que la durée de la procédure relative aux deux recours introduits par le club nautique a été incontestablement longue en raison des ajournements répétés des audiences. Une audience commune dans les deux affaires a eu lieu le 2 novembre 2016, après seize ajournements dans la première affaire et onze ajournements dans la deuxième affaire, et les arrêts ont été rendus le 3 mai 2017, soit un peu moins de sept ans après l</w:t>
      </w:r>
      <w:r w:rsidRPr="00A109AE" w:rsidR="00A109AE">
        <w:t>’</w:t>
      </w:r>
      <w:r w:rsidRPr="00A109AE">
        <w:t>introduction du premier recours et un peu moins de cinq ans après l</w:t>
      </w:r>
      <w:r w:rsidRPr="00A109AE" w:rsidR="00A109AE">
        <w:t>’</w:t>
      </w:r>
      <w:r w:rsidRPr="00A109AE">
        <w:t>introduction du deuxième recours.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62</w:t>
      </w:r>
      <w:r w:rsidRPr="00A109AE">
        <w:fldChar w:fldCharType="end"/>
      </w:r>
      <w:r w:rsidRPr="00A109AE">
        <w:t>.  La Cour observe que, si plusieurs ajournements ont été décidés d</w:t>
      </w:r>
      <w:r w:rsidRPr="00A109AE" w:rsidR="00A109AE">
        <w:t>’</w:t>
      </w:r>
      <w:r w:rsidRPr="00A109AE">
        <w:t>office par le Conseil d</w:t>
      </w:r>
      <w:r w:rsidRPr="00A109AE" w:rsidR="00A109AE">
        <w:t>’</w:t>
      </w:r>
      <w:r w:rsidRPr="00A109AE">
        <w:t>État, un certain nombre d</w:t>
      </w:r>
      <w:r w:rsidRPr="00A109AE" w:rsidR="00A109AE">
        <w:t>’</w:t>
      </w:r>
      <w:r w:rsidRPr="00A109AE">
        <w:t>entre eux l</w:t>
      </w:r>
      <w:r w:rsidRPr="00A109AE" w:rsidR="00A109AE">
        <w:t>’</w:t>
      </w:r>
      <w:r w:rsidRPr="00A109AE">
        <w:t>ont été en raison de la grève des avocats, qui a eu lieu pendant les périodes suivantes : du 19 au 21 novembre 2014, du 25 novembre au 5 décembre 2014 et du 8 au 31 décembre 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63</w:t>
      </w:r>
      <w:r w:rsidRPr="00A109AE">
        <w:fldChar w:fldCharType="end"/>
      </w:r>
      <w:r w:rsidRPr="00A109AE">
        <w:t>.  Force est donc de constater que tous les ajournements dus à la grève des avocats ont eu lieu en 2014. La Cour relève que cette année a aussi été déterminante à d</w:t>
      </w:r>
      <w:r w:rsidRPr="00A109AE" w:rsidR="00A109AE">
        <w:t>’</w:t>
      </w:r>
      <w:r w:rsidRPr="00A109AE">
        <w:t>autres égards dans la présente affaire. En effet, c</w:t>
      </w:r>
      <w:r w:rsidRPr="00A109AE" w:rsidR="00A109AE">
        <w:t>’</w:t>
      </w:r>
      <w:r w:rsidRPr="00A109AE">
        <w:t>est en juin 2014 que la formation plénière du Conseil d</w:t>
      </w:r>
      <w:r w:rsidRPr="00A109AE" w:rsidR="00A109AE">
        <w:t>’</w:t>
      </w:r>
      <w:r w:rsidRPr="00A109AE">
        <w:t>État a rendu ses arrêts dans des affaires qui, pour la première fois, posaient devant cette haute juridiction des questions similaires à celles soulevées en l</w:t>
      </w:r>
      <w:r w:rsidRPr="00A109AE" w:rsidR="00A109AE">
        <w:t>’</w:t>
      </w:r>
      <w:r w:rsidRPr="00A109AE">
        <w:t>espèce. C</w:t>
      </w:r>
      <w:r w:rsidRPr="00A109AE" w:rsidR="00A109AE">
        <w:t>’</w:t>
      </w:r>
      <w:r w:rsidRPr="00A109AE">
        <w:t>est aussi en 2014 qu</w:t>
      </w:r>
      <w:r w:rsidRPr="00A109AE" w:rsidR="00A109AE">
        <w:t>’</w:t>
      </w:r>
      <w:r w:rsidRPr="00A109AE">
        <w:t>est entrée en vigueur la loi n</w:t>
      </w:r>
      <w:r w:rsidRPr="00A109AE">
        <w:rPr>
          <w:vertAlign w:val="superscript"/>
        </w:rPr>
        <w:t>o</w:t>
      </w:r>
      <w:r w:rsidRPr="00A109AE">
        <w:t xml:space="preserve"> 4254/2014, qui est venue modifier complètement le cadre législatif relatif à la fixation des droits d</w:t>
      </w:r>
      <w:r w:rsidRPr="00A109AE" w:rsidR="00A109AE">
        <w:t>’</w:t>
      </w:r>
      <w:r w:rsidRPr="00A109AE">
        <w:t>ancrage et de mouillage dans les marinas, qui avait d</w:t>
      </w:r>
      <w:r w:rsidRPr="00A109AE" w:rsidR="00A109AE">
        <w:t>’</w:t>
      </w:r>
      <w:r w:rsidRPr="00A109AE">
        <w:t>ailleurs déjà été révisé en 2013 par la loi n</w:t>
      </w:r>
      <w:r w:rsidRPr="00A109AE">
        <w:rPr>
          <w:vertAlign w:val="superscript"/>
        </w:rPr>
        <w:t>o</w:t>
      </w:r>
      <w:r w:rsidRPr="00A109AE">
        <w:t xml:space="preserve"> 4179/2013.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64</w:t>
      </w:r>
      <w:r w:rsidRPr="00A109AE">
        <w:fldChar w:fldCharType="end"/>
      </w:r>
      <w:r w:rsidRPr="00A109AE">
        <w:t>.  La Cour estime que, indépendamment de la durée totale de la procédure devant lui, le Conseil d</w:t>
      </w:r>
      <w:r w:rsidRPr="00A109AE" w:rsidR="00A109AE">
        <w:t>’</w:t>
      </w:r>
      <w:r w:rsidRPr="00A109AE">
        <w:t>État avait donc des raisons valables d</w:t>
      </w:r>
      <w:r w:rsidRPr="00A109AE" w:rsidR="00A109AE">
        <w:t>’</w:t>
      </w:r>
      <w:r w:rsidRPr="00A109AE">
        <w:t>ajourner l</w:t>
      </w:r>
      <w:r w:rsidRPr="00A109AE" w:rsidR="00A109AE">
        <w:t>’</w:t>
      </w:r>
      <w:r w:rsidRPr="00A109AE">
        <w:t>examen des affaires jusqu</w:t>
      </w:r>
      <w:r w:rsidRPr="00A109AE" w:rsidR="00A109AE">
        <w:t>’</w:t>
      </w:r>
      <w:r w:rsidRPr="00A109AE">
        <w:t>à la fin de l</w:t>
      </w:r>
      <w:r w:rsidRPr="00A109AE" w:rsidR="00A109AE">
        <w:t>’</w:t>
      </w:r>
      <w:r w:rsidRPr="00A109AE">
        <w:t>année 2014. Si le Conseil d</w:t>
      </w:r>
      <w:r w:rsidRPr="00A109AE" w:rsidR="00A109AE">
        <w:t>’</w:t>
      </w:r>
      <w:r w:rsidRPr="00A109AE">
        <w:t>État avait statué vers la fin de cette année, ou en 2015 ou bien en 2016, sa conclusion n</w:t>
      </w:r>
      <w:r w:rsidRPr="00A109AE" w:rsidR="00A109AE">
        <w:t>’</w:t>
      </w:r>
      <w:r w:rsidRPr="00A109AE">
        <w:t>aurait probablement pas été différente de celle à laquelle il est parvenu dans ses arrêts n</w:t>
      </w:r>
      <w:r w:rsidRPr="00A109AE">
        <w:rPr>
          <w:vertAlign w:val="superscript"/>
        </w:rPr>
        <w:t>o</w:t>
      </w:r>
      <w:r w:rsidRPr="00A109AE">
        <w:t xml:space="preserve"> 2016/2017 et n</w:t>
      </w:r>
      <w:r w:rsidRPr="00A109AE">
        <w:rPr>
          <w:vertAlign w:val="superscript"/>
        </w:rPr>
        <w:t>o</w:t>
      </w:r>
      <w:r w:rsidRPr="00A109AE">
        <w:t xml:space="preserve"> 1217/2017.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65</w:t>
      </w:r>
      <w:r w:rsidRPr="00A109AE">
        <w:fldChar w:fldCharType="end"/>
      </w:r>
      <w:r w:rsidRPr="00A109AE">
        <w:t>.  La Cour note ensuite que, compte tenu de la très brève durée de validité des différentes décisions ministérielles litigieuses, de leurs remplacements successifs et de l</w:t>
      </w:r>
      <w:r w:rsidRPr="00A109AE" w:rsidR="00A109AE">
        <w:t>’</w:t>
      </w:r>
      <w:r w:rsidRPr="00A109AE">
        <w:t>adoption des lois n</w:t>
      </w:r>
      <w:r w:rsidRPr="00A109AE">
        <w:rPr>
          <w:vertAlign w:val="superscript"/>
        </w:rPr>
        <w:t>o</w:t>
      </w:r>
      <w:r w:rsidRPr="00A109AE" w:rsidR="006E6A67">
        <w:t xml:space="preserve"> 4179/2013 et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4254/2014, la seule chance pour le Conseil d</w:t>
      </w:r>
      <w:r w:rsidRPr="00A109AE" w:rsidR="00A109AE">
        <w:t>’</w:t>
      </w:r>
      <w:r w:rsidRPr="00A109AE">
        <w:t>État de se prononcer sur le bien-fondé des deux recours impliquait de voir cette haute juridiction accueillir les demandes de poursuite de la procédure faites par le club nautique conformément aux paragraphes 2 et 3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> 18/1989.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66</w:t>
      </w:r>
      <w:r w:rsidRPr="00A109AE">
        <w:fldChar w:fldCharType="end"/>
      </w:r>
      <w:r w:rsidRPr="00A109AE">
        <w:t>.  Or le Conseil d</w:t>
      </w:r>
      <w:r w:rsidRPr="00A109AE" w:rsidR="00A109AE">
        <w:t>’</w:t>
      </w:r>
      <w:r w:rsidRPr="00A109AE">
        <w:t>État a rejeté ces demandes, par une motivation détaillée et en se fondant sur sa jurisprudence constante.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67</w:t>
      </w:r>
      <w:r w:rsidRPr="00A109AE">
        <w:fldChar w:fldCharType="end"/>
      </w:r>
      <w:r w:rsidRPr="00A109AE">
        <w:t>.  Dans son arrêt n</w:t>
      </w:r>
      <w:r w:rsidRPr="00A109AE">
        <w:rPr>
          <w:vertAlign w:val="superscript"/>
        </w:rPr>
        <w:t>o</w:t>
      </w:r>
      <w:r w:rsidRPr="00A109AE">
        <w:t xml:space="preserve"> 1216/2017, le Conseil d</w:t>
      </w:r>
      <w:r w:rsidRPr="00A109AE" w:rsidR="00A109AE">
        <w:t>’</w:t>
      </w:r>
      <w:r w:rsidRPr="00A109AE">
        <w:t>État a considéré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y avait pas lieu de poursuivre la procédure relative au recours introduit contre la décision ministérielle n</w:t>
      </w:r>
      <w:r w:rsidRPr="00A109AE">
        <w:rPr>
          <w:vertAlign w:val="superscript"/>
        </w:rPr>
        <w:t>o</w:t>
      </w:r>
      <w:r w:rsidRPr="00A109AE">
        <w:t> 9051/2010, en application du paragraphe 2 de l</w:t>
      </w:r>
      <w:r w:rsidRPr="00A109AE" w:rsidR="00A109AE">
        <w:t>’</w:t>
      </w:r>
      <w:r w:rsidRPr="00A109AE">
        <w:t>article 32 du décret n</w:t>
      </w:r>
      <w:r w:rsidRPr="00A109AE">
        <w:rPr>
          <w:vertAlign w:val="superscript"/>
        </w:rPr>
        <w:t>o</w:t>
      </w:r>
      <w:r w:rsidRPr="00A109AE">
        <w:t> 18/1989, au motif que le club nautique ne s</w:t>
      </w:r>
      <w:r w:rsidRPr="00A109AE" w:rsidR="00A109AE">
        <w:t>’</w:t>
      </w:r>
      <w:r w:rsidRPr="00A109AE">
        <w:t>était pas prévalu, pas même oralement à l</w:t>
      </w:r>
      <w:r w:rsidRPr="00A109AE" w:rsidR="00A109AE">
        <w:t>’</w:t>
      </w:r>
      <w:r w:rsidRPr="00A109AE">
        <w:t>audience, de l</w:t>
      </w:r>
      <w:r w:rsidRPr="00A109AE" w:rsidR="00A109AE">
        <w:t>’</w:t>
      </w:r>
      <w:r w:rsidRPr="00A109AE">
        <w:t>existence d</w:t>
      </w:r>
      <w:r w:rsidRPr="00A109AE" w:rsidR="00A109AE">
        <w:t>’</w:t>
      </w:r>
      <w:r w:rsidRPr="00A109AE">
        <w:t>un intérêt légal particulier. Il a en outre déclaré que le paragraphe 3 de l</w:t>
      </w:r>
      <w:r w:rsidRPr="00A109AE" w:rsidR="00A109AE">
        <w:t>’</w:t>
      </w:r>
      <w:r w:rsidRPr="00A109AE">
        <w:t>article 32 du même décret ne trouvait pas à s</w:t>
      </w:r>
      <w:r w:rsidRPr="00A109AE" w:rsidR="00A109AE">
        <w:t>’</w:t>
      </w:r>
      <w:r w:rsidRPr="00A109AE">
        <w:t>appliquer car le club nautique avait introduit un recours autonome contre la décision ministérielle n</w:t>
      </w:r>
      <w:r w:rsidRPr="00A109AE">
        <w:rPr>
          <w:vertAlign w:val="superscript"/>
        </w:rPr>
        <w:t>o</w:t>
      </w:r>
      <w:r w:rsidRPr="00A109AE">
        <w:t xml:space="preserve"> 6866/2012.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68</w:t>
      </w:r>
      <w:r w:rsidRPr="00A109AE">
        <w:fldChar w:fldCharType="end"/>
      </w:r>
      <w:r w:rsidRPr="00A109AE">
        <w:t>.  Dans son arrêt n</w:t>
      </w:r>
      <w:r w:rsidRPr="00A109AE">
        <w:rPr>
          <w:vertAlign w:val="superscript"/>
        </w:rPr>
        <w:t>o</w:t>
      </w:r>
      <w:r w:rsidRPr="00A109AE">
        <w:t> 1217/2017, le Conseil d</w:t>
      </w:r>
      <w:r w:rsidRPr="00A109AE" w:rsidR="00A109AE">
        <w:t>’</w:t>
      </w:r>
      <w:r w:rsidRPr="00A109AE">
        <w:t>État a estimé que le club nautique ne pouvait pas se prévaloir d</w:t>
      </w:r>
      <w:r w:rsidRPr="00A109AE" w:rsidR="00A109AE">
        <w:t>’</w:t>
      </w:r>
      <w:r w:rsidRPr="00A109AE">
        <w:t>un intérêt légal justifiant la poursuite de la procédure (en application de l</w:t>
      </w:r>
      <w:r w:rsidRPr="00A109AE" w:rsidR="00A109AE">
        <w:t>’</w:t>
      </w:r>
      <w:r w:rsidRPr="00A109AE">
        <w:t>article 32 § 2 du décret n</w:t>
      </w:r>
      <w:r w:rsidRPr="00A109AE">
        <w:rPr>
          <w:vertAlign w:val="superscript"/>
        </w:rPr>
        <w:t>o</w:t>
      </w:r>
      <w:r w:rsidRPr="00A109AE">
        <w:t> 18/1989) pour les motifs suivants : d</w:t>
      </w:r>
      <w:r w:rsidRPr="00A109AE" w:rsidR="00A109AE">
        <w:t>’</w:t>
      </w:r>
      <w:r w:rsidRPr="00A109AE">
        <w:t>une part, la privation du droit constitutionnel des membres du club nautique d</w:t>
      </w:r>
      <w:r w:rsidRPr="00A109AE" w:rsidR="00A109AE">
        <w:t>’</w:t>
      </w:r>
      <w:r w:rsidRPr="00A109AE">
        <w:t>utiliser un bien public (en l</w:t>
      </w:r>
      <w:r w:rsidRPr="00A109AE" w:rsidR="00A109AE">
        <w:t>’</w:t>
      </w:r>
      <w:r w:rsidRPr="00A109AE">
        <w:t>occurrence une marina appartenant à l</w:t>
      </w:r>
      <w:r w:rsidRPr="00A109AE" w:rsidR="00A109AE">
        <w:t>’</w:t>
      </w:r>
      <w:r w:rsidRPr="00A109AE">
        <w:t>État) destiné à l</w:t>
      </w:r>
      <w:r w:rsidRPr="00A109AE" w:rsidR="00A109AE">
        <w:t>’</w:t>
      </w:r>
      <w:r w:rsidRPr="00A109AE">
        <w:t>usage commun et l</w:t>
      </w:r>
      <w:r w:rsidRPr="00A109AE" w:rsidR="00A109AE">
        <w:t>’</w:t>
      </w:r>
      <w:r w:rsidRPr="00A109AE">
        <w:t xml:space="preserve">atteinte au droit à la personnalité (article 5 de la Constitution et article 57 du code civil) dénoncées par ledit club ne concernaient pas les </w:t>
      </w:r>
      <w:r w:rsidRPr="00A109AE" w:rsidR="009F1583">
        <w:t>conséquences</w:t>
      </w:r>
      <w:r w:rsidRPr="00A109AE">
        <w:t xml:space="preserve"> d</w:t>
      </w:r>
      <w:r w:rsidRPr="00A109AE" w:rsidR="00A109AE">
        <w:t>’</w:t>
      </w:r>
      <w:r w:rsidRPr="00A109AE">
        <w:t>ordre administratif des décisions ministérielles contestées ; d</w:t>
      </w:r>
      <w:r w:rsidRPr="00A109AE" w:rsidR="00A109AE">
        <w:t>’</w:t>
      </w:r>
      <w:r w:rsidRPr="00A109AE">
        <w:t>autre part, l</w:t>
      </w:r>
      <w:r w:rsidRPr="00A109AE" w:rsidR="00A109AE">
        <w:t>’</w:t>
      </w:r>
      <w:r w:rsidRPr="00A109AE">
        <w:t xml:space="preserve">enrichissement sans cause allégué de la société « marina Porto </w:t>
      </w:r>
      <w:proofErr w:type="spellStart"/>
      <w:r w:rsidRPr="00A109AE">
        <w:t>Karras</w:t>
      </w:r>
      <w:proofErr w:type="spellEnd"/>
      <w:r w:rsidRPr="00A109AE">
        <w:t> », les éventuelles prétentions que l</w:t>
      </w:r>
      <w:r w:rsidRPr="00A109AE" w:rsidR="00A109AE">
        <w:t>’</w:t>
      </w:r>
      <w:r w:rsidRPr="00A109AE">
        <w:t>État pourrait formuler à l</w:t>
      </w:r>
      <w:r w:rsidRPr="00A109AE" w:rsidR="00A109AE">
        <w:t>’</w:t>
      </w:r>
      <w:r w:rsidRPr="00A109AE">
        <w:t>avenir en vue de contraindre le club nautique à lui verser à nouveau des droits de mouillage et l</w:t>
      </w:r>
      <w:r w:rsidRPr="00A109AE" w:rsidR="00A109AE">
        <w:t>’</w:t>
      </w:r>
      <w:r w:rsidRPr="00A109AE">
        <w:t>impact du non-lieu à statuer sur les procédures civiles introduites par la société contre les membres du club nautique pour non</w:t>
      </w:r>
      <w:r w:rsidRPr="00A109AE">
        <w:noBreakHyphen/>
        <w:t>paiement des droits étaient des questions de nature économique qui pouvaient être soumises aux juridictions civiles, lesquelles avaient compétence pour examiner de manière incidente la légalité des décisions ministérielles litigieuses.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69</w:t>
      </w:r>
      <w:r w:rsidRPr="00A109AE">
        <w:fldChar w:fldCharType="end"/>
      </w:r>
      <w:r w:rsidRPr="00A109AE">
        <w:t>.  Enfin, sur le terrain du paragraphe 3 de l</w:t>
      </w:r>
      <w:r w:rsidRPr="00A109AE" w:rsidR="00A109AE">
        <w:t>’</w:t>
      </w:r>
      <w:r w:rsidRPr="00A109AE" w:rsidR="006E6A67">
        <w:t>article 32 du décret </w:t>
      </w:r>
      <w:r w:rsidRPr="00A109AE">
        <w:t>n</w:t>
      </w:r>
      <w:r w:rsidRPr="00A109AE">
        <w:rPr>
          <w:vertAlign w:val="superscript"/>
        </w:rPr>
        <w:t>o</w:t>
      </w:r>
      <w:r w:rsidRPr="00A109AE">
        <w:t> 18/1989, le Conseil d</w:t>
      </w:r>
      <w:r w:rsidRPr="00A109AE" w:rsidR="00A109AE">
        <w:t>’</w:t>
      </w:r>
      <w:r w:rsidRPr="00A109AE">
        <w:t>État a relevé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était plus nécessaire de poursuivre la procédure (du fait que la décision ministérielle n</w:t>
      </w:r>
      <w:r w:rsidRPr="00A109AE">
        <w:rPr>
          <w:vertAlign w:val="superscript"/>
        </w:rPr>
        <w:t>o</w:t>
      </w:r>
      <w:r w:rsidRPr="00A109AE">
        <w:t xml:space="preserve"> 18268/2012 avait remplacé la décision n</w:t>
      </w:r>
      <w:r w:rsidRPr="00A109AE">
        <w:rPr>
          <w:vertAlign w:val="superscript"/>
        </w:rPr>
        <w:t>o</w:t>
      </w:r>
      <w:r w:rsidRPr="00A109AE">
        <w:t xml:space="preserve"> 6866/2012) en raison de la fin de validité de la décision n</w:t>
      </w:r>
      <w:r w:rsidRPr="00A109AE">
        <w:rPr>
          <w:vertAlign w:val="superscript"/>
        </w:rPr>
        <w:t>o</w:t>
      </w:r>
      <w:r w:rsidRPr="00A109AE">
        <w:t> 18268/2012, survenue dans l</w:t>
      </w:r>
      <w:r w:rsidRPr="00A109AE" w:rsidR="00A109AE">
        <w:t>’</w:t>
      </w:r>
      <w:r w:rsidRPr="00A109AE">
        <w:t>intervalle, en 2014, et de l</w:t>
      </w:r>
      <w:r w:rsidRPr="00A109AE" w:rsidR="00A109AE">
        <w:t>’</w:t>
      </w:r>
      <w:r w:rsidRPr="00A109AE">
        <w:t>entrée en vigueur de la loi n</w:t>
      </w:r>
      <w:r w:rsidRPr="00A109AE">
        <w:rPr>
          <w:vertAlign w:val="superscript"/>
        </w:rPr>
        <w:t>o</w:t>
      </w:r>
      <w:r w:rsidRPr="00A109AE">
        <w:t> 4254/2014.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70</w:t>
      </w:r>
      <w:r w:rsidRPr="00A109AE">
        <w:fldChar w:fldCharType="end"/>
      </w:r>
      <w:r w:rsidRPr="00A109AE">
        <w:t>.  La Cour rappelle qu</w:t>
      </w:r>
      <w:r w:rsidRPr="00A109AE" w:rsidR="00A109AE">
        <w:t>’</w:t>
      </w:r>
      <w:r w:rsidRPr="00A109AE">
        <w:t>elle n</w:t>
      </w:r>
      <w:r w:rsidRPr="00A109AE" w:rsidR="00A109AE">
        <w:t>’</w:t>
      </w:r>
      <w:r w:rsidRPr="00A109AE">
        <w:t>a pas à tenir lieu de juge de quatrième instance et qu</w:t>
      </w:r>
      <w:r w:rsidRPr="00A109AE" w:rsidR="00A109AE">
        <w:t>’</w:t>
      </w:r>
      <w:r w:rsidRPr="00A109AE">
        <w:t>elle ne remet pas en cause sous l</w:t>
      </w:r>
      <w:r w:rsidRPr="00A109AE" w:rsidR="00A109AE">
        <w:t>’</w:t>
      </w:r>
      <w:r w:rsidRPr="00A109AE">
        <w:t>angle de l</w:t>
      </w:r>
      <w:r w:rsidRPr="00A109AE" w:rsidR="00A109AE">
        <w:t>’</w:t>
      </w:r>
      <w:r w:rsidRPr="00A109AE">
        <w:t>article 6 § 1 de la Convention l</w:t>
      </w:r>
      <w:r w:rsidRPr="00A109AE" w:rsidR="00A109AE">
        <w:t>’</w:t>
      </w:r>
      <w:r w:rsidRPr="00A109AE">
        <w:t xml:space="preserve">appréciation des tribunaux nationaux, sauf si leurs conclusions peuvent passer pour arbitraires ou manifestement déraisonnables (voir, par exemple, </w:t>
      </w:r>
      <w:proofErr w:type="spellStart"/>
      <w:r w:rsidRPr="00A109AE">
        <w:rPr>
          <w:i/>
        </w:rPr>
        <w:t>Bochan</w:t>
      </w:r>
      <w:proofErr w:type="spellEnd"/>
      <w:r w:rsidRPr="00A109AE">
        <w:rPr>
          <w:i/>
        </w:rPr>
        <w:t xml:space="preserve"> c. Ukraine (n</w:t>
      </w:r>
      <w:r w:rsidRPr="00A109AE">
        <w:rPr>
          <w:rFonts w:cs="Times New Roman"/>
          <w:i/>
          <w:vertAlign w:val="superscript"/>
        </w:rPr>
        <w:t>o</w:t>
      </w:r>
      <w:r w:rsidRPr="00A109AE">
        <w:rPr>
          <w:i/>
        </w:rPr>
        <w:t xml:space="preserve"> 2) </w:t>
      </w:r>
      <w:r w:rsidRPr="00A109AE">
        <w:t>[GC], n</w:t>
      </w:r>
      <w:r w:rsidRPr="00A109AE">
        <w:rPr>
          <w:vertAlign w:val="superscript"/>
        </w:rPr>
        <w:t>o</w:t>
      </w:r>
      <w:r w:rsidRPr="00A109AE">
        <w:t> 22251/08</w:t>
      </w:r>
      <w:r w:rsidRPr="00A109AE">
        <w:rPr>
          <w:snapToGrid w:val="0"/>
        </w:rPr>
        <w:t xml:space="preserve">, § 61, CEDH 2015, </w:t>
      </w:r>
      <w:proofErr w:type="spellStart"/>
      <w:r w:rsidRPr="00A109AE">
        <w:rPr>
          <w:i/>
        </w:rPr>
        <w:t>Anđelković</w:t>
      </w:r>
      <w:proofErr w:type="spellEnd"/>
      <w:r w:rsidRPr="00A109AE">
        <w:rPr>
          <w:i/>
        </w:rPr>
        <w:t xml:space="preserve"> c. Serbie</w:t>
      </w:r>
      <w:r w:rsidRPr="00A109AE">
        <w:t>, n</w:t>
      </w:r>
      <w:r w:rsidRPr="00A109AE">
        <w:rPr>
          <w:vertAlign w:val="superscript"/>
        </w:rPr>
        <w:t>o</w:t>
      </w:r>
      <w:r w:rsidRPr="00A109AE">
        <w:t xml:space="preserve"> 1401/08, § 24, 9 avril 2013, et </w:t>
      </w:r>
      <w:proofErr w:type="spellStart"/>
      <w:r w:rsidRPr="00A109AE">
        <w:rPr>
          <w:i/>
        </w:rPr>
        <w:t>Khamidov</w:t>
      </w:r>
      <w:proofErr w:type="spellEnd"/>
      <w:r w:rsidRPr="00A109AE">
        <w:rPr>
          <w:i/>
        </w:rPr>
        <w:t xml:space="preserve"> c. Russie</w:t>
      </w:r>
      <w:r w:rsidRPr="00A109AE">
        <w:t>, n</w:t>
      </w:r>
      <w:r w:rsidRPr="00A109AE">
        <w:rPr>
          <w:vertAlign w:val="superscript"/>
        </w:rPr>
        <w:t>o</w:t>
      </w:r>
      <w:r w:rsidRPr="00A109AE">
        <w:t xml:space="preserve"> 72118/01, § 170, 15 novembre 2007). Or, en l</w:t>
      </w:r>
      <w:r w:rsidRPr="00A109AE" w:rsidR="00A109AE">
        <w:t>’</w:t>
      </w:r>
      <w:r w:rsidRPr="00A109AE">
        <w:t>espèce, les motifs par lesquels le Conseil d</w:t>
      </w:r>
      <w:r w:rsidRPr="00A109AE" w:rsidR="00A109AE">
        <w:t>’</w:t>
      </w:r>
      <w:r w:rsidRPr="00A109AE">
        <w:t>État a rejeté les demandes du requérant ne peuvent passer pour arbitraires ou déraisonnables, aucun indice en ce sens n</w:t>
      </w:r>
      <w:r w:rsidRPr="00A109AE" w:rsidR="00A109AE">
        <w:t>’</w:t>
      </w:r>
      <w:r w:rsidRPr="00A109AE">
        <w:t>étant à relever.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71</w:t>
      </w:r>
      <w:r w:rsidRPr="00A109AE">
        <w:fldChar w:fldCharType="end"/>
      </w:r>
      <w:r w:rsidRPr="00A109AE">
        <w:t>.  La Cour note, de surcroît, que l</w:t>
      </w:r>
      <w:r w:rsidRPr="00A109AE" w:rsidR="00A109AE">
        <w:t>’</w:t>
      </w:r>
      <w:r w:rsidRPr="00A109AE">
        <w:t>affaire du requérant se distingue de l</w:t>
      </w:r>
      <w:r w:rsidRPr="00A109AE" w:rsidR="00A109AE">
        <w:t>’</w:t>
      </w:r>
      <w:r w:rsidRPr="00A109AE">
        <w:t>affaire tranchée en interne par l</w:t>
      </w:r>
      <w:r w:rsidRPr="00A109AE" w:rsidR="00A109AE">
        <w:t>’</w:t>
      </w:r>
      <w:r w:rsidRPr="00A109AE">
        <w:t>arrêt n</w:t>
      </w:r>
      <w:r w:rsidRPr="00A109AE">
        <w:rPr>
          <w:vertAlign w:val="superscript"/>
        </w:rPr>
        <w:t>o</w:t>
      </w:r>
      <w:r w:rsidRPr="00A109AE">
        <w:t> 1558/2015 (affaire concernant une autre marina, invoquée par l</w:t>
      </w:r>
      <w:r w:rsidRPr="00A109AE" w:rsidR="00A109AE">
        <w:t>’</w:t>
      </w:r>
      <w:r w:rsidRPr="00A109AE">
        <w:t>intéressé tant devant le Conseil d</w:t>
      </w:r>
      <w:r w:rsidRPr="00A109AE" w:rsidR="00A109AE">
        <w:t>’</w:t>
      </w:r>
      <w:r w:rsidRPr="00A109AE">
        <w:t>État que devant la Cour), dans laquelle la haute juridiction administrative a décidé de ne pas prononcer de non-lieu à statuer car la validité de la décision attaquée n</w:t>
      </w:r>
      <w:r w:rsidRPr="00A109AE" w:rsidR="00A109AE">
        <w:t>’</w:t>
      </w:r>
      <w:r w:rsidRPr="00A109AE">
        <w:t>avait pas pris fin au moment de la tenue de la première audience devant la formation plénière, qui avait eu lieu le 15 février 2013, soit avant l</w:t>
      </w:r>
      <w:r w:rsidRPr="00A109AE" w:rsidR="00A109AE">
        <w:t>’</w:t>
      </w:r>
      <w:r w:rsidRPr="00A109AE">
        <w:t>entrée en vigueur de la loi n</w:t>
      </w:r>
      <w:r w:rsidRPr="00A109AE">
        <w:rPr>
          <w:vertAlign w:val="superscript"/>
        </w:rPr>
        <w:t>o</w:t>
      </w:r>
      <w:r w:rsidRPr="00A109AE">
        <w:t xml:space="preserve"> 4179/2013 (paragraphe 4</w:t>
      </w:r>
      <w:r w:rsidRPr="00A109AE" w:rsidR="009F1583">
        <w:t>1</w:t>
      </w:r>
      <w:r w:rsidRPr="00A109AE">
        <w:t xml:space="preserve"> ci-dessus).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72</w:t>
      </w:r>
      <w:r w:rsidRPr="00A109AE">
        <w:fldChar w:fldCharType="end"/>
      </w:r>
      <w:r w:rsidRPr="00A109AE">
        <w:t>.  Enfin, à la différence de ce qu</w:t>
      </w:r>
      <w:r w:rsidRPr="00A109AE" w:rsidR="00A109AE">
        <w:t>’</w:t>
      </w:r>
      <w:r w:rsidRPr="00A109AE">
        <w:t>elle a jugé dans l</w:t>
      </w:r>
      <w:r w:rsidRPr="00A109AE" w:rsidR="00A109AE">
        <w:t>’</w:t>
      </w:r>
      <w:r w:rsidRPr="00A109AE">
        <w:t xml:space="preserve">affaire </w:t>
      </w:r>
      <w:proofErr w:type="spellStart"/>
      <w:r w:rsidRPr="00A109AE">
        <w:rPr>
          <w:i/>
        </w:rPr>
        <w:t>Frezadou</w:t>
      </w:r>
      <w:proofErr w:type="spellEnd"/>
      <w:r w:rsidRPr="00A109AE">
        <w:t xml:space="preserve"> précitée, la Cour considère que la décision du Conseil d</w:t>
      </w:r>
      <w:r w:rsidRPr="00A109AE" w:rsidR="00A109AE">
        <w:t>’</w:t>
      </w:r>
      <w:r w:rsidRPr="00A109AE">
        <w:t>État de ne pas examiner le bien</w:t>
      </w:r>
      <w:r w:rsidRPr="00A109AE">
        <w:noBreakHyphen/>
        <w:t>fondé des recours en annulation introduits par le premier requérant n</w:t>
      </w:r>
      <w:r w:rsidRPr="00A109AE" w:rsidR="00A109AE">
        <w:t>’</w:t>
      </w:r>
      <w:r w:rsidRPr="00A109AE">
        <w:t>était pas la conséquence directe et déterminante du maintien de la procédure en instance pendant une longue période devant la haute juridiction. Dans l</w:t>
      </w:r>
      <w:r w:rsidRPr="00A109AE" w:rsidR="00A109AE">
        <w:t>’</w:t>
      </w:r>
      <w:r w:rsidRPr="00A109AE">
        <w:t xml:space="preserve">affaire </w:t>
      </w:r>
      <w:proofErr w:type="spellStart"/>
      <w:r w:rsidRPr="00A109AE">
        <w:rPr>
          <w:i/>
        </w:rPr>
        <w:t>Frezadou</w:t>
      </w:r>
      <w:proofErr w:type="spellEnd"/>
      <w:r w:rsidRPr="00A109AE">
        <w:t>, la durée de validité de la décision attaquée était de deux ans et les ajournements étaient dus au retard mis par l</w:t>
      </w:r>
      <w:r w:rsidRPr="00A109AE" w:rsidR="00A109AE">
        <w:t>’</w:t>
      </w:r>
      <w:r w:rsidRPr="00A109AE">
        <w:t>administration pour répliquer aux moyens additionnels présentés par la requérante. En revanche, en l</w:t>
      </w:r>
      <w:r w:rsidRPr="00A109AE" w:rsidR="00A109AE">
        <w:t>’</w:t>
      </w:r>
      <w:r w:rsidRPr="00A109AE">
        <w:t>espèce, la durée de validité des décisions ministérielles n</w:t>
      </w:r>
      <w:r w:rsidRPr="00A109AE" w:rsidR="00A109AE">
        <w:t>’</w:t>
      </w:r>
      <w:r w:rsidRPr="00A109AE">
        <w:t xml:space="preserve">était que de quelques mois (paragraphes </w:t>
      </w:r>
      <w:r w:rsidRPr="00A109AE" w:rsidR="009F1583">
        <w:t>9</w:t>
      </w:r>
      <w:r w:rsidRPr="00A109AE">
        <w:t xml:space="preserve"> et 1</w:t>
      </w:r>
      <w:r w:rsidRPr="00A109AE" w:rsidR="009F1583">
        <w:t>2</w:t>
      </w:r>
      <w:r w:rsidRPr="00A109AE">
        <w:t xml:space="preserve"> ci-dessus). De plus, des affaires similaires étaient pendantes devant la formation plénière du Conseil d</w:t>
      </w:r>
      <w:r w:rsidRPr="00A109AE" w:rsidR="00A109AE">
        <w:t>’</w:t>
      </w:r>
      <w:r w:rsidRPr="00A109AE">
        <w:t>État, qui devait se prononcer sur certaines questions soulevées par ce type d</w:t>
      </w:r>
      <w:r w:rsidRPr="00A109AE" w:rsidR="00A109AE">
        <w:t>’</w:t>
      </w:r>
      <w:r w:rsidRPr="00A109AE">
        <w:t>affaires, et surtout, et avant tout, le cadre législatif pertinent avait été modifié à deux reprises, en 2013 et en 2014, soit à une période proche de l</w:t>
      </w:r>
      <w:r w:rsidRPr="00A109AE" w:rsidR="00A109AE">
        <w:t>’</w:t>
      </w:r>
      <w:r w:rsidRPr="00A109AE">
        <w:t>introduction des recours en annulation.</w:t>
      </w:r>
    </w:p>
    <w:p w:rsidRPr="00A109AE" w:rsidR="00E04BAF" w:rsidP="00A109AE" w:rsidRDefault="00E04BAF">
      <w:pPr>
        <w:pStyle w:val="JuPara"/>
        <w:rPr>
          <w:rFonts w:eastAsia="Times New Roman"/>
          <w:lang w:eastAsia="fr-FR"/>
        </w:rPr>
      </w:pPr>
      <w:r w:rsidRPr="00A109AE">
        <w:rPr>
          <w:rFonts w:eastAsia="Times New Roman"/>
          <w:lang w:eastAsia="fr-FR"/>
        </w:rPr>
        <w:fldChar w:fldCharType="begin"/>
      </w:r>
      <w:r w:rsidRPr="00A109AE">
        <w:rPr>
          <w:rFonts w:eastAsia="Times New Roman"/>
          <w:lang w:eastAsia="fr-FR"/>
        </w:rPr>
        <w:instrText xml:space="preserve"> SEQ level0 \*arabic </w:instrText>
      </w:r>
      <w:r w:rsidRPr="00A109AE">
        <w:rPr>
          <w:rFonts w:eastAsia="Times New Roman"/>
          <w:lang w:eastAsia="fr-FR"/>
        </w:rPr>
        <w:fldChar w:fldCharType="separate"/>
      </w:r>
      <w:r w:rsidR="00ED4306">
        <w:rPr>
          <w:rFonts w:eastAsia="Times New Roman"/>
          <w:noProof/>
          <w:lang w:eastAsia="fr-FR"/>
        </w:rPr>
        <w:t>73</w:t>
      </w:r>
      <w:r w:rsidRPr="00A109AE">
        <w:rPr>
          <w:rFonts w:eastAsia="Times New Roman"/>
          <w:lang w:eastAsia="fr-FR"/>
        </w:rPr>
        <w:fldChar w:fldCharType="end"/>
      </w:r>
      <w:r w:rsidRPr="00A109AE">
        <w:rPr>
          <w:rFonts w:eastAsia="Times New Roman"/>
          <w:lang w:eastAsia="fr-FR"/>
        </w:rPr>
        <w:t>.  Eu égard à ce qui précède, il n</w:t>
      </w:r>
      <w:r w:rsidRPr="00A109AE" w:rsidR="00A109AE">
        <w:rPr>
          <w:rFonts w:eastAsia="Times New Roman"/>
          <w:lang w:eastAsia="fr-FR"/>
        </w:rPr>
        <w:t>’</w:t>
      </w:r>
      <w:r w:rsidRPr="00A109AE">
        <w:rPr>
          <w:rFonts w:eastAsia="Times New Roman"/>
          <w:lang w:eastAsia="fr-FR"/>
        </w:rPr>
        <w:t>y a pas eu violation de l</w:t>
      </w:r>
      <w:r w:rsidRPr="00A109AE" w:rsidR="00A109AE">
        <w:rPr>
          <w:rFonts w:eastAsia="Times New Roman"/>
          <w:lang w:eastAsia="fr-FR"/>
        </w:rPr>
        <w:t>’</w:t>
      </w:r>
      <w:r w:rsidRPr="00A109AE">
        <w:rPr>
          <w:rFonts w:eastAsia="Times New Roman"/>
          <w:lang w:eastAsia="fr-FR"/>
        </w:rPr>
        <w:t>article 6 § 1 de la Convention quant au droit d</w:t>
      </w:r>
      <w:r w:rsidRPr="00A109AE" w:rsidR="00A109AE">
        <w:rPr>
          <w:rFonts w:eastAsia="Times New Roman"/>
          <w:lang w:eastAsia="fr-FR"/>
        </w:rPr>
        <w:t>’</w:t>
      </w:r>
      <w:r w:rsidRPr="00A109AE">
        <w:rPr>
          <w:rFonts w:eastAsia="Times New Roman"/>
          <w:lang w:eastAsia="fr-FR"/>
        </w:rPr>
        <w:t>accès du requérant à un tribunal.</w:t>
      </w:r>
    </w:p>
    <w:p w:rsidRPr="00A109AE" w:rsidR="00E04BAF" w:rsidP="00A109AE" w:rsidRDefault="00E04BAF">
      <w:pPr>
        <w:pStyle w:val="JuHIRoman"/>
      </w:pPr>
      <w:r w:rsidRPr="00A109AE">
        <w:t>SUR LES AUTRES VIOLATIONS ALLÉGUÉES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74</w:t>
      </w:r>
      <w:r w:rsidRPr="00A109AE">
        <w:fldChar w:fldCharType="end"/>
      </w:r>
      <w:r w:rsidRPr="00A109AE">
        <w:t>.  Sur le terrain de l</w:t>
      </w:r>
      <w:r w:rsidRPr="00A109AE" w:rsidR="00A109AE">
        <w:t>’</w:t>
      </w:r>
      <w:r w:rsidRPr="00A109AE">
        <w:t>article 13 de la Convention, le premier requérant se plaint d</w:t>
      </w:r>
      <w:r w:rsidRPr="00A109AE" w:rsidR="00A109AE">
        <w:t>’</w:t>
      </w:r>
      <w:r w:rsidRPr="00A109AE">
        <w:t>avoir été privé d</w:t>
      </w:r>
      <w:r w:rsidRPr="00A109AE" w:rsidR="00A109AE">
        <w:t>’</w:t>
      </w:r>
      <w:r w:rsidRPr="00A109AE">
        <w:t>un recours effectif, car, selon lui, en tardant à examiner son recours, le Conseil d</w:t>
      </w:r>
      <w:r w:rsidRPr="00A109AE" w:rsidR="00A109AE">
        <w:t>’</w:t>
      </w:r>
      <w:r w:rsidRPr="00A109AE">
        <w:t>État a pu se fonder sur la loi n</w:t>
      </w:r>
      <w:r w:rsidRPr="00A109AE">
        <w:rPr>
          <w:vertAlign w:val="superscript"/>
        </w:rPr>
        <w:t>o</w:t>
      </w:r>
      <w:r w:rsidRPr="00A109AE">
        <w:t> 4254/2014 et prononcer un non-lieu à statuer, ce que, à ses dires, il n</w:t>
      </w:r>
      <w:r w:rsidRPr="00A109AE" w:rsidR="00A109AE">
        <w:t>’</w:t>
      </w:r>
      <w:r w:rsidRPr="00A109AE">
        <w:t>aurait pas pu faire s</w:t>
      </w:r>
      <w:r w:rsidRPr="00A109AE" w:rsidR="00A109AE">
        <w:t>’</w:t>
      </w:r>
      <w:r w:rsidRPr="00A109AE">
        <w:t>il s</w:t>
      </w:r>
      <w:r w:rsidRPr="00A109AE" w:rsidR="00A109AE">
        <w:t>’</w:t>
      </w:r>
      <w:r w:rsidRPr="00A109AE">
        <w:t>était montré plus diligent.</w:t>
      </w:r>
    </w:p>
    <w:p w:rsidRPr="00A109AE" w:rsidR="00E04BAF" w:rsidP="00A109AE" w:rsidRDefault="00E04BAF">
      <w:pPr>
        <w:pStyle w:val="JuPara"/>
      </w:pPr>
      <w:r w:rsidRPr="00A109AE">
        <w:fldChar w:fldCharType="begin"/>
      </w:r>
      <w:r w:rsidRPr="00A109AE">
        <w:instrText xml:space="preserve"> SEQ level0 \*arabic </w:instrText>
      </w:r>
      <w:r w:rsidRPr="00A109AE">
        <w:fldChar w:fldCharType="separate"/>
      </w:r>
      <w:r w:rsidR="00ED4306">
        <w:rPr>
          <w:noProof/>
        </w:rPr>
        <w:t>75</w:t>
      </w:r>
      <w:r w:rsidRPr="00A109AE">
        <w:fldChar w:fldCharType="end"/>
      </w:r>
      <w:r w:rsidRPr="00A109AE">
        <w:t xml:space="preserve">.  La Cour considère que ce grief </w:t>
      </w:r>
      <w:r w:rsidRPr="00A109AE" w:rsidR="009F1583">
        <w:t xml:space="preserve">est absorbé par </w:t>
      </w:r>
      <w:r w:rsidRPr="00A109AE">
        <w:t>le grief tiré de l</w:t>
      </w:r>
      <w:r w:rsidRPr="00A109AE" w:rsidR="00A109AE">
        <w:t>’</w:t>
      </w:r>
      <w:r w:rsidRPr="00A109AE">
        <w:t>article 6 de la Convention et elle estime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est pas nécessaire de l</w:t>
      </w:r>
      <w:r w:rsidRPr="00A109AE" w:rsidR="00A109AE">
        <w:t>’</w:t>
      </w:r>
      <w:r w:rsidRPr="00A109AE">
        <w:t>examiner séparément.</w:t>
      </w:r>
    </w:p>
    <w:p w:rsidRPr="00A109AE" w:rsidR="00E04BAF" w:rsidP="00A109AE" w:rsidRDefault="00E04BAF">
      <w:pPr>
        <w:pStyle w:val="JuHHead"/>
      </w:pPr>
      <w:r w:rsidRPr="00A109AE">
        <w:t>PAR CES MOTIFS, LA COUR, À L</w:t>
      </w:r>
      <w:r w:rsidRPr="00A109AE" w:rsidR="00A109AE">
        <w:t>’</w:t>
      </w:r>
      <w:r w:rsidRPr="00A109AE">
        <w:t>UNANIMITÉ,</w:t>
      </w:r>
    </w:p>
    <w:p w:rsidRPr="00A109AE" w:rsidR="00E04BAF" w:rsidP="00A109AE" w:rsidRDefault="00E04BAF">
      <w:pPr>
        <w:pStyle w:val="JuList"/>
        <w:ind w:left="0" w:firstLine="0"/>
      </w:pPr>
      <w:r w:rsidRPr="00A109AE">
        <w:rPr>
          <w:i/>
        </w:rPr>
        <w:t>Décide</w:t>
      </w:r>
      <w:r w:rsidRPr="00A109AE">
        <w:t xml:space="preserve"> de joindre les requêtes</w:t>
      </w:r>
      <w:r w:rsidRPr="00A109AE">
        <w:rPr>
          <w:i/>
        </w:rPr>
        <w:t> </w:t>
      </w:r>
      <w:r w:rsidRPr="00A109AE">
        <w:t>;</w:t>
      </w:r>
    </w:p>
    <w:p w:rsidRPr="00A109AE" w:rsidR="00E04BAF" w:rsidP="00A109AE" w:rsidRDefault="00E04BAF">
      <w:pPr>
        <w:pStyle w:val="JuList"/>
      </w:pPr>
      <w:r w:rsidRPr="00A109AE">
        <w:rPr>
          <w:i/>
        </w:rPr>
        <w:t>Déclare</w:t>
      </w:r>
      <w:r w:rsidRPr="00A109AE">
        <w:t xml:space="preserve"> les requêtes recevables pour autant que les griefs du premier requérant sont concernés et irrecevable pour le surplus ;</w:t>
      </w:r>
    </w:p>
    <w:p w:rsidRPr="00A109AE" w:rsidR="00E04BAF" w:rsidP="00A109AE" w:rsidRDefault="00E04BAF">
      <w:pPr>
        <w:pStyle w:val="JuList"/>
      </w:pPr>
      <w:r w:rsidRPr="00A109AE">
        <w:rPr>
          <w:i/>
        </w:rPr>
        <w:t>Dit</w:t>
      </w:r>
      <w:r w:rsidRPr="00A109AE">
        <w:t xml:space="preserve">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y a pas eu violation de l</w:t>
      </w:r>
      <w:r w:rsidRPr="00A109AE" w:rsidR="00A109AE">
        <w:t>’</w:t>
      </w:r>
      <w:r w:rsidRPr="00A109AE">
        <w:t>article 6 § 1 de la Convention ;</w:t>
      </w:r>
    </w:p>
    <w:p w:rsidRPr="00A109AE" w:rsidR="00876F03" w:rsidP="00A109AE" w:rsidRDefault="00E04BAF">
      <w:pPr>
        <w:pStyle w:val="JuList"/>
      </w:pPr>
      <w:r w:rsidRPr="00A109AE">
        <w:rPr>
          <w:i/>
        </w:rPr>
        <w:t>Dit</w:t>
      </w:r>
      <w:r w:rsidRPr="00A109AE">
        <w:t xml:space="preserve"> qu</w:t>
      </w:r>
      <w:r w:rsidRPr="00A109AE" w:rsidR="00A109AE">
        <w:t>’</w:t>
      </w:r>
      <w:r w:rsidRPr="00A109AE">
        <w:t>il n</w:t>
      </w:r>
      <w:r w:rsidRPr="00A109AE" w:rsidR="00A109AE">
        <w:t>’</w:t>
      </w:r>
      <w:r w:rsidRPr="00A109AE">
        <w:t>y a pas lieu d</w:t>
      </w:r>
      <w:r w:rsidRPr="00A109AE" w:rsidR="00A109AE">
        <w:t>’</w:t>
      </w:r>
      <w:r w:rsidRPr="00A109AE">
        <w:t>examiner le grief tiré de l</w:t>
      </w:r>
      <w:r w:rsidRPr="00A109AE" w:rsidR="00A109AE">
        <w:t>’</w:t>
      </w:r>
      <w:r w:rsidRPr="00A109AE">
        <w:t>article 13 de la Convention.</w:t>
      </w:r>
    </w:p>
    <w:p w:rsidRPr="00A109AE" w:rsidR="00893F30" w:rsidP="00A109AE" w:rsidRDefault="00893F30">
      <w:pPr>
        <w:pStyle w:val="JuParaLast"/>
      </w:pPr>
      <w:r w:rsidRPr="00A109AE">
        <w:t xml:space="preserve">Fait en français, puis communiqué par écrit le </w:t>
      </w:r>
      <w:r w:rsidRPr="00A109AE" w:rsidR="00E04BAF">
        <w:t>21 novembre 2019</w:t>
      </w:r>
      <w:r w:rsidRPr="00A109AE">
        <w:t>, en application de l</w:t>
      </w:r>
      <w:r w:rsidRPr="00A109AE" w:rsidR="00A109AE">
        <w:t>’</w:t>
      </w:r>
      <w:r w:rsidRPr="00A109AE">
        <w:t>article 77 §§ 2 et 3 du règlement.</w:t>
      </w:r>
    </w:p>
    <w:p w:rsidRPr="00A109AE" w:rsidR="00876F03" w:rsidP="00A109AE" w:rsidRDefault="00E04BAF">
      <w:pPr>
        <w:pStyle w:val="JuSigned"/>
        <w:rPr>
          <w:szCs w:val="24"/>
        </w:rPr>
      </w:pPr>
      <w:r w:rsidRPr="00A109AE">
        <w:tab/>
      </w:r>
      <w:r w:rsidRPr="00A109AE" w:rsidR="007B02C2">
        <w:t xml:space="preserve">Renata </w:t>
      </w:r>
      <w:proofErr w:type="spellStart"/>
      <w:r w:rsidRPr="00A109AE" w:rsidR="007B02C2">
        <w:t>Degener</w:t>
      </w:r>
      <w:proofErr w:type="spellEnd"/>
      <w:r w:rsidRPr="00A109AE" w:rsidR="004344E6">
        <w:tab/>
      </w:r>
      <w:proofErr w:type="spellStart"/>
      <w:r w:rsidRPr="00A109AE">
        <w:rPr>
          <w:szCs w:val="24"/>
        </w:rPr>
        <w:t>Ksenija</w:t>
      </w:r>
      <w:proofErr w:type="spellEnd"/>
      <w:r w:rsidRPr="00A109AE">
        <w:rPr>
          <w:szCs w:val="24"/>
        </w:rPr>
        <w:t xml:space="preserve"> </w:t>
      </w:r>
      <w:proofErr w:type="spellStart"/>
      <w:r w:rsidRPr="00A109AE">
        <w:rPr>
          <w:szCs w:val="24"/>
        </w:rPr>
        <w:t>Turković</w:t>
      </w:r>
      <w:proofErr w:type="spellEnd"/>
      <w:r w:rsidRPr="00A109AE" w:rsidR="004344E6">
        <w:br/>
      </w:r>
      <w:r w:rsidRPr="00A109AE" w:rsidR="004344E6">
        <w:tab/>
      </w:r>
      <w:r w:rsidRPr="00A109AE" w:rsidR="007B02C2">
        <w:t>Greffière adjointe</w:t>
      </w:r>
      <w:r w:rsidRPr="00A109AE" w:rsidR="004344E6">
        <w:tab/>
      </w:r>
      <w:r w:rsidRPr="00A109AE">
        <w:t>Présidente</w:t>
      </w:r>
    </w:p>
    <w:sectPr w:rsidRPr="00A109AE" w:rsidR="00876F03">
      <w:headerReference w:type="even" r:id="rId10"/>
      <w:headerReference w:type="default" r:id="rId11"/>
      <w:footerReference w:type="default" r:id="rId12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BAF" w:rsidRPr="00891107" w:rsidRDefault="00E04BAF" w:rsidP="00516B59">
      <w:r w:rsidRPr="00891107">
        <w:separator/>
      </w:r>
    </w:p>
  </w:endnote>
  <w:endnote w:type="continuationSeparator" w:id="0">
    <w:p w:rsidR="00E04BAF" w:rsidRPr="00891107" w:rsidRDefault="00E04BAF" w:rsidP="00516B59">
      <w:r w:rsidRPr="008911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BAF" w:rsidRPr="00150BFA" w:rsidRDefault="00E04BAF" w:rsidP="0020718E">
    <w:pPr>
      <w:jc w:val="center"/>
    </w:pPr>
    <w:r>
      <w:rPr>
        <w:noProof/>
        <w:lang w:val="en-US" w:eastAsia="ja-JP"/>
      </w:rPr>
      <w:drawing>
        <wp:inline distT="0" distB="0" distL="0" distR="0" wp14:anchorId="6452E3FD" wp14:editId="5B01592B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2D5C" w:rsidRPr="00891107" w:rsidRDefault="00865919" w:rsidP="00F27D13">
    <w:pPr>
      <w:pStyle w:val="Footer0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D5C" w:rsidRPr="00D01935" w:rsidRDefault="00865919" w:rsidP="00C4198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BAF" w:rsidRPr="00891107" w:rsidRDefault="00E04BAF" w:rsidP="00516B59">
      <w:r w:rsidRPr="00891107">
        <w:separator/>
      </w:r>
    </w:p>
  </w:footnote>
  <w:footnote w:type="continuationSeparator" w:id="0">
    <w:p w:rsidR="00E04BAF" w:rsidRPr="00891107" w:rsidRDefault="00E04BAF" w:rsidP="00516B59">
      <w:r w:rsidRPr="00891107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BAF" w:rsidRPr="00A45145" w:rsidRDefault="00E04BAF" w:rsidP="00A45145">
    <w:pPr>
      <w:jc w:val="center"/>
    </w:pPr>
    <w:r>
      <w:rPr>
        <w:noProof/>
        <w:lang w:val="en-US" w:eastAsia="ja-JP"/>
      </w:rPr>
      <w:drawing>
        <wp:inline distT="0" distB="0" distL="0" distR="0" wp14:anchorId="6C936A6A" wp14:editId="6E664430">
          <wp:extent cx="2962275" cy="1219200"/>
          <wp:effectExtent l="0" t="0" r="9525" b="0"/>
          <wp:docPr id="8" name="Picture 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2D5C" w:rsidRPr="00891107" w:rsidRDefault="00865919" w:rsidP="009840A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D5C" w:rsidRPr="00E04BAF" w:rsidRDefault="00E04BAF" w:rsidP="00A21624">
    <w:pPr>
      <w:pStyle w:val="JuHeader"/>
    </w:pPr>
    <w:r>
      <w:rPr>
        <w:rStyle w:val="PageNumber"/>
        <w:lang w:val="en-US"/>
      </w:rPr>
      <w:fldChar w:fldCharType="begin"/>
    </w:r>
    <w:r w:rsidRPr="00E04BAF">
      <w:rPr>
        <w:rStyle w:val="PageNumber"/>
      </w:rPr>
      <w:instrText xml:space="preserve"> PAGE </w:instrText>
    </w:r>
    <w:r>
      <w:rPr>
        <w:rStyle w:val="PageNumber"/>
        <w:lang w:val="en-US"/>
      </w:rPr>
      <w:fldChar w:fldCharType="separate"/>
    </w:r>
    <w:r w:rsidR="00ED4306">
      <w:rPr>
        <w:rStyle w:val="PageNumber"/>
        <w:noProof/>
      </w:rPr>
      <w:t>16</w:t>
    </w:r>
    <w:r>
      <w:rPr>
        <w:rStyle w:val="PageNumber"/>
        <w:lang w:val="en-US"/>
      </w:rPr>
      <w:fldChar w:fldCharType="end"/>
    </w:r>
    <w:r w:rsidR="007971FF" w:rsidRPr="00E04BAF">
      <w:tab/>
    </w:r>
    <w:r w:rsidR="00A21624" w:rsidRPr="00E04BAF">
      <w:t>ARRÊT</w:t>
    </w:r>
    <w:r w:rsidR="00256F45" w:rsidRPr="00E04BAF">
      <w:t xml:space="preserve"> </w:t>
    </w:r>
    <w:r w:rsidRPr="00E04BAF">
      <w:t xml:space="preserve">CLUB NAUTIQUE DE CHALCIDIQUE </w:t>
    </w:r>
    <w:r w:rsidR="00C50069" w:rsidRPr="00BC3E9E">
      <w:t>«</w:t>
    </w:r>
    <w:r w:rsidR="00937853">
      <w:t> </w:t>
    </w:r>
    <w:r w:rsidRPr="00E04BAF">
      <w:t>I KELYFOS</w:t>
    </w:r>
    <w:r w:rsidR="00937853">
      <w:t> </w:t>
    </w:r>
    <w:r w:rsidR="00C50069" w:rsidRPr="00BC3E9E">
      <w:t>»</w:t>
    </w:r>
    <w:r w:rsidRPr="00E04BAF">
      <w:t xml:space="preserve"> c. GRÈCE</w:t>
    </w:r>
    <w:r w:rsidRPr="00E04BAF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D5C" w:rsidRPr="00F22D5C" w:rsidRDefault="007612E2" w:rsidP="00522ABA">
    <w:pPr>
      <w:pStyle w:val="JuHeader"/>
      <w:jc w:val="both"/>
    </w:pPr>
    <w:r>
      <w:tab/>
    </w:r>
    <w:r w:rsidR="00256F45" w:rsidRPr="00E04BAF">
      <w:t>ARRÊT</w:t>
    </w:r>
    <w:r w:rsidR="00162967" w:rsidRPr="00E04BAF">
      <w:t xml:space="preserve"> </w:t>
    </w:r>
    <w:r w:rsidR="00E04BAF" w:rsidRPr="00E04BAF">
      <w:t xml:space="preserve">CLUB NAUTIQUE DE CHALCIDIQUE </w:t>
    </w:r>
    <w:r w:rsidR="00C50069" w:rsidRPr="00BC3E9E">
      <w:t>«</w:t>
    </w:r>
    <w:r w:rsidR="006E6A67">
      <w:t> </w:t>
    </w:r>
    <w:r w:rsidR="00E04BAF" w:rsidRPr="00E04BAF">
      <w:t>I KELYFOS</w:t>
    </w:r>
    <w:r w:rsidR="006E6A67">
      <w:t> </w:t>
    </w:r>
    <w:r w:rsidR="00C50069" w:rsidRPr="00BC3E9E">
      <w:t>»</w:t>
    </w:r>
    <w:r w:rsidR="00E04BAF" w:rsidRPr="00E04BAF">
      <w:t xml:space="preserve"> c. GRÈCE</w:t>
    </w:r>
    <w:r w:rsidR="007971FF" w:rsidRPr="00E04BAF">
      <w:t xml:space="preserve"> </w:t>
    </w:r>
    <w:r w:rsidR="007971FF" w:rsidRPr="007100AD">
      <w:tab/>
    </w:r>
    <w:r w:rsidR="00E04BAF">
      <w:rPr>
        <w:rStyle w:val="PageNumber"/>
      </w:rPr>
      <w:fldChar w:fldCharType="begin"/>
    </w:r>
    <w:r w:rsidR="00E04BAF">
      <w:rPr>
        <w:rStyle w:val="PageNumber"/>
      </w:rPr>
      <w:instrText xml:space="preserve"> PAGE </w:instrText>
    </w:r>
    <w:r w:rsidR="00E04BAF">
      <w:rPr>
        <w:rStyle w:val="PageNumber"/>
      </w:rPr>
      <w:fldChar w:fldCharType="separate"/>
    </w:r>
    <w:r w:rsidR="00ED4306">
      <w:rPr>
        <w:rStyle w:val="PageNumber"/>
        <w:noProof/>
      </w:rPr>
      <w:t>1</w:t>
    </w:r>
    <w:r w:rsidR="00E04BAF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85E6A40"/>
    <w:multiLevelType w:val="multilevel"/>
    <w:tmpl w:val="3704F6F0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%3.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6CB4147"/>
    <w:multiLevelType w:val="hybridMultilevel"/>
    <w:tmpl w:val="2F6234C0"/>
    <w:lvl w:ilvl="0" w:tplc="BB44CB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4CD28D7E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suff w:val="space"/>
      <w:lvlText w:val="%6.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4"/>
  </w:num>
  <w:num w:numId="4">
    <w:abstractNumId w:val="10"/>
  </w:num>
  <w:num w:numId="5">
    <w:abstractNumId w:val="9"/>
  </w:num>
  <w:num w:numId="6">
    <w:abstractNumId w:val="15"/>
  </w:num>
  <w:num w:numId="7">
    <w:abstractNumId w:val="11"/>
  </w:num>
  <w:num w:numId="8">
    <w:abstractNumId w:val="16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2"/>
    <w:docVar w:name="EMM" w:val="0"/>
    <w:docVar w:name="NBEMMDOC" w:val="0"/>
  </w:docVars>
  <w:rsids>
    <w:rsidRoot w:val="00E04BAF"/>
    <w:rsid w:val="000041F8"/>
    <w:rsid w:val="000042A8"/>
    <w:rsid w:val="00004308"/>
    <w:rsid w:val="00005BF0"/>
    <w:rsid w:val="00007154"/>
    <w:rsid w:val="000103AE"/>
    <w:rsid w:val="00011D69"/>
    <w:rsid w:val="00012AD3"/>
    <w:rsid w:val="00015C2D"/>
    <w:rsid w:val="00015F00"/>
    <w:rsid w:val="0001795B"/>
    <w:rsid w:val="00022C1D"/>
    <w:rsid w:val="00034987"/>
    <w:rsid w:val="00051015"/>
    <w:rsid w:val="000602DF"/>
    <w:rsid w:val="00061B05"/>
    <w:rsid w:val="000632D5"/>
    <w:rsid w:val="000644EE"/>
    <w:rsid w:val="00080ECE"/>
    <w:rsid w:val="0009057B"/>
    <w:rsid w:val="000925AD"/>
    <w:rsid w:val="000A24EB"/>
    <w:rsid w:val="000B5D17"/>
    <w:rsid w:val="000B6923"/>
    <w:rsid w:val="000C5F3C"/>
    <w:rsid w:val="000C6DCC"/>
    <w:rsid w:val="000D04C2"/>
    <w:rsid w:val="000D47AA"/>
    <w:rsid w:val="000D721F"/>
    <w:rsid w:val="000E069B"/>
    <w:rsid w:val="000E0E82"/>
    <w:rsid w:val="000E1DC5"/>
    <w:rsid w:val="000E223F"/>
    <w:rsid w:val="000E4AC8"/>
    <w:rsid w:val="000E7D45"/>
    <w:rsid w:val="000F19D8"/>
    <w:rsid w:val="000F7851"/>
    <w:rsid w:val="00104E23"/>
    <w:rsid w:val="00111B0C"/>
    <w:rsid w:val="00117CD2"/>
    <w:rsid w:val="00120D6C"/>
    <w:rsid w:val="001257EC"/>
    <w:rsid w:val="00133D33"/>
    <w:rsid w:val="00134D64"/>
    <w:rsid w:val="00135A30"/>
    <w:rsid w:val="0013612C"/>
    <w:rsid w:val="00137FF6"/>
    <w:rsid w:val="00141650"/>
    <w:rsid w:val="00162967"/>
    <w:rsid w:val="00162A12"/>
    <w:rsid w:val="00166530"/>
    <w:rsid w:val="001832BD"/>
    <w:rsid w:val="001943B5"/>
    <w:rsid w:val="00194C5B"/>
    <w:rsid w:val="00195134"/>
    <w:rsid w:val="001A145B"/>
    <w:rsid w:val="001A674C"/>
    <w:rsid w:val="001B3B24"/>
    <w:rsid w:val="001C0F98"/>
    <w:rsid w:val="001C2A42"/>
    <w:rsid w:val="001D63ED"/>
    <w:rsid w:val="001D7348"/>
    <w:rsid w:val="001E035B"/>
    <w:rsid w:val="001E0961"/>
    <w:rsid w:val="001E3EAE"/>
    <w:rsid w:val="001E6F32"/>
    <w:rsid w:val="001F2145"/>
    <w:rsid w:val="001F39F4"/>
    <w:rsid w:val="001F6262"/>
    <w:rsid w:val="001F67B0"/>
    <w:rsid w:val="001F7B3D"/>
    <w:rsid w:val="00205F9F"/>
    <w:rsid w:val="00210338"/>
    <w:rsid w:val="002115FC"/>
    <w:rsid w:val="00212184"/>
    <w:rsid w:val="0021423C"/>
    <w:rsid w:val="00230D00"/>
    <w:rsid w:val="00231364"/>
    <w:rsid w:val="00231DF7"/>
    <w:rsid w:val="00231FD1"/>
    <w:rsid w:val="002339E0"/>
    <w:rsid w:val="00233CF8"/>
    <w:rsid w:val="0023575D"/>
    <w:rsid w:val="00237148"/>
    <w:rsid w:val="0024222D"/>
    <w:rsid w:val="00244B0E"/>
    <w:rsid w:val="00244F6C"/>
    <w:rsid w:val="002532C5"/>
    <w:rsid w:val="002546AE"/>
    <w:rsid w:val="00256F45"/>
    <w:rsid w:val="00260C03"/>
    <w:rsid w:val="0026540E"/>
    <w:rsid w:val="00275123"/>
    <w:rsid w:val="00282240"/>
    <w:rsid w:val="002948AD"/>
    <w:rsid w:val="0029739C"/>
    <w:rsid w:val="002A01CC"/>
    <w:rsid w:val="002A61B1"/>
    <w:rsid w:val="002A663C"/>
    <w:rsid w:val="002B444B"/>
    <w:rsid w:val="002B5887"/>
    <w:rsid w:val="002B7E83"/>
    <w:rsid w:val="002C0E27"/>
    <w:rsid w:val="002C3040"/>
    <w:rsid w:val="002D022D"/>
    <w:rsid w:val="002D24BB"/>
    <w:rsid w:val="002F29AA"/>
    <w:rsid w:val="002F2AF7"/>
    <w:rsid w:val="002F7E1C"/>
    <w:rsid w:val="00301A75"/>
    <w:rsid w:val="00302F70"/>
    <w:rsid w:val="0030336F"/>
    <w:rsid w:val="0030375E"/>
    <w:rsid w:val="0030660C"/>
    <w:rsid w:val="00312A30"/>
    <w:rsid w:val="00316323"/>
    <w:rsid w:val="00320F72"/>
    <w:rsid w:val="0032463E"/>
    <w:rsid w:val="00326224"/>
    <w:rsid w:val="00337EE4"/>
    <w:rsid w:val="00340FFD"/>
    <w:rsid w:val="003506B1"/>
    <w:rsid w:val="003546A1"/>
    <w:rsid w:val="00356AC7"/>
    <w:rsid w:val="003609FA"/>
    <w:rsid w:val="00367B4F"/>
    <w:rsid w:val="003710C8"/>
    <w:rsid w:val="003750BE"/>
    <w:rsid w:val="00387B9D"/>
    <w:rsid w:val="0039364F"/>
    <w:rsid w:val="00396686"/>
    <w:rsid w:val="0039778E"/>
    <w:rsid w:val="003A37B8"/>
    <w:rsid w:val="003B4941"/>
    <w:rsid w:val="003B6A2E"/>
    <w:rsid w:val="003C5714"/>
    <w:rsid w:val="003C6B9F"/>
    <w:rsid w:val="003C6E2A"/>
    <w:rsid w:val="003D0299"/>
    <w:rsid w:val="003D32BE"/>
    <w:rsid w:val="003E3FE3"/>
    <w:rsid w:val="003E6D80"/>
    <w:rsid w:val="003E7A9C"/>
    <w:rsid w:val="003F05FA"/>
    <w:rsid w:val="003F244A"/>
    <w:rsid w:val="003F30B8"/>
    <w:rsid w:val="003F4C45"/>
    <w:rsid w:val="003F5F7B"/>
    <w:rsid w:val="003F7D64"/>
    <w:rsid w:val="00401F7D"/>
    <w:rsid w:val="0041177B"/>
    <w:rsid w:val="00414300"/>
    <w:rsid w:val="00425C67"/>
    <w:rsid w:val="00427E7A"/>
    <w:rsid w:val="00431C07"/>
    <w:rsid w:val="004344E6"/>
    <w:rsid w:val="00436C49"/>
    <w:rsid w:val="00445366"/>
    <w:rsid w:val="00447F5B"/>
    <w:rsid w:val="00456549"/>
    <w:rsid w:val="004604A0"/>
    <w:rsid w:val="00461DB0"/>
    <w:rsid w:val="00463926"/>
    <w:rsid w:val="00464C9A"/>
    <w:rsid w:val="00474F3D"/>
    <w:rsid w:val="00477E3A"/>
    <w:rsid w:val="00483E5F"/>
    <w:rsid w:val="00485FF9"/>
    <w:rsid w:val="004907F0"/>
    <w:rsid w:val="0049140B"/>
    <w:rsid w:val="004923A5"/>
    <w:rsid w:val="00496197"/>
    <w:rsid w:val="00496BFB"/>
    <w:rsid w:val="004A15C7"/>
    <w:rsid w:val="004B013B"/>
    <w:rsid w:val="004B112B"/>
    <w:rsid w:val="004C01E4"/>
    <w:rsid w:val="004C086C"/>
    <w:rsid w:val="004C1A3F"/>
    <w:rsid w:val="004C1F56"/>
    <w:rsid w:val="004C27BC"/>
    <w:rsid w:val="004C6B68"/>
    <w:rsid w:val="004D15F3"/>
    <w:rsid w:val="004D5311"/>
    <w:rsid w:val="004D5DCC"/>
    <w:rsid w:val="004E22F1"/>
    <w:rsid w:val="004E5890"/>
    <w:rsid w:val="004F10AF"/>
    <w:rsid w:val="004F11A4"/>
    <w:rsid w:val="004F2389"/>
    <w:rsid w:val="004F304D"/>
    <w:rsid w:val="004F61BE"/>
    <w:rsid w:val="004F66B1"/>
    <w:rsid w:val="00511C07"/>
    <w:rsid w:val="00516B59"/>
    <w:rsid w:val="005173A6"/>
    <w:rsid w:val="00520BAA"/>
    <w:rsid w:val="00522ABA"/>
    <w:rsid w:val="00525208"/>
    <w:rsid w:val="005257A5"/>
    <w:rsid w:val="005264C0"/>
    <w:rsid w:val="00526A8A"/>
    <w:rsid w:val="00531DF2"/>
    <w:rsid w:val="005442EE"/>
    <w:rsid w:val="00547353"/>
    <w:rsid w:val="005474E7"/>
    <w:rsid w:val="005512A3"/>
    <w:rsid w:val="005578CE"/>
    <w:rsid w:val="00562781"/>
    <w:rsid w:val="00566E2B"/>
    <w:rsid w:val="0057271C"/>
    <w:rsid w:val="00572845"/>
    <w:rsid w:val="00576986"/>
    <w:rsid w:val="00592772"/>
    <w:rsid w:val="00592C8D"/>
    <w:rsid w:val="0059574A"/>
    <w:rsid w:val="005A1B9B"/>
    <w:rsid w:val="005A6751"/>
    <w:rsid w:val="005B092E"/>
    <w:rsid w:val="005B0E0D"/>
    <w:rsid w:val="005B152C"/>
    <w:rsid w:val="005B1EE0"/>
    <w:rsid w:val="005B2B24"/>
    <w:rsid w:val="005B4425"/>
    <w:rsid w:val="005B4B94"/>
    <w:rsid w:val="005B64D6"/>
    <w:rsid w:val="005C353F"/>
    <w:rsid w:val="005C3EE8"/>
    <w:rsid w:val="005D34F9"/>
    <w:rsid w:val="005D4190"/>
    <w:rsid w:val="005D67A3"/>
    <w:rsid w:val="005E2988"/>
    <w:rsid w:val="005E3085"/>
    <w:rsid w:val="005F51E1"/>
    <w:rsid w:val="00611C80"/>
    <w:rsid w:val="00613B21"/>
    <w:rsid w:val="00620692"/>
    <w:rsid w:val="006242CA"/>
    <w:rsid w:val="00627507"/>
    <w:rsid w:val="00633717"/>
    <w:rsid w:val="006344E1"/>
    <w:rsid w:val="006361FD"/>
    <w:rsid w:val="006545C4"/>
    <w:rsid w:val="00661971"/>
    <w:rsid w:val="00661CE8"/>
    <w:rsid w:val="006623D9"/>
    <w:rsid w:val="0066550C"/>
    <w:rsid w:val="006716F2"/>
    <w:rsid w:val="00682BF2"/>
    <w:rsid w:val="006859CE"/>
    <w:rsid w:val="00691270"/>
    <w:rsid w:val="00694BA8"/>
    <w:rsid w:val="006A037C"/>
    <w:rsid w:val="006A36F4"/>
    <w:rsid w:val="006A406F"/>
    <w:rsid w:val="006A5D3A"/>
    <w:rsid w:val="006C23D4"/>
    <w:rsid w:val="006C7BB0"/>
    <w:rsid w:val="006D3237"/>
    <w:rsid w:val="006E2E37"/>
    <w:rsid w:val="006E3CF1"/>
    <w:rsid w:val="006E6A67"/>
    <w:rsid w:val="006E7E80"/>
    <w:rsid w:val="006F48CA"/>
    <w:rsid w:val="006F64DD"/>
    <w:rsid w:val="00715127"/>
    <w:rsid w:val="00715E8E"/>
    <w:rsid w:val="007172B0"/>
    <w:rsid w:val="00723580"/>
    <w:rsid w:val="00723755"/>
    <w:rsid w:val="00724AE2"/>
    <w:rsid w:val="0073136C"/>
    <w:rsid w:val="00731F0F"/>
    <w:rsid w:val="00733250"/>
    <w:rsid w:val="00735951"/>
    <w:rsid w:val="00741404"/>
    <w:rsid w:val="007449E5"/>
    <w:rsid w:val="00747FF0"/>
    <w:rsid w:val="007612E2"/>
    <w:rsid w:val="00764D4E"/>
    <w:rsid w:val="00765A1F"/>
    <w:rsid w:val="00775B6D"/>
    <w:rsid w:val="00776D68"/>
    <w:rsid w:val="007843EA"/>
    <w:rsid w:val="007850EE"/>
    <w:rsid w:val="00785B95"/>
    <w:rsid w:val="00790AAD"/>
    <w:rsid w:val="00790E96"/>
    <w:rsid w:val="00793366"/>
    <w:rsid w:val="007971FF"/>
    <w:rsid w:val="007A4070"/>
    <w:rsid w:val="007A716F"/>
    <w:rsid w:val="007B02C2"/>
    <w:rsid w:val="007B270A"/>
    <w:rsid w:val="007C0695"/>
    <w:rsid w:val="007C419A"/>
    <w:rsid w:val="007C4CC8"/>
    <w:rsid w:val="007C5426"/>
    <w:rsid w:val="007C5798"/>
    <w:rsid w:val="007D4832"/>
    <w:rsid w:val="007E21B2"/>
    <w:rsid w:val="007E2C4E"/>
    <w:rsid w:val="007F1905"/>
    <w:rsid w:val="00801300"/>
    <w:rsid w:val="00802C64"/>
    <w:rsid w:val="0080523A"/>
    <w:rsid w:val="00805E52"/>
    <w:rsid w:val="008061D0"/>
    <w:rsid w:val="00810B38"/>
    <w:rsid w:val="008204C7"/>
    <w:rsid w:val="00820992"/>
    <w:rsid w:val="00823602"/>
    <w:rsid w:val="008255F5"/>
    <w:rsid w:val="0083014E"/>
    <w:rsid w:val="0083214A"/>
    <w:rsid w:val="00834220"/>
    <w:rsid w:val="00845723"/>
    <w:rsid w:val="00851EF9"/>
    <w:rsid w:val="008577FD"/>
    <w:rsid w:val="00860B03"/>
    <w:rsid w:val="0086497A"/>
    <w:rsid w:val="00865030"/>
    <w:rsid w:val="008713A1"/>
    <w:rsid w:val="008748BE"/>
    <w:rsid w:val="008754AB"/>
    <w:rsid w:val="00876A02"/>
    <w:rsid w:val="00876F03"/>
    <w:rsid w:val="0088060C"/>
    <w:rsid w:val="00891107"/>
    <w:rsid w:val="00893576"/>
    <w:rsid w:val="00893E73"/>
    <w:rsid w:val="00893F30"/>
    <w:rsid w:val="00895F5B"/>
    <w:rsid w:val="008B02DC"/>
    <w:rsid w:val="008B2698"/>
    <w:rsid w:val="008B57CE"/>
    <w:rsid w:val="008C0064"/>
    <w:rsid w:val="008C26DE"/>
    <w:rsid w:val="008D2225"/>
    <w:rsid w:val="008D4752"/>
    <w:rsid w:val="008E271C"/>
    <w:rsid w:val="008E418E"/>
    <w:rsid w:val="008E5BC6"/>
    <w:rsid w:val="008E6A25"/>
    <w:rsid w:val="008E7A1B"/>
    <w:rsid w:val="008F5193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34301"/>
    <w:rsid w:val="00936CD1"/>
    <w:rsid w:val="00937853"/>
    <w:rsid w:val="00941747"/>
    <w:rsid w:val="00941EFB"/>
    <w:rsid w:val="00947AFB"/>
    <w:rsid w:val="00951D7D"/>
    <w:rsid w:val="009630C7"/>
    <w:rsid w:val="00972B55"/>
    <w:rsid w:val="009743B7"/>
    <w:rsid w:val="00975039"/>
    <w:rsid w:val="00977227"/>
    <w:rsid w:val="0098228B"/>
    <w:rsid w:val="009828DA"/>
    <w:rsid w:val="00985BAB"/>
    <w:rsid w:val="009B1B5F"/>
    <w:rsid w:val="009B6673"/>
    <w:rsid w:val="009C191B"/>
    <w:rsid w:val="009C2BD6"/>
    <w:rsid w:val="009D2F52"/>
    <w:rsid w:val="009E16D2"/>
    <w:rsid w:val="009E1F32"/>
    <w:rsid w:val="009E2D99"/>
    <w:rsid w:val="009E776C"/>
    <w:rsid w:val="009F1583"/>
    <w:rsid w:val="00A109AE"/>
    <w:rsid w:val="00A132AD"/>
    <w:rsid w:val="00A1726E"/>
    <w:rsid w:val="00A204CF"/>
    <w:rsid w:val="00A21624"/>
    <w:rsid w:val="00A23D49"/>
    <w:rsid w:val="00A27004"/>
    <w:rsid w:val="00A30C29"/>
    <w:rsid w:val="00A34DD6"/>
    <w:rsid w:val="00A36819"/>
    <w:rsid w:val="00A36989"/>
    <w:rsid w:val="00A43628"/>
    <w:rsid w:val="00A43AA3"/>
    <w:rsid w:val="00A4783F"/>
    <w:rsid w:val="00A54192"/>
    <w:rsid w:val="00A6035E"/>
    <w:rsid w:val="00A6144C"/>
    <w:rsid w:val="00A66617"/>
    <w:rsid w:val="00A671F8"/>
    <w:rsid w:val="00A673A4"/>
    <w:rsid w:val="00A724AE"/>
    <w:rsid w:val="00A73329"/>
    <w:rsid w:val="00A75785"/>
    <w:rsid w:val="00A82359"/>
    <w:rsid w:val="00A865D2"/>
    <w:rsid w:val="00A94C20"/>
    <w:rsid w:val="00AA227F"/>
    <w:rsid w:val="00AA3BC7"/>
    <w:rsid w:val="00AA754A"/>
    <w:rsid w:val="00AB099E"/>
    <w:rsid w:val="00AB4328"/>
    <w:rsid w:val="00AC00C2"/>
    <w:rsid w:val="00AC5872"/>
    <w:rsid w:val="00AE0A2E"/>
    <w:rsid w:val="00AE354C"/>
    <w:rsid w:val="00AF4B07"/>
    <w:rsid w:val="00AF6186"/>
    <w:rsid w:val="00AF7A3A"/>
    <w:rsid w:val="00B009F4"/>
    <w:rsid w:val="00B160DB"/>
    <w:rsid w:val="00B20836"/>
    <w:rsid w:val="00B235BB"/>
    <w:rsid w:val="00B25320"/>
    <w:rsid w:val="00B25D3B"/>
    <w:rsid w:val="00B27A44"/>
    <w:rsid w:val="00B30BBF"/>
    <w:rsid w:val="00B33C03"/>
    <w:rsid w:val="00B44E56"/>
    <w:rsid w:val="00B46543"/>
    <w:rsid w:val="00B47D33"/>
    <w:rsid w:val="00B52BE0"/>
    <w:rsid w:val="00B54133"/>
    <w:rsid w:val="00B701ED"/>
    <w:rsid w:val="00B751F4"/>
    <w:rsid w:val="00B8086C"/>
    <w:rsid w:val="00B840F7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1C27"/>
    <w:rsid w:val="00BC1F03"/>
    <w:rsid w:val="00BC3E9E"/>
    <w:rsid w:val="00BC6BBF"/>
    <w:rsid w:val="00BD1572"/>
    <w:rsid w:val="00BE14E3"/>
    <w:rsid w:val="00BE3774"/>
    <w:rsid w:val="00BE41E5"/>
    <w:rsid w:val="00BF4109"/>
    <w:rsid w:val="00BF4CC3"/>
    <w:rsid w:val="00C00E59"/>
    <w:rsid w:val="00C054C7"/>
    <w:rsid w:val="00C057B5"/>
    <w:rsid w:val="00C22687"/>
    <w:rsid w:val="00C25983"/>
    <w:rsid w:val="00C32E4D"/>
    <w:rsid w:val="00C333A0"/>
    <w:rsid w:val="00C36408"/>
    <w:rsid w:val="00C36A81"/>
    <w:rsid w:val="00C41974"/>
    <w:rsid w:val="00C50069"/>
    <w:rsid w:val="00C53F4A"/>
    <w:rsid w:val="00C54125"/>
    <w:rsid w:val="00C55B54"/>
    <w:rsid w:val="00C6098E"/>
    <w:rsid w:val="00C6152C"/>
    <w:rsid w:val="00C74810"/>
    <w:rsid w:val="00C81ACF"/>
    <w:rsid w:val="00C90D68"/>
    <w:rsid w:val="00C939FE"/>
    <w:rsid w:val="00CA4BDA"/>
    <w:rsid w:val="00CA7C61"/>
    <w:rsid w:val="00CB1F66"/>
    <w:rsid w:val="00CB2951"/>
    <w:rsid w:val="00CD282B"/>
    <w:rsid w:val="00CD4C35"/>
    <w:rsid w:val="00CD7369"/>
    <w:rsid w:val="00CE0B0E"/>
    <w:rsid w:val="00CE3831"/>
    <w:rsid w:val="00D00ABB"/>
    <w:rsid w:val="00D0111C"/>
    <w:rsid w:val="00D02781"/>
    <w:rsid w:val="00D02EEC"/>
    <w:rsid w:val="00D03551"/>
    <w:rsid w:val="00D06A63"/>
    <w:rsid w:val="00D07E0E"/>
    <w:rsid w:val="00D11478"/>
    <w:rsid w:val="00D15ED0"/>
    <w:rsid w:val="00D21B3E"/>
    <w:rsid w:val="00D21C26"/>
    <w:rsid w:val="00D21FED"/>
    <w:rsid w:val="00D24251"/>
    <w:rsid w:val="00D343E2"/>
    <w:rsid w:val="00D361A2"/>
    <w:rsid w:val="00D44C2E"/>
    <w:rsid w:val="00D45414"/>
    <w:rsid w:val="00D566BD"/>
    <w:rsid w:val="00D57A4D"/>
    <w:rsid w:val="00D60AA7"/>
    <w:rsid w:val="00D62A67"/>
    <w:rsid w:val="00D6435F"/>
    <w:rsid w:val="00D75E28"/>
    <w:rsid w:val="00D772C2"/>
    <w:rsid w:val="00D8008E"/>
    <w:rsid w:val="00D82C45"/>
    <w:rsid w:val="00D908A8"/>
    <w:rsid w:val="00D977B6"/>
    <w:rsid w:val="00DA3634"/>
    <w:rsid w:val="00DA4A31"/>
    <w:rsid w:val="00DA7B04"/>
    <w:rsid w:val="00DB36C2"/>
    <w:rsid w:val="00DB5CBD"/>
    <w:rsid w:val="00DC169B"/>
    <w:rsid w:val="00DC2AB9"/>
    <w:rsid w:val="00DC63F0"/>
    <w:rsid w:val="00DD5382"/>
    <w:rsid w:val="00DD6EE5"/>
    <w:rsid w:val="00DE2362"/>
    <w:rsid w:val="00DE386C"/>
    <w:rsid w:val="00DE4D35"/>
    <w:rsid w:val="00DF098B"/>
    <w:rsid w:val="00DF11C4"/>
    <w:rsid w:val="00DF210C"/>
    <w:rsid w:val="00DF4B6A"/>
    <w:rsid w:val="00E02C09"/>
    <w:rsid w:val="00E04BAF"/>
    <w:rsid w:val="00E04D59"/>
    <w:rsid w:val="00E07DA1"/>
    <w:rsid w:val="00E123CB"/>
    <w:rsid w:val="00E20E13"/>
    <w:rsid w:val="00E21DBC"/>
    <w:rsid w:val="00E275D7"/>
    <w:rsid w:val="00E27DBE"/>
    <w:rsid w:val="00E32AB1"/>
    <w:rsid w:val="00E36C71"/>
    <w:rsid w:val="00E40404"/>
    <w:rsid w:val="00E459C6"/>
    <w:rsid w:val="00E47589"/>
    <w:rsid w:val="00E64915"/>
    <w:rsid w:val="00E661D4"/>
    <w:rsid w:val="00E70091"/>
    <w:rsid w:val="00E720F5"/>
    <w:rsid w:val="00E76D47"/>
    <w:rsid w:val="00E849F7"/>
    <w:rsid w:val="00E90302"/>
    <w:rsid w:val="00E97396"/>
    <w:rsid w:val="00EA185E"/>
    <w:rsid w:val="00EA592A"/>
    <w:rsid w:val="00EB14E4"/>
    <w:rsid w:val="00EB182B"/>
    <w:rsid w:val="00EB32A5"/>
    <w:rsid w:val="00EB34ED"/>
    <w:rsid w:val="00EB7BE0"/>
    <w:rsid w:val="00EC315E"/>
    <w:rsid w:val="00EC58D1"/>
    <w:rsid w:val="00ED077C"/>
    <w:rsid w:val="00ED1190"/>
    <w:rsid w:val="00ED4306"/>
    <w:rsid w:val="00ED6544"/>
    <w:rsid w:val="00EE0277"/>
    <w:rsid w:val="00EE3E00"/>
    <w:rsid w:val="00EE5DD2"/>
    <w:rsid w:val="00F00A79"/>
    <w:rsid w:val="00F00E86"/>
    <w:rsid w:val="00F07C1E"/>
    <w:rsid w:val="00F105DB"/>
    <w:rsid w:val="00F11CE7"/>
    <w:rsid w:val="00F132BC"/>
    <w:rsid w:val="00F13D80"/>
    <w:rsid w:val="00F16AAA"/>
    <w:rsid w:val="00F21161"/>
    <w:rsid w:val="00F218EF"/>
    <w:rsid w:val="00F21BC7"/>
    <w:rsid w:val="00F266A2"/>
    <w:rsid w:val="00F27D13"/>
    <w:rsid w:val="00F32269"/>
    <w:rsid w:val="00F56A6F"/>
    <w:rsid w:val="00F5709C"/>
    <w:rsid w:val="00F626DA"/>
    <w:rsid w:val="00F64EF1"/>
    <w:rsid w:val="00F659F3"/>
    <w:rsid w:val="00F83589"/>
    <w:rsid w:val="00F8765F"/>
    <w:rsid w:val="00F90767"/>
    <w:rsid w:val="00F94A8F"/>
    <w:rsid w:val="00F9588E"/>
    <w:rsid w:val="00FA685B"/>
    <w:rsid w:val="00FB0C01"/>
    <w:rsid w:val="00FC18F2"/>
    <w:rsid w:val="00FC39E5"/>
    <w:rsid w:val="00FC3A78"/>
    <w:rsid w:val="00FD1005"/>
    <w:rsid w:val="00FD61AA"/>
    <w:rsid w:val="00FD6C75"/>
    <w:rsid w:val="00FD7649"/>
    <w:rsid w:val="00FE71B3"/>
    <w:rsid w:val="00FF42C5"/>
    <w:rsid w:val="00FF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D21C26"/>
    <w:rPr>
      <w:rFonts w:eastAsiaTheme="minorEastAsia"/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D21C2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D21C2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D21C2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D21C2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D21C2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D21C2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D21C26"/>
    <w:pPr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D21C26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D21C2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21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C26"/>
    <w:rPr>
      <w:rFonts w:ascii="Tahoma" w:eastAsiaTheme="minorEastAsia" w:hAnsi="Tahoma" w:cs="Tahom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D21C26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D21C26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DecList">
    <w:name w:val="Dec_List"/>
    <w:aliases w:val="_List"/>
    <w:basedOn w:val="JuList"/>
    <w:uiPriority w:val="22"/>
    <w:rsid w:val="00D21C26"/>
    <w:pPr>
      <w:numPr>
        <w:numId w:val="0"/>
      </w:numPr>
      <w:ind w:left="340"/>
    </w:pPr>
  </w:style>
  <w:style w:type="character" w:styleId="Strong">
    <w:name w:val="Strong"/>
    <w:uiPriority w:val="99"/>
    <w:semiHidden/>
    <w:qFormat/>
    <w:rsid w:val="00D21C26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D21C26"/>
  </w:style>
  <w:style w:type="character" w:customStyle="1" w:styleId="NoSpacingChar">
    <w:name w:val="No Spacing Char"/>
    <w:basedOn w:val="DefaultParagraphFont"/>
    <w:link w:val="NoSpacing"/>
    <w:semiHidden/>
    <w:rsid w:val="00D21C26"/>
    <w:rPr>
      <w:rFonts w:eastAsiaTheme="minorEastAsia"/>
      <w:sz w:val="24"/>
      <w:lang w:val="fr-FR"/>
    </w:rPr>
  </w:style>
  <w:style w:type="paragraph" w:customStyle="1" w:styleId="JuQuot">
    <w:name w:val="Ju_Quot"/>
    <w:aliases w:val="_Quote,ECHR_Para_Quote"/>
    <w:basedOn w:val="NormalJustified"/>
    <w:uiPriority w:val="21"/>
    <w:qFormat/>
    <w:rsid w:val="00D21C26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D21C26"/>
    <w:pPr>
      <w:numPr>
        <w:numId w:val="2"/>
      </w:numPr>
      <w:spacing w:before="280" w:after="60"/>
    </w:pPr>
    <w:rPr>
      <w:rFonts w:eastAsiaTheme="minorHAnsi"/>
    </w:rPr>
  </w:style>
  <w:style w:type="paragraph" w:customStyle="1" w:styleId="JuLista">
    <w:name w:val="Ju_List_a"/>
    <w:aliases w:val="_List_2"/>
    <w:basedOn w:val="NormalJustified"/>
    <w:uiPriority w:val="23"/>
    <w:rsid w:val="00D21C26"/>
    <w:pPr>
      <w:numPr>
        <w:ilvl w:val="1"/>
        <w:numId w:val="2"/>
      </w:numPr>
    </w:pPr>
  </w:style>
  <w:style w:type="paragraph" w:customStyle="1" w:styleId="JuListi">
    <w:name w:val="Ju_List_i"/>
    <w:aliases w:val="_List_3"/>
    <w:basedOn w:val="NormalJustified"/>
    <w:uiPriority w:val="23"/>
    <w:rsid w:val="00D21C26"/>
    <w:pPr>
      <w:numPr>
        <w:ilvl w:val="2"/>
        <w:numId w:val="2"/>
      </w:numPr>
    </w:p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D21C2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D21C26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paragraph" w:customStyle="1" w:styleId="Title4">
    <w:name w:val="_Title_4"/>
    <w:basedOn w:val="JuPara"/>
    <w:next w:val="JuPara"/>
    <w:uiPriority w:val="35"/>
    <w:qFormat/>
    <w:rsid w:val="00D21C26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numbering" w:customStyle="1" w:styleId="ECHRA1StyleBulletedSquare">
    <w:name w:val="ECHR_A1_Style_Bulleted_Square"/>
    <w:basedOn w:val="NoList"/>
    <w:rsid w:val="00D21C26"/>
    <w:pPr>
      <w:numPr>
        <w:numId w:val="6"/>
      </w:numPr>
    </w:pPr>
  </w:style>
  <w:style w:type="paragraph" w:customStyle="1" w:styleId="JuHHead">
    <w:name w:val="Ju_H_Head"/>
    <w:aliases w:val="_Head_1"/>
    <w:basedOn w:val="Normal"/>
    <w:next w:val="JuPara"/>
    <w:uiPriority w:val="19"/>
    <w:qFormat/>
    <w:rsid w:val="00D21C26"/>
    <w:pPr>
      <w:keepNext/>
      <w:keepLines/>
      <w:numPr>
        <w:numId w:val="1"/>
      </w:numPr>
      <w:spacing w:before="100" w:beforeAutospacing="1" w:after="240"/>
      <w:jc w:val="both"/>
      <w:outlineLvl w:val="0"/>
    </w:pPr>
    <w:rPr>
      <w:caps/>
      <w:sz w:val="28"/>
    </w:rPr>
  </w:style>
  <w:style w:type="numbering" w:customStyle="1" w:styleId="ECHRA1StyleList">
    <w:name w:val="ECHR_A1_Style_List"/>
    <w:basedOn w:val="NoList"/>
    <w:uiPriority w:val="99"/>
    <w:rsid w:val="00D21C26"/>
    <w:pPr>
      <w:numPr>
        <w:numId w:val="7"/>
      </w:numPr>
    </w:pPr>
  </w:style>
  <w:style w:type="paragraph" w:customStyle="1" w:styleId="JuSigned">
    <w:name w:val="Ju_Signed"/>
    <w:aliases w:val="_Signature"/>
    <w:basedOn w:val="Normal"/>
    <w:next w:val="JuPara"/>
    <w:uiPriority w:val="30"/>
    <w:qFormat/>
    <w:rsid w:val="00D21C26"/>
    <w:pPr>
      <w:tabs>
        <w:tab w:val="center" w:pos="851"/>
        <w:tab w:val="center" w:pos="6407"/>
      </w:tabs>
      <w:spacing w:before="720"/>
    </w:pPr>
  </w:style>
  <w:style w:type="paragraph" w:styleId="Title">
    <w:name w:val="Title"/>
    <w:basedOn w:val="Normal"/>
    <w:next w:val="Normal"/>
    <w:link w:val="TitleChar"/>
    <w:uiPriority w:val="99"/>
    <w:semiHidden/>
    <w:qFormat/>
    <w:rsid w:val="00D21C2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D21C26"/>
    <w:rPr>
      <w:rFonts w:asciiTheme="majorHAnsi" w:eastAsiaTheme="majorEastAsia" w:hAnsiTheme="majorHAnsi" w:cstheme="majorBidi"/>
      <w:spacing w:val="5"/>
      <w:sz w:val="52"/>
      <w:szCs w:val="52"/>
      <w:lang w:val="fr-FR" w:bidi="en-US"/>
    </w:rPr>
  </w:style>
  <w:style w:type="numbering" w:customStyle="1" w:styleId="ECHRA1StyleNumberedList">
    <w:name w:val="ECHR_A1_Style_Numbered_List"/>
    <w:basedOn w:val="NoList"/>
    <w:rsid w:val="00D21C26"/>
    <w:pPr>
      <w:numPr>
        <w:numId w:val="8"/>
      </w:numPr>
    </w:pPr>
  </w:style>
  <w:style w:type="table" w:customStyle="1" w:styleId="ECHRTable2019">
    <w:name w:val="ECHR_Table_2019"/>
    <w:basedOn w:val="TableNormal"/>
    <w:uiPriority w:val="99"/>
    <w:rsid w:val="00D21C26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D21C26"/>
    <w:rPr>
      <w:sz w:val="8"/>
    </w:rPr>
  </w:style>
  <w:style w:type="paragraph" w:customStyle="1" w:styleId="JuCourt">
    <w:name w:val="Ju_Court"/>
    <w:basedOn w:val="Normal"/>
    <w:next w:val="Normal"/>
    <w:uiPriority w:val="31"/>
    <w:qFormat/>
    <w:rsid w:val="00D21C26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D21C26"/>
    <w:pPr>
      <w:tabs>
        <w:tab w:val="center" w:pos="6407"/>
      </w:tabs>
      <w:spacing w:before="720"/>
      <w:jc w:val="right"/>
    </w:pPr>
  </w:style>
  <w:style w:type="paragraph" w:customStyle="1" w:styleId="JuHIRoman">
    <w:name w:val="Ju_H_I_Roman"/>
    <w:aliases w:val="_Head_2"/>
    <w:basedOn w:val="Normal"/>
    <w:next w:val="JuPara"/>
    <w:uiPriority w:val="19"/>
    <w:qFormat/>
    <w:rsid w:val="00D21C26"/>
    <w:pPr>
      <w:keepNext/>
      <w:keepLines/>
      <w:numPr>
        <w:ilvl w:val="1"/>
        <w:numId w:val="1"/>
      </w:numPr>
      <w:spacing w:before="100" w:beforeAutospacing="1" w:after="240"/>
      <w:jc w:val="both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JuPara"/>
    <w:uiPriority w:val="19"/>
    <w:qFormat/>
    <w:rsid w:val="00D21C26"/>
    <w:pPr>
      <w:keepNext/>
      <w:keepLines/>
      <w:numPr>
        <w:ilvl w:val="2"/>
        <w:numId w:val="1"/>
      </w:numPr>
      <w:spacing w:before="100" w:beforeAutospacing="1" w:after="240"/>
      <w:jc w:val="both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JuPara"/>
    <w:uiPriority w:val="19"/>
    <w:rsid w:val="00D21C26"/>
    <w:pPr>
      <w:keepNext/>
      <w:keepLines/>
      <w:numPr>
        <w:ilvl w:val="3"/>
        <w:numId w:val="1"/>
      </w:numPr>
      <w:spacing w:before="100" w:beforeAutospacing="1" w:after="120"/>
      <w:jc w:val="both"/>
      <w:outlineLvl w:val="3"/>
    </w:pPr>
    <w:rPr>
      <w:i/>
    </w:rPr>
  </w:style>
  <w:style w:type="paragraph" w:styleId="Header">
    <w:name w:val="header"/>
    <w:basedOn w:val="Normal"/>
    <w:link w:val="HeaderChar"/>
    <w:uiPriority w:val="57"/>
    <w:semiHidden/>
    <w:rsid w:val="00D21C26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D21C26"/>
    <w:rPr>
      <w:sz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D21C26"/>
    <w:rPr>
      <w:rFonts w:asciiTheme="majorHAnsi" w:eastAsiaTheme="majorEastAsia" w:hAnsiTheme="majorHAnsi" w:cstheme="majorBidi"/>
      <w:b/>
      <w:bCs/>
      <w:color w:val="333333"/>
      <w:sz w:val="28"/>
      <w:szCs w:val="28"/>
      <w:lang w:val="fr-FR"/>
    </w:rPr>
  </w:style>
  <w:style w:type="paragraph" w:customStyle="1" w:styleId="JuHa0">
    <w:name w:val="Ju_H_a"/>
    <w:aliases w:val="_Head_5"/>
    <w:basedOn w:val="Normal"/>
    <w:next w:val="JuPara"/>
    <w:uiPriority w:val="19"/>
    <w:rsid w:val="00D21C26"/>
    <w:pPr>
      <w:keepNext/>
      <w:keepLines/>
      <w:numPr>
        <w:ilvl w:val="4"/>
        <w:numId w:val="1"/>
      </w:numPr>
      <w:spacing w:before="100" w:beforeAutospacing="1" w:after="120"/>
      <w:jc w:val="both"/>
      <w:outlineLvl w:val="4"/>
    </w:pPr>
    <w:rPr>
      <w:b/>
      <w:sz w:val="20"/>
    </w:rPr>
  </w:style>
  <w:style w:type="paragraph" w:customStyle="1" w:styleId="JuHi">
    <w:name w:val="Ju_H_i"/>
    <w:aliases w:val="_Head_6"/>
    <w:basedOn w:val="Normal"/>
    <w:next w:val="JuPara"/>
    <w:uiPriority w:val="19"/>
    <w:rsid w:val="00D21C26"/>
    <w:pPr>
      <w:keepNext/>
      <w:keepLines/>
      <w:numPr>
        <w:ilvl w:val="5"/>
        <w:numId w:val="1"/>
      </w:numPr>
      <w:spacing w:before="100" w:beforeAutospacing="1" w:after="120"/>
      <w:jc w:val="both"/>
      <w:outlineLvl w:val="5"/>
    </w:pPr>
    <w:rPr>
      <w:i/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D21C26"/>
    <w:rPr>
      <w:rFonts w:asciiTheme="majorHAnsi" w:eastAsiaTheme="majorEastAsia" w:hAnsiTheme="majorHAnsi" w:cstheme="majorBidi"/>
      <w:b/>
      <w:bCs/>
      <w:color w:val="4D4D4D"/>
      <w:sz w:val="26"/>
      <w:szCs w:val="26"/>
      <w:lang w:val="fr-FR"/>
    </w:rPr>
  </w:style>
  <w:style w:type="paragraph" w:customStyle="1" w:styleId="JuHalpha">
    <w:name w:val="Ju_H_alpha"/>
    <w:aliases w:val="_Head_7"/>
    <w:basedOn w:val="Normal"/>
    <w:next w:val="JuPara"/>
    <w:uiPriority w:val="19"/>
    <w:rsid w:val="00D21C26"/>
    <w:pPr>
      <w:keepNext/>
      <w:keepLines/>
      <w:numPr>
        <w:ilvl w:val="6"/>
        <w:numId w:val="1"/>
      </w:numPr>
      <w:spacing w:before="100" w:beforeAutospacing="1" w:after="120"/>
      <w:jc w:val="both"/>
      <w:outlineLvl w:val="6"/>
    </w:pPr>
    <w:rPr>
      <w:sz w:val="20"/>
    </w:rPr>
  </w:style>
  <w:style w:type="paragraph" w:customStyle="1" w:styleId="JuH">
    <w:name w:val="Ju_H_–"/>
    <w:aliases w:val="_Head_8"/>
    <w:basedOn w:val="Normal"/>
    <w:next w:val="JuPara"/>
    <w:uiPriority w:val="19"/>
    <w:rsid w:val="00D21C26"/>
    <w:pPr>
      <w:keepNext/>
      <w:keepLines/>
      <w:numPr>
        <w:ilvl w:val="7"/>
        <w:numId w:val="1"/>
      </w:numPr>
      <w:spacing w:before="100" w:beforeAutospacing="1" w:after="120"/>
      <w:jc w:val="both"/>
      <w:outlineLvl w:val="7"/>
    </w:pPr>
    <w:rPr>
      <w:i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21C26"/>
    <w:rPr>
      <w:rFonts w:asciiTheme="majorHAnsi" w:eastAsiaTheme="majorEastAsia" w:hAnsiTheme="majorHAnsi" w:cstheme="majorBidi"/>
      <w:b/>
      <w:bCs/>
      <w:color w:val="5F5F5F"/>
      <w:sz w:val="24"/>
      <w:lang w:val="fr-FR"/>
    </w:rPr>
  </w:style>
  <w:style w:type="paragraph" w:customStyle="1" w:styleId="JuParaLast">
    <w:name w:val="Ju_Para_Last"/>
    <w:aliases w:val="_Para_Spaced"/>
    <w:basedOn w:val="NormalJustified"/>
    <w:uiPriority w:val="9"/>
    <w:qFormat/>
    <w:rsid w:val="00D21C26"/>
    <w:pPr>
      <w:keepNext/>
      <w:keepLines/>
      <w:spacing w:before="240" w:after="240"/>
      <w:ind w:firstLine="284"/>
    </w:pPr>
    <w:rPr>
      <w:rFonts w:eastAsiaTheme="minorHAnsi"/>
    </w:rPr>
  </w:style>
  <w:style w:type="paragraph" w:customStyle="1" w:styleId="JuJudges">
    <w:name w:val="Ju_Judges"/>
    <w:aliases w:val="ECHR_Decision_Body"/>
    <w:basedOn w:val="Normal"/>
    <w:link w:val="JuJudgesChar"/>
    <w:uiPriority w:val="11"/>
    <w:qFormat/>
    <w:rsid w:val="00D21C26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D21C26"/>
    <w:rPr>
      <w:rFonts w:asciiTheme="majorHAnsi" w:eastAsiaTheme="majorEastAsia" w:hAnsiTheme="majorHAnsi" w:cstheme="majorBidi"/>
      <w:b/>
      <w:bCs/>
      <w:i/>
      <w:iCs/>
      <w:color w:val="777777"/>
      <w:sz w:val="24"/>
      <w:lang w:val="fr-FR"/>
    </w:rPr>
  </w:style>
  <w:style w:type="character" w:customStyle="1" w:styleId="JuITMark">
    <w:name w:val="Ju_ITMark"/>
    <w:basedOn w:val="DefaultParagraphFont"/>
    <w:uiPriority w:val="38"/>
    <w:qFormat/>
    <w:rsid w:val="00D21C26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D21C26"/>
    <w:rPr>
      <w:rFonts w:asciiTheme="majorHAnsi" w:eastAsiaTheme="majorEastAsia" w:hAnsiTheme="majorHAnsi" w:cstheme="majorBidi"/>
      <w:b/>
      <w:bCs/>
      <w:color w:val="808080"/>
      <w:sz w:val="24"/>
      <w:lang w:val="fr-FR"/>
    </w:rPr>
  </w:style>
  <w:style w:type="character" w:customStyle="1" w:styleId="JUNAMES">
    <w:name w:val="JU_NAMES"/>
    <w:uiPriority w:val="34"/>
    <w:qFormat/>
    <w:rsid w:val="00D21C26"/>
    <w:rPr>
      <w:caps w:val="0"/>
      <w:smallCaps/>
    </w:rPr>
  </w:style>
  <w:style w:type="paragraph" w:customStyle="1" w:styleId="NormalJustified">
    <w:name w:val="Normal_Justified"/>
    <w:basedOn w:val="Normal"/>
    <w:semiHidden/>
    <w:rsid w:val="00D21C26"/>
    <w:pPr>
      <w:jc w:val="both"/>
    </w:pPr>
  </w:style>
  <w:style w:type="character" w:styleId="SubtleEmphasis">
    <w:name w:val="Subtle Emphasis"/>
    <w:uiPriority w:val="99"/>
    <w:semiHidden/>
    <w:qFormat/>
    <w:rsid w:val="00D21C26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D21C2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9"/>
    <w:semiHidden/>
    <w:qFormat/>
    <w:rsid w:val="00D21C2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D21C26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D21C26"/>
    <w:rPr>
      <w:sz w:val="24"/>
      <w:lang w:val="fr-FR"/>
    </w:rPr>
  </w:style>
  <w:style w:type="character" w:styleId="FootnoteReference">
    <w:name w:val="footnote reference"/>
    <w:basedOn w:val="DefaultParagraphFont"/>
    <w:uiPriority w:val="99"/>
    <w:semiHidden/>
    <w:rsid w:val="00D21C2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D21C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1C26"/>
    <w:rPr>
      <w:rFonts w:eastAsiaTheme="minorEastAsia"/>
      <w:sz w:val="20"/>
      <w:szCs w:val="20"/>
      <w:lang w:val="fr-FR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D21C26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fr-FR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D21C26"/>
    <w:rPr>
      <w:rFonts w:asciiTheme="majorHAnsi" w:eastAsiaTheme="majorEastAsia" w:hAnsiTheme="majorHAnsi" w:cstheme="majorBidi"/>
      <w:i/>
      <w:iCs/>
      <w:sz w:val="24"/>
      <w:lang w:val="fr-FR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D21C26"/>
    <w:rPr>
      <w:rFonts w:asciiTheme="majorHAnsi" w:eastAsiaTheme="majorEastAsia" w:hAnsiTheme="majorHAnsi" w:cstheme="majorBidi"/>
      <w:sz w:val="20"/>
      <w:szCs w:val="20"/>
      <w:lang w:val="fr-FR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D21C26"/>
    <w:rPr>
      <w:rFonts w:asciiTheme="majorHAnsi" w:eastAsiaTheme="majorEastAsia" w:hAnsiTheme="majorHAnsi" w:cstheme="majorBidi"/>
      <w:i/>
      <w:iCs/>
      <w:spacing w:val="5"/>
      <w:sz w:val="20"/>
      <w:szCs w:val="20"/>
      <w:lang w:val="fr-FR" w:bidi="en-US"/>
    </w:rPr>
  </w:style>
  <w:style w:type="character" w:styleId="Hyperlink">
    <w:name w:val="Hyperlink"/>
    <w:basedOn w:val="DefaultParagraphFont"/>
    <w:uiPriority w:val="99"/>
    <w:semiHidden/>
    <w:rsid w:val="00D21C26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D21C2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D21C2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D21C26"/>
    <w:rPr>
      <w:rFonts w:eastAsiaTheme="minorEastAsia"/>
      <w:b/>
      <w:bCs/>
      <w:i/>
      <w:iCs/>
      <w:sz w:val="24"/>
      <w:lang w:val="fr-FR" w:bidi="en-US"/>
    </w:rPr>
  </w:style>
  <w:style w:type="character" w:styleId="IntenseReference">
    <w:name w:val="Intense Reference"/>
    <w:uiPriority w:val="99"/>
    <w:semiHidden/>
    <w:qFormat/>
    <w:rsid w:val="00D21C26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D21C26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D21C2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D21C26"/>
    <w:rPr>
      <w:rFonts w:eastAsiaTheme="minorEastAsia"/>
      <w:i/>
      <w:iCs/>
      <w:sz w:val="24"/>
      <w:lang w:val="fr-FR" w:bidi="en-US"/>
    </w:rPr>
  </w:style>
  <w:style w:type="character" w:styleId="SubtleReference">
    <w:name w:val="Subtle Reference"/>
    <w:uiPriority w:val="99"/>
    <w:semiHidden/>
    <w:qFormat/>
    <w:rsid w:val="00D21C26"/>
    <w:rPr>
      <w:smallCaps/>
    </w:rPr>
  </w:style>
  <w:style w:type="table" w:styleId="TableGrid">
    <w:name w:val="Table Grid"/>
    <w:basedOn w:val="TableNormal"/>
    <w:uiPriority w:val="59"/>
    <w:semiHidden/>
    <w:rsid w:val="00D21C2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D21C2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D21C2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D21C2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D21C26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D21C2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D21C26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D21C2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D21C26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D21C26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D21C2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D21C26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D21C26"/>
    <w:rPr>
      <w:rFonts w:asciiTheme="majorHAnsi" w:eastAsiaTheme="majorEastAsia" w:hAnsiTheme="majorHAnsi" w:cstheme="majorBidi"/>
      <w:i/>
      <w:iCs/>
      <w:spacing w:val="13"/>
      <w:sz w:val="24"/>
      <w:szCs w:val="24"/>
      <w:lang w:val="fr-FR" w:bidi="en-US"/>
    </w:rPr>
  </w:style>
  <w:style w:type="numbering" w:styleId="111111">
    <w:name w:val="Outline List 2"/>
    <w:basedOn w:val="NoList"/>
    <w:uiPriority w:val="99"/>
    <w:semiHidden/>
    <w:unhideWhenUsed/>
    <w:rsid w:val="00D21C26"/>
    <w:pPr>
      <w:numPr>
        <w:numId w:val="3"/>
      </w:numPr>
    </w:pPr>
  </w:style>
  <w:style w:type="paragraph" w:customStyle="1" w:styleId="JuPara">
    <w:name w:val="Ju_Para"/>
    <w:aliases w:val="_Para"/>
    <w:basedOn w:val="NormalJustified"/>
    <w:link w:val="JuParaChar"/>
    <w:uiPriority w:val="8"/>
    <w:qFormat/>
    <w:rsid w:val="00D21C26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D21C26"/>
    <w:pPr>
      <w:numPr>
        <w:numId w:val="4"/>
      </w:numPr>
    </w:pPr>
  </w:style>
  <w:style w:type="table" w:customStyle="1" w:styleId="ECHRTableSimpleBox">
    <w:name w:val="ECHR_Table_Simple_Box"/>
    <w:basedOn w:val="TableNormal"/>
    <w:uiPriority w:val="99"/>
    <w:rsid w:val="00D21C26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D21C26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D21C26"/>
    <w:pPr>
      <w:numPr>
        <w:numId w:val="5"/>
      </w:numPr>
    </w:pPr>
  </w:style>
  <w:style w:type="table" w:customStyle="1" w:styleId="ECHRTableForInternalUse">
    <w:name w:val="ECHR_Table_For_Internal_Use"/>
    <w:basedOn w:val="TableNormal"/>
    <w:uiPriority w:val="99"/>
    <w:rsid w:val="00D21C26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893F30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9"/>
    <w:semiHidden/>
    <w:rsid w:val="00D21C26"/>
  </w:style>
  <w:style w:type="paragraph" w:styleId="BlockText">
    <w:name w:val="Block Text"/>
    <w:basedOn w:val="Normal"/>
    <w:uiPriority w:val="99"/>
    <w:semiHidden/>
    <w:rsid w:val="00D21C2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D21C26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D21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21C26"/>
    <w:rPr>
      <w:rFonts w:eastAsiaTheme="minorEastAsia"/>
      <w:sz w:val="24"/>
      <w:lang w:val="fr-FR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D21C26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D21C26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JuPara"/>
    <w:uiPriority w:val="31"/>
    <w:rsid w:val="00D21C26"/>
    <w:pPr>
      <w:ind w:firstLine="284"/>
    </w:pPr>
    <w:rPr>
      <w:b/>
    </w:rPr>
  </w:style>
  <w:style w:type="character" w:styleId="PageNumber">
    <w:name w:val="page number"/>
    <w:uiPriority w:val="99"/>
    <w:semiHidden/>
    <w:rsid w:val="00D21C26"/>
    <w:rPr>
      <w:sz w:val="18"/>
    </w:rPr>
  </w:style>
  <w:style w:type="paragraph" w:styleId="ListBullet2">
    <w:name w:val="List Bullet 2"/>
    <w:basedOn w:val="Normal"/>
    <w:uiPriority w:val="99"/>
    <w:semiHidden/>
    <w:rsid w:val="00D21C26"/>
    <w:pPr>
      <w:numPr>
        <w:numId w:val="10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21C26"/>
    <w:rPr>
      <w:rFonts w:eastAsiaTheme="minorEastAsia"/>
      <w:sz w:val="24"/>
      <w:lang w:val="fr-FR"/>
    </w:rPr>
  </w:style>
  <w:style w:type="paragraph" w:styleId="BodyText3">
    <w:name w:val="Body Text 3"/>
    <w:basedOn w:val="Normal"/>
    <w:link w:val="BodyText3Char"/>
    <w:uiPriority w:val="99"/>
    <w:semiHidden/>
    <w:rsid w:val="00D21C2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21C26"/>
    <w:rPr>
      <w:rFonts w:eastAsiaTheme="minorEastAsia"/>
      <w:sz w:val="16"/>
      <w:szCs w:val="16"/>
      <w:lang w:val="fr-FR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21C2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21C26"/>
    <w:rPr>
      <w:rFonts w:eastAsiaTheme="minorEastAsia"/>
      <w:sz w:val="24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rsid w:val="00D21C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21C26"/>
    <w:rPr>
      <w:rFonts w:eastAsiaTheme="minorEastAsia"/>
      <w:sz w:val="24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21C2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21C26"/>
    <w:rPr>
      <w:rFonts w:eastAsiaTheme="minorEastAsia"/>
      <w:sz w:val="24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rsid w:val="00D21C2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21C26"/>
    <w:rPr>
      <w:rFonts w:eastAsiaTheme="minorEastAsia"/>
      <w:sz w:val="24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rsid w:val="00D21C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21C26"/>
    <w:rPr>
      <w:rFonts w:eastAsiaTheme="minorEastAsia"/>
      <w:sz w:val="16"/>
      <w:szCs w:val="16"/>
      <w:lang w:val="fr-FR"/>
    </w:rPr>
  </w:style>
  <w:style w:type="paragraph" w:styleId="Caption">
    <w:name w:val="caption"/>
    <w:basedOn w:val="Normal"/>
    <w:next w:val="Normal"/>
    <w:uiPriority w:val="99"/>
    <w:semiHidden/>
    <w:qFormat/>
    <w:rsid w:val="00D21C26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D21C2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21C26"/>
    <w:rPr>
      <w:rFonts w:eastAsiaTheme="minorEastAsia"/>
      <w:sz w:val="24"/>
      <w:lang w:val="fr-FR"/>
    </w:rPr>
  </w:style>
  <w:style w:type="table" w:styleId="ColorfulGrid">
    <w:name w:val="Colorful Grid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D21C2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D21C26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D21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21C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21C26"/>
    <w:rPr>
      <w:rFonts w:eastAsiaTheme="minorEastAsia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21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C26"/>
    <w:rPr>
      <w:rFonts w:eastAsiaTheme="minorEastAsia"/>
      <w:b/>
      <w:bCs/>
      <w:sz w:val="20"/>
      <w:szCs w:val="20"/>
      <w:lang w:val="fr-FR"/>
    </w:rPr>
  </w:style>
  <w:style w:type="table" w:styleId="DarkList">
    <w:name w:val="Dark List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D21C26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D21C26"/>
  </w:style>
  <w:style w:type="character" w:customStyle="1" w:styleId="DateChar">
    <w:name w:val="Date Char"/>
    <w:basedOn w:val="DefaultParagraphFont"/>
    <w:link w:val="Date"/>
    <w:uiPriority w:val="99"/>
    <w:semiHidden/>
    <w:rsid w:val="00D21C26"/>
    <w:rPr>
      <w:rFonts w:eastAsiaTheme="minorEastAsia"/>
      <w:sz w:val="24"/>
      <w:lang w:val="fr-FR"/>
    </w:rPr>
  </w:style>
  <w:style w:type="paragraph" w:styleId="DocumentMap">
    <w:name w:val="Document Map"/>
    <w:basedOn w:val="Normal"/>
    <w:link w:val="DocumentMapChar"/>
    <w:uiPriority w:val="99"/>
    <w:semiHidden/>
    <w:rsid w:val="00D21C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21C26"/>
    <w:rPr>
      <w:rFonts w:ascii="Tahoma" w:eastAsiaTheme="minorEastAsi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rsid w:val="00D21C2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21C26"/>
    <w:rPr>
      <w:rFonts w:eastAsiaTheme="minorEastAsia"/>
      <w:sz w:val="24"/>
      <w:lang w:val="fr-FR"/>
    </w:rPr>
  </w:style>
  <w:style w:type="character" w:styleId="EndnoteReference">
    <w:name w:val="endnote reference"/>
    <w:basedOn w:val="DefaultParagraphFont"/>
    <w:uiPriority w:val="99"/>
    <w:semiHidden/>
    <w:rsid w:val="00D21C2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21C2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1C26"/>
    <w:rPr>
      <w:rFonts w:eastAsiaTheme="minorEastAsia"/>
      <w:sz w:val="20"/>
      <w:szCs w:val="20"/>
      <w:lang w:val="fr-FR"/>
    </w:rPr>
  </w:style>
  <w:style w:type="paragraph" w:styleId="EnvelopeAddress">
    <w:name w:val="envelope address"/>
    <w:basedOn w:val="Normal"/>
    <w:uiPriority w:val="99"/>
    <w:semiHidden/>
    <w:rsid w:val="00D21C2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D21C2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D21C2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D21C26"/>
  </w:style>
  <w:style w:type="paragraph" w:styleId="HTMLAddress">
    <w:name w:val="HTML Address"/>
    <w:basedOn w:val="Normal"/>
    <w:link w:val="HTMLAddressChar"/>
    <w:uiPriority w:val="99"/>
    <w:semiHidden/>
    <w:rsid w:val="00D21C2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21C26"/>
    <w:rPr>
      <w:rFonts w:eastAsiaTheme="minorEastAsia"/>
      <w:i/>
      <w:iCs/>
      <w:sz w:val="24"/>
      <w:lang w:val="fr-FR"/>
    </w:rPr>
  </w:style>
  <w:style w:type="character" w:styleId="HTMLCite">
    <w:name w:val="HTML Cite"/>
    <w:basedOn w:val="DefaultParagraphFont"/>
    <w:uiPriority w:val="99"/>
    <w:semiHidden/>
    <w:rsid w:val="00D21C26"/>
    <w:rPr>
      <w:i/>
      <w:iCs/>
    </w:rPr>
  </w:style>
  <w:style w:type="character" w:styleId="HTMLCode">
    <w:name w:val="HTML Code"/>
    <w:basedOn w:val="DefaultParagraphFont"/>
    <w:uiPriority w:val="99"/>
    <w:semiHidden/>
    <w:rsid w:val="00D21C2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D21C26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D21C2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D21C2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1C26"/>
    <w:rPr>
      <w:rFonts w:ascii="Consolas" w:eastAsiaTheme="minorEastAsia" w:hAnsi="Consolas" w:cs="Consolas"/>
      <w:sz w:val="20"/>
      <w:szCs w:val="20"/>
      <w:lang w:val="fr-FR"/>
    </w:rPr>
  </w:style>
  <w:style w:type="character" w:styleId="HTMLSample">
    <w:name w:val="HTML Sample"/>
    <w:basedOn w:val="DefaultParagraphFont"/>
    <w:uiPriority w:val="99"/>
    <w:semiHidden/>
    <w:rsid w:val="00D21C2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D21C2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D21C2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D21C26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D21C26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D21C26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D21C26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D21C26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D21C26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D21C26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D21C26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D21C26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D21C2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D21C26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D21C26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D21C2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D21C26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D21C26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D21C26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D21C26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D21C26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D21C26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D21C26"/>
  </w:style>
  <w:style w:type="paragraph" w:styleId="List">
    <w:name w:val="List"/>
    <w:basedOn w:val="Normal"/>
    <w:uiPriority w:val="99"/>
    <w:semiHidden/>
    <w:rsid w:val="00D21C2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21C2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21C2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21C2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21C2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D21C26"/>
    <w:pPr>
      <w:numPr>
        <w:numId w:val="9"/>
      </w:numPr>
    </w:pPr>
  </w:style>
  <w:style w:type="paragraph" w:styleId="ListBullet3">
    <w:name w:val="List Bullet 3"/>
    <w:basedOn w:val="Normal"/>
    <w:uiPriority w:val="99"/>
    <w:semiHidden/>
    <w:rsid w:val="00D21C26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rsid w:val="00D21C26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rsid w:val="00D21C26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rsid w:val="00D21C2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D21C2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D21C2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D21C2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D21C2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D21C26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rsid w:val="00D21C26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rsid w:val="00D21C26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rsid w:val="00D21C26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rsid w:val="00D21C26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rsid w:val="00D21C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21C26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D21C26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D21C2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D21C26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D21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D21C26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D21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D21C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21C26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rsid w:val="00D21C2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D21C2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D21C2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21C26"/>
    <w:rPr>
      <w:rFonts w:eastAsiaTheme="minorEastAsia"/>
      <w:sz w:val="24"/>
      <w:lang w:val="fr-FR"/>
    </w:rPr>
  </w:style>
  <w:style w:type="character" w:styleId="PlaceholderText">
    <w:name w:val="Placeholder Text"/>
    <w:basedOn w:val="DefaultParagraphFont"/>
    <w:uiPriority w:val="99"/>
    <w:semiHidden/>
    <w:rsid w:val="00D21C26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9"/>
    <w:semiHidden/>
    <w:rsid w:val="00D21C2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21C26"/>
    <w:rPr>
      <w:rFonts w:ascii="Consolas" w:eastAsiaTheme="minorEastAsia" w:hAnsi="Consolas" w:cs="Consolas"/>
      <w:sz w:val="21"/>
      <w:szCs w:val="21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21C2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21C26"/>
    <w:rPr>
      <w:rFonts w:eastAsiaTheme="minorEastAsia"/>
      <w:sz w:val="24"/>
      <w:lang w:val="fr-FR"/>
    </w:rPr>
  </w:style>
  <w:style w:type="paragraph" w:styleId="Signature">
    <w:name w:val="Signature"/>
    <w:basedOn w:val="Normal"/>
    <w:link w:val="SignatureChar"/>
    <w:uiPriority w:val="99"/>
    <w:semiHidden/>
    <w:rsid w:val="00D21C26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21C26"/>
    <w:rPr>
      <w:rFonts w:eastAsiaTheme="minorEastAsia"/>
      <w:sz w:val="24"/>
      <w:lang w:val="fr-FR"/>
    </w:rPr>
  </w:style>
  <w:style w:type="table" w:styleId="Table3Deffects1">
    <w:name w:val="Table 3D effects 1"/>
    <w:basedOn w:val="TableNormal"/>
    <w:uiPriority w:val="99"/>
    <w:semiHidden/>
    <w:unhideWhenUsed/>
    <w:rsid w:val="00D21C2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21C2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21C2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21C2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21C2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21C2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21C2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21C2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21C2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21C2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21C2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21C2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21C2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21C2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21C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21C2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21C2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21C2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21C2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21C2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21C2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21C2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21C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21C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21C2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21C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D21C26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D21C26"/>
  </w:style>
  <w:style w:type="table" w:styleId="TableProfessional">
    <w:name w:val="Table Professional"/>
    <w:basedOn w:val="TableNormal"/>
    <w:uiPriority w:val="99"/>
    <w:semiHidden/>
    <w:unhideWhenUsed/>
    <w:rsid w:val="00D21C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21C2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21C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21C2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21C2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21C2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21C2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21C2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21C2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D21C2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D21C2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D21C2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D21C26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893F30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D21C26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5"/>
    <w:qFormat/>
    <w:rsid w:val="00D21C2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HeaderLandscape">
    <w:name w:val="Ju_Header_Landscape"/>
    <w:aliases w:val="_Header_Landscape"/>
    <w:basedOn w:val="JuHeader"/>
    <w:uiPriority w:val="30"/>
    <w:qFormat/>
    <w:rsid w:val="00D21C26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D21C26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character" w:customStyle="1" w:styleId="JuNames0">
    <w:name w:val="Ju_Names"/>
    <w:rsid w:val="00E04BAF"/>
    <w:rPr>
      <w:rFonts w:ascii="Times New Roman" w:hAnsi="Times New Roman" w:cs="Times New Roman"/>
      <w:smallCaps/>
    </w:rPr>
  </w:style>
  <w:style w:type="character" w:customStyle="1" w:styleId="JuParaChar">
    <w:name w:val="Ju_Para Char"/>
    <w:aliases w:val="_Para Char"/>
    <w:link w:val="JuPara"/>
    <w:uiPriority w:val="8"/>
    <w:rsid w:val="00E04BAF"/>
    <w:rPr>
      <w:rFonts w:eastAsiaTheme="minorEastAsia"/>
      <w:sz w:val="24"/>
      <w:lang w:val="fr-FR"/>
    </w:rPr>
  </w:style>
  <w:style w:type="character" w:customStyle="1" w:styleId="JuParaCar">
    <w:name w:val="Ju_Para Car"/>
    <w:rsid w:val="00E04BAF"/>
    <w:rPr>
      <w:sz w:val="24"/>
      <w:lang w:val="en-GB" w:eastAsia="fr-FR" w:bidi="ar-SA"/>
    </w:rPr>
  </w:style>
  <w:style w:type="character" w:customStyle="1" w:styleId="JuJudgesChar">
    <w:name w:val="Ju_Judges Char"/>
    <w:link w:val="JuJudges"/>
    <w:uiPriority w:val="11"/>
    <w:rsid w:val="009E2D99"/>
    <w:rPr>
      <w:rFonts w:eastAsiaTheme="minorEastAsia"/>
      <w:sz w:val="24"/>
      <w:lang w:val="fr-FR"/>
    </w:rPr>
  </w:style>
  <w:style w:type="paragraph" w:customStyle="1" w:styleId="jupara0">
    <w:name w:val="jupara"/>
    <w:basedOn w:val="Normal"/>
    <w:rsid w:val="00865030"/>
    <w:pPr>
      <w:ind w:firstLine="284"/>
      <w:jc w:val="both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jucase0">
    <w:name w:val="jucase"/>
    <w:basedOn w:val="Normal"/>
    <w:rsid w:val="00865030"/>
    <w:pPr>
      <w:ind w:firstLine="284"/>
      <w:jc w:val="both"/>
    </w:pPr>
    <w:rPr>
      <w:rFonts w:ascii="Times New Roman" w:eastAsia="Times New Roman" w:hAnsi="Times New Roman" w:cs="Times New Roman"/>
      <w:b/>
      <w:bCs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7915A0-7D18-432C-9BA8-ED210D52B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CFD122-EAE8-421B-A541-D3AEF9BEA63E}"/>
</file>

<file path=customXml/itemProps3.xml><?xml version="1.0" encoding="utf-8"?>
<ds:datastoreItem xmlns:ds="http://schemas.openxmlformats.org/officeDocument/2006/customXml" ds:itemID="{3EE99167-B2A8-4304-8832-D47BA43CC600}"/>
</file>

<file path=customXml/itemProps4.xml><?xml version="1.0" encoding="utf-8"?>
<ds:datastoreItem xmlns:ds="http://schemas.openxmlformats.org/officeDocument/2006/customXml" ds:itemID="{F3066161-914C-4697-A8E3-B4FC862B03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7086</Words>
  <Characters>40391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47383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JUDF</dc:subject>
  <dc:creator/>
  <cp:keywords/>
  <cp:lastModifiedBy/>
  <cp:revision>1</cp:revision>
  <dcterms:created xsi:type="dcterms:W3CDTF">2022-08-12T09:05:00Z</dcterms:created>
  <dcterms:modified xsi:type="dcterms:W3CDTF">2022-08-12T09:05:00Z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1036</vt:i4>
  </property>
  <property fmtid="{D5CDD505-2E9C-101B-9397-08002B2CF9AE}" pid="3" name="RegisteredNo">
    <vt:lpwstr>6978/18</vt:lpwstr>
  </property>
  <property fmtid="{D5CDD505-2E9C-101B-9397-08002B2CF9AE}" pid="4" name="CASEID">
    <vt:lpwstr>1365009</vt:lpwstr>
  </property>
  <property fmtid="{D5CDD505-2E9C-101B-9397-08002B2CF9AE}" pid="5" name="ContentTypeId">
    <vt:lpwstr>0x010100558EB02BDB9E204AB350EDD385B68E10</vt:lpwstr>
  </property>
</Properties>
</file>