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07165" w:rsidR="007041C9" w:rsidP="002934D0" w:rsidRDefault="007041C9">
      <w:pPr>
        <w:jc w:val="center"/>
        <w:rPr>
          <w:rFonts w:ascii="Times New Roman" w:hAnsi="Times New Roman" w:cs="Times New Roman"/>
          <w:highlight w:val="yellow"/>
        </w:rPr>
      </w:pPr>
      <w:bookmarkStart w:name="_GoBack" w:id="0"/>
      <w:bookmarkEnd w:id="0"/>
    </w:p>
    <w:p w:rsidR="0098410D" w:rsidP="0098410D" w:rsidRDefault="0098410D">
      <w:pPr>
        <w:jc w:val="center"/>
        <w:rPr>
          <w:highlight w:val="yellow"/>
        </w:rPr>
      </w:pPr>
    </w:p>
    <w:p w:rsidRPr="00A07165" w:rsidR="007D6B23" w:rsidP="0098410D" w:rsidRDefault="007D6B23">
      <w:pPr>
        <w:jc w:val="center"/>
        <w:rPr>
          <w:highlight w:val="yellow"/>
        </w:rPr>
      </w:pPr>
    </w:p>
    <w:p w:rsidRPr="00085457" w:rsidR="0098410D" w:rsidP="00F60B85" w:rsidRDefault="007041C9">
      <w:pPr>
        <w:pStyle w:val="DecHCase"/>
      </w:pPr>
      <w:r>
        <w:t>FIRST SECTION</w:t>
      </w:r>
    </w:p>
    <w:p w:rsidR="007D6B23" w:rsidP="00F60B85" w:rsidRDefault="007D6B23">
      <w:pPr>
        <w:pStyle w:val="JuTitle"/>
      </w:pPr>
      <w:bookmarkStart w:name="To" w:id="1"/>
    </w:p>
    <w:p w:rsidR="007D6B23" w:rsidP="00F60B85" w:rsidRDefault="007D6B23">
      <w:pPr>
        <w:pStyle w:val="JuTitle"/>
      </w:pPr>
    </w:p>
    <w:p w:rsidR="007D6B23" w:rsidP="00F60B85" w:rsidRDefault="007D6B23">
      <w:pPr>
        <w:pStyle w:val="JuTitle"/>
      </w:pPr>
    </w:p>
    <w:p w:rsidRPr="00085457" w:rsidR="008E6217" w:rsidP="00F60B85" w:rsidRDefault="008E6217">
      <w:pPr>
        <w:pStyle w:val="JuTitle"/>
      </w:pPr>
      <w:r w:rsidRPr="00085457">
        <w:t xml:space="preserve">CASE OF </w:t>
      </w:r>
      <w:bookmarkEnd w:id="1"/>
      <w:r w:rsidR="007041C9">
        <w:t>TSIGARAS v. GREECE</w:t>
      </w:r>
    </w:p>
    <w:p w:rsidRPr="00A07165" w:rsidR="00D74888" w:rsidP="004C6621" w:rsidRDefault="008E6217">
      <w:pPr>
        <w:pStyle w:val="Title4"/>
      </w:pPr>
      <w:r w:rsidRPr="00A07165">
        <w:t>(</w:t>
      </w:r>
      <w:r w:rsidRPr="00A07165" w:rsidR="007041C9">
        <w:t>Application no.</w:t>
      </w:r>
      <w:r w:rsidRPr="00A07165">
        <w:t xml:space="preserve"> </w:t>
      </w:r>
      <w:r w:rsidRPr="00A07165" w:rsidR="007041C9">
        <w:t>12576/12</w:t>
      </w:r>
      <w:r w:rsidRPr="00A07165">
        <w:t>)</w:t>
      </w:r>
    </w:p>
    <w:p w:rsidRPr="00085457" w:rsidR="0098410D" w:rsidP="00AC4CD4" w:rsidRDefault="0098410D">
      <w:pPr>
        <w:pStyle w:val="DecHCase"/>
      </w:pPr>
    </w:p>
    <w:p w:rsidR="0098410D" w:rsidP="00AC4CD4" w:rsidRDefault="0098410D">
      <w:pPr>
        <w:pStyle w:val="DecHCase"/>
      </w:pPr>
    </w:p>
    <w:p w:rsidRPr="00085457" w:rsidR="00AC4CD4" w:rsidP="00AC4CD4" w:rsidRDefault="00AC4CD4">
      <w:pPr>
        <w:pStyle w:val="DecHCase"/>
      </w:pPr>
    </w:p>
    <w:p w:rsidR="0098410D" w:rsidP="00AC4CD4" w:rsidRDefault="0098410D">
      <w:pPr>
        <w:pStyle w:val="DecHCase"/>
      </w:pPr>
    </w:p>
    <w:p w:rsidR="0098410D" w:rsidP="00AC4CD4" w:rsidRDefault="0098410D">
      <w:pPr>
        <w:pStyle w:val="DecHCase"/>
      </w:pPr>
      <w:r w:rsidRPr="00085457">
        <w:t>JUDGMENT</w:t>
      </w:r>
      <w:r w:rsidR="00AC4CD4">
        <w:br/>
      </w:r>
    </w:p>
    <w:p w:rsidR="007D6B23" w:rsidP="007D6B23" w:rsidRDefault="007D6B23">
      <w:pPr>
        <w:pStyle w:val="JuPara"/>
      </w:pPr>
    </w:p>
    <w:p w:rsidR="007D6B23" w:rsidP="007D6B23" w:rsidRDefault="007D6B23">
      <w:pPr>
        <w:pStyle w:val="JuPara"/>
      </w:pPr>
    </w:p>
    <w:p w:rsidR="007D6B23" w:rsidP="007D6B23" w:rsidRDefault="007D6B23">
      <w:pPr>
        <w:pStyle w:val="JuPara"/>
      </w:pPr>
    </w:p>
    <w:p w:rsidR="007D6B23" w:rsidP="007D6B23" w:rsidRDefault="007D6B23">
      <w:pPr>
        <w:pStyle w:val="JuPara"/>
      </w:pPr>
    </w:p>
    <w:p w:rsidRPr="007D6B23" w:rsidR="007D6B23" w:rsidP="007D6B23" w:rsidRDefault="007D6B23">
      <w:pPr>
        <w:pStyle w:val="JuPara"/>
      </w:pPr>
    </w:p>
    <w:p w:rsidRPr="00085457" w:rsidR="0098410D" w:rsidP="00AC4CD4" w:rsidRDefault="0098410D">
      <w:pPr>
        <w:pStyle w:val="DecHCase"/>
      </w:pPr>
      <w:r w:rsidRPr="00085457">
        <w:t>STRASBOURG</w:t>
      </w:r>
    </w:p>
    <w:p w:rsidR="0098410D" w:rsidP="00AC4CD4" w:rsidRDefault="007041C9">
      <w:pPr>
        <w:pStyle w:val="DecHCase"/>
        <w:rPr>
          <w:szCs w:val="24"/>
        </w:rPr>
      </w:pPr>
      <w:r>
        <w:rPr>
          <w:rFonts w:ascii="Times New Roman" w:hAnsi="Times New Roman" w:cs="Times New Roman"/>
        </w:rPr>
        <w:t>14 November 2019</w:t>
      </w:r>
    </w:p>
    <w:p w:rsidR="00FE15B6" w:rsidP="007D6B23" w:rsidRDefault="00FE15B6">
      <w:pPr>
        <w:pStyle w:val="JuPara"/>
        <w:jc w:val="center"/>
      </w:pPr>
    </w:p>
    <w:p w:rsidR="00A07165" w:rsidP="007D6B23" w:rsidRDefault="00A07165">
      <w:pPr>
        <w:pStyle w:val="JuPara"/>
        <w:jc w:val="center"/>
      </w:pPr>
    </w:p>
    <w:p w:rsidRPr="00AC4CD4" w:rsidR="00FE15B6" w:rsidP="007D6B23" w:rsidRDefault="00FE15B6">
      <w:pPr>
        <w:pStyle w:val="JuPara"/>
        <w:jc w:val="center"/>
      </w:pPr>
    </w:p>
    <w:p w:rsidRPr="00A07165" w:rsidR="002422B6" w:rsidP="00A07165" w:rsidRDefault="0098410D">
      <w:pPr>
        <w:rPr>
          <w:i/>
          <w:sz w:val="22"/>
        </w:rPr>
      </w:pPr>
      <w:r w:rsidRPr="00A07165">
        <w:rPr>
          <w:i/>
          <w:sz w:val="22"/>
        </w:rPr>
        <w:t xml:space="preserve">This judgment </w:t>
      </w:r>
      <w:r w:rsidRPr="00A07165" w:rsidR="007041C9">
        <w:rPr>
          <w:i/>
          <w:sz w:val="22"/>
        </w:rPr>
        <w:t>is final but it</w:t>
      </w:r>
      <w:r w:rsidRPr="00A07165">
        <w:rPr>
          <w:i/>
          <w:sz w:val="22"/>
        </w:rPr>
        <w:t xml:space="preserve"> may be subject to editorial revision.</w:t>
      </w:r>
    </w:p>
    <w:p w:rsidRPr="00A07165" w:rsidR="0098410D" w:rsidP="0098410D" w:rsidRDefault="0098410D">
      <w:pPr>
        <w:rPr>
          <w:highlight w:val="yellow"/>
        </w:rPr>
        <w:sectPr w:rsidRPr="00A07165"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85457" w:rsidR="0098410D" w:rsidP="0098410D" w:rsidRDefault="0098410D">
      <w:pPr>
        <w:pStyle w:val="JuCase"/>
      </w:pPr>
      <w:r w:rsidRPr="00085457">
        <w:t xml:space="preserve">In the case of </w:t>
      </w:r>
      <w:proofErr w:type="spellStart"/>
      <w:r w:rsidR="007041C9">
        <w:t>Tsigaras</w:t>
      </w:r>
      <w:proofErr w:type="spellEnd"/>
      <w:r w:rsidR="007041C9">
        <w:t xml:space="preserve"> v. Greece</w:t>
      </w:r>
      <w:r w:rsidRPr="00085457">
        <w:t>,</w:t>
      </w:r>
    </w:p>
    <w:p w:rsidRPr="0053315C" w:rsidR="009F4C8F" w:rsidP="009F4C8F" w:rsidRDefault="009F4C8F">
      <w:pPr>
        <w:pStyle w:val="JuPara"/>
      </w:pPr>
      <w:r w:rsidRPr="00085457">
        <w:t>The European Court of Human Rights (</w:t>
      </w:r>
      <w:r w:rsidR="007041C9">
        <w:t>First Section</w:t>
      </w:r>
      <w:r w:rsidR="00FE15B6">
        <w:t>), sitting as a </w:t>
      </w:r>
      <w:r w:rsidR="007041C9">
        <w:t>Committee</w:t>
      </w:r>
      <w:r w:rsidRPr="0053315C">
        <w:t xml:space="preserve"> composed of:</w:t>
      </w:r>
    </w:p>
    <w:p w:rsidRPr="00085457" w:rsidR="009F4C8F" w:rsidP="009F4C8F" w:rsidRDefault="00FE15B6">
      <w:pPr>
        <w:pStyle w:val="JuJudges"/>
      </w:pPr>
      <w:r w:rsidRPr="00FE15B6">
        <w:tab/>
        <w:t>Krzysztof</w:t>
      </w:r>
      <w:r>
        <w:t xml:space="preserve"> </w:t>
      </w:r>
      <w:proofErr w:type="spellStart"/>
      <w:r w:rsidRPr="00FE15B6">
        <w:t>Wojtyczek</w:t>
      </w:r>
      <w:proofErr w:type="spellEnd"/>
      <w:r>
        <w:t>,</w:t>
      </w:r>
      <w:r w:rsidRPr="00FE15B6">
        <w:rPr>
          <w:i/>
        </w:rPr>
        <w:t xml:space="preserve"> President,</w:t>
      </w:r>
      <w:r>
        <w:rPr>
          <w:i/>
        </w:rPr>
        <w:br/>
      </w:r>
      <w:r w:rsidRPr="00FE15B6">
        <w:tab/>
        <w:t>Armen</w:t>
      </w:r>
      <w:r>
        <w:t xml:space="preserve"> </w:t>
      </w:r>
      <w:proofErr w:type="spellStart"/>
      <w:r w:rsidRPr="00FE15B6">
        <w:t>Harutyunyan</w:t>
      </w:r>
      <w:proofErr w:type="spellEnd"/>
      <w:r>
        <w:t>,</w:t>
      </w:r>
      <w:r>
        <w:rPr>
          <w:i/>
        </w:rPr>
        <w:br/>
      </w:r>
      <w:r w:rsidRPr="00FE15B6">
        <w:tab/>
      </w:r>
      <w:proofErr w:type="spellStart"/>
      <w:r w:rsidRPr="00FE15B6">
        <w:t>Pauliine</w:t>
      </w:r>
      <w:proofErr w:type="spellEnd"/>
      <w:r>
        <w:t xml:space="preserve"> </w:t>
      </w:r>
      <w:proofErr w:type="spellStart"/>
      <w:r w:rsidRPr="00FE15B6">
        <w:t>Koskelo</w:t>
      </w:r>
      <w:proofErr w:type="spellEnd"/>
      <w:r>
        <w:t>,</w:t>
      </w:r>
      <w:r w:rsidRPr="00FE15B6">
        <w:rPr>
          <w:i/>
        </w:rPr>
        <w:t xml:space="preserve"> judges,</w:t>
      </w:r>
      <w:r w:rsidRPr="0053315C" w:rsidR="009F4C8F">
        <w:rPr>
          <w:szCs w:val="24"/>
        </w:rPr>
        <w:br/>
      </w:r>
      <w:r w:rsidRPr="0053315C" w:rsidR="009F4C8F">
        <w:t xml:space="preserve">and </w:t>
      </w:r>
      <w:r w:rsidR="007041C9">
        <w:t>Renata</w:t>
      </w:r>
      <w:r w:rsidRPr="0053315C" w:rsidR="007041C9">
        <w:t xml:space="preserve"> </w:t>
      </w:r>
      <w:r w:rsidR="007041C9">
        <w:t>Degener</w:t>
      </w:r>
      <w:r w:rsidRPr="0053315C" w:rsidR="009F4C8F">
        <w:t xml:space="preserve">, </w:t>
      </w:r>
      <w:r w:rsidRPr="0053315C" w:rsidR="007041C9">
        <w:rPr>
          <w:i/>
        </w:rPr>
        <w:t xml:space="preserve">Deputy Section </w:t>
      </w:r>
      <w:r w:rsidRPr="0053315C" w:rsidR="007041C9">
        <w:rPr>
          <w:i/>
          <w:iCs/>
        </w:rPr>
        <w:t>Registrar</w:t>
      </w:r>
      <w:r w:rsidRPr="00085457" w:rsidR="009F4C8F">
        <w:rPr>
          <w:i/>
        </w:rPr>
        <w:t>,</w:t>
      </w:r>
    </w:p>
    <w:p w:rsidRPr="00085457" w:rsidR="009F4C8F" w:rsidP="009F4C8F" w:rsidRDefault="009F4C8F">
      <w:pPr>
        <w:pStyle w:val="JuPara"/>
      </w:pPr>
      <w:r w:rsidRPr="00085457">
        <w:t xml:space="preserve">Having deliberated in private on </w:t>
      </w:r>
      <w:r w:rsidR="007041C9">
        <w:rPr>
          <w:szCs w:val="24"/>
        </w:rPr>
        <w:t>22 October 2019</w:t>
      </w:r>
      <w:r w:rsidRPr="00085457">
        <w:t>,</w:t>
      </w:r>
    </w:p>
    <w:p w:rsidRPr="00085457" w:rsidR="009F4C8F" w:rsidP="009F4C8F" w:rsidRDefault="009F4C8F">
      <w:pPr>
        <w:pStyle w:val="JuPara"/>
      </w:pPr>
      <w:r w:rsidRPr="00085457">
        <w:t>Delivers the following judgment, which was adopted on that date:</w:t>
      </w:r>
    </w:p>
    <w:p w:rsidRPr="00301620" w:rsidR="007041C9" w:rsidP="007041C9" w:rsidRDefault="007041C9">
      <w:pPr>
        <w:pStyle w:val="JuHHead"/>
        <w:numPr>
          <w:ilvl w:val="0"/>
          <w:numId w:val="0"/>
        </w:numPr>
      </w:pPr>
      <w:r w:rsidRPr="00301620">
        <w:t>PROCEDURE</w:t>
      </w:r>
    </w:p>
    <w:p w:rsidR="007041C9" w:rsidP="007041C9" w:rsidRDefault="007041C9">
      <w:pPr>
        <w:pStyle w:val="JuPara"/>
      </w:pPr>
      <w:r>
        <w:fldChar w:fldCharType="begin"/>
      </w:r>
      <w:r>
        <w:instrText xml:space="preserve"> SEQ level0 \*arabic </w:instrText>
      </w:r>
      <w:r>
        <w:fldChar w:fldCharType="separate"/>
      </w:r>
      <w:r w:rsidR="001C7517">
        <w:rPr>
          <w:noProof/>
        </w:rPr>
        <w:t>1</w:t>
      </w:r>
      <w:r>
        <w:fldChar w:fldCharType="end"/>
      </w:r>
      <w:r w:rsidRPr="00301620">
        <w:t xml:space="preserve">.  The case originated in an application (no. </w:t>
      </w:r>
      <w:r>
        <w:t>12576/12</w:t>
      </w:r>
      <w:r w:rsidRPr="00301620">
        <w:t xml:space="preserve">) against </w:t>
      </w:r>
      <w:r>
        <w:t>the Hellenic Republic</w:t>
      </w:r>
      <w:r w:rsidRPr="00F04E58">
        <w:t xml:space="preserve"> lodged with the Court under Article 34</w:t>
      </w:r>
      <w:r w:rsidRPr="00301620">
        <w:t xml:space="preserve"> of the Convention for the Protection of Human Rights</w:t>
      </w:r>
      <w:r w:rsidR="00FE15B6">
        <w:t xml:space="preserve"> and Fundamental Freedoms (“the </w:t>
      </w:r>
      <w:r w:rsidRPr="00301620">
        <w:t xml:space="preserve">Convention”) by a </w:t>
      </w:r>
      <w:r>
        <w:t>Greek</w:t>
      </w:r>
      <w:r w:rsidRPr="00301620">
        <w:t xml:space="preserve"> national, </w:t>
      </w:r>
      <w:r>
        <w:t>Mr</w:t>
      </w:r>
      <w:r w:rsidRPr="00301620">
        <w:t xml:space="preserve"> </w:t>
      </w:r>
      <w:r>
        <w:t>Ilias</w:t>
      </w:r>
      <w:r w:rsidRPr="00301620">
        <w:t xml:space="preserve"> </w:t>
      </w:r>
      <w:proofErr w:type="spellStart"/>
      <w:r>
        <w:t>Tsigaras</w:t>
      </w:r>
      <w:proofErr w:type="spellEnd"/>
      <w:r w:rsidRPr="00301620">
        <w:t xml:space="preserve"> (“the applicant”), on </w:t>
      </w:r>
      <w:r>
        <w:t>22 February 2012</w:t>
      </w:r>
      <w:r w:rsidRPr="00301620">
        <w:t>.</w:t>
      </w:r>
    </w:p>
    <w:p w:rsidRPr="00301620" w:rsidR="007041C9" w:rsidP="007041C9" w:rsidRDefault="007041C9">
      <w:pPr>
        <w:pStyle w:val="JuPara"/>
      </w:pPr>
      <w:r>
        <w:fldChar w:fldCharType="begin"/>
      </w:r>
      <w:r>
        <w:instrText xml:space="preserve"> SEQ level0 \*arabic </w:instrText>
      </w:r>
      <w:r>
        <w:fldChar w:fldCharType="separate"/>
      </w:r>
      <w:r w:rsidR="001C7517">
        <w:rPr>
          <w:noProof/>
        </w:rPr>
        <w:t>2</w:t>
      </w:r>
      <w:r>
        <w:fldChar w:fldCharType="end"/>
      </w:r>
      <w:r w:rsidRPr="00301620">
        <w:t xml:space="preserve">.  The applicant was represented by </w:t>
      </w:r>
      <w:r>
        <w:t>Mr</w:t>
      </w:r>
      <w:r w:rsidRPr="00301620">
        <w:t xml:space="preserve"> </w:t>
      </w:r>
      <w:r>
        <w:t>V.</w:t>
      </w:r>
      <w:r w:rsidRPr="00301620">
        <w:t xml:space="preserve"> </w:t>
      </w:r>
      <w:proofErr w:type="spellStart"/>
      <w:r>
        <w:t>Chirdaris</w:t>
      </w:r>
      <w:proofErr w:type="spellEnd"/>
      <w:r w:rsidRPr="00301620">
        <w:t xml:space="preserve"> and Mr</w:t>
      </w:r>
      <w:r>
        <w:t> A. </w:t>
      </w:r>
      <w:proofErr w:type="spellStart"/>
      <w:r>
        <w:t>Kandarakis</w:t>
      </w:r>
      <w:proofErr w:type="spellEnd"/>
      <w:r w:rsidRPr="00301620">
        <w:t xml:space="preserve">, lawyers practising in </w:t>
      </w:r>
      <w:r>
        <w:t>Athens</w:t>
      </w:r>
      <w:r w:rsidRPr="00301620">
        <w:t xml:space="preserve">. The </w:t>
      </w:r>
      <w:r>
        <w:t>Greek</w:t>
      </w:r>
      <w:r w:rsidRPr="00301620">
        <w:t xml:space="preserve"> Government (“the Government”) were represented by their Agent</w:t>
      </w:r>
      <w:r w:rsidR="00A07165">
        <w:t>’</w:t>
      </w:r>
      <w:r>
        <w:t>s delegate</w:t>
      </w:r>
      <w:r w:rsidRPr="00301620">
        <w:t>, Mr</w:t>
      </w:r>
      <w:r>
        <w:t> K. </w:t>
      </w:r>
      <w:proofErr w:type="spellStart"/>
      <w:r>
        <w:t>Georgiadis</w:t>
      </w:r>
      <w:proofErr w:type="spellEnd"/>
      <w:r w:rsidRPr="00301620">
        <w:t xml:space="preserve">, </w:t>
      </w:r>
      <w:r>
        <w:t xml:space="preserve">Senior Advisor at the State Legal </w:t>
      </w:r>
      <w:proofErr w:type="spellStart"/>
      <w:r>
        <w:t>Council</w:t>
      </w:r>
      <w:proofErr w:type="spellEnd"/>
      <w:r w:rsidRPr="00301620">
        <w:t>.</w:t>
      </w:r>
    </w:p>
    <w:p w:rsidR="007041C9" w:rsidP="007041C9" w:rsidRDefault="007041C9">
      <w:pPr>
        <w:pStyle w:val="JuPara"/>
      </w:pPr>
      <w:r>
        <w:fldChar w:fldCharType="begin"/>
      </w:r>
      <w:r>
        <w:instrText xml:space="preserve"> SEQ level0 \*arabic </w:instrText>
      </w:r>
      <w:r>
        <w:fldChar w:fldCharType="separate"/>
      </w:r>
      <w:r w:rsidR="001C7517">
        <w:rPr>
          <w:noProof/>
        </w:rPr>
        <w:t>3</w:t>
      </w:r>
      <w:r>
        <w:fldChar w:fldCharType="end"/>
      </w:r>
      <w:r w:rsidRPr="00301620">
        <w:t xml:space="preserve">.  On </w:t>
      </w:r>
      <w:r w:rsidR="001C7517">
        <w:rPr>
          <w:szCs w:val="24"/>
        </w:rPr>
        <w:t xml:space="preserve">15 </w:t>
      </w:r>
      <w:r>
        <w:rPr>
          <w:szCs w:val="24"/>
        </w:rPr>
        <w:t>January 2018</w:t>
      </w:r>
      <w:r w:rsidRPr="00301620">
        <w:t xml:space="preserve"> notice of the complaints concerning </w:t>
      </w:r>
      <w:r>
        <w:t xml:space="preserve">the date with reference to which compensation for the expropriated property was assessed, the length of the proceedings and the lack of remedy in this respect </w:t>
      </w:r>
      <w:r w:rsidRPr="00301620">
        <w:t>were given to the Government and the remainder of the application was declared inadmissible</w:t>
      </w:r>
      <w:r w:rsidRPr="00301620">
        <w:rPr>
          <w:szCs w:val="24"/>
        </w:rPr>
        <w:t xml:space="preserve"> </w:t>
      </w:r>
      <w:r w:rsidRPr="00301620">
        <w:t>pursuant to Rule 54 § 3 of the Rules of Court.</w:t>
      </w:r>
    </w:p>
    <w:p w:rsidRPr="00301620" w:rsidR="007041C9" w:rsidP="007041C9" w:rsidRDefault="007041C9">
      <w:pPr>
        <w:pStyle w:val="JuPara"/>
      </w:pPr>
      <w:r>
        <w:fldChar w:fldCharType="begin"/>
      </w:r>
      <w:r>
        <w:instrText xml:space="preserve"> SEQ level0 \*arabic </w:instrText>
      </w:r>
      <w:r>
        <w:fldChar w:fldCharType="separate"/>
      </w:r>
      <w:r w:rsidR="001C7517">
        <w:rPr>
          <w:noProof/>
        </w:rPr>
        <w:t>4</w:t>
      </w:r>
      <w:r>
        <w:fldChar w:fldCharType="end"/>
      </w:r>
      <w:r>
        <w:t>.  </w:t>
      </w:r>
      <w:r w:rsidRPr="001565BC">
        <w:t>The Government objected to the exam</w:t>
      </w:r>
      <w:r w:rsidR="00FE15B6">
        <w:t>ination of the application by a </w:t>
      </w:r>
      <w:r w:rsidRPr="001565BC">
        <w:t>Committee. After having considered the Government</w:t>
      </w:r>
      <w:r w:rsidR="00A07165">
        <w:t>’</w:t>
      </w:r>
      <w:r w:rsidRPr="001565BC">
        <w:t>s objection, the Court rejects it.</w:t>
      </w:r>
    </w:p>
    <w:p w:rsidRPr="00301620" w:rsidR="007041C9" w:rsidP="007041C9" w:rsidRDefault="007041C9">
      <w:pPr>
        <w:pStyle w:val="JuHHead"/>
      </w:pPr>
      <w:r w:rsidRPr="00301620">
        <w:t>THE FACTS</w:t>
      </w:r>
    </w:p>
    <w:p w:rsidRPr="00301620" w:rsidR="007041C9" w:rsidP="007041C9" w:rsidRDefault="001C7517">
      <w:pPr>
        <w:pStyle w:val="JuHIRoman"/>
      </w:pPr>
      <w:r>
        <w:t>  </w:t>
      </w:r>
      <w:r w:rsidRPr="00301620" w:rsidR="007041C9">
        <w:t>THE CIRCUMSTANCES OF THE CASE</w:t>
      </w:r>
    </w:p>
    <w:p w:rsidRPr="00301620" w:rsidR="007041C9" w:rsidP="007041C9" w:rsidRDefault="007041C9">
      <w:pPr>
        <w:pStyle w:val="JuPara"/>
      </w:pPr>
      <w:r>
        <w:fldChar w:fldCharType="begin"/>
      </w:r>
      <w:r>
        <w:instrText xml:space="preserve"> SEQ level0 \*arabic </w:instrText>
      </w:r>
      <w:r>
        <w:fldChar w:fldCharType="separate"/>
      </w:r>
      <w:r w:rsidR="001C7517">
        <w:rPr>
          <w:noProof/>
        </w:rPr>
        <w:t>5</w:t>
      </w:r>
      <w:r>
        <w:fldChar w:fldCharType="end"/>
      </w:r>
      <w:r w:rsidRPr="00301620">
        <w:t xml:space="preserve">.  The applicant was born in </w:t>
      </w:r>
      <w:r>
        <w:t>1964</w:t>
      </w:r>
      <w:r w:rsidRPr="00301620">
        <w:t xml:space="preserve"> and lives in </w:t>
      </w:r>
      <w:proofErr w:type="spellStart"/>
      <w:r>
        <w:t>Amfithea</w:t>
      </w:r>
      <w:proofErr w:type="spellEnd"/>
      <w:r w:rsidRPr="00301620">
        <w:t>.</w:t>
      </w:r>
    </w:p>
    <w:p w:rsidR="007041C9" w:rsidP="007041C9" w:rsidRDefault="007041C9">
      <w:pPr>
        <w:pStyle w:val="JuPara"/>
      </w:pPr>
      <w:r>
        <w:fldChar w:fldCharType="begin"/>
      </w:r>
      <w:r>
        <w:instrText xml:space="preserve"> SEQ level0 \*arabic </w:instrText>
      </w:r>
      <w:r>
        <w:fldChar w:fldCharType="separate"/>
      </w:r>
      <w:r w:rsidR="001C7517">
        <w:rPr>
          <w:noProof/>
        </w:rPr>
        <w:t>6</w:t>
      </w:r>
      <w:r>
        <w:fldChar w:fldCharType="end"/>
      </w:r>
      <w:r w:rsidRPr="00301620">
        <w:t>.  </w:t>
      </w:r>
      <w:r>
        <w:t>On 31 December 2002 the Greek State, in a joint decision by the Minister of Finance and Economics and the Minister for the Environment, Regional Development and Public Works, expropriated some properties, including one which belonged to the applicant, in order to make improvements to the National Road of Ioannina-</w:t>
      </w:r>
      <w:proofErr w:type="spellStart"/>
      <w:r>
        <w:t>Antirrio</w:t>
      </w:r>
      <w:proofErr w:type="spellEnd"/>
      <w:r>
        <w:t xml:space="preserve"> in the vicinity of </w:t>
      </w:r>
      <w:proofErr w:type="spellStart"/>
      <w:r>
        <w:t>Amfilochia</w:t>
      </w:r>
      <w:proofErr w:type="spellEnd"/>
      <w:r>
        <w:t xml:space="preserve">. The property expropriated from the applicant included a plot of </w:t>
      </w:r>
      <w:r w:rsidRPr="0026027D">
        <w:t>2,033 sq. m that was part of a larger piece of land measuring 2,991</w:t>
      </w:r>
      <w:r w:rsidR="001C7517">
        <w:t xml:space="preserve"> </w:t>
      </w:r>
      <w:r w:rsidRPr="0026027D">
        <w:t>sq. m.</w:t>
      </w:r>
      <w:r>
        <w:t xml:space="preserve"> O</w:t>
      </w:r>
      <w:r w:rsidRPr="002325A3">
        <w:t xml:space="preserve">n the part of his land </w:t>
      </w:r>
      <w:r>
        <w:t>that was</w:t>
      </w:r>
      <w:r w:rsidRPr="002325A3">
        <w:t xml:space="preserve"> not expropriated there was a </w:t>
      </w:r>
      <w:r w:rsidRPr="006E0F37">
        <w:t>single-storey building</w:t>
      </w:r>
      <w:r w:rsidRPr="002325A3">
        <w:t xml:space="preserve"> used by the applicant as his </w:t>
      </w:r>
      <w:r>
        <w:t>domestic</w:t>
      </w:r>
      <w:r w:rsidRPr="002325A3">
        <w:t xml:space="preserve"> residence</w:t>
      </w:r>
      <w:r>
        <w:t>,</w:t>
      </w:r>
      <w:r w:rsidRPr="002325A3">
        <w:t xml:space="preserve"> measuring 101</w:t>
      </w:r>
      <w:r>
        <w:t>.</w:t>
      </w:r>
      <w:r w:rsidRPr="002325A3">
        <w:t>60</w:t>
      </w:r>
      <w:r>
        <w:t> </w:t>
      </w:r>
      <w:r w:rsidRPr="002325A3">
        <w:t>sq.</w:t>
      </w:r>
      <w:r>
        <w:t xml:space="preserve"> </w:t>
      </w:r>
      <w:r w:rsidRPr="002325A3">
        <w:t>m</w:t>
      </w:r>
      <w:r>
        <w:t>, with a basement of equal dimensions.</w:t>
      </w:r>
    </w:p>
    <w:bookmarkStart w:name="first_hearing" w:id="2"/>
    <w:p w:rsidR="007041C9" w:rsidP="007041C9" w:rsidRDefault="007041C9">
      <w:pPr>
        <w:pStyle w:val="JuPara"/>
      </w:pPr>
      <w:r>
        <w:fldChar w:fldCharType="begin"/>
      </w:r>
      <w:r>
        <w:instrText xml:space="preserve"> SEQ level0 \*arabic </w:instrText>
      </w:r>
      <w:r>
        <w:fldChar w:fldCharType="separate"/>
      </w:r>
      <w:r w:rsidR="001C7517">
        <w:rPr>
          <w:noProof/>
        </w:rPr>
        <w:t>7</w:t>
      </w:r>
      <w:r>
        <w:fldChar w:fldCharType="end"/>
      </w:r>
      <w:bookmarkEnd w:id="2"/>
      <w:r>
        <w:t>.  On 30 April 2004 the Greek State br</w:t>
      </w:r>
      <w:r w:rsidR="00FE15B6">
        <w:t>ought an action before the Arta </w:t>
      </w:r>
      <w:r>
        <w:t xml:space="preserve">Court of First Instance with a view to determining a </w:t>
      </w:r>
      <w:r w:rsidRPr="004E473D">
        <w:t xml:space="preserve">provisional unitary </w:t>
      </w:r>
      <w:r>
        <w:t xml:space="preserve">amount of </w:t>
      </w:r>
      <w:r w:rsidRPr="004E473D">
        <w:t>compensation pe</w:t>
      </w:r>
      <w:r>
        <w:t xml:space="preserve">r square metre of each expropriated property. The case was initially scheduled to be heard on 4 June 2004 but was adjourned. The Court of First Instance held a hearing of the case on 1 October 2004 and issued its decision determining the provisional </w:t>
      </w:r>
      <w:r w:rsidRPr="004E473D">
        <w:t>unit</w:t>
      </w:r>
      <w:r>
        <w:t>ary</w:t>
      </w:r>
      <w:r w:rsidRPr="004E473D">
        <w:t xml:space="preserve"> </w:t>
      </w:r>
      <w:r>
        <w:t xml:space="preserve">amount of </w:t>
      </w:r>
      <w:r w:rsidRPr="004E473D">
        <w:t xml:space="preserve">compensation </w:t>
      </w:r>
      <w:r>
        <w:t>on</w:t>
      </w:r>
      <w:r w:rsidR="001C7517">
        <w:t xml:space="preserve"> 12 November 2004 (judgment no. </w:t>
      </w:r>
      <w:r>
        <w:t>798/2004).</w:t>
      </w:r>
    </w:p>
    <w:p w:rsidR="007041C9" w:rsidP="007041C9" w:rsidRDefault="007041C9">
      <w:pPr>
        <w:pStyle w:val="JuPara"/>
      </w:pPr>
      <w:r>
        <w:fldChar w:fldCharType="begin"/>
      </w:r>
      <w:r>
        <w:instrText xml:space="preserve"> SEQ level0 \*arabic </w:instrText>
      </w:r>
      <w:r>
        <w:fldChar w:fldCharType="separate"/>
      </w:r>
      <w:r w:rsidR="001C7517">
        <w:rPr>
          <w:noProof/>
        </w:rPr>
        <w:t>8</w:t>
      </w:r>
      <w:r>
        <w:fldChar w:fldCharType="end"/>
      </w:r>
      <w:r>
        <w:t xml:space="preserve">.  On 10 May 2005 the applicant brought an action in the Ioannina Court of Appeal to determine the final </w:t>
      </w:r>
      <w:r w:rsidRPr="004E473D">
        <w:t>unit</w:t>
      </w:r>
      <w:r>
        <w:t>ary</w:t>
      </w:r>
      <w:r w:rsidRPr="004E473D">
        <w:t xml:space="preserve"> </w:t>
      </w:r>
      <w:r>
        <w:t xml:space="preserve">amount of </w:t>
      </w:r>
      <w:r w:rsidRPr="004E473D">
        <w:t>compensation</w:t>
      </w:r>
      <w:r>
        <w:t xml:space="preserve">. He also sought special </w:t>
      </w:r>
      <w:r w:rsidRPr="004E473D">
        <w:t>compensation</w:t>
      </w:r>
      <w:r>
        <w:t xml:space="preserve"> for the remainder of his </w:t>
      </w:r>
      <w:proofErr w:type="gramStart"/>
      <w:r>
        <w:t>property, that</w:t>
      </w:r>
      <w:proofErr w:type="gramEnd"/>
      <w:r>
        <w:t xml:space="preserve"> is to say for the remaining po</w:t>
      </w:r>
      <w:r w:rsidR="001C7517">
        <w:t xml:space="preserve">rtion of his land measuring 958 </w:t>
      </w:r>
      <w:r>
        <w:t>sq.</w:t>
      </w:r>
      <w:r w:rsidR="001C7517">
        <w:t xml:space="preserve"> </w:t>
      </w:r>
      <w:r>
        <w:t>m and the building on it. The hearing before the Court of Appeal took place on 21 September 2005. On 2 February 2006 the court issued decision no. 70/2006, adjourning the examination of the merits of the case on the grounds that an expert report was required to assess the value o</w:t>
      </w:r>
      <w:r w:rsidR="00FE15B6">
        <w:t>f the expropriated property. It </w:t>
      </w:r>
      <w:r>
        <w:t>subsequently scheduled a new hearing of the case for 17 May 2006. On that date the court</w:t>
      </w:r>
      <w:r w:rsidR="001C7517">
        <w:t xml:space="preserve"> adjourned the hearing until 18 April </w:t>
      </w:r>
      <w:r>
        <w:t>2007, then adjourned it again until 16 April 2008. Following another adjournment, the hea</w:t>
      </w:r>
      <w:r w:rsidR="001C7517">
        <w:t xml:space="preserve">ring eventually took place on 5 </w:t>
      </w:r>
      <w:r>
        <w:t>November</w:t>
      </w:r>
      <w:r w:rsidR="001C7517">
        <w:t xml:space="preserve"> </w:t>
      </w:r>
      <w:r>
        <w:t>2008. All adjournments were due to the fact that the expert</w:t>
      </w:r>
      <w:r w:rsidR="00A07165">
        <w:t>’</w:t>
      </w:r>
      <w:r>
        <w:t>s report had not yet been completed.</w:t>
      </w:r>
    </w:p>
    <w:p w:rsidR="007041C9" w:rsidP="007041C9" w:rsidRDefault="007041C9">
      <w:pPr>
        <w:pStyle w:val="JuPara"/>
      </w:pPr>
      <w:r>
        <w:fldChar w:fldCharType="begin"/>
      </w:r>
      <w:r>
        <w:instrText xml:space="preserve"> SEQ level0 \*arabic </w:instrText>
      </w:r>
      <w:r>
        <w:fldChar w:fldCharType="separate"/>
      </w:r>
      <w:r w:rsidR="001C7517">
        <w:rPr>
          <w:noProof/>
        </w:rPr>
        <w:t>9</w:t>
      </w:r>
      <w:r>
        <w:fldChar w:fldCharType="end"/>
      </w:r>
      <w:r>
        <w:t>.  </w:t>
      </w:r>
      <w:r w:rsidRPr="00CF2111">
        <w:t>In a judgment of 2</w:t>
      </w:r>
      <w:r>
        <w:t>9</w:t>
      </w:r>
      <w:r w:rsidRPr="00CF2111">
        <w:t xml:space="preserve"> June </w:t>
      </w:r>
      <w:r>
        <w:t>2009</w:t>
      </w:r>
      <w:r w:rsidRPr="00CF2111">
        <w:t xml:space="preserve"> (no. </w:t>
      </w:r>
      <w:r>
        <w:t>224/2009</w:t>
      </w:r>
      <w:r w:rsidRPr="00CF2111">
        <w:t xml:space="preserve">) the </w:t>
      </w:r>
      <w:r>
        <w:t>Ioannina</w:t>
      </w:r>
      <w:r w:rsidRPr="00CF2111">
        <w:t xml:space="preserve"> Court of Appeal </w:t>
      </w:r>
      <w:r>
        <w:t xml:space="preserve">set </w:t>
      </w:r>
      <w:r w:rsidRPr="00CF2111">
        <w:t xml:space="preserve">the </w:t>
      </w:r>
      <w:r w:rsidRPr="004E473D">
        <w:t>final unit</w:t>
      </w:r>
      <w:r>
        <w:t>ary</w:t>
      </w:r>
      <w:r w:rsidRPr="004E473D">
        <w:t xml:space="preserve"> </w:t>
      </w:r>
      <w:r>
        <w:t xml:space="preserve">amount of </w:t>
      </w:r>
      <w:r w:rsidRPr="004E473D">
        <w:t>compensation at</w:t>
      </w:r>
      <w:r>
        <w:t xml:space="preserve"> 40 euros</w:t>
      </w:r>
      <w:r w:rsidRPr="00CF2111">
        <w:t xml:space="preserve"> per square metre.</w:t>
      </w:r>
      <w:r>
        <w:t xml:space="preserve"> It also set the special compensation for the remainder of the land that had not been e</w:t>
      </w:r>
      <w:r w:rsidR="001C7517">
        <w:t xml:space="preserve">xpropriated at 10 euros per sq. </w:t>
      </w:r>
      <w:r>
        <w:t xml:space="preserve">m. </w:t>
      </w:r>
      <w:proofErr w:type="gramStart"/>
      <w:r>
        <w:t>Lastly</w:t>
      </w:r>
      <w:proofErr w:type="gramEnd"/>
      <w:r>
        <w:t>, it assessed the value of the building located on that part of the applicant</w:t>
      </w:r>
      <w:r w:rsidR="00A07165">
        <w:t>’</w:t>
      </w:r>
      <w:r>
        <w:t>s land at 125,000 euros and its lost value at 50,000 euros. In total, the applicant was awarded 140,900 euros. The material date that the court took as the basis for cal</w:t>
      </w:r>
      <w:r w:rsidR="001C7517">
        <w:t xml:space="preserve">culating the compensation was 1 </w:t>
      </w:r>
      <w:r>
        <w:t>October 2004, that is to say the date of the hearing concerning provisional compensation, on the grounds that the first hearing concerning the setting of final compensation had been held on 21 September 2005, which was less than a year after the date of the hearing concerning provisional compensation (Article 17 § 2 of the Constitution).</w:t>
      </w:r>
    </w:p>
    <w:p w:rsidR="007041C9" w:rsidP="007041C9" w:rsidRDefault="007041C9">
      <w:pPr>
        <w:pStyle w:val="JuPara"/>
      </w:pPr>
      <w:r>
        <w:fldChar w:fldCharType="begin"/>
      </w:r>
      <w:r>
        <w:instrText xml:space="preserve"> SEQ level0 \*arabic </w:instrText>
      </w:r>
      <w:r>
        <w:fldChar w:fldCharType="separate"/>
      </w:r>
      <w:r w:rsidR="001C7517">
        <w:rPr>
          <w:noProof/>
        </w:rPr>
        <w:t>10</w:t>
      </w:r>
      <w:r>
        <w:fldChar w:fldCharType="end"/>
      </w:r>
      <w:r>
        <w:t>.  </w:t>
      </w:r>
      <w:r w:rsidRPr="00CF2111">
        <w:t xml:space="preserve">On </w:t>
      </w:r>
      <w:r>
        <w:t>14 September 2010 the applicant</w:t>
      </w:r>
      <w:r w:rsidRPr="00CF2111">
        <w:t xml:space="preserve"> </w:t>
      </w:r>
      <w:r>
        <w:t xml:space="preserve">lodged an appeal on points of law with </w:t>
      </w:r>
      <w:r w:rsidRPr="00CF2111">
        <w:t>the Court of Cassation</w:t>
      </w:r>
      <w:r>
        <w:t xml:space="preserve">. </w:t>
      </w:r>
      <w:r w:rsidRPr="00D3710C">
        <w:t xml:space="preserve">He claimed, </w:t>
      </w:r>
      <w:r w:rsidRPr="00D3710C">
        <w:rPr>
          <w:i/>
        </w:rPr>
        <w:t>inter alia</w:t>
      </w:r>
      <w:r w:rsidRPr="00D3710C">
        <w:t>, that the Court of Appeal had err</w:t>
      </w:r>
      <w:r>
        <w:t>ed</w:t>
      </w:r>
      <w:r w:rsidRPr="00D3710C">
        <w:t xml:space="preserve"> </w:t>
      </w:r>
      <w:r>
        <w:t xml:space="preserve">in taking the date of the hearing concerning the provisional compensation </w:t>
      </w:r>
      <w:r w:rsidRPr="00D3710C">
        <w:t xml:space="preserve">as </w:t>
      </w:r>
      <w:r>
        <w:t xml:space="preserve">the </w:t>
      </w:r>
      <w:r w:rsidRPr="00D3710C">
        <w:t xml:space="preserve">material time for the </w:t>
      </w:r>
      <w:r>
        <w:t xml:space="preserve">setting </w:t>
      </w:r>
      <w:r w:rsidRPr="00D3710C">
        <w:t>of the compensation</w:t>
      </w:r>
      <w:r>
        <w:t xml:space="preserve">. He argued that in determining the final compensation, the court should have taken the date of the hearing concerning final compensation, 5 November 2008, when examination on the merits had taken place, resulting in </w:t>
      </w:r>
      <w:r w:rsidR="001C7517">
        <w:t xml:space="preserve">judgment no. </w:t>
      </w:r>
      <w:r>
        <w:t xml:space="preserve">224/2009 by which he had been awarded compensation. Therefore, </w:t>
      </w:r>
      <w:r w:rsidRPr="004E473D">
        <w:t xml:space="preserve">pursuant to </w:t>
      </w:r>
      <w:r w:rsidRPr="00C53FE3">
        <w:t>Article 17</w:t>
      </w:r>
      <w:r w:rsidR="00A07165">
        <w:t xml:space="preserve"> </w:t>
      </w:r>
      <w:r w:rsidRPr="00C53FE3">
        <w:t>§</w:t>
      </w:r>
      <w:r w:rsidR="00A07165">
        <w:t xml:space="preserve"> </w:t>
      </w:r>
      <w:r w:rsidRPr="00C53FE3">
        <w:t>2 of the Constitution,</w:t>
      </w:r>
      <w:r>
        <w:t xml:space="preserve"> more than a year had elapsed between the hearing concerning the setting of provisional compensation and that concerning the setting of final compensation. In view of the above, the final compensation should have been set with reference to the hearing of 5 November 2008. In the applicant</w:t>
      </w:r>
      <w:r w:rsidR="00A07165">
        <w:t>’</w:t>
      </w:r>
      <w:r>
        <w:t>s view, the hearing of 25 September 2005 should not have been taken into account, as it had resulted not in a ruling on the merits but rather in decision 70/2006 by which the examination on the merits had been adjourned and an expert report ordered.</w:t>
      </w:r>
    </w:p>
    <w:bookmarkStart w:name="court_cassation" w:id="3"/>
    <w:p w:rsidR="007041C9" w:rsidP="007041C9" w:rsidRDefault="007041C9">
      <w:pPr>
        <w:pStyle w:val="JuPara"/>
      </w:pPr>
      <w:r>
        <w:fldChar w:fldCharType="begin"/>
      </w:r>
      <w:r>
        <w:instrText xml:space="preserve"> SEQ level0 \*arabic </w:instrText>
      </w:r>
      <w:r>
        <w:fldChar w:fldCharType="separate"/>
      </w:r>
      <w:r w:rsidR="001C7517">
        <w:rPr>
          <w:noProof/>
        </w:rPr>
        <w:t>11</w:t>
      </w:r>
      <w:r>
        <w:fldChar w:fldCharType="end"/>
      </w:r>
      <w:bookmarkEnd w:id="3"/>
      <w:r>
        <w:t xml:space="preserve">.  The case was heard on 28 April 2011 by the plenary of the Court of Cassation because the issue at stake was of significant legal interest. </w:t>
      </w:r>
      <w:r w:rsidR="00FE15B6">
        <w:t>On</w:t>
      </w:r>
      <w:r w:rsidR="001C7517">
        <w:t xml:space="preserve"> 29 </w:t>
      </w:r>
      <w:r>
        <w:t>September 2011 the plenary of the Court of Cassation dismissed the applicant</w:t>
      </w:r>
      <w:r w:rsidR="00A07165">
        <w:t>’</w:t>
      </w:r>
      <w:r w:rsidR="001C7517">
        <w:t xml:space="preserve">s </w:t>
      </w:r>
      <w:r>
        <w:t>appeal on points of law (judgment no. 14/2011). As regards the material time for determining the compensation, referring to Articles 111, 223, 224 and 281 of the Code of Civil Procedure, a</w:t>
      </w:r>
      <w:r w:rsidRPr="00806F75">
        <w:t xml:space="preserve"> </w:t>
      </w:r>
      <w:r>
        <w:t xml:space="preserve">majority of twenty-three judges of the </w:t>
      </w:r>
      <w:r w:rsidRPr="00806F75">
        <w:t>Court of Cassation</w:t>
      </w:r>
      <w:r>
        <w:t xml:space="preserve"> held th</w:t>
      </w:r>
      <w:r w:rsidR="001C7517">
        <w:t>at it was the first hearing (of 21 </w:t>
      </w:r>
      <w:r>
        <w:t xml:space="preserve">September 2005) that should have been taken into account </w:t>
      </w:r>
      <w:r>
        <w:rPr>
          <w:rFonts w:cstheme="minorHAnsi"/>
        </w:rPr>
        <w:t>‒</w:t>
      </w:r>
      <w:r w:rsidR="00FE15B6">
        <w:noBreakHyphen/>
      </w:r>
      <w:r>
        <w:t xml:space="preserve">regardless of whether or not the examination on the merits had taken place on that date </w:t>
      </w:r>
      <w:r>
        <w:rPr>
          <w:rFonts w:cstheme="minorHAnsi"/>
        </w:rPr>
        <w:t>‒</w:t>
      </w:r>
      <w:r>
        <w:t xml:space="preserve"> on the grounds that “</w:t>
      </w:r>
      <w:r w:rsidRPr="004E473D">
        <w:t>during that hearing the subject of the evidence procedure and</w:t>
      </w:r>
      <w:r>
        <w:t xml:space="preserve"> of judicial </w:t>
      </w:r>
      <w:r w:rsidRPr="00C53FE3">
        <w:t xml:space="preserve">research </w:t>
      </w:r>
      <w:r>
        <w:t>wa</w:t>
      </w:r>
      <w:r w:rsidRPr="00A279DE">
        <w:t xml:space="preserve">s being </w:t>
      </w:r>
      <w:r>
        <w:t>determin</w:t>
      </w:r>
      <w:r w:rsidRPr="00A279DE">
        <w:t>ed”. A</w:t>
      </w:r>
      <w:r w:rsidR="00FE15B6">
        <w:t> </w:t>
      </w:r>
      <w:r w:rsidRPr="004E473D">
        <w:t xml:space="preserve">minority of thirteen judges disagreed with </w:t>
      </w:r>
      <w:r>
        <w:t xml:space="preserve">the </w:t>
      </w:r>
      <w:r w:rsidRPr="004E473D">
        <w:t>above-mentioned conclusion on the grounds that Article 17 § 2 of the Constitution i</w:t>
      </w:r>
      <w:r>
        <w:t>mplied</w:t>
      </w:r>
      <w:r w:rsidRPr="004E473D">
        <w:t xml:space="preserve"> that its purpose </w:t>
      </w:r>
      <w:r>
        <w:t xml:space="preserve">was </w:t>
      </w:r>
      <w:r w:rsidRPr="004E473D">
        <w:t xml:space="preserve">for individuals who </w:t>
      </w:r>
      <w:r>
        <w:t xml:space="preserve">had been </w:t>
      </w:r>
      <w:r w:rsidRPr="004E473D">
        <w:t xml:space="preserve">deprived of their property to be given full compensation corresponding to the value of the property as </w:t>
      </w:r>
      <w:r>
        <w:t>at a date</w:t>
      </w:r>
      <w:r w:rsidRPr="004E473D">
        <w:t xml:space="preserve"> closer to </w:t>
      </w:r>
      <w:r>
        <w:t xml:space="preserve">the date of </w:t>
      </w:r>
      <w:r w:rsidRPr="004E473D">
        <w:t>payment.</w:t>
      </w:r>
      <w:r>
        <w:t xml:space="preserve"> Therefore, in the present case, the material time to be taken should have been the last hearing before the decision on the merits had been issued.</w:t>
      </w:r>
    </w:p>
    <w:bookmarkStart w:name="final_decision" w:id="4"/>
    <w:p w:rsidR="007041C9" w:rsidP="007041C9" w:rsidRDefault="007041C9">
      <w:pPr>
        <w:pStyle w:val="JuPara"/>
      </w:pPr>
      <w:r>
        <w:fldChar w:fldCharType="begin"/>
      </w:r>
      <w:r>
        <w:instrText xml:space="preserve"> SEQ level0 \*arabic </w:instrText>
      </w:r>
      <w:r>
        <w:fldChar w:fldCharType="separate"/>
      </w:r>
      <w:r w:rsidR="001C7517">
        <w:rPr>
          <w:noProof/>
        </w:rPr>
        <w:t>12</w:t>
      </w:r>
      <w:r>
        <w:fldChar w:fldCharType="end"/>
      </w:r>
      <w:bookmarkEnd w:id="4"/>
      <w:r>
        <w:t>.  The judgment was finalised (</w:t>
      </w:r>
      <w:r w:rsidRPr="00BE2022">
        <w:rPr>
          <w:i/>
        </w:rPr>
        <w:t>καθα</w:t>
      </w:r>
      <w:proofErr w:type="spellStart"/>
      <w:r w:rsidRPr="00BE2022">
        <w:rPr>
          <w:i/>
        </w:rPr>
        <w:t>ρoγρ</w:t>
      </w:r>
      <w:proofErr w:type="spellEnd"/>
      <w:r w:rsidRPr="00BE2022">
        <w:rPr>
          <w:i/>
        </w:rPr>
        <w:t>αφή</w:t>
      </w:r>
      <w:r>
        <w:t>) on 4 October 2011 and it was archived on 4 November 2011, on which date it was possible to obtain a copy.</w:t>
      </w:r>
    </w:p>
    <w:p w:rsidRPr="00301620" w:rsidR="007041C9" w:rsidP="007041C9" w:rsidRDefault="001C7517">
      <w:pPr>
        <w:pStyle w:val="JuHIRoman"/>
      </w:pPr>
      <w:r>
        <w:t>  </w:t>
      </w:r>
      <w:r w:rsidRPr="00301620" w:rsidR="007041C9">
        <w:t>RELEVANT DOMESTIC LAW AND PRACTICE</w:t>
      </w:r>
    </w:p>
    <w:p w:rsidRPr="009C785A" w:rsidR="007041C9" w:rsidP="007041C9" w:rsidRDefault="007041C9">
      <w:pPr>
        <w:pStyle w:val="JuHA"/>
        <w:rPr>
          <w:rFonts w:eastAsiaTheme="majorEastAsia"/>
          <w:lang w:val="en-US"/>
        </w:rPr>
      </w:pPr>
      <w:r w:rsidRPr="009C785A">
        <w:rPr>
          <w:rFonts w:eastAsiaTheme="majorEastAsia"/>
          <w:lang w:val="en-US"/>
        </w:rPr>
        <w:t>The Constitution</w:t>
      </w:r>
    </w:p>
    <w:p w:rsidRPr="00DF2BC2" w:rsidR="007041C9" w:rsidP="007041C9" w:rsidRDefault="007041C9">
      <w:pPr>
        <w:pStyle w:val="JuPara"/>
        <w:rPr>
          <w:lang w:val="en-US"/>
        </w:rPr>
      </w:pPr>
      <w:r w:rsidRPr="00A07165">
        <w:fldChar w:fldCharType="begin"/>
      </w:r>
      <w:r w:rsidRPr="00A07165">
        <w:instrText xml:space="preserve"> SEQ level0 \*arabic </w:instrText>
      </w:r>
      <w:r w:rsidRPr="00A07165">
        <w:fldChar w:fldCharType="separate"/>
      </w:r>
      <w:r w:rsidR="001C7517">
        <w:rPr>
          <w:noProof/>
        </w:rPr>
        <w:t>13</w:t>
      </w:r>
      <w:r w:rsidRPr="00A07165">
        <w:fldChar w:fldCharType="end"/>
      </w:r>
      <w:r w:rsidRPr="00DF2BC2">
        <w:t>. </w:t>
      </w:r>
      <w:r w:rsidR="00A07165">
        <w:t> </w:t>
      </w:r>
      <w:r w:rsidRPr="00DF2BC2">
        <w:rPr>
          <w:lang w:val="en-US"/>
        </w:rPr>
        <w:t>The relevant Article of the Greek Constitution reads as follows:</w:t>
      </w:r>
    </w:p>
    <w:p w:rsidRPr="00DF2BC2" w:rsidR="007041C9" w:rsidP="007041C9" w:rsidRDefault="007041C9">
      <w:pPr>
        <w:pStyle w:val="JuHArticle"/>
        <w:rPr>
          <w:b w:val="0"/>
          <w:lang w:val="en-US" w:bidi="en-US"/>
        </w:rPr>
      </w:pPr>
      <w:r w:rsidRPr="00DF2BC2">
        <w:rPr>
          <w:lang w:val="en-US" w:bidi="en-US"/>
        </w:rPr>
        <w:t>Article 17</w:t>
      </w:r>
    </w:p>
    <w:p w:rsidRPr="00DF2BC2" w:rsidR="007041C9" w:rsidP="007041C9" w:rsidRDefault="007041C9">
      <w:pPr>
        <w:pStyle w:val="JuQuot"/>
        <w:rPr>
          <w:lang w:val="en-US"/>
        </w:rPr>
      </w:pPr>
      <w:r w:rsidRPr="00DF2BC2">
        <w:rPr>
          <w:lang w:val="en-US"/>
        </w:rPr>
        <w:t>“...</w:t>
      </w:r>
    </w:p>
    <w:p w:rsidRPr="00DF2BC2" w:rsidR="007041C9" w:rsidP="007041C9" w:rsidRDefault="007041C9">
      <w:pPr>
        <w:pStyle w:val="JuQuot"/>
        <w:rPr>
          <w:lang w:val="en-US"/>
        </w:rPr>
      </w:pPr>
      <w:r w:rsidRPr="00DF2BC2">
        <w:rPr>
          <w:lang w:val="en-US"/>
        </w:rPr>
        <w:t xml:space="preserve">2.  No one may be deprived of his property unless it is for the public benefit, which must be duly proved, in the circumstances and manner laid down by law and only after payment of full compensation corresponding to the value of the expropriated property at the time of the court hearing on the provisional setting </w:t>
      </w:r>
      <w:r w:rsidR="00FE15B6">
        <w:rPr>
          <w:lang w:val="en-US"/>
        </w:rPr>
        <w:t>of compensation. In </w:t>
      </w:r>
      <w:r w:rsidRPr="00DF2BC2">
        <w:rPr>
          <w:lang w:val="en-US"/>
        </w:rPr>
        <w:t>cases in which an application is lodged directly requesting a final determination of the compensation, the value of the expropriated property at the time of the court hearing of that application shall be taken into account. If more than a year has elapsed between the hearing date concerning provisional setting of compensation and the hearing date concerning final setting of compensation, then the value shall be assessed with reference to the latter date.</w:t>
      </w:r>
    </w:p>
    <w:p w:rsidRPr="00DF2BC2" w:rsidR="007041C9" w:rsidP="007041C9" w:rsidRDefault="007041C9">
      <w:pPr>
        <w:pStyle w:val="JuQuot"/>
        <w:rPr>
          <w:lang w:val="en-US"/>
        </w:rPr>
      </w:pPr>
      <w:r w:rsidRPr="00DF2BC2">
        <w:rPr>
          <w:lang w:val="en-US"/>
        </w:rPr>
        <w:t>3.  Any change in the value of the expropriated property occurring after and solely as a result of publication of the decision to expropriate shall not be taken into account.</w:t>
      </w:r>
    </w:p>
    <w:p w:rsidRPr="00DF2BC2" w:rsidR="007041C9" w:rsidP="007041C9" w:rsidRDefault="007041C9">
      <w:pPr>
        <w:pStyle w:val="JuQuot"/>
        <w:rPr>
          <w:lang w:val="en-US"/>
        </w:rPr>
      </w:pPr>
      <w:r w:rsidRPr="00DF2BC2">
        <w:rPr>
          <w:lang w:val="en-US"/>
        </w:rPr>
        <w:t>...”</w:t>
      </w:r>
    </w:p>
    <w:p w:rsidRPr="009C785A" w:rsidR="007041C9" w:rsidP="007041C9" w:rsidRDefault="007041C9">
      <w:pPr>
        <w:pStyle w:val="JuHA"/>
        <w:rPr>
          <w:rFonts w:eastAsiaTheme="majorEastAsia"/>
          <w:lang w:val="en-US"/>
        </w:rPr>
      </w:pPr>
      <w:r w:rsidRPr="009C785A">
        <w:rPr>
          <w:rFonts w:eastAsiaTheme="majorEastAsia"/>
          <w:lang w:val="en-US"/>
        </w:rPr>
        <w:t>Code of Civil procedure</w:t>
      </w:r>
    </w:p>
    <w:p w:rsidRPr="00DF2BC2" w:rsidR="007041C9" w:rsidP="007041C9" w:rsidRDefault="007041C9">
      <w:pPr>
        <w:pStyle w:val="JuPara"/>
        <w:rPr>
          <w:lang w:val="en-US"/>
        </w:rPr>
      </w:pPr>
      <w:r w:rsidRPr="00DF2BC2">
        <w:rPr>
          <w:lang w:val="en-US"/>
        </w:rPr>
        <w:fldChar w:fldCharType="begin"/>
      </w:r>
      <w:r w:rsidRPr="00DF2BC2">
        <w:rPr>
          <w:lang w:val="en-US"/>
        </w:rPr>
        <w:instrText xml:space="preserve"> SEQ level0 \*arabic </w:instrText>
      </w:r>
      <w:r w:rsidRPr="00DF2BC2">
        <w:rPr>
          <w:lang w:val="en-US"/>
        </w:rPr>
        <w:fldChar w:fldCharType="separate"/>
      </w:r>
      <w:r w:rsidR="001C7517">
        <w:rPr>
          <w:noProof/>
          <w:lang w:val="en-US"/>
        </w:rPr>
        <w:t>14</w:t>
      </w:r>
      <w:r w:rsidRPr="00DF2BC2">
        <w:rPr>
          <w:lang w:val="en-US"/>
        </w:rPr>
        <w:fldChar w:fldCharType="end"/>
      </w:r>
      <w:r w:rsidRPr="00DF2BC2">
        <w:rPr>
          <w:lang w:val="en-US"/>
        </w:rPr>
        <w:t>.  The relevant Articles of the Code of Civil Procedure read as follows:</w:t>
      </w:r>
    </w:p>
    <w:p w:rsidRPr="00DF2BC2" w:rsidR="007041C9" w:rsidP="007D6B23" w:rsidRDefault="007041C9">
      <w:pPr>
        <w:pStyle w:val="JuHArticle"/>
        <w:rPr>
          <w:b w:val="0"/>
          <w:lang w:val="en-US" w:bidi="en-US"/>
        </w:rPr>
      </w:pPr>
      <w:r w:rsidRPr="00DF2BC2">
        <w:rPr>
          <w:lang w:val="en-US" w:bidi="en-US"/>
        </w:rPr>
        <w:t>Article 111</w:t>
      </w:r>
    </w:p>
    <w:p w:rsidRPr="00DF2BC2" w:rsidR="007041C9" w:rsidP="007041C9" w:rsidRDefault="007041C9">
      <w:pPr>
        <w:pStyle w:val="JuQuot"/>
        <w:rPr>
          <w:lang w:val="en-US" w:bidi="en-US"/>
        </w:rPr>
      </w:pPr>
      <w:r w:rsidRPr="00DF2BC2">
        <w:rPr>
          <w:lang w:val="en-US" w:bidi="en-US"/>
        </w:rPr>
        <w:t>“1. The proceedings in a hearing shall be based on the written pre-trial proceedings.</w:t>
      </w:r>
    </w:p>
    <w:p w:rsidRPr="00DF2BC2" w:rsidR="007041C9" w:rsidP="007041C9" w:rsidRDefault="007041C9">
      <w:pPr>
        <w:pStyle w:val="JuQuot"/>
        <w:rPr>
          <w:lang w:val="en-US" w:bidi="en-US"/>
        </w:rPr>
      </w:pPr>
      <w:r w:rsidRPr="00DF2BC2">
        <w:rPr>
          <w:lang w:val="en-US" w:bidi="en-US"/>
        </w:rPr>
        <w:t>2. No main or incidental action for judicial protection can be lodged with a court, unless specified otherwise by law. An action which has been lodged without pre-trial proceedings shall automatically be dismissed as inadmissible”.</w:t>
      </w:r>
    </w:p>
    <w:p w:rsidRPr="00DF2BC2" w:rsidR="007041C9" w:rsidP="007041C9" w:rsidRDefault="007041C9">
      <w:pPr>
        <w:pStyle w:val="JuHArticle"/>
        <w:rPr>
          <w:b w:val="0"/>
          <w:lang w:val="en-US" w:bidi="en-US"/>
        </w:rPr>
      </w:pPr>
      <w:r w:rsidRPr="00DF2BC2">
        <w:rPr>
          <w:lang w:val="en-US" w:bidi="en-US"/>
        </w:rPr>
        <w:t>Article 223</w:t>
      </w:r>
    </w:p>
    <w:p w:rsidRPr="00DF2BC2" w:rsidR="007041C9" w:rsidP="007041C9" w:rsidRDefault="007041C9">
      <w:pPr>
        <w:pStyle w:val="JuQuot"/>
        <w:rPr>
          <w:lang w:val="en-US" w:bidi="en-US"/>
        </w:rPr>
      </w:pPr>
      <w:r w:rsidRPr="00DF2BC2">
        <w:rPr>
          <w:lang w:val="en-US" w:bidi="en-US"/>
        </w:rPr>
        <w:t>“When an action is pending before the court it is not permissible to modify its claims. Exceptionally, the claimant, in his submissions up until the end of the first</w:t>
      </w:r>
      <w:r w:rsidRPr="00DF2BC2">
        <w:rPr>
          <w:lang w:val="en-US" w:bidi="en-US"/>
        </w:rPr>
        <w:noBreakHyphen/>
        <w:t>instance procedure, may limit his claims or request a) whatever is associated with the main subject-matter of the action (</w:t>
      </w:r>
      <w:r w:rsidRPr="00DF2BC2">
        <w:rPr>
          <w:i/>
          <w:lang w:val="en-US" w:bidi="en-US"/>
        </w:rPr>
        <w:t>τα πα</w:t>
      </w:r>
      <w:proofErr w:type="spellStart"/>
      <w:r w:rsidRPr="00DF2BC2">
        <w:rPr>
          <w:i/>
          <w:lang w:val="en-US" w:bidi="en-US"/>
        </w:rPr>
        <w:t>ρε</w:t>
      </w:r>
      <w:proofErr w:type="spellEnd"/>
      <w:r w:rsidRPr="00DF2BC2">
        <w:rPr>
          <w:i/>
          <w:lang w:val="en-US" w:bidi="en-US"/>
        </w:rPr>
        <w:t>π</w:t>
      </w:r>
      <w:proofErr w:type="spellStart"/>
      <w:r w:rsidRPr="00DF2BC2">
        <w:rPr>
          <w:i/>
          <w:lang w:val="el-GR" w:bidi="en-US"/>
        </w:rPr>
        <w:t>όμενα</w:t>
      </w:r>
      <w:proofErr w:type="spellEnd"/>
      <w:r w:rsidRPr="00DF2BC2">
        <w:rPr>
          <w:i/>
          <w:lang w:val="en-US" w:bidi="en-US"/>
        </w:rPr>
        <w:t xml:space="preserve"> </w:t>
      </w:r>
      <w:r w:rsidRPr="00DF2BC2">
        <w:rPr>
          <w:i/>
          <w:lang w:val="el-GR" w:bidi="en-US"/>
        </w:rPr>
        <w:t>του</w:t>
      </w:r>
      <w:r w:rsidRPr="00DF2BC2">
        <w:rPr>
          <w:i/>
          <w:lang w:val="en-US" w:bidi="en-US"/>
        </w:rPr>
        <w:t xml:space="preserve"> </w:t>
      </w:r>
      <w:r w:rsidRPr="00DF2BC2">
        <w:rPr>
          <w:i/>
          <w:lang w:val="el-GR" w:bidi="en-US"/>
        </w:rPr>
        <w:t>κύριου</w:t>
      </w:r>
      <w:r w:rsidRPr="00DF2BC2">
        <w:rPr>
          <w:i/>
          <w:lang w:val="en-US" w:bidi="en-US"/>
        </w:rPr>
        <w:t xml:space="preserve"> </w:t>
      </w:r>
      <w:r w:rsidRPr="00DF2BC2">
        <w:rPr>
          <w:i/>
          <w:lang w:val="el-GR" w:bidi="en-US"/>
        </w:rPr>
        <w:t>αντικειμένου</w:t>
      </w:r>
      <w:r w:rsidRPr="00DF2BC2">
        <w:rPr>
          <w:i/>
          <w:lang w:val="en-US" w:bidi="en-US"/>
        </w:rPr>
        <w:t xml:space="preserve"> </w:t>
      </w:r>
      <w:r w:rsidRPr="00DF2BC2">
        <w:rPr>
          <w:i/>
          <w:lang w:val="el-GR" w:bidi="en-US"/>
        </w:rPr>
        <w:t>της</w:t>
      </w:r>
      <w:r w:rsidRPr="00DF2BC2">
        <w:rPr>
          <w:i/>
          <w:lang w:val="en-US" w:bidi="en-US"/>
        </w:rPr>
        <w:t xml:space="preserve"> </w:t>
      </w:r>
      <w:r w:rsidRPr="00DF2BC2">
        <w:rPr>
          <w:i/>
          <w:lang w:val="el-GR" w:bidi="en-US"/>
        </w:rPr>
        <w:t>αγωγής</w:t>
      </w:r>
      <w:r w:rsidRPr="00DF2BC2">
        <w:rPr>
          <w:lang w:val="en-US" w:bidi="en-US"/>
        </w:rPr>
        <w:t>); b) another object instead of that initially requested, or the difference in value caused by a change that has taken place”.</w:t>
      </w:r>
    </w:p>
    <w:p w:rsidRPr="00DF2BC2" w:rsidR="007041C9" w:rsidP="007041C9" w:rsidRDefault="007041C9">
      <w:pPr>
        <w:pStyle w:val="JuHArticle"/>
        <w:rPr>
          <w:b w:val="0"/>
          <w:lang w:val="en-US" w:bidi="en-US"/>
        </w:rPr>
      </w:pPr>
      <w:r w:rsidRPr="00DF2BC2">
        <w:rPr>
          <w:lang w:val="en-US" w:bidi="en-US"/>
        </w:rPr>
        <w:t>Article 224</w:t>
      </w:r>
    </w:p>
    <w:p w:rsidRPr="00DF2BC2" w:rsidR="007041C9" w:rsidP="007041C9" w:rsidRDefault="007041C9">
      <w:pPr>
        <w:pStyle w:val="JuQuot"/>
        <w:rPr>
          <w:lang w:val="en-US" w:bidi="en-US"/>
        </w:rPr>
      </w:pPr>
      <w:r w:rsidRPr="00DF2BC2">
        <w:rPr>
          <w:lang w:val="en-US" w:bidi="en-US"/>
        </w:rPr>
        <w:t>“It is inadmissible to change the legal basis of an action. The applicant by means of submissions before the first-instance court in accordance with Article 237 § 1 may supplement, clarify or correct his allegations, provided that they do not change the action</w:t>
      </w:r>
      <w:r w:rsidR="00A07165">
        <w:rPr>
          <w:lang w:val="en-US" w:bidi="en-US"/>
        </w:rPr>
        <w:t>’</w:t>
      </w:r>
      <w:r w:rsidRPr="00DF2BC2">
        <w:rPr>
          <w:lang w:val="en-US" w:bidi="en-US"/>
        </w:rPr>
        <w:t>s legal basis”.</w:t>
      </w:r>
    </w:p>
    <w:p w:rsidRPr="00DF2BC2" w:rsidR="007041C9" w:rsidP="007041C9" w:rsidRDefault="007041C9">
      <w:pPr>
        <w:pStyle w:val="JuHArticle"/>
        <w:rPr>
          <w:b w:val="0"/>
          <w:lang w:val="en-US" w:bidi="en-US"/>
        </w:rPr>
      </w:pPr>
      <w:r w:rsidRPr="00DF2BC2">
        <w:rPr>
          <w:lang w:val="en-US" w:bidi="en-US"/>
        </w:rPr>
        <w:t>Article 281</w:t>
      </w:r>
    </w:p>
    <w:p w:rsidRPr="00DF2BC2" w:rsidR="007041C9" w:rsidP="007041C9" w:rsidRDefault="007041C9">
      <w:pPr>
        <w:pStyle w:val="JuQuot"/>
        <w:rPr>
          <w:lang w:val="en-US" w:bidi="en-US"/>
        </w:rPr>
      </w:pPr>
      <w:r w:rsidRPr="00DF2BC2">
        <w:rPr>
          <w:lang w:val="en-US" w:bidi="en-US"/>
        </w:rPr>
        <w:t xml:space="preserve">“The </w:t>
      </w:r>
      <w:r w:rsidR="00A07165">
        <w:rPr>
          <w:lang w:val="en-US" w:bidi="en-US"/>
        </w:rPr>
        <w:t>‘</w:t>
      </w:r>
      <w:r w:rsidRPr="00DF2BC2">
        <w:rPr>
          <w:lang w:val="en-US" w:bidi="en-US"/>
        </w:rPr>
        <w:t>date of the hearing</w:t>
      </w:r>
      <w:r w:rsidR="00A07165">
        <w:rPr>
          <w:lang w:val="en-US" w:bidi="en-US"/>
        </w:rPr>
        <w:t>’</w:t>
      </w:r>
      <w:r w:rsidRPr="00DF2BC2">
        <w:rPr>
          <w:lang w:val="en-US" w:bidi="en-US"/>
        </w:rPr>
        <w:t xml:space="preserve"> is deemed to be the date on which the case was called and the trial started, irrespective of whether the court started the examination on the merits”.</w:t>
      </w:r>
    </w:p>
    <w:p w:rsidR="007041C9" w:rsidP="007041C9" w:rsidRDefault="007041C9">
      <w:pPr>
        <w:pStyle w:val="JuHA"/>
        <w:rPr>
          <w:lang w:val="en-US" w:bidi="en-US"/>
        </w:rPr>
      </w:pPr>
      <w:r>
        <w:rPr>
          <w:lang w:val="en-US" w:bidi="en-US"/>
        </w:rPr>
        <w:t>Introductory Law to the Civil Code</w:t>
      </w:r>
    </w:p>
    <w:p w:rsidRPr="003B5525" w:rsidR="007041C9" w:rsidP="007041C9" w:rsidRDefault="007041C9">
      <w:pPr>
        <w:pStyle w:val="JuPara"/>
      </w:pPr>
      <w:r>
        <w:fldChar w:fldCharType="begin"/>
      </w:r>
      <w:r>
        <w:instrText xml:space="preserve"> SEQ level0 \*arabic </w:instrText>
      </w:r>
      <w:r>
        <w:fldChar w:fldCharType="separate"/>
      </w:r>
      <w:r w:rsidR="001C7517">
        <w:rPr>
          <w:noProof/>
        </w:rPr>
        <w:t>15</w:t>
      </w:r>
      <w:r>
        <w:fldChar w:fldCharType="end"/>
      </w:r>
      <w:r>
        <w:t>.  </w:t>
      </w:r>
      <w:r w:rsidRPr="003B5525">
        <w:t>Article 105 of the Introductory Law to the Civil Code provides as follows:</w:t>
      </w:r>
    </w:p>
    <w:p w:rsidRPr="003B5525" w:rsidR="007041C9" w:rsidP="007041C9" w:rsidRDefault="007041C9">
      <w:pPr>
        <w:pStyle w:val="JuQuot"/>
      </w:pPr>
      <w:r w:rsidRPr="003B5525">
        <w:t>“The State shall be duty-bound to make good any damage caused by unlawful acts or omissions attributable to its organs in the exercise of public authority, except where such unlawful act or omission was in breach of an existing provision but was intended to serve the public interest. The person responsible and the State shall be jointly and severally liable, without prejudice to the special provisions on ministerial responsibility.”</w:t>
      </w:r>
    </w:p>
    <w:p w:rsidRPr="00301620" w:rsidR="007041C9" w:rsidP="007041C9" w:rsidRDefault="007041C9">
      <w:pPr>
        <w:pStyle w:val="JuHHead"/>
      </w:pPr>
      <w:r w:rsidRPr="00301620">
        <w:t>THE LAW</w:t>
      </w:r>
    </w:p>
    <w:p w:rsidRPr="00301620" w:rsidR="007041C9" w:rsidP="007041C9" w:rsidRDefault="001C7517">
      <w:pPr>
        <w:pStyle w:val="JuHIRoman"/>
      </w:pPr>
      <w:r>
        <w:t>  </w:t>
      </w:r>
      <w:r w:rsidRPr="00301620" w:rsidR="007041C9">
        <w:t xml:space="preserve">ALLEGED VIOLATION OF ARTICLE </w:t>
      </w:r>
      <w:r w:rsidR="007041C9">
        <w:t xml:space="preserve">1 OF PROTOCOL NO. </w:t>
      </w:r>
      <w:r w:rsidR="00FE15B6">
        <w:t>1 TO </w:t>
      </w:r>
      <w:r w:rsidRPr="00301620" w:rsidR="007041C9">
        <w:t>THE CONVENTION</w:t>
      </w:r>
    </w:p>
    <w:p w:rsidRPr="00301620" w:rsidR="007041C9" w:rsidP="007041C9" w:rsidRDefault="007041C9">
      <w:pPr>
        <w:pStyle w:val="JuPara"/>
      </w:pPr>
      <w:r>
        <w:fldChar w:fldCharType="begin"/>
      </w:r>
      <w:r>
        <w:instrText xml:space="preserve"> SEQ level0 \*arabic </w:instrText>
      </w:r>
      <w:r>
        <w:fldChar w:fldCharType="separate"/>
      </w:r>
      <w:r w:rsidR="001C7517">
        <w:rPr>
          <w:noProof/>
        </w:rPr>
        <w:t>16</w:t>
      </w:r>
      <w:r>
        <w:fldChar w:fldCharType="end"/>
      </w:r>
      <w:r w:rsidRPr="00301620">
        <w:t xml:space="preserve">.  The </w:t>
      </w:r>
      <w:r>
        <w:rPr>
          <w:szCs w:val="24"/>
        </w:rPr>
        <w:t>applicant</w:t>
      </w:r>
      <w:r w:rsidRPr="00301620">
        <w:t xml:space="preserve"> complained that </w:t>
      </w:r>
      <w:r w:rsidRPr="00DF0E49">
        <w:t xml:space="preserve">the </w:t>
      </w:r>
      <w:r>
        <w:t>Greek</w:t>
      </w:r>
      <w:r w:rsidRPr="00DF0E49">
        <w:t xml:space="preserve"> authorities </w:t>
      </w:r>
      <w:r>
        <w:t xml:space="preserve">had failed </w:t>
      </w:r>
      <w:r w:rsidRPr="00DF0E49">
        <w:t xml:space="preserve">to apply properly the relevant domestic law concerning the date with reference to which compensation </w:t>
      </w:r>
      <w:r>
        <w:t xml:space="preserve">for his expropriated property </w:t>
      </w:r>
      <w:r w:rsidRPr="00DF0E49">
        <w:t xml:space="preserve">should </w:t>
      </w:r>
      <w:r>
        <w:t xml:space="preserve">have </w:t>
      </w:r>
      <w:r w:rsidRPr="00DF0E49">
        <w:t>be</w:t>
      </w:r>
      <w:r>
        <w:t>en set.</w:t>
      </w:r>
      <w:r w:rsidRPr="00DF0E49">
        <w:t xml:space="preserve"> </w:t>
      </w:r>
      <w:r>
        <w:t>This had resulted in a violation of his right of property, a</w:t>
      </w:r>
      <w:r w:rsidRPr="00F04E58">
        <w:t xml:space="preserve">s provided </w:t>
      </w:r>
      <w:r>
        <w:t xml:space="preserve">for </w:t>
      </w:r>
      <w:r w:rsidRPr="00F04E58">
        <w:t xml:space="preserve">in Article </w:t>
      </w:r>
      <w:r>
        <w:t>1 of Protocol No. 1 to the Convention</w:t>
      </w:r>
      <w:r w:rsidRPr="00301620">
        <w:t>, which reads as follows:</w:t>
      </w:r>
    </w:p>
    <w:p w:rsidR="007041C9" w:rsidP="007041C9" w:rsidRDefault="007041C9">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7041C9" w:rsidP="007041C9" w:rsidRDefault="007041C9">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7041C9" w:rsidP="007041C9" w:rsidRDefault="007041C9">
      <w:pPr>
        <w:pStyle w:val="JuHA"/>
      </w:pPr>
      <w:r w:rsidRPr="00301620">
        <w:t>Admissibility</w:t>
      </w:r>
    </w:p>
    <w:p w:rsidRPr="00966D66" w:rsidR="007041C9" w:rsidP="007041C9" w:rsidRDefault="007041C9">
      <w:pPr>
        <w:pStyle w:val="JuH1"/>
      </w:pPr>
      <w:r>
        <w:t>The parties</w:t>
      </w:r>
      <w:r w:rsidR="00A07165">
        <w:t>’</w:t>
      </w:r>
      <w:r>
        <w:t xml:space="preserve"> arguments</w:t>
      </w:r>
    </w:p>
    <w:p w:rsidR="007041C9" w:rsidP="007041C9" w:rsidRDefault="007041C9">
      <w:pPr>
        <w:pStyle w:val="JuPara"/>
      </w:pPr>
      <w:r>
        <w:fldChar w:fldCharType="begin"/>
      </w:r>
      <w:r>
        <w:instrText xml:space="preserve"> SEQ level0 \*arabic </w:instrText>
      </w:r>
      <w:r>
        <w:fldChar w:fldCharType="separate"/>
      </w:r>
      <w:r w:rsidR="001C7517">
        <w:rPr>
          <w:noProof/>
        </w:rPr>
        <w:t>17</w:t>
      </w:r>
      <w:r>
        <w:fldChar w:fldCharType="end"/>
      </w:r>
      <w:r w:rsidRPr="00301620">
        <w:t xml:space="preserve">.  The </w:t>
      </w:r>
      <w:r>
        <w:t>Government argued that the application should be rejected for non-exhaustion of domestic remedies. In particular, they contended that an action for damages in the administrative courts under Article 105 of the Introductory Law to the Civil Code would have constituted an effective remedy in the instant case. Under that provision, the State was obliged to provide redress for damage caused by the acts or omissions of its organs in the exercise of public authority. The sole condition was that the act or omission had to be unlawful, that is to say, it had to infringe a rule of law establishing a specific individual right or interest. In the present case the applicant could have complained before the domestic courts even about the judgments of the civil courts, given that the Supreme Administrative Court had ruled that Article 105 of the Introductory Law to the Civil Code applied by analogy to any damage caused by acts of organs of the judiciary that could be attributed to an obvious error on their part.</w:t>
      </w:r>
    </w:p>
    <w:p w:rsidR="007041C9" w:rsidP="007041C9" w:rsidRDefault="007041C9">
      <w:pPr>
        <w:pStyle w:val="JuPara"/>
      </w:pPr>
      <w:r>
        <w:fldChar w:fldCharType="begin"/>
      </w:r>
      <w:r>
        <w:instrText xml:space="preserve"> SEQ level0 \*arabic </w:instrText>
      </w:r>
      <w:r>
        <w:fldChar w:fldCharType="separate"/>
      </w:r>
      <w:r w:rsidR="001C7517">
        <w:rPr>
          <w:noProof/>
        </w:rPr>
        <w:t>18</w:t>
      </w:r>
      <w:r>
        <w:fldChar w:fldCharType="end"/>
      </w:r>
      <w:r>
        <w:t>.  The Government further argued that the application should be rejected as manifestly ill-founded and that the applicant could not claim to be a victim of the alleged violation. In this regard, they argued that the domestic courts had never had an opportunity to rule on the value of the applicant</w:t>
      </w:r>
      <w:r w:rsidR="00A07165">
        <w:t>’</w:t>
      </w:r>
      <w:r>
        <w:t>s property on the date he considered as material, tha</w:t>
      </w:r>
      <w:r w:rsidR="00FE15B6">
        <w:t>t is to say on 5 </w:t>
      </w:r>
      <w:r>
        <w:t>November 2008, therefore it had not been established whether the applicant had suffered damage in respect of his property. In their view, that meant that the Court could not substitute itself for the domestic authorities in this regard.</w:t>
      </w:r>
    </w:p>
    <w:p w:rsidR="007041C9" w:rsidP="007041C9" w:rsidRDefault="007041C9">
      <w:pPr>
        <w:pStyle w:val="JuPara"/>
      </w:pPr>
      <w:r>
        <w:fldChar w:fldCharType="begin"/>
      </w:r>
      <w:r>
        <w:instrText xml:space="preserve"> SEQ level0 \*arabic </w:instrText>
      </w:r>
      <w:r>
        <w:fldChar w:fldCharType="separate"/>
      </w:r>
      <w:r w:rsidR="001C7517">
        <w:rPr>
          <w:noProof/>
        </w:rPr>
        <w:t>19</w:t>
      </w:r>
      <w:r>
        <w:fldChar w:fldCharType="end"/>
      </w:r>
      <w:r>
        <w:t>.  The applicant contested the Government</w:t>
      </w:r>
      <w:r w:rsidR="00A07165">
        <w:t>’</w:t>
      </w:r>
      <w:r>
        <w:t>s argument relating to non-exhaustion of domestic remedies. In his view, he had used all legal remedies available to him. In any event, Article 105 of the Introductory Law to the Civil Code, which was a remedy to be used before the administrative courts, could not be used to complain about the setting of compensation awarded in expropriation proceedings.</w:t>
      </w:r>
    </w:p>
    <w:p w:rsidR="007041C9" w:rsidP="007041C9" w:rsidRDefault="007041C9">
      <w:pPr>
        <w:pStyle w:val="JuPara"/>
      </w:pPr>
      <w:r>
        <w:fldChar w:fldCharType="begin"/>
      </w:r>
      <w:r>
        <w:instrText xml:space="preserve"> SEQ level0 \*arabic </w:instrText>
      </w:r>
      <w:r>
        <w:fldChar w:fldCharType="separate"/>
      </w:r>
      <w:r w:rsidR="001C7517">
        <w:rPr>
          <w:noProof/>
        </w:rPr>
        <w:t>20</w:t>
      </w:r>
      <w:r>
        <w:fldChar w:fldCharType="end"/>
      </w:r>
      <w:r>
        <w:t>.  The applicant did not offer any comments in respect of the Government</w:t>
      </w:r>
      <w:r w:rsidR="00A07165">
        <w:t>’</w:t>
      </w:r>
      <w:r>
        <w:t>s objection alleging lack of victim status.</w:t>
      </w:r>
    </w:p>
    <w:p w:rsidRPr="002A42E9" w:rsidR="007041C9" w:rsidP="007041C9" w:rsidRDefault="007041C9">
      <w:pPr>
        <w:pStyle w:val="JuH1"/>
        <w:rPr>
          <w:lang w:val="en-US"/>
        </w:rPr>
      </w:pPr>
      <w:r>
        <w:rPr>
          <w:lang w:val="en-US"/>
        </w:rPr>
        <w:t>The Court</w:t>
      </w:r>
      <w:r w:rsidR="00A07165">
        <w:rPr>
          <w:lang w:val="en-US"/>
        </w:rPr>
        <w:t>’</w:t>
      </w:r>
      <w:r>
        <w:rPr>
          <w:lang w:val="en-US"/>
        </w:rPr>
        <w:t>s assessment</w:t>
      </w:r>
    </w:p>
    <w:bookmarkStart w:name="general_principles" w:id="5"/>
    <w:p w:rsidR="007041C9" w:rsidP="007041C9" w:rsidRDefault="007041C9">
      <w:pPr>
        <w:pStyle w:val="JuPara"/>
      </w:pPr>
      <w:r w:rsidRPr="00F91886">
        <w:fldChar w:fldCharType="begin"/>
      </w:r>
      <w:r w:rsidRPr="00F91886">
        <w:instrText xml:space="preserve"> SEQ level0 \*arabic </w:instrText>
      </w:r>
      <w:r w:rsidRPr="00F91886">
        <w:fldChar w:fldCharType="separate"/>
      </w:r>
      <w:r w:rsidR="001C7517">
        <w:rPr>
          <w:noProof/>
        </w:rPr>
        <w:t>21</w:t>
      </w:r>
      <w:r w:rsidRPr="00F91886">
        <w:fldChar w:fldCharType="end"/>
      </w:r>
      <w:bookmarkEnd w:id="5"/>
      <w:r w:rsidRPr="00F91886">
        <w:t>.  </w:t>
      </w:r>
      <w:r>
        <w:t>The</w:t>
      </w:r>
      <w:r w:rsidRPr="00F91886">
        <w:t xml:space="preserve"> general principles relating to the rule of exhaustion of domestic remedies are set out in </w:t>
      </w:r>
      <w:proofErr w:type="spellStart"/>
      <w:r w:rsidRPr="00F91886">
        <w:rPr>
          <w:i/>
        </w:rPr>
        <w:t>Vučković</w:t>
      </w:r>
      <w:proofErr w:type="spellEnd"/>
      <w:r w:rsidRPr="00F91886">
        <w:rPr>
          <w:i/>
        </w:rPr>
        <w:t xml:space="preserve"> and Others v. Serbia</w:t>
      </w:r>
      <w:r w:rsidR="001C7517">
        <w:t xml:space="preserve"> ([GC], no. </w:t>
      </w:r>
      <w:r w:rsidR="00A07165">
        <w:t>17153/11, §§ </w:t>
      </w:r>
      <w:r w:rsidRPr="00F91886">
        <w:t xml:space="preserve">69-77, 25 March 2014; see also </w:t>
      </w:r>
      <w:proofErr w:type="spellStart"/>
      <w:r w:rsidRPr="00F91886">
        <w:rPr>
          <w:i/>
        </w:rPr>
        <w:t>Gherghina</w:t>
      </w:r>
      <w:proofErr w:type="spellEnd"/>
      <w:r w:rsidRPr="00F91886">
        <w:rPr>
          <w:i/>
        </w:rPr>
        <w:t xml:space="preserve"> v. Romania</w:t>
      </w:r>
      <w:r w:rsidRPr="00F91886">
        <w:t xml:space="preserve"> [GC] (</w:t>
      </w:r>
      <w:proofErr w:type="spellStart"/>
      <w:r w:rsidRPr="00F91886">
        <w:t>dec.</w:t>
      </w:r>
      <w:proofErr w:type="spellEnd"/>
      <w:r w:rsidRPr="00F91886">
        <w:t>), no. 42219/07, §§ 83-89, 9 July 2015).</w:t>
      </w:r>
    </w:p>
    <w:p w:rsidR="007041C9" w:rsidP="007041C9" w:rsidRDefault="007041C9">
      <w:pPr>
        <w:pStyle w:val="JuPara"/>
      </w:pPr>
      <w:r>
        <w:fldChar w:fldCharType="begin"/>
      </w:r>
      <w:r>
        <w:instrText xml:space="preserve"> SEQ level0 \*arabic </w:instrText>
      </w:r>
      <w:r>
        <w:fldChar w:fldCharType="separate"/>
      </w:r>
      <w:r w:rsidR="001C7517">
        <w:rPr>
          <w:noProof/>
        </w:rPr>
        <w:t>22</w:t>
      </w:r>
      <w:r>
        <w:fldChar w:fldCharType="end"/>
      </w:r>
      <w:r>
        <w:t>.  Turning to the circumstances of the present case, the Court notes that the principal complaint of the applicant concerns the date on the basis of which the value of his expropriated property was assessed by the Court of Appeal. In his view, that had resulted in an award of compensation which had been less than the actual val</w:t>
      </w:r>
      <w:r w:rsidR="001C7517">
        <w:t xml:space="preserve">ue of his property. </w:t>
      </w:r>
      <w:r>
        <w:t>The Court additionally notes that o</w:t>
      </w:r>
      <w:r w:rsidRPr="00C458A7">
        <w:t>n 14</w:t>
      </w:r>
      <w:r w:rsidR="001C7517">
        <w:t xml:space="preserve"> </w:t>
      </w:r>
      <w:r w:rsidRPr="00C458A7">
        <w:t>September</w:t>
      </w:r>
      <w:r w:rsidR="001C7517">
        <w:t xml:space="preserve"> </w:t>
      </w:r>
      <w:r w:rsidRPr="00C458A7">
        <w:t>2010 the applicant lodged an appeal on points of law with the Court of Cassation</w:t>
      </w:r>
      <w:r>
        <w:t>, complaining about the date on the basis of which the appellate court had set the compensation he should be awarded for his expropriated property.</w:t>
      </w:r>
    </w:p>
    <w:p w:rsidRPr="00F34F55" w:rsidR="007041C9" w:rsidP="007041C9" w:rsidRDefault="007041C9">
      <w:pPr>
        <w:pStyle w:val="JuPara"/>
        <w:rPr>
          <w:i/>
        </w:rPr>
      </w:pPr>
      <w:r>
        <w:rPr>
          <w:lang w:val="en-US"/>
        </w:rPr>
        <w:fldChar w:fldCharType="begin"/>
      </w:r>
      <w:r>
        <w:rPr>
          <w:lang w:val="en-US"/>
        </w:rPr>
        <w:instrText xml:space="preserve"> SEQ level0 \*arabic </w:instrText>
      </w:r>
      <w:r>
        <w:rPr>
          <w:lang w:val="en-US"/>
        </w:rPr>
        <w:fldChar w:fldCharType="separate"/>
      </w:r>
      <w:r w:rsidR="001C7517">
        <w:rPr>
          <w:noProof/>
          <w:lang w:val="en-US"/>
        </w:rPr>
        <w:t>23</w:t>
      </w:r>
      <w:r>
        <w:rPr>
          <w:lang w:val="en-US"/>
        </w:rPr>
        <w:fldChar w:fldCharType="end"/>
      </w:r>
      <w:r>
        <w:rPr>
          <w:lang w:val="en-US"/>
        </w:rPr>
        <w:t>.  In view of the above-mentioned considerations, the Court considers that the applicant has made normal use of the available domestic remedies. It also notes that the purpose of an actio</w:t>
      </w:r>
      <w:r w:rsidR="001C7517">
        <w:rPr>
          <w:lang w:val="en-US"/>
        </w:rPr>
        <w:t>n for damages based on Article </w:t>
      </w:r>
      <w:r>
        <w:rPr>
          <w:lang w:val="en-US"/>
        </w:rPr>
        <w:t>105 of the Introductory Law to the Civil Code, which can be lodged with the administrative courts and not the civil ones, is to seek compensation for the illegal actions of the State authorities. It is not, therefore, an appropriate remedy for seeking the re-evaluation of compensation for an expropriated property if it was not awarde</w:t>
      </w:r>
      <w:r w:rsidR="00FE15B6">
        <w:rPr>
          <w:lang w:val="en-US"/>
        </w:rPr>
        <w:t>d within a reasonable time (see </w:t>
      </w:r>
      <w:proofErr w:type="spellStart"/>
      <w:r w:rsidR="00FE15B6">
        <w:rPr>
          <w:i/>
          <w:iCs/>
        </w:rPr>
        <w:t>Poulimenos</w:t>
      </w:r>
      <w:proofErr w:type="spellEnd"/>
      <w:r w:rsidR="00FE15B6">
        <w:rPr>
          <w:i/>
          <w:iCs/>
        </w:rPr>
        <w:t> and </w:t>
      </w:r>
      <w:r w:rsidRPr="00E06A15">
        <w:rPr>
          <w:i/>
          <w:iCs/>
        </w:rPr>
        <w:t>Others v.</w:t>
      </w:r>
      <w:r>
        <w:rPr>
          <w:i/>
          <w:iCs/>
        </w:rPr>
        <w:t> </w:t>
      </w:r>
      <w:r w:rsidRPr="00E06A15">
        <w:rPr>
          <w:i/>
          <w:iCs/>
        </w:rPr>
        <w:t>Greece</w:t>
      </w:r>
      <w:r w:rsidRPr="00E06A15">
        <w:t xml:space="preserve">, </w:t>
      </w:r>
      <w:r w:rsidRPr="00E06A15">
        <w:rPr>
          <w:lang w:eastAsia="en-GB"/>
        </w:rPr>
        <w:t xml:space="preserve">no. </w:t>
      </w:r>
      <w:r w:rsidRPr="00E06A15">
        <w:t xml:space="preserve">41230/12, § </w:t>
      </w:r>
      <w:r>
        <w:t>33</w:t>
      </w:r>
      <w:r w:rsidRPr="00E06A15">
        <w:t>, 20 July 2017</w:t>
      </w:r>
      <w:r>
        <w:t>).</w:t>
      </w:r>
    </w:p>
    <w:p w:rsidRPr="00F34F55" w:rsidR="007041C9" w:rsidP="007041C9" w:rsidRDefault="007041C9">
      <w:pPr>
        <w:pStyle w:val="JuPara"/>
        <w:rPr>
          <w:lang w:val="en-US"/>
        </w:rPr>
      </w:pPr>
      <w:r>
        <w:rPr>
          <w:lang w:val="en-US"/>
        </w:rPr>
        <w:fldChar w:fldCharType="begin"/>
      </w:r>
      <w:r>
        <w:rPr>
          <w:lang w:val="en-US"/>
        </w:rPr>
        <w:instrText xml:space="preserve"> SEQ level0 \*arabic </w:instrText>
      </w:r>
      <w:r>
        <w:rPr>
          <w:lang w:val="en-US"/>
        </w:rPr>
        <w:fldChar w:fldCharType="separate"/>
      </w:r>
      <w:r w:rsidR="001C7517">
        <w:rPr>
          <w:noProof/>
          <w:lang w:val="en-US"/>
        </w:rPr>
        <w:t>24</w:t>
      </w:r>
      <w:r>
        <w:rPr>
          <w:lang w:val="en-US"/>
        </w:rPr>
        <w:fldChar w:fldCharType="end"/>
      </w:r>
      <w:r>
        <w:rPr>
          <w:lang w:val="en-US"/>
        </w:rPr>
        <w:t>.  It follows that t</w:t>
      </w:r>
      <w:r>
        <w:t>he applicant provided the domestic courts with an opportunity to put right the alleged violation. The Government</w:t>
      </w:r>
      <w:r w:rsidR="00A07165">
        <w:t>’</w:t>
      </w:r>
      <w:r>
        <w:t>s objection concerning the applicant</w:t>
      </w:r>
      <w:r w:rsidR="00A07165">
        <w:t>’</w:t>
      </w:r>
      <w:r>
        <w:t>s failure to exhaust domestic remedies must therefore be dismissed.</w:t>
      </w:r>
    </w:p>
    <w:p w:rsidRPr="00F34F55" w:rsidR="007041C9" w:rsidP="007041C9" w:rsidRDefault="007041C9">
      <w:pPr>
        <w:pStyle w:val="JuPara"/>
        <w:rPr>
          <w:lang w:val="en-US"/>
        </w:rPr>
      </w:pPr>
      <w:r>
        <w:rPr>
          <w:lang w:val="fr-FR"/>
        </w:rPr>
        <w:fldChar w:fldCharType="begin"/>
      </w:r>
      <w:r w:rsidRPr="00F34F55">
        <w:rPr>
          <w:lang w:val="en-US"/>
        </w:rPr>
        <w:instrText xml:space="preserve"> SEQ level0 \*arabic </w:instrText>
      </w:r>
      <w:r>
        <w:rPr>
          <w:lang w:val="fr-FR"/>
        </w:rPr>
        <w:fldChar w:fldCharType="separate"/>
      </w:r>
      <w:r w:rsidR="001C7517">
        <w:rPr>
          <w:noProof/>
          <w:lang w:val="en-US"/>
        </w:rPr>
        <w:t>25</w:t>
      </w:r>
      <w:r>
        <w:rPr>
          <w:lang w:val="fr-FR"/>
        </w:rPr>
        <w:fldChar w:fldCharType="end"/>
      </w:r>
      <w:r w:rsidRPr="00F34F55">
        <w:rPr>
          <w:lang w:val="en-US"/>
        </w:rPr>
        <w:t>.  </w:t>
      </w:r>
      <w:r>
        <w:t>Turning to the Government</w:t>
      </w:r>
      <w:r w:rsidR="00A07165">
        <w:t>’</w:t>
      </w:r>
      <w:r>
        <w:t>s second objection regarding the applicant</w:t>
      </w:r>
      <w:r w:rsidR="00A07165">
        <w:t>’</w:t>
      </w:r>
      <w:r>
        <w:t>s victim status, t</w:t>
      </w:r>
      <w:r w:rsidRPr="00F34F55">
        <w:t xml:space="preserve">he Court considers that </w:t>
      </w:r>
      <w:r>
        <w:t>it</w:t>
      </w:r>
      <w:r w:rsidRPr="00F34F55">
        <w:t xml:space="preserve"> is closely linked to the substance of the applicant</w:t>
      </w:r>
      <w:r w:rsidR="00A07165">
        <w:t>’</w:t>
      </w:r>
      <w:r w:rsidRPr="00F34F55">
        <w:t>s</w:t>
      </w:r>
      <w:r>
        <w:t xml:space="preserve"> complaint under Article 1 of Protocol No. 1 to the Convention</w:t>
      </w:r>
      <w:r w:rsidRPr="00F34F55">
        <w:t>. It therefore joins the objection to the merits of the case.</w:t>
      </w:r>
    </w:p>
    <w:p w:rsidRPr="00301620" w:rsidR="007041C9" w:rsidP="007041C9" w:rsidRDefault="007041C9">
      <w:pPr>
        <w:pStyle w:val="JuPara"/>
      </w:pPr>
      <w:r>
        <w:fldChar w:fldCharType="begin"/>
      </w:r>
      <w:r>
        <w:instrText xml:space="preserve"> SEQ level0 \*arabic </w:instrText>
      </w:r>
      <w:r>
        <w:fldChar w:fldCharType="separate"/>
      </w:r>
      <w:r w:rsidR="001C7517">
        <w:rPr>
          <w:noProof/>
        </w:rPr>
        <w:t>26</w:t>
      </w:r>
      <w:r>
        <w:fldChar w:fldCharType="end"/>
      </w:r>
      <w:r>
        <w:t xml:space="preserve">.  The </w:t>
      </w:r>
      <w:r w:rsidRPr="00301620">
        <w:t>Court notes that the</w:t>
      </w:r>
      <w:r>
        <w:t xml:space="preserve"> complaint</w:t>
      </w:r>
      <w:r w:rsidRPr="00301620">
        <w:t xml:space="preserve"> is not manifestly ill-founded within the meaning of Article 35 § 3 (a) of the Convention. It further notes that it is not inadmissible on any other grounds. It must therefore be declared admissible.</w:t>
      </w:r>
    </w:p>
    <w:p w:rsidRPr="00301620" w:rsidR="007041C9" w:rsidP="007041C9" w:rsidRDefault="007041C9">
      <w:pPr>
        <w:pStyle w:val="JuHA"/>
      </w:pPr>
      <w:r w:rsidRPr="00301620">
        <w:t>Merits</w:t>
      </w:r>
    </w:p>
    <w:p w:rsidR="007041C9" w:rsidP="007041C9" w:rsidRDefault="007041C9">
      <w:pPr>
        <w:pStyle w:val="JuH1"/>
      </w:pPr>
      <w:r>
        <w:t>The parties</w:t>
      </w:r>
      <w:r w:rsidR="00A07165">
        <w:t>’</w:t>
      </w:r>
      <w:r>
        <w:t xml:space="preserve"> arguments</w:t>
      </w:r>
    </w:p>
    <w:p w:rsidR="007041C9" w:rsidP="007041C9" w:rsidRDefault="007041C9">
      <w:pPr>
        <w:pStyle w:val="JuPara"/>
      </w:pPr>
      <w:r>
        <w:fldChar w:fldCharType="begin"/>
      </w:r>
      <w:r>
        <w:instrText xml:space="preserve"> SEQ level0 \*arabic </w:instrText>
      </w:r>
      <w:r>
        <w:fldChar w:fldCharType="separate"/>
      </w:r>
      <w:r w:rsidR="001C7517">
        <w:rPr>
          <w:noProof/>
        </w:rPr>
        <w:t>27</w:t>
      </w:r>
      <w:r>
        <w:fldChar w:fldCharType="end"/>
      </w:r>
      <w:r w:rsidRPr="00301620">
        <w:t xml:space="preserve">.  The </w:t>
      </w:r>
      <w:r>
        <w:rPr>
          <w:szCs w:val="24"/>
        </w:rPr>
        <w:t>applicant</w:t>
      </w:r>
      <w:r w:rsidRPr="00301620">
        <w:t xml:space="preserve"> </w:t>
      </w:r>
      <w:r>
        <w:t xml:space="preserve">maintained that the domestic courts had failed to apply </w:t>
      </w:r>
      <w:r w:rsidRPr="00DF0E49">
        <w:t xml:space="preserve">properly the relevant domestic law concerning the date with reference to which compensation </w:t>
      </w:r>
      <w:r>
        <w:t xml:space="preserve">for his expropriated property </w:t>
      </w:r>
      <w:r w:rsidRPr="00DF0E49">
        <w:t xml:space="preserve">should </w:t>
      </w:r>
      <w:r>
        <w:t xml:space="preserve">have </w:t>
      </w:r>
      <w:r w:rsidRPr="00DF0E49">
        <w:t>be</w:t>
      </w:r>
      <w:r>
        <w:t>en set. In particular, he argued that the domesti</w:t>
      </w:r>
      <w:r w:rsidR="001C7517">
        <w:t xml:space="preserve">c courts should have taken as a </w:t>
      </w:r>
      <w:r>
        <w:t xml:space="preserve">reference point for the assessment of the value of his property the date of the hearing concerning the </w:t>
      </w:r>
      <w:r w:rsidRPr="000F47D9">
        <w:t xml:space="preserve">final unitary </w:t>
      </w:r>
      <w:r>
        <w:t xml:space="preserve">amount of </w:t>
      </w:r>
      <w:r w:rsidRPr="000F47D9">
        <w:t>compensation</w:t>
      </w:r>
      <w:r>
        <w:t xml:space="preserve">, that is to say 5 November 2008. At that hearing, the case had been examined </w:t>
      </w:r>
      <w:r w:rsidRPr="00DB1695">
        <w:t>on the merits</w:t>
      </w:r>
      <w:r>
        <w:t>,</w:t>
      </w:r>
      <w:r w:rsidRPr="00DB1695">
        <w:t xml:space="preserve"> result</w:t>
      </w:r>
      <w:r>
        <w:t>ing</w:t>
      </w:r>
      <w:r w:rsidRPr="00DB1695">
        <w:t xml:space="preserve"> in judgment no.</w:t>
      </w:r>
      <w:r w:rsidR="001C7517">
        <w:t xml:space="preserve"> </w:t>
      </w:r>
      <w:r w:rsidRPr="00DB1695">
        <w:t xml:space="preserve">224/2009 </w:t>
      </w:r>
      <w:r>
        <w:t xml:space="preserve">by which he had been awarded </w:t>
      </w:r>
      <w:r w:rsidRPr="00DB1695">
        <w:t>compensation</w:t>
      </w:r>
      <w:r>
        <w:t>. The hearing of</w:t>
      </w:r>
      <w:r w:rsidR="001C7517">
        <w:t xml:space="preserve"> 25 September </w:t>
      </w:r>
      <w:r w:rsidRPr="00DB1695">
        <w:t>2005 should not have been taken into account</w:t>
      </w:r>
      <w:r>
        <w:t>,</w:t>
      </w:r>
      <w:r w:rsidRPr="00DB1695">
        <w:t xml:space="preserve"> as it had resulted not in a ruling on the merits but rather in decision </w:t>
      </w:r>
      <w:r>
        <w:t xml:space="preserve">no. </w:t>
      </w:r>
      <w:r w:rsidRPr="00DB1695">
        <w:t xml:space="preserve">70/2006 by which the examination on the merits </w:t>
      </w:r>
      <w:r>
        <w:t xml:space="preserve">had been </w:t>
      </w:r>
      <w:r w:rsidRPr="00DB1695">
        <w:t>adjourned and an expert report ordered.</w:t>
      </w:r>
      <w:r w:rsidRPr="00FB4772">
        <w:t xml:space="preserve"> </w:t>
      </w:r>
      <w:r>
        <w:t>In the applicant</w:t>
      </w:r>
      <w:r w:rsidR="00A07165">
        <w:t>’</w:t>
      </w:r>
      <w:r>
        <w:t>s view, any other interpretation of Article 17 of the Constitution was excessively formalistic.</w:t>
      </w:r>
    </w:p>
    <w:p w:rsidR="007041C9" w:rsidP="007041C9" w:rsidRDefault="007041C9">
      <w:pPr>
        <w:pStyle w:val="JuPara"/>
      </w:pPr>
      <w:r>
        <w:fldChar w:fldCharType="begin"/>
      </w:r>
      <w:r>
        <w:instrText xml:space="preserve"> SEQ level0 \*arabic </w:instrText>
      </w:r>
      <w:r>
        <w:fldChar w:fldCharType="separate"/>
      </w:r>
      <w:r w:rsidR="001C7517">
        <w:rPr>
          <w:noProof/>
        </w:rPr>
        <w:t>28</w:t>
      </w:r>
      <w:r>
        <w:fldChar w:fldCharType="end"/>
      </w:r>
      <w:r>
        <w:t xml:space="preserve">.  The applicant pointed out that, as expressed by the minority of thirteen judges in the plenary of the Court of Cassation, the </w:t>
      </w:r>
      <w:r w:rsidRPr="00C05D8C">
        <w:rPr>
          <w:i/>
        </w:rPr>
        <w:t xml:space="preserve">ratio </w:t>
      </w:r>
      <w:proofErr w:type="spellStart"/>
      <w:r w:rsidRPr="00C05D8C">
        <w:rPr>
          <w:i/>
        </w:rPr>
        <w:t>legis</w:t>
      </w:r>
      <w:proofErr w:type="spellEnd"/>
      <w:r>
        <w:t xml:space="preserve"> of Article</w:t>
      </w:r>
      <w:r w:rsidR="001C7517">
        <w:t> </w:t>
      </w:r>
      <w:r>
        <w:t xml:space="preserve">17 of the Constitution was to give full compensation to persons whose property had been expropriated. Therefore, the amount of compensation due should be determined as close to the date of its award as possible. In the circumstances of the present case, house prices had significantly increased within that period of four years, which meant that in order for the applicant to receive full </w:t>
      </w:r>
      <w:proofErr w:type="gramStart"/>
      <w:r>
        <w:t>compensation, that</w:t>
      </w:r>
      <w:proofErr w:type="gramEnd"/>
      <w:r>
        <w:t xml:space="preserve"> increase should have been taken into consideration.</w:t>
      </w:r>
    </w:p>
    <w:p w:rsidR="007041C9" w:rsidP="007041C9" w:rsidRDefault="007041C9">
      <w:pPr>
        <w:pStyle w:val="JuPara"/>
      </w:pPr>
      <w:r>
        <w:fldChar w:fldCharType="begin"/>
      </w:r>
      <w:r>
        <w:instrText xml:space="preserve"> SEQ level0 \*arabic </w:instrText>
      </w:r>
      <w:r>
        <w:fldChar w:fldCharType="separate"/>
      </w:r>
      <w:r w:rsidR="001C7517">
        <w:rPr>
          <w:noProof/>
        </w:rPr>
        <w:t>29</w:t>
      </w:r>
      <w:r>
        <w:fldChar w:fldCharType="end"/>
      </w:r>
      <w:r w:rsidRPr="00301620">
        <w:t xml:space="preserve">.  The Government </w:t>
      </w:r>
      <w:r>
        <w:t xml:space="preserve">maintained that the judgment of the Court of Appeal regarding the date with reference to which the compensation to be awarded to the applicant should be set </w:t>
      </w:r>
      <w:r w:rsidR="001C7517">
        <w:t xml:space="preserve">did not, by itself, amount to a </w:t>
      </w:r>
      <w:r>
        <w:t>violation of his rights under Article 1 of Protocol No. 1. For the determination of damage, evidence was required as to a substantial difference in the value of the applicant</w:t>
      </w:r>
      <w:r w:rsidR="00A07165">
        <w:t>’</w:t>
      </w:r>
      <w:r>
        <w:t>s property at the crucial date – in his view, 5 November 2008 – compared with the value of the same property on the date with reference to which compensation for his expropriated property had been awarded, that is to say 1 October 2004. Having regard to the fact that the applicant had not adduced any evidence to corroborate his allegation that his property had sustained damage, it was not for the Court to replace the national authorities in determining the compensation that the applicant should have been awarded in the light of the fluctuations in the housing market prices,</w:t>
      </w:r>
      <w:r w:rsidR="001C7517">
        <w:t xml:space="preserve"> inflation or any other cause. </w:t>
      </w:r>
      <w:r>
        <w:t>In any event, in the Government</w:t>
      </w:r>
      <w:r w:rsidR="00A07165">
        <w:t>’</w:t>
      </w:r>
      <w:r>
        <w:t>s view the compensation awarded to the applicant had been complete.</w:t>
      </w:r>
    </w:p>
    <w:p w:rsidR="007041C9" w:rsidP="007041C9" w:rsidRDefault="007041C9">
      <w:pPr>
        <w:pStyle w:val="JuPara"/>
      </w:pPr>
      <w:r>
        <w:fldChar w:fldCharType="begin"/>
      </w:r>
      <w:r>
        <w:instrText xml:space="preserve"> SEQ level0 \*arabic </w:instrText>
      </w:r>
      <w:r>
        <w:fldChar w:fldCharType="separate"/>
      </w:r>
      <w:r w:rsidR="001C7517">
        <w:rPr>
          <w:noProof/>
        </w:rPr>
        <w:t>30</w:t>
      </w:r>
      <w:r>
        <w:fldChar w:fldCharType="end"/>
      </w:r>
      <w:r>
        <w:t xml:space="preserve">.  The Government also argued that the facts of the present case differed from those in the case of </w:t>
      </w:r>
      <w:proofErr w:type="spellStart"/>
      <w:r w:rsidRPr="00106A3E">
        <w:rPr>
          <w:i/>
        </w:rPr>
        <w:t>Poulimenos</w:t>
      </w:r>
      <w:proofErr w:type="spellEnd"/>
      <w:r w:rsidRPr="00106A3E">
        <w:rPr>
          <w:i/>
        </w:rPr>
        <w:t xml:space="preserve"> v. Greece</w:t>
      </w:r>
      <w:r>
        <w:rPr>
          <w:i/>
        </w:rPr>
        <w:t xml:space="preserve"> </w:t>
      </w:r>
      <w:r>
        <w:t>(cited above).</w:t>
      </w:r>
      <w:r w:rsidR="00FE15B6">
        <w:t xml:space="preserve"> In </w:t>
      </w:r>
      <w:r>
        <w:t>particular, in that case the time that had elapsed between the two dates, that is to say the date on which the provisional</w:t>
      </w:r>
      <w:r w:rsidRPr="00106A3E">
        <w:t xml:space="preserve"> unitary </w:t>
      </w:r>
      <w:r>
        <w:t xml:space="preserve">amount of </w:t>
      </w:r>
      <w:r w:rsidRPr="00106A3E">
        <w:t xml:space="preserve">compensation </w:t>
      </w:r>
      <w:r>
        <w:t>had been set and the date on which the final unitary</w:t>
      </w:r>
      <w:r w:rsidRPr="00106A3E">
        <w:t xml:space="preserve"> </w:t>
      </w:r>
      <w:r>
        <w:t xml:space="preserve">amount of </w:t>
      </w:r>
      <w:r w:rsidRPr="00106A3E">
        <w:t>compensation</w:t>
      </w:r>
      <w:r>
        <w:t xml:space="preserve"> had been set, had exceeded twelve years. In the present case, the relevant time had been four years. It could not therefore be said that the period that had elapsed had been so long that it had had an impact on real-estate values.</w:t>
      </w:r>
    </w:p>
    <w:p w:rsidR="007041C9" w:rsidP="007041C9" w:rsidRDefault="007041C9">
      <w:pPr>
        <w:pStyle w:val="JuPara"/>
      </w:pPr>
      <w:r>
        <w:fldChar w:fldCharType="begin"/>
      </w:r>
      <w:r>
        <w:instrText xml:space="preserve"> SEQ level0 \*arabic </w:instrText>
      </w:r>
      <w:r>
        <w:fldChar w:fldCharType="separate"/>
      </w:r>
      <w:r w:rsidR="001C7517">
        <w:rPr>
          <w:noProof/>
        </w:rPr>
        <w:t>31</w:t>
      </w:r>
      <w:r>
        <w:fldChar w:fldCharType="end"/>
      </w:r>
      <w:r>
        <w:t>.  Having regard to the above-mentioned considerations, it was the Government</w:t>
      </w:r>
      <w:r w:rsidR="00A07165">
        <w:t>’</w:t>
      </w:r>
      <w:r>
        <w:t xml:space="preserve">s view that the measure imposed on the applicant had </w:t>
      </w:r>
      <w:r w:rsidR="00FE15B6">
        <w:t>struck a </w:t>
      </w:r>
      <w:r>
        <w:t>fair balance between the requirements of the general interest and the need to safeguard the applicant</w:t>
      </w:r>
      <w:r w:rsidR="00A07165">
        <w:t>’</w:t>
      </w:r>
      <w:r>
        <w:t>s interests.</w:t>
      </w:r>
    </w:p>
    <w:p w:rsidR="007041C9" w:rsidP="007041C9" w:rsidRDefault="007041C9">
      <w:pPr>
        <w:pStyle w:val="JuH1"/>
      </w:pPr>
      <w:r>
        <w:t>The Court</w:t>
      </w:r>
      <w:r w:rsidR="00A07165">
        <w:t>’</w:t>
      </w:r>
      <w:r>
        <w:t>s assessment</w:t>
      </w:r>
    </w:p>
    <w:p w:rsidR="007041C9" w:rsidP="007041C9" w:rsidRDefault="007041C9">
      <w:pPr>
        <w:pStyle w:val="JuPara"/>
      </w:pPr>
      <w:r>
        <w:fldChar w:fldCharType="begin"/>
      </w:r>
      <w:r>
        <w:instrText xml:space="preserve"> SEQ level0 \*arabic </w:instrText>
      </w:r>
      <w:r>
        <w:fldChar w:fldCharType="separate"/>
      </w:r>
      <w:r w:rsidR="001C7517">
        <w:rPr>
          <w:noProof/>
        </w:rPr>
        <w:t>32</w:t>
      </w:r>
      <w:r>
        <w:fldChar w:fldCharType="end"/>
      </w:r>
      <w:r w:rsidRPr="00301620">
        <w:t>.  </w:t>
      </w:r>
      <w:r w:rsidRPr="00CB00E7">
        <w:t xml:space="preserve">The Court reiterates that Article 1 of Protocol No. 1, which guarantees in substance the right of property, comprises three distinct rules. The first rule, which is set out in the first sentence of the first paragraph, is of a general nature and enunciates the principle of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by enforcing such laws as they deem necessary for the purpose. However, the rules are not “distinct” in the sense of being unconnected. The second and third rules are concerned with particular instances of interference with the right to </w:t>
      </w:r>
      <w:r>
        <w:t xml:space="preserve">the </w:t>
      </w:r>
      <w:r w:rsidRPr="00CB00E7">
        <w:t xml:space="preserve">peaceful enjoyment of property, and should therefore be construed in the light of the general principle enunciated in </w:t>
      </w:r>
      <w:r w:rsidR="00FE15B6">
        <w:t>the first rule (see, among many </w:t>
      </w:r>
      <w:r w:rsidRPr="00CB00E7">
        <w:t xml:space="preserve">other authorities, </w:t>
      </w:r>
      <w:proofErr w:type="spellStart"/>
      <w:r w:rsidRPr="00CB00E7">
        <w:rPr>
          <w:i/>
        </w:rPr>
        <w:t>Fábián</w:t>
      </w:r>
      <w:proofErr w:type="spellEnd"/>
      <w:r w:rsidRPr="00CB00E7">
        <w:rPr>
          <w:i/>
        </w:rPr>
        <w:t xml:space="preserve"> v. Hungary </w:t>
      </w:r>
      <w:r w:rsidRPr="001B27A8">
        <w:t>[GC]</w:t>
      </w:r>
      <w:r w:rsidRPr="00CB00E7">
        <w:t>, no.</w:t>
      </w:r>
      <w:r w:rsidR="001C7517">
        <w:t> </w:t>
      </w:r>
      <w:r w:rsidRPr="00905C44">
        <w:t>78117/13</w:t>
      </w:r>
      <w:r w:rsidR="00A07165">
        <w:t>, § </w:t>
      </w:r>
      <w:r w:rsidRPr="00CB00E7">
        <w:t>60, ECHR 2017 (extracts)).</w:t>
      </w:r>
    </w:p>
    <w:p w:rsidRPr="006328E1" w:rsidR="007041C9" w:rsidP="007041C9" w:rsidRDefault="007041C9">
      <w:pPr>
        <w:pStyle w:val="JuPara"/>
      </w:pPr>
      <w:r>
        <w:fldChar w:fldCharType="begin"/>
      </w:r>
      <w:r>
        <w:instrText xml:space="preserve"> SEQ level0 \*arabic </w:instrText>
      </w:r>
      <w:r>
        <w:fldChar w:fldCharType="separate"/>
      </w:r>
      <w:r w:rsidR="001C7517">
        <w:rPr>
          <w:noProof/>
        </w:rPr>
        <w:t>33</w:t>
      </w:r>
      <w:r>
        <w:fldChar w:fldCharType="end"/>
      </w:r>
      <w:r>
        <w:t>.  In the present case, t</w:t>
      </w:r>
      <w:r w:rsidRPr="00301620">
        <w:t xml:space="preserve">he Court </w:t>
      </w:r>
      <w:r>
        <w:t xml:space="preserve">notes that </w:t>
      </w:r>
      <w:r w:rsidRPr="00CB00E7">
        <w:t>the</w:t>
      </w:r>
      <w:r>
        <w:t xml:space="preserve"> applicant</w:t>
      </w:r>
      <w:r w:rsidR="00A07165">
        <w:t>’</w:t>
      </w:r>
      <w:r>
        <w:t>s complaint</w:t>
      </w:r>
      <w:r w:rsidRPr="00CB00E7">
        <w:t xml:space="preserve"> do</w:t>
      </w:r>
      <w:r>
        <w:t>es</w:t>
      </w:r>
      <w:r w:rsidRPr="00CB00E7">
        <w:t xml:space="preserve"> not conc</w:t>
      </w:r>
      <w:r>
        <w:t xml:space="preserve">ern the deprivation of property but the setting of the compensation awarded to him. It therefore falls to be examined </w:t>
      </w:r>
      <w:r w:rsidRPr="00905C44">
        <w:rPr>
          <w:lang w:val="en-US"/>
        </w:rPr>
        <w:t xml:space="preserve">under the first sentence of the first paragraph of Article 1 of Protocol </w:t>
      </w:r>
      <w:r>
        <w:rPr>
          <w:lang w:val="en-US"/>
        </w:rPr>
        <w:t>N</w:t>
      </w:r>
      <w:r w:rsidRPr="00905C44">
        <w:rPr>
          <w:lang w:val="en-US"/>
        </w:rPr>
        <w:t xml:space="preserve">o. 1, which lays down the principle of the peaceful enjoyment of property in general terms (see, among many other authorities, </w:t>
      </w:r>
      <w:r w:rsidRPr="006328E1">
        <w:rPr>
          <w:i/>
        </w:rPr>
        <w:t xml:space="preserve">Almeida Garrett, </w:t>
      </w:r>
      <w:proofErr w:type="spellStart"/>
      <w:r w:rsidRPr="006328E1">
        <w:rPr>
          <w:i/>
        </w:rPr>
        <w:t>Mascarenhas</w:t>
      </w:r>
      <w:proofErr w:type="spellEnd"/>
      <w:r w:rsidRPr="006328E1">
        <w:rPr>
          <w:i/>
        </w:rPr>
        <w:t xml:space="preserve"> </w:t>
      </w:r>
      <w:proofErr w:type="spellStart"/>
      <w:r w:rsidRPr="006328E1">
        <w:rPr>
          <w:i/>
        </w:rPr>
        <w:t>Falcão</w:t>
      </w:r>
      <w:proofErr w:type="spellEnd"/>
      <w:r w:rsidRPr="006328E1">
        <w:rPr>
          <w:i/>
        </w:rPr>
        <w:t xml:space="preserve"> and Others v. Portugal</w:t>
      </w:r>
      <w:r w:rsidRPr="006328E1">
        <w:t>, nos. 29813/96 and 30229/96, § 48, ECHR 2000</w:t>
      </w:r>
      <w:r w:rsidRPr="006328E1">
        <w:noBreakHyphen/>
        <w:t>I</w:t>
      </w:r>
      <w:r w:rsidRPr="00905C44">
        <w:rPr>
          <w:lang w:val="en-US"/>
        </w:rPr>
        <w:t>).</w:t>
      </w:r>
      <w:r>
        <w:rPr>
          <w:lang w:val="en-US"/>
        </w:rPr>
        <w:t xml:space="preserve"> Therefore, the Court must assess whether </w:t>
      </w:r>
      <w:r>
        <w:t>a fair balance was struck between the competing interests of the indiv</w:t>
      </w:r>
      <w:r w:rsidR="00FE15B6">
        <w:t>idual and of the community as a</w:t>
      </w:r>
      <w:r w:rsidR="001C7517">
        <w:t xml:space="preserve"> </w:t>
      </w:r>
      <w:r>
        <w:t xml:space="preserve">whole (see </w:t>
      </w:r>
      <w:proofErr w:type="spellStart"/>
      <w:r w:rsidRPr="00C63375">
        <w:rPr>
          <w:i/>
        </w:rPr>
        <w:t>Poulimenos</w:t>
      </w:r>
      <w:proofErr w:type="spellEnd"/>
      <w:r>
        <w:t xml:space="preserve">, cited above, </w:t>
      </w:r>
      <w:r w:rsidRPr="006328E1">
        <w:t>§ 31).</w:t>
      </w:r>
    </w:p>
    <w:p w:rsidRPr="007846F1" w:rsidR="007041C9" w:rsidP="007041C9" w:rsidRDefault="007041C9">
      <w:pPr>
        <w:pStyle w:val="JuPara"/>
      </w:pPr>
      <w:r>
        <w:rPr>
          <w:lang w:val="en"/>
        </w:rPr>
        <w:fldChar w:fldCharType="begin"/>
      </w:r>
      <w:r>
        <w:rPr>
          <w:lang w:val="en"/>
        </w:rPr>
        <w:instrText xml:space="preserve"> SEQ level0 \*arabic </w:instrText>
      </w:r>
      <w:r>
        <w:rPr>
          <w:lang w:val="en"/>
        </w:rPr>
        <w:fldChar w:fldCharType="separate"/>
      </w:r>
      <w:r w:rsidR="001C7517">
        <w:rPr>
          <w:noProof/>
          <w:lang w:val="en"/>
        </w:rPr>
        <w:t>34</w:t>
      </w:r>
      <w:r>
        <w:rPr>
          <w:lang w:val="en"/>
        </w:rPr>
        <w:fldChar w:fldCharType="end"/>
      </w:r>
      <w:r>
        <w:rPr>
          <w:lang w:val="en"/>
        </w:rPr>
        <w:t>.  </w:t>
      </w:r>
      <w:r w:rsidRPr="005635BA">
        <w:rPr>
          <w:lang w:val="en"/>
        </w:rPr>
        <w:t xml:space="preserve">In order to determine whether the measure </w:t>
      </w:r>
      <w:r>
        <w:rPr>
          <w:lang w:val="en"/>
        </w:rPr>
        <w:t>in question struck a fair</w:t>
      </w:r>
      <w:r w:rsidRPr="005635BA">
        <w:rPr>
          <w:lang w:val="en"/>
        </w:rPr>
        <w:t xml:space="preserve"> balance and, in particular, whether it </w:t>
      </w:r>
      <w:r>
        <w:rPr>
          <w:lang w:val="en"/>
        </w:rPr>
        <w:t>placed</w:t>
      </w:r>
      <w:r w:rsidRPr="005635BA">
        <w:rPr>
          <w:lang w:val="en"/>
        </w:rPr>
        <w:t xml:space="preserve"> a disproportionate burden on the applicant, account should be taken of the compensation arrangements provided for by the national legislation. In this regard, the Court has already </w:t>
      </w:r>
      <w:r>
        <w:rPr>
          <w:lang w:val="en"/>
        </w:rPr>
        <w:t>held</w:t>
      </w:r>
      <w:r w:rsidRPr="005635BA">
        <w:rPr>
          <w:lang w:val="en"/>
        </w:rPr>
        <w:t xml:space="preserve"> that without the payment of a sum reasonably commensurate with the value of the property, deprivation of property is normally an excessive infringement of the right to peaceful enjoyment of property (</w:t>
      </w:r>
      <w:r w:rsidR="00FE15B6">
        <w:rPr>
          <w:lang w:val="en"/>
        </w:rPr>
        <w:t>see </w:t>
      </w:r>
      <w:proofErr w:type="spellStart"/>
      <w:r w:rsidR="00FE15B6">
        <w:rPr>
          <w:i/>
        </w:rPr>
        <w:t>Malama</w:t>
      </w:r>
      <w:proofErr w:type="spellEnd"/>
      <w:r w:rsidR="00FE15B6">
        <w:rPr>
          <w:i/>
        </w:rPr>
        <w:t> </w:t>
      </w:r>
      <w:r w:rsidRPr="00E06A15">
        <w:rPr>
          <w:i/>
        </w:rPr>
        <w:t>v.</w:t>
      </w:r>
      <w:r>
        <w:rPr>
          <w:i/>
        </w:rPr>
        <w:t> </w:t>
      </w:r>
      <w:r w:rsidRPr="00E06A15">
        <w:rPr>
          <w:i/>
        </w:rPr>
        <w:t>Greece</w:t>
      </w:r>
      <w:r w:rsidRPr="00E06A15">
        <w:t xml:space="preserve">, no. 43622/98, § </w:t>
      </w:r>
      <w:r>
        <w:t>48</w:t>
      </w:r>
      <w:r w:rsidRPr="00E06A15">
        <w:t>, ECHR 2001</w:t>
      </w:r>
      <w:r w:rsidRPr="00E06A15">
        <w:noBreakHyphen/>
        <w:t>II</w:t>
      </w:r>
      <w:r w:rsidRPr="005635BA">
        <w:rPr>
          <w:lang w:val="en"/>
        </w:rPr>
        <w:t xml:space="preserve">). In particular, </w:t>
      </w:r>
      <w:r w:rsidRPr="00AB094F">
        <w:t>the adequacy of compensation would be diminished if it were to be paid without reference to various circumstances liable to reduce its value, such as unreasonable delay (</w:t>
      </w:r>
      <w:r>
        <w:t xml:space="preserve">see </w:t>
      </w:r>
      <w:proofErr w:type="spellStart"/>
      <w:r w:rsidRPr="006328E1">
        <w:rPr>
          <w:i/>
        </w:rPr>
        <w:t>Angelov</w:t>
      </w:r>
      <w:proofErr w:type="spellEnd"/>
      <w:r w:rsidRPr="006328E1">
        <w:rPr>
          <w:i/>
        </w:rPr>
        <w:t xml:space="preserve"> v. Bulgaria</w:t>
      </w:r>
      <w:r w:rsidRPr="006328E1">
        <w:t>, no. 44076/98, § 39, 22</w:t>
      </w:r>
      <w:r w:rsidR="001C7517">
        <w:t> </w:t>
      </w:r>
      <w:r w:rsidRPr="006328E1">
        <w:t xml:space="preserve">April 2004, and </w:t>
      </w:r>
      <w:r w:rsidRPr="00AB094F">
        <w:rPr>
          <w:i/>
        </w:rPr>
        <w:t xml:space="preserve">Almeida Garrett, </w:t>
      </w:r>
      <w:proofErr w:type="spellStart"/>
      <w:r w:rsidRPr="00AB094F">
        <w:rPr>
          <w:i/>
        </w:rPr>
        <w:t>Mascarenhas</w:t>
      </w:r>
      <w:proofErr w:type="spellEnd"/>
      <w:r w:rsidRPr="00AB094F">
        <w:rPr>
          <w:i/>
        </w:rPr>
        <w:t xml:space="preserve"> </w:t>
      </w:r>
      <w:proofErr w:type="spellStart"/>
      <w:r w:rsidRPr="00AB094F">
        <w:rPr>
          <w:i/>
        </w:rPr>
        <w:t>Falcão</w:t>
      </w:r>
      <w:proofErr w:type="spellEnd"/>
      <w:r w:rsidRPr="00AB094F">
        <w:rPr>
          <w:i/>
        </w:rPr>
        <w:t xml:space="preserve"> and Others</w:t>
      </w:r>
      <w:r w:rsidRPr="00AB094F">
        <w:t xml:space="preserve">, </w:t>
      </w:r>
      <w:r>
        <w:t>cited above</w:t>
      </w:r>
      <w:r w:rsidR="00FE15B6">
        <w:t>, § </w:t>
      </w:r>
      <w:r w:rsidRPr="00AB094F">
        <w:t>54</w:t>
      </w:r>
      <w:r>
        <w:t>)</w:t>
      </w:r>
      <w:r w:rsidRPr="005635BA">
        <w:rPr>
          <w:lang w:val="en"/>
        </w:rPr>
        <w:t>. In s</w:t>
      </w:r>
      <w:r>
        <w:rPr>
          <w:lang w:val="en"/>
        </w:rPr>
        <w:t xml:space="preserve">imilar cases, the Court has mainly sought </w:t>
      </w:r>
      <w:r w:rsidRPr="005635BA">
        <w:rPr>
          <w:lang w:val="en"/>
        </w:rPr>
        <w:t xml:space="preserve">to ascertain whether the administration </w:t>
      </w:r>
      <w:r>
        <w:rPr>
          <w:lang w:val="en"/>
        </w:rPr>
        <w:t xml:space="preserve">re-evaluated the compensation to be awarded on account of its depreciation owing to the lapse of time </w:t>
      </w:r>
      <w:r w:rsidRPr="005635BA">
        <w:rPr>
          <w:lang w:val="en"/>
        </w:rPr>
        <w:t>(see, among other</w:t>
      </w:r>
      <w:r>
        <w:rPr>
          <w:lang w:val="en"/>
        </w:rPr>
        <w:t xml:space="preserve"> authoritie</w:t>
      </w:r>
      <w:r w:rsidRPr="005635BA">
        <w:rPr>
          <w:lang w:val="en"/>
        </w:rPr>
        <w:t xml:space="preserve">s, </w:t>
      </w:r>
      <w:proofErr w:type="spellStart"/>
      <w:r w:rsidRPr="00E06A15">
        <w:rPr>
          <w:i/>
        </w:rPr>
        <w:t>Akkuş</w:t>
      </w:r>
      <w:proofErr w:type="spellEnd"/>
      <w:r w:rsidRPr="00E06A15">
        <w:rPr>
          <w:i/>
        </w:rPr>
        <w:t xml:space="preserve"> v. Turkey</w:t>
      </w:r>
      <w:r w:rsidRPr="00E06A15">
        <w:t>, 9 July 1997, §</w:t>
      </w:r>
      <w:r w:rsidRPr="007846F1">
        <w:t>§</w:t>
      </w:r>
      <w:r w:rsidRPr="00E06A15">
        <w:t xml:space="preserve"> </w:t>
      </w:r>
      <w:r>
        <w:t>29-31</w:t>
      </w:r>
      <w:r w:rsidRPr="00E06A15">
        <w:t xml:space="preserve">, </w:t>
      </w:r>
      <w:r w:rsidR="00FE15B6">
        <w:rPr>
          <w:i/>
        </w:rPr>
        <w:t>Reports of Judgments and </w:t>
      </w:r>
      <w:r w:rsidRPr="00E06A15">
        <w:rPr>
          <w:i/>
        </w:rPr>
        <w:t>Decisions</w:t>
      </w:r>
      <w:r w:rsidRPr="00E06A15">
        <w:t xml:space="preserve"> 1997</w:t>
      </w:r>
      <w:r w:rsidRPr="00E06A15">
        <w:noBreakHyphen/>
        <w:t>IV</w:t>
      </w:r>
      <w:r w:rsidRPr="005635BA">
        <w:rPr>
          <w:lang w:val="en"/>
        </w:rPr>
        <w:t xml:space="preserve">, and </w:t>
      </w:r>
      <w:proofErr w:type="spellStart"/>
      <w:r w:rsidRPr="00E06A15">
        <w:rPr>
          <w:i/>
        </w:rPr>
        <w:t>Zacharakis</w:t>
      </w:r>
      <w:proofErr w:type="spellEnd"/>
      <w:r w:rsidRPr="00E06A15">
        <w:rPr>
          <w:i/>
        </w:rPr>
        <w:t xml:space="preserve"> v. Greece</w:t>
      </w:r>
      <w:r w:rsidRPr="00E06A15">
        <w:t>, no. 17305/02, §</w:t>
      </w:r>
      <w:r>
        <w:t> 31</w:t>
      </w:r>
      <w:r w:rsidRPr="00E06A15">
        <w:t>, 13</w:t>
      </w:r>
      <w:r>
        <w:t> </w:t>
      </w:r>
      <w:r w:rsidRPr="00E06A15">
        <w:t>July</w:t>
      </w:r>
      <w:r>
        <w:t> </w:t>
      </w:r>
      <w:r w:rsidRPr="00E06A15">
        <w:t>2006</w:t>
      </w:r>
      <w:r w:rsidRPr="005635BA">
        <w:rPr>
          <w:lang w:val="en"/>
        </w:rPr>
        <w:t>).</w:t>
      </w:r>
    </w:p>
    <w:p w:rsidR="007041C9" w:rsidP="007041C9" w:rsidRDefault="007041C9">
      <w:pPr>
        <w:pStyle w:val="JuPara"/>
        <w:rPr>
          <w:lang w:val="en-US"/>
        </w:rPr>
      </w:pPr>
      <w:r>
        <w:fldChar w:fldCharType="begin"/>
      </w:r>
      <w:r>
        <w:instrText xml:space="preserve"> SEQ level0 \*arabic </w:instrText>
      </w:r>
      <w:r>
        <w:fldChar w:fldCharType="separate"/>
      </w:r>
      <w:r w:rsidR="001C7517">
        <w:rPr>
          <w:noProof/>
        </w:rPr>
        <w:t>35</w:t>
      </w:r>
      <w:r>
        <w:fldChar w:fldCharType="end"/>
      </w:r>
      <w:r>
        <w:t xml:space="preserve">.  Turning to the circumstances of the present case, </w:t>
      </w:r>
      <w:r>
        <w:rPr>
          <w:lang w:val="en-US"/>
        </w:rPr>
        <w:t xml:space="preserve">the Court notes at the outset that </w:t>
      </w:r>
      <w:r>
        <w:rPr>
          <w:lang w:val="en"/>
        </w:rPr>
        <w:t xml:space="preserve">under </w:t>
      </w:r>
      <w:r w:rsidRPr="00FF6BB5">
        <w:rPr>
          <w:lang w:val="en"/>
        </w:rPr>
        <w:t xml:space="preserve">Article 17 § 2 of the </w:t>
      </w:r>
      <w:r>
        <w:rPr>
          <w:lang w:val="en"/>
        </w:rPr>
        <w:t xml:space="preserve">Greek </w:t>
      </w:r>
      <w:r w:rsidRPr="00FF6BB5">
        <w:rPr>
          <w:lang w:val="en"/>
        </w:rPr>
        <w:t>Constitution,</w:t>
      </w:r>
      <w:r>
        <w:rPr>
          <w:lang w:val="en"/>
        </w:rPr>
        <w:t xml:space="preserve"> if</w:t>
      </w:r>
      <w:r w:rsidR="00FE15B6">
        <w:rPr>
          <w:lang w:val="en-US"/>
        </w:rPr>
        <w:t xml:space="preserve"> more than a </w:t>
      </w:r>
      <w:r w:rsidRPr="00F859ED">
        <w:rPr>
          <w:lang w:val="en-US"/>
        </w:rPr>
        <w:t xml:space="preserve">year has elapsed between the hearing date concerning provisional </w:t>
      </w:r>
      <w:r>
        <w:rPr>
          <w:lang w:val="en-US"/>
        </w:rPr>
        <w:t xml:space="preserve">setting </w:t>
      </w:r>
      <w:r w:rsidRPr="00F859ED">
        <w:rPr>
          <w:lang w:val="en-US"/>
        </w:rPr>
        <w:t xml:space="preserve">of compensation and the hearing date concerning final </w:t>
      </w:r>
      <w:r>
        <w:rPr>
          <w:lang w:val="en-US"/>
        </w:rPr>
        <w:t xml:space="preserve">setting </w:t>
      </w:r>
      <w:r w:rsidRPr="00F859ED">
        <w:rPr>
          <w:lang w:val="en-US"/>
        </w:rPr>
        <w:t xml:space="preserve">of compensation, then the value </w:t>
      </w:r>
      <w:r>
        <w:rPr>
          <w:lang w:val="en-US"/>
        </w:rPr>
        <w:t xml:space="preserve">has to </w:t>
      </w:r>
      <w:r w:rsidRPr="00F859ED">
        <w:rPr>
          <w:lang w:val="en-US"/>
        </w:rPr>
        <w:t>be assessed with reference to the latter date.</w:t>
      </w:r>
      <w:r>
        <w:rPr>
          <w:lang w:val="en-US"/>
        </w:rPr>
        <w:t xml:space="preserve"> </w:t>
      </w:r>
      <w:r w:rsidRPr="00F859ED">
        <w:rPr>
          <w:lang w:val="en-US"/>
        </w:rPr>
        <w:t xml:space="preserve">The Court has already held that the purpose of </w:t>
      </w:r>
      <w:r>
        <w:rPr>
          <w:lang w:val="en-US"/>
        </w:rPr>
        <w:t xml:space="preserve">that </w:t>
      </w:r>
      <w:r w:rsidRPr="00F859ED">
        <w:rPr>
          <w:lang w:val="en-US"/>
        </w:rPr>
        <w:t xml:space="preserve">provision is to assess the compensation with reference to the date which is </w:t>
      </w:r>
      <w:r>
        <w:t>appropriate</w:t>
      </w:r>
      <w:r w:rsidRPr="00F859ED">
        <w:rPr>
          <w:lang w:val="en-US"/>
        </w:rPr>
        <w:t xml:space="preserve">, </w:t>
      </w:r>
      <w:r>
        <w:rPr>
          <w:lang w:val="en-US"/>
        </w:rPr>
        <w:t xml:space="preserve">in order </w:t>
      </w:r>
      <w:r w:rsidRPr="00F859ED">
        <w:rPr>
          <w:lang w:val="en-US"/>
        </w:rPr>
        <w:t xml:space="preserve">for </w:t>
      </w:r>
      <w:r>
        <w:rPr>
          <w:lang w:val="en-US"/>
        </w:rPr>
        <w:t xml:space="preserve">“full compensation” to be paid, as required by the wording of the provision itself (see </w:t>
      </w:r>
      <w:proofErr w:type="spellStart"/>
      <w:r w:rsidRPr="00F472AA">
        <w:rPr>
          <w:i/>
          <w:lang w:val="en-US"/>
        </w:rPr>
        <w:t>Poulimenos</w:t>
      </w:r>
      <w:proofErr w:type="spellEnd"/>
      <w:r>
        <w:rPr>
          <w:lang w:val="en-US"/>
        </w:rPr>
        <w:t xml:space="preserve">, cited above, </w:t>
      </w:r>
      <w:r w:rsidRPr="00F472AA">
        <w:rPr>
          <w:lang w:val="en"/>
        </w:rPr>
        <w:t>§</w:t>
      </w:r>
      <w:r>
        <w:rPr>
          <w:lang w:val="en"/>
        </w:rPr>
        <w:t xml:space="preserve"> 46)</w:t>
      </w:r>
      <w:r>
        <w:rPr>
          <w:lang w:val="en-US"/>
        </w:rPr>
        <w:t xml:space="preserve">. The plenary of the Court of Cassation, in interpreting that provision, considered that the hearing that should be taken into account for calculating the compensation was the first hearing of the case, irrespective of whether it had been adjourned or the case had not been examined on the merits for any reason, </w:t>
      </w:r>
      <w:r>
        <w:t>because “</w:t>
      </w:r>
      <w:r w:rsidRPr="004E473D">
        <w:t>during that hearing the subject of the evidence procedure and</w:t>
      </w:r>
      <w:r>
        <w:t xml:space="preserve"> of judicial </w:t>
      </w:r>
      <w:r w:rsidRPr="00C53FE3">
        <w:t xml:space="preserve">research </w:t>
      </w:r>
      <w:r>
        <w:t>wa</w:t>
      </w:r>
      <w:r w:rsidRPr="00A279DE">
        <w:t xml:space="preserve">s being </w:t>
      </w:r>
      <w:r>
        <w:t>determin</w:t>
      </w:r>
      <w:r w:rsidRPr="00A279DE">
        <w:t>ed</w:t>
      </w:r>
      <w:r>
        <w:t xml:space="preserve">” (see </w:t>
      </w:r>
      <w:r>
        <w:rPr>
          <w:lang w:val="en-US"/>
        </w:rPr>
        <w:t>paragraph</w:t>
      </w:r>
      <w:r>
        <w:t xml:space="preserve"> 11 above)</w:t>
      </w:r>
      <w:r>
        <w:rPr>
          <w:lang w:val="en-US"/>
        </w:rPr>
        <w:t>.</w:t>
      </w:r>
    </w:p>
    <w:p w:rsidR="007041C9" w:rsidP="007041C9" w:rsidRDefault="007041C9">
      <w:pPr>
        <w:pStyle w:val="JuPara"/>
      </w:pPr>
      <w:r>
        <w:rPr>
          <w:lang w:val="en-US"/>
        </w:rPr>
        <w:fldChar w:fldCharType="begin"/>
      </w:r>
      <w:r>
        <w:rPr>
          <w:lang w:val="en-US"/>
        </w:rPr>
        <w:instrText xml:space="preserve"> SEQ level0 \*arabic </w:instrText>
      </w:r>
      <w:r>
        <w:rPr>
          <w:lang w:val="en-US"/>
        </w:rPr>
        <w:fldChar w:fldCharType="separate"/>
      </w:r>
      <w:r w:rsidR="001C7517">
        <w:rPr>
          <w:noProof/>
          <w:lang w:val="en-US"/>
        </w:rPr>
        <w:t>36</w:t>
      </w:r>
      <w:r>
        <w:rPr>
          <w:lang w:val="en-US"/>
        </w:rPr>
        <w:fldChar w:fldCharType="end"/>
      </w:r>
      <w:r>
        <w:rPr>
          <w:lang w:val="en-US"/>
        </w:rPr>
        <w:t xml:space="preserve">.  The </w:t>
      </w:r>
      <w:r w:rsidRPr="0026027D">
        <w:t>Court</w:t>
      </w:r>
      <w:r>
        <w:t xml:space="preserve"> </w:t>
      </w:r>
      <w:r w:rsidRPr="0026027D">
        <w:t xml:space="preserve">of First Instance </w:t>
      </w:r>
      <w:r>
        <w:t>assessed</w:t>
      </w:r>
      <w:r w:rsidRPr="0026027D">
        <w:t xml:space="preserve"> the provisional unitary</w:t>
      </w:r>
      <w:r>
        <w:t xml:space="preserve"> amount of</w:t>
      </w:r>
      <w:r w:rsidRPr="0026027D">
        <w:t xml:space="preserve"> compensation </w:t>
      </w:r>
      <w:r>
        <w:t>based on the date of the hearing befor</w:t>
      </w:r>
      <w:r w:rsidR="001C7517">
        <w:t>e it on 1 </w:t>
      </w:r>
      <w:r>
        <w:t xml:space="preserve">October 2004. The hearing for the setting of the final unitary amount of compensation was scheduled to take place on </w:t>
      </w:r>
      <w:r w:rsidRPr="00E46F1F">
        <w:t>21</w:t>
      </w:r>
      <w:r w:rsidR="001C7517">
        <w:t xml:space="preserve"> </w:t>
      </w:r>
      <w:r w:rsidRPr="00E46F1F">
        <w:t xml:space="preserve">September 2005. </w:t>
      </w:r>
      <w:r>
        <w:t xml:space="preserve">However, at the hearing on that date the court did not pronounce the final unitary amount of compensation, but issued </w:t>
      </w:r>
      <w:r w:rsidRPr="00E46F1F">
        <w:t>decision no. 70/2006</w:t>
      </w:r>
      <w:r>
        <w:t xml:space="preserve"> adjourning </w:t>
      </w:r>
      <w:r w:rsidRPr="00E46F1F">
        <w:t>the examination of the merits of the case</w:t>
      </w:r>
      <w:r>
        <w:t xml:space="preserve"> and ordering an expert report on the value of the property. Following several adjournments on the grounds that the expert</w:t>
      </w:r>
      <w:r w:rsidR="00A07165">
        <w:t>’</w:t>
      </w:r>
      <w:r>
        <w:t xml:space="preserve">s report had not yet been delivered, </w:t>
      </w:r>
      <w:r w:rsidRPr="00E46F1F">
        <w:t xml:space="preserve">the hearing </w:t>
      </w:r>
      <w:r>
        <w:t xml:space="preserve">at which the case was examined on the merits took place </w:t>
      </w:r>
      <w:r w:rsidR="001C7517">
        <w:t xml:space="preserve">on 5 November </w:t>
      </w:r>
      <w:r w:rsidRPr="00E46F1F">
        <w:t>2008</w:t>
      </w:r>
      <w:r>
        <w:t xml:space="preserve">. </w:t>
      </w:r>
      <w:r w:rsidRPr="00CF2111">
        <w:t>In a judgment of 2</w:t>
      </w:r>
      <w:r>
        <w:t>9</w:t>
      </w:r>
      <w:r w:rsidRPr="00CF2111">
        <w:t xml:space="preserve"> June </w:t>
      </w:r>
      <w:r>
        <w:t xml:space="preserve">2009, </w:t>
      </w:r>
      <w:r w:rsidRPr="00CF2111">
        <w:t xml:space="preserve">the </w:t>
      </w:r>
      <w:r>
        <w:t xml:space="preserve">Court of Appeal </w:t>
      </w:r>
      <w:r w:rsidRPr="00CF2111">
        <w:t xml:space="preserve">assessed the </w:t>
      </w:r>
      <w:r w:rsidRPr="004E473D">
        <w:t>final unit</w:t>
      </w:r>
      <w:r>
        <w:t>ary</w:t>
      </w:r>
      <w:r w:rsidRPr="004E473D">
        <w:t xml:space="preserve"> </w:t>
      </w:r>
      <w:r>
        <w:t xml:space="preserve">amount of </w:t>
      </w:r>
      <w:r w:rsidRPr="004E473D">
        <w:t xml:space="preserve">compensation </w:t>
      </w:r>
      <w:r>
        <w:t xml:space="preserve">taking the date of the hearing concerning the </w:t>
      </w:r>
      <w:r w:rsidRPr="00AB4E65">
        <w:t>provisional compensation</w:t>
      </w:r>
      <w:r>
        <w:t xml:space="preserve"> as the material date. They reasoned that the first hearing concerning the setting of final compensation had been held on 21 September 2005, which was less than a year after the date of the hearing concerning provisional compensation.</w:t>
      </w:r>
    </w:p>
    <w:p w:rsidR="007041C9" w:rsidP="007041C9" w:rsidRDefault="007041C9">
      <w:pPr>
        <w:pStyle w:val="JuPara"/>
        <w:rPr>
          <w:lang w:val="en"/>
        </w:rPr>
      </w:pPr>
      <w:r>
        <w:rPr>
          <w:lang w:val="en-US"/>
        </w:rPr>
        <w:fldChar w:fldCharType="begin"/>
      </w:r>
      <w:r>
        <w:rPr>
          <w:lang w:val="en-US"/>
        </w:rPr>
        <w:instrText xml:space="preserve"> SEQ level0 \*arabic </w:instrText>
      </w:r>
      <w:r>
        <w:rPr>
          <w:lang w:val="en-US"/>
        </w:rPr>
        <w:fldChar w:fldCharType="separate"/>
      </w:r>
      <w:r w:rsidR="001C7517">
        <w:rPr>
          <w:noProof/>
          <w:lang w:val="en-US"/>
        </w:rPr>
        <w:t>37</w:t>
      </w:r>
      <w:r>
        <w:rPr>
          <w:lang w:val="en-US"/>
        </w:rPr>
        <w:fldChar w:fldCharType="end"/>
      </w:r>
      <w:r>
        <w:rPr>
          <w:lang w:val="en-US"/>
        </w:rPr>
        <w:t xml:space="preserve">.  The Court notes that it is not its task to take the place of the national authorities in determining the exact amount of compensation the applicant should have received given the fluctuations in the property market, inflation or any other factors. </w:t>
      </w:r>
      <w:r w:rsidRPr="00BF0C96">
        <w:rPr>
          <w:lang w:val="en-US"/>
        </w:rPr>
        <w:t xml:space="preserve">However, </w:t>
      </w:r>
      <w:r>
        <w:rPr>
          <w:lang w:val="en-US"/>
        </w:rPr>
        <w:t xml:space="preserve">having regard to the fact that more than four years had elapsed from the date that was taken as the material date for the assessment of the final unitary amount of compensation and the date on which the actual hearing on the merits had taken place, the Court notes that the domestic authorities failed to take into consideration any factors that might have rendered the compensation no longer </w:t>
      </w:r>
      <w:r w:rsidRPr="00FF5318">
        <w:rPr>
          <w:lang w:val="en"/>
        </w:rPr>
        <w:t>commensurate with the value of the property</w:t>
      </w:r>
      <w:r>
        <w:rPr>
          <w:lang w:val="en"/>
        </w:rPr>
        <w:t xml:space="preserve"> as at the date of its judgment</w:t>
      </w:r>
      <w:r w:rsidRPr="00FF5318">
        <w:rPr>
          <w:lang w:val="en"/>
        </w:rPr>
        <w:t>,</w:t>
      </w:r>
      <w:r w:rsidR="001C7517">
        <w:rPr>
          <w:lang w:val="en"/>
        </w:rPr>
        <w:t xml:space="preserve"> namely 29 June </w:t>
      </w:r>
      <w:r>
        <w:rPr>
          <w:lang w:val="en"/>
        </w:rPr>
        <w:t xml:space="preserve">2009 (see </w:t>
      </w:r>
      <w:proofErr w:type="spellStart"/>
      <w:r w:rsidRPr="00EC5C01">
        <w:rPr>
          <w:i/>
          <w:lang w:val="en"/>
        </w:rPr>
        <w:t>P</w:t>
      </w:r>
      <w:r>
        <w:rPr>
          <w:i/>
          <w:lang w:val="en"/>
        </w:rPr>
        <w:t>oulimenos</w:t>
      </w:r>
      <w:proofErr w:type="spellEnd"/>
      <w:r>
        <w:rPr>
          <w:lang w:val="en"/>
        </w:rPr>
        <w:t xml:space="preserve">, cited above, </w:t>
      </w:r>
      <w:r w:rsidRPr="00F81E13">
        <w:rPr>
          <w:lang w:val="en"/>
        </w:rPr>
        <w:t>§</w:t>
      </w:r>
      <w:r>
        <w:rPr>
          <w:lang w:val="en"/>
        </w:rPr>
        <w:t>§ 51-52). The Court further notes that the delay in the setting of final compensation cannot be attributed to the applicant, who made normal use of domestic remedies. It concludes that the domestic courts should have taken into account the</w:t>
      </w:r>
      <w:r w:rsidRPr="00224520">
        <w:t xml:space="preserve"> various circumstances liable to reduce </w:t>
      </w:r>
      <w:r>
        <w:t xml:space="preserve">the </w:t>
      </w:r>
      <w:r w:rsidRPr="00224520">
        <w:t>value</w:t>
      </w:r>
      <w:r>
        <w:t xml:space="preserve"> of the compensation awarded </w:t>
      </w:r>
      <w:r w:rsidRPr="00224520">
        <w:t>(see</w:t>
      </w:r>
      <w:r w:rsidR="00FE15B6">
        <w:t>, </w:t>
      </w:r>
      <w:r w:rsidR="00FE15B6">
        <w:rPr>
          <w:i/>
        </w:rPr>
        <w:t>mutatis </w:t>
      </w:r>
      <w:r w:rsidRPr="00B60AA2">
        <w:rPr>
          <w:i/>
        </w:rPr>
        <w:t>mutandis</w:t>
      </w:r>
      <w:r>
        <w:t>,</w:t>
      </w:r>
      <w:r w:rsidRPr="00224520">
        <w:t xml:space="preserve"> </w:t>
      </w:r>
      <w:proofErr w:type="spellStart"/>
      <w:r w:rsidRPr="006328E1">
        <w:rPr>
          <w:i/>
        </w:rPr>
        <w:t>Angelov</w:t>
      </w:r>
      <w:proofErr w:type="spellEnd"/>
      <w:r w:rsidRPr="006328E1">
        <w:rPr>
          <w:i/>
        </w:rPr>
        <w:t xml:space="preserve">, </w:t>
      </w:r>
      <w:r w:rsidRPr="006328E1">
        <w:t>cited above, § 39).</w:t>
      </w:r>
    </w:p>
    <w:p w:rsidR="007041C9" w:rsidP="007041C9" w:rsidRDefault="007041C9">
      <w:pPr>
        <w:pStyle w:val="JuPara"/>
        <w:rPr>
          <w:lang w:val="en"/>
        </w:rPr>
      </w:pPr>
      <w:r>
        <w:rPr>
          <w:lang w:val="en"/>
        </w:rPr>
        <w:fldChar w:fldCharType="begin"/>
      </w:r>
      <w:r>
        <w:rPr>
          <w:lang w:val="en"/>
        </w:rPr>
        <w:instrText xml:space="preserve"> SEQ level0 \*arabic </w:instrText>
      </w:r>
      <w:r>
        <w:rPr>
          <w:lang w:val="en"/>
        </w:rPr>
        <w:fldChar w:fldCharType="separate"/>
      </w:r>
      <w:r w:rsidR="001C7517">
        <w:rPr>
          <w:noProof/>
          <w:lang w:val="en"/>
        </w:rPr>
        <w:t>38</w:t>
      </w:r>
      <w:r>
        <w:rPr>
          <w:lang w:val="en"/>
        </w:rPr>
        <w:fldChar w:fldCharType="end"/>
      </w:r>
      <w:r>
        <w:rPr>
          <w:lang w:val="en"/>
        </w:rPr>
        <w:t>.  The Court takes note of the Government</w:t>
      </w:r>
      <w:r w:rsidR="00A07165">
        <w:rPr>
          <w:lang w:val="en"/>
        </w:rPr>
        <w:t>’</w:t>
      </w:r>
      <w:r>
        <w:rPr>
          <w:lang w:val="en"/>
        </w:rPr>
        <w:t xml:space="preserve">s argument that the circumstances of the present case differ than those of the </w:t>
      </w:r>
      <w:proofErr w:type="spellStart"/>
      <w:r w:rsidRPr="0000394C">
        <w:rPr>
          <w:i/>
          <w:lang w:val="en"/>
        </w:rPr>
        <w:t>Poulimenos</w:t>
      </w:r>
      <w:proofErr w:type="spellEnd"/>
      <w:r>
        <w:rPr>
          <w:lang w:val="en"/>
        </w:rPr>
        <w:t xml:space="preserve"> case (cited above), in which it found a violation of Article 1 of Protocol No. 1 to the Convention because twelve years had elapsed from the date that had been considered as the reference point for the setting of compensation and the date on which it had been awarded. However, in the Court</w:t>
      </w:r>
      <w:r w:rsidR="00A07165">
        <w:rPr>
          <w:lang w:val="en"/>
        </w:rPr>
        <w:t>’</w:t>
      </w:r>
      <w:r>
        <w:rPr>
          <w:lang w:val="en"/>
        </w:rPr>
        <w:t>s view, notwithstanding the fact that in one case the lapse of time had been significantly longer, the facts of the two cases remain similar, as in both cases the domestic courts failed to take into account the effect that the lapse of time might have had on the value of the expropriated properties.</w:t>
      </w:r>
    </w:p>
    <w:p w:rsidRPr="002A73F8" w:rsidR="007041C9" w:rsidP="007041C9" w:rsidRDefault="007041C9">
      <w:pPr>
        <w:pStyle w:val="JuPara"/>
        <w:rPr>
          <w:lang w:val="en-US"/>
        </w:rPr>
      </w:pPr>
      <w:r>
        <w:fldChar w:fldCharType="begin"/>
      </w:r>
      <w:r>
        <w:instrText xml:space="preserve"> SEQ level0 \*arabic </w:instrText>
      </w:r>
      <w:r>
        <w:fldChar w:fldCharType="separate"/>
      </w:r>
      <w:r w:rsidR="001C7517">
        <w:rPr>
          <w:noProof/>
        </w:rPr>
        <w:t>39</w:t>
      </w:r>
      <w:r>
        <w:fldChar w:fldCharType="end"/>
      </w:r>
      <w:r>
        <w:t xml:space="preserve">.  The Court thus considers that the applicant had to bear an excessive individual burden, which </w:t>
      </w:r>
      <w:r w:rsidRPr="002A73F8">
        <w:t xml:space="preserve">upset the fair balance to be maintained between the demands of the general interest on the one hand and protection of the right to </w:t>
      </w:r>
      <w:r>
        <w:t xml:space="preserve">the </w:t>
      </w:r>
      <w:r w:rsidRPr="002A73F8">
        <w:t>peaceful enjoyment of possessions on the other</w:t>
      </w:r>
      <w:r>
        <w:t xml:space="preserve"> </w:t>
      </w:r>
      <w:r w:rsidR="00FE15B6">
        <w:rPr>
          <w:lang w:val="en"/>
        </w:rPr>
        <w:t>(see </w:t>
      </w:r>
      <w:proofErr w:type="spellStart"/>
      <w:r w:rsidRPr="00EC5C01">
        <w:rPr>
          <w:i/>
          <w:lang w:val="en"/>
        </w:rPr>
        <w:t>P</w:t>
      </w:r>
      <w:r w:rsidRPr="002A73F8">
        <w:rPr>
          <w:i/>
          <w:lang w:val="en"/>
        </w:rPr>
        <w:t>oulimenos</w:t>
      </w:r>
      <w:proofErr w:type="spellEnd"/>
      <w:r w:rsidR="00FE15B6">
        <w:rPr>
          <w:lang w:val="en"/>
        </w:rPr>
        <w:t>, </w:t>
      </w:r>
      <w:r w:rsidRPr="002A73F8">
        <w:rPr>
          <w:lang w:val="en"/>
        </w:rPr>
        <w:t>cited above</w:t>
      </w:r>
      <w:r>
        <w:rPr>
          <w:lang w:val="en"/>
        </w:rPr>
        <w:t xml:space="preserve">, </w:t>
      </w:r>
      <w:r w:rsidRPr="002A73F8">
        <w:rPr>
          <w:lang w:val="en"/>
        </w:rPr>
        <w:t>§</w:t>
      </w:r>
      <w:r>
        <w:rPr>
          <w:lang w:val="en"/>
        </w:rPr>
        <w:t xml:space="preserve"> 53)</w:t>
      </w:r>
      <w:r w:rsidRPr="002A73F8">
        <w:t>.</w:t>
      </w:r>
      <w:r>
        <w:t xml:space="preserve"> Therefore, t</w:t>
      </w:r>
      <w:r w:rsidRPr="002A73F8">
        <w:rPr>
          <w:lang w:val="en"/>
        </w:rPr>
        <w:t>he Court dismisses the Government</w:t>
      </w:r>
      <w:r w:rsidR="00A07165">
        <w:rPr>
          <w:lang w:val="en"/>
        </w:rPr>
        <w:t>’</w:t>
      </w:r>
      <w:r w:rsidRPr="002A73F8">
        <w:rPr>
          <w:lang w:val="en"/>
        </w:rPr>
        <w:t xml:space="preserve">s objection that the complaint is </w:t>
      </w:r>
      <w:r>
        <w:rPr>
          <w:lang w:val="en"/>
        </w:rPr>
        <w:t xml:space="preserve">inadmissible </w:t>
      </w:r>
      <w:proofErr w:type="spellStart"/>
      <w:r w:rsidRPr="002A73F8">
        <w:rPr>
          <w:i/>
          <w:lang w:val="en"/>
        </w:rPr>
        <w:t>ratione</w:t>
      </w:r>
      <w:proofErr w:type="spellEnd"/>
      <w:r w:rsidRPr="002A73F8">
        <w:rPr>
          <w:i/>
          <w:lang w:val="en"/>
        </w:rPr>
        <w:t xml:space="preserve"> personae</w:t>
      </w:r>
      <w:r w:rsidRPr="002A73F8">
        <w:rPr>
          <w:lang w:val="en"/>
        </w:rPr>
        <w:t xml:space="preserve"> and finds that there has been a violation of Article 1 of Protocol No. 1 to the Convention.</w:t>
      </w:r>
    </w:p>
    <w:p w:rsidRPr="00712FC7" w:rsidR="007041C9" w:rsidP="007041C9" w:rsidRDefault="001C7517">
      <w:pPr>
        <w:pStyle w:val="JuHIRoman"/>
      </w:pPr>
      <w:r>
        <w:t>  </w:t>
      </w:r>
      <w:r w:rsidRPr="00712FC7" w:rsidR="007041C9">
        <w:t>ALLEGED VIOLATION OF ARTICLES 6 AND 13 OF THE CONVENTION ON ACCOUNT OF THE LENGTH OF THE PROCEEDINGS AND THE LACK OF AN EFFECTIVE REMEDY IN THAT RESPECT</w:t>
      </w:r>
    </w:p>
    <w:p w:rsidRPr="00712FC7" w:rsidR="007041C9" w:rsidP="007041C9" w:rsidRDefault="007041C9">
      <w:pPr>
        <w:pStyle w:val="JuPara"/>
      </w:pPr>
      <w:r>
        <w:fldChar w:fldCharType="begin"/>
      </w:r>
      <w:r>
        <w:instrText xml:space="preserve"> SEQ level0 \*arabic </w:instrText>
      </w:r>
      <w:r>
        <w:fldChar w:fldCharType="separate"/>
      </w:r>
      <w:r w:rsidR="001C7517">
        <w:rPr>
          <w:noProof/>
        </w:rPr>
        <w:t>40</w:t>
      </w:r>
      <w:r>
        <w:fldChar w:fldCharType="end"/>
      </w:r>
      <w:r>
        <w:t>.  The applicant</w:t>
      </w:r>
      <w:r w:rsidRPr="00712FC7">
        <w:t xml:space="preserve"> complained that the length of the proceedings before the domestic courts had been incompatible with the “reasonable time” requirement laid down in Ar</w:t>
      </w:r>
      <w:r>
        <w:t>ticle 6 § 1 of the Convention. He</w:t>
      </w:r>
      <w:r w:rsidRPr="00712FC7">
        <w:t xml:space="preserve"> also complained that, at the time, there had been no effective </w:t>
      </w:r>
      <w:r>
        <w:t xml:space="preserve">domestic </w:t>
      </w:r>
      <w:r w:rsidRPr="00712FC7">
        <w:t xml:space="preserve">remedy for </w:t>
      </w:r>
      <w:r>
        <w:t>his</w:t>
      </w:r>
      <w:r w:rsidRPr="00712FC7">
        <w:t xml:space="preserve"> complaint concerning the length of the proceedings. </w:t>
      </w:r>
      <w:r>
        <w:t>He</w:t>
      </w:r>
      <w:r w:rsidRPr="00712FC7">
        <w:t xml:space="preserve"> relied on Article 6 § 1 and Article 13 of the Convention, the relevant parts of which read as follows:</w:t>
      </w:r>
    </w:p>
    <w:p w:rsidRPr="00712FC7" w:rsidR="007041C9" w:rsidP="007041C9" w:rsidRDefault="007041C9">
      <w:pPr>
        <w:pStyle w:val="JuHArticle"/>
      </w:pPr>
      <w:r w:rsidRPr="00712FC7">
        <w:t>Article 6 § 1</w:t>
      </w:r>
    </w:p>
    <w:p w:rsidRPr="00712FC7" w:rsidR="007041C9" w:rsidP="007041C9" w:rsidRDefault="007041C9">
      <w:pPr>
        <w:pStyle w:val="JuQuot"/>
      </w:pPr>
      <w:r w:rsidRPr="00712FC7">
        <w:t>“In the determination of his civil rights and obligations ... everyone is entitled to a ... hearing within a reasonable time by [a] ... tribunal ...”</w:t>
      </w:r>
    </w:p>
    <w:p w:rsidRPr="00712FC7" w:rsidR="007041C9" w:rsidP="007041C9" w:rsidRDefault="007041C9">
      <w:pPr>
        <w:pStyle w:val="JuHArticle"/>
      </w:pPr>
      <w:r w:rsidRPr="00712FC7">
        <w:t>Article 13</w:t>
      </w:r>
    </w:p>
    <w:p w:rsidRPr="00712FC7" w:rsidR="007041C9" w:rsidP="007041C9" w:rsidRDefault="007041C9">
      <w:pPr>
        <w:pStyle w:val="JuQuot"/>
      </w:pPr>
      <w:r w:rsidRPr="00712FC7">
        <w:t>“Everyone whose rights and freedoms as set forth in [the] Convention are violated shall have an effective remedy before a national authority notwithstanding that the violation has been committed by persons acting in an official capacity.”</w:t>
      </w:r>
    </w:p>
    <w:p w:rsidRPr="00840B2B" w:rsidR="007041C9" w:rsidP="007041C9" w:rsidRDefault="007041C9">
      <w:pPr>
        <w:pStyle w:val="JuHA"/>
        <w:rPr>
          <w:rFonts w:eastAsiaTheme="majorEastAsia"/>
        </w:rPr>
      </w:pPr>
      <w:r w:rsidRPr="00840B2B">
        <w:rPr>
          <w:rFonts w:eastAsiaTheme="majorEastAsia"/>
        </w:rPr>
        <w:t>Admissibility</w:t>
      </w:r>
    </w:p>
    <w:p w:rsidRPr="00DF2BC2" w:rsidR="007041C9" w:rsidP="007041C9" w:rsidRDefault="007041C9">
      <w:pPr>
        <w:pStyle w:val="JuPara"/>
      </w:pPr>
      <w:r w:rsidRPr="00DF2BC2">
        <w:fldChar w:fldCharType="begin"/>
      </w:r>
      <w:r w:rsidRPr="00DF2BC2">
        <w:instrText xml:space="preserve"> SEQ level0 \*arabic </w:instrText>
      </w:r>
      <w:r w:rsidRPr="00DF2BC2">
        <w:fldChar w:fldCharType="separate"/>
      </w:r>
      <w:r w:rsidR="001C7517">
        <w:rPr>
          <w:noProof/>
        </w:rPr>
        <w:t>41</w:t>
      </w:r>
      <w:r w:rsidRPr="00DF2BC2">
        <w:fldChar w:fldCharType="end"/>
      </w:r>
      <w:r w:rsidRPr="00DF2BC2">
        <w:t>.  The Court notes that these complaints are not manifestly ill-founded within the meaning of Article 35 § 3 (a) of the Convention. It further notes that they are not inadmissible on any other grounds. They must therefore be declared admissible.</w:t>
      </w:r>
    </w:p>
    <w:p w:rsidRPr="00840B2B" w:rsidR="007041C9" w:rsidP="007041C9" w:rsidRDefault="007041C9">
      <w:pPr>
        <w:pStyle w:val="JuHA"/>
        <w:rPr>
          <w:rFonts w:eastAsiaTheme="majorEastAsia"/>
        </w:rPr>
      </w:pPr>
      <w:r w:rsidRPr="00840B2B">
        <w:rPr>
          <w:rFonts w:eastAsiaTheme="majorEastAsia"/>
        </w:rPr>
        <w:t>Merits</w:t>
      </w:r>
    </w:p>
    <w:p w:rsidRPr="00840B2B" w:rsidR="007041C9" w:rsidP="007041C9" w:rsidRDefault="007041C9">
      <w:pPr>
        <w:pStyle w:val="JuH1"/>
        <w:rPr>
          <w:rFonts w:eastAsiaTheme="majorEastAsia"/>
        </w:rPr>
      </w:pPr>
      <w:r w:rsidRPr="00840B2B">
        <w:rPr>
          <w:rFonts w:eastAsiaTheme="majorEastAsia"/>
        </w:rPr>
        <w:t>The parties</w:t>
      </w:r>
      <w:r w:rsidR="00A07165">
        <w:rPr>
          <w:rFonts w:eastAsiaTheme="majorEastAsia"/>
        </w:rPr>
        <w:t>’</w:t>
      </w:r>
      <w:r w:rsidRPr="00840B2B">
        <w:rPr>
          <w:rFonts w:eastAsiaTheme="majorEastAsia"/>
        </w:rPr>
        <w:t xml:space="preserve"> arguments</w:t>
      </w:r>
    </w:p>
    <w:p w:rsidRPr="00DF2BC2" w:rsidR="007041C9" w:rsidP="007041C9" w:rsidRDefault="007041C9">
      <w:pPr>
        <w:pStyle w:val="JuPara"/>
      </w:pPr>
      <w:r w:rsidRPr="00DF2BC2">
        <w:fldChar w:fldCharType="begin"/>
      </w:r>
      <w:r w:rsidRPr="00DF2BC2">
        <w:instrText xml:space="preserve"> SEQ level0 \*arabic </w:instrText>
      </w:r>
      <w:r w:rsidRPr="00DF2BC2">
        <w:fldChar w:fldCharType="separate"/>
      </w:r>
      <w:r w:rsidR="001C7517">
        <w:rPr>
          <w:noProof/>
        </w:rPr>
        <w:t>42</w:t>
      </w:r>
      <w:r w:rsidRPr="00DF2BC2">
        <w:fldChar w:fldCharType="end"/>
      </w:r>
      <w:r w:rsidRPr="00DF2BC2">
        <w:t>.  The applicant maintained that the length of the proceedings before the domestic courts had been incompatible with the “reasonable time” requirement laid down in Article 6 § 1 of the Convention. In particular, he contended that the fault for the delay lay with the authorities.</w:t>
      </w:r>
    </w:p>
    <w:p w:rsidR="007041C9" w:rsidP="007041C9" w:rsidRDefault="007041C9">
      <w:pPr>
        <w:pStyle w:val="JuPara"/>
        <w:rPr>
          <w:lang w:val="en-US"/>
        </w:rPr>
      </w:pPr>
      <w:r w:rsidRPr="00840B2B">
        <w:fldChar w:fldCharType="begin"/>
      </w:r>
      <w:r w:rsidRPr="00840B2B">
        <w:instrText xml:space="preserve"> SEQ level0 \*arabic </w:instrText>
      </w:r>
      <w:r w:rsidRPr="00840B2B">
        <w:fldChar w:fldCharType="separate"/>
      </w:r>
      <w:r w:rsidR="001C7517">
        <w:rPr>
          <w:noProof/>
        </w:rPr>
        <w:t>43</w:t>
      </w:r>
      <w:r w:rsidRPr="00840B2B">
        <w:fldChar w:fldCharType="end"/>
      </w:r>
      <w:r w:rsidRPr="00840B2B">
        <w:t>.  </w:t>
      </w:r>
      <w:r w:rsidRPr="0020572B">
        <w:rPr>
          <w:lang w:val="en-US"/>
        </w:rPr>
        <w:t xml:space="preserve">The Government submitted that the length of proceedings before each </w:t>
      </w:r>
      <w:r>
        <w:rPr>
          <w:lang w:val="en-US"/>
        </w:rPr>
        <w:t xml:space="preserve">level of jurisdiction </w:t>
      </w:r>
      <w:r w:rsidRPr="0020572B">
        <w:rPr>
          <w:lang w:val="en-US"/>
        </w:rPr>
        <w:t xml:space="preserve">should be examined separately. In their view, if seen separately, the length of the proceedings before each court </w:t>
      </w:r>
      <w:r>
        <w:rPr>
          <w:lang w:val="en-US"/>
        </w:rPr>
        <w:t xml:space="preserve">had been </w:t>
      </w:r>
      <w:r w:rsidRPr="0020572B">
        <w:rPr>
          <w:lang w:val="en-US"/>
        </w:rPr>
        <w:t xml:space="preserve">reasonable. The only delay </w:t>
      </w:r>
      <w:r>
        <w:rPr>
          <w:lang w:val="en-US"/>
        </w:rPr>
        <w:t xml:space="preserve">had been </w:t>
      </w:r>
      <w:r w:rsidRPr="0020572B">
        <w:rPr>
          <w:lang w:val="en-US"/>
        </w:rPr>
        <w:t xml:space="preserve">before the Court of Appeal </w:t>
      </w:r>
      <w:r>
        <w:rPr>
          <w:lang w:val="en-US"/>
        </w:rPr>
        <w:t xml:space="preserve">owing </w:t>
      </w:r>
      <w:r w:rsidRPr="0020572B">
        <w:rPr>
          <w:lang w:val="en-US"/>
        </w:rPr>
        <w:t>to the delay in the submission of the expert</w:t>
      </w:r>
      <w:r w:rsidR="00A07165">
        <w:rPr>
          <w:lang w:val="en-US"/>
        </w:rPr>
        <w:t>’</w:t>
      </w:r>
      <w:r w:rsidRPr="0020572B">
        <w:rPr>
          <w:lang w:val="en-US"/>
        </w:rPr>
        <w:t>s report</w:t>
      </w:r>
      <w:r>
        <w:rPr>
          <w:lang w:val="en-US"/>
        </w:rPr>
        <w:t>.</w:t>
      </w:r>
      <w:r w:rsidRPr="0020572B">
        <w:rPr>
          <w:lang w:val="en-US"/>
        </w:rPr>
        <w:t xml:space="preserve"> </w:t>
      </w:r>
      <w:r>
        <w:rPr>
          <w:lang w:val="en-US"/>
        </w:rPr>
        <w:t xml:space="preserve">Such delay </w:t>
      </w:r>
      <w:r w:rsidRPr="0020572B">
        <w:rPr>
          <w:lang w:val="en-US"/>
        </w:rPr>
        <w:t>was normal given the technical and complex issues involved, namely the assessment of the properties</w:t>
      </w:r>
      <w:r w:rsidR="00A07165">
        <w:rPr>
          <w:lang w:val="en-US"/>
        </w:rPr>
        <w:t>’</w:t>
      </w:r>
      <w:r w:rsidRPr="0020572B">
        <w:rPr>
          <w:lang w:val="en-US"/>
        </w:rPr>
        <w:t xml:space="preserve"> value. The Government </w:t>
      </w:r>
      <w:proofErr w:type="spellStart"/>
      <w:r w:rsidRPr="0020572B">
        <w:rPr>
          <w:lang w:val="en-US"/>
        </w:rPr>
        <w:t>emphasi</w:t>
      </w:r>
      <w:r>
        <w:rPr>
          <w:lang w:val="en-US"/>
        </w:rPr>
        <w:t>s</w:t>
      </w:r>
      <w:r w:rsidRPr="0020572B">
        <w:rPr>
          <w:lang w:val="en-US"/>
        </w:rPr>
        <w:t>ed</w:t>
      </w:r>
      <w:proofErr w:type="spellEnd"/>
      <w:r w:rsidRPr="0020572B">
        <w:rPr>
          <w:lang w:val="en-US"/>
        </w:rPr>
        <w:t xml:space="preserve"> the importance of the case and the need for proper administration of justice and argued that in the present case, having regard to all the factors, the length of the proceedings </w:t>
      </w:r>
      <w:r>
        <w:rPr>
          <w:lang w:val="en-US"/>
        </w:rPr>
        <w:t xml:space="preserve">had been </w:t>
      </w:r>
      <w:r w:rsidRPr="0020572B">
        <w:rPr>
          <w:lang w:val="en-US"/>
        </w:rPr>
        <w:t>within reason.</w:t>
      </w:r>
    </w:p>
    <w:p w:rsidRPr="00840B2B" w:rsidR="007041C9" w:rsidP="007041C9" w:rsidRDefault="007041C9">
      <w:pPr>
        <w:pStyle w:val="JuH1"/>
        <w:rPr>
          <w:rFonts w:eastAsiaTheme="majorEastAsia"/>
        </w:rPr>
      </w:pPr>
      <w:r w:rsidRPr="00840B2B">
        <w:rPr>
          <w:rFonts w:eastAsiaTheme="majorEastAsia"/>
        </w:rPr>
        <w:t>The Court</w:t>
      </w:r>
      <w:r w:rsidR="00A07165">
        <w:rPr>
          <w:rFonts w:eastAsiaTheme="majorEastAsia"/>
        </w:rPr>
        <w:t>’</w:t>
      </w:r>
      <w:r w:rsidRPr="00840B2B">
        <w:rPr>
          <w:rFonts w:eastAsiaTheme="majorEastAsia"/>
        </w:rPr>
        <w:t>s assessment</w:t>
      </w:r>
    </w:p>
    <w:p w:rsidRPr="00840B2B" w:rsidR="007041C9" w:rsidP="007041C9" w:rsidRDefault="007041C9">
      <w:pPr>
        <w:pStyle w:val="JuHa0"/>
        <w:rPr>
          <w:rFonts w:eastAsiaTheme="majorEastAsia"/>
        </w:rPr>
      </w:pPr>
      <w:r w:rsidRPr="00840B2B">
        <w:rPr>
          <w:rFonts w:eastAsiaTheme="majorEastAsia"/>
        </w:rPr>
        <w:t xml:space="preserve">Period to </w:t>
      </w:r>
      <w:r>
        <w:rPr>
          <w:rFonts w:eastAsiaTheme="majorEastAsia"/>
        </w:rPr>
        <w:t xml:space="preserve">be </w:t>
      </w:r>
      <w:r w:rsidRPr="00840B2B">
        <w:rPr>
          <w:rFonts w:eastAsiaTheme="majorEastAsia"/>
        </w:rPr>
        <w:t>take</w:t>
      </w:r>
      <w:r>
        <w:rPr>
          <w:rFonts w:eastAsiaTheme="majorEastAsia"/>
        </w:rPr>
        <w:t>n</w:t>
      </w:r>
      <w:r w:rsidRPr="00840B2B">
        <w:rPr>
          <w:rFonts w:eastAsiaTheme="majorEastAsia"/>
        </w:rPr>
        <w:t xml:space="preserve"> into consideration</w:t>
      </w:r>
    </w:p>
    <w:p w:rsidRPr="00DF2BC2" w:rsidR="007041C9" w:rsidP="007041C9" w:rsidRDefault="007041C9">
      <w:pPr>
        <w:pStyle w:val="JuPara"/>
        <w:rPr>
          <w:b/>
          <w:bCs/>
          <w:iCs/>
        </w:rPr>
      </w:pPr>
      <w:r w:rsidRPr="00DF2BC2">
        <w:fldChar w:fldCharType="begin"/>
      </w:r>
      <w:r w:rsidRPr="00DF2BC2">
        <w:instrText xml:space="preserve"> SEQ level0 \*arabic </w:instrText>
      </w:r>
      <w:r w:rsidRPr="00DF2BC2">
        <w:fldChar w:fldCharType="separate"/>
      </w:r>
      <w:r w:rsidR="001C7517">
        <w:rPr>
          <w:noProof/>
        </w:rPr>
        <w:t>44</w:t>
      </w:r>
      <w:r w:rsidRPr="00DF2BC2">
        <w:fldChar w:fldCharType="end"/>
      </w:r>
      <w:r w:rsidRPr="00DF2BC2">
        <w:t>.  </w:t>
      </w:r>
      <w:r w:rsidRPr="00DF2BC2">
        <w:rPr>
          <w:lang w:val="en-US"/>
        </w:rPr>
        <w:t>The period to be taken into c</w:t>
      </w:r>
      <w:r w:rsidR="001C7517">
        <w:rPr>
          <w:lang w:val="en-US"/>
        </w:rPr>
        <w:t>onsideration started on 30 June </w:t>
      </w:r>
      <w:r w:rsidRPr="00DF2BC2">
        <w:rPr>
          <w:lang w:val="en-US"/>
        </w:rPr>
        <w:t>2004, the date on which the application for setting of a provisional unitary amount of compensation was lodged. It ended on 4 November 2011, when the Court of Cassation rendered a final judgment in the case (no. 14/2011). Therefore, the proceedings lasted in total seven years, six months and four days at three levels of jurisdiction</w:t>
      </w:r>
      <w:r>
        <w:rPr>
          <w:lang w:val="en-US"/>
        </w:rPr>
        <w:t xml:space="preserve"> (see paragraphs </w:t>
      </w:r>
      <w:r>
        <w:t>7</w:t>
      </w:r>
      <w:r>
        <w:rPr>
          <w:lang w:val="en-US"/>
        </w:rPr>
        <w:t xml:space="preserve"> - </w:t>
      </w:r>
      <w:r>
        <w:t>12</w:t>
      </w:r>
      <w:r>
        <w:rPr>
          <w:lang w:val="en-US"/>
        </w:rPr>
        <w:t xml:space="preserve"> above)</w:t>
      </w:r>
      <w:r w:rsidRPr="00DF2BC2">
        <w:rPr>
          <w:lang w:val="en-US"/>
        </w:rPr>
        <w:t>.</w:t>
      </w:r>
    </w:p>
    <w:p w:rsidRPr="00840B2B" w:rsidR="007041C9" w:rsidP="007041C9" w:rsidRDefault="007041C9">
      <w:pPr>
        <w:pStyle w:val="JuHa0"/>
        <w:rPr>
          <w:rFonts w:eastAsiaTheme="majorEastAsia"/>
        </w:rPr>
      </w:pPr>
      <w:r w:rsidRPr="00840B2B">
        <w:rPr>
          <w:rFonts w:eastAsiaTheme="majorEastAsia"/>
        </w:rPr>
        <w:t>Reasonableness of the length of proceedings</w:t>
      </w:r>
    </w:p>
    <w:p w:rsidRPr="00DF2BC2" w:rsidR="007041C9" w:rsidP="007041C9" w:rsidRDefault="007041C9">
      <w:pPr>
        <w:pStyle w:val="JuPara"/>
      </w:pPr>
      <w:r w:rsidRPr="00DF2BC2">
        <w:fldChar w:fldCharType="begin"/>
      </w:r>
      <w:r w:rsidRPr="00DF2BC2">
        <w:instrText xml:space="preserve"> SEQ level0 \*arabic </w:instrText>
      </w:r>
      <w:r w:rsidRPr="00DF2BC2">
        <w:fldChar w:fldCharType="separate"/>
      </w:r>
      <w:r w:rsidR="001C7517">
        <w:rPr>
          <w:noProof/>
        </w:rPr>
        <w:t>45</w:t>
      </w:r>
      <w:r w:rsidRPr="00DF2BC2">
        <w:fldChar w:fldCharType="end"/>
      </w:r>
      <w:r w:rsidRPr="00DF2BC2">
        <w:t xml:space="preserve">.  The Court reiterates that the reasonableness of the length of proceedings must be assessed, in accordance with its </w:t>
      </w:r>
      <w:r w:rsidR="00FE15B6">
        <w:t>well-established case</w:t>
      </w:r>
      <w:r w:rsidR="00FE15B6">
        <w:noBreakHyphen/>
      </w:r>
      <w:r w:rsidRPr="00DF2BC2">
        <w:t xml:space="preserve">law, in the light of the circumstances of the case and with reference to the following criteria: the complexity of the case, the conduct of the applicants and the relevant authorities, and what was at stake for the applicants in the dispute (see, among many other authorities, </w:t>
      </w:r>
      <w:proofErr w:type="spellStart"/>
      <w:r w:rsidR="00FE15B6">
        <w:rPr>
          <w:i/>
        </w:rPr>
        <w:t>Frydlender</w:t>
      </w:r>
      <w:proofErr w:type="spellEnd"/>
      <w:r w:rsidR="00FE15B6">
        <w:rPr>
          <w:i/>
        </w:rPr>
        <w:t> v. </w:t>
      </w:r>
      <w:r w:rsidRPr="00DF2BC2">
        <w:rPr>
          <w:i/>
        </w:rPr>
        <w:t>France</w:t>
      </w:r>
      <w:r w:rsidR="001C7517">
        <w:t xml:space="preserve"> [GC], no. </w:t>
      </w:r>
      <w:hyperlink w:tgtFrame="_blank" w:history="1" w:anchor="{&quot;appno&quot;:[&quot;30979/96&quot;]}" r:id="rId11">
        <w:proofErr w:type="gramStart"/>
        <w:r w:rsidRPr="00DF2BC2">
          <w:t>30979/96</w:t>
        </w:r>
      </w:hyperlink>
      <w:r w:rsidR="001C7517">
        <w:t xml:space="preserve">, § </w:t>
      </w:r>
      <w:r w:rsidRPr="00DF2BC2">
        <w:t xml:space="preserve">43, ECHR 2000-VII; </w:t>
      </w:r>
      <w:proofErr w:type="spellStart"/>
      <w:r w:rsidR="00FE15B6">
        <w:rPr>
          <w:i/>
          <w:iCs/>
        </w:rPr>
        <w:t>Lupeni</w:t>
      </w:r>
      <w:proofErr w:type="spellEnd"/>
      <w:r w:rsidR="00FE15B6">
        <w:rPr>
          <w:i/>
          <w:iCs/>
        </w:rPr>
        <w:t> </w:t>
      </w:r>
      <w:r w:rsidR="001C7517">
        <w:rPr>
          <w:i/>
          <w:iCs/>
        </w:rPr>
        <w:t xml:space="preserve">Greek Catholic Parish and </w:t>
      </w:r>
      <w:r w:rsidRPr="00DF2BC2">
        <w:rPr>
          <w:i/>
          <w:iCs/>
        </w:rPr>
        <w:t>Others v.</w:t>
      </w:r>
      <w:r w:rsidR="001C7517">
        <w:rPr>
          <w:i/>
          <w:iCs/>
        </w:rPr>
        <w:t xml:space="preserve"> </w:t>
      </w:r>
      <w:r w:rsidRPr="00DF2BC2">
        <w:rPr>
          <w:i/>
          <w:iCs/>
        </w:rPr>
        <w:t xml:space="preserve">Romania </w:t>
      </w:r>
      <w:r w:rsidR="001C7517">
        <w:t>[GC], no. </w:t>
      </w:r>
      <w:r w:rsidR="00A07165">
        <w:t>76943/11, § </w:t>
      </w:r>
      <w:r w:rsidRPr="00DF2BC2">
        <w:t xml:space="preserve">143, ECHR 2016 (extracts); and </w:t>
      </w:r>
      <w:proofErr w:type="spellStart"/>
      <w:r w:rsidRPr="00DF2BC2">
        <w:rPr>
          <w:i/>
        </w:rPr>
        <w:t>Vas</w:t>
      </w:r>
      <w:r w:rsidR="00FE15B6">
        <w:rPr>
          <w:i/>
        </w:rPr>
        <w:t>silios</w:t>
      </w:r>
      <w:proofErr w:type="spellEnd"/>
      <w:r w:rsidR="00FE15B6">
        <w:rPr>
          <w:i/>
        </w:rPr>
        <w:t xml:space="preserve"> </w:t>
      </w:r>
      <w:proofErr w:type="spellStart"/>
      <w:r w:rsidR="00FE15B6">
        <w:rPr>
          <w:i/>
        </w:rPr>
        <w:t>Athanasiou</w:t>
      </w:r>
      <w:proofErr w:type="spellEnd"/>
      <w:r w:rsidR="00FE15B6">
        <w:rPr>
          <w:i/>
        </w:rPr>
        <w:t xml:space="preserve"> and Others v. </w:t>
      </w:r>
      <w:r w:rsidRPr="00DF2BC2">
        <w:rPr>
          <w:i/>
        </w:rPr>
        <w:t>Greece</w:t>
      </w:r>
      <w:r w:rsidRPr="00DF2BC2">
        <w:t>, no. 50973/08, 21</w:t>
      </w:r>
      <w:r w:rsidR="001C7517">
        <w:t xml:space="preserve"> </w:t>
      </w:r>
      <w:r w:rsidRPr="00DF2BC2">
        <w:t>December 2010).</w:t>
      </w:r>
      <w:proofErr w:type="gramEnd"/>
    </w:p>
    <w:p w:rsidRPr="00840B2B" w:rsidR="007041C9" w:rsidP="007041C9" w:rsidRDefault="007041C9">
      <w:pPr>
        <w:pStyle w:val="JuPara"/>
      </w:pPr>
      <w:r w:rsidRPr="006328E1">
        <w:fldChar w:fldCharType="begin"/>
      </w:r>
      <w:r w:rsidRPr="00BC5839">
        <w:instrText xml:space="preserve"> SEQ level0 \*arabic </w:instrText>
      </w:r>
      <w:r w:rsidRPr="006328E1">
        <w:fldChar w:fldCharType="separate"/>
      </w:r>
      <w:r w:rsidR="001C7517">
        <w:rPr>
          <w:noProof/>
        </w:rPr>
        <w:t>46</w:t>
      </w:r>
      <w:r w:rsidRPr="006328E1">
        <w:fldChar w:fldCharType="end"/>
      </w:r>
      <w:r w:rsidRPr="00BC5839">
        <w:t>.  The Court has examined on many oc</w:t>
      </w:r>
      <w:r w:rsidRPr="00840B2B">
        <w:t xml:space="preserve">casions cases raising questions akin to the one in issue here </w:t>
      </w:r>
      <w:r>
        <w:t xml:space="preserve">– </w:t>
      </w:r>
      <w:r w:rsidRPr="00840B2B">
        <w:t xml:space="preserve">namely the duration of </w:t>
      </w:r>
      <w:r>
        <w:t>civil</w:t>
      </w:r>
      <w:r w:rsidRPr="00840B2B">
        <w:t xml:space="preserve"> proceedings </w:t>
      </w:r>
      <w:r w:rsidR="00FE15B6">
        <w:noBreakHyphen/>
      </w:r>
      <w:r w:rsidRPr="00840B2B">
        <w:t>and concluded that there h</w:t>
      </w:r>
      <w:r w:rsidR="00A07165">
        <w:t xml:space="preserve">ad been a breach of Article 6 § </w:t>
      </w:r>
      <w:r w:rsidRPr="00840B2B">
        <w:t>1 (</w:t>
      </w:r>
      <w:r w:rsidR="00A07165">
        <w:t xml:space="preserve">see </w:t>
      </w:r>
      <w:proofErr w:type="spellStart"/>
      <w:r w:rsidR="00A07165">
        <w:rPr>
          <w:i/>
        </w:rPr>
        <w:t>Glykantzi</w:t>
      </w:r>
      <w:proofErr w:type="spellEnd"/>
      <w:r w:rsidR="00A07165">
        <w:rPr>
          <w:i/>
        </w:rPr>
        <w:t xml:space="preserve"> </w:t>
      </w:r>
      <w:r w:rsidRPr="00E06A15">
        <w:rPr>
          <w:i/>
        </w:rPr>
        <w:t>v.</w:t>
      </w:r>
      <w:r>
        <w:rPr>
          <w:i/>
        </w:rPr>
        <w:t> </w:t>
      </w:r>
      <w:r w:rsidRPr="00E06A15">
        <w:rPr>
          <w:i/>
        </w:rPr>
        <w:t>Greece</w:t>
      </w:r>
      <w:r w:rsidRPr="00E06A15">
        <w:t>, no. 40150/09</w:t>
      </w:r>
      <w:r w:rsidRPr="00E06A15">
        <w:rPr>
          <w:snapToGrid w:val="0"/>
        </w:rPr>
        <w:t xml:space="preserve">, § </w:t>
      </w:r>
      <w:r>
        <w:rPr>
          <w:snapToGrid w:val="0"/>
        </w:rPr>
        <w:t>71</w:t>
      </w:r>
      <w:r w:rsidRPr="00E06A15">
        <w:rPr>
          <w:snapToGrid w:val="0"/>
        </w:rPr>
        <w:t>, 30 October 2012</w:t>
      </w:r>
      <w:r w:rsidRPr="00840B2B">
        <w:t>, and the cases cited therein).</w:t>
      </w:r>
    </w:p>
    <w:p w:rsidRPr="00DF2BC2" w:rsidR="007041C9" w:rsidP="007041C9" w:rsidRDefault="007041C9">
      <w:pPr>
        <w:pStyle w:val="JuPara"/>
      </w:pPr>
      <w:r w:rsidRPr="00DF2BC2">
        <w:fldChar w:fldCharType="begin"/>
      </w:r>
      <w:r w:rsidRPr="00DF2BC2">
        <w:instrText xml:space="preserve"> SEQ level0 \*arabic </w:instrText>
      </w:r>
      <w:r w:rsidRPr="00DF2BC2">
        <w:fldChar w:fldCharType="separate"/>
      </w:r>
      <w:r w:rsidR="001C7517">
        <w:rPr>
          <w:noProof/>
        </w:rPr>
        <w:t>47</w:t>
      </w:r>
      <w:r w:rsidRPr="00DF2BC2">
        <w:fldChar w:fldCharType="end"/>
      </w:r>
      <w:r w:rsidRPr="00DF2BC2">
        <w:t>.  </w:t>
      </w:r>
      <w:proofErr w:type="gramStart"/>
      <w:r w:rsidRPr="00DF2BC2">
        <w:t>Even accepting the Government</w:t>
      </w:r>
      <w:r w:rsidR="00A07165">
        <w:t>’</w:t>
      </w:r>
      <w:r w:rsidRPr="00DF2BC2">
        <w:t>s arg</w:t>
      </w:r>
      <w:r w:rsidR="00FE15B6">
        <w:t>ument that the case presented a </w:t>
      </w:r>
      <w:r w:rsidRPr="00DF2BC2">
        <w:t>certain complexity and that an expert</w:t>
      </w:r>
      <w:r w:rsidR="00A07165">
        <w:t>’</w:t>
      </w:r>
      <w:r w:rsidRPr="00DF2BC2">
        <w:t>s report was necessary to assess the properties</w:t>
      </w:r>
      <w:r w:rsidR="00A07165">
        <w:t>’</w:t>
      </w:r>
      <w:r w:rsidRPr="00DF2BC2">
        <w:t xml:space="preserve"> value, the Court notes that the proceedings lasted more than seven years at three levels of jurisdiction.</w:t>
      </w:r>
      <w:proofErr w:type="gramEnd"/>
      <w:r w:rsidRPr="00DF2BC2">
        <w:t xml:space="preserve"> Having regard to its case-law on the subject, the Court considers that the Government have advanced no fact or argument justifying a different conclusion in the present case. Therefore, in the instant case the length of the proceedings was excessive.</w:t>
      </w:r>
    </w:p>
    <w:p w:rsidRPr="00A07165" w:rsidR="007041C9" w:rsidP="00A07165" w:rsidRDefault="007041C9">
      <w:pPr>
        <w:pStyle w:val="JuPara"/>
      </w:pPr>
      <w:r w:rsidRPr="00A07165">
        <w:fldChar w:fldCharType="begin"/>
      </w:r>
      <w:r w:rsidRPr="00A07165">
        <w:instrText xml:space="preserve"> SEQ level0 \*arabic </w:instrText>
      </w:r>
      <w:r w:rsidRPr="00A07165">
        <w:fldChar w:fldCharType="separate"/>
      </w:r>
      <w:r w:rsidR="001C7517">
        <w:rPr>
          <w:noProof/>
        </w:rPr>
        <w:t>48</w:t>
      </w:r>
      <w:r w:rsidRPr="00A07165">
        <w:fldChar w:fldCharType="end"/>
      </w:r>
      <w:r w:rsidRPr="00A07165">
        <w:t>.  Accordingly, there has been a breach of Article 6 § 1 of the Convention.</w:t>
      </w:r>
    </w:p>
    <w:p w:rsidRPr="000770D8" w:rsidR="007041C9" w:rsidP="007041C9" w:rsidRDefault="007041C9">
      <w:pPr>
        <w:pStyle w:val="JuPara"/>
      </w:pPr>
      <w:r>
        <w:rPr>
          <w:lang w:val="en-US"/>
        </w:rPr>
        <w:fldChar w:fldCharType="begin"/>
      </w:r>
      <w:r>
        <w:rPr>
          <w:lang w:val="en-US"/>
        </w:rPr>
        <w:instrText xml:space="preserve"> SEQ level0 \*arabic </w:instrText>
      </w:r>
      <w:r>
        <w:rPr>
          <w:lang w:val="en-US"/>
        </w:rPr>
        <w:fldChar w:fldCharType="separate"/>
      </w:r>
      <w:r w:rsidR="001C7517">
        <w:rPr>
          <w:noProof/>
          <w:lang w:val="en-US"/>
        </w:rPr>
        <w:t>49</w:t>
      </w:r>
      <w:r>
        <w:rPr>
          <w:lang w:val="en-US"/>
        </w:rPr>
        <w:fldChar w:fldCharType="end"/>
      </w:r>
      <w:r>
        <w:rPr>
          <w:lang w:val="en-US"/>
        </w:rPr>
        <w:t>.  </w:t>
      </w:r>
      <w:r w:rsidRPr="00286FA7">
        <w:rPr>
          <w:lang w:val="en-US"/>
        </w:rPr>
        <w:t>Turning to the applicant</w:t>
      </w:r>
      <w:r w:rsidR="00A07165">
        <w:rPr>
          <w:lang w:val="en-US"/>
        </w:rPr>
        <w:t>’</w:t>
      </w:r>
      <w:r w:rsidRPr="00286FA7">
        <w:rPr>
          <w:lang w:val="en-US"/>
        </w:rPr>
        <w:t>s complaint under Article 13 of the Convention, the Court reiterates that Article 13 guarantees an effective remedy before a national authority for an alleged breach of the requirement under Article 6 § 1 to hear a cas</w:t>
      </w:r>
      <w:r w:rsidR="00FE15B6">
        <w:rPr>
          <w:lang w:val="en-US"/>
        </w:rPr>
        <w:t>e within a reasonable time (see </w:t>
      </w:r>
      <w:proofErr w:type="spellStart"/>
      <w:r w:rsidR="00FE15B6">
        <w:rPr>
          <w:i/>
        </w:rPr>
        <w:t>Kudła</w:t>
      </w:r>
      <w:proofErr w:type="spellEnd"/>
      <w:r w:rsidR="00FE15B6">
        <w:rPr>
          <w:i/>
        </w:rPr>
        <w:t> </w:t>
      </w:r>
      <w:r w:rsidRPr="00E06A15">
        <w:rPr>
          <w:i/>
        </w:rPr>
        <w:t>v.</w:t>
      </w:r>
      <w:r>
        <w:rPr>
          <w:i/>
        </w:rPr>
        <w:t> </w:t>
      </w:r>
      <w:r w:rsidRPr="00E06A15">
        <w:rPr>
          <w:i/>
        </w:rPr>
        <w:t xml:space="preserve">Poland </w:t>
      </w:r>
      <w:r w:rsidRPr="00E06A15">
        <w:t xml:space="preserve">[GC], no. 30210/96, § </w:t>
      </w:r>
      <w:r>
        <w:t>156</w:t>
      </w:r>
      <w:r w:rsidRPr="00E06A15">
        <w:t>, ECHR 2000</w:t>
      </w:r>
      <w:r w:rsidRPr="00E06A15">
        <w:noBreakHyphen/>
        <w:t>XI</w:t>
      </w:r>
      <w:r w:rsidRPr="00286FA7">
        <w:rPr>
          <w:lang w:val="en-US"/>
        </w:rPr>
        <w:t>).</w:t>
      </w:r>
    </w:p>
    <w:p w:rsidRPr="00286FA7" w:rsidR="007041C9" w:rsidP="007041C9" w:rsidRDefault="007041C9">
      <w:pPr>
        <w:pStyle w:val="JuPara"/>
        <w:rPr>
          <w:lang w:val="en-US"/>
        </w:rPr>
      </w:pPr>
      <w:r>
        <w:rPr>
          <w:lang w:val="en-US"/>
        </w:rPr>
        <w:fldChar w:fldCharType="begin"/>
      </w:r>
      <w:r>
        <w:rPr>
          <w:lang w:val="en-US"/>
        </w:rPr>
        <w:instrText xml:space="preserve"> SEQ level0 \*arabic </w:instrText>
      </w:r>
      <w:r>
        <w:rPr>
          <w:lang w:val="en-US"/>
        </w:rPr>
        <w:fldChar w:fldCharType="separate"/>
      </w:r>
      <w:r w:rsidR="001C7517">
        <w:rPr>
          <w:noProof/>
          <w:lang w:val="en-US"/>
        </w:rPr>
        <w:t>50</w:t>
      </w:r>
      <w:r>
        <w:rPr>
          <w:lang w:val="en-US"/>
        </w:rPr>
        <w:fldChar w:fldCharType="end"/>
      </w:r>
      <w:r>
        <w:rPr>
          <w:lang w:val="en-US"/>
        </w:rPr>
        <w:t>.  </w:t>
      </w:r>
      <w:r w:rsidRPr="00286FA7">
        <w:rPr>
          <w:lang w:val="en-US"/>
        </w:rPr>
        <w:t>Moreover, the Court has already had the opportunity to observe that at the material time the Greek legal system did not offer the interested parties an effective remedy</w:t>
      </w:r>
      <w:r>
        <w:rPr>
          <w:lang w:val="en-US"/>
        </w:rPr>
        <w:t>,</w:t>
      </w:r>
      <w:r w:rsidRPr="00286FA7">
        <w:rPr>
          <w:lang w:val="en-US"/>
        </w:rPr>
        <w:t xml:space="preserve"> within the meaning of Article 13 of the Convention</w:t>
      </w:r>
      <w:r>
        <w:rPr>
          <w:lang w:val="en-US"/>
        </w:rPr>
        <w:t>,</w:t>
      </w:r>
      <w:r w:rsidRPr="00286FA7">
        <w:rPr>
          <w:lang w:val="en-US"/>
        </w:rPr>
        <w:t xml:space="preserve"> enabling them to complain about the length of proceedings (see, among many other authorities, </w:t>
      </w:r>
      <w:proofErr w:type="spellStart"/>
      <w:r w:rsidRPr="000770D8">
        <w:rPr>
          <w:i/>
          <w:lang w:val="en-US"/>
        </w:rPr>
        <w:t>Glykantzi</w:t>
      </w:r>
      <w:proofErr w:type="spellEnd"/>
      <w:r w:rsidRPr="00286FA7">
        <w:rPr>
          <w:lang w:val="en-US"/>
        </w:rPr>
        <w:t>, cited above, § 54). In the light of the foregoing considerations, the Co</w:t>
      </w:r>
      <w:r w:rsidR="001C7517">
        <w:rPr>
          <w:lang w:val="en-US"/>
        </w:rPr>
        <w:t xml:space="preserve">urt finds that there has been a </w:t>
      </w:r>
      <w:r w:rsidRPr="00286FA7">
        <w:rPr>
          <w:lang w:val="en-US"/>
        </w:rPr>
        <w:t>violation of Article 13 of the Convention in that the applicant had no domestic remedy whereby he could enforce h</w:t>
      </w:r>
      <w:r w:rsidR="00FE15B6">
        <w:rPr>
          <w:lang w:val="en-US"/>
        </w:rPr>
        <w:t>is right to a “hearing within a</w:t>
      </w:r>
      <w:r w:rsidR="001C7517">
        <w:rPr>
          <w:lang w:val="en-US"/>
        </w:rPr>
        <w:t xml:space="preserve"> </w:t>
      </w:r>
      <w:r w:rsidRPr="00286FA7">
        <w:rPr>
          <w:lang w:val="en-US"/>
        </w:rPr>
        <w:t>reasonable time” as guaranteed by Article 6 § 1 of the Convention.</w:t>
      </w:r>
    </w:p>
    <w:p w:rsidRPr="00301620" w:rsidR="007041C9" w:rsidP="007041C9" w:rsidRDefault="001C7517">
      <w:pPr>
        <w:pStyle w:val="JuHIRoman"/>
      </w:pPr>
      <w:r>
        <w:t>  </w:t>
      </w:r>
      <w:r w:rsidRPr="00301620" w:rsidR="007041C9">
        <w:t>APPLICATION OF ARTICLE 41 OF THE CONVENTION</w:t>
      </w:r>
    </w:p>
    <w:p w:rsidRPr="00301620" w:rsidR="007041C9" w:rsidP="007041C9" w:rsidRDefault="007041C9">
      <w:pPr>
        <w:pStyle w:val="JuPara"/>
      </w:pPr>
      <w:r>
        <w:fldChar w:fldCharType="begin"/>
      </w:r>
      <w:r>
        <w:instrText xml:space="preserve"> SEQ level0 \*arabic </w:instrText>
      </w:r>
      <w:r>
        <w:fldChar w:fldCharType="separate"/>
      </w:r>
      <w:r w:rsidR="001C7517">
        <w:rPr>
          <w:noProof/>
        </w:rPr>
        <w:t>51</w:t>
      </w:r>
      <w:r>
        <w:fldChar w:fldCharType="end"/>
      </w:r>
      <w:r>
        <w:t>.  </w:t>
      </w:r>
      <w:r w:rsidRPr="00301620">
        <w:t>Article 41 of the Convention provides:</w:t>
      </w:r>
    </w:p>
    <w:p w:rsidRPr="00301620" w:rsidR="007041C9" w:rsidP="007041C9" w:rsidRDefault="007041C9">
      <w:pPr>
        <w:pStyle w:val="JuQuot"/>
        <w:keepNext/>
        <w:keepLines/>
      </w:pPr>
      <w:r w:rsidRPr="0030162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01620" w:rsidR="007041C9" w:rsidP="007041C9" w:rsidRDefault="007041C9">
      <w:pPr>
        <w:pStyle w:val="JuHA"/>
      </w:pPr>
      <w:r w:rsidRPr="00301620">
        <w:t>Damage</w:t>
      </w:r>
    </w:p>
    <w:p w:rsidR="007041C9" w:rsidP="007041C9" w:rsidRDefault="007041C9">
      <w:pPr>
        <w:pStyle w:val="JuPara"/>
      </w:pPr>
      <w:r>
        <w:fldChar w:fldCharType="begin"/>
      </w:r>
      <w:r>
        <w:instrText xml:space="preserve"> SEQ level0 \*arabic </w:instrText>
      </w:r>
      <w:r>
        <w:fldChar w:fldCharType="separate"/>
      </w:r>
      <w:r w:rsidR="001C7517">
        <w:rPr>
          <w:noProof/>
        </w:rPr>
        <w:t>52</w:t>
      </w:r>
      <w:r>
        <w:fldChar w:fldCharType="end"/>
      </w:r>
      <w:r w:rsidRPr="00301620">
        <w:t xml:space="preserve">.  The </w:t>
      </w:r>
      <w:r>
        <w:rPr>
          <w:szCs w:val="24"/>
        </w:rPr>
        <w:t>applicant</w:t>
      </w:r>
      <w:r w:rsidRPr="00301620">
        <w:t xml:space="preserve"> claimed </w:t>
      </w:r>
      <w:r>
        <w:t>49,315</w:t>
      </w:r>
      <w:r w:rsidRPr="00301620">
        <w:t xml:space="preserve"> euros (EUR) in respect of pecuniary </w:t>
      </w:r>
      <w:r>
        <w:t>damage. In particular, he argued that according to data provided by the Bank of Greece, property prices had increased by 35% between October 2004 and November 2008. Therefore, the compensation he had received, that is to say EUR 140,900, should be recalculated by the above-mentioned percentage and he should be awarded the difference, which in his case amounted to EUR</w:t>
      </w:r>
      <w:r w:rsidRPr="0029494C">
        <w:t xml:space="preserve"> 49,315</w:t>
      </w:r>
      <w:r>
        <w:t>. The applicant also claimed EUR 85,000 in respect of non-pecuniary damage for the violat</w:t>
      </w:r>
      <w:r w:rsidR="00A07165">
        <w:t>ion of his rights under Article </w:t>
      </w:r>
      <w:r>
        <w:t>1 of Protocol No. 1 to the Convention and EUR 15,000 for the violation of his rights under Articles 6 and 13 of the Convention.</w:t>
      </w:r>
    </w:p>
    <w:p w:rsidR="007041C9" w:rsidP="007041C9" w:rsidRDefault="007041C9">
      <w:pPr>
        <w:pStyle w:val="JuPara"/>
      </w:pPr>
      <w:r>
        <w:fldChar w:fldCharType="begin"/>
      </w:r>
      <w:r>
        <w:instrText xml:space="preserve"> SEQ level0 \*arabic </w:instrText>
      </w:r>
      <w:r>
        <w:fldChar w:fldCharType="separate"/>
      </w:r>
      <w:r w:rsidR="001C7517">
        <w:rPr>
          <w:noProof/>
        </w:rPr>
        <w:t>53</w:t>
      </w:r>
      <w:r>
        <w:fldChar w:fldCharType="end"/>
      </w:r>
      <w:r w:rsidRPr="00301620">
        <w:t xml:space="preserve">.  The Government </w:t>
      </w:r>
      <w:r>
        <w:t>argued that it was not the Court</w:t>
      </w:r>
      <w:r w:rsidR="00A07165">
        <w:t>’</w:t>
      </w:r>
      <w:r>
        <w:t>s task to assess the compensation that should be awarded to the applicant. In any event, they considered the amounts requested as unjustified and excessive.</w:t>
      </w:r>
    </w:p>
    <w:p w:rsidRPr="00301620" w:rsidR="007041C9" w:rsidP="007041C9" w:rsidRDefault="007041C9">
      <w:pPr>
        <w:pStyle w:val="JuPara"/>
      </w:pPr>
      <w:r>
        <w:fldChar w:fldCharType="begin"/>
      </w:r>
      <w:r>
        <w:instrText xml:space="preserve"> SEQ level0 \*arabic </w:instrText>
      </w:r>
      <w:r>
        <w:fldChar w:fldCharType="separate"/>
      </w:r>
      <w:r w:rsidR="001C7517">
        <w:rPr>
          <w:noProof/>
        </w:rPr>
        <w:t>54</w:t>
      </w:r>
      <w:r>
        <w:fldChar w:fldCharType="end"/>
      </w:r>
      <w:r w:rsidRPr="00301620">
        <w:t xml:space="preserve">.  The Court </w:t>
      </w:r>
      <w:r>
        <w:t xml:space="preserve">observes that the domestic courts awarded the applicant EUR 140,900 based on their assessment of the value of his expropriated property in October 2004. </w:t>
      </w:r>
      <w:r w:rsidRPr="00B16426">
        <w:t xml:space="preserve">Having regard to the information </w:t>
      </w:r>
      <w:r>
        <w:t>and</w:t>
      </w:r>
      <w:r w:rsidRPr="00B16426">
        <w:t xml:space="preserve"> docu</w:t>
      </w:r>
      <w:r>
        <w:t>ments submitted by the parties</w:t>
      </w:r>
      <w:r w:rsidRPr="00B16426">
        <w:t>, the Court considers it reasonable and equitable, as required by Art</w:t>
      </w:r>
      <w:r>
        <w:t xml:space="preserve">icle 41, to award the applicant EUR 35,000 in respect of </w:t>
      </w:r>
      <w:r w:rsidRPr="00301620">
        <w:t>pecuniary damage.</w:t>
      </w:r>
      <w:r>
        <w:t xml:space="preserve"> Furthermore, making its assessment on equitable basis, it awards him EUR 4,000 in respect of non-pecuniary damage.</w:t>
      </w:r>
    </w:p>
    <w:p w:rsidRPr="00301620" w:rsidR="007041C9" w:rsidP="007041C9" w:rsidRDefault="007041C9">
      <w:pPr>
        <w:pStyle w:val="JuHA"/>
      </w:pPr>
      <w:r w:rsidRPr="00301620">
        <w:t>Costs and expenses</w:t>
      </w:r>
    </w:p>
    <w:p w:rsidRPr="00301620" w:rsidR="007041C9" w:rsidP="007041C9" w:rsidRDefault="007041C9">
      <w:pPr>
        <w:pStyle w:val="JuPara"/>
      </w:pPr>
      <w:r>
        <w:fldChar w:fldCharType="begin"/>
      </w:r>
      <w:r>
        <w:instrText xml:space="preserve"> SEQ level0 \*arabic </w:instrText>
      </w:r>
      <w:r>
        <w:fldChar w:fldCharType="separate"/>
      </w:r>
      <w:r w:rsidR="001C7517">
        <w:rPr>
          <w:noProof/>
        </w:rPr>
        <w:t>55</w:t>
      </w:r>
      <w:r>
        <w:fldChar w:fldCharType="end"/>
      </w:r>
      <w:r w:rsidRPr="00301620">
        <w:t xml:space="preserve">.  The </w:t>
      </w:r>
      <w:r>
        <w:rPr>
          <w:szCs w:val="24"/>
        </w:rPr>
        <w:t>applicant</w:t>
      </w:r>
      <w:r w:rsidRPr="00301620">
        <w:t xml:space="preserve"> also claimed EUR </w:t>
      </w:r>
      <w:r>
        <w:t>1,500</w:t>
      </w:r>
      <w:r w:rsidRPr="00301620">
        <w:t xml:space="preserve"> for the costs and expenses incurred before the Court.</w:t>
      </w:r>
    </w:p>
    <w:p w:rsidRPr="00301620" w:rsidR="007041C9" w:rsidP="007041C9" w:rsidRDefault="007041C9">
      <w:pPr>
        <w:pStyle w:val="JuPara"/>
      </w:pPr>
      <w:r>
        <w:fldChar w:fldCharType="begin"/>
      </w:r>
      <w:r>
        <w:instrText xml:space="preserve"> SEQ level0 \*arabic </w:instrText>
      </w:r>
      <w:r>
        <w:fldChar w:fldCharType="separate"/>
      </w:r>
      <w:r w:rsidR="001C7517">
        <w:rPr>
          <w:noProof/>
        </w:rPr>
        <w:t>56</w:t>
      </w:r>
      <w:r>
        <w:fldChar w:fldCharType="end"/>
      </w:r>
      <w:r w:rsidRPr="00301620">
        <w:t xml:space="preserve">.  The Government </w:t>
      </w:r>
      <w:r w:rsidRPr="00E16A3B">
        <w:t>argued that the applicant had failed to prove that all the costs and expenses claimed had been necessary. In addition, they submitted that the amount requested for the proceedings before the Court was excessive.</w:t>
      </w:r>
    </w:p>
    <w:p w:rsidRPr="00301620" w:rsidR="007041C9" w:rsidP="007041C9" w:rsidRDefault="007041C9">
      <w:pPr>
        <w:pStyle w:val="JuPara"/>
      </w:pPr>
      <w:r>
        <w:fldChar w:fldCharType="begin"/>
      </w:r>
      <w:r>
        <w:instrText xml:space="preserve"> SEQ level0 \*arabic </w:instrText>
      </w:r>
      <w:r>
        <w:fldChar w:fldCharType="separate"/>
      </w:r>
      <w:r w:rsidR="001C7517">
        <w:rPr>
          <w:noProof/>
        </w:rPr>
        <w:t>57</w:t>
      </w:r>
      <w:r>
        <w:fldChar w:fldCharType="end"/>
      </w:r>
      <w:r w:rsidRPr="00301620">
        <w:t xml:space="preserve">.  Regard being had to the documents in its possession and to its case-law, the Court considers it reasonable to award the sum of EUR </w:t>
      </w:r>
      <w:r>
        <w:t>1,200</w:t>
      </w:r>
      <w:r w:rsidRPr="00301620">
        <w:t xml:space="preserve"> for</w:t>
      </w:r>
      <w:r>
        <w:t xml:space="preserve"> the costs of</w:t>
      </w:r>
      <w:r w:rsidRPr="00301620">
        <w:t xml:space="preserve"> the proceedings before the Court.</w:t>
      </w:r>
    </w:p>
    <w:p w:rsidRPr="00301620" w:rsidR="007041C9" w:rsidP="007041C9" w:rsidRDefault="007041C9">
      <w:pPr>
        <w:pStyle w:val="JuHA"/>
      </w:pPr>
      <w:r w:rsidRPr="00301620">
        <w:t>Default interest</w:t>
      </w:r>
    </w:p>
    <w:p w:rsidRPr="00301620" w:rsidR="007041C9" w:rsidP="007041C9" w:rsidRDefault="007041C9">
      <w:pPr>
        <w:pStyle w:val="JuPara"/>
      </w:pPr>
      <w:r>
        <w:fldChar w:fldCharType="begin"/>
      </w:r>
      <w:r>
        <w:instrText xml:space="preserve"> SEQ level0 \*arabic </w:instrText>
      </w:r>
      <w:r>
        <w:fldChar w:fldCharType="separate"/>
      </w:r>
      <w:r w:rsidR="001C7517">
        <w:rPr>
          <w:noProof/>
        </w:rPr>
        <w:t>58</w:t>
      </w:r>
      <w:r>
        <w:fldChar w:fldCharType="end"/>
      </w:r>
      <w:r w:rsidRPr="00301620">
        <w:t>.  The Court considers it appropriate that the default interest rate should be based on the marginal lending rate of the European Central Bank, to which should be added three percentage points.</w:t>
      </w:r>
    </w:p>
    <w:p w:rsidRPr="00301620" w:rsidR="007041C9" w:rsidP="007041C9" w:rsidRDefault="007041C9">
      <w:pPr>
        <w:pStyle w:val="JuHHead"/>
      </w:pPr>
      <w:r w:rsidRPr="00301620">
        <w:t>FOR THESE REASONS, THE COURT, UNANIMOUSLY,</w:t>
      </w:r>
    </w:p>
    <w:p w:rsidR="007041C9" w:rsidP="007041C9" w:rsidRDefault="007041C9">
      <w:pPr>
        <w:pStyle w:val="JuList"/>
        <w:numPr>
          <w:ilvl w:val="0"/>
          <w:numId w:val="19"/>
        </w:numPr>
      </w:pPr>
      <w:r w:rsidRPr="0033387A">
        <w:rPr>
          <w:i/>
        </w:rPr>
        <w:t>Dismisses</w:t>
      </w:r>
      <w:r>
        <w:t xml:space="preserve"> the Government</w:t>
      </w:r>
      <w:r w:rsidR="00A07165">
        <w:t>’</w:t>
      </w:r>
      <w:r>
        <w:t>s preliminary objection of non-exhaustion of domestic remedies;</w:t>
      </w:r>
    </w:p>
    <w:p w:rsidRPr="000E50B6" w:rsidR="007041C9" w:rsidP="007041C9" w:rsidRDefault="007041C9">
      <w:pPr>
        <w:pStyle w:val="JuList"/>
        <w:numPr>
          <w:ilvl w:val="0"/>
          <w:numId w:val="19"/>
        </w:numPr>
      </w:pPr>
      <w:r w:rsidRPr="0033387A">
        <w:rPr>
          <w:i/>
        </w:rPr>
        <w:t>Joins to the merits</w:t>
      </w:r>
      <w:r>
        <w:t xml:space="preserve"> the Government</w:t>
      </w:r>
      <w:r w:rsidR="00A07165">
        <w:t>’</w:t>
      </w:r>
      <w:r>
        <w:t xml:space="preserve">s preliminary objection that the application is incompatible </w:t>
      </w:r>
      <w:proofErr w:type="spellStart"/>
      <w:r w:rsidRPr="0033387A">
        <w:rPr>
          <w:i/>
        </w:rPr>
        <w:t>ratione</w:t>
      </w:r>
      <w:proofErr w:type="spellEnd"/>
      <w:r w:rsidRPr="0033387A">
        <w:rPr>
          <w:i/>
        </w:rPr>
        <w:t xml:space="preserve"> personae</w:t>
      </w:r>
      <w:r>
        <w:t xml:space="preserve"> with the Convention and</w:t>
      </w:r>
      <w:r w:rsidRPr="0033387A">
        <w:t xml:space="preserve"> </w:t>
      </w:r>
      <w:r w:rsidRPr="0033387A">
        <w:rPr>
          <w:i/>
        </w:rPr>
        <w:t>dismisses</w:t>
      </w:r>
      <w:r>
        <w:t xml:space="preserve"> it;</w:t>
      </w:r>
    </w:p>
    <w:p w:rsidRPr="00301620" w:rsidR="007041C9" w:rsidP="007041C9" w:rsidRDefault="007041C9">
      <w:pPr>
        <w:pStyle w:val="JuList"/>
        <w:numPr>
          <w:ilvl w:val="0"/>
          <w:numId w:val="19"/>
        </w:numPr>
      </w:pPr>
      <w:r w:rsidRPr="006D56A0">
        <w:rPr>
          <w:i/>
        </w:rPr>
        <w:t>Declares</w:t>
      </w:r>
      <w:r w:rsidRPr="00301620">
        <w:t xml:space="preserve"> the </w:t>
      </w:r>
      <w:r>
        <w:t>application</w:t>
      </w:r>
      <w:r w:rsidRPr="00301620">
        <w:t xml:space="preserve"> admissible;</w:t>
      </w:r>
    </w:p>
    <w:p w:rsidRPr="00301620" w:rsidR="007041C9" w:rsidP="007041C9" w:rsidRDefault="007041C9">
      <w:pPr>
        <w:pStyle w:val="JuList"/>
      </w:pPr>
      <w:r w:rsidRPr="00301620">
        <w:rPr>
          <w:i/>
        </w:rPr>
        <w:t>Holds</w:t>
      </w:r>
      <w:r w:rsidRPr="00301620">
        <w:rPr>
          <w:color w:val="000000"/>
        </w:rPr>
        <w:t xml:space="preserve"> </w:t>
      </w:r>
      <w:r w:rsidRPr="00301620">
        <w:t xml:space="preserve">that there has been a violation of Article </w:t>
      </w:r>
      <w:r>
        <w:t>1 of Protocol No. 1 to</w:t>
      </w:r>
      <w:r w:rsidRPr="00301620">
        <w:t xml:space="preserve"> the Convention;</w:t>
      </w:r>
    </w:p>
    <w:p w:rsidRPr="00301620" w:rsidR="007041C9" w:rsidP="007041C9" w:rsidRDefault="007041C9">
      <w:pPr>
        <w:pStyle w:val="JuList"/>
      </w:pPr>
      <w:r w:rsidRPr="00301620">
        <w:rPr>
          <w:i/>
        </w:rPr>
        <w:t>Holds</w:t>
      </w:r>
      <w:r w:rsidRPr="00301620">
        <w:rPr>
          <w:color w:val="000000"/>
        </w:rPr>
        <w:t xml:space="preserve"> </w:t>
      </w:r>
      <w:r w:rsidRPr="00301620">
        <w:t xml:space="preserve">that there has been a violation of Article </w:t>
      </w:r>
      <w:r>
        <w:t xml:space="preserve">6 </w:t>
      </w:r>
      <w:r w:rsidRPr="000E50B6">
        <w:rPr>
          <w:lang w:val="en-US"/>
        </w:rPr>
        <w:t>§</w:t>
      </w:r>
      <w:r>
        <w:rPr>
          <w:lang w:val="en-US"/>
        </w:rPr>
        <w:t xml:space="preserve"> 1</w:t>
      </w:r>
      <w:r w:rsidRPr="00301620">
        <w:t xml:space="preserve"> of the Convention;</w:t>
      </w:r>
    </w:p>
    <w:p w:rsidRPr="00301620" w:rsidR="007041C9" w:rsidP="007041C9" w:rsidRDefault="007041C9">
      <w:pPr>
        <w:pStyle w:val="JuList"/>
      </w:pPr>
      <w:r w:rsidRPr="00301620">
        <w:rPr>
          <w:i/>
        </w:rPr>
        <w:t>Holds</w:t>
      </w:r>
      <w:r w:rsidRPr="00301620">
        <w:rPr>
          <w:color w:val="000000"/>
        </w:rPr>
        <w:t xml:space="preserve"> </w:t>
      </w:r>
      <w:r w:rsidRPr="00301620">
        <w:t xml:space="preserve">that </w:t>
      </w:r>
      <w:r w:rsidRPr="000E50B6">
        <w:t xml:space="preserve">there has been a violation of Article </w:t>
      </w:r>
      <w:r>
        <w:t>13</w:t>
      </w:r>
      <w:r w:rsidRPr="000E50B6">
        <w:t xml:space="preserve"> of the Convention</w:t>
      </w:r>
      <w:r w:rsidRPr="00301620">
        <w:t>;</w:t>
      </w:r>
    </w:p>
    <w:p w:rsidRPr="00301620" w:rsidR="007041C9" w:rsidP="007041C9" w:rsidRDefault="007041C9">
      <w:pPr>
        <w:pStyle w:val="JuList"/>
      </w:pPr>
      <w:r w:rsidRPr="00301620">
        <w:rPr>
          <w:i/>
        </w:rPr>
        <w:t>Holds</w:t>
      </w:r>
    </w:p>
    <w:p w:rsidRPr="00301620" w:rsidR="007041C9" w:rsidP="007041C9" w:rsidRDefault="007041C9">
      <w:pPr>
        <w:pStyle w:val="JuLista"/>
      </w:pPr>
      <w:r w:rsidRPr="00301620">
        <w:t xml:space="preserve">that the respondent State is to pay the </w:t>
      </w:r>
      <w:r>
        <w:rPr>
          <w:szCs w:val="24"/>
        </w:rPr>
        <w:t>applicant</w:t>
      </w:r>
      <w:r w:rsidRPr="00301620">
        <w:t>, within three months</w:t>
      </w:r>
      <w:r>
        <w:t xml:space="preserve"> </w:t>
      </w:r>
      <w:r w:rsidRPr="00301620">
        <w:t>the following amounts:</w:t>
      </w:r>
    </w:p>
    <w:p w:rsidRPr="00301620" w:rsidR="007041C9" w:rsidP="007041C9" w:rsidRDefault="007041C9">
      <w:pPr>
        <w:pStyle w:val="JuListi"/>
      </w:pPr>
      <w:r w:rsidRPr="00301620">
        <w:t xml:space="preserve">EUR </w:t>
      </w:r>
      <w:r>
        <w:t>35,000</w:t>
      </w:r>
      <w:r w:rsidRPr="00F04E58">
        <w:t xml:space="preserve"> (</w:t>
      </w:r>
      <w:r>
        <w:t>thirty-five thousand euros)</w:t>
      </w:r>
      <w:r w:rsidRPr="00301620">
        <w:t>, plus any tax that may be chargeable,</w:t>
      </w:r>
      <w:r>
        <w:t xml:space="preserve"> </w:t>
      </w:r>
      <w:r w:rsidRPr="00301620">
        <w:t>in respect of pecuniary damage;</w:t>
      </w:r>
    </w:p>
    <w:p w:rsidRPr="00301620" w:rsidR="007041C9" w:rsidP="007041C9" w:rsidRDefault="007041C9">
      <w:pPr>
        <w:pStyle w:val="JuListi"/>
      </w:pPr>
      <w:r w:rsidRPr="00301620">
        <w:t xml:space="preserve">EUR </w:t>
      </w:r>
      <w:r>
        <w:t>4,000</w:t>
      </w:r>
      <w:r w:rsidRPr="00F04E58">
        <w:t xml:space="preserve"> (</w:t>
      </w:r>
      <w:r>
        <w:t>four thousand</w:t>
      </w:r>
      <w:r w:rsidRPr="00301620">
        <w:t xml:space="preserve"> euros), plus any tax that may be chargeable, in respect of non-pecuniary damage;</w:t>
      </w:r>
    </w:p>
    <w:p w:rsidRPr="00301620" w:rsidR="007041C9" w:rsidP="007041C9" w:rsidRDefault="007041C9">
      <w:pPr>
        <w:pStyle w:val="JuListi"/>
      </w:pPr>
      <w:r w:rsidRPr="00301620">
        <w:t xml:space="preserve">EUR </w:t>
      </w:r>
      <w:r>
        <w:t>1,200</w:t>
      </w:r>
      <w:r w:rsidRPr="00F04E58">
        <w:t xml:space="preserve"> (</w:t>
      </w:r>
      <w:r>
        <w:t>one thousand two hundred</w:t>
      </w:r>
      <w:r w:rsidRPr="00301620">
        <w:t xml:space="preserve"> euros), plus any tax that may be chargeable to the </w:t>
      </w:r>
      <w:r>
        <w:rPr>
          <w:szCs w:val="24"/>
        </w:rPr>
        <w:t>applicant</w:t>
      </w:r>
      <w:r w:rsidRPr="00301620">
        <w:t>, in respect of costs and expenses;</w:t>
      </w:r>
    </w:p>
    <w:p w:rsidRPr="00301620" w:rsidR="007041C9" w:rsidP="007041C9" w:rsidRDefault="007041C9">
      <w:pPr>
        <w:pStyle w:val="JuLista"/>
      </w:pPr>
      <w:r w:rsidRPr="00301620">
        <w:t>that from the expiry of the above-mentioned three months until settlement</w:t>
      </w:r>
      <w:r>
        <w:t>,</w:t>
      </w:r>
      <w:r w:rsidRPr="00301620">
        <w:t xml:space="preserve"> simple interest shall be payable on the above amounts at a rate equal to the marginal lending rate of the European Central Bank during the default period</w:t>
      </w:r>
      <w:r>
        <w:t>,</w:t>
      </w:r>
      <w:r w:rsidRPr="00301620">
        <w:t xml:space="preserve"> plus three percentage points;</w:t>
      </w:r>
    </w:p>
    <w:p w:rsidRPr="00085457" w:rsidR="004D0EC7" w:rsidP="007041C9" w:rsidRDefault="007041C9">
      <w:pPr>
        <w:pStyle w:val="JuList"/>
      </w:pPr>
      <w:r w:rsidRPr="00301620">
        <w:rPr>
          <w:i/>
        </w:rPr>
        <w:t>Dismisses</w:t>
      </w:r>
      <w:r w:rsidRPr="00301620">
        <w:rPr>
          <w:color w:val="000000"/>
        </w:rPr>
        <w:t xml:space="preserve"> </w:t>
      </w:r>
      <w:r w:rsidRPr="00301620">
        <w:t xml:space="preserve">the remainder of the </w:t>
      </w:r>
      <w:r>
        <w:rPr>
          <w:szCs w:val="24"/>
        </w:rPr>
        <w:t>applicant</w:t>
      </w:r>
      <w:r w:rsidRPr="00301620">
        <w:t xml:space="preserve"> claim for just satisfaction.</w:t>
      </w:r>
    </w:p>
    <w:p w:rsidRPr="0053315C" w:rsidR="008E3A08" w:rsidP="007E2C8C" w:rsidRDefault="007E2C8C">
      <w:pPr>
        <w:pStyle w:val="JuParaLast"/>
      </w:pPr>
      <w:r w:rsidRPr="00085457">
        <w:t xml:space="preserve">Done in English, and notified in writing on </w:t>
      </w:r>
      <w:r w:rsidR="007041C9">
        <w:rPr>
          <w:rFonts w:ascii="Times New Roman" w:hAnsi="Times New Roman" w:cs="Times New Roman"/>
        </w:rPr>
        <w:t>14 November 2019</w:t>
      </w:r>
      <w:r w:rsidRPr="00085457">
        <w:t xml:space="preserve">, pursuant to Rule 77 §§ 2 and 3 </w:t>
      </w:r>
      <w:r w:rsidRPr="0053315C">
        <w:t>of the Rules of Court.</w:t>
      </w:r>
    </w:p>
    <w:p w:rsidRPr="00A07165" w:rsidR="002A613A" w:rsidP="001C7517" w:rsidRDefault="00FE15B6">
      <w:pPr>
        <w:pStyle w:val="JuSigned"/>
        <w:rPr>
          <w:highlight w:val="yellow"/>
        </w:rPr>
      </w:pPr>
      <w:r>
        <w:tab/>
      </w:r>
      <w:r w:rsidR="007041C9">
        <w:t>Renata</w:t>
      </w:r>
      <w:r w:rsidRPr="0053315C" w:rsidR="007041C9">
        <w:t xml:space="preserve"> </w:t>
      </w:r>
      <w:r w:rsidR="007041C9">
        <w:t>Degener</w:t>
      </w:r>
      <w:r w:rsidRPr="0053315C" w:rsidR="005879A2">
        <w:t xml:space="preserve"> </w:t>
      </w:r>
      <w:r w:rsidRPr="0053315C" w:rsidR="009F4C8F">
        <w:tab/>
      </w:r>
      <w:r w:rsidR="007041C9">
        <w:rPr>
          <w:szCs w:val="24"/>
        </w:rPr>
        <w:t>Krzysztof</w:t>
      </w:r>
      <w:r w:rsidRPr="0053315C" w:rsidR="007041C9">
        <w:rPr>
          <w:szCs w:val="24"/>
        </w:rPr>
        <w:t xml:space="preserve"> </w:t>
      </w:r>
      <w:proofErr w:type="spellStart"/>
      <w:r w:rsidR="007041C9">
        <w:rPr>
          <w:szCs w:val="24"/>
        </w:rPr>
        <w:t>Wojtyczek</w:t>
      </w:r>
      <w:proofErr w:type="spellEnd"/>
      <w:r w:rsidRPr="00085457" w:rsidR="009F4C8F">
        <w:rPr>
          <w:szCs w:val="24"/>
        </w:rPr>
        <w:br/>
      </w:r>
      <w:r w:rsidRPr="00085457" w:rsidR="009F4C8F">
        <w:tab/>
      </w:r>
      <w:r w:rsidRPr="0053315C" w:rsidR="007041C9">
        <w:t xml:space="preserve">Deputy </w:t>
      </w:r>
      <w:r w:rsidRPr="00085457" w:rsidR="007041C9">
        <w:rPr>
          <w:iCs/>
        </w:rPr>
        <w:t>Registrar</w:t>
      </w:r>
      <w:r w:rsidRPr="00085457" w:rsidR="009F4C8F">
        <w:tab/>
        <w:t>President</w:t>
      </w:r>
    </w:p>
    <w:sectPr w:rsidRPr="00A07165" w:rsidR="002A613A" w:rsidSect="000B719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1C9" w:rsidRPr="00085457" w:rsidRDefault="007041C9" w:rsidP="0098410D">
      <w:r w:rsidRPr="00085457">
        <w:separator/>
      </w:r>
    </w:p>
  </w:endnote>
  <w:endnote w:type="continuationSeparator" w:id="0">
    <w:p w:rsidR="007041C9" w:rsidRPr="00085457" w:rsidRDefault="007041C9"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1C9" w:rsidRPr="00150BFA" w:rsidRDefault="007041C9" w:rsidP="0020718E">
    <w:pPr>
      <w:jc w:val="center"/>
    </w:pPr>
    <w:r>
      <w:rPr>
        <w:noProof/>
        <w:lang w:val="en-US" w:eastAsia="ja-JP"/>
      </w:rPr>
      <w:drawing>
        <wp:inline distT="0" distB="0" distL="0" distR="0" wp14:anchorId="17CA66AB" wp14:editId="4AD17886">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22CB2">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22CB2"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1C9" w:rsidRPr="00085457" w:rsidRDefault="007041C9" w:rsidP="0098410D">
      <w:r w:rsidRPr="00085457">
        <w:separator/>
      </w:r>
    </w:p>
  </w:footnote>
  <w:footnote w:type="continuationSeparator" w:id="0">
    <w:p w:rsidR="007041C9" w:rsidRPr="00085457" w:rsidRDefault="007041C9"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1C9" w:rsidRPr="00A45145" w:rsidRDefault="007041C9" w:rsidP="00A45145">
    <w:pPr>
      <w:jc w:val="center"/>
    </w:pPr>
    <w:r>
      <w:rPr>
        <w:noProof/>
        <w:lang w:val="en-US" w:eastAsia="ja-JP"/>
      </w:rPr>
      <w:drawing>
        <wp:inline distT="0" distB="0" distL="0" distR="0" wp14:anchorId="61C3E664" wp14:editId="336A805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1C9" w:rsidRPr="00A45145" w:rsidRDefault="007041C9" w:rsidP="00A45145">
    <w:pPr>
      <w:jc w:val="center"/>
    </w:pPr>
    <w:r>
      <w:rPr>
        <w:noProof/>
        <w:lang w:val="en-US" w:eastAsia="ja-JP"/>
      </w:rPr>
      <w:drawing>
        <wp:inline distT="0" distB="0" distL="0" distR="0" wp14:anchorId="610994AE" wp14:editId="4799B58C">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041C9" w:rsidP="004D0EC7">
    <w:pPr>
      <w:pStyle w:val="JuHeader"/>
    </w:pPr>
    <w:r>
      <w:rPr>
        <w:rStyle w:val="PageNumber"/>
      </w:rPr>
      <w:fldChar w:fldCharType="begin"/>
    </w:r>
    <w:r>
      <w:rPr>
        <w:rStyle w:val="PageNumber"/>
      </w:rPr>
      <w:instrText xml:space="preserve"> PAGE </w:instrText>
    </w:r>
    <w:r>
      <w:rPr>
        <w:rStyle w:val="PageNumber"/>
      </w:rPr>
      <w:fldChar w:fldCharType="separate"/>
    </w:r>
    <w:r w:rsidR="007D6B23">
      <w:rPr>
        <w:rStyle w:val="PageNumber"/>
        <w:noProof/>
      </w:rPr>
      <w:t>2</w:t>
    </w:r>
    <w:r>
      <w:rPr>
        <w:rStyle w:val="PageNumber"/>
      </w:rPr>
      <w:fldChar w:fldCharType="end"/>
    </w:r>
    <w:r w:rsidR="00882CD5" w:rsidRPr="004D0EC7">
      <w:tab/>
    </w:r>
    <w:r>
      <w:t>TSIGARAS v. GREECE</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7041C9">
      <w:t>TSIGARAS v. GREECE</w:t>
    </w:r>
    <w:r w:rsidRPr="00882CD5">
      <w:t xml:space="preserve"> JUDGMENT</w:t>
    </w:r>
    <w:r w:rsidRPr="00882CD5">
      <w:tab/>
    </w:r>
    <w:r w:rsidR="007041C9">
      <w:rPr>
        <w:rStyle w:val="PageNumber"/>
      </w:rPr>
      <w:fldChar w:fldCharType="begin"/>
    </w:r>
    <w:r w:rsidR="007041C9">
      <w:rPr>
        <w:rStyle w:val="PageNumber"/>
      </w:rPr>
      <w:instrText xml:space="preserve"> PAGE </w:instrText>
    </w:r>
    <w:r w:rsidR="007041C9">
      <w:rPr>
        <w:rStyle w:val="PageNumber"/>
      </w:rPr>
      <w:fldChar w:fldCharType="separate"/>
    </w:r>
    <w:r w:rsidR="007D6B23">
      <w:rPr>
        <w:rStyle w:val="PageNumber"/>
        <w:noProof/>
      </w:rPr>
      <w:t>3</w:t>
    </w:r>
    <w:r w:rsidR="007041C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2"/>
  </w:num>
  <w:num w:numId="29">
    <w:abstractNumId w:val="12"/>
  </w:num>
  <w:num w:numId="30">
    <w:abstractNumId w:val="12"/>
  </w:num>
  <w:num w:numId="31">
    <w:abstractNumId w:val="13"/>
  </w:num>
  <w:num w:numId="32">
    <w:abstractNumId w:val="10"/>
  </w:num>
  <w:num w:numId="33">
    <w:abstractNumId w:val="9"/>
  </w:num>
  <w:num w:numId="34">
    <w:abstractNumId w:val="14"/>
  </w:num>
  <w:num w:numId="35">
    <w:abstractNumId w:val="11"/>
  </w:num>
  <w:num w:numId="36">
    <w:abstractNumId w:val="15"/>
  </w:num>
  <w:num w:numId="37">
    <w:abstractNumId w:val="17"/>
  </w:num>
  <w:num w:numId="38">
    <w:abstractNumId w:val="7"/>
  </w:num>
  <w:num w:numId="39">
    <w:abstractNumId w:val="6"/>
  </w:num>
  <w:num w:numId="40">
    <w:abstractNumId w:val="5"/>
  </w:num>
  <w:num w:numId="41">
    <w:abstractNumId w:val="4"/>
  </w:num>
  <w:num w:numId="42">
    <w:abstractNumId w:val="8"/>
  </w:num>
  <w:num w:numId="43">
    <w:abstractNumId w:val="3"/>
  </w:num>
  <w:num w:numId="44">
    <w:abstractNumId w:val="2"/>
  </w:num>
  <w:num w:numId="45">
    <w:abstractNumId w:val="1"/>
  </w:num>
  <w:num w:numId="46">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041C9"/>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B7A12"/>
    <w:rsid w:val="001C055B"/>
    <w:rsid w:val="001C0F98"/>
    <w:rsid w:val="001C2A42"/>
    <w:rsid w:val="001C7517"/>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041C9"/>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D6B23"/>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07165"/>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15B6"/>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07165"/>
    <w:rPr>
      <w:rFonts w:eastAsiaTheme="minorEastAsia"/>
      <w:sz w:val="24"/>
      <w:lang w:val="en-GB"/>
    </w:rPr>
  </w:style>
  <w:style w:type="paragraph" w:styleId="Heading1">
    <w:name w:val="heading 1"/>
    <w:basedOn w:val="Normal"/>
    <w:next w:val="Normal"/>
    <w:link w:val="Heading1Char"/>
    <w:uiPriority w:val="99"/>
    <w:semiHidden/>
    <w:rsid w:val="00A0716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0716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0716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0716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07165"/>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A0716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07165"/>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A0716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A0716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7165"/>
    <w:rPr>
      <w:rFonts w:ascii="Tahoma" w:hAnsi="Tahoma" w:cs="Tahoma"/>
      <w:sz w:val="16"/>
      <w:szCs w:val="16"/>
    </w:rPr>
  </w:style>
  <w:style w:type="character" w:customStyle="1" w:styleId="BalloonTextChar">
    <w:name w:val="Balloon Text Char"/>
    <w:basedOn w:val="DefaultParagraphFont"/>
    <w:link w:val="BalloonText"/>
    <w:uiPriority w:val="99"/>
    <w:semiHidden/>
    <w:rsid w:val="00A07165"/>
    <w:rPr>
      <w:rFonts w:ascii="Tahoma" w:eastAsiaTheme="minorEastAsia" w:hAnsi="Tahoma" w:cs="Tahoma"/>
      <w:sz w:val="16"/>
      <w:szCs w:val="16"/>
      <w:lang w:val="en-GB"/>
    </w:rPr>
  </w:style>
  <w:style w:type="character" w:styleId="BookTitle">
    <w:name w:val="Book Title"/>
    <w:uiPriority w:val="99"/>
    <w:semiHidden/>
    <w:qFormat/>
    <w:rsid w:val="00A07165"/>
    <w:rPr>
      <w:i/>
      <w:iCs/>
      <w:smallCaps/>
      <w:spacing w:val="5"/>
    </w:rPr>
  </w:style>
  <w:style w:type="paragraph" w:customStyle="1" w:styleId="JuHeader">
    <w:name w:val="Ju_Header"/>
    <w:aliases w:val="_Header"/>
    <w:basedOn w:val="Header"/>
    <w:uiPriority w:val="29"/>
    <w:qFormat/>
    <w:rsid w:val="00A07165"/>
    <w:pPr>
      <w:tabs>
        <w:tab w:val="clear" w:pos="4536"/>
        <w:tab w:val="clear" w:pos="9072"/>
        <w:tab w:val="center" w:pos="3686"/>
        <w:tab w:val="right" w:pos="7371"/>
      </w:tabs>
    </w:pPr>
    <w:rPr>
      <w:sz w:val="18"/>
    </w:rPr>
  </w:style>
  <w:style w:type="paragraph" w:customStyle="1" w:styleId="NormalJustified">
    <w:name w:val="Normal_Justified"/>
    <w:basedOn w:val="Normal"/>
    <w:semiHidden/>
    <w:rsid w:val="00A07165"/>
    <w:pPr>
      <w:jc w:val="both"/>
    </w:pPr>
  </w:style>
  <w:style w:type="character" w:styleId="Strong">
    <w:name w:val="Strong"/>
    <w:uiPriority w:val="99"/>
    <w:semiHidden/>
    <w:qFormat/>
    <w:rsid w:val="00A07165"/>
    <w:rPr>
      <w:b/>
      <w:bCs/>
    </w:rPr>
  </w:style>
  <w:style w:type="paragraph" w:styleId="NoSpacing">
    <w:name w:val="No Spacing"/>
    <w:basedOn w:val="Normal"/>
    <w:link w:val="NoSpacingChar"/>
    <w:semiHidden/>
    <w:qFormat/>
    <w:rsid w:val="00A07165"/>
  </w:style>
  <w:style w:type="character" w:customStyle="1" w:styleId="NoSpacingChar">
    <w:name w:val="No Spacing Char"/>
    <w:basedOn w:val="DefaultParagraphFont"/>
    <w:link w:val="NoSpacing"/>
    <w:semiHidden/>
    <w:rsid w:val="00A07165"/>
    <w:rPr>
      <w:rFonts w:eastAsiaTheme="minorEastAsia"/>
      <w:sz w:val="24"/>
      <w:lang w:val="en-GB"/>
    </w:rPr>
  </w:style>
  <w:style w:type="paragraph" w:customStyle="1" w:styleId="JuQuot">
    <w:name w:val="Ju_Quot"/>
    <w:aliases w:val="_Quote"/>
    <w:basedOn w:val="NormalJustified"/>
    <w:link w:val="JuQuotChar"/>
    <w:uiPriority w:val="21"/>
    <w:qFormat/>
    <w:rsid w:val="00A07165"/>
    <w:pPr>
      <w:spacing w:before="120" w:after="120"/>
      <w:ind w:left="425" w:firstLine="142"/>
    </w:pPr>
    <w:rPr>
      <w:sz w:val="20"/>
    </w:rPr>
  </w:style>
  <w:style w:type="paragraph" w:customStyle="1" w:styleId="DecList">
    <w:name w:val="Dec_List"/>
    <w:aliases w:val="_List"/>
    <w:basedOn w:val="JuList"/>
    <w:uiPriority w:val="22"/>
    <w:rsid w:val="00A07165"/>
    <w:pPr>
      <w:numPr>
        <w:numId w:val="0"/>
      </w:numPr>
      <w:ind w:left="340"/>
    </w:pPr>
  </w:style>
  <w:style w:type="paragraph" w:customStyle="1" w:styleId="JuList">
    <w:name w:val="Ju_List"/>
    <w:aliases w:val="_List_1"/>
    <w:basedOn w:val="NormalJustified"/>
    <w:uiPriority w:val="23"/>
    <w:qFormat/>
    <w:rsid w:val="00A07165"/>
    <w:pPr>
      <w:numPr>
        <w:numId w:val="30"/>
      </w:numPr>
      <w:spacing w:before="280" w:after="60"/>
    </w:pPr>
    <w:rPr>
      <w:rFonts w:eastAsiaTheme="minorHAnsi"/>
    </w:rPr>
  </w:style>
  <w:style w:type="paragraph" w:customStyle="1" w:styleId="JuLista">
    <w:name w:val="Ju_List_a"/>
    <w:aliases w:val="_List_2"/>
    <w:basedOn w:val="NormalJustified"/>
    <w:uiPriority w:val="23"/>
    <w:rsid w:val="00A07165"/>
    <w:pPr>
      <w:numPr>
        <w:ilvl w:val="1"/>
        <w:numId w:val="30"/>
      </w:numPr>
    </w:pPr>
  </w:style>
  <w:style w:type="paragraph" w:customStyle="1" w:styleId="JuListi">
    <w:name w:val="Ju_List_i"/>
    <w:aliases w:val="_List_3"/>
    <w:basedOn w:val="NormalJustified"/>
    <w:uiPriority w:val="23"/>
    <w:rsid w:val="00A07165"/>
    <w:pPr>
      <w:numPr>
        <w:ilvl w:val="2"/>
        <w:numId w:val="30"/>
      </w:numPr>
    </w:pPr>
  </w:style>
  <w:style w:type="paragraph" w:customStyle="1" w:styleId="JuHArticle">
    <w:name w:val="Ju_H_Article"/>
    <w:aliases w:val="_Title_Quote"/>
    <w:basedOn w:val="Normal"/>
    <w:next w:val="JuQuot"/>
    <w:uiPriority w:val="20"/>
    <w:qFormat/>
    <w:rsid w:val="00A07165"/>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A07165"/>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A07165"/>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A07165"/>
    <w:pPr>
      <w:keepNext/>
      <w:keepLines/>
      <w:numPr>
        <w:numId w:val="27"/>
      </w:numPr>
      <w:spacing w:before="100" w:beforeAutospacing="1" w:after="240"/>
      <w:jc w:val="both"/>
      <w:outlineLvl w:val="0"/>
    </w:pPr>
    <w:rPr>
      <w:caps/>
      <w:sz w:val="28"/>
    </w:rPr>
  </w:style>
  <w:style w:type="numbering" w:customStyle="1" w:styleId="ECHRA1StyleBulletedSquare">
    <w:name w:val="ECHR_A1_Style_Bulleted_Square"/>
    <w:basedOn w:val="NoList"/>
    <w:rsid w:val="00A07165"/>
    <w:pPr>
      <w:numPr>
        <w:numId w:val="6"/>
      </w:numPr>
    </w:pPr>
  </w:style>
  <w:style w:type="paragraph" w:customStyle="1" w:styleId="JuSigned">
    <w:name w:val="Ju_Signed"/>
    <w:aliases w:val="_Signature"/>
    <w:basedOn w:val="Normal"/>
    <w:next w:val="JuPara"/>
    <w:uiPriority w:val="30"/>
    <w:qFormat/>
    <w:rsid w:val="00A07165"/>
    <w:pPr>
      <w:tabs>
        <w:tab w:val="center" w:pos="851"/>
        <w:tab w:val="center" w:pos="6407"/>
      </w:tabs>
      <w:spacing w:before="720"/>
    </w:pPr>
  </w:style>
  <w:style w:type="paragraph" w:styleId="Title">
    <w:name w:val="Title"/>
    <w:basedOn w:val="Normal"/>
    <w:next w:val="Normal"/>
    <w:link w:val="TitleChar"/>
    <w:uiPriority w:val="99"/>
    <w:semiHidden/>
    <w:qFormat/>
    <w:rsid w:val="00A0716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0716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07165"/>
    <w:pPr>
      <w:numPr>
        <w:numId w:val="7"/>
      </w:numPr>
    </w:pPr>
  </w:style>
  <w:style w:type="numbering" w:customStyle="1" w:styleId="ECHRA1StyleNumberedList">
    <w:name w:val="ECHR_A1_Style_Numbered_List"/>
    <w:basedOn w:val="NoList"/>
    <w:rsid w:val="00A07165"/>
    <w:pPr>
      <w:numPr>
        <w:numId w:val="8"/>
      </w:numPr>
    </w:pPr>
  </w:style>
  <w:style w:type="table" w:customStyle="1" w:styleId="ECHRTable2019">
    <w:name w:val="ECHR_Table_2019"/>
    <w:basedOn w:val="TableNormal"/>
    <w:uiPriority w:val="99"/>
    <w:rsid w:val="00A07165"/>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A07165"/>
    <w:rPr>
      <w:sz w:val="8"/>
    </w:rPr>
  </w:style>
  <w:style w:type="paragraph" w:customStyle="1" w:styleId="JuCourt">
    <w:name w:val="Ju_Court"/>
    <w:basedOn w:val="Normal"/>
    <w:next w:val="Normal"/>
    <w:uiPriority w:val="31"/>
    <w:qFormat/>
    <w:rsid w:val="00A0716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A07165"/>
    <w:pPr>
      <w:keepNext/>
      <w:keepLines/>
      <w:numPr>
        <w:ilvl w:val="1"/>
        <w:numId w:val="27"/>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A07165"/>
    <w:pPr>
      <w:keepNext/>
      <w:keepLines/>
      <w:numPr>
        <w:ilvl w:val="2"/>
        <w:numId w:val="27"/>
      </w:numPr>
      <w:spacing w:before="100" w:beforeAutospacing="1" w:after="240"/>
      <w:jc w:val="both"/>
      <w:outlineLvl w:val="2"/>
    </w:pPr>
    <w:rPr>
      <w:b/>
    </w:rPr>
  </w:style>
  <w:style w:type="paragraph" w:customStyle="1" w:styleId="JuH1">
    <w:name w:val="Ju_H_1."/>
    <w:aliases w:val="_Head_4"/>
    <w:basedOn w:val="Normal"/>
    <w:next w:val="JuPara"/>
    <w:uiPriority w:val="19"/>
    <w:rsid w:val="00A07165"/>
    <w:pPr>
      <w:keepNext/>
      <w:keepLines/>
      <w:numPr>
        <w:ilvl w:val="3"/>
        <w:numId w:val="27"/>
      </w:numPr>
      <w:spacing w:before="100" w:beforeAutospacing="1" w:after="120"/>
      <w:jc w:val="both"/>
      <w:outlineLvl w:val="3"/>
    </w:pPr>
    <w:rPr>
      <w:i/>
    </w:rPr>
  </w:style>
  <w:style w:type="paragraph" w:styleId="Header">
    <w:name w:val="header"/>
    <w:basedOn w:val="Normal"/>
    <w:link w:val="HeaderChar"/>
    <w:uiPriority w:val="57"/>
    <w:semiHidden/>
    <w:rsid w:val="00A0716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07165"/>
    <w:rPr>
      <w:sz w:val="24"/>
      <w:lang w:val="en-GB"/>
    </w:rPr>
  </w:style>
  <w:style w:type="character" w:customStyle="1" w:styleId="Heading1Char">
    <w:name w:val="Heading 1 Char"/>
    <w:basedOn w:val="DefaultParagraphFont"/>
    <w:link w:val="Heading1"/>
    <w:uiPriority w:val="99"/>
    <w:semiHidden/>
    <w:rsid w:val="00A0716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A07165"/>
    <w:pPr>
      <w:keepNext/>
      <w:keepLines/>
      <w:numPr>
        <w:ilvl w:val="4"/>
        <w:numId w:val="27"/>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A07165"/>
    <w:pPr>
      <w:keepNext/>
      <w:keepLines/>
      <w:numPr>
        <w:ilvl w:val="5"/>
        <w:numId w:val="27"/>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A0716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A07165"/>
    <w:pPr>
      <w:keepNext/>
      <w:keepLines/>
      <w:numPr>
        <w:ilvl w:val="6"/>
        <w:numId w:val="27"/>
      </w:numPr>
      <w:spacing w:before="100" w:beforeAutospacing="1" w:after="120"/>
      <w:jc w:val="both"/>
      <w:outlineLvl w:val="6"/>
    </w:pPr>
    <w:rPr>
      <w:sz w:val="20"/>
    </w:rPr>
  </w:style>
  <w:style w:type="paragraph" w:customStyle="1" w:styleId="JuH">
    <w:name w:val="Ju_H_–"/>
    <w:aliases w:val="_Head_8"/>
    <w:basedOn w:val="Normal"/>
    <w:next w:val="JuPara"/>
    <w:uiPriority w:val="19"/>
    <w:rsid w:val="00A07165"/>
    <w:pPr>
      <w:keepNext/>
      <w:keepLines/>
      <w:numPr>
        <w:ilvl w:val="7"/>
        <w:numId w:val="27"/>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A07165"/>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A07165"/>
    <w:pPr>
      <w:keepNext/>
      <w:keepLines/>
      <w:spacing w:before="240" w:after="240"/>
      <w:ind w:firstLine="284"/>
    </w:pPr>
    <w:rPr>
      <w:rFonts w:eastAsiaTheme="minorHAnsi"/>
    </w:rPr>
  </w:style>
  <w:style w:type="paragraph" w:customStyle="1" w:styleId="JuJudges">
    <w:name w:val="Ju_Judges"/>
    <w:basedOn w:val="Normal"/>
    <w:uiPriority w:val="31"/>
    <w:qFormat/>
    <w:rsid w:val="00A07165"/>
    <w:pPr>
      <w:tabs>
        <w:tab w:val="left" w:pos="567"/>
        <w:tab w:val="left" w:pos="1134"/>
      </w:tabs>
    </w:pPr>
  </w:style>
  <w:style w:type="character" w:customStyle="1" w:styleId="Heading4Char">
    <w:name w:val="Heading 4 Char"/>
    <w:basedOn w:val="DefaultParagraphFont"/>
    <w:link w:val="Heading4"/>
    <w:uiPriority w:val="99"/>
    <w:semiHidden/>
    <w:rsid w:val="00A07165"/>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A07165"/>
    <w:pPr>
      <w:tabs>
        <w:tab w:val="center" w:pos="6407"/>
      </w:tabs>
      <w:spacing w:before="720"/>
      <w:jc w:val="right"/>
    </w:pPr>
  </w:style>
  <w:style w:type="character" w:customStyle="1" w:styleId="Heading5Char">
    <w:name w:val="Heading 5 Char"/>
    <w:basedOn w:val="DefaultParagraphFont"/>
    <w:link w:val="Heading5"/>
    <w:uiPriority w:val="99"/>
    <w:semiHidden/>
    <w:rsid w:val="00A07165"/>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A07165"/>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A07165"/>
    <w:rPr>
      <w:caps w:val="0"/>
      <w:smallCaps/>
    </w:rPr>
  </w:style>
  <w:style w:type="character" w:styleId="SubtleEmphasis">
    <w:name w:val="Subtle Emphasis"/>
    <w:uiPriority w:val="99"/>
    <w:semiHidden/>
    <w:qFormat/>
    <w:rsid w:val="00A0716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716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07165"/>
    <w:rPr>
      <w:b/>
      <w:bCs/>
      <w:i/>
      <w:iCs/>
      <w:spacing w:val="10"/>
      <w:bdr w:val="none" w:sz="0" w:space="0" w:color="auto"/>
      <w:shd w:val="clear" w:color="auto" w:fill="auto"/>
    </w:rPr>
  </w:style>
  <w:style w:type="paragraph" w:styleId="Footer0">
    <w:name w:val="footer"/>
    <w:basedOn w:val="Normal"/>
    <w:link w:val="FooterChar"/>
    <w:uiPriority w:val="57"/>
    <w:semiHidden/>
    <w:rsid w:val="00A07165"/>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A07165"/>
    <w:rPr>
      <w:sz w:val="24"/>
      <w:lang w:val="en-GB"/>
    </w:rPr>
  </w:style>
  <w:style w:type="character" w:styleId="FootnoteReference">
    <w:name w:val="footnote reference"/>
    <w:basedOn w:val="DefaultParagraphFont"/>
    <w:uiPriority w:val="99"/>
    <w:semiHidden/>
    <w:rsid w:val="00A07165"/>
    <w:rPr>
      <w:vertAlign w:val="superscript"/>
    </w:rPr>
  </w:style>
  <w:style w:type="paragraph" w:styleId="FootnoteText">
    <w:name w:val="footnote text"/>
    <w:basedOn w:val="Normal"/>
    <w:link w:val="FootnoteTextChar"/>
    <w:uiPriority w:val="99"/>
    <w:semiHidden/>
    <w:rsid w:val="00A07165"/>
    <w:rPr>
      <w:sz w:val="20"/>
      <w:szCs w:val="20"/>
    </w:rPr>
  </w:style>
  <w:style w:type="character" w:customStyle="1" w:styleId="FootnoteTextChar">
    <w:name w:val="Footnote Text Char"/>
    <w:basedOn w:val="DefaultParagraphFont"/>
    <w:link w:val="FootnoteText"/>
    <w:uiPriority w:val="99"/>
    <w:semiHidden/>
    <w:rsid w:val="00A07165"/>
    <w:rPr>
      <w:rFonts w:eastAsiaTheme="minorEastAsia"/>
      <w:sz w:val="20"/>
      <w:szCs w:val="20"/>
      <w:lang w:val="en-GB"/>
    </w:rPr>
  </w:style>
  <w:style w:type="character" w:customStyle="1" w:styleId="Heading6Char">
    <w:name w:val="Heading 6 Char"/>
    <w:basedOn w:val="DefaultParagraphFont"/>
    <w:link w:val="Heading6"/>
    <w:uiPriority w:val="99"/>
    <w:semiHidden/>
    <w:rsid w:val="00A0716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07165"/>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A0716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0716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07165"/>
    <w:rPr>
      <w:color w:val="0072BC" w:themeColor="hyperlink"/>
      <w:u w:val="single"/>
    </w:rPr>
  </w:style>
  <w:style w:type="character" w:styleId="IntenseEmphasis">
    <w:name w:val="Intense Emphasis"/>
    <w:uiPriority w:val="99"/>
    <w:semiHidden/>
    <w:qFormat/>
    <w:rsid w:val="00A07165"/>
    <w:rPr>
      <w:b/>
      <w:bCs/>
    </w:rPr>
  </w:style>
  <w:style w:type="paragraph" w:styleId="IntenseQuote">
    <w:name w:val="Intense Quote"/>
    <w:basedOn w:val="Normal"/>
    <w:next w:val="Normal"/>
    <w:link w:val="IntenseQuoteChar"/>
    <w:uiPriority w:val="99"/>
    <w:semiHidden/>
    <w:qFormat/>
    <w:rsid w:val="00A0716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07165"/>
    <w:rPr>
      <w:rFonts w:eastAsiaTheme="minorEastAsia"/>
      <w:b/>
      <w:bCs/>
      <w:i/>
      <w:iCs/>
      <w:sz w:val="24"/>
      <w:lang w:val="en-GB" w:bidi="en-US"/>
    </w:rPr>
  </w:style>
  <w:style w:type="character" w:styleId="IntenseReference">
    <w:name w:val="Intense Reference"/>
    <w:uiPriority w:val="99"/>
    <w:semiHidden/>
    <w:qFormat/>
    <w:rsid w:val="00A07165"/>
    <w:rPr>
      <w:smallCaps/>
      <w:spacing w:val="5"/>
      <w:u w:val="single"/>
    </w:rPr>
  </w:style>
  <w:style w:type="paragraph" w:styleId="ListParagraph">
    <w:name w:val="List Paragraph"/>
    <w:basedOn w:val="Normal"/>
    <w:uiPriority w:val="99"/>
    <w:semiHidden/>
    <w:qFormat/>
    <w:rsid w:val="00A0716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07165"/>
    <w:pPr>
      <w:spacing w:before="200"/>
      <w:ind w:left="360" w:right="360"/>
    </w:pPr>
    <w:rPr>
      <w:i/>
      <w:iCs/>
      <w:lang w:bidi="en-US"/>
    </w:rPr>
  </w:style>
  <w:style w:type="character" w:customStyle="1" w:styleId="QuoteChar">
    <w:name w:val="Quote Char"/>
    <w:basedOn w:val="DefaultParagraphFont"/>
    <w:link w:val="Quote"/>
    <w:uiPriority w:val="99"/>
    <w:semiHidden/>
    <w:rsid w:val="00A07165"/>
    <w:rPr>
      <w:rFonts w:eastAsiaTheme="minorEastAsia"/>
      <w:i/>
      <w:iCs/>
      <w:sz w:val="24"/>
      <w:lang w:val="en-GB" w:bidi="en-US"/>
    </w:rPr>
  </w:style>
  <w:style w:type="character" w:styleId="SubtleReference">
    <w:name w:val="Subtle Reference"/>
    <w:uiPriority w:val="99"/>
    <w:semiHidden/>
    <w:qFormat/>
    <w:rsid w:val="00A07165"/>
    <w:rPr>
      <w:smallCaps/>
    </w:rPr>
  </w:style>
  <w:style w:type="table" w:styleId="TableGrid">
    <w:name w:val="Table Grid"/>
    <w:basedOn w:val="TableNormal"/>
    <w:uiPriority w:val="59"/>
    <w:semiHidden/>
    <w:rsid w:val="00A0716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716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0716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0716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0716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0716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716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7165"/>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716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07165"/>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716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A0716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A0716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07165"/>
    <w:pPr>
      <w:numPr>
        <w:numId w:val="3"/>
      </w:numPr>
    </w:pPr>
  </w:style>
  <w:style w:type="paragraph" w:customStyle="1" w:styleId="JuPara">
    <w:name w:val="Ju_Para"/>
    <w:aliases w:val="_Para"/>
    <w:basedOn w:val="NormalJustified"/>
    <w:link w:val="JuParaChar"/>
    <w:uiPriority w:val="8"/>
    <w:qFormat/>
    <w:rsid w:val="00A07165"/>
    <w:pPr>
      <w:ind w:firstLine="284"/>
    </w:pPr>
  </w:style>
  <w:style w:type="numbering" w:styleId="1ai">
    <w:name w:val="Outline List 1"/>
    <w:basedOn w:val="NoList"/>
    <w:uiPriority w:val="99"/>
    <w:semiHidden/>
    <w:unhideWhenUsed/>
    <w:rsid w:val="00A07165"/>
    <w:pPr>
      <w:numPr>
        <w:numId w:val="4"/>
      </w:numPr>
    </w:pPr>
  </w:style>
  <w:style w:type="table" w:customStyle="1" w:styleId="ECHRTableSimpleBox">
    <w:name w:val="ECHR_Table_Simple_Box"/>
    <w:basedOn w:val="TableNormal"/>
    <w:uiPriority w:val="99"/>
    <w:rsid w:val="00A07165"/>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7165"/>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7165"/>
    <w:pPr>
      <w:numPr>
        <w:numId w:val="5"/>
      </w:numPr>
    </w:pPr>
  </w:style>
  <w:style w:type="table" w:customStyle="1" w:styleId="ECHRTableForInternalUse">
    <w:name w:val="ECHR_Table_For_Internal_Use"/>
    <w:basedOn w:val="TableNormal"/>
    <w:uiPriority w:val="99"/>
    <w:rsid w:val="00A07165"/>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07165"/>
  </w:style>
  <w:style w:type="paragraph" w:styleId="BlockText">
    <w:name w:val="Block Text"/>
    <w:basedOn w:val="Normal"/>
    <w:uiPriority w:val="99"/>
    <w:semiHidden/>
    <w:rsid w:val="00A0716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7165"/>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07165"/>
    <w:pPr>
      <w:spacing w:after="120"/>
    </w:pPr>
  </w:style>
  <w:style w:type="character" w:customStyle="1" w:styleId="BodyTextChar">
    <w:name w:val="Body Text Char"/>
    <w:basedOn w:val="DefaultParagraphFont"/>
    <w:link w:val="BodyText"/>
    <w:uiPriority w:val="99"/>
    <w:semiHidden/>
    <w:rsid w:val="00A07165"/>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07165"/>
    <w:pPr>
      <w:spacing w:after="120" w:line="480" w:lineRule="auto"/>
    </w:pPr>
  </w:style>
  <w:style w:type="table" w:customStyle="1" w:styleId="ECHRHeaderTableReduced">
    <w:name w:val="ECHR_Header_Table_Reduced"/>
    <w:basedOn w:val="TableNormal"/>
    <w:uiPriority w:val="99"/>
    <w:rsid w:val="00A07165"/>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A07165"/>
    <w:pPr>
      <w:ind w:firstLine="284"/>
    </w:pPr>
    <w:rPr>
      <w:b/>
    </w:rPr>
  </w:style>
  <w:style w:type="character" w:styleId="PageNumber">
    <w:name w:val="page number"/>
    <w:uiPriority w:val="99"/>
    <w:semiHidden/>
    <w:rsid w:val="00A07165"/>
    <w:rPr>
      <w:sz w:val="18"/>
    </w:rPr>
  </w:style>
  <w:style w:type="paragraph" w:styleId="ListBullet">
    <w:name w:val="List Bullet"/>
    <w:basedOn w:val="Normal"/>
    <w:uiPriority w:val="99"/>
    <w:semiHidden/>
    <w:rsid w:val="00A07165"/>
    <w:pPr>
      <w:numPr>
        <w:numId w:val="37"/>
      </w:numPr>
    </w:pPr>
  </w:style>
  <w:style w:type="paragraph" w:styleId="ListBullet3">
    <w:name w:val="List Bullet 3"/>
    <w:basedOn w:val="Normal"/>
    <w:uiPriority w:val="99"/>
    <w:semiHidden/>
    <w:rsid w:val="00A07165"/>
    <w:pPr>
      <w:numPr>
        <w:numId w:val="39"/>
      </w:numPr>
      <w:contextualSpacing/>
    </w:pPr>
  </w:style>
  <w:style w:type="character" w:customStyle="1" w:styleId="BodyText2Char">
    <w:name w:val="Body Text 2 Char"/>
    <w:basedOn w:val="DefaultParagraphFont"/>
    <w:link w:val="BodyText2"/>
    <w:uiPriority w:val="99"/>
    <w:semiHidden/>
    <w:rsid w:val="00A07165"/>
    <w:rPr>
      <w:rFonts w:eastAsiaTheme="minorEastAsia"/>
      <w:sz w:val="24"/>
      <w:lang w:val="en-GB"/>
    </w:rPr>
  </w:style>
  <w:style w:type="paragraph" w:styleId="BodyText3">
    <w:name w:val="Body Text 3"/>
    <w:basedOn w:val="Normal"/>
    <w:link w:val="BodyText3Char"/>
    <w:uiPriority w:val="99"/>
    <w:semiHidden/>
    <w:rsid w:val="00A07165"/>
    <w:pPr>
      <w:spacing w:after="120"/>
    </w:pPr>
    <w:rPr>
      <w:sz w:val="16"/>
      <w:szCs w:val="16"/>
    </w:rPr>
  </w:style>
  <w:style w:type="character" w:customStyle="1" w:styleId="BodyText3Char">
    <w:name w:val="Body Text 3 Char"/>
    <w:basedOn w:val="DefaultParagraphFont"/>
    <w:link w:val="BodyText3"/>
    <w:uiPriority w:val="99"/>
    <w:semiHidden/>
    <w:rsid w:val="00A07165"/>
    <w:rPr>
      <w:rFonts w:eastAsiaTheme="minorEastAsia"/>
      <w:sz w:val="16"/>
      <w:szCs w:val="16"/>
      <w:lang w:val="en-GB"/>
    </w:rPr>
  </w:style>
  <w:style w:type="paragraph" w:styleId="BodyTextFirstIndent">
    <w:name w:val="Body Text First Indent"/>
    <w:basedOn w:val="BodyText"/>
    <w:link w:val="BodyTextFirstIndentChar"/>
    <w:uiPriority w:val="99"/>
    <w:semiHidden/>
    <w:rsid w:val="00A07165"/>
    <w:pPr>
      <w:spacing w:after="0"/>
      <w:ind w:firstLine="360"/>
    </w:pPr>
  </w:style>
  <w:style w:type="character" w:customStyle="1" w:styleId="BodyTextFirstIndentChar">
    <w:name w:val="Body Text First Indent Char"/>
    <w:basedOn w:val="BodyTextChar"/>
    <w:link w:val="BodyTextFirstIndent"/>
    <w:uiPriority w:val="99"/>
    <w:semiHidden/>
    <w:rsid w:val="00A07165"/>
    <w:rPr>
      <w:rFonts w:eastAsiaTheme="minorEastAsia"/>
      <w:sz w:val="24"/>
      <w:lang w:val="en-GB"/>
    </w:rPr>
  </w:style>
  <w:style w:type="paragraph" w:styleId="BodyTextIndent">
    <w:name w:val="Body Text Indent"/>
    <w:basedOn w:val="Normal"/>
    <w:link w:val="BodyTextIndentChar"/>
    <w:uiPriority w:val="99"/>
    <w:semiHidden/>
    <w:rsid w:val="00A07165"/>
    <w:pPr>
      <w:spacing w:after="120"/>
      <w:ind w:left="283"/>
    </w:pPr>
  </w:style>
  <w:style w:type="character" w:customStyle="1" w:styleId="BodyTextIndentChar">
    <w:name w:val="Body Text Indent Char"/>
    <w:basedOn w:val="DefaultParagraphFont"/>
    <w:link w:val="BodyTextIndent"/>
    <w:uiPriority w:val="99"/>
    <w:semiHidden/>
    <w:rsid w:val="00A07165"/>
    <w:rPr>
      <w:rFonts w:eastAsiaTheme="minorEastAsia"/>
      <w:sz w:val="24"/>
      <w:lang w:val="en-GB"/>
    </w:rPr>
  </w:style>
  <w:style w:type="paragraph" w:styleId="BodyTextFirstIndent2">
    <w:name w:val="Body Text First Indent 2"/>
    <w:basedOn w:val="BodyTextIndent"/>
    <w:link w:val="BodyTextFirstIndent2Char"/>
    <w:uiPriority w:val="99"/>
    <w:semiHidden/>
    <w:rsid w:val="00A07165"/>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7165"/>
    <w:rPr>
      <w:rFonts w:eastAsiaTheme="minorEastAsia"/>
      <w:sz w:val="24"/>
      <w:lang w:val="en-GB"/>
    </w:rPr>
  </w:style>
  <w:style w:type="paragraph" w:styleId="BodyTextIndent2">
    <w:name w:val="Body Text Indent 2"/>
    <w:basedOn w:val="Normal"/>
    <w:link w:val="BodyTextIndent2Char"/>
    <w:uiPriority w:val="99"/>
    <w:semiHidden/>
    <w:rsid w:val="00A07165"/>
    <w:pPr>
      <w:spacing w:after="120" w:line="480" w:lineRule="auto"/>
      <w:ind w:left="283"/>
    </w:pPr>
  </w:style>
  <w:style w:type="character" w:customStyle="1" w:styleId="BodyTextIndent2Char">
    <w:name w:val="Body Text Indent 2 Char"/>
    <w:basedOn w:val="DefaultParagraphFont"/>
    <w:link w:val="BodyTextIndent2"/>
    <w:uiPriority w:val="99"/>
    <w:semiHidden/>
    <w:rsid w:val="00A07165"/>
    <w:rPr>
      <w:rFonts w:eastAsiaTheme="minorEastAsia"/>
      <w:sz w:val="24"/>
      <w:lang w:val="en-GB"/>
    </w:rPr>
  </w:style>
  <w:style w:type="paragraph" w:styleId="BodyTextIndent3">
    <w:name w:val="Body Text Indent 3"/>
    <w:basedOn w:val="Normal"/>
    <w:link w:val="BodyTextIndent3Char"/>
    <w:uiPriority w:val="99"/>
    <w:semiHidden/>
    <w:rsid w:val="00A0716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07165"/>
    <w:rPr>
      <w:rFonts w:eastAsiaTheme="minorEastAsia"/>
      <w:sz w:val="16"/>
      <w:szCs w:val="16"/>
      <w:lang w:val="en-GB"/>
    </w:rPr>
  </w:style>
  <w:style w:type="paragraph" w:styleId="Caption">
    <w:name w:val="caption"/>
    <w:basedOn w:val="Normal"/>
    <w:next w:val="Normal"/>
    <w:uiPriority w:val="99"/>
    <w:semiHidden/>
    <w:qFormat/>
    <w:rsid w:val="00A07165"/>
    <w:pPr>
      <w:spacing w:after="200"/>
    </w:pPr>
    <w:rPr>
      <w:b/>
      <w:bCs/>
      <w:color w:val="0072BC" w:themeColor="accent1"/>
      <w:sz w:val="18"/>
      <w:szCs w:val="18"/>
    </w:rPr>
  </w:style>
  <w:style w:type="paragraph" w:styleId="Closing">
    <w:name w:val="Closing"/>
    <w:basedOn w:val="Normal"/>
    <w:link w:val="ClosingChar"/>
    <w:uiPriority w:val="99"/>
    <w:semiHidden/>
    <w:rsid w:val="00A07165"/>
    <w:pPr>
      <w:ind w:left="4252"/>
    </w:pPr>
  </w:style>
  <w:style w:type="character" w:customStyle="1" w:styleId="ClosingChar">
    <w:name w:val="Closing Char"/>
    <w:basedOn w:val="DefaultParagraphFont"/>
    <w:link w:val="Closing"/>
    <w:uiPriority w:val="99"/>
    <w:semiHidden/>
    <w:rsid w:val="00A07165"/>
    <w:rPr>
      <w:rFonts w:eastAsiaTheme="minorEastAsia"/>
      <w:sz w:val="24"/>
      <w:lang w:val="en-GB"/>
    </w:rPr>
  </w:style>
  <w:style w:type="table" w:styleId="ColorfulGrid">
    <w:name w:val="Colorful Grid"/>
    <w:basedOn w:val="TableNormal"/>
    <w:uiPriority w:val="73"/>
    <w:semiHidden/>
    <w:rsid w:val="00A07165"/>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7165"/>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7165"/>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7165"/>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7165"/>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7165"/>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7165"/>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7165"/>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7165"/>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7165"/>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7165"/>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7165"/>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7165"/>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7165"/>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7165"/>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7165"/>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7165"/>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7165"/>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7165"/>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7165"/>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7165"/>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7165"/>
    <w:rPr>
      <w:sz w:val="16"/>
      <w:szCs w:val="16"/>
    </w:rPr>
  </w:style>
  <w:style w:type="paragraph" w:styleId="CommentText">
    <w:name w:val="annotation text"/>
    <w:basedOn w:val="Normal"/>
    <w:link w:val="CommentTextChar"/>
    <w:semiHidden/>
    <w:rsid w:val="00A07165"/>
    <w:rPr>
      <w:sz w:val="20"/>
      <w:szCs w:val="20"/>
    </w:rPr>
  </w:style>
  <w:style w:type="character" w:customStyle="1" w:styleId="CommentTextChar">
    <w:name w:val="Comment Text Char"/>
    <w:basedOn w:val="DefaultParagraphFont"/>
    <w:link w:val="CommentText"/>
    <w:semiHidden/>
    <w:rsid w:val="00A07165"/>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A07165"/>
    <w:rPr>
      <w:b/>
      <w:bCs/>
    </w:rPr>
  </w:style>
  <w:style w:type="character" w:customStyle="1" w:styleId="CommentSubjectChar">
    <w:name w:val="Comment Subject Char"/>
    <w:basedOn w:val="CommentTextChar"/>
    <w:link w:val="CommentSubject"/>
    <w:uiPriority w:val="99"/>
    <w:semiHidden/>
    <w:rsid w:val="00A07165"/>
    <w:rPr>
      <w:rFonts w:eastAsiaTheme="minorEastAsia"/>
      <w:b/>
      <w:bCs/>
      <w:sz w:val="20"/>
      <w:szCs w:val="20"/>
      <w:lang w:val="en-GB"/>
    </w:rPr>
  </w:style>
  <w:style w:type="table" w:styleId="DarkList">
    <w:name w:val="Dark List"/>
    <w:basedOn w:val="TableNormal"/>
    <w:uiPriority w:val="70"/>
    <w:semiHidden/>
    <w:rsid w:val="00A07165"/>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7165"/>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7165"/>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7165"/>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7165"/>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7165"/>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7165"/>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07165"/>
  </w:style>
  <w:style w:type="character" w:customStyle="1" w:styleId="DateChar">
    <w:name w:val="Date Char"/>
    <w:basedOn w:val="DefaultParagraphFont"/>
    <w:link w:val="Date"/>
    <w:uiPriority w:val="99"/>
    <w:semiHidden/>
    <w:rsid w:val="00A07165"/>
    <w:rPr>
      <w:rFonts w:eastAsiaTheme="minorEastAsia"/>
      <w:sz w:val="24"/>
      <w:lang w:val="en-GB"/>
    </w:rPr>
  </w:style>
  <w:style w:type="paragraph" w:styleId="DocumentMap">
    <w:name w:val="Document Map"/>
    <w:basedOn w:val="Normal"/>
    <w:link w:val="DocumentMapChar"/>
    <w:uiPriority w:val="99"/>
    <w:semiHidden/>
    <w:rsid w:val="00A07165"/>
    <w:rPr>
      <w:rFonts w:ascii="Tahoma" w:hAnsi="Tahoma" w:cs="Tahoma"/>
      <w:sz w:val="16"/>
      <w:szCs w:val="16"/>
    </w:rPr>
  </w:style>
  <w:style w:type="character" w:customStyle="1" w:styleId="DocumentMapChar">
    <w:name w:val="Document Map Char"/>
    <w:basedOn w:val="DefaultParagraphFont"/>
    <w:link w:val="DocumentMap"/>
    <w:uiPriority w:val="99"/>
    <w:semiHidden/>
    <w:rsid w:val="00A07165"/>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A07165"/>
  </w:style>
  <w:style w:type="character" w:customStyle="1" w:styleId="E-mailSignatureChar">
    <w:name w:val="E-mail Signature Char"/>
    <w:basedOn w:val="DefaultParagraphFont"/>
    <w:link w:val="E-mailSignature"/>
    <w:uiPriority w:val="99"/>
    <w:semiHidden/>
    <w:rsid w:val="00A07165"/>
    <w:rPr>
      <w:rFonts w:eastAsiaTheme="minorEastAsia"/>
      <w:sz w:val="24"/>
      <w:lang w:val="en-GB"/>
    </w:rPr>
  </w:style>
  <w:style w:type="character" w:styleId="EndnoteReference">
    <w:name w:val="endnote reference"/>
    <w:basedOn w:val="DefaultParagraphFont"/>
    <w:uiPriority w:val="99"/>
    <w:semiHidden/>
    <w:rsid w:val="00A07165"/>
    <w:rPr>
      <w:vertAlign w:val="superscript"/>
    </w:rPr>
  </w:style>
  <w:style w:type="paragraph" w:styleId="EndnoteText">
    <w:name w:val="endnote text"/>
    <w:basedOn w:val="Normal"/>
    <w:link w:val="EndnoteTextChar"/>
    <w:uiPriority w:val="99"/>
    <w:semiHidden/>
    <w:rsid w:val="00A07165"/>
    <w:rPr>
      <w:sz w:val="20"/>
      <w:szCs w:val="20"/>
    </w:rPr>
  </w:style>
  <w:style w:type="character" w:customStyle="1" w:styleId="EndnoteTextChar">
    <w:name w:val="Endnote Text Char"/>
    <w:basedOn w:val="DefaultParagraphFont"/>
    <w:link w:val="EndnoteText"/>
    <w:uiPriority w:val="99"/>
    <w:semiHidden/>
    <w:rsid w:val="00A07165"/>
    <w:rPr>
      <w:rFonts w:eastAsiaTheme="minorEastAsia"/>
      <w:sz w:val="20"/>
      <w:szCs w:val="20"/>
      <w:lang w:val="en-GB"/>
    </w:rPr>
  </w:style>
  <w:style w:type="paragraph" w:styleId="EnvelopeAddress">
    <w:name w:val="envelope address"/>
    <w:basedOn w:val="Normal"/>
    <w:uiPriority w:val="99"/>
    <w:semiHidden/>
    <w:rsid w:val="00A07165"/>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A07165"/>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07165"/>
    <w:rPr>
      <w:color w:val="7030A0" w:themeColor="followedHyperlink"/>
      <w:u w:val="single"/>
    </w:rPr>
  </w:style>
  <w:style w:type="character" w:styleId="HTMLAcronym">
    <w:name w:val="HTML Acronym"/>
    <w:basedOn w:val="DefaultParagraphFont"/>
    <w:uiPriority w:val="99"/>
    <w:semiHidden/>
    <w:rsid w:val="00A07165"/>
  </w:style>
  <w:style w:type="paragraph" w:styleId="HTMLAddress">
    <w:name w:val="HTML Address"/>
    <w:basedOn w:val="Normal"/>
    <w:link w:val="HTMLAddressChar"/>
    <w:uiPriority w:val="99"/>
    <w:semiHidden/>
    <w:rsid w:val="00A07165"/>
    <w:rPr>
      <w:i/>
      <w:iCs/>
    </w:rPr>
  </w:style>
  <w:style w:type="character" w:customStyle="1" w:styleId="HTMLAddressChar">
    <w:name w:val="HTML Address Char"/>
    <w:basedOn w:val="DefaultParagraphFont"/>
    <w:link w:val="HTMLAddress"/>
    <w:uiPriority w:val="99"/>
    <w:semiHidden/>
    <w:rsid w:val="00A07165"/>
    <w:rPr>
      <w:rFonts w:eastAsiaTheme="minorEastAsia"/>
      <w:i/>
      <w:iCs/>
      <w:sz w:val="24"/>
      <w:lang w:val="en-GB"/>
    </w:rPr>
  </w:style>
  <w:style w:type="character" w:styleId="HTMLCite">
    <w:name w:val="HTML Cite"/>
    <w:basedOn w:val="DefaultParagraphFont"/>
    <w:uiPriority w:val="99"/>
    <w:semiHidden/>
    <w:rsid w:val="00A07165"/>
    <w:rPr>
      <w:i/>
      <w:iCs/>
    </w:rPr>
  </w:style>
  <w:style w:type="character" w:styleId="HTMLCode">
    <w:name w:val="HTML Code"/>
    <w:basedOn w:val="DefaultParagraphFont"/>
    <w:uiPriority w:val="99"/>
    <w:semiHidden/>
    <w:rsid w:val="00A07165"/>
    <w:rPr>
      <w:rFonts w:ascii="Consolas" w:hAnsi="Consolas" w:cs="Consolas"/>
      <w:sz w:val="20"/>
      <w:szCs w:val="20"/>
    </w:rPr>
  </w:style>
  <w:style w:type="character" w:styleId="HTMLDefinition">
    <w:name w:val="HTML Definition"/>
    <w:basedOn w:val="DefaultParagraphFont"/>
    <w:uiPriority w:val="99"/>
    <w:semiHidden/>
    <w:rsid w:val="00A07165"/>
    <w:rPr>
      <w:i/>
      <w:iCs/>
    </w:rPr>
  </w:style>
  <w:style w:type="character" w:styleId="HTMLKeyboard">
    <w:name w:val="HTML Keyboard"/>
    <w:basedOn w:val="DefaultParagraphFont"/>
    <w:uiPriority w:val="99"/>
    <w:semiHidden/>
    <w:rsid w:val="00A07165"/>
    <w:rPr>
      <w:rFonts w:ascii="Consolas" w:hAnsi="Consolas" w:cs="Consolas"/>
      <w:sz w:val="20"/>
      <w:szCs w:val="20"/>
    </w:rPr>
  </w:style>
  <w:style w:type="paragraph" w:styleId="HTMLPreformatted">
    <w:name w:val="HTML Preformatted"/>
    <w:basedOn w:val="Normal"/>
    <w:link w:val="HTMLPreformattedChar"/>
    <w:uiPriority w:val="99"/>
    <w:semiHidden/>
    <w:rsid w:val="00A07165"/>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07165"/>
    <w:rPr>
      <w:rFonts w:ascii="Consolas" w:eastAsiaTheme="minorEastAsia" w:hAnsi="Consolas" w:cs="Consolas"/>
      <w:sz w:val="20"/>
      <w:szCs w:val="20"/>
      <w:lang w:val="en-GB"/>
    </w:rPr>
  </w:style>
  <w:style w:type="character" w:styleId="HTMLSample">
    <w:name w:val="HTML Sample"/>
    <w:basedOn w:val="DefaultParagraphFont"/>
    <w:uiPriority w:val="99"/>
    <w:semiHidden/>
    <w:rsid w:val="00A07165"/>
    <w:rPr>
      <w:rFonts w:ascii="Consolas" w:hAnsi="Consolas" w:cs="Consolas"/>
      <w:sz w:val="24"/>
      <w:szCs w:val="24"/>
    </w:rPr>
  </w:style>
  <w:style w:type="character" w:styleId="HTMLTypewriter">
    <w:name w:val="HTML Typewriter"/>
    <w:basedOn w:val="DefaultParagraphFont"/>
    <w:uiPriority w:val="99"/>
    <w:semiHidden/>
    <w:rsid w:val="00A07165"/>
    <w:rPr>
      <w:rFonts w:ascii="Consolas" w:hAnsi="Consolas" w:cs="Consolas"/>
      <w:sz w:val="20"/>
      <w:szCs w:val="20"/>
    </w:rPr>
  </w:style>
  <w:style w:type="character" w:styleId="HTMLVariable">
    <w:name w:val="HTML Variable"/>
    <w:basedOn w:val="DefaultParagraphFont"/>
    <w:uiPriority w:val="99"/>
    <w:semiHidden/>
    <w:rsid w:val="00A07165"/>
    <w:rPr>
      <w:i/>
      <w:iCs/>
    </w:rPr>
  </w:style>
  <w:style w:type="paragraph" w:styleId="Index1">
    <w:name w:val="index 1"/>
    <w:basedOn w:val="Normal"/>
    <w:next w:val="Normal"/>
    <w:autoRedefine/>
    <w:uiPriority w:val="99"/>
    <w:semiHidden/>
    <w:rsid w:val="00A07165"/>
    <w:pPr>
      <w:ind w:left="240" w:hanging="240"/>
    </w:pPr>
  </w:style>
  <w:style w:type="paragraph" w:styleId="Index2">
    <w:name w:val="index 2"/>
    <w:basedOn w:val="Normal"/>
    <w:next w:val="Normal"/>
    <w:autoRedefine/>
    <w:uiPriority w:val="99"/>
    <w:semiHidden/>
    <w:rsid w:val="00A07165"/>
    <w:pPr>
      <w:ind w:left="480" w:hanging="240"/>
    </w:pPr>
  </w:style>
  <w:style w:type="paragraph" w:styleId="Index3">
    <w:name w:val="index 3"/>
    <w:basedOn w:val="Normal"/>
    <w:next w:val="Normal"/>
    <w:autoRedefine/>
    <w:uiPriority w:val="99"/>
    <w:semiHidden/>
    <w:rsid w:val="00A07165"/>
    <w:pPr>
      <w:ind w:left="720" w:hanging="240"/>
    </w:pPr>
  </w:style>
  <w:style w:type="paragraph" w:styleId="Index4">
    <w:name w:val="index 4"/>
    <w:basedOn w:val="Normal"/>
    <w:next w:val="Normal"/>
    <w:autoRedefine/>
    <w:uiPriority w:val="99"/>
    <w:semiHidden/>
    <w:rsid w:val="00A07165"/>
    <w:pPr>
      <w:ind w:left="960" w:hanging="240"/>
    </w:pPr>
  </w:style>
  <w:style w:type="paragraph" w:styleId="Index5">
    <w:name w:val="index 5"/>
    <w:basedOn w:val="Normal"/>
    <w:next w:val="Normal"/>
    <w:autoRedefine/>
    <w:uiPriority w:val="99"/>
    <w:semiHidden/>
    <w:rsid w:val="00A07165"/>
    <w:pPr>
      <w:ind w:left="1200" w:hanging="240"/>
    </w:pPr>
  </w:style>
  <w:style w:type="paragraph" w:styleId="Index6">
    <w:name w:val="index 6"/>
    <w:basedOn w:val="Normal"/>
    <w:next w:val="Normal"/>
    <w:autoRedefine/>
    <w:uiPriority w:val="99"/>
    <w:semiHidden/>
    <w:rsid w:val="00A07165"/>
    <w:pPr>
      <w:ind w:left="1440" w:hanging="240"/>
    </w:pPr>
  </w:style>
  <w:style w:type="paragraph" w:styleId="Index7">
    <w:name w:val="index 7"/>
    <w:basedOn w:val="Normal"/>
    <w:next w:val="Normal"/>
    <w:autoRedefine/>
    <w:uiPriority w:val="99"/>
    <w:semiHidden/>
    <w:rsid w:val="00A07165"/>
    <w:pPr>
      <w:ind w:left="1680" w:hanging="240"/>
    </w:pPr>
  </w:style>
  <w:style w:type="paragraph" w:styleId="Index8">
    <w:name w:val="index 8"/>
    <w:basedOn w:val="Normal"/>
    <w:next w:val="Normal"/>
    <w:autoRedefine/>
    <w:uiPriority w:val="99"/>
    <w:semiHidden/>
    <w:rsid w:val="00A07165"/>
    <w:pPr>
      <w:ind w:left="1920" w:hanging="240"/>
    </w:pPr>
  </w:style>
  <w:style w:type="paragraph" w:styleId="Index9">
    <w:name w:val="index 9"/>
    <w:basedOn w:val="Normal"/>
    <w:next w:val="Normal"/>
    <w:autoRedefine/>
    <w:uiPriority w:val="99"/>
    <w:semiHidden/>
    <w:rsid w:val="00A07165"/>
    <w:pPr>
      <w:ind w:left="2160" w:hanging="240"/>
    </w:pPr>
  </w:style>
  <w:style w:type="paragraph" w:styleId="IndexHeading">
    <w:name w:val="index heading"/>
    <w:basedOn w:val="Normal"/>
    <w:next w:val="Index1"/>
    <w:uiPriority w:val="99"/>
    <w:semiHidden/>
    <w:rsid w:val="00A07165"/>
    <w:rPr>
      <w:rFonts w:asciiTheme="majorHAnsi" w:eastAsiaTheme="majorEastAsia" w:hAnsiTheme="majorHAnsi" w:cstheme="majorBidi"/>
      <w:b/>
      <w:bCs/>
    </w:rPr>
  </w:style>
  <w:style w:type="table" w:styleId="LightGrid">
    <w:name w:val="Light Grid"/>
    <w:basedOn w:val="TableNormal"/>
    <w:uiPriority w:val="62"/>
    <w:semiHidden/>
    <w:rsid w:val="00A0716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716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716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716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716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716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716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716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716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716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716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716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716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716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716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7165"/>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7165"/>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7165"/>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7165"/>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7165"/>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7165"/>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07165"/>
  </w:style>
  <w:style w:type="paragraph" w:styleId="List">
    <w:name w:val="List"/>
    <w:basedOn w:val="Normal"/>
    <w:uiPriority w:val="99"/>
    <w:semiHidden/>
    <w:rsid w:val="00A07165"/>
    <w:pPr>
      <w:ind w:left="283" w:hanging="283"/>
      <w:contextualSpacing/>
    </w:pPr>
  </w:style>
  <w:style w:type="paragraph" w:styleId="List2">
    <w:name w:val="List 2"/>
    <w:basedOn w:val="Normal"/>
    <w:uiPriority w:val="99"/>
    <w:semiHidden/>
    <w:rsid w:val="00A07165"/>
    <w:pPr>
      <w:ind w:left="566" w:hanging="283"/>
      <w:contextualSpacing/>
    </w:pPr>
  </w:style>
  <w:style w:type="paragraph" w:styleId="List3">
    <w:name w:val="List 3"/>
    <w:basedOn w:val="Normal"/>
    <w:uiPriority w:val="99"/>
    <w:semiHidden/>
    <w:rsid w:val="00A07165"/>
    <w:pPr>
      <w:ind w:left="849" w:hanging="283"/>
      <w:contextualSpacing/>
    </w:pPr>
  </w:style>
  <w:style w:type="paragraph" w:styleId="List4">
    <w:name w:val="List 4"/>
    <w:basedOn w:val="Normal"/>
    <w:uiPriority w:val="99"/>
    <w:semiHidden/>
    <w:rsid w:val="00A07165"/>
    <w:pPr>
      <w:ind w:left="1132" w:hanging="283"/>
      <w:contextualSpacing/>
    </w:pPr>
  </w:style>
  <w:style w:type="paragraph" w:styleId="List5">
    <w:name w:val="List 5"/>
    <w:basedOn w:val="Normal"/>
    <w:uiPriority w:val="99"/>
    <w:semiHidden/>
    <w:rsid w:val="00A07165"/>
    <w:pPr>
      <w:ind w:left="1415" w:hanging="283"/>
      <w:contextualSpacing/>
    </w:pPr>
  </w:style>
  <w:style w:type="paragraph" w:styleId="ListBullet2">
    <w:name w:val="List Bullet 2"/>
    <w:basedOn w:val="Normal"/>
    <w:uiPriority w:val="99"/>
    <w:semiHidden/>
    <w:rsid w:val="00A07165"/>
    <w:pPr>
      <w:numPr>
        <w:numId w:val="38"/>
      </w:numPr>
      <w:contextualSpacing/>
    </w:pPr>
  </w:style>
  <w:style w:type="paragraph" w:styleId="ListBullet4">
    <w:name w:val="List Bullet 4"/>
    <w:basedOn w:val="Normal"/>
    <w:uiPriority w:val="99"/>
    <w:semiHidden/>
    <w:rsid w:val="00A07165"/>
    <w:pPr>
      <w:numPr>
        <w:numId w:val="40"/>
      </w:numPr>
      <w:contextualSpacing/>
    </w:pPr>
  </w:style>
  <w:style w:type="paragraph" w:styleId="ListBullet5">
    <w:name w:val="List Bullet 5"/>
    <w:basedOn w:val="Normal"/>
    <w:uiPriority w:val="99"/>
    <w:semiHidden/>
    <w:rsid w:val="00A07165"/>
    <w:pPr>
      <w:numPr>
        <w:numId w:val="41"/>
      </w:numPr>
      <w:contextualSpacing/>
    </w:pPr>
  </w:style>
  <w:style w:type="paragraph" w:styleId="ListContinue">
    <w:name w:val="List Continue"/>
    <w:basedOn w:val="Normal"/>
    <w:uiPriority w:val="99"/>
    <w:semiHidden/>
    <w:rsid w:val="00A07165"/>
    <w:pPr>
      <w:spacing w:after="120"/>
      <w:ind w:left="283"/>
      <w:contextualSpacing/>
    </w:pPr>
  </w:style>
  <w:style w:type="paragraph" w:styleId="ListContinue2">
    <w:name w:val="List Continue 2"/>
    <w:basedOn w:val="Normal"/>
    <w:uiPriority w:val="99"/>
    <w:semiHidden/>
    <w:rsid w:val="00A07165"/>
    <w:pPr>
      <w:spacing w:after="120"/>
      <w:ind w:left="566"/>
      <w:contextualSpacing/>
    </w:pPr>
  </w:style>
  <w:style w:type="paragraph" w:styleId="ListContinue3">
    <w:name w:val="List Continue 3"/>
    <w:basedOn w:val="Normal"/>
    <w:uiPriority w:val="99"/>
    <w:semiHidden/>
    <w:rsid w:val="00A07165"/>
    <w:pPr>
      <w:spacing w:after="120"/>
      <w:ind w:left="849"/>
      <w:contextualSpacing/>
    </w:pPr>
  </w:style>
  <w:style w:type="paragraph" w:styleId="ListContinue4">
    <w:name w:val="List Continue 4"/>
    <w:basedOn w:val="Normal"/>
    <w:uiPriority w:val="99"/>
    <w:semiHidden/>
    <w:rsid w:val="00A07165"/>
    <w:pPr>
      <w:spacing w:after="120"/>
      <w:ind w:left="1132"/>
      <w:contextualSpacing/>
    </w:pPr>
  </w:style>
  <w:style w:type="paragraph" w:styleId="ListContinue5">
    <w:name w:val="List Continue 5"/>
    <w:basedOn w:val="Normal"/>
    <w:uiPriority w:val="99"/>
    <w:semiHidden/>
    <w:rsid w:val="00A07165"/>
    <w:pPr>
      <w:spacing w:after="120"/>
      <w:ind w:left="1415"/>
      <w:contextualSpacing/>
    </w:pPr>
  </w:style>
  <w:style w:type="paragraph" w:styleId="ListNumber">
    <w:name w:val="List Number"/>
    <w:basedOn w:val="Normal"/>
    <w:uiPriority w:val="99"/>
    <w:semiHidden/>
    <w:rsid w:val="00A07165"/>
    <w:pPr>
      <w:numPr>
        <w:numId w:val="42"/>
      </w:numPr>
      <w:contextualSpacing/>
    </w:pPr>
  </w:style>
  <w:style w:type="paragraph" w:styleId="ListNumber2">
    <w:name w:val="List Number 2"/>
    <w:basedOn w:val="Normal"/>
    <w:uiPriority w:val="99"/>
    <w:semiHidden/>
    <w:rsid w:val="00A07165"/>
    <w:pPr>
      <w:numPr>
        <w:numId w:val="43"/>
      </w:numPr>
      <w:contextualSpacing/>
    </w:pPr>
  </w:style>
  <w:style w:type="paragraph" w:styleId="ListNumber3">
    <w:name w:val="List Number 3"/>
    <w:basedOn w:val="Normal"/>
    <w:uiPriority w:val="99"/>
    <w:semiHidden/>
    <w:rsid w:val="00A07165"/>
    <w:pPr>
      <w:numPr>
        <w:numId w:val="44"/>
      </w:numPr>
      <w:contextualSpacing/>
    </w:pPr>
  </w:style>
  <w:style w:type="paragraph" w:styleId="ListNumber4">
    <w:name w:val="List Number 4"/>
    <w:basedOn w:val="Normal"/>
    <w:uiPriority w:val="99"/>
    <w:semiHidden/>
    <w:rsid w:val="00A07165"/>
    <w:pPr>
      <w:numPr>
        <w:numId w:val="45"/>
      </w:numPr>
      <w:contextualSpacing/>
    </w:pPr>
  </w:style>
  <w:style w:type="paragraph" w:styleId="ListNumber5">
    <w:name w:val="List Number 5"/>
    <w:basedOn w:val="Normal"/>
    <w:uiPriority w:val="99"/>
    <w:semiHidden/>
    <w:rsid w:val="00A07165"/>
    <w:pPr>
      <w:numPr>
        <w:numId w:val="46"/>
      </w:numPr>
      <w:contextualSpacing/>
    </w:pPr>
  </w:style>
  <w:style w:type="paragraph" w:styleId="MacroText">
    <w:name w:val="macro"/>
    <w:link w:val="MacroTextChar"/>
    <w:uiPriority w:val="99"/>
    <w:semiHidden/>
    <w:rsid w:val="00A07165"/>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A07165"/>
    <w:rPr>
      <w:rFonts w:ascii="Consolas" w:eastAsiaTheme="minorEastAsia" w:hAnsi="Consolas" w:cs="Consolas"/>
      <w:sz w:val="20"/>
      <w:szCs w:val="20"/>
    </w:rPr>
  </w:style>
  <w:style w:type="table" w:styleId="MediumGrid1">
    <w:name w:val="Medium Grid 1"/>
    <w:basedOn w:val="TableNormal"/>
    <w:uiPriority w:val="67"/>
    <w:semiHidden/>
    <w:rsid w:val="00A0716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716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716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716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716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716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716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716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716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716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716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716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716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716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716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7165"/>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7165"/>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7165"/>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7165"/>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7165"/>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7165"/>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716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716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716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716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716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716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716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716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716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716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716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716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716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716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716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0716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A0716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A07165"/>
    <w:rPr>
      <w:rFonts w:ascii="Times New Roman" w:hAnsi="Times New Roman" w:cs="Times New Roman"/>
      <w:szCs w:val="24"/>
    </w:rPr>
  </w:style>
  <w:style w:type="paragraph" w:styleId="NormalIndent">
    <w:name w:val="Normal Indent"/>
    <w:basedOn w:val="Normal"/>
    <w:uiPriority w:val="99"/>
    <w:semiHidden/>
    <w:rsid w:val="00A07165"/>
    <w:pPr>
      <w:ind w:left="720"/>
    </w:pPr>
  </w:style>
  <w:style w:type="paragraph" w:styleId="NoteHeading">
    <w:name w:val="Note Heading"/>
    <w:basedOn w:val="Normal"/>
    <w:next w:val="Normal"/>
    <w:link w:val="NoteHeadingChar"/>
    <w:uiPriority w:val="99"/>
    <w:semiHidden/>
    <w:rsid w:val="00A07165"/>
  </w:style>
  <w:style w:type="character" w:customStyle="1" w:styleId="NoteHeadingChar">
    <w:name w:val="Note Heading Char"/>
    <w:basedOn w:val="DefaultParagraphFont"/>
    <w:link w:val="NoteHeading"/>
    <w:uiPriority w:val="99"/>
    <w:semiHidden/>
    <w:rsid w:val="00A07165"/>
    <w:rPr>
      <w:rFonts w:eastAsiaTheme="minorEastAsia"/>
      <w:sz w:val="24"/>
      <w:lang w:val="en-GB"/>
    </w:rPr>
  </w:style>
  <w:style w:type="character" w:styleId="PlaceholderText">
    <w:name w:val="Placeholder Text"/>
    <w:basedOn w:val="DefaultParagraphFont"/>
    <w:uiPriority w:val="99"/>
    <w:semiHidden/>
    <w:rsid w:val="00A0716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07165"/>
    <w:rPr>
      <w:rFonts w:ascii="Consolas" w:hAnsi="Consolas" w:cs="Consolas"/>
      <w:sz w:val="21"/>
      <w:szCs w:val="21"/>
    </w:rPr>
  </w:style>
  <w:style w:type="character" w:customStyle="1" w:styleId="PlainTextChar">
    <w:name w:val="Plain Text Char"/>
    <w:basedOn w:val="DefaultParagraphFont"/>
    <w:link w:val="PlainText"/>
    <w:uiPriority w:val="99"/>
    <w:semiHidden/>
    <w:rsid w:val="00A07165"/>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A07165"/>
  </w:style>
  <w:style w:type="character" w:customStyle="1" w:styleId="SalutationChar">
    <w:name w:val="Salutation Char"/>
    <w:basedOn w:val="DefaultParagraphFont"/>
    <w:link w:val="Salutation"/>
    <w:uiPriority w:val="99"/>
    <w:semiHidden/>
    <w:rsid w:val="00A07165"/>
    <w:rPr>
      <w:rFonts w:eastAsiaTheme="minorEastAsia"/>
      <w:sz w:val="24"/>
      <w:lang w:val="en-GB"/>
    </w:rPr>
  </w:style>
  <w:style w:type="paragraph" w:styleId="Signature">
    <w:name w:val="Signature"/>
    <w:basedOn w:val="Normal"/>
    <w:link w:val="SignatureChar"/>
    <w:uiPriority w:val="99"/>
    <w:semiHidden/>
    <w:rsid w:val="00A07165"/>
    <w:pPr>
      <w:ind w:left="4252"/>
    </w:pPr>
  </w:style>
  <w:style w:type="character" w:customStyle="1" w:styleId="SignatureChar">
    <w:name w:val="Signature Char"/>
    <w:basedOn w:val="DefaultParagraphFont"/>
    <w:link w:val="Signature"/>
    <w:uiPriority w:val="99"/>
    <w:semiHidden/>
    <w:rsid w:val="00A07165"/>
    <w:rPr>
      <w:rFonts w:eastAsiaTheme="minorEastAsia"/>
      <w:sz w:val="24"/>
      <w:lang w:val="en-GB"/>
    </w:rPr>
  </w:style>
  <w:style w:type="table" w:styleId="Table3Deffects1">
    <w:name w:val="Table 3D effects 1"/>
    <w:basedOn w:val="TableNormal"/>
    <w:uiPriority w:val="99"/>
    <w:semiHidden/>
    <w:unhideWhenUsed/>
    <w:rsid w:val="00A0716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716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716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716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716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716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716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716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716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716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716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716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716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716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716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716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716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716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716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716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716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716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716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716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716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716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716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716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716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716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716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716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716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07165"/>
    <w:pPr>
      <w:ind w:left="240" w:hanging="240"/>
    </w:pPr>
  </w:style>
  <w:style w:type="paragraph" w:styleId="TableofFigures">
    <w:name w:val="table of figures"/>
    <w:basedOn w:val="Normal"/>
    <w:next w:val="Normal"/>
    <w:uiPriority w:val="99"/>
    <w:semiHidden/>
    <w:rsid w:val="00A07165"/>
  </w:style>
  <w:style w:type="table" w:styleId="TableProfessional">
    <w:name w:val="Table Professional"/>
    <w:basedOn w:val="TableNormal"/>
    <w:uiPriority w:val="99"/>
    <w:semiHidden/>
    <w:unhideWhenUsed/>
    <w:rsid w:val="00A0716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716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716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716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716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716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71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716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716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716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0716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0716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07165"/>
    <w:pPr>
      <w:spacing w:after="100"/>
      <w:ind w:left="1680"/>
    </w:pPr>
  </w:style>
  <w:style w:type="paragraph" w:styleId="TOC9">
    <w:name w:val="toc 9"/>
    <w:basedOn w:val="Normal"/>
    <w:next w:val="Normal"/>
    <w:autoRedefine/>
    <w:uiPriority w:val="99"/>
    <w:semiHidden/>
    <w:rsid w:val="00A07165"/>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A07165"/>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A07165"/>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A07165"/>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A07165"/>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7041C9"/>
    <w:rPr>
      <w:rFonts w:eastAsiaTheme="minorEastAsia"/>
      <w:sz w:val="24"/>
      <w:lang w:val="en-GB"/>
    </w:rPr>
  </w:style>
  <w:style w:type="paragraph" w:customStyle="1" w:styleId="ECHRHeaderRefIt">
    <w:name w:val="ECHR_Header_Ref_It"/>
    <w:aliases w:val="Ref_Ital"/>
    <w:basedOn w:val="Normal"/>
    <w:next w:val="Normal"/>
    <w:uiPriority w:val="38"/>
    <w:rsid w:val="007041C9"/>
    <w:pPr>
      <w:jc w:val="right"/>
    </w:pPr>
    <w:rPr>
      <w:rFonts w:eastAsiaTheme="minorHAnsi"/>
      <w:i/>
      <w:sz w:val="20"/>
    </w:rPr>
  </w:style>
  <w:style w:type="character" w:customStyle="1" w:styleId="JuNames0">
    <w:name w:val="Ju_Names"/>
    <w:rsid w:val="007041C9"/>
    <w:rPr>
      <w:smallCaps/>
    </w:rPr>
  </w:style>
  <w:style w:type="character" w:customStyle="1" w:styleId="JuQuotChar">
    <w:name w:val="Ju_Quot Char"/>
    <w:link w:val="JuQuot"/>
    <w:uiPriority w:val="21"/>
    <w:rsid w:val="007041C9"/>
    <w:rPr>
      <w:rFonts w:eastAsiaTheme="minorEastAsia"/>
      <w:sz w:val="20"/>
      <w:lang w:val="en-GB"/>
    </w:rPr>
  </w:style>
  <w:style w:type="paragraph" w:styleId="Revision">
    <w:name w:val="Revision"/>
    <w:hidden/>
    <w:uiPriority w:val="99"/>
    <w:semiHidden/>
    <w:rsid w:val="007041C9"/>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doc.echr.coe.int/sites/eng/Pages/search.aspx"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F41F4E-910A-4942-B7EB-0E4449A53B59}">
  <ds:schemaRefs>
    <ds:schemaRef ds:uri="http://schemas.openxmlformats.org/officeDocument/2006/bibliography"/>
  </ds:schemaRefs>
</ds:datastoreItem>
</file>

<file path=customXml/itemProps2.xml><?xml version="1.0" encoding="utf-8"?>
<ds:datastoreItem xmlns:ds="http://schemas.openxmlformats.org/officeDocument/2006/customXml" ds:itemID="{D610ABD4-6D58-43E8-9055-F777EBCC988F}"/>
</file>

<file path=customXml/itemProps3.xml><?xml version="1.0" encoding="utf-8"?>
<ds:datastoreItem xmlns:ds="http://schemas.openxmlformats.org/officeDocument/2006/customXml" ds:itemID="{F184898E-8BFD-4D8C-AE48-46635D46E851}"/>
</file>

<file path=customXml/itemProps4.xml><?xml version="1.0" encoding="utf-8"?>
<ds:datastoreItem xmlns:ds="http://schemas.openxmlformats.org/officeDocument/2006/customXml" ds:itemID="{227D7640-A288-4381-846F-498C0B39FA5A}"/>
</file>

<file path=docProps/app.xml><?xml version="1.0" encoding="utf-8"?>
<Properties xmlns="http://schemas.openxmlformats.org/officeDocument/2006/extended-properties" xmlns:vt="http://schemas.openxmlformats.org/officeDocument/2006/docPropsVTypes">
  <Template>Normal.dotm</Template>
  <TotalTime>0</TotalTime>
  <Pages>1</Pages>
  <Words>5685</Words>
  <Characters>32410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38019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2022-08-16T12:46:00Z</dcterms:created>
  <dcterms:modified xsi:type="dcterms:W3CDTF">2022-08-16T12:46:00Z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12576/12</vt:lpwstr>
  </property>
  <property fmtid="{D5CDD505-2E9C-101B-9397-08002B2CF9AE}" pid="4" name="CASEID">
    <vt:lpwstr>781140</vt:lpwstr>
  </property>
  <property fmtid="{D5CDD505-2E9C-101B-9397-08002B2CF9AE}" pid="5" name="ContentTypeId">
    <vt:lpwstr>0x010100558EB02BDB9E204AB350EDD385B68E10</vt:lpwstr>
  </property>
</Properties>
</file>