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56B4B" w:rsidR="00D371DE" w:rsidP="00756B4B" w14:paraId="5FC6E3BE" w14:textId="77777777">
      <w:pPr>
        <w:pStyle w:val="DecHCase"/>
      </w:pPr>
    </w:p>
    <w:p w:rsidRPr="00756B4B" w:rsidR="00D371DE" w:rsidP="00756B4B" w14:paraId="6C1BC6CA" w14:textId="77777777">
      <w:pPr>
        <w:pStyle w:val="DecHCase"/>
      </w:pPr>
    </w:p>
    <w:p w:rsidRPr="00756B4B" w:rsidR="002D2C99" w:rsidP="00756B4B" w14:paraId="00A61A43" w14:textId="77777777">
      <w:pPr>
        <w:pStyle w:val="DecHCase"/>
      </w:pPr>
      <w:r w:rsidRPr="00756B4B">
        <w:t>DEUXIÈME SECTION</w:t>
      </w:r>
    </w:p>
    <w:p w:rsidRPr="00756B4B" w:rsidR="002D2C99" w:rsidP="00756B4B" w14:paraId="7F4A3EF3" w14:textId="77777777">
      <w:pPr>
        <w:pStyle w:val="JuTitle"/>
      </w:pPr>
      <w:r w:rsidRPr="00756B4B">
        <w:t xml:space="preserve">AFFAIRE </w:t>
      </w:r>
      <w:r w:rsidRPr="00756B4B" w:rsidR="009C3B37">
        <w:t>SİLAHYÜREKLİ</w:t>
      </w:r>
      <w:r w:rsidRPr="00756B4B" w:rsidR="000C1DD1">
        <w:t xml:space="preserve"> c. TURQUIE</w:t>
      </w:r>
    </w:p>
    <w:p w:rsidRPr="00756B4B" w:rsidR="002D2C99" w:rsidP="00756B4B" w14:paraId="5E5DDC79" w14:textId="77777777">
      <w:pPr>
        <w:pStyle w:val="Title4"/>
      </w:pPr>
      <w:r w:rsidRPr="00756B4B">
        <w:t>(</w:t>
      </w:r>
      <w:r w:rsidRPr="00756B4B" w:rsidR="000C1DD1">
        <w:t>Requête n</w:t>
      </w:r>
      <w:r w:rsidRPr="00756B4B" w:rsidR="000C1DD1">
        <w:rPr>
          <w:vertAlign w:val="superscript"/>
        </w:rPr>
        <w:t>o</w:t>
      </w:r>
      <w:r w:rsidRPr="00756B4B" w:rsidR="00626F82">
        <w:t xml:space="preserve"> </w:t>
      </w:r>
      <w:r w:rsidRPr="00756B4B" w:rsidR="000C1DD1">
        <w:t>16150/06</w:t>
      </w:r>
      <w:r w:rsidRPr="00756B4B">
        <w:t>)</w:t>
      </w:r>
    </w:p>
    <w:p w:rsidRPr="00756B4B" w:rsidR="002D2C99" w:rsidP="00756B4B" w14:paraId="51DFFE6C" w14:textId="77777777">
      <w:pPr>
        <w:pStyle w:val="DecHCase"/>
      </w:pPr>
    </w:p>
    <w:p w:rsidRPr="00756B4B" w:rsidR="002D2C99" w:rsidP="00756B4B" w14:paraId="193067BA" w14:textId="77777777">
      <w:pPr>
        <w:pStyle w:val="DecHCase"/>
      </w:pPr>
    </w:p>
    <w:p w:rsidRPr="00756B4B" w:rsidR="002E7BCA" w:rsidP="00756B4B" w14:paraId="71081306" w14:textId="77777777">
      <w:pPr>
        <w:pStyle w:val="DecHCase"/>
      </w:pPr>
      <w:r w:rsidRPr="00756B4B">
        <w:t>ARRÊT</w:t>
      </w:r>
      <w:r w:rsidRPr="00756B4B">
        <w:br/>
      </w:r>
      <w:bookmarkStart w:name="JUDTYPE" w:id="0"/>
      <w:r w:rsidRPr="00756B4B">
        <w:t>(</w:t>
      </w:r>
      <w:r w:rsidRPr="0003062F">
        <w:rPr>
          <w:i/>
        </w:rPr>
        <w:t>Satisfaction équitable – radiation</w:t>
      </w:r>
      <w:r w:rsidRPr="00756B4B">
        <w:t>)</w:t>
      </w:r>
      <w:bookmarkEnd w:id="0"/>
    </w:p>
    <w:p w:rsidRPr="00756B4B" w:rsidR="00756B4B" w:rsidP="00756B4B" w14:paraId="5DCEBFD2" w14:textId="77777777">
      <w:pPr>
        <w:pStyle w:val="DecHCase"/>
      </w:pPr>
    </w:p>
    <w:p w:rsidRPr="00756B4B" w:rsidR="00756B4B" w:rsidP="008237A9" w14:paraId="5FA1B1D4" w14:textId="77777777">
      <w:pPr>
        <w:pStyle w:val="DecHCase"/>
        <w:pBdr>
          <w:top w:val="single" w:color="auto" w:sz="4" w:space="1"/>
          <w:left w:val="single" w:color="auto" w:sz="4" w:space="4"/>
          <w:bottom w:val="single" w:color="auto" w:sz="4" w:space="1"/>
          <w:right w:val="single" w:color="auto" w:sz="4" w:space="4"/>
        </w:pBdr>
        <w:jc w:val="both"/>
      </w:pPr>
      <w:r w:rsidRPr="00756B4B">
        <w:t>Art 41 • Radiation du rôle • Nouvelle voie interne d'indemnisation • Poursuite de l'examen non justifiée</w:t>
      </w:r>
    </w:p>
    <w:p w:rsidRPr="00756B4B" w:rsidR="002D2C99" w:rsidP="00756B4B" w14:paraId="59300A59" w14:textId="77777777">
      <w:pPr>
        <w:pStyle w:val="DecHCase"/>
      </w:pPr>
      <w:r w:rsidRPr="00756B4B">
        <w:t>STRASBOURG</w:t>
      </w:r>
    </w:p>
    <w:p w:rsidRPr="00756B4B" w:rsidR="002D2C99" w:rsidP="00756B4B" w14:paraId="2309ED99" w14:textId="77777777">
      <w:pPr>
        <w:pStyle w:val="DecHCase"/>
      </w:pPr>
      <w:r w:rsidRPr="00756B4B">
        <w:t>29 octobre 2019</w:t>
      </w:r>
    </w:p>
    <w:p w:rsidRPr="00756B4B" w:rsidR="002D2C99" w:rsidP="00756B4B" w14:paraId="4EECC453" w14:textId="77777777">
      <w:pPr>
        <w:jc w:val="center"/>
      </w:pPr>
    </w:p>
    <w:p w:rsidR="004522EF" w:rsidP="004522EF" w14:paraId="6C347167" w14:textId="77777777">
      <w:pPr>
        <w:pStyle w:val="jucase0"/>
        <w:ind w:firstLine="0"/>
        <w:jc w:val="center"/>
        <w:rPr>
          <w:color w:val="FF0000"/>
          <w:sz w:val="28"/>
          <w:szCs w:val="28"/>
          <w:u w:val="single"/>
          <w:lang w:val="fr-FR"/>
        </w:rPr>
      </w:pPr>
      <w:r>
        <w:rPr>
          <w:color w:val="FF0000"/>
          <w:sz w:val="28"/>
          <w:szCs w:val="28"/>
          <w:u w:val="single"/>
          <w:lang w:val="fr-FR"/>
        </w:rPr>
        <w:t>DÉFINITIF</w:t>
      </w:r>
    </w:p>
    <w:p w:rsidR="004522EF" w:rsidP="004522EF" w14:paraId="32EF60AC" w14:textId="77777777">
      <w:pPr>
        <w:pStyle w:val="jupara0"/>
        <w:tabs>
          <w:tab w:val="left" w:pos="3450"/>
        </w:tabs>
        <w:ind w:firstLine="0"/>
        <w:jc w:val="center"/>
        <w:rPr>
          <w:color w:val="FF0000"/>
          <w:sz w:val="28"/>
          <w:szCs w:val="28"/>
          <w:lang w:val="fr-FR"/>
        </w:rPr>
      </w:pPr>
    </w:p>
    <w:p w:rsidR="004522EF" w:rsidP="004522EF" w14:paraId="245C81D3" w14:textId="77777777">
      <w:pPr>
        <w:pStyle w:val="jupara0"/>
        <w:ind w:firstLine="0"/>
        <w:jc w:val="center"/>
        <w:rPr>
          <w:color w:val="FF0000"/>
          <w:sz w:val="28"/>
          <w:szCs w:val="28"/>
          <w:lang w:val="fr-FR"/>
        </w:rPr>
      </w:pPr>
      <w:r>
        <w:rPr>
          <w:color w:val="FF0000"/>
          <w:sz w:val="28"/>
          <w:szCs w:val="28"/>
          <w:lang w:val="fr-FR"/>
        </w:rPr>
        <w:t>29/01/2020</w:t>
      </w:r>
    </w:p>
    <w:p w:rsidR="004522EF" w:rsidP="004522EF" w14:paraId="0BED3F3E" w14:textId="77777777">
      <w:pPr>
        <w:pStyle w:val="jupara0"/>
        <w:ind w:firstLine="0"/>
        <w:jc w:val="center"/>
        <w:rPr>
          <w:u w:val="single"/>
          <w:lang w:val="fr-FR"/>
        </w:rPr>
      </w:pPr>
    </w:p>
    <w:p w:rsidRPr="00756B4B" w:rsidR="002D2C99" w:rsidP="004522EF" w14:paraId="279FDADB" w14:textId="77777777">
      <w:pPr>
        <w:jc w:val="center"/>
        <w:sectPr w:rsidSect="00F5432B">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r>
        <w:rPr>
          <w:i/>
          <w:iCs/>
          <w:sz w:val="22"/>
        </w:rPr>
        <w:t>Cet arrêt est devenu définitif en vertu de l’article 44 § 2 de la Convention. Il peut subir des retouches de forme.</w:t>
      </w:r>
    </w:p>
    <w:p w:rsidRPr="00756B4B" w:rsidR="009C3B37" w:rsidP="00756B4B" w14:paraId="3A9BD947" w14:textId="77777777">
      <w:pPr>
        <w:pStyle w:val="JuPara"/>
        <w:rPr>
          <w:b/>
        </w:rPr>
      </w:pPr>
      <w:r w:rsidRPr="00756B4B">
        <w:rPr>
          <w:b/>
        </w:rPr>
        <w:t>En l</w:t>
      </w:r>
      <w:r w:rsidRPr="00756B4B" w:rsidR="00756B4B">
        <w:rPr>
          <w:b/>
        </w:rPr>
        <w:t>’</w:t>
      </w:r>
      <w:r w:rsidRPr="00756B4B">
        <w:rPr>
          <w:b/>
        </w:rPr>
        <w:t xml:space="preserve">affaire </w:t>
      </w:r>
      <w:r w:rsidRPr="00756B4B">
        <w:rPr>
          <w:b/>
        </w:rPr>
        <w:t>Silahyürekli</w:t>
      </w:r>
      <w:r w:rsidRPr="00756B4B">
        <w:rPr>
          <w:b/>
        </w:rPr>
        <w:t xml:space="preserve"> c. Turquie,</w:t>
      </w:r>
    </w:p>
    <w:p w:rsidRPr="00756B4B" w:rsidR="009C3B37" w:rsidP="00756B4B" w14:paraId="07EB4AD8" w14:textId="77777777">
      <w:pPr>
        <w:pStyle w:val="JuPara"/>
      </w:pPr>
      <w:r w:rsidRPr="00756B4B">
        <w:t>La Cour européenne des droits de l</w:t>
      </w:r>
      <w:r w:rsidRPr="00756B4B" w:rsidR="00756B4B">
        <w:t>’</w:t>
      </w:r>
      <w:r w:rsidRPr="00756B4B">
        <w:t>homme (deuxième section), siégeant en une chambre composée de :</w:t>
      </w:r>
    </w:p>
    <w:p w:rsidRPr="00756B4B" w:rsidR="009C3B37" w:rsidP="00756B4B" w14:paraId="68A2EFF9" w14:textId="77777777">
      <w:pPr>
        <w:pStyle w:val="JuJudges"/>
      </w:pPr>
      <w:r w:rsidRPr="00756B4B">
        <w:tab/>
        <w:t xml:space="preserve">Robert </w:t>
      </w:r>
      <w:r w:rsidRPr="00756B4B">
        <w:t>Spano</w:t>
      </w:r>
      <w:r w:rsidRPr="00756B4B">
        <w:t>,</w:t>
      </w:r>
      <w:r w:rsidRPr="00756B4B">
        <w:rPr>
          <w:i/>
        </w:rPr>
        <w:t xml:space="preserve"> président,</w:t>
      </w:r>
      <w:r w:rsidRPr="00756B4B">
        <w:rPr>
          <w:i/>
        </w:rPr>
        <w:br/>
      </w:r>
      <w:r w:rsidRPr="00756B4B">
        <w:tab/>
        <w:t xml:space="preserve">Marko </w:t>
      </w:r>
      <w:r w:rsidRPr="00756B4B">
        <w:t>Bošnjak</w:t>
      </w:r>
      <w:r w:rsidRPr="00756B4B">
        <w:t>,</w:t>
      </w:r>
      <w:r w:rsidRPr="00756B4B">
        <w:rPr>
          <w:i/>
        </w:rPr>
        <w:br/>
      </w:r>
      <w:r w:rsidRPr="00756B4B">
        <w:tab/>
        <w:t xml:space="preserve">Julia </w:t>
      </w:r>
      <w:r w:rsidRPr="00756B4B">
        <w:t>Laffranque</w:t>
      </w:r>
      <w:r w:rsidRPr="00756B4B">
        <w:t>,</w:t>
      </w:r>
      <w:r w:rsidRPr="00756B4B">
        <w:rPr>
          <w:i/>
        </w:rPr>
        <w:br/>
      </w:r>
      <w:r w:rsidRPr="00756B4B">
        <w:tab/>
      </w:r>
      <w:r w:rsidRPr="00756B4B">
        <w:t>Egidijus</w:t>
      </w:r>
      <w:r w:rsidRPr="00756B4B">
        <w:t xml:space="preserve"> </w:t>
      </w:r>
      <w:r w:rsidRPr="00756B4B">
        <w:t>Kūris</w:t>
      </w:r>
      <w:r w:rsidRPr="00756B4B">
        <w:t>,</w:t>
      </w:r>
      <w:r w:rsidRPr="00756B4B">
        <w:rPr>
          <w:i/>
        </w:rPr>
        <w:br/>
      </w:r>
      <w:r w:rsidRPr="00756B4B">
        <w:tab/>
        <w:t xml:space="preserve">Arnfinn </w:t>
      </w:r>
      <w:r w:rsidRPr="00756B4B">
        <w:t>Bårdsen</w:t>
      </w:r>
      <w:r w:rsidRPr="00756B4B">
        <w:t>,</w:t>
      </w:r>
      <w:r w:rsidRPr="00756B4B">
        <w:rPr>
          <w:i/>
        </w:rPr>
        <w:br/>
      </w:r>
      <w:r w:rsidRPr="00756B4B">
        <w:tab/>
        <w:t>Darian Pavli,</w:t>
      </w:r>
      <w:r w:rsidRPr="00756B4B">
        <w:rPr>
          <w:i/>
        </w:rPr>
        <w:br/>
      </w:r>
      <w:r w:rsidRPr="00756B4B">
        <w:tab/>
      </w:r>
      <w:r w:rsidRPr="00756B4B">
        <w:t>Saadet</w:t>
      </w:r>
      <w:r w:rsidRPr="00756B4B">
        <w:t xml:space="preserve"> </w:t>
      </w:r>
      <w:r w:rsidRPr="00756B4B">
        <w:t>Yüksel</w:t>
      </w:r>
      <w:r w:rsidRPr="00756B4B">
        <w:t>,</w:t>
      </w:r>
      <w:r w:rsidRPr="00756B4B">
        <w:rPr>
          <w:i/>
        </w:rPr>
        <w:t xml:space="preserve"> juges,</w:t>
      </w:r>
      <w:r w:rsidRPr="00756B4B">
        <w:br/>
        <w:t xml:space="preserve">et de Stanley Naismith, </w:t>
      </w:r>
      <w:r w:rsidRPr="00756B4B">
        <w:rPr>
          <w:i/>
        </w:rPr>
        <w:t>greffier</w:t>
      </w:r>
      <w:r w:rsidRPr="00756B4B">
        <w:rPr>
          <w:iCs/>
        </w:rPr>
        <w:t xml:space="preserve"> </w:t>
      </w:r>
      <w:r w:rsidRPr="00756B4B">
        <w:rPr>
          <w:i/>
          <w:iCs/>
        </w:rPr>
        <w:t>d</w:t>
      </w:r>
      <w:r w:rsidRPr="00756B4B">
        <w:rPr>
          <w:i/>
        </w:rPr>
        <w:t>e section</w:t>
      </w:r>
      <w:r w:rsidRPr="00756B4B">
        <w:t>,</w:t>
      </w:r>
    </w:p>
    <w:p w:rsidRPr="00756B4B" w:rsidR="009C3B37" w:rsidP="00756B4B" w14:paraId="4DDD0371" w14:textId="77777777">
      <w:pPr>
        <w:pStyle w:val="JuPara"/>
      </w:pPr>
      <w:r w:rsidRPr="00756B4B">
        <w:t>Après en avoir délibéré en chambre du conseil le 8 octobre 2019,</w:t>
      </w:r>
    </w:p>
    <w:p w:rsidRPr="00756B4B" w:rsidR="009C3B37" w:rsidP="00756B4B" w14:paraId="32D9D3AD" w14:textId="77777777">
      <w:pPr>
        <w:pStyle w:val="JuPara"/>
      </w:pPr>
      <w:r w:rsidRPr="00756B4B">
        <w:t>Rend l</w:t>
      </w:r>
      <w:r w:rsidRPr="00756B4B" w:rsidR="00756B4B">
        <w:t>’</w:t>
      </w:r>
      <w:r w:rsidRPr="00756B4B">
        <w:t>arrêt que voici, adopté à cette date :</w:t>
      </w:r>
    </w:p>
    <w:p w:rsidRPr="00756B4B" w:rsidR="009C3B37" w:rsidP="00756B4B" w14:paraId="699A7494" w14:textId="77777777">
      <w:pPr>
        <w:pStyle w:val="JuHHead"/>
      </w:pPr>
      <w:r w:rsidRPr="00756B4B">
        <w:t>PROCÉDURE</w:t>
      </w:r>
    </w:p>
    <w:p w:rsidRPr="00756B4B" w:rsidR="009C3B37" w:rsidP="00756B4B" w14:paraId="65773EB6"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w:t>
      </w:r>
      <w:r w:rsidRPr="00756B4B">
        <w:fldChar w:fldCharType="end"/>
      </w:r>
      <w:r w:rsidRPr="00756B4B">
        <w:t>.  À l</w:t>
      </w:r>
      <w:r w:rsidRPr="00756B4B" w:rsidR="00756B4B">
        <w:t>’</w:t>
      </w:r>
      <w:r w:rsidRPr="00756B4B">
        <w:t>origine de l</w:t>
      </w:r>
      <w:r w:rsidRPr="00756B4B" w:rsidR="00756B4B">
        <w:t>’</w:t>
      </w:r>
      <w:r w:rsidRPr="00756B4B">
        <w:t>affaire se trouve une requête (n</w:t>
      </w:r>
      <w:r w:rsidRPr="00756B4B">
        <w:rPr>
          <w:vertAlign w:val="superscript"/>
        </w:rPr>
        <w:t>o</w:t>
      </w:r>
      <w:r w:rsidRPr="00756B4B">
        <w:t xml:space="preserve"> 16150/06) dirigée contre la République de Turquie et dont un ressortissant de cet État, M. Ahmet Emin </w:t>
      </w:r>
      <w:r w:rsidRPr="00756B4B">
        <w:t>Silahyürekli</w:t>
      </w:r>
      <w:r w:rsidRPr="00756B4B">
        <w:t xml:space="preserve"> (« le requérant »), a saisi la Cour le 17 avril 2006 en vertu de l</w:t>
      </w:r>
      <w:r w:rsidRPr="00756B4B" w:rsidR="00756B4B">
        <w:t>’</w:t>
      </w:r>
      <w:r w:rsidRPr="00756B4B">
        <w:t>article 34 de la Convention de sauvegarde des droits de l</w:t>
      </w:r>
      <w:r w:rsidRPr="00756B4B" w:rsidR="00756B4B">
        <w:t>’</w:t>
      </w:r>
      <w:r w:rsidRPr="00756B4B">
        <w:t>homme et des libertés fondamentales (« la Convention »).</w:t>
      </w:r>
    </w:p>
    <w:p w:rsidRPr="00756B4B" w:rsidR="00D371DE" w:rsidP="00756B4B" w14:paraId="2AADAA01" w14:textId="77777777">
      <w:pPr>
        <w:pStyle w:val="JuPara"/>
        <w:rPr>
          <w:snapToGrid w:val="0"/>
        </w:rPr>
      </w:pPr>
      <w:r w:rsidRPr="00756B4B">
        <w:fldChar w:fldCharType="begin"/>
      </w:r>
      <w:r w:rsidRPr="00756B4B">
        <w:instrText xml:space="preserve"> SEQ level0 \*arabic </w:instrText>
      </w:r>
      <w:r w:rsidRPr="00756B4B">
        <w:fldChar w:fldCharType="separate"/>
      </w:r>
      <w:r w:rsidRPr="00756B4B" w:rsidR="00756B4B">
        <w:rPr>
          <w:noProof/>
        </w:rPr>
        <w:t>2</w:t>
      </w:r>
      <w:r w:rsidRPr="00756B4B">
        <w:fldChar w:fldCharType="end"/>
      </w:r>
      <w:r w:rsidRPr="00756B4B">
        <w:t>.  Par un arrêt du 26 novembre 2013 (« l</w:t>
      </w:r>
      <w:r w:rsidRPr="00756B4B" w:rsidR="00756B4B">
        <w:t>’</w:t>
      </w:r>
      <w:r w:rsidRPr="00756B4B">
        <w:t>arrêt au principal »), la Cour a jugé qu</w:t>
      </w:r>
      <w:r w:rsidRPr="00756B4B" w:rsidR="00756B4B">
        <w:t>’</w:t>
      </w:r>
      <w:r w:rsidRPr="00756B4B">
        <w:t>il y avait eu violation de l</w:t>
      </w:r>
      <w:r w:rsidRPr="00756B4B" w:rsidR="00756B4B">
        <w:t>’</w:t>
      </w:r>
      <w:r w:rsidRPr="00756B4B">
        <w:t>article 1 du Protocole n</w:t>
      </w:r>
      <w:r w:rsidRPr="00756B4B">
        <w:rPr>
          <w:vertAlign w:val="superscript"/>
        </w:rPr>
        <w:t>o</w:t>
      </w:r>
      <w:r w:rsidRPr="00756B4B">
        <w:t xml:space="preserve"> 1 en raison de l</w:t>
      </w:r>
      <w:r w:rsidRPr="00756B4B" w:rsidR="00756B4B">
        <w:t>’</w:t>
      </w:r>
      <w:r w:rsidRPr="00756B4B">
        <w:t>annulation du titre de propriété du requérant (</w:t>
      </w:r>
      <w:r w:rsidRPr="00756B4B">
        <w:rPr>
          <w:i/>
        </w:rPr>
        <w:t>Silahyürekli</w:t>
      </w:r>
      <w:r w:rsidRPr="00756B4B">
        <w:rPr>
          <w:i/>
        </w:rPr>
        <w:t xml:space="preserve"> c. Turquie</w:t>
      </w:r>
      <w:r w:rsidRPr="00756B4B">
        <w:rPr>
          <w:snapToGrid w:val="0"/>
        </w:rPr>
        <w:t xml:space="preserve">, </w:t>
      </w:r>
      <w:r w:rsidRPr="00756B4B">
        <w:t>n</w:t>
      </w:r>
      <w:r w:rsidRPr="00756B4B">
        <w:rPr>
          <w:vertAlign w:val="superscript"/>
        </w:rPr>
        <w:t>o</w:t>
      </w:r>
      <w:r w:rsidRPr="00756B4B">
        <w:t> 16150/06</w:t>
      </w:r>
      <w:r w:rsidRPr="00756B4B">
        <w:rPr>
          <w:snapToGrid w:val="0"/>
        </w:rPr>
        <w:t xml:space="preserve">, §§ 35-50, 26 </w:t>
      </w:r>
      <w:r w:rsidRPr="00756B4B">
        <w:t>novembre</w:t>
      </w:r>
      <w:r w:rsidRPr="00756B4B">
        <w:rPr>
          <w:snapToGrid w:val="0"/>
        </w:rPr>
        <w:t xml:space="preserve"> 2013).</w:t>
      </w:r>
    </w:p>
    <w:p w:rsidRPr="00756B4B" w:rsidR="009C3B37" w:rsidP="00756B4B" w14:paraId="635FB2B1"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3</w:t>
      </w:r>
      <w:r w:rsidRPr="00756B4B">
        <w:fldChar w:fldCharType="end"/>
      </w:r>
      <w:r w:rsidRPr="00756B4B">
        <w:t>.  S</w:t>
      </w:r>
      <w:r w:rsidRPr="00756B4B" w:rsidR="00756B4B">
        <w:t>’</w:t>
      </w:r>
      <w:r w:rsidRPr="00756B4B">
        <w:t>appuyant sur l</w:t>
      </w:r>
      <w:r w:rsidRPr="00756B4B" w:rsidR="00756B4B">
        <w:t>’</w:t>
      </w:r>
      <w:r w:rsidRPr="00756B4B">
        <w:t>article 41 de la Convention, le requérant réclamait la restitution de son titre de propriété ou, à défaut, une satisfaction équitable de vingt millions d</w:t>
      </w:r>
      <w:r w:rsidRPr="00756B4B" w:rsidR="00756B4B">
        <w:t>’</w:t>
      </w:r>
      <w:r w:rsidRPr="00756B4B">
        <w:t>euros (EUR).</w:t>
      </w:r>
    </w:p>
    <w:p w:rsidRPr="00756B4B" w:rsidR="009C3B37" w:rsidP="00756B4B" w14:paraId="69571155"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4</w:t>
      </w:r>
      <w:r w:rsidRPr="00756B4B">
        <w:fldChar w:fldCharType="end"/>
      </w:r>
      <w:r w:rsidRPr="00756B4B">
        <w:t>.  La question de l</w:t>
      </w:r>
      <w:r w:rsidRPr="00756B4B" w:rsidR="00756B4B">
        <w:t>’</w:t>
      </w:r>
      <w:r w:rsidRPr="00756B4B">
        <w:t>application de l</w:t>
      </w:r>
      <w:r w:rsidRPr="00756B4B" w:rsidR="00756B4B">
        <w:t>’</w:t>
      </w:r>
      <w:r w:rsidRPr="00756B4B">
        <w:t>article 41 de la Convention ne se trouvant pas en état, la Cour l</w:t>
      </w:r>
      <w:r w:rsidRPr="00756B4B" w:rsidR="00756B4B">
        <w:t>’</w:t>
      </w:r>
      <w:r w:rsidRPr="00756B4B">
        <w:t>a réservée et a invité les parties à lui soumettre par écrit, dans les six mois, leurs observations sur ladite question et notamment à lui donner connaissance de tout accord auquel ils pourraient aboutir (</w:t>
      </w:r>
      <w:r w:rsidRPr="00756B4B">
        <w:rPr>
          <w:i/>
        </w:rPr>
        <w:t>idem</w:t>
      </w:r>
      <w:r w:rsidRPr="00756B4B">
        <w:t>, § 54, et point 3 du dispositif).</w:t>
      </w:r>
    </w:p>
    <w:p w:rsidRPr="00756B4B" w:rsidR="00D371DE" w:rsidP="00756B4B" w14:paraId="4C40CC56"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5</w:t>
      </w:r>
      <w:r w:rsidRPr="00756B4B">
        <w:fldChar w:fldCharType="end"/>
      </w:r>
      <w:r w:rsidRPr="00756B4B">
        <w:t>.  Tant le requérant que le Gouvernement ont déposé des observations. Aucun accord permettant d</w:t>
      </w:r>
      <w:r w:rsidRPr="00756B4B" w:rsidR="00756B4B">
        <w:t>’</w:t>
      </w:r>
      <w:r w:rsidRPr="00756B4B">
        <w:t>aboutir à un règlement amiable n</w:t>
      </w:r>
      <w:r w:rsidRPr="00756B4B" w:rsidR="00756B4B">
        <w:t>’</w:t>
      </w:r>
      <w:r w:rsidRPr="00756B4B">
        <w:t>a été trouvé entre les parties.</w:t>
      </w:r>
    </w:p>
    <w:p w:rsidRPr="00756B4B" w:rsidR="009C3B37" w:rsidP="00756B4B" w14:paraId="6CEBCCA4" w14:textId="77777777">
      <w:pPr>
        <w:pStyle w:val="JuHHead"/>
      </w:pPr>
      <w:r w:rsidRPr="00756B4B">
        <w:t>EN DROIT</w:t>
      </w:r>
    </w:p>
    <w:p w:rsidRPr="00756B4B" w:rsidR="009C3B37" w:rsidP="00756B4B" w14:paraId="2D16A1C5"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6</w:t>
      </w:r>
      <w:r w:rsidRPr="00756B4B">
        <w:fldChar w:fldCharType="end"/>
      </w:r>
      <w:r w:rsidRPr="00756B4B">
        <w:t>.  Aux termes de l</w:t>
      </w:r>
      <w:r w:rsidRPr="00756B4B" w:rsidR="00756B4B">
        <w:t>’</w:t>
      </w:r>
      <w:r w:rsidRPr="00756B4B">
        <w:t>article 41 de la Convention,</w:t>
      </w:r>
    </w:p>
    <w:p w:rsidRPr="00756B4B" w:rsidR="009C3B37" w:rsidP="00756B4B" w14:paraId="5848D583" w14:textId="77777777">
      <w:pPr>
        <w:pStyle w:val="JuQuot"/>
      </w:pPr>
      <w:r w:rsidRPr="00756B4B">
        <w:t>« Si la Cour déclare qu</w:t>
      </w:r>
      <w:r w:rsidRPr="00756B4B" w:rsidR="00756B4B">
        <w:t>’</w:t>
      </w:r>
      <w:r w:rsidRPr="00756B4B">
        <w:t>il y a eu violation de la Convention ou de ses Protocoles, et si le droit interne de la Haute Partie contractante ne permet d</w:t>
      </w:r>
      <w:r w:rsidRPr="00756B4B" w:rsidR="00756B4B">
        <w:t>’</w:t>
      </w:r>
      <w:r w:rsidRPr="00756B4B">
        <w:t>effacer qu</w:t>
      </w:r>
      <w:r w:rsidRPr="00756B4B" w:rsidR="00756B4B">
        <w:t>’</w:t>
      </w:r>
      <w:r w:rsidRPr="00756B4B">
        <w:t>imparfaitement les conséquences de cette violation, la Cour accorde à la partie lésée, s</w:t>
      </w:r>
      <w:r w:rsidRPr="00756B4B" w:rsidR="00756B4B">
        <w:t>’</w:t>
      </w:r>
      <w:r w:rsidRPr="00756B4B">
        <w:t>il y a lieu, une satisfaction équitable. »</w:t>
      </w:r>
    </w:p>
    <w:p w:rsidRPr="00756B4B" w:rsidR="00D371DE" w:rsidP="00756B4B" w14:paraId="7D33DF59" w14:textId="77777777">
      <w:pPr>
        <w:pStyle w:val="JuHA"/>
        <w:numPr>
          <w:ilvl w:val="0"/>
          <w:numId w:val="0"/>
        </w:numPr>
        <w:ind w:left="584"/>
      </w:pPr>
      <w:r w:rsidRPr="00756B4B">
        <w:t>A.  Dommage</w:t>
      </w:r>
    </w:p>
    <w:p w:rsidRPr="00756B4B" w:rsidR="00D371DE" w:rsidP="00756B4B" w14:paraId="4A0C5497"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7</w:t>
      </w:r>
      <w:r w:rsidRPr="00756B4B">
        <w:fldChar w:fldCharType="end"/>
      </w:r>
      <w:r w:rsidRPr="00756B4B">
        <w:t>.  Le requérant demande la restitution de son titre de propriété ou, à défaut, une satisfaction équitable s</w:t>
      </w:r>
      <w:r w:rsidRPr="00756B4B" w:rsidR="00756B4B">
        <w:t>’</w:t>
      </w:r>
      <w:r w:rsidRPr="00756B4B">
        <w:t>élevant à 20 millions d</w:t>
      </w:r>
      <w:r w:rsidRPr="00756B4B" w:rsidR="00756B4B">
        <w:t>’</w:t>
      </w:r>
      <w:r w:rsidRPr="00756B4B">
        <w:t>euros (« EUR »). Il s</w:t>
      </w:r>
      <w:r w:rsidRPr="00756B4B" w:rsidR="00756B4B">
        <w:t>’</w:t>
      </w:r>
      <w:r w:rsidRPr="00756B4B">
        <w:t>appuie sur un rapport établi le 21 août 2014 par un expert ingénieur en cartographie et un expert immobilier.</w:t>
      </w:r>
    </w:p>
    <w:p w:rsidRPr="00756B4B" w:rsidR="009C3B37" w:rsidP="00756B4B" w14:paraId="5615F70D"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8</w:t>
      </w:r>
      <w:r w:rsidRPr="00756B4B">
        <w:fldChar w:fldCharType="end"/>
      </w:r>
      <w:r w:rsidRPr="00756B4B">
        <w:t>.  Le Gouvernement affirme que le montant réclamé par le requérant est manifestement excessif. Il explique qu</w:t>
      </w:r>
      <w:r w:rsidRPr="00756B4B" w:rsidR="00756B4B">
        <w:t>’</w:t>
      </w:r>
      <w:r w:rsidRPr="00756B4B">
        <w:t>une action en constatation a été intentée devant le tribunal d</w:t>
      </w:r>
      <w:r w:rsidRPr="00756B4B" w:rsidR="00756B4B">
        <w:t>’</w:t>
      </w:r>
      <w:r w:rsidRPr="00756B4B">
        <w:t xml:space="preserve">instance de </w:t>
      </w:r>
      <w:r w:rsidRPr="00756B4B">
        <w:t>Demre</w:t>
      </w:r>
      <w:r w:rsidRPr="00756B4B">
        <w:t xml:space="preserve"> en vue de déterminer la valeur du terrain litigieux, et estime que l</w:t>
      </w:r>
      <w:r w:rsidRPr="00756B4B" w:rsidR="00756B4B">
        <w:t>’</w:t>
      </w:r>
      <w:r w:rsidRPr="00756B4B">
        <w:t>évaluation du préjudice matériel doit être établie à la lumière des rapports établis dans le cadre de cette procédure. Il invite également la Cour à conclure à la radiation de la requête sur le fondement de l</w:t>
      </w:r>
      <w:r w:rsidRPr="00756B4B" w:rsidR="00756B4B">
        <w:t>’</w:t>
      </w:r>
      <w:r w:rsidRPr="00756B4B">
        <w:t>article 37 § 1 c) de la Convention au motif qu</w:t>
      </w:r>
      <w:r w:rsidRPr="00756B4B" w:rsidR="00756B4B">
        <w:t>’</w:t>
      </w:r>
      <w:r w:rsidRPr="00756B4B">
        <w:t>un recours d</w:t>
      </w:r>
      <w:r w:rsidRPr="00756B4B" w:rsidR="00756B4B">
        <w:t>’</w:t>
      </w:r>
      <w:r w:rsidRPr="00756B4B">
        <w:t>indemnisation a été instauré au niveau national avec l</w:t>
      </w:r>
      <w:r w:rsidRPr="00756B4B" w:rsidR="00756B4B">
        <w:t>’</w:t>
      </w:r>
      <w:r w:rsidRPr="00756B4B">
        <w:t>entrée en vigueur de l</w:t>
      </w:r>
      <w:r w:rsidRPr="00756B4B" w:rsidR="00756B4B">
        <w:t>’</w:t>
      </w:r>
      <w:r w:rsidRPr="00756B4B">
        <w:t>ordonnance présidentielle n</w:t>
      </w:r>
      <w:r w:rsidRPr="00756B4B" w:rsidR="00D371DE">
        <w:rPr>
          <w:vertAlign w:val="superscript"/>
        </w:rPr>
        <w:t>o</w:t>
      </w:r>
      <w:r w:rsidRPr="00756B4B">
        <w:t xml:space="preserve"> 809.</w:t>
      </w:r>
    </w:p>
    <w:p w:rsidRPr="00756B4B" w:rsidR="009C3B37" w:rsidP="00756B4B" w14:paraId="23B39187"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9</w:t>
      </w:r>
      <w:r w:rsidRPr="00756B4B">
        <w:fldChar w:fldCharType="end"/>
      </w:r>
      <w:r w:rsidRPr="00756B4B">
        <w:t>.  La Cour rappelle qu</w:t>
      </w:r>
      <w:r w:rsidRPr="00756B4B" w:rsidR="00756B4B">
        <w:t>’</w:t>
      </w:r>
      <w:r w:rsidRPr="00756B4B">
        <w:t>un arrêt constatant une violation entraîne pour l</w:t>
      </w:r>
      <w:r w:rsidRPr="00756B4B" w:rsidR="00756B4B">
        <w:t>’</w:t>
      </w:r>
      <w:r w:rsidRPr="00756B4B">
        <w:t>État défendeur l</w:t>
      </w:r>
      <w:r w:rsidRPr="00756B4B" w:rsidR="00756B4B">
        <w:t>’</w:t>
      </w:r>
      <w:r w:rsidRPr="00756B4B">
        <w:t>obligation juridique de mettre un terme à la violation et d</w:t>
      </w:r>
      <w:r w:rsidRPr="00756B4B" w:rsidR="00756B4B">
        <w:t>’</w:t>
      </w:r>
      <w:r w:rsidRPr="00756B4B">
        <w:t>en effacer les conséquences de manière à rétablir autant que faire se peut la situation antérieure à celle-ci (</w:t>
      </w:r>
      <w:r w:rsidRPr="00756B4B">
        <w:rPr>
          <w:i/>
        </w:rPr>
        <w:t>Iatridis</w:t>
      </w:r>
      <w:r w:rsidRPr="00756B4B">
        <w:rPr>
          <w:i/>
        </w:rPr>
        <w:t xml:space="preserve"> c. Grèce</w:t>
      </w:r>
      <w:r w:rsidRPr="00756B4B">
        <w:t xml:space="preserve"> [GC], n</w:t>
      </w:r>
      <w:r w:rsidRPr="00756B4B">
        <w:rPr>
          <w:vertAlign w:val="superscript"/>
        </w:rPr>
        <w:t>o</w:t>
      </w:r>
      <w:r w:rsidRPr="00756B4B">
        <w:t xml:space="preserve"> 31107/96, § 32, CEDH 1999</w:t>
      </w:r>
      <w:r w:rsidRPr="00756B4B">
        <w:noBreakHyphen/>
        <w:t>II). Les États contractants parties à une affaire sont en principe libres de choisir les moyens dont ils useront pour se conformer à un arrêt constatant une violation. Ce pouvoir d</w:t>
      </w:r>
      <w:r w:rsidRPr="00756B4B" w:rsidR="00756B4B">
        <w:t>’</w:t>
      </w:r>
      <w:r w:rsidRPr="00756B4B">
        <w:t>appréciation quant aux modalités d</w:t>
      </w:r>
      <w:r w:rsidRPr="00756B4B" w:rsidR="00756B4B">
        <w:t>’</w:t>
      </w:r>
      <w:r w:rsidRPr="00756B4B">
        <w:t>exécution d</w:t>
      </w:r>
      <w:r w:rsidRPr="00756B4B" w:rsidR="00756B4B">
        <w:t>’</w:t>
      </w:r>
      <w:r w:rsidRPr="00756B4B">
        <w:t>un arrêt traduit la liberté de choix dont est assortie l</w:t>
      </w:r>
      <w:r w:rsidRPr="00756B4B" w:rsidR="00756B4B">
        <w:t>’</w:t>
      </w:r>
      <w:r w:rsidRPr="00756B4B">
        <w:t xml:space="preserve">obligation primordiale imposée par la Convention aux États contractants : assurer le respect des droits et libertés garantis (article 1). Si la nature de la violation permet une </w:t>
      </w:r>
      <w:r w:rsidRPr="00756B4B">
        <w:rPr>
          <w:i/>
        </w:rPr>
        <w:t>restitutio</w:t>
      </w:r>
      <w:r w:rsidRPr="00756B4B">
        <w:rPr>
          <w:i/>
        </w:rPr>
        <w:t xml:space="preserve"> in integrum</w:t>
      </w:r>
      <w:r w:rsidRPr="00756B4B">
        <w:t>, il incombe à l</w:t>
      </w:r>
      <w:r w:rsidRPr="00756B4B" w:rsidR="00756B4B">
        <w:t>’</w:t>
      </w:r>
      <w:r w:rsidRPr="00756B4B">
        <w:t>État défendeur de la réaliser, la Cour n</w:t>
      </w:r>
      <w:r w:rsidRPr="00756B4B" w:rsidR="00756B4B">
        <w:t>’</w:t>
      </w:r>
      <w:r w:rsidRPr="00756B4B">
        <w:t>ayant ni la compétence ni la possibilité pratique de l</w:t>
      </w:r>
      <w:r w:rsidRPr="00756B4B" w:rsidR="00756B4B">
        <w:t>’</w:t>
      </w:r>
      <w:r w:rsidRPr="00756B4B">
        <w:t>accomplir elle-même. Si, en revanche, le droit national ne permet pas ou ne permet qu</w:t>
      </w:r>
      <w:r w:rsidRPr="00756B4B" w:rsidR="00756B4B">
        <w:t>’</w:t>
      </w:r>
      <w:r w:rsidRPr="00756B4B">
        <w:t>imparfaitement d</w:t>
      </w:r>
      <w:r w:rsidRPr="00756B4B" w:rsidR="00756B4B">
        <w:t>’</w:t>
      </w:r>
      <w:r w:rsidRPr="00756B4B">
        <w:t>effacer les conséquences de la violation, l</w:t>
      </w:r>
      <w:r w:rsidRPr="00756B4B" w:rsidR="00756B4B">
        <w:t>’</w:t>
      </w:r>
      <w:r w:rsidRPr="00756B4B">
        <w:t>article 41 habilite la Cour à accorder, s</w:t>
      </w:r>
      <w:r w:rsidRPr="00756B4B" w:rsidR="00756B4B">
        <w:t>’</w:t>
      </w:r>
      <w:r w:rsidRPr="00756B4B">
        <w:t>il y a lieu, à la partie lésée la satisfaction qui lui semble appropriée (</w:t>
      </w:r>
      <w:r w:rsidRPr="00756B4B">
        <w:rPr>
          <w:i/>
        </w:rPr>
        <w:t>Brumărescu</w:t>
      </w:r>
      <w:r w:rsidRPr="00756B4B">
        <w:rPr>
          <w:i/>
        </w:rPr>
        <w:t xml:space="preserve"> c. Roumanie</w:t>
      </w:r>
      <w:r w:rsidRPr="00756B4B">
        <w:t xml:space="preserve"> (satisfaction équitable) [GC], n</w:t>
      </w:r>
      <w:r w:rsidRPr="00756B4B">
        <w:rPr>
          <w:vertAlign w:val="superscript"/>
        </w:rPr>
        <w:t>o</w:t>
      </w:r>
      <w:r w:rsidRPr="00756B4B">
        <w:t xml:space="preserve"> 28342/95, § 20, CEDH 2001</w:t>
      </w:r>
      <w:r w:rsidRPr="00756B4B">
        <w:noBreakHyphen/>
        <w:t>I).</w:t>
      </w:r>
    </w:p>
    <w:p w:rsidRPr="00756B4B" w:rsidR="009C3B37" w:rsidP="00756B4B" w14:paraId="3AE2BFC9"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10</w:t>
      </w:r>
      <w:r w:rsidRPr="00756B4B">
        <w:fldChar w:fldCharType="end"/>
      </w:r>
      <w:r w:rsidRPr="00756B4B">
        <w:t>.  En l</w:t>
      </w:r>
      <w:r w:rsidRPr="00756B4B" w:rsidR="00756B4B">
        <w:t>’</w:t>
      </w:r>
      <w:r w:rsidRPr="00756B4B">
        <w:t>espèce, s</w:t>
      </w:r>
      <w:r w:rsidRPr="00756B4B" w:rsidR="00756B4B">
        <w:t>’</w:t>
      </w:r>
      <w:r w:rsidRPr="00756B4B">
        <w:t>agissant d</w:t>
      </w:r>
      <w:r w:rsidRPr="00756B4B" w:rsidR="00756B4B">
        <w:t>’</w:t>
      </w:r>
      <w:r w:rsidRPr="00756B4B">
        <w:t xml:space="preserve">abord de la </w:t>
      </w:r>
      <w:r w:rsidRPr="00756B4B">
        <w:rPr>
          <w:i/>
        </w:rPr>
        <w:t>partie du terrain classée en site naturel et archéologique</w:t>
      </w:r>
      <w:r w:rsidRPr="00756B4B">
        <w:t>, la Cour rappelle avoir conclu que l</w:t>
      </w:r>
      <w:r w:rsidRPr="00756B4B" w:rsidR="00756B4B">
        <w:t>’</w:t>
      </w:r>
      <w:r w:rsidRPr="00756B4B">
        <w:t>ingérence litigieuse ne satisfaisait pas à la condition de légalité (arrêt au principal, § 45). Dans ces circonstances, la restitution au requérant de la partie de son terrain classée en site naturel et archéologique et la réinscription de celle-ci au registre foncier à son nom placerait l</w:t>
      </w:r>
      <w:r w:rsidRPr="00756B4B" w:rsidR="00756B4B">
        <w:t>’</w:t>
      </w:r>
      <w:r w:rsidRPr="00756B4B">
        <w:t>intéressé, autant que possible, dans une situation équivalant à celle où il se trouverait si les exigences de l</w:t>
      </w:r>
      <w:r w:rsidRPr="00756B4B" w:rsidR="00756B4B">
        <w:t>’</w:t>
      </w:r>
      <w:r w:rsidRPr="00756B4B">
        <w:t>article 1 du Protocole n</w:t>
      </w:r>
      <w:r w:rsidRPr="00756B4B">
        <w:rPr>
          <w:vertAlign w:val="superscript"/>
        </w:rPr>
        <w:t>o</w:t>
      </w:r>
      <w:r w:rsidRPr="00756B4B">
        <w:t xml:space="preserve"> 1 n</w:t>
      </w:r>
      <w:r w:rsidRPr="00756B4B" w:rsidR="00756B4B">
        <w:t>’</w:t>
      </w:r>
      <w:r w:rsidRPr="00756B4B">
        <w:t>avaient pas été méconnues. À défaut pour l</w:t>
      </w:r>
      <w:r w:rsidRPr="00756B4B" w:rsidR="00756B4B">
        <w:t>’</w:t>
      </w:r>
      <w:r w:rsidRPr="00756B4B">
        <w:t>État défendeur de procéder à pareille réinscription dans un délai de trois mois à compter du jour où le présent arrêt sera devenu définitif, la Cour décide qu</w:t>
      </w:r>
      <w:r w:rsidRPr="00756B4B" w:rsidR="00756B4B">
        <w:t>’</w:t>
      </w:r>
      <w:r w:rsidRPr="00756B4B">
        <w:t>il devra verser au requérant une indemnité pour le dommage matériel résultant de la perte du terrain. Suivant l</w:t>
      </w:r>
      <w:r w:rsidRPr="00756B4B" w:rsidR="00756B4B">
        <w:t>’</w:t>
      </w:r>
      <w:r w:rsidRPr="00756B4B">
        <w:t xml:space="preserve">approche adoptée par la </w:t>
      </w:r>
      <w:r w:rsidRPr="00756B4B">
        <w:t>Cour dans l</w:t>
      </w:r>
      <w:r w:rsidRPr="00756B4B" w:rsidR="00756B4B">
        <w:t>’</w:t>
      </w:r>
      <w:r w:rsidRPr="00756B4B">
        <w:t xml:space="preserve">affaire </w:t>
      </w:r>
      <w:r w:rsidRPr="00756B4B">
        <w:rPr>
          <w:i/>
        </w:rPr>
        <w:t>Guiso-Gallisay</w:t>
      </w:r>
      <w:r w:rsidRPr="00756B4B">
        <w:rPr>
          <w:i/>
        </w:rPr>
        <w:t xml:space="preserve"> c. Italie</w:t>
      </w:r>
      <w:r w:rsidRPr="00756B4B">
        <w:t xml:space="preserve"> ((satisfaction équitable) [GC], n</w:t>
      </w:r>
      <w:r w:rsidRPr="00756B4B" w:rsidR="00D371DE">
        <w:rPr>
          <w:vertAlign w:val="superscript"/>
        </w:rPr>
        <w:t>o</w:t>
      </w:r>
      <w:r w:rsidRPr="00756B4B">
        <w:t> 58858/00, § 103, 22 décembre 2009), la Cour estime que la base du calcul du préjudice matériel doit être la valeur pleine et entière de cette partie du terrain à la date à laquelle le requérant a définitivement perdu son droit de propriété. En outre, étant donné que le caractère adéquat d</w:t>
      </w:r>
      <w:r w:rsidRPr="00756B4B" w:rsidR="00756B4B">
        <w:t>’</w:t>
      </w:r>
      <w:r w:rsidRPr="00756B4B">
        <w:t>un dédommagement risque de diminuer si le paiement de celui-ci fait abstraction d</w:t>
      </w:r>
      <w:r w:rsidRPr="00756B4B" w:rsidR="00756B4B">
        <w:t>’</w:t>
      </w:r>
      <w:r w:rsidRPr="00756B4B">
        <w:t>éléments susceptibles d</w:t>
      </w:r>
      <w:r w:rsidRPr="00756B4B" w:rsidR="00756B4B">
        <w:t>’</w:t>
      </w:r>
      <w:r w:rsidRPr="00756B4B">
        <w:t>en réduire la valeur, tel l</w:t>
      </w:r>
      <w:r w:rsidRPr="00756B4B" w:rsidR="00756B4B">
        <w:t>’</w:t>
      </w:r>
      <w:r w:rsidRPr="00756B4B">
        <w:t>écoulement d</w:t>
      </w:r>
      <w:r w:rsidRPr="00756B4B" w:rsidR="00756B4B">
        <w:t>’</w:t>
      </w:r>
      <w:r w:rsidRPr="00756B4B">
        <w:t>un laps de temps considérable, la Cour juge que le montant correspondant à la valeur pleine et entière du terrain à la date de la perte de propriété devra être actualisé pour compenser les effets de l</w:t>
      </w:r>
      <w:r w:rsidRPr="00756B4B" w:rsidR="00756B4B">
        <w:t>’</w:t>
      </w:r>
      <w:r w:rsidRPr="00756B4B">
        <w:t>inflation et qu</w:t>
      </w:r>
      <w:r w:rsidRPr="00756B4B" w:rsidR="00756B4B">
        <w:t>’</w:t>
      </w:r>
      <w:r w:rsidRPr="00756B4B">
        <w:t>il faudra aussi l</w:t>
      </w:r>
      <w:r w:rsidRPr="00756B4B" w:rsidR="00756B4B">
        <w:t>’</w:t>
      </w:r>
      <w:r w:rsidRPr="00756B4B">
        <w:t>assortir d</w:t>
      </w:r>
      <w:r w:rsidRPr="00756B4B" w:rsidR="00756B4B">
        <w:t>’</w:t>
      </w:r>
      <w:r w:rsidRPr="00756B4B">
        <w:t>intérêts susceptibles de compenser, au moins en partie, le long laps de temps qui s</w:t>
      </w:r>
      <w:r w:rsidRPr="00756B4B" w:rsidR="00756B4B">
        <w:t>’</w:t>
      </w:r>
      <w:r w:rsidRPr="00756B4B">
        <w:t>est écoulé depuis la dépossession du terrain (</w:t>
      </w:r>
      <w:r w:rsidRPr="00756B4B" w:rsidR="002E7BCA">
        <w:rPr>
          <w:i/>
        </w:rPr>
        <w:t>Guiso</w:t>
      </w:r>
      <w:r w:rsidRPr="00756B4B" w:rsidR="002E7BCA">
        <w:rPr>
          <w:i/>
        </w:rPr>
        <w:noBreakHyphen/>
      </w:r>
      <w:r w:rsidRPr="00756B4B">
        <w:rPr>
          <w:i/>
        </w:rPr>
        <w:t>Gallisay</w:t>
      </w:r>
      <w:r w:rsidRPr="00756B4B">
        <w:t>, précité, § 105).</w:t>
      </w:r>
    </w:p>
    <w:p w:rsidRPr="00756B4B" w:rsidR="00D371DE" w:rsidP="00756B4B" w14:paraId="27E45065"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11</w:t>
      </w:r>
      <w:r w:rsidRPr="00756B4B">
        <w:fldChar w:fldCharType="end"/>
      </w:r>
      <w:r w:rsidRPr="00756B4B">
        <w:t>.  S</w:t>
      </w:r>
      <w:r w:rsidRPr="00756B4B" w:rsidR="00756B4B">
        <w:t>’</w:t>
      </w:r>
      <w:r w:rsidRPr="00756B4B">
        <w:t xml:space="preserve">agissant de la </w:t>
      </w:r>
      <w:r w:rsidRPr="00756B4B">
        <w:rPr>
          <w:i/>
        </w:rPr>
        <w:t>partie du terrain appartenant au domaine public littoral</w:t>
      </w:r>
      <w:r w:rsidRPr="00756B4B">
        <w:t>, la Cour rappelle avoir conclu que l</w:t>
      </w:r>
      <w:r w:rsidRPr="00756B4B" w:rsidR="00756B4B">
        <w:t>’</w:t>
      </w:r>
      <w:r w:rsidRPr="00756B4B">
        <w:t>ingérence litigieuse satisfaisait à la condition de légalité. En effet, il y a eu violation de l</w:t>
      </w:r>
      <w:r w:rsidRPr="00756B4B" w:rsidR="00756B4B">
        <w:t>’</w:t>
      </w:r>
      <w:r w:rsidRPr="00756B4B">
        <w:t>article 1 du Protocole n</w:t>
      </w:r>
      <w:r w:rsidRPr="00756B4B">
        <w:rPr>
          <w:vertAlign w:val="superscript"/>
        </w:rPr>
        <w:t>o</w:t>
      </w:r>
      <w:r w:rsidRPr="00756B4B">
        <w:t> 1 en raison du fait que le requérant n</w:t>
      </w:r>
      <w:r w:rsidRPr="00756B4B" w:rsidR="00756B4B">
        <w:t>’</w:t>
      </w:r>
      <w:r w:rsidRPr="00756B4B">
        <w:t>a reçu aucune indemnisation pour l</w:t>
      </w:r>
      <w:r w:rsidRPr="00756B4B" w:rsidR="00756B4B">
        <w:t>’</w:t>
      </w:r>
      <w:r w:rsidRPr="00756B4B">
        <w:t>atteinte à ses biens et que, de ce fait, il a dû supporter une charge individuelle exorbitante (arrêt au principal, §§ 47-48). La Cour estime que la nature de la violation constatée dans la présente affaire ne lui permet pas de partir du principe d</w:t>
      </w:r>
      <w:r w:rsidRPr="00756B4B" w:rsidR="00756B4B">
        <w:t>’</w:t>
      </w:r>
      <w:r w:rsidRPr="00756B4B">
        <w:t xml:space="preserve">une </w:t>
      </w:r>
      <w:r w:rsidRPr="00756B4B">
        <w:rPr>
          <w:i/>
        </w:rPr>
        <w:t>restitutio</w:t>
      </w:r>
      <w:r w:rsidRPr="00756B4B">
        <w:rPr>
          <w:i/>
        </w:rPr>
        <w:t xml:space="preserve"> in integrum</w:t>
      </w:r>
      <w:r w:rsidRPr="00756B4B">
        <w:t xml:space="preserve"> (</w:t>
      </w:r>
      <w:r w:rsidRPr="00756B4B">
        <w:rPr>
          <w:i/>
        </w:rPr>
        <w:t>N.A. et autres c. Turquie</w:t>
      </w:r>
      <w:r w:rsidRPr="00756B4B">
        <w:t xml:space="preserve"> (satisfaction équitable), n</w:t>
      </w:r>
      <w:r w:rsidRPr="00756B4B">
        <w:rPr>
          <w:vertAlign w:val="superscript"/>
        </w:rPr>
        <w:t>o</w:t>
      </w:r>
      <w:r w:rsidRPr="00756B4B">
        <w:t xml:space="preserve"> 37451/97, § 16, 9 janvier 2007). Il s</w:t>
      </w:r>
      <w:r w:rsidRPr="00756B4B" w:rsidR="00756B4B">
        <w:t>’</w:t>
      </w:r>
      <w:r w:rsidRPr="00756B4B">
        <w:t>agit dès lors d</w:t>
      </w:r>
      <w:r w:rsidRPr="00756B4B" w:rsidR="00756B4B">
        <w:t>’</w:t>
      </w:r>
      <w:r w:rsidRPr="00756B4B">
        <w:t>accorder une réparation par équivalent. L</w:t>
      </w:r>
      <w:r w:rsidRPr="00756B4B" w:rsidR="00756B4B">
        <w:t>’</w:t>
      </w:r>
      <w:r w:rsidRPr="00756B4B">
        <w:t>indemnisation à fixer en l</w:t>
      </w:r>
      <w:r w:rsidRPr="00756B4B" w:rsidR="00756B4B">
        <w:t>’</w:t>
      </w:r>
      <w:r w:rsidRPr="00756B4B">
        <w:t>espèce, selon la jurisprudence établie de la Cour en la matière (</w:t>
      </w:r>
      <w:r w:rsidRPr="00756B4B">
        <w:rPr>
          <w:i/>
        </w:rPr>
        <w:t>Scordino</w:t>
      </w:r>
      <w:r w:rsidRPr="00756B4B">
        <w:rPr>
          <w:i/>
        </w:rPr>
        <w:t xml:space="preserve"> c. Italie (n</w:t>
      </w:r>
      <w:r w:rsidRPr="00756B4B">
        <w:rPr>
          <w:rFonts w:cs="Times New Roman"/>
          <w:i/>
          <w:vertAlign w:val="superscript"/>
        </w:rPr>
        <w:t>o</w:t>
      </w:r>
      <w:r w:rsidRPr="00756B4B">
        <w:rPr>
          <w:i/>
        </w:rPr>
        <w:t xml:space="preserve"> 1)</w:t>
      </w:r>
      <w:r w:rsidRPr="00756B4B">
        <w:t xml:space="preserve"> [GC], n</w:t>
      </w:r>
      <w:r w:rsidRPr="00756B4B">
        <w:rPr>
          <w:szCs w:val="24"/>
          <w:vertAlign w:val="superscript"/>
        </w:rPr>
        <w:t>o</w:t>
      </w:r>
      <w:r w:rsidRPr="00756B4B">
        <w:t xml:space="preserve"> 36813/97, § 255, CEDH 2006</w:t>
      </w:r>
      <w:r w:rsidRPr="00756B4B">
        <w:noBreakHyphen/>
        <w:t>V), n</w:t>
      </w:r>
      <w:r w:rsidRPr="00756B4B" w:rsidR="00756B4B">
        <w:t>’</w:t>
      </w:r>
      <w:r w:rsidRPr="00756B4B">
        <w:t>aura pas à refléter l</w:t>
      </w:r>
      <w:r w:rsidRPr="00756B4B" w:rsidR="00756B4B">
        <w:t>’</w:t>
      </w:r>
      <w:r w:rsidRPr="00756B4B">
        <w:t>idée d</w:t>
      </w:r>
      <w:r w:rsidRPr="00756B4B" w:rsidR="00756B4B">
        <w:t>’</w:t>
      </w:r>
      <w:r w:rsidRPr="00756B4B">
        <w:t>un effacement total des conséquences de l</w:t>
      </w:r>
      <w:r w:rsidRPr="00756B4B" w:rsidR="00756B4B">
        <w:t>’</w:t>
      </w:r>
      <w:r w:rsidRPr="00756B4B">
        <w:t>ingérence litigieuse.</w:t>
      </w:r>
    </w:p>
    <w:p w:rsidRPr="00756B4B" w:rsidR="009C3B37" w:rsidP="00756B4B" w14:paraId="7CED0C61"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12</w:t>
      </w:r>
      <w:r w:rsidRPr="00756B4B">
        <w:fldChar w:fldCharType="end"/>
      </w:r>
      <w:r w:rsidRPr="00756B4B">
        <w:t>.  La Cour estime qu</w:t>
      </w:r>
      <w:r w:rsidRPr="00756B4B" w:rsidR="00756B4B">
        <w:t>’</w:t>
      </w:r>
      <w:r w:rsidRPr="00756B4B">
        <w:t>elle ne dispose pas d</w:t>
      </w:r>
      <w:r w:rsidRPr="00756B4B" w:rsidR="00756B4B">
        <w:t>’</w:t>
      </w:r>
      <w:r w:rsidRPr="00756B4B">
        <w:t>éléments suffisants pour déterminer de manière objective la perte pécuniaire du requérant.</w:t>
      </w:r>
    </w:p>
    <w:p w:rsidRPr="00756B4B" w:rsidR="009C3B37" w:rsidP="00756B4B" w14:paraId="2D00CF57"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13</w:t>
      </w:r>
      <w:r w:rsidRPr="00756B4B">
        <w:fldChar w:fldCharType="end"/>
      </w:r>
      <w:r w:rsidRPr="00756B4B">
        <w:t>.  Elle note que le Gouvernement vient de porter à sa connaissance que, le 8 mars 2019, l</w:t>
      </w:r>
      <w:r w:rsidRPr="00756B4B" w:rsidR="00756B4B">
        <w:t>’</w:t>
      </w:r>
      <w:r w:rsidRPr="00756B4B">
        <w:t>ordonnance présidentielle n</w:t>
      </w:r>
      <w:r w:rsidRPr="00756B4B">
        <w:rPr>
          <w:vertAlign w:val="superscript"/>
        </w:rPr>
        <w:t>o</w:t>
      </w:r>
      <w:r w:rsidRPr="00756B4B">
        <w:t> 809 est entrée en vigueur. Cette disposition élargit la compétence de la commission d</w:t>
      </w:r>
      <w:r w:rsidRPr="00756B4B" w:rsidR="00756B4B">
        <w:t>’</w:t>
      </w:r>
      <w:r w:rsidRPr="00756B4B">
        <w:t>indemnisation créée en janvier 2013 et énonce les principes et la procédure à suivre relativement à l</w:t>
      </w:r>
      <w:r w:rsidRPr="00756B4B" w:rsidR="00756B4B">
        <w:t>’</w:t>
      </w:r>
      <w:r w:rsidRPr="00756B4B">
        <w:t>indemnisation dans les affaires où la Cour a conclu à la violation de l</w:t>
      </w:r>
      <w:r w:rsidRPr="00756B4B" w:rsidR="00756B4B">
        <w:t>’</w:t>
      </w:r>
      <w:r w:rsidRPr="00756B4B">
        <w:t>article 1 du Protocole n</w:t>
      </w:r>
      <w:r w:rsidRPr="00756B4B">
        <w:rPr>
          <w:vertAlign w:val="superscript"/>
        </w:rPr>
        <w:t>o</w:t>
      </w:r>
      <w:r w:rsidRPr="00756B4B">
        <w:t xml:space="preserve"> 1 à la Convention mais ne s</w:t>
      </w:r>
      <w:r w:rsidRPr="00756B4B" w:rsidR="00756B4B">
        <w:t>’</w:t>
      </w:r>
      <w:r w:rsidRPr="00756B4B">
        <w:t>est pas prononcée sur les demandes de dommages au titre de l</w:t>
      </w:r>
      <w:r w:rsidRPr="00756B4B" w:rsidR="00756B4B">
        <w:t>’</w:t>
      </w:r>
      <w:r w:rsidRPr="00756B4B">
        <w:t>article 41 de la Convention ou a décidé de réserver la question de l</w:t>
      </w:r>
      <w:r w:rsidRPr="00756B4B" w:rsidR="00756B4B">
        <w:t>’</w:t>
      </w:r>
      <w:r w:rsidRPr="00756B4B">
        <w:t>application de cet article. La Cour observe que la présente espèce rentre dans la deuxième catégorie d</w:t>
      </w:r>
      <w:r w:rsidRPr="00756B4B" w:rsidR="00756B4B">
        <w:t>’</w:t>
      </w:r>
      <w:r w:rsidRPr="00756B4B">
        <w:t>affaires, à savoir celles dans lesquelles elle a réservé la question de l</w:t>
      </w:r>
      <w:r w:rsidRPr="00756B4B" w:rsidR="00756B4B">
        <w:t>’</w:t>
      </w:r>
      <w:r w:rsidRPr="00756B4B">
        <w:t>application de l</w:t>
      </w:r>
      <w:r w:rsidRPr="00756B4B" w:rsidR="00756B4B">
        <w:t>’</w:t>
      </w:r>
      <w:r w:rsidRPr="00756B4B">
        <w:t>article 4l de la Convention.</w:t>
      </w:r>
    </w:p>
    <w:p w:rsidRPr="00756B4B" w:rsidR="009C3B37" w:rsidP="00756B4B" w14:paraId="131EF7E0"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14</w:t>
      </w:r>
      <w:r w:rsidRPr="00756B4B">
        <w:fldChar w:fldCharType="end"/>
      </w:r>
      <w:r w:rsidRPr="00756B4B">
        <w:t xml:space="preserve">.  Par ailleurs, dans les affaires </w:t>
      </w:r>
      <w:r w:rsidRPr="00756B4B">
        <w:rPr>
          <w:i/>
        </w:rPr>
        <w:t>Turgut</w:t>
      </w:r>
      <w:r w:rsidRPr="00756B4B">
        <w:rPr>
          <w:i/>
        </w:rPr>
        <w:t xml:space="preserve"> et autres c. Turquie </w:t>
      </w:r>
      <w:r w:rsidRPr="00756B4B">
        <w:t>((déc.), n</w:t>
      </w:r>
      <w:r w:rsidRPr="00756B4B">
        <w:rPr>
          <w:vertAlign w:val="superscript"/>
        </w:rPr>
        <w:t>o</w:t>
      </w:r>
      <w:r w:rsidRPr="00756B4B">
        <w:t xml:space="preserve"> 4860/09, 26 mars 2013) et </w:t>
      </w:r>
      <w:r w:rsidRPr="00756B4B">
        <w:rPr>
          <w:i/>
        </w:rPr>
        <w:t>Demiroğlu</w:t>
      </w:r>
      <w:r w:rsidRPr="00756B4B">
        <w:rPr>
          <w:i/>
        </w:rPr>
        <w:t xml:space="preserve"> c. Turquie</w:t>
      </w:r>
      <w:r w:rsidRPr="00756B4B">
        <w:t xml:space="preserve"> ((déc.), n</w:t>
      </w:r>
      <w:r w:rsidRPr="00756B4B">
        <w:rPr>
          <w:vertAlign w:val="superscript"/>
        </w:rPr>
        <w:t>o</w:t>
      </w:r>
      <w:r w:rsidRPr="00756B4B">
        <w:t xml:space="preserve"> 56125/10, 4 juin 2013), la Cour a procédé à un examen détaillé du fonctionnement de la commission d</w:t>
      </w:r>
      <w:r w:rsidRPr="00756B4B" w:rsidR="00756B4B">
        <w:t>’</w:t>
      </w:r>
      <w:r w:rsidRPr="00756B4B">
        <w:t xml:space="preserve">indemnisation. Elle a estimé dans ces affaires que les </w:t>
      </w:r>
      <w:r w:rsidRPr="00756B4B">
        <w:t>requérants devaient au préalable s</w:t>
      </w:r>
      <w:r w:rsidRPr="00756B4B" w:rsidR="00756B4B">
        <w:t>’</w:t>
      </w:r>
      <w:r w:rsidRPr="00756B4B">
        <w:t xml:space="preserve">adresser à celle-ci dans la mesure où elle offrait un nouveau recours interne accessible et susceptible de donner réparation à leurs griefs (voir aussi </w:t>
      </w:r>
      <w:r w:rsidRPr="00756B4B">
        <w:rPr>
          <w:i/>
        </w:rPr>
        <w:t>Yıldız</w:t>
      </w:r>
      <w:r w:rsidRPr="00756B4B">
        <w:rPr>
          <w:i/>
        </w:rPr>
        <w:t xml:space="preserve"> et </w:t>
      </w:r>
      <w:r w:rsidRPr="00756B4B">
        <w:rPr>
          <w:i/>
        </w:rPr>
        <w:t>Yanak</w:t>
      </w:r>
      <w:r w:rsidRPr="00756B4B">
        <w:rPr>
          <w:i/>
        </w:rPr>
        <w:t xml:space="preserve"> c. Turquie</w:t>
      </w:r>
      <w:r w:rsidRPr="00756B4B">
        <w:t xml:space="preserve"> (déc.), n</w:t>
      </w:r>
      <w:r w:rsidRPr="00756B4B">
        <w:rPr>
          <w:vertAlign w:val="superscript"/>
        </w:rPr>
        <w:t>o</w:t>
      </w:r>
      <w:r w:rsidRPr="00756B4B">
        <w:t xml:space="preserve"> 44013/07, 27 mai 2014, </w:t>
      </w:r>
      <w:r w:rsidRPr="00756B4B">
        <w:rPr>
          <w:i/>
        </w:rPr>
        <w:t>Bozkurt</w:t>
      </w:r>
      <w:r w:rsidRPr="00756B4B">
        <w:rPr>
          <w:i/>
        </w:rPr>
        <w:t xml:space="preserve"> c. Turquie</w:t>
      </w:r>
      <w:r w:rsidRPr="00756B4B">
        <w:t xml:space="preserve"> (déc.), n</w:t>
      </w:r>
      <w:r w:rsidRPr="00756B4B">
        <w:rPr>
          <w:vertAlign w:val="superscript"/>
        </w:rPr>
        <w:t>o</w:t>
      </w:r>
      <w:r w:rsidRPr="00756B4B">
        <w:t xml:space="preserve"> 38674/07, 10 mars 2015, </w:t>
      </w:r>
      <w:r w:rsidRPr="00756B4B">
        <w:rPr>
          <w:i/>
        </w:rPr>
        <w:t>Çelik</w:t>
      </w:r>
      <w:r w:rsidRPr="00756B4B">
        <w:rPr>
          <w:i/>
        </w:rPr>
        <w:t xml:space="preserve"> c. Turquie </w:t>
      </w:r>
      <w:r w:rsidRPr="00756B4B">
        <w:t>(déc.), n</w:t>
      </w:r>
      <w:r w:rsidRPr="00756B4B">
        <w:rPr>
          <w:vertAlign w:val="superscript"/>
        </w:rPr>
        <w:t xml:space="preserve">o </w:t>
      </w:r>
      <w:r w:rsidRPr="00756B4B">
        <w:t xml:space="preserve">23772/13, 16 juin 2015, et </w:t>
      </w:r>
      <w:r w:rsidRPr="00756B4B">
        <w:rPr>
          <w:i/>
        </w:rPr>
        <w:t>Özbil</w:t>
      </w:r>
      <w:r w:rsidRPr="00756B4B">
        <w:rPr>
          <w:i/>
        </w:rPr>
        <w:t xml:space="preserve"> c. Turquie</w:t>
      </w:r>
      <w:r w:rsidRPr="00756B4B">
        <w:t xml:space="preserve"> (déc.), n</w:t>
      </w:r>
      <w:r w:rsidRPr="00756B4B">
        <w:rPr>
          <w:vertAlign w:val="superscript"/>
        </w:rPr>
        <w:t>o</w:t>
      </w:r>
      <w:r w:rsidRPr="00756B4B">
        <w:t> 45601/09, 29 septembre 2015). La Cour observe également que la commission d</w:t>
      </w:r>
      <w:r w:rsidRPr="00756B4B" w:rsidR="00756B4B">
        <w:t>’</w:t>
      </w:r>
      <w:r w:rsidRPr="00756B4B">
        <w:t>indemnisation est compétente pour indemniser tous les individus conformément à sa pratique (</w:t>
      </w:r>
      <w:r w:rsidRPr="00756B4B">
        <w:rPr>
          <w:i/>
        </w:rPr>
        <w:t>Turgut</w:t>
      </w:r>
      <w:r w:rsidRPr="00756B4B">
        <w:rPr>
          <w:i/>
        </w:rPr>
        <w:t xml:space="preserve"> et autres </w:t>
      </w:r>
      <w:r w:rsidRPr="00756B4B">
        <w:t>et</w:t>
      </w:r>
      <w:r w:rsidRPr="00756B4B">
        <w:rPr>
          <w:i/>
        </w:rPr>
        <w:t xml:space="preserve"> </w:t>
      </w:r>
      <w:r w:rsidRPr="00756B4B">
        <w:rPr>
          <w:i/>
        </w:rPr>
        <w:t>Demiroğlu</w:t>
      </w:r>
      <w:r w:rsidRPr="00756B4B">
        <w:t>, décisions précitées). Les indemnités accordées par cette instance sont versées par le ministère de la Justice dans les trois mois suivant la date à laquelle la décision est devenue définitive et sont exonérées de tout impôt ou charge. Par ailleurs, la décision de cette commission peut faire l</w:t>
      </w:r>
      <w:r w:rsidRPr="00756B4B" w:rsidR="00756B4B">
        <w:t>’</w:t>
      </w:r>
      <w:r w:rsidRPr="00756B4B">
        <w:t>objet d</w:t>
      </w:r>
      <w:r w:rsidRPr="00756B4B" w:rsidR="00756B4B">
        <w:t>’</w:t>
      </w:r>
      <w:r w:rsidRPr="00756B4B">
        <w:t>un recours devant les tribunaux administratifs, qui doivent statuer dans les trois mois. Le requérant peut également saisir la Cour constitutionnelle d</w:t>
      </w:r>
      <w:r w:rsidRPr="00756B4B" w:rsidR="00756B4B">
        <w:t>’</w:t>
      </w:r>
      <w:r w:rsidRPr="00756B4B">
        <w:t>un recours individuel contre les décisions des tribunaux administratifs (</w:t>
      </w:r>
      <w:r w:rsidRPr="00756B4B">
        <w:rPr>
          <w:i/>
        </w:rPr>
        <w:t>Ahmet</w:t>
      </w:r>
      <w:r w:rsidRPr="00756B4B" w:rsidR="00002921">
        <w:rPr>
          <w:i/>
        </w:rPr>
        <w:t> </w:t>
      </w:r>
      <w:r w:rsidRPr="00756B4B">
        <w:rPr>
          <w:i/>
        </w:rPr>
        <w:t>Erol</w:t>
      </w:r>
      <w:r w:rsidRPr="00756B4B">
        <w:rPr>
          <w:i/>
        </w:rPr>
        <w:t xml:space="preserve"> c. Turquie</w:t>
      </w:r>
      <w:r w:rsidRPr="00756B4B">
        <w:t xml:space="preserve"> (déc.), n</w:t>
      </w:r>
      <w:r w:rsidRPr="00756B4B">
        <w:rPr>
          <w:vertAlign w:val="superscript"/>
        </w:rPr>
        <w:t>o</w:t>
      </w:r>
      <w:r w:rsidRPr="00756B4B">
        <w:t xml:space="preserve"> 73290/13, 6 mai 2014, et </w:t>
      </w:r>
      <w:r w:rsidRPr="00756B4B">
        <w:rPr>
          <w:i/>
        </w:rPr>
        <w:t>Sayan</w:t>
      </w:r>
      <w:r w:rsidRPr="00756B4B">
        <w:rPr>
          <w:i/>
        </w:rPr>
        <w:t xml:space="preserve"> c. Turquie</w:t>
      </w:r>
      <w:r w:rsidRPr="00756B4B">
        <w:t xml:space="preserve"> (déc.), n</w:t>
      </w:r>
      <w:r w:rsidRPr="00756B4B">
        <w:rPr>
          <w:vertAlign w:val="superscript"/>
        </w:rPr>
        <w:t>o </w:t>
      </w:r>
      <w:hyperlink w:tgtFrame="_blank" w:history="1" w:anchor="{" r:id="rId7">
        <w:r w:rsidRPr="00756B4B">
          <w:t>49460/11</w:t>
        </w:r>
      </w:hyperlink>
      <w:r w:rsidRPr="00756B4B">
        <w:t>, § 19, 14 juin 2016).</w:t>
      </w:r>
    </w:p>
    <w:p w:rsidRPr="00756B4B" w:rsidR="009C3B37" w:rsidP="00756B4B" w14:paraId="261819DA"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15</w:t>
      </w:r>
      <w:r w:rsidRPr="00756B4B">
        <w:fldChar w:fldCharType="end"/>
      </w:r>
      <w:r w:rsidRPr="00756B4B">
        <w:t>.  La Cour prend note de cette initiative du Gouvernement turc et observe que ce développement renforce le caractère subsidiaire du mécanisme de protection des droits de l</w:t>
      </w:r>
      <w:r w:rsidRPr="00756B4B" w:rsidR="00756B4B">
        <w:t>’</w:t>
      </w:r>
      <w:r w:rsidRPr="00756B4B">
        <w:t>homme instauré par la Convention et facilite pour la Cour et le Comité des Ministres l</w:t>
      </w:r>
      <w:r w:rsidRPr="00756B4B" w:rsidR="00756B4B">
        <w:t>’</w:t>
      </w:r>
      <w:r w:rsidRPr="00756B4B">
        <w:t>accomplissement des tâches que leur confient respectivement l</w:t>
      </w:r>
      <w:r w:rsidRPr="00756B4B" w:rsidR="00756B4B">
        <w:t>’</w:t>
      </w:r>
      <w:r w:rsidRPr="00756B4B">
        <w:t>article 41 et l</w:t>
      </w:r>
      <w:r w:rsidRPr="00756B4B" w:rsidR="00756B4B">
        <w:t>’</w:t>
      </w:r>
      <w:r w:rsidRPr="00756B4B">
        <w:t>article 46 de la Convention (</w:t>
      </w:r>
      <w:r w:rsidRPr="00756B4B">
        <w:rPr>
          <w:i/>
          <w:iCs/>
        </w:rPr>
        <w:t>Broniowski</w:t>
      </w:r>
      <w:r w:rsidRPr="00756B4B">
        <w:rPr>
          <w:i/>
          <w:iCs/>
        </w:rPr>
        <w:t xml:space="preserve"> c. Pologne </w:t>
      </w:r>
      <w:r w:rsidRPr="00756B4B">
        <w:t>(règlement amiable) [GC], n</w:t>
      </w:r>
      <w:r w:rsidRPr="00756B4B">
        <w:rPr>
          <w:vertAlign w:val="superscript"/>
        </w:rPr>
        <w:t>o </w:t>
      </w:r>
      <w:r w:rsidRPr="00756B4B">
        <w:t>31443/96, § 36, CEDH 2005</w:t>
      </w:r>
      <w:r w:rsidRPr="00756B4B">
        <w:noBreakHyphen/>
        <w:t>IX).</w:t>
      </w:r>
    </w:p>
    <w:p w:rsidRPr="00756B4B" w:rsidR="00D371DE" w:rsidP="00756B4B" w14:paraId="05A492FF"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16</w:t>
      </w:r>
      <w:r w:rsidRPr="00756B4B">
        <w:fldChar w:fldCharType="end"/>
      </w:r>
      <w:r w:rsidRPr="00756B4B">
        <w:t>.  Dans ces conditions, la Cour estime qu</w:t>
      </w:r>
      <w:r w:rsidRPr="00756B4B" w:rsidR="00756B4B">
        <w:t>’</w:t>
      </w:r>
      <w:r w:rsidRPr="00756B4B">
        <w:t>un recours devant la commission d</w:t>
      </w:r>
      <w:r w:rsidRPr="00756B4B" w:rsidR="00756B4B">
        <w:t>’</w:t>
      </w:r>
      <w:r w:rsidRPr="00756B4B">
        <w:t>indemnisation dans un délai d</w:t>
      </w:r>
      <w:r w:rsidRPr="00756B4B" w:rsidR="00756B4B">
        <w:t>’</w:t>
      </w:r>
      <w:r w:rsidRPr="00756B4B">
        <w:t>un mois à compter de la date de la notification de son arrêt final est susceptible de donner lieu à l</w:t>
      </w:r>
      <w:r w:rsidRPr="00756B4B" w:rsidR="00756B4B">
        <w:t>’</w:t>
      </w:r>
      <w:r w:rsidRPr="00756B4B">
        <w:t>indemnisation par l</w:t>
      </w:r>
      <w:r w:rsidRPr="00756B4B" w:rsidR="00756B4B">
        <w:t>’</w:t>
      </w:r>
      <w:r w:rsidRPr="00756B4B">
        <w:t>administration et que ce recours représente un moyen approprié de redresser la violation constatée au regard de l</w:t>
      </w:r>
      <w:r w:rsidRPr="00756B4B" w:rsidR="00756B4B">
        <w:t>’</w:t>
      </w:r>
      <w:r w:rsidRPr="00756B4B">
        <w:t>article 1 du Protocole n</w:t>
      </w:r>
      <w:r w:rsidRPr="00756B4B">
        <w:rPr>
          <w:vertAlign w:val="superscript"/>
        </w:rPr>
        <w:t>o</w:t>
      </w:r>
      <w:r w:rsidRPr="00756B4B">
        <w:t xml:space="preserve"> 1 à la Convention (voir, </w:t>
      </w:r>
      <w:r w:rsidRPr="00756B4B">
        <w:rPr>
          <w:i/>
          <w:iCs/>
        </w:rPr>
        <w:t>mutatis mutandis</w:t>
      </w:r>
      <w:r w:rsidRPr="00756B4B">
        <w:t xml:space="preserve">, </w:t>
      </w:r>
      <w:r w:rsidRPr="00756B4B">
        <w:rPr>
          <w:i/>
          <w:iCs/>
        </w:rPr>
        <w:t>Gençel</w:t>
      </w:r>
      <w:r w:rsidRPr="00756B4B">
        <w:rPr>
          <w:i/>
          <w:iCs/>
        </w:rPr>
        <w:t xml:space="preserve"> c. Turquie</w:t>
      </w:r>
      <w:r w:rsidRPr="00756B4B">
        <w:t>, n</w:t>
      </w:r>
      <w:r w:rsidRPr="00756B4B">
        <w:rPr>
          <w:vertAlign w:val="superscript"/>
        </w:rPr>
        <w:t>o</w:t>
      </w:r>
      <w:r w:rsidRPr="00756B4B">
        <w:t xml:space="preserve"> 53431/99, § 27, 23 octobre 2003 et, récemment, </w:t>
      </w:r>
      <w:r w:rsidRPr="00756B4B">
        <w:rPr>
          <w:i/>
          <w:iCs/>
        </w:rPr>
        <w:t>Moreira Ferreira c. Portugal</w:t>
      </w:r>
      <w:r w:rsidRPr="00756B4B">
        <w:t xml:space="preserve"> (n</w:t>
      </w:r>
      <w:r w:rsidRPr="00756B4B">
        <w:rPr>
          <w:vertAlign w:val="superscript"/>
        </w:rPr>
        <w:t>o</w:t>
      </w:r>
      <w:r w:rsidRPr="00756B4B">
        <w:t xml:space="preserve"> 2) [GC], n</w:t>
      </w:r>
      <w:r w:rsidRPr="00756B4B">
        <w:rPr>
          <w:vertAlign w:val="superscript"/>
        </w:rPr>
        <w:t>o</w:t>
      </w:r>
      <w:r w:rsidRPr="00756B4B">
        <w:t xml:space="preserve"> 19867/12, §§ 48-50, 11 juillet 2017 ; voir aussi, </w:t>
      </w:r>
      <w:r w:rsidRPr="00756B4B">
        <w:rPr>
          <w:i/>
          <w:iCs/>
        </w:rPr>
        <w:t>mutatis mutandis</w:t>
      </w:r>
      <w:r w:rsidRPr="00756B4B">
        <w:t xml:space="preserve">, </w:t>
      </w:r>
      <w:r w:rsidRPr="00756B4B">
        <w:rPr>
          <w:i/>
          <w:iCs/>
        </w:rPr>
        <w:t>Gümrükçüler</w:t>
      </w:r>
      <w:r w:rsidRPr="00756B4B">
        <w:rPr>
          <w:i/>
          <w:iCs/>
        </w:rPr>
        <w:t xml:space="preserve"> et autres c. Turquie </w:t>
      </w:r>
      <w:r w:rsidRPr="00756B4B">
        <w:t>(satisfaction équitable), n</w:t>
      </w:r>
      <w:r w:rsidRPr="00756B4B">
        <w:rPr>
          <w:vertAlign w:val="superscript"/>
        </w:rPr>
        <w:t>o</w:t>
      </w:r>
      <w:r w:rsidRPr="00756B4B">
        <w:t xml:space="preserve"> 9580/03, § 34, 7 février 2017, et </w:t>
      </w:r>
      <w:r w:rsidRPr="00756B4B">
        <w:rPr>
          <w:i/>
          <w:iCs/>
        </w:rPr>
        <w:t>Keçecioğlu</w:t>
      </w:r>
      <w:r w:rsidRPr="00756B4B">
        <w:rPr>
          <w:i/>
          <w:iCs/>
        </w:rPr>
        <w:t xml:space="preserve"> et autres c. Turquie</w:t>
      </w:r>
      <w:r w:rsidRPr="00756B4B">
        <w:t xml:space="preserve"> (satisfaction équitable), n</w:t>
      </w:r>
      <w:r w:rsidRPr="00756B4B">
        <w:rPr>
          <w:vertAlign w:val="superscript"/>
        </w:rPr>
        <w:t>o</w:t>
      </w:r>
      <w:r w:rsidRPr="00756B4B">
        <w:t xml:space="preserve"> 37546/02, § 18, 20 juillet 2010, et plus récemment, </w:t>
      </w:r>
      <w:r w:rsidRPr="00756B4B">
        <w:rPr>
          <w:i/>
        </w:rPr>
        <w:t>Kaynar</w:t>
      </w:r>
      <w:r w:rsidRPr="00756B4B">
        <w:rPr>
          <w:i/>
        </w:rPr>
        <w:t xml:space="preserve"> et autres c. Turquie, </w:t>
      </w:r>
      <w:r w:rsidRPr="00756B4B">
        <w:t>n</w:t>
      </w:r>
      <w:r w:rsidRPr="00756B4B">
        <w:rPr>
          <w:vertAlign w:val="superscript"/>
        </w:rPr>
        <w:t>os</w:t>
      </w:r>
      <w:r w:rsidRPr="00756B4B">
        <w:t xml:space="preserve"> 21104/06, § 74, 7 mai 2019).</w:t>
      </w:r>
    </w:p>
    <w:p w:rsidRPr="00756B4B" w:rsidR="009C3B37" w:rsidP="00756B4B" w14:paraId="15A7E91A"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17</w:t>
      </w:r>
      <w:r w:rsidRPr="00756B4B">
        <w:fldChar w:fldCharType="end"/>
      </w:r>
      <w:r w:rsidRPr="00756B4B">
        <w:t>.  Après ce constat, la Cour rappelle qu</w:t>
      </w:r>
      <w:r w:rsidRPr="00756B4B" w:rsidR="00756B4B">
        <w:t>’</w:t>
      </w:r>
      <w:r w:rsidRPr="00756B4B">
        <w:t>elle peut rechercher si la requête se prête à l</w:t>
      </w:r>
      <w:r w:rsidRPr="00756B4B" w:rsidR="00756B4B">
        <w:t>’</w:t>
      </w:r>
      <w:r w:rsidRPr="00756B4B">
        <w:t>application de l</w:t>
      </w:r>
      <w:r w:rsidRPr="00756B4B" w:rsidR="00756B4B">
        <w:t>’</w:t>
      </w:r>
      <w:r w:rsidRPr="00756B4B">
        <w:t>article 37 de la Convention (</w:t>
      </w:r>
      <w:r w:rsidRPr="00756B4B">
        <w:rPr>
          <w:i/>
          <w:iCs/>
        </w:rPr>
        <w:t>Gümrükçüler</w:t>
      </w:r>
      <w:r w:rsidRPr="00756B4B">
        <w:rPr>
          <w:i/>
          <w:iCs/>
        </w:rPr>
        <w:t xml:space="preserve"> et autres</w:t>
      </w:r>
      <w:r w:rsidRPr="00756B4B">
        <w:t>, précité, § 37). En effet, elle peut décider de rayer une requête du rôle dans le cadre de article 37 § 1 c) de la Convention lorsqu</w:t>
      </w:r>
      <w:r w:rsidRPr="00756B4B" w:rsidR="00756B4B">
        <w:t>’</w:t>
      </w:r>
      <w:r w:rsidRPr="00756B4B">
        <w:t>il est établi que la possibilité concrète d</w:t>
      </w:r>
      <w:r w:rsidRPr="00756B4B" w:rsidR="00756B4B">
        <w:t>’</w:t>
      </w:r>
      <w:r w:rsidRPr="00756B4B">
        <w:t>indemniser le requérant existe au niveau national où les organes adéquates, qui sont sur place et ont accès aux biens, registres et archives, ainsi qu</w:t>
      </w:r>
      <w:r w:rsidRPr="00756B4B" w:rsidR="00756B4B">
        <w:t>’</w:t>
      </w:r>
      <w:r w:rsidRPr="00756B4B">
        <w:t xml:space="preserve">à tous les autres moyens pratiques, sont certainement mieux placés pour statuer sur des questions </w:t>
      </w:r>
      <w:r w:rsidRPr="00756B4B">
        <w:t>complexes de propriété et d</w:t>
      </w:r>
      <w:r w:rsidRPr="00756B4B" w:rsidR="00756B4B">
        <w:t>’</w:t>
      </w:r>
      <w:r w:rsidRPr="00756B4B">
        <w:t>évaluation et pour fixer une indemnisation, comme dans le cas du requérant (</w:t>
      </w:r>
      <w:r w:rsidRPr="00756B4B">
        <w:rPr>
          <w:i/>
          <w:iCs/>
        </w:rPr>
        <w:t>ibidem</w:t>
      </w:r>
      <w:r w:rsidRPr="00756B4B">
        <w:t>, § 29).</w:t>
      </w:r>
    </w:p>
    <w:p w:rsidRPr="00756B4B" w:rsidR="009C3B37" w:rsidP="00756B4B" w14:paraId="65A64137"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18</w:t>
      </w:r>
      <w:r w:rsidRPr="00756B4B">
        <w:fldChar w:fldCharType="end"/>
      </w:r>
      <w:r w:rsidRPr="00756B4B">
        <w:t>.  La Cour estime que les instances nationales sont sans conteste les mieux placées pour évaluer le préjudice subi et disposent de moyens juridiques et techniques adéquats pour mettre un terme à une violation de la Convention et d</w:t>
      </w:r>
      <w:r w:rsidRPr="00756B4B" w:rsidR="00756B4B">
        <w:t>’</w:t>
      </w:r>
      <w:r w:rsidRPr="00756B4B">
        <w:t>en effacer les conséquences, notamment, comme dans le cas d</w:t>
      </w:r>
      <w:r w:rsidRPr="00756B4B" w:rsidR="00756B4B">
        <w:t>’</w:t>
      </w:r>
      <w:r w:rsidRPr="00756B4B">
        <w:t>espèce, lorsqu</w:t>
      </w:r>
      <w:r w:rsidRPr="00756B4B" w:rsidR="00756B4B">
        <w:t>’</w:t>
      </w:r>
      <w:r w:rsidRPr="00756B4B">
        <w:t>il s</w:t>
      </w:r>
      <w:r w:rsidRPr="00756B4B" w:rsidR="00756B4B">
        <w:t>’</w:t>
      </w:r>
      <w:r w:rsidRPr="00756B4B">
        <w:t>agit de déterminer la valeur des biens immobiliers dans un État contractant à une date donnée. En effet, pour la Cour, comme elle l</w:t>
      </w:r>
      <w:r w:rsidRPr="00756B4B" w:rsidR="00756B4B">
        <w:t>’</w:t>
      </w:r>
      <w:r w:rsidRPr="00756B4B">
        <w:t>a constaté dans de nombreuses affaires contre la Turquie relatives au droit de propriété, une telle évaluation est presque objectivement impossible dans la mesure où elle est très étroitement liée aux contextes nationaux, voire locaux, et les experts et juridictions nationaux sont les mieux placés pour la réaliser (voir, à titre d</w:t>
      </w:r>
      <w:r w:rsidRPr="00756B4B" w:rsidR="00756B4B">
        <w:t>’</w:t>
      </w:r>
      <w:r w:rsidRPr="00756B4B">
        <w:t xml:space="preserve">exemple, </w:t>
      </w:r>
      <w:r w:rsidRPr="00756B4B">
        <w:rPr>
          <w:i/>
          <w:iCs/>
        </w:rPr>
        <w:t>Keçecioğlu</w:t>
      </w:r>
      <w:r w:rsidRPr="00756B4B">
        <w:rPr>
          <w:i/>
          <w:iCs/>
        </w:rPr>
        <w:t xml:space="preserve"> et autres, </w:t>
      </w:r>
      <w:r w:rsidRPr="00756B4B">
        <w:t>précité, § 18).</w:t>
      </w:r>
    </w:p>
    <w:p w:rsidRPr="00756B4B" w:rsidR="009C3B37" w:rsidP="00756B4B" w14:paraId="3620D2B8"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19</w:t>
      </w:r>
      <w:r w:rsidRPr="00756B4B">
        <w:fldChar w:fldCharType="end"/>
      </w:r>
      <w:r w:rsidRPr="00756B4B">
        <w:t>.  </w:t>
      </w:r>
      <w:r w:rsidRPr="00756B4B">
        <w:rPr>
          <w:rFonts w:cstheme="minorHAnsi"/>
        </w:rPr>
        <w:t>À</w:t>
      </w:r>
      <w:r w:rsidRPr="00756B4B">
        <w:t xml:space="preserve"> la lumière de ce qui précède, s</w:t>
      </w:r>
      <w:r w:rsidRPr="00756B4B" w:rsidR="00756B4B">
        <w:t>’</w:t>
      </w:r>
      <w:r w:rsidRPr="00756B4B">
        <w:t>agissant du dommage matériel allégué, la Cour conclut que le droit national permet dorénavant d</w:t>
      </w:r>
      <w:r w:rsidRPr="00756B4B" w:rsidR="00756B4B">
        <w:t>’</w:t>
      </w:r>
      <w:r w:rsidRPr="00756B4B">
        <w:t>effacer les conséquences de la violation constatée et estime dès lors qu</w:t>
      </w:r>
      <w:r w:rsidRPr="00756B4B" w:rsidR="00756B4B">
        <w:t>’</w:t>
      </w:r>
      <w:r w:rsidRPr="00756B4B">
        <w:t>il n</w:t>
      </w:r>
      <w:r w:rsidRPr="00756B4B" w:rsidR="00756B4B">
        <w:t>’</w:t>
      </w:r>
      <w:r w:rsidRPr="00756B4B">
        <w:t>est pas nécessaire de se prononcer sur les demandes présentées par le requérant à ce titre. Elle estime par conséquent qu</w:t>
      </w:r>
      <w:r w:rsidRPr="00756B4B" w:rsidR="00756B4B">
        <w:t>’</w:t>
      </w:r>
      <w:r w:rsidRPr="00756B4B">
        <w:t>il ne se justifie plus de poursuivre l</w:t>
      </w:r>
      <w:r w:rsidRPr="00756B4B" w:rsidR="00756B4B">
        <w:t>’</w:t>
      </w:r>
      <w:r w:rsidRPr="00756B4B">
        <w:t>examen de la requête (article 37 § 1 c) de la Convention). Elle est en outre d</w:t>
      </w:r>
      <w:r w:rsidRPr="00756B4B" w:rsidR="00756B4B">
        <w:t>’</w:t>
      </w:r>
      <w:r w:rsidRPr="00756B4B">
        <w:t>avis qu</w:t>
      </w:r>
      <w:r w:rsidRPr="00756B4B" w:rsidR="00756B4B">
        <w:t>’</w:t>
      </w:r>
      <w:r w:rsidRPr="00756B4B">
        <w:t>il n</w:t>
      </w:r>
      <w:r w:rsidRPr="00756B4B" w:rsidR="00756B4B">
        <w:t>’</w:t>
      </w:r>
      <w:r w:rsidRPr="00756B4B">
        <w:t>existe en l</w:t>
      </w:r>
      <w:r w:rsidRPr="00756B4B" w:rsidR="00756B4B">
        <w:t>’</w:t>
      </w:r>
      <w:r w:rsidRPr="00756B4B">
        <w:t>espèce pas de circonstances spéciales touchant au respect des droits de l</w:t>
      </w:r>
      <w:r w:rsidRPr="00756B4B" w:rsidR="00756B4B">
        <w:t>’</w:t>
      </w:r>
      <w:r w:rsidRPr="00756B4B">
        <w:t>homme garantis par la Convention et ses Protocoles qui exigeraient la poursuite de l</w:t>
      </w:r>
      <w:r w:rsidRPr="00756B4B" w:rsidR="00756B4B">
        <w:t>’</w:t>
      </w:r>
      <w:r w:rsidRPr="00756B4B">
        <w:t xml:space="preserve">examen de la requête (article 37 § 1 </w:t>
      </w:r>
      <w:r w:rsidRPr="00756B4B">
        <w:rPr>
          <w:i/>
        </w:rPr>
        <w:t>in fine</w:t>
      </w:r>
      <w:r w:rsidRPr="00756B4B">
        <w:t>). Par ailleurs, pour parvenir à cette conclusion, elle a tenu compte de sa compétence en vertu de l</w:t>
      </w:r>
      <w:r w:rsidRPr="00756B4B" w:rsidR="00756B4B">
        <w:t>’</w:t>
      </w:r>
      <w:r w:rsidRPr="00756B4B">
        <w:t>article 37 § 2 de la Convention pour réinscrire la requête lorsqu</w:t>
      </w:r>
      <w:r w:rsidRPr="00756B4B" w:rsidR="00756B4B">
        <w:t>’</w:t>
      </w:r>
      <w:r w:rsidRPr="00756B4B">
        <w:t>elle estime que les circonstances justifient une telle procédure (</w:t>
      </w:r>
      <w:r w:rsidRPr="00756B4B">
        <w:rPr>
          <w:i/>
          <w:iCs/>
        </w:rPr>
        <w:t>Gümrükçüler</w:t>
      </w:r>
      <w:r w:rsidRPr="00756B4B">
        <w:rPr>
          <w:i/>
          <w:iCs/>
        </w:rPr>
        <w:t xml:space="preserve"> et autres</w:t>
      </w:r>
      <w:r w:rsidRPr="00756B4B">
        <w:t>, § 42).</w:t>
      </w:r>
    </w:p>
    <w:p w:rsidRPr="00756B4B" w:rsidR="009C3B37" w:rsidP="00756B4B" w14:paraId="24409A5D"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20</w:t>
      </w:r>
      <w:r w:rsidRPr="00756B4B">
        <w:fldChar w:fldCharType="end"/>
      </w:r>
      <w:r w:rsidRPr="00756B4B">
        <w:t>.  En conclusion, il y a lieu de rayer du rôle la partie de l</w:t>
      </w:r>
      <w:r w:rsidRPr="00756B4B" w:rsidR="00756B4B">
        <w:t>’</w:t>
      </w:r>
      <w:r w:rsidRPr="00756B4B">
        <w:t>affaire relative à la question de l</w:t>
      </w:r>
      <w:r w:rsidRPr="00756B4B" w:rsidR="00756B4B">
        <w:t>’</w:t>
      </w:r>
      <w:r w:rsidRPr="00756B4B">
        <w:t>article 41 de la Convention, concernant la demande du dommage matériel en raison de la violation de l</w:t>
      </w:r>
      <w:r w:rsidRPr="00756B4B" w:rsidR="00756B4B">
        <w:t>’</w:t>
      </w:r>
      <w:r w:rsidRPr="00756B4B">
        <w:t>article 1 du Protocole n</w:t>
      </w:r>
      <w:r w:rsidRPr="00756B4B">
        <w:rPr>
          <w:vertAlign w:val="superscript"/>
        </w:rPr>
        <w:t>o</w:t>
      </w:r>
      <w:r w:rsidRPr="00756B4B">
        <w:t xml:space="preserve"> 1 à la Convention (voir dans le même sens,</w:t>
      </w:r>
      <w:r w:rsidRPr="00756B4B">
        <w:rPr>
          <w:i/>
        </w:rPr>
        <w:t xml:space="preserve"> </w:t>
      </w:r>
      <w:r w:rsidRPr="00756B4B">
        <w:rPr>
          <w:i/>
        </w:rPr>
        <w:t>Kaynar</w:t>
      </w:r>
      <w:r w:rsidRPr="00756B4B">
        <w:rPr>
          <w:i/>
        </w:rPr>
        <w:t xml:space="preserve"> et autres, </w:t>
      </w:r>
      <w:r w:rsidRPr="00756B4B">
        <w:t>précité, § 78).</w:t>
      </w:r>
    </w:p>
    <w:p w:rsidRPr="00756B4B" w:rsidR="009C3B37" w:rsidP="00756B4B" w14:paraId="5D6E9A21" w14:textId="77777777">
      <w:pPr>
        <w:pStyle w:val="JuHA"/>
        <w:numPr>
          <w:ilvl w:val="0"/>
          <w:numId w:val="0"/>
        </w:numPr>
        <w:ind w:left="584"/>
      </w:pPr>
      <w:r w:rsidRPr="00756B4B">
        <w:t>B.  Frais et dépens</w:t>
      </w:r>
    </w:p>
    <w:p w:rsidRPr="00756B4B" w:rsidR="00D371DE" w:rsidP="00756B4B" w14:paraId="771BD49A"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21</w:t>
      </w:r>
      <w:r w:rsidRPr="00756B4B">
        <w:fldChar w:fldCharType="end"/>
      </w:r>
      <w:r w:rsidRPr="00756B4B">
        <w:t>.  Le requérant n</w:t>
      </w:r>
      <w:r w:rsidRPr="00756B4B" w:rsidR="00756B4B">
        <w:t>’</w:t>
      </w:r>
      <w:r w:rsidRPr="00756B4B">
        <w:t>a pas présenté de demande au titre des frais et dépens.</w:t>
      </w:r>
    </w:p>
    <w:p w:rsidRPr="00756B4B" w:rsidR="009C3B37" w:rsidP="00756B4B" w14:paraId="01B81860" w14:textId="77777777">
      <w:pPr>
        <w:pStyle w:val="JuPara"/>
      </w:pPr>
      <w:r w:rsidRPr="00756B4B">
        <w:fldChar w:fldCharType="begin"/>
      </w:r>
      <w:r w:rsidRPr="00756B4B">
        <w:instrText xml:space="preserve"> SEQ level0 \*arabic </w:instrText>
      </w:r>
      <w:r w:rsidRPr="00756B4B">
        <w:fldChar w:fldCharType="separate"/>
      </w:r>
      <w:r w:rsidRPr="00756B4B" w:rsidR="00756B4B">
        <w:rPr>
          <w:noProof/>
        </w:rPr>
        <w:t>22</w:t>
      </w:r>
      <w:r w:rsidRPr="00756B4B">
        <w:fldChar w:fldCharType="end"/>
      </w:r>
      <w:r w:rsidRPr="00756B4B">
        <w:t>.  Partant, il n</w:t>
      </w:r>
      <w:r w:rsidRPr="00756B4B" w:rsidR="00756B4B">
        <w:t>’</w:t>
      </w:r>
      <w:r w:rsidRPr="00756B4B">
        <w:t>y a pas lieu de lui octroyer de somme à ce titre.</w:t>
      </w:r>
    </w:p>
    <w:p w:rsidRPr="00756B4B" w:rsidR="009C3B37" w:rsidP="00756B4B" w14:paraId="0E8BDB3E" w14:textId="77777777">
      <w:pPr>
        <w:pStyle w:val="JuHHead"/>
      </w:pPr>
      <w:r w:rsidRPr="00756B4B">
        <w:t>PAR CES MOTIFS, LA COUR, À L</w:t>
      </w:r>
      <w:r w:rsidRPr="00756B4B" w:rsidR="00756B4B">
        <w:t>’</w:t>
      </w:r>
      <w:r w:rsidRPr="00756B4B">
        <w:t>UNANIMITÉ,</w:t>
      </w:r>
    </w:p>
    <w:p w:rsidRPr="00756B4B" w:rsidR="009C3B37" w:rsidP="00756B4B" w14:paraId="26668E21" w14:textId="77777777">
      <w:pPr>
        <w:pStyle w:val="JuList"/>
        <w:rPr>
          <w:sz w:val="20"/>
          <w:szCs w:val="20"/>
        </w:rPr>
      </w:pPr>
      <w:r w:rsidRPr="00756B4B">
        <w:rPr>
          <w:i/>
        </w:rPr>
        <w:t xml:space="preserve">Décide </w:t>
      </w:r>
      <w:r w:rsidRPr="00756B4B">
        <w:t>de rayer du rôle la partie de l</w:t>
      </w:r>
      <w:r w:rsidRPr="00756B4B" w:rsidR="00756B4B">
        <w:t>’</w:t>
      </w:r>
      <w:r w:rsidRPr="00756B4B">
        <w:t>affaire relative à la question de l</w:t>
      </w:r>
      <w:r w:rsidRPr="00756B4B" w:rsidR="00756B4B">
        <w:t>’</w:t>
      </w:r>
      <w:r w:rsidRPr="00756B4B">
        <w:t>article 41 de la Convention.</w:t>
      </w:r>
    </w:p>
    <w:p w:rsidRPr="00756B4B" w:rsidR="009C3B37" w:rsidP="00756B4B" w14:paraId="47673FBC" w14:textId="77777777">
      <w:pPr>
        <w:pStyle w:val="JuParaLast"/>
      </w:pPr>
      <w:r w:rsidRPr="00756B4B">
        <w:t>Fait en français, puis communiqué par écrit le 29 octobre 2019, en application de l</w:t>
      </w:r>
      <w:r w:rsidRPr="00756B4B" w:rsidR="00756B4B">
        <w:t>’</w:t>
      </w:r>
      <w:r w:rsidRPr="00756B4B">
        <w:t>article 77 §§ 2 et 3 du règlement de la Cour.</w:t>
      </w:r>
    </w:p>
    <w:p w:rsidRPr="00756B4B" w:rsidR="009C3B37" w:rsidP="00756B4B" w14:paraId="5F04EE87" w14:textId="77777777">
      <w:pPr>
        <w:pStyle w:val="JuSigned"/>
        <w:keepNext/>
        <w:keepLines/>
      </w:pPr>
      <w:r w:rsidRPr="00756B4B">
        <w:tab/>
        <w:t>Stanley Naismith</w:t>
      </w:r>
      <w:r w:rsidRPr="00756B4B">
        <w:tab/>
        <w:t>Robert Spano</w:t>
      </w:r>
      <w:r w:rsidRPr="00756B4B">
        <w:br/>
      </w:r>
      <w:r w:rsidRPr="00756B4B">
        <w:tab/>
        <w:t>Greffier</w:t>
      </w:r>
      <w:r w:rsidRPr="00756B4B">
        <w:tab/>
        <w:t>Président</w:t>
      </w:r>
    </w:p>
    <w:sectPr>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DD1" w:rsidRPr="00150BFA" w:rsidP="0020718E" w14:paraId="306BBDCF" w14:textId="77777777">
    <w:pPr>
      <w:jc w:val="center"/>
    </w:pPr>
    <w:r>
      <w:rPr>
        <w:noProof/>
        <w:lang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D2C99" w:rsidRPr="001D19C3" w:rsidP="005072EA" w14:paraId="305D815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007" w:rsidP="005072EA" w14:paraId="3E78A37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007" w:rsidP="005072EA" w14:paraId="4CD3DEB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DD1" w:rsidRPr="00A45145" w:rsidP="00A45145" w14:paraId="3D837512" w14:textId="77777777">
    <w:pPr>
      <w:jc w:val="center"/>
    </w:pPr>
    <w:r>
      <w:rPr>
        <w:noProof/>
        <w:lang w:eastAsia="fr-FR"/>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D2C99" w:rsidRPr="001D19C3" w:rsidP="00F5432B" w14:paraId="772F0B94" w14:textId="7777777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007" w:rsidRPr="00F5432B" w:rsidP="00F5432B" w14:paraId="37AEEE75" w14:textId="77777777">
    <w:pPr>
      <w:pStyle w:val="JuHeader"/>
    </w:pPr>
    <w:r>
      <w:rPr>
        <w:rStyle w:val="PageNumber"/>
        <w:lang w:val="en-GB"/>
      </w:rPr>
      <w:fldChar w:fldCharType="begin"/>
    </w:r>
    <w:r w:rsidRPr="000C1DD1">
      <w:rPr>
        <w:rStyle w:val="PageNumber"/>
      </w:rPr>
      <w:instrText xml:space="preserve"> PAGE </w:instrText>
    </w:r>
    <w:r>
      <w:rPr>
        <w:rStyle w:val="PageNumber"/>
        <w:lang w:val="en-GB"/>
      </w:rPr>
      <w:fldChar w:fldCharType="separate"/>
    </w:r>
    <w:r w:rsidR="004522EF">
      <w:rPr>
        <w:rStyle w:val="PageNumber"/>
        <w:noProof/>
      </w:rPr>
      <w:t>6</w:t>
    </w:r>
    <w:r>
      <w:rPr>
        <w:rStyle w:val="PageNumber"/>
        <w:lang w:val="en-GB"/>
      </w:rPr>
      <w:fldChar w:fldCharType="end"/>
    </w:r>
    <w:r w:rsidRPr="000C1DD1" w:rsidR="00420F04">
      <w:tab/>
      <w:t xml:space="preserve">ARRÊT </w:t>
    </w:r>
    <w:r w:rsidR="009C3B37">
      <w:t>SİLAHYÜREKLİ</w:t>
    </w:r>
    <w:r w:rsidRPr="000C1DD1">
      <w:t xml:space="preserve"> c. TURQUIE</w:t>
    </w:r>
    <w:r w:rsidRPr="000C1DD1" w:rsidR="00420F04">
      <w:t xml:space="preserve"> </w:t>
    </w:r>
    <w:r w:rsidRPr="000C1DD1">
      <w:t>(SATISFACTION ÉQUITABLE – RADIATION)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6007" w:rsidRPr="007100AD" w:rsidP="00420F04" w14:paraId="66C18505" w14:textId="77777777">
    <w:pPr>
      <w:pStyle w:val="JuHeader"/>
    </w:pPr>
    <w:r>
      <w:tab/>
    </w:r>
    <w:r w:rsidRPr="000C1DD1">
      <w:t xml:space="preserve">ARRÊT </w:t>
    </w:r>
    <w:r w:rsidR="009C3B37">
      <w:t>SİLAHYÜREKLİ</w:t>
    </w:r>
    <w:r w:rsidRPr="000C1DD1" w:rsidR="000C1DD1">
      <w:t xml:space="preserve"> c. TURQUIE</w:t>
    </w:r>
    <w:r w:rsidRPr="000C1DD1">
      <w:t xml:space="preserve"> </w:t>
    </w:r>
    <w:r w:rsidRPr="000C1DD1" w:rsidR="000C1DD1">
      <w:t>(SATISFACTION ÉQUITABLE – RADIATION)</w:t>
    </w:r>
    <w:r w:rsidRPr="007100AD">
      <w:tab/>
    </w:r>
    <w:r w:rsidR="000C1DD1">
      <w:rPr>
        <w:rStyle w:val="PageNumber"/>
        <w:lang w:val="en-GB"/>
      </w:rPr>
      <w:fldChar w:fldCharType="begin"/>
    </w:r>
    <w:r w:rsidRPr="000C1DD1" w:rsidR="000C1DD1">
      <w:rPr>
        <w:rStyle w:val="PageNumber"/>
      </w:rPr>
      <w:instrText xml:space="preserve"> PAGE </w:instrText>
    </w:r>
    <w:r w:rsidR="000C1DD1">
      <w:rPr>
        <w:rStyle w:val="PageNumber"/>
        <w:lang w:val="en-GB"/>
      </w:rPr>
      <w:fldChar w:fldCharType="separate"/>
    </w:r>
    <w:r w:rsidR="004522EF">
      <w:rPr>
        <w:rStyle w:val="PageNumber"/>
        <w:noProof/>
      </w:rPr>
      <w:t>1</w:t>
    </w:r>
    <w:r w:rsidR="000C1DD1">
      <w:rPr>
        <w:rStyle w:val="PageNumbe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CDA51D2"/>
    <w:lvl w:ilvl="0">
      <w:start w:val="1"/>
      <w:numFmt w:val="bullet"/>
      <w:lvlText w:val=""/>
      <w:lvlJc w:val="left"/>
      <w:pPr>
        <w:tabs>
          <w:tab w:val="num" w:pos="360"/>
        </w:tabs>
        <w:ind w:left="360" w:hanging="360"/>
      </w:pPr>
      <w:rPr>
        <w:rFonts w:ascii="Symbol" w:hAnsi="Symbol"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C1DD1"/>
    <w:rsid w:val="00002921"/>
    <w:rsid w:val="000031BA"/>
    <w:rsid w:val="000041F8"/>
    <w:rsid w:val="000042A8"/>
    <w:rsid w:val="00004308"/>
    <w:rsid w:val="00005BF0"/>
    <w:rsid w:val="00007154"/>
    <w:rsid w:val="000103AE"/>
    <w:rsid w:val="00011D69"/>
    <w:rsid w:val="00012AD3"/>
    <w:rsid w:val="00015C2D"/>
    <w:rsid w:val="00015F00"/>
    <w:rsid w:val="00022C1D"/>
    <w:rsid w:val="0003062F"/>
    <w:rsid w:val="00034987"/>
    <w:rsid w:val="000602DF"/>
    <w:rsid w:val="00061B05"/>
    <w:rsid w:val="000632D5"/>
    <w:rsid w:val="000644EE"/>
    <w:rsid w:val="000925AD"/>
    <w:rsid w:val="000A24EB"/>
    <w:rsid w:val="000B6923"/>
    <w:rsid w:val="000C1DD1"/>
    <w:rsid w:val="000C5F3C"/>
    <w:rsid w:val="000C6DCC"/>
    <w:rsid w:val="000D47AA"/>
    <w:rsid w:val="000D721F"/>
    <w:rsid w:val="000E069B"/>
    <w:rsid w:val="000E0E82"/>
    <w:rsid w:val="000E1DC5"/>
    <w:rsid w:val="000E223F"/>
    <w:rsid w:val="000E44C5"/>
    <w:rsid w:val="000E7D45"/>
    <w:rsid w:val="000F7851"/>
    <w:rsid w:val="00104E23"/>
    <w:rsid w:val="00111B0C"/>
    <w:rsid w:val="00120D6C"/>
    <w:rsid w:val="001257EC"/>
    <w:rsid w:val="00127B42"/>
    <w:rsid w:val="00133D33"/>
    <w:rsid w:val="00134D64"/>
    <w:rsid w:val="00135A30"/>
    <w:rsid w:val="0013612C"/>
    <w:rsid w:val="00137FF6"/>
    <w:rsid w:val="00141650"/>
    <w:rsid w:val="00150BFA"/>
    <w:rsid w:val="00162A12"/>
    <w:rsid w:val="00166530"/>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0718E"/>
    <w:rsid w:val="00210338"/>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0F6"/>
    <w:rsid w:val="002B444B"/>
    <w:rsid w:val="002B5887"/>
    <w:rsid w:val="002C0E27"/>
    <w:rsid w:val="002C3040"/>
    <w:rsid w:val="002D022D"/>
    <w:rsid w:val="002D24BB"/>
    <w:rsid w:val="002D2C99"/>
    <w:rsid w:val="002E7BCA"/>
    <w:rsid w:val="002F2AF7"/>
    <w:rsid w:val="002F7E1C"/>
    <w:rsid w:val="00301A75"/>
    <w:rsid w:val="00302F70"/>
    <w:rsid w:val="0030336F"/>
    <w:rsid w:val="0030375E"/>
    <w:rsid w:val="00312A30"/>
    <w:rsid w:val="00320F72"/>
    <w:rsid w:val="0032463E"/>
    <w:rsid w:val="00326007"/>
    <w:rsid w:val="00326224"/>
    <w:rsid w:val="00336456"/>
    <w:rsid w:val="00337EE4"/>
    <w:rsid w:val="00340FFD"/>
    <w:rsid w:val="003506B1"/>
    <w:rsid w:val="00356AC7"/>
    <w:rsid w:val="003609FA"/>
    <w:rsid w:val="003710C8"/>
    <w:rsid w:val="003750BE"/>
    <w:rsid w:val="0038657C"/>
    <w:rsid w:val="00387B9D"/>
    <w:rsid w:val="0039364F"/>
    <w:rsid w:val="00396686"/>
    <w:rsid w:val="0039778E"/>
    <w:rsid w:val="003A7F49"/>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6C49"/>
    <w:rsid w:val="00445366"/>
    <w:rsid w:val="00447F5B"/>
    <w:rsid w:val="004522EF"/>
    <w:rsid w:val="00460FF3"/>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072EA"/>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C400F"/>
    <w:rsid w:val="005D34F9"/>
    <w:rsid w:val="005D4190"/>
    <w:rsid w:val="005D67A3"/>
    <w:rsid w:val="005E2988"/>
    <w:rsid w:val="005E3085"/>
    <w:rsid w:val="005F51E1"/>
    <w:rsid w:val="00611C80"/>
    <w:rsid w:val="00620692"/>
    <w:rsid w:val="006242CA"/>
    <w:rsid w:val="00626F82"/>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00AD"/>
    <w:rsid w:val="00715127"/>
    <w:rsid w:val="00715E8E"/>
    <w:rsid w:val="00723580"/>
    <w:rsid w:val="00723755"/>
    <w:rsid w:val="0073136C"/>
    <w:rsid w:val="00731F0F"/>
    <w:rsid w:val="00733250"/>
    <w:rsid w:val="00741404"/>
    <w:rsid w:val="007449E5"/>
    <w:rsid w:val="00747FF0"/>
    <w:rsid w:val="00756B4B"/>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204C7"/>
    <w:rsid w:val="00820992"/>
    <w:rsid w:val="00823602"/>
    <w:rsid w:val="008237A9"/>
    <w:rsid w:val="008255F5"/>
    <w:rsid w:val="0083014E"/>
    <w:rsid w:val="0083214A"/>
    <w:rsid w:val="00834220"/>
    <w:rsid w:val="00845723"/>
    <w:rsid w:val="00851EF9"/>
    <w:rsid w:val="008577FD"/>
    <w:rsid w:val="00860B03"/>
    <w:rsid w:val="0086497A"/>
    <w:rsid w:val="008713A1"/>
    <w:rsid w:val="008754AB"/>
    <w:rsid w:val="008802A9"/>
    <w:rsid w:val="0088060C"/>
    <w:rsid w:val="00893576"/>
    <w:rsid w:val="00893E73"/>
    <w:rsid w:val="008B02DC"/>
    <w:rsid w:val="008B57CE"/>
    <w:rsid w:val="008B59CD"/>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C3B37"/>
    <w:rsid w:val="009E1F32"/>
    <w:rsid w:val="009E776C"/>
    <w:rsid w:val="009F65DC"/>
    <w:rsid w:val="00A1726E"/>
    <w:rsid w:val="00A204CF"/>
    <w:rsid w:val="00A23D49"/>
    <w:rsid w:val="00A242AC"/>
    <w:rsid w:val="00A27004"/>
    <w:rsid w:val="00A30C29"/>
    <w:rsid w:val="00A34DD6"/>
    <w:rsid w:val="00A36819"/>
    <w:rsid w:val="00A36989"/>
    <w:rsid w:val="00A43628"/>
    <w:rsid w:val="00A45145"/>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160DB"/>
    <w:rsid w:val="00B20836"/>
    <w:rsid w:val="00B235BB"/>
    <w:rsid w:val="00B27A44"/>
    <w:rsid w:val="00B30BBF"/>
    <w:rsid w:val="00B31E62"/>
    <w:rsid w:val="00B33C03"/>
    <w:rsid w:val="00B356FD"/>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5E5"/>
    <w:rsid w:val="00CB2951"/>
    <w:rsid w:val="00CD282B"/>
    <w:rsid w:val="00CD4C35"/>
    <w:rsid w:val="00CD7369"/>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371DE"/>
    <w:rsid w:val="00D44C2E"/>
    <w:rsid w:val="00D45414"/>
    <w:rsid w:val="00D47891"/>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E76CD"/>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6A6F"/>
    <w:rsid w:val="00F5709C"/>
    <w:rsid w:val="00F64EF1"/>
    <w:rsid w:val="00F8765F"/>
    <w:rsid w:val="00F90767"/>
    <w:rsid w:val="00F93802"/>
    <w:rsid w:val="00FA685B"/>
    <w:rsid w:val="00FB0C01"/>
    <w:rsid w:val="00FC18F2"/>
    <w:rsid w:val="00FC39E5"/>
    <w:rsid w:val="00FC3A78"/>
    <w:rsid w:val="00FD1005"/>
    <w:rsid w:val="00FD6C75"/>
    <w:rsid w:val="00FE71B3"/>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F3E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F93802"/>
    <w:rPr>
      <w:rFonts w:eastAsiaTheme="minorEastAsia"/>
      <w:sz w:val="24"/>
      <w:lang w:val="fr-FR"/>
    </w:rPr>
  </w:style>
  <w:style w:type="paragraph" w:styleId="Heading1">
    <w:name w:val="heading 1"/>
    <w:basedOn w:val="Normal"/>
    <w:next w:val="Normal"/>
    <w:link w:val="Heading1Char"/>
    <w:uiPriority w:val="99"/>
    <w:semiHidden/>
    <w:rsid w:val="00F9380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9380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9380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9380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93802"/>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F9380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93802"/>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F9380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9380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93802"/>
    <w:rPr>
      <w:rFonts w:ascii="Tahoma" w:hAnsi="Tahoma" w:cs="Tahoma"/>
      <w:sz w:val="16"/>
      <w:szCs w:val="16"/>
    </w:rPr>
  </w:style>
  <w:style w:type="character" w:customStyle="1" w:styleId="BalloonTextChar">
    <w:name w:val="Balloon Text Char"/>
    <w:basedOn w:val="DefaultParagraphFont"/>
    <w:link w:val="BalloonText"/>
    <w:uiPriority w:val="99"/>
    <w:semiHidden/>
    <w:rsid w:val="00F93802"/>
    <w:rPr>
      <w:rFonts w:ascii="Tahoma" w:hAnsi="Tahoma" w:eastAsiaTheme="minorEastAsia" w:cs="Tahoma"/>
      <w:sz w:val="16"/>
      <w:szCs w:val="16"/>
      <w:lang w:val="fr-FR"/>
    </w:rPr>
  </w:style>
  <w:style w:type="character" w:styleId="BookTitle">
    <w:name w:val="Book Title"/>
    <w:uiPriority w:val="99"/>
    <w:semiHidden/>
    <w:qFormat/>
    <w:rsid w:val="00F93802"/>
    <w:rPr>
      <w:i/>
      <w:iCs/>
      <w:smallCaps/>
      <w:spacing w:val="5"/>
    </w:rPr>
  </w:style>
  <w:style w:type="paragraph" w:customStyle="1" w:styleId="JuHeader">
    <w:name w:val="Ju_Header"/>
    <w:aliases w:val="_Header"/>
    <w:basedOn w:val="Header0"/>
    <w:uiPriority w:val="29"/>
    <w:qFormat/>
    <w:rsid w:val="00F93802"/>
    <w:pPr>
      <w:tabs>
        <w:tab w:val="center" w:pos="3686"/>
        <w:tab w:val="clear" w:pos="4536"/>
        <w:tab w:val="right" w:pos="7371"/>
        <w:tab w:val="clear" w:pos="9072"/>
      </w:tabs>
    </w:pPr>
    <w:rPr>
      <w:sz w:val="18"/>
    </w:rPr>
  </w:style>
  <w:style w:type="paragraph" w:customStyle="1" w:styleId="NormalJustified">
    <w:name w:val="Normal_Justified"/>
    <w:basedOn w:val="Normal"/>
    <w:semiHidden/>
    <w:rsid w:val="00F93802"/>
    <w:pPr>
      <w:jc w:val="both"/>
    </w:pPr>
  </w:style>
  <w:style w:type="character" w:styleId="Strong">
    <w:name w:val="Strong"/>
    <w:uiPriority w:val="99"/>
    <w:semiHidden/>
    <w:qFormat/>
    <w:rsid w:val="00F93802"/>
    <w:rPr>
      <w:b/>
      <w:bCs/>
    </w:rPr>
  </w:style>
  <w:style w:type="paragraph" w:styleId="NoSpacing">
    <w:name w:val="No Spacing"/>
    <w:basedOn w:val="Normal"/>
    <w:link w:val="NoSpacingChar"/>
    <w:semiHidden/>
    <w:qFormat/>
    <w:rsid w:val="00F93802"/>
  </w:style>
  <w:style w:type="character" w:customStyle="1" w:styleId="NoSpacingChar">
    <w:name w:val="No Spacing Char"/>
    <w:basedOn w:val="DefaultParagraphFont"/>
    <w:link w:val="NoSpacing"/>
    <w:semiHidden/>
    <w:rsid w:val="00F93802"/>
    <w:rPr>
      <w:rFonts w:eastAsiaTheme="minorEastAsia"/>
      <w:sz w:val="24"/>
      <w:lang w:val="fr-FR"/>
    </w:rPr>
  </w:style>
  <w:style w:type="paragraph" w:customStyle="1" w:styleId="JuQuot">
    <w:name w:val="Ju_Quot"/>
    <w:aliases w:val="ECHR_Para_Quote,_Quote"/>
    <w:basedOn w:val="NormalJustified"/>
    <w:uiPriority w:val="14"/>
    <w:qFormat/>
    <w:rsid w:val="00F93802"/>
    <w:pPr>
      <w:spacing w:before="120" w:after="120"/>
      <w:ind w:left="425" w:firstLine="142"/>
    </w:pPr>
    <w:rPr>
      <w:sz w:val="20"/>
    </w:rPr>
  </w:style>
  <w:style w:type="paragraph" w:customStyle="1" w:styleId="DecList">
    <w:name w:val="Dec_List"/>
    <w:aliases w:val="_List"/>
    <w:basedOn w:val="JuList"/>
    <w:uiPriority w:val="22"/>
    <w:rsid w:val="00F93802"/>
    <w:pPr>
      <w:numPr>
        <w:numId w:val="0"/>
      </w:numPr>
      <w:ind w:left="340"/>
    </w:pPr>
  </w:style>
  <w:style w:type="paragraph" w:customStyle="1" w:styleId="JuList">
    <w:name w:val="Ju_List"/>
    <w:aliases w:val="_List_1"/>
    <w:basedOn w:val="NormalJustified"/>
    <w:uiPriority w:val="28"/>
    <w:qFormat/>
    <w:rsid w:val="00F93802"/>
    <w:pPr>
      <w:numPr>
        <w:numId w:val="2"/>
      </w:numPr>
      <w:spacing w:before="280" w:after="60"/>
    </w:pPr>
    <w:rPr>
      <w:rFonts w:eastAsiaTheme="minorHAnsi"/>
    </w:rPr>
  </w:style>
  <w:style w:type="paragraph" w:customStyle="1" w:styleId="JuLista">
    <w:name w:val="Ju_List_a"/>
    <w:aliases w:val="_List_2"/>
    <w:basedOn w:val="NormalJustified"/>
    <w:uiPriority w:val="23"/>
    <w:rsid w:val="00F93802"/>
    <w:pPr>
      <w:numPr>
        <w:ilvl w:val="1"/>
        <w:numId w:val="2"/>
      </w:numPr>
    </w:pPr>
  </w:style>
  <w:style w:type="paragraph" w:customStyle="1" w:styleId="JuListi">
    <w:name w:val="Ju_List_i"/>
    <w:aliases w:val="_List_3"/>
    <w:basedOn w:val="NormalJustified"/>
    <w:uiPriority w:val="23"/>
    <w:rsid w:val="00F93802"/>
    <w:pPr>
      <w:numPr>
        <w:ilvl w:val="2"/>
        <w:numId w:val="2"/>
      </w:numPr>
    </w:pPr>
  </w:style>
  <w:style w:type="paragraph" w:customStyle="1" w:styleId="JuHArticle">
    <w:name w:val="Ju_H_Article"/>
    <w:aliases w:val="_Title_Quote"/>
    <w:basedOn w:val="Normal"/>
    <w:next w:val="JuQuot"/>
    <w:uiPriority w:val="20"/>
    <w:qFormat/>
    <w:rsid w:val="00F93802"/>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30"/>
    <w:qFormat/>
    <w:rsid w:val="00F93802"/>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F93802"/>
    <w:pPr>
      <w:keepNext/>
      <w:keepLines/>
      <w:spacing w:after="240"/>
      <w:ind w:firstLine="0"/>
      <w:jc w:val="center"/>
      <w:outlineLvl w:val="0"/>
    </w:pPr>
    <w:rPr>
      <w:rFonts w:asciiTheme="majorHAnsi" w:hAnsiTheme="majorHAnsi"/>
      <w:sz w:val="28"/>
    </w:rPr>
  </w:style>
  <w:style w:type="paragraph" w:customStyle="1" w:styleId="JuHHead">
    <w:name w:val="Ju_H_Head"/>
    <w:aliases w:val="ECHR_Title_1,_Head_1"/>
    <w:basedOn w:val="Normal"/>
    <w:next w:val="JuPara"/>
    <w:uiPriority w:val="18"/>
    <w:qFormat/>
    <w:rsid w:val="00F93802"/>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F93802"/>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F93802"/>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F9380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93802"/>
    <w:rPr>
      <w:rFonts w:asciiTheme="majorHAnsi" w:eastAsiaTheme="majorEastAsia" w:hAnsiTheme="majorHAnsi" w:cstheme="majorBidi"/>
      <w:spacing w:val="5"/>
      <w:sz w:val="52"/>
      <w:szCs w:val="52"/>
      <w:lang w:val="fr-FR" w:bidi="en-US"/>
    </w:rPr>
  </w:style>
  <w:style w:type="numbering" w:customStyle="1" w:styleId="ECHRA1StyleBulletedSquare">
    <w:name w:val="ECHR_A1_Style_Bulleted_Square"/>
    <w:basedOn w:val="NoList"/>
    <w:rsid w:val="00F93802"/>
    <w:pPr>
      <w:numPr>
        <w:numId w:val="6"/>
      </w:numPr>
    </w:pPr>
  </w:style>
  <w:style w:type="numbering" w:customStyle="1" w:styleId="ECHRA1StyleList">
    <w:name w:val="ECHR_A1_Style_List"/>
    <w:basedOn w:val="NoList"/>
    <w:uiPriority w:val="99"/>
    <w:rsid w:val="00F93802"/>
    <w:pPr>
      <w:numPr>
        <w:numId w:val="7"/>
      </w:numPr>
    </w:pPr>
  </w:style>
  <w:style w:type="numbering" w:customStyle="1" w:styleId="ECHRA1StyleNumberedList">
    <w:name w:val="ECHR_A1_Style_Numbered_List"/>
    <w:basedOn w:val="NoList"/>
    <w:rsid w:val="00F93802"/>
    <w:pPr>
      <w:numPr>
        <w:numId w:val="8"/>
      </w:numPr>
    </w:pPr>
  </w:style>
  <w:style w:type="table" w:customStyle="1" w:styleId="ECHRTable2019">
    <w:name w:val="ECHR_Table_2019"/>
    <w:basedOn w:val="TableNormal"/>
    <w:uiPriority w:val="99"/>
    <w:rsid w:val="00F93802"/>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F93802"/>
    <w:rPr>
      <w:sz w:val="8"/>
    </w:rPr>
  </w:style>
  <w:style w:type="paragraph" w:customStyle="1" w:styleId="JuHIRoman">
    <w:name w:val="Ju_H_I_Roman"/>
    <w:aliases w:val="_Head_2"/>
    <w:basedOn w:val="Normal"/>
    <w:next w:val="JuPara"/>
    <w:uiPriority w:val="19"/>
    <w:qFormat/>
    <w:rsid w:val="00F93802"/>
    <w:pPr>
      <w:keepNext/>
      <w:keepLines/>
      <w:numPr>
        <w:ilvl w:val="1"/>
        <w:numId w:val="1"/>
      </w:numPr>
      <w:spacing w:before="100" w:beforeAutospacing="1" w:after="240"/>
      <w:jc w:val="both"/>
      <w:outlineLvl w:val="1"/>
    </w:pPr>
    <w:rPr>
      <w:caps/>
    </w:rPr>
  </w:style>
  <w:style w:type="paragraph" w:customStyle="1" w:styleId="JuHA">
    <w:name w:val="Ju_H_A"/>
    <w:aliases w:val="ECHR_Heading_2,_Head_3"/>
    <w:basedOn w:val="Normal"/>
    <w:next w:val="JuPara"/>
    <w:uiPriority w:val="20"/>
    <w:qFormat/>
    <w:rsid w:val="00F93802"/>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F93802"/>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F93802"/>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F93802"/>
    <w:rPr>
      <w:sz w:val="24"/>
      <w:lang w:val="fr-FR"/>
    </w:rPr>
  </w:style>
  <w:style w:type="character" w:customStyle="1" w:styleId="Heading1Char">
    <w:name w:val="Heading 1 Char"/>
    <w:basedOn w:val="DefaultParagraphFont"/>
    <w:link w:val="Heading1"/>
    <w:uiPriority w:val="99"/>
    <w:semiHidden/>
    <w:rsid w:val="00F93802"/>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F93802"/>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F93802"/>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F93802"/>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F93802"/>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F93802"/>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F93802"/>
    <w:rPr>
      <w:rFonts w:asciiTheme="majorHAnsi" w:eastAsiaTheme="majorEastAsia" w:hAnsiTheme="majorHAnsi" w:cstheme="majorBidi"/>
      <w:b/>
      <w:bCs/>
      <w:color w:val="5F5F5F"/>
      <w:sz w:val="24"/>
      <w:lang w:val="fr-FR"/>
    </w:rPr>
  </w:style>
  <w:style w:type="paragraph" w:customStyle="1" w:styleId="JuCourt">
    <w:name w:val="Ju_Court"/>
    <w:basedOn w:val="Normal"/>
    <w:next w:val="Normal"/>
    <w:uiPriority w:val="31"/>
    <w:qFormat/>
    <w:rsid w:val="00F9380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F93802"/>
    <w:pPr>
      <w:tabs>
        <w:tab w:val="center" w:pos="6407"/>
      </w:tabs>
      <w:spacing w:before="720"/>
      <w:jc w:val="right"/>
    </w:pPr>
  </w:style>
  <w:style w:type="character" w:customStyle="1" w:styleId="Heading4Char">
    <w:name w:val="Heading 4 Char"/>
    <w:basedOn w:val="DefaultParagraphFont"/>
    <w:link w:val="Heading4"/>
    <w:uiPriority w:val="99"/>
    <w:semiHidden/>
    <w:rsid w:val="00F93802"/>
    <w:rPr>
      <w:rFonts w:asciiTheme="majorHAnsi" w:eastAsiaTheme="majorEastAsia" w:hAnsiTheme="majorHAnsi" w:cstheme="majorBidi"/>
      <w:b/>
      <w:bCs/>
      <w:i/>
      <w:iCs/>
      <w:color w:val="777777"/>
      <w:sz w:val="24"/>
      <w:lang w:val="fr-FR"/>
    </w:rPr>
  </w:style>
  <w:style w:type="character" w:customStyle="1" w:styleId="JuITMark">
    <w:name w:val="Ju_ITMark"/>
    <w:basedOn w:val="DefaultParagraphFont"/>
    <w:uiPriority w:val="38"/>
    <w:semiHidden/>
    <w:qFormat/>
    <w:rsid w:val="00F9380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F93802"/>
    <w:rPr>
      <w:rFonts w:asciiTheme="majorHAnsi" w:eastAsiaTheme="majorEastAsia" w:hAnsiTheme="majorHAnsi" w:cstheme="majorBidi"/>
      <w:b/>
      <w:bCs/>
      <w:color w:val="808080"/>
      <w:sz w:val="24"/>
      <w:lang w:val="fr-FR"/>
    </w:rPr>
  </w:style>
  <w:style w:type="character" w:customStyle="1" w:styleId="JUNAMES">
    <w:name w:val="JU_NAMES"/>
    <w:uiPriority w:val="34"/>
    <w:qFormat/>
    <w:rsid w:val="00F93802"/>
    <w:rPr>
      <w:caps w:val="0"/>
      <w:smallCaps/>
    </w:rPr>
  </w:style>
  <w:style w:type="paragraph" w:customStyle="1" w:styleId="JuSigned">
    <w:name w:val="Ju_Signed"/>
    <w:aliases w:val="_Signature"/>
    <w:basedOn w:val="Normal"/>
    <w:next w:val="JuPara"/>
    <w:uiPriority w:val="32"/>
    <w:qFormat/>
    <w:rsid w:val="00F93802"/>
    <w:pPr>
      <w:tabs>
        <w:tab w:val="center" w:pos="851"/>
        <w:tab w:val="center" w:pos="6407"/>
      </w:tabs>
      <w:spacing w:before="720"/>
    </w:pPr>
  </w:style>
  <w:style w:type="character" w:styleId="SubtleEmphasis">
    <w:name w:val="Subtle Emphasis"/>
    <w:uiPriority w:val="99"/>
    <w:semiHidden/>
    <w:qFormat/>
    <w:rsid w:val="00F9380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9380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F93802"/>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F93802"/>
    <w:rPr>
      <w:b/>
      <w:bCs/>
      <w:i/>
      <w:iCs/>
      <w:spacing w:val="10"/>
      <w:bdr w:val="none" w:sz="0" w:space="0" w:color="auto"/>
      <w:shd w:val="clear" w:color="auto" w:fill="auto"/>
    </w:rPr>
  </w:style>
  <w:style w:type="paragraph" w:styleId="Footer1">
    <w:name w:val="footer"/>
    <w:basedOn w:val="Normal"/>
    <w:link w:val="FooterChar"/>
    <w:uiPriority w:val="57"/>
    <w:semiHidden/>
    <w:rsid w:val="00F93802"/>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F93802"/>
    <w:rPr>
      <w:sz w:val="24"/>
      <w:lang w:val="fr-FR"/>
    </w:rPr>
  </w:style>
  <w:style w:type="character" w:styleId="FootnoteReference">
    <w:name w:val="footnote reference"/>
    <w:basedOn w:val="DefaultParagraphFont"/>
    <w:uiPriority w:val="99"/>
    <w:semiHidden/>
    <w:rsid w:val="00F93802"/>
    <w:rPr>
      <w:vertAlign w:val="superscript"/>
    </w:rPr>
  </w:style>
  <w:style w:type="paragraph" w:styleId="FootnoteText">
    <w:name w:val="footnote text"/>
    <w:basedOn w:val="Normal"/>
    <w:link w:val="FootnoteTextChar"/>
    <w:uiPriority w:val="99"/>
    <w:semiHidden/>
    <w:rsid w:val="00F93802"/>
    <w:rPr>
      <w:sz w:val="20"/>
      <w:szCs w:val="20"/>
    </w:rPr>
  </w:style>
  <w:style w:type="character" w:customStyle="1" w:styleId="FootnoteTextChar">
    <w:name w:val="Footnote Text Char"/>
    <w:basedOn w:val="DefaultParagraphFont"/>
    <w:link w:val="FootnoteText"/>
    <w:uiPriority w:val="99"/>
    <w:semiHidden/>
    <w:rsid w:val="00F93802"/>
    <w:rPr>
      <w:rFonts w:eastAsiaTheme="minorEastAsia"/>
      <w:sz w:val="20"/>
      <w:szCs w:val="20"/>
      <w:lang w:val="fr-FR"/>
    </w:rPr>
  </w:style>
  <w:style w:type="character" w:customStyle="1" w:styleId="Heading6Char">
    <w:name w:val="Heading 6 Char"/>
    <w:basedOn w:val="DefaultParagraphFont"/>
    <w:link w:val="Heading6"/>
    <w:uiPriority w:val="99"/>
    <w:semiHidden/>
    <w:rsid w:val="00F93802"/>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F93802"/>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F93802"/>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F93802"/>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F93802"/>
    <w:rPr>
      <w:color w:val="0072BC" w:themeColor="hyperlink"/>
      <w:u w:val="single"/>
    </w:rPr>
  </w:style>
  <w:style w:type="character" w:styleId="IntenseEmphasis">
    <w:name w:val="Intense Emphasis"/>
    <w:uiPriority w:val="99"/>
    <w:semiHidden/>
    <w:qFormat/>
    <w:rsid w:val="00F93802"/>
    <w:rPr>
      <w:b/>
      <w:bCs/>
    </w:rPr>
  </w:style>
  <w:style w:type="paragraph" w:styleId="IntenseQuote">
    <w:name w:val="Intense Quote"/>
    <w:basedOn w:val="Normal"/>
    <w:next w:val="Normal"/>
    <w:link w:val="IntenseQuoteChar"/>
    <w:uiPriority w:val="99"/>
    <w:semiHidden/>
    <w:qFormat/>
    <w:rsid w:val="00F9380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F93802"/>
    <w:rPr>
      <w:rFonts w:eastAsiaTheme="minorEastAsia"/>
      <w:b/>
      <w:bCs/>
      <w:i/>
      <w:iCs/>
      <w:sz w:val="24"/>
      <w:lang w:val="fr-FR" w:bidi="en-US"/>
    </w:rPr>
  </w:style>
  <w:style w:type="character" w:styleId="IntenseReference">
    <w:name w:val="Intense Reference"/>
    <w:uiPriority w:val="99"/>
    <w:semiHidden/>
    <w:qFormat/>
    <w:rsid w:val="00F93802"/>
    <w:rPr>
      <w:smallCaps/>
      <w:spacing w:val="5"/>
      <w:u w:val="single"/>
    </w:rPr>
  </w:style>
  <w:style w:type="paragraph" w:styleId="ListParagraph">
    <w:name w:val="List Paragraph"/>
    <w:basedOn w:val="Normal"/>
    <w:uiPriority w:val="99"/>
    <w:semiHidden/>
    <w:qFormat/>
    <w:rsid w:val="00F93802"/>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F93802"/>
    <w:pPr>
      <w:spacing w:before="200"/>
      <w:ind w:left="360" w:right="360"/>
    </w:pPr>
    <w:rPr>
      <w:i/>
      <w:iCs/>
      <w:lang w:bidi="en-US"/>
    </w:rPr>
  </w:style>
  <w:style w:type="character" w:customStyle="1" w:styleId="QuoteChar">
    <w:name w:val="Quote Char"/>
    <w:basedOn w:val="DefaultParagraphFont"/>
    <w:link w:val="Quote0"/>
    <w:uiPriority w:val="99"/>
    <w:semiHidden/>
    <w:rsid w:val="00F93802"/>
    <w:rPr>
      <w:rFonts w:eastAsiaTheme="minorEastAsia"/>
      <w:i/>
      <w:iCs/>
      <w:sz w:val="24"/>
      <w:lang w:val="fr-FR" w:bidi="en-US"/>
    </w:rPr>
  </w:style>
  <w:style w:type="character" w:styleId="SubtleReference">
    <w:name w:val="Subtle Reference"/>
    <w:uiPriority w:val="99"/>
    <w:semiHidden/>
    <w:qFormat/>
    <w:rsid w:val="00F93802"/>
    <w:rPr>
      <w:smallCaps/>
    </w:rPr>
  </w:style>
  <w:style w:type="table" w:styleId="TableGrid">
    <w:name w:val="Table Grid"/>
    <w:basedOn w:val="TableNormal"/>
    <w:uiPriority w:val="59"/>
    <w:semiHidden/>
    <w:rsid w:val="00F9380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9380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9380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9380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9380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9380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9380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93802"/>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93802"/>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F93802"/>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9380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F9380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F93802"/>
    <w:pPr>
      <w:numPr>
        <w:numId w:val="3"/>
      </w:numPr>
    </w:pPr>
  </w:style>
  <w:style w:type="numbering" w:styleId="1ai">
    <w:name w:val="Outline List 1"/>
    <w:basedOn w:val="NoList"/>
    <w:uiPriority w:val="99"/>
    <w:semiHidden/>
    <w:unhideWhenUsed/>
    <w:rsid w:val="00F93802"/>
    <w:pPr>
      <w:numPr>
        <w:numId w:val="4"/>
      </w:numPr>
    </w:pPr>
  </w:style>
  <w:style w:type="paragraph" w:customStyle="1" w:styleId="JuPara">
    <w:name w:val="Ju_Para"/>
    <w:aliases w:val="_Para"/>
    <w:basedOn w:val="NormalJustified"/>
    <w:link w:val="JuParaChar"/>
    <w:uiPriority w:val="12"/>
    <w:qFormat/>
    <w:rsid w:val="00F93802"/>
    <w:pPr>
      <w:ind w:firstLine="284"/>
    </w:pPr>
  </w:style>
  <w:style w:type="numbering" w:styleId="ArticleSection">
    <w:name w:val="Outline List 3"/>
    <w:basedOn w:val="NoList"/>
    <w:uiPriority w:val="99"/>
    <w:semiHidden/>
    <w:unhideWhenUsed/>
    <w:rsid w:val="00F93802"/>
    <w:pPr>
      <w:numPr>
        <w:numId w:val="5"/>
      </w:numPr>
    </w:pPr>
  </w:style>
  <w:style w:type="table" w:customStyle="1" w:styleId="ECHRTableSimpleBox">
    <w:name w:val="ECHR_Table_Simple_Box"/>
    <w:basedOn w:val="TableNormal"/>
    <w:uiPriority w:val="99"/>
    <w:rsid w:val="00F93802"/>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93802"/>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F93802"/>
  </w:style>
  <w:style w:type="table" w:customStyle="1" w:styleId="ECHRTableForInternalUse">
    <w:name w:val="ECHR_Table_For_Internal_Use"/>
    <w:basedOn w:val="TableNormal"/>
    <w:uiPriority w:val="99"/>
    <w:rsid w:val="00F93802"/>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F9380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F93802"/>
    <w:pPr>
      <w:spacing w:after="120"/>
    </w:pPr>
  </w:style>
  <w:style w:type="table" w:customStyle="1" w:styleId="ECHRHeaderTable">
    <w:name w:val="ECHR_Header_Table"/>
    <w:basedOn w:val="TableNormal"/>
    <w:uiPriority w:val="99"/>
    <w:rsid w:val="00F9380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F93802"/>
    <w:rPr>
      <w:rFonts w:eastAsiaTheme="minorEastAsia"/>
      <w:sz w:val="24"/>
      <w:lang w:val="fr-FR"/>
    </w:rPr>
  </w:style>
  <w:style w:type="paragraph" w:styleId="BodyText2">
    <w:name w:val="Body Text 2"/>
    <w:basedOn w:val="Normal"/>
    <w:link w:val="BodyText2Char"/>
    <w:uiPriority w:val="99"/>
    <w:semiHidden/>
    <w:rsid w:val="00F93802"/>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ECHR_Decision_Body"/>
    <w:basedOn w:val="Normal"/>
    <w:uiPriority w:val="11"/>
    <w:qFormat/>
    <w:rsid w:val="00F93802"/>
    <w:pPr>
      <w:tabs>
        <w:tab w:val="left" w:pos="567"/>
        <w:tab w:val="left" w:pos="1134"/>
      </w:tabs>
    </w:pPr>
  </w:style>
  <w:style w:type="table" w:customStyle="1" w:styleId="ECHRHeaderTableReduced">
    <w:name w:val="ECHR_Header_Table_Reduced"/>
    <w:basedOn w:val="TableNormal"/>
    <w:uiPriority w:val="99"/>
    <w:rsid w:val="00F93802"/>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F93802"/>
    <w:pPr>
      <w:ind w:firstLine="284"/>
    </w:pPr>
    <w:rPr>
      <w:b/>
    </w:rPr>
  </w:style>
  <w:style w:type="character" w:styleId="PageNumber">
    <w:name w:val="page number"/>
    <w:uiPriority w:val="99"/>
    <w:semiHidden/>
    <w:rsid w:val="00F93802"/>
    <w:rPr>
      <w:sz w:val="18"/>
    </w:rPr>
  </w:style>
  <w:style w:type="paragraph" w:styleId="ListBullet2">
    <w:name w:val="List Bullet 2"/>
    <w:basedOn w:val="Normal"/>
    <w:uiPriority w:val="99"/>
    <w:semiHidden/>
    <w:rsid w:val="00F93802"/>
    <w:pPr>
      <w:numPr>
        <w:numId w:val="10"/>
      </w:numPr>
      <w:contextualSpacing/>
    </w:pPr>
  </w:style>
  <w:style w:type="character" w:customStyle="1" w:styleId="BodyText2Char">
    <w:name w:val="Body Text 2 Char"/>
    <w:basedOn w:val="DefaultParagraphFont"/>
    <w:link w:val="BodyText2"/>
    <w:uiPriority w:val="99"/>
    <w:semiHidden/>
    <w:rsid w:val="00F93802"/>
    <w:rPr>
      <w:rFonts w:eastAsiaTheme="minorEastAsia"/>
      <w:sz w:val="24"/>
      <w:lang w:val="fr-FR"/>
    </w:rPr>
  </w:style>
  <w:style w:type="paragraph" w:styleId="BodyText3">
    <w:name w:val="Body Text 3"/>
    <w:basedOn w:val="Normal"/>
    <w:link w:val="BodyText3Char"/>
    <w:uiPriority w:val="99"/>
    <w:semiHidden/>
    <w:rsid w:val="00F93802"/>
    <w:pPr>
      <w:spacing w:after="120"/>
    </w:pPr>
    <w:rPr>
      <w:sz w:val="16"/>
      <w:szCs w:val="16"/>
    </w:rPr>
  </w:style>
  <w:style w:type="character" w:customStyle="1" w:styleId="BodyText3Char">
    <w:name w:val="Body Text 3 Char"/>
    <w:basedOn w:val="DefaultParagraphFont"/>
    <w:link w:val="BodyText3"/>
    <w:uiPriority w:val="99"/>
    <w:semiHidden/>
    <w:rsid w:val="00F93802"/>
    <w:rPr>
      <w:rFonts w:eastAsiaTheme="minorEastAsia"/>
      <w:sz w:val="16"/>
      <w:szCs w:val="16"/>
      <w:lang w:val="fr-FR"/>
    </w:rPr>
  </w:style>
  <w:style w:type="paragraph" w:styleId="BodyTextFirstIndent">
    <w:name w:val="Body Text First Indent"/>
    <w:basedOn w:val="BodyText"/>
    <w:link w:val="BodyTextFirstIndentChar"/>
    <w:uiPriority w:val="99"/>
    <w:semiHidden/>
    <w:rsid w:val="00F93802"/>
    <w:pPr>
      <w:spacing w:after="0"/>
      <w:ind w:firstLine="360"/>
    </w:pPr>
  </w:style>
  <w:style w:type="character" w:customStyle="1" w:styleId="BodyTextFirstIndentChar">
    <w:name w:val="Body Text First Indent Char"/>
    <w:basedOn w:val="BodyTextChar"/>
    <w:link w:val="BodyTextFirstIndent"/>
    <w:uiPriority w:val="99"/>
    <w:semiHidden/>
    <w:rsid w:val="00F93802"/>
    <w:rPr>
      <w:rFonts w:eastAsiaTheme="minorEastAsia"/>
      <w:sz w:val="24"/>
      <w:lang w:val="fr-FR"/>
    </w:rPr>
  </w:style>
  <w:style w:type="paragraph" w:styleId="BodyTextIndent">
    <w:name w:val="Body Text Indent"/>
    <w:basedOn w:val="Normal"/>
    <w:link w:val="BodyTextIndentChar"/>
    <w:uiPriority w:val="99"/>
    <w:semiHidden/>
    <w:rsid w:val="00F93802"/>
    <w:pPr>
      <w:spacing w:after="120"/>
      <w:ind w:left="283"/>
    </w:pPr>
  </w:style>
  <w:style w:type="character" w:customStyle="1" w:styleId="BodyTextIndentChar">
    <w:name w:val="Body Text Indent Char"/>
    <w:basedOn w:val="DefaultParagraphFont"/>
    <w:link w:val="BodyTextIndent"/>
    <w:uiPriority w:val="99"/>
    <w:semiHidden/>
    <w:rsid w:val="00F93802"/>
    <w:rPr>
      <w:rFonts w:eastAsiaTheme="minorEastAsia"/>
      <w:sz w:val="24"/>
      <w:lang w:val="fr-FR"/>
    </w:rPr>
  </w:style>
  <w:style w:type="paragraph" w:styleId="BodyTextFirstIndent2">
    <w:name w:val="Body Text First Indent 2"/>
    <w:basedOn w:val="BodyTextIndent"/>
    <w:link w:val="BodyTextFirstIndent2Char"/>
    <w:uiPriority w:val="99"/>
    <w:semiHidden/>
    <w:rsid w:val="00F9380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93802"/>
    <w:rPr>
      <w:rFonts w:eastAsiaTheme="minorEastAsia"/>
      <w:sz w:val="24"/>
      <w:lang w:val="fr-FR"/>
    </w:rPr>
  </w:style>
  <w:style w:type="paragraph" w:styleId="BodyTextIndent2">
    <w:name w:val="Body Text Indent 2"/>
    <w:basedOn w:val="Normal"/>
    <w:link w:val="BodyTextIndent2Char"/>
    <w:uiPriority w:val="99"/>
    <w:semiHidden/>
    <w:rsid w:val="00F93802"/>
    <w:pPr>
      <w:spacing w:after="120" w:line="480" w:lineRule="auto"/>
      <w:ind w:left="283"/>
    </w:pPr>
  </w:style>
  <w:style w:type="character" w:customStyle="1" w:styleId="BodyTextIndent2Char">
    <w:name w:val="Body Text Indent 2 Char"/>
    <w:basedOn w:val="DefaultParagraphFont"/>
    <w:link w:val="BodyTextIndent2"/>
    <w:uiPriority w:val="99"/>
    <w:semiHidden/>
    <w:rsid w:val="00F93802"/>
    <w:rPr>
      <w:rFonts w:eastAsiaTheme="minorEastAsia"/>
      <w:sz w:val="24"/>
      <w:lang w:val="fr-FR"/>
    </w:rPr>
  </w:style>
  <w:style w:type="paragraph" w:styleId="BodyTextIndent3">
    <w:name w:val="Body Text Indent 3"/>
    <w:basedOn w:val="Normal"/>
    <w:link w:val="BodyTextIndent3Char"/>
    <w:uiPriority w:val="99"/>
    <w:semiHidden/>
    <w:rsid w:val="00F9380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93802"/>
    <w:rPr>
      <w:rFonts w:eastAsiaTheme="minorEastAsia"/>
      <w:sz w:val="16"/>
      <w:szCs w:val="16"/>
      <w:lang w:val="fr-FR"/>
    </w:rPr>
  </w:style>
  <w:style w:type="paragraph" w:styleId="Caption">
    <w:name w:val="caption"/>
    <w:basedOn w:val="Normal"/>
    <w:next w:val="Normal"/>
    <w:uiPriority w:val="99"/>
    <w:semiHidden/>
    <w:qFormat/>
    <w:rsid w:val="00F93802"/>
    <w:pPr>
      <w:spacing w:after="200"/>
    </w:pPr>
    <w:rPr>
      <w:b/>
      <w:bCs/>
      <w:color w:val="0072BC" w:themeColor="accent1"/>
      <w:sz w:val="18"/>
      <w:szCs w:val="18"/>
    </w:rPr>
  </w:style>
  <w:style w:type="paragraph" w:styleId="Closing">
    <w:name w:val="Closing"/>
    <w:basedOn w:val="Normal"/>
    <w:link w:val="ClosingChar"/>
    <w:uiPriority w:val="99"/>
    <w:semiHidden/>
    <w:rsid w:val="00F93802"/>
    <w:pPr>
      <w:ind w:left="4252"/>
    </w:pPr>
  </w:style>
  <w:style w:type="character" w:customStyle="1" w:styleId="ClosingChar">
    <w:name w:val="Closing Char"/>
    <w:basedOn w:val="DefaultParagraphFont"/>
    <w:link w:val="Closing"/>
    <w:uiPriority w:val="99"/>
    <w:semiHidden/>
    <w:rsid w:val="00F93802"/>
    <w:rPr>
      <w:rFonts w:eastAsiaTheme="minorEastAsia"/>
      <w:sz w:val="24"/>
      <w:lang w:val="fr-FR"/>
    </w:rPr>
  </w:style>
  <w:style w:type="table" w:styleId="ColorfulGrid">
    <w:name w:val="Colorful Grid"/>
    <w:basedOn w:val="TableNormal"/>
    <w:uiPriority w:val="73"/>
    <w:semiHidden/>
    <w:rsid w:val="00F9380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9380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9380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9380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9380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9380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9380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9380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9380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9380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9380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9380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9380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9380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9380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9380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9380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9380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9380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9380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9380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93802"/>
    <w:rPr>
      <w:sz w:val="16"/>
      <w:szCs w:val="16"/>
    </w:rPr>
  </w:style>
  <w:style w:type="paragraph" w:styleId="CommentText">
    <w:name w:val="annotation text"/>
    <w:basedOn w:val="Normal"/>
    <w:link w:val="CommentTextChar"/>
    <w:semiHidden/>
    <w:rsid w:val="00F93802"/>
    <w:rPr>
      <w:sz w:val="20"/>
      <w:szCs w:val="20"/>
    </w:rPr>
  </w:style>
  <w:style w:type="character" w:customStyle="1" w:styleId="CommentTextChar">
    <w:name w:val="Comment Text Char"/>
    <w:basedOn w:val="DefaultParagraphFont"/>
    <w:link w:val="CommentText"/>
    <w:semiHidden/>
    <w:rsid w:val="00F93802"/>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F93802"/>
    <w:rPr>
      <w:b/>
      <w:bCs/>
    </w:rPr>
  </w:style>
  <w:style w:type="character" w:customStyle="1" w:styleId="CommentSubjectChar">
    <w:name w:val="Comment Subject Char"/>
    <w:basedOn w:val="CommentTextChar"/>
    <w:link w:val="CommentSubject"/>
    <w:uiPriority w:val="99"/>
    <w:semiHidden/>
    <w:rsid w:val="00F93802"/>
    <w:rPr>
      <w:rFonts w:eastAsiaTheme="minorEastAsia"/>
      <w:b/>
      <w:bCs/>
      <w:sz w:val="20"/>
      <w:szCs w:val="20"/>
      <w:lang w:val="fr-FR"/>
    </w:rPr>
  </w:style>
  <w:style w:type="table" w:styleId="DarkList">
    <w:name w:val="Dark List"/>
    <w:basedOn w:val="TableNormal"/>
    <w:uiPriority w:val="70"/>
    <w:semiHidden/>
    <w:rsid w:val="00F9380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9380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9380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9380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9380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9380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9380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F93802"/>
  </w:style>
  <w:style w:type="character" w:customStyle="1" w:styleId="DateChar">
    <w:name w:val="Date Char"/>
    <w:basedOn w:val="DefaultParagraphFont"/>
    <w:link w:val="Date"/>
    <w:uiPriority w:val="99"/>
    <w:semiHidden/>
    <w:rsid w:val="00F93802"/>
    <w:rPr>
      <w:rFonts w:eastAsiaTheme="minorEastAsia"/>
      <w:sz w:val="24"/>
      <w:lang w:val="fr-FR"/>
    </w:rPr>
  </w:style>
  <w:style w:type="paragraph" w:styleId="DocumentMap">
    <w:name w:val="Document Map"/>
    <w:basedOn w:val="Normal"/>
    <w:link w:val="DocumentMapChar"/>
    <w:uiPriority w:val="99"/>
    <w:semiHidden/>
    <w:rsid w:val="00F93802"/>
    <w:rPr>
      <w:rFonts w:ascii="Tahoma" w:hAnsi="Tahoma" w:cs="Tahoma"/>
      <w:sz w:val="16"/>
      <w:szCs w:val="16"/>
    </w:rPr>
  </w:style>
  <w:style w:type="character" w:customStyle="1" w:styleId="DocumentMapChar">
    <w:name w:val="Document Map Char"/>
    <w:basedOn w:val="DefaultParagraphFont"/>
    <w:link w:val="DocumentMap"/>
    <w:uiPriority w:val="99"/>
    <w:semiHidden/>
    <w:rsid w:val="00F93802"/>
    <w:rPr>
      <w:rFonts w:ascii="Tahoma" w:hAnsi="Tahoma" w:eastAsiaTheme="minorEastAsia" w:cs="Tahoma"/>
      <w:sz w:val="16"/>
      <w:szCs w:val="16"/>
      <w:lang w:val="fr-FR"/>
    </w:rPr>
  </w:style>
  <w:style w:type="paragraph" w:styleId="E-mailSignature">
    <w:name w:val="E-mail Signature"/>
    <w:basedOn w:val="Normal"/>
    <w:link w:val="E-mailSignatureChar"/>
    <w:uiPriority w:val="99"/>
    <w:semiHidden/>
    <w:rsid w:val="00F93802"/>
  </w:style>
  <w:style w:type="character" w:customStyle="1" w:styleId="E-mailSignatureChar">
    <w:name w:val="E-mail Signature Char"/>
    <w:basedOn w:val="DefaultParagraphFont"/>
    <w:link w:val="E-mailSignature"/>
    <w:uiPriority w:val="99"/>
    <w:semiHidden/>
    <w:rsid w:val="00F93802"/>
    <w:rPr>
      <w:rFonts w:eastAsiaTheme="minorEastAsia"/>
      <w:sz w:val="24"/>
      <w:lang w:val="fr-FR"/>
    </w:rPr>
  </w:style>
  <w:style w:type="character" w:styleId="EndnoteReference">
    <w:name w:val="endnote reference"/>
    <w:basedOn w:val="DefaultParagraphFont"/>
    <w:uiPriority w:val="99"/>
    <w:semiHidden/>
    <w:rsid w:val="00F93802"/>
    <w:rPr>
      <w:vertAlign w:val="superscript"/>
    </w:rPr>
  </w:style>
  <w:style w:type="paragraph" w:styleId="EndnoteText">
    <w:name w:val="endnote text"/>
    <w:basedOn w:val="Normal"/>
    <w:link w:val="EndnoteTextChar"/>
    <w:uiPriority w:val="99"/>
    <w:semiHidden/>
    <w:rsid w:val="00F93802"/>
    <w:rPr>
      <w:sz w:val="20"/>
      <w:szCs w:val="20"/>
    </w:rPr>
  </w:style>
  <w:style w:type="character" w:customStyle="1" w:styleId="EndnoteTextChar">
    <w:name w:val="Endnote Text Char"/>
    <w:basedOn w:val="DefaultParagraphFont"/>
    <w:link w:val="EndnoteText"/>
    <w:uiPriority w:val="99"/>
    <w:semiHidden/>
    <w:rsid w:val="00F93802"/>
    <w:rPr>
      <w:rFonts w:eastAsiaTheme="minorEastAsia"/>
      <w:sz w:val="20"/>
      <w:szCs w:val="20"/>
      <w:lang w:val="fr-FR"/>
    </w:rPr>
  </w:style>
  <w:style w:type="paragraph" w:styleId="EnvelopeAddress">
    <w:name w:val="envelope address"/>
    <w:basedOn w:val="Normal"/>
    <w:uiPriority w:val="99"/>
    <w:semiHidden/>
    <w:rsid w:val="00F9380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F9380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F93802"/>
    <w:rPr>
      <w:color w:val="7030A0" w:themeColor="followedHyperlink"/>
      <w:u w:val="single"/>
    </w:rPr>
  </w:style>
  <w:style w:type="character" w:styleId="HTMLAcronym">
    <w:name w:val="HTML Acronym"/>
    <w:basedOn w:val="DefaultParagraphFont"/>
    <w:uiPriority w:val="99"/>
    <w:semiHidden/>
    <w:rsid w:val="00F93802"/>
  </w:style>
  <w:style w:type="paragraph" w:styleId="HTMLAddress">
    <w:name w:val="HTML Address"/>
    <w:basedOn w:val="Normal"/>
    <w:link w:val="HTMLAddressChar"/>
    <w:uiPriority w:val="99"/>
    <w:semiHidden/>
    <w:rsid w:val="00F93802"/>
    <w:rPr>
      <w:i/>
      <w:iCs/>
    </w:rPr>
  </w:style>
  <w:style w:type="character" w:customStyle="1" w:styleId="HTMLAddressChar">
    <w:name w:val="HTML Address Char"/>
    <w:basedOn w:val="DefaultParagraphFont"/>
    <w:link w:val="HTMLAddress"/>
    <w:uiPriority w:val="99"/>
    <w:semiHidden/>
    <w:rsid w:val="00F93802"/>
    <w:rPr>
      <w:rFonts w:eastAsiaTheme="minorEastAsia"/>
      <w:i/>
      <w:iCs/>
      <w:sz w:val="24"/>
      <w:lang w:val="fr-FR"/>
    </w:rPr>
  </w:style>
  <w:style w:type="character" w:styleId="HTMLCite">
    <w:name w:val="HTML Cite"/>
    <w:basedOn w:val="DefaultParagraphFont"/>
    <w:uiPriority w:val="99"/>
    <w:semiHidden/>
    <w:rsid w:val="00F93802"/>
    <w:rPr>
      <w:i/>
      <w:iCs/>
    </w:rPr>
  </w:style>
  <w:style w:type="character" w:styleId="HTMLCode">
    <w:name w:val="HTML Code"/>
    <w:basedOn w:val="DefaultParagraphFont"/>
    <w:uiPriority w:val="99"/>
    <w:semiHidden/>
    <w:rsid w:val="00F93802"/>
    <w:rPr>
      <w:rFonts w:ascii="Consolas" w:hAnsi="Consolas" w:cs="Consolas"/>
      <w:sz w:val="20"/>
      <w:szCs w:val="20"/>
    </w:rPr>
  </w:style>
  <w:style w:type="character" w:styleId="HTMLDefinition">
    <w:name w:val="HTML Definition"/>
    <w:basedOn w:val="DefaultParagraphFont"/>
    <w:uiPriority w:val="99"/>
    <w:semiHidden/>
    <w:rsid w:val="00F93802"/>
    <w:rPr>
      <w:i/>
      <w:iCs/>
    </w:rPr>
  </w:style>
  <w:style w:type="character" w:styleId="HTMLKeyboard">
    <w:name w:val="HTML Keyboard"/>
    <w:basedOn w:val="DefaultParagraphFont"/>
    <w:uiPriority w:val="99"/>
    <w:semiHidden/>
    <w:rsid w:val="00F93802"/>
    <w:rPr>
      <w:rFonts w:ascii="Consolas" w:hAnsi="Consolas" w:cs="Consolas"/>
      <w:sz w:val="20"/>
      <w:szCs w:val="20"/>
    </w:rPr>
  </w:style>
  <w:style w:type="paragraph" w:styleId="HTMLPreformatted">
    <w:name w:val="HTML Preformatted"/>
    <w:basedOn w:val="Normal"/>
    <w:link w:val="HTMLPreformattedChar"/>
    <w:uiPriority w:val="99"/>
    <w:semiHidden/>
    <w:rsid w:val="00F9380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93802"/>
    <w:rPr>
      <w:rFonts w:ascii="Consolas" w:hAnsi="Consolas" w:eastAsiaTheme="minorEastAsia" w:cs="Consolas"/>
      <w:sz w:val="20"/>
      <w:szCs w:val="20"/>
      <w:lang w:val="fr-FR"/>
    </w:rPr>
  </w:style>
  <w:style w:type="character" w:styleId="HTMLSample">
    <w:name w:val="HTML Sample"/>
    <w:basedOn w:val="DefaultParagraphFont"/>
    <w:uiPriority w:val="99"/>
    <w:semiHidden/>
    <w:rsid w:val="00F93802"/>
    <w:rPr>
      <w:rFonts w:ascii="Consolas" w:hAnsi="Consolas" w:cs="Consolas"/>
      <w:sz w:val="24"/>
      <w:szCs w:val="24"/>
    </w:rPr>
  </w:style>
  <w:style w:type="character" w:styleId="HTMLTypewriter">
    <w:name w:val="HTML Typewriter"/>
    <w:basedOn w:val="DefaultParagraphFont"/>
    <w:uiPriority w:val="99"/>
    <w:semiHidden/>
    <w:rsid w:val="00F93802"/>
    <w:rPr>
      <w:rFonts w:ascii="Consolas" w:hAnsi="Consolas" w:cs="Consolas"/>
      <w:sz w:val="20"/>
      <w:szCs w:val="20"/>
    </w:rPr>
  </w:style>
  <w:style w:type="character" w:styleId="HTMLVariable">
    <w:name w:val="HTML Variable"/>
    <w:basedOn w:val="DefaultParagraphFont"/>
    <w:uiPriority w:val="99"/>
    <w:semiHidden/>
    <w:rsid w:val="00F93802"/>
    <w:rPr>
      <w:i/>
      <w:iCs/>
    </w:rPr>
  </w:style>
  <w:style w:type="paragraph" w:styleId="Index1">
    <w:name w:val="index 1"/>
    <w:basedOn w:val="Normal"/>
    <w:next w:val="Normal"/>
    <w:autoRedefine/>
    <w:uiPriority w:val="99"/>
    <w:semiHidden/>
    <w:rsid w:val="00F93802"/>
    <w:pPr>
      <w:ind w:left="240" w:hanging="240"/>
    </w:pPr>
  </w:style>
  <w:style w:type="paragraph" w:styleId="Index2">
    <w:name w:val="index 2"/>
    <w:basedOn w:val="Normal"/>
    <w:next w:val="Normal"/>
    <w:autoRedefine/>
    <w:uiPriority w:val="99"/>
    <w:semiHidden/>
    <w:rsid w:val="00F93802"/>
    <w:pPr>
      <w:ind w:left="480" w:hanging="240"/>
    </w:pPr>
  </w:style>
  <w:style w:type="paragraph" w:styleId="Index3">
    <w:name w:val="index 3"/>
    <w:basedOn w:val="Normal"/>
    <w:next w:val="Normal"/>
    <w:autoRedefine/>
    <w:uiPriority w:val="99"/>
    <w:semiHidden/>
    <w:rsid w:val="00F93802"/>
    <w:pPr>
      <w:ind w:left="720" w:hanging="240"/>
    </w:pPr>
  </w:style>
  <w:style w:type="paragraph" w:styleId="Index4">
    <w:name w:val="index 4"/>
    <w:basedOn w:val="Normal"/>
    <w:next w:val="Normal"/>
    <w:autoRedefine/>
    <w:uiPriority w:val="99"/>
    <w:semiHidden/>
    <w:rsid w:val="00F93802"/>
    <w:pPr>
      <w:ind w:left="960" w:hanging="240"/>
    </w:pPr>
  </w:style>
  <w:style w:type="paragraph" w:styleId="Index5">
    <w:name w:val="index 5"/>
    <w:basedOn w:val="Normal"/>
    <w:next w:val="Normal"/>
    <w:autoRedefine/>
    <w:uiPriority w:val="99"/>
    <w:semiHidden/>
    <w:rsid w:val="00F93802"/>
    <w:pPr>
      <w:ind w:left="1200" w:hanging="240"/>
    </w:pPr>
  </w:style>
  <w:style w:type="paragraph" w:styleId="Index6">
    <w:name w:val="index 6"/>
    <w:basedOn w:val="Normal"/>
    <w:next w:val="Normal"/>
    <w:autoRedefine/>
    <w:uiPriority w:val="99"/>
    <w:semiHidden/>
    <w:rsid w:val="00F93802"/>
    <w:pPr>
      <w:ind w:left="1440" w:hanging="240"/>
    </w:pPr>
  </w:style>
  <w:style w:type="paragraph" w:styleId="Index7">
    <w:name w:val="index 7"/>
    <w:basedOn w:val="Normal"/>
    <w:next w:val="Normal"/>
    <w:autoRedefine/>
    <w:uiPriority w:val="99"/>
    <w:semiHidden/>
    <w:rsid w:val="00F93802"/>
    <w:pPr>
      <w:ind w:left="1680" w:hanging="240"/>
    </w:pPr>
  </w:style>
  <w:style w:type="paragraph" w:styleId="Index8">
    <w:name w:val="index 8"/>
    <w:basedOn w:val="Normal"/>
    <w:next w:val="Normal"/>
    <w:autoRedefine/>
    <w:uiPriority w:val="99"/>
    <w:semiHidden/>
    <w:rsid w:val="00F93802"/>
    <w:pPr>
      <w:ind w:left="1920" w:hanging="240"/>
    </w:pPr>
  </w:style>
  <w:style w:type="paragraph" w:styleId="Index9">
    <w:name w:val="index 9"/>
    <w:basedOn w:val="Normal"/>
    <w:next w:val="Normal"/>
    <w:autoRedefine/>
    <w:uiPriority w:val="99"/>
    <w:semiHidden/>
    <w:rsid w:val="00F93802"/>
    <w:pPr>
      <w:ind w:left="2160" w:hanging="240"/>
    </w:pPr>
  </w:style>
  <w:style w:type="paragraph" w:styleId="IndexHeading">
    <w:name w:val="index heading"/>
    <w:basedOn w:val="Normal"/>
    <w:next w:val="Index1"/>
    <w:uiPriority w:val="99"/>
    <w:semiHidden/>
    <w:rsid w:val="00F93802"/>
    <w:rPr>
      <w:rFonts w:asciiTheme="majorHAnsi" w:eastAsiaTheme="majorEastAsia" w:hAnsiTheme="majorHAnsi" w:cstheme="majorBidi"/>
      <w:b/>
      <w:bCs/>
    </w:rPr>
  </w:style>
  <w:style w:type="table" w:styleId="LightGrid">
    <w:name w:val="Light Grid"/>
    <w:basedOn w:val="TableNormal"/>
    <w:uiPriority w:val="62"/>
    <w:semiHidden/>
    <w:rsid w:val="00F9380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9380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9380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9380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9380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9380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9380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9380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9380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9380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9380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9380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9380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9380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9380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9380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9380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9380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9380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9380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9380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F93802"/>
  </w:style>
  <w:style w:type="paragraph" w:styleId="List0">
    <w:name w:val="List"/>
    <w:basedOn w:val="Normal"/>
    <w:uiPriority w:val="99"/>
    <w:semiHidden/>
    <w:rsid w:val="00F93802"/>
    <w:pPr>
      <w:ind w:left="283" w:hanging="283"/>
      <w:contextualSpacing/>
    </w:pPr>
  </w:style>
  <w:style w:type="paragraph" w:styleId="List20">
    <w:name w:val="List 2"/>
    <w:basedOn w:val="Normal"/>
    <w:uiPriority w:val="99"/>
    <w:semiHidden/>
    <w:rsid w:val="00F93802"/>
    <w:pPr>
      <w:ind w:left="566" w:hanging="283"/>
      <w:contextualSpacing/>
    </w:pPr>
  </w:style>
  <w:style w:type="paragraph" w:styleId="List30">
    <w:name w:val="List 3"/>
    <w:basedOn w:val="Normal"/>
    <w:uiPriority w:val="99"/>
    <w:semiHidden/>
    <w:rsid w:val="00F93802"/>
    <w:pPr>
      <w:ind w:left="849" w:hanging="283"/>
      <w:contextualSpacing/>
    </w:pPr>
  </w:style>
  <w:style w:type="paragraph" w:styleId="List4">
    <w:name w:val="List 4"/>
    <w:basedOn w:val="Normal"/>
    <w:uiPriority w:val="99"/>
    <w:semiHidden/>
    <w:rsid w:val="00F93802"/>
    <w:pPr>
      <w:ind w:left="1132" w:hanging="283"/>
      <w:contextualSpacing/>
    </w:pPr>
  </w:style>
  <w:style w:type="paragraph" w:styleId="List5">
    <w:name w:val="List 5"/>
    <w:basedOn w:val="Normal"/>
    <w:uiPriority w:val="99"/>
    <w:semiHidden/>
    <w:rsid w:val="00F93802"/>
    <w:pPr>
      <w:ind w:left="1415" w:hanging="283"/>
      <w:contextualSpacing/>
    </w:pPr>
  </w:style>
  <w:style w:type="paragraph" w:styleId="ListBullet">
    <w:name w:val="List Bullet"/>
    <w:basedOn w:val="Normal"/>
    <w:uiPriority w:val="99"/>
    <w:semiHidden/>
    <w:rsid w:val="00F93802"/>
    <w:pPr>
      <w:numPr>
        <w:numId w:val="9"/>
      </w:numPr>
    </w:pPr>
  </w:style>
  <w:style w:type="paragraph" w:styleId="ListBullet3">
    <w:name w:val="List Bullet 3"/>
    <w:basedOn w:val="Normal"/>
    <w:uiPriority w:val="99"/>
    <w:semiHidden/>
    <w:rsid w:val="00F93802"/>
    <w:pPr>
      <w:numPr>
        <w:numId w:val="11"/>
      </w:numPr>
      <w:contextualSpacing/>
    </w:pPr>
  </w:style>
  <w:style w:type="paragraph" w:styleId="ListBullet4">
    <w:name w:val="List Bullet 4"/>
    <w:basedOn w:val="Normal"/>
    <w:uiPriority w:val="99"/>
    <w:semiHidden/>
    <w:rsid w:val="00F93802"/>
    <w:pPr>
      <w:numPr>
        <w:numId w:val="12"/>
      </w:numPr>
      <w:contextualSpacing/>
    </w:pPr>
  </w:style>
  <w:style w:type="paragraph" w:styleId="ListBullet5">
    <w:name w:val="List Bullet 5"/>
    <w:basedOn w:val="Normal"/>
    <w:uiPriority w:val="99"/>
    <w:semiHidden/>
    <w:rsid w:val="00F93802"/>
    <w:pPr>
      <w:numPr>
        <w:numId w:val="13"/>
      </w:numPr>
      <w:contextualSpacing/>
    </w:pPr>
  </w:style>
  <w:style w:type="paragraph" w:styleId="ListContinue">
    <w:name w:val="List Continue"/>
    <w:basedOn w:val="Normal"/>
    <w:uiPriority w:val="99"/>
    <w:semiHidden/>
    <w:rsid w:val="00F93802"/>
    <w:pPr>
      <w:spacing w:after="120"/>
      <w:ind w:left="283"/>
      <w:contextualSpacing/>
    </w:pPr>
  </w:style>
  <w:style w:type="paragraph" w:styleId="ListContinue2">
    <w:name w:val="List Continue 2"/>
    <w:basedOn w:val="Normal"/>
    <w:uiPriority w:val="99"/>
    <w:semiHidden/>
    <w:rsid w:val="00F93802"/>
    <w:pPr>
      <w:spacing w:after="120"/>
      <w:ind w:left="566"/>
      <w:contextualSpacing/>
    </w:pPr>
  </w:style>
  <w:style w:type="paragraph" w:styleId="ListContinue3">
    <w:name w:val="List Continue 3"/>
    <w:basedOn w:val="Normal"/>
    <w:uiPriority w:val="99"/>
    <w:semiHidden/>
    <w:rsid w:val="00F93802"/>
    <w:pPr>
      <w:spacing w:after="120"/>
      <w:ind w:left="849"/>
      <w:contextualSpacing/>
    </w:pPr>
  </w:style>
  <w:style w:type="paragraph" w:styleId="ListContinue4">
    <w:name w:val="List Continue 4"/>
    <w:basedOn w:val="Normal"/>
    <w:uiPriority w:val="99"/>
    <w:semiHidden/>
    <w:rsid w:val="00F93802"/>
    <w:pPr>
      <w:spacing w:after="120"/>
      <w:ind w:left="1132"/>
      <w:contextualSpacing/>
    </w:pPr>
  </w:style>
  <w:style w:type="paragraph" w:styleId="ListContinue5">
    <w:name w:val="List Continue 5"/>
    <w:basedOn w:val="Normal"/>
    <w:uiPriority w:val="99"/>
    <w:semiHidden/>
    <w:rsid w:val="00F93802"/>
    <w:pPr>
      <w:spacing w:after="120"/>
      <w:ind w:left="1415"/>
      <w:contextualSpacing/>
    </w:pPr>
  </w:style>
  <w:style w:type="paragraph" w:styleId="ListNumber">
    <w:name w:val="List Number"/>
    <w:basedOn w:val="Normal"/>
    <w:uiPriority w:val="99"/>
    <w:semiHidden/>
    <w:rsid w:val="00F93802"/>
    <w:pPr>
      <w:numPr>
        <w:numId w:val="14"/>
      </w:numPr>
      <w:contextualSpacing/>
    </w:pPr>
  </w:style>
  <w:style w:type="paragraph" w:styleId="ListNumber2">
    <w:name w:val="List Number 2"/>
    <w:basedOn w:val="Normal"/>
    <w:uiPriority w:val="99"/>
    <w:semiHidden/>
    <w:rsid w:val="00F93802"/>
    <w:pPr>
      <w:numPr>
        <w:numId w:val="15"/>
      </w:numPr>
      <w:contextualSpacing/>
    </w:pPr>
  </w:style>
  <w:style w:type="paragraph" w:styleId="ListNumber3">
    <w:name w:val="List Number 3"/>
    <w:basedOn w:val="Normal"/>
    <w:uiPriority w:val="99"/>
    <w:semiHidden/>
    <w:rsid w:val="00F93802"/>
    <w:pPr>
      <w:numPr>
        <w:numId w:val="16"/>
      </w:numPr>
      <w:contextualSpacing/>
    </w:pPr>
  </w:style>
  <w:style w:type="paragraph" w:styleId="ListNumber4">
    <w:name w:val="List Number 4"/>
    <w:basedOn w:val="Normal"/>
    <w:uiPriority w:val="99"/>
    <w:semiHidden/>
    <w:rsid w:val="00F93802"/>
    <w:pPr>
      <w:numPr>
        <w:numId w:val="17"/>
      </w:numPr>
      <w:contextualSpacing/>
    </w:pPr>
  </w:style>
  <w:style w:type="paragraph" w:styleId="ListNumber5">
    <w:name w:val="List Number 5"/>
    <w:basedOn w:val="Normal"/>
    <w:uiPriority w:val="99"/>
    <w:semiHidden/>
    <w:rsid w:val="00F93802"/>
    <w:pPr>
      <w:numPr>
        <w:numId w:val="18"/>
      </w:numPr>
      <w:contextualSpacing/>
    </w:pPr>
  </w:style>
  <w:style w:type="paragraph" w:styleId="Macro">
    <w:name w:val="macro"/>
    <w:link w:val="MacroTextChar"/>
    <w:uiPriority w:val="99"/>
    <w:semiHidden/>
    <w:rsid w:val="00F9380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F93802"/>
    <w:rPr>
      <w:rFonts w:ascii="Consolas" w:hAnsi="Consolas" w:eastAsiaTheme="minorEastAsia" w:cs="Consolas"/>
      <w:sz w:val="20"/>
      <w:szCs w:val="20"/>
    </w:rPr>
  </w:style>
  <w:style w:type="table" w:styleId="MediumGrid1">
    <w:name w:val="Medium Grid 1"/>
    <w:basedOn w:val="TableNormal"/>
    <w:uiPriority w:val="67"/>
    <w:semiHidden/>
    <w:rsid w:val="00F938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9380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9380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9380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9380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9380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9380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9380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9380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9380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9380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9380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9380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9380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9380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9380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938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9380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9380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9380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9380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9380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9380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938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F9380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F9380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F93802"/>
    <w:rPr>
      <w:rFonts w:ascii="Times New Roman" w:hAnsi="Times New Roman" w:cs="Times New Roman"/>
      <w:szCs w:val="24"/>
    </w:rPr>
  </w:style>
  <w:style w:type="paragraph" w:styleId="NormalIndent">
    <w:name w:val="Normal Indent"/>
    <w:basedOn w:val="Normal"/>
    <w:uiPriority w:val="99"/>
    <w:semiHidden/>
    <w:rsid w:val="00F93802"/>
    <w:pPr>
      <w:ind w:left="720"/>
    </w:pPr>
  </w:style>
  <w:style w:type="paragraph" w:styleId="NoteHeading">
    <w:name w:val="Note Heading"/>
    <w:basedOn w:val="Normal"/>
    <w:next w:val="Normal"/>
    <w:link w:val="NoteHeadingChar"/>
    <w:uiPriority w:val="99"/>
    <w:semiHidden/>
    <w:rsid w:val="00F93802"/>
  </w:style>
  <w:style w:type="character" w:customStyle="1" w:styleId="NoteHeadingChar">
    <w:name w:val="Note Heading Char"/>
    <w:basedOn w:val="DefaultParagraphFont"/>
    <w:link w:val="NoteHeading"/>
    <w:uiPriority w:val="99"/>
    <w:semiHidden/>
    <w:rsid w:val="00F93802"/>
    <w:rPr>
      <w:rFonts w:eastAsiaTheme="minorEastAsia"/>
      <w:sz w:val="24"/>
      <w:lang w:val="fr-FR"/>
    </w:rPr>
  </w:style>
  <w:style w:type="character" w:styleId="PlaceholderText">
    <w:name w:val="Placeholder Text"/>
    <w:basedOn w:val="DefaultParagraphFont"/>
    <w:uiPriority w:val="99"/>
    <w:semiHidden/>
    <w:rsid w:val="00F9380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F93802"/>
    <w:rPr>
      <w:rFonts w:ascii="Consolas" w:hAnsi="Consolas" w:cs="Consolas"/>
      <w:sz w:val="21"/>
      <w:szCs w:val="21"/>
    </w:rPr>
  </w:style>
  <w:style w:type="character" w:customStyle="1" w:styleId="PlainTextChar">
    <w:name w:val="Plain Text Char"/>
    <w:basedOn w:val="DefaultParagraphFont"/>
    <w:link w:val="PlainText"/>
    <w:uiPriority w:val="99"/>
    <w:semiHidden/>
    <w:rsid w:val="00F93802"/>
    <w:rPr>
      <w:rFonts w:ascii="Consolas" w:hAnsi="Consolas" w:eastAsiaTheme="minorEastAsia" w:cs="Consolas"/>
      <w:sz w:val="21"/>
      <w:szCs w:val="21"/>
      <w:lang w:val="fr-FR"/>
    </w:rPr>
  </w:style>
  <w:style w:type="paragraph" w:styleId="Salutation">
    <w:name w:val="Salutation"/>
    <w:basedOn w:val="Normal"/>
    <w:next w:val="Normal"/>
    <w:link w:val="SalutationChar"/>
    <w:uiPriority w:val="99"/>
    <w:semiHidden/>
    <w:rsid w:val="00F93802"/>
  </w:style>
  <w:style w:type="character" w:customStyle="1" w:styleId="SalutationChar">
    <w:name w:val="Salutation Char"/>
    <w:basedOn w:val="DefaultParagraphFont"/>
    <w:link w:val="Salutation"/>
    <w:uiPriority w:val="99"/>
    <w:semiHidden/>
    <w:rsid w:val="00F93802"/>
    <w:rPr>
      <w:rFonts w:eastAsiaTheme="minorEastAsia"/>
      <w:sz w:val="24"/>
      <w:lang w:val="fr-FR"/>
    </w:rPr>
  </w:style>
  <w:style w:type="paragraph" w:styleId="Signature0">
    <w:name w:val="Signature"/>
    <w:basedOn w:val="Normal"/>
    <w:link w:val="SignatureChar"/>
    <w:uiPriority w:val="99"/>
    <w:semiHidden/>
    <w:rsid w:val="00F93802"/>
    <w:pPr>
      <w:ind w:left="4252"/>
    </w:pPr>
  </w:style>
  <w:style w:type="character" w:customStyle="1" w:styleId="SignatureChar">
    <w:name w:val="Signature Char"/>
    <w:basedOn w:val="DefaultParagraphFont"/>
    <w:link w:val="Signature0"/>
    <w:uiPriority w:val="99"/>
    <w:semiHidden/>
    <w:rsid w:val="00F93802"/>
    <w:rPr>
      <w:rFonts w:eastAsiaTheme="minorEastAsia"/>
      <w:sz w:val="24"/>
      <w:lang w:val="fr-FR"/>
    </w:rPr>
  </w:style>
  <w:style w:type="table" w:styleId="Table3Deffects1">
    <w:name w:val="Table 3D effects 1"/>
    <w:basedOn w:val="TableNormal"/>
    <w:uiPriority w:val="99"/>
    <w:semiHidden/>
    <w:unhideWhenUsed/>
    <w:rsid w:val="00F9380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380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380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380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380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380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380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380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380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380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380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380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380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380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380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380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380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380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380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380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380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380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380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380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380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380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380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380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F93802"/>
    <w:pPr>
      <w:ind w:left="240" w:hanging="240"/>
    </w:pPr>
  </w:style>
  <w:style w:type="paragraph" w:styleId="TableofFigures">
    <w:name w:val="table of figures"/>
    <w:basedOn w:val="Normal"/>
    <w:next w:val="Normal"/>
    <w:uiPriority w:val="99"/>
    <w:semiHidden/>
    <w:rsid w:val="00F93802"/>
  </w:style>
  <w:style w:type="table" w:styleId="TableProfessional">
    <w:name w:val="Table Professional"/>
    <w:basedOn w:val="TableNormal"/>
    <w:uiPriority w:val="99"/>
    <w:semiHidden/>
    <w:unhideWhenUsed/>
    <w:rsid w:val="00F938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380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380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380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380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380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38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9380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380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380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9380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9380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F93802"/>
    <w:pPr>
      <w:spacing w:after="100"/>
      <w:ind w:left="1680"/>
    </w:pPr>
  </w:style>
  <w:style w:type="paragraph" w:styleId="TOC9">
    <w:name w:val="toc 9"/>
    <w:basedOn w:val="Normal"/>
    <w:next w:val="Normal"/>
    <w:autoRedefine/>
    <w:uiPriority w:val="99"/>
    <w:semiHidden/>
    <w:rsid w:val="00F93802"/>
    <w:pPr>
      <w:spacing w:after="100"/>
      <w:ind w:left="1920"/>
    </w:pPr>
  </w:style>
  <w:style w:type="paragraph" w:customStyle="1" w:styleId="ECHRFooter">
    <w:name w:val="ECHR_Footer"/>
    <w:aliases w:val="Footer_ECHR"/>
    <w:basedOn w:val="Footer1"/>
    <w:uiPriority w:val="57"/>
    <w:semiHidden/>
    <w:rsid w:val="00D20A92"/>
    <w:rPr>
      <w:sz w:val="8"/>
    </w:rPr>
  </w:style>
  <w:style w:type="paragraph" w:customStyle="1" w:styleId="FooterLine">
    <w:name w:val="_Footer_Line"/>
    <w:aliases w:val="Footer_Line"/>
    <w:basedOn w:val="Normal"/>
    <w:next w:val="Footer"/>
    <w:uiPriority w:val="57"/>
    <w:semiHidden/>
    <w:rsid w:val="00F93802"/>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F93802"/>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F93802"/>
    <w:pPr>
      <w:tabs>
        <w:tab w:val="clear" w:pos="3686"/>
        <w:tab w:val="center" w:pos="6146"/>
        <w:tab w:val="clear" w:pos="7371"/>
        <w:tab w:val="right" w:pos="12293"/>
      </w:tabs>
    </w:pPr>
  </w:style>
  <w:style w:type="paragraph" w:customStyle="1" w:styleId="ECHRParaSpaced">
    <w:name w:val="ECHR_Para_Spaced"/>
    <w:aliases w:val="Para_Spaced"/>
    <w:basedOn w:val="Normal"/>
    <w:uiPriority w:val="4"/>
    <w:qFormat/>
    <w:rsid w:val="000031BA"/>
    <w:pPr>
      <w:spacing w:before="120" w:after="120"/>
      <w:jc w:val="both"/>
    </w:pPr>
    <w:rPr>
      <w:lang w:val="en-GB"/>
    </w:rPr>
  </w:style>
  <w:style w:type="character" w:customStyle="1" w:styleId="JuParaChar">
    <w:name w:val="Ju_Para Char"/>
    <w:aliases w:val="_Para Char"/>
    <w:link w:val="JuPara"/>
    <w:uiPriority w:val="12"/>
    <w:rsid w:val="009C3B37"/>
    <w:rPr>
      <w:rFonts w:eastAsiaTheme="minorEastAsia"/>
      <w:sz w:val="24"/>
      <w:lang w:val="fr-FR"/>
    </w:rPr>
  </w:style>
  <w:style w:type="paragraph" w:customStyle="1" w:styleId="jupara0">
    <w:name w:val="jupara"/>
    <w:basedOn w:val="Normal"/>
    <w:rsid w:val="004522EF"/>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4522EF"/>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hudoc.echr.coe.int/eng" TargetMode="Externa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6BC5B-49DE-40C5-8B0A-0B9DA1C12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2331</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1</cp:revision>
  <dcterms:created xsi:type="dcterms:W3CDTF">2019-10-24T10:25:00Z</dcterms:created>
  <dcterms:modified xsi:type="dcterms:W3CDTF">2023-09-05T14:42:00Z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392330</vt:lpwstr>
  </property>
  <property fmtid="{D5CDD505-2E9C-101B-9397-08002B2CF9AE}" pid="3" name="cstLanguage">
    <vt:i4>1036</vt:i4>
  </property>
  <property fmtid="{D5CDD505-2E9C-101B-9397-08002B2CF9AE}" pid="4" name="RegisteredNo">
    <vt:lpwstr>16150/06</vt:lpwstr>
  </property>
</Properties>
</file>