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8C" w:rsidP="00C069BA" w:rsidRDefault="00F2568C">
      <w:pPr>
        <w:jc w:val="center"/>
        <w:rPr>
          <w:rFonts w:ascii="Times New Roman" w:hAnsi="Times New Roman" w:cs="Times New Roman"/>
        </w:rPr>
      </w:pPr>
    </w:p>
    <w:p w:rsidR="00C069BA" w:rsidP="00C069BA" w:rsidRDefault="00C069BA">
      <w:pPr>
        <w:jc w:val="center"/>
        <w:rPr>
          <w:rFonts w:ascii="Times New Roman" w:hAnsi="Times New Roman" w:cs="Times New Roman"/>
        </w:rPr>
      </w:pPr>
    </w:p>
    <w:p w:rsidR="00081867" w:rsidP="00C069BA" w:rsidRDefault="00081867">
      <w:pPr>
        <w:jc w:val="center"/>
        <w:rPr>
          <w:rFonts w:ascii="Times New Roman" w:hAnsi="Times New Roman" w:cs="Times New Roman"/>
        </w:rPr>
      </w:pPr>
    </w:p>
    <w:p w:rsidR="002D2C99" w:rsidP="00F45CEE" w:rsidRDefault="00F2568C">
      <w:pPr>
        <w:pStyle w:val="DecHCase"/>
      </w:pPr>
      <w:r>
        <w:t>DEUXIÈME SECTION</w:t>
      </w:r>
    </w:p>
    <w:p w:rsidRPr="00775885" w:rsidR="002D2C99" w:rsidP="00701C36" w:rsidRDefault="002D2C99">
      <w:pPr>
        <w:pStyle w:val="JuTitle"/>
      </w:pPr>
      <w:r w:rsidRPr="00775885">
        <w:t xml:space="preserve">AFFAIRE </w:t>
      </w:r>
      <w:r w:rsidRPr="007D167C" w:rsidR="007D167C">
        <w:t>HAT</w:t>
      </w:r>
      <w:r w:rsidR="00597CA3">
        <w:t>İ</w:t>
      </w:r>
      <w:r w:rsidRPr="007D167C" w:rsidR="007D167C">
        <w:t>CE</w:t>
      </w:r>
      <w:r w:rsidR="007D167C">
        <w:t xml:space="preserve"> </w:t>
      </w:r>
      <w:r w:rsidR="00F2568C">
        <w:t>ÇOBAN c. TURQUIE</w:t>
      </w:r>
    </w:p>
    <w:p w:rsidRPr="00F45CEE" w:rsidR="002D2C99" w:rsidP="00F45CEE" w:rsidRDefault="002D2C99">
      <w:pPr>
        <w:pStyle w:val="Title4"/>
      </w:pPr>
      <w:r w:rsidRPr="00F45CEE">
        <w:t>(</w:t>
      </w:r>
      <w:r w:rsidRPr="00F45CEE" w:rsidR="00F2568C">
        <w:t>Requête n</w:t>
      </w:r>
      <w:r w:rsidRPr="00F45CEE" w:rsidR="00F2568C">
        <w:rPr>
          <w:vertAlign w:val="superscript"/>
        </w:rPr>
        <w:t>o</w:t>
      </w:r>
      <w:r w:rsidRPr="00F45CEE" w:rsidR="00956E5B">
        <w:t xml:space="preserve"> </w:t>
      </w:r>
      <w:r w:rsidRPr="00F45CEE" w:rsidR="00F2568C">
        <w:t>36226/11</w:t>
      </w:r>
      <w:r w:rsidRPr="00F45CEE">
        <w:t>)</w:t>
      </w:r>
    </w:p>
    <w:p w:rsidRPr="00775885" w:rsidR="002D2C99" w:rsidP="00032D1B" w:rsidRDefault="002D2C99">
      <w:pPr>
        <w:pStyle w:val="DecHCase"/>
      </w:pPr>
    </w:p>
    <w:p w:rsidRPr="00775885" w:rsidR="002D2C99" w:rsidP="00032D1B" w:rsidRDefault="002D2C99">
      <w:pPr>
        <w:pStyle w:val="DecHCase"/>
      </w:pPr>
    </w:p>
    <w:p w:rsidRPr="00775885" w:rsidR="002D2C99" w:rsidP="00032D1B" w:rsidRDefault="002D2C99">
      <w:pPr>
        <w:pStyle w:val="DecHCase"/>
      </w:pPr>
    </w:p>
    <w:p w:rsidR="002D2C99" w:rsidP="00032D1B" w:rsidRDefault="002D2C99">
      <w:pPr>
        <w:pStyle w:val="DecHCase"/>
      </w:pPr>
      <w:r w:rsidRPr="00775885">
        <w:t>ARRÊT</w:t>
      </w:r>
      <w:r w:rsidRPr="00775885" w:rsidR="00032D1B">
        <w:br/>
      </w:r>
    </w:p>
    <w:p w:rsidR="00C069BA" w:rsidP="00C069BA" w:rsidRDefault="00C069BA">
      <w:pPr>
        <w:pStyle w:val="JuPara"/>
        <w:pBdr>
          <w:top w:val="single" w:color="auto" w:sz="4" w:space="1"/>
          <w:left w:val="single" w:color="auto" w:sz="4" w:space="4"/>
          <w:bottom w:val="single" w:color="auto" w:sz="4" w:space="1"/>
          <w:right w:val="single" w:color="auto" w:sz="4" w:space="4"/>
        </w:pBdr>
        <w:ind w:firstLine="0"/>
      </w:pPr>
      <w:r w:rsidRPr="00C069BA">
        <w:t>Art 10 • Liberté d'expression • Condamnation pénale du chef de propagande en faveur d’une organisation terroriste en raison du contenu d’un discours lors d’une manifestation • Nécessité de l’ingérence • Questions d'intérêt général • Exactitude et fiabilité du procès</w:t>
      </w:r>
      <w:r w:rsidR="00155585">
        <w:t>-</w:t>
      </w:r>
      <w:bookmarkStart w:name="_GoBack" w:id="0"/>
      <w:bookmarkEnd w:id="0"/>
      <w:r w:rsidRPr="00C069BA">
        <w:t>verbal, unique preuve à charge, non remise en question</w:t>
      </w:r>
    </w:p>
    <w:p w:rsidRPr="00C069BA" w:rsidR="00C069BA" w:rsidP="00C069BA" w:rsidRDefault="00C069BA">
      <w:pPr>
        <w:pStyle w:val="JuPara"/>
      </w:pPr>
    </w:p>
    <w:p w:rsidRPr="00775885" w:rsidR="002D2C99" w:rsidP="00032D1B" w:rsidRDefault="002D2C99">
      <w:pPr>
        <w:pStyle w:val="DecHCase"/>
      </w:pPr>
      <w:r w:rsidRPr="00775885">
        <w:t>STRASBOURG</w:t>
      </w:r>
    </w:p>
    <w:p w:rsidR="00032D1B" w:rsidP="00032D1B" w:rsidRDefault="00F2568C">
      <w:pPr>
        <w:pStyle w:val="DecHCase"/>
      </w:pPr>
      <w:r>
        <w:t>29 octobre 2019</w:t>
      </w:r>
    </w:p>
    <w:p w:rsidRPr="00802F45" w:rsidR="00802F45" w:rsidP="00802F45" w:rsidRDefault="00802F45">
      <w:pPr>
        <w:pStyle w:val="JuPara"/>
      </w:pPr>
    </w:p>
    <w:p w:rsidR="00802F45" w:rsidP="00802F45" w:rsidRDefault="00802F45">
      <w:pPr>
        <w:pStyle w:val="jucase0"/>
        <w:ind w:firstLine="0"/>
        <w:jc w:val="center"/>
        <w:rPr>
          <w:color w:val="FF0000"/>
          <w:sz w:val="28"/>
          <w:szCs w:val="28"/>
          <w:u w:val="single"/>
          <w:lang w:val="fr-FR"/>
        </w:rPr>
      </w:pPr>
      <w:r>
        <w:rPr>
          <w:color w:val="FF0000"/>
          <w:sz w:val="28"/>
          <w:szCs w:val="28"/>
          <w:u w:val="single"/>
          <w:lang w:val="fr-FR"/>
        </w:rPr>
        <w:t>DÉFINITIF</w:t>
      </w:r>
    </w:p>
    <w:p w:rsidR="00802F45" w:rsidP="00802F45" w:rsidRDefault="00802F45">
      <w:pPr>
        <w:pStyle w:val="jupara0"/>
        <w:tabs>
          <w:tab w:val="left" w:pos="3450"/>
        </w:tabs>
        <w:ind w:firstLine="0"/>
        <w:jc w:val="center"/>
        <w:rPr>
          <w:color w:val="FF0000"/>
          <w:sz w:val="28"/>
          <w:szCs w:val="28"/>
          <w:lang w:val="fr-FR"/>
        </w:rPr>
      </w:pPr>
    </w:p>
    <w:p w:rsidR="00802F45" w:rsidP="00802F45" w:rsidRDefault="00802F45">
      <w:pPr>
        <w:pStyle w:val="jupara0"/>
        <w:ind w:firstLine="0"/>
        <w:jc w:val="center"/>
        <w:rPr>
          <w:color w:val="FF0000"/>
          <w:sz w:val="28"/>
          <w:szCs w:val="28"/>
          <w:lang w:val="fr-FR"/>
        </w:rPr>
      </w:pPr>
      <w:r>
        <w:rPr>
          <w:color w:val="FF0000"/>
          <w:sz w:val="28"/>
          <w:szCs w:val="28"/>
          <w:lang w:val="fr-FR"/>
        </w:rPr>
        <w:t>24/02/2020</w:t>
      </w:r>
    </w:p>
    <w:p w:rsidR="00802F45" w:rsidP="00802F45" w:rsidRDefault="00802F45">
      <w:pPr>
        <w:pStyle w:val="jupara0"/>
        <w:ind w:firstLine="0"/>
        <w:jc w:val="center"/>
        <w:rPr>
          <w:u w:val="single"/>
          <w:lang w:val="fr-FR"/>
        </w:rPr>
      </w:pPr>
    </w:p>
    <w:p w:rsidRPr="00775885" w:rsidR="002D2C99" w:rsidP="00802F45" w:rsidRDefault="00802F45">
      <w:pPr>
        <w:jc w:val="center"/>
        <w:rPr>
          <w:i/>
          <w:sz w:val="22"/>
        </w:rPr>
      </w:pPr>
      <w:r>
        <w:rPr>
          <w:i/>
          <w:iCs/>
          <w:sz w:val="22"/>
        </w:rPr>
        <w:t>Cet arrêt est devenu définitif en vertu de l’article 44 § 2 de la Convention. Il peut subir des retouches de forme.</w:t>
      </w:r>
    </w:p>
    <w:p w:rsidRPr="00775885" w:rsidR="002D2C99" w:rsidP="002D2C99" w:rsidRDefault="002D2C99">
      <w:pPr>
        <w:sectPr w:rsidRPr="00775885" w:rsidR="002D2C99"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775885" w:rsidR="002D2C99" w:rsidP="002D2C99" w:rsidRDefault="002D2C99">
      <w:pPr>
        <w:pStyle w:val="JuCase"/>
      </w:pPr>
      <w:r w:rsidRPr="00775885">
        <w:t>En l</w:t>
      </w:r>
      <w:r w:rsidR="00F2568C">
        <w:t>’</w:t>
      </w:r>
      <w:r w:rsidRPr="00775885">
        <w:t xml:space="preserve">affaire </w:t>
      </w:r>
      <w:proofErr w:type="spellStart"/>
      <w:r w:rsidRPr="00597CA3" w:rsidR="00597CA3">
        <w:t>Hatice</w:t>
      </w:r>
      <w:proofErr w:type="spellEnd"/>
      <w:r w:rsidR="00597CA3">
        <w:t xml:space="preserve"> </w:t>
      </w:r>
      <w:proofErr w:type="spellStart"/>
      <w:r w:rsidR="00F2568C">
        <w:t>Çoban</w:t>
      </w:r>
      <w:proofErr w:type="spellEnd"/>
      <w:r w:rsidR="00F2568C">
        <w:t xml:space="preserve"> c. Turquie</w:t>
      </w:r>
      <w:r w:rsidRPr="00775885">
        <w:t>,</w:t>
      </w:r>
    </w:p>
    <w:p w:rsidRPr="00775885" w:rsidR="00777C71" w:rsidP="00777C71" w:rsidRDefault="00777C71">
      <w:pPr>
        <w:pStyle w:val="JuPara"/>
      </w:pPr>
      <w:r w:rsidRPr="00775885">
        <w:t>La Cour européenne des droits de l</w:t>
      </w:r>
      <w:r w:rsidR="00F2568C">
        <w:t>’</w:t>
      </w:r>
      <w:r w:rsidRPr="00775885">
        <w:t>homme (</w:t>
      </w:r>
      <w:r w:rsidR="00F2568C">
        <w:t>deuxième section</w:t>
      </w:r>
      <w:r w:rsidRPr="00775885">
        <w:t xml:space="preserve">), siégeant en </w:t>
      </w:r>
      <w:r w:rsidRPr="00F2568C" w:rsidR="00F2568C">
        <w:rPr>
          <w:color w:val="000000"/>
        </w:rPr>
        <w:t>une</w:t>
      </w:r>
      <w:r w:rsidRPr="00775885" w:rsidR="00F2568C">
        <w:t xml:space="preserve"> </w:t>
      </w:r>
      <w:r w:rsidR="00F2568C">
        <w:t>Chambre</w:t>
      </w:r>
      <w:r w:rsidRPr="00775885" w:rsidR="00F2568C">
        <w:t xml:space="preserve"> </w:t>
      </w:r>
      <w:r w:rsidRPr="00F2568C" w:rsidR="00F2568C">
        <w:t>composée</w:t>
      </w:r>
      <w:r w:rsidRPr="00775885">
        <w:t xml:space="preserve"> de :</w:t>
      </w:r>
    </w:p>
    <w:p w:rsidRPr="00775885" w:rsidR="00777C71" w:rsidP="00BD3ED7" w:rsidRDefault="00BD3ED7">
      <w:pPr>
        <w:pStyle w:val="JuJudges"/>
      </w:pPr>
      <w:r w:rsidRPr="00BD3ED7">
        <w:tab/>
        <w:t>Robert</w:t>
      </w:r>
      <w:r>
        <w:t xml:space="preserve"> </w:t>
      </w:r>
      <w:r w:rsidRPr="00BD3ED7">
        <w:t>Spano</w:t>
      </w:r>
      <w:r>
        <w:t>,</w:t>
      </w:r>
      <w:r w:rsidRPr="00BD3ED7">
        <w:rPr>
          <w:i/>
        </w:rPr>
        <w:t xml:space="preserve"> président,</w:t>
      </w:r>
      <w:r>
        <w:rPr>
          <w:i/>
        </w:rPr>
        <w:br/>
      </w:r>
      <w:r w:rsidRPr="00BD3ED7">
        <w:tab/>
        <w:t>Julia</w:t>
      </w:r>
      <w:r>
        <w:t xml:space="preserve"> </w:t>
      </w:r>
      <w:proofErr w:type="spellStart"/>
      <w:r w:rsidRPr="00BD3ED7">
        <w:t>Laffranque</w:t>
      </w:r>
      <w:proofErr w:type="spellEnd"/>
      <w:r>
        <w:t>,</w:t>
      </w:r>
      <w:r>
        <w:rPr>
          <w:i/>
        </w:rPr>
        <w:br/>
      </w:r>
      <w:r w:rsidRPr="00BD3ED7">
        <w:tab/>
      </w:r>
      <w:proofErr w:type="spellStart"/>
      <w:r w:rsidRPr="00BD3ED7">
        <w:t>Valeriu</w:t>
      </w:r>
      <w:proofErr w:type="spellEnd"/>
      <w:r>
        <w:t xml:space="preserve"> </w:t>
      </w:r>
      <w:proofErr w:type="spellStart"/>
      <w:r w:rsidRPr="00BD3ED7">
        <w:t>Griţco</w:t>
      </w:r>
      <w:proofErr w:type="spellEnd"/>
      <w:r>
        <w:t>,</w:t>
      </w:r>
      <w:r>
        <w:rPr>
          <w:i/>
        </w:rPr>
        <w:br/>
      </w:r>
      <w:r w:rsidRPr="00BD3ED7">
        <w:tab/>
      </w:r>
      <w:proofErr w:type="spellStart"/>
      <w:r w:rsidRPr="00BD3ED7">
        <w:t>Egidijus</w:t>
      </w:r>
      <w:proofErr w:type="spellEnd"/>
      <w:r>
        <w:t xml:space="preserve"> </w:t>
      </w:r>
      <w:proofErr w:type="spellStart"/>
      <w:r w:rsidRPr="00BD3ED7">
        <w:t>Kūris</w:t>
      </w:r>
      <w:proofErr w:type="spellEnd"/>
      <w:r>
        <w:t>,</w:t>
      </w:r>
      <w:r>
        <w:rPr>
          <w:i/>
        </w:rPr>
        <w:br/>
      </w:r>
      <w:r w:rsidRPr="00BD3ED7">
        <w:tab/>
        <w:t>Ivana</w:t>
      </w:r>
      <w:r>
        <w:t xml:space="preserve"> </w:t>
      </w:r>
      <w:proofErr w:type="spellStart"/>
      <w:r w:rsidRPr="00BD3ED7">
        <w:t>Jelić</w:t>
      </w:r>
      <w:proofErr w:type="spellEnd"/>
      <w:r>
        <w:t>,</w:t>
      </w:r>
      <w:r>
        <w:rPr>
          <w:i/>
        </w:rPr>
        <w:br/>
      </w:r>
      <w:r w:rsidRPr="00BD3ED7">
        <w:tab/>
      </w:r>
      <w:proofErr w:type="spellStart"/>
      <w:r w:rsidRPr="00BD3ED7">
        <w:t>Darian</w:t>
      </w:r>
      <w:proofErr w:type="spellEnd"/>
      <w:r>
        <w:t xml:space="preserve"> </w:t>
      </w:r>
      <w:proofErr w:type="spellStart"/>
      <w:r w:rsidRPr="00BD3ED7">
        <w:t>Pavli</w:t>
      </w:r>
      <w:proofErr w:type="spellEnd"/>
      <w:r>
        <w:t>,</w:t>
      </w:r>
      <w:r>
        <w:rPr>
          <w:i/>
        </w:rPr>
        <w:br/>
      </w:r>
      <w:r w:rsidRPr="00BD3ED7">
        <w:tab/>
      </w:r>
      <w:proofErr w:type="spellStart"/>
      <w:r w:rsidRPr="00BD3ED7">
        <w:t>Saadet</w:t>
      </w:r>
      <w:proofErr w:type="spellEnd"/>
      <w:r>
        <w:t xml:space="preserve"> </w:t>
      </w:r>
      <w:proofErr w:type="spellStart"/>
      <w:r w:rsidRPr="00BD3ED7">
        <w:t>Yüksel</w:t>
      </w:r>
      <w:proofErr w:type="spellEnd"/>
      <w:r>
        <w:t>,</w:t>
      </w:r>
      <w:r w:rsidRPr="00BD3ED7">
        <w:rPr>
          <w:i/>
        </w:rPr>
        <w:t xml:space="preserve"> juges,</w:t>
      </w:r>
      <w:r>
        <w:rPr>
          <w:i/>
        </w:rPr>
        <w:br/>
      </w:r>
      <w:r w:rsidRPr="00775885" w:rsidR="00777C71">
        <w:t xml:space="preserve">et de </w:t>
      </w:r>
      <w:r>
        <w:t>Hasan</w:t>
      </w:r>
      <w:r w:rsidRPr="0074670F">
        <w:t xml:space="preserve"> </w:t>
      </w:r>
      <w:r>
        <w:t>Bakırcı</w:t>
      </w:r>
      <w:r w:rsidRPr="00775885" w:rsidR="00777C71">
        <w:t xml:space="preserve">, </w:t>
      </w:r>
      <w:r w:rsidRPr="00775885" w:rsidR="00F2568C">
        <w:rPr>
          <w:i/>
        </w:rPr>
        <w:t>greffier</w:t>
      </w:r>
      <w:r w:rsidRPr="00775885" w:rsidR="00F2568C">
        <w:rPr>
          <w:iCs/>
        </w:rPr>
        <w:t xml:space="preserve"> </w:t>
      </w:r>
      <w:r>
        <w:rPr>
          <w:iCs/>
        </w:rPr>
        <w:t xml:space="preserve">adjoint </w:t>
      </w:r>
      <w:r w:rsidRPr="00775885" w:rsidR="00F2568C">
        <w:rPr>
          <w:i/>
          <w:iCs/>
        </w:rPr>
        <w:t>d</w:t>
      </w:r>
      <w:r w:rsidRPr="00775885" w:rsidR="00F2568C">
        <w:rPr>
          <w:i/>
        </w:rPr>
        <w:t>e section</w:t>
      </w:r>
      <w:r w:rsidRPr="00775885" w:rsidR="00777C71">
        <w:t>,</w:t>
      </w:r>
    </w:p>
    <w:p w:rsidRPr="00775885" w:rsidR="00777C71" w:rsidP="00777C71" w:rsidRDefault="00777C71">
      <w:pPr>
        <w:pStyle w:val="JuPara"/>
      </w:pPr>
      <w:r w:rsidRPr="00775885">
        <w:t xml:space="preserve">Après en avoir délibéré en chambre du conseil le </w:t>
      </w:r>
      <w:r w:rsidR="00F2568C">
        <w:rPr>
          <w:szCs w:val="24"/>
        </w:rPr>
        <w:t>1</w:t>
      </w:r>
      <w:r w:rsidRPr="00CE5A5B" w:rsidR="00F2568C">
        <w:rPr>
          <w:szCs w:val="24"/>
          <w:vertAlign w:val="superscript"/>
        </w:rPr>
        <w:t>er</w:t>
      </w:r>
      <w:r w:rsidR="00F2568C">
        <w:rPr>
          <w:szCs w:val="24"/>
        </w:rPr>
        <w:t xml:space="preserve"> octobre 2019</w:t>
      </w:r>
      <w:r w:rsidRPr="00775885">
        <w:t>,</w:t>
      </w:r>
    </w:p>
    <w:p w:rsidRPr="00775885" w:rsidR="00777C71" w:rsidP="00777C71" w:rsidRDefault="00777C71">
      <w:pPr>
        <w:pStyle w:val="JuPara"/>
      </w:pPr>
      <w:r w:rsidRPr="00775885">
        <w:t>Rend l</w:t>
      </w:r>
      <w:r w:rsidR="00F2568C">
        <w:t>’</w:t>
      </w:r>
      <w:r w:rsidRPr="00775885">
        <w:t>arrêt que voici, adopté à cette date :</w:t>
      </w:r>
    </w:p>
    <w:p w:rsidRPr="00291E8F" w:rsidR="00F2568C" w:rsidP="00F2568C" w:rsidRDefault="00F2568C">
      <w:pPr>
        <w:pStyle w:val="JuHHead"/>
        <w:numPr>
          <w:ilvl w:val="0"/>
          <w:numId w:val="23"/>
        </w:numPr>
        <w:jc w:val="both"/>
      </w:pPr>
      <w:r w:rsidRPr="00291E8F">
        <w:t>PROCÉDURE</w:t>
      </w:r>
    </w:p>
    <w:p w:rsidRPr="00291E8F" w:rsidR="00F2568C" w:rsidP="00F2568C" w:rsidRDefault="00F2568C">
      <w:pPr>
        <w:pStyle w:val="JuPara"/>
      </w:pPr>
      <w:r>
        <w:t>1</w:t>
      </w:r>
      <w:r w:rsidRPr="00291E8F">
        <w:t>.  À l</w:t>
      </w:r>
      <w:r>
        <w:t>’</w:t>
      </w:r>
      <w:r w:rsidRPr="00291E8F">
        <w:t>origine de l</w:t>
      </w:r>
      <w:r>
        <w:t>’</w:t>
      </w:r>
      <w:r w:rsidRPr="00291E8F">
        <w:t>affaire se trouve une requête (n</w:t>
      </w:r>
      <w:r w:rsidRPr="00027C44">
        <w:rPr>
          <w:vertAlign w:val="superscript"/>
        </w:rPr>
        <w:t>o</w:t>
      </w:r>
      <w:r w:rsidRPr="00291E8F">
        <w:t xml:space="preserve"> </w:t>
      </w:r>
      <w:r>
        <w:t>36226/11</w:t>
      </w:r>
      <w:r w:rsidRPr="00291E8F">
        <w:t xml:space="preserve">) dirigée contre </w:t>
      </w:r>
      <w:r>
        <w:t>la République de Turquie</w:t>
      </w:r>
      <w:r w:rsidRPr="00291E8F">
        <w:t xml:space="preserve"> et dont une ressortissante de cet État, M</w:t>
      </w:r>
      <w:r w:rsidRPr="00291E8F">
        <w:rPr>
          <w:vertAlign w:val="superscript"/>
        </w:rPr>
        <w:t>me</w:t>
      </w:r>
      <w:r>
        <w:rPr>
          <w:vertAlign w:val="superscript"/>
        </w:rPr>
        <w:t> </w:t>
      </w:r>
      <w:proofErr w:type="spellStart"/>
      <w:r>
        <w:t>Hatice</w:t>
      </w:r>
      <w:proofErr w:type="spellEnd"/>
      <w:r w:rsidRPr="00291E8F">
        <w:t xml:space="preserve"> </w:t>
      </w:r>
      <w:proofErr w:type="spellStart"/>
      <w:r>
        <w:t>Çoban</w:t>
      </w:r>
      <w:proofErr w:type="spellEnd"/>
      <w:r w:rsidRPr="00291E8F">
        <w:t xml:space="preserve"> (« la requérante »), a saisi la Cour le </w:t>
      </w:r>
      <w:r>
        <w:t>18 avril 2011</w:t>
      </w:r>
      <w:r w:rsidRPr="00291E8F">
        <w:t xml:space="preserve"> en vertu de l</w:t>
      </w:r>
      <w:r>
        <w:t>’</w:t>
      </w:r>
      <w:r w:rsidRPr="00291E8F">
        <w:t>article 34 de la Convention de sauvegarde des droits de l</w:t>
      </w:r>
      <w:r>
        <w:t>’</w:t>
      </w:r>
      <w:r w:rsidRPr="00291E8F">
        <w:t>homme et des libertés fondamentales (« la Convention »).</w:t>
      </w:r>
    </w:p>
    <w:p w:rsidRPr="00291E8F" w:rsidR="00F2568C" w:rsidP="00F2568C" w:rsidRDefault="00F2568C">
      <w:pPr>
        <w:pStyle w:val="JuPara"/>
      </w:pPr>
      <w:r>
        <w:t>2</w:t>
      </w:r>
      <w:r w:rsidRPr="00291E8F">
        <w:t>.  La requérante a été représentée par M</w:t>
      </w:r>
      <w:r w:rsidRPr="00291E8F">
        <w:rPr>
          <w:vertAlign w:val="superscript"/>
        </w:rPr>
        <w:t>e</w:t>
      </w:r>
      <w:r w:rsidRPr="00291E8F">
        <w:t> </w:t>
      </w:r>
      <w:r>
        <w:t>Y.</w:t>
      </w:r>
      <w:r w:rsidRPr="00291E8F">
        <w:t xml:space="preserve"> </w:t>
      </w:r>
      <w:proofErr w:type="spellStart"/>
      <w:r>
        <w:t>Alataş</w:t>
      </w:r>
      <w:proofErr w:type="spellEnd"/>
      <w:r w:rsidRPr="00291E8F">
        <w:t xml:space="preserve">, avocat à </w:t>
      </w:r>
      <w:r>
        <w:t>Ankara</w:t>
      </w:r>
      <w:r w:rsidRPr="00291E8F">
        <w:t xml:space="preserve">. Le gouvernement </w:t>
      </w:r>
      <w:r>
        <w:t>turc</w:t>
      </w:r>
      <w:r w:rsidRPr="00291E8F">
        <w:t xml:space="preserve"> (« le Gouvernement »)</w:t>
      </w:r>
      <w:r>
        <w:t xml:space="preserve"> a été représenté par son agent</w:t>
      </w:r>
      <w:r w:rsidRPr="00291E8F">
        <w:t>.</w:t>
      </w:r>
    </w:p>
    <w:p w:rsidRPr="00291E8F" w:rsidR="00F2568C" w:rsidP="00F2568C" w:rsidRDefault="00F2568C">
      <w:pPr>
        <w:pStyle w:val="JuPara"/>
      </w:pPr>
      <w:r>
        <w:t>3</w:t>
      </w:r>
      <w:r w:rsidRPr="00291E8F">
        <w:t>.  </w:t>
      </w:r>
      <w:r>
        <w:t>La requérante</w:t>
      </w:r>
      <w:r w:rsidRPr="00291E8F">
        <w:t xml:space="preserve"> </w:t>
      </w:r>
      <w:r>
        <w:t>alléguait</w:t>
      </w:r>
      <w:r w:rsidRPr="00291E8F">
        <w:t xml:space="preserve"> en particulier</w:t>
      </w:r>
      <w:r>
        <w:t xml:space="preserve"> une atteinte à son droit à la liberté d’expression à raison de sa condamnation pénale pour un discours qu’elle avait prononcé.</w:t>
      </w:r>
    </w:p>
    <w:p w:rsidRPr="00291E8F" w:rsidR="00F2568C" w:rsidP="00F2568C" w:rsidRDefault="00F2568C">
      <w:pPr>
        <w:pStyle w:val="JuPara"/>
        <w:rPr>
          <w:szCs w:val="24"/>
          <w:lang w:eastAsia="en-GB"/>
        </w:rPr>
      </w:pPr>
      <w:r>
        <w:t>4</w:t>
      </w:r>
      <w:r w:rsidRPr="00291E8F">
        <w:t xml:space="preserve">.  Le </w:t>
      </w:r>
      <w:r>
        <w:rPr>
          <w:szCs w:val="24"/>
        </w:rPr>
        <w:t>6 mars 2018</w:t>
      </w:r>
      <w:r w:rsidRPr="00291E8F">
        <w:t>, la requête a été communiquée au Gouvernement.</w:t>
      </w:r>
    </w:p>
    <w:p w:rsidRPr="00291E8F" w:rsidR="00F2568C" w:rsidP="00F2568C" w:rsidRDefault="00F2568C">
      <w:pPr>
        <w:pStyle w:val="JuHHead"/>
        <w:numPr>
          <w:ilvl w:val="0"/>
          <w:numId w:val="23"/>
        </w:numPr>
        <w:tabs>
          <w:tab w:val="left" w:pos="5387"/>
        </w:tabs>
        <w:jc w:val="both"/>
      </w:pPr>
      <w:r w:rsidRPr="00291E8F">
        <w:t>EN FAIT</w:t>
      </w:r>
    </w:p>
    <w:p w:rsidRPr="00291E8F" w:rsidR="00F2568C" w:rsidP="00F2568C" w:rsidRDefault="00F2568C">
      <w:pPr>
        <w:pStyle w:val="JuHIRoman"/>
        <w:numPr>
          <w:ilvl w:val="0"/>
          <w:numId w:val="0"/>
        </w:numPr>
        <w:ind w:left="357"/>
      </w:pPr>
      <w:r w:rsidRPr="00291E8F">
        <w:t>I.  LES CIRCONSTANCES DE L</w:t>
      </w:r>
      <w:r>
        <w:t>’</w:t>
      </w:r>
      <w:r w:rsidRPr="00291E8F">
        <w:t>ESPÈCE</w:t>
      </w:r>
    </w:p>
    <w:p w:rsidR="00F2568C" w:rsidP="00F2568C" w:rsidRDefault="00F2568C">
      <w:pPr>
        <w:pStyle w:val="JuPara"/>
      </w:pPr>
      <w:r>
        <w:t>5</w:t>
      </w:r>
      <w:r w:rsidRPr="00291E8F">
        <w:t xml:space="preserve">.  La requérante est née en </w:t>
      </w:r>
      <w:r>
        <w:t>1965</w:t>
      </w:r>
      <w:r w:rsidRPr="00291E8F">
        <w:t xml:space="preserve"> et réside à </w:t>
      </w:r>
      <w:r>
        <w:t>Ankara</w:t>
      </w:r>
      <w:r w:rsidRPr="00291E8F">
        <w:t>.</w:t>
      </w:r>
      <w:r>
        <w:t xml:space="preserve"> À l’époque des faits, elle était membre du conseil d’administration</w:t>
      </w:r>
      <w:r w:rsidRPr="00C844D0">
        <w:rPr>
          <w:rFonts w:cstheme="minorHAnsi"/>
        </w:rPr>
        <w:t xml:space="preserve"> </w:t>
      </w:r>
      <w:r>
        <w:rPr>
          <w:rFonts w:cstheme="minorHAnsi"/>
        </w:rPr>
        <w:t>du</w:t>
      </w:r>
      <w:r w:rsidRPr="00B54E7E">
        <w:rPr>
          <w:rFonts w:cstheme="minorHAnsi"/>
        </w:rPr>
        <w:t xml:space="preserve"> Parti pour une société démocratique</w:t>
      </w:r>
      <w:r>
        <w:t xml:space="preserve"> </w:t>
      </w:r>
      <w:r w:rsidRPr="00C844D0">
        <w:t>(«</w:t>
      </w:r>
      <w:r>
        <w:t> </w:t>
      </w:r>
      <w:r w:rsidRPr="00C844D0">
        <w:t>le DTP</w:t>
      </w:r>
      <w:r>
        <w:t> </w:t>
      </w:r>
      <w:r w:rsidRPr="00C844D0">
        <w:t xml:space="preserve">», </w:t>
      </w:r>
      <w:proofErr w:type="spellStart"/>
      <w:r w:rsidRPr="00104E94">
        <w:rPr>
          <w:i/>
        </w:rPr>
        <w:t>Demokratik</w:t>
      </w:r>
      <w:proofErr w:type="spellEnd"/>
      <w:r w:rsidRPr="00104E94">
        <w:rPr>
          <w:i/>
        </w:rPr>
        <w:t xml:space="preserve"> </w:t>
      </w:r>
      <w:proofErr w:type="spellStart"/>
      <w:r w:rsidRPr="00104E94">
        <w:rPr>
          <w:i/>
        </w:rPr>
        <w:t>Toplum</w:t>
      </w:r>
      <w:proofErr w:type="spellEnd"/>
      <w:r w:rsidRPr="00104E94">
        <w:rPr>
          <w:i/>
        </w:rPr>
        <w:t xml:space="preserve"> </w:t>
      </w:r>
      <w:proofErr w:type="spellStart"/>
      <w:r w:rsidRPr="00104E94">
        <w:rPr>
          <w:i/>
        </w:rPr>
        <w:t>Partisi</w:t>
      </w:r>
      <w:proofErr w:type="spellEnd"/>
      <w:r w:rsidRPr="00C844D0">
        <w:t>)</w:t>
      </w:r>
      <w:r>
        <w:t>.</w:t>
      </w:r>
    </w:p>
    <w:p w:rsidR="00F2568C" w:rsidP="00F2568C" w:rsidRDefault="00F2568C">
      <w:pPr>
        <w:pStyle w:val="JuPara"/>
        <w:rPr>
          <w:rFonts w:cstheme="minorHAnsi"/>
        </w:rPr>
      </w:pPr>
      <w:r>
        <w:t>6</w:t>
      </w:r>
      <w:r w:rsidRPr="00291E8F">
        <w:t>.  </w:t>
      </w:r>
      <w:r>
        <w:t xml:space="preserve">Par un acte d’accusation du 22 juin 2007, le procureur de la République de </w:t>
      </w:r>
      <w:r w:rsidRPr="0004177F">
        <w:rPr>
          <w:rFonts w:cstheme="minorHAnsi"/>
        </w:rPr>
        <w:t>Diyarbakır</w:t>
      </w:r>
      <w:r>
        <w:rPr>
          <w:rFonts w:cstheme="minorHAnsi"/>
        </w:rPr>
        <w:t xml:space="preserve"> (« le procureur de la République ») inculpa la requérante du chef de propagande en faveur d’une organisation terroriste à raison du contenu d’un discours que l’intéressée avait prononcé lors d’une conférence organisée</w:t>
      </w:r>
      <w:r w:rsidRPr="00B54E7E">
        <w:rPr>
          <w:rFonts w:cstheme="minorHAnsi"/>
        </w:rPr>
        <w:t xml:space="preserve"> </w:t>
      </w:r>
      <w:r>
        <w:rPr>
          <w:rFonts w:cstheme="minorHAnsi"/>
        </w:rPr>
        <w:t xml:space="preserve">par </w:t>
      </w:r>
      <w:r w:rsidRPr="00B54E7E">
        <w:rPr>
          <w:rFonts w:cstheme="minorHAnsi"/>
        </w:rPr>
        <w:t>le</w:t>
      </w:r>
      <w:r>
        <w:rPr>
          <w:rFonts w:cstheme="minorHAnsi"/>
        </w:rPr>
        <w:t xml:space="preserve"> DTP</w:t>
      </w:r>
      <w:r w:rsidRPr="00B54E7E">
        <w:rPr>
          <w:rFonts w:cstheme="minorHAnsi"/>
        </w:rPr>
        <w:t xml:space="preserve"> </w:t>
      </w:r>
      <w:r>
        <w:rPr>
          <w:rFonts w:cstheme="minorHAnsi"/>
        </w:rPr>
        <w:t>le 2 septembre 2006 à l’occasion d’une manifestation appelée « Journée mondiale de la paix ». Le procureur de la République reprochait à la requérante d’avoir tenu les propos suivants dans son discours :</w:t>
      </w:r>
    </w:p>
    <w:p w:rsidR="00F2568C" w:rsidP="00F2568C" w:rsidRDefault="00F2568C">
      <w:pPr>
        <w:pStyle w:val="JuQuot"/>
      </w:pPr>
      <w:r>
        <w:t xml:space="preserve">« (...) les forces de la République de Turquie et le PKK [Parti des travailleurs du Kurdistan, une organisation illégale armée] doivent discuter dans un climat démocratique (...) Je ne savais </w:t>
      </w:r>
      <w:r w:rsidRPr="003C2FC7">
        <w:t>pas</w:t>
      </w:r>
      <w:r>
        <w:t>,</w:t>
      </w:r>
      <w:r w:rsidRPr="003C2FC7">
        <w:rPr>
          <w:sz w:val="24"/>
        </w:rPr>
        <w:t xml:space="preserve"> </w:t>
      </w:r>
      <w:r w:rsidRPr="003C2FC7">
        <w:t>jusqu</w:t>
      </w:r>
      <w:r>
        <w:t>’</w:t>
      </w:r>
      <w:r w:rsidRPr="003C2FC7">
        <w:t>aux années 1990</w:t>
      </w:r>
      <w:r>
        <w:t>,</w:t>
      </w:r>
      <w:r w:rsidRPr="003C2FC7">
        <w:t xml:space="preserve"> [</w:t>
      </w:r>
      <w:r>
        <w:t>jusqu’à ce</w:t>
      </w:r>
      <w:r w:rsidRPr="003C2FC7">
        <w:t xml:space="preserve"> qu</w:t>
      </w:r>
      <w:r>
        <w:t>’</w:t>
      </w:r>
      <w:r w:rsidRPr="003C2FC7">
        <w:t>ils] me marchent sur les pieds</w:t>
      </w:r>
      <w:r>
        <w:t xml:space="preserve">, </w:t>
      </w:r>
      <w:r w:rsidRPr="005C61DD">
        <w:t>que j</w:t>
      </w:r>
      <w:r>
        <w:t>’</w:t>
      </w:r>
      <w:r w:rsidRPr="005C61DD">
        <w:t>étais kurde</w:t>
      </w:r>
      <w:r w:rsidRPr="003C2FC7">
        <w:t xml:space="preserve"> (</w:t>
      </w:r>
      <w:r>
        <w:t>...</w:t>
      </w:r>
      <w:r w:rsidRPr="003C2FC7">
        <w:t>)</w:t>
      </w:r>
      <w:r>
        <w:t xml:space="preserve"> Les Kurdes d’ici, nous voulons une guerre [qui ait davantage] de conscience, d’honorabilité. Le PKK est une conséquence et une nécessité. La réponse à ce lourd prix [que les Kurdes ont payé] est une paix honorable. Aujourd’hui, nous ne pouvons pas dire aux forces armées de (...) se rendre quoi qu’il arrive. »</w:t>
      </w:r>
    </w:p>
    <w:p w:rsidRPr="003B5854" w:rsidR="00F2568C" w:rsidP="00F2568C" w:rsidRDefault="00F2568C">
      <w:pPr>
        <w:pStyle w:val="JuPara"/>
        <w:rPr>
          <w:rFonts w:cstheme="minorHAnsi"/>
        </w:rPr>
      </w:pPr>
      <w:r>
        <w:rPr>
          <w:rFonts w:cstheme="minorHAnsi"/>
        </w:rPr>
        <w:t xml:space="preserve">7.  Le 29 juin 2007, la procédure pénale visant la requérante débuta devant la cour d’assises de </w:t>
      </w:r>
      <w:r w:rsidRPr="003B5854">
        <w:rPr>
          <w:rFonts w:cstheme="minorHAnsi"/>
        </w:rPr>
        <w:t>Diyarbakır</w:t>
      </w:r>
      <w:r>
        <w:rPr>
          <w:rFonts w:cstheme="minorHAnsi"/>
        </w:rPr>
        <w:t xml:space="preserve"> </w:t>
      </w:r>
      <w:r w:rsidRPr="003B5854">
        <w:rPr>
          <w:rFonts w:cstheme="minorHAnsi"/>
        </w:rPr>
        <w:t>(« la cour d</w:t>
      </w:r>
      <w:r>
        <w:rPr>
          <w:rFonts w:cstheme="minorHAnsi"/>
        </w:rPr>
        <w:t>’</w:t>
      </w:r>
      <w:r w:rsidRPr="003B5854">
        <w:rPr>
          <w:rFonts w:cstheme="minorHAnsi"/>
        </w:rPr>
        <w:t>assises »).</w:t>
      </w:r>
    </w:p>
    <w:p w:rsidR="00F2568C" w:rsidP="00F2568C" w:rsidRDefault="00F2568C">
      <w:pPr>
        <w:pStyle w:val="JuPara"/>
        <w:rPr>
          <w:rFonts w:cstheme="minorHAnsi"/>
        </w:rPr>
      </w:pPr>
      <w:r>
        <w:rPr>
          <w:rFonts w:cstheme="minorHAnsi"/>
        </w:rPr>
        <w:t>8</w:t>
      </w:r>
      <w:r w:rsidRPr="003B5854">
        <w:rPr>
          <w:rFonts w:cstheme="minorHAnsi"/>
        </w:rPr>
        <w:t>.  Le 3 décembre 2007, la requérante déposa</w:t>
      </w:r>
      <w:r>
        <w:rPr>
          <w:rFonts w:cstheme="minorHAnsi"/>
        </w:rPr>
        <w:t xml:space="preserve"> ses déclarations en défense</w:t>
      </w:r>
      <w:r w:rsidRPr="003B5854">
        <w:rPr>
          <w:rFonts w:cstheme="minorHAnsi"/>
        </w:rPr>
        <w:t xml:space="preserve"> sur commission rogatoire devant la cour d</w:t>
      </w:r>
      <w:r>
        <w:rPr>
          <w:rFonts w:cstheme="minorHAnsi"/>
        </w:rPr>
        <w:t>’</w:t>
      </w:r>
      <w:r w:rsidRPr="003B5854">
        <w:rPr>
          <w:rFonts w:cstheme="minorHAnsi"/>
        </w:rPr>
        <w:t>assises d</w:t>
      </w:r>
      <w:r>
        <w:rPr>
          <w:rFonts w:cstheme="minorHAnsi"/>
        </w:rPr>
        <w:t>’</w:t>
      </w:r>
      <w:r w:rsidRPr="003B5854">
        <w:rPr>
          <w:rFonts w:cstheme="minorHAnsi"/>
        </w:rPr>
        <w:t>Ankara. Elle déclara vouloir se défendre, mais demanda à être dispensée d</w:t>
      </w:r>
      <w:r>
        <w:rPr>
          <w:rFonts w:cstheme="minorHAnsi"/>
        </w:rPr>
        <w:t>’</w:t>
      </w:r>
      <w:r w:rsidRPr="003B5854">
        <w:rPr>
          <w:rFonts w:cstheme="minorHAnsi"/>
        </w:rPr>
        <w:t>assister aux audiences. Elle contesta avoir fait les déclarations qui lui étaient attribuées dans l</w:t>
      </w:r>
      <w:r>
        <w:rPr>
          <w:rFonts w:cstheme="minorHAnsi"/>
        </w:rPr>
        <w:t>’</w:t>
      </w:r>
      <w:r w:rsidRPr="003B5854">
        <w:rPr>
          <w:rFonts w:cstheme="minorHAnsi"/>
        </w:rPr>
        <w:t>acte d</w:t>
      </w:r>
      <w:r>
        <w:rPr>
          <w:rFonts w:cstheme="minorHAnsi"/>
        </w:rPr>
        <w:t>’</w:t>
      </w:r>
      <w:r w:rsidRPr="003B5854">
        <w:rPr>
          <w:rFonts w:cstheme="minorHAnsi"/>
        </w:rPr>
        <w:t>accusation et soutint que son discours ne contenait aucun élément infractionnel.</w:t>
      </w:r>
    </w:p>
    <w:p w:rsidR="00F2568C" w:rsidP="00F2568C" w:rsidRDefault="00F2568C">
      <w:pPr>
        <w:pStyle w:val="JuPara"/>
        <w:rPr>
          <w:rFonts w:cstheme="minorHAnsi"/>
        </w:rPr>
      </w:pPr>
      <w:r>
        <w:rPr>
          <w:rFonts w:cstheme="minorHAnsi"/>
        </w:rPr>
        <w:t>9</w:t>
      </w:r>
      <w:r w:rsidRPr="003B5854">
        <w:rPr>
          <w:rFonts w:cstheme="minorHAnsi"/>
        </w:rPr>
        <w:t>.  Le 1</w:t>
      </w:r>
      <w:r w:rsidRPr="003B5854">
        <w:rPr>
          <w:rFonts w:cstheme="minorHAnsi"/>
          <w:vertAlign w:val="superscript"/>
        </w:rPr>
        <w:t>er</w:t>
      </w:r>
      <w:r w:rsidRPr="003B5854">
        <w:rPr>
          <w:rFonts w:cstheme="minorHAnsi"/>
        </w:rPr>
        <w:t xml:space="preserve"> avril 2008, la cour d</w:t>
      </w:r>
      <w:r>
        <w:rPr>
          <w:rFonts w:cstheme="minorHAnsi"/>
        </w:rPr>
        <w:t>’</w:t>
      </w:r>
      <w:r w:rsidRPr="003B5854">
        <w:rPr>
          <w:rFonts w:cstheme="minorHAnsi"/>
        </w:rPr>
        <w:t xml:space="preserve">assises rendit son arrêt sur le </w:t>
      </w:r>
      <w:r w:rsidRPr="00F723ED">
        <w:rPr>
          <w:rFonts w:cstheme="minorHAnsi"/>
        </w:rPr>
        <w:t>fond, en l</w:t>
      </w:r>
      <w:r>
        <w:rPr>
          <w:rFonts w:cstheme="minorHAnsi"/>
        </w:rPr>
        <w:t>’</w:t>
      </w:r>
      <w:r w:rsidRPr="00F723ED">
        <w:rPr>
          <w:rFonts w:cstheme="minorHAnsi"/>
        </w:rPr>
        <w:t>absence de la requérante, après que le procureur de la République, qui était présent à l</w:t>
      </w:r>
      <w:r>
        <w:rPr>
          <w:rFonts w:cstheme="minorHAnsi"/>
        </w:rPr>
        <w:t>’</w:t>
      </w:r>
      <w:r w:rsidRPr="00F723ED">
        <w:rPr>
          <w:rFonts w:cstheme="minorHAnsi"/>
        </w:rPr>
        <w:t>audience, eut rendu son avis sur l</w:t>
      </w:r>
      <w:r>
        <w:rPr>
          <w:rFonts w:cstheme="minorHAnsi"/>
        </w:rPr>
        <w:t>’</w:t>
      </w:r>
      <w:r w:rsidRPr="00F723ED">
        <w:rPr>
          <w:rFonts w:cstheme="minorHAnsi"/>
        </w:rPr>
        <w:t>affaire. Elle reconnut la requérante coupable de l</w:t>
      </w:r>
      <w:r>
        <w:rPr>
          <w:rFonts w:cstheme="minorHAnsi"/>
        </w:rPr>
        <w:t>’</w:t>
      </w:r>
      <w:r w:rsidRPr="00F723ED">
        <w:rPr>
          <w:rFonts w:cstheme="minorHAnsi"/>
        </w:rPr>
        <w:t>infraction reprochée et la condamna à deux ans et un mois d</w:t>
      </w:r>
      <w:r>
        <w:rPr>
          <w:rFonts w:cstheme="minorHAnsi"/>
        </w:rPr>
        <w:t>’</w:t>
      </w:r>
      <w:r w:rsidRPr="00F723ED">
        <w:rPr>
          <w:rFonts w:cstheme="minorHAnsi"/>
        </w:rPr>
        <w:t>emprisonnement sur le fondement de l</w:t>
      </w:r>
      <w:r>
        <w:rPr>
          <w:rFonts w:cstheme="minorHAnsi"/>
        </w:rPr>
        <w:t>’</w:t>
      </w:r>
      <w:r w:rsidRPr="00F723ED">
        <w:rPr>
          <w:rFonts w:cstheme="minorHAnsi"/>
        </w:rPr>
        <w:t xml:space="preserve">article 7 § 2 de la loi </w:t>
      </w:r>
      <w:r w:rsidRPr="00F723ED">
        <w:t>n</w:t>
      </w:r>
      <w:r w:rsidRPr="00F723ED">
        <w:rPr>
          <w:vertAlign w:val="superscript"/>
        </w:rPr>
        <w:t>o</w:t>
      </w:r>
      <w:r>
        <w:rPr>
          <w:rFonts w:cstheme="minorHAnsi"/>
        </w:rPr>
        <w:t> </w:t>
      </w:r>
      <w:r w:rsidRPr="00F723ED">
        <w:rPr>
          <w:rFonts w:cstheme="minorHAnsi"/>
        </w:rPr>
        <w:t>3713.</w:t>
      </w:r>
    </w:p>
    <w:p w:rsidR="00F2568C" w:rsidP="00F2568C" w:rsidRDefault="00F2568C">
      <w:pPr>
        <w:pStyle w:val="JuPara"/>
        <w:rPr>
          <w:rFonts w:cstheme="minorHAnsi"/>
        </w:rPr>
      </w:pPr>
      <w:r>
        <w:rPr>
          <w:rFonts w:cstheme="minorHAnsi"/>
        </w:rPr>
        <w:t>D</w:t>
      </w:r>
      <w:r w:rsidRPr="002E79C7">
        <w:rPr>
          <w:rFonts w:cstheme="minorHAnsi"/>
        </w:rPr>
        <w:t>ans les motifs de son arrêt</w:t>
      </w:r>
      <w:r>
        <w:rPr>
          <w:rFonts w:cstheme="minorHAnsi"/>
        </w:rPr>
        <w:t>, la cour</w:t>
      </w:r>
      <w:r w:rsidRPr="002E79C7">
        <w:rPr>
          <w:rFonts w:cstheme="minorHAnsi"/>
        </w:rPr>
        <w:t xml:space="preserve"> </w:t>
      </w:r>
      <w:r>
        <w:rPr>
          <w:rFonts w:cstheme="minorHAnsi"/>
        </w:rPr>
        <w:t xml:space="preserve">d’assises releva, après avoir pris note des déclarations en défense de la requérante en date du 3 décembre 2007, que, </w:t>
      </w:r>
      <w:r w:rsidRPr="00A05DFB">
        <w:rPr>
          <w:rFonts w:cstheme="minorHAnsi"/>
        </w:rPr>
        <w:t>selon un</w:t>
      </w:r>
      <w:r w:rsidRPr="00602596">
        <w:rPr>
          <w:rFonts w:cstheme="minorHAnsi"/>
        </w:rPr>
        <w:t xml:space="preserve"> procès-verbal établi le 2 septembre 2006 par quatre policiers</w:t>
      </w:r>
      <w:r w:rsidRPr="00602596">
        <w:t xml:space="preserve"> </w:t>
      </w:r>
      <w:r w:rsidRPr="001E59BE">
        <w:t xml:space="preserve">qui avaient surveillé la manifestation </w:t>
      </w:r>
      <w:r w:rsidRPr="003933F5">
        <w:t xml:space="preserve">au cours de </w:t>
      </w:r>
      <w:r w:rsidRPr="00AD6E88">
        <w:t>laquelle l</w:t>
      </w:r>
      <w:r>
        <w:t xml:space="preserve">’intéressée </w:t>
      </w:r>
      <w:r w:rsidRPr="00A05DFB">
        <w:t>était intervenue</w:t>
      </w:r>
      <w:r w:rsidRPr="00602596">
        <w:rPr>
          <w:rFonts w:cstheme="minorHAnsi"/>
        </w:rPr>
        <w:t>,</w:t>
      </w:r>
      <w:r>
        <w:rPr>
          <w:rFonts w:cstheme="minorHAnsi"/>
        </w:rPr>
        <w:t xml:space="preserve"> celle-ci</w:t>
      </w:r>
      <w:r w:rsidRPr="00602596">
        <w:rPr>
          <w:rFonts w:cstheme="minorHAnsi"/>
        </w:rPr>
        <w:t xml:space="preserve"> </w:t>
      </w:r>
      <w:r w:rsidRPr="001E59BE">
        <w:rPr>
          <w:rFonts w:cstheme="minorHAnsi"/>
        </w:rPr>
        <w:t xml:space="preserve">avait bien </w:t>
      </w:r>
      <w:r w:rsidRPr="003933F5">
        <w:rPr>
          <w:rFonts w:cstheme="minorHAnsi"/>
        </w:rPr>
        <w:t>prononcé</w:t>
      </w:r>
      <w:r w:rsidRPr="00AD6E88">
        <w:rPr>
          <w:rFonts w:cstheme="minorHAnsi"/>
        </w:rPr>
        <w:t xml:space="preserve"> le</w:t>
      </w:r>
      <w:r>
        <w:rPr>
          <w:rFonts w:cstheme="minorHAnsi"/>
        </w:rPr>
        <w:t>s paroles</w:t>
      </w:r>
      <w:r w:rsidRPr="00602596">
        <w:rPr>
          <w:rFonts w:cstheme="minorHAnsi"/>
        </w:rPr>
        <w:t xml:space="preserve"> </w:t>
      </w:r>
      <w:r>
        <w:rPr>
          <w:rFonts w:cstheme="minorHAnsi"/>
        </w:rPr>
        <w:t>qui lui étaient reprochées</w:t>
      </w:r>
      <w:r w:rsidRPr="00602596">
        <w:rPr>
          <w:rFonts w:cstheme="minorHAnsi"/>
        </w:rPr>
        <w:t xml:space="preserve"> dans l</w:t>
      </w:r>
      <w:r>
        <w:rPr>
          <w:rFonts w:cstheme="minorHAnsi"/>
        </w:rPr>
        <w:t>’</w:t>
      </w:r>
      <w:r w:rsidRPr="001E59BE">
        <w:rPr>
          <w:rFonts w:cstheme="minorHAnsi"/>
        </w:rPr>
        <w:t>acte d</w:t>
      </w:r>
      <w:r>
        <w:rPr>
          <w:rFonts w:cstheme="minorHAnsi"/>
        </w:rPr>
        <w:t>’</w:t>
      </w:r>
      <w:r w:rsidRPr="009A6899">
        <w:rPr>
          <w:rFonts w:cstheme="minorHAnsi"/>
        </w:rPr>
        <w:t>accusation</w:t>
      </w:r>
      <w:r w:rsidRPr="00A2540B">
        <w:rPr>
          <w:rFonts w:cstheme="minorHAnsi"/>
        </w:rPr>
        <w:t xml:space="preserve"> et que</w:t>
      </w:r>
      <w:r w:rsidRPr="00302BD6">
        <w:rPr>
          <w:rFonts w:cstheme="minorHAnsi"/>
        </w:rPr>
        <w:t xml:space="preserve">, dans leurs dépositions en qualité de témoins obtenues </w:t>
      </w:r>
      <w:r>
        <w:rPr>
          <w:rFonts w:cstheme="minorHAnsi"/>
        </w:rPr>
        <w:t xml:space="preserve">sur </w:t>
      </w:r>
      <w:r w:rsidRPr="00602596">
        <w:rPr>
          <w:rFonts w:cstheme="minorHAnsi"/>
        </w:rPr>
        <w:t xml:space="preserve">commission rogatoire, les quatre </w:t>
      </w:r>
      <w:r>
        <w:rPr>
          <w:rFonts w:cstheme="minorHAnsi"/>
        </w:rPr>
        <w:t>agents des forces de l’ordre</w:t>
      </w:r>
      <w:r w:rsidRPr="00602596">
        <w:rPr>
          <w:rFonts w:cstheme="minorHAnsi"/>
        </w:rPr>
        <w:t xml:space="preserve"> avaient confirm</w:t>
      </w:r>
      <w:r w:rsidRPr="001E59BE">
        <w:rPr>
          <w:rFonts w:cstheme="minorHAnsi"/>
        </w:rPr>
        <w:t>é</w:t>
      </w:r>
      <w:r w:rsidRPr="00A2540B">
        <w:rPr>
          <w:rFonts w:cstheme="minorHAnsi"/>
        </w:rPr>
        <w:t xml:space="preserve"> la véracité du contenu du procès-verbal</w:t>
      </w:r>
      <w:r w:rsidRPr="00302BD6">
        <w:rPr>
          <w:rFonts w:cstheme="minorHAnsi"/>
        </w:rPr>
        <w:t xml:space="preserve"> qu</w:t>
      </w:r>
      <w:r>
        <w:rPr>
          <w:rFonts w:cstheme="minorHAnsi"/>
        </w:rPr>
        <w:t>’</w:t>
      </w:r>
      <w:r w:rsidRPr="00302BD6">
        <w:rPr>
          <w:rFonts w:cstheme="minorHAnsi"/>
        </w:rPr>
        <w:t>ils avaient signé. Elle estima</w:t>
      </w:r>
      <w:r>
        <w:rPr>
          <w:rFonts w:cstheme="minorHAnsi"/>
        </w:rPr>
        <w:t xml:space="preserve"> qu’il était ainsi établi</w:t>
      </w:r>
      <w:r w:rsidRPr="00602596">
        <w:rPr>
          <w:rFonts w:cstheme="minorHAnsi"/>
        </w:rPr>
        <w:t xml:space="preserve">, eu égard audit procès-verbal, </w:t>
      </w:r>
      <w:r w:rsidRPr="001E59BE">
        <w:rPr>
          <w:rFonts w:cstheme="minorHAnsi"/>
        </w:rPr>
        <w:t>aux</w:t>
      </w:r>
      <w:r w:rsidRPr="009A6899">
        <w:rPr>
          <w:rFonts w:cstheme="minorHAnsi"/>
        </w:rPr>
        <w:t xml:space="preserve"> dé</w:t>
      </w:r>
      <w:r w:rsidRPr="00AD6E88">
        <w:rPr>
          <w:rFonts w:cstheme="minorHAnsi"/>
        </w:rPr>
        <w:t>positions</w:t>
      </w:r>
      <w:r w:rsidRPr="00A2540B">
        <w:rPr>
          <w:rFonts w:cstheme="minorHAnsi"/>
        </w:rPr>
        <w:t xml:space="preserve"> </w:t>
      </w:r>
      <w:r w:rsidRPr="00302BD6">
        <w:rPr>
          <w:rFonts w:cstheme="minorHAnsi"/>
        </w:rPr>
        <w:t>faites par les policiers en tant que</w:t>
      </w:r>
      <w:r>
        <w:rPr>
          <w:rFonts w:cstheme="minorHAnsi"/>
        </w:rPr>
        <w:t xml:space="preserve"> témoins, ainsi qu’aux déclarations de la requérante, </w:t>
      </w:r>
      <w:r w:rsidRPr="007E67BB">
        <w:rPr>
          <w:rFonts w:cstheme="minorHAnsi"/>
        </w:rPr>
        <w:t>qu</w:t>
      </w:r>
      <w:r>
        <w:rPr>
          <w:rFonts w:cstheme="minorHAnsi"/>
        </w:rPr>
        <w:t>’elle qualifiait d’évasives, que l’intéressée avait tenu les propos suivants lors de la manifestation en question, organisée le 2 septembre 2006 :</w:t>
      </w:r>
    </w:p>
    <w:p w:rsidR="00F2568C" w:rsidP="00F2568C" w:rsidRDefault="00F2568C">
      <w:pPr>
        <w:pStyle w:val="JuQuot"/>
      </w:pPr>
      <w:r>
        <w:t>« Une partie a publié une déclaration. Nous, en tant que DTP, la soutenons. Dans cette déclaration, il a été indiqué qu’il fallait enquêter sur les auteurs des incendies dans les villages et ouvrir la voie à l’utilisation de la langue maternelle et aux activités politiques, et nous soutenons cela. Les parties à la guerre doivent se parler, [cela] apportera la solution la plus facile au problème. (...) Les forces de la République de Turquie et le PKK doivent discuter dans un climat démocratique. »</w:t>
      </w:r>
    </w:p>
    <w:p w:rsidR="00F2568C" w:rsidP="00F2568C" w:rsidRDefault="00F2568C">
      <w:pPr>
        <w:pStyle w:val="JuQuot"/>
      </w:pPr>
      <w:r>
        <w:t>« La définition de la guerre en Turquie est [d’ordre] interne. Il s’agit d’une guerre [pour] l’honneur, l’identité et la liberté. Les Kurdes ont un réflexe, [une souffrance] communs. Le PKK est une conséquence et une nécessité. La réponse à ce lourd prix [que les Kurdes ont payé] est une paix honorable. Aujourd’hui, nous ne pouvons pas dire aux forces armées de (...) se rendre quoi qu’il arrive. »</w:t>
      </w:r>
    </w:p>
    <w:p w:rsidR="00F2568C" w:rsidP="00F2568C" w:rsidRDefault="00F2568C">
      <w:pPr>
        <w:pStyle w:val="JuPara"/>
        <w:rPr>
          <w:rFonts w:cstheme="minorHAnsi"/>
        </w:rPr>
      </w:pPr>
      <w:r>
        <w:rPr>
          <w:rFonts w:cstheme="minorHAnsi"/>
        </w:rPr>
        <w:t>La cour d’assises considéra que, dans ces propos, la requérante apportait son soutien à une déclaration du PKK, voulait que la République de Turquie prît le PKK pour interlocuteur et indiquait que le PKK menait une lutte honorable pour l’identité et pour la liberté</w:t>
      </w:r>
      <w:r w:rsidRPr="00B30392">
        <w:rPr>
          <w:rFonts w:cstheme="minorHAnsi"/>
        </w:rPr>
        <w:t xml:space="preserve"> au nom des Kurdes</w:t>
      </w:r>
      <w:r>
        <w:rPr>
          <w:rFonts w:cstheme="minorHAnsi"/>
        </w:rPr>
        <w:t xml:space="preserve">, que cette </w:t>
      </w:r>
      <w:r w:rsidRPr="00602596">
        <w:rPr>
          <w:rFonts w:cstheme="minorHAnsi"/>
        </w:rPr>
        <w:t xml:space="preserve">organisation </w:t>
      </w:r>
      <w:r w:rsidRPr="001E59BE">
        <w:rPr>
          <w:rFonts w:cstheme="minorHAnsi"/>
        </w:rPr>
        <w:t>terroriste</w:t>
      </w:r>
      <w:r w:rsidRPr="00112874">
        <w:rPr>
          <w:rFonts w:cstheme="minorHAnsi"/>
        </w:rPr>
        <w:t xml:space="preserve"> devait nécessairement exister et que ses membres ne devaient en aucun cas se rendre</w:t>
      </w:r>
      <w:r>
        <w:rPr>
          <w:rFonts w:cstheme="minorHAnsi"/>
        </w:rPr>
        <w:t xml:space="preserve"> aux forces de sécurité. Selon la cour d’assises, les déclarations de l’intéressée faisaient ainsi de la propagande en faveur de l’organisation terroriste PKK de manière à inciter à l’acceptation et à la propagation du but de cette organisation au sein de la société. Toujours selon elle, eu égard au contenu du discours en cause, à la position de la requérante, au public concerné, au but poursuivi par l’intéressée et à la perception de ce discours par le public, les déclarations litigieuses ne pouvaient pas être considérées comme couvertes par la liberté d’expression et elles constituaient l’infraction de propagande en faveur d’une organisation terroriste, visée à l’article 7 § 2 de la loi</w:t>
      </w:r>
      <w:r w:rsidRPr="00DB43EA">
        <w:t xml:space="preserve"> </w:t>
      </w:r>
      <w:r w:rsidRPr="00291E8F">
        <w:t>n</w:t>
      </w:r>
      <w:r w:rsidRPr="00027C44">
        <w:rPr>
          <w:vertAlign w:val="superscript"/>
        </w:rPr>
        <w:t>o</w:t>
      </w:r>
      <w:r>
        <w:rPr>
          <w:rFonts w:cstheme="minorHAnsi"/>
        </w:rPr>
        <w:t xml:space="preserve"> 3713.</w:t>
      </w:r>
    </w:p>
    <w:p w:rsidR="00F2568C" w:rsidP="00F2568C" w:rsidRDefault="00F2568C">
      <w:pPr>
        <w:pStyle w:val="JuPara"/>
        <w:rPr>
          <w:rFonts w:cstheme="minorHAnsi"/>
        </w:rPr>
      </w:pPr>
      <w:r>
        <w:rPr>
          <w:rFonts w:cstheme="minorHAnsi"/>
        </w:rPr>
        <w:t>10.  Le 22 avril 2008, la requérante forma un pourvoi en cassation contre l’arrêt de la cour d’assises. Dans son pourvoi, elle reprochait notamment à</w:t>
      </w:r>
      <w:r w:rsidRPr="00FF24AA">
        <w:rPr>
          <w:rFonts w:cstheme="minorHAnsi"/>
        </w:rPr>
        <w:t xml:space="preserve"> </w:t>
      </w:r>
      <w:r>
        <w:rPr>
          <w:rFonts w:cstheme="minorHAnsi"/>
        </w:rPr>
        <w:t>la cour d’assises d’avoir procédé à un examen insuffisant de l’affaire.</w:t>
      </w:r>
      <w:r w:rsidRPr="00AF26A8">
        <w:rPr>
          <w:rFonts w:cstheme="minorHAnsi"/>
        </w:rPr>
        <w:t xml:space="preserve"> </w:t>
      </w:r>
      <w:r>
        <w:rPr>
          <w:rFonts w:cstheme="minorHAnsi"/>
        </w:rPr>
        <w:t xml:space="preserve">Elle alléguait à cet égard que les </w:t>
      </w:r>
      <w:r w:rsidRPr="00761E1D">
        <w:rPr>
          <w:rFonts w:cstheme="minorHAnsi"/>
        </w:rPr>
        <w:t xml:space="preserve">policiers qui avaient </w:t>
      </w:r>
      <w:r w:rsidR="00C069BA">
        <w:rPr>
          <w:rFonts w:cstheme="minorHAnsi"/>
        </w:rPr>
        <w:t>surveillé la manifestation du 2 </w:t>
      </w:r>
      <w:r w:rsidRPr="00761E1D">
        <w:rPr>
          <w:rFonts w:cstheme="minorHAnsi"/>
        </w:rPr>
        <w:t>septembre 2006 n</w:t>
      </w:r>
      <w:r>
        <w:rPr>
          <w:rFonts w:cstheme="minorHAnsi"/>
        </w:rPr>
        <w:t>’</w:t>
      </w:r>
      <w:r w:rsidRPr="00761E1D">
        <w:rPr>
          <w:rFonts w:cstheme="minorHAnsi"/>
        </w:rPr>
        <w:t>avaient pas relaté l</w:t>
      </w:r>
      <w:r>
        <w:rPr>
          <w:rFonts w:cstheme="minorHAnsi"/>
        </w:rPr>
        <w:t>’</w:t>
      </w:r>
      <w:r w:rsidRPr="00761E1D">
        <w:rPr>
          <w:rFonts w:cstheme="minorHAnsi"/>
        </w:rPr>
        <w:t>intégralité de son discours dans leur procès-verbal, que, faute d</w:t>
      </w:r>
      <w:r>
        <w:rPr>
          <w:rFonts w:cstheme="minorHAnsi"/>
        </w:rPr>
        <w:t>’</w:t>
      </w:r>
      <w:r w:rsidRPr="00761E1D">
        <w:rPr>
          <w:rFonts w:cstheme="minorHAnsi"/>
        </w:rPr>
        <w:t>avoir enregistré son intervention au moyen d</w:t>
      </w:r>
      <w:r>
        <w:rPr>
          <w:rFonts w:cstheme="minorHAnsi"/>
        </w:rPr>
        <w:t>’</w:t>
      </w:r>
      <w:r w:rsidRPr="00761E1D">
        <w:rPr>
          <w:rFonts w:cstheme="minorHAnsi"/>
        </w:rPr>
        <w:t>une caméra ou d</w:t>
      </w:r>
      <w:r>
        <w:rPr>
          <w:rFonts w:cstheme="minorHAnsi"/>
        </w:rPr>
        <w:t>’</w:t>
      </w:r>
      <w:r w:rsidRPr="00761E1D">
        <w:rPr>
          <w:rFonts w:cstheme="minorHAnsi"/>
        </w:rPr>
        <w:t>un enregistreur audio, ils avaient déformé ses propos, et qu</w:t>
      </w:r>
      <w:r>
        <w:rPr>
          <w:rFonts w:cstheme="minorHAnsi"/>
        </w:rPr>
        <w:t>’</w:t>
      </w:r>
      <w:r w:rsidRPr="00761E1D">
        <w:rPr>
          <w:rFonts w:cstheme="minorHAnsi"/>
        </w:rPr>
        <w:t>en tout état de cause ils ne pouvaient</w:t>
      </w:r>
      <w:r>
        <w:rPr>
          <w:rFonts w:cstheme="minorHAnsi"/>
        </w:rPr>
        <w:t xml:space="preserve"> pas légalement surveiller la manifestation en question et prendre des notes en l’absence d’une décision d’un magistrat. Elle indiquait à ce sujet que cette dernière circonstance rendait</w:t>
      </w:r>
      <w:r w:rsidRPr="00FF24AA">
        <w:rPr>
          <w:rFonts w:cstheme="minorHAnsi"/>
        </w:rPr>
        <w:t xml:space="preserve"> </w:t>
      </w:r>
      <w:r>
        <w:rPr>
          <w:rFonts w:cstheme="minorHAnsi"/>
        </w:rPr>
        <w:t>le procès</w:t>
      </w:r>
      <w:r>
        <w:rPr>
          <w:rFonts w:cstheme="minorHAnsi"/>
        </w:rPr>
        <w:noBreakHyphen/>
        <w:t>verbal</w:t>
      </w:r>
      <w:r w:rsidRPr="00FF24AA">
        <w:rPr>
          <w:rFonts w:cstheme="minorHAnsi"/>
        </w:rPr>
        <w:t xml:space="preserve"> </w:t>
      </w:r>
      <w:r>
        <w:rPr>
          <w:rFonts w:cstheme="minorHAnsi"/>
        </w:rPr>
        <w:t>irrecevable en tant qu’élément de preuve. La requérante soutenait en outre qu’il existait des contradictions entre</w:t>
      </w:r>
      <w:r w:rsidRPr="00C52A68">
        <w:rPr>
          <w:rFonts w:cstheme="minorHAnsi"/>
        </w:rPr>
        <w:t xml:space="preserve"> </w:t>
      </w:r>
      <w:r>
        <w:rPr>
          <w:rFonts w:cstheme="minorHAnsi"/>
        </w:rPr>
        <w:t>la retranscription de</w:t>
      </w:r>
      <w:r w:rsidRPr="00002ECE">
        <w:rPr>
          <w:rFonts w:cstheme="minorHAnsi"/>
        </w:rPr>
        <w:t xml:space="preserve"> </w:t>
      </w:r>
      <w:r>
        <w:rPr>
          <w:rFonts w:cstheme="minorHAnsi"/>
        </w:rPr>
        <w:t>ses déclarations par les policiers dans leur procès-verbal et la version de celles-ci publiée par la presse. Elle précisait que cette dernière version ne contenait pas les propos qui lui ét</w:t>
      </w:r>
      <w:r w:rsidRPr="005F1216">
        <w:rPr>
          <w:rFonts w:cstheme="minorHAnsi"/>
        </w:rPr>
        <w:t>aient</w:t>
      </w:r>
      <w:r>
        <w:rPr>
          <w:rFonts w:cstheme="minorHAnsi"/>
        </w:rPr>
        <w:t xml:space="preserve"> reprochés et que, </w:t>
      </w:r>
      <w:r w:rsidRPr="00730776">
        <w:rPr>
          <w:rFonts w:cstheme="minorHAnsi"/>
        </w:rPr>
        <w:t xml:space="preserve">malgré son démenti, dans sa déposition, relativement </w:t>
      </w:r>
      <w:r>
        <w:rPr>
          <w:rFonts w:cstheme="minorHAnsi"/>
        </w:rPr>
        <w:t>aux</w:t>
      </w:r>
      <w:r w:rsidRPr="00730776">
        <w:rPr>
          <w:rFonts w:cstheme="minorHAnsi"/>
        </w:rPr>
        <w:t xml:space="preserve"> propos litigieux</w:t>
      </w:r>
      <w:r>
        <w:rPr>
          <w:rFonts w:cstheme="minorHAnsi"/>
        </w:rPr>
        <w:t xml:space="preserve">, la cour d’assises </w:t>
      </w:r>
      <w:r w:rsidRPr="001E59BE">
        <w:rPr>
          <w:rFonts w:cstheme="minorHAnsi"/>
        </w:rPr>
        <w:t>n</w:t>
      </w:r>
      <w:r>
        <w:rPr>
          <w:rFonts w:cstheme="minorHAnsi"/>
        </w:rPr>
        <w:t>’</w:t>
      </w:r>
      <w:r w:rsidRPr="001E59BE">
        <w:rPr>
          <w:rFonts w:cstheme="minorHAnsi"/>
        </w:rPr>
        <w:t xml:space="preserve">avait </w:t>
      </w:r>
      <w:r w:rsidRPr="00112874">
        <w:rPr>
          <w:rFonts w:cstheme="minorHAnsi"/>
        </w:rPr>
        <w:t xml:space="preserve">cherché ni à élucider </w:t>
      </w:r>
      <w:r>
        <w:rPr>
          <w:rFonts w:cstheme="minorHAnsi"/>
        </w:rPr>
        <w:t>la divergence</w:t>
      </w:r>
      <w:r w:rsidRPr="00112874">
        <w:rPr>
          <w:rFonts w:cstheme="minorHAnsi"/>
        </w:rPr>
        <w:t xml:space="preserve"> </w:t>
      </w:r>
      <w:r>
        <w:rPr>
          <w:rFonts w:cstheme="minorHAnsi"/>
        </w:rPr>
        <w:t xml:space="preserve">qui aurait ainsi existé </w:t>
      </w:r>
      <w:r w:rsidRPr="00112874">
        <w:rPr>
          <w:rFonts w:cstheme="minorHAnsi"/>
        </w:rPr>
        <w:t xml:space="preserve">ni à obtenir des copies </w:t>
      </w:r>
      <w:r w:rsidRPr="00761E1D">
        <w:rPr>
          <w:rFonts w:cstheme="minorHAnsi"/>
        </w:rPr>
        <w:t>des enregistrements de son discours que les organes de presse auraient détenus. Elle arguait ensuite que les policiers auteurs du procès-verbal, dont les dépositions avaient été recueillies par la cour d</w:t>
      </w:r>
      <w:r>
        <w:rPr>
          <w:rFonts w:cstheme="minorHAnsi"/>
        </w:rPr>
        <w:t>’</w:t>
      </w:r>
      <w:r w:rsidRPr="00761E1D">
        <w:rPr>
          <w:rFonts w:cstheme="minorHAnsi"/>
        </w:rPr>
        <w:t>assises, ne pouvaient pas</w:t>
      </w:r>
      <w:r w:rsidRPr="001E59BE">
        <w:rPr>
          <w:rFonts w:cstheme="minorHAnsi"/>
        </w:rPr>
        <w:t xml:space="preserve"> </w:t>
      </w:r>
      <w:r>
        <w:rPr>
          <w:rFonts w:cstheme="minorHAnsi"/>
        </w:rPr>
        <w:t xml:space="preserve">être considérés comme des témoins car, selon elle, ils n’étaient en tout état de cause pas en mesure de </w:t>
      </w:r>
      <w:r w:rsidRPr="001E59BE">
        <w:rPr>
          <w:rFonts w:cstheme="minorHAnsi"/>
        </w:rPr>
        <w:t>contredire le procès</w:t>
      </w:r>
      <w:r>
        <w:rPr>
          <w:rFonts w:cstheme="minorHAnsi"/>
        </w:rPr>
        <w:noBreakHyphen/>
      </w:r>
      <w:r w:rsidRPr="001E59BE">
        <w:rPr>
          <w:rFonts w:cstheme="minorHAnsi"/>
        </w:rPr>
        <w:t>verbal qu</w:t>
      </w:r>
      <w:r>
        <w:rPr>
          <w:rFonts w:cstheme="minorHAnsi"/>
        </w:rPr>
        <w:t>’</w:t>
      </w:r>
      <w:r w:rsidRPr="00112874">
        <w:rPr>
          <w:rFonts w:cstheme="minorHAnsi"/>
        </w:rPr>
        <w:t>ils avaient eux-mêmes</w:t>
      </w:r>
      <w:r>
        <w:rPr>
          <w:rFonts w:cstheme="minorHAnsi"/>
        </w:rPr>
        <w:t xml:space="preserve"> précédemment établi. Reprochant en outre à la cour d’assises de ne pas avoir entendu en tant que témoins les participants à la manifestation et les membres de la presse, elle demandait que les dépositions de quatre personnes présentes lors de son discours, qu’elle désignait nommément, fussent recueillies aux fins de la détermination du contenu de son intervention. Elle soutenait enfin que son discours portait sur la nécessité de la résolution du </w:t>
      </w:r>
      <w:r w:rsidRPr="001E59BE">
        <w:rPr>
          <w:rFonts w:cstheme="minorHAnsi"/>
        </w:rPr>
        <w:t xml:space="preserve">problème kurde par des moyens démocratiques et pacifiques, </w:t>
      </w:r>
      <w:r w:rsidRPr="00112874">
        <w:rPr>
          <w:rFonts w:cstheme="minorHAnsi"/>
        </w:rPr>
        <w:t>qu</w:t>
      </w:r>
      <w:r>
        <w:rPr>
          <w:rFonts w:cstheme="minorHAnsi"/>
        </w:rPr>
        <w:t>’</w:t>
      </w:r>
      <w:r w:rsidRPr="00112874">
        <w:rPr>
          <w:rFonts w:cstheme="minorHAnsi"/>
        </w:rPr>
        <w:t>il ne visait pas à faire de la propagande en faveur d</w:t>
      </w:r>
      <w:r>
        <w:rPr>
          <w:rFonts w:cstheme="minorHAnsi"/>
        </w:rPr>
        <w:t>’</w:t>
      </w:r>
      <w:r w:rsidRPr="00112874">
        <w:rPr>
          <w:rFonts w:cstheme="minorHAnsi"/>
        </w:rPr>
        <w:t>une organisation terroriste et qu</w:t>
      </w:r>
      <w:r>
        <w:rPr>
          <w:rFonts w:cstheme="minorHAnsi"/>
        </w:rPr>
        <w:t>’</w:t>
      </w:r>
      <w:r w:rsidRPr="00112874">
        <w:rPr>
          <w:rFonts w:cstheme="minorHAnsi"/>
        </w:rPr>
        <w:t>il devait être</w:t>
      </w:r>
      <w:r>
        <w:rPr>
          <w:rFonts w:cstheme="minorHAnsi"/>
        </w:rPr>
        <w:t xml:space="preserve"> considéré comme un exercice par elle de son droit à la liberté d’expression.</w:t>
      </w:r>
    </w:p>
    <w:p w:rsidRPr="003933F5" w:rsidR="00F2568C" w:rsidP="00F2568C" w:rsidRDefault="00F2568C">
      <w:pPr>
        <w:pStyle w:val="JuPara"/>
        <w:rPr>
          <w:rFonts w:cstheme="minorHAnsi"/>
        </w:rPr>
      </w:pPr>
      <w:r>
        <w:rPr>
          <w:rFonts w:cstheme="minorHAnsi"/>
        </w:rPr>
        <w:t xml:space="preserve">11.  Le 20 octobre 2010, la Cour de cassation rejeta le pourvoi de la requérante </w:t>
      </w:r>
      <w:r w:rsidRPr="005B2D1A">
        <w:rPr>
          <w:rFonts w:cstheme="minorHAnsi"/>
        </w:rPr>
        <w:t>et confirma l</w:t>
      </w:r>
      <w:r>
        <w:rPr>
          <w:rFonts w:cstheme="minorHAnsi"/>
        </w:rPr>
        <w:t>’</w:t>
      </w:r>
      <w:r w:rsidRPr="005B2D1A">
        <w:rPr>
          <w:rFonts w:cstheme="minorHAnsi"/>
        </w:rPr>
        <w:t>arrêt de la cour d</w:t>
      </w:r>
      <w:r>
        <w:rPr>
          <w:rFonts w:cstheme="minorHAnsi"/>
        </w:rPr>
        <w:t>’</w:t>
      </w:r>
      <w:r w:rsidRPr="005B2D1A">
        <w:rPr>
          <w:rFonts w:cstheme="minorHAnsi"/>
        </w:rPr>
        <w:t>assises. Elle estima que les arguments de la requérante étaient sans emport compte tenu de la manière dont la procédure s</w:t>
      </w:r>
      <w:r>
        <w:rPr>
          <w:rFonts w:cstheme="minorHAnsi"/>
        </w:rPr>
        <w:t>’</w:t>
      </w:r>
      <w:r w:rsidRPr="005B2D1A">
        <w:rPr>
          <w:rFonts w:cstheme="minorHAnsi"/>
        </w:rPr>
        <w:t>était déroulée, des éléments de preuve qui avaient été collectés et de la conviction et du jugement que la cour d</w:t>
      </w:r>
      <w:r>
        <w:rPr>
          <w:rFonts w:cstheme="minorHAnsi"/>
        </w:rPr>
        <w:t>’</w:t>
      </w:r>
      <w:r w:rsidRPr="005B2D1A">
        <w:rPr>
          <w:rFonts w:cstheme="minorHAnsi"/>
        </w:rPr>
        <w:t>assises s</w:t>
      </w:r>
      <w:r>
        <w:rPr>
          <w:rFonts w:cstheme="minorHAnsi"/>
        </w:rPr>
        <w:t>’</w:t>
      </w:r>
      <w:r w:rsidRPr="005B2D1A">
        <w:rPr>
          <w:rFonts w:cstheme="minorHAnsi"/>
        </w:rPr>
        <w:t>était forgés à la lumière des résultats</w:t>
      </w:r>
      <w:r w:rsidRPr="003933F5">
        <w:rPr>
          <w:rFonts w:cstheme="minorHAnsi"/>
        </w:rPr>
        <w:t xml:space="preserve"> des poursuites pénales et du contenu du dossier.</w:t>
      </w:r>
    </w:p>
    <w:p w:rsidRPr="00877885" w:rsidR="00F2568C" w:rsidP="00F2568C" w:rsidRDefault="00F2568C">
      <w:pPr>
        <w:pStyle w:val="JuPara"/>
        <w:rPr>
          <w:rFonts w:cstheme="minorHAnsi"/>
        </w:rPr>
      </w:pPr>
      <w:r>
        <w:rPr>
          <w:rFonts w:cstheme="minorHAnsi"/>
        </w:rPr>
        <w:t>12</w:t>
      </w:r>
      <w:r w:rsidRPr="003933F5">
        <w:rPr>
          <w:rFonts w:cstheme="minorHAnsi"/>
        </w:rPr>
        <w:t>.  Le 13 janvier 2014, la cour d</w:t>
      </w:r>
      <w:r>
        <w:rPr>
          <w:rFonts w:cstheme="minorHAnsi"/>
        </w:rPr>
        <w:t>’</w:t>
      </w:r>
      <w:r w:rsidRPr="003933F5">
        <w:rPr>
          <w:rFonts w:cstheme="minorHAnsi"/>
        </w:rPr>
        <w:t>assises, prenant acte de l</w:t>
      </w:r>
      <w:r>
        <w:rPr>
          <w:rFonts w:cstheme="minorHAnsi"/>
        </w:rPr>
        <w:t>’</w:t>
      </w:r>
      <w:r w:rsidRPr="003933F5">
        <w:rPr>
          <w:rFonts w:cstheme="minorHAnsi"/>
        </w:rPr>
        <w:t>entrée en vigueur de la loi n</w:t>
      </w:r>
      <w:r w:rsidRPr="003933F5">
        <w:rPr>
          <w:rFonts w:cstheme="minorHAnsi"/>
          <w:vertAlign w:val="superscript"/>
        </w:rPr>
        <w:t>o</w:t>
      </w:r>
      <w:r w:rsidRPr="003933F5">
        <w:rPr>
          <w:rFonts w:cstheme="minorHAnsi"/>
        </w:rPr>
        <w:t xml:space="preserve"> 6352 (paragraphe 16 ci-dessous), décida,</w:t>
      </w:r>
      <w:r w:rsidRPr="0053126A">
        <w:rPr>
          <w:rFonts w:cstheme="minorHAnsi"/>
        </w:rPr>
        <w:t xml:space="preserve"> </w:t>
      </w:r>
      <w:r w:rsidRPr="00A3595E">
        <w:rPr>
          <w:rFonts w:cstheme="minorHAnsi"/>
        </w:rPr>
        <w:t>en application de l</w:t>
      </w:r>
      <w:r>
        <w:rPr>
          <w:rFonts w:cstheme="minorHAnsi"/>
        </w:rPr>
        <w:t>’</w:t>
      </w:r>
      <w:r w:rsidRPr="00A3595E">
        <w:rPr>
          <w:rFonts w:cstheme="minorHAnsi"/>
        </w:rPr>
        <w:t>article 1 provisoire de ce</w:t>
      </w:r>
      <w:r>
        <w:rPr>
          <w:rFonts w:cstheme="minorHAnsi"/>
        </w:rPr>
        <w:t>lle-ci,</w:t>
      </w:r>
      <w:r w:rsidRPr="00A3595E">
        <w:rPr>
          <w:rFonts w:cstheme="minorHAnsi"/>
        </w:rPr>
        <w:t xml:space="preserve"> de surseoir à l</w:t>
      </w:r>
      <w:r>
        <w:rPr>
          <w:rFonts w:cstheme="minorHAnsi"/>
        </w:rPr>
        <w:t>’</w:t>
      </w:r>
      <w:r w:rsidRPr="00A3595E">
        <w:rPr>
          <w:rFonts w:cstheme="minorHAnsi"/>
        </w:rPr>
        <w:t>exécution de la peine infligée à la requérante</w:t>
      </w:r>
      <w:r>
        <w:rPr>
          <w:rFonts w:cstheme="minorHAnsi"/>
        </w:rPr>
        <w:t>, avant que l’intéressée commence à la purger</w:t>
      </w:r>
      <w:r w:rsidRPr="00A3595E">
        <w:rPr>
          <w:rFonts w:cstheme="minorHAnsi"/>
        </w:rPr>
        <w:t>.</w:t>
      </w:r>
    </w:p>
    <w:p w:rsidRPr="00291E8F" w:rsidR="00F2568C" w:rsidP="00F2568C" w:rsidRDefault="00F2568C">
      <w:pPr>
        <w:pStyle w:val="JuHIRoman"/>
        <w:numPr>
          <w:ilvl w:val="0"/>
          <w:numId w:val="0"/>
        </w:numPr>
        <w:ind w:left="357"/>
      </w:pPr>
      <w:r>
        <w:t>II.  LE DROIT</w:t>
      </w:r>
      <w:r w:rsidRPr="00291E8F">
        <w:t xml:space="preserve"> INTERNE PERTINENT</w:t>
      </w:r>
    </w:p>
    <w:p w:rsidRPr="00877885" w:rsidR="00F2568C" w:rsidP="00F2568C" w:rsidRDefault="00F2568C">
      <w:pPr>
        <w:pStyle w:val="JuHA"/>
        <w:numPr>
          <w:ilvl w:val="0"/>
          <w:numId w:val="0"/>
        </w:numPr>
        <w:ind w:left="584"/>
      </w:pPr>
      <w:r w:rsidRPr="00877885">
        <w:t>A.  L</w:t>
      </w:r>
      <w:r>
        <w:t>’</w:t>
      </w:r>
      <w:r w:rsidRPr="00877885">
        <w:t>article 7 § 2 de la loi n</w:t>
      </w:r>
      <w:r w:rsidRPr="00877885">
        <w:rPr>
          <w:vertAlign w:val="superscript"/>
        </w:rPr>
        <w:t>o</w:t>
      </w:r>
      <w:r w:rsidRPr="00877885">
        <w:t xml:space="preserve"> 3713</w:t>
      </w:r>
    </w:p>
    <w:p w:rsidRPr="00877885" w:rsidR="00F2568C" w:rsidP="00F2568C" w:rsidRDefault="00F2568C">
      <w:pPr>
        <w:pStyle w:val="JuPara"/>
      </w:pPr>
      <w:r>
        <w:t>13</w:t>
      </w:r>
      <w:r w:rsidRPr="00877885">
        <w:t>.  L</w:t>
      </w:r>
      <w:r>
        <w:t>’</w:t>
      </w:r>
      <w:r w:rsidRPr="00877885">
        <w:t>article 7 § 2 de la loi n</w:t>
      </w:r>
      <w:r w:rsidRPr="00877885">
        <w:rPr>
          <w:vertAlign w:val="superscript"/>
        </w:rPr>
        <w:t>o</w:t>
      </w:r>
      <w:r w:rsidRPr="00877885">
        <w:t xml:space="preserve"> 3713 relative à la lutte contre le terrorisme, entrée en vigueur le 12 avril 1991, </w:t>
      </w:r>
      <w:r>
        <w:t>se lisait comme suit</w:t>
      </w:r>
      <w:r w:rsidRPr="00877885">
        <w:t> :</w:t>
      </w:r>
    </w:p>
    <w:p w:rsidRPr="00877885" w:rsidR="00F2568C" w:rsidP="00F2568C" w:rsidRDefault="00F2568C">
      <w:pPr>
        <w:pStyle w:val="JuQuot"/>
      </w:pPr>
      <w:r w:rsidRPr="00877885">
        <w:t>«</w:t>
      </w:r>
      <w:r>
        <w:t> </w:t>
      </w:r>
      <w:r w:rsidRPr="00877885">
        <w:t>Quiconque apporte une assistance aux organisations mentionnées [à l</w:t>
      </w:r>
      <w:r>
        <w:t>’</w:t>
      </w:r>
      <w:r w:rsidRPr="00877885">
        <w:t>alinéa ci</w:t>
      </w:r>
      <w:r>
        <w:noBreakHyphen/>
      </w:r>
      <w:r w:rsidRPr="00877885">
        <w:t>dessus] et fait de la propagande en leur faveur sera condamné à une peine de un an à cinq ans d</w:t>
      </w:r>
      <w:r>
        <w:t>’</w:t>
      </w:r>
      <w:r w:rsidRPr="00877885">
        <w:t>emprisonnement ainsi qu</w:t>
      </w:r>
      <w:r>
        <w:t>’</w:t>
      </w:r>
      <w:r w:rsidRPr="00877885">
        <w:t>à une peine d</w:t>
      </w:r>
      <w:r>
        <w:t>’</w:t>
      </w:r>
      <w:r w:rsidRPr="00877885">
        <w:t>amende de 50 millions à 100</w:t>
      </w:r>
      <w:r>
        <w:t> </w:t>
      </w:r>
      <w:r w:rsidRPr="00877885">
        <w:t>millions de livres (...)</w:t>
      </w:r>
      <w:r>
        <w:t> </w:t>
      </w:r>
      <w:r w:rsidRPr="00877885">
        <w:t>»</w:t>
      </w:r>
    </w:p>
    <w:p w:rsidRPr="00877885" w:rsidR="00F2568C" w:rsidP="00F2568C" w:rsidRDefault="00F2568C">
      <w:pPr>
        <w:pStyle w:val="JuPara"/>
      </w:pPr>
      <w:r>
        <w:t>14</w:t>
      </w:r>
      <w:r w:rsidRPr="00877885">
        <w:t>.  Après avoir été modifié par la loi n</w:t>
      </w:r>
      <w:r w:rsidRPr="00877885">
        <w:rPr>
          <w:vertAlign w:val="superscript"/>
        </w:rPr>
        <w:t>o</w:t>
      </w:r>
      <w:r w:rsidRPr="00877885">
        <w:t xml:space="preserve"> 5532, entrée en vigueur le 18 juillet 2006, l</w:t>
      </w:r>
      <w:r>
        <w:t>’</w:t>
      </w:r>
      <w:r w:rsidRPr="00877885">
        <w:t>article 7 § 2 de la loi n</w:t>
      </w:r>
      <w:r w:rsidRPr="00877885">
        <w:rPr>
          <w:vertAlign w:val="superscript"/>
        </w:rPr>
        <w:t>o</w:t>
      </w:r>
      <w:r w:rsidRPr="00877885">
        <w:t xml:space="preserve"> 3713 disposait</w:t>
      </w:r>
      <w:r>
        <w:t xml:space="preserve"> ce qui suit</w:t>
      </w:r>
      <w:r w:rsidRPr="00877885">
        <w:t> :</w:t>
      </w:r>
    </w:p>
    <w:p w:rsidRPr="00877885" w:rsidR="00F2568C" w:rsidP="00F2568C" w:rsidRDefault="00F2568C">
      <w:pPr>
        <w:pStyle w:val="JuQuot"/>
      </w:pPr>
      <w:r w:rsidRPr="00877885">
        <w:t>«</w:t>
      </w:r>
      <w:r>
        <w:t> </w:t>
      </w:r>
      <w:r w:rsidRPr="00877885">
        <w:t>Quiconque fait de la propagande en faveur d</w:t>
      </w:r>
      <w:r>
        <w:t>’</w:t>
      </w:r>
      <w:r w:rsidRPr="00877885">
        <w:t>une organisation terroriste sera condamné à une peine de un an à cinq ans d</w:t>
      </w:r>
      <w:r>
        <w:t>’</w:t>
      </w:r>
      <w:r w:rsidRPr="00877885">
        <w:t>emprisonnement (...)</w:t>
      </w:r>
      <w:r>
        <w:t> </w:t>
      </w:r>
      <w:r w:rsidRPr="00877885">
        <w:t>»</w:t>
      </w:r>
    </w:p>
    <w:p w:rsidRPr="00877885" w:rsidR="00F2568C" w:rsidP="00F2568C" w:rsidRDefault="00F2568C">
      <w:pPr>
        <w:pStyle w:val="JuPara"/>
      </w:pPr>
      <w:r>
        <w:t>15</w:t>
      </w:r>
      <w:r w:rsidRPr="00877885">
        <w:t>.  Depuis la modification opérée par la loi n</w:t>
      </w:r>
      <w:r w:rsidRPr="00877885">
        <w:rPr>
          <w:vertAlign w:val="superscript"/>
        </w:rPr>
        <w:t>o</w:t>
      </w:r>
      <w:r w:rsidRPr="00877885">
        <w:t xml:space="preserve"> 6459, entrée en vigueur le 30</w:t>
      </w:r>
      <w:r>
        <w:t> </w:t>
      </w:r>
      <w:r w:rsidRPr="00877885">
        <w:t>avril 2013, cette disposition est ainsi libellée</w:t>
      </w:r>
      <w:r>
        <w:t> </w:t>
      </w:r>
      <w:r w:rsidRPr="00877885">
        <w:t>:</w:t>
      </w:r>
    </w:p>
    <w:p w:rsidRPr="00877885" w:rsidR="00F2568C" w:rsidP="00F2568C" w:rsidRDefault="00F2568C">
      <w:pPr>
        <w:pStyle w:val="JuQuot"/>
      </w:pPr>
      <w:r w:rsidRPr="00877885">
        <w:t>« Quiconque fait de la propagande en faveur d</w:t>
      </w:r>
      <w:r>
        <w:t>’</w:t>
      </w:r>
      <w:r w:rsidRPr="00877885">
        <w:t>une organisation terroriste en légitimant les méthodes de contrainte, de violence ou de menace de ce type d</w:t>
      </w:r>
      <w:r>
        <w:t>’</w:t>
      </w:r>
      <w:r w:rsidRPr="00877885">
        <w:t>organisations, en faisant leur apologie ou en incitant à leur utilisation sera condamné à une peine de un an à cinq ans d</w:t>
      </w:r>
      <w:r>
        <w:t>’</w:t>
      </w:r>
      <w:r w:rsidRPr="00877885">
        <w:t>emprisonnement (...)</w:t>
      </w:r>
      <w:r>
        <w:t> </w:t>
      </w:r>
      <w:r w:rsidRPr="00877885">
        <w:t>»</w:t>
      </w:r>
    </w:p>
    <w:p w:rsidRPr="00877885" w:rsidR="00F2568C" w:rsidP="00F2568C" w:rsidRDefault="00F2568C">
      <w:pPr>
        <w:pStyle w:val="JuHA"/>
        <w:numPr>
          <w:ilvl w:val="0"/>
          <w:numId w:val="0"/>
        </w:numPr>
        <w:ind w:left="584"/>
      </w:pPr>
      <w:r>
        <w:t>B.  </w:t>
      </w:r>
      <w:r w:rsidRPr="00877885">
        <w:t>La loi n</w:t>
      </w:r>
      <w:r w:rsidRPr="00877885">
        <w:rPr>
          <w:vertAlign w:val="superscript"/>
        </w:rPr>
        <w:t>o</w:t>
      </w:r>
      <w:r w:rsidRPr="00877885">
        <w:t xml:space="preserve"> 6352</w:t>
      </w:r>
    </w:p>
    <w:p w:rsidR="00F2568C" w:rsidP="00F2568C" w:rsidRDefault="00F2568C">
      <w:pPr>
        <w:pStyle w:val="JuPara"/>
      </w:pPr>
      <w:r>
        <w:t>16.  </w:t>
      </w:r>
      <w:r w:rsidRPr="00EE3F22">
        <w:t>La loi n</w:t>
      </w:r>
      <w:r w:rsidRPr="00EE3F22">
        <w:rPr>
          <w:vertAlign w:val="superscript"/>
        </w:rPr>
        <w:t>o</w:t>
      </w:r>
      <w:r w:rsidRPr="00EE3F22">
        <w:t xml:space="preserve"> 6352, intitulée «</w:t>
      </w:r>
      <w:r>
        <w:t> l</w:t>
      </w:r>
      <w:r w:rsidRPr="00EE3F22">
        <w:t xml:space="preserve">oi </w:t>
      </w:r>
      <w:r>
        <w:t xml:space="preserve">portant </w:t>
      </w:r>
      <w:r w:rsidRPr="00EE3F22">
        <w:t>modifi</w:t>
      </w:r>
      <w:r>
        <w:t>cation de</w:t>
      </w:r>
      <w:r w:rsidRPr="00EE3F22">
        <w:t xml:space="preserve"> diverses lois </w:t>
      </w:r>
      <w:r>
        <w:t>aux fins de l’optimisation de</w:t>
      </w:r>
      <w:r w:rsidRPr="00EE3F22">
        <w:t xml:space="preserve"> l</w:t>
      </w:r>
      <w:r>
        <w:t>’</w:t>
      </w:r>
      <w:r w:rsidRPr="00EE3F22">
        <w:t xml:space="preserve">efficacité des services judiciaires et de </w:t>
      </w:r>
      <w:r>
        <w:t xml:space="preserve">la </w:t>
      </w:r>
      <w:r w:rsidRPr="00EE3F22">
        <w:t>suspen</w:t>
      </w:r>
      <w:r>
        <w:t>sion</w:t>
      </w:r>
      <w:r w:rsidRPr="00EE3F22">
        <w:t xml:space="preserve"> </w:t>
      </w:r>
      <w:r>
        <w:t>d</w:t>
      </w:r>
      <w:r w:rsidRPr="00EE3F22">
        <w:t xml:space="preserve">es procès et </w:t>
      </w:r>
      <w:r>
        <w:t>d</w:t>
      </w:r>
      <w:r w:rsidRPr="00EE3F22">
        <w:t xml:space="preserve">es peines </w:t>
      </w:r>
      <w:r>
        <w:t>imposées</w:t>
      </w:r>
      <w:r w:rsidRPr="00EE3F22">
        <w:t xml:space="preserve"> dans les affaires concernant les infractions commises par le biais de la presse et des médias</w:t>
      </w:r>
      <w:r>
        <w:t> </w:t>
      </w:r>
      <w:r w:rsidRPr="00EE3F22">
        <w:t>»</w:t>
      </w:r>
      <w:r>
        <w:t>, est</w:t>
      </w:r>
      <w:r w:rsidRPr="00896264">
        <w:t xml:space="preserve"> </w:t>
      </w:r>
      <w:r w:rsidRPr="00EE3F22">
        <w:t xml:space="preserve">entrée en vigueur le 5 juillet 2012. Elle prévoit en son article </w:t>
      </w:r>
      <w:r>
        <w:t xml:space="preserve">1 </w:t>
      </w:r>
      <w:r w:rsidRPr="00EE3F22">
        <w:t>provisoire, alinéas</w:t>
      </w:r>
      <w:r>
        <w:t> </w:t>
      </w:r>
      <w:r w:rsidRPr="00EE3F22">
        <w:t>1</w:t>
      </w:r>
      <w:r>
        <w:t> </w:t>
      </w:r>
      <w:r w:rsidRPr="00EE3F22">
        <w:t>c) et 3</w:t>
      </w:r>
      <w:r>
        <w:t>,</w:t>
      </w:r>
      <w:r w:rsidRPr="00EE3F22">
        <w:t xml:space="preserve"> qu</w:t>
      </w:r>
      <w:r>
        <w:t>’</w:t>
      </w:r>
      <w:r w:rsidRPr="00EE3F22">
        <w:t>il sera sursis pendant une période de trois ans à l</w:t>
      </w:r>
      <w:r>
        <w:t>’</w:t>
      </w:r>
      <w:r w:rsidRPr="00EE3F22">
        <w:t xml:space="preserve">exécution de toute peine devenue définitive </w:t>
      </w:r>
      <w:r>
        <w:t xml:space="preserve">consistant en </w:t>
      </w:r>
      <w:r w:rsidRPr="00EE3F22">
        <w:t xml:space="preserve">une amende ou </w:t>
      </w:r>
      <w:r>
        <w:t>en</w:t>
      </w:r>
      <w:r w:rsidRPr="00EE3F22">
        <w:t xml:space="preserve"> un emprisonnement inférieur à cinq ans, infligée pour</w:t>
      </w:r>
      <w:r>
        <w:t xml:space="preserve"> la commission d’</w:t>
      </w:r>
      <w:r w:rsidRPr="00EE3F22">
        <w:t xml:space="preserve">une infraction </w:t>
      </w:r>
      <w:r>
        <w:t>réalisée</w:t>
      </w:r>
      <w:r w:rsidRPr="00EE3F22">
        <w:t xml:space="preserve"> par le biais de la presse, des médias ou d</w:t>
      </w:r>
      <w:r>
        <w:t xml:space="preserve">’autres moyens de </w:t>
      </w:r>
      <w:r w:rsidRPr="00EE3F22">
        <w:t>communication de la pensée et de l</w:t>
      </w:r>
      <w:r>
        <w:t>’</w:t>
      </w:r>
      <w:r w:rsidRPr="00EE3F22">
        <w:t>opinion</w:t>
      </w:r>
      <w:r>
        <w:t xml:space="preserve">, à la condition que l’infraction sanctionnée par une telle peine ait été commise </w:t>
      </w:r>
      <w:r w:rsidRPr="00EE3F22">
        <w:t>avant le 31</w:t>
      </w:r>
      <w:r>
        <w:t> </w:t>
      </w:r>
      <w:r w:rsidRPr="00EE3F22">
        <w:t>décembre 2011.</w:t>
      </w:r>
    </w:p>
    <w:p w:rsidRPr="00291E8F" w:rsidR="00F2568C" w:rsidP="00F2568C" w:rsidRDefault="00F2568C">
      <w:pPr>
        <w:pStyle w:val="JuHHead"/>
        <w:numPr>
          <w:ilvl w:val="0"/>
          <w:numId w:val="23"/>
        </w:numPr>
        <w:jc w:val="both"/>
      </w:pPr>
      <w:r w:rsidRPr="00291E8F">
        <w:t>EN DROIT</w:t>
      </w:r>
    </w:p>
    <w:p w:rsidRPr="00291E8F" w:rsidR="00F2568C" w:rsidP="00F2568C" w:rsidRDefault="00F2568C">
      <w:pPr>
        <w:pStyle w:val="JuHIRoman"/>
        <w:numPr>
          <w:ilvl w:val="0"/>
          <w:numId w:val="0"/>
        </w:numPr>
        <w:ind w:left="357"/>
      </w:pPr>
      <w:r w:rsidRPr="002143DA">
        <w:t>I.</w:t>
      </w:r>
      <w:r w:rsidRPr="00291E8F">
        <w:t>  SUR LA VIOLATION ALLÉGUÉE DE L</w:t>
      </w:r>
      <w:r>
        <w:t>’</w:t>
      </w:r>
      <w:r w:rsidRPr="00291E8F">
        <w:t xml:space="preserve">ARTICLE </w:t>
      </w:r>
      <w:r>
        <w:t>10</w:t>
      </w:r>
      <w:r w:rsidRPr="00291E8F">
        <w:t xml:space="preserve"> DE LA CONVENTION</w:t>
      </w:r>
    </w:p>
    <w:p w:rsidRPr="00291E8F" w:rsidR="00F2568C" w:rsidP="00F2568C" w:rsidRDefault="00F2568C">
      <w:pPr>
        <w:pStyle w:val="JuPara"/>
      </w:pPr>
      <w:r>
        <w:t>17</w:t>
      </w:r>
      <w:r w:rsidRPr="00291E8F">
        <w:t>.  </w:t>
      </w:r>
      <w:r>
        <w:t>La requérante voit dans sa condamnation pénale, qui, selon elle, a été prononcée à l’issue d’une procédure pénale inéquitable, une atteinte à son droit à la liberté d’expression</w:t>
      </w:r>
      <w:r w:rsidRPr="00291E8F">
        <w:t xml:space="preserve"> tel que prévu par l</w:t>
      </w:r>
      <w:r>
        <w:t>’</w:t>
      </w:r>
      <w:r w:rsidRPr="00291E8F">
        <w:t xml:space="preserve">article </w:t>
      </w:r>
      <w:r>
        <w:t>10</w:t>
      </w:r>
      <w:r w:rsidRPr="00291E8F">
        <w:t xml:space="preserve"> de la Convention, ainsi libellé :</w:t>
      </w:r>
    </w:p>
    <w:p w:rsidRPr="00CD0323" w:rsidR="00F2568C" w:rsidP="00F2568C" w:rsidRDefault="00F2568C">
      <w:pPr>
        <w:pStyle w:val="JuQuot"/>
      </w:pPr>
      <w:r w:rsidRPr="00CD0323">
        <w:t>«</w:t>
      </w:r>
      <w:r>
        <w:t> </w:t>
      </w:r>
      <w:r w:rsidRPr="00CD0323">
        <w:t>1</w:t>
      </w:r>
      <w:r>
        <w:t>.  </w:t>
      </w:r>
      <w:r w:rsidRPr="00CD0323">
        <w:t>Toute personne a droit à la liberté d</w:t>
      </w:r>
      <w:r>
        <w:t>’</w:t>
      </w:r>
      <w:r w:rsidRPr="00CD0323">
        <w:t>expression. Ce droit comprend la liberté d</w:t>
      </w:r>
      <w:r>
        <w:t>’</w:t>
      </w:r>
      <w:r w:rsidRPr="00CD0323">
        <w:t>opinion et la liberté de recevoir ou de communiquer des informations ou des idées sans qu</w:t>
      </w:r>
      <w:r>
        <w:t>’</w:t>
      </w:r>
      <w:r w:rsidRPr="00CD0323">
        <w:t>il puisse y avoir ingérence d</w:t>
      </w:r>
      <w:r>
        <w:t>’</w:t>
      </w:r>
      <w:r w:rsidRPr="00CD0323">
        <w:t>autorités publiques et sans considération de frontière. Le présent article n</w:t>
      </w:r>
      <w:r>
        <w:t>’</w:t>
      </w:r>
      <w:r w:rsidRPr="00CD0323">
        <w:t>empêche pas les États de soumettre les entreprises de radiodiffusion, de cinéma ou de télévision à un régime d</w:t>
      </w:r>
      <w:r>
        <w:t>’</w:t>
      </w:r>
      <w:r w:rsidRPr="00CD0323">
        <w:t>autorisations.</w:t>
      </w:r>
    </w:p>
    <w:p w:rsidRPr="00291E8F" w:rsidR="00F2568C" w:rsidP="00F2568C" w:rsidRDefault="00F2568C">
      <w:pPr>
        <w:pStyle w:val="JuQuot"/>
      </w:pPr>
      <w:r w:rsidRPr="00177A43">
        <w:t>2</w:t>
      </w:r>
      <w:r>
        <w:t>.  </w:t>
      </w:r>
      <w:r w:rsidRPr="00CD0323">
        <w:t>L</w:t>
      </w:r>
      <w:r>
        <w:t>’</w:t>
      </w:r>
      <w:r w:rsidRPr="00CD0323">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t>’</w:t>
      </w:r>
      <w:r w:rsidRPr="00CD0323">
        <w:t>intégrité territoriale ou à la sûreté publique, à la défense de l</w:t>
      </w:r>
      <w:r>
        <w:t>’</w:t>
      </w:r>
      <w:r w:rsidRPr="00CD0323">
        <w:t>ordre et à la prévention du crime, à la protection de la santé ou de la morale, à la protection de la réputation ou des droits d</w:t>
      </w:r>
      <w:r>
        <w:t>’</w:t>
      </w:r>
      <w:r w:rsidRPr="00CD0323">
        <w:t>autrui, pour empêcher la divulgation d</w:t>
      </w:r>
      <w:r>
        <w:t>’</w:t>
      </w:r>
      <w:r w:rsidRPr="00CD0323">
        <w:t>informations confidentielles ou pour garantir l</w:t>
      </w:r>
      <w:r>
        <w:t>’</w:t>
      </w:r>
      <w:r w:rsidRPr="00CD0323">
        <w:t>autorité et l</w:t>
      </w:r>
      <w:r>
        <w:t>’</w:t>
      </w:r>
      <w:r w:rsidRPr="00CD0323">
        <w:t>impartialité du pouvoir judiciaire.</w:t>
      </w:r>
      <w:r>
        <w:t> </w:t>
      </w:r>
      <w:r w:rsidRPr="00CD0323">
        <w:t>»</w:t>
      </w:r>
    </w:p>
    <w:p w:rsidRPr="00291E8F" w:rsidR="00F2568C" w:rsidP="00F2568C" w:rsidRDefault="00F2568C">
      <w:pPr>
        <w:pStyle w:val="JuHA"/>
        <w:numPr>
          <w:ilvl w:val="0"/>
          <w:numId w:val="0"/>
        </w:numPr>
        <w:ind w:left="584"/>
      </w:pPr>
      <w:r w:rsidRPr="00291E8F">
        <w:t>A.  Sur la recevabilité</w:t>
      </w:r>
    </w:p>
    <w:p w:rsidR="00F2568C" w:rsidP="00F2568C" w:rsidRDefault="00F2568C">
      <w:pPr>
        <w:pStyle w:val="JuPara"/>
      </w:pPr>
      <w:r>
        <w:t>18.  </w:t>
      </w:r>
      <w:r w:rsidRPr="00EA6480">
        <w:t xml:space="preserve">Le </w:t>
      </w:r>
      <w:r w:rsidRPr="00904230">
        <w:t>Gouvernement soulève deux exceptions d</w:t>
      </w:r>
      <w:r>
        <w:t>’</w:t>
      </w:r>
      <w:r w:rsidRPr="00212CB8">
        <w:t>irrecevabilité relatives, l</w:t>
      </w:r>
      <w:r>
        <w:t>’</w:t>
      </w:r>
      <w:r w:rsidRPr="00212CB8">
        <w:t xml:space="preserve">une, </w:t>
      </w:r>
      <w:r>
        <w:t xml:space="preserve">à l’exercice préalable </w:t>
      </w:r>
      <w:r w:rsidRPr="00212CB8">
        <w:t>des voies de recours internes et</w:t>
      </w:r>
      <w:r>
        <w:t>,</w:t>
      </w:r>
      <w:r w:rsidRPr="00212CB8">
        <w:t xml:space="preserve"> l</w:t>
      </w:r>
      <w:r>
        <w:t>’</w:t>
      </w:r>
      <w:r w:rsidRPr="00212CB8">
        <w:t xml:space="preserve">autre, à la qualité </w:t>
      </w:r>
      <w:r w:rsidRPr="005B2D1A">
        <w:t>de victime de la requérante. En ce qui concerne la première exception, il expose que la décision portant sursis à l</w:t>
      </w:r>
      <w:r>
        <w:t>’</w:t>
      </w:r>
      <w:r w:rsidRPr="005B2D1A">
        <w:t>exécution de la peine a été prononcée par la cour d</w:t>
      </w:r>
      <w:r>
        <w:t>’</w:t>
      </w:r>
      <w:r w:rsidRPr="005B2D1A">
        <w:t>assises le 13</w:t>
      </w:r>
      <w:r>
        <w:t xml:space="preserve"> </w:t>
      </w:r>
      <w:r w:rsidRPr="005B2D1A">
        <w:t>janvier 2014, soit après l</w:t>
      </w:r>
      <w:r>
        <w:t>’</w:t>
      </w:r>
      <w:r w:rsidRPr="005B2D1A">
        <w:t>entrée en vigueur du recours individuel devant la Cour constitutionnelle le 23 septembre 2012, mais que la requérante n</w:t>
      </w:r>
      <w:r>
        <w:t>’</w:t>
      </w:r>
      <w:r w:rsidRPr="005B2D1A">
        <w:t>a pas saisi cette haute juridiction d</w:t>
      </w:r>
      <w:r>
        <w:t>’</w:t>
      </w:r>
      <w:r w:rsidRPr="005B2D1A">
        <w:t>un tel recours. Il estime par conséquent que la requête doit être déclarée irrecevable pour non-épuisement des voies de recours internes. Quant à la deuxième exception</w:t>
      </w:r>
      <w:r>
        <w:t>, le Gouvernement considère que, compte tenu de la décision de sursis à l’exécution de la peine, la requérante ne peut prétendre à la qualité de victime.</w:t>
      </w:r>
    </w:p>
    <w:p w:rsidR="00F2568C" w:rsidP="00F2568C" w:rsidRDefault="00F2568C">
      <w:pPr>
        <w:pStyle w:val="JuPara"/>
      </w:pPr>
      <w:r>
        <w:t xml:space="preserve">19.  La requérante rétorque que la décision du 13 janvier 2014 n’avait trait qu’à l’exécution de la peine infligée, et non pas à sa condamnation </w:t>
      </w:r>
      <w:r w:rsidRPr="0065757E">
        <w:t xml:space="preserve">pénale, </w:t>
      </w:r>
      <w:r w:rsidRPr="00DD326E">
        <w:t>devenue définitive à la suite de l</w:t>
      </w:r>
      <w:r>
        <w:t>’</w:t>
      </w:r>
      <w:r w:rsidRPr="00DD326E">
        <w:t>arrêt de la Cour de cassation du 20</w:t>
      </w:r>
      <w:r>
        <w:t> </w:t>
      </w:r>
      <w:r w:rsidRPr="0065757E">
        <w:t>octobre 2010, soit avant l</w:t>
      </w:r>
      <w:r>
        <w:t>’</w:t>
      </w:r>
      <w:r w:rsidRPr="00DD326E">
        <w:t>entrée en vigueur du recours individuel devant la</w:t>
      </w:r>
      <w:r>
        <w:t xml:space="preserve"> Cour constitutionnelle. Elle ajoute qu’une décision de sursis à l’exécution de la peine ne peut emporter annulation définitive de la condamnation pénale.</w:t>
      </w:r>
    </w:p>
    <w:p w:rsidRPr="00744007" w:rsidR="00F2568C" w:rsidP="00F2568C" w:rsidRDefault="00F2568C">
      <w:pPr>
        <w:pStyle w:val="JuPara"/>
        <w:rPr>
          <w:i/>
        </w:rPr>
      </w:pPr>
      <w:r>
        <w:t>20.  En ce qui concerne l’exception de non-épuisement des voies de recours internes, la</w:t>
      </w:r>
      <w:r w:rsidRPr="00EB1052">
        <w:t xml:space="preserve"> Cour </w:t>
      </w:r>
      <w:r w:rsidRPr="005B2D1A">
        <w:t>rappelle avoir déjà jugé que le sursis à l</w:t>
      </w:r>
      <w:r>
        <w:t>’</w:t>
      </w:r>
      <w:r w:rsidRPr="005B2D1A">
        <w:t>exécution des peines prévu par la loi n</w:t>
      </w:r>
      <w:r w:rsidRPr="005B2D1A">
        <w:rPr>
          <w:vertAlign w:val="superscript"/>
        </w:rPr>
        <w:t>o</w:t>
      </w:r>
      <w:r w:rsidRPr="005B2D1A">
        <w:t xml:space="preserve"> 6352 ne consistait pas en une révision du fond de la procédure pénale, mais seulement en une modification portant sur la peine prononcée à l</w:t>
      </w:r>
      <w:r>
        <w:t>’</w:t>
      </w:r>
      <w:r w:rsidRPr="005B2D1A">
        <w:t>issue de cette procédure (</w:t>
      </w:r>
      <w:proofErr w:type="spellStart"/>
      <w:r w:rsidRPr="005B2D1A">
        <w:rPr>
          <w:i/>
        </w:rPr>
        <w:t>Öner</w:t>
      </w:r>
      <w:proofErr w:type="spellEnd"/>
      <w:r w:rsidRPr="005B2D1A">
        <w:rPr>
          <w:i/>
        </w:rPr>
        <w:t xml:space="preserve"> et Türk</w:t>
      </w:r>
      <w:r w:rsidRPr="005B2D1A">
        <w:t xml:space="preserve"> </w:t>
      </w:r>
      <w:r w:rsidRPr="005B2D1A">
        <w:rPr>
          <w:i/>
        </w:rPr>
        <w:t>c. Turquie</w:t>
      </w:r>
      <w:r w:rsidRPr="005B2D1A">
        <w:t>, n</w:t>
      </w:r>
      <w:r w:rsidRPr="005B2D1A">
        <w:rPr>
          <w:vertAlign w:val="superscript"/>
        </w:rPr>
        <w:t>o </w:t>
      </w:r>
      <w:r w:rsidRPr="005B2D1A">
        <w:t>51962/12</w:t>
      </w:r>
      <w:r w:rsidRPr="005B2D1A">
        <w:rPr>
          <w:snapToGrid w:val="0"/>
        </w:rPr>
        <w:t xml:space="preserve">, § 17, 31 </w:t>
      </w:r>
      <w:r w:rsidRPr="005B2D1A">
        <w:t>mars</w:t>
      </w:r>
      <w:r w:rsidRPr="005B2D1A">
        <w:rPr>
          <w:snapToGrid w:val="0"/>
        </w:rPr>
        <w:t xml:space="preserve"> 2015</w:t>
      </w:r>
      <w:r w:rsidRPr="005B2D1A">
        <w:t>).</w:t>
      </w:r>
      <w:r>
        <w:t xml:space="preserve"> En l’espèce, la condamnation pénale de la requérante étant devenue définitive à la suite de l’arrêt de la Cour de cassation du 20 octobre 2010, soit avant l’entrée en vigueur du recours individuel devant la Cour constitutionnelle le 23 septembre 2012 (</w:t>
      </w:r>
      <w:r w:rsidRPr="004E701A">
        <w:rPr>
          <w:i/>
        </w:rPr>
        <w:t>Hasan Uzun c. Turquie</w:t>
      </w:r>
      <w:r>
        <w:t xml:space="preserve"> </w:t>
      </w:r>
      <w:r w:rsidRPr="004E701A">
        <w:t>(déc.), n</w:t>
      </w:r>
      <w:r w:rsidRPr="004E701A">
        <w:rPr>
          <w:vertAlign w:val="superscript"/>
        </w:rPr>
        <w:t>o</w:t>
      </w:r>
      <w:r w:rsidRPr="004E701A">
        <w:t xml:space="preserve"> 10755/13, §§ 25-27, 30 avril 2013</w:t>
      </w:r>
      <w:r>
        <w:t>), l’intéressée ne pouvait pas saisir cette haute juridiction d’un tel recours et lui présenter ses griefs relatifs à la procédure pénale diligentée contre elle (</w:t>
      </w:r>
      <w:r w:rsidRPr="007D096E">
        <w:rPr>
          <w:i/>
        </w:rPr>
        <w:t>ibidem</w:t>
      </w:r>
      <w:r>
        <w:t>). Dès lors,</w:t>
      </w:r>
      <w:r w:rsidRPr="00EB1052">
        <w:t xml:space="preserve"> il convient de rejeter l</w:t>
      </w:r>
      <w:r>
        <w:t>’</w:t>
      </w:r>
      <w:r w:rsidRPr="00EB1052">
        <w:t>exception d</w:t>
      </w:r>
      <w:r>
        <w:t>e</w:t>
      </w:r>
      <w:r w:rsidRPr="00EB1052">
        <w:t xml:space="preserve"> non-épuisement des voies de recours internes </w:t>
      </w:r>
      <w:r>
        <w:t>soulevée par le</w:t>
      </w:r>
      <w:r w:rsidRPr="00EB1052">
        <w:t xml:space="preserve"> Gouvernement.</w:t>
      </w:r>
    </w:p>
    <w:p w:rsidR="00F2568C" w:rsidP="00F2568C" w:rsidRDefault="00F2568C">
      <w:pPr>
        <w:pStyle w:val="JuPara"/>
      </w:pPr>
      <w:r>
        <w:t>21.  Pour ce qui est de l’exception relative à la qualité de victime de la requérante, l</w:t>
      </w:r>
      <w:r w:rsidRPr="00B51CF0">
        <w:t>a Cour</w:t>
      </w:r>
      <w:r>
        <w:t xml:space="preserve"> estime que la mesure de sursis à </w:t>
      </w:r>
      <w:r w:rsidRPr="00B51CF0">
        <w:t>l</w:t>
      </w:r>
      <w:r>
        <w:t>’</w:t>
      </w:r>
      <w:r w:rsidRPr="00B51CF0">
        <w:t xml:space="preserve">exécution de la peine </w:t>
      </w:r>
      <w:r>
        <w:t>était inapte à</w:t>
      </w:r>
      <w:r w:rsidRPr="00B51CF0">
        <w:t xml:space="preserve"> prévenir ou réparer les conséquences </w:t>
      </w:r>
      <w:r>
        <w:t xml:space="preserve">préjudiciables </w:t>
      </w:r>
      <w:r w:rsidRPr="00B51CF0">
        <w:t>de la procédure pénale</w:t>
      </w:r>
      <w:r>
        <w:t xml:space="preserve"> et de la condamnation</w:t>
      </w:r>
      <w:r w:rsidRPr="00B51CF0">
        <w:t xml:space="preserve"> </w:t>
      </w:r>
      <w:r>
        <w:t>directement subies par</w:t>
      </w:r>
      <w:r w:rsidRPr="00B51CF0">
        <w:t xml:space="preserve"> l</w:t>
      </w:r>
      <w:r>
        <w:t>’</w:t>
      </w:r>
      <w:r w:rsidRPr="00B51CF0">
        <w:t>intéressé</w:t>
      </w:r>
      <w:r>
        <w:t>e</w:t>
      </w:r>
      <w:r w:rsidRPr="00B51CF0">
        <w:t xml:space="preserve"> </w:t>
      </w:r>
      <w:r>
        <w:t>à</w:t>
      </w:r>
      <w:r w:rsidRPr="00B51CF0">
        <w:t xml:space="preserve"> raison de l</w:t>
      </w:r>
      <w:r>
        <w:t>’</w:t>
      </w:r>
      <w:r w:rsidRPr="00B51CF0">
        <w:t xml:space="preserve">atteinte </w:t>
      </w:r>
      <w:r>
        <w:t>portée</w:t>
      </w:r>
      <w:r w:rsidRPr="00B51CF0">
        <w:t xml:space="preserve"> à sa liberté d</w:t>
      </w:r>
      <w:r>
        <w:t>’</w:t>
      </w:r>
      <w:r w:rsidRPr="00B51CF0">
        <w:t xml:space="preserve">expression (voir, </w:t>
      </w:r>
      <w:r w:rsidRPr="00B51CF0">
        <w:rPr>
          <w:i/>
        </w:rPr>
        <w:t>mutatis mutandis</w:t>
      </w:r>
      <w:r w:rsidRPr="00B51CF0">
        <w:t xml:space="preserve">, </w:t>
      </w:r>
      <w:proofErr w:type="spellStart"/>
      <w:r w:rsidRPr="00B51CF0">
        <w:rPr>
          <w:i/>
        </w:rPr>
        <w:t>Aslı</w:t>
      </w:r>
      <w:proofErr w:type="spellEnd"/>
      <w:r w:rsidRPr="00B51CF0">
        <w:rPr>
          <w:i/>
        </w:rPr>
        <w:t xml:space="preserve"> </w:t>
      </w:r>
      <w:proofErr w:type="spellStart"/>
      <w:r w:rsidRPr="00B51CF0">
        <w:rPr>
          <w:i/>
        </w:rPr>
        <w:t>Güneş</w:t>
      </w:r>
      <w:proofErr w:type="spellEnd"/>
      <w:r w:rsidRPr="00B51CF0">
        <w:rPr>
          <w:i/>
        </w:rPr>
        <w:t xml:space="preserve"> c. Turquie</w:t>
      </w:r>
      <w:r w:rsidRPr="00B51CF0">
        <w:t xml:space="preserve"> (déc.), n</w:t>
      </w:r>
      <w:r w:rsidRPr="00B51CF0">
        <w:rPr>
          <w:vertAlign w:val="superscript"/>
        </w:rPr>
        <w:t>o</w:t>
      </w:r>
      <w:r>
        <w:rPr>
          <w:vertAlign w:val="superscript"/>
        </w:rPr>
        <w:t> </w:t>
      </w:r>
      <w:r w:rsidRPr="00B51CF0">
        <w:t xml:space="preserve">53916/00, 13 mai 2004, </w:t>
      </w:r>
      <w:proofErr w:type="spellStart"/>
      <w:r w:rsidR="00CE5A5B">
        <w:rPr>
          <w:i/>
        </w:rPr>
        <w:t>Yaşar</w:t>
      </w:r>
      <w:proofErr w:type="spellEnd"/>
      <w:r w:rsidR="00CE5A5B">
        <w:rPr>
          <w:i/>
        </w:rPr>
        <w:t xml:space="preserve"> Kaplan c. </w:t>
      </w:r>
      <w:r w:rsidRPr="00B51CF0">
        <w:rPr>
          <w:i/>
        </w:rPr>
        <w:t>Turquie</w:t>
      </w:r>
      <w:r w:rsidRPr="00B51CF0">
        <w:t>, n</w:t>
      </w:r>
      <w:r w:rsidRPr="00B51CF0">
        <w:rPr>
          <w:vertAlign w:val="superscript"/>
        </w:rPr>
        <w:t>o</w:t>
      </w:r>
      <w:r w:rsidRPr="00B51CF0">
        <w:t xml:space="preserve"> 56566/00, §§ 32 et 33, 24 janvier 2006, et </w:t>
      </w:r>
      <w:proofErr w:type="spellStart"/>
      <w:r w:rsidR="00CE5A5B">
        <w:rPr>
          <w:i/>
          <w:iCs/>
        </w:rPr>
        <w:t>Ergündoğan</w:t>
      </w:r>
      <w:proofErr w:type="spellEnd"/>
      <w:r w:rsidR="00CE5A5B">
        <w:rPr>
          <w:i/>
          <w:iCs/>
        </w:rPr>
        <w:t xml:space="preserve"> c. </w:t>
      </w:r>
      <w:r w:rsidRPr="00B51CF0">
        <w:rPr>
          <w:i/>
          <w:iCs/>
        </w:rPr>
        <w:t>Turquie</w:t>
      </w:r>
      <w:r w:rsidRPr="00B51CF0">
        <w:t>, n</w:t>
      </w:r>
      <w:r w:rsidRPr="00B51CF0">
        <w:rPr>
          <w:vertAlign w:val="superscript"/>
        </w:rPr>
        <w:t>o</w:t>
      </w:r>
      <w:r w:rsidRPr="00B51CF0">
        <w:t xml:space="preserve"> 48979/10, § 17, 17 avril 2018). Il convient donc de rejeter </w:t>
      </w:r>
      <w:r>
        <w:t xml:space="preserve">également </w:t>
      </w:r>
      <w:r w:rsidRPr="00B51CF0">
        <w:t>cette exception.</w:t>
      </w:r>
    </w:p>
    <w:p w:rsidRPr="00EC1BA9" w:rsidR="00F2568C" w:rsidP="00F2568C" w:rsidRDefault="00F2568C">
      <w:pPr>
        <w:pStyle w:val="JuPara"/>
      </w:pPr>
      <w:r>
        <w:t>22.  </w:t>
      </w:r>
      <w:r w:rsidRPr="00EC1BA9">
        <w:t xml:space="preserve">Constatant </w:t>
      </w:r>
      <w:r>
        <w:t xml:space="preserve">par ailleurs </w:t>
      </w:r>
      <w:r w:rsidRPr="00EC1BA9">
        <w:t>que ce grief n</w:t>
      </w:r>
      <w:r>
        <w:t>’</w:t>
      </w:r>
      <w:r w:rsidRPr="00EC1BA9">
        <w:t>est pas manifestement mal fondé au sens de l</w:t>
      </w:r>
      <w:r>
        <w:t>’</w:t>
      </w:r>
      <w:r w:rsidRPr="00EC1BA9">
        <w:t>article</w:t>
      </w:r>
      <w:r>
        <w:t> </w:t>
      </w:r>
      <w:r w:rsidRPr="00EC1BA9">
        <w:t>35</w:t>
      </w:r>
      <w:r>
        <w:t> § 3 </w:t>
      </w:r>
      <w:r w:rsidRPr="00EC1BA9">
        <w:t>a) de la Convention et qu</w:t>
      </w:r>
      <w:r>
        <w:t>’</w:t>
      </w:r>
      <w:r w:rsidRPr="00EC1BA9">
        <w:t>il ne se heurte à aucun autre motif d</w:t>
      </w:r>
      <w:r>
        <w:t>’</w:t>
      </w:r>
      <w:r w:rsidRPr="00EC1BA9">
        <w:t>irrecevabilité, la Cour le déclare recevable.</w:t>
      </w:r>
    </w:p>
    <w:p w:rsidRPr="00291E8F" w:rsidR="00F2568C" w:rsidP="00F2568C" w:rsidRDefault="00F2568C">
      <w:pPr>
        <w:pStyle w:val="JuHA"/>
        <w:numPr>
          <w:ilvl w:val="0"/>
          <w:numId w:val="0"/>
        </w:numPr>
        <w:ind w:left="584"/>
      </w:pPr>
      <w:r w:rsidRPr="00291E8F">
        <w:t>B.  Sur le fond</w:t>
      </w:r>
    </w:p>
    <w:p w:rsidRPr="00C518F9" w:rsidR="00F2568C" w:rsidP="00F2568C" w:rsidRDefault="00F2568C">
      <w:pPr>
        <w:pStyle w:val="JuH1"/>
        <w:numPr>
          <w:ilvl w:val="0"/>
          <w:numId w:val="0"/>
        </w:numPr>
        <w:ind w:left="731"/>
      </w:pPr>
      <w:r w:rsidRPr="00C518F9">
        <w:t>1.</w:t>
      </w:r>
      <w:r>
        <w:t>  </w:t>
      </w:r>
      <w:r w:rsidRPr="00C518F9">
        <w:t>Arguments des parties</w:t>
      </w:r>
    </w:p>
    <w:p w:rsidRPr="00104E94" w:rsidR="00F2568C" w:rsidP="00F2568C" w:rsidRDefault="00C069BA">
      <w:pPr>
        <w:pStyle w:val="JuHa0"/>
        <w:numPr>
          <w:ilvl w:val="0"/>
          <w:numId w:val="0"/>
        </w:numPr>
        <w:ind w:left="975"/>
      </w:pPr>
      <w:r>
        <w:t>a)  </w:t>
      </w:r>
      <w:r w:rsidR="00F2568C">
        <w:t>La r</w:t>
      </w:r>
      <w:r w:rsidRPr="00104E94" w:rsidR="00F2568C">
        <w:t>equérante</w:t>
      </w:r>
    </w:p>
    <w:p w:rsidR="00F2568C" w:rsidP="00F2568C" w:rsidRDefault="00F2568C">
      <w:pPr>
        <w:pStyle w:val="JuPara"/>
      </w:pPr>
      <w:r>
        <w:t>23.  La requérante soutient que le discours qu’elle a tenu le 2 septembre 2006 ne faisait pas l’apologie de la violence, mais qu’il mettait en exergue la nécessité de résoudre le</w:t>
      </w:r>
      <w:r w:rsidRPr="00250351">
        <w:t xml:space="preserve"> problème des </w:t>
      </w:r>
      <w:r>
        <w:t>affrontements</w:t>
      </w:r>
      <w:r w:rsidRPr="00250351">
        <w:t xml:space="preserve"> armés par le dialogue et par des moyens démocratiques et pacifiques. Elle conteste en particulier le contenu du procès-verbal </w:t>
      </w:r>
      <w:r>
        <w:t>é</w:t>
      </w:r>
      <w:r w:rsidRPr="00250351">
        <w:t>tabli par les policiers</w:t>
      </w:r>
      <w:r>
        <w:t xml:space="preserve"> relativement à son intervention</w:t>
      </w:r>
      <w:r w:rsidRPr="00250351">
        <w:t>, qui, selon elle, a été retenu comme base de sa condamnation pénale. À cet égard, elle reproche à la cour d</w:t>
      </w:r>
      <w:r>
        <w:t>’</w:t>
      </w:r>
      <w:r w:rsidRPr="00250351">
        <w:t>assises de ne pas avoir recherché pour</w:t>
      </w:r>
      <w:r>
        <w:t xml:space="preserve"> </w:t>
      </w:r>
      <w:r w:rsidRPr="00250351">
        <w:t>qu</w:t>
      </w:r>
      <w:r>
        <w:t>elle raison</w:t>
      </w:r>
      <w:r w:rsidRPr="00250351">
        <w:t xml:space="preserve"> les policiers n</w:t>
      </w:r>
      <w:r>
        <w:t>’</w:t>
      </w:r>
      <w:r w:rsidRPr="00250351">
        <w:t>avaient pas enregistré</w:t>
      </w:r>
      <w:r>
        <w:t xml:space="preserve"> son discours et de </w:t>
      </w:r>
      <w:r w:rsidRPr="005B2D1A">
        <w:t>ne pas avoir prêté attention à la divergence qui aurait existé entre les propos relatés par les articles de presse portant sur la manifestation en question</w:t>
      </w:r>
      <w:r>
        <w:t xml:space="preserve"> et ceux lui ayant été attribués dans le procès</w:t>
      </w:r>
      <w:r>
        <w:noBreakHyphen/>
        <w:t xml:space="preserve">verbal susmentionné. Elle se plaint enfin que les policiers ayant établi ce procès-verbal n’aient pas déposé devant la cour d’assises en </w:t>
      </w:r>
      <w:r w:rsidRPr="005F1216">
        <w:t xml:space="preserve">sa présence et que </w:t>
      </w:r>
      <w:r>
        <w:t>cette juridiction</w:t>
      </w:r>
      <w:r w:rsidRPr="005F1216">
        <w:t xml:space="preserve"> ait rendu son arrêt en son absence et sans </w:t>
      </w:r>
      <w:r w:rsidRPr="00104E94">
        <w:t xml:space="preserve">avoir </w:t>
      </w:r>
      <w:r w:rsidRPr="005F1216">
        <w:t>entend</w:t>
      </w:r>
      <w:r w:rsidRPr="00104E94">
        <w:t>u</w:t>
      </w:r>
      <w:r w:rsidRPr="005F1216">
        <w:t xml:space="preserve"> </w:t>
      </w:r>
      <w:r w:rsidRPr="00AD6E88">
        <w:t>ses déclarations en défense</w:t>
      </w:r>
      <w:r w:rsidRPr="007F107B">
        <w:t xml:space="preserve"> contre l</w:t>
      </w:r>
      <w:r>
        <w:t>’</w:t>
      </w:r>
      <w:r w:rsidRPr="009A1972">
        <w:t>avis sur le fond du procureur de la République.</w:t>
      </w:r>
    </w:p>
    <w:p w:rsidR="00F2568C" w:rsidP="00F2568C" w:rsidRDefault="00C069BA">
      <w:pPr>
        <w:pStyle w:val="JuHa0"/>
        <w:numPr>
          <w:ilvl w:val="0"/>
          <w:numId w:val="0"/>
        </w:numPr>
        <w:ind w:left="975"/>
      </w:pPr>
      <w:r>
        <w:t>b)  </w:t>
      </w:r>
      <w:r w:rsidR="00F2568C">
        <w:t xml:space="preserve">Le </w:t>
      </w:r>
      <w:r w:rsidRPr="00104E94" w:rsidR="00F2568C">
        <w:t>Gouvernement</w:t>
      </w:r>
    </w:p>
    <w:p w:rsidR="00F2568C" w:rsidP="00F2568C" w:rsidRDefault="00F2568C">
      <w:pPr>
        <w:pStyle w:val="JuPara"/>
      </w:pPr>
      <w:r>
        <w:t>24</w:t>
      </w:r>
      <w:r w:rsidRPr="00AD6E88">
        <w:t>.  Pour le cas où l</w:t>
      </w:r>
      <w:r>
        <w:t>’</w:t>
      </w:r>
      <w:r w:rsidRPr="00AD6E88">
        <w:t>existence</w:t>
      </w:r>
      <w:r w:rsidRPr="009C6E6C">
        <w:t xml:space="preserve"> d</w:t>
      </w:r>
      <w:r>
        <w:t>’</w:t>
      </w:r>
      <w:r w:rsidRPr="009C6E6C">
        <w:t>une ingérence</w:t>
      </w:r>
      <w:r>
        <w:t xml:space="preserve"> dans l’exercice par la</w:t>
      </w:r>
      <w:r w:rsidRPr="009C6E6C">
        <w:t xml:space="preserve"> requérant</w:t>
      </w:r>
      <w:r>
        <w:t>e</w:t>
      </w:r>
      <w:r w:rsidRPr="009C6E6C">
        <w:t xml:space="preserve"> de son droit à la liberté d</w:t>
      </w:r>
      <w:r>
        <w:t>’</w:t>
      </w:r>
      <w:r w:rsidRPr="009C6E6C">
        <w:t>expression serait admise par la Cour, le Gouvernement soutient que cette ingérence était prévue par l</w:t>
      </w:r>
      <w:r>
        <w:t>’</w:t>
      </w:r>
      <w:r w:rsidRPr="009C6E6C">
        <w:t>article</w:t>
      </w:r>
      <w:r>
        <w:t xml:space="preserve"> 7 § 2 de la loi</w:t>
      </w:r>
      <w:r w:rsidRPr="009C6E6C">
        <w:t xml:space="preserve"> </w:t>
      </w:r>
      <w:r w:rsidRPr="00B51CF0">
        <w:t>n</w:t>
      </w:r>
      <w:r w:rsidRPr="00B51CF0">
        <w:rPr>
          <w:vertAlign w:val="superscript"/>
        </w:rPr>
        <w:t>o</w:t>
      </w:r>
      <w:r>
        <w:t xml:space="preserve"> 3713</w:t>
      </w:r>
      <w:r w:rsidRPr="009C6E6C">
        <w:t xml:space="preserve"> et qu</w:t>
      </w:r>
      <w:r>
        <w:t>’</w:t>
      </w:r>
      <w:r w:rsidRPr="009C6E6C">
        <w:t>elle poursuivait les buts légitimes que constituent la protection de la sécurité nationale</w:t>
      </w:r>
      <w:r>
        <w:t xml:space="preserve"> et de la sûreté publique</w:t>
      </w:r>
      <w:r w:rsidRPr="009C6E6C">
        <w:t>,</w:t>
      </w:r>
      <w:r>
        <w:t xml:space="preserve"> la préservation de l’intégrité territoriale,</w:t>
      </w:r>
      <w:r w:rsidRPr="009C6E6C">
        <w:t xml:space="preserve"> la prévention du crime</w:t>
      </w:r>
      <w:r>
        <w:t xml:space="preserve"> et la protection des droits et des libertés d’autrui</w:t>
      </w:r>
      <w:r w:rsidRPr="009C6E6C">
        <w:t>. Il estime aussi qu</w:t>
      </w:r>
      <w:r>
        <w:t>’</w:t>
      </w:r>
      <w:r w:rsidRPr="009C6E6C">
        <w:t>eu égard au contenu</w:t>
      </w:r>
      <w:r>
        <w:t xml:space="preserve"> du discours de la requérante</w:t>
      </w:r>
      <w:r w:rsidRPr="009C6E6C">
        <w:t>, qui</w:t>
      </w:r>
      <w:r>
        <w:t>,</w:t>
      </w:r>
      <w:r w:rsidRPr="009C6E6C">
        <w:t xml:space="preserve"> selon lui</w:t>
      </w:r>
      <w:r>
        <w:t>, soutenait et encourageait</w:t>
      </w:r>
      <w:r w:rsidRPr="009C6E6C">
        <w:t xml:space="preserve"> </w:t>
      </w:r>
      <w:r>
        <w:t xml:space="preserve">le </w:t>
      </w:r>
      <w:r w:rsidRPr="009C6E6C">
        <w:t>PKK, l</w:t>
      </w:r>
      <w:r>
        <w:t>’</w:t>
      </w:r>
      <w:r w:rsidRPr="009C6E6C">
        <w:t>ingérence litigieuse était nécessaire dans une société démocratique et proportionnée aux buts légitimes poursuivis.</w:t>
      </w:r>
    </w:p>
    <w:p w:rsidR="00F2568C" w:rsidP="00F2568C" w:rsidRDefault="00F2568C">
      <w:pPr>
        <w:pStyle w:val="JuPara"/>
      </w:pPr>
      <w:r>
        <w:t xml:space="preserve">25.  Le Gouvernement argue en outre que la procédure pénale menée contre la requérante a respecté les principes du procès équitable. À cet égard, il plaide que : l’intéressée a eu la possibilité de présenter ses arguments à chaque étape de la procédure ; elle aurait pu assister aux audiences devant la cour d’assises si </w:t>
      </w:r>
      <w:r w:rsidRPr="002F70F1">
        <w:t>tel avait été son souhait</w:t>
      </w:r>
      <w:r>
        <w:t> ; c’est parce qu’elle n’a pas assisté à la dernière audience devant la cour d’assises, au cours de laquelle l’avis du</w:t>
      </w:r>
      <w:r w:rsidRPr="00B130E1">
        <w:t xml:space="preserve"> </w:t>
      </w:r>
      <w:r>
        <w:t xml:space="preserve">procureur de la République sur le fond et l’arrêt de condamnation ont été rendus, qu’elle n’a pas pu répondre à cet avis ; en tout état de cause, la non-communication de cet avis à la requérante n’a eu aucune conséquence désavantageuse pour elle ; l’intéressée n’a pas formulé auprès de la cour d’assises de demande de convocation de témoins ; elle n’a pas présenté </w:t>
      </w:r>
      <w:r w:rsidRPr="009A1972">
        <w:t xml:space="preserve">dans son pourvoi en cassation </w:t>
      </w:r>
      <w:r>
        <w:t xml:space="preserve">de </w:t>
      </w:r>
      <w:r w:rsidRPr="005B2D1A">
        <w:t xml:space="preserve">moyen relatif à une impossibilité </w:t>
      </w:r>
      <w:r>
        <w:t xml:space="preserve">pour elle </w:t>
      </w:r>
      <w:r w:rsidRPr="005B2D1A">
        <w:t>d</w:t>
      </w:r>
      <w:r>
        <w:t>’</w:t>
      </w:r>
      <w:r w:rsidRPr="005B2D1A">
        <w:t xml:space="preserve">interroger les témoins à charge </w:t>
      </w:r>
      <w:r>
        <w:t>ayant confirmé le</w:t>
      </w:r>
      <w:r w:rsidRPr="005B2D1A">
        <w:t xml:space="preserve"> contenu du procès-verbal du 2</w:t>
      </w:r>
      <w:r>
        <w:t xml:space="preserve"> </w:t>
      </w:r>
      <w:r w:rsidRPr="005B2D1A">
        <w:t>septembre 2006</w:t>
      </w:r>
      <w:r>
        <w:t xml:space="preserve"> dans leurs</w:t>
      </w:r>
      <w:r w:rsidRPr="005B2D1A">
        <w:t xml:space="preserve"> dépositions ; et les juridictions internes ont examiné toutes les allégations</w:t>
      </w:r>
      <w:r>
        <w:t xml:space="preserve"> et tous les éléments de preuve avant de rendre leurs décisions.</w:t>
      </w:r>
    </w:p>
    <w:p w:rsidRPr="002B5452" w:rsidR="00F2568C" w:rsidP="00F2568C" w:rsidRDefault="00F2568C">
      <w:pPr>
        <w:pStyle w:val="JuH1"/>
        <w:numPr>
          <w:ilvl w:val="0"/>
          <w:numId w:val="0"/>
        </w:numPr>
        <w:ind w:left="731"/>
      </w:pPr>
      <w:r w:rsidRPr="002B5452">
        <w:t>2.</w:t>
      </w:r>
      <w:r>
        <w:t>  </w:t>
      </w:r>
      <w:r w:rsidRPr="002B5452">
        <w:t>Appréciation de la Cour</w:t>
      </w:r>
    </w:p>
    <w:p w:rsidR="00F2568C" w:rsidP="00F2568C" w:rsidRDefault="00F2568C">
      <w:pPr>
        <w:pStyle w:val="JuPara"/>
      </w:pPr>
      <w:r>
        <w:t>26.  La Cour note qu’en l’espèce la requérante a été condamnée du chef de propagande en faveur d’une organisation terroriste à raison du contenu d’un discours qu’elle avait prononcé lors d’une manifestation le 2</w:t>
      </w:r>
      <w:r w:rsidR="00CE5A5B">
        <w:t xml:space="preserve"> </w:t>
      </w:r>
      <w:r>
        <w:t>septembre 2006.</w:t>
      </w:r>
    </w:p>
    <w:p w:rsidR="00F2568C" w:rsidP="00F2568C" w:rsidRDefault="00F2568C">
      <w:pPr>
        <w:pStyle w:val="JuPara"/>
      </w:pPr>
      <w:r>
        <w:t xml:space="preserve">27.  La Cour </w:t>
      </w:r>
      <w:r w:rsidRPr="005835D9">
        <w:t>considère que</w:t>
      </w:r>
      <w:r>
        <w:t>, compte tenu de l’effet dissuasif qu’elle était de nature à provoquer, la condamnation pénale de la</w:t>
      </w:r>
      <w:r w:rsidRPr="005835D9">
        <w:t xml:space="preserve"> requérant</w:t>
      </w:r>
      <w:r>
        <w:t>e</w:t>
      </w:r>
      <w:r w:rsidRPr="005835D9">
        <w:t>, même assortie d</w:t>
      </w:r>
      <w:r>
        <w:t>’</w:t>
      </w:r>
      <w:r w:rsidRPr="005835D9">
        <w:t>un sursis</w:t>
      </w:r>
      <w:r>
        <w:t xml:space="preserve"> à l’exécution de la peine</w:t>
      </w:r>
      <w:r w:rsidRPr="005835D9">
        <w:t xml:space="preserve">, </w:t>
      </w:r>
      <w:r>
        <w:t xml:space="preserve">s’analyse en </w:t>
      </w:r>
      <w:r w:rsidRPr="005835D9">
        <w:t xml:space="preserve">une </w:t>
      </w:r>
      <w:r w:rsidRPr="00ED7232">
        <w:t xml:space="preserve">ingérence dans </w:t>
      </w:r>
      <w:r>
        <w:t>l’exercice par l’intéressée de son</w:t>
      </w:r>
      <w:r w:rsidRPr="00ED7232">
        <w:t xml:space="preserve"> droit</w:t>
      </w:r>
      <w:r w:rsidRPr="005835D9">
        <w:t xml:space="preserve"> à la liberté d</w:t>
      </w:r>
      <w:r>
        <w:t>’</w:t>
      </w:r>
      <w:r w:rsidRPr="005835D9">
        <w:t>expression (</w:t>
      </w:r>
      <w:proofErr w:type="spellStart"/>
      <w:r w:rsidR="00C069BA">
        <w:rPr>
          <w:i/>
        </w:rPr>
        <w:t>Erdoğdu</w:t>
      </w:r>
      <w:proofErr w:type="spellEnd"/>
      <w:r w:rsidR="00C069BA">
        <w:rPr>
          <w:i/>
        </w:rPr>
        <w:t xml:space="preserve"> c. </w:t>
      </w:r>
      <w:r w:rsidRPr="005835D9">
        <w:rPr>
          <w:i/>
        </w:rPr>
        <w:t>Turquie</w:t>
      </w:r>
      <w:r w:rsidRPr="005835D9">
        <w:t>, n</w:t>
      </w:r>
      <w:r w:rsidRPr="005835D9">
        <w:rPr>
          <w:vertAlign w:val="superscript"/>
        </w:rPr>
        <w:t>o</w:t>
      </w:r>
      <w:r w:rsidRPr="005835D9">
        <w:t xml:space="preserve"> 25723/94, § 72, CEDH 2000</w:t>
      </w:r>
      <w:r w:rsidRPr="005835D9">
        <w:rPr>
          <w:rFonts w:hint="eastAsia" w:ascii="MS Mincho" w:hAnsi="MS Mincho" w:eastAsia="MS Mincho" w:cs="MS Mincho"/>
        </w:rPr>
        <w:t>‑</w:t>
      </w:r>
      <w:r w:rsidRPr="005835D9">
        <w:t>VI</w:t>
      </w:r>
      <w:r>
        <w:t xml:space="preserve"> et</w:t>
      </w:r>
      <w:r w:rsidRPr="005835D9">
        <w:t xml:space="preserve"> </w:t>
      </w:r>
      <w:proofErr w:type="spellStart"/>
      <w:r w:rsidRPr="005835D9">
        <w:rPr>
          <w:i/>
          <w:iCs/>
        </w:rPr>
        <w:t>Ergündoğan</w:t>
      </w:r>
      <w:proofErr w:type="spellEnd"/>
      <w:r w:rsidRPr="005835D9">
        <w:rPr>
          <w:iCs/>
        </w:rPr>
        <w:t>,</w:t>
      </w:r>
      <w:r w:rsidRPr="005835D9">
        <w:t xml:space="preserve"> précité, §</w:t>
      </w:r>
      <w:r w:rsidR="00C069BA">
        <w:t> </w:t>
      </w:r>
      <w:r w:rsidRPr="005835D9">
        <w:t>26</w:t>
      </w:r>
      <w:r>
        <w:t> </w:t>
      </w:r>
      <w:r w:rsidRPr="005835D9">
        <w:t xml:space="preserve">; voir aussi, </w:t>
      </w:r>
      <w:r w:rsidRPr="005835D9">
        <w:rPr>
          <w:i/>
        </w:rPr>
        <w:t>a contrario</w:t>
      </w:r>
      <w:r w:rsidRPr="005835D9">
        <w:t xml:space="preserve">, </w:t>
      </w:r>
      <w:proofErr w:type="spellStart"/>
      <w:r w:rsidRPr="005835D9">
        <w:rPr>
          <w:i/>
        </w:rPr>
        <w:t>Otegi</w:t>
      </w:r>
      <w:proofErr w:type="spellEnd"/>
      <w:r w:rsidRPr="005835D9">
        <w:rPr>
          <w:i/>
        </w:rPr>
        <w:t xml:space="preserve"> Mondragon c.</w:t>
      </w:r>
      <w:r>
        <w:rPr>
          <w:i/>
        </w:rPr>
        <w:t xml:space="preserve"> </w:t>
      </w:r>
      <w:r w:rsidRPr="005835D9">
        <w:rPr>
          <w:i/>
        </w:rPr>
        <w:t>Espagne</w:t>
      </w:r>
      <w:r w:rsidRPr="005835D9">
        <w:t>, n</w:t>
      </w:r>
      <w:r w:rsidRPr="005835D9">
        <w:rPr>
          <w:vertAlign w:val="superscript"/>
        </w:rPr>
        <w:t>o</w:t>
      </w:r>
      <w:r>
        <w:t> </w:t>
      </w:r>
      <w:r w:rsidRPr="005835D9">
        <w:t>2034/07, §</w:t>
      </w:r>
      <w:r w:rsidR="00C069BA">
        <w:t> </w:t>
      </w:r>
      <w:r w:rsidRPr="005835D9">
        <w:t>60, CEDH 2011).</w:t>
      </w:r>
    </w:p>
    <w:p w:rsidR="00F2568C" w:rsidP="00F2568C" w:rsidRDefault="00F2568C">
      <w:pPr>
        <w:pStyle w:val="JuPara"/>
      </w:pPr>
      <w:r>
        <w:t>28.  </w:t>
      </w:r>
      <w:r w:rsidRPr="001E38CE">
        <w:t>Elle observe ensuite qu</w:t>
      </w:r>
      <w:r>
        <w:t>’</w:t>
      </w:r>
      <w:r w:rsidRPr="001E38CE">
        <w:t>il ne prête pas à controverse entre les parties que cette ingérence était prévue par la loi, plus précisément par l</w:t>
      </w:r>
      <w:r>
        <w:t>’</w:t>
      </w:r>
      <w:r w:rsidRPr="001E38CE">
        <w:t>article 7</w:t>
      </w:r>
      <w:r>
        <w:t xml:space="preserve"> </w:t>
      </w:r>
      <w:r w:rsidRPr="001E38CE">
        <w:t>§ 2 de la loi n</w:t>
      </w:r>
      <w:r w:rsidRPr="001E38CE">
        <w:rPr>
          <w:vertAlign w:val="superscript"/>
        </w:rPr>
        <w:t>o</w:t>
      </w:r>
      <w:r>
        <w:t xml:space="preserve"> </w:t>
      </w:r>
      <w:r w:rsidRPr="001E38CE">
        <w:t>3713, et qu</w:t>
      </w:r>
      <w:r>
        <w:t>’</w:t>
      </w:r>
      <w:r w:rsidRPr="001E38CE">
        <w:t>elle poursuivait des buts légitimes au regard de l</w:t>
      </w:r>
      <w:r>
        <w:t>’</w:t>
      </w:r>
      <w:r w:rsidRPr="001E38CE">
        <w:t>article</w:t>
      </w:r>
      <w:r>
        <w:t> </w:t>
      </w:r>
      <w:r w:rsidRPr="001E38CE">
        <w:t>10 §</w:t>
      </w:r>
      <w:r>
        <w:t xml:space="preserve"> </w:t>
      </w:r>
      <w:r w:rsidRPr="001E38CE">
        <w:t xml:space="preserve">2 de la Convention, à savoir la protection de la sécurité nationale et de la sûreté publique, </w:t>
      </w:r>
      <w:r>
        <w:t>la préservation de l’intégrité territoriale,</w:t>
      </w:r>
      <w:r w:rsidRPr="009C6E6C">
        <w:t xml:space="preserve"> la prévention du crime</w:t>
      </w:r>
      <w:r>
        <w:t xml:space="preserve"> et la protection des droits d’autrui</w:t>
      </w:r>
      <w:r w:rsidRPr="001E38CE">
        <w:t>.</w:t>
      </w:r>
    </w:p>
    <w:p w:rsidRPr="002B5452" w:rsidR="00F2568C" w:rsidP="00F2568C" w:rsidRDefault="00F2568C">
      <w:pPr>
        <w:pStyle w:val="JuPara"/>
      </w:pPr>
      <w:r>
        <w:t>29.  </w:t>
      </w:r>
      <w:r w:rsidRPr="001E38CE">
        <w:t>Quant à la nécessité de l</w:t>
      </w:r>
      <w:r>
        <w:t>’</w:t>
      </w:r>
      <w:r w:rsidRPr="001E38CE">
        <w:t>ingérence, la Cour rappelle les principes découlant de sa jurisprudence en matière de liberté d</w:t>
      </w:r>
      <w:r>
        <w:t>’</w:t>
      </w:r>
      <w:r w:rsidRPr="001E38CE">
        <w:t>expression, lesquels sont résumés notamment dans les arrêts</w:t>
      </w:r>
      <w:r w:rsidRPr="001E38CE">
        <w:rPr>
          <w:i/>
        </w:rPr>
        <w:t xml:space="preserve"> </w:t>
      </w:r>
      <w:proofErr w:type="spellStart"/>
      <w:r w:rsidRPr="001E38CE">
        <w:rPr>
          <w:i/>
        </w:rPr>
        <w:t>Bédat</w:t>
      </w:r>
      <w:proofErr w:type="spellEnd"/>
      <w:r w:rsidRPr="001E38CE">
        <w:rPr>
          <w:i/>
        </w:rPr>
        <w:t xml:space="preserve"> c. Suisse</w:t>
      </w:r>
      <w:r w:rsidRPr="001E38CE">
        <w:t xml:space="preserve"> ([GC], n</w:t>
      </w:r>
      <w:r w:rsidRPr="001E38CE">
        <w:rPr>
          <w:vertAlign w:val="superscript"/>
        </w:rPr>
        <w:t>o</w:t>
      </w:r>
      <w:r>
        <w:t> </w:t>
      </w:r>
      <w:r w:rsidRPr="001E38CE">
        <w:t>56925/08, §</w:t>
      </w:r>
      <w:r>
        <w:t> </w:t>
      </w:r>
      <w:r w:rsidRPr="001E38CE">
        <w:t>48, 29 mars 2016)</w:t>
      </w:r>
      <w:r>
        <w:t>,</w:t>
      </w:r>
      <w:r w:rsidRPr="00155585">
        <w:rPr>
          <w:rFonts w:eastAsiaTheme="minorHAnsi"/>
          <w:i/>
          <w:sz w:val="22"/>
        </w:rPr>
        <w:t xml:space="preserve"> </w:t>
      </w:r>
      <w:proofErr w:type="spellStart"/>
      <w:r w:rsidRPr="00155585">
        <w:rPr>
          <w:i/>
        </w:rPr>
        <w:t>Perinçek</w:t>
      </w:r>
      <w:proofErr w:type="spellEnd"/>
      <w:r w:rsidRPr="00155585">
        <w:rPr>
          <w:i/>
        </w:rPr>
        <w:t xml:space="preserve"> c. Suisse</w:t>
      </w:r>
      <w:r w:rsidRPr="00155585">
        <w:t xml:space="preserve"> [GC], n</w:t>
      </w:r>
      <w:r w:rsidRPr="00155585">
        <w:rPr>
          <w:vertAlign w:val="superscript"/>
        </w:rPr>
        <w:t>o</w:t>
      </w:r>
      <w:r w:rsidRPr="00155585">
        <w:t xml:space="preserve"> 27510/08, § 204 -208, CEDH 2015 (extraits)</w:t>
      </w:r>
      <w:r w:rsidRPr="001E38CE">
        <w:t xml:space="preserve"> et </w:t>
      </w:r>
      <w:r w:rsidRPr="001E38CE">
        <w:rPr>
          <w:i/>
        </w:rPr>
        <w:t xml:space="preserve">Faruk </w:t>
      </w:r>
      <w:proofErr w:type="spellStart"/>
      <w:r w:rsidRPr="001E38CE">
        <w:rPr>
          <w:i/>
        </w:rPr>
        <w:t>Temel</w:t>
      </w:r>
      <w:proofErr w:type="spellEnd"/>
      <w:r w:rsidRPr="001E38CE">
        <w:rPr>
          <w:i/>
        </w:rPr>
        <w:t xml:space="preserve"> c. Turquie</w:t>
      </w:r>
      <w:r w:rsidRPr="001E38CE">
        <w:t xml:space="preserve"> (n</w:t>
      </w:r>
      <w:r w:rsidRPr="001E38CE">
        <w:rPr>
          <w:vertAlign w:val="superscript"/>
        </w:rPr>
        <w:t>o</w:t>
      </w:r>
      <w:r w:rsidRPr="001E38CE">
        <w:t xml:space="preserve"> 16853/05, §§</w:t>
      </w:r>
      <w:r>
        <w:t> </w:t>
      </w:r>
      <w:r w:rsidRPr="001E38CE">
        <w:t>53-57, 1</w:t>
      </w:r>
      <w:r w:rsidRPr="001E38CE">
        <w:rPr>
          <w:vertAlign w:val="superscript"/>
        </w:rPr>
        <w:t>er</w:t>
      </w:r>
      <w:r w:rsidRPr="001E38CE">
        <w:t> février 2011).</w:t>
      </w:r>
    </w:p>
    <w:p w:rsidR="00F2568C" w:rsidP="00F2568C" w:rsidRDefault="00F2568C">
      <w:pPr>
        <w:pStyle w:val="JuPara"/>
      </w:pPr>
      <w:r>
        <w:t>30.  En l’espèce, l</w:t>
      </w:r>
      <w:r w:rsidRPr="001E38CE">
        <w:t>a Cour constate que</w:t>
      </w:r>
      <w:r>
        <w:t>,</w:t>
      </w:r>
      <w:r w:rsidRPr="001E38CE">
        <w:t xml:space="preserve"> </w:t>
      </w:r>
      <w:r>
        <w:t>dans son</w:t>
      </w:r>
      <w:r w:rsidRPr="001D73DC">
        <w:t xml:space="preserve"> discours </w:t>
      </w:r>
      <w:r>
        <w:t xml:space="preserve">litigieux, </w:t>
      </w:r>
      <w:r w:rsidRPr="001D73DC">
        <w:t xml:space="preserve">la requérante a communiqué ses idées et ses opinions sur </w:t>
      </w:r>
      <w:r>
        <w:t>des</w:t>
      </w:r>
      <w:r w:rsidRPr="001D73DC">
        <w:t xml:space="preserve"> question</w:t>
      </w:r>
      <w:r>
        <w:t>s</w:t>
      </w:r>
      <w:r w:rsidRPr="001D73DC">
        <w:t xml:space="preserve"> relevant incontestablement de l</w:t>
      </w:r>
      <w:r>
        <w:t>’</w:t>
      </w:r>
      <w:r w:rsidRPr="001D73DC">
        <w:t xml:space="preserve">intérêt général dans une société démocratique, à savoir la nécessité de </w:t>
      </w:r>
      <w:r>
        <w:t>l</w:t>
      </w:r>
      <w:r w:rsidRPr="001D73DC">
        <w:t>a résolution</w:t>
      </w:r>
      <w:r>
        <w:t xml:space="preserve"> du problème kurde par des moyens démocratiques et pacifiques,</w:t>
      </w:r>
      <w:r w:rsidRPr="00250351">
        <w:t xml:space="preserve"> </w:t>
      </w:r>
      <w:r>
        <w:t>comme allégu</w:t>
      </w:r>
      <w:r w:rsidR="00C069BA">
        <w:t>é par la requérante (paragraphe </w:t>
      </w:r>
      <w:r>
        <w:t>10 ci-dessus).</w:t>
      </w:r>
    </w:p>
    <w:p w:rsidRPr="00155585" w:rsidR="00F2568C" w:rsidP="00F2568C" w:rsidRDefault="00F2568C">
      <w:pPr>
        <w:pStyle w:val="JuPara"/>
      </w:pPr>
      <w:r>
        <w:t>31.  </w:t>
      </w:r>
      <w:r w:rsidRPr="00B66546">
        <w:t xml:space="preserve">Procédant à une analyse des passages </w:t>
      </w:r>
      <w:r>
        <w:t>concernés du discours de la requérante tels qu’ils ont été retenus par la cour d’assises à l’appui de la condamnation de l’intéressée (paragraphe 9</w:t>
      </w:r>
      <w:r w:rsidRPr="00B66546">
        <w:t xml:space="preserve"> ci-dessus), </w:t>
      </w:r>
      <w:r w:rsidR="00325F90">
        <w:t>la Cour</w:t>
      </w:r>
      <w:r w:rsidRPr="00B66546" w:rsidR="00325F90">
        <w:t xml:space="preserve"> </w:t>
      </w:r>
      <w:r w:rsidR="00325F90">
        <w:t>note</w:t>
      </w:r>
      <w:r w:rsidRPr="00B66546" w:rsidR="00325F90">
        <w:t xml:space="preserve"> qu</w:t>
      </w:r>
      <w:r w:rsidR="00325F90">
        <w:t>e, selon la cour d’assises, par</w:t>
      </w:r>
      <w:r>
        <w:t xml:space="preserve"> ce discours </w:t>
      </w:r>
      <w:r w:rsidRPr="003F01AA">
        <w:t>la requérante a</w:t>
      </w:r>
      <w:r>
        <w:t>urait</w:t>
      </w:r>
      <w:r w:rsidRPr="003F01AA">
        <w:t xml:space="preserve"> appelé les autorités à enquêter sur les auteurs d</w:t>
      </w:r>
      <w:r>
        <w:t>’</w:t>
      </w:r>
      <w:r w:rsidRPr="00A2540B">
        <w:t xml:space="preserve">incendies dans </w:t>
      </w:r>
      <w:r>
        <w:t>d</w:t>
      </w:r>
      <w:r w:rsidRPr="00A2540B">
        <w:t xml:space="preserve">es villages </w:t>
      </w:r>
      <w:r>
        <w:t xml:space="preserve">et </w:t>
      </w:r>
      <w:r w:rsidRPr="00A2540B">
        <w:t xml:space="preserve">à </w:t>
      </w:r>
      <w:r>
        <w:t>« </w:t>
      </w:r>
      <w:r w:rsidRPr="00A2540B">
        <w:t>ouvrir la voie à l</w:t>
      </w:r>
      <w:r>
        <w:t>’</w:t>
      </w:r>
      <w:r w:rsidRPr="00A2540B">
        <w:t>utilisation de la langue maternelle et aux activités politiques</w:t>
      </w:r>
      <w:r>
        <w:t> »,</w:t>
      </w:r>
      <w:r w:rsidRPr="00A2540B">
        <w:t xml:space="preserve"> </w:t>
      </w:r>
      <w:r>
        <w:t xml:space="preserve">qu’elle </w:t>
      </w:r>
      <w:r w:rsidRPr="00A2540B">
        <w:t>a</w:t>
      </w:r>
      <w:r>
        <w:t>urait</w:t>
      </w:r>
      <w:r w:rsidRPr="00A2540B">
        <w:t xml:space="preserve"> exhorté les parties a</w:t>
      </w:r>
      <w:r w:rsidRPr="003F01AA">
        <w:t xml:space="preserve">u conflit à instaurer un dialogue </w:t>
      </w:r>
      <w:r>
        <w:t xml:space="preserve">afin de trouver </w:t>
      </w:r>
      <w:r w:rsidRPr="00A2540B">
        <w:t>une solution</w:t>
      </w:r>
      <w:r>
        <w:t xml:space="preserve"> au problème et qu’elle aurait dit</w:t>
      </w:r>
      <w:r w:rsidRPr="00A2540B">
        <w:t xml:space="preserve"> « le PKK</w:t>
      </w:r>
      <w:r>
        <w:t xml:space="preserve"> est une conséquence et une nécessité » et « nous ne pouvons pas dire aux forces armées de (...) se rendre quoi qu’il arrive » (paragraphe 9</w:t>
      </w:r>
      <w:r w:rsidRPr="00B66546">
        <w:t xml:space="preserve"> ci-dessus).</w:t>
      </w:r>
      <w:r>
        <w:t xml:space="preserve"> Elle observe que</w:t>
      </w:r>
      <w:r w:rsidRPr="00B66546">
        <w:t xml:space="preserve"> </w:t>
      </w:r>
      <w:r>
        <w:t>s</w:t>
      </w:r>
      <w:r w:rsidRPr="00B66546">
        <w:t>e pose</w:t>
      </w:r>
      <w:r>
        <w:t>nt</w:t>
      </w:r>
      <w:r w:rsidRPr="00B66546">
        <w:t xml:space="preserve"> </w:t>
      </w:r>
      <w:r>
        <w:t xml:space="preserve">ainsi </w:t>
      </w:r>
      <w:r w:rsidRPr="00B66546">
        <w:t xml:space="preserve">à cet égard les </w:t>
      </w:r>
      <w:r w:rsidRPr="00C23923">
        <w:t>questions de savoir si, compte tenu de</w:t>
      </w:r>
      <w:r>
        <w:t xml:space="preserve"> certain</w:t>
      </w:r>
      <w:r w:rsidRPr="00C23923">
        <w:t xml:space="preserve">s termes </w:t>
      </w:r>
      <w:r>
        <w:t xml:space="preserve">qui auraient été </w:t>
      </w:r>
      <w:r w:rsidRPr="00C23923">
        <w:t>employés dans ces p</w:t>
      </w:r>
      <w:r>
        <w:t>ropos</w:t>
      </w:r>
      <w:r w:rsidRPr="00C23923">
        <w:t>,</w:t>
      </w:r>
      <w:r>
        <w:t xml:space="preserve"> tels que retenus par la cour d’assises dans son arrêt,</w:t>
      </w:r>
      <w:r w:rsidRPr="00C23923">
        <w:t xml:space="preserve"> du contexte dans lequel ces mots </w:t>
      </w:r>
      <w:r>
        <w:t>auraie</w:t>
      </w:r>
      <w:r w:rsidRPr="00C23923">
        <w:t>nt pu être prononcés, de leur capacité de nuire et des circonstances de l</w:t>
      </w:r>
      <w:r>
        <w:t>’</w:t>
      </w:r>
      <w:r w:rsidRPr="00C23923">
        <w:t>affaire, ces passages peuvent être considérés comme renfermant une incitation à l</w:t>
      </w:r>
      <w:r>
        <w:t>’</w:t>
      </w:r>
      <w:r w:rsidRPr="00C23923">
        <w:t>usage de la violence (</w:t>
      </w:r>
      <w:proofErr w:type="spellStart"/>
      <w:r w:rsidRPr="00155585">
        <w:rPr>
          <w:i/>
        </w:rPr>
        <w:t>Sürek</w:t>
      </w:r>
      <w:proofErr w:type="spellEnd"/>
      <w:r w:rsidRPr="00155585">
        <w:rPr>
          <w:i/>
        </w:rPr>
        <w:t xml:space="preserve"> c. Turquie (n</w:t>
      </w:r>
      <w:r w:rsidRPr="00155585">
        <w:rPr>
          <w:rFonts w:cs="Times New Roman"/>
          <w:i/>
          <w:vertAlign w:val="superscript"/>
        </w:rPr>
        <w:t>o</w:t>
      </w:r>
      <w:r w:rsidRPr="00155585">
        <w:t xml:space="preserve"> </w:t>
      </w:r>
      <w:r w:rsidRPr="00155585">
        <w:rPr>
          <w:i/>
        </w:rPr>
        <w:t>4)</w:t>
      </w:r>
      <w:r w:rsidRPr="00155585">
        <w:t xml:space="preserve"> [GC], n</w:t>
      </w:r>
      <w:r w:rsidRPr="00155585">
        <w:rPr>
          <w:vertAlign w:val="superscript"/>
        </w:rPr>
        <w:t>o</w:t>
      </w:r>
      <w:r w:rsidRPr="00155585" w:rsidR="00C069BA">
        <w:t xml:space="preserve"> 24762/94, § </w:t>
      </w:r>
      <w:r w:rsidRPr="00155585">
        <w:t>58, 8 juillet 1999</w:t>
      </w:r>
      <w:r w:rsidRPr="00C23923">
        <w:t>) et si la condamnation pénale de la requérante à raison de ces propos était proportionnée</w:t>
      </w:r>
      <w:r w:rsidRPr="00B66546">
        <w:t xml:space="preserve"> aux buts légitimes visés.</w:t>
      </w:r>
    </w:p>
    <w:p w:rsidR="00F2568C" w:rsidP="00F2568C" w:rsidRDefault="00F2568C">
      <w:pPr>
        <w:pStyle w:val="JuPara"/>
      </w:pPr>
      <w:r>
        <w:t>32.  </w:t>
      </w:r>
      <w:r w:rsidRPr="006319D1">
        <w:t>Quoi qu</w:t>
      </w:r>
      <w:r>
        <w:t>’</w:t>
      </w:r>
      <w:r w:rsidRPr="006319D1">
        <w:t>il en soit, la Cour relève que la requérante a constamment nié devant les juridictions internes avoir tenu dans son discours les propos litigieux susmentionnés (paragraphes 8 et 10 ci-dessus), qui lui étaient attribués dans l</w:t>
      </w:r>
      <w:r>
        <w:t>’</w:t>
      </w:r>
      <w:r w:rsidRPr="006319D1">
        <w:t>acte d</w:t>
      </w:r>
      <w:r>
        <w:t>’</w:t>
      </w:r>
      <w:r w:rsidRPr="006319D1">
        <w:t>accusation (paragraphe 6 ci-dessus). Elle note que l</w:t>
      </w:r>
      <w:r>
        <w:t>’</w:t>
      </w:r>
      <w:r w:rsidRPr="006319D1">
        <w:t>intéressée a aussi contesté dans son pourvoi en cassation l</w:t>
      </w:r>
      <w:r>
        <w:t>’</w:t>
      </w:r>
      <w:r w:rsidRPr="006319D1">
        <w:t>exactitude du contenu du procès-verbal du 2 septembre 2006 établi par les policiers en charge de la surveillance de la manifestation au cours de laquelle elle était intervenue, selon lequel elle avait prononcé les paroles incriminées (paragraphe 10 ci-dessus). Elle note également que, pour leur part, les juridictions internes n</w:t>
      </w:r>
      <w:r>
        <w:t>’</w:t>
      </w:r>
      <w:r w:rsidRPr="006319D1">
        <w:t>ont pas souscrit aux arguments de la requérante : dans son arrêt, la cour d</w:t>
      </w:r>
      <w:r>
        <w:t>’</w:t>
      </w:r>
      <w:r w:rsidRPr="006319D1">
        <w:t>assises a estimé, en se fondant essentiellement sur ce procès-verbal et sur les témoignages des policiers qui l</w:t>
      </w:r>
      <w:r>
        <w:t>’</w:t>
      </w:r>
      <w:r w:rsidRPr="006319D1">
        <w:t>avaient rédigé, qu</w:t>
      </w:r>
      <w:r>
        <w:t>’</w:t>
      </w:r>
      <w:r w:rsidRPr="006319D1">
        <w:t>il était établi que la requérante avait bien tenu ces propos, et la Cour de cassation a confirmé cet arrêt en rejetant le pourvoi en cassation de l</w:t>
      </w:r>
      <w:r>
        <w:t>’</w:t>
      </w:r>
      <w:r w:rsidRPr="006319D1">
        <w:t>intéressée.</w:t>
      </w:r>
    </w:p>
    <w:p w:rsidR="00F2568C" w:rsidP="00F2568C" w:rsidRDefault="00F2568C">
      <w:pPr>
        <w:pStyle w:val="JuPara"/>
      </w:pPr>
      <w:r>
        <w:t>33.  </w:t>
      </w:r>
      <w:r w:rsidRPr="00E54699">
        <w:t>La Cour constate donc qu</w:t>
      </w:r>
      <w:r>
        <w:t>’</w:t>
      </w:r>
      <w:r w:rsidRPr="00E54699">
        <w:t>en l</w:t>
      </w:r>
      <w:r>
        <w:t>’</w:t>
      </w:r>
      <w:r w:rsidRPr="00E54699">
        <w:t>espèce se pose la question de savoir si la procédure pénale diligentée contre la requérante a revêtu un caractère équitable dans son ensemble, y compris le mode de présentation des moyens de preuve pour l</w:t>
      </w:r>
      <w:r>
        <w:t>’</w:t>
      </w:r>
      <w:r w:rsidRPr="00E54699">
        <w:t>établissement des faits, et non pas seulement et simplement s</w:t>
      </w:r>
      <w:r>
        <w:t>’</w:t>
      </w:r>
      <w:r w:rsidRPr="00E54699">
        <w:t>agissant de l</w:t>
      </w:r>
      <w:r>
        <w:t>’</w:t>
      </w:r>
      <w:r w:rsidRPr="00E54699">
        <w:t>absence de motifs pertinents et suffisants fournis par les juridictions nationales pour justifier l</w:t>
      </w:r>
      <w:r>
        <w:t>’</w:t>
      </w:r>
      <w:r w:rsidRPr="00E54699">
        <w:t>ingérence litigieuse de manière à empêcher la requérante de</w:t>
      </w:r>
      <w:r>
        <w:t xml:space="preserve"> </w:t>
      </w:r>
      <w:r w:rsidRPr="00E54699">
        <w:t>se défendre d</w:t>
      </w:r>
      <w:r>
        <w:t>’</w:t>
      </w:r>
      <w:r w:rsidRPr="00E54699">
        <w:t>une manière effective devant elles (</w:t>
      </w:r>
      <w:r w:rsidRPr="00155585">
        <w:rPr>
          <w:i/>
        </w:rPr>
        <w:t>Morice c. France</w:t>
      </w:r>
      <w:r w:rsidRPr="00155585">
        <w:t xml:space="preserve"> [GC], n</w:t>
      </w:r>
      <w:r w:rsidRPr="00155585">
        <w:rPr>
          <w:vertAlign w:val="superscript"/>
        </w:rPr>
        <w:t>o</w:t>
      </w:r>
      <w:r w:rsidRPr="00155585">
        <w:t xml:space="preserve"> 29369/10, § 124, CEDH 2015;</w:t>
      </w:r>
      <w:r w:rsidRPr="00E54699">
        <w:t xml:space="preserve"> voir, </w:t>
      </w:r>
      <w:r w:rsidRPr="00E54699">
        <w:rPr>
          <w:i/>
        </w:rPr>
        <w:t>a contrario</w:t>
      </w:r>
      <w:r w:rsidRPr="00E54699">
        <w:t xml:space="preserve">, </w:t>
      </w:r>
      <w:proofErr w:type="spellStart"/>
      <w:r w:rsidRPr="00E54699">
        <w:rPr>
          <w:i/>
        </w:rPr>
        <w:t>Saygılı</w:t>
      </w:r>
      <w:proofErr w:type="spellEnd"/>
      <w:r w:rsidRPr="00E54699">
        <w:rPr>
          <w:i/>
        </w:rPr>
        <w:t xml:space="preserve"> et </w:t>
      </w:r>
      <w:proofErr w:type="spellStart"/>
      <w:r w:rsidRPr="00E54699">
        <w:rPr>
          <w:i/>
        </w:rPr>
        <w:t>Karataş</w:t>
      </w:r>
      <w:proofErr w:type="spellEnd"/>
      <w:r w:rsidRPr="00E54699">
        <w:rPr>
          <w:i/>
        </w:rPr>
        <w:t xml:space="preserve"> c. Turquie</w:t>
      </w:r>
      <w:r w:rsidRPr="00E54699">
        <w:t>, n</w:t>
      </w:r>
      <w:r w:rsidRPr="00E54699">
        <w:rPr>
          <w:vertAlign w:val="superscript"/>
        </w:rPr>
        <w:t>o</w:t>
      </w:r>
      <w:r w:rsidRPr="00E54699">
        <w:t xml:space="preserve"> 6875/05, §§</w:t>
      </w:r>
      <w:r w:rsidR="00A7690C">
        <w:t xml:space="preserve"> 36-38</w:t>
      </w:r>
      <w:r w:rsidRPr="00E54699">
        <w:t xml:space="preserve">, 16 janvier 2018, </w:t>
      </w:r>
      <w:proofErr w:type="spellStart"/>
      <w:r w:rsidRPr="00E54699">
        <w:rPr>
          <w:i/>
          <w:iCs/>
        </w:rPr>
        <w:t>Aydoğan</w:t>
      </w:r>
      <w:proofErr w:type="spellEnd"/>
      <w:r w:rsidRPr="00E54699">
        <w:rPr>
          <w:i/>
          <w:iCs/>
        </w:rPr>
        <w:t xml:space="preserve"> et Dara </w:t>
      </w:r>
      <w:proofErr w:type="spellStart"/>
      <w:r w:rsidRPr="00E54699">
        <w:rPr>
          <w:i/>
          <w:iCs/>
        </w:rPr>
        <w:t>Radyo</w:t>
      </w:r>
      <w:proofErr w:type="spellEnd"/>
      <w:r w:rsidRPr="00E54699">
        <w:rPr>
          <w:i/>
          <w:iCs/>
        </w:rPr>
        <w:t xml:space="preserve"> </w:t>
      </w:r>
      <w:proofErr w:type="spellStart"/>
      <w:r w:rsidRPr="00E54699">
        <w:rPr>
          <w:i/>
          <w:iCs/>
        </w:rPr>
        <w:t>Televizyon</w:t>
      </w:r>
      <w:proofErr w:type="spellEnd"/>
      <w:r w:rsidRPr="00E54699">
        <w:rPr>
          <w:i/>
          <w:iCs/>
        </w:rPr>
        <w:t xml:space="preserve"> </w:t>
      </w:r>
      <w:proofErr w:type="spellStart"/>
      <w:r w:rsidRPr="00E54699">
        <w:rPr>
          <w:i/>
          <w:iCs/>
        </w:rPr>
        <w:t>Yayıncılık</w:t>
      </w:r>
      <w:proofErr w:type="spellEnd"/>
      <w:r w:rsidRPr="00E54699">
        <w:rPr>
          <w:i/>
          <w:iCs/>
        </w:rPr>
        <w:t xml:space="preserve"> </w:t>
      </w:r>
      <w:proofErr w:type="spellStart"/>
      <w:r w:rsidRPr="00E54699">
        <w:rPr>
          <w:i/>
          <w:iCs/>
        </w:rPr>
        <w:t>Anonim</w:t>
      </w:r>
      <w:proofErr w:type="spellEnd"/>
      <w:r w:rsidRPr="00E54699">
        <w:rPr>
          <w:i/>
          <w:iCs/>
        </w:rPr>
        <w:t xml:space="preserve"> </w:t>
      </w:r>
      <w:proofErr w:type="spellStart"/>
      <w:r w:rsidRPr="00E54699">
        <w:rPr>
          <w:i/>
          <w:iCs/>
        </w:rPr>
        <w:t>Şirketi</w:t>
      </w:r>
      <w:proofErr w:type="spellEnd"/>
      <w:r w:rsidRPr="00E54699">
        <w:rPr>
          <w:i/>
          <w:iCs/>
        </w:rPr>
        <w:t xml:space="preserve"> c. Turquie</w:t>
      </w:r>
      <w:r w:rsidRPr="00E54699">
        <w:t>, n</w:t>
      </w:r>
      <w:r w:rsidRPr="00E54699">
        <w:rPr>
          <w:vertAlign w:val="superscript"/>
        </w:rPr>
        <w:t>o</w:t>
      </w:r>
      <w:r w:rsidR="00CE5A5B">
        <w:t> </w:t>
      </w:r>
      <w:r w:rsidR="00C069BA">
        <w:t>12261/06, § </w:t>
      </w:r>
      <w:r w:rsidRPr="00E54699">
        <w:t>50-53, 13 février 2018,</w:t>
      </w:r>
      <w:r w:rsidRPr="00155585">
        <w:t xml:space="preserve"> </w:t>
      </w:r>
      <w:r w:rsidRPr="00155585">
        <w:rPr>
          <w:i/>
          <w:iCs/>
        </w:rPr>
        <w:t>Kula c. Turquie</w:t>
      </w:r>
      <w:r w:rsidRPr="00155585">
        <w:t>, n</w:t>
      </w:r>
      <w:r w:rsidRPr="00155585">
        <w:rPr>
          <w:vertAlign w:val="superscript"/>
        </w:rPr>
        <w:t>o</w:t>
      </w:r>
      <w:r w:rsidRPr="00155585">
        <w:t xml:space="preserve"> 20233/06, §§ 50-52, 19 juin 2018 et </w:t>
      </w:r>
      <w:proofErr w:type="spellStart"/>
      <w:r w:rsidRPr="00E54699">
        <w:rPr>
          <w:i/>
          <w:iCs/>
        </w:rPr>
        <w:t>Mariya</w:t>
      </w:r>
      <w:proofErr w:type="spellEnd"/>
      <w:r w:rsidRPr="00E54699">
        <w:rPr>
          <w:i/>
          <w:iCs/>
        </w:rPr>
        <w:t xml:space="preserve"> </w:t>
      </w:r>
      <w:proofErr w:type="spellStart"/>
      <w:r w:rsidRPr="00E54699">
        <w:rPr>
          <w:i/>
          <w:iCs/>
        </w:rPr>
        <w:t>Alekhina</w:t>
      </w:r>
      <w:proofErr w:type="spellEnd"/>
      <w:r w:rsidRPr="00E54699">
        <w:rPr>
          <w:i/>
          <w:iCs/>
        </w:rPr>
        <w:t xml:space="preserve"> et autres c. Russie</w:t>
      </w:r>
      <w:r w:rsidRPr="00E54699">
        <w:t>, n</w:t>
      </w:r>
      <w:r w:rsidRPr="00E54699">
        <w:rPr>
          <w:vertAlign w:val="superscript"/>
        </w:rPr>
        <w:t>o</w:t>
      </w:r>
      <w:r w:rsidR="00CE5A5B">
        <w:t xml:space="preserve"> 38004/12, §§ </w:t>
      </w:r>
      <w:r w:rsidR="00C069BA">
        <w:t>263 et 264, 17 </w:t>
      </w:r>
      <w:r w:rsidRPr="00E54699">
        <w:t>juillet 2018</w:t>
      </w:r>
      <w:r w:rsidRPr="00155585">
        <w:t>)</w:t>
      </w:r>
      <w:r w:rsidRPr="00E54699">
        <w:t>.</w:t>
      </w:r>
    </w:p>
    <w:p w:rsidR="00F2568C" w:rsidP="00F2568C" w:rsidRDefault="00F2568C">
      <w:pPr>
        <w:pStyle w:val="JuPara"/>
      </w:pPr>
      <w:r>
        <w:t>34</w:t>
      </w:r>
      <w:r w:rsidRPr="00E43442">
        <w:t>.  Elle rappelle à cet égard que l</w:t>
      </w:r>
      <w:r>
        <w:t>’</w:t>
      </w:r>
      <w:r w:rsidRPr="00E43442">
        <w:t>équité</w:t>
      </w:r>
      <w:r w:rsidRPr="002B5452">
        <w:t xml:space="preserve"> de la procédure et les garanties procédurales accordées au requérant sont des facteurs à prendre en considération lorsqu</w:t>
      </w:r>
      <w:r>
        <w:t>’</w:t>
      </w:r>
      <w:r w:rsidRPr="002B5452">
        <w:t>il s</w:t>
      </w:r>
      <w:r>
        <w:t>’</w:t>
      </w:r>
      <w:r w:rsidRPr="002B5452">
        <w:t>agit d</w:t>
      </w:r>
      <w:r>
        <w:t>’</w:t>
      </w:r>
      <w:r w:rsidRPr="002B5452">
        <w:t>apprécier la proportionnalité d</w:t>
      </w:r>
      <w:r>
        <w:t>’</w:t>
      </w:r>
      <w:r w:rsidRPr="002B5452">
        <w:t>une ingérence dans l</w:t>
      </w:r>
      <w:r>
        <w:t>’</w:t>
      </w:r>
      <w:r w:rsidRPr="002B5452">
        <w:t>exercice de la liberté d</w:t>
      </w:r>
      <w:r>
        <w:t>’</w:t>
      </w:r>
      <w:r w:rsidRPr="002B5452">
        <w:t>expression garantie par l</w:t>
      </w:r>
      <w:r>
        <w:t>’</w:t>
      </w:r>
      <w:r w:rsidRPr="002B5452">
        <w:t>article 10 de la Convention (</w:t>
      </w:r>
      <w:r w:rsidRPr="002B5452">
        <w:rPr>
          <w:i/>
        </w:rPr>
        <w:t>Baka c. Hongrie</w:t>
      </w:r>
      <w:r w:rsidRPr="002B5452">
        <w:t xml:space="preserve"> [GC], </w:t>
      </w:r>
      <w:r w:rsidRPr="001E38CE">
        <w:t>n</w:t>
      </w:r>
      <w:r w:rsidRPr="001E38CE">
        <w:rPr>
          <w:vertAlign w:val="superscript"/>
        </w:rPr>
        <w:t>o</w:t>
      </w:r>
      <w:r w:rsidRPr="002B5452">
        <w:t xml:space="preserve"> 20261/12, § 161, 29 mars 2016, et les référence</w:t>
      </w:r>
      <w:r>
        <w:t>s</w:t>
      </w:r>
      <w:r w:rsidRPr="002B5452">
        <w:t xml:space="preserve"> qui y figurent).</w:t>
      </w:r>
    </w:p>
    <w:p w:rsidRPr="005E3F61" w:rsidR="00F2568C" w:rsidP="00F2568C" w:rsidRDefault="00F2568C">
      <w:pPr>
        <w:pStyle w:val="JuPara"/>
        <w:rPr>
          <w:i/>
        </w:rPr>
      </w:pPr>
      <w:r>
        <w:t xml:space="preserve">35.  Elle rappelle en outre que, si </w:t>
      </w:r>
      <w:r w:rsidRPr="009C405B">
        <w:t>les règles d</w:t>
      </w:r>
      <w:r>
        <w:t>’</w:t>
      </w:r>
      <w:r w:rsidRPr="009C405B">
        <w:t>admissibilité des preuves relèvent en premier chef du droit interne</w:t>
      </w:r>
      <w:r>
        <w:t>, p</w:t>
      </w:r>
      <w:r w:rsidRPr="009C405B">
        <w:t>our déterminer si la procédure dans son ensemble a été équitable, il faut aussi se demander si les droits de la défense ont été respectés. Il faut recherc</w:t>
      </w:r>
      <w:r>
        <w:t>her notamment si le requérant s’</w:t>
      </w:r>
      <w:r w:rsidRPr="009C405B">
        <w:t>est vu offrir la possib</w:t>
      </w:r>
      <w:r>
        <w:t>ilité de remettre en question l’</w:t>
      </w:r>
      <w:r w:rsidRPr="009C405B">
        <w:t>auth</w:t>
      </w:r>
      <w:r>
        <w:t>enticité de l’élément de preuve et de s’</w:t>
      </w:r>
      <w:r w:rsidRPr="009C405B">
        <w:t>opposer à son utilisation. Il faut prendre égal</w:t>
      </w:r>
      <w:r>
        <w:t>ement en compte la qualité de l’</w:t>
      </w:r>
      <w:r w:rsidRPr="009C405B">
        <w:t>élément de preuve, y compris le point de savoir si les circonstances dans lesquelles il a été recueilli font douter de sa fiabilité ou de s</w:t>
      </w:r>
      <w:r>
        <w:t>on exactitude. Si un problème d’</w:t>
      </w:r>
      <w:r w:rsidRPr="009C405B">
        <w:t>équité ne se pose pas nécessairement lorsque la preuve obt</w:t>
      </w:r>
      <w:r>
        <w:t>enue n’est pas corroborée par d’</w:t>
      </w:r>
      <w:r w:rsidRPr="009C405B">
        <w:t>autres élé</w:t>
      </w:r>
      <w:r>
        <w:t>ments, il faut noter que lorsqu’</w:t>
      </w:r>
      <w:r w:rsidRPr="009C405B">
        <w:t xml:space="preserve">elle est très solide et ne prête à aucun doute, </w:t>
      </w:r>
      <w:r>
        <w:t>le besoin d’autres éléments à l’</w:t>
      </w:r>
      <w:r w:rsidRPr="009C405B">
        <w:t>appui devient moindre</w:t>
      </w:r>
      <w:r>
        <w:t xml:space="preserve"> (</w:t>
      </w:r>
      <w:proofErr w:type="spellStart"/>
      <w:r w:rsidRPr="00F85513">
        <w:rPr>
          <w:i/>
        </w:rPr>
        <w:t>Bykov</w:t>
      </w:r>
      <w:proofErr w:type="spellEnd"/>
      <w:r w:rsidRPr="00F85513">
        <w:rPr>
          <w:i/>
        </w:rPr>
        <w:t xml:space="preserve"> c.</w:t>
      </w:r>
      <w:r>
        <w:rPr>
          <w:i/>
        </w:rPr>
        <w:t> </w:t>
      </w:r>
      <w:r w:rsidRPr="00F85513">
        <w:rPr>
          <w:i/>
        </w:rPr>
        <w:t>Russie</w:t>
      </w:r>
      <w:r w:rsidRPr="00F85513">
        <w:t xml:space="preserve"> [GC], n</w:t>
      </w:r>
      <w:r w:rsidRPr="00F85513">
        <w:rPr>
          <w:vertAlign w:val="superscript"/>
        </w:rPr>
        <w:t>o</w:t>
      </w:r>
      <w:r w:rsidRPr="00F85513">
        <w:t xml:space="preserve"> 4378/02, § </w:t>
      </w:r>
      <w:r>
        <w:t>90</w:t>
      </w:r>
      <w:r w:rsidRPr="00F85513">
        <w:t>, 10 mars 2009</w:t>
      </w:r>
      <w:r>
        <w:t>).</w:t>
      </w:r>
    </w:p>
    <w:p w:rsidRPr="00F44210" w:rsidR="00F2568C" w:rsidP="00F2568C" w:rsidRDefault="00F2568C">
      <w:pPr>
        <w:pStyle w:val="JuPara"/>
      </w:pPr>
      <w:r>
        <w:t>36.  En l’espèce, la Cour note que,</w:t>
      </w:r>
      <w:r w:rsidRPr="002E7AF3">
        <w:t xml:space="preserve"> </w:t>
      </w:r>
      <w:r>
        <w:t xml:space="preserve">certes, </w:t>
      </w:r>
      <w:r w:rsidRPr="00B87E04">
        <w:t xml:space="preserve">la requérante, </w:t>
      </w:r>
      <w:r>
        <w:t xml:space="preserve">qui </w:t>
      </w:r>
      <w:r w:rsidRPr="00B87E04">
        <w:t>résid</w:t>
      </w:r>
      <w:r>
        <w:t>ait</w:t>
      </w:r>
      <w:r w:rsidRPr="00B87E04">
        <w:t xml:space="preserve"> dans une autre ville que </w:t>
      </w:r>
      <w:r>
        <w:t>celle</w:t>
      </w:r>
      <w:r w:rsidRPr="00B87E04">
        <w:t xml:space="preserve"> </w:t>
      </w:r>
      <w:r w:rsidRPr="009C2DE9">
        <w:t>où se déroulait la procédure pénale, a demandé à être dispensée d</w:t>
      </w:r>
      <w:r>
        <w:t>’</w:t>
      </w:r>
      <w:r w:rsidRPr="009C2DE9">
        <w:t>assister aux audiences et n</w:t>
      </w:r>
      <w:r>
        <w:t>’</w:t>
      </w:r>
      <w:r w:rsidRPr="009C2DE9">
        <w:t xml:space="preserve">a présenté aucun élément de </w:t>
      </w:r>
      <w:r w:rsidRPr="00F44210">
        <w:t>preuve au cours de la procédure devant la cour d</w:t>
      </w:r>
      <w:r>
        <w:t>’</w:t>
      </w:r>
      <w:r w:rsidRPr="00F44210">
        <w:t>assises qui lui aurait permis de contester la fiabilité et l</w:t>
      </w:r>
      <w:r>
        <w:t>’</w:t>
      </w:r>
      <w:r w:rsidRPr="00F44210">
        <w:t>exactitude du procès-verbal du 2 septembre 2006 et de démontrer que les propos litigieux – qu</w:t>
      </w:r>
      <w:r>
        <w:t>’</w:t>
      </w:r>
      <w:r w:rsidRPr="00F44210">
        <w:t>elle avait nié, dans sa déposition, avoir tenus – n</w:t>
      </w:r>
      <w:r>
        <w:t>’</w:t>
      </w:r>
      <w:r w:rsidRPr="00F44210">
        <w:t>avaient pas été prononcés au cours de son intervention. Cependant, la Cour note aussi que la cour d</w:t>
      </w:r>
      <w:r>
        <w:t>’</w:t>
      </w:r>
      <w:r w:rsidRPr="00F44210">
        <w:t>assises n</w:t>
      </w:r>
      <w:r>
        <w:t>’</w:t>
      </w:r>
      <w:r w:rsidRPr="00F44210">
        <w:t>a pas cherché à vérifier si le seul élément de</w:t>
      </w:r>
      <w:r w:rsidRPr="009C2DE9">
        <w:t xml:space="preserve"> preuve dont elle disposait pour incriminer la </w:t>
      </w:r>
      <w:r w:rsidRPr="00F44210">
        <w:t>requérante, à savoir le procès-verbal du 2</w:t>
      </w:r>
      <w:r>
        <w:t xml:space="preserve"> </w:t>
      </w:r>
      <w:r w:rsidRPr="00F44210">
        <w:t>septembre 2006 présenté par l</w:t>
      </w:r>
      <w:r>
        <w:t>’</w:t>
      </w:r>
      <w:r w:rsidRPr="00F44210">
        <w:t>accusation et confirmé par la suite dans son contenu par les dépositions des policiers qui en étaient les auteurs, était corroboré par d</w:t>
      </w:r>
      <w:r>
        <w:t>’</w:t>
      </w:r>
      <w:r w:rsidRPr="00F44210">
        <w:t>autres éléments de preuve, tels que des déclarations</w:t>
      </w:r>
      <w:r>
        <w:t xml:space="preserve"> de </w:t>
      </w:r>
      <w:r w:rsidRPr="00B87E04">
        <w:t>témoins indépendants ou des enregistrements</w:t>
      </w:r>
      <w:r>
        <w:t xml:space="preserve"> éventuellement</w:t>
      </w:r>
      <w:r w:rsidRPr="00B87E04">
        <w:t xml:space="preserve"> </w:t>
      </w:r>
      <w:r>
        <w:t>réalisés</w:t>
      </w:r>
      <w:r w:rsidRPr="00B87E04">
        <w:t xml:space="preserve"> par les organes de presse. </w:t>
      </w:r>
      <w:r>
        <w:t xml:space="preserve">La </w:t>
      </w:r>
      <w:r w:rsidRPr="00F44210">
        <w:t>cour d</w:t>
      </w:r>
      <w:r>
        <w:t>’</w:t>
      </w:r>
      <w:r w:rsidRPr="00F44210">
        <w:t>assises n</w:t>
      </w:r>
      <w:r>
        <w:t>’</w:t>
      </w:r>
      <w:r w:rsidRPr="00F44210">
        <w:t xml:space="preserve">a pas </w:t>
      </w:r>
      <w:r>
        <w:t xml:space="preserve">non plus </w:t>
      </w:r>
      <w:r w:rsidRPr="00F44210">
        <w:t>expliqué pour quelle raison elle tenait les déclarations en défense de la requérante, dans lesquelles cette dernière contestait avoir prononcé les propos litigieux, pour « évasives ».</w:t>
      </w:r>
    </w:p>
    <w:p w:rsidRPr="000631D5" w:rsidR="00F2568C" w:rsidP="00F2568C" w:rsidRDefault="00F2568C">
      <w:pPr>
        <w:pStyle w:val="JuPara"/>
      </w:pPr>
      <w:r>
        <w:t>37</w:t>
      </w:r>
      <w:r w:rsidRPr="00F44210">
        <w:t>.  La Cour note par ailleurs que dans son pourvoi en cassation la requérante a signalé la divergence qui aurait existé entre</w:t>
      </w:r>
      <w:r w:rsidRPr="00B87E04">
        <w:t xml:space="preserve"> le contenu de son discours publié dans les articles de presse et celui </w:t>
      </w:r>
      <w:r>
        <w:t>retracé</w:t>
      </w:r>
      <w:r w:rsidRPr="00B87E04">
        <w:t xml:space="preserve"> dans le procès</w:t>
      </w:r>
      <w:r>
        <w:noBreakHyphen/>
      </w:r>
      <w:r w:rsidRPr="00B87E04">
        <w:t>verbal en question</w:t>
      </w:r>
      <w:r>
        <w:t xml:space="preserve"> et qu’elle a aussi soutenu que la comparution</w:t>
      </w:r>
      <w:r w:rsidRPr="004E76BA">
        <w:t xml:space="preserve"> </w:t>
      </w:r>
      <w:r w:rsidRPr="00B87E04">
        <w:t>comme témoins des personnes</w:t>
      </w:r>
      <w:r>
        <w:t xml:space="preserve"> qu’elle avait nommément citées et qui étaient</w:t>
      </w:r>
      <w:r w:rsidRPr="00B87E04">
        <w:t xml:space="preserve"> présentes à la manifestation du 2 septembre 2006 </w:t>
      </w:r>
      <w:r w:rsidRPr="006E184A">
        <w:t>aurait pu permettre d</w:t>
      </w:r>
      <w:r>
        <w:t>’</w:t>
      </w:r>
      <w:r w:rsidRPr="006E184A">
        <w:t>établir le contenu exact de son discours (paragraphe 10 ci-dessus). Pour la Cour, dès lors que, dans son pourvoi en cassation, la requérante avait présenté des arguments de nature à faire douter de l</w:t>
      </w:r>
      <w:r>
        <w:t>’</w:t>
      </w:r>
      <w:r w:rsidRPr="006E184A">
        <w:t>exactitude du principal élément de preuve retenu à l</w:t>
      </w:r>
      <w:r>
        <w:t>’</w:t>
      </w:r>
      <w:r w:rsidRPr="006E184A">
        <w:t>appui de sa condamnation, allégué que le raisonnement de la cour d</w:t>
      </w:r>
      <w:r>
        <w:t>’</w:t>
      </w:r>
      <w:r w:rsidRPr="006E184A">
        <w:t>assises était dépourvu de base factuelle et demandé la production de nouveaux éléments de preuve à cet égard, la Cour de cassation ne pouvait se contenter, dans son arrêt de confirmation, de s</w:t>
      </w:r>
      <w:r>
        <w:t>’</w:t>
      </w:r>
      <w:r w:rsidRPr="006E184A">
        <w:t>appuyer sur l</w:t>
      </w:r>
      <w:r>
        <w:t>’</w:t>
      </w:r>
      <w:r w:rsidRPr="006E184A">
        <w:t>unique élément de preuve en question, à savoir le procès</w:t>
      </w:r>
      <w:r w:rsidRPr="006E184A">
        <w:noBreakHyphen/>
        <w:t xml:space="preserve">verbal du 2 septembre 2006, sans </w:t>
      </w:r>
      <w:r>
        <w:t>se prononcer sur les</w:t>
      </w:r>
      <w:r w:rsidRPr="006E184A">
        <w:t xml:space="preserve"> moyens soulevés par la requérante à ce sujet, et il </w:t>
      </w:r>
      <w:r>
        <w:t xml:space="preserve">lui </w:t>
      </w:r>
      <w:r w:rsidRPr="006E184A">
        <w:t>appartenait de répondre aux arguments de l</w:t>
      </w:r>
      <w:r>
        <w:t>’</w:t>
      </w:r>
      <w:r w:rsidRPr="006E184A">
        <w:t xml:space="preserve">intéressée par une motivation adéquate (voir </w:t>
      </w:r>
      <w:proofErr w:type="spellStart"/>
      <w:r w:rsidRPr="006E184A">
        <w:rPr>
          <w:i/>
          <w:iCs/>
        </w:rPr>
        <w:t>Shabelnik</w:t>
      </w:r>
      <w:proofErr w:type="spellEnd"/>
      <w:r w:rsidRPr="006E184A">
        <w:rPr>
          <w:i/>
          <w:iCs/>
        </w:rPr>
        <w:t xml:space="preserve"> c.</w:t>
      </w:r>
      <w:r>
        <w:rPr>
          <w:i/>
          <w:iCs/>
        </w:rPr>
        <w:t> </w:t>
      </w:r>
      <w:r w:rsidRPr="006E184A">
        <w:rPr>
          <w:i/>
          <w:iCs/>
        </w:rPr>
        <w:t>Ukraine (n</w:t>
      </w:r>
      <w:r w:rsidRPr="006E184A">
        <w:rPr>
          <w:i/>
          <w:iCs/>
          <w:vertAlign w:val="superscript"/>
        </w:rPr>
        <w:t>o</w:t>
      </w:r>
      <w:r w:rsidRPr="006E184A">
        <w:rPr>
          <w:i/>
          <w:iCs/>
        </w:rPr>
        <w:t xml:space="preserve"> 2)</w:t>
      </w:r>
      <w:r w:rsidRPr="006E184A">
        <w:t>, n</w:t>
      </w:r>
      <w:r w:rsidRPr="006E184A">
        <w:rPr>
          <w:vertAlign w:val="superscript"/>
        </w:rPr>
        <w:t>o</w:t>
      </w:r>
      <w:r w:rsidRPr="006E184A">
        <w:t xml:space="preserve"> 15685/11, §§</w:t>
      </w:r>
      <w:r>
        <w:t xml:space="preserve"> </w:t>
      </w:r>
      <w:r w:rsidRPr="006E184A">
        <w:t>50-55, 1</w:t>
      </w:r>
      <w:r w:rsidRPr="006E184A">
        <w:rPr>
          <w:vertAlign w:val="superscript"/>
        </w:rPr>
        <w:t>er</w:t>
      </w:r>
      <w:r w:rsidRPr="006E184A">
        <w:t xml:space="preserve"> juin 2017, et voir, </w:t>
      </w:r>
      <w:r w:rsidRPr="006E184A">
        <w:rPr>
          <w:i/>
        </w:rPr>
        <w:t>mutatis mutandis</w:t>
      </w:r>
      <w:r w:rsidRPr="006E184A">
        <w:t xml:space="preserve">, </w:t>
      </w:r>
      <w:proofErr w:type="spellStart"/>
      <w:r w:rsidRPr="006E184A">
        <w:rPr>
          <w:i/>
        </w:rPr>
        <w:t>Tatichvili</w:t>
      </w:r>
      <w:proofErr w:type="spellEnd"/>
      <w:r w:rsidRPr="006E184A">
        <w:rPr>
          <w:i/>
        </w:rPr>
        <w:t xml:space="preserve"> c.</w:t>
      </w:r>
      <w:r>
        <w:rPr>
          <w:i/>
        </w:rPr>
        <w:t xml:space="preserve"> </w:t>
      </w:r>
      <w:r w:rsidRPr="006E184A">
        <w:rPr>
          <w:i/>
        </w:rPr>
        <w:t>Russie</w:t>
      </w:r>
      <w:r w:rsidRPr="006E184A">
        <w:t>, n</w:t>
      </w:r>
      <w:r w:rsidRPr="006E184A">
        <w:rPr>
          <w:szCs w:val="24"/>
          <w:vertAlign w:val="superscript"/>
        </w:rPr>
        <w:t>o</w:t>
      </w:r>
      <w:r>
        <w:t xml:space="preserve"> </w:t>
      </w:r>
      <w:r w:rsidRPr="006E184A">
        <w:t>1509/02, § 62, CEDH 2007</w:t>
      </w:r>
      <w:r w:rsidRPr="006E184A">
        <w:noBreakHyphen/>
        <w:t>I).</w:t>
      </w:r>
    </w:p>
    <w:p w:rsidR="00F2568C" w:rsidP="00F2568C" w:rsidRDefault="00F2568C">
      <w:pPr>
        <w:pStyle w:val="JuPara"/>
      </w:pPr>
      <w:r>
        <w:t>38</w:t>
      </w:r>
      <w:r w:rsidRPr="000631D5">
        <w:t>.  </w:t>
      </w:r>
      <w:r>
        <w:t xml:space="preserve">Or, </w:t>
      </w:r>
      <w:r w:rsidRPr="000631D5">
        <w:t xml:space="preserve">dans la présente </w:t>
      </w:r>
      <w:r w:rsidRPr="00EF0802">
        <w:t>affaire, la Cour observe que l</w:t>
      </w:r>
      <w:r>
        <w:t>’</w:t>
      </w:r>
      <w:r w:rsidRPr="00EF0802">
        <w:t>argument de la requérante tenant aux contradictions alléguées entre les contenus respectifs des documents relatant son discours – à savoir le procès</w:t>
      </w:r>
      <w:r w:rsidRPr="00EF0802">
        <w:noBreakHyphen/>
        <w:t>verbal du 2 septembre 2006 et les articles de presse publiés</w:t>
      </w:r>
      <w:r>
        <w:t xml:space="preserve"> à ce propos</w:t>
      </w:r>
      <w:r w:rsidRPr="00EF0802">
        <w:t xml:space="preserve"> – et sa demande de comparution de témoins à décharge aux fins de l</w:t>
      </w:r>
      <w:r>
        <w:t>’</w:t>
      </w:r>
      <w:r w:rsidRPr="00EF0802">
        <w:t>établissement du contenu exact dudit discours, qui ont été présentés par l</w:t>
      </w:r>
      <w:r>
        <w:t>’</w:t>
      </w:r>
      <w:r w:rsidRPr="00EF0802">
        <w:t>intéressée</w:t>
      </w:r>
      <w:r>
        <w:t xml:space="preserve"> dans son pourvoi en cassation, ont été écartés par la Cour de cassation, qui les a considérés comme dénués de pertinence </w:t>
      </w:r>
      <w:r w:rsidRPr="00A37A84">
        <w:t xml:space="preserve">compte tenu de la manière </w:t>
      </w:r>
      <w:r>
        <w:t xml:space="preserve">dont </w:t>
      </w:r>
      <w:r w:rsidRPr="00A37A84">
        <w:t>la procédure</w:t>
      </w:r>
      <w:r>
        <w:t xml:space="preserve"> s’était </w:t>
      </w:r>
      <w:r w:rsidRPr="004C13DF">
        <w:t>déroulée, des éléments de preuve qui avaient été collectés et de la conviction et du jugement que la cour d</w:t>
      </w:r>
      <w:r>
        <w:t>’</w:t>
      </w:r>
      <w:r w:rsidRPr="004C13DF">
        <w:t>assises s</w:t>
      </w:r>
      <w:r>
        <w:t>’</w:t>
      </w:r>
      <w:r w:rsidRPr="004C13DF">
        <w:t xml:space="preserve">était forgés </w:t>
      </w:r>
      <w:r>
        <w:t>à la lumière des</w:t>
      </w:r>
      <w:r w:rsidRPr="004C13DF">
        <w:t xml:space="preserve"> résultats des poursuites et du</w:t>
      </w:r>
      <w:r w:rsidR="00C069BA">
        <w:t xml:space="preserve"> contenu du dossier (paragraphe </w:t>
      </w:r>
      <w:r w:rsidRPr="004C13DF">
        <w:t xml:space="preserve">11 ci-dessus). </w:t>
      </w:r>
      <w:r>
        <w:t>Pourtant</w:t>
      </w:r>
      <w:r w:rsidRPr="004C13DF">
        <w:t>, de l</w:t>
      </w:r>
      <w:r>
        <w:t>’</w:t>
      </w:r>
      <w:r w:rsidRPr="004C13DF">
        <w:t>avis de la Cour, les articles de presse retraçant le discours de la requérante</w:t>
      </w:r>
      <w:r>
        <w:t xml:space="preserve"> ou</w:t>
      </w:r>
      <w:r w:rsidRPr="004C13DF">
        <w:t xml:space="preserve"> les enregistrements de ce</w:t>
      </w:r>
      <w:r>
        <w:t>tte intervention</w:t>
      </w:r>
      <w:r w:rsidRPr="004C13DF">
        <w:t xml:space="preserve"> par l</w:t>
      </w:r>
      <w:r>
        <w:t>es médias</w:t>
      </w:r>
      <w:r w:rsidRPr="004C13DF">
        <w:t xml:space="preserve"> et les témoignages</w:t>
      </w:r>
      <w:r>
        <w:t xml:space="preserve"> de personnes autres que les policiers auteurs du procès</w:t>
      </w:r>
      <w:r>
        <w:noBreakHyphen/>
        <w:t>verbal présentes lors du prononcé dudit discours, qui auraient pu confirmer que la requérante n’avait pas tenu les propos litigieux, étaient de nature à</w:t>
      </w:r>
      <w:r w:rsidRPr="001D4A58">
        <w:t xml:space="preserve"> renforcer objectivement la position de la défense</w:t>
      </w:r>
      <w:r>
        <w:t>,</w:t>
      </w:r>
      <w:r w:rsidRPr="001D4A58">
        <w:t xml:space="preserve"> voir</w:t>
      </w:r>
      <w:r>
        <w:t>e à permettre l’acquittement de l’intéressée (</w:t>
      </w:r>
      <w:proofErr w:type="spellStart"/>
      <w:r w:rsidRPr="00F85513">
        <w:rPr>
          <w:i/>
        </w:rPr>
        <w:t>Topić</w:t>
      </w:r>
      <w:proofErr w:type="spellEnd"/>
      <w:r w:rsidRPr="00F85513">
        <w:rPr>
          <w:i/>
        </w:rPr>
        <w:t xml:space="preserve"> c. Croatie</w:t>
      </w:r>
      <w:r w:rsidRPr="00F85513">
        <w:t>, n</w:t>
      </w:r>
      <w:r w:rsidRPr="00F85513">
        <w:rPr>
          <w:vertAlign w:val="superscript"/>
        </w:rPr>
        <w:t>o</w:t>
      </w:r>
      <w:r w:rsidRPr="00F85513">
        <w:t xml:space="preserve"> 51355/10</w:t>
      </w:r>
      <w:r w:rsidR="00C069BA">
        <w:rPr>
          <w:snapToGrid w:val="0"/>
        </w:rPr>
        <w:t>, § </w:t>
      </w:r>
      <w:r>
        <w:rPr>
          <w:snapToGrid w:val="0"/>
        </w:rPr>
        <w:t>42</w:t>
      </w:r>
      <w:r w:rsidRPr="00F85513">
        <w:rPr>
          <w:snapToGrid w:val="0"/>
        </w:rPr>
        <w:t>, 10</w:t>
      </w:r>
      <w:r>
        <w:rPr>
          <w:snapToGrid w:val="0"/>
        </w:rPr>
        <w:t> </w:t>
      </w:r>
      <w:r w:rsidRPr="00F85513">
        <w:t>octobre</w:t>
      </w:r>
      <w:r w:rsidRPr="00F85513">
        <w:rPr>
          <w:snapToGrid w:val="0"/>
        </w:rPr>
        <w:t xml:space="preserve"> 2013</w:t>
      </w:r>
      <w:r>
        <w:t>).</w:t>
      </w:r>
    </w:p>
    <w:p w:rsidR="00F2568C" w:rsidP="00F2568C" w:rsidRDefault="00F2568C">
      <w:pPr>
        <w:pStyle w:val="JuPara"/>
      </w:pPr>
      <w:r>
        <w:t xml:space="preserve">39.  La Cour constate donc qu’en l’occurrence la Cour de cassation </w:t>
      </w:r>
      <w:r w:rsidRPr="001F4F79">
        <w:t xml:space="preserve">a souscrit aux conclusions </w:t>
      </w:r>
      <w:r>
        <w:t>de la cour d’assises de manière sommaire et</w:t>
      </w:r>
      <w:r w:rsidRPr="001F4F79">
        <w:t xml:space="preserve"> sans examiner </w:t>
      </w:r>
      <w:r>
        <w:t xml:space="preserve">plus avant </w:t>
      </w:r>
      <w:r w:rsidRPr="001F4F79">
        <w:t>les arguments que la r</w:t>
      </w:r>
      <w:r>
        <w:t xml:space="preserve">equérante avait </w:t>
      </w:r>
      <w:r w:rsidRPr="005F1216">
        <w:t>avan</w:t>
      </w:r>
      <w:r>
        <w:t>cés dans son pourvoi en cassation</w:t>
      </w:r>
      <w:r w:rsidRPr="001F4F79">
        <w:t>.</w:t>
      </w:r>
      <w:r>
        <w:t xml:space="preserve"> </w:t>
      </w:r>
      <w:r w:rsidRPr="001F4F79">
        <w:t xml:space="preserve">Si </w:t>
      </w:r>
      <w:r>
        <w:t>cette manière de raisonner</w:t>
      </w:r>
      <w:r w:rsidRPr="001F4F79">
        <w:t xml:space="preserve"> est en principe acceptable de la part d</w:t>
      </w:r>
      <w:r>
        <w:t>’</w:t>
      </w:r>
      <w:r w:rsidRPr="001F4F79">
        <w:t>une juridiction d</w:t>
      </w:r>
      <w:r>
        <w:t>’</w:t>
      </w:r>
      <w:r w:rsidRPr="001F4F79">
        <w:t>appel, dans les circonstances de la présente</w:t>
      </w:r>
      <w:r>
        <w:t xml:space="preserve"> espèce, où</w:t>
      </w:r>
      <w:r w:rsidRPr="00AF5F3C">
        <w:t xml:space="preserve"> </w:t>
      </w:r>
      <w:r>
        <w:t>la base factuelle du raisonnement de la cour d’assises avait été remise en cause par des arguments solides, elle</w:t>
      </w:r>
      <w:r w:rsidDel="00E22483">
        <w:t xml:space="preserve"> </w:t>
      </w:r>
      <w:r w:rsidRPr="001F4F79">
        <w:t>n</w:t>
      </w:r>
      <w:r>
        <w:t>’</w:t>
      </w:r>
      <w:r w:rsidRPr="001F4F79">
        <w:t>a pas répondu aux exigences d</w:t>
      </w:r>
      <w:r>
        <w:t>’</w:t>
      </w:r>
      <w:r w:rsidRPr="001F4F79">
        <w:t>un procès équitable</w:t>
      </w:r>
      <w:r>
        <w:t xml:space="preserve"> (</w:t>
      </w:r>
      <w:proofErr w:type="spellStart"/>
      <w:r w:rsidRPr="00F85513">
        <w:rPr>
          <w:i/>
        </w:rPr>
        <w:t>Tatichvili</w:t>
      </w:r>
      <w:proofErr w:type="spellEnd"/>
      <w:r w:rsidRPr="00F85513">
        <w:t xml:space="preserve">, </w:t>
      </w:r>
      <w:r>
        <w:t xml:space="preserve">précité, </w:t>
      </w:r>
      <w:r w:rsidRPr="00F85513">
        <w:t xml:space="preserve">§ </w:t>
      </w:r>
      <w:r>
        <w:t>62)</w:t>
      </w:r>
      <w:r w:rsidRPr="001F4F79">
        <w:t>.</w:t>
      </w:r>
    </w:p>
    <w:p w:rsidR="00F2568C" w:rsidP="00F2568C" w:rsidRDefault="00F2568C">
      <w:pPr>
        <w:pStyle w:val="JuPara"/>
      </w:pPr>
      <w:r>
        <w:t>40.  </w:t>
      </w:r>
      <w:r w:rsidRPr="00081E0F">
        <w:t>Dès lors, la Cour ne peut que constater que les juridictions nationales, faute d</w:t>
      </w:r>
      <w:r>
        <w:t>’</w:t>
      </w:r>
      <w:r w:rsidRPr="00081E0F">
        <w:t>avoir répondu</w:t>
      </w:r>
      <w:r>
        <w:t xml:space="preserve"> aux arguments pertinents soulevés par la requérante quant à la fiabilité et à l’exactitude du contenu du principal élément de preuve qu’elles avaient retenu à l’appui de la condamnation pénale de l’intéressée</w:t>
      </w:r>
      <w:r w:rsidRPr="00F660A5">
        <w:t>, n</w:t>
      </w:r>
      <w:r>
        <w:t>’</w:t>
      </w:r>
      <w:r w:rsidRPr="00F660A5">
        <w:t>ont pu remplir leur tâche consistant à mettre en balance les différents intérêts en jeu</w:t>
      </w:r>
      <w:r>
        <w:t>,</w:t>
      </w:r>
      <w:r w:rsidRPr="00F660A5">
        <w:t xml:space="preserve"> au sens de l</w:t>
      </w:r>
      <w:r>
        <w:t>’</w:t>
      </w:r>
      <w:r w:rsidRPr="00F660A5">
        <w:t>article 10 de la Convention</w:t>
      </w:r>
      <w:r>
        <w:t>, dans la présente affaire.</w:t>
      </w:r>
    </w:p>
    <w:p w:rsidR="00F2568C" w:rsidP="00F2568C" w:rsidRDefault="00F2568C">
      <w:pPr>
        <w:pStyle w:val="JuPara"/>
      </w:pPr>
      <w:r>
        <w:t>41.  </w:t>
      </w:r>
      <w:r w:rsidRPr="00EC1BA9">
        <w:t>À</w:t>
      </w:r>
      <w:r>
        <w:rPr>
          <w:rFonts w:cstheme="minorHAnsi"/>
          <w:iCs/>
          <w:snapToGrid w:val="0"/>
        </w:rPr>
        <w:t xml:space="preserve"> la lumière de tout ce qui précède,</w:t>
      </w:r>
      <w:r w:rsidRPr="009672FB">
        <w:t xml:space="preserve"> </w:t>
      </w:r>
      <w:r w:rsidRPr="00D43995">
        <w:t>la Cour estime que</w:t>
      </w:r>
      <w:r>
        <w:t>,</w:t>
      </w:r>
      <w:r w:rsidRPr="00D43995">
        <w:t xml:space="preserve"> </w:t>
      </w:r>
      <w:r w:rsidRPr="009672FB">
        <w:t>dans les circonstances de l</w:t>
      </w:r>
      <w:r>
        <w:t>’</w:t>
      </w:r>
      <w:r w:rsidRPr="009672FB">
        <w:t>espèce</w:t>
      </w:r>
      <w:r>
        <w:t>,</w:t>
      </w:r>
      <w:r w:rsidRPr="00D43995">
        <w:t xml:space="preserve"> les juridictions nationales ne peuvent être considérées comme ayant appliqué des règles conformes aux principes consacrés à l</w:t>
      </w:r>
      <w:r>
        <w:t>’</w:t>
      </w:r>
      <w:r w:rsidRPr="00D43995">
        <w:t>article 10 de la Convention</w:t>
      </w:r>
      <w:r>
        <w:t>,</w:t>
      </w:r>
      <w:r w:rsidRPr="00D43995">
        <w:t xml:space="preserve"> </w:t>
      </w:r>
      <w:r>
        <w:t>ni</w:t>
      </w:r>
      <w:r w:rsidRPr="00D43995">
        <w:t xml:space="preserve">, de surcroît, </w:t>
      </w:r>
      <w:r>
        <w:t>comme s’étant</w:t>
      </w:r>
      <w:r w:rsidRPr="00D43995">
        <w:t xml:space="preserve"> fond</w:t>
      </w:r>
      <w:r>
        <w:t>ées</w:t>
      </w:r>
      <w:r w:rsidRPr="00D43995">
        <w:t xml:space="preserve"> sur une appréciation acceptable des faits pertinents (</w:t>
      </w:r>
      <w:proofErr w:type="spellStart"/>
      <w:r w:rsidRPr="00F85513">
        <w:rPr>
          <w:i/>
        </w:rPr>
        <w:t>Saygılı</w:t>
      </w:r>
      <w:proofErr w:type="spellEnd"/>
      <w:r w:rsidRPr="00F85513">
        <w:rPr>
          <w:i/>
        </w:rPr>
        <w:t xml:space="preserve"> et </w:t>
      </w:r>
      <w:proofErr w:type="spellStart"/>
      <w:r w:rsidRPr="00F85513">
        <w:rPr>
          <w:i/>
        </w:rPr>
        <w:t>Karataş</w:t>
      </w:r>
      <w:proofErr w:type="spellEnd"/>
      <w:r w:rsidRPr="00F85513">
        <w:rPr>
          <w:lang w:eastAsia="en-GB"/>
        </w:rPr>
        <w:t xml:space="preserve">, </w:t>
      </w:r>
      <w:r>
        <w:rPr>
          <w:lang w:eastAsia="en-GB"/>
        </w:rPr>
        <w:t>précité</w:t>
      </w:r>
      <w:r w:rsidRPr="00F85513">
        <w:rPr>
          <w:lang w:eastAsia="en-GB"/>
        </w:rPr>
        <w:t xml:space="preserve">, </w:t>
      </w:r>
      <w:r w:rsidRPr="00F85513">
        <w:t xml:space="preserve">§ </w:t>
      </w:r>
      <w:r>
        <w:t xml:space="preserve">43 et </w:t>
      </w:r>
      <w:proofErr w:type="spellStart"/>
      <w:r w:rsidRPr="00D43995">
        <w:rPr>
          <w:i/>
        </w:rPr>
        <w:t>Terentyev</w:t>
      </w:r>
      <w:proofErr w:type="spellEnd"/>
      <w:r w:rsidRPr="00D43995">
        <w:rPr>
          <w:i/>
        </w:rPr>
        <w:t xml:space="preserve"> c.</w:t>
      </w:r>
      <w:r>
        <w:rPr>
          <w:i/>
        </w:rPr>
        <w:t> </w:t>
      </w:r>
      <w:r w:rsidRPr="00D43995">
        <w:rPr>
          <w:i/>
        </w:rPr>
        <w:t>Russie</w:t>
      </w:r>
      <w:r w:rsidRPr="00D43995">
        <w:t xml:space="preserve">, </w:t>
      </w:r>
      <w:r w:rsidRPr="00F85513">
        <w:rPr>
          <w:lang w:eastAsia="en-GB"/>
        </w:rPr>
        <w:t>n</w:t>
      </w:r>
      <w:r w:rsidRPr="00F85513">
        <w:rPr>
          <w:vertAlign w:val="superscript"/>
          <w:lang w:eastAsia="en-GB"/>
        </w:rPr>
        <w:t>o</w:t>
      </w:r>
      <w:r>
        <w:rPr>
          <w:vertAlign w:val="superscript"/>
          <w:lang w:eastAsia="en-GB"/>
        </w:rPr>
        <w:t xml:space="preserve"> </w:t>
      </w:r>
      <w:r w:rsidRPr="00D43995">
        <w:t>25147/09, § 24, 26 janvier 2017, et l</w:t>
      </w:r>
      <w:r>
        <w:t>es références qui y figurent </w:t>
      </w:r>
      <w:r w:rsidRPr="00D43995">
        <w:t xml:space="preserve">; voir aussi </w:t>
      </w:r>
      <w:proofErr w:type="spellStart"/>
      <w:r w:rsidRPr="00D43995">
        <w:rPr>
          <w:i/>
        </w:rPr>
        <w:t>Annen</w:t>
      </w:r>
      <w:proofErr w:type="spellEnd"/>
      <w:r w:rsidRPr="00D43995">
        <w:rPr>
          <w:i/>
        </w:rPr>
        <w:t xml:space="preserve"> c. Allemagne</w:t>
      </w:r>
      <w:r w:rsidRPr="00D43995">
        <w:t xml:space="preserve">, </w:t>
      </w:r>
      <w:r w:rsidRPr="00F85513">
        <w:rPr>
          <w:lang w:eastAsia="en-GB"/>
        </w:rPr>
        <w:t>n</w:t>
      </w:r>
      <w:r w:rsidRPr="00F85513">
        <w:rPr>
          <w:vertAlign w:val="superscript"/>
          <w:lang w:eastAsia="en-GB"/>
        </w:rPr>
        <w:t>o</w:t>
      </w:r>
      <w:r w:rsidR="00CE5A5B">
        <w:t> </w:t>
      </w:r>
      <w:r w:rsidRPr="00D43995">
        <w:t>3690/10, § 73, 26</w:t>
      </w:r>
      <w:r>
        <w:t> </w:t>
      </w:r>
      <w:r w:rsidRPr="00D43995">
        <w:t>novembre 2015).</w:t>
      </w:r>
    </w:p>
    <w:p w:rsidRPr="00BE28F2" w:rsidR="00F2568C" w:rsidP="00F2568C" w:rsidRDefault="00F2568C">
      <w:pPr>
        <w:pStyle w:val="JuPara"/>
      </w:pPr>
      <w:r>
        <w:t>42.  Partant, elle</w:t>
      </w:r>
      <w:r w:rsidRPr="009672FB">
        <w:t xml:space="preserve"> </w:t>
      </w:r>
      <w:r>
        <w:t>conclut qu’</w:t>
      </w:r>
      <w:r w:rsidRPr="009672FB">
        <w:t>il y a eu violation de l</w:t>
      </w:r>
      <w:r>
        <w:t>’</w:t>
      </w:r>
      <w:r w:rsidRPr="009672FB">
        <w:t>article 10 de la Convention</w:t>
      </w:r>
      <w:r>
        <w:t xml:space="preserve"> en l’espèce</w:t>
      </w:r>
      <w:r w:rsidRPr="009672FB">
        <w:t>.</w:t>
      </w:r>
    </w:p>
    <w:p w:rsidR="00F2568C" w:rsidP="00F2568C" w:rsidRDefault="00F2568C">
      <w:pPr>
        <w:pStyle w:val="JuHIRoman"/>
        <w:numPr>
          <w:ilvl w:val="0"/>
          <w:numId w:val="0"/>
        </w:numPr>
        <w:ind w:left="357"/>
      </w:pPr>
      <w:r>
        <w:t xml:space="preserve">II.  SUR LA VIOLATION </w:t>
      </w:r>
      <w:r w:rsidRPr="00291E8F">
        <w:t>ALLÉGUÉE</w:t>
      </w:r>
      <w:r>
        <w:t xml:space="preserve"> DE L’ARTICLE 6 DE LA CONVENTION</w:t>
      </w:r>
    </w:p>
    <w:p w:rsidR="00F2568C" w:rsidP="00F2568C" w:rsidRDefault="00F2568C">
      <w:pPr>
        <w:pStyle w:val="JuPara"/>
      </w:pPr>
      <w:r>
        <w:t>43.  Invoquant l’article 6 § 1 de la Convention, la requérante allègue que la cour d’assises qui l’a jugée n’était pas indépendante et impartiale.</w:t>
      </w:r>
    </w:p>
    <w:p w:rsidR="00F2568C" w:rsidP="00F2568C" w:rsidRDefault="00F2568C">
      <w:pPr>
        <w:pStyle w:val="JuPara"/>
      </w:pPr>
      <w:r>
        <w:t>44.  Sous l’angle du même article, elle se plaint d’un manque d’équité de la procédure. Elle soutient à cet égard que les juridictions nationales n’ont pas pris en compte ses moyens de défense, mais qu’elles se sont fondées sur un procès-verbal établi par des policiers qui n’aurait été corroboré par aucun autre élément de preuve.</w:t>
      </w:r>
    </w:p>
    <w:p w:rsidR="00F2568C" w:rsidP="00F2568C" w:rsidRDefault="00F2568C">
      <w:pPr>
        <w:pStyle w:val="JuPara"/>
      </w:pPr>
      <w:r>
        <w:t xml:space="preserve">45.  Toujours sur le terrain du même article, elle allègue </w:t>
      </w:r>
      <w:r w:rsidRPr="00334583">
        <w:t>une atteinte au principe de l</w:t>
      </w:r>
      <w:r>
        <w:t>’</w:t>
      </w:r>
      <w:r w:rsidRPr="00334583">
        <w:t>égalité des armes</w:t>
      </w:r>
      <w:r>
        <w:t xml:space="preserve">. À cet égard, </w:t>
      </w:r>
      <w:r w:rsidRPr="002D306F">
        <w:t xml:space="preserve">elle </w:t>
      </w:r>
      <w:r>
        <w:t>critique les</w:t>
      </w:r>
      <w:r w:rsidRPr="002D306F">
        <w:t xml:space="preserve"> juridictions nationales </w:t>
      </w:r>
      <w:r>
        <w:t>en ce qu’elles auraient</w:t>
      </w:r>
      <w:r w:rsidRPr="002D306F">
        <w:t xml:space="preserve"> entendu les témoins de l</w:t>
      </w:r>
      <w:r>
        <w:t>’</w:t>
      </w:r>
      <w:r w:rsidRPr="002D306F">
        <w:t xml:space="preserve">accusation mais </w:t>
      </w:r>
      <w:r>
        <w:t>auraient</w:t>
      </w:r>
      <w:r w:rsidRPr="002D306F">
        <w:t xml:space="preserve"> rejeté sa demande de comparution des témoins à décharge</w:t>
      </w:r>
      <w:r>
        <w:t>, et</w:t>
      </w:r>
      <w:r w:rsidRPr="002D306F">
        <w:t xml:space="preserve"> elle </w:t>
      </w:r>
      <w:r>
        <w:t>leur reproche de ne pas lui avoir donné</w:t>
      </w:r>
      <w:r w:rsidRPr="002D306F">
        <w:t xml:space="preserve"> la possibilité de répondre à l</w:t>
      </w:r>
      <w:r>
        <w:t>’</w:t>
      </w:r>
      <w:r w:rsidRPr="002D306F">
        <w:t>avis sur le fond émis par le procureur de la République.</w:t>
      </w:r>
    </w:p>
    <w:p w:rsidR="00F2568C" w:rsidP="00F2568C" w:rsidRDefault="00F2568C">
      <w:pPr>
        <w:pStyle w:val="JuPara"/>
      </w:pPr>
      <w:r>
        <w:t>46.  Enfin, invoquant l’article 6 § 3 d) de la Convention, elle se plaint de ne pas avoir eu la possibilité d’interroger les témoins à charge.</w:t>
      </w:r>
    </w:p>
    <w:p w:rsidRPr="00C96C43" w:rsidR="00F2568C" w:rsidP="00F2568C" w:rsidRDefault="00F2568C">
      <w:pPr>
        <w:pStyle w:val="JuPara"/>
      </w:pPr>
      <w:r>
        <w:t>47.  </w:t>
      </w:r>
      <w:r w:rsidRPr="003A31E6">
        <w:t xml:space="preserve">Eu égard au constat de violation auquel elle est parvenue </w:t>
      </w:r>
      <w:r>
        <w:t xml:space="preserve">relativement au grief fondé sur </w:t>
      </w:r>
      <w:r w:rsidRPr="003A31E6">
        <w:t>l</w:t>
      </w:r>
      <w:r>
        <w:t>’</w:t>
      </w:r>
      <w:r w:rsidRPr="003A31E6">
        <w:t>article 10</w:t>
      </w:r>
      <w:r>
        <w:t xml:space="preserve"> de la Convention </w:t>
      </w:r>
      <w:r w:rsidR="00C069BA">
        <w:t>(paragraphe </w:t>
      </w:r>
      <w:r>
        <w:t>43</w:t>
      </w:r>
      <w:r w:rsidRPr="003A31E6">
        <w:t xml:space="preserve"> ci-dessus)</w:t>
      </w:r>
      <w:r>
        <w:t xml:space="preserve"> et c</w:t>
      </w:r>
      <w:r w:rsidRPr="003A31E6">
        <w:t>ompte tenu de l</w:t>
      </w:r>
      <w:r>
        <w:t>’</w:t>
      </w:r>
      <w:r w:rsidRPr="003A31E6">
        <w:t xml:space="preserve">ensemble des faits de la cause et des arguments des parties, </w:t>
      </w:r>
      <w:r>
        <w:t>la Cour</w:t>
      </w:r>
      <w:r w:rsidRPr="003A31E6">
        <w:t xml:space="preserve"> considère qu</w:t>
      </w:r>
      <w:r>
        <w:t>’</w:t>
      </w:r>
      <w:r w:rsidRPr="003A31E6">
        <w:t>il ne s</w:t>
      </w:r>
      <w:r>
        <w:t>’</w:t>
      </w:r>
      <w:r w:rsidRPr="003A31E6">
        <w:t>impose de statuer séparément ni sur l</w:t>
      </w:r>
      <w:r>
        <w:t>a recevabilité ni sur le fond des</w:t>
      </w:r>
      <w:r w:rsidRPr="003A31E6">
        <w:t xml:space="preserve"> grief</w:t>
      </w:r>
      <w:r>
        <w:t>s</w:t>
      </w:r>
      <w:r w:rsidRPr="003A31E6">
        <w:t xml:space="preserve"> tiré</w:t>
      </w:r>
      <w:r>
        <w:t>s</w:t>
      </w:r>
      <w:r w:rsidRPr="003A31E6">
        <w:t xml:space="preserve"> de</w:t>
      </w:r>
      <w:r>
        <w:t xml:space="preserve"> l’</w:t>
      </w:r>
      <w:r w:rsidRPr="003A31E6">
        <w:t>article</w:t>
      </w:r>
      <w:r w:rsidR="00C069BA">
        <w:t> </w:t>
      </w:r>
      <w:r>
        <w:t xml:space="preserve">6 </w:t>
      </w:r>
      <w:r w:rsidRPr="003A31E6">
        <w:t>de la Convention.</w:t>
      </w:r>
    </w:p>
    <w:p w:rsidRPr="00291E8F" w:rsidR="00F2568C" w:rsidP="00F2568C" w:rsidRDefault="00F2568C">
      <w:pPr>
        <w:pStyle w:val="JuHIRoman"/>
        <w:numPr>
          <w:ilvl w:val="0"/>
          <w:numId w:val="0"/>
        </w:numPr>
        <w:ind w:left="357"/>
      </w:pPr>
      <w:r>
        <w:t>III</w:t>
      </w:r>
      <w:r w:rsidRPr="00291E8F">
        <w:t>.  SUR L</w:t>
      </w:r>
      <w:r>
        <w:t>’</w:t>
      </w:r>
      <w:r w:rsidRPr="00291E8F">
        <w:t>APPLICATION DE L</w:t>
      </w:r>
      <w:r>
        <w:t>’</w:t>
      </w:r>
      <w:r w:rsidRPr="00291E8F">
        <w:t>ARTICLE</w:t>
      </w:r>
      <w:r>
        <w:t xml:space="preserve"> </w:t>
      </w:r>
      <w:r w:rsidRPr="00291E8F">
        <w:t>41 DE LA CONVENTION</w:t>
      </w:r>
    </w:p>
    <w:p w:rsidRPr="00291E8F" w:rsidR="00F2568C" w:rsidP="00F2568C" w:rsidRDefault="00F2568C">
      <w:pPr>
        <w:pStyle w:val="JuPara"/>
      </w:pPr>
      <w:r>
        <w:t>48</w:t>
      </w:r>
      <w:r w:rsidRPr="00291E8F">
        <w:t>.  Aux termes de l</w:t>
      </w:r>
      <w:r>
        <w:t>’</w:t>
      </w:r>
      <w:r w:rsidRPr="00291E8F">
        <w:t>article</w:t>
      </w:r>
      <w:r>
        <w:t xml:space="preserve"> </w:t>
      </w:r>
      <w:r w:rsidRPr="00291E8F">
        <w:t>41 de la Convention,</w:t>
      </w:r>
    </w:p>
    <w:p w:rsidRPr="00291E8F" w:rsidR="00F2568C" w:rsidP="00F2568C" w:rsidRDefault="00F2568C">
      <w:pPr>
        <w:pStyle w:val="JuQuot"/>
        <w:keepNext/>
        <w:keepLines/>
      </w:pPr>
      <w:r w:rsidRPr="00291E8F">
        <w:t>« Si la Cour déclare qu</w:t>
      </w:r>
      <w:r>
        <w:t>’</w:t>
      </w:r>
      <w:r w:rsidRPr="00291E8F">
        <w:t>il y a eu violation de la Convention ou de ses Protocoles, et si le droit interne de la Haute Partie contractante ne permet d</w:t>
      </w:r>
      <w:r>
        <w:t>’</w:t>
      </w:r>
      <w:r w:rsidRPr="00291E8F">
        <w:t>effacer qu</w:t>
      </w:r>
      <w:r>
        <w:t>’</w:t>
      </w:r>
      <w:r w:rsidRPr="00291E8F">
        <w:t>imparfaitement les conséquences de cette violation, la Cour accorde à la partie lésée, s</w:t>
      </w:r>
      <w:r>
        <w:t>’</w:t>
      </w:r>
      <w:r w:rsidRPr="00291E8F">
        <w:t>il y a lieu, une satisfaction équitable. »</w:t>
      </w:r>
    </w:p>
    <w:p w:rsidRPr="00291E8F" w:rsidR="00F2568C" w:rsidP="00F2568C" w:rsidRDefault="00F2568C">
      <w:pPr>
        <w:pStyle w:val="JuHA"/>
        <w:numPr>
          <w:ilvl w:val="0"/>
          <w:numId w:val="0"/>
        </w:numPr>
        <w:ind w:left="584"/>
      </w:pPr>
      <w:r w:rsidRPr="00291E8F">
        <w:t>A.  Dommage</w:t>
      </w:r>
    </w:p>
    <w:p w:rsidRPr="00291E8F" w:rsidR="00F2568C" w:rsidP="00F2568C" w:rsidRDefault="00F2568C">
      <w:pPr>
        <w:pStyle w:val="JuPara"/>
      </w:pPr>
      <w:r>
        <w:t>49</w:t>
      </w:r>
      <w:r w:rsidRPr="00291E8F">
        <w:t>.  </w:t>
      </w:r>
      <w:r>
        <w:t>La requérante</w:t>
      </w:r>
      <w:r w:rsidRPr="00291E8F">
        <w:t xml:space="preserve"> </w:t>
      </w:r>
      <w:r>
        <w:t>sollicite 30 000</w:t>
      </w:r>
      <w:r w:rsidRPr="00291E8F">
        <w:t xml:space="preserve"> eu</w:t>
      </w:r>
      <w:r>
        <w:t>ros (EUR) au titre du préjudice</w:t>
      </w:r>
      <w:r w:rsidRPr="00291E8F">
        <w:t xml:space="preserve"> moral qu</w:t>
      </w:r>
      <w:r>
        <w:t>’elle</w:t>
      </w:r>
      <w:r w:rsidRPr="00291E8F">
        <w:t xml:space="preserve"> estime avoir subi.</w:t>
      </w:r>
    </w:p>
    <w:p w:rsidR="00F2568C" w:rsidP="00F2568C" w:rsidRDefault="00F2568C">
      <w:pPr>
        <w:pStyle w:val="JuPara"/>
      </w:pPr>
      <w:r>
        <w:t>50</w:t>
      </w:r>
      <w:r w:rsidRPr="00291E8F">
        <w:t xml:space="preserve">.  Le Gouvernement </w:t>
      </w:r>
      <w:r>
        <w:t>considère que la somme réclamée pour préjudice moral est excessive et qu’elle ne correspond pas aux sommes ordinairement accordées par la Cour.</w:t>
      </w:r>
    </w:p>
    <w:p w:rsidRPr="00291E8F" w:rsidR="00F2568C" w:rsidP="00F2568C" w:rsidRDefault="00F2568C">
      <w:pPr>
        <w:pStyle w:val="JuPara"/>
      </w:pPr>
      <w:r>
        <w:t>51</w:t>
      </w:r>
      <w:r w:rsidRPr="00291E8F">
        <w:t>.  La Cour considère qu</w:t>
      </w:r>
      <w:r>
        <w:t>’</w:t>
      </w:r>
      <w:r w:rsidRPr="00291E8F">
        <w:t>il y a lieu d</w:t>
      </w:r>
      <w:r>
        <w:t>’</w:t>
      </w:r>
      <w:r w:rsidRPr="00291E8F">
        <w:t xml:space="preserve">octroyer </w:t>
      </w:r>
      <w:r>
        <w:t>à la requérante</w:t>
      </w:r>
      <w:r w:rsidRPr="00291E8F">
        <w:t xml:space="preserve"> </w:t>
      </w:r>
      <w:r>
        <w:t>2 500 </w:t>
      </w:r>
      <w:r w:rsidRPr="00291E8F">
        <w:t xml:space="preserve">EUR </w:t>
      </w:r>
      <w:r>
        <w:t>pour</w:t>
      </w:r>
      <w:r w:rsidRPr="00291E8F">
        <w:t xml:space="preserve"> préjudice moral.</w:t>
      </w:r>
    </w:p>
    <w:p w:rsidRPr="00291E8F" w:rsidR="00F2568C" w:rsidP="00F2568C" w:rsidRDefault="00F2568C">
      <w:pPr>
        <w:pStyle w:val="JuHA"/>
        <w:numPr>
          <w:ilvl w:val="0"/>
          <w:numId w:val="0"/>
        </w:numPr>
        <w:ind w:left="584"/>
      </w:pPr>
      <w:r w:rsidRPr="00291E8F">
        <w:t>B.  Frais et dépens</w:t>
      </w:r>
    </w:p>
    <w:p w:rsidRPr="00291E8F" w:rsidR="00F2568C" w:rsidP="00F2568C" w:rsidRDefault="00F2568C">
      <w:pPr>
        <w:pStyle w:val="JuPara"/>
      </w:pPr>
      <w:r>
        <w:t>52</w:t>
      </w:r>
      <w:r w:rsidRPr="00291E8F">
        <w:t>.  </w:t>
      </w:r>
      <w:r>
        <w:t>La requérante</w:t>
      </w:r>
      <w:r w:rsidRPr="00291E8F">
        <w:t xml:space="preserve"> demande également </w:t>
      </w:r>
      <w:r>
        <w:t>5 000</w:t>
      </w:r>
      <w:r w:rsidRPr="00291E8F">
        <w:t xml:space="preserve"> EUR pour les frais</w:t>
      </w:r>
      <w:r>
        <w:t xml:space="preserve"> afférents à sa représentation. Elle ne présente aucun document à ce titre.</w:t>
      </w:r>
    </w:p>
    <w:p w:rsidRPr="00291E8F" w:rsidR="00F2568C" w:rsidP="00F2568C" w:rsidRDefault="00F2568C">
      <w:pPr>
        <w:pStyle w:val="JuPara"/>
      </w:pPr>
      <w:r>
        <w:t>53</w:t>
      </w:r>
      <w:r w:rsidRPr="00291E8F">
        <w:t xml:space="preserve">.  Le Gouvernement </w:t>
      </w:r>
      <w:r>
        <w:t>expose que la requérante n’a soumis aucun document ou justificatif de paiement à l’appui des frais allégués.</w:t>
      </w:r>
    </w:p>
    <w:p w:rsidRPr="00291E8F" w:rsidR="00F2568C" w:rsidP="00F2568C" w:rsidRDefault="00F2568C">
      <w:pPr>
        <w:pStyle w:val="JuPara"/>
      </w:pPr>
      <w:r>
        <w:t>54</w:t>
      </w:r>
      <w:r w:rsidRPr="00291E8F">
        <w:t>.  Selon la jurisprudence de la Cour, un requérant ne peut obtenir le remboursement de ses frais et dépens que dans la mesure où se trouvent établis leur réalité, leur nécessité et le caractère raisonnable de leur taux. En l</w:t>
      </w:r>
      <w:r>
        <w:t>’</w:t>
      </w:r>
      <w:r w:rsidRPr="00291E8F">
        <w:t>espèce, compte tenu des documents dont elle dispose et de sa jurisprudence, la Cour rejette la demande relative aux frais et dépens</w:t>
      </w:r>
      <w:r>
        <w:t>, faute pour la requérante d’avoir fourni un justificatif à l’appui de cette demande</w:t>
      </w:r>
      <w:r w:rsidRPr="00291E8F">
        <w:t>.</w:t>
      </w:r>
    </w:p>
    <w:p w:rsidRPr="00291E8F" w:rsidR="00F2568C" w:rsidP="00F2568C" w:rsidRDefault="00F2568C">
      <w:pPr>
        <w:pStyle w:val="JuHA"/>
        <w:numPr>
          <w:ilvl w:val="0"/>
          <w:numId w:val="0"/>
        </w:numPr>
        <w:ind w:left="584"/>
      </w:pPr>
      <w:r w:rsidRPr="00291E8F">
        <w:t>C.  Intérêts moratoires</w:t>
      </w:r>
    </w:p>
    <w:p w:rsidRPr="00291E8F" w:rsidR="00F2568C" w:rsidP="00F2568C" w:rsidRDefault="00F2568C">
      <w:pPr>
        <w:pStyle w:val="JuPara"/>
      </w:pPr>
      <w:r>
        <w:t>55</w:t>
      </w:r>
      <w:r w:rsidRPr="00291E8F">
        <w:t>.  La Cour juge approprié de calquer le taux des intérêts moratoires sur le taux d</w:t>
      </w:r>
      <w:r>
        <w:t>’</w:t>
      </w:r>
      <w:r w:rsidRPr="00291E8F">
        <w:t>intérêt de la facilité de prêt marginal de la Banque centrale européenne majoré de trois points de pourcentage.</w:t>
      </w:r>
    </w:p>
    <w:p w:rsidRPr="00291E8F" w:rsidR="00F2568C" w:rsidP="00F2568C" w:rsidRDefault="00F2568C">
      <w:pPr>
        <w:pStyle w:val="JuHHead"/>
        <w:numPr>
          <w:ilvl w:val="0"/>
          <w:numId w:val="23"/>
        </w:numPr>
        <w:jc w:val="both"/>
      </w:pPr>
      <w:r w:rsidRPr="00291E8F">
        <w:t>PAR CES MOTIFS, LA COUR, À L</w:t>
      </w:r>
      <w:r>
        <w:t>’</w:t>
      </w:r>
      <w:r w:rsidRPr="00291E8F">
        <w:t>UNANIMITÉ,</w:t>
      </w:r>
    </w:p>
    <w:p w:rsidRPr="00EC1BA9" w:rsidR="00F2568C" w:rsidP="00F2568C" w:rsidRDefault="00F2568C">
      <w:pPr>
        <w:pStyle w:val="JuList"/>
        <w:numPr>
          <w:ilvl w:val="0"/>
          <w:numId w:val="0"/>
        </w:numPr>
        <w:ind w:left="340"/>
        <w:rPr>
          <w:b/>
        </w:rPr>
      </w:pPr>
      <w:r>
        <w:t>1</w:t>
      </w:r>
      <w:r w:rsidRPr="00D34D3F">
        <w:t>.  </w:t>
      </w:r>
      <w:r w:rsidRPr="00D34D3F">
        <w:rPr>
          <w:i/>
        </w:rPr>
        <w:t>Déclare</w:t>
      </w:r>
      <w:r w:rsidRPr="00D34D3F">
        <w:t xml:space="preserve"> la requête recevable quant au grief tiré de </w:t>
      </w:r>
      <w:r>
        <w:t>l’article 10 de la Convention</w:t>
      </w:r>
      <w:r w:rsidRPr="00D34D3F">
        <w:t> </w:t>
      </w:r>
      <w:r w:rsidRPr="00EC1BA9">
        <w:t>;</w:t>
      </w:r>
    </w:p>
    <w:p w:rsidRPr="00EC1BA9" w:rsidR="00F2568C" w:rsidP="00F2568C" w:rsidRDefault="00F2568C">
      <w:pPr>
        <w:pStyle w:val="JuList"/>
        <w:numPr>
          <w:ilvl w:val="0"/>
          <w:numId w:val="0"/>
        </w:numPr>
        <w:ind w:left="340"/>
      </w:pPr>
      <w:r>
        <w:t>2</w:t>
      </w:r>
      <w:r w:rsidRPr="00EC1BA9">
        <w:t>.  </w:t>
      </w:r>
      <w:r w:rsidRPr="00EC1BA9">
        <w:rPr>
          <w:i/>
        </w:rPr>
        <w:t>Dit</w:t>
      </w:r>
      <w:r w:rsidRPr="00EC1BA9">
        <w:t xml:space="preserve"> qu</w:t>
      </w:r>
      <w:r>
        <w:t>’</w:t>
      </w:r>
      <w:r w:rsidRPr="00EC1BA9">
        <w:t>il y a eu violation de l</w:t>
      </w:r>
      <w:r>
        <w:t>’</w:t>
      </w:r>
      <w:r w:rsidRPr="00EC1BA9">
        <w:t xml:space="preserve">article </w:t>
      </w:r>
      <w:r>
        <w:t>10</w:t>
      </w:r>
      <w:r w:rsidRPr="00EC1BA9">
        <w:t xml:space="preserve"> de la Convention ;</w:t>
      </w:r>
    </w:p>
    <w:p w:rsidR="00F2568C" w:rsidP="00F2568C" w:rsidRDefault="00F2568C">
      <w:pPr>
        <w:pStyle w:val="JuList"/>
        <w:numPr>
          <w:ilvl w:val="0"/>
          <w:numId w:val="0"/>
        </w:numPr>
        <w:ind w:left="340"/>
      </w:pPr>
      <w:r w:rsidRPr="00135802">
        <w:t>3</w:t>
      </w:r>
      <w:r>
        <w:t>.  </w:t>
      </w:r>
      <w:r w:rsidRPr="00816A80">
        <w:rPr>
          <w:i/>
        </w:rPr>
        <w:t>Dit</w:t>
      </w:r>
      <w:r>
        <w:t xml:space="preserve"> qu’il ne s’impose </w:t>
      </w:r>
      <w:r w:rsidRPr="00C4726C">
        <w:t>de statuer séparément ni sur l</w:t>
      </w:r>
      <w:r>
        <w:t>a recevabilité ni sur le fond des</w:t>
      </w:r>
      <w:r w:rsidRPr="00C4726C">
        <w:t xml:space="preserve"> grief</w:t>
      </w:r>
      <w:r>
        <w:t>s</w:t>
      </w:r>
      <w:r w:rsidRPr="00C4726C">
        <w:t xml:space="preserve"> tiré</w:t>
      </w:r>
      <w:r>
        <w:t>s</w:t>
      </w:r>
      <w:r w:rsidRPr="00C4726C">
        <w:t xml:space="preserve"> de</w:t>
      </w:r>
      <w:r>
        <w:t xml:space="preserve"> l’</w:t>
      </w:r>
      <w:r w:rsidRPr="00C4726C">
        <w:t>article 6 de la Convention</w:t>
      </w:r>
      <w:r>
        <w:t> ;</w:t>
      </w:r>
    </w:p>
    <w:p w:rsidRPr="00027C44" w:rsidR="00F2568C" w:rsidP="00F2568C" w:rsidRDefault="00F2568C">
      <w:pPr>
        <w:pStyle w:val="JuList"/>
        <w:numPr>
          <w:ilvl w:val="0"/>
          <w:numId w:val="0"/>
        </w:numPr>
        <w:ind w:left="340"/>
      </w:pPr>
      <w:r w:rsidRPr="001E122C">
        <w:t>4</w:t>
      </w:r>
      <w:r w:rsidRPr="0004177F">
        <w:t>.  </w:t>
      </w:r>
      <w:r w:rsidRPr="00027C44">
        <w:rPr>
          <w:i/>
        </w:rPr>
        <w:t>Dit</w:t>
      </w:r>
      <w:r w:rsidRPr="00027C44">
        <w:t xml:space="preserve"> </w:t>
      </w:r>
    </w:p>
    <w:p w:rsidRPr="00291E8F" w:rsidR="00F2568C" w:rsidP="00F2568C" w:rsidRDefault="00F2568C">
      <w:pPr>
        <w:pStyle w:val="JuLista"/>
        <w:numPr>
          <w:ilvl w:val="0"/>
          <w:numId w:val="0"/>
        </w:numPr>
        <w:ind w:left="680"/>
      </w:pPr>
      <w:r w:rsidRPr="00291E8F">
        <w:t>a)  que l</w:t>
      </w:r>
      <w:r>
        <w:t>’</w:t>
      </w:r>
      <w:r w:rsidRPr="00291E8F">
        <w:t xml:space="preserve">État défendeur doit verser </w:t>
      </w:r>
      <w:r>
        <w:t>à la requérante</w:t>
      </w:r>
      <w:r w:rsidRPr="00291E8F">
        <w:t>, dans les trois mois</w:t>
      </w:r>
      <w:r>
        <w:t xml:space="preserve"> </w:t>
      </w:r>
      <w:r w:rsidRPr="00291E8F">
        <w:t>à compter du jour où l</w:t>
      </w:r>
      <w:r>
        <w:t>’</w:t>
      </w:r>
      <w:r w:rsidRPr="00291E8F">
        <w:t>arrêt sera devenu définitif conformément à l</w:t>
      </w:r>
      <w:r>
        <w:t>’</w:t>
      </w:r>
      <w:r w:rsidRPr="00291E8F">
        <w:t xml:space="preserve">article 44 § 2 de la Convention, </w:t>
      </w:r>
      <w:r>
        <w:rPr>
          <w:lang w:eastAsia="en-GB"/>
        </w:rPr>
        <w:t>2 500</w:t>
      </w:r>
      <w:r w:rsidRPr="00291E8F">
        <w:rPr>
          <w:lang w:eastAsia="en-GB"/>
        </w:rPr>
        <w:t xml:space="preserve"> EUR (</w:t>
      </w:r>
      <w:r>
        <w:rPr>
          <w:lang w:eastAsia="en-GB"/>
        </w:rPr>
        <w:t>deux mille cinq cents</w:t>
      </w:r>
      <w:r w:rsidRPr="00291E8F">
        <w:rPr>
          <w:lang w:eastAsia="en-GB"/>
        </w:rPr>
        <w:t xml:space="preserve"> euros), plus tout montant pouvant être dû à titre d</w:t>
      </w:r>
      <w:r>
        <w:rPr>
          <w:lang w:eastAsia="en-GB"/>
        </w:rPr>
        <w:t>’impôt sur cette somme, pour dommage moral</w:t>
      </w:r>
      <w:r w:rsidRPr="00291E8F">
        <w:t xml:space="preserve">, à </w:t>
      </w:r>
      <w:r w:rsidRPr="00DE03D8">
        <w:t>convertir dans la monnaie de l</w:t>
      </w:r>
      <w:r>
        <w:t>’</w:t>
      </w:r>
      <w:r w:rsidRPr="00DE03D8">
        <w:t xml:space="preserve">État défendeur, </w:t>
      </w:r>
      <w:r w:rsidRPr="00291E8F">
        <w:t>au taux applicable à la date du règlement</w:t>
      </w:r>
      <w:r>
        <w:t> ;</w:t>
      </w:r>
    </w:p>
    <w:p w:rsidRPr="00291E8F" w:rsidR="00F2568C" w:rsidP="00F2568C" w:rsidRDefault="00F2568C">
      <w:pPr>
        <w:pStyle w:val="JuLista"/>
        <w:numPr>
          <w:ilvl w:val="0"/>
          <w:numId w:val="0"/>
        </w:numPr>
        <w:ind w:left="680"/>
        <w:rPr>
          <w:highlight w:val="cyan"/>
        </w:rPr>
      </w:pPr>
      <w:r w:rsidRPr="00291E8F">
        <w:t>b)  qu</w:t>
      </w:r>
      <w:r>
        <w:t>’</w:t>
      </w:r>
      <w:r w:rsidRPr="00291E8F">
        <w:t>à compter de l</w:t>
      </w:r>
      <w:r>
        <w:t>’</w:t>
      </w:r>
      <w:r w:rsidRPr="00291E8F">
        <w:t>expiration dudit délai et jusqu</w:t>
      </w:r>
      <w:r>
        <w:t>’</w:t>
      </w:r>
      <w:r w:rsidRPr="00291E8F">
        <w:t>au versement, ce montant ser</w:t>
      </w:r>
      <w:r>
        <w:t>a</w:t>
      </w:r>
      <w:r w:rsidRPr="00291E8F">
        <w:t xml:space="preserve"> à majorer d</w:t>
      </w:r>
      <w:r>
        <w:t>’</w:t>
      </w:r>
      <w:r w:rsidRPr="00291E8F">
        <w:t>un intérêt simple à un taux égal à celui de la facilité de prêt marginal de la Banque centrale européenne applicable pendant cette période, augmenté de trois points de pourcentage ;</w:t>
      </w:r>
    </w:p>
    <w:p w:rsidRPr="00775885" w:rsidR="00021956" w:rsidP="007F03A2" w:rsidRDefault="00F2568C">
      <w:pPr>
        <w:pStyle w:val="JuList"/>
        <w:numPr>
          <w:ilvl w:val="0"/>
          <w:numId w:val="0"/>
        </w:numPr>
        <w:ind w:left="340"/>
      </w:pPr>
      <w:r>
        <w:t>5</w:t>
      </w:r>
      <w:r w:rsidRPr="00291E8F">
        <w:t>.  </w:t>
      </w:r>
      <w:r w:rsidRPr="00291E8F">
        <w:rPr>
          <w:i/>
        </w:rPr>
        <w:t>Rejette</w:t>
      </w:r>
      <w:r w:rsidRPr="00291E8F">
        <w:t xml:space="preserve"> la demande de satisfaction équitable pour le surplus.</w:t>
      </w:r>
    </w:p>
    <w:p w:rsidRPr="00775885" w:rsidR="00102FB2" w:rsidP="00102FB2" w:rsidRDefault="00102FB2">
      <w:pPr>
        <w:pStyle w:val="JuParaLast"/>
        <w:keepNext w:val="0"/>
        <w:keepLines w:val="0"/>
      </w:pPr>
      <w:r w:rsidRPr="00775885">
        <w:t xml:space="preserve">Fait en français, puis communiqué par écrit le </w:t>
      </w:r>
      <w:r w:rsidRPr="00F2568C" w:rsidR="00F2568C">
        <w:rPr>
          <w:rFonts w:ascii="Times New Roman" w:hAnsi="Times New Roman" w:cs="Times New Roman"/>
        </w:rPr>
        <w:t>29 octobre 2019</w:t>
      </w:r>
      <w:r w:rsidRPr="00775885">
        <w:t>, en application de l</w:t>
      </w:r>
      <w:r w:rsidR="00F2568C">
        <w:t>’</w:t>
      </w:r>
      <w:r w:rsidRPr="00775885">
        <w:t>article 77 §§ 2 et 3 du règlement de la Cour.</w:t>
      </w:r>
    </w:p>
    <w:p w:rsidR="00EA2502" w:rsidP="00CE5A5B" w:rsidRDefault="00F2568C">
      <w:pPr>
        <w:pStyle w:val="JuSigned"/>
      </w:pPr>
      <w:r w:rsidRPr="00775885">
        <w:tab/>
      </w:r>
      <w:r w:rsidR="00CE5A5B">
        <w:t>Hasan</w:t>
      </w:r>
      <w:r w:rsidRPr="0074670F" w:rsidR="00CE5A5B">
        <w:t xml:space="preserve"> </w:t>
      </w:r>
      <w:r w:rsidR="00CE5A5B">
        <w:t>Bakırcı</w:t>
      </w:r>
      <w:r w:rsidRPr="00775885" w:rsidR="00777C71">
        <w:tab/>
      </w:r>
      <w:r>
        <w:rPr>
          <w:szCs w:val="24"/>
        </w:rPr>
        <w:t>Robert</w:t>
      </w:r>
      <w:r w:rsidRPr="00775885">
        <w:rPr>
          <w:szCs w:val="24"/>
        </w:rPr>
        <w:t xml:space="preserve"> </w:t>
      </w:r>
      <w:r>
        <w:rPr>
          <w:szCs w:val="24"/>
        </w:rPr>
        <w:t>Spano</w:t>
      </w:r>
      <w:r w:rsidRPr="00775885" w:rsidR="00777C71">
        <w:br/>
      </w:r>
      <w:r w:rsidRPr="00775885" w:rsidR="00777C71">
        <w:tab/>
      </w:r>
      <w:r w:rsidRPr="00775885">
        <w:t>Greffier</w:t>
      </w:r>
      <w:r w:rsidR="00CE5A5B">
        <w:t xml:space="preserve"> adjoint</w:t>
      </w:r>
      <w:r w:rsidRPr="00775885" w:rsidR="00777C71">
        <w:tab/>
      </w:r>
      <w:r w:rsidRPr="00775885">
        <w:t>Président</w:t>
      </w:r>
    </w:p>
    <w:p w:rsidRPr="00C069BA" w:rsidR="00C069BA" w:rsidP="00C069BA" w:rsidRDefault="00C069BA">
      <w:pPr>
        <w:pStyle w:val="JuPara"/>
      </w:pPr>
    </w:p>
    <w:sectPr w:rsidRPr="00C069BA" w:rsidR="00C069BA" w:rsidSect="00B452E6">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68C" w:rsidRPr="00775885" w:rsidRDefault="00F2568C" w:rsidP="002D2C99">
      <w:r w:rsidRPr="00775885">
        <w:separator/>
      </w:r>
    </w:p>
  </w:endnote>
  <w:endnote w:type="continuationSeparator" w:id="0">
    <w:p w:rsidR="00F2568C" w:rsidRPr="00775885" w:rsidRDefault="00F2568C" w:rsidP="002D2C99">
      <w:r w:rsidRPr="007758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68C" w:rsidRPr="00150BFA" w:rsidRDefault="00F2568C" w:rsidP="0020718E">
    <w:pPr>
      <w:jc w:val="center"/>
    </w:pPr>
    <w:r>
      <w:rPr>
        <w:noProof/>
        <w:lang w:val="en-US" w:eastAsia="ja-JP"/>
      </w:rPr>
      <w:drawing>
        <wp:inline distT="0" distB="0" distL="0" distR="0" wp14:anchorId="3E02A722" wp14:editId="06D29C8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D2C99" w:rsidRPr="00775885" w:rsidRDefault="002D2C99" w:rsidP="005072E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Default="00D41AE5" w:rsidP="005072E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Default="00D41AE5" w:rsidP="005072E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68C" w:rsidRPr="00775885" w:rsidRDefault="00F2568C" w:rsidP="002D2C99">
      <w:r w:rsidRPr="00775885">
        <w:separator/>
      </w:r>
    </w:p>
  </w:footnote>
  <w:footnote w:type="continuationSeparator" w:id="0">
    <w:p w:rsidR="00F2568C" w:rsidRPr="00775885" w:rsidRDefault="00F2568C" w:rsidP="002D2C99">
      <w:r w:rsidRPr="0077588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68C" w:rsidRPr="00A45145" w:rsidRDefault="00F2568C" w:rsidP="00A45145">
    <w:pPr>
      <w:jc w:val="center"/>
    </w:pPr>
    <w:r>
      <w:rPr>
        <w:noProof/>
        <w:lang w:val="en-US" w:eastAsia="ja-JP"/>
      </w:rPr>
      <w:drawing>
        <wp:inline distT="0" distB="0" distL="0" distR="0" wp14:anchorId="1F79EEA1" wp14:editId="23C45521">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D2C99" w:rsidRPr="00775885" w:rsidRDefault="002D2C99" w:rsidP="00F5432B">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Pr="00F5432B" w:rsidRDefault="00F2568C" w:rsidP="00F5432B">
    <w:pPr>
      <w:pStyle w:val="JuHeader"/>
    </w:pPr>
    <w:r>
      <w:rPr>
        <w:rStyle w:val="PageNumber"/>
        <w:lang w:val="en-GB"/>
      </w:rPr>
      <w:fldChar w:fldCharType="begin"/>
    </w:r>
    <w:r w:rsidRPr="00F2568C">
      <w:rPr>
        <w:rStyle w:val="PageNumber"/>
      </w:rPr>
      <w:instrText xml:space="preserve"> PAGE </w:instrText>
    </w:r>
    <w:r>
      <w:rPr>
        <w:rStyle w:val="PageNumber"/>
        <w:lang w:val="en-GB"/>
      </w:rPr>
      <w:fldChar w:fldCharType="separate"/>
    </w:r>
    <w:r w:rsidR="00A7690C">
      <w:rPr>
        <w:rStyle w:val="PageNumber"/>
        <w:noProof/>
      </w:rPr>
      <w:t>8</w:t>
    </w:r>
    <w:r>
      <w:rPr>
        <w:rStyle w:val="PageNumber"/>
        <w:lang w:val="en-GB"/>
      </w:rPr>
      <w:fldChar w:fldCharType="end"/>
    </w:r>
    <w:r w:rsidR="00420F04" w:rsidRPr="00F2568C">
      <w:tab/>
      <w:t xml:space="preserve">ARRÊT </w:t>
    </w:r>
    <w:r w:rsidR="00C069BA" w:rsidRPr="00C069BA">
      <w:t xml:space="preserve">HATİCE </w:t>
    </w:r>
    <w:r w:rsidRPr="00F2568C">
      <w:t>ÇOBAN c. TURQUIE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Pr="007100AD" w:rsidRDefault="00420F04" w:rsidP="00420F04">
    <w:pPr>
      <w:pStyle w:val="JuHeader"/>
    </w:pPr>
    <w:r>
      <w:tab/>
    </w:r>
    <w:r w:rsidRPr="00A7574A">
      <w:rPr>
        <w:lang w:val="en-GB"/>
      </w:rPr>
      <w:t xml:space="preserve">ARRÊT </w:t>
    </w:r>
    <w:r w:rsidR="00C069BA" w:rsidRPr="00C069BA">
      <w:t xml:space="preserve">HATİCE </w:t>
    </w:r>
    <w:r w:rsidR="00F2568C">
      <w:rPr>
        <w:lang w:val="en-GB"/>
      </w:rPr>
      <w:t>ÇOBAN c. TURQUIE</w:t>
    </w:r>
    <w:r w:rsidRPr="007100AD">
      <w:tab/>
    </w:r>
    <w:r w:rsidR="00F2568C">
      <w:rPr>
        <w:rStyle w:val="PageNumber"/>
        <w:lang w:val="en-GB"/>
      </w:rPr>
      <w:fldChar w:fldCharType="begin"/>
    </w:r>
    <w:r w:rsidR="00F2568C">
      <w:rPr>
        <w:rStyle w:val="PageNumber"/>
        <w:lang w:val="en-GB"/>
      </w:rPr>
      <w:instrText xml:space="preserve"> PAGE </w:instrText>
    </w:r>
    <w:r w:rsidR="00F2568C">
      <w:rPr>
        <w:rStyle w:val="PageNumber"/>
        <w:lang w:val="en-GB"/>
      </w:rPr>
      <w:fldChar w:fldCharType="separate"/>
    </w:r>
    <w:r w:rsidR="00A7690C">
      <w:rPr>
        <w:rStyle w:val="PageNumber"/>
        <w:noProof/>
        <w:lang w:val="en-GB"/>
      </w:rPr>
      <w:t>9</w:t>
    </w:r>
    <w:r w:rsidR="00F2568C">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363396"/>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85E6A40"/>
    <w:multiLevelType w:val="multilevel"/>
    <w:tmpl w:val="4522B778"/>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15:restartNumberingAfterBreak="0">
    <w:nsid w:val="56B9429C"/>
    <w:multiLevelType w:val="multilevel"/>
    <w:tmpl w:val="BDD64E96"/>
    <w:lvl w:ilvl="0">
      <w:start w:val="1"/>
      <w:numFmt w:val="none"/>
      <w:pStyle w:val="JuHHead"/>
      <w:suff w:val="nothing"/>
      <w:lvlText w:val=""/>
      <w:lvlJc w:val="left"/>
      <w:pPr>
        <w:ind w:left="0" w:firstLine="0"/>
      </w:pPr>
      <w:rPr>
        <w:rFonts w:hint="default"/>
      </w:rPr>
    </w:lvl>
    <w:lvl w:ilvl="1">
      <w:start w:val="1"/>
      <w:numFmt w:val="upperRoman"/>
      <w:pStyle w:val="JuHIRoman"/>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2"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9"/>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3"/>
  </w:num>
  <w:num w:numId="6">
    <w:abstractNumId w:val="19"/>
  </w:num>
  <w:num w:numId="7">
    <w:abstractNumId w:val="13"/>
  </w:num>
  <w:num w:numId="8">
    <w:abstractNumId w:val="7"/>
  </w:num>
  <w:num w:numId="9">
    <w:abstractNumId w:val="24"/>
  </w:num>
  <w:num w:numId="10">
    <w:abstractNumId w:val="22"/>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25"/>
  </w:num>
  <w:num w:numId="23">
    <w:abstractNumId w:val="21"/>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15"/>
  </w:num>
  <w:num w:numId="32">
    <w:abstractNumId w:val="15"/>
  </w:num>
  <w:num w:numId="33">
    <w:abstractNumId w:val="15"/>
  </w:num>
  <w:num w:numId="34">
    <w:abstractNumId w:val="17"/>
  </w:num>
  <w:num w:numId="35">
    <w:abstractNumId w:val="12"/>
  </w:num>
  <w:num w:numId="36">
    <w:abstractNumId w:val="11"/>
  </w:num>
  <w:num w:numId="37">
    <w:abstractNumId w:val="18"/>
  </w:num>
  <w:num w:numId="38">
    <w:abstractNumId w:val="14"/>
  </w:num>
  <w:num w:numId="39">
    <w:abstractNumId w:val="20"/>
  </w:num>
  <w:num w:numId="40">
    <w:abstractNumId w:val="23"/>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F2568C"/>
    <w:rsid w:val="000041F8"/>
    <w:rsid w:val="000042A8"/>
    <w:rsid w:val="00004308"/>
    <w:rsid w:val="00005BF0"/>
    <w:rsid w:val="00007154"/>
    <w:rsid w:val="000103AE"/>
    <w:rsid w:val="00011D69"/>
    <w:rsid w:val="00012AD3"/>
    <w:rsid w:val="00015C2D"/>
    <w:rsid w:val="00015F00"/>
    <w:rsid w:val="00021956"/>
    <w:rsid w:val="00022C1D"/>
    <w:rsid w:val="00032D1B"/>
    <w:rsid w:val="00034987"/>
    <w:rsid w:val="000448F1"/>
    <w:rsid w:val="000602DF"/>
    <w:rsid w:val="00061B05"/>
    <w:rsid w:val="000632D5"/>
    <w:rsid w:val="000644EE"/>
    <w:rsid w:val="00066567"/>
    <w:rsid w:val="00081867"/>
    <w:rsid w:val="000925AD"/>
    <w:rsid w:val="00093335"/>
    <w:rsid w:val="000A24EB"/>
    <w:rsid w:val="000B6923"/>
    <w:rsid w:val="000C5F3C"/>
    <w:rsid w:val="000C6DCC"/>
    <w:rsid w:val="000D47AA"/>
    <w:rsid w:val="000D721F"/>
    <w:rsid w:val="000E069B"/>
    <w:rsid w:val="000E0E82"/>
    <w:rsid w:val="000E1DC5"/>
    <w:rsid w:val="000E223F"/>
    <w:rsid w:val="000E7D45"/>
    <w:rsid w:val="000F7851"/>
    <w:rsid w:val="001022BE"/>
    <w:rsid w:val="00102FB2"/>
    <w:rsid w:val="00104E23"/>
    <w:rsid w:val="00111B0C"/>
    <w:rsid w:val="00120410"/>
    <w:rsid w:val="00120D6C"/>
    <w:rsid w:val="001257EC"/>
    <w:rsid w:val="00127B42"/>
    <w:rsid w:val="00133D33"/>
    <w:rsid w:val="00134D64"/>
    <w:rsid w:val="00135A30"/>
    <w:rsid w:val="0013612C"/>
    <w:rsid w:val="00137FF6"/>
    <w:rsid w:val="00141650"/>
    <w:rsid w:val="00155585"/>
    <w:rsid w:val="00162A12"/>
    <w:rsid w:val="00166530"/>
    <w:rsid w:val="001832BD"/>
    <w:rsid w:val="001943B5"/>
    <w:rsid w:val="00195134"/>
    <w:rsid w:val="001A145B"/>
    <w:rsid w:val="001A3D28"/>
    <w:rsid w:val="001A674C"/>
    <w:rsid w:val="001B3B24"/>
    <w:rsid w:val="001C0F98"/>
    <w:rsid w:val="001C2A42"/>
    <w:rsid w:val="001D63ED"/>
    <w:rsid w:val="001D6B54"/>
    <w:rsid w:val="001D7348"/>
    <w:rsid w:val="001E035B"/>
    <w:rsid w:val="001E0961"/>
    <w:rsid w:val="001E3664"/>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3766D"/>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12A30"/>
    <w:rsid w:val="00320F72"/>
    <w:rsid w:val="0032463E"/>
    <w:rsid w:val="00325F90"/>
    <w:rsid w:val="00326224"/>
    <w:rsid w:val="00336456"/>
    <w:rsid w:val="00337EE4"/>
    <w:rsid w:val="00340FFD"/>
    <w:rsid w:val="003506B1"/>
    <w:rsid w:val="00352FB1"/>
    <w:rsid w:val="00356AC7"/>
    <w:rsid w:val="003609FA"/>
    <w:rsid w:val="003710C8"/>
    <w:rsid w:val="003750BE"/>
    <w:rsid w:val="00387B9D"/>
    <w:rsid w:val="0039364F"/>
    <w:rsid w:val="00396686"/>
    <w:rsid w:val="0039778E"/>
    <w:rsid w:val="003979ED"/>
    <w:rsid w:val="003B336E"/>
    <w:rsid w:val="003B4941"/>
    <w:rsid w:val="003C5714"/>
    <w:rsid w:val="003C6B9F"/>
    <w:rsid w:val="003C6E2A"/>
    <w:rsid w:val="003D0299"/>
    <w:rsid w:val="003E4026"/>
    <w:rsid w:val="003E65E2"/>
    <w:rsid w:val="003E6C4B"/>
    <w:rsid w:val="003E6D80"/>
    <w:rsid w:val="003E748D"/>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40F1"/>
    <w:rsid w:val="00485FF9"/>
    <w:rsid w:val="004907F0"/>
    <w:rsid w:val="0049140B"/>
    <w:rsid w:val="004923A5"/>
    <w:rsid w:val="00493C5C"/>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294"/>
    <w:rsid w:val="005578CE"/>
    <w:rsid w:val="00562781"/>
    <w:rsid w:val="0057271C"/>
    <w:rsid w:val="00572845"/>
    <w:rsid w:val="00592772"/>
    <w:rsid w:val="0059574A"/>
    <w:rsid w:val="00597CA3"/>
    <w:rsid w:val="005A1B9B"/>
    <w:rsid w:val="005A6751"/>
    <w:rsid w:val="005B092E"/>
    <w:rsid w:val="005B152C"/>
    <w:rsid w:val="005B1EE0"/>
    <w:rsid w:val="005B2B24"/>
    <w:rsid w:val="005B4425"/>
    <w:rsid w:val="005B4B94"/>
    <w:rsid w:val="005C1AAD"/>
    <w:rsid w:val="005C3EE8"/>
    <w:rsid w:val="005D34F9"/>
    <w:rsid w:val="005D4190"/>
    <w:rsid w:val="005D67A3"/>
    <w:rsid w:val="005E2988"/>
    <w:rsid w:val="005E3085"/>
    <w:rsid w:val="005F3858"/>
    <w:rsid w:val="005F51E1"/>
    <w:rsid w:val="00611C80"/>
    <w:rsid w:val="0061712A"/>
    <w:rsid w:val="00620692"/>
    <w:rsid w:val="006242CA"/>
    <w:rsid w:val="00627507"/>
    <w:rsid w:val="00633717"/>
    <w:rsid w:val="006344E1"/>
    <w:rsid w:val="0064121C"/>
    <w:rsid w:val="006545C4"/>
    <w:rsid w:val="00656E3D"/>
    <w:rsid w:val="00661971"/>
    <w:rsid w:val="00661CE8"/>
    <w:rsid w:val="00661D89"/>
    <w:rsid w:val="006623D9"/>
    <w:rsid w:val="0066550C"/>
    <w:rsid w:val="006716F2"/>
    <w:rsid w:val="00677164"/>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01C36"/>
    <w:rsid w:val="00715127"/>
    <w:rsid w:val="00715E8E"/>
    <w:rsid w:val="00723580"/>
    <w:rsid w:val="00723755"/>
    <w:rsid w:val="0073136C"/>
    <w:rsid w:val="00731F0F"/>
    <w:rsid w:val="00733250"/>
    <w:rsid w:val="00741404"/>
    <w:rsid w:val="007449E5"/>
    <w:rsid w:val="00747FF0"/>
    <w:rsid w:val="0075103A"/>
    <w:rsid w:val="0075544E"/>
    <w:rsid w:val="00764D4E"/>
    <w:rsid w:val="00765A1F"/>
    <w:rsid w:val="00770328"/>
    <w:rsid w:val="00775885"/>
    <w:rsid w:val="00775B6D"/>
    <w:rsid w:val="00776D68"/>
    <w:rsid w:val="00777C71"/>
    <w:rsid w:val="007850EE"/>
    <w:rsid w:val="00785B95"/>
    <w:rsid w:val="00790E96"/>
    <w:rsid w:val="00793366"/>
    <w:rsid w:val="007A716F"/>
    <w:rsid w:val="007B270A"/>
    <w:rsid w:val="007C0695"/>
    <w:rsid w:val="007C419A"/>
    <w:rsid w:val="007C4CC8"/>
    <w:rsid w:val="007C4E9D"/>
    <w:rsid w:val="007C5426"/>
    <w:rsid w:val="007C5798"/>
    <w:rsid w:val="007D167C"/>
    <w:rsid w:val="007D4832"/>
    <w:rsid w:val="007E21B2"/>
    <w:rsid w:val="007E2C4E"/>
    <w:rsid w:val="007F03A2"/>
    <w:rsid w:val="007F17A4"/>
    <w:rsid w:val="007F1905"/>
    <w:rsid w:val="00801300"/>
    <w:rsid w:val="00802C64"/>
    <w:rsid w:val="00802F45"/>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65378"/>
    <w:rsid w:val="008713A1"/>
    <w:rsid w:val="008754AB"/>
    <w:rsid w:val="008802A9"/>
    <w:rsid w:val="0088060C"/>
    <w:rsid w:val="00893576"/>
    <w:rsid w:val="00893E73"/>
    <w:rsid w:val="008B02DC"/>
    <w:rsid w:val="008B57CE"/>
    <w:rsid w:val="008C26DE"/>
    <w:rsid w:val="008D2225"/>
    <w:rsid w:val="008D4752"/>
    <w:rsid w:val="008E271C"/>
    <w:rsid w:val="008E418E"/>
    <w:rsid w:val="008E5BC6"/>
    <w:rsid w:val="008E6A25"/>
    <w:rsid w:val="008F5193"/>
    <w:rsid w:val="008F55F5"/>
    <w:rsid w:val="009013A7"/>
    <w:rsid w:val="009017FB"/>
    <w:rsid w:val="009017FC"/>
    <w:rsid w:val="00902299"/>
    <w:rsid w:val="0090506B"/>
    <w:rsid w:val="009050C9"/>
    <w:rsid w:val="009066FC"/>
    <w:rsid w:val="009067D7"/>
    <w:rsid w:val="009140A3"/>
    <w:rsid w:val="009144A2"/>
    <w:rsid w:val="0091510C"/>
    <w:rsid w:val="009259AC"/>
    <w:rsid w:val="00926F38"/>
    <w:rsid w:val="00934301"/>
    <w:rsid w:val="00936CD1"/>
    <w:rsid w:val="00941747"/>
    <w:rsid w:val="00941EFB"/>
    <w:rsid w:val="00947AFB"/>
    <w:rsid w:val="00951D7D"/>
    <w:rsid w:val="00956E5B"/>
    <w:rsid w:val="009630C7"/>
    <w:rsid w:val="0096503F"/>
    <w:rsid w:val="00972B55"/>
    <w:rsid w:val="009743B7"/>
    <w:rsid w:val="0098228B"/>
    <w:rsid w:val="009828DA"/>
    <w:rsid w:val="00984352"/>
    <w:rsid w:val="00985BAB"/>
    <w:rsid w:val="00987A99"/>
    <w:rsid w:val="009B1B5F"/>
    <w:rsid w:val="009B6673"/>
    <w:rsid w:val="009C191B"/>
    <w:rsid w:val="009C2BD6"/>
    <w:rsid w:val="009E1F32"/>
    <w:rsid w:val="009E776C"/>
    <w:rsid w:val="009F2112"/>
    <w:rsid w:val="009F65DC"/>
    <w:rsid w:val="00A071D1"/>
    <w:rsid w:val="00A1726E"/>
    <w:rsid w:val="00A204CF"/>
    <w:rsid w:val="00A23D49"/>
    <w:rsid w:val="00A242AC"/>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7690C"/>
    <w:rsid w:val="00A77041"/>
    <w:rsid w:val="00A82359"/>
    <w:rsid w:val="00A865D2"/>
    <w:rsid w:val="00A94C20"/>
    <w:rsid w:val="00AA227F"/>
    <w:rsid w:val="00AA3BC7"/>
    <w:rsid w:val="00AA754A"/>
    <w:rsid w:val="00AB099E"/>
    <w:rsid w:val="00AB4328"/>
    <w:rsid w:val="00AC23BE"/>
    <w:rsid w:val="00AC3ABA"/>
    <w:rsid w:val="00AD4891"/>
    <w:rsid w:val="00AE0A2E"/>
    <w:rsid w:val="00AE354C"/>
    <w:rsid w:val="00AF4B07"/>
    <w:rsid w:val="00AF5653"/>
    <w:rsid w:val="00AF6186"/>
    <w:rsid w:val="00AF7A3A"/>
    <w:rsid w:val="00B160DB"/>
    <w:rsid w:val="00B20836"/>
    <w:rsid w:val="00B235BB"/>
    <w:rsid w:val="00B26274"/>
    <w:rsid w:val="00B27A44"/>
    <w:rsid w:val="00B30BBF"/>
    <w:rsid w:val="00B33C03"/>
    <w:rsid w:val="00B36632"/>
    <w:rsid w:val="00B44E56"/>
    <w:rsid w:val="00B452E6"/>
    <w:rsid w:val="00B46543"/>
    <w:rsid w:val="00B47D33"/>
    <w:rsid w:val="00B52BE0"/>
    <w:rsid w:val="00B54133"/>
    <w:rsid w:val="00B55B08"/>
    <w:rsid w:val="00B701ED"/>
    <w:rsid w:val="00B7631B"/>
    <w:rsid w:val="00B8086C"/>
    <w:rsid w:val="00B861B4"/>
    <w:rsid w:val="00B86DFE"/>
    <w:rsid w:val="00B8712D"/>
    <w:rsid w:val="00B90990"/>
    <w:rsid w:val="00B922FF"/>
    <w:rsid w:val="00B9281E"/>
    <w:rsid w:val="00B93925"/>
    <w:rsid w:val="00B95187"/>
    <w:rsid w:val="00BA2D55"/>
    <w:rsid w:val="00BA71B1"/>
    <w:rsid w:val="00BB0637"/>
    <w:rsid w:val="00BB1838"/>
    <w:rsid w:val="00BB345F"/>
    <w:rsid w:val="00BB68EA"/>
    <w:rsid w:val="00BC1C27"/>
    <w:rsid w:val="00BC6BBF"/>
    <w:rsid w:val="00BC6E2D"/>
    <w:rsid w:val="00BD1572"/>
    <w:rsid w:val="00BD3ED7"/>
    <w:rsid w:val="00BE14E3"/>
    <w:rsid w:val="00BE3774"/>
    <w:rsid w:val="00BE41E5"/>
    <w:rsid w:val="00BF4109"/>
    <w:rsid w:val="00BF4CC3"/>
    <w:rsid w:val="00C054C7"/>
    <w:rsid w:val="00C057B5"/>
    <w:rsid w:val="00C069BA"/>
    <w:rsid w:val="00C1029D"/>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3539"/>
    <w:rsid w:val="00C74810"/>
    <w:rsid w:val="00C9017A"/>
    <w:rsid w:val="00C90D68"/>
    <w:rsid w:val="00C939FE"/>
    <w:rsid w:val="00CA4473"/>
    <w:rsid w:val="00CA4BDA"/>
    <w:rsid w:val="00CB1F66"/>
    <w:rsid w:val="00CB25E5"/>
    <w:rsid w:val="00CB2951"/>
    <w:rsid w:val="00CD282B"/>
    <w:rsid w:val="00CD4C35"/>
    <w:rsid w:val="00CD649F"/>
    <w:rsid w:val="00CD7369"/>
    <w:rsid w:val="00CE0A42"/>
    <w:rsid w:val="00CE0B0E"/>
    <w:rsid w:val="00CE3831"/>
    <w:rsid w:val="00CE5A5B"/>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423F"/>
    <w:rsid w:val="00D977B6"/>
    <w:rsid w:val="00DA4A31"/>
    <w:rsid w:val="00DA7B04"/>
    <w:rsid w:val="00DA7FF4"/>
    <w:rsid w:val="00DB36C2"/>
    <w:rsid w:val="00DC169B"/>
    <w:rsid w:val="00DC2AB9"/>
    <w:rsid w:val="00DC63F0"/>
    <w:rsid w:val="00DD6EE5"/>
    <w:rsid w:val="00DE386C"/>
    <w:rsid w:val="00DE4D35"/>
    <w:rsid w:val="00DF098B"/>
    <w:rsid w:val="00DF11C4"/>
    <w:rsid w:val="00DF1EFB"/>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3BDC"/>
    <w:rsid w:val="00E76D47"/>
    <w:rsid w:val="00E849F7"/>
    <w:rsid w:val="00E90302"/>
    <w:rsid w:val="00E97396"/>
    <w:rsid w:val="00EA185E"/>
    <w:rsid w:val="00EA2502"/>
    <w:rsid w:val="00EA4602"/>
    <w:rsid w:val="00EA4BD7"/>
    <w:rsid w:val="00EA592A"/>
    <w:rsid w:val="00EB14E4"/>
    <w:rsid w:val="00EB32A5"/>
    <w:rsid w:val="00EB34ED"/>
    <w:rsid w:val="00EB657B"/>
    <w:rsid w:val="00EB7BE0"/>
    <w:rsid w:val="00EC315E"/>
    <w:rsid w:val="00EC3F18"/>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568C"/>
    <w:rsid w:val="00F266A2"/>
    <w:rsid w:val="00F32269"/>
    <w:rsid w:val="00F45CEE"/>
    <w:rsid w:val="00F5432B"/>
    <w:rsid w:val="00F552A0"/>
    <w:rsid w:val="00F56A6F"/>
    <w:rsid w:val="00F5709C"/>
    <w:rsid w:val="00F64EF1"/>
    <w:rsid w:val="00F8765F"/>
    <w:rsid w:val="00F90767"/>
    <w:rsid w:val="00F9289A"/>
    <w:rsid w:val="00FA685B"/>
    <w:rsid w:val="00FB0C01"/>
    <w:rsid w:val="00FC18F2"/>
    <w:rsid w:val="00FC39E5"/>
    <w:rsid w:val="00FC3A78"/>
    <w:rsid w:val="00FD1005"/>
    <w:rsid w:val="00FD6C75"/>
    <w:rsid w:val="00FE71B3"/>
    <w:rsid w:val="00FF094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F2112"/>
    <w:pPr>
      <w:jc w:val="both"/>
    </w:pPr>
    <w:rPr>
      <w:rFonts w:eastAsiaTheme="minorEastAsia"/>
      <w:sz w:val="24"/>
      <w:lang w:val="fr-FR"/>
    </w:rPr>
  </w:style>
  <w:style w:type="paragraph" w:styleId="Heading1">
    <w:name w:val="heading 1"/>
    <w:basedOn w:val="Normal"/>
    <w:next w:val="Normal"/>
    <w:link w:val="Heading1Char"/>
    <w:uiPriority w:val="99"/>
    <w:semiHidden/>
    <w:rsid w:val="00701C36"/>
    <w:p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01C36"/>
    <w:p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01C36"/>
    <w:p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01C36"/>
    <w:p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01C36"/>
    <w:pPr>
      <w:spacing w:before="200"/>
      <w:jc w:val="left"/>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01C36"/>
    <w:p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01C36"/>
    <w:pPr>
      <w:jc w:val="left"/>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01C36"/>
    <w:pPr>
      <w:jc w:val="left"/>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01C36"/>
    <w:pPr>
      <w:jc w:val="left"/>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01C36"/>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C36"/>
    <w:rPr>
      <w:rFonts w:ascii="Tahoma" w:eastAsiaTheme="minorEastAsia" w:hAnsi="Tahoma" w:cs="Tahoma"/>
      <w:sz w:val="16"/>
      <w:szCs w:val="16"/>
      <w:lang w:val="fr-FR"/>
    </w:rPr>
  </w:style>
  <w:style w:type="character" w:styleId="BookTitle">
    <w:name w:val="Book Title"/>
    <w:uiPriority w:val="99"/>
    <w:semiHidden/>
    <w:qFormat/>
    <w:rsid w:val="00701C36"/>
    <w:rPr>
      <w:i/>
      <w:iCs/>
      <w:smallCaps/>
      <w:spacing w:val="5"/>
    </w:rPr>
  </w:style>
  <w:style w:type="paragraph" w:customStyle="1" w:styleId="JuHeader">
    <w:name w:val="Ju_Header"/>
    <w:aliases w:val="_Header"/>
    <w:basedOn w:val="Header"/>
    <w:uiPriority w:val="29"/>
    <w:qFormat/>
    <w:rsid w:val="00701C36"/>
    <w:pPr>
      <w:tabs>
        <w:tab w:val="clear" w:pos="4536"/>
        <w:tab w:val="clear" w:pos="9072"/>
        <w:tab w:val="center" w:pos="3686"/>
        <w:tab w:val="right" w:pos="7371"/>
      </w:tabs>
    </w:pPr>
    <w:rPr>
      <w:sz w:val="18"/>
    </w:rPr>
  </w:style>
  <w:style w:type="paragraph" w:customStyle="1" w:styleId="DecList">
    <w:name w:val="Dec_List"/>
    <w:aliases w:val="_List"/>
    <w:basedOn w:val="Normal"/>
    <w:uiPriority w:val="22"/>
    <w:rsid w:val="00701C36"/>
    <w:pPr>
      <w:spacing w:before="280" w:after="60"/>
      <w:ind w:left="340"/>
    </w:pPr>
    <w:rPr>
      <w:rFonts w:eastAsiaTheme="minorHAnsi"/>
    </w:rPr>
  </w:style>
  <w:style w:type="character" w:styleId="Strong">
    <w:name w:val="Strong"/>
    <w:uiPriority w:val="99"/>
    <w:semiHidden/>
    <w:qFormat/>
    <w:rsid w:val="00701C36"/>
    <w:rPr>
      <w:b/>
      <w:bCs/>
    </w:rPr>
  </w:style>
  <w:style w:type="paragraph" w:styleId="NoSpacing">
    <w:name w:val="No Spacing"/>
    <w:basedOn w:val="Normal"/>
    <w:link w:val="NoSpacingChar"/>
    <w:semiHidden/>
    <w:qFormat/>
    <w:rsid w:val="00701C36"/>
    <w:pPr>
      <w:jc w:val="left"/>
    </w:pPr>
  </w:style>
  <w:style w:type="character" w:customStyle="1" w:styleId="NoSpacingChar">
    <w:name w:val="No Spacing Char"/>
    <w:basedOn w:val="DefaultParagraphFont"/>
    <w:link w:val="NoSpacing"/>
    <w:semiHidden/>
    <w:rsid w:val="00701C36"/>
    <w:rPr>
      <w:rFonts w:eastAsiaTheme="minorEastAsia"/>
      <w:sz w:val="24"/>
      <w:lang w:val="fr-FR"/>
    </w:rPr>
  </w:style>
  <w:style w:type="paragraph" w:customStyle="1" w:styleId="JuQuot">
    <w:name w:val="Ju_Quot"/>
    <w:aliases w:val="_Quote"/>
    <w:basedOn w:val="Normal"/>
    <w:uiPriority w:val="21"/>
    <w:qFormat/>
    <w:rsid w:val="00701C36"/>
    <w:pPr>
      <w:spacing w:before="120" w:after="120"/>
      <w:ind w:left="425" w:firstLine="142"/>
    </w:pPr>
    <w:rPr>
      <w:sz w:val="20"/>
    </w:rPr>
  </w:style>
  <w:style w:type="paragraph" w:customStyle="1" w:styleId="JuList">
    <w:name w:val="Ju_List"/>
    <w:aliases w:val="_List_1"/>
    <w:basedOn w:val="Normal"/>
    <w:uiPriority w:val="23"/>
    <w:qFormat/>
    <w:rsid w:val="00701C36"/>
    <w:pPr>
      <w:numPr>
        <w:numId w:val="33"/>
      </w:numPr>
      <w:spacing w:before="280" w:after="60"/>
    </w:pPr>
    <w:rPr>
      <w:rFonts w:eastAsiaTheme="minorHAnsi"/>
    </w:rPr>
  </w:style>
  <w:style w:type="paragraph" w:customStyle="1" w:styleId="JuLista">
    <w:name w:val="Ju_List_a"/>
    <w:aliases w:val="_List_2"/>
    <w:basedOn w:val="Normal"/>
    <w:uiPriority w:val="23"/>
    <w:rsid w:val="00701C36"/>
    <w:pPr>
      <w:numPr>
        <w:ilvl w:val="1"/>
        <w:numId w:val="33"/>
      </w:numPr>
    </w:pPr>
  </w:style>
  <w:style w:type="paragraph" w:customStyle="1" w:styleId="JuListi">
    <w:name w:val="Ju_List_i"/>
    <w:aliases w:val="_List_3"/>
    <w:basedOn w:val="Normal"/>
    <w:uiPriority w:val="23"/>
    <w:rsid w:val="00701C36"/>
    <w:pPr>
      <w:numPr>
        <w:ilvl w:val="2"/>
        <w:numId w:val="33"/>
      </w:numPr>
    </w:pPr>
  </w:style>
  <w:style w:type="paragraph" w:customStyle="1" w:styleId="DecHTitle">
    <w:name w:val="Dec_H_Title"/>
    <w:aliases w:val="_Title_1"/>
    <w:basedOn w:val="JuPara"/>
    <w:next w:val="JuPara"/>
    <w:uiPriority w:val="35"/>
    <w:qFormat/>
    <w:rsid w:val="00701C3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20"/>
    <w:qFormat/>
    <w:rsid w:val="00701C36"/>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701C36"/>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701C36"/>
    <w:pPr>
      <w:numPr>
        <w:numId w:val="37"/>
      </w:numPr>
    </w:pPr>
  </w:style>
  <w:style w:type="paragraph" w:customStyle="1" w:styleId="JuHHead">
    <w:name w:val="Ju_H_Head"/>
    <w:aliases w:val="_Head_1"/>
    <w:basedOn w:val="Normal"/>
    <w:next w:val="Normal"/>
    <w:uiPriority w:val="19"/>
    <w:qFormat/>
    <w:rsid w:val="00701C36"/>
    <w:pPr>
      <w:keepNext/>
      <w:keepLines/>
      <w:numPr>
        <w:numId w:val="30"/>
      </w:numPr>
      <w:spacing w:before="100" w:beforeAutospacing="1" w:after="240"/>
      <w:jc w:val="left"/>
      <w:outlineLvl w:val="0"/>
    </w:pPr>
    <w:rPr>
      <w:caps/>
      <w:sz w:val="28"/>
    </w:rPr>
  </w:style>
  <w:style w:type="numbering" w:customStyle="1" w:styleId="ECHRA1StyleList">
    <w:name w:val="ECHR_A1_Style_List"/>
    <w:basedOn w:val="NoList"/>
    <w:uiPriority w:val="99"/>
    <w:rsid w:val="00701C36"/>
    <w:pPr>
      <w:numPr>
        <w:numId w:val="38"/>
      </w:numPr>
    </w:pPr>
  </w:style>
  <w:style w:type="paragraph" w:customStyle="1" w:styleId="JuSigned">
    <w:name w:val="Ju_Signed"/>
    <w:aliases w:val="_Signature"/>
    <w:basedOn w:val="Normal"/>
    <w:next w:val="JuPara"/>
    <w:uiPriority w:val="30"/>
    <w:qFormat/>
    <w:rsid w:val="00701C36"/>
    <w:pPr>
      <w:tabs>
        <w:tab w:val="center" w:pos="851"/>
        <w:tab w:val="center" w:pos="6407"/>
      </w:tabs>
      <w:spacing w:before="720"/>
      <w:jc w:val="left"/>
    </w:pPr>
  </w:style>
  <w:style w:type="paragraph" w:styleId="Title">
    <w:name w:val="Title"/>
    <w:basedOn w:val="Normal"/>
    <w:next w:val="Normal"/>
    <w:link w:val="TitleChar"/>
    <w:uiPriority w:val="99"/>
    <w:semiHidden/>
    <w:qFormat/>
    <w:rsid w:val="00701C3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01C3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01C36"/>
    <w:pPr>
      <w:numPr>
        <w:numId w:val="39"/>
      </w:numPr>
    </w:pPr>
  </w:style>
  <w:style w:type="table" w:customStyle="1" w:styleId="ECHRTable2019">
    <w:name w:val="ECHR_Table_2019"/>
    <w:basedOn w:val="TableNormal"/>
    <w:uiPriority w:val="99"/>
    <w:rsid w:val="00701C36"/>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701C36"/>
    <w:rPr>
      <w:sz w:val="8"/>
    </w:rPr>
  </w:style>
  <w:style w:type="paragraph" w:customStyle="1" w:styleId="JuCourt">
    <w:name w:val="Ju_Court"/>
    <w:basedOn w:val="Normal"/>
    <w:next w:val="Normal"/>
    <w:uiPriority w:val="31"/>
    <w:qFormat/>
    <w:rsid w:val="00701C36"/>
    <w:pPr>
      <w:tabs>
        <w:tab w:val="left" w:pos="907"/>
        <w:tab w:val="left" w:pos="1701"/>
        <w:tab w:val="right" w:pos="7371"/>
      </w:tabs>
      <w:spacing w:before="240"/>
      <w:ind w:left="397" w:hanging="397"/>
      <w:jc w:val="left"/>
    </w:pPr>
    <w:rPr>
      <w:lang w:bidi="en-US"/>
    </w:rPr>
  </w:style>
  <w:style w:type="paragraph" w:customStyle="1" w:styleId="JuInitialled">
    <w:name w:val="Ju_Initialled"/>
    <w:aliases w:val="_Right"/>
    <w:basedOn w:val="Normal"/>
    <w:uiPriority w:val="30"/>
    <w:qFormat/>
    <w:rsid w:val="00701C36"/>
    <w:pPr>
      <w:tabs>
        <w:tab w:val="center" w:pos="6407"/>
      </w:tabs>
      <w:spacing w:before="720"/>
      <w:jc w:val="right"/>
    </w:pPr>
  </w:style>
  <w:style w:type="paragraph" w:customStyle="1" w:styleId="JuHIRoman">
    <w:name w:val="Ju_H_I_Roman"/>
    <w:aliases w:val="_Head_2"/>
    <w:basedOn w:val="Normal"/>
    <w:next w:val="Normal"/>
    <w:uiPriority w:val="19"/>
    <w:qFormat/>
    <w:rsid w:val="00701C36"/>
    <w:pPr>
      <w:keepNext/>
      <w:keepLines/>
      <w:numPr>
        <w:ilvl w:val="1"/>
        <w:numId w:val="30"/>
      </w:numPr>
      <w:spacing w:before="100" w:beforeAutospacing="1" w:after="240"/>
      <w:jc w:val="left"/>
      <w:outlineLvl w:val="1"/>
    </w:pPr>
    <w:rPr>
      <w:caps/>
    </w:rPr>
  </w:style>
  <w:style w:type="paragraph" w:customStyle="1" w:styleId="JuHA">
    <w:name w:val="Ju_H_A"/>
    <w:aliases w:val="_Head_3"/>
    <w:basedOn w:val="Normal"/>
    <w:next w:val="Normal"/>
    <w:uiPriority w:val="19"/>
    <w:qFormat/>
    <w:rsid w:val="00701C36"/>
    <w:pPr>
      <w:keepNext/>
      <w:keepLines/>
      <w:numPr>
        <w:ilvl w:val="2"/>
        <w:numId w:val="30"/>
      </w:numPr>
      <w:spacing w:before="100" w:beforeAutospacing="1" w:after="240"/>
      <w:jc w:val="left"/>
      <w:outlineLvl w:val="2"/>
    </w:pPr>
    <w:rPr>
      <w:b/>
    </w:rPr>
  </w:style>
  <w:style w:type="paragraph" w:customStyle="1" w:styleId="JuH1">
    <w:name w:val="Ju_H_1."/>
    <w:aliases w:val="_Head_4"/>
    <w:basedOn w:val="Normal"/>
    <w:next w:val="Normal"/>
    <w:uiPriority w:val="19"/>
    <w:rsid w:val="00701C36"/>
    <w:pPr>
      <w:keepNext/>
      <w:keepLines/>
      <w:numPr>
        <w:ilvl w:val="3"/>
        <w:numId w:val="30"/>
      </w:numPr>
      <w:spacing w:before="100" w:beforeAutospacing="1" w:after="120"/>
      <w:jc w:val="left"/>
      <w:outlineLvl w:val="3"/>
    </w:pPr>
    <w:rPr>
      <w:i/>
    </w:rPr>
  </w:style>
  <w:style w:type="paragraph" w:styleId="Header">
    <w:name w:val="header"/>
    <w:basedOn w:val="Normal"/>
    <w:link w:val="HeaderChar"/>
    <w:uiPriority w:val="57"/>
    <w:semiHidden/>
    <w:rsid w:val="00701C36"/>
    <w:pPr>
      <w:tabs>
        <w:tab w:val="center" w:pos="4536"/>
        <w:tab w:val="right" w:pos="9072"/>
      </w:tabs>
      <w:jc w:val="left"/>
    </w:pPr>
    <w:rPr>
      <w:rFonts w:eastAsiaTheme="minorHAnsi"/>
    </w:rPr>
  </w:style>
  <w:style w:type="character" w:customStyle="1" w:styleId="HeaderChar">
    <w:name w:val="Header Char"/>
    <w:basedOn w:val="DefaultParagraphFont"/>
    <w:link w:val="Header"/>
    <w:uiPriority w:val="57"/>
    <w:semiHidden/>
    <w:rsid w:val="00701C36"/>
    <w:rPr>
      <w:sz w:val="24"/>
      <w:lang w:val="fr-FR"/>
    </w:rPr>
  </w:style>
  <w:style w:type="character" w:customStyle="1" w:styleId="Heading1Char">
    <w:name w:val="Heading 1 Char"/>
    <w:basedOn w:val="DefaultParagraphFont"/>
    <w:link w:val="Heading1"/>
    <w:uiPriority w:val="99"/>
    <w:semiHidden/>
    <w:rsid w:val="00701C3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
    <w:next w:val="Normal"/>
    <w:uiPriority w:val="19"/>
    <w:rsid w:val="00701C36"/>
    <w:pPr>
      <w:keepNext/>
      <w:keepLines/>
      <w:numPr>
        <w:ilvl w:val="4"/>
        <w:numId w:val="30"/>
      </w:numPr>
      <w:spacing w:before="100" w:beforeAutospacing="1" w:after="120"/>
      <w:jc w:val="left"/>
      <w:outlineLvl w:val="4"/>
    </w:pPr>
    <w:rPr>
      <w:b/>
      <w:sz w:val="20"/>
    </w:rPr>
  </w:style>
  <w:style w:type="paragraph" w:customStyle="1" w:styleId="JuHi">
    <w:name w:val="Ju_H_i"/>
    <w:aliases w:val="_Head_6"/>
    <w:basedOn w:val="Normal"/>
    <w:next w:val="Normal"/>
    <w:uiPriority w:val="19"/>
    <w:rsid w:val="00701C36"/>
    <w:pPr>
      <w:keepNext/>
      <w:keepLines/>
      <w:numPr>
        <w:ilvl w:val="5"/>
        <w:numId w:val="30"/>
      </w:numPr>
      <w:spacing w:before="100" w:beforeAutospacing="1" w:after="120"/>
      <w:jc w:val="left"/>
      <w:outlineLvl w:val="5"/>
    </w:pPr>
    <w:rPr>
      <w:i/>
      <w:sz w:val="20"/>
    </w:rPr>
  </w:style>
  <w:style w:type="character" w:customStyle="1" w:styleId="Heading2Char">
    <w:name w:val="Heading 2 Char"/>
    <w:basedOn w:val="DefaultParagraphFont"/>
    <w:link w:val="Heading2"/>
    <w:uiPriority w:val="99"/>
    <w:semiHidden/>
    <w:rsid w:val="00701C3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Normal"/>
    <w:uiPriority w:val="19"/>
    <w:rsid w:val="00701C36"/>
    <w:pPr>
      <w:keepNext/>
      <w:keepLines/>
      <w:numPr>
        <w:ilvl w:val="6"/>
        <w:numId w:val="30"/>
      </w:numPr>
      <w:spacing w:before="100" w:beforeAutospacing="1" w:after="120"/>
      <w:jc w:val="left"/>
      <w:outlineLvl w:val="6"/>
    </w:pPr>
    <w:rPr>
      <w:sz w:val="20"/>
    </w:rPr>
  </w:style>
  <w:style w:type="paragraph" w:customStyle="1" w:styleId="JuH">
    <w:name w:val="Ju_H_–"/>
    <w:aliases w:val="_Head_8"/>
    <w:basedOn w:val="Normal"/>
    <w:next w:val="Normal"/>
    <w:uiPriority w:val="19"/>
    <w:rsid w:val="00701C36"/>
    <w:pPr>
      <w:keepNext/>
      <w:keepLines/>
      <w:numPr>
        <w:ilvl w:val="7"/>
        <w:numId w:val="30"/>
      </w:numPr>
      <w:spacing w:before="100" w:beforeAutospacing="1" w:after="120"/>
      <w:jc w:val="left"/>
      <w:outlineLvl w:val="7"/>
    </w:pPr>
    <w:rPr>
      <w:i/>
      <w:sz w:val="20"/>
    </w:rPr>
  </w:style>
  <w:style w:type="character" w:customStyle="1" w:styleId="Heading3Char">
    <w:name w:val="Heading 3 Char"/>
    <w:basedOn w:val="DefaultParagraphFont"/>
    <w:link w:val="Heading3"/>
    <w:uiPriority w:val="99"/>
    <w:semiHidden/>
    <w:rsid w:val="00701C36"/>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
    <w:uiPriority w:val="9"/>
    <w:qFormat/>
    <w:rsid w:val="00701C36"/>
    <w:pPr>
      <w:keepNext/>
      <w:keepLines/>
      <w:spacing w:before="240" w:after="240"/>
      <w:ind w:firstLine="284"/>
    </w:pPr>
    <w:rPr>
      <w:rFonts w:eastAsiaTheme="minorHAnsi"/>
    </w:rPr>
  </w:style>
  <w:style w:type="character" w:customStyle="1" w:styleId="JuITMark">
    <w:name w:val="Ju_ITMark"/>
    <w:basedOn w:val="DefaultParagraphFont"/>
    <w:uiPriority w:val="38"/>
    <w:qFormat/>
    <w:rsid w:val="00701C36"/>
    <w:rPr>
      <w:vanish w:val="0"/>
      <w:color w:val="auto"/>
      <w:sz w:val="14"/>
      <w:bdr w:val="none" w:sz="0" w:space="0" w:color="auto"/>
      <w:shd w:val="clear" w:color="auto" w:fill="BEE5FF" w:themeFill="background1" w:themeFillTint="33"/>
    </w:rPr>
  </w:style>
  <w:style w:type="character" w:customStyle="1" w:styleId="Heading4Char">
    <w:name w:val="Heading 4 Char"/>
    <w:basedOn w:val="DefaultParagraphFont"/>
    <w:link w:val="Heading4"/>
    <w:uiPriority w:val="99"/>
    <w:semiHidden/>
    <w:rsid w:val="00701C36"/>
    <w:rPr>
      <w:rFonts w:asciiTheme="majorHAnsi" w:eastAsiaTheme="majorEastAsia" w:hAnsiTheme="majorHAnsi" w:cstheme="majorBidi"/>
      <w:b/>
      <w:bCs/>
      <w:i/>
      <w:iCs/>
      <w:color w:val="777777"/>
      <w:sz w:val="24"/>
      <w:lang w:val="fr-FR"/>
    </w:rPr>
  </w:style>
  <w:style w:type="character" w:customStyle="1" w:styleId="JUNAMES">
    <w:name w:val="JU_NAMES"/>
    <w:uiPriority w:val="34"/>
    <w:qFormat/>
    <w:rsid w:val="00701C36"/>
    <w:rPr>
      <w:caps w:val="0"/>
      <w:smallCaps/>
    </w:rPr>
  </w:style>
  <w:style w:type="character" w:customStyle="1" w:styleId="Heading5Char">
    <w:name w:val="Heading 5 Char"/>
    <w:basedOn w:val="DefaultParagraphFont"/>
    <w:link w:val="Heading5"/>
    <w:uiPriority w:val="99"/>
    <w:semiHidden/>
    <w:rsid w:val="00701C36"/>
    <w:rPr>
      <w:rFonts w:asciiTheme="majorHAnsi" w:eastAsiaTheme="majorEastAsia" w:hAnsiTheme="majorHAnsi" w:cstheme="majorBidi"/>
      <w:b/>
      <w:bCs/>
      <w:color w:val="808080"/>
      <w:sz w:val="24"/>
      <w:lang w:val="fr-FR"/>
    </w:rPr>
  </w:style>
  <w:style w:type="paragraph" w:customStyle="1" w:styleId="NormalJustified">
    <w:name w:val="Normal_Justified"/>
    <w:basedOn w:val="Normal"/>
    <w:semiHidden/>
    <w:rsid w:val="00701C36"/>
  </w:style>
  <w:style w:type="character" w:styleId="SubtleEmphasis">
    <w:name w:val="Subtle Emphasis"/>
    <w:uiPriority w:val="99"/>
    <w:semiHidden/>
    <w:qFormat/>
    <w:rsid w:val="00701C3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01C3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701C36"/>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701C36"/>
    <w:rPr>
      <w:b/>
      <w:bCs/>
      <w:i/>
      <w:iCs/>
      <w:spacing w:val="10"/>
      <w:bdr w:val="none" w:sz="0" w:space="0" w:color="auto"/>
      <w:shd w:val="clear" w:color="auto" w:fill="auto"/>
    </w:rPr>
  </w:style>
  <w:style w:type="paragraph" w:styleId="Footer0">
    <w:name w:val="footer"/>
    <w:basedOn w:val="Normal"/>
    <w:link w:val="FooterChar"/>
    <w:uiPriority w:val="57"/>
    <w:semiHidden/>
    <w:rsid w:val="00701C36"/>
    <w:pPr>
      <w:tabs>
        <w:tab w:val="center" w:pos="4536"/>
        <w:tab w:val="right" w:pos="9696"/>
      </w:tabs>
      <w:ind w:left="-680" w:right="-680"/>
      <w:jc w:val="left"/>
    </w:pPr>
    <w:rPr>
      <w:rFonts w:eastAsiaTheme="minorHAnsi"/>
    </w:rPr>
  </w:style>
  <w:style w:type="character" w:customStyle="1" w:styleId="FooterChar">
    <w:name w:val="Footer Char"/>
    <w:basedOn w:val="DefaultParagraphFont"/>
    <w:link w:val="Footer0"/>
    <w:uiPriority w:val="57"/>
    <w:semiHidden/>
    <w:rsid w:val="00701C36"/>
    <w:rPr>
      <w:sz w:val="24"/>
      <w:lang w:val="fr-FR"/>
    </w:rPr>
  </w:style>
  <w:style w:type="character" w:styleId="FootnoteReference">
    <w:name w:val="footnote reference"/>
    <w:basedOn w:val="DefaultParagraphFont"/>
    <w:uiPriority w:val="99"/>
    <w:semiHidden/>
    <w:rsid w:val="00701C36"/>
    <w:rPr>
      <w:vertAlign w:val="superscript"/>
    </w:rPr>
  </w:style>
  <w:style w:type="paragraph" w:styleId="FootnoteText">
    <w:name w:val="footnote text"/>
    <w:basedOn w:val="Normal"/>
    <w:link w:val="FootnoteTextChar"/>
    <w:uiPriority w:val="99"/>
    <w:semiHidden/>
    <w:rsid w:val="00701C36"/>
    <w:pPr>
      <w:jc w:val="left"/>
    </w:pPr>
    <w:rPr>
      <w:sz w:val="20"/>
      <w:szCs w:val="20"/>
    </w:rPr>
  </w:style>
  <w:style w:type="character" w:customStyle="1" w:styleId="FootnoteTextChar">
    <w:name w:val="Footnote Text Char"/>
    <w:basedOn w:val="DefaultParagraphFont"/>
    <w:link w:val="FootnoteText"/>
    <w:uiPriority w:val="99"/>
    <w:semiHidden/>
    <w:rsid w:val="00701C36"/>
    <w:rPr>
      <w:rFonts w:eastAsiaTheme="minorEastAsia"/>
      <w:sz w:val="20"/>
      <w:szCs w:val="20"/>
      <w:lang w:val="fr-FR"/>
    </w:rPr>
  </w:style>
  <w:style w:type="character" w:customStyle="1" w:styleId="Heading6Char">
    <w:name w:val="Heading 6 Char"/>
    <w:basedOn w:val="DefaultParagraphFont"/>
    <w:link w:val="Heading6"/>
    <w:uiPriority w:val="99"/>
    <w:semiHidden/>
    <w:rsid w:val="00701C36"/>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701C36"/>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701C36"/>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701C36"/>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701C36"/>
    <w:rPr>
      <w:color w:val="0072BC" w:themeColor="hyperlink"/>
      <w:u w:val="single"/>
    </w:rPr>
  </w:style>
  <w:style w:type="character" w:styleId="IntenseEmphasis">
    <w:name w:val="Intense Emphasis"/>
    <w:uiPriority w:val="99"/>
    <w:semiHidden/>
    <w:qFormat/>
    <w:rsid w:val="00701C36"/>
    <w:rPr>
      <w:b/>
      <w:bCs/>
    </w:rPr>
  </w:style>
  <w:style w:type="paragraph" w:styleId="IntenseQuote">
    <w:name w:val="Intense Quote"/>
    <w:basedOn w:val="Normal"/>
    <w:next w:val="Normal"/>
    <w:link w:val="IntenseQuoteChar"/>
    <w:uiPriority w:val="99"/>
    <w:semiHidden/>
    <w:qFormat/>
    <w:rsid w:val="00701C36"/>
    <w:pPr>
      <w:pBdr>
        <w:bottom w:val="single" w:sz="4" w:space="1" w:color="auto"/>
      </w:pBdr>
      <w:spacing w:before="200" w:after="280"/>
      <w:ind w:left="1008" w:right="1152"/>
      <w:jc w:val="left"/>
    </w:pPr>
    <w:rPr>
      <w:b/>
      <w:bCs/>
      <w:i/>
      <w:iCs/>
      <w:lang w:bidi="en-US"/>
    </w:rPr>
  </w:style>
  <w:style w:type="character" w:customStyle="1" w:styleId="IntenseQuoteChar">
    <w:name w:val="Intense Quote Char"/>
    <w:basedOn w:val="DefaultParagraphFont"/>
    <w:link w:val="IntenseQuote"/>
    <w:uiPriority w:val="99"/>
    <w:semiHidden/>
    <w:rsid w:val="00701C36"/>
    <w:rPr>
      <w:rFonts w:eastAsiaTheme="minorEastAsia"/>
      <w:b/>
      <w:bCs/>
      <w:i/>
      <w:iCs/>
      <w:sz w:val="24"/>
      <w:lang w:val="fr-FR" w:bidi="en-US"/>
    </w:rPr>
  </w:style>
  <w:style w:type="character" w:styleId="IntenseReference">
    <w:name w:val="Intense Reference"/>
    <w:uiPriority w:val="99"/>
    <w:semiHidden/>
    <w:qFormat/>
    <w:rsid w:val="00701C36"/>
    <w:rPr>
      <w:smallCaps/>
      <w:spacing w:val="5"/>
      <w:u w:val="single"/>
    </w:rPr>
  </w:style>
  <w:style w:type="paragraph" w:styleId="ListParagraph">
    <w:name w:val="List Paragraph"/>
    <w:basedOn w:val="Normal"/>
    <w:uiPriority w:val="99"/>
    <w:semiHidden/>
    <w:qFormat/>
    <w:rsid w:val="00701C36"/>
    <w:pPr>
      <w:ind w:left="720"/>
      <w:contextualSpacing/>
      <w:jc w:val="left"/>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01C36"/>
    <w:pPr>
      <w:spacing w:before="200"/>
      <w:ind w:left="360" w:right="360"/>
    </w:pPr>
    <w:rPr>
      <w:i/>
      <w:iCs/>
      <w:lang w:bidi="en-US"/>
    </w:rPr>
  </w:style>
  <w:style w:type="character" w:customStyle="1" w:styleId="QuoteChar">
    <w:name w:val="Quote Char"/>
    <w:basedOn w:val="DefaultParagraphFont"/>
    <w:link w:val="Quote"/>
    <w:uiPriority w:val="99"/>
    <w:semiHidden/>
    <w:rsid w:val="00701C36"/>
    <w:rPr>
      <w:rFonts w:eastAsiaTheme="minorEastAsia"/>
      <w:i/>
      <w:iCs/>
      <w:sz w:val="24"/>
      <w:lang w:val="fr-FR" w:bidi="en-US"/>
    </w:rPr>
  </w:style>
  <w:style w:type="character" w:styleId="SubtleReference">
    <w:name w:val="Subtle Reference"/>
    <w:uiPriority w:val="99"/>
    <w:semiHidden/>
    <w:qFormat/>
    <w:rsid w:val="00701C36"/>
    <w:rPr>
      <w:smallCaps/>
    </w:rPr>
  </w:style>
  <w:style w:type="table" w:styleId="TableGrid">
    <w:name w:val="Table Grid"/>
    <w:basedOn w:val="TableNormal"/>
    <w:uiPriority w:val="59"/>
    <w:semiHidden/>
    <w:rsid w:val="00701C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01C3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01C3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01C3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01C3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01C3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01C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01C3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01C36"/>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01C36"/>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01C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701C36"/>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01C36"/>
    <w:pPr>
      <w:numPr>
        <w:numId w:val="9"/>
      </w:numPr>
    </w:pPr>
  </w:style>
  <w:style w:type="numbering" w:styleId="1ai">
    <w:name w:val="Outline List 1"/>
    <w:basedOn w:val="NoList"/>
    <w:uiPriority w:val="99"/>
    <w:semiHidden/>
    <w:unhideWhenUsed/>
    <w:rsid w:val="00701C36"/>
    <w:pPr>
      <w:numPr>
        <w:numId w:val="10"/>
      </w:numPr>
    </w:pPr>
  </w:style>
  <w:style w:type="paragraph" w:customStyle="1" w:styleId="JuPara">
    <w:name w:val="Ju_Para"/>
    <w:aliases w:val="_Para"/>
    <w:basedOn w:val="Normal"/>
    <w:uiPriority w:val="8"/>
    <w:qFormat/>
    <w:rsid w:val="00701C36"/>
    <w:pPr>
      <w:ind w:firstLine="284"/>
    </w:pPr>
  </w:style>
  <w:style w:type="numbering" w:styleId="ArticleSection">
    <w:name w:val="Outline List 3"/>
    <w:basedOn w:val="NoList"/>
    <w:uiPriority w:val="99"/>
    <w:semiHidden/>
    <w:unhideWhenUsed/>
    <w:rsid w:val="00701C36"/>
    <w:pPr>
      <w:numPr>
        <w:numId w:val="36"/>
      </w:numPr>
    </w:pPr>
  </w:style>
  <w:style w:type="table" w:customStyle="1" w:styleId="ECHRTableSimpleBox">
    <w:name w:val="ECHR_Table_Simple_Box"/>
    <w:basedOn w:val="TableNormal"/>
    <w:uiPriority w:val="99"/>
    <w:rsid w:val="00701C36"/>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01C36"/>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701C36"/>
    <w:pPr>
      <w:jc w:val="left"/>
    </w:pPr>
  </w:style>
  <w:style w:type="table" w:customStyle="1" w:styleId="ECHRTableForInternalUse">
    <w:name w:val="ECHR_Table_For_Internal_Use"/>
    <w:basedOn w:val="TableNormal"/>
    <w:uiPriority w:val="99"/>
    <w:rsid w:val="00701C36"/>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701C3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jc w:val="left"/>
    </w:pPr>
    <w:rPr>
      <w:i/>
      <w:iCs/>
      <w:color w:val="0072BC" w:themeColor="accent1"/>
    </w:rPr>
  </w:style>
  <w:style w:type="paragraph" w:styleId="BodyText">
    <w:name w:val="Body Text"/>
    <w:basedOn w:val="Normal"/>
    <w:link w:val="BodyTextChar"/>
    <w:uiPriority w:val="99"/>
    <w:semiHidden/>
    <w:rsid w:val="00701C36"/>
    <w:pPr>
      <w:spacing w:after="120"/>
      <w:jc w:val="left"/>
    </w:pPr>
  </w:style>
  <w:style w:type="table" w:customStyle="1" w:styleId="ECHRHeaderTable">
    <w:name w:val="ECHR_Header_Table"/>
    <w:basedOn w:val="TableNormal"/>
    <w:uiPriority w:val="99"/>
    <w:rsid w:val="00701C36"/>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701C36"/>
    <w:rPr>
      <w:rFonts w:eastAsiaTheme="minorEastAsia"/>
      <w:sz w:val="24"/>
      <w:lang w:val="fr-FR"/>
    </w:rPr>
  </w:style>
  <w:style w:type="paragraph" w:styleId="BodyText2">
    <w:name w:val="Body Text 2"/>
    <w:basedOn w:val="Normal"/>
    <w:link w:val="BodyText2Char"/>
    <w:uiPriority w:val="99"/>
    <w:semiHidden/>
    <w:rsid w:val="00701C36"/>
    <w:pPr>
      <w:spacing w:after="120" w:line="480" w:lineRule="auto"/>
      <w:jc w:val="left"/>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701C36"/>
    <w:pPr>
      <w:tabs>
        <w:tab w:val="left" w:pos="567"/>
        <w:tab w:val="left" w:pos="1134"/>
      </w:tabs>
      <w:jc w:val="left"/>
    </w:pPr>
  </w:style>
  <w:style w:type="table" w:customStyle="1" w:styleId="ECHRHeaderTableReduced">
    <w:name w:val="ECHR_Header_Table_Reduced"/>
    <w:basedOn w:val="TableNormal"/>
    <w:uiPriority w:val="99"/>
    <w:rsid w:val="00701C36"/>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701C36"/>
    <w:pPr>
      <w:ind w:firstLine="284"/>
      <w:jc w:val="left"/>
    </w:pPr>
    <w:rPr>
      <w:b/>
    </w:rPr>
  </w:style>
  <w:style w:type="character" w:styleId="PageNumber">
    <w:name w:val="page number"/>
    <w:uiPriority w:val="99"/>
    <w:semiHidden/>
    <w:rsid w:val="00701C36"/>
    <w:rPr>
      <w:sz w:val="18"/>
    </w:rPr>
  </w:style>
  <w:style w:type="paragraph" w:styleId="ListBullet2">
    <w:name w:val="List Bullet 2"/>
    <w:basedOn w:val="Normal"/>
    <w:uiPriority w:val="99"/>
    <w:semiHidden/>
    <w:rsid w:val="00701C36"/>
    <w:pPr>
      <w:numPr>
        <w:numId w:val="41"/>
      </w:numPr>
      <w:contextualSpacing/>
      <w:jc w:val="left"/>
    </w:pPr>
  </w:style>
  <w:style w:type="character" w:customStyle="1" w:styleId="BodyText2Char">
    <w:name w:val="Body Text 2 Char"/>
    <w:basedOn w:val="DefaultParagraphFont"/>
    <w:link w:val="BodyText2"/>
    <w:uiPriority w:val="99"/>
    <w:semiHidden/>
    <w:rsid w:val="00701C36"/>
    <w:rPr>
      <w:rFonts w:eastAsiaTheme="minorEastAsia"/>
      <w:sz w:val="24"/>
      <w:lang w:val="fr-FR"/>
    </w:rPr>
  </w:style>
  <w:style w:type="paragraph" w:styleId="BodyText3">
    <w:name w:val="Body Text 3"/>
    <w:basedOn w:val="Normal"/>
    <w:link w:val="BodyText3Char"/>
    <w:uiPriority w:val="99"/>
    <w:semiHidden/>
    <w:rsid w:val="00701C36"/>
    <w:pPr>
      <w:spacing w:after="120"/>
      <w:jc w:val="left"/>
    </w:pPr>
    <w:rPr>
      <w:sz w:val="16"/>
      <w:szCs w:val="16"/>
    </w:rPr>
  </w:style>
  <w:style w:type="character" w:customStyle="1" w:styleId="BodyText3Char">
    <w:name w:val="Body Text 3 Char"/>
    <w:basedOn w:val="DefaultParagraphFont"/>
    <w:link w:val="BodyText3"/>
    <w:uiPriority w:val="99"/>
    <w:semiHidden/>
    <w:rsid w:val="00701C36"/>
    <w:rPr>
      <w:rFonts w:eastAsiaTheme="minorEastAsia"/>
      <w:sz w:val="16"/>
      <w:szCs w:val="16"/>
      <w:lang w:val="fr-FR"/>
    </w:rPr>
  </w:style>
  <w:style w:type="paragraph" w:styleId="BodyTextFirstIndent">
    <w:name w:val="Body Text First Indent"/>
    <w:basedOn w:val="BodyText"/>
    <w:link w:val="BodyTextFirstIndentChar"/>
    <w:uiPriority w:val="99"/>
    <w:semiHidden/>
    <w:rsid w:val="00701C36"/>
    <w:pPr>
      <w:spacing w:after="0"/>
      <w:ind w:firstLine="360"/>
    </w:pPr>
  </w:style>
  <w:style w:type="character" w:customStyle="1" w:styleId="BodyTextFirstIndentChar">
    <w:name w:val="Body Text First Indent Char"/>
    <w:basedOn w:val="BodyTextChar"/>
    <w:link w:val="BodyTextFirstIndent"/>
    <w:uiPriority w:val="99"/>
    <w:semiHidden/>
    <w:rsid w:val="00701C36"/>
    <w:rPr>
      <w:rFonts w:eastAsiaTheme="minorEastAsia"/>
      <w:sz w:val="24"/>
      <w:lang w:val="fr-FR"/>
    </w:rPr>
  </w:style>
  <w:style w:type="paragraph" w:styleId="BodyTextIndent">
    <w:name w:val="Body Text Indent"/>
    <w:basedOn w:val="Normal"/>
    <w:link w:val="BodyTextIndentChar"/>
    <w:uiPriority w:val="99"/>
    <w:semiHidden/>
    <w:rsid w:val="00701C36"/>
    <w:pPr>
      <w:spacing w:after="120"/>
      <w:ind w:left="283"/>
      <w:jc w:val="left"/>
    </w:pPr>
  </w:style>
  <w:style w:type="character" w:customStyle="1" w:styleId="BodyTextIndentChar">
    <w:name w:val="Body Text Indent Char"/>
    <w:basedOn w:val="DefaultParagraphFont"/>
    <w:link w:val="BodyTextIndent"/>
    <w:uiPriority w:val="99"/>
    <w:semiHidden/>
    <w:rsid w:val="00701C36"/>
    <w:rPr>
      <w:rFonts w:eastAsiaTheme="minorEastAsia"/>
      <w:sz w:val="24"/>
      <w:lang w:val="fr-FR"/>
    </w:rPr>
  </w:style>
  <w:style w:type="paragraph" w:styleId="BodyTextFirstIndent2">
    <w:name w:val="Body Text First Indent 2"/>
    <w:basedOn w:val="BodyTextIndent"/>
    <w:link w:val="BodyTextFirstIndent2Char"/>
    <w:uiPriority w:val="99"/>
    <w:semiHidden/>
    <w:rsid w:val="00701C36"/>
    <w:pPr>
      <w:spacing w:after="0"/>
      <w:ind w:left="360" w:firstLine="360"/>
    </w:pPr>
  </w:style>
  <w:style w:type="character" w:customStyle="1" w:styleId="BodyTextFirstIndent2Char">
    <w:name w:val="Body Text First Indent 2 Char"/>
    <w:basedOn w:val="BodyTextIndentChar"/>
    <w:link w:val="BodyTextFirstIndent2"/>
    <w:uiPriority w:val="99"/>
    <w:semiHidden/>
    <w:rsid w:val="00701C36"/>
    <w:rPr>
      <w:rFonts w:eastAsiaTheme="minorEastAsia"/>
      <w:sz w:val="24"/>
      <w:lang w:val="fr-FR"/>
    </w:rPr>
  </w:style>
  <w:style w:type="paragraph" w:styleId="BodyTextIndent2">
    <w:name w:val="Body Text Indent 2"/>
    <w:basedOn w:val="Normal"/>
    <w:link w:val="BodyTextIndent2Char"/>
    <w:uiPriority w:val="99"/>
    <w:semiHidden/>
    <w:rsid w:val="00701C36"/>
    <w:pPr>
      <w:spacing w:after="120" w:line="480" w:lineRule="auto"/>
      <w:ind w:left="283"/>
      <w:jc w:val="left"/>
    </w:pPr>
  </w:style>
  <w:style w:type="character" w:customStyle="1" w:styleId="BodyTextIndent2Char">
    <w:name w:val="Body Text Indent 2 Char"/>
    <w:basedOn w:val="DefaultParagraphFont"/>
    <w:link w:val="BodyTextIndent2"/>
    <w:uiPriority w:val="99"/>
    <w:semiHidden/>
    <w:rsid w:val="00701C36"/>
    <w:rPr>
      <w:rFonts w:eastAsiaTheme="minorEastAsia"/>
      <w:sz w:val="24"/>
      <w:lang w:val="fr-FR"/>
    </w:rPr>
  </w:style>
  <w:style w:type="paragraph" w:styleId="BodyTextIndent3">
    <w:name w:val="Body Text Indent 3"/>
    <w:basedOn w:val="Normal"/>
    <w:link w:val="BodyTextIndent3Char"/>
    <w:uiPriority w:val="99"/>
    <w:semiHidden/>
    <w:rsid w:val="00701C36"/>
    <w:pPr>
      <w:spacing w:after="120"/>
      <w:ind w:left="283"/>
      <w:jc w:val="left"/>
    </w:pPr>
    <w:rPr>
      <w:sz w:val="16"/>
      <w:szCs w:val="16"/>
    </w:rPr>
  </w:style>
  <w:style w:type="character" w:customStyle="1" w:styleId="BodyTextIndent3Char">
    <w:name w:val="Body Text Indent 3 Char"/>
    <w:basedOn w:val="DefaultParagraphFont"/>
    <w:link w:val="BodyTextIndent3"/>
    <w:uiPriority w:val="99"/>
    <w:semiHidden/>
    <w:rsid w:val="00701C36"/>
    <w:rPr>
      <w:rFonts w:eastAsiaTheme="minorEastAsia"/>
      <w:sz w:val="16"/>
      <w:szCs w:val="16"/>
      <w:lang w:val="fr-FR"/>
    </w:rPr>
  </w:style>
  <w:style w:type="paragraph" w:styleId="Caption">
    <w:name w:val="caption"/>
    <w:basedOn w:val="Normal"/>
    <w:next w:val="Normal"/>
    <w:uiPriority w:val="99"/>
    <w:semiHidden/>
    <w:qFormat/>
    <w:rsid w:val="00701C36"/>
    <w:pPr>
      <w:spacing w:after="200"/>
      <w:jc w:val="left"/>
    </w:pPr>
    <w:rPr>
      <w:b/>
      <w:bCs/>
      <w:color w:val="0072BC" w:themeColor="accent1"/>
      <w:sz w:val="18"/>
      <w:szCs w:val="18"/>
    </w:rPr>
  </w:style>
  <w:style w:type="paragraph" w:styleId="Closing">
    <w:name w:val="Closing"/>
    <w:basedOn w:val="Normal"/>
    <w:link w:val="ClosingChar"/>
    <w:uiPriority w:val="99"/>
    <w:semiHidden/>
    <w:rsid w:val="00701C36"/>
    <w:pPr>
      <w:ind w:left="4252"/>
      <w:jc w:val="left"/>
    </w:pPr>
  </w:style>
  <w:style w:type="character" w:customStyle="1" w:styleId="ClosingChar">
    <w:name w:val="Closing Char"/>
    <w:basedOn w:val="DefaultParagraphFont"/>
    <w:link w:val="Closing"/>
    <w:uiPriority w:val="99"/>
    <w:semiHidden/>
    <w:rsid w:val="00701C36"/>
    <w:rPr>
      <w:rFonts w:eastAsiaTheme="minorEastAsia"/>
      <w:sz w:val="24"/>
      <w:lang w:val="fr-FR"/>
    </w:rPr>
  </w:style>
  <w:style w:type="table" w:styleId="ColorfulGrid">
    <w:name w:val="Colorful Grid"/>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01C3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01C3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01C3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01C3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01C3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01C3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01C3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01C3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01C3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01C3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01C3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01C3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01C3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01C36"/>
    <w:rPr>
      <w:sz w:val="16"/>
      <w:szCs w:val="16"/>
    </w:rPr>
  </w:style>
  <w:style w:type="paragraph" w:styleId="CommentText">
    <w:name w:val="annotation text"/>
    <w:basedOn w:val="Normal"/>
    <w:link w:val="CommentTextChar"/>
    <w:semiHidden/>
    <w:rsid w:val="00701C36"/>
    <w:pPr>
      <w:jc w:val="left"/>
    </w:pPr>
    <w:rPr>
      <w:sz w:val="20"/>
      <w:szCs w:val="20"/>
    </w:rPr>
  </w:style>
  <w:style w:type="character" w:customStyle="1" w:styleId="CommentTextChar">
    <w:name w:val="Comment Text Char"/>
    <w:basedOn w:val="DefaultParagraphFont"/>
    <w:link w:val="CommentText"/>
    <w:semiHidden/>
    <w:rsid w:val="00701C36"/>
    <w:rPr>
      <w:rFonts w:eastAsiaTheme="minorEastAsia"/>
      <w:sz w:val="20"/>
      <w:szCs w:val="20"/>
      <w:lang w:val="fr-FR"/>
    </w:rPr>
  </w:style>
  <w:style w:type="paragraph" w:styleId="CommentSubject">
    <w:name w:val="annotation subject"/>
    <w:basedOn w:val="CommentText"/>
    <w:next w:val="CommentText"/>
    <w:link w:val="CommentSubjectChar"/>
    <w:uiPriority w:val="99"/>
    <w:semiHidden/>
    <w:rsid w:val="00701C36"/>
    <w:rPr>
      <w:b/>
      <w:bCs/>
    </w:rPr>
  </w:style>
  <w:style w:type="character" w:customStyle="1" w:styleId="CommentSubjectChar">
    <w:name w:val="Comment Subject Char"/>
    <w:basedOn w:val="CommentTextChar"/>
    <w:link w:val="CommentSubject"/>
    <w:uiPriority w:val="99"/>
    <w:semiHidden/>
    <w:rsid w:val="00701C36"/>
    <w:rPr>
      <w:rFonts w:eastAsiaTheme="minorEastAsia"/>
      <w:b/>
      <w:bCs/>
      <w:sz w:val="20"/>
      <w:szCs w:val="20"/>
      <w:lang w:val="fr-FR"/>
    </w:rPr>
  </w:style>
  <w:style w:type="table" w:styleId="DarkList">
    <w:name w:val="Dark List"/>
    <w:basedOn w:val="TableNormal"/>
    <w:uiPriority w:val="70"/>
    <w:semiHidden/>
    <w:rsid w:val="00701C3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01C3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01C3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01C3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01C3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01C3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01C3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01C36"/>
    <w:pPr>
      <w:jc w:val="left"/>
    </w:pPr>
  </w:style>
  <w:style w:type="character" w:customStyle="1" w:styleId="DateChar">
    <w:name w:val="Date Char"/>
    <w:basedOn w:val="DefaultParagraphFont"/>
    <w:link w:val="Date"/>
    <w:uiPriority w:val="99"/>
    <w:semiHidden/>
    <w:rsid w:val="00701C36"/>
    <w:rPr>
      <w:rFonts w:eastAsiaTheme="minorEastAsia"/>
      <w:sz w:val="24"/>
      <w:lang w:val="fr-FR"/>
    </w:rPr>
  </w:style>
  <w:style w:type="paragraph" w:styleId="DocumentMap">
    <w:name w:val="Document Map"/>
    <w:basedOn w:val="Normal"/>
    <w:link w:val="DocumentMapChar"/>
    <w:uiPriority w:val="99"/>
    <w:semiHidden/>
    <w:rsid w:val="00701C36"/>
    <w:pPr>
      <w:jc w:val="left"/>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1C36"/>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701C36"/>
    <w:pPr>
      <w:jc w:val="left"/>
    </w:pPr>
  </w:style>
  <w:style w:type="character" w:customStyle="1" w:styleId="E-mailSignatureChar">
    <w:name w:val="E-mail Signature Char"/>
    <w:basedOn w:val="DefaultParagraphFont"/>
    <w:link w:val="E-mailSignature"/>
    <w:uiPriority w:val="99"/>
    <w:semiHidden/>
    <w:rsid w:val="00701C36"/>
    <w:rPr>
      <w:rFonts w:eastAsiaTheme="minorEastAsia"/>
      <w:sz w:val="24"/>
      <w:lang w:val="fr-FR"/>
    </w:rPr>
  </w:style>
  <w:style w:type="character" w:styleId="EndnoteReference">
    <w:name w:val="endnote reference"/>
    <w:basedOn w:val="DefaultParagraphFont"/>
    <w:uiPriority w:val="99"/>
    <w:semiHidden/>
    <w:rsid w:val="00701C36"/>
    <w:rPr>
      <w:vertAlign w:val="superscript"/>
    </w:rPr>
  </w:style>
  <w:style w:type="paragraph" w:styleId="EndnoteText">
    <w:name w:val="endnote text"/>
    <w:basedOn w:val="Normal"/>
    <w:link w:val="EndnoteTextChar"/>
    <w:uiPriority w:val="99"/>
    <w:semiHidden/>
    <w:rsid w:val="00701C36"/>
    <w:pPr>
      <w:jc w:val="left"/>
    </w:pPr>
    <w:rPr>
      <w:sz w:val="20"/>
      <w:szCs w:val="20"/>
    </w:rPr>
  </w:style>
  <w:style w:type="character" w:customStyle="1" w:styleId="EndnoteTextChar">
    <w:name w:val="Endnote Text Char"/>
    <w:basedOn w:val="DefaultParagraphFont"/>
    <w:link w:val="EndnoteText"/>
    <w:uiPriority w:val="99"/>
    <w:semiHidden/>
    <w:rsid w:val="00701C36"/>
    <w:rPr>
      <w:rFonts w:eastAsiaTheme="minorEastAsia"/>
      <w:sz w:val="20"/>
      <w:szCs w:val="20"/>
      <w:lang w:val="fr-FR"/>
    </w:rPr>
  </w:style>
  <w:style w:type="paragraph" w:styleId="EnvelopeAddress">
    <w:name w:val="envelope address"/>
    <w:basedOn w:val="Normal"/>
    <w:uiPriority w:val="99"/>
    <w:semiHidden/>
    <w:rsid w:val="00701C36"/>
    <w:pPr>
      <w:framePr w:w="7938" w:h="1985" w:hRule="exact" w:hSpace="141" w:wrap="auto" w:hAnchor="page" w:xAlign="center" w:yAlign="bottom"/>
      <w:ind w:left="2835"/>
      <w:jc w:val="left"/>
    </w:pPr>
    <w:rPr>
      <w:rFonts w:asciiTheme="majorHAnsi" w:eastAsiaTheme="majorEastAsia" w:hAnsiTheme="majorHAnsi" w:cstheme="majorBidi"/>
      <w:szCs w:val="24"/>
    </w:rPr>
  </w:style>
  <w:style w:type="paragraph" w:styleId="EnvelopeReturn">
    <w:name w:val="envelope return"/>
    <w:basedOn w:val="Normal"/>
    <w:uiPriority w:val="99"/>
    <w:semiHidden/>
    <w:rsid w:val="00701C36"/>
    <w:pPr>
      <w:jc w:val="left"/>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01C36"/>
    <w:rPr>
      <w:color w:val="7030A0" w:themeColor="followedHyperlink"/>
      <w:u w:val="single"/>
    </w:rPr>
  </w:style>
  <w:style w:type="character" w:styleId="HTMLAcronym">
    <w:name w:val="HTML Acronym"/>
    <w:basedOn w:val="DefaultParagraphFont"/>
    <w:uiPriority w:val="99"/>
    <w:semiHidden/>
    <w:rsid w:val="00701C36"/>
  </w:style>
  <w:style w:type="paragraph" w:styleId="HTMLAddress">
    <w:name w:val="HTML Address"/>
    <w:basedOn w:val="Normal"/>
    <w:link w:val="HTMLAddressChar"/>
    <w:uiPriority w:val="99"/>
    <w:semiHidden/>
    <w:rsid w:val="00701C36"/>
    <w:pPr>
      <w:jc w:val="left"/>
    </w:pPr>
    <w:rPr>
      <w:i/>
      <w:iCs/>
    </w:rPr>
  </w:style>
  <w:style w:type="character" w:customStyle="1" w:styleId="HTMLAddressChar">
    <w:name w:val="HTML Address Char"/>
    <w:basedOn w:val="DefaultParagraphFont"/>
    <w:link w:val="HTMLAddress"/>
    <w:uiPriority w:val="99"/>
    <w:semiHidden/>
    <w:rsid w:val="00701C36"/>
    <w:rPr>
      <w:rFonts w:eastAsiaTheme="minorEastAsia"/>
      <w:i/>
      <w:iCs/>
      <w:sz w:val="24"/>
      <w:lang w:val="fr-FR"/>
    </w:rPr>
  </w:style>
  <w:style w:type="character" w:styleId="HTMLCite">
    <w:name w:val="HTML Cite"/>
    <w:basedOn w:val="DefaultParagraphFont"/>
    <w:uiPriority w:val="99"/>
    <w:semiHidden/>
    <w:rsid w:val="00701C36"/>
    <w:rPr>
      <w:i/>
      <w:iCs/>
    </w:rPr>
  </w:style>
  <w:style w:type="character" w:styleId="HTMLCode">
    <w:name w:val="HTML Code"/>
    <w:basedOn w:val="DefaultParagraphFont"/>
    <w:uiPriority w:val="99"/>
    <w:semiHidden/>
    <w:rsid w:val="00701C36"/>
    <w:rPr>
      <w:rFonts w:ascii="Consolas" w:hAnsi="Consolas" w:cs="Consolas"/>
      <w:sz w:val="20"/>
      <w:szCs w:val="20"/>
    </w:rPr>
  </w:style>
  <w:style w:type="character" w:styleId="HTMLDefinition">
    <w:name w:val="HTML Definition"/>
    <w:basedOn w:val="DefaultParagraphFont"/>
    <w:uiPriority w:val="99"/>
    <w:semiHidden/>
    <w:rsid w:val="00701C36"/>
    <w:rPr>
      <w:i/>
      <w:iCs/>
    </w:rPr>
  </w:style>
  <w:style w:type="character" w:styleId="HTMLKeyboard">
    <w:name w:val="HTML Keyboard"/>
    <w:basedOn w:val="DefaultParagraphFont"/>
    <w:uiPriority w:val="99"/>
    <w:semiHidden/>
    <w:rsid w:val="00701C36"/>
    <w:rPr>
      <w:rFonts w:ascii="Consolas" w:hAnsi="Consolas" w:cs="Consolas"/>
      <w:sz w:val="20"/>
      <w:szCs w:val="20"/>
    </w:rPr>
  </w:style>
  <w:style w:type="paragraph" w:styleId="HTMLPreformatted">
    <w:name w:val="HTML Preformatted"/>
    <w:basedOn w:val="Normal"/>
    <w:link w:val="HTMLPreformattedChar"/>
    <w:uiPriority w:val="99"/>
    <w:semiHidden/>
    <w:rsid w:val="00701C36"/>
    <w:pPr>
      <w:jc w:val="left"/>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01C36"/>
    <w:rPr>
      <w:rFonts w:ascii="Consolas" w:eastAsiaTheme="minorEastAsia" w:hAnsi="Consolas" w:cs="Consolas"/>
      <w:sz w:val="20"/>
      <w:szCs w:val="20"/>
      <w:lang w:val="fr-FR"/>
    </w:rPr>
  </w:style>
  <w:style w:type="character" w:styleId="HTMLSample">
    <w:name w:val="HTML Sample"/>
    <w:basedOn w:val="DefaultParagraphFont"/>
    <w:uiPriority w:val="99"/>
    <w:semiHidden/>
    <w:rsid w:val="00701C36"/>
    <w:rPr>
      <w:rFonts w:ascii="Consolas" w:hAnsi="Consolas" w:cs="Consolas"/>
      <w:sz w:val="24"/>
      <w:szCs w:val="24"/>
    </w:rPr>
  </w:style>
  <w:style w:type="character" w:styleId="HTMLTypewriter">
    <w:name w:val="HTML Typewriter"/>
    <w:basedOn w:val="DefaultParagraphFont"/>
    <w:uiPriority w:val="99"/>
    <w:semiHidden/>
    <w:rsid w:val="00701C36"/>
    <w:rPr>
      <w:rFonts w:ascii="Consolas" w:hAnsi="Consolas" w:cs="Consolas"/>
      <w:sz w:val="20"/>
      <w:szCs w:val="20"/>
    </w:rPr>
  </w:style>
  <w:style w:type="character" w:styleId="HTMLVariable">
    <w:name w:val="HTML Variable"/>
    <w:basedOn w:val="DefaultParagraphFont"/>
    <w:uiPriority w:val="99"/>
    <w:semiHidden/>
    <w:rsid w:val="00701C36"/>
    <w:rPr>
      <w:i/>
      <w:iCs/>
    </w:rPr>
  </w:style>
  <w:style w:type="paragraph" w:styleId="Index1">
    <w:name w:val="index 1"/>
    <w:basedOn w:val="Normal"/>
    <w:next w:val="Normal"/>
    <w:autoRedefine/>
    <w:uiPriority w:val="99"/>
    <w:semiHidden/>
    <w:rsid w:val="00701C36"/>
    <w:pPr>
      <w:ind w:left="240" w:hanging="240"/>
      <w:jc w:val="left"/>
    </w:pPr>
  </w:style>
  <w:style w:type="paragraph" w:styleId="Index2">
    <w:name w:val="index 2"/>
    <w:basedOn w:val="Normal"/>
    <w:next w:val="Normal"/>
    <w:autoRedefine/>
    <w:uiPriority w:val="99"/>
    <w:semiHidden/>
    <w:rsid w:val="00701C36"/>
    <w:pPr>
      <w:ind w:left="480" w:hanging="240"/>
      <w:jc w:val="left"/>
    </w:pPr>
  </w:style>
  <w:style w:type="paragraph" w:styleId="Index3">
    <w:name w:val="index 3"/>
    <w:basedOn w:val="Normal"/>
    <w:next w:val="Normal"/>
    <w:autoRedefine/>
    <w:uiPriority w:val="99"/>
    <w:semiHidden/>
    <w:rsid w:val="00701C36"/>
    <w:pPr>
      <w:ind w:left="720" w:hanging="240"/>
      <w:jc w:val="left"/>
    </w:pPr>
  </w:style>
  <w:style w:type="paragraph" w:styleId="Index4">
    <w:name w:val="index 4"/>
    <w:basedOn w:val="Normal"/>
    <w:next w:val="Normal"/>
    <w:autoRedefine/>
    <w:uiPriority w:val="99"/>
    <w:semiHidden/>
    <w:rsid w:val="00701C36"/>
    <w:pPr>
      <w:ind w:left="960" w:hanging="240"/>
      <w:jc w:val="left"/>
    </w:pPr>
  </w:style>
  <w:style w:type="paragraph" w:styleId="Index5">
    <w:name w:val="index 5"/>
    <w:basedOn w:val="Normal"/>
    <w:next w:val="Normal"/>
    <w:autoRedefine/>
    <w:uiPriority w:val="99"/>
    <w:semiHidden/>
    <w:rsid w:val="00701C36"/>
    <w:pPr>
      <w:ind w:left="1200" w:hanging="240"/>
      <w:jc w:val="left"/>
    </w:pPr>
  </w:style>
  <w:style w:type="paragraph" w:styleId="Index6">
    <w:name w:val="index 6"/>
    <w:basedOn w:val="Normal"/>
    <w:next w:val="Normal"/>
    <w:autoRedefine/>
    <w:uiPriority w:val="99"/>
    <w:semiHidden/>
    <w:rsid w:val="00701C36"/>
    <w:pPr>
      <w:ind w:left="1440" w:hanging="240"/>
      <w:jc w:val="left"/>
    </w:pPr>
  </w:style>
  <w:style w:type="paragraph" w:styleId="Index7">
    <w:name w:val="index 7"/>
    <w:basedOn w:val="Normal"/>
    <w:next w:val="Normal"/>
    <w:autoRedefine/>
    <w:uiPriority w:val="99"/>
    <w:semiHidden/>
    <w:rsid w:val="00701C36"/>
    <w:pPr>
      <w:ind w:left="1680" w:hanging="240"/>
      <w:jc w:val="left"/>
    </w:pPr>
  </w:style>
  <w:style w:type="paragraph" w:styleId="Index8">
    <w:name w:val="index 8"/>
    <w:basedOn w:val="Normal"/>
    <w:next w:val="Normal"/>
    <w:autoRedefine/>
    <w:uiPriority w:val="99"/>
    <w:semiHidden/>
    <w:rsid w:val="00701C36"/>
    <w:pPr>
      <w:ind w:left="1920" w:hanging="240"/>
      <w:jc w:val="left"/>
    </w:pPr>
  </w:style>
  <w:style w:type="paragraph" w:styleId="Index9">
    <w:name w:val="index 9"/>
    <w:basedOn w:val="Normal"/>
    <w:next w:val="Normal"/>
    <w:autoRedefine/>
    <w:uiPriority w:val="99"/>
    <w:semiHidden/>
    <w:rsid w:val="00701C36"/>
    <w:pPr>
      <w:ind w:left="2160" w:hanging="240"/>
      <w:jc w:val="left"/>
    </w:pPr>
  </w:style>
  <w:style w:type="paragraph" w:styleId="IndexHeading">
    <w:name w:val="index heading"/>
    <w:basedOn w:val="Normal"/>
    <w:next w:val="Index1"/>
    <w:uiPriority w:val="99"/>
    <w:semiHidden/>
    <w:rsid w:val="00701C36"/>
    <w:pPr>
      <w:jc w:val="left"/>
    </w:pPr>
    <w:rPr>
      <w:rFonts w:asciiTheme="majorHAnsi" w:eastAsiaTheme="majorEastAsia" w:hAnsiTheme="majorHAnsi" w:cstheme="majorBidi"/>
      <w:b/>
      <w:bCs/>
    </w:rPr>
  </w:style>
  <w:style w:type="table" w:styleId="LightGrid">
    <w:name w:val="Light Grid"/>
    <w:basedOn w:val="TableNormal"/>
    <w:uiPriority w:val="62"/>
    <w:semiHidden/>
    <w:rsid w:val="00701C3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01C3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01C3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01C3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01C3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01C3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01C3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01C3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01C3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01C3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01C3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01C3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01C3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01C3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01C3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01C3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01C3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01C3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01C3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01C3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01C3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01C36"/>
  </w:style>
  <w:style w:type="paragraph" w:styleId="List">
    <w:name w:val="List"/>
    <w:basedOn w:val="Normal"/>
    <w:uiPriority w:val="99"/>
    <w:semiHidden/>
    <w:rsid w:val="00701C36"/>
    <w:pPr>
      <w:ind w:left="283" w:hanging="283"/>
      <w:contextualSpacing/>
      <w:jc w:val="left"/>
    </w:pPr>
  </w:style>
  <w:style w:type="paragraph" w:styleId="List2">
    <w:name w:val="List 2"/>
    <w:basedOn w:val="Normal"/>
    <w:uiPriority w:val="99"/>
    <w:semiHidden/>
    <w:rsid w:val="00701C36"/>
    <w:pPr>
      <w:ind w:left="566" w:hanging="283"/>
      <w:contextualSpacing/>
      <w:jc w:val="left"/>
    </w:pPr>
  </w:style>
  <w:style w:type="paragraph" w:styleId="List3">
    <w:name w:val="List 3"/>
    <w:basedOn w:val="Normal"/>
    <w:uiPriority w:val="99"/>
    <w:semiHidden/>
    <w:rsid w:val="00701C36"/>
    <w:pPr>
      <w:ind w:left="849" w:hanging="283"/>
      <w:contextualSpacing/>
      <w:jc w:val="left"/>
    </w:pPr>
  </w:style>
  <w:style w:type="paragraph" w:styleId="List4">
    <w:name w:val="List 4"/>
    <w:basedOn w:val="Normal"/>
    <w:uiPriority w:val="99"/>
    <w:semiHidden/>
    <w:rsid w:val="00701C36"/>
    <w:pPr>
      <w:ind w:left="1132" w:hanging="283"/>
      <w:contextualSpacing/>
      <w:jc w:val="left"/>
    </w:pPr>
  </w:style>
  <w:style w:type="paragraph" w:styleId="List5">
    <w:name w:val="List 5"/>
    <w:basedOn w:val="Normal"/>
    <w:uiPriority w:val="99"/>
    <w:semiHidden/>
    <w:rsid w:val="00701C36"/>
    <w:pPr>
      <w:ind w:left="1415" w:hanging="283"/>
      <w:contextualSpacing/>
      <w:jc w:val="left"/>
    </w:pPr>
  </w:style>
  <w:style w:type="paragraph" w:styleId="ListBullet">
    <w:name w:val="List Bullet"/>
    <w:basedOn w:val="Normal"/>
    <w:uiPriority w:val="99"/>
    <w:semiHidden/>
    <w:rsid w:val="00701C36"/>
    <w:pPr>
      <w:numPr>
        <w:numId w:val="40"/>
      </w:numPr>
      <w:jc w:val="left"/>
    </w:pPr>
  </w:style>
  <w:style w:type="paragraph" w:styleId="ListBullet3">
    <w:name w:val="List Bullet 3"/>
    <w:basedOn w:val="Normal"/>
    <w:uiPriority w:val="99"/>
    <w:semiHidden/>
    <w:rsid w:val="00701C36"/>
    <w:pPr>
      <w:numPr>
        <w:numId w:val="42"/>
      </w:numPr>
      <w:contextualSpacing/>
      <w:jc w:val="left"/>
    </w:pPr>
  </w:style>
  <w:style w:type="paragraph" w:styleId="ListBullet4">
    <w:name w:val="List Bullet 4"/>
    <w:basedOn w:val="Normal"/>
    <w:uiPriority w:val="99"/>
    <w:semiHidden/>
    <w:rsid w:val="00701C36"/>
    <w:pPr>
      <w:numPr>
        <w:numId w:val="43"/>
      </w:numPr>
      <w:contextualSpacing/>
      <w:jc w:val="left"/>
    </w:pPr>
  </w:style>
  <w:style w:type="paragraph" w:styleId="ListBullet5">
    <w:name w:val="List Bullet 5"/>
    <w:basedOn w:val="Normal"/>
    <w:uiPriority w:val="99"/>
    <w:semiHidden/>
    <w:rsid w:val="00701C36"/>
    <w:pPr>
      <w:numPr>
        <w:numId w:val="44"/>
      </w:numPr>
      <w:contextualSpacing/>
      <w:jc w:val="left"/>
    </w:pPr>
  </w:style>
  <w:style w:type="paragraph" w:styleId="ListContinue">
    <w:name w:val="List Continue"/>
    <w:basedOn w:val="Normal"/>
    <w:uiPriority w:val="99"/>
    <w:semiHidden/>
    <w:rsid w:val="00701C36"/>
    <w:pPr>
      <w:spacing w:after="120"/>
      <w:ind w:left="283"/>
      <w:contextualSpacing/>
      <w:jc w:val="left"/>
    </w:pPr>
  </w:style>
  <w:style w:type="paragraph" w:styleId="ListContinue2">
    <w:name w:val="List Continue 2"/>
    <w:basedOn w:val="Normal"/>
    <w:uiPriority w:val="99"/>
    <w:semiHidden/>
    <w:rsid w:val="00701C36"/>
    <w:pPr>
      <w:spacing w:after="120"/>
      <w:ind w:left="566"/>
      <w:contextualSpacing/>
      <w:jc w:val="left"/>
    </w:pPr>
  </w:style>
  <w:style w:type="paragraph" w:styleId="ListContinue3">
    <w:name w:val="List Continue 3"/>
    <w:basedOn w:val="Normal"/>
    <w:uiPriority w:val="99"/>
    <w:semiHidden/>
    <w:rsid w:val="00701C36"/>
    <w:pPr>
      <w:spacing w:after="120"/>
      <w:ind w:left="849"/>
      <w:contextualSpacing/>
      <w:jc w:val="left"/>
    </w:pPr>
  </w:style>
  <w:style w:type="paragraph" w:styleId="ListContinue4">
    <w:name w:val="List Continue 4"/>
    <w:basedOn w:val="Normal"/>
    <w:uiPriority w:val="99"/>
    <w:semiHidden/>
    <w:rsid w:val="00701C36"/>
    <w:pPr>
      <w:spacing w:after="120"/>
      <w:ind w:left="1132"/>
      <w:contextualSpacing/>
      <w:jc w:val="left"/>
    </w:pPr>
  </w:style>
  <w:style w:type="paragraph" w:styleId="ListContinue5">
    <w:name w:val="List Continue 5"/>
    <w:basedOn w:val="Normal"/>
    <w:uiPriority w:val="99"/>
    <w:semiHidden/>
    <w:rsid w:val="00701C36"/>
    <w:pPr>
      <w:spacing w:after="120"/>
      <w:ind w:left="1415"/>
      <w:contextualSpacing/>
      <w:jc w:val="left"/>
    </w:pPr>
  </w:style>
  <w:style w:type="paragraph" w:styleId="ListNumber">
    <w:name w:val="List Number"/>
    <w:basedOn w:val="Normal"/>
    <w:uiPriority w:val="99"/>
    <w:semiHidden/>
    <w:rsid w:val="00701C36"/>
    <w:pPr>
      <w:numPr>
        <w:numId w:val="45"/>
      </w:numPr>
      <w:contextualSpacing/>
      <w:jc w:val="left"/>
    </w:pPr>
  </w:style>
  <w:style w:type="paragraph" w:styleId="ListNumber2">
    <w:name w:val="List Number 2"/>
    <w:basedOn w:val="Normal"/>
    <w:uiPriority w:val="99"/>
    <w:semiHidden/>
    <w:rsid w:val="00701C36"/>
    <w:pPr>
      <w:numPr>
        <w:numId w:val="46"/>
      </w:numPr>
      <w:contextualSpacing/>
      <w:jc w:val="left"/>
    </w:pPr>
  </w:style>
  <w:style w:type="paragraph" w:styleId="ListNumber3">
    <w:name w:val="List Number 3"/>
    <w:basedOn w:val="Normal"/>
    <w:uiPriority w:val="99"/>
    <w:semiHidden/>
    <w:rsid w:val="00701C36"/>
    <w:pPr>
      <w:numPr>
        <w:numId w:val="47"/>
      </w:numPr>
      <w:contextualSpacing/>
      <w:jc w:val="left"/>
    </w:pPr>
  </w:style>
  <w:style w:type="paragraph" w:styleId="ListNumber4">
    <w:name w:val="List Number 4"/>
    <w:basedOn w:val="Normal"/>
    <w:uiPriority w:val="99"/>
    <w:semiHidden/>
    <w:rsid w:val="00701C36"/>
    <w:pPr>
      <w:numPr>
        <w:numId w:val="48"/>
      </w:numPr>
      <w:contextualSpacing/>
      <w:jc w:val="left"/>
    </w:pPr>
  </w:style>
  <w:style w:type="paragraph" w:styleId="ListNumber5">
    <w:name w:val="List Number 5"/>
    <w:basedOn w:val="Normal"/>
    <w:uiPriority w:val="99"/>
    <w:semiHidden/>
    <w:rsid w:val="00701C36"/>
    <w:pPr>
      <w:numPr>
        <w:numId w:val="49"/>
      </w:numPr>
      <w:contextualSpacing/>
      <w:jc w:val="left"/>
    </w:pPr>
  </w:style>
  <w:style w:type="paragraph" w:styleId="MacroText">
    <w:name w:val="macro"/>
    <w:link w:val="MacroTextChar"/>
    <w:uiPriority w:val="99"/>
    <w:semiHidden/>
    <w:rsid w:val="00701C3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01C36"/>
    <w:rPr>
      <w:rFonts w:ascii="Consolas" w:eastAsiaTheme="minorEastAsia" w:hAnsi="Consolas" w:cs="Consolas"/>
      <w:sz w:val="20"/>
      <w:szCs w:val="20"/>
    </w:rPr>
  </w:style>
  <w:style w:type="table" w:styleId="MediumGrid1">
    <w:name w:val="Medium Grid 1"/>
    <w:basedOn w:val="TableNormal"/>
    <w:uiPriority w:val="67"/>
    <w:semiHidden/>
    <w:rsid w:val="00701C3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01C3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01C3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01C3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01C3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01C3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01C3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01C3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01C3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01C3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01C3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01C3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01C3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01C3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01C3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01C3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01C3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01C3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01C3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01C3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01C3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01C3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01C3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01C3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01C3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01C36"/>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701C36"/>
    <w:rPr>
      <w:rFonts w:ascii="Times New Roman" w:hAnsi="Times New Roman" w:cs="Times New Roman"/>
      <w:szCs w:val="24"/>
    </w:rPr>
  </w:style>
  <w:style w:type="paragraph" w:styleId="NormalIndent">
    <w:name w:val="Normal Indent"/>
    <w:basedOn w:val="Normal"/>
    <w:uiPriority w:val="99"/>
    <w:semiHidden/>
    <w:rsid w:val="00701C36"/>
    <w:pPr>
      <w:ind w:left="720"/>
    </w:pPr>
  </w:style>
  <w:style w:type="paragraph" w:styleId="NoteHeading">
    <w:name w:val="Note Heading"/>
    <w:basedOn w:val="Normal"/>
    <w:next w:val="Normal"/>
    <w:link w:val="NoteHeadingChar"/>
    <w:uiPriority w:val="99"/>
    <w:semiHidden/>
    <w:rsid w:val="00701C36"/>
  </w:style>
  <w:style w:type="character" w:customStyle="1" w:styleId="NoteHeadingChar">
    <w:name w:val="Note Heading Char"/>
    <w:basedOn w:val="DefaultParagraphFont"/>
    <w:link w:val="NoteHeading"/>
    <w:uiPriority w:val="99"/>
    <w:semiHidden/>
    <w:rsid w:val="00701C36"/>
    <w:rPr>
      <w:rFonts w:eastAsiaTheme="minorEastAsia"/>
      <w:sz w:val="24"/>
      <w:lang w:val="fr-FR"/>
    </w:rPr>
  </w:style>
  <w:style w:type="character" w:styleId="PlaceholderText">
    <w:name w:val="Placeholder Text"/>
    <w:basedOn w:val="DefaultParagraphFont"/>
    <w:uiPriority w:val="99"/>
    <w:semiHidden/>
    <w:rsid w:val="00701C3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01C36"/>
    <w:rPr>
      <w:rFonts w:ascii="Consolas" w:hAnsi="Consolas" w:cs="Consolas"/>
      <w:sz w:val="21"/>
      <w:szCs w:val="21"/>
    </w:rPr>
  </w:style>
  <w:style w:type="character" w:customStyle="1" w:styleId="PlainTextChar">
    <w:name w:val="Plain Text Char"/>
    <w:basedOn w:val="DefaultParagraphFont"/>
    <w:link w:val="PlainText"/>
    <w:uiPriority w:val="99"/>
    <w:semiHidden/>
    <w:rsid w:val="00701C36"/>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701C36"/>
  </w:style>
  <w:style w:type="character" w:customStyle="1" w:styleId="SalutationChar">
    <w:name w:val="Salutation Char"/>
    <w:basedOn w:val="DefaultParagraphFont"/>
    <w:link w:val="Salutation"/>
    <w:uiPriority w:val="99"/>
    <w:semiHidden/>
    <w:rsid w:val="00701C36"/>
    <w:rPr>
      <w:rFonts w:eastAsiaTheme="minorEastAsia"/>
      <w:sz w:val="24"/>
      <w:lang w:val="fr-FR"/>
    </w:rPr>
  </w:style>
  <w:style w:type="paragraph" w:styleId="Signature">
    <w:name w:val="Signature"/>
    <w:basedOn w:val="Normal"/>
    <w:link w:val="SignatureChar"/>
    <w:uiPriority w:val="99"/>
    <w:semiHidden/>
    <w:rsid w:val="00701C36"/>
    <w:pPr>
      <w:ind w:left="4252"/>
    </w:pPr>
  </w:style>
  <w:style w:type="character" w:customStyle="1" w:styleId="SignatureChar">
    <w:name w:val="Signature Char"/>
    <w:basedOn w:val="DefaultParagraphFont"/>
    <w:link w:val="Signature"/>
    <w:uiPriority w:val="99"/>
    <w:semiHidden/>
    <w:rsid w:val="00701C36"/>
    <w:rPr>
      <w:rFonts w:eastAsiaTheme="minorEastAsia"/>
      <w:sz w:val="24"/>
      <w:lang w:val="fr-FR"/>
    </w:rPr>
  </w:style>
  <w:style w:type="table" w:styleId="Table3Deffects1">
    <w:name w:val="Table 3D effects 1"/>
    <w:basedOn w:val="TableNormal"/>
    <w:uiPriority w:val="99"/>
    <w:semiHidden/>
    <w:unhideWhenUsed/>
    <w:rsid w:val="00701C36"/>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01C36"/>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01C36"/>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01C3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01C36"/>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01C36"/>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01C36"/>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01C36"/>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01C36"/>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01C36"/>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01C36"/>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01C36"/>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01C36"/>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01C36"/>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01C36"/>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01C36"/>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01C36"/>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01C36"/>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01C36"/>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01C36"/>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01C3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01C36"/>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01C36"/>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01C36"/>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1C36"/>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01C36"/>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01C36"/>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01C36"/>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01C36"/>
    <w:pPr>
      <w:ind w:left="240" w:hanging="240"/>
    </w:pPr>
  </w:style>
  <w:style w:type="paragraph" w:styleId="TableofFigures">
    <w:name w:val="table of figures"/>
    <w:basedOn w:val="Normal"/>
    <w:next w:val="Normal"/>
    <w:uiPriority w:val="99"/>
    <w:semiHidden/>
    <w:rsid w:val="00701C36"/>
  </w:style>
  <w:style w:type="table" w:styleId="TableProfessional">
    <w:name w:val="Table Professional"/>
    <w:basedOn w:val="TableNormal"/>
    <w:uiPriority w:val="99"/>
    <w:semiHidden/>
    <w:unhideWhenUsed/>
    <w:rsid w:val="00701C3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01C36"/>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01C36"/>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01C36"/>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01C36"/>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01C36"/>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01C3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01C36"/>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01C36"/>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01C36"/>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01C3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01C3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01C36"/>
    <w:pPr>
      <w:spacing w:after="100"/>
      <w:ind w:left="1680"/>
    </w:pPr>
  </w:style>
  <w:style w:type="paragraph" w:styleId="TOC9">
    <w:name w:val="toc 9"/>
    <w:basedOn w:val="Normal"/>
    <w:next w:val="Normal"/>
    <w:autoRedefine/>
    <w:uiPriority w:val="99"/>
    <w:semiHidden/>
    <w:rsid w:val="00701C36"/>
    <w:pPr>
      <w:spacing w:after="100"/>
      <w:ind w:left="1920"/>
    </w:pPr>
  </w:style>
  <w:style w:type="paragraph" w:customStyle="1" w:styleId="ECHRFooter">
    <w:name w:val="ECHR_Footer"/>
    <w:aliases w:val="Footer_ECHR"/>
    <w:basedOn w:val="Footer0"/>
    <w:uiPriority w:val="57"/>
    <w:semiHidden/>
    <w:rsid w:val="00D20A92"/>
    <w:rPr>
      <w:sz w:val="8"/>
    </w:rPr>
  </w:style>
  <w:style w:type="paragraph" w:customStyle="1" w:styleId="FooterLine">
    <w:name w:val="_Footer_Line"/>
    <w:aliases w:val="Footer_Line"/>
    <w:basedOn w:val="Normal"/>
    <w:next w:val="Footer"/>
    <w:uiPriority w:val="57"/>
    <w:semiHidden/>
    <w:rsid w:val="00701C36"/>
    <w:pPr>
      <w:pBdr>
        <w:top w:val="single" w:sz="6" w:space="1" w:color="5F5F5F"/>
      </w:pBdr>
      <w:tabs>
        <w:tab w:val="center" w:pos="4536"/>
        <w:tab w:val="right" w:pos="9696"/>
      </w:tabs>
      <w:ind w:left="-680" w:right="-680"/>
      <w:jc w:val="left"/>
    </w:pPr>
    <w:rPr>
      <w:color w:val="5F5F5F"/>
    </w:rPr>
  </w:style>
  <w:style w:type="paragraph" w:customStyle="1" w:styleId="DecHCase">
    <w:name w:val="Dec_H_Case"/>
    <w:aliases w:val="_Title_3"/>
    <w:basedOn w:val="JuPara"/>
    <w:next w:val="JuPara"/>
    <w:uiPriority w:val="35"/>
    <w:qFormat/>
    <w:rsid w:val="00701C36"/>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701C36"/>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701C36"/>
    <w:pPr>
      <w:keepNext/>
      <w:keepLines/>
      <w:spacing w:before="1320" w:after="280"/>
      <w:contextualSpacing/>
      <w:jc w:val="center"/>
    </w:pPr>
    <w:rPr>
      <w:rFonts w:eastAsiaTheme="minorHAnsi"/>
      <w:b/>
    </w:rPr>
  </w:style>
  <w:style w:type="character" w:customStyle="1" w:styleId="JuNames0">
    <w:name w:val="Ju_Names"/>
    <w:rsid w:val="00F2568C"/>
    <w:rPr>
      <w:rFonts w:ascii="Times New Roman" w:hAnsi="Times New Roman" w:cs="Times New Roman"/>
      <w:smallCaps/>
    </w:rPr>
  </w:style>
  <w:style w:type="paragraph" w:customStyle="1" w:styleId="jupara0">
    <w:name w:val="jupara"/>
    <w:basedOn w:val="Normal"/>
    <w:rsid w:val="00802F45"/>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802F4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7EF7FA-C0A6-4D84-94D1-FDA1AA27FBC4}">
  <ds:schemaRefs>
    <ds:schemaRef ds:uri="http://schemas.openxmlformats.org/officeDocument/2006/bibliography"/>
  </ds:schemaRefs>
</ds:datastoreItem>
</file>

<file path=customXml/itemProps2.xml><?xml version="1.0" encoding="utf-8"?>
<ds:datastoreItem xmlns:ds="http://schemas.openxmlformats.org/officeDocument/2006/customXml" ds:itemID="{37A05BC5-F5FB-42D9-88FB-6BFD12F2E862}"/>
</file>

<file path=customXml/itemProps3.xml><?xml version="1.0" encoding="utf-8"?>
<ds:datastoreItem xmlns:ds="http://schemas.openxmlformats.org/officeDocument/2006/customXml" ds:itemID="{F1574FA9-E186-41C3-834A-1AAC9013DAE7}"/>
</file>

<file path=customXml/itemProps4.xml><?xml version="1.0" encoding="utf-8"?>
<ds:datastoreItem xmlns:ds="http://schemas.openxmlformats.org/officeDocument/2006/customXml" ds:itemID="{BE72AFA0-0A03-4C4C-A4AF-5D8C4FC6E885}"/>
</file>

<file path=docProps/app.xml><?xml version="1.0" encoding="utf-8"?>
<Properties xmlns="http://schemas.openxmlformats.org/officeDocument/2006/extended-properties" xmlns:vt="http://schemas.openxmlformats.org/officeDocument/2006/docPropsVTypes">
  <Template>Normal.dotm</Template>
  <TotalTime>0</TotalTime>
  <Pages>1</Pages>
  <Words>5450</Words>
  <Characters>31069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Arrêt</vt:lpstr>
    </vt:vector>
  </TitlesOfParts>
  <Manager/>
  <Company/>
  <LinksUpToDate>false</LinksUpToDate>
  <CharactersWithSpaces>36447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2021-04-06T12:29:00Z</dcterms:created>
  <dcterms:modified xsi:type="dcterms:W3CDTF">2021-04-06T12:29:00Z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36226/11</vt:lpwstr>
  </property>
  <property fmtid="{D5CDD505-2E9C-101B-9397-08002B2CF9AE}" pid="4" name="CASEID">
    <vt:lpwstr>725854</vt:lpwstr>
  </property>
  <property fmtid="{D5CDD505-2E9C-101B-9397-08002B2CF9AE}" pid="5" name="ContentTypeId">
    <vt:lpwstr>0x010100558EB02BDB9E204AB350EDD385B68E10</vt:lpwstr>
  </property>
</Properties>
</file>