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0609B" w:rsidR="00C75D67" w:rsidP="00D0609B" w14:paraId="04071997" w14:textId="77777777">
      <w:pPr>
        <w:pStyle w:val="ECHRDecisionBody"/>
        <w:jc w:val="center"/>
        <w:rPr>
          <w:rFonts w:ascii="Times New Roman" w:hAnsi="Times New Roman" w:cs="Times New Roman"/>
        </w:rPr>
      </w:pPr>
    </w:p>
    <w:p w:rsidRPr="00D0609B" w:rsidR="008D1A75" w:rsidP="00D0609B" w14:paraId="1F6D6A9B" w14:textId="77777777">
      <w:pPr>
        <w:pStyle w:val="ECHRDecisionBody"/>
        <w:jc w:val="center"/>
        <w:rPr>
          <w:rFonts w:ascii="Times New Roman" w:hAnsi="Times New Roman" w:cs="Times New Roman"/>
        </w:rPr>
      </w:pPr>
    </w:p>
    <w:p w:rsidRPr="00D0609B" w:rsidR="0055090B" w:rsidP="00D0609B" w14:paraId="439F915A" w14:textId="77777777">
      <w:pPr>
        <w:jc w:val="center"/>
        <w:rPr>
          <w:lang w:val="fr-FR"/>
        </w:rPr>
      </w:pPr>
    </w:p>
    <w:p w:rsidRPr="00D0609B" w:rsidR="0055090B" w:rsidP="00D0609B" w14:paraId="5B9809C1" w14:textId="77777777">
      <w:pPr>
        <w:tabs>
          <w:tab w:val="left" w:pos="5529"/>
        </w:tabs>
        <w:jc w:val="center"/>
        <w:rPr>
          <w:lang w:val="fr-FR"/>
        </w:rPr>
      </w:pPr>
      <w:r w:rsidRPr="00D0609B">
        <w:rPr>
          <w:lang w:val="fr-FR"/>
        </w:rPr>
        <w:t>DEUXIÈME SECTION</w:t>
      </w:r>
    </w:p>
    <w:p w:rsidRPr="00D0609B" w:rsidR="0055090B" w:rsidP="00D0609B" w14:paraId="72BB05B4" w14:textId="77777777">
      <w:pPr>
        <w:jc w:val="center"/>
        <w:rPr>
          <w:lang w:val="fr-FR"/>
        </w:rPr>
      </w:pPr>
    </w:p>
    <w:p w:rsidRPr="00D0609B" w:rsidR="008D1A75" w:rsidP="00D0609B" w14:paraId="0BD6CD5E" w14:textId="77777777">
      <w:pPr>
        <w:jc w:val="center"/>
        <w:rPr>
          <w:lang w:val="fr-FR"/>
        </w:rPr>
      </w:pPr>
    </w:p>
    <w:p w:rsidRPr="00D0609B" w:rsidR="0055090B" w:rsidP="00D0609B" w14:paraId="4A91561B" w14:textId="77777777">
      <w:pPr>
        <w:jc w:val="center"/>
        <w:rPr>
          <w:lang w:val="fr-FR"/>
        </w:rPr>
      </w:pPr>
    </w:p>
    <w:p w:rsidRPr="00D0609B" w:rsidR="0055090B" w:rsidP="00D0609B" w14:paraId="44A1242C" w14:textId="77777777">
      <w:pPr>
        <w:jc w:val="center"/>
        <w:rPr>
          <w:lang w:val="fr-FR"/>
        </w:rPr>
      </w:pPr>
    </w:p>
    <w:p w:rsidRPr="00D0609B" w:rsidR="0055090B" w:rsidP="00D0609B" w14:paraId="74F58811" w14:textId="77777777">
      <w:pPr>
        <w:jc w:val="center"/>
        <w:outlineLvl w:val="0"/>
        <w:rPr>
          <w:b/>
          <w:lang w:val="fr-FR"/>
        </w:rPr>
      </w:pPr>
      <w:r w:rsidRPr="00D0609B">
        <w:rPr>
          <w:b/>
          <w:lang w:val="fr-FR"/>
        </w:rPr>
        <w:t xml:space="preserve">AFFAIRE </w:t>
      </w:r>
      <w:r w:rsidRPr="00D0609B" w:rsidR="00D0609B">
        <w:rPr>
          <w:b/>
          <w:lang w:val="fr-FR"/>
        </w:rPr>
        <w:t>AKVARDAR c</w:t>
      </w:r>
      <w:r w:rsidRPr="00D0609B" w:rsidR="00C75D67">
        <w:rPr>
          <w:b/>
          <w:lang w:val="fr-FR"/>
        </w:rPr>
        <w:t>. TURQUIE</w:t>
      </w:r>
    </w:p>
    <w:p w:rsidRPr="00D0609B" w:rsidR="0055090B" w:rsidP="00D0609B" w14:paraId="0A71FD73" w14:textId="77777777">
      <w:pPr>
        <w:jc w:val="center"/>
        <w:rPr>
          <w:lang w:val="fr-FR"/>
        </w:rPr>
      </w:pPr>
    </w:p>
    <w:p w:rsidRPr="00D0609B" w:rsidR="0055090B" w:rsidP="00D0609B" w14:paraId="5214CF43" w14:textId="77777777">
      <w:pPr>
        <w:jc w:val="center"/>
        <w:rPr>
          <w:i/>
          <w:lang w:val="it-IT"/>
        </w:rPr>
      </w:pPr>
      <w:r w:rsidRPr="00D0609B">
        <w:rPr>
          <w:i/>
          <w:lang w:val="it-IT"/>
        </w:rPr>
        <w:t>(</w:t>
      </w:r>
      <w:r w:rsidRPr="00D0609B" w:rsidR="00C75D67">
        <w:rPr>
          <w:i/>
          <w:lang w:val="it-IT"/>
        </w:rPr>
        <w:t>Requête</w:t>
      </w:r>
      <w:r w:rsidRPr="00D0609B" w:rsidR="00C75D67">
        <w:rPr>
          <w:i/>
          <w:lang w:val="it-IT"/>
        </w:rPr>
        <w:t xml:space="preserve"> n</w:t>
      </w:r>
      <w:r w:rsidRPr="00D0609B" w:rsidR="00C75D67">
        <w:rPr>
          <w:i/>
          <w:vertAlign w:val="superscript"/>
          <w:lang w:val="it-IT"/>
        </w:rPr>
        <w:t>o</w:t>
      </w:r>
      <w:r w:rsidRPr="00D0609B">
        <w:rPr>
          <w:i/>
          <w:lang w:val="it-IT"/>
        </w:rPr>
        <w:t xml:space="preserve"> </w:t>
      </w:r>
      <w:r w:rsidRPr="00D0609B" w:rsidR="00C75D67">
        <w:rPr>
          <w:i/>
          <w:lang w:val="it-IT"/>
        </w:rPr>
        <w:t>48171/10</w:t>
      </w:r>
      <w:r w:rsidRPr="00D0609B">
        <w:rPr>
          <w:i/>
          <w:lang w:val="it-IT"/>
        </w:rPr>
        <w:t>)</w:t>
      </w:r>
    </w:p>
    <w:p w:rsidRPr="00D0609B" w:rsidR="0055090B" w:rsidP="00D0609B" w14:paraId="036016CF" w14:textId="77777777">
      <w:pPr>
        <w:jc w:val="center"/>
        <w:rPr>
          <w:lang w:val="it-IT"/>
        </w:rPr>
      </w:pPr>
    </w:p>
    <w:p w:rsidRPr="00D0609B" w:rsidR="0055090B" w:rsidP="00D0609B" w14:paraId="1857B208" w14:textId="77777777">
      <w:pPr>
        <w:jc w:val="center"/>
        <w:rPr>
          <w:lang w:val="it-IT"/>
        </w:rPr>
      </w:pPr>
    </w:p>
    <w:p w:rsidRPr="00D0609B" w:rsidR="0055090B" w:rsidP="00D0609B" w14:paraId="7755A489" w14:textId="77777777">
      <w:pPr>
        <w:jc w:val="center"/>
        <w:rPr>
          <w:lang w:val="it-IT"/>
        </w:rPr>
      </w:pPr>
    </w:p>
    <w:p w:rsidRPr="00D0609B" w:rsidR="0055090B" w:rsidP="00D0609B" w14:paraId="2B960E7C" w14:textId="77777777">
      <w:pPr>
        <w:jc w:val="center"/>
        <w:rPr>
          <w:lang w:val="it-IT"/>
        </w:rPr>
      </w:pPr>
    </w:p>
    <w:p w:rsidRPr="00D0609B" w:rsidR="0055090B" w:rsidP="00D0609B" w14:paraId="36B6887C" w14:textId="77777777">
      <w:pPr>
        <w:jc w:val="center"/>
        <w:rPr>
          <w:lang w:val="it-IT"/>
        </w:rPr>
      </w:pPr>
    </w:p>
    <w:p w:rsidRPr="00D0609B" w:rsidR="0055090B" w:rsidP="00D0609B" w14:paraId="139EC3EF" w14:textId="77777777">
      <w:pPr>
        <w:jc w:val="center"/>
        <w:outlineLvl w:val="0"/>
        <w:rPr>
          <w:lang w:val="it-IT"/>
        </w:rPr>
      </w:pPr>
      <w:r w:rsidRPr="00D0609B">
        <w:rPr>
          <w:lang w:val="it-IT"/>
        </w:rPr>
        <w:t>ARRÊT</w:t>
      </w:r>
    </w:p>
    <w:p w:rsidRPr="00D0609B" w:rsidR="0055090B" w:rsidP="00D0609B" w14:paraId="4CCF54DB" w14:textId="77777777">
      <w:pPr>
        <w:jc w:val="center"/>
        <w:rPr>
          <w:i/>
          <w:lang w:val="it-IT"/>
        </w:rPr>
      </w:pPr>
    </w:p>
    <w:p w:rsidRPr="00D0609B" w:rsidR="008D1A75" w:rsidP="00D0609B" w14:paraId="48F735C4" w14:textId="77777777">
      <w:pPr>
        <w:jc w:val="center"/>
        <w:rPr>
          <w:i/>
          <w:lang w:val="it-IT"/>
        </w:rPr>
      </w:pPr>
    </w:p>
    <w:p w:rsidRPr="00D0609B" w:rsidR="008D1A75" w:rsidP="00D0609B" w14:paraId="4ED682BC" w14:textId="77777777">
      <w:pPr>
        <w:jc w:val="center"/>
        <w:rPr>
          <w:i/>
          <w:lang w:val="it-IT"/>
        </w:rPr>
      </w:pPr>
    </w:p>
    <w:p w:rsidRPr="000B5449" w:rsidR="008F650F" w:rsidP="00D0609B" w14:paraId="16623AAB" w14:textId="5EAFAF32">
      <w:pPr>
        <w:pBdr>
          <w:top w:val="single" w:color="auto" w:sz="4" w:space="1"/>
          <w:left w:val="single" w:color="auto" w:sz="4" w:space="4"/>
          <w:bottom w:val="single" w:color="auto" w:sz="4" w:space="1"/>
          <w:right w:val="single" w:color="auto" w:sz="4" w:space="4"/>
        </w:pBdr>
        <w:rPr>
          <w:lang w:val="fr-FR"/>
        </w:rPr>
      </w:pPr>
      <w:r w:rsidRPr="000B5449">
        <w:rPr>
          <w:lang w:val="fr-FR"/>
        </w:rPr>
        <w:t>Art 1 P1 • Respect des biens • Perte d</w:t>
      </w:r>
      <w:r w:rsidRPr="000B5449" w:rsidR="00D0609B">
        <w:rPr>
          <w:lang w:val="fr-FR"/>
        </w:rPr>
        <w:t>’</w:t>
      </w:r>
      <w:r w:rsidRPr="000B5449">
        <w:rPr>
          <w:lang w:val="fr-FR"/>
        </w:rPr>
        <w:t>une indemnité d</w:t>
      </w:r>
      <w:r w:rsidRPr="000B5449" w:rsidR="00D0609B">
        <w:rPr>
          <w:lang w:val="fr-FR"/>
        </w:rPr>
        <w:t>’</w:t>
      </w:r>
      <w:r w:rsidRPr="000B5449">
        <w:rPr>
          <w:lang w:val="fr-FR"/>
        </w:rPr>
        <w:t>expropriation • Somme laissée à l</w:t>
      </w:r>
      <w:r w:rsidRPr="000B5449" w:rsidR="00D0609B">
        <w:rPr>
          <w:lang w:val="fr-FR"/>
        </w:rPr>
        <w:t>’</w:t>
      </w:r>
      <w:r w:rsidRPr="000B5449">
        <w:rPr>
          <w:lang w:val="fr-FR"/>
        </w:rPr>
        <w:t>abandon sur un compte spécial dans l</w:t>
      </w:r>
      <w:r w:rsidRPr="000B5449" w:rsidR="00D0609B">
        <w:rPr>
          <w:lang w:val="fr-FR"/>
        </w:rPr>
        <w:t>’</w:t>
      </w:r>
      <w:r w:rsidRPr="000B5449">
        <w:rPr>
          <w:lang w:val="fr-FR"/>
        </w:rPr>
        <w:t>attente de l</w:t>
      </w:r>
      <w:r w:rsidRPr="000B5449" w:rsidR="00D0609B">
        <w:rPr>
          <w:lang w:val="fr-FR"/>
        </w:rPr>
        <w:t>’</w:t>
      </w:r>
      <w:r w:rsidRPr="000B5449">
        <w:rPr>
          <w:lang w:val="fr-FR"/>
        </w:rPr>
        <w:t>issue d</w:t>
      </w:r>
      <w:r w:rsidRPr="000B5449" w:rsidR="00D0609B">
        <w:rPr>
          <w:lang w:val="fr-FR"/>
        </w:rPr>
        <w:t>’</w:t>
      </w:r>
      <w:r w:rsidRPr="000B5449">
        <w:rPr>
          <w:lang w:val="fr-FR"/>
        </w:rPr>
        <w:t>un litige sur la détermination des propriétaires, sans notification aux parties • Compte clôturé comme inactif</w:t>
      </w:r>
    </w:p>
    <w:p w:rsidRPr="000B5449" w:rsidR="0055090B" w:rsidP="00D0609B" w14:paraId="517179D4" w14:textId="77777777">
      <w:pPr>
        <w:jc w:val="center"/>
        <w:rPr>
          <w:lang w:val="fr-FR"/>
        </w:rPr>
      </w:pPr>
    </w:p>
    <w:p w:rsidRPr="000B5449" w:rsidR="008D1A75" w:rsidP="00D0609B" w14:paraId="095B8D57" w14:textId="77777777">
      <w:pPr>
        <w:jc w:val="center"/>
        <w:rPr>
          <w:lang w:val="fr-FR"/>
        </w:rPr>
      </w:pPr>
    </w:p>
    <w:p w:rsidRPr="000B5449" w:rsidR="008D1A75" w:rsidP="00D0609B" w14:paraId="1849F57C" w14:textId="77777777">
      <w:pPr>
        <w:jc w:val="center"/>
        <w:rPr>
          <w:lang w:val="fr-FR"/>
        </w:rPr>
      </w:pPr>
    </w:p>
    <w:p w:rsidRPr="000B5449" w:rsidR="0055090B" w:rsidP="00D0609B" w14:paraId="685B5655" w14:textId="77777777">
      <w:pPr>
        <w:jc w:val="center"/>
        <w:outlineLvl w:val="0"/>
        <w:rPr>
          <w:lang w:val="fr-FR"/>
        </w:rPr>
      </w:pPr>
      <w:r w:rsidRPr="000B5449">
        <w:rPr>
          <w:lang w:val="fr-FR"/>
        </w:rPr>
        <w:t>STRASBOURG</w:t>
      </w:r>
    </w:p>
    <w:p w:rsidRPr="000B5449" w:rsidR="0055090B" w:rsidP="00D0609B" w14:paraId="130BF53D" w14:textId="77777777">
      <w:pPr>
        <w:jc w:val="center"/>
        <w:rPr>
          <w:lang w:val="fr-FR"/>
        </w:rPr>
      </w:pPr>
    </w:p>
    <w:p w:rsidR="0055090B" w:rsidP="00D0609B" w14:paraId="4CCBF063" w14:textId="77777777">
      <w:pPr>
        <w:jc w:val="center"/>
        <w:rPr>
          <w:szCs w:val="24"/>
          <w:lang w:val="fr-FR"/>
        </w:rPr>
      </w:pPr>
      <w:r w:rsidRPr="00D0609B">
        <w:rPr>
          <w:szCs w:val="24"/>
          <w:lang w:val="fr-FR"/>
        </w:rPr>
        <w:t>29 octobre 2019</w:t>
      </w:r>
    </w:p>
    <w:p w:rsidRPr="00D0609B" w:rsidR="00352E78" w:rsidP="00D0609B" w14:paraId="46D1EDE4" w14:textId="77777777">
      <w:pPr>
        <w:jc w:val="center"/>
        <w:rPr>
          <w:lang w:val="fr-FR"/>
        </w:rPr>
      </w:pPr>
    </w:p>
    <w:p w:rsidRPr="00D0609B" w:rsidR="0055090B" w:rsidP="00D0609B" w14:paraId="7EA01B31" w14:textId="77777777">
      <w:pPr>
        <w:jc w:val="center"/>
        <w:rPr>
          <w:lang w:val="fr-FR"/>
        </w:rPr>
      </w:pPr>
    </w:p>
    <w:p w:rsidR="00352E78" w:rsidP="00352E78" w14:paraId="5F401F0F" w14:textId="77777777">
      <w:pPr>
        <w:pStyle w:val="jucase0"/>
        <w:ind w:firstLine="0"/>
        <w:jc w:val="center"/>
        <w:rPr>
          <w:color w:val="FF0000"/>
          <w:sz w:val="28"/>
          <w:szCs w:val="28"/>
          <w:u w:val="single"/>
          <w:lang w:val="fr-FR"/>
        </w:rPr>
      </w:pPr>
      <w:r>
        <w:rPr>
          <w:color w:val="FF0000"/>
          <w:sz w:val="28"/>
          <w:szCs w:val="28"/>
          <w:u w:val="single"/>
          <w:lang w:val="fr-FR"/>
        </w:rPr>
        <w:t>DÉFINITIF</w:t>
      </w:r>
    </w:p>
    <w:p w:rsidR="00352E78" w:rsidP="00352E78" w14:paraId="39F470D2" w14:textId="77777777">
      <w:pPr>
        <w:pStyle w:val="jupara0"/>
        <w:tabs>
          <w:tab w:val="left" w:pos="3450"/>
        </w:tabs>
        <w:ind w:firstLine="0"/>
        <w:jc w:val="center"/>
        <w:rPr>
          <w:color w:val="FF0000"/>
          <w:sz w:val="28"/>
          <w:szCs w:val="28"/>
          <w:lang w:val="fr-FR"/>
        </w:rPr>
      </w:pPr>
    </w:p>
    <w:p w:rsidR="00352E78" w:rsidP="00352E78" w14:paraId="7198F11E" w14:textId="77777777">
      <w:pPr>
        <w:pStyle w:val="jupara0"/>
        <w:ind w:firstLine="0"/>
        <w:jc w:val="center"/>
        <w:rPr>
          <w:color w:val="FF0000"/>
          <w:sz w:val="28"/>
          <w:szCs w:val="28"/>
          <w:lang w:val="fr-FR"/>
        </w:rPr>
      </w:pPr>
      <w:r>
        <w:rPr>
          <w:color w:val="FF0000"/>
          <w:sz w:val="28"/>
          <w:szCs w:val="28"/>
          <w:lang w:val="fr-FR"/>
        </w:rPr>
        <w:t>24/02/2020</w:t>
      </w:r>
    </w:p>
    <w:p w:rsidR="00352E78" w:rsidP="00352E78" w14:paraId="1366FB05" w14:textId="77777777">
      <w:pPr>
        <w:pStyle w:val="jupara0"/>
        <w:ind w:firstLine="0"/>
        <w:jc w:val="center"/>
        <w:rPr>
          <w:u w:val="single"/>
          <w:lang w:val="fr-FR"/>
        </w:rPr>
      </w:pPr>
    </w:p>
    <w:p w:rsidRPr="00D0609B" w:rsidR="002422B6" w:rsidP="00352E78" w14:paraId="70B8B0AD" w14:textId="77777777">
      <w:pPr>
        <w:jc w:val="center"/>
        <w:rPr>
          <w:i/>
          <w:sz w:val="22"/>
          <w:lang w:val="fr-FR"/>
        </w:rPr>
      </w:pPr>
      <w:r>
        <w:rPr>
          <w:i/>
          <w:iCs/>
          <w:sz w:val="22"/>
          <w:lang w:val="fr-FR"/>
        </w:rPr>
        <w:t>Cet arrêt est devenu définitif en vertu de l’article 44 § 2 de la Convention. Il peut subir des retouches de forme.</w:t>
      </w:r>
    </w:p>
    <w:p w:rsidRPr="00D0609B" w:rsidR="0098410D" w:rsidP="00D0609B" w14:paraId="785ED016" w14:textId="77777777">
      <w:pPr>
        <w:rPr>
          <w:lang w:val="fr-FR"/>
        </w:r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D0609B" w:rsidR="0055090B" w:rsidP="00D0609B" w14:paraId="6861C3EA" w14:textId="77777777">
      <w:pPr>
        <w:pStyle w:val="JuCase"/>
        <w:rPr>
          <w:lang w:val="fr-FR"/>
        </w:rPr>
      </w:pPr>
      <w:r w:rsidRPr="00D0609B">
        <w:rPr>
          <w:lang w:val="fr-FR"/>
        </w:rPr>
        <w:t>En l</w:t>
      </w:r>
      <w:r w:rsidRPr="00D0609B" w:rsidR="00D0609B">
        <w:rPr>
          <w:lang w:val="fr-FR"/>
        </w:rPr>
        <w:t>’</w:t>
      </w:r>
      <w:r w:rsidRPr="00D0609B">
        <w:rPr>
          <w:lang w:val="fr-FR"/>
        </w:rPr>
        <w:t xml:space="preserve">affaire </w:t>
      </w:r>
      <w:r w:rsidRPr="00D0609B" w:rsidR="00C75D67">
        <w:rPr>
          <w:lang w:val="fr-FR"/>
        </w:rPr>
        <w:t>Akvardar</w:t>
      </w:r>
      <w:r w:rsidRPr="00D0609B" w:rsidR="00C75D67">
        <w:rPr>
          <w:lang w:val="fr-FR"/>
        </w:rPr>
        <w:t xml:space="preserve"> c. Turquie</w:t>
      </w:r>
      <w:r w:rsidRPr="00D0609B">
        <w:rPr>
          <w:lang w:val="fr-FR"/>
        </w:rPr>
        <w:t>,</w:t>
      </w:r>
    </w:p>
    <w:p w:rsidRPr="00D0609B" w:rsidR="0055090B" w:rsidP="00D0609B" w14:paraId="09A5E5D1" w14:textId="77777777">
      <w:pPr>
        <w:pStyle w:val="ECHRPara"/>
        <w:rPr>
          <w:lang w:val="fr-FR"/>
        </w:rPr>
      </w:pPr>
      <w:r w:rsidRPr="00D0609B">
        <w:rPr>
          <w:lang w:val="fr-FR"/>
        </w:rPr>
        <w:t>La Cour européenne des droits de l</w:t>
      </w:r>
      <w:r w:rsidRPr="00D0609B" w:rsidR="00D0609B">
        <w:rPr>
          <w:lang w:val="fr-FR"/>
        </w:rPr>
        <w:t>’</w:t>
      </w:r>
      <w:r w:rsidRPr="00D0609B">
        <w:rPr>
          <w:lang w:val="fr-FR"/>
        </w:rPr>
        <w:t>homme (</w:t>
      </w:r>
      <w:r w:rsidRPr="00D0609B" w:rsidR="00C75D67">
        <w:rPr>
          <w:lang w:val="fr-FR"/>
        </w:rPr>
        <w:t>deuxième section</w:t>
      </w:r>
      <w:r w:rsidRPr="00D0609B">
        <w:rPr>
          <w:lang w:val="fr-FR"/>
        </w:rPr>
        <w:t xml:space="preserve">), siégeant en </w:t>
      </w:r>
      <w:r w:rsidRPr="00D0609B" w:rsidR="00C75D67">
        <w:rPr>
          <w:color w:val="000000"/>
          <w:lang w:val="fr-FR"/>
        </w:rPr>
        <w:t>une</w:t>
      </w:r>
      <w:r w:rsidRPr="00D0609B" w:rsidR="00C75D67">
        <w:rPr>
          <w:lang w:val="fr-FR"/>
        </w:rPr>
        <w:t xml:space="preserve"> Chambre composée</w:t>
      </w:r>
      <w:r w:rsidRPr="00D0609B">
        <w:rPr>
          <w:lang w:val="fr-FR"/>
        </w:rPr>
        <w:t xml:space="preserve"> de :</w:t>
      </w:r>
    </w:p>
    <w:p w:rsidRPr="00D0609B" w:rsidR="0055090B" w:rsidP="00D0609B" w14:paraId="3C6E356E" w14:textId="77777777">
      <w:pPr>
        <w:pStyle w:val="ECHRDecisionBody"/>
        <w:rPr>
          <w:lang w:val="fr-FR"/>
        </w:rPr>
      </w:pPr>
      <w:r w:rsidRPr="00D0609B">
        <w:rPr>
          <w:lang w:val="fr-FR"/>
        </w:rPr>
        <w:tab/>
        <w:t>Robert Spano,</w:t>
      </w:r>
      <w:r w:rsidRPr="00D0609B">
        <w:rPr>
          <w:i/>
          <w:lang w:val="fr-FR"/>
        </w:rPr>
        <w:t xml:space="preserve"> président,</w:t>
      </w:r>
      <w:r w:rsidRPr="00D0609B">
        <w:rPr>
          <w:i/>
          <w:lang w:val="fr-FR"/>
        </w:rPr>
        <w:br/>
      </w:r>
      <w:r w:rsidRPr="00D0609B">
        <w:rPr>
          <w:lang w:val="fr-FR"/>
        </w:rPr>
        <w:tab/>
        <w:t xml:space="preserve">Marko </w:t>
      </w:r>
      <w:r w:rsidRPr="00D0609B">
        <w:rPr>
          <w:lang w:val="fr-FR"/>
        </w:rPr>
        <w:t>Bošnjak</w:t>
      </w:r>
      <w:r w:rsidRPr="00D0609B">
        <w:rPr>
          <w:lang w:val="fr-FR"/>
        </w:rPr>
        <w:t>,</w:t>
      </w:r>
      <w:r w:rsidRPr="00D0609B">
        <w:rPr>
          <w:i/>
          <w:lang w:val="fr-FR"/>
        </w:rPr>
        <w:br/>
      </w:r>
      <w:r w:rsidRPr="00D0609B">
        <w:rPr>
          <w:lang w:val="fr-FR"/>
        </w:rPr>
        <w:tab/>
      </w:r>
      <w:r w:rsidRPr="00D0609B">
        <w:rPr>
          <w:lang w:val="fr-FR"/>
        </w:rPr>
        <w:t>Valeriu</w:t>
      </w:r>
      <w:r w:rsidRPr="00D0609B">
        <w:rPr>
          <w:lang w:val="fr-FR"/>
        </w:rPr>
        <w:t xml:space="preserve"> </w:t>
      </w:r>
      <w:r w:rsidRPr="00D0609B">
        <w:rPr>
          <w:lang w:val="fr-FR"/>
        </w:rPr>
        <w:t>Griţco</w:t>
      </w:r>
      <w:r w:rsidRPr="00D0609B">
        <w:rPr>
          <w:lang w:val="fr-FR"/>
        </w:rPr>
        <w:t>,</w:t>
      </w:r>
      <w:r w:rsidRPr="00D0609B">
        <w:rPr>
          <w:i/>
          <w:lang w:val="fr-FR"/>
        </w:rPr>
        <w:br/>
      </w:r>
      <w:r w:rsidRPr="00D0609B">
        <w:rPr>
          <w:lang w:val="fr-FR"/>
        </w:rPr>
        <w:tab/>
      </w:r>
      <w:r w:rsidRPr="00D0609B">
        <w:rPr>
          <w:lang w:val="fr-FR"/>
        </w:rPr>
        <w:t>Egidijus</w:t>
      </w:r>
      <w:r w:rsidRPr="00D0609B">
        <w:rPr>
          <w:lang w:val="fr-FR"/>
        </w:rPr>
        <w:t xml:space="preserve"> </w:t>
      </w:r>
      <w:r w:rsidRPr="00D0609B">
        <w:rPr>
          <w:lang w:val="fr-FR"/>
        </w:rPr>
        <w:t>Kūris</w:t>
      </w:r>
      <w:r w:rsidRPr="00D0609B">
        <w:rPr>
          <w:lang w:val="fr-FR"/>
        </w:rPr>
        <w:t>,</w:t>
      </w:r>
      <w:r w:rsidRPr="00D0609B">
        <w:rPr>
          <w:i/>
          <w:lang w:val="fr-FR"/>
        </w:rPr>
        <w:br/>
      </w:r>
      <w:r w:rsidRPr="00D0609B">
        <w:rPr>
          <w:lang w:val="fr-FR"/>
        </w:rPr>
        <w:tab/>
        <w:t xml:space="preserve">Ivana </w:t>
      </w:r>
      <w:r w:rsidRPr="00D0609B">
        <w:rPr>
          <w:lang w:val="fr-FR"/>
        </w:rPr>
        <w:t>Jelić</w:t>
      </w:r>
      <w:r w:rsidRPr="00D0609B">
        <w:rPr>
          <w:lang w:val="fr-FR"/>
        </w:rPr>
        <w:t>,</w:t>
      </w:r>
      <w:r w:rsidRPr="00D0609B">
        <w:rPr>
          <w:i/>
          <w:lang w:val="fr-FR"/>
        </w:rPr>
        <w:br/>
      </w:r>
      <w:r w:rsidRPr="00D0609B">
        <w:rPr>
          <w:lang w:val="fr-FR"/>
        </w:rPr>
        <w:tab/>
        <w:t xml:space="preserve">Arnfinn </w:t>
      </w:r>
      <w:r w:rsidRPr="00D0609B">
        <w:rPr>
          <w:lang w:val="fr-FR"/>
        </w:rPr>
        <w:t>Bårdsen</w:t>
      </w:r>
      <w:r w:rsidRPr="00D0609B">
        <w:rPr>
          <w:lang w:val="fr-FR"/>
        </w:rPr>
        <w:t>,</w:t>
      </w:r>
      <w:r w:rsidRPr="00D0609B">
        <w:rPr>
          <w:i/>
          <w:lang w:val="fr-FR"/>
        </w:rPr>
        <w:br/>
      </w:r>
      <w:r w:rsidRPr="00D0609B">
        <w:rPr>
          <w:lang w:val="fr-FR"/>
        </w:rPr>
        <w:tab/>
      </w:r>
      <w:r w:rsidRPr="00D0609B">
        <w:rPr>
          <w:lang w:val="fr-FR"/>
        </w:rPr>
        <w:t>Saadet</w:t>
      </w:r>
      <w:r w:rsidRPr="00D0609B">
        <w:rPr>
          <w:lang w:val="fr-FR"/>
        </w:rPr>
        <w:t xml:space="preserve"> </w:t>
      </w:r>
      <w:r w:rsidRPr="00D0609B">
        <w:rPr>
          <w:lang w:val="fr-FR"/>
        </w:rPr>
        <w:t>Yüksel</w:t>
      </w:r>
      <w:r w:rsidRPr="00D0609B">
        <w:rPr>
          <w:lang w:val="fr-FR"/>
        </w:rPr>
        <w:t>,</w:t>
      </w:r>
      <w:r w:rsidRPr="00D0609B">
        <w:rPr>
          <w:i/>
          <w:lang w:val="fr-FR"/>
        </w:rPr>
        <w:t xml:space="preserve"> juges,</w:t>
      </w:r>
      <w:r w:rsidRPr="00D0609B">
        <w:rPr>
          <w:i/>
          <w:lang w:val="fr-FR"/>
        </w:rPr>
        <w:br/>
      </w:r>
      <w:r w:rsidRPr="00D0609B">
        <w:rPr>
          <w:lang w:val="fr-FR"/>
        </w:rPr>
        <w:t xml:space="preserve">et de </w:t>
      </w:r>
      <w:r w:rsidRPr="00D0609B" w:rsidR="00C75D67">
        <w:rPr>
          <w:lang w:val="fr-FR"/>
        </w:rPr>
        <w:t>Stanley Naismith</w:t>
      </w:r>
      <w:r w:rsidRPr="00D0609B">
        <w:rPr>
          <w:lang w:val="fr-FR"/>
        </w:rPr>
        <w:t xml:space="preserve">, </w:t>
      </w:r>
      <w:r w:rsidRPr="00D0609B" w:rsidR="00C75D67">
        <w:rPr>
          <w:i/>
          <w:lang w:val="fr-FR"/>
        </w:rPr>
        <w:t>greffier</w:t>
      </w:r>
      <w:r w:rsidRPr="00D0609B" w:rsidR="00C75D67">
        <w:rPr>
          <w:iCs/>
          <w:lang w:val="fr-FR"/>
        </w:rPr>
        <w:t xml:space="preserve"> </w:t>
      </w:r>
      <w:r w:rsidRPr="00D0609B" w:rsidR="00C75D67">
        <w:rPr>
          <w:i/>
          <w:iCs/>
          <w:lang w:val="fr-FR"/>
        </w:rPr>
        <w:t>d</w:t>
      </w:r>
      <w:r w:rsidRPr="00D0609B" w:rsidR="00C75D67">
        <w:rPr>
          <w:i/>
          <w:lang w:val="fr-FR"/>
        </w:rPr>
        <w:t>e section</w:t>
      </w:r>
      <w:r w:rsidRPr="00D0609B">
        <w:rPr>
          <w:lang w:val="fr-FR"/>
        </w:rPr>
        <w:t>,</w:t>
      </w:r>
    </w:p>
    <w:p w:rsidRPr="00D0609B" w:rsidR="0055090B" w:rsidP="00D0609B" w14:paraId="6B0480C5" w14:textId="77777777">
      <w:pPr>
        <w:pStyle w:val="ECHRPara"/>
        <w:rPr>
          <w:lang w:val="fr-FR"/>
        </w:rPr>
      </w:pPr>
      <w:r w:rsidRPr="00D0609B">
        <w:rPr>
          <w:lang w:val="fr-FR"/>
        </w:rPr>
        <w:t xml:space="preserve">Après en avoir délibéré en chambre du conseil le </w:t>
      </w:r>
      <w:r w:rsidRPr="00D0609B" w:rsidR="00C75D67">
        <w:rPr>
          <w:szCs w:val="24"/>
          <w:lang w:val="fr-FR"/>
        </w:rPr>
        <w:t>8 octobre 2019</w:t>
      </w:r>
      <w:r w:rsidRPr="00D0609B">
        <w:rPr>
          <w:lang w:val="fr-FR"/>
        </w:rPr>
        <w:t>,</w:t>
      </w:r>
    </w:p>
    <w:p w:rsidRPr="00D0609B" w:rsidR="0055090B" w:rsidP="00D0609B" w14:paraId="26CCEE2B" w14:textId="77777777">
      <w:pPr>
        <w:pStyle w:val="ECHRPara"/>
        <w:rPr>
          <w:lang w:val="fr-FR"/>
        </w:rPr>
      </w:pPr>
      <w:r w:rsidRPr="00D0609B">
        <w:rPr>
          <w:lang w:val="fr-FR"/>
        </w:rPr>
        <w:t>Rend l</w:t>
      </w:r>
      <w:r w:rsidRPr="00D0609B" w:rsidR="00D0609B">
        <w:rPr>
          <w:lang w:val="fr-FR"/>
        </w:rPr>
        <w:t>’</w:t>
      </w:r>
      <w:r w:rsidRPr="00D0609B">
        <w:rPr>
          <w:lang w:val="fr-FR"/>
        </w:rPr>
        <w:t>arrêt que voici, adopté à cette date :</w:t>
      </w:r>
    </w:p>
    <w:p w:rsidRPr="00D0609B" w:rsidR="00C75D67" w:rsidP="00D0609B" w14:paraId="1ED9B0FA" w14:textId="77777777">
      <w:pPr>
        <w:pStyle w:val="ECHRTitle1"/>
        <w:rPr>
          <w:lang w:val="fr-FR"/>
        </w:rPr>
      </w:pPr>
      <w:r w:rsidRPr="00D0609B">
        <w:rPr>
          <w:lang w:val="fr-FR"/>
        </w:rPr>
        <w:t>PROCÉDURE</w:t>
      </w:r>
    </w:p>
    <w:p w:rsidRPr="00D0609B" w:rsidR="00C75D67" w:rsidP="00D0609B" w14:paraId="206739FE" w14:textId="77777777">
      <w:pPr>
        <w:pStyle w:val="ECHRPara"/>
        <w:rPr>
          <w:lang w:val="fr-FR"/>
        </w:rPr>
      </w:pPr>
      <w:r w:rsidRPr="00D0609B">
        <w:rPr>
          <w:lang w:val="fr-FR"/>
        </w:rPr>
        <w:t>1.  À l</w:t>
      </w:r>
      <w:r w:rsidRPr="00D0609B" w:rsidR="00D0609B">
        <w:rPr>
          <w:lang w:val="fr-FR"/>
        </w:rPr>
        <w:t>’</w:t>
      </w:r>
      <w:r w:rsidRPr="00D0609B">
        <w:rPr>
          <w:lang w:val="fr-FR"/>
        </w:rPr>
        <w:t>origine de l</w:t>
      </w:r>
      <w:r w:rsidRPr="00D0609B" w:rsidR="00D0609B">
        <w:rPr>
          <w:lang w:val="fr-FR"/>
        </w:rPr>
        <w:t>’</w:t>
      </w:r>
      <w:r w:rsidRPr="00D0609B">
        <w:rPr>
          <w:lang w:val="fr-FR"/>
        </w:rPr>
        <w:t>affaire se trouve une requête (n</w:t>
      </w:r>
      <w:r w:rsidRPr="00D0609B">
        <w:rPr>
          <w:vertAlign w:val="superscript"/>
          <w:lang w:val="fr-FR"/>
        </w:rPr>
        <w:t>o</w:t>
      </w:r>
      <w:r w:rsidRPr="00D0609B">
        <w:rPr>
          <w:lang w:val="fr-FR"/>
        </w:rPr>
        <w:t xml:space="preserve"> 48171/10) dirigée contre la République de Turquie et dont un ressortissant de cet État, M. </w:t>
      </w:r>
      <w:r w:rsidRPr="00D0609B">
        <w:rPr>
          <w:lang w:val="fr-FR"/>
        </w:rPr>
        <w:t>Rıfat</w:t>
      </w:r>
      <w:r w:rsidRPr="00D0609B">
        <w:rPr>
          <w:lang w:val="fr-FR"/>
        </w:rPr>
        <w:t xml:space="preserve"> </w:t>
      </w:r>
      <w:r w:rsidRPr="00D0609B">
        <w:rPr>
          <w:lang w:val="fr-FR"/>
        </w:rPr>
        <w:t>Namık</w:t>
      </w:r>
      <w:r w:rsidRPr="00D0609B">
        <w:rPr>
          <w:lang w:val="fr-FR"/>
        </w:rPr>
        <w:t xml:space="preserve"> </w:t>
      </w:r>
      <w:r w:rsidRPr="00D0609B">
        <w:rPr>
          <w:lang w:val="fr-FR"/>
        </w:rPr>
        <w:t>Akvardar</w:t>
      </w:r>
      <w:r w:rsidRPr="00D0609B">
        <w:rPr>
          <w:lang w:val="fr-FR"/>
        </w:rPr>
        <w:t xml:space="preserve"> (« le requérant »), a saisi la Cour le 17 juillet 2010 en vertu de l</w:t>
      </w:r>
      <w:r w:rsidRPr="00D0609B" w:rsidR="00D0609B">
        <w:rPr>
          <w:lang w:val="fr-FR"/>
        </w:rPr>
        <w:t>’</w:t>
      </w:r>
      <w:r w:rsidRPr="00D0609B">
        <w:rPr>
          <w:lang w:val="fr-FR"/>
        </w:rPr>
        <w:t>article 34 de la Convention de sauvegarde des droits de l</w:t>
      </w:r>
      <w:r w:rsidRPr="00D0609B" w:rsidR="00D0609B">
        <w:rPr>
          <w:lang w:val="fr-FR"/>
        </w:rPr>
        <w:t>’</w:t>
      </w:r>
      <w:r w:rsidRPr="00D0609B">
        <w:rPr>
          <w:lang w:val="fr-FR"/>
        </w:rPr>
        <w:t>homme et des libertés fondamentales (« la Convention »).</w:t>
      </w:r>
    </w:p>
    <w:p w:rsidRPr="00D0609B" w:rsidR="00C75D67" w:rsidP="00D0609B" w14:paraId="33289094" w14:textId="77777777">
      <w:pPr>
        <w:pStyle w:val="ECHRPara"/>
        <w:rPr>
          <w:lang w:val="fr-FR"/>
        </w:rPr>
      </w:pPr>
      <w:r w:rsidRPr="00D0609B">
        <w:rPr>
          <w:lang w:val="fr-FR"/>
        </w:rPr>
        <w:t>2.  Le requérant a été représenté par M</w:t>
      </w:r>
      <w:r w:rsidRPr="00D0609B">
        <w:rPr>
          <w:vertAlign w:val="superscript"/>
          <w:lang w:val="fr-FR"/>
        </w:rPr>
        <w:t>e</w:t>
      </w:r>
      <w:r w:rsidRPr="00D0609B">
        <w:rPr>
          <w:lang w:val="fr-FR"/>
        </w:rPr>
        <w:t> N. Yılmaz, avocat à Antalya. Le gouvernement turc (« le Gouvernement ») a été représenté par son agent.</w:t>
      </w:r>
    </w:p>
    <w:p w:rsidRPr="00D0609B" w:rsidR="00C75D67" w:rsidP="00D0609B" w14:paraId="363F464C" w14:textId="77777777">
      <w:pPr>
        <w:pStyle w:val="ECHRPara"/>
        <w:rPr>
          <w:lang w:val="fr-FR"/>
        </w:rPr>
      </w:pPr>
      <w:r w:rsidRPr="00D0609B">
        <w:rPr>
          <w:lang w:val="fr-FR"/>
        </w:rPr>
        <w:t>3.  Le requérant alléguait en particulier une atteinte à son droit au respect de ses biens au sens de l</w:t>
      </w:r>
      <w:r w:rsidRPr="00D0609B" w:rsidR="00D0609B">
        <w:rPr>
          <w:lang w:val="fr-FR"/>
        </w:rPr>
        <w:t>’</w:t>
      </w:r>
      <w:r w:rsidRPr="00D0609B">
        <w:rPr>
          <w:lang w:val="fr-FR"/>
        </w:rPr>
        <w:t>article 1 du Protocole n</w:t>
      </w:r>
      <w:r w:rsidRPr="00D0609B">
        <w:rPr>
          <w:vertAlign w:val="superscript"/>
          <w:lang w:val="fr-FR"/>
        </w:rPr>
        <w:t>o</w:t>
      </w:r>
      <w:r w:rsidRPr="00D0609B">
        <w:rPr>
          <w:lang w:val="fr-FR"/>
        </w:rPr>
        <w:t xml:space="preserve"> 1 à la Convention en raison du défaut d</w:t>
      </w:r>
      <w:r w:rsidRPr="00D0609B" w:rsidR="00D0609B">
        <w:rPr>
          <w:lang w:val="fr-FR"/>
        </w:rPr>
        <w:t>’</w:t>
      </w:r>
      <w:r w:rsidRPr="00D0609B">
        <w:rPr>
          <w:lang w:val="fr-FR"/>
        </w:rPr>
        <w:t>indemnisation pour l</w:t>
      </w:r>
      <w:r w:rsidRPr="00D0609B" w:rsidR="00D0609B">
        <w:rPr>
          <w:lang w:val="fr-FR"/>
        </w:rPr>
        <w:t>’</w:t>
      </w:r>
      <w:r w:rsidRPr="00D0609B">
        <w:rPr>
          <w:lang w:val="fr-FR"/>
        </w:rPr>
        <w:t xml:space="preserve">expropriation de biens ayant appartenu à ses </w:t>
      </w:r>
      <w:r w:rsidRPr="00D0609B">
        <w:rPr>
          <w:i/>
          <w:lang w:val="fr-FR"/>
        </w:rPr>
        <w:t>de cujus</w:t>
      </w:r>
      <w:r w:rsidRPr="00D0609B">
        <w:rPr>
          <w:lang w:val="fr-FR"/>
        </w:rPr>
        <w:t>.</w:t>
      </w:r>
    </w:p>
    <w:p w:rsidRPr="00D0609B" w:rsidR="00C75D67" w:rsidP="00D0609B" w14:paraId="3478A4DB" w14:textId="77777777">
      <w:pPr>
        <w:pStyle w:val="ECHRPara"/>
        <w:rPr>
          <w:szCs w:val="24"/>
          <w:lang w:val="fr-FR" w:eastAsia="en-GB"/>
        </w:rPr>
      </w:pPr>
      <w:r w:rsidRPr="00D0609B">
        <w:rPr>
          <w:lang w:val="fr-FR"/>
        </w:rPr>
        <w:t xml:space="preserve">4.  Le </w:t>
      </w:r>
      <w:r w:rsidRPr="00D0609B">
        <w:rPr>
          <w:szCs w:val="24"/>
          <w:lang w:val="fr-FR"/>
        </w:rPr>
        <w:t>4 décembre 2014</w:t>
      </w:r>
      <w:r w:rsidRPr="00D0609B">
        <w:rPr>
          <w:lang w:val="fr-FR"/>
        </w:rPr>
        <w:t>, la requête a été communiquée au Gouvernement.</w:t>
      </w:r>
    </w:p>
    <w:p w:rsidRPr="00D0609B" w:rsidR="00C75D67" w:rsidP="00D0609B" w14:paraId="135937D5" w14:textId="77777777">
      <w:pPr>
        <w:pStyle w:val="ECHRTitle1"/>
        <w:tabs>
          <w:tab w:val="left" w:pos="5387"/>
        </w:tabs>
        <w:rPr>
          <w:lang w:val="fr-FR"/>
        </w:rPr>
      </w:pPr>
      <w:r w:rsidRPr="00D0609B">
        <w:rPr>
          <w:lang w:val="fr-FR"/>
        </w:rPr>
        <w:t>EN FAIT</w:t>
      </w:r>
    </w:p>
    <w:p w:rsidRPr="00D0609B" w:rsidR="00C75D67" w:rsidP="00D0609B" w14:paraId="60BFAAC9" w14:textId="77777777">
      <w:pPr>
        <w:pStyle w:val="ECHRHeading1"/>
        <w:rPr>
          <w:lang w:val="fr-FR"/>
        </w:rPr>
      </w:pPr>
      <w:r w:rsidRPr="00D0609B">
        <w:rPr>
          <w:lang w:val="fr-FR"/>
        </w:rPr>
        <w:t>LES CIRCONSTANCES DE L</w:t>
      </w:r>
      <w:r w:rsidRPr="00D0609B" w:rsidR="00D0609B">
        <w:rPr>
          <w:lang w:val="fr-FR"/>
        </w:rPr>
        <w:t>’</w:t>
      </w:r>
      <w:r w:rsidRPr="00D0609B">
        <w:rPr>
          <w:lang w:val="fr-FR"/>
        </w:rPr>
        <w:t>ESPÈCE</w:t>
      </w:r>
    </w:p>
    <w:p w:rsidRPr="00D0609B" w:rsidR="00C75D67" w:rsidP="00D0609B" w14:paraId="3407DB01" w14:textId="77777777">
      <w:pPr>
        <w:pStyle w:val="ECHRPara"/>
        <w:rPr>
          <w:lang w:val="fr-FR"/>
        </w:rPr>
      </w:pPr>
      <w:r w:rsidRPr="00D0609B">
        <w:rPr>
          <w:lang w:val="fr-FR"/>
        </w:rPr>
        <w:t>5.  Le requérant est né en 1940 et réside à Istanbul.</w:t>
      </w:r>
    </w:p>
    <w:p w:rsidRPr="00D0609B" w:rsidR="00C75D67" w:rsidP="00D0609B" w14:paraId="2C69841D" w14:textId="77777777">
      <w:pPr>
        <w:pStyle w:val="ECHRHeading2"/>
        <w:rPr>
          <w:lang w:val="fr-FR"/>
        </w:rPr>
      </w:pPr>
      <w:r w:rsidRPr="00D0609B">
        <w:rPr>
          <w:lang w:val="fr-FR"/>
        </w:rPr>
        <w:t>A.  Le contentieux relatif à la propriété</w:t>
      </w:r>
    </w:p>
    <w:p w:rsidRPr="00D0609B" w:rsidR="00C75D67" w:rsidP="00D0609B" w14:paraId="66FE22B3" w14:textId="77777777">
      <w:pPr>
        <w:pStyle w:val="ECHRPara"/>
        <w:rPr>
          <w:lang w:val="fr-FR"/>
        </w:rPr>
      </w:pPr>
      <w:bookmarkStart w:name="parcelle_initiale" w:id="0"/>
      <w:r w:rsidRPr="00D0609B">
        <w:rPr>
          <w:lang w:val="fr-FR"/>
        </w:rPr>
        <w:t>6</w:t>
      </w:r>
      <w:bookmarkEnd w:id="0"/>
      <w:r w:rsidRPr="00D0609B">
        <w:rPr>
          <w:lang w:val="fr-FR"/>
        </w:rPr>
        <w:t>.  En 1958, à l</w:t>
      </w:r>
      <w:r w:rsidRPr="00D0609B" w:rsidR="00D0609B">
        <w:rPr>
          <w:lang w:val="fr-FR"/>
        </w:rPr>
        <w:t>’</w:t>
      </w:r>
      <w:r w:rsidRPr="00D0609B">
        <w:rPr>
          <w:lang w:val="fr-FR"/>
        </w:rPr>
        <w:t>issue de travaux cadastraux réalisés à Antalya, la parcelle</w:t>
      </w:r>
      <w:r w:rsidRPr="00D0609B" w:rsidR="00C434B4">
        <w:rPr>
          <w:lang w:val="fr-FR"/>
        </w:rPr>
        <w:t> </w:t>
      </w:r>
      <w:r w:rsidRPr="00D0609B">
        <w:rPr>
          <w:lang w:val="fr-FR"/>
        </w:rPr>
        <w:t>n</w:t>
      </w:r>
      <w:r w:rsidRPr="00D0609B">
        <w:rPr>
          <w:vertAlign w:val="superscript"/>
          <w:lang w:val="fr-FR"/>
        </w:rPr>
        <w:t>o</w:t>
      </w:r>
      <w:r w:rsidRPr="00D0609B">
        <w:rPr>
          <w:lang w:val="fr-FR"/>
        </w:rPr>
        <w:t xml:space="preserve"> 2 de l</w:t>
      </w:r>
      <w:r w:rsidRPr="00D0609B" w:rsidR="00D0609B">
        <w:rPr>
          <w:lang w:val="fr-FR"/>
        </w:rPr>
        <w:t>’</w:t>
      </w:r>
      <w:r w:rsidRPr="00D0609B">
        <w:rPr>
          <w:lang w:val="fr-FR"/>
        </w:rPr>
        <w:t>îlot 556 (d</w:t>
      </w:r>
      <w:r w:rsidRPr="00D0609B" w:rsidR="00D0609B">
        <w:rPr>
          <w:lang w:val="fr-FR"/>
        </w:rPr>
        <w:t>’</w:t>
      </w:r>
      <w:r w:rsidRPr="00D0609B">
        <w:rPr>
          <w:lang w:val="fr-FR"/>
        </w:rPr>
        <w:t>une superficie de 552 250 m</w:t>
      </w:r>
      <w:r w:rsidRPr="00D0609B">
        <w:rPr>
          <w:vertAlign w:val="superscript"/>
          <w:lang w:val="fr-FR"/>
        </w:rPr>
        <w:t>2</w:t>
      </w:r>
      <w:r w:rsidRPr="00D0609B">
        <w:rPr>
          <w:lang w:val="fr-FR"/>
        </w:rPr>
        <w:t xml:space="preserve">) et la </w:t>
      </w:r>
      <w:r w:rsidRPr="00D0609B">
        <w:rPr>
          <w:lang w:val="fr-FR"/>
        </w:rPr>
        <w:t>parcelle n</w:t>
      </w:r>
      <w:r w:rsidRPr="00D0609B">
        <w:rPr>
          <w:vertAlign w:val="superscript"/>
          <w:lang w:val="fr-FR"/>
        </w:rPr>
        <w:t>o</w:t>
      </w:r>
      <w:r w:rsidRPr="00D0609B">
        <w:rPr>
          <w:lang w:val="fr-FR"/>
        </w:rPr>
        <w:t> 3 de l</w:t>
      </w:r>
      <w:r w:rsidRPr="00D0609B" w:rsidR="00D0609B">
        <w:rPr>
          <w:lang w:val="fr-FR"/>
        </w:rPr>
        <w:t>’</w:t>
      </w:r>
      <w:r w:rsidRPr="00D0609B">
        <w:rPr>
          <w:lang w:val="fr-FR"/>
        </w:rPr>
        <w:t>îlot 570 (d</w:t>
      </w:r>
      <w:r w:rsidRPr="00D0609B" w:rsidR="00D0609B">
        <w:rPr>
          <w:lang w:val="fr-FR"/>
        </w:rPr>
        <w:t>’</w:t>
      </w:r>
      <w:r w:rsidRPr="00D0609B">
        <w:rPr>
          <w:lang w:val="fr-FR"/>
        </w:rPr>
        <w:t>une superficie de 1 837 750 m</w:t>
      </w:r>
      <w:r w:rsidRPr="00D0609B">
        <w:rPr>
          <w:vertAlign w:val="superscript"/>
          <w:lang w:val="fr-FR"/>
        </w:rPr>
        <w:t>2</w:t>
      </w:r>
      <w:r w:rsidRPr="00D0609B">
        <w:rPr>
          <w:lang w:val="fr-FR"/>
        </w:rPr>
        <w:t xml:space="preserve">) situées à </w:t>
      </w:r>
      <w:r w:rsidRPr="00D0609B">
        <w:rPr>
          <w:lang w:val="fr-FR"/>
        </w:rPr>
        <w:t>Bahçelievler</w:t>
      </w:r>
      <w:r w:rsidRPr="00D0609B">
        <w:rPr>
          <w:lang w:val="fr-FR"/>
        </w:rPr>
        <w:t>, un quartier du centre d</w:t>
      </w:r>
      <w:r w:rsidRPr="00D0609B" w:rsidR="00D0609B">
        <w:rPr>
          <w:lang w:val="fr-FR"/>
        </w:rPr>
        <w:t>’</w:t>
      </w:r>
      <w:r w:rsidRPr="00D0609B">
        <w:rPr>
          <w:lang w:val="fr-FR"/>
        </w:rPr>
        <w:t xml:space="preserve">Antalya, furent enregistrées comme propriétés indivises du Trésor public et de certains particuliers, dont les </w:t>
      </w:r>
      <w:r w:rsidRPr="00D0609B">
        <w:rPr>
          <w:i/>
          <w:lang w:val="fr-FR"/>
        </w:rPr>
        <w:t>de cujus</w:t>
      </w:r>
      <w:r w:rsidRPr="00D0609B">
        <w:rPr>
          <w:lang w:val="fr-FR"/>
        </w:rPr>
        <w:t xml:space="preserve"> du requérant, selon une répartition en parts inégales.</w:t>
      </w:r>
    </w:p>
    <w:p w:rsidRPr="00D0609B" w:rsidR="00C75D67" w:rsidP="00D0609B" w14:paraId="3E8628E2" w14:textId="77777777">
      <w:pPr>
        <w:pStyle w:val="ECHRPara"/>
        <w:rPr>
          <w:lang w:val="fr-FR"/>
        </w:rPr>
      </w:pPr>
      <w:r w:rsidRPr="00D0609B">
        <w:rPr>
          <w:lang w:val="fr-FR"/>
        </w:rPr>
        <w:t xml:space="preserve">7.  Pour ce faire, les services du cadastre se fondèrent notamment sur un titre de propriété daté de 1848, qui désignait comme propriétaires, chacun pour un tiers, les dénommés </w:t>
      </w:r>
      <w:r w:rsidRPr="00D0609B">
        <w:rPr>
          <w:lang w:val="fr-FR"/>
        </w:rPr>
        <w:t>Bakırcı</w:t>
      </w:r>
      <w:r w:rsidRPr="00D0609B">
        <w:rPr>
          <w:lang w:val="fr-FR"/>
        </w:rPr>
        <w:t xml:space="preserve"> </w:t>
      </w:r>
      <w:r w:rsidRPr="00D0609B">
        <w:rPr>
          <w:lang w:val="fr-FR"/>
        </w:rPr>
        <w:t>Yorgi</w:t>
      </w:r>
      <w:r w:rsidRPr="00D0609B">
        <w:rPr>
          <w:lang w:val="fr-FR"/>
        </w:rPr>
        <w:t xml:space="preserve">, Arap Süleyman Efendi et </w:t>
      </w:r>
      <w:r w:rsidRPr="00D0609B">
        <w:rPr>
          <w:lang w:val="fr-FR"/>
        </w:rPr>
        <w:t>Hacı</w:t>
      </w:r>
      <w:r w:rsidRPr="00D0609B">
        <w:rPr>
          <w:lang w:val="fr-FR"/>
        </w:rPr>
        <w:t xml:space="preserve"> </w:t>
      </w:r>
      <w:r w:rsidRPr="00D0609B">
        <w:rPr>
          <w:lang w:val="fr-FR"/>
        </w:rPr>
        <w:t>Bekirzade</w:t>
      </w:r>
      <w:r w:rsidRPr="00D0609B">
        <w:rPr>
          <w:lang w:val="fr-FR"/>
        </w:rPr>
        <w:t xml:space="preserve"> </w:t>
      </w:r>
      <w:r w:rsidRPr="00D0609B">
        <w:rPr>
          <w:lang w:val="fr-FR"/>
        </w:rPr>
        <w:t>Hacı</w:t>
      </w:r>
      <w:r w:rsidRPr="00D0609B">
        <w:rPr>
          <w:lang w:val="fr-FR"/>
        </w:rPr>
        <w:t xml:space="preserve"> Mehmet.</w:t>
      </w:r>
    </w:p>
    <w:p w:rsidRPr="00D0609B" w:rsidR="00C75D67" w:rsidP="00D0609B" w14:paraId="3BDB499B" w14:textId="77777777">
      <w:pPr>
        <w:pStyle w:val="ECHRPara"/>
        <w:rPr>
          <w:lang w:val="fr-FR"/>
        </w:rPr>
      </w:pPr>
      <w:bookmarkStart w:name="de_cujus_du_req" w:id="1"/>
      <w:r w:rsidRPr="00D0609B">
        <w:rPr>
          <w:lang w:val="fr-FR"/>
        </w:rPr>
        <w:t>8</w:t>
      </w:r>
      <w:bookmarkEnd w:id="1"/>
      <w:r w:rsidRPr="00D0609B">
        <w:rPr>
          <w:lang w:val="fr-FR"/>
        </w:rPr>
        <w:t>.  Les particuliers qui furent désignés comme propriétaires à l</w:t>
      </w:r>
      <w:r w:rsidRPr="00D0609B" w:rsidR="00D0609B">
        <w:rPr>
          <w:lang w:val="fr-FR"/>
        </w:rPr>
        <w:t>’</w:t>
      </w:r>
      <w:r w:rsidRPr="00D0609B">
        <w:rPr>
          <w:lang w:val="fr-FR"/>
        </w:rPr>
        <w:t xml:space="preserve">issue de ces travaux cadastraux étaient les descendants de ces trois personnes. Les </w:t>
      </w:r>
      <w:r w:rsidRPr="00D0609B">
        <w:rPr>
          <w:i/>
          <w:lang w:val="fr-FR"/>
        </w:rPr>
        <w:t>de cujus</w:t>
      </w:r>
      <w:r w:rsidRPr="00D0609B">
        <w:rPr>
          <w:lang w:val="fr-FR"/>
        </w:rPr>
        <w:t xml:space="preserve"> du requérant étaient les héritiers de </w:t>
      </w:r>
      <w:r w:rsidRPr="00D0609B">
        <w:rPr>
          <w:lang w:val="fr-FR"/>
        </w:rPr>
        <w:t>Hacı</w:t>
      </w:r>
      <w:r w:rsidRPr="00D0609B">
        <w:rPr>
          <w:lang w:val="fr-FR"/>
        </w:rPr>
        <w:t xml:space="preserve"> </w:t>
      </w:r>
      <w:r w:rsidRPr="00D0609B">
        <w:rPr>
          <w:lang w:val="fr-FR"/>
        </w:rPr>
        <w:t>Bekirzade</w:t>
      </w:r>
      <w:r w:rsidRPr="00D0609B">
        <w:rPr>
          <w:lang w:val="fr-FR"/>
        </w:rPr>
        <w:t xml:space="preserve"> </w:t>
      </w:r>
      <w:r w:rsidRPr="00D0609B">
        <w:rPr>
          <w:lang w:val="fr-FR"/>
        </w:rPr>
        <w:t>Hacı</w:t>
      </w:r>
      <w:r w:rsidRPr="00D0609B">
        <w:rPr>
          <w:lang w:val="fr-FR"/>
        </w:rPr>
        <w:t xml:space="preserve"> Mehmet.</w:t>
      </w:r>
    </w:p>
    <w:p w:rsidRPr="00D0609B" w:rsidR="00C75D67" w:rsidP="00D0609B" w14:paraId="66A3A18A" w14:textId="77777777">
      <w:pPr>
        <w:pStyle w:val="ECHRPara"/>
        <w:rPr>
          <w:lang w:val="fr-FR"/>
        </w:rPr>
      </w:pPr>
      <w:r w:rsidRPr="00D0609B">
        <w:rPr>
          <w:lang w:val="fr-FR"/>
        </w:rPr>
        <w:t>9.  Le 2 août 1958, plusieurs personnes contestèrent les conclusions cadastrales en justice.</w:t>
      </w:r>
    </w:p>
    <w:p w:rsidRPr="00D0609B" w:rsidR="00C75D67" w:rsidP="00D0609B" w14:paraId="2E7909FE" w14:textId="77777777">
      <w:pPr>
        <w:pStyle w:val="ECHRPara"/>
        <w:rPr>
          <w:lang w:val="fr-FR"/>
        </w:rPr>
      </w:pPr>
      <w:r w:rsidRPr="00D0609B">
        <w:rPr>
          <w:lang w:val="fr-FR"/>
        </w:rPr>
        <w:t>10.  À l</w:t>
      </w:r>
      <w:r w:rsidRPr="00D0609B" w:rsidR="00D0609B">
        <w:rPr>
          <w:lang w:val="fr-FR"/>
        </w:rPr>
        <w:t>’</w:t>
      </w:r>
      <w:r w:rsidRPr="00D0609B">
        <w:rPr>
          <w:lang w:val="fr-FR"/>
        </w:rPr>
        <w:t>issue de la procédure, le 29 juin 2004, le tribunal du cadastre décida d</w:t>
      </w:r>
      <w:r w:rsidRPr="00D0609B" w:rsidR="00D0609B">
        <w:rPr>
          <w:lang w:val="fr-FR"/>
        </w:rPr>
        <w:t>’</w:t>
      </w:r>
      <w:r w:rsidRPr="00D0609B">
        <w:rPr>
          <w:lang w:val="fr-FR"/>
        </w:rPr>
        <w:t>inscrire les parcelles litigieuses au registre foncier comme propriétés indivises du Trésor public et d</w:t>
      </w:r>
      <w:r w:rsidRPr="00D0609B" w:rsidR="00D0609B">
        <w:rPr>
          <w:lang w:val="fr-FR"/>
        </w:rPr>
        <w:t>’</w:t>
      </w:r>
      <w:r w:rsidRPr="00D0609B">
        <w:rPr>
          <w:lang w:val="fr-FR"/>
        </w:rPr>
        <w:t xml:space="preserve">un certain nombre de particuliers, dont les </w:t>
      </w:r>
      <w:r w:rsidRPr="00D0609B">
        <w:rPr>
          <w:i/>
          <w:lang w:val="fr-FR"/>
        </w:rPr>
        <w:t>de cujus</w:t>
      </w:r>
      <w:r w:rsidRPr="00D0609B">
        <w:rPr>
          <w:lang w:val="fr-FR"/>
        </w:rPr>
        <w:t xml:space="preserve"> du requérant.</w:t>
      </w:r>
    </w:p>
    <w:p w:rsidRPr="00D0609B" w:rsidR="00C75D67" w:rsidP="00D0609B" w14:paraId="74812D76" w14:textId="77777777">
      <w:pPr>
        <w:pStyle w:val="ECHRPara"/>
        <w:rPr>
          <w:lang w:val="fr-FR"/>
        </w:rPr>
      </w:pPr>
      <w:r w:rsidRPr="00D0609B">
        <w:rPr>
          <w:lang w:val="fr-FR"/>
        </w:rPr>
        <w:t>11.  Il considéra que les biens comportaient en tout 414 720 parts, dont 138 240 appartenaient au Trésor public.</w:t>
      </w:r>
    </w:p>
    <w:p w:rsidRPr="00D0609B" w:rsidR="00C75D67" w:rsidP="00D0609B" w14:paraId="1ABA000E" w14:textId="77777777">
      <w:pPr>
        <w:pStyle w:val="ECHRPara"/>
        <w:rPr>
          <w:lang w:val="fr-FR"/>
        </w:rPr>
      </w:pPr>
      <w:r w:rsidRPr="00D0609B">
        <w:rPr>
          <w:lang w:val="fr-FR"/>
        </w:rPr>
        <w:t>12.  Le 20 décembre 2005, la Cour de cassation entérina la solution retenue par le tribunal du cadastre.</w:t>
      </w:r>
    </w:p>
    <w:p w:rsidRPr="00D0609B" w:rsidR="00C75D67" w:rsidP="00D0609B" w14:paraId="6CA0DA0C" w14:textId="77777777">
      <w:pPr>
        <w:pStyle w:val="ECHRPara"/>
        <w:rPr>
          <w:lang w:val="fr-FR"/>
        </w:rPr>
      </w:pPr>
      <w:r w:rsidRPr="00D0609B">
        <w:rPr>
          <w:lang w:val="fr-FR"/>
        </w:rPr>
        <w:t>13.  Le 13 juillet 2006, la haute juridiction rejeta la demande en rectification d</w:t>
      </w:r>
      <w:r w:rsidRPr="00D0609B" w:rsidR="00D0609B">
        <w:rPr>
          <w:lang w:val="fr-FR"/>
        </w:rPr>
        <w:t>’</w:t>
      </w:r>
      <w:r w:rsidRPr="00D0609B">
        <w:rPr>
          <w:lang w:val="fr-FR"/>
        </w:rPr>
        <w:t>arrêt formée devant elle.</w:t>
      </w:r>
    </w:p>
    <w:p w:rsidRPr="00D0609B" w:rsidR="00C75D67" w:rsidP="00D0609B" w14:paraId="71D9EAB4" w14:textId="77777777">
      <w:pPr>
        <w:pStyle w:val="ECHRHeading2"/>
        <w:rPr>
          <w:lang w:val="fr-FR"/>
        </w:rPr>
      </w:pPr>
      <w:r w:rsidRPr="00D0609B">
        <w:rPr>
          <w:lang w:val="fr-FR"/>
        </w:rPr>
        <w:t>B.  Les opérations d</w:t>
      </w:r>
      <w:r w:rsidRPr="00D0609B" w:rsidR="00D0609B">
        <w:rPr>
          <w:lang w:val="fr-FR"/>
        </w:rPr>
        <w:t>’</w:t>
      </w:r>
      <w:r w:rsidRPr="00D0609B">
        <w:rPr>
          <w:lang w:val="fr-FR"/>
        </w:rPr>
        <w:t>expropriation sur les parcelles en cause</w:t>
      </w:r>
    </w:p>
    <w:p w:rsidRPr="00D0609B" w:rsidR="00C75D67" w:rsidP="00D0609B" w14:paraId="500DEE68" w14:textId="77777777">
      <w:pPr>
        <w:pStyle w:val="ECHRPara"/>
        <w:rPr>
          <w:lang w:val="fr-FR"/>
        </w:rPr>
      </w:pPr>
      <w:r w:rsidRPr="00D0609B">
        <w:rPr>
          <w:lang w:val="fr-FR"/>
        </w:rPr>
        <w:t>14.  Entre 1964 et 1991, alors que le contentieux sur la propriété était encore pendant, diverses administrations procédèrent à des opérations d</w:t>
      </w:r>
      <w:r w:rsidRPr="00D0609B" w:rsidR="00D0609B">
        <w:rPr>
          <w:lang w:val="fr-FR"/>
        </w:rPr>
        <w:t>’</w:t>
      </w:r>
      <w:r w:rsidRPr="00D0609B">
        <w:rPr>
          <w:lang w:val="fr-FR"/>
        </w:rPr>
        <w:t>expropriation sur les parcelles en cause.</w:t>
      </w:r>
    </w:p>
    <w:p w:rsidRPr="00D0609B" w:rsidR="00C75D67" w:rsidP="00D0609B" w14:paraId="417FDEBA" w14:textId="77777777">
      <w:pPr>
        <w:pStyle w:val="ECHRPara"/>
        <w:rPr>
          <w:lang w:val="fr-FR"/>
        </w:rPr>
      </w:pPr>
      <w:r w:rsidRPr="00D0609B">
        <w:rPr>
          <w:lang w:val="fr-FR"/>
        </w:rPr>
        <w:t>15.  Ainsi, en 1976, la Direction générale du foncier public (</w:t>
      </w:r>
      <w:r w:rsidRPr="00D0609B">
        <w:rPr>
          <w:i/>
          <w:lang w:val="fr-FR"/>
        </w:rPr>
        <w:t>Devlet</w:t>
      </w:r>
      <w:r w:rsidRPr="00D0609B">
        <w:rPr>
          <w:i/>
          <w:lang w:val="fr-FR"/>
        </w:rPr>
        <w:t xml:space="preserve"> </w:t>
      </w:r>
      <w:r w:rsidRPr="00D0609B">
        <w:rPr>
          <w:i/>
          <w:lang w:val="fr-FR"/>
        </w:rPr>
        <w:t>Arsa</w:t>
      </w:r>
      <w:r w:rsidRPr="00D0609B">
        <w:rPr>
          <w:i/>
          <w:lang w:val="fr-FR"/>
        </w:rPr>
        <w:t xml:space="preserve"> </w:t>
      </w:r>
      <w:r w:rsidRPr="00D0609B">
        <w:rPr>
          <w:i/>
          <w:lang w:val="fr-FR"/>
        </w:rPr>
        <w:t>Ofisi</w:t>
      </w:r>
      <w:r w:rsidRPr="00D0609B">
        <w:rPr>
          <w:i/>
          <w:lang w:val="fr-FR"/>
        </w:rPr>
        <w:t xml:space="preserve"> </w:t>
      </w:r>
      <w:r w:rsidRPr="00D0609B">
        <w:rPr>
          <w:i/>
          <w:lang w:val="fr-FR"/>
        </w:rPr>
        <w:t>Genel</w:t>
      </w:r>
      <w:r w:rsidRPr="00D0609B">
        <w:rPr>
          <w:i/>
          <w:lang w:val="fr-FR"/>
        </w:rPr>
        <w:t xml:space="preserve"> </w:t>
      </w:r>
      <w:r w:rsidRPr="00D0609B">
        <w:rPr>
          <w:i/>
          <w:lang w:val="fr-FR"/>
        </w:rPr>
        <w:t>Müdülügü</w:t>
      </w:r>
      <w:r w:rsidRPr="00D0609B">
        <w:rPr>
          <w:lang w:val="fr-FR"/>
        </w:rPr>
        <w:t xml:space="preserve"> – « la DGFP »), une administration chargée notamment de la constitution de réserves foncières, décida d</w:t>
      </w:r>
      <w:r w:rsidRPr="00D0609B" w:rsidR="00D0609B">
        <w:rPr>
          <w:lang w:val="fr-FR"/>
        </w:rPr>
        <w:t>’</w:t>
      </w:r>
      <w:r w:rsidRPr="00D0609B">
        <w:rPr>
          <w:lang w:val="fr-FR"/>
        </w:rPr>
        <w:t>exproprier une partie des parcelles litigieuses, d</w:t>
      </w:r>
      <w:r w:rsidRPr="00D0609B" w:rsidR="00D0609B">
        <w:rPr>
          <w:lang w:val="fr-FR"/>
        </w:rPr>
        <w:t>’</w:t>
      </w:r>
      <w:r w:rsidRPr="00D0609B">
        <w:rPr>
          <w:lang w:val="fr-FR"/>
        </w:rPr>
        <w:t>une surface de 216 342 m</w:t>
      </w:r>
      <w:r w:rsidRPr="00D0609B">
        <w:rPr>
          <w:vertAlign w:val="superscript"/>
          <w:lang w:val="fr-FR"/>
        </w:rPr>
        <w:t>2</w:t>
      </w:r>
      <w:r w:rsidRPr="00D0609B">
        <w:rPr>
          <w:lang w:val="fr-FR"/>
        </w:rPr>
        <w:t>.</w:t>
      </w:r>
    </w:p>
    <w:p w:rsidRPr="00D0609B" w:rsidR="00C75D67" w:rsidP="00D0609B" w14:paraId="61906254" w14:textId="77777777">
      <w:pPr>
        <w:pStyle w:val="ECHRPara"/>
        <w:rPr>
          <w:lang w:val="fr-FR"/>
        </w:rPr>
      </w:pPr>
      <w:r w:rsidRPr="00D0609B">
        <w:rPr>
          <w:lang w:val="fr-FR"/>
        </w:rPr>
        <w:t>16.  L</w:t>
      </w:r>
      <w:r w:rsidRPr="00D0609B" w:rsidR="00D0609B">
        <w:rPr>
          <w:lang w:val="fr-FR"/>
        </w:rPr>
        <w:t>’</w:t>
      </w:r>
      <w:r w:rsidRPr="00D0609B">
        <w:rPr>
          <w:lang w:val="fr-FR"/>
        </w:rPr>
        <w:t>objectif de cette expropriation était la construction d</w:t>
      </w:r>
      <w:r w:rsidRPr="00D0609B" w:rsidR="00D0609B">
        <w:rPr>
          <w:lang w:val="fr-FR"/>
        </w:rPr>
        <w:t>’</w:t>
      </w:r>
      <w:r w:rsidRPr="00D0609B">
        <w:rPr>
          <w:lang w:val="fr-FR"/>
        </w:rPr>
        <w:t>établissements touristiques conformément aux dispositions du plan d</w:t>
      </w:r>
      <w:r w:rsidRPr="00D0609B" w:rsidR="00D0609B">
        <w:rPr>
          <w:lang w:val="fr-FR"/>
        </w:rPr>
        <w:t>’</w:t>
      </w:r>
      <w:r w:rsidRPr="00D0609B">
        <w:rPr>
          <w:lang w:val="fr-FR"/>
        </w:rPr>
        <w:t>urbanisme relatif à la zone concernée.</w:t>
      </w:r>
    </w:p>
    <w:p w:rsidRPr="00D0609B" w:rsidR="00C75D67" w:rsidP="00D0609B" w14:paraId="7B192BC5" w14:textId="77777777">
      <w:pPr>
        <w:pStyle w:val="ECHRPara"/>
        <w:rPr>
          <w:lang w:val="fr-FR"/>
        </w:rPr>
      </w:pPr>
      <w:r w:rsidRPr="00D0609B">
        <w:rPr>
          <w:lang w:val="fr-FR"/>
        </w:rPr>
        <w:t>17.  Arguant qu</w:t>
      </w:r>
      <w:r w:rsidRPr="00D0609B" w:rsidR="00D0609B">
        <w:rPr>
          <w:lang w:val="fr-FR"/>
        </w:rPr>
        <w:t>’</w:t>
      </w:r>
      <w:r w:rsidRPr="00D0609B">
        <w:rPr>
          <w:lang w:val="fr-FR"/>
        </w:rPr>
        <w:t>en raison du contentieux cadastral, qui était alors en cours, le registre foncier n</w:t>
      </w:r>
      <w:r w:rsidRPr="00D0609B" w:rsidR="00D0609B">
        <w:rPr>
          <w:lang w:val="fr-FR"/>
        </w:rPr>
        <w:t>’</w:t>
      </w:r>
      <w:r w:rsidRPr="00D0609B">
        <w:rPr>
          <w:lang w:val="fr-FR"/>
        </w:rPr>
        <w:t>indiquait pas les noms des propriétaires de la surface expropriée, l</w:t>
      </w:r>
      <w:r w:rsidRPr="00D0609B" w:rsidR="00D0609B">
        <w:rPr>
          <w:lang w:val="fr-FR"/>
        </w:rPr>
        <w:t>’</w:t>
      </w:r>
      <w:r w:rsidRPr="00D0609B">
        <w:rPr>
          <w:lang w:val="fr-FR"/>
        </w:rPr>
        <w:t>administration expropriante demanda au tribunal de grande instance d</w:t>
      </w:r>
      <w:r w:rsidRPr="00D0609B" w:rsidR="00D0609B">
        <w:rPr>
          <w:lang w:val="fr-FR"/>
        </w:rPr>
        <w:t>’</w:t>
      </w:r>
      <w:r w:rsidRPr="00D0609B">
        <w:rPr>
          <w:lang w:val="fr-FR"/>
        </w:rPr>
        <w:t>Antalya (« le TGI ») de désigner un curateur (</w:t>
      </w:r>
      <w:r w:rsidRPr="00D0609B">
        <w:rPr>
          <w:i/>
          <w:lang w:val="fr-FR"/>
        </w:rPr>
        <w:t>kayyum</w:t>
      </w:r>
      <w:r w:rsidRPr="00D0609B">
        <w:rPr>
          <w:lang w:val="fr-FR"/>
        </w:rPr>
        <w:t>) afin que les intérêts des propriétaires fussent représentés.</w:t>
      </w:r>
    </w:p>
    <w:p w:rsidRPr="00D0609B" w:rsidR="00C75D67" w:rsidP="00D0609B" w14:paraId="0FB11D0E" w14:textId="77777777">
      <w:pPr>
        <w:pStyle w:val="ECHRPara"/>
        <w:rPr>
          <w:lang w:val="fr-FR"/>
        </w:rPr>
      </w:pPr>
      <w:r w:rsidRPr="00D0609B">
        <w:rPr>
          <w:lang w:val="fr-FR"/>
        </w:rPr>
        <w:t>18.  Le 29 mars 1977, le TGI désigna M.E. comme curateur.</w:t>
      </w:r>
    </w:p>
    <w:p w:rsidRPr="00D0609B" w:rsidR="00C75D67" w:rsidP="00D0609B" w14:paraId="18B45890" w14:textId="77777777">
      <w:pPr>
        <w:pStyle w:val="ECHRPara"/>
        <w:rPr>
          <w:lang w:val="fr-FR"/>
        </w:rPr>
      </w:pPr>
      <w:r w:rsidRPr="00D0609B">
        <w:rPr>
          <w:lang w:val="fr-FR"/>
        </w:rPr>
        <w:t>19.  Celui-ci saisit le TGI d</w:t>
      </w:r>
      <w:r w:rsidRPr="00D0609B" w:rsidR="00D0609B">
        <w:rPr>
          <w:lang w:val="fr-FR"/>
        </w:rPr>
        <w:t>’</w:t>
      </w:r>
      <w:r w:rsidRPr="00D0609B">
        <w:rPr>
          <w:lang w:val="fr-FR"/>
        </w:rPr>
        <w:t>une demande d</w:t>
      </w:r>
      <w:r w:rsidRPr="00D0609B" w:rsidR="00D0609B">
        <w:rPr>
          <w:lang w:val="fr-FR"/>
        </w:rPr>
        <w:t>’</w:t>
      </w:r>
      <w:r w:rsidRPr="00D0609B">
        <w:rPr>
          <w:lang w:val="fr-FR"/>
        </w:rPr>
        <w:t>annulation de sa désignation, à laquelle le tribunal fit droit par un jugement du 2 mai 1977.</w:t>
      </w:r>
    </w:p>
    <w:p w:rsidRPr="00D0609B" w:rsidR="00C75D67" w:rsidP="00D0609B" w14:paraId="59B641CF" w14:textId="77777777">
      <w:pPr>
        <w:pStyle w:val="ECHRPara"/>
        <w:rPr>
          <w:lang w:val="fr-FR"/>
        </w:rPr>
      </w:pPr>
      <w:r w:rsidRPr="00D0609B">
        <w:rPr>
          <w:lang w:val="fr-FR"/>
        </w:rPr>
        <w:t>20.  Le 27 décembre 1977, la Cour de cassation annula toutefois cette décision, et, le 31 avril 1977, le TGI désigna à nouveau M.E. comme curateur.</w:t>
      </w:r>
    </w:p>
    <w:p w:rsidRPr="00D0609B" w:rsidR="00C75D67" w:rsidP="00D0609B" w14:paraId="40079690" w14:textId="77777777">
      <w:pPr>
        <w:pStyle w:val="ECHRPara"/>
        <w:rPr>
          <w:lang w:val="fr-FR"/>
        </w:rPr>
      </w:pPr>
      <w:r w:rsidRPr="00D0609B">
        <w:rPr>
          <w:lang w:val="fr-FR"/>
        </w:rPr>
        <w:t>21.  La valeur du terrain exproprié fut estimée par l</w:t>
      </w:r>
      <w:r w:rsidRPr="00D0609B" w:rsidR="00D0609B">
        <w:rPr>
          <w:lang w:val="fr-FR"/>
        </w:rPr>
        <w:t>’</w:t>
      </w:r>
      <w:r w:rsidRPr="00D0609B">
        <w:rPr>
          <w:lang w:val="fr-FR"/>
        </w:rPr>
        <w:t>administration à 21 643 200 anciennes livres turques (TRL), soit environ 100 TRL le mètre carré.</w:t>
      </w:r>
    </w:p>
    <w:p w:rsidRPr="00D0609B" w:rsidR="00C75D67" w:rsidP="00D0609B" w14:paraId="7E27EF85" w14:textId="77777777">
      <w:pPr>
        <w:pStyle w:val="ECHRPara"/>
        <w:rPr>
          <w:lang w:val="fr-FR"/>
        </w:rPr>
      </w:pPr>
      <w:r w:rsidRPr="00D0609B">
        <w:rPr>
          <w:lang w:val="fr-FR"/>
        </w:rPr>
        <w:t>22.  Le 11 mai 1978, l</w:t>
      </w:r>
      <w:r w:rsidRPr="00D0609B" w:rsidR="00D0609B">
        <w:rPr>
          <w:lang w:val="fr-FR"/>
        </w:rPr>
        <w:t>’</w:t>
      </w:r>
      <w:r w:rsidRPr="00D0609B">
        <w:rPr>
          <w:lang w:val="fr-FR"/>
        </w:rPr>
        <w:t>administration expropriante décida de mettre la somme de 21 643 200 TRL, qui avait été bloquée sur un compte bancaire auprès de l</w:t>
      </w:r>
      <w:r w:rsidRPr="00D0609B" w:rsidR="00D0609B">
        <w:rPr>
          <w:lang w:val="fr-FR"/>
        </w:rPr>
        <w:t>’</w:t>
      </w:r>
      <w:r w:rsidRPr="00D0609B">
        <w:rPr>
          <w:lang w:val="fr-FR"/>
        </w:rPr>
        <w:t xml:space="preserve">établissement </w:t>
      </w:r>
      <w:r w:rsidRPr="00D0609B">
        <w:rPr>
          <w:i/>
          <w:lang w:val="fr-FR"/>
        </w:rPr>
        <w:t>Emlak</w:t>
      </w:r>
      <w:r w:rsidRPr="00D0609B">
        <w:rPr>
          <w:i/>
          <w:lang w:val="fr-FR"/>
        </w:rPr>
        <w:t xml:space="preserve"> </w:t>
      </w:r>
      <w:r w:rsidRPr="00D0609B">
        <w:rPr>
          <w:i/>
          <w:lang w:val="fr-FR"/>
        </w:rPr>
        <w:t>Kredi</w:t>
      </w:r>
      <w:r w:rsidRPr="00D0609B">
        <w:rPr>
          <w:i/>
          <w:lang w:val="fr-FR"/>
        </w:rPr>
        <w:t xml:space="preserve"> </w:t>
      </w:r>
      <w:r w:rsidRPr="00D0609B">
        <w:rPr>
          <w:i/>
          <w:lang w:val="fr-FR"/>
        </w:rPr>
        <w:t>Bankas</w:t>
      </w:r>
      <w:r w:rsidRPr="00D0609B">
        <w:rPr>
          <w:i/>
          <w:lang w:val="tr-TR"/>
        </w:rPr>
        <w:t xml:space="preserve">ı, </w:t>
      </w:r>
      <w:r w:rsidRPr="00D0609B">
        <w:rPr>
          <w:lang w:val="fr-FR"/>
        </w:rPr>
        <w:t>à la disposition du curateur afin que celui-ci pût pourvoir à la gestion des biens.</w:t>
      </w:r>
    </w:p>
    <w:p w:rsidRPr="00D0609B" w:rsidR="00C75D67" w:rsidP="00D0609B" w14:paraId="5D1CC005" w14:textId="77777777">
      <w:pPr>
        <w:pStyle w:val="ECHRPara"/>
        <w:rPr>
          <w:lang w:val="fr-FR"/>
        </w:rPr>
      </w:pPr>
      <w:r w:rsidRPr="00D0609B">
        <w:rPr>
          <w:lang w:val="fr-FR"/>
        </w:rPr>
        <w:t>23.  Le 18 mai 1978, se prononçant sur une action en augmentation de l</w:t>
      </w:r>
      <w:r w:rsidRPr="00D0609B" w:rsidR="00D0609B">
        <w:rPr>
          <w:lang w:val="fr-FR"/>
        </w:rPr>
        <w:t>’</w:t>
      </w:r>
      <w:r w:rsidRPr="00D0609B">
        <w:rPr>
          <w:lang w:val="fr-FR"/>
        </w:rPr>
        <w:t>indemnité d</w:t>
      </w:r>
      <w:r w:rsidRPr="00D0609B" w:rsidR="00D0609B">
        <w:rPr>
          <w:lang w:val="fr-FR"/>
        </w:rPr>
        <w:t>’</w:t>
      </w:r>
      <w:r w:rsidRPr="00D0609B">
        <w:rPr>
          <w:lang w:val="fr-FR"/>
        </w:rPr>
        <w:t>expropriation introduite par le curateur, le TGI porta ladite indemnité à 32 451 300 TRL, estimant le prix au mètre carré à 150 TRL.</w:t>
      </w:r>
    </w:p>
    <w:p w:rsidRPr="00D0609B" w:rsidR="00C75D67" w:rsidP="00D0609B" w14:paraId="32FF5FA7" w14:textId="77777777">
      <w:pPr>
        <w:pStyle w:val="ECHRPara"/>
        <w:rPr>
          <w:lang w:val="fr-FR"/>
        </w:rPr>
      </w:pPr>
      <w:r w:rsidRPr="00D0609B">
        <w:rPr>
          <w:lang w:val="fr-FR"/>
        </w:rPr>
        <w:t>24.  Le jugement ainsi rendu par le TGI fut confirmé par la Cour de cassation et devint définitif le 13 décembre 1982.</w:t>
      </w:r>
    </w:p>
    <w:p w:rsidRPr="00D0609B" w:rsidR="00C75D67" w:rsidP="00D0609B" w14:paraId="0A05495C" w14:textId="77777777">
      <w:pPr>
        <w:pStyle w:val="ECHRPara"/>
        <w:rPr>
          <w:lang w:val="fr-FR"/>
        </w:rPr>
      </w:pPr>
      <w:r w:rsidRPr="00D0609B">
        <w:rPr>
          <w:lang w:val="fr-FR"/>
        </w:rPr>
        <w:t>25.  Entre-temps, le 1</w:t>
      </w:r>
      <w:r w:rsidRPr="00D0609B">
        <w:rPr>
          <w:vertAlign w:val="superscript"/>
          <w:lang w:val="fr-FR"/>
        </w:rPr>
        <w:t>er</w:t>
      </w:r>
      <w:r w:rsidRPr="00D0609B">
        <w:rPr>
          <w:lang w:val="fr-FR"/>
        </w:rPr>
        <w:t xml:space="preserve"> août 1978, la DGFP avait publié dans le quotidien </w:t>
      </w:r>
      <w:r w:rsidRPr="00D0609B">
        <w:rPr>
          <w:i/>
          <w:lang w:val="fr-FR"/>
        </w:rPr>
        <w:t>Hürses</w:t>
      </w:r>
      <w:r w:rsidRPr="00D0609B">
        <w:rPr>
          <w:lang w:val="fr-FR"/>
        </w:rPr>
        <w:t xml:space="preserve"> un avis d</w:t>
      </w:r>
      <w:r w:rsidRPr="00D0609B" w:rsidR="00D0609B">
        <w:rPr>
          <w:lang w:val="fr-FR"/>
        </w:rPr>
        <w:t>’</w:t>
      </w:r>
      <w:r w:rsidRPr="00D0609B">
        <w:rPr>
          <w:lang w:val="fr-FR"/>
        </w:rPr>
        <w:t>expropriation qui mentionnait les parcelles litigieuses et indiquait que M.E. avait été désigné comme curateur.</w:t>
      </w:r>
    </w:p>
    <w:p w:rsidRPr="00D0609B" w:rsidR="00C75D67" w:rsidP="00D0609B" w14:paraId="07DC1109" w14:textId="77777777">
      <w:pPr>
        <w:pStyle w:val="ECHRPara"/>
        <w:rPr>
          <w:lang w:val="fr-FR"/>
        </w:rPr>
      </w:pPr>
      <w:r w:rsidRPr="00D0609B">
        <w:rPr>
          <w:lang w:val="fr-FR"/>
        </w:rPr>
        <w:t>26.  À la suite de la confirmation du jugement du TGI par la Cour de cassation, le curateur formula auprès du service de l</w:t>
      </w:r>
      <w:r w:rsidRPr="00D0609B" w:rsidR="00D0609B">
        <w:rPr>
          <w:lang w:val="fr-FR"/>
        </w:rPr>
        <w:t>’</w:t>
      </w:r>
      <w:r w:rsidRPr="00D0609B">
        <w:rPr>
          <w:lang w:val="fr-FR"/>
        </w:rPr>
        <w:t>exécution d</w:t>
      </w:r>
      <w:r w:rsidRPr="00D0609B" w:rsidR="00D0609B">
        <w:rPr>
          <w:lang w:val="fr-FR"/>
        </w:rPr>
        <w:t>’</w:t>
      </w:r>
      <w:r w:rsidRPr="00D0609B">
        <w:rPr>
          <w:lang w:val="fr-FR"/>
        </w:rPr>
        <w:t>Ankara une demande de recouvrement des sommes dues (correspondant au montant du complément d</w:t>
      </w:r>
      <w:r w:rsidRPr="00D0609B" w:rsidR="00D0609B">
        <w:rPr>
          <w:lang w:val="fr-FR"/>
        </w:rPr>
        <w:t>’</w:t>
      </w:r>
      <w:r w:rsidRPr="00D0609B">
        <w:rPr>
          <w:lang w:val="fr-FR"/>
        </w:rPr>
        <w:t>indemnité, soit 10 817 100 TRL, et des intérêts y afférents, ainsi qu</w:t>
      </w:r>
      <w:r w:rsidRPr="00D0609B" w:rsidR="00D0609B">
        <w:rPr>
          <w:lang w:val="fr-FR"/>
        </w:rPr>
        <w:t>’</w:t>
      </w:r>
      <w:r w:rsidRPr="00D0609B">
        <w:rPr>
          <w:lang w:val="fr-FR"/>
        </w:rPr>
        <w:t>au montant des frais et dépens laissés à la charge de l</w:t>
      </w:r>
      <w:r w:rsidRPr="00D0609B" w:rsidR="00D0609B">
        <w:rPr>
          <w:lang w:val="fr-FR"/>
        </w:rPr>
        <w:t>’</w:t>
      </w:r>
      <w:r w:rsidRPr="00D0609B">
        <w:rPr>
          <w:lang w:val="fr-FR"/>
        </w:rPr>
        <w:t>administration expropriante).</w:t>
      </w:r>
    </w:p>
    <w:p w:rsidRPr="00D0609B" w:rsidR="00C75D67" w:rsidP="00D0609B" w14:paraId="20864C1B" w14:textId="77777777">
      <w:pPr>
        <w:pStyle w:val="ECHRPara"/>
        <w:rPr>
          <w:lang w:val="fr-FR"/>
        </w:rPr>
      </w:pPr>
      <w:r w:rsidRPr="00D0609B">
        <w:rPr>
          <w:lang w:val="fr-FR"/>
        </w:rPr>
        <w:t>27.  D</w:t>
      </w:r>
      <w:r w:rsidRPr="00D0609B" w:rsidR="00D0609B">
        <w:rPr>
          <w:lang w:val="fr-FR"/>
        </w:rPr>
        <w:t>’</w:t>
      </w:r>
      <w:r w:rsidRPr="00D0609B">
        <w:rPr>
          <w:lang w:val="fr-FR"/>
        </w:rPr>
        <w:t>après les documents comptables de l</w:t>
      </w:r>
      <w:r w:rsidRPr="00D0609B" w:rsidR="00D0609B">
        <w:rPr>
          <w:lang w:val="fr-FR"/>
        </w:rPr>
        <w:t>’</w:t>
      </w:r>
      <w:r w:rsidRPr="00D0609B">
        <w:rPr>
          <w:lang w:val="fr-FR"/>
        </w:rPr>
        <w:t>administration, un paiement total de 13 421 904 TRL fut effectué : la somme de 8 250 647 TRL fut versée au service de l</w:t>
      </w:r>
      <w:r w:rsidRPr="00D0609B" w:rsidR="00D0609B">
        <w:rPr>
          <w:lang w:val="fr-FR"/>
        </w:rPr>
        <w:t>’</w:t>
      </w:r>
      <w:r w:rsidRPr="00D0609B">
        <w:rPr>
          <w:lang w:val="fr-FR"/>
        </w:rPr>
        <w:t>exécution et la somme de 5 171 257 TRL à la trésorerie d</w:t>
      </w:r>
      <w:r w:rsidRPr="00D0609B" w:rsidR="00D0609B">
        <w:rPr>
          <w:lang w:val="fr-FR"/>
        </w:rPr>
        <w:t>’</w:t>
      </w:r>
      <w:r w:rsidRPr="00D0609B">
        <w:rPr>
          <w:lang w:val="fr-FR"/>
        </w:rPr>
        <w:t>Üçkap</w:t>
      </w:r>
      <w:r w:rsidRPr="00D0609B">
        <w:rPr>
          <w:lang w:val="tr-TR"/>
        </w:rPr>
        <w:t>ı</w:t>
      </w:r>
      <w:r w:rsidRPr="00D0609B">
        <w:rPr>
          <w:lang w:val="fr-FR"/>
        </w:rPr>
        <w:t>lar</w:t>
      </w:r>
      <w:r w:rsidRPr="00D0609B">
        <w:rPr>
          <w:lang w:val="fr-FR"/>
        </w:rPr>
        <w:t xml:space="preserve"> (Antalya).</w:t>
      </w:r>
    </w:p>
    <w:p w:rsidRPr="00D0609B" w:rsidR="00C75D67" w:rsidP="00D0609B" w14:paraId="5B22665F" w14:textId="77777777">
      <w:pPr>
        <w:pStyle w:val="ECHRPara"/>
        <w:rPr>
          <w:lang w:val="fr-FR"/>
        </w:rPr>
      </w:pPr>
      <w:r w:rsidRPr="00D0609B">
        <w:rPr>
          <w:lang w:val="fr-FR"/>
        </w:rPr>
        <w:t>28.  Par la suite, le terrain exproprié fut cédé au Trésor public en vue de son utilisation par le ministère de la Culture et du Tourisme. Il fit l</w:t>
      </w:r>
      <w:r w:rsidRPr="00D0609B" w:rsidR="00D0609B">
        <w:rPr>
          <w:lang w:val="fr-FR"/>
        </w:rPr>
        <w:t>’</w:t>
      </w:r>
      <w:r w:rsidRPr="00D0609B">
        <w:rPr>
          <w:lang w:val="fr-FR"/>
        </w:rPr>
        <w:t>objet d</w:t>
      </w:r>
      <w:r w:rsidRPr="00D0609B" w:rsidR="00D0609B">
        <w:rPr>
          <w:lang w:val="fr-FR"/>
        </w:rPr>
        <w:t>’</w:t>
      </w:r>
      <w:r w:rsidRPr="00D0609B">
        <w:rPr>
          <w:lang w:val="fr-FR"/>
        </w:rPr>
        <w:t>une division lors d</w:t>
      </w:r>
      <w:r w:rsidRPr="00D0609B" w:rsidR="00D0609B">
        <w:rPr>
          <w:lang w:val="fr-FR"/>
        </w:rPr>
        <w:t>’</w:t>
      </w:r>
      <w:r w:rsidRPr="00D0609B">
        <w:rPr>
          <w:lang w:val="fr-FR"/>
        </w:rPr>
        <w:t>une révision du plan d</w:t>
      </w:r>
      <w:r w:rsidRPr="00D0609B" w:rsidR="00D0609B">
        <w:rPr>
          <w:lang w:val="fr-FR"/>
        </w:rPr>
        <w:t>’</w:t>
      </w:r>
      <w:r w:rsidRPr="00D0609B">
        <w:rPr>
          <w:lang w:val="fr-FR"/>
        </w:rPr>
        <w:t>urbanisme, et les références cadastrales (numéros d</w:t>
      </w:r>
      <w:r w:rsidRPr="00D0609B" w:rsidR="00D0609B">
        <w:rPr>
          <w:lang w:val="fr-FR"/>
        </w:rPr>
        <w:t>’</w:t>
      </w:r>
      <w:r w:rsidRPr="00D0609B">
        <w:rPr>
          <w:lang w:val="fr-FR"/>
        </w:rPr>
        <w:t>îlots et de parcelles) furent modifiées en conséquence.</w:t>
      </w:r>
    </w:p>
    <w:p w:rsidRPr="00D0609B" w:rsidR="00C75D67" w:rsidP="00D0609B" w14:paraId="51BE3E0D" w14:textId="77777777">
      <w:pPr>
        <w:pStyle w:val="ECHRPara"/>
        <w:rPr>
          <w:lang w:val="fr-FR"/>
        </w:rPr>
      </w:pPr>
      <w:r w:rsidRPr="00D0609B">
        <w:rPr>
          <w:lang w:val="fr-FR"/>
        </w:rPr>
        <w:t>29.  Le requérant précise que deux hôtels de luxe ont été construits sur le terrain en question.</w:t>
      </w:r>
    </w:p>
    <w:p w:rsidRPr="00D0609B" w:rsidR="00C75D67" w:rsidP="00D0609B" w14:paraId="0A5F5603" w14:textId="77777777">
      <w:pPr>
        <w:pStyle w:val="ECHRPara"/>
        <w:rPr>
          <w:lang w:val="fr-FR"/>
        </w:rPr>
      </w:pPr>
      <w:r w:rsidRPr="00D0609B">
        <w:rPr>
          <w:lang w:val="fr-FR"/>
        </w:rPr>
        <w:t>30.  Le Gouvernement indique que les indemnités d</w:t>
      </w:r>
      <w:r w:rsidRPr="00D0609B" w:rsidR="00D0609B">
        <w:rPr>
          <w:lang w:val="fr-FR"/>
        </w:rPr>
        <w:t>’</w:t>
      </w:r>
      <w:r w:rsidRPr="00D0609B">
        <w:rPr>
          <w:lang w:val="fr-FR"/>
        </w:rPr>
        <w:t>expropriation qui avaient initialement été bloquées sur un compte de l</w:t>
      </w:r>
      <w:r w:rsidRPr="00D0609B" w:rsidR="00D0609B">
        <w:rPr>
          <w:lang w:val="fr-FR"/>
        </w:rPr>
        <w:t>’</w:t>
      </w:r>
      <w:r w:rsidRPr="00D0609B">
        <w:rPr>
          <w:lang w:val="fr-FR"/>
        </w:rPr>
        <w:t xml:space="preserve">établissement </w:t>
      </w:r>
      <w:r w:rsidRPr="00D0609B">
        <w:rPr>
          <w:i/>
          <w:lang w:val="fr-FR"/>
        </w:rPr>
        <w:t>Emlak</w:t>
      </w:r>
      <w:r w:rsidRPr="00D0609B">
        <w:rPr>
          <w:i/>
          <w:lang w:val="fr-FR"/>
        </w:rPr>
        <w:t xml:space="preserve"> </w:t>
      </w:r>
      <w:r w:rsidRPr="00D0609B">
        <w:rPr>
          <w:i/>
          <w:lang w:val="fr-FR"/>
        </w:rPr>
        <w:t>Kredi</w:t>
      </w:r>
      <w:r w:rsidRPr="00D0609B">
        <w:rPr>
          <w:i/>
          <w:lang w:val="fr-FR"/>
        </w:rPr>
        <w:t xml:space="preserve"> </w:t>
      </w:r>
      <w:r w:rsidRPr="00D0609B">
        <w:rPr>
          <w:i/>
          <w:lang w:val="fr-FR"/>
        </w:rPr>
        <w:t>Bankas</w:t>
      </w:r>
      <w:r w:rsidRPr="00D0609B">
        <w:rPr>
          <w:i/>
          <w:lang w:val="tr-TR"/>
        </w:rPr>
        <w:t>ı</w:t>
      </w:r>
      <w:r w:rsidRPr="00D0609B">
        <w:rPr>
          <w:lang w:val="fr-FR"/>
        </w:rPr>
        <w:t xml:space="preserve"> en vue de leur versement aux propriétaires légitimes des biens litigieux ont par la suite été transférées à l</w:t>
      </w:r>
      <w:r w:rsidRPr="00D0609B" w:rsidR="00D0609B">
        <w:rPr>
          <w:lang w:val="fr-FR"/>
        </w:rPr>
        <w:t>’</w:t>
      </w:r>
      <w:r w:rsidRPr="00D0609B">
        <w:rPr>
          <w:lang w:val="fr-FR"/>
        </w:rPr>
        <w:t>agence d</w:t>
      </w:r>
      <w:r w:rsidRPr="00D0609B" w:rsidR="00D0609B">
        <w:rPr>
          <w:lang w:val="fr-FR"/>
        </w:rPr>
        <w:t>’</w:t>
      </w:r>
      <w:r w:rsidRPr="00D0609B">
        <w:rPr>
          <w:lang w:val="fr-FR"/>
        </w:rPr>
        <w:t>Anafartalar</w:t>
      </w:r>
      <w:r w:rsidRPr="00D0609B">
        <w:rPr>
          <w:lang w:val="fr-FR"/>
        </w:rPr>
        <w:t xml:space="preserve"> de la </w:t>
      </w:r>
      <w:r w:rsidRPr="00D0609B">
        <w:rPr>
          <w:i/>
          <w:lang w:val="fr-FR"/>
        </w:rPr>
        <w:t>Ziraat</w:t>
      </w:r>
      <w:r w:rsidRPr="00D0609B">
        <w:rPr>
          <w:i/>
          <w:lang w:val="fr-FR"/>
        </w:rPr>
        <w:t xml:space="preserve"> </w:t>
      </w:r>
      <w:r w:rsidRPr="00D0609B">
        <w:rPr>
          <w:i/>
          <w:lang w:val="fr-FR"/>
        </w:rPr>
        <w:t>Bankası</w:t>
      </w:r>
      <w:r w:rsidRPr="00D0609B">
        <w:rPr>
          <w:i/>
          <w:lang w:val="fr-FR"/>
        </w:rPr>
        <w:t xml:space="preserve"> </w:t>
      </w:r>
      <w:r w:rsidRPr="00D0609B">
        <w:rPr>
          <w:lang w:val="fr-FR"/>
        </w:rPr>
        <w:t>à Antalya. Aucune trace des fonds n</w:t>
      </w:r>
      <w:r w:rsidRPr="00D0609B" w:rsidR="00D0609B">
        <w:rPr>
          <w:lang w:val="fr-FR"/>
        </w:rPr>
        <w:t>’</w:t>
      </w:r>
      <w:r w:rsidRPr="00D0609B">
        <w:rPr>
          <w:lang w:val="fr-FR"/>
        </w:rPr>
        <w:t>aurait cependant pu être retrouvée en raison de la destruction par cet établissement des documents et registres relatifs à la période concernée.</w:t>
      </w:r>
    </w:p>
    <w:p w:rsidRPr="00D0609B" w:rsidR="00C75D67" w:rsidP="00D0609B" w14:paraId="06736A0A" w14:textId="77777777">
      <w:pPr>
        <w:pStyle w:val="ECHRHeading2"/>
        <w:rPr>
          <w:lang w:val="fr-FR"/>
        </w:rPr>
      </w:pPr>
      <w:r w:rsidRPr="00D0609B">
        <w:rPr>
          <w:lang w:val="fr-FR"/>
        </w:rPr>
        <w:t>C.  Les actions en indemnisation pour expropriation de fait</w:t>
      </w:r>
    </w:p>
    <w:p w:rsidRPr="00D0609B" w:rsidR="00C75D67" w:rsidP="00D0609B" w14:paraId="14B7B6E9" w14:textId="77777777">
      <w:pPr>
        <w:pStyle w:val="ECHRPara"/>
        <w:rPr>
          <w:lang w:val="fr-FR"/>
        </w:rPr>
      </w:pPr>
      <w:r w:rsidRPr="00D0609B">
        <w:rPr>
          <w:lang w:val="fr-FR"/>
        </w:rPr>
        <w:t>31.  Le 5 décembre 2006, le requérant saisit le TGI de deux demandes d</w:t>
      </w:r>
      <w:r w:rsidRPr="00D0609B" w:rsidR="00D0609B">
        <w:rPr>
          <w:lang w:val="fr-FR"/>
        </w:rPr>
        <w:t>’</w:t>
      </w:r>
      <w:r w:rsidRPr="00D0609B">
        <w:rPr>
          <w:lang w:val="fr-FR"/>
        </w:rPr>
        <w:t>obtention d</w:t>
      </w:r>
      <w:r w:rsidRPr="00D0609B" w:rsidR="00D0609B">
        <w:rPr>
          <w:lang w:val="fr-FR"/>
        </w:rPr>
        <w:t>’</w:t>
      </w:r>
      <w:r w:rsidRPr="00D0609B">
        <w:rPr>
          <w:lang w:val="fr-FR"/>
        </w:rPr>
        <w:t>indemnités d</w:t>
      </w:r>
      <w:r w:rsidRPr="00D0609B" w:rsidR="00D0609B">
        <w:rPr>
          <w:lang w:val="fr-FR"/>
        </w:rPr>
        <w:t>’</w:t>
      </w:r>
      <w:r w:rsidRPr="00D0609B">
        <w:rPr>
          <w:lang w:val="fr-FR"/>
        </w:rPr>
        <w:t>expropriation relativement à deux terrains (îlot 3298, parcelle n</w:t>
      </w:r>
      <w:r w:rsidRPr="00D0609B">
        <w:rPr>
          <w:vertAlign w:val="superscript"/>
          <w:lang w:val="fr-FR"/>
        </w:rPr>
        <w:t>o</w:t>
      </w:r>
      <w:r w:rsidRPr="00D0609B">
        <w:rPr>
          <w:lang w:val="fr-FR"/>
        </w:rPr>
        <w:t xml:space="preserve"> 2 et îlot 3702, parcelle n</w:t>
      </w:r>
      <w:r w:rsidRPr="00D0609B">
        <w:rPr>
          <w:vertAlign w:val="superscript"/>
          <w:lang w:val="fr-FR"/>
        </w:rPr>
        <w:t>o</w:t>
      </w:r>
      <w:r w:rsidRPr="00D0609B">
        <w:rPr>
          <w:lang w:val="fr-FR"/>
        </w:rPr>
        <w:t> 1) qui étaient issus de la division des 216 342 m</w:t>
      </w:r>
      <w:r w:rsidRPr="00D0609B">
        <w:rPr>
          <w:vertAlign w:val="superscript"/>
          <w:lang w:val="fr-FR"/>
        </w:rPr>
        <w:t>2</w:t>
      </w:r>
      <w:r w:rsidRPr="00D0609B">
        <w:rPr>
          <w:lang w:val="fr-FR"/>
        </w:rPr>
        <w:t xml:space="preserve"> expropriés.</w:t>
      </w:r>
    </w:p>
    <w:p w:rsidRPr="00D0609B" w:rsidR="00C75D67" w:rsidP="00D0609B" w14:paraId="66F0C1BD" w14:textId="77777777">
      <w:pPr>
        <w:pStyle w:val="ECHRPara"/>
        <w:rPr>
          <w:lang w:val="fr-FR"/>
        </w:rPr>
      </w:pPr>
      <w:r w:rsidRPr="00D0609B">
        <w:rPr>
          <w:lang w:val="fr-FR"/>
        </w:rPr>
        <w:t>32.  Ces demandes étaient dirigées contre le Trésor public, l</w:t>
      </w:r>
      <w:r w:rsidRPr="00D0609B" w:rsidR="00D0609B">
        <w:rPr>
          <w:lang w:val="fr-FR"/>
        </w:rPr>
        <w:t>’</w:t>
      </w:r>
      <w:r w:rsidRPr="00D0609B">
        <w:rPr>
          <w:lang w:val="fr-FR"/>
        </w:rPr>
        <w:t>Administration du logement collectif (« le TOKI »), qui avait succédé à la DGPF, et les sociétés privées devenues propriétaires des parcelles litigieuses, sur lesquelles, d</w:t>
      </w:r>
      <w:r w:rsidRPr="00D0609B" w:rsidR="00D0609B">
        <w:rPr>
          <w:lang w:val="fr-FR"/>
        </w:rPr>
        <w:t>’</w:t>
      </w:r>
      <w:r w:rsidRPr="00D0609B">
        <w:rPr>
          <w:lang w:val="fr-FR"/>
        </w:rPr>
        <w:t>après le requérant, les hôtels susmentionnés avaient été construits.</w:t>
      </w:r>
    </w:p>
    <w:p w:rsidRPr="00D0609B" w:rsidR="00C75D67" w:rsidP="00D0609B" w14:paraId="3D45593C" w14:textId="77777777">
      <w:pPr>
        <w:pStyle w:val="ECHRPara"/>
        <w:rPr>
          <w:lang w:val="fr-FR"/>
        </w:rPr>
      </w:pPr>
      <w:r w:rsidRPr="00D0609B">
        <w:rPr>
          <w:lang w:val="fr-FR"/>
        </w:rPr>
        <w:t>33.  Par deux jugements du 15 juillet 2008, le TGI débouta le requérant. Il considéra que, dès lors qu</w:t>
      </w:r>
      <w:r w:rsidRPr="00D0609B" w:rsidR="00D0609B">
        <w:rPr>
          <w:lang w:val="fr-FR"/>
        </w:rPr>
        <w:t>’</w:t>
      </w:r>
      <w:r w:rsidRPr="00D0609B">
        <w:rPr>
          <w:lang w:val="fr-FR"/>
        </w:rPr>
        <w:t>un curateur avait été désigné, que la procédure d</w:t>
      </w:r>
      <w:r w:rsidRPr="00D0609B" w:rsidR="00D0609B">
        <w:rPr>
          <w:lang w:val="fr-FR"/>
        </w:rPr>
        <w:t>’</w:t>
      </w:r>
      <w:r w:rsidRPr="00D0609B">
        <w:rPr>
          <w:lang w:val="fr-FR"/>
        </w:rPr>
        <w:t>expropriation lui avait été notifiée et qu</w:t>
      </w:r>
      <w:r w:rsidRPr="00D0609B" w:rsidR="00D0609B">
        <w:rPr>
          <w:lang w:val="fr-FR"/>
        </w:rPr>
        <w:t>’</w:t>
      </w:r>
      <w:r w:rsidRPr="00D0609B">
        <w:rPr>
          <w:lang w:val="fr-FR"/>
        </w:rPr>
        <w:t>il avait participé aux diverses étapes de la procédure, l</w:t>
      </w:r>
      <w:r w:rsidRPr="00D0609B" w:rsidR="00D0609B">
        <w:rPr>
          <w:lang w:val="fr-FR"/>
        </w:rPr>
        <w:t>’</w:t>
      </w:r>
      <w:r w:rsidRPr="00D0609B">
        <w:rPr>
          <w:lang w:val="fr-FR"/>
        </w:rPr>
        <w:t>expropriation devait être considérée comme régulière. Il conclut qu</w:t>
      </w:r>
      <w:r w:rsidRPr="00D0609B" w:rsidR="00D0609B">
        <w:rPr>
          <w:lang w:val="fr-FR"/>
        </w:rPr>
        <w:t>’</w:t>
      </w:r>
      <w:r w:rsidRPr="00D0609B">
        <w:rPr>
          <w:lang w:val="fr-FR"/>
        </w:rPr>
        <w:t>il ne pouvait donc être fait état d</w:t>
      </w:r>
      <w:r w:rsidRPr="00D0609B" w:rsidR="00D0609B">
        <w:rPr>
          <w:lang w:val="fr-FR"/>
        </w:rPr>
        <w:t>’</w:t>
      </w:r>
      <w:r w:rsidRPr="00D0609B">
        <w:rPr>
          <w:lang w:val="fr-FR"/>
        </w:rPr>
        <w:t>une expropriation de fait.</w:t>
      </w:r>
    </w:p>
    <w:p w:rsidRPr="00D0609B" w:rsidR="00C75D67" w:rsidP="00D0609B" w14:paraId="287D2A04" w14:textId="77777777">
      <w:pPr>
        <w:pStyle w:val="ECHRPara"/>
        <w:rPr>
          <w:lang w:val="fr-FR"/>
        </w:rPr>
      </w:pPr>
      <w:r w:rsidRPr="00D0609B">
        <w:rPr>
          <w:lang w:val="fr-FR"/>
        </w:rPr>
        <w:t>34.  Le jugement concernant la parcelle n</w:t>
      </w:r>
      <w:r w:rsidRPr="00D0609B">
        <w:rPr>
          <w:vertAlign w:val="superscript"/>
          <w:lang w:val="fr-FR"/>
        </w:rPr>
        <w:t>o</w:t>
      </w:r>
      <w:r w:rsidRPr="00D0609B">
        <w:rPr>
          <w:lang w:val="fr-FR"/>
        </w:rPr>
        <w:t xml:space="preserve"> 2 de l</w:t>
      </w:r>
      <w:r w:rsidRPr="00D0609B" w:rsidR="00D0609B">
        <w:rPr>
          <w:lang w:val="fr-FR"/>
        </w:rPr>
        <w:t>’</w:t>
      </w:r>
      <w:r w:rsidRPr="00D0609B" w:rsidR="00C434B4">
        <w:rPr>
          <w:lang w:val="fr-FR"/>
        </w:rPr>
        <w:t>îlot 3298 fut confirmé le 4 </w:t>
      </w:r>
      <w:r w:rsidRPr="00D0609B">
        <w:rPr>
          <w:lang w:val="fr-FR"/>
        </w:rPr>
        <w:t>juin 2009 par la Cour de cassation. Le requérant introduisit une demande en rectification d</w:t>
      </w:r>
      <w:r w:rsidRPr="00D0609B" w:rsidR="00D0609B">
        <w:rPr>
          <w:lang w:val="fr-FR"/>
        </w:rPr>
        <w:t>’</w:t>
      </w:r>
      <w:r w:rsidRPr="00D0609B">
        <w:rPr>
          <w:lang w:val="fr-FR"/>
        </w:rPr>
        <w:t>arrêt, qui fut rejetée le 21 décembre 2009. L</w:t>
      </w:r>
      <w:r w:rsidRPr="00D0609B" w:rsidR="00D0609B">
        <w:rPr>
          <w:lang w:val="fr-FR"/>
        </w:rPr>
        <w:t>’</w:t>
      </w:r>
      <w:r w:rsidRPr="00D0609B">
        <w:rPr>
          <w:lang w:val="fr-FR"/>
        </w:rPr>
        <w:t>arrêt y afférent fut notifié le 18 janvier 2010.</w:t>
      </w:r>
    </w:p>
    <w:p w:rsidRPr="00D0609B" w:rsidR="00C75D67" w:rsidP="00D0609B" w14:paraId="64C19F69" w14:textId="77777777">
      <w:pPr>
        <w:pStyle w:val="ECHRPara"/>
        <w:rPr>
          <w:lang w:val="fr-FR"/>
        </w:rPr>
      </w:pPr>
      <w:r w:rsidRPr="00D0609B">
        <w:rPr>
          <w:lang w:val="fr-FR"/>
        </w:rPr>
        <w:t>35.  Le jugement concernant l</w:t>
      </w:r>
      <w:r w:rsidRPr="00D0609B" w:rsidR="00D0609B">
        <w:rPr>
          <w:lang w:val="fr-FR"/>
        </w:rPr>
        <w:t>’</w:t>
      </w:r>
      <w:r w:rsidRPr="00D0609B">
        <w:rPr>
          <w:lang w:val="fr-FR"/>
        </w:rPr>
        <w:t>autre terrain fut quant à lui confirmé le 11 juin 2009. La demande en rectification d</w:t>
      </w:r>
      <w:r w:rsidRPr="00D0609B" w:rsidR="00D0609B">
        <w:rPr>
          <w:lang w:val="fr-FR"/>
        </w:rPr>
        <w:t>’</w:t>
      </w:r>
      <w:r w:rsidRPr="00D0609B">
        <w:rPr>
          <w:lang w:val="fr-FR"/>
        </w:rPr>
        <w:t>arrêt présentée par le requérant fut rejetée le 2 mars 2010, et l</w:t>
      </w:r>
      <w:r w:rsidRPr="00D0609B" w:rsidR="00D0609B">
        <w:rPr>
          <w:lang w:val="fr-FR"/>
        </w:rPr>
        <w:t>’</w:t>
      </w:r>
      <w:r w:rsidRPr="00D0609B">
        <w:rPr>
          <w:lang w:val="fr-FR"/>
        </w:rPr>
        <w:t>arrêt rendu à cette occasion par la haute juridiction fut notifié le 9 avril 2010.</w:t>
      </w:r>
    </w:p>
    <w:p w:rsidRPr="00D0609B" w:rsidR="00C75D67" w:rsidP="00D0609B" w14:paraId="730D75AE" w14:textId="77777777">
      <w:pPr>
        <w:pStyle w:val="ECHRHeading2"/>
        <w:rPr>
          <w:lang w:val="fr-FR"/>
        </w:rPr>
      </w:pPr>
      <w:r w:rsidRPr="00D0609B">
        <w:rPr>
          <w:lang w:val="fr-FR"/>
        </w:rPr>
        <w:t>D.  La réouverture de la procédure devant le tribunal du cadastre</w:t>
      </w:r>
    </w:p>
    <w:p w:rsidRPr="00D0609B" w:rsidR="00C75D67" w:rsidP="00D0609B" w14:paraId="66687BAF" w14:textId="77777777">
      <w:pPr>
        <w:pStyle w:val="ECHRPara"/>
        <w:rPr>
          <w:lang w:val="fr-FR"/>
        </w:rPr>
      </w:pPr>
      <w:bookmarkStart w:name="réouverture_début" w:id="2"/>
      <w:r w:rsidRPr="00D0609B">
        <w:rPr>
          <w:lang w:val="fr-FR"/>
        </w:rPr>
        <w:t>36</w:t>
      </w:r>
      <w:bookmarkEnd w:id="2"/>
      <w:r w:rsidRPr="00D0609B">
        <w:rPr>
          <w:lang w:val="fr-FR"/>
        </w:rPr>
        <w:t>.  Le 13 août 2018, cinq personnes demandèrent au tribunal du cadastre de rouvrir la procédure qui avait donné lieu au jugement du 29 juin 2004, soutenant que cette décision était entachée d</w:t>
      </w:r>
      <w:r w:rsidRPr="00D0609B" w:rsidR="00D0609B">
        <w:rPr>
          <w:lang w:val="fr-FR"/>
        </w:rPr>
        <w:t>’</w:t>
      </w:r>
      <w:r w:rsidRPr="00D0609B">
        <w:rPr>
          <w:lang w:val="fr-FR"/>
        </w:rPr>
        <w:t>une erreur au sujet des héritiers de Arap Süleyman Efendi.</w:t>
      </w:r>
    </w:p>
    <w:p w:rsidRPr="00D0609B" w:rsidR="00C75D67" w:rsidP="00D0609B" w14:paraId="515DE2EE" w14:textId="77777777">
      <w:pPr>
        <w:pStyle w:val="ECHRPara"/>
        <w:rPr>
          <w:lang w:val="fr-FR"/>
        </w:rPr>
      </w:pPr>
      <w:r w:rsidRPr="00D0609B">
        <w:rPr>
          <w:lang w:val="fr-FR"/>
        </w:rPr>
        <w:t>37.  Dans le cadre de leur demande, ces plaignants alléguaient être des descendants de Arap Süleyman Efendi et, par conséquent, des ayants droit de ce dernier. Ils exposaient, à cet égard, qu</w:t>
      </w:r>
      <w:r w:rsidRPr="00D0609B" w:rsidR="00D0609B">
        <w:rPr>
          <w:lang w:val="fr-FR"/>
        </w:rPr>
        <w:t>’</w:t>
      </w:r>
      <w:r w:rsidRPr="00D0609B">
        <w:rPr>
          <w:lang w:val="fr-FR"/>
        </w:rPr>
        <w:t>une procédure avait été engagée aux fins de l</w:t>
      </w:r>
      <w:r w:rsidRPr="00D0609B" w:rsidR="00D0609B">
        <w:rPr>
          <w:lang w:val="fr-FR"/>
        </w:rPr>
        <w:t>’</w:t>
      </w:r>
      <w:r w:rsidRPr="00D0609B">
        <w:rPr>
          <w:lang w:val="fr-FR"/>
        </w:rPr>
        <w:t>annulation de l</w:t>
      </w:r>
      <w:r w:rsidRPr="00D0609B" w:rsidR="00D0609B">
        <w:rPr>
          <w:lang w:val="fr-FR"/>
        </w:rPr>
        <w:t>’</w:t>
      </w:r>
      <w:r w:rsidRPr="00D0609B">
        <w:rPr>
          <w:lang w:val="fr-FR"/>
        </w:rPr>
        <w:t>acte de notoriété ayant établi la dévolution successorale (</w:t>
      </w:r>
      <w:r w:rsidRPr="00D0609B">
        <w:rPr>
          <w:i/>
          <w:lang w:val="fr-FR"/>
        </w:rPr>
        <w:t>veraset</w:t>
      </w:r>
      <w:r w:rsidRPr="00D0609B">
        <w:rPr>
          <w:i/>
          <w:lang w:val="fr-FR"/>
        </w:rPr>
        <w:t xml:space="preserve"> </w:t>
      </w:r>
      <w:r w:rsidRPr="00D0609B">
        <w:rPr>
          <w:i/>
          <w:lang w:val="fr-FR"/>
        </w:rPr>
        <w:t>ilam</w:t>
      </w:r>
      <w:r w:rsidRPr="00D0609B">
        <w:rPr>
          <w:i/>
          <w:lang w:val="tr-TR"/>
        </w:rPr>
        <w:t>ı</w:t>
      </w:r>
      <w:r w:rsidRPr="00D0609B">
        <w:rPr>
          <w:lang w:val="fr-FR"/>
        </w:rPr>
        <w:t>) de Arap Süleyman Efendi, sur lequel le tribunal du cadastre s</w:t>
      </w:r>
      <w:r w:rsidRPr="00D0609B" w:rsidR="00D0609B">
        <w:rPr>
          <w:lang w:val="fr-FR"/>
        </w:rPr>
        <w:t>’</w:t>
      </w:r>
      <w:r w:rsidRPr="00D0609B">
        <w:rPr>
          <w:lang w:val="fr-FR"/>
        </w:rPr>
        <w:t>était fondé.</w:t>
      </w:r>
    </w:p>
    <w:p w:rsidRPr="00D0609B" w:rsidR="00C75D67" w:rsidP="00D0609B" w14:paraId="19D7B60E" w14:textId="77777777">
      <w:pPr>
        <w:pStyle w:val="ECHRPara"/>
        <w:rPr>
          <w:lang w:val="fr-FR"/>
        </w:rPr>
      </w:pPr>
      <w:bookmarkStart w:name="réouverture_fin" w:id="3"/>
      <w:r w:rsidRPr="00D0609B">
        <w:rPr>
          <w:lang w:val="fr-FR"/>
        </w:rPr>
        <w:t>38</w:t>
      </w:r>
      <w:bookmarkEnd w:id="3"/>
      <w:r w:rsidRPr="00D0609B">
        <w:rPr>
          <w:lang w:val="fr-FR"/>
        </w:rPr>
        <w:t>.  Le tribunal du cadastre décida de rouvrir la procédure et ordonna l</w:t>
      </w:r>
      <w:r w:rsidRPr="00D0609B" w:rsidR="00D0609B">
        <w:rPr>
          <w:lang w:val="fr-FR"/>
        </w:rPr>
        <w:t>’</w:t>
      </w:r>
      <w:r w:rsidRPr="00D0609B">
        <w:rPr>
          <w:lang w:val="fr-FR"/>
        </w:rPr>
        <w:t>inscription sur le registre foncier d</w:t>
      </w:r>
      <w:r w:rsidRPr="00D0609B" w:rsidR="00D0609B">
        <w:rPr>
          <w:lang w:val="fr-FR"/>
        </w:rPr>
        <w:t>’</w:t>
      </w:r>
      <w:r w:rsidRPr="00D0609B">
        <w:rPr>
          <w:lang w:val="fr-FR"/>
        </w:rPr>
        <w:t>une mention indiquant qu</w:t>
      </w:r>
      <w:r w:rsidRPr="00D0609B" w:rsidR="00D0609B">
        <w:rPr>
          <w:lang w:val="fr-FR"/>
        </w:rPr>
        <w:t>’</w:t>
      </w:r>
      <w:r w:rsidRPr="00D0609B">
        <w:rPr>
          <w:lang w:val="fr-FR"/>
        </w:rPr>
        <w:t>un contentieux sur la propriété était en cours.</w:t>
      </w:r>
    </w:p>
    <w:p w:rsidRPr="00D0609B" w:rsidR="00C75D67" w:rsidP="00D0609B" w14:paraId="036FF8A7" w14:textId="77777777">
      <w:pPr>
        <w:pStyle w:val="ECHRHeading2"/>
        <w:rPr>
          <w:lang w:val="fr-FR"/>
        </w:rPr>
      </w:pPr>
      <w:r w:rsidRPr="00D0609B">
        <w:rPr>
          <w:lang w:val="fr-FR"/>
        </w:rPr>
        <w:t>E.  Le recours individuel devant la Cour constitutionnelle</w:t>
      </w:r>
    </w:p>
    <w:p w:rsidRPr="00D0609B" w:rsidR="00C75D67" w:rsidP="00D0609B" w14:paraId="79A2CFAB" w14:textId="77777777">
      <w:pPr>
        <w:pStyle w:val="ECHRPara"/>
        <w:rPr>
          <w:lang w:val="fr-FR"/>
        </w:rPr>
      </w:pPr>
      <w:bookmarkStart w:name="recoursindivdébut" w:id="4"/>
      <w:r w:rsidRPr="00D0609B">
        <w:rPr>
          <w:lang w:val="fr-FR"/>
        </w:rPr>
        <w:t>39</w:t>
      </w:r>
      <w:bookmarkEnd w:id="4"/>
      <w:r w:rsidRPr="00D0609B">
        <w:rPr>
          <w:lang w:val="fr-FR"/>
        </w:rPr>
        <w:t>.  À une date non précisée, le requérant ainsi que l</w:t>
      </w:r>
      <w:r w:rsidRPr="00D0609B" w:rsidR="00D0609B">
        <w:rPr>
          <w:lang w:val="fr-FR"/>
        </w:rPr>
        <w:t>’</w:t>
      </w:r>
      <w:r w:rsidRPr="00D0609B">
        <w:rPr>
          <w:lang w:val="fr-FR"/>
        </w:rPr>
        <w:t>un des héritiers des autres personnes qui avaient été désignées comme copropriétaires par le tribunal du cadastre saisirent la Cour constitutionnelle d</w:t>
      </w:r>
      <w:r w:rsidRPr="00D0609B" w:rsidR="00D0609B">
        <w:rPr>
          <w:lang w:val="fr-FR"/>
        </w:rPr>
        <w:t>’</w:t>
      </w:r>
      <w:r w:rsidRPr="00D0609B">
        <w:rPr>
          <w:lang w:val="fr-FR"/>
        </w:rPr>
        <w:t>un recours individuel au sujet d</w:t>
      </w:r>
      <w:r w:rsidRPr="00D0609B" w:rsidR="00D0609B">
        <w:rPr>
          <w:lang w:val="fr-FR"/>
        </w:rPr>
        <w:t>’</w:t>
      </w:r>
      <w:r w:rsidRPr="00D0609B">
        <w:rPr>
          <w:lang w:val="fr-FR"/>
        </w:rPr>
        <w:t>une autre partie du terrain visé au paragraphe</w:t>
      </w:r>
      <w:r w:rsidRPr="00D0609B" w:rsidR="00C434B4">
        <w:rPr>
          <w:lang w:val="fr-FR"/>
        </w:rPr>
        <w:t> </w:t>
      </w:r>
      <w:r w:rsidRPr="00D0609B">
        <w:rPr>
          <w:lang w:val="fr-FR"/>
        </w:rPr>
        <w:t>6 ci</w:t>
      </w:r>
      <w:r w:rsidRPr="00D0609B">
        <w:rPr>
          <w:lang w:val="fr-FR"/>
        </w:rPr>
        <w:noBreakHyphen/>
        <w:t>dessus.</w:t>
      </w:r>
    </w:p>
    <w:p w:rsidRPr="00D0609B" w:rsidR="00C75D67" w:rsidP="00D0609B" w14:paraId="7605CB61" w14:textId="77777777">
      <w:pPr>
        <w:pStyle w:val="ECHRPara"/>
        <w:rPr>
          <w:lang w:val="fr-FR"/>
        </w:rPr>
      </w:pPr>
      <w:bookmarkStart w:name="recoursi_indiv_fin" w:id="5"/>
      <w:r w:rsidRPr="00D0609B">
        <w:rPr>
          <w:lang w:val="fr-FR"/>
        </w:rPr>
        <w:t>40</w:t>
      </w:r>
      <w:bookmarkEnd w:id="5"/>
      <w:r w:rsidRPr="00D0609B">
        <w:rPr>
          <w:lang w:val="fr-FR"/>
        </w:rPr>
        <w:t xml:space="preserve">.  Le 11 mars 2013, la juridiction constitutionnelle rejeta ce recours pour incompétence </w:t>
      </w:r>
      <w:r w:rsidRPr="00D0609B">
        <w:rPr>
          <w:i/>
          <w:lang w:val="fr-FR"/>
        </w:rPr>
        <w:t>ratione</w:t>
      </w:r>
      <w:r w:rsidRPr="00D0609B">
        <w:rPr>
          <w:i/>
          <w:lang w:val="fr-FR"/>
        </w:rPr>
        <w:t xml:space="preserve"> </w:t>
      </w:r>
      <w:r w:rsidRPr="00D0609B">
        <w:rPr>
          <w:i/>
          <w:lang w:val="fr-FR"/>
        </w:rPr>
        <w:t>temporis</w:t>
      </w:r>
      <w:r w:rsidRPr="00D0609B">
        <w:rPr>
          <w:lang w:val="fr-FR"/>
        </w:rPr>
        <w:t>.</w:t>
      </w:r>
    </w:p>
    <w:p w:rsidRPr="00D0609B" w:rsidR="00C75D67" w:rsidP="00D0609B" w14:paraId="5758369B" w14:textId="77777777">
      <w:pPr>
        <w:pStyle w:val="ECHRTitle1"/>
        <w:rPr>
          <w:lang w:val="fr-FR"/>
        </w:rPr>
      </w:pPr>
      <w:r w:rsidRPr="00D0609B">
        <w:rPr>
          <w:lang w:val="fr-FR"/>
        </w:rPr>
        <w:t>EN DROIT</w:t>
      </w:r>
    </w:p>
    <w:p w:rsidRPr="00D0609B" w:rsidR="00C75D67" w:rsidP="00D0609B" w14:paraId="6E33C793" w14:textId="77777777">
      <w:pPr>
        <w:pStyle w:val="ECHRHeading1"/>
        <w:rPr>
          <w:lang w:val="fr-FR"/>
        </w:rPr>
      </w:pPr>
      <w:r w:rsidRPr="00D0609B">
        <w:rPr>
          <w:lang w:val="fr-FR"/>
        </w:rPr>
        <w:t>I.  SUR LA VIOLATION ALLÉGUÉE DE L</w:t>
      </w:r>
      <w:r w:rsidRPr="00D0609B" w:rsidR="00D0609B">
        <w:rPr>
          <w:lang w:val="fr-FR"/>
        </w:rPr>
        <w:t>’</w:t>
      </w:r>
      <w:r w:rsidRPr="00D0609B">
        <w:rPr>
          <w:lang w:val="fr-FR"/>
        </w:rPr>
        <w:t>ARTICLE 1 DU PROTOCOLE N</w:t>
      </w:r>
      <w:r w:rsidRPr="00D0609B">
        <w:rPr>
          <w:vertAlign w:val="superscript"/>
          <w:lang w:val="fr-FR"/>
        </w:rPr>
        <w:t>o</w:t>
      </w:r>
      <w:r w:rsidRPr="00D0609B">
        <w:rPr>
          <w:lang w:val="fr-FR"/>
        </w:rPr>
        <w:t xml:space="preserve"> 1 À LA CONVENTION</w:t>
      </w:r>
    </w:p>
    <w:p w:rsidRPr="00D0609B" w:rsidR="00C75D67" w:rsidP="00D0609B" w14:paraId="537C487D" w14:textId="77777777">
      <w:pPr>
        <w:pStyle w:val="ECHRPara"/>
        <w:rPr>
          <w:lang w:val="fr-FR"/>
        </w:rPr>
      </w:pPr>
      <w:r w:rsidRPr="00D0609B">
        <w:rPr>
          <w:lang w:val="fr-FR"/>
        </w:rPr>
        <w:t>41.  Le requérant allègue une violation de son droit au respect de ses biens.</w:t>
      </w:r>
    </w:p>
    <w:p w:rsidRPr="00D0609B" w:rsidR="00C75D67" w:rsidP="00D0609B" w14:paraId="61F5C770" w14:textId="77777777">
      <w:pPr>
        <w:pStyle w:val="ECHRPara"/>
        <w:rPr>
          <w:lang w:val="fr-FR"/>
        </w:rPr>
      </w:pPr>
      <w:r w:rsidRPr="00D0609B">
        <w:rPr>
          <w:lang w:val="fr-FR"/>
        </w:rPr>
        <w:t>42.  Il se plaint essentiellement de ne pas avoir obtenu le versement de la part des indemnités d</w:t>
      </w:r>
      <w:r w:rsidRPr="00D0609B" w:rsidR="00D0609B">
        <w:rPr>
          <w:lang w:val="fr-FR"/>
        </w:rPr>
        <w:t>’</w:t>
      </w:r>
      <w:r w:rsidRPr="00D0609B">
        <w:rPr>
          <w:lang w:val="fr-FR"/>
        </w:rPr>
        <w:t>expropriation censée lui revenir. En outre, il soutient en substance que l</w:t>
      </w:r>
      <w:r w:rsidRPr="00D0609B" w:rsidR="00D0609B">
        <w:rPr>
          <w:lang w:val="fr-FR"/>
        </w:rPr>
        <w:t>’</w:t>
      </w:r>
      <w:r w:rsidRPr="00D0609B">
        <w:rPr>
          <w:lang w:val="fr-FR"/>
        </w:rPr>
        <w:t>expropriation litigieuse ne visait pas un but d</w:t>
      </w:r>
      <w:r w:rsidRPr="00D0609B" w:rsidR="00D0609B">
        <w:rPr>
          <w:lang w:val="fr-FR"/>
        </w:rPr>
        <w:t>’</w:t>
      </w:r>
      <w:r w:rsidRPr="00D0609B">
        <w:rPr>
          <w:lang w:val="fr-FR"/>
        </w:rPr>
        <w:t>intérêt général, puisque des établissements hôteliers privés auraient été érigés sur les terrains en cause, et qu</w:t>
      </w:r>
      <w:r w:rsidRPr="00D0609B" w:rsidR="00D0609B">
        <w:rPr>
          <w:lang w:val="fr-FR"/>
        </w:rPr>
        <w:t>’</w:t>
      </w:r>
      <w:r w:rsidRPr="00D0609B">
        <w:rPr>
          <w:lang w:val="fr-FR"/>
        </w:rPr>
        <w:t>elle ne reposait pas sur une base légale, dès lors que la procédure prévue n</w:t>
      </w:r>
      <w:r w:rsidRPr="00D0609B" w:rsidR="00D0609B">
        <w:rPr>
          <w:lang w:val="fr-FR"/>
        </w:rPr>
        <w:t>’</w:t>
      </w:r>
      <w:r w:rsidRPr="00D0609B">
        <w:rPr>
          <w:lang w:val="fr-FR"/>
        </w:rPr>
        <w:t>aurait pas été respectée. Sur ce dernier point, il allègue notamment que les autorités ont eu recours à un curateur de manière abusive, de surcroît sans procéder à la notification de la décision portant désignation de celui-ci aux ayants droit. Il estime qu</w:t>
      </w:r>
      <w:r w:rsidRPr="00D0609B" w:rsidR="00D0609B">
        <w:rPr>
          <w:lang w:val="fr-FR"/>
        </w:rPr>
        <w:t>’</w:t>
      </w:r>
      <w:r w:rsidRPr="00D0609B">
        <w:rPr>
          <w:lang w:val="fr-FR"/>
        </w:rPr>
        <w:t>en agissant de la sorte les autorités ont pu mener les opérations d</w:t>
      </w:r>
      <w:r w:rsidRPr="00D0609B" w:rsidR="00D0609B">
        <w:rPr>
          <w:lang w:val="fr-FR"/>
        </w:rPr>
        <w:t>’</w:t>
      </w:r>
      <w:r w:rsidRPr="00D0609B">
        <w:rPr>
          <w:lang w:val="fr-FR"/>
        </w:rPr>
        <w:t>expropriation à leur guise à l</w:t>
      </w:r>
      <w:r w:rsidRPr="00D0609B" w:rsidR="00D0609B">
        <w:rPr>
          <w:lang w:val="fr-FR"/>
        </w:rPr>
        <w:t>’</w:t>
      </w:r>
      <w:r w:rsidRPr="00D0609B">
        <w:rPr>
          <w:lang w:val="fr-FR"/>
        </w:rPr>
        <w:t>abri du regard et du contrôle des propriétaires légitimes.</w:t>
      </w:r>
    </w:p>
    <w:p w:rsidRPr="00D0609B" w:rsidR="00C75D67" w:rsidP="00D0609B" w14:paraId="2CF10056" w14:textId="77777777">
      <w:pPr>
        <w:pStyle w:val="ECHRPara"/>
        <w:rPr>
          <w:lang w:val="fr-FR"/>
        </w:rPr>
      </w:pPr>
      <w:r w:rsidRPr="00D0609B">
        <w:rPr>
          <w:lang w:val="fr-FR"/>
        </w:rPr>
        <w:t>43.  En s</w:t>
      </w:r>
      <w:r w:rsidRPr="00D0609B" w:rsidR="00D0609B">
        <w:rPr>
          <w:lang w:val="fr-FR"/>
        </w:rPr>
        <w:t>’</w:t>
      </w:r>
      <w:r w:rsidRPr="00D0609B">
        <w:rPr>
          <w:lang w:val="fr-FR"/>
        </w:rPr>
        <w:t>appuyant sur les mêmes faits, le requérant se plaint également de ne pas avoir bénéficié d</w:t>
      </w:r>
      <w:r w:rsidRPr="00D0609B" w:rsidR="00D0609B">
        <w:rPr>
          <w:lang w:val="fr-FR"/>
        </w:rPr>
        <w:t>’</w:t>
      </w:r>
      <w:r w:rsidRPr="00D0609B">
        <w:rPr>
          <w:lang w:val="fr-FR"/>
        </w:rPr>
        <w:t>un procès équitable devant le TGI ; il invoque l</w:t>
      </w:r>
      <w:r w:rsidRPr="00D0609B" w:rsidR="00D0609B">
        <w:rPr>
          <w:lang w:val="fr-FR"/>
        </w:rPr>
        <w:t>’</w:t>
      </w:r>
      <w:r w:rsidRPr="00D0609B">
        <w:rPr>
          <w:lang w:val="fr-FR"/>
        </w:rPr>
        <w:t>article 6 de la Convention à cet égard.</w:t>
      </w:r>
    </w:p>
    <w:p w:rsidRPr="00D0609B" w:rsidR="00C75D67" w:rsidP="00D0609B" w14:paraId="34A6A541" w14:textId="77777777">
      <w:pPr>
        <w:pStyle w:val="ECHRPara"/>
        <w:rPr>
          <w:lang w:val="fr-FR"/>
        </w:rPr>
      </w:pPr>
      <w:r w:rsidRPr="00D0609B">
        <w:rPr>
          <w:lang w:val="fr-FR"/>
        </w:rPr>
        <w:t>44.  Le Gouvernement conteste ces thèses.</w:t>
      </w:r>
    </w:p>
    <w:p w:rsidRPr="00D0609B" w:rsidR="00C75D67" w:rsidP="00D0609B" w14:paraId="781E896C" w14:textId="77777777">
      <w:pPr>
        <w:pStyle w:val="ECHRPara"/>
        <w:rPr>
          <w:i/>
          <w:lang w:val="fr-FR"/>
        </w:rPr>
      </w:pPr>
      <w:r w:rsidRPr="00D0609B">
        <w:rPr>
          <w:lang w:val="fr-FR"/>
        </w:rPr>
        <w:t>45.  La Cour rappelle qu</w:t>
      </w:r>
      <w:r w:rsidRPr="00D0609B" w:rsidR="00D0609B">
        <w:rPr>
          <w:lang w:val="fr-FR"/>
        </w:rPr>
        <w:t>’</w:t>
      </w:r>
      <w:r w:rsidRPr="00D0609B">
        <w:rPr>
          <w:lang w:val="fr-FR"/>
        </w:rPr>
        <w:t xml:space="preserve">en vertu du principe </w:t>
      </w:r>
      <w:r w:rsidRPr="00D0609B">
        <w:rPr>
          <w:i/>
          <w:lang w:val="fr-FR"/>
        </w:rPr>
        <w:t xml:space="preserve">jura </w:t>
      </w:r>
      <w:r w:rsidRPr="00D0609B">
        <w:rPr>
          <w:i/>
          <w:lang w:val="fr-FR"/>
        </w:rPr>
        <w:t>novit</w:t>
      </w:r>
      <w:r w:rsidRPr="00D0609B">
        <w:rPr>
          <w:i/>
          <w:lang w:val="fr-FR"/>
        </w:rPr>
        <w:t xml:space="preserve"> </w:t>
      </w:r>
      <w:r w:rsidRPr="00D0609B">
        <w:rPr>
          <w:i/>
          <w:lang w:val="fr-FR"/>
        </w:rPr>
        <w:t>curia</w:t>
      </w:r>
      <w:r w:rsidRPr="00D0609B">
        <w:rPr>
          <w:lang w:val="fr-FR"/>
        </w:rPr>
        <w:t xml:space="preserve"> elle n</w:t>
      </w:r>
      <w:r w:rsidRPr="00D0609B" w:rsidR="00D0609B">
        <w:rPr>
          <w:lang w:val="fr-FR"/>
        </w:rPr>
        <w:t>’</w:t>
      </w:r>
      <w:r w:rsidRPr="00D0609B">
        <w:rPr>
          <w:lang w:val="fr-FR"/>
        </w:rPr>
        <w:t>est pas tenue par les moyens de droit avancés par le requérant en vertu de la Convention et de ses Protocoles et qu</w:t>
      </w:r>
      <w:r w:rsidRPr="00D0609B" w:rsidR="00D0609B">
        <w:rPr>
          <w:lang w:val="fr-FR"/>
        </w:rPr>
        <w:t>’</w:t>
      </w:r>
      <w:r w:rsidRPr="00D0609B">
        <w:rPr>
          <w:lang w:val="fr-FR"/>
        </w:rPr>
        <w:t>elle peut décider de la qualification juridique à donner aux faits d</w:t>
      </w:r>
      <w:r w:rsidRPr="00D0609B" w:rsidR="00D0609B">
        <w:rPr>
          <w:lang w:val="fr-FR"/>
        </w:rPr>
        <w:t>’</w:t>
      </w:r>
      <w:r w:rsidRPr="00D0609B">
        <w:rPr>
          <w:lang w:val="fr-FR"/>
        </w:rPr>
        <w:t>un grief en examinant celui-ci sur le terrain d</w:t>
      </w:r>
      <w:r w:rsidRPr="00D0609B" w:rsidR="00D0609B">
        <w:rPr>
          <w:lang w:val="fr-FR"/>
        </w:rPr>
        <w:t>’</w:t>
      </w:r>
      <w:r w:rsidRPr="00D0609B">
        <w:rPr>
          <w:lang w:val="fr-FR"/>
        </w:rPr>
        <w:t>articles ou de dispositions de la Convention autres que ceux invoqués par le requérant (</w:t>
      </w:r>
      <w:r w:rsidRPr="00D0609B">
        <w:rPr>
          <w:i/>
          <w:iCs/>
          <w:lang w:val="fr-FR"/>
        </w:rPr>
        <w:t>Radomilja</w:t>
      </w:r>
      <w:r w:rsidRPr="00D0609B">
        <w:rPr>
          <w:i/>
          <w:iCs/>
          <w:lang w:val="fr-FR"/>
        </w:rPr>
        <w:t xml:space="preserve"> et autres c. Croatie</w:t>
      </w:r>
      <w:r w:rsidRPr="00D0609B">
        <w:rPr>
          <w:lang w:val="fr-FR"/>
        </w:rPr>
        <w:t xml:space="preserve"> [GC]</w:t>
      </w:r>
      <w:r w:rsidRPr="00D0609B">
        <w:rPr>
          <w:lang w:val="fr-FR" w:eastAsia="en-GB"/>
        </w:rPr>
        <w:t xml:space="preserve">, </w:t>
      </w:r>
      <w:r w:rsidRPr="00D0609B">
        <w:rPr>
          <w:lang w:val="fr-FR"/>
        </w:rPr>
        <w:t>n</w:t>
      </w:r>
      <w:r w:rsidRPr="00D0609B">
        <w:rPr>
          <w:vertAlign w:val="superscript"/>
          <w:lang w:val="fr-FR"/>
        </w:rPr>
        <w:t>os</w:t>
      </w:r>
      <w:r w:rsidRPr="00D0609B">
        <w:rPr>
          <w:lang w:val="fr-FR"/>
        </w:rPr>
        <w:t xml:space="preserve"> 37685/10 et 22768/12</w:t>
      </w:r>
      <w:r w:rsidRPr="00D0609B">
        <w:rPr>
          <w:lang w:val="fr-FR" w:eastAsia="en-GB"/>
        </w:rPr>
        <w:t xml:space="preserve">, </w:t>
      </w:r>
      <w:r w:rsidRPr="00D0609B">
        <w:rPr>
          <w:lang w:val="fr-FR"/>
        </w:rPr>
        <w:t>§</w:t>
      </w:r>
      <w:r w:rsidRPr="00D0609B" w:rsidR="00C434B4">
        <w:rPr>
          <w:lang w:val="fr-FR"/>
        </w:rPr>
        <w:t> </w:t>
      </w:r>
      <w:r w:rsidRPr="00D0609B">
        <w:rPr>
          <w:lang w:val="fr-FR"/>
        </w:rPr>
        <w:t>126, 20 mars 2018). En l</w:t>
      </w:r>
      <w:r w:rsidRPr="00D0609B" w:rsidR="00D0609B">
        <w:rPr>
          <w:lang w:val="fr-FR"/>
        </w:rPr>
        <w:t>’</w:t>
      </w:r>
      <w:r w:rsidRPr="00D0609B">
        <w:rPr>
          <w:lang w:val="fr-FR"/>
        </w:rPr>
        <w:t>espèce, elle estime que les griefs de l</w:t>
      </w:r>
      <w:r w:rsidRPr="00D0609B" w:rsidR="00D0609B">
        <w:rPr>
          <w:lang w:val="fr-FR"/>
        </w:rPr>
        <w:t>’</w:t>
      </w:r>
      <w:r w:rsidRPr="00D0609B">
        <w:rPr>
          <w:lang w:val="fr-FR"/>
        </w:rPr>
        <w:t>intéressé appellent un examen exclusivement sur le terrain de l</w:t>
      </w:r>
      <w:r w:rsidRPr="00D0609B" w:rsidR="00D0609B">
        <w:rPr>
          <w:lang w:val="fr-FR"/>
        </w:rPr>
        <w:t>’</w:t>
      </w:r>
      <w:r w:rsidRPr="00D0609B">
        <w:rPr>
          <w:lang w:val="fr-FR"/>
        </w:rPr>
        <w:t>article 1 du Protocole</w:t>
      </w:r>
      <w:r w:rsidRPr="00D0609B" w:rsidR="00C434B4">
        <w:rPr>
          <w:lang w:val="fr-FR"/>
        </w:rPr>
        <w:t> </w:t>
      </w:r>
      <w:r w:rsidRPr="00D0609B">
        <w:rPr>
          <w:lang w:val="fr-FR"/>
        </w:rPr>
        <w:t>n</w:t>
      </w:r>
      <w:r w:rsidRPr="00D0609B">
        <w:rPr>
          <w:vertAlign w:val="superscript"/>
          <w:lang w:val="fr-FR"/>
        </w:rPr>
        <w:t>o</w:t>
      </w:r>
      <w:r w:rsidRPr="00D0609B">
        <w:rPr>
          <w:lang w:val="fr-FR"/>
        </w:rPr>
        <w:t xml:space="preserve"> 1 à la Convention, ainsi libellé :</w:t>
      </w:r>
    </w:p>
    <w:p w:rsidRPr="00D0609B" w:rsidR="00C75D67" w:rsidP="00D0609B" w14:paraId="468AFA22" w14:textId="77777777">
      <w:pPr>
        <w:pStyle w:val="ECHRParaQuote"/>
        <w:rPr>
          <w:lang w:val="fr-FR"/>
        </w:rPr>
      </w:pPr>
      <w:r w:rsidRPr="00D0609B">
        <w:rPr>
          <w:lang w:val="fr-FR"/>
        </w:rPr>
        <w:t>« Toute personne physique ou morale a droit au respect de ses biens. Nul ne peut être privé de sa propriété que pour cause d</w:t>
      </w:r>
      <w:r w:rsidRPr="00D0609B" w:rsidR="00D0609B">
        <w:rPr>
          <w:lang w:val="fr-FR"/>
        </w:rPr>
        <w:t>’</w:t>
      </w:r>
      <w:r w:rsidRPr="00D0609B">
        <w:rPr>
          <w:lang w:val="fr-FR"/>
        </w:rPr>
        <w:t>utilité publique et dans les conditions prévues par la loi et les principes généraux du droit international.</w:t>
      </w:r>
    </w:p>
    <w:p w:rsidRPr="00D0609B" w:rsidR="00C75D67" w:rsidP="00D0609B" w14:paraId="5CAAB49B" w14:textId="77777777">
      <w:pPr>
        <w:pStyle w:val="ECHRParaQuote"/>
        <w:rPr>
          <w:lang w:val="fr-FR"/>
        </w:rPr>
      </w:pPr>
      <w:r w:rsidRPr="00D0609B">
        <w:rPr>
          <w:lang w:val="fr-FR"/>
        </w:rPr>
        <w:t>Les dispositions précédentes ne portent pas atteinte au droit que possèdent les États de mettre en vigueur les lois qu</w:t>
      </w:r>
      <w:r w:rsidRPr="00D0609B" w:rsidR="00D0609B">
        <w:rPr>
          <w:lang w:val="fr-FR"/>
        </w:rPr>
        <w:t>’</w:t>
      </w:r>
      <w:r w:rsidRPr="00D0609B">
        <w:rPr>
          <w:lang w:val="fr-FR"/>
        </w:rPr>
        <w:t>ils jugent nécessaires pour réglementer l</w:t>
      </w:r>
      <w:r w:rsidRPr="00D0609B" w:rsidR="00D0609B">
        <w:rPr>
          <w:lang w:val="fr-FR"/>
        </w:rPr>
        <w:t>’</w:t>
      </w:r>
      <w:r w:rsidRPr="00D0609B">
        <w:rPr>
          <w:lang w:val="fr-FR"/>
        </w:rPr>
        <w:t>usage des biens conformément à l</w:t>
      </w:r>
      <w:r w:rsidRPr="00D0609B" w:rsidR="00D0609B">
        <w:rPr>
          <w:lang w:val="fr-FR"/>
        </w:rPr>
        <w:t>’</w:t>
      </w:r>
      <w:r w:rsidRPr="00D0609B">
        <w:rPr>
          <w:lang w:val="fr-FR"/>
        </w:rPr>
        <w:t>intérêt général ou pour assurer le paiement des impôts ou d</w:t>
      </w:r>
      <w:r w:rsidRPr="00D0609B" w:rsidR="00D0609B">
        <w:rPr>
          <w:lang w:val="fr-FR"/>
        </w:rPr>
        <w:t>’</w:t>
      </w:r>
      <w:r w:rsidRPr="00D0609B">
        <w:rPr>
          <w:lang w:val="fr-FR"/>
        </w:rPr>
        <w:t>autres contributions ou des amendes. »</w:t>
      </w:r>
    </w:p>
    <w:p w:rsidRPr="00D0609B" w:rsidR="00C75D67" w:rsidP="00D0609B" w14:paraId="1BDF7860" w14:textId="77777777">
      <w:pPr>
        <w:pStyle w:val="ECHRHeading2"/>
        <w:rPr>
          <w:lang w:val="fr-FR"/>
        </w:rPr>
      </w:pPr>
      <w:r w:rsidRPr="00D0609B">
        <w:rPr>
          <w:lang w:val="fr-FR"/>
        </w:rPr>
        <w:t>A.  Sur la recevabilité</w:t>
      </w:r>
    </w:p>
    <w:p w:rsidRPr="00D0609B" w:rsidR="00C75D67" w:rsidP="00D0609B" w14:paraId="6719BB16" w14:textId="77777777">
      <w:pPr>
        <w:pStyle w:val="ECHRPara"/>
        <w:rPr>
          <w:lang w:val="fr-FR"/>
        </w:rPr>
      </w:pPr>
      <w:r w:rsidRPr="00D0609B">
        <w:rPr>
          <w:lang w:val="fr-FR"/>
        </w:rPr>
        <w:t>46.  Le Gouvernement soulève plusieurs exceptions d</w:t>
      </w:r>
      <w:r w:rsidRPr="00D0609B" w:rsidR="00D0609B">
        <w:rPr>
          <w:lang w:val="fr-FR"/>
        </w:rPr>
        <w:t>’</w:t>
      </w:r>
      <w:r w:rsidRPr="00D0609B">
        <w:rPr>
          <w:lang w:val="fr-FR"/>
        </w:rPr>
        <w:t>irrecevabilité, dont le requérant conteste la pertinence.</w:t>
      </w:r>
    </w:p>
    <w:p w:rsidRPr="00D0609B" w:rsidR="00C75D67" w:rsidP="00D0609B" w14:paraId="612B2E61" w14:textId="77777777">
      <w:pPr>
        <w:pStyle w:val="ECHRHeading3"/>
        <w:rPr>
          <w:lang w:val="fr-FR"/>
        </w:rPr>
      </w:pPr>
      <w:r w:rsidRPr="00D0609B">
        <w:rPr>
          <w:lang w:val="fr-FR"/>
        </w:rPr>
        <w:t xml:space="preserve">1.  Sur la compatibilité </w:t>
      </w:r>
      <w:r w:rsidRPr="00D0609B">
        <w:rPr>
          <w:i w:val="0"/>
          <w:lang w:val="fr-FR"/>
        </w:rPr>
        <w:t>ratione</w:t>
      </w:r>
      <w:r w:rsidRPr="00D0609B">
        <w:rPr>
          <w:i w:val="0"/>
          <w:lang w:val="fr-FR"/>
        </w:rPr>
        <w:t xml:space="preserve"> materiae </w:t>
      </w:r>
      <w:r w:rsidRPr="00D0609B">
        <w:rPr>
          <w:lang w:val="fr-FR"/>
        </w:rPr>
        <w:t>et</w:t>
      </w:r>
      <w:r w:rsidRPr="00D0609B">
        <w:rPr>
          <w:i w:val="0"/>
          <w:lang w:val="fr-FR"/>
        </w:rPr>
        <w:t xml:space="preserve"> </w:t>
      </w:r>
      <w:r w:rsidRPr="00D0609B">
        <w:rPr>
          <w:i w:val="0"/>
          <w:lang w:val="fr-FR"/>
        </w:rPr>
        <w:t>ratione</w:t>
      </w:r>
      <w:r w:rsidRPr="00D0609B">
        <w:rPr>
          <w:i w:val="0"/>
          <w:lang w:val="fr-FR"/>
        </w:rPr>
        <w:t xml:space="preserve"> </w:t>
      </w:r>
      <w:r w:rsidRPr="00D0609B">
        <w:rPr>
          <w:i w:val="0"/>
          <w:lang w:val="fr-FR"/>
        </w:rPr>
        <w:t>temporis</w:t>
      </w:r>
      <w:r w:rsidRPr="00D0609B">
        <w:rPr>
          <w:i w:val="0"/>
          <w:lang w:val="fr-FR"/>
        </w:rPr>
        <w:t xml:space="preserve"> </w:t>
      </w:r>
      <w:r w:rsidRPr="00D0609B">
        <w:rPr>
          <w:lang w:val="fr-FR"/>
        </w:rPr>
        <w:t>de la requête</w:t>
      </w:r>
    </w:p>
    <w:p w:rsidRPr="00D0609B" w:rsidR="00C75D67" w:rsidP="00D0609B" w14:paraId="509F34F3" w14:textId="77777777">
      <w:pPr>
        <w:pStyle w:val="ECHRPara"/>
        <w:rPr>
          <w:lang w:val="fr-FR"/>
        </w:rPr>
      </w:pPr>
      <w:r w:rsidRPr="00D0609B">
        <w:rPr>
          <w:lang w:val="fr-FR"/>
        </w:rPr>
        <w:t xml:space="preserve">47.  Le Gouvernement soutient que la requête est incompatible </w:t>
      </w:r>
      <w:r w:rsidRPr="00D0609B">
        <w:rPr>
          <w:i/>
          <w:lang w:val="fr-FR"/>
        </w:rPr>
        <w:t>ratione</w:t>
      </w:r>
      <w:r w:rsidRPr="00D0609B">
        <w:rPr>
          <w:i/>
          <w:lang w:val="fr-FR"/>
        </w:rPr>
        <w:t xml:space="preserve"> </w:t>
      </w:r>
      <w:r w:rsidRPr="00D0609B">
        <w:rPr>
          <w:i/>
          <w:lang w:val="fr-FR"/>
        </w:rPr>
        <w:t>temporis</w:t>
      </w:r>
      <w:r w:rsidRPr="00D0609B">
        <w:rPr>
          <w:lang w:val="fr-FR"/>
        </w:rPr>
        <w:t xml:space="preserve"> avec les dispositions de la Convention. Il estime que la</w:t>
      </w:r>
      <w:r w:rsidRPr="00D0609B">
        <w:rPr>
          <w:rFonts w:ascii="Arial" w:hAnsi="Arial" w:cs="Arial"/>
          <w:color w:val="000000"/>
          <w:lang w:val="fr-FR"/>
        </w:rPr>
        <w:t xml:space="preserve"> </w:t>
      </w:r>
      <w:r w:rsidRPr="00D0609B">
        <w:rPr>
          <w:lang w:val="fr-FR"/>
        </w:rPr>
        <w:t>privation d</w:t>
      </w:r>
      <w:r w:rsidRPr="00D0609B" w:rsidR="00D0609B">
        <w:rPr>
          <w:lang w:val="fr-FR"/>
        </w:rPr>
        <w:t>’</w:t>
      </w:r>
      <w:r w:rsidRPr="00D0609B">
        <w:rPr>
          <w:lang w:val="fr-FR"/>
        </w:rPr>
        <w:t>un droit de propriété ou d</w:t>
      </w:r>
      <w:r w:rsidRPr="00D0609B" w:rsidR="00D0609B">
        <w:rPr>
          <w:lang w:val="fr-FR"/>
        </w:rPr>
        <w:t>’</w:t>
      </w:r>
      <w:r w:rsidRPr="00D0609B">
        <w:rPr>
          <w:lang w:val="fr-FR"/>
        </w:rPr>
        <w:t>un autre droit réel constitue en principe un acte instantané et ne crée pas une situation continue de « privation d</w:t>
      </w:r>
      <w:r w:rsidRPr="00D0609B" w:rsidR="00D0609B">
        <w:rPr>
          <w:lang w:val="fr-FR"/>
        </w:rPr>
        <w:t>’</w:t>
      </w:r>
      <w:r w:rsidRPr="00D0609B">
        <w:rPr>
          <w:lang w:val="fr-FR"/>
        </w:rPr>
        <w:t>un droit » (voir, entre autres, </w:t>
      </w:r>
      <w:r w:rsidRPr="00D0609B">
        <w:rPr>
          <w:i/>
          <w:lang w:val="fr-FR"/>
        </w:rPr>
        <w:t>Malhous</w:t>
      </w:r>
      <w:r w:rsidRPr="00D0609B">
        <w:rPr>
          <w:i/>
          <w:lang w:val="fr-FR"/>
        </w:rPr>
        <w:t xml:space="preserve"> c. République tchèque</w:t>
      </w:r>
      <w:r w:rsidRPr="00D0609B">
        <w:rPr>
          <w:lang w:val="fr-FR"/>
        </w:rPr>
        <w:t> (déc.) [GC], n</w:t>
      </w:r>
      <w:r w:rsidRPr="00D0609B">
        <w:rPr>
          <w:vertAlign w:val="superscript"/>
          <w:lang w:val="fr-FR"/>
        </w:rPr>
        <w:t>o</w:t>
      </w:r>
      <w:r w:rsidRPr="00D0609B">
        <w:rPr>
          <w:lang w:val="fr-FR"/>
        </w:rPr>
        <w:t> 33071/96, CEDH 2000-XII). Il indique qu</w:t>
      </w:r>
      <w:r w:rsidRPr="00D0609B" w:rsidR="00D0609B">
        <w:rPr>
          <w:lang w:val="fr-FR"/>
        </w:rPr>
        <w:t>’</w:t>
      </w:r>
      <w:r w:rsidRPr="00D0609B">
        <w:rPr>
          <w:lang w:val="fr-FR"/>
        </w:rPr>
        <w:t>en l</w:t>
      </w:r>
      <w:r w:rsidRPr="00D0609B" w:rsidR="00D0609B">
        <w:rPr>
          <w:lang w:val="fr-FR"/>
        </w:rPr>
        <w:t>’</w:t>
      </w:r>
      <w:r w:rsidRPr="00D0609B">
        <w:rPr>
          <w:lang w:val="fr-FR"/>
        </w:rPr>
        <w:t>espèce l</w:t>
      </w:r>
      <w:r w:rsidRPr="00D0609B" w:rsidR="00D0609B">
        <w:rPr>
          <w:lang w:val="fr-FR"/>
        </w:rPr>
        <w:t>’</w:t>
      </w:r>
      <w:r w:rsidRPr="00D0609B">
        <w:rPr>
          <w:lang w:val="fr-FR"/>
        </w:rPr>
        <w:t>expropriation litigieuse a eu lieu bien avant le 28 janvier 1987, date à laquelle le droit de recours individuel devant la Cour a été reconnu par la Turquie. Il se réfère à cet égard à la décision d</w:t>
      </w:r>
      <w:r w:rsidRPr="00D0609B" w:rsidR="00D0609B">
        <w:rPr>
          <w:lang w:val="fr-FR"/>
        </w:rPr>
        <w:t>’</w:t>
      </w:r>
      <w:r w:rsidRPr="00D0609B">
        <w:rPr>
          <w:lang w:val="fr-FR"/>
        </w:rPr>
        <w:t>irrecevabilité rendue en l</w:t>
      </w:r>
      <w:r w:rsidRPr="00D0609B" w:rsidR="00D0609B">
        <w:rPr>
          <w:lang w:val="fr-FR"/>
        </w:rPr>
        <w:t>’</w:t>
      </w:r>
      <w:r w:rsidRPr="00D0609B">
        <w:rPr>
          <w:lang w:val="fr-FR"/>
        </w:rPr>
        <w:t xml:space="preserve">affaire </w:t>
      </w:r>
      <w:r w:rsidRPr="00D0609B">
        <w:rPr>
          <w:i/>
          <w:lang w:val="fr-FR"/>
        </w:rPr>
        <w:t>La Compagnie des Filles de la Charité de Saint-Vincent de Paul c. Turquie</w:t>
      </w:r>
      <w:r w:rsidRPr="00D0609B">
        <w:rPr>
          <w:lang w:val="fr-FR"/>
        </w:rPr>
        <w:t xml:space="preserve"> ((déc.), n</w:t>
      </w:r>
      <w:r w:rsidRPr="00D0609B">
        <w:rPr>
          <w:vertAlign w:val="superscript"/>
          <w:lang w:val="fr-FR"/>
        </w:rPr>
        <w:t>o</w:t>
      </w:r>
      <w:r w:rsidRPr="00D0609B">
        <w:rPr>
          <w:lang w:val="fr-FR"/>
        </w:rPr>
        <w:t> 19579/07, 27 janvier 2015).</w:t>
      </w:r>
    </w:p>
    <w:p w:rsidRPr="00D0609B" w:rsidR="00C75D67" w:rsidP="00D0609B" w14:paraId="06BF35D5" w14:textId="77777777">
      <w:pPr>
        <w:pStyle w:val="ECHRPara"/>
        <w:rPr>
          <w:lang w:val="fr-FR"/>
        </w:rPr>
      </w:pPr>
      <w:r w:rsidRPr="00D0609B">
        <w:rPr>
          <w:lang w:val="fr-FR"/>
        </w:rPr>
        <w:t>48.  Par ailleurs, le Gouvernement plaide que, les biens litigieux ayant, selon lui, été expropriés de manière conforme au droit interne avant la date susmentionnée, la doléance du requérant concerne un simple espoir de se voir reconnaître un droit de propriété que l</w:t>
      </w:r>
      <w:r w:rsidRPr="00D0609B" w:rsidR="00D0609B">
        <w:rPr>
          <w:lang w:val="fr-FR"/>
        </w:rPr>
        <w:t>’</w:t>
      </w:r>
      <w:r w:rsidRPr="00D0609B">
        <w:rPr>
          <w:lang w:val="fr-FR"/>
        </w:rPr>
        <w:t>intéressé aurait été dans l</w:t>
      </w:r>
      <w:r w:rsidRPr="00D0609B" w:rsidR="00D0609B">
        <w:rPr>
          <w:lang w:val="fr-FR"/>
        </w:rPr>
        <w:t>’</w:t>
      </w:r>
      <w:r w:rsidRPr="00D0609B">
        <w:rPr>
          <w:lang w:val="fr-FR"/>
        </w:rPr>
        <w:t>impossibilité d</w:t>
      </w:r>
      <w:r w:rsidRPr="00D0609B" w:rsidR="00D0609B">
        <w:rPr>
          <w:lang w:val="fr-FR"/>
        </w:rPr>
        <w:t>’</w:t>
      </w:r>
      <w:r w:rsidRPr="00D0609B">
        <w:rPr>
          <w:lang w:val="fr-FR"/>
        </w:rPr>
        <w:t>exercer effectivement. Il estime que cet espoir ne peut être considéré comme un « bien » au sens de l</w:t>
      </w:r>
      <w:r w:rsidRPr="00D0609B" w:rsidR="00D0609B">
        <w:rPr>
          <w:lang w:val="fr-FR"/>
        </w:rPr>
        <w:t>’</w:t>
      </w:r>
      <w:r w:rsidRPr="00D0609B">
        <w:rPr>
          <w:lang w:val="fr-FR"/>
        </w:rPr>
        <w:t>article 1 du Protocole n</w:t>
      </w:r>
      <w:r w:rsidRPr="00D0609B">
        <w:rPr>
          <w:vertAlign w:val="superscript"/>
          <w:lang w:val="fr-FR"/>
        </w:rPr>
        <w:t>o</w:t>
      </w:r>
      <w:r w:rsidRPr="00D0609B">
        <w:rPr>
          <w:lang w:val="fr-FR"/>
        </w:rPr>
        <w:t xml:space="preserve"> 1. Dès lors, la requête serait également irrecevable pour incompatibilité </w:t>
      </w:r>
      <w:r w:rsidRPr="00D0609B">
        <w:rPr>
          <w:i/>
          <w:lang w:val="fr-FR"/>
        </w:rPr>
        <w:t>ratione</w:t>
      </w:r>
      <w:r w:rsidRPr="00D0609B">
        <w:rPr>
          <w:i/>
          <w:lang w:val="fr-FR"/>
        </w:rPr>
        <w:t xml:space="preserve"> materiae</w:t>
      </w:r>
      <w:r w:rsidRPr="00D0609B">
        <w:rPr>
          <w:lang w:val="fr-FR"/>
        </w:rPr>
        <w:t xml:space="preserve"> avec les dispositions de la Convention. À cet égard, le Gouvernement précise qu</w:t>
      </w:r>
      <w:r w:rsidRPr="00D0609B" w:rsidR="00D0609B">
        <w:rPr>
          <w:lang w:val="fr-FR"/>
        </w:rPr>
        <w:t>’</w:t>
      </w:r>
      <w:r w:rsidRPr="00D0609B">
        <w:rPr>
          <w:lang w:val="fr-FR"/>
        </w:rPr>
        <w:t>il est de jurisprudence bien établie que cette disposition ne peut être interprétée comme faisant peser sur les États contractants une obligation générale de restituer les biens leur ayant été transférés avant qu</w:t>
      </w:r>
      <w:r w:rsidRPr="00D0609B" w:rsidR="00D0609B">
        <w:rPr>
          <w:lang w:val="fr-FR"/>
        </w:rPr>
        <w:t>’</w:t>
      </w:r>
      <w:r w:rsidRPr="00D0609B">
        <w:rPr>
          <w:lang w:val="fr-FR"/>
        </w:rPr>
        <w:t>ils ne ratifient la Convention (</w:t>
      </w:r>
      <w:r w:rsidRPr="00D0609B">
        <w:rPr>
          <w:i/>
          <w:lang w:val="fr-FR"/>
        </w:rPr>
        <w:t>Bergauer</w:t>
      </w:r>
      <w:r w:rsidRPr="00D0609B">
        <w:rPr>
          <w:i/>
          <w:lang w:val="fr-FR"/>
        </w:rPr>
        <w:t xml:space="preserve"> et autres c. République tchèque</w:t>
      </w:r>
      <w:r w:rsidRPr="00D0609B">
        <w:rPr>
          <w:lang w:val="fr-FR"/>
        </w:rPr>
        <w:t xml:space="preserve"> (déc.), n</w:t>
      </w:r>
      <w:r w:rsidRPr="00D0609B">
        <w:rPr>
          <w:vertAlign w:val="superscript"/>
          <w:lang w:val="fr-FR"/>
        </w:rPr>
        <w:t>o</w:t>
      </w:r>
      <w:r w:rsidRPr="00D0609B">
        <w:rPr>
          <w:lang w:val="fr-FR"/>
        </w:rPr>
        <w:t xml:space="preserve"> 17120/04, 13 décembre 2005).</w:t>
      </w:r>
    </w:p>
    <w:p w:rsidRPr="00D0609B" w:rsidR="00C75D67" w:rsidP="00D0609B" w14:paraId="7080E0E7" w14:textId="77777777">
      <w:pPr>
        <w:pStyle w:val="ECHRPara"/>
        <w:rPr>
          <w:lang w:val="fr-FR"/>
        </w:rPr>
      </w:pPr>
      <w:r w:rsidRPr="00D0609B">
        <w:rPr>
          <w:lang w:val="fr-FR"/>
        </w:rPr>
        <w:t>49.  La Cour observe que c</w:t>
      </w:r>
      <w:r w:rsidRPr="00D0609B" w:rsidR="00D0609B">
        <w:rPr>
          <w:lang w:val="fr-FR"/>
        </w:rPr>
        <w:t>’</w:t>
      </w:r>
      <w:r w:rsidRPr="00D0609B">
        <w:rPr>
          <w:lang w:val="fr-FR"/>
        </w:rPr>
        <w:t xml:space="preserve">est lorsque les tribunaux ont établi de manière définitive que les </w:t>
      </w:r>
      <w:r w:rsidRPr="00D0609B">
        <w:rPr>
          <w:i/>
          <w:lang w:val="fr-FR"/>
        </w:rPr>
        <w:t>de cujus</w:t>
      </w:r>
      <w:r w:rsidRPr="00D0609B">
        <w:rPr>
          <w:lang w:val="fr-FR"/>
        </w:rPr>
        <w:t xml:space="preserve"> du requérant faisaient partie des propriétaires des biens litigieux que ce dernier a acquis le droit de percevoir les indemnités d</w:t>
      </w:r>
      <w:r w:rsidRPr="00D0609B" w:rsidR="00D0609B">
        <w:rPr>
          <w:lang w:val="fr-FR"/>
        </w:rPr>
        <w:t>’</w:t>
      </w:r>
      <w:r w:rsidRPr="00D0609B">
        <w:rPr>
          <w:lang w:val="fr-FR"/>
        </w:rPr>
        <w:t xml:space="preserve">expropriation qui avaient été bloquées sur un compte </w:t>
      </w:r>
      <w:r w:rsidRPr="00D0609B">
        <w:rPr>
          <w:lang w:val="fr-FR"/>
        </w:rPr>
        <w:t>bancaire en vue de leur versement aux personnes qui seraient désignées comme propriétaires par le tribunal du cadastre.</w:t>
      </w:r>
    </w:p>
    <w:p w:rsidRPr="00D0609B" w:rsidR="00C75D67" w:rsidP="00D0609B" w14:paraId="1B40E46C" w14:textId="77777777">
      <w:pPr>
        <w:pStyle w:val="ECHRPara"/>
        <w:rPr>
          <w:lang w:val="fr-FR"/>
        </w:rPr>
      </w:pPr>
      <w:r w:rsidRPr="00D0609B">
        <w:rPr>
          <w:lang w:val="fr-FR"/>
        </w:rPr>
        <w:t>50.  Le droit du requérant à obtenir une indemnisation est donc né avec le jugement du tribunal du cadastre du 29 juin 2004, lequel est devenu définitif le 13 juillet 2006, dates bien postérieures au 28 janvier 1987.</w:t>
      </w:r>
    </w:p>
    <w:p w:rsidRPr="00D0609B" w:rsidR="00C75D67" w:rsidP="00D0609B" w14:paraId="2387C94B" w14:textId="77777777">
      <w:pPr>
        <w:pStyle w:val="ECHRPara"/>
        <w:rPr>
          <w:lang w:val="fr-FR"/>
        </w:rPr>
      </w:pPr>
      <w:r w:rsidRPr="00D0609B">
        <w:rPr>
          <w:lang w:val="fr-FR"/>
        </w:rPr>
        <w:t>51.  Par ailleurs, la Cour relève que ce droit à obtenir des indemnités d</w:t>
      </w:r>
      <w:r w:rsidRPr="00D0609B" w:rsidR="00D0609B">
        <w:rPr>
          <w:lang w:val="fr-FR"/>
        </w:rPr>
        <w:t>’</w:t>
      </w:r>
      <w:r w:rsidRPr="00D0609B">
        <w:rPr>
          <w:lang w:val="fr-FR"/>
        </w:rPr>
        <w:t>expropriation constitue à n</w:t>
      </w:r>
      <w:r w:rsidRPr="00D0609B" w:rsidR="00D0609B">
        <w:rPr>
          <w:lang w:val="fr-FR"/>
        </w:rPr>
        <w:t>’</w:t>
      </w:r>
      <w:r w:rsidRPr="00D0609B">
        <w:rPr>
          <w:lang w:val="fr-FR"/>
        </w:rPr>
        <w:t>en pas douter un intérêt patrimonial protégé par la Convention.</w:t>
      </w:r>
    </w:p>
    <w:p w:rsidRPr="00D0609B" w:rsidR="00C75D67" w:rsidP="00D0609B" w14:paraId="2B4215B8" w14:textId="77777777">
      <w:pPr>
        <w:pStyle w:val="ECHRPara"/>
        <w:rPr>
          <w:lang w:val="fr-FR"/>
        </w:rPr>
      </w:pPr>
      <w:r w:rsidRPr="00D0609B">
        <w:rPr>
          <w:lang w:val="fr-FR"/>
        </w:rPr>
        <w:t>52.  Il s</w:t>
      </w:r>
      <w:r w:rsidRPr="00D0609B" w:rsidR="00D0609B">
        <w:rPr>
          <w:lang w:val="fr-FR"/>
        </w:rPr>
        <w:t>’</w:t>
      </w:r>
      <w:r w:rsidRPr="00D0609B">
        <w:rPr>
          <w:lang w:val="fr-FR"/>
        </w:rPr>
        <w:t>ensuit que, dès lors qu</w:t>
      </w:r>
      <w:r w:rsidRPr="00D0609B" w:rsidR="00D0609B">
        <w:rPr>
          <w:lang w:val="fr-FR"/>
        </w:rPr>
        <w:t>’</w:t>
      </w:r>
      <w:r w:rsidRPr="00D0609B">
        <w:rPr>
          <w:lang w:val="fr-FR"/>
        </w:rPr>
        <w:t>elles ont trait au grief tiré de l</w:t>
      </w:r>
      <w:r w:rsidRPr="00D0609B" w:rsidR="00D0609B">
        <w:rPr>
          <w:lang w:val="fr-FR"/>
        </w:rPr>
        <w:t>’</w:t>
      </w:r>
      <w:r w:rsidRPr="00D0609B">
        <w:rPr>
          <w:lang w:val="fr-FR"/>
        </w:rPr>
        <w:t>absence d</w:t>
      </w:r>
      <w:r w:rsidRPr="00D0609B" w:rsidR="00D0609B">
        <w:rPr>
          <w:lang w:val="fr-FR"/>
        </w:rPr>
        <w:t>’</w:t>
      </w:r>
      <w:r w:rsidRPr="00D0609B">
        <w:rPr>
          <w:lang w:val="fr-FR"/>
        </w:rPr>
        <w:t>indemnisation, les exceptions d</w:t>
      </w:r>
      <w:r w:rsidRPr="00D0609B" w:rsidR="00D0609B">
        <w:rPr>
          <w:lang w:val="fr-FR"/>
        </w:rPr>
        <w:t>’</w:t>
      </w:r>
      <w:r w:rsidRPr="00D0609B">
        <w:rPr>
          <w:lang w:val="fr-FR"/>
        </w:rPr>
        <w:t>irrecevabilité soulevées en l</w:t>
      </w:r>
      <w:r w:rsidRPr="00D0609B" w:rsidR="00D0609B">
        <w:rPr>
          <w:lang w:val="fr-FR"/>
        </w:rPr>
        <w:t>’</w:t>
      </w:r>
      <w:r w:rsidRPr="00D0609B">
        <w:rPr>
          <w:lang w:val="fr-FR"/>
        </w:rPr>
        <w:t xml:space="preserve">espèce quant à la compétence </w:t>
      </w:r>
      <w:r w:rsidRPr="00D0609B">
        <w:rPr>
          <w:i/>
          <w:lang w:val="fr-FR"/>
        </w:rPr>
        <w:t>ratione</w:t>
      </w:r>
      <w:r w:rsidRPr="00D0609B">
        <w:rPr>
          <w:i/>
          <w:lang w:val="fr-FR"/>
        </w:rPr>
        <w:t xml:space="preserve"> materiae</w:t>
      </w:r>
      <w:r w:rsidRPr="00D0609B">
        <w:rPr>
          <w:lang w:val="fr-FR"/>
        </w:rPr>
        <w:t xml:space="preserve"> et </w:t>
      </w:r>
      <w:r w:rsidRPr="00D0609B">
        <w:rPr>
          <w:i/>
          <w:lang w:val="fr-FR"/>
        </w:rPr>
        <w:t>ratione</w:t>
      </w:r>
      <w:r w:rsidRPr="00D0609B">
        <w:rPr>
          <w:i/>
          <w:lang w:val="fr-FR"/>
        </w:rPr>
        <w:t xml:space="preserve"> </w:t>
      </w:r>
      <w:r w:rsidRPr="00D0609B">
        <w:rPr>
          <w:i/>
          <w:lang w:val="fr-FR"/>
        </w:rPr>
        <w:t>temporis</w:t>
      </w:r>
      <w:r w:rsidRPr="00D0609B">
        <w:rPr>
          <w:lang w:val="fr-FR"/>
        </w:rPr>
        <w:t xml:space="preserve"> de la Cour ne sont pas fondées.</w:t>
      </w:r>
    </w:p>
    <w:p w:rsidRPr="00D0609B" w:rsidR="00C75D67" w:rsidP="00D0609B" w14:paraId="2147F4A9" w14:textId="77777777">
      <w:pPr>
        <w:pStyle w:val="ECHRPara"/>
        <w:rPr>
          <w:lang w:val="fr-FR"/>
        </w:rPr>
      </w:pPr>
      <w:r w:rsidRPr="00D0609B">
        <w:rPr>
          <w:lang w:val="fr-FR"/>
        </w:rPr>
        <w:t>53.  Cela étant, la Cour estime qu</w:t>
      </w:r>
      <w:r w:rsidRPr="00D0609B" w:rsidR="00D0609B">
        <w:rPr>
          <w:lang w:val="fr-FR"/>
        </w:rPr>
        <w:t>’</w:t>
      </w:r>
      <w:r w:rsidRPr="00D0609B">
        <w:rPr>
          <w:lang w:val="fr-FR"/>
        </w:rPr>
        <w:t>il en va différemment en ce qui concerne les griefs relatifs à la procédure d</w:t>
      </w:r>
      <w:r w:rsidRPr="00D0609B" w:rsidR="00D0609B">
        <w:rPr>
          <w:lang w:val="fr-FR"/>
        </w:rPr>
        <w:t>’</w:t>
      </w:r>
      <w:r w:rsidRPr="00D0609B">
        <w:rPr>
          <w:lang w:val="fr-FR"/>
        </w:rPr>
        <w:t xml:space="preserve">expropriation </w:t>
      </w:r>
      <w:r w:rsidRPr="00D0609B">
        <w:rPr>
          <w:i/>
          <w:lang w:val="fr-FR"/>
        </w:rPr>
        <w:t>stricto sensu</w:t>
      </w:r>
      <w:r w:rsidRPr="00D0609B">
        <w:rPr>
          <w:lang w:val="fr-FR"/>
        </w:rPr>
        <w:t xml:space="preserve"> (allégations d</w:t>
      </w:r>
      <w:r w:rsidRPr="00D0609B" w:rsidR="00D0609B">
        <w:rPr>
          <w:lang w:val="fr-FR"/>
        </w:rPr>
        <w:t>’</w:t>
      </w:r>
      <w:r w:rsidRPr="00D0609B">
        <w:rPr>
          <w:lang w:val="fr-FR"/>
        </w:rPr>
        <w:t>absence d</w:t>
      </w:r>
      <w:r w:rsidRPr="00D0609B" w:rsidR="00D0609B">
        <w:rPr>
          <w:lang w:val="fr-FR"/>
        </w:rPr>
        <w:t>’</w:t>
      </w:r>
      <w:r w:rsidRPr="00D0609B">
        <w:rPr>
          <w:lang w:val="fr-FR"/>
        </w:rPr>
        <w:t>intérêt général et de défaut de base légale de la procédure d</w:t>
      </w:r>
      <w:r w:rsidRPr="00D0609B" w:rsidR="00D0609B">
        <w:rPr>
          <w:lang w:val="fr-FR"/>
        </w:rPr>
        <w:t>’</w:t>
      </w:r>
      <w:r w:rsidRPr="00D0609B">
        <w:rPr>
          <w:lang w:val="fr-FR"/>
        </w:rPr>
        <w:t>expropriation). En effet, cette procédure s</w:t>
      </w:r>
      <w:r w:rsidRPr="00D0609B" w:rsidR="00D0609B">
        <w:rPr>
          <w:lang w:val="fr-FR"/>
        </w:rPr>
        <w:t>’</w:t>
      </w:r>
      <w:r w:rsidRPr="00D0609B">
        <w:rPr>
          <w:lang w:val="fr-FR"/>
        </w:rPr>
        <w:t xml:space="preserve">étant achevée avant le 28 janvier 1987, les griefs y afférents sont incompatibles </w:t>
      </w:r>
      <w:r w:rsidRPr="00D0609B">
        <w:rPr>
          <w:i/>
          <w:lang w:val="fr-FR"/>
        </w:rPr>
        <w:t>ratione</w:t>
      </w:r>
      <w:r w:rsidRPr="00D0609B">
        <w:rPr>
          <w:i/>
          <w:lang w:val="fr-FR"/>
        </w:rPr>
        <w:t xml:space="preserve"> </w:t>
      </w:r>
      <w:r w:rsidRPr="00D0609B">
        <w:rPr>
          <w:i/>
          <w:lang w:val="fr-FR"/>
        </w:rPr>
        <w:t>temporis</w:t>
      </w:r>
      <w:r w:rsidRPr="00D0609B">
        <w:rPr>
          <w:lang w:val="fr-FR"/>
        </w:rPr>
        <w:t xml:space="preserve"> avec les dispositions de la Convention.</w:t>
      </w:r>
    </w:p>
    <w:p w:rsidRPr="00D0609B" w:rsidR="00C75D67" w:rsidP="00D0609B" w14:paraId="6081AF70" w14:textId="77777777">
      <w:pPr>
        <w:pStyle w:val="ECHRHeading3"/>
        <w:rPr>
          <w:lang w:val="fr-FR"/>
        </w:rPr>
      </w:pPr>
      <w:r w:rsidRPr="00D0609B">
        <w:rPr>
          <w:lang w:val="fr-FR"/>
        </w:rPr>
        <w:t>2.  Sur le respect du délai de six mois</w:t>
      </w:r>
    </w:p>
    <w:p w:rsidRPr="00D0609B" w:rsidR="00C75D67" w:rsidP="00D0609B" w14:paraId="6A3456CB" w14:textId="77777777">
      <w:pPr>
        <w:pStyle w:val="ECHRPara"/>
        <w:rPr>
          <w:lang w:val="fr-FR"/>
        </w:rPr>
      </w:pPr>
      <w:r w:rsidRPr="00D0609B">
        <w:rPr>
          <w:lang w:val="fr-FR"/>
        </w:rPr>
        <w:t>54.  Le Gouvernement soutient également que le délai de six mois n</w:t>
      </w:r>
      <w:r w:rsidRPr="00D0609B" w:rsidR="00D0609B">
        <w:rPr>
          <w:lang w:val="fr-FR"/>
        </w:rPr>
        <w:t>’</w:t>
      </w:r>
      <w:r w:rsidRPr="00D0609B">
        <w:rPr>
          <w:lang w:val="fr-FR"/>
        </w:rPr>
        <w:t>a pas été respecté. À cet égard, il dit que la requête a été introduite le 20 juillet 2010 alors que la dernière décision interne définitive aurait été notifiée le 18 janvier 2010.</w:t>
      </w:r>
    </w:p>
    <w:p w:rsidRPr="00D0609B" w:rsidR="00C75D67" w:rsidP="00D0609B" w14:paraId="74F2944B" w14:textId="77777777">
      <w:pPr>
        <w:pStyle w:val="ECHRPara"/>
        <w:rPr>
          <w:lang w:val="fr-FR"/>
        </w:rPr>
      </w:pPr>
      <w:r w:rsidRPr="00D0609B">
        <w:rPr>
          <w:lang w:val="fr-FR"/>
        </w:rPr>
        <w:t>55.  La Cour observe que la requête a été introduite en deux temps. En effet, le requérant a présenté deux formulaires distincts – un pour chacun des deux terrains en litige –, et ces formulaires ont été considérés comme constituant une seule et même requête.</w:t>
      </w:r>
    </w:p>
    <w:p w:rsidRPr="00D0609B" w:rsidR="00C75D67" w:rsidP="00D0609B" w14:paraId="192FE654" w14:textId="77777777">
      <w:pPr>
        <w:pStyle w:val="ECHRPara"/>
        <w:rPr>
          <w:lang w:val="fr-FR"/>
        </w:rPr>
      </w:pPr>
      <w:r w:rsidRPr="00D0609B">
        <w:rPr>
          <w:lang w:val="fr-FR"/>
        </w:rPr>
        <w:t>56.  La Cour note que l</w:t>
      </w:r>
      <w:r w:rsidRPr="00D0609B" w:rsidR="00D0609B">
        <w:rPr>
          <w:lang w:val="fr-FR"/>
        </w:rPr>
        <w:t>’</w:t>
      </w:r>
      <w:r w:rsidRPr="00D0609B">
        <w:rPr>
          <w:lang w:val="fr-FR"/>
        </w:rPr>
        <w:t>exception du Gouvernement concerne la partie de la requête relative à la parcelle n</w:t>
      </w:r>
      <w:r w:rsidRPr="00D0609B">
        <w:rPr>
          <w:vertAlign w:val="superscript"/>
          <w:lang w:val="fr-FR"/>
        </w:rPr>
        <w:t>o</w:t>
      </w:r>
      <w:r w:rsidRPr="00D0609B">
        <w:rPr>
          <w:lang w:val="fr-FR"/>
        </w:rPr>
        <w:t xml:space="preserve"> 2 de l</w:t>
      </w:r>
      <w:r w:rsidRPr="00D0609B" w:rsidR="00D0609B">
        <w:rPr>
          <w:lang w:val="fr-FR"/>
        </w:rPr>
        <w:t>’</w:t>
      </w:r>
      <w:r w:rsidRPr="00D0609B">
        <w:rPr>
          <w:lang w:val="fr-FR"/>
        </w:rPr>
        <w:t>îlot 3298.</w:t>
      </w:r>
    </w:p>
    <w:p w:rsidRPr="00D0609B" w:rsidR="00C75D67" w:rsidP="00D0609B" w14:paraId="5DA3D957" w14:textId="77777777">
      <w:pPr>
        <w:pStyle w:val="ECHRPara"/>
        <w:rPr>
          <w:lang w:val="fr-FR"/>
        </w:rPr>
      </w:pPr>
      <w:r w:rsidRPr="00D0609B">
        <w:rPr>
          <w:lang w:val="fr-FR"/>
        </w:rPr>
        <w:t>57.  Elle relève ensuite que le grief relatif à cette parcelle a été introduit le 17 juillet 2010, et non le 20 juillet comme l</w:t>
      </w:r>
      <w:r w:rsidRPr="00D0609B" w:rsidR="00D0609B">
        <w:rPr>
          <w:lang w:val="fr-FR"/>
        </w:rPr>
        <w:t>’</w:t>
      </w:r>
      <w:r w:rsidRPr="00D0609B">
        <w:rPr>
          <w:lang w:val="fr-FR"/>
        </w:rPr>
        <w:t>affirme le Gouvernement.</w:t>
      </w:r>
    </w:p>
    <w:p w:rsidRPr="00D0609B" w:rsidR="00C75D67" w:rsidP="00D0609B" w14:paraId="71D5BA9D" w14:textId="77777777">
      <w:pPr>
        <w:pStyle w:val="ECHRPara"/>
        <w:rPr>
          <w:lang w:val="fr-FR"/>
        </w:rPr>
      </w:pPr>
      <w:r w:rsidRPr="00D0609B">
        <w:rPr>
          <w:lang w:val="fr-FR"/>
        </w:rPr>
        <w:t>58.  Cette dernière date, qui est celle du cachet qui a été apposé par le greffe sur le formulaire de requête, correspond à la date à laquelle le document est parvenu à la Cour. Or il est de jurisprudence constante que la date d</w:t>
      </w:r>
      <w:r w:rsidRPr="00D0609B" w:rsidR="00D0609B">
        <w:rPr>
          <w:lang w:val="fr-FR"/>
        </w:rPr>
        <w:t>’</w:t>
      </w:r>
      <w:r w:rsidRPr="00D0609B">
        <w:rPr>
          <w:lang w:val="fr-FR"/>
        </w:rPr>
        <w:t>introduction d</w:t>
      </w:r>
      <w:r w:rsidRPr="00D0609B" w:rsidR="00D0609B">
        <w:rPr>
          <w:lang w:val="fr-FR"/>
        </w:rPr>
        <w:t>’</w:t>
      </w:r>
      <w:r w:rsidRPr="00D0609B">
        <w:rPr>
          <w:lang w:val="fr-FR"/>
        </w:rPr>
        <w:t>une requête n</w:t>
      </w:r>
      <w:r w:rsidRPr="00D0609B" w:rsidR="00D0609B">
        <w:rPr>
          <w:lang w:val="fr-FR"/>
        </w:rPr>
        <w:t>’</w:t>
      </w:r>
      <w:r w:rsidRPr="00D0609B">
        <w:rPr>
          <w:lang w:val="fr-FR"/>
        </w:rPr>
        <w:t>est pas la date d</w:t>
      </w:r>
      <w:r w:rsidRPr="00D0609B" w:rsidR="00D0609B">
        <w:rPr>
          <w:lang w:val="fr-FR"/>
        </w:rPr>
        <w:t>’</w:t>
      </w:r>
      <w:r w:rsidRPr="00D0609B">
        <w:rPr>
          <w:lang w:val="fr-FR"/>
        </w:rPr>
        <w:t>arrivée de celle-ci au greffe, mais la date de sa remise à la poste (</w:t>
      </w:r>
      <w:r w:rsidRPr="00D0609B">
        <w:rPr>
          <w:i/>
          <w:lang w:val="fr-FR"/>
        </w:rPr>
        <w:t>Arslan c. Turquie</w:t>
      </w:r>
      <w:r w:rsidRPr="00D0609B">
        <w:rPr>
          <w:lang w:val="fr-FR"/>
        </w:rPr>
        <w:t xml:space="preserve"> (déc.), n</w:t>
      </w:r>
      <w:r w:rsidRPr="00D0609B">
        <w:rPr>
          <w:vertAlign w:val="superscript"/>
          <w:lang w:val="fr-FR"/>
        </w:rPr>
        <w:t>o</w:t>
      </w:r>
      <w:r w:rsidRPr="00D0609B">
        <w:rPr>
          <w:lang w:val="fr-FR"/>
        </w:rPr>
        <w:t> </w:t>
      </w:r>
      <w:r w:rsidRPr="00D0609B">
        <w:rPr>
          <w:rStyle w:val="column"/>
          <w:lang w:val="fr-FR"/>
        </w:rPr>
        <w:t>36747/02</w:t>
      </w:r>
      <w:r w:rsidRPr="00D0609B">
        <w:rPr>
          <w:lang w:val="fr-FR"/>
        </w:rPr>
        <w:t>, 21 novembre 2002). Il s</w:t>
      </w:r>
      <w:r w:rsidRPr="00D0609B" w:rsidR="00D0609B">
        <w:rPr>
          <w:lang w:val="fr-FR"/>
        </w:rPr>
        <w:t>’</w:t>
      </w:r>
      <w:r w:rsidRPr="00D0609B">
        <w:rPr>
          <w:lang w:val="fr-FR"/>
        </w:rPr>
        <w:t>agit en l</w:t>
      </w:r>
      <w:r w:rsidRPr="00D0609B" w:rsidR="00D0609B">
        <w:rPr>
          <w:lang w:val="fr-FR"/>
        </w:rPr>
        <w:t>’</w:t>
      </w:r>
      <w:r w:rsidRPr="00D0609B">
        <w:rPr>
          <w:lang w:val="fr-FR"/>
        </w:rPr>
        <w:t>espèce du 17 juillet 2010.</w:t>
      </w:r>
    </w:p>
    <w:p w:rsidRPr="00D0609B" w:rsidR="00C75D67" w:rsidP="00D0609B" w14:paraId="2F651B56" w14:textId="77777777">
      <w:pPr>
        <w:pStyle w:val="ECHRPara"/>
        <w:rPr>
          <w:lang w:val="fr-FR"/>
        </w:rPr>
      </w:pPr>
      <w:r w:rsidRPr="00D0609B">
        <w:rPr>
          <w:lang w:val="fr-FR"/>
        </w:rPr>
        <w:t>59.  La partie de la requête relative à la parcelle n</w:t>
      </w:r>
      <w:r w:rsidRPr="00D0609B">
        <w:rPr>
          <w:vertAlign w:val="superscript"/>
          <w:lang w:val="fr-FR"/>
        </w:rPr>
        <w:t>o</w:t>
      </w:r>
      <w:r w:rsidRPr="00D0609B">
        <w:rPr>
          <w:lang w:val="fr-FR"/>
        </w:rPr>
        <w:t xml:space="preserve"> 2 de l</w:t>
      </w:r>
      <w:r w:rsidRPr="00D0609B" w:rsidR="00D0609B">
        <w:rPr>
          <w:lang w:val="fr-FR"/>
        </w:rPr>
        <w:t>’</w:t>
      </w:r>
      <w:r w:rsidRPr="00D0609B">
        <w:rPr>
          <w:lang w:val="fr-FR"/>
        </w:rPr>
        <w:t>îlot 3298 a donc été introduite dans le délai de six mois.</w:t>
      </w:r>
    </w:p>
    <w:p w:rsidRPr="00D0609B" w:rsidR="00C75D67" w:rsidP="00D0609B" w14:paraId="54D68749" w14:textId="77777777">
      <w:pPr>
        <w:pStyle w:val="ECHRPara"/>
        <w:rPr>
          <w:lang w:val="fr-FR"/>
        </w:rPr>
      </w:pPr>
      <w:r w:rsidRPr="00D0609B">
        <w:rPr>
          <w:lang w:val="fr-FR"/>
        </w:rPr>
        <w:t>60.  Quant à la partie du grief concernant l</w:t>
      </w:r>
      <w:r w:rsidRPr="00D0609B" w:rsidR="00D0609B">
        <w:rPr>
          <w:lang w:val="fr-FR"/>
        </w:rPr>
        <w:t>’</w:t>
      </w:r>
      <w:r w:rsidRPr="00D0609B">
        <w:rPr>
          <w:lang w:val="fr-FR"/>
        </w:rPr>
        <w:t>autre parcelle, la Cour observe que, à supposer qu</w:t>
      </w:r>
      <w:r w:rsidRPr="00D0609B" w:rsidR="00D0609B">
        <w:rPr>
          <w:lang w:val="fr-FR"/>
        </w:rPr>
        <w:t>’</w:t>
      </w:r>
      <w:r w:rsidRPr="00D0609B">
        <w:rPr>
          <w:lang w:val="fr-FR"/>
        </w:rPr>
        <w:t>elle soit elle aussi visée par l</w:t>
      </w:r>
      <w:r w:rsidRPr="00D0609B" w:rsidR="00D0609B">
        <w:rPr>
          <w:lang w:val="fr-FR"/>
        </w:rPr>
        <w:t>’</w:t>
      </w:r>
      <w:r w:rsidRPr="00D0609B">
        <w:rPr>
          <w:lang w:val="fr-FR"/>
        </w:rPr>
        <w:t>exception du Gouvernement, elle ne se heurte pas, elle non plus, à l</w:t>
      </w:r>
      <w:r w:rsidRPr="00D0609B" w:rsidR="00D0609B">
        <w:rPr>
          <w:lang w:val="fr-FR"/>
        </w:rPr>
        <w:t>’</w:t>
      </w:r>
      <w:r w:rsidRPr="00D0609B">
        <w:rPr>
          <w:lang w:val="fr-FR"/>
        </w:rPr>
        <w:t>exigence du délai de six mois.</w:t>
      </w:r>
    </w:p>
    <w:p w:rsidRPr="00D0609B" w:rsidR="00C75D67" w:rsidP="00D0609B" w14:paraId="4510DB94" w14:textId="77777777">
      <w:pPr>
        <w:pStyle w:val="ECHRHeading3"/>
        <w:rPr>
          <w:lang w:val="fr-FR"/>
        </w:rPr>
      </w:pPr>
      <w:r w:rsidRPr="00D0609B">
        <w:rPr>
          <w:lang w:val="fr-FR"/>
        </w:rPr>
        <w:t>3.  Sur l</w:t>
      </w:r>
      <w:r w:rsidRPr="00D0609B" w:rsidR="00D0609B">
        <w:rPr>
          <w:lang w:val="fr-FR"/>
        </w:rPr>
        <w:t>’</w:t>
      </w:r>
      <w:r w:rsidRPr="00D0609B">
        <w:rPr>
          <w:lang w:val="fr-FR"/>
        </w:rPr>
        <w:t>épuisement des voies de recours internes</w:t>
      </w:r>
    </w:p>
    <w:p w:rsidRPr="00D0609B" w:rsidR="00C75D67" w:rsidP="00D0609B" w14:paraId="32C4915C" w14:textId="77777777">
      <w:pPr>
        <w:pStyle w:val="ECHRHeading4"/>
        <w:rPr>
          <w:rFonts w:asciiTheme="minorHAnsi" w:hAnsiTheme="minorHAnsi" w:eastAsiaTheme="minorEastAsia" w:cstheme="minorBidi"/>
          <w:b w:val="0"/>
          <w:bCs w:val="0"/>
          <w:iCs w:val="0"/>
          <w:sz w:val="24"/>
          <w:lang w:val="fr-FR"/>
        </w:rPr>
      </w:pPr>
      <w:r w:rsidRPr="00D0609B">
        <w:rPr>
          <w:lang w:val="fr-FR"/>
        </w:rPr>
        <w:t>a.  Le recours individuel devant la Cour constitutionnelle</w:t>
      </w:r>
    </w:p>
    <w:p w:rsidRPr="00D0609B" w:rsidR="00C75D67" w:rsidP="00D0609B" w14:paraId="3A095309" w14:textId="77777777">
      <w:pPr>
        <w:pStyle w:val="ECHRPara"/>
        <w:rPr>
          <w:lang w:val="fr-FR"/>
        </w:rPr>
      </w:pPr>
      <w:r w:rsidRPr="00D0609B">
        <w:rPr>
          <w:lang w:val="fr-FR"/>
        </w:rPr>
        <w:t>61.  Le Gouvernement soutient que le requérant n</w:t>
      </w:r>
      <w:r w:rsidRPr="00D0609B" w:rsidR="00D0609B">
        <w:rPr>
          <w:lang w:val="fr-FR"/>
        </w:rPr>
        <w:t>’</w:t>
      </w:r>
      <w:r w:rsidRPr="00D0609B">
        <w:rPr>
          <w:lang w:val="fr-FR"/>
        </w:rPr>
        <w:t>a pas épuisé les voies de recours internes puisqu</w:t>
      </w:r>
      <w:r w:rsidRPr="00D0609B" w:rsidR="00D0609B">
        <w:rPr>
          <w:lang w:val="fr-FR"/>
        </w:rPr>
        <w:t>’</w:t>
      </w:r>
      <w:r w:rsidRPr="00D0609B">
        <w:rPr>
          <w:lang w:val="fr-FR"/>
        </w:rPr>
        <w:t>il n</w:t>
      </w:r>
      <w:r w:rsidRPr="00D0609B" w:rsidR="00D0609B">
        <w:rPr>
          <w:lang w:val="fr-FR"/>
        </w:rPr>
        <w:t>’</w:t>
      </w:r>
      <w:r w:rsidRPr="00D0609B">
        <w:rPr>
          <w:lang w:val="fr-FR"/>
        </w:rPr>
        <w:t>aurait pas introduit de recours individuel devant la Cour constitutionnelle. Il précise que ce recours individuel a été instauré le 23 septembre 2012 et que la Cour l</w:t>
      </w:r>
      <w:r w:rsidRPr="00D0609B" w:rsidR="00D0609B">
        <w:rPr>
          <w:lang w:val="fr-FR"/>
        </w:rPr>
        <w:t>’</w:t>
      </w:r>
      <w:r w:rsidRPr="00D0609B">
        <w:rPr>
          <w:lang w:val="fr-FR"/>
        </w:rPr>
        <w:t>a considéré comme étant une voie de droit à exercer (</w:t>
      </w:r>
      <w:r w:rsidRPr="00D0609B">
        <w:rPr>
          <w:i/>
          <w:lang w:val="fr-FR"/>
        </w:rPr>
        <w:t>Hasan Uzun c. Turquie</w:t>
      </w:r>
      <w:r w:rsidRPr="00D0609B">
        <w:rPr>
          <w:lang w:val="fr-FR"/>
        </w:rPr>
        <w:t xml:space="preserve"> (déc.), n</w:t>
      </w:r>
      <w:r w:rsidRPr="00D0609B">
        <w:rPr>
          <w:vertAlign w:val="superscript"/>
          <w:lang w:val="fr-FR"/>
        </w:rPr>
        <w:t>o</w:t>
      </w:r>
      <w:r w:rsidRPr="00D0609B">
        <w:rPr>
          <w:lang w:val="fr-FR"/>
        </w:rPr>
        <w:t> 10755/13, §§</w:t>
      </w:r>
      <w:r w:rsidRPr="00D0609B" w:rsidR="00C434B4">
        <w:rPr>
          <w:lang w:val="fr-FR"/>
        </w:rPr>
        <w:t> </w:t>
      </w:r>
      <w:r w:rsidRPr="00D0609B">
        <w:rPr>
          <w:lang w:val="fr-FR"/>
        </w:rPr>
        <w:t>68</w:t>
      </w:r>
      <w:r w:rsidRPr="00D0609B" w:rsidR="00C434B4">
        <w:rPr>
          <w:lang w:val="fr-FR"/>
        </w:rPr>
        <w:t xml:space="preserve"> </w:t>
      </w:r>
      <w:r w:rsidRPr="00D0609B" w:rsidR="008D1A75">
        <w:rPr>
          <w:lang w:val="fr-FR"/>
        </w:rPr>
        <w:t>à </w:t>
      </w:r>
      <w:r w:rsidRPr="00D0609B">
        <w:rPr>
          <w:lang w:val="fr-FR"/>
        </w:rPr>
        <w:t>71, 30 avril 2013).</w:t>
      </w:r>
    </w:p>
    <w:p w:rsidRPr="00D0609B" w:rsidR="00C75D67" w:rsidP="00D0609B" w14:paraId="12C3473B" w14:textId="77777777">
      <w:pPr>
        <w:pStyle w:val="ECHRPara"/>
        <w:rPr>
          <w:lang w:val="fr-FR"/>
        </w:rPr>
      </w:pPr>
      <w:r w:rsidRPr="00D0609B">
        <w:rPr>
          <w:lang w:val="fr-FR"/>
        </w:rPr>
        <w:t>62.  Pour le Gouvernement, bien que la requête ait été introduite avant l</w:t>
      </w:r>
      <w:r w:rsidRPr="00D0609B" w:rsidR="00D0609B">
        <w:rPr>
          <w:lang w:val="fr-FR"/>
        </w:rPr>
        <w:t>’</w:t>
      </w:r>
      <w:r w:rsidRPr="00D0609B">
        <w:rPr>
          <w:lang w:val="fr-FR"/>
        </w:rPr>
        <w:t>entrée en vigueur de cette voie de recours, l</w:t>
      </w:r>
      <w:r w:rsidRPr="00D0609B" w:rsidR="00D0609B">
        <w:rPr>
          <w:lang w:val="fr-FR"/>
        </w:rPr>
        <w:t>’</w:t>
      </w:r>
      <w:r w:rsidRPr="00D0609B">
        <w:rPr>
          <w:lang w:val="fr-FR"/>
        </w:rPr>
        <w:t>obligation d</w:t>
      </w:r>
      <w:r w:rsidRPr="00D0609B" w:rsidR="00D0609B">
        <w:rPr>
          <w:lang w:val="fr-FR"/>
        </w:rPr>
        <w:t>’</w:t>
      </w:r>
      <w:r w:rsidRPr="00D0609B">
        <w:rPr>
          <w:lang w:val="fr-FR"/>
        </w:rPr>
        <w:t>épuiser les nouvelles voies de recours internes pèse même sur les personnes ayant introduit leur requête avant la mise en place desdits recours. Le Gouvernement cite à cet égard l</w:t>
      </w:r>
      <w:r w:rsidRPr="00D0609B" w:rsidR="00D0609B">
        <w:rPr>
          <w:lang w:val="fr-FR"/>
        </w:rPr>
        <w:t>’</w:t>
      </w:r>
      <w:r w:rsidRPr="00D0609B">
        <w:rPr>
          <w:lang w:val="fr-FR"/>
        </w:rPr>
        <w:t xml:space="preserve">affaire </w:t>
      </w:r>
      <w:r w:rsidRPr="00D0609B">
        <w:rPr>
          <w:i/>
          <w:lang w:val="fr-FR"/>
        </w:rPr>
        <w:t>Brusco c. Italie</w:t>
      </w:r>
      <w:r w:rsidRPr="00D0609B">
        <w:rPr>
          <w:lang w:val="fr-FR"/>
        </w:rPr>
        <w:t xml:space="preserve"> ((déc.), n</w:t>
      </w:r>
      <w:r w:rsidRPr="00D0609B">
        <w:rPr>
          <w:vertAlign w:val="superscript"/>
          <w:lang w:val="fr-FR"/>
        </w:rPr>
        <w:t>o</w:t>
      </w:r>
      <w:r w:rsidRPr="00D0609B" w:rsidR="00C434B4">
        <w:rPr>
          <w:lang w:val="fr-FR"/>
        </w:rPr>
        <w:t xml:space="preserve"> 69789/01, 6 </w:t>
      </w:r>
      <w:r w:rsidRPr="00D0609B">
        <w:rPr>
          <w:lang w:val="fr-FR"/>
        </w:rPr>
        <w:t>septembre 2001). En outre, il considère que la Cour constitutionnelle s</w:t>
      </w:r>
      <w:r w:rsidRPr="00D0609B" w:rsidR="00D0609B">
        <w:rPr>
          <w:lang w:val="fr-FR"/>
        </w:rPr>
        <w:t>’</w:t>
      </w:r>
      <w:r w:rsidRPr="00D0609B">
        <w:rPr>
          <w:lang w:val="fr-FR"/>
        </w:rPr>
        <w:t>estime compétente lorsque la violation en cause a débuté avant le 23</w:t>
      </w:r>
      <w:r w:rsidRPr="00D0609B" w:rsidR="00C434B4">
        <w:rPr>
          <w:lang w:val="fr-FR"/>
        </w:rPr>
        <w:t> </w:t>
      </w:r>
      <w:r w:rsidRPr="00D0609B">
        <w:rPr>
          <w:lang w:val="fr-FR"/>
        </w:rPr>
        <w:t>septembre 2012 et qu</w:t>
      </w:r>
      <w:r w:rsidRPr="00D0609B" w:rsidR="00D0609B">
        <w:rPr>
          <w:lang w:val="fr-FR"/>
        </w:rPr>
        <w:t>’</w:t>
      </w:r>
      <w:r w:rsidRPr="00D0609B">
        <w:rPr>
          <w:lang w:val="fr-FR"/>
        </w:rPr>
        <w:t>elle se poursuit au-delà.</w:t>
      </w:r>
    </w:p>
    <w:p w:rsidRPr="00D0609B" w:rsidR="00C75D67" w:rsidP="00D0609B" w14:paraId="6890566F" w14:textId="77777777">
      <w:pPr>
        <w:pStyle w:val="ECHRPara"/>
        <w:rPr>
          <w:lang w:val="fr-FR"/>
        </w:rPr>
      </w:pPr>
      <w:r w:rsidRPr="00D0609B">
        <w:rPr>
          <w:lang w:val="fr-FR"/>
        </w:rPr>
        <w:t>63.  La Cour rappelle d</w:t>
      </w:r>
      <w:r w:rsidRPr="00D0609B" w:rsidR="00D0609B">
        <w:rPr>
          <w:lang w:val="fr-FR"/>
        </w:rPr>
        <w:t>’</w:t>
      </w:r>
      <w:r w:rsidRPr="00D0609B">
        <w:rPr>
          <w:lang w:val="fr-FR"/>
        </w:rPr>
        <w:t>emblée que le respect de la règle de l</w:t>
      </w:r>
      <w:r w:rsidRPr="00D0609B" w:rsidR="00D0609B">
        <w:rPr>
          <w:lang w:val="fr-FR"/>
        </w:rPr>
        <w:t>’</w:t>
      </w:r>
      <w:r w:rsidRPr="00D0609B">
        <w:rPr>
          <w:lang w:val="fr-FR"/>
        </w:rPr>
        <w:t>épuisement des voies de recours internes s</w:t>
      </w:r>
      <w:r w:rsidRPr="00D0609B" w:rsidR="00D0609B">
        <w:rPr>
          <w:lang w:val="fr-FR"/>
        </w:rPr>
        <w:t>’</w:t>
      </w:r>
      <w:r w:rsidRPr="00D0609B">
        <w:rPr>
          <w:lang w:val="fr-FR"/>
        </w:rPr>
        <w:t>apprécie normalement à la date d</w:t>
      </w:r>
      <w:r w:rsidRPr="00D0609B" w:rsidR="00D0609B">
        <w:rPr>
          <w:lang w:val="fr-FR"/>
        </w:rPr>
        <w:t>’</w:t>
      </w:r>
      <w:r w:rsidRPr="00D0609B">
        <w:rPr>
          <w:lang w:val="fr-FR"/>
        </w:rPr>
        <w:t>introduction de la requête devant elle (</w:t>
      </w:r>
      <w:r w:rsidRPr="00D0609B">
        <w:rPr>
          <w:i/>
          <w:lang w:val="fr-FR"/>
        </w:rPr>
        <w:t>Naydenov</w:t>
      </w:r>
      <w:r w:rsidRPr="00D0609B">
        <w:rPr>
          <w:i/>
          <w:lang w:val="fr-FR"/>
        </w:rPr>
        <w:t xml:space="preserve"> c. Bulgarie</w:t>
      </w:r>
      <w:r w:rsidRPr="00D0609B">
        <w:rPr>
          <w:lang w:val="fr-FR"/>
        </w:rPr>
        <w:t>, n</w:t>
      </w:r>
      <w:r w:rsidRPr="00D0609B">
        <w:rPr>
          <w:vertAlign w:val="superscript"/>
          <w:lang w:val="fr-FR"/>
        </w:rPr>
        <w:t>o</w:t>
      </w:r>
      <w:r w:rsidRPr="00D0609B">
        <w:rPr>
          <w:lang w:val="fr-FR"/>
        </w:rPr>
        <w:t xml:space="preserve"> 17353/03</w:t>
      </w:r>
      <w:r w:rsidRPr="00D0609B">
        <w:rPr>
          <w:snapToGrid w:val="0"/>
          <w:lang w:val="fr-FR"/>
        </w:rPr>
        <w:t>, §</w:t>
      </w:r>
      <w:r w:rsidRPr="00D0609B" w:rsidR="00C434B4">
        <w:rPr>
          <w:snapToGrid w:val="0"/>
          <w:lang w:val="fr-FR"/>
        </w:rPr>
        <w:t> </w:t>
      </w:r>
      <w:r w:rsidRPr="00D0609B">
        <w:rPr>
          <w:snapToGrid w:val="0"/>
          <w:lang w:val="fr-FR"/>
        </w:rPr>
        <w:t>50, 2</w:t>
      </w:r>
      <w:r w:rsidRPr="00D0609B">
        <w:rPr>
          <w:lang w:val="fr-FR"/>
        </w:rPr>
        <w:t>6</w:t>
      </w:r>
      <w:r w:rsidRPr="00D0609B">
        <w:rPr>
          <w:snapToGrid w:val="0"/>
          <w:lang w:val="fr-FR"/>
        </w:rPr>
        <w:t xml:space="preserve"> </w:t>
      </w:r>
      <w:r w:rsidRPr="00D0609B">
        <w:rPr>
          <w:lang w:val="fr-FR"/>
        </w:rPr>
        <w:t>novembre</w:t>
      </w:r>
      <w:r w:rsidRPr="00D0609B">
        <w:rPr>
          <w:snapToGrid w:val="0"/>
          <w:lang w:val="fr-FR"/>
        </w:rPr>
        <w:t xml:space="preserve"> 2009). Elle</w:t>
      </w:r>
      <w:r w:rsidRPr="00D0609B">
        <w:rPr>
          <w:lang w:val="fr-FR"/>
        </w:rPr>
        <w:t xml:space="preserve"> note qu</w:t>
      </w:r>
      <w:r w:rsidRPr="00D0609B" w:rsidR="00D0609B">
        <w:rPr>
          <w:lang w:val="fr-FR"/>
        </w:rPr>
        <w:t>’</w:t>
      </w:r>
      <w:r w:rsidRPr="00D0609B">
        <w:rPr>
          <w:lang w:val="fr-FR"/>
        </w:rPr>
        <w:t>en l</w:t>
      </w:r>
      <w:r w:rsidRPr="00D0609B" w:rsidR="00D0609B">
        <w:rPr>
          <w:lang w:val="fr-FR"/>
        </w:rPr>
        <w:t>’</w:t>
      </w:r>
      <w:r w:rsidRPr="00D0609B">
        <w:rPr>
          <w:lang w:val="fr-FR"/>
        </w:rPr>
        <w:t>espèce la requête a été introduite plusieurs années avant l</w:t>
      </w:r>
      <w:r w:rsidRPr="00D0609B" w:rsidR="00D0609B">
        <w:rPr>
          <w:lang w:val="fr-FR"/>
        </w:rPr>
        <w:t>’</w:t>
      </w:r>
      <w:r w:rsidRPr="00D0609B">
        <w:rPr>
          <w:lang w:val="fr-FR"/>
        </w:rPr>
        <w:t>entrée en vigueur du recours mentionné par le Gouvernement.</w:t>
      </w:r>
    </w:p>
    <w:p w:rsidRPr="00D0609B" w:rsidR="00C75D67" w:rsidP="00D0609B" w14:paraId="0450BC6A" w14:textId="77777777">
      <w:pPr>
        <w:pStyle w:val="ECHRPara"/>
        <w:rPr>
          <w:i/>
          <w:lang w:val="fr-FR"/>
        </w:rPr>
      </w:pPr>
      <w:r w:rsidRPr="00D0609B">
        <w:rPr>
          <w:lang w:val="fr-FR"/>
        </w:rPr>
        <w:t>64.  Elle rappelle aussi que certaines circonstances peuvent néanmoins justifier qu</w:t>
      </w:r>
      <w:r w:rsidRPr="00D0609B" w:rsidR="00D0609B">
        <w:rPr>
          <w:lang w:val="fr-FR"/>
        </w:rPr>
        <w:t>’</w:t>
      </w:r>
      <w:r w:rsidRPr="00D0609B">
        <w:rPr>
          <w:lang w:val="fr-FR"/>
        </w:rPr>
        <w:t>elle s</w:t>
      </w:r>
      <w:r w:rsidRPr="00D0609B" w:rsidR="00D0609B">
        <w:rPr>
          <w:lang w:val="fr-FR"/>
        </w:rPr>
        <w:t>’</w:t>
      </w:r>
      <w:r w:rsidRPr="00D0609B">
        <w:rPr>
          <w:lang w:val="fr-FR"/>
        </w:rPr>
        <w:t>écarte de la règle générale évoquée au paragraphe précédent (</w:t>
      </w:r>
      <w:r w:rsidRPr="00D0609B">
        <w:rPr>
          <w:i/>
          <w:lang w:val="fr-FR"/>
        </w:rPr>
        <w:t>Öztünç</w:t>
      </w:r>
      <w:r w:rsidRPr="00D0609B">
        <w:rPr>
          <w:i/>
          <w:lang w:val="fr-FR"/>
        </w:rPr>
        <w:t xml:space="preserve"> c. Turquie</w:t>
      </w:r>
      <w:r w:rsidRPr="00D0609B">
        <w:rPr>
          <w:lang w:val="fr-FR"/>
        </w:rPr>
        <w:t>, n</w:t>
      </w:r>
      <w:r w:rsidRPr="00D0609B">
        <w:rPr>
          <w:vertAlign w:val="superscript"/>
          <w:lang w:val="fr-FR"/>
        </w:rPr>
        <w:t>o</w:t>
      </w:r>
      <w:r w:rsidRPr="00D0609B">
        <w:rPr>
          <w:lang w:val="fr-FR"/>
        </w:rPr>
        <w:t xml:space="preserve"> 14777/08</w:t>
      </w:r>
      <w:r w:rsidRPr="00D0609B">
        <w:rPr>
          <w:snapToGrid w:val="0"/>
          <w:lang w:val="fr-FR"/>
        </w:rPr>
        <w:t xml:space="preserve">, §§ 51 à 53, 9 </w:t>
      </w:r>
      <w:r w:rsidRPr="00D0609B">
        <w:rPr>
          <w:lang w:val="fr-FR"/>
        </w:rPr>
        <w:t>février</w:t>
      </w:r>
      <w:r w:rsidRPr="00D0609B">
        <w:rPr>
          <w:snapToGrid w:val="0"/>
          <w:lang w:val="fr-FR"/>
        </w:rPr>
        <w:t xml:space="preserve"> 2016)</w:t>
      </w:r>
      <w:r w:rsidRPr="00D0609B">
        <w:rPr>
          <w:lang w:val="fr-FR"/>
        </w:rPr>
        <w:t>. Elle n</w:t>
      </w:r>
      <w:r w:rsidRPr="00D0609B" w:rsidR="00D0609B">
        <w:rPr>
          <w:lang w:val="fr-FR"/>
        </w:rPr>
        <w:t>’</w:t>
      </w:r>
      <w:r w:rsidRPr="00D0609B">
        <w:rPr>
          <w:lang w:val="fr-FR"/>
        </w:rPr>
        <w:t>aperçoit cependant aucune circonstance de la sorte en l</w:t>
      </w:r>
      <w:r w:rsidRPr="00D0609B" w:rsidR="00D0609B">
        <w:rPr>
          <w:lang w:val="fr-FR"/>
        </w:rPr>
        <w:t>’</w:t>
      </w:r>
      <w:r w:rsidRPr="00D0609B">
        <w:rPr>
          <w:lang w:val="fr-FR"/>
        </w:rPr>
        <w:t>espèce.</w:t>
      </w:r>
    </w:p>
    <w:p w:rsidRPr="00D0609B" w:rsidR="00C75D67" w:rsidP="00D0609B" w14:paraId="2858EB0D" w14:textId="77777777">
      <w:pPr>
        <w:pStyle w:val="ECHRPara"/>
        <w:rPr>
          <w:lang w:val="fr-FR"/>
        </w:rPr>
      </w:pPr>
      <w:r w:rsidRPr="00D0609B">
        <w:rPr>
          <w:lang w:val="fr-FR"/>
        </w:rPr>
        <w:t>65.  Par ailleurs, la Cour observe que les procédures engagées par le requérant aux fins de l</w:t>
      </w:r>
      <w:r w:rsidRPr="00D0609B" w:rsidR="00D0609B">
        <w:rPr>
          <w:lang w:val="fr-FR"/>
        </w:rPr>
        <w:t>’</w:t>
      </w:r>
      <w:r w:rsidRPr="00D0609B">
        <w:rPr>
          <w:lang w:val="fr-FR"/>
        </w:rPr>
        <w:t>obtention d</w:t>
      </w:r>
      <w:r w:rsidRPr="00D0609B" w:rsidR="00D0609B">
        <w:rPr>
          <w:lang w:val="fr-FR"/>
        </w:rPr>
        <w:t>’</w:t>
      </w:r>
      <w:r w:rsidRPr="00D0609B">
        <w:rPr>
          <w:lang w:val="fr-FR"/>
        </w:rPr>
        <w:t>indemnités se sont achevées en 2010 et que le Gouvernement n</w:t>
      </w:r>
      <w:r w:rsidRPr="00D0609B" w:rsidR="00D0609B">
        <w:rPr>
          <w:lang w:val="fr-FR"/>
        </w:rPr>
        <w:t>’</w:t>
      </w:r>
      <w:r w:rsidRPr="00D0609B">
        <w:rPr>
          <w:lang w:val="fr-FR"/>
        </w:rPr>
        <w:t>a fourni aucun exemple d</w:t>
      </w:r>
      <w:r w:rsidRPr="00D0609B" w:rsidR="00D0609B">
        <w:rPr>
          <w:lang w:val="fr-FR"/>
        </w:rPr>
        <w:t>’</w:t>
      </w:r>
      <w:r w:rsidRPr="00D0609B">
        <w:rPr>
          <w:lang w:val="fr-FR"/>
        </w:rPr>
        <w:t xml:space="preserve">arrêt rendu par la Cour constitutionnelle dans un cas similaire, ou comparable, à celui du requérant où cette dernière se serait estimée compétente </w:t>
      </w:r>
      <w:r w:rsidRPr="00D0609B">
        <w:rPr>
          <w:i/>
          <w:lang w:val="fr-FR"/>
        </w:rPr>
        <w:t>ratione</w:t>
      </w:r>
      <w:r w:rsidRPr="00D0609B">
        <w:rPr>
          <w:i/>
          <w:lang w:val="fr-FR"/>
        </w:rPr>
        <w:t xml:space="preserve"> </w:t>
      </w:r>
      <w:r w:rsidRPr="00D0609B">
        <w:rPr>
          <w:i/>
          <w:lang w:val="fr-FR"/>
        </w:rPr>
        <w:t>temporis</w:t>
      </w:r>
      <w:r w:rsidRPr="00D0609B">
        <w:rPr>
          <w:lang w:val="fr-FR"/>
        </w:rPr>
        <w:t xml:space="preserve"> en considérant que la violation alléguée avait un caractère continu.</w:t>
      </w:r>
    </w:p>
    <w:p w:rsidRPr="00D0609B" w:rsidR="00C75D67" w:rsidP="00D0609B" w14:paraId="763E2291" w14:textId="77777777">
      <w:pPr>
        <w:pStyle w:val="ECHRPara"/>
        <w:rPr>
          <w:lang w:val="fr-FR"/>
        </w:rPr>
      </w:pPr>
      <w:r w:rsidRPr="00D0609B">
        <w:rPr>
          <w:lang w:val="fr-FR"/>
        </w:rPr>
        <w:t>66.  Au demeurant, la Cour constate que, à l</w:t>
      </w:r>
      <w:r w:rsidRPr="00D0609B" w:rsidR="00D0609B">
        <w:rPr>
          <w:lang w:val="fr-FR"/>
        </w:rPr>
        <w:t>’</w:t>
      </w:r>
      <w:r w:rsidRPr="00D0609B">
        <w:rPr>
          <w:lang w:val="fr-FR"/>
        </w:rPr>
        <w:t>occasion d</w:t>
      </w:r>
      <w:r w:rsidRPr="00D0609B" w:rsidR="00D0609B">
        <w:rPr>
          <w:lang w:val="fr-FR"/>
        </w:rPr>
        <w:t>’</w:t>
      </w:r>
      <w:r w:rsidRPr="00D0609B">
        <w:rPr>
          <w:lang w:val="fr-FR"/>
        </w:rPr>
        <w:t>un recours individuel – introduit notamment par le requérant – concernant une autre partie du terrain mentionné au paragraphe 6, qui avait été expropriée de la même manière, la Cour constitutionnelle a estimé que l</w:t>
      </w:r>
      <w:r w:rsidRPr="00D0609B" w:rsidR="00D0609B">
        <w:rPr>
          <w:lang w:val="fr-FR"/>
        </w:rPr>
        <w:t>’</w:t>
      </w:r>
      <w:r w:rsidRPr="00D0609B">
        <w:rPr>
          <w:lang w:val="fr-FR"/>
        </w:rPr>
        <w:t>affaire n</w:t>
      </w:r>
      <w:r w:rsidRPr="00D0609B" w:rsidR="00D0609B">
        <w:rPr>
          <w:lang w:val="fr-FR"/>
        </w:rPr>
        <w:t>’</w:t>
      </w:r>
      <w:r w:rsidRPr="00D0609B">
        <w:rPr>
          <w:lang w:val="fr-FR"/>
        </w:rPr>
        <w:t xml:space="preserve">entrait pas dans son champ de compétence </w:t>
      </w:r>
      <w:r w:rsidRPr="00D0609B">
        <w:rPr>
          <w:i/>
          <w:lang w:val="fr-FR"/>
        </w:rPr>
        <w:t>ratione</w:t>
      </w:r>
      <w:r w:rsidRPr="00D0609B">
        <w:rPr>
          <w:i/>
          <w:lang w:val="fr-FR"/>
        </w:rPr>
        <w:t xml:space="preserve"> </w:t>
      </w:r>
      <w:r w:rsidRPr="00D0609B">
        <w:rPr>
          <w:i/>
          <w:lang w:val="fr-FR"/>
        </w:rPr>
        <w:t>temporis</w:t>
      </w:r>
      <w:r w:rsidRPr="00D0609B">
        <w:rPr>
          <w:lang w:val="fr-FR"/>
        </w:rPr>
        <w:t xml:space="preserve"> (paragraphes 39 et 40 ci</w:t>
      </w:r>
      <w:r w:rsidRPr="00D0609B">
        <w:rPr>
          <w:lang w:val="fr-FR"/>
        </w:rPr>
        <w:noBreakHyphen/>
        <w:t>dessus).</w:t>
      </w:r>
    </w:p>
    <w:p w:rsidRPr="00D0609B" w:rsidR="00C75D67" w:rsidP="00D0609B" w14:paraId="48C11481" w14:textId="77777777">
      <w:pPr>
        <w:pStyle w:val="ECHRPara"/>
        <w:rPr>
          <w:lang w:val="fr-FR"/>
        </w:rPr>
      </w:pPr>
      <w:r w:rsidRPr="00D0609B">
        <w:rPr>
          <w:lang w:val="fr-FR"/>
        </w:rPr>
        <w:t>67.  Compte tenu de ces éléments, la Cour rejette l</w:t>
      </w:r>
      <w:r w:rsidRPr="00D0609B" w:rsidR="00D0609B">
        <w:rPr>
          <w:lang w:val="fr-FR"/>
        </w:rPr>
        <w:t>’</w:t>
      </w:r>
      <w:r w:rsidRPr="00D0609B">
        <w:rPr>
          <w:lang w:val="fr-FR"/>
        </w:rPr>
        <w:t>exception du Gouvernement.</w:t>
      </w:r>
    </w:p>
    <w:p w:rsidRPr="00D0609B" w:rsidR="00C75D67" w:rsidP="00D0609B" w14:paraId="323C6E35" w14:textId="77777777">
      <w:pPr>
        <w:pStyle w:val="ECHRHeading4"/>
        <w:rPr>
          <w:rFonts w:asciiTheme="minorHAnsi" w:hAnsiTheme="minorHAnsi" w:eastAsiaTheme="minorEastAsia" w:cstheme="minorBidi"/>
          <w:b w:val="0"/>
          <w:bCs w:val="0"/>
          <w:iCs w:val="0"/>
          <w:sz w:val="24"/>
          <w:lang w:val="fr-FR"/>
        </w:rPr>
      </w:pPr>
      <w:r w:rsidRPr="00D0609B">
        <w:rPr>
          <w:lang w:val="fr-FR"/>
        </w:rPr>
        <w:t>b.  La réouverture de la procédure devant le tribunal du cadastre</w:t>
      </w:r>
    </w:p>
    <w:p w:rsidRPr="00D0609B" w:rsidR="00C75D67" w:rsidP="00D0609B" w14:paraId="535CBCD2" w14:textId="77777777">
      <w:pPr>
        <w:pStyle w:val="ECHRPara"/>
        <w:rPr>
          <w:lang w:val="fr-FR"/>
        </w:rPr>
      </w:pPr>
      <w:r w:rsidRPr="00D0609B">
        <w:rPr>
          <w:lang w:val="fr-FR"/>
        </w:rPr>
        <w:t>68.  Le Gouvernement soulève également une exception d</w:t>
      </w:r>
      <w:r w:rsidRPr="00D0609B" w:rsidR="00D0609B">
        <w:rPr>
          <w:lang w:val="fr-FR"/>
        </w:rPr>
        <w:t>’</w:t>
      </w:r>
      <w:r w:rsidRPr="00D0609B">
        <w:rPr>
          <w:lang w:val="fr-FR"/>
        </w:rPr>
        <w:t>irrecevabilité fondée sur la circonstance que la procédure afférente à une demande de réouverture de l</w:t>
      </w:r>
      <w:r w:rsidRPr="00D0609B" w:rsidR="00D0609B">
        <w:rPr>
          <w:lang w:val="fr-FR"/>
        </w:rPr>
        <w:t>’</w:t>
      </w:r>
      <w:r w:rsidRPr="00D0609B">
        <w:rPr>
          <w:lang w:val="fr-FR"/>
        </w:rPr>
        <w:t>instance devant le tribunal du cadastre, introduite par des tiers, est actuellement pendante devant les juridictions nationales.</w:t>
      </w:r>
    </w:p>
    <w:p w:rsidRPr="00D0609B" w:rsidR="00C75D67" w:rsidP="00D0609B" w14:paraId="27C4AEC4" w14:textId="77777777">
      <w:pPr>
        <w:pStyle w:val="ECHRPara"/>
        <w:rPr>
          <w:lang w:val="fr-FR"/>
        </w:rPr>
      </w:pPr>
      <w:r w:rsidRPr="00D0609B">
        <w:rPr>
          <w:lang w:val="fr-FR"/>
        </w:rPr>
        <w:t>69.  Il soutient que ces dernières pourraient, à l</w:t>
      </w:r>
      <w:r w:rsidRPr="00D0609B" w:rsidR="00D0609B">
        <w:rPr>
          <w:lang w:val="fr-FR"/>
        </w:rPr>
        <w:t>’</w:t>
      </w:r>
      <w:r w:rsidRPr="00D0609B">
        <w:rPr>
          <w:lang w:val="fr-FR"/>
        </w:rPr>
        <w:t>issue de cette procédure, modifier la décision rendue à l</w:t>
      </w:r>
      <w:r w:rsidRPr="00D0609B" w:rsidR="00D0609B">
        <w:rPr>
          <w:lang w:val="fr-FR"/>
        </w:rPr>
        <w:t>’</w:t>
      </w:r>
      <w:r w:rsidRPr="00D0609B">
        <w:rPr>
          <w:lang w:val="fr-FR"/>
        </w:rPr>
        <w:t>endroit du requérant, par exemple en concluant à l</w:t>
      </w:r>
      <w:r w:rsidRPr="00D0609B" w:rsidR="00D0609B">
        <w:rPr>
          <w:lang w:val="fr-FR"/>
        </w:rPr>
        <w:t>’</w:t>
      </w:r>
      <w:r w:rsidRPr="00D0609B">
        <w:rPr>
          <w:lang w:val="fr-FR"/>
        </w:rPr>
        <w:t>absence de droit de propriété de celui-ci.</w:t>
      </w:r>
    </w:p>
    <w:p w:rsidRPr="00D0609B" w:rsidR="00C75D67" w:rsidP="00D0609B" w14:paraId="3F714CF3" w14:textId="77777777">
      <w:pPr>
        <w:pStyle w:val="ECHRPara"/>
        <w:rPr>
          <w:lang w:val="fr-FR"/>
        </w:rPr>
      </w:pPr>
      <w:r w:rsidRPr="00D0609B">
        <w:rPr>
          <w:lang w:val="fr-FR"/>
        </w:rPr>
        <w:t>70.  Il estime que les voies de recours internes ne peuvent passer pour avoir été épuisées tant que ladite procédure est pendante.</w:t>
      </w:r>
    </w:p>
    <w:p w:rsidRPr="00D0609B" w:rsidR="00C75D67" w:rsidP="00D0609B" w14:paraId="78A1E582" w14:textId="77777777">
      <w:pPr>
        <w:pStyle w:val="ECHRPara"/>
        <w:rPr>
          <w:lang w:val="fr-FR"/>
        </w:rPr>
      </w:pPr>
      <w:r w:rsidRPr="00D0609B">
        <w:rPr>
          <w:lang w:val="fr-FR"/>
        </w:rPr>
        <w:t>71.  Le requérant rétorque que la demande susmentionnée vise l</w:t>
      </w:r>
      <w:r w:rsidRPr="00D0609B" w:rsidR="00D0609B">
        <w:rPr>
          <w:lang w:val="fr-FR"/>
        </w:rPr>
        <w:t>’</w:t>
      </w:r>
      <w:r w:rsidRPr="00D0609B">
        <w:rPr>
          <w:lang w:val="fr-FR"/>
        </w:rPr>
        <w:t>héritage de Arap Süleyman Efendi, qu</w:t>
      </w:r>
      <w:r w:rsidRPr="00D0609B" w:rsidR="00D0609B">
        <w:rPr>
          <w:lang w:val="fr-FR"/>
        </w:rPr>
        <w:t>’</w:t>
      </w:r>
      <w:r w:rsidRPr="00D0609B">
        <w:rPr>
          <w:lang w:val="fr-FR"/>
        </w:rPr>
        <w:t>elle a été dirigée contre les personnes ayant été désignées comme les ayants droit de ce dernier (paragraphes 36 à 38 ci</w:t>
      </w:r>
      <w:r w:rsidRPr="00D0609B">
        <w:rPr>
          <w:lang w:val="fr-FR"/>
        </w:rPr>
        <w:noBreakHyphen/>
        <w:t>dessus) et qu</w:t>
      </w:r>
      <w:r w:rsidRPr="00D0609B" w:rsidR="00D0609B">
        <w:rPr>
          <w:lang w:val="fr-FR"/>
        </w:rPr>
        <w:t>’</w:t>
      </w:r>
      <w:r w:rsidRPr="00D0609B">
        <w:rPr>
          <w:lang w:val="fr-FR"/>
        </w:rPr>
        <w:t>elle ne le concerne donc pas. À cet égard, il expose que, n</w:t>
      </w:r>
      <w:r w:rsidRPr="00D0609B" w:rsidR="00D0609B">
        <w:rPr>
          <w:lang w:val="fr-FR"/>
        </w:rPr>
        <w:t>’</w:t>
      </w:r>
      <w:r w:rsidRPr="00D0609B">
        <w:rPr>
          <w:lang w:val="fr-FR"/>
        </w:rPr>
        <w:t>étant pas l</w:t>
      </w:r>
      <w:r w:rsidRPr="00D0609B" w:rsidR="00D0609B">
        <w:rPr>
          <w:lang w:val="fr-FR"/>
        </w:rPr>
        <w:t>’</w:t>
      </w:r>
      <w:r w:rsidRPr="00D0609B">
        <w:rPr>
          <w:lang w:val="fr-FR"/>
        </w:rPr>
        <w:t xml:space="preserve">un des héritiers de Arap Süleyman Efendi, mais de </w:t>
      </w:r>
      <w:r w:rsidRPr="00D0609B">
        <w:rPr>
          <w:lang w:val="fr-FR"/>
        </w:rPr>
        <w:t>Hacı</w:t>
      </w:r>
      <w:r w:rsidRPr="00D0609B">
        <w:rPr>
          <w:lang w:val="fr-FR"/>
        </w:rPr>
        <w:t xml:space="preserve"> </w:t>
      </w:r>
      <w:r w:rsidRPr="00D0609B">
        <w:rPr>
          <w:lang w:val="fr-FR"/>
        </w:rPr>
        <w:t>Bekirzade</w:t>
      </w:r>
      <w:r w:rsidRPr="00D0609B">
        <w:rPr>
          <w:lang w:val="fr-FR"/>
        </w:rPr>
        <w:t xml:space="preserve"> </w:t>
      </w:r>
      <w:r w:rsidRPr="00D0609B">
        <w:rPr>
          <w:lang w:val="fr-FR"/>
        </w:rPr>
        <w:t>Hacı</w:t>
      </w:r>
      <w:r w:rsidRPr="00D0609B">
        <w:rPr>
          <w:lang w:val="fr-FR"/>
        </w:rPr>
        <w:t xml:space="preserve"> Mehmet (paragraphe 8 ci-dessus), il ne fait pas partie de ces personnes.</w:t>
      </w:r>
    </w:p>
    <w:p w:rsidRPr="00D0609B" w:rsidR="00C75D67" w:rsidP="00D0609B" w14:paraId="75EEA742" w14:textId="77777777">
      <w:pPr>
        <w:pStyle w:val="ECHRPara"/>
        <w:rPr>
          <w:lang w:val="fr-FR"/>
        </w:rPr>
      </w:pPr>
      <w:r w:rsidRPr="00D0609B">
        <w:rPr>
          <w:lang w:val="fr-FR"/>
        </w:rPr>
        <w:t>72.  La Cour souscrit à l</w:t>
      </w:r>
      <w:r w:rsidRPr="00D0609B" w:rsidR="00D0609B">
        <w:rPr>
          <w:lang w:val="fr-FR"/>
        </w:rPr>
        <w:t>’</w:t>
      </w:r>
      <w:r w:rsidRPr="00D0609B">
        <w:rPr>
          <w:lang w:val="fr-FR"/>
        </w:rPr>
        <w:t>argument du requérant et rejette l</w:t>
      </w:r>
      <w:r w:rsidRPr="00D0609B" w:rsidR="00D0609B">
        <w:rPr>
          <w:lang w:val="fr-FR"/>
        </w:rPr>
        <w:t>’</w:t>
      </w:r>
      <w:r w:rsidRPr="00D0609B">
        <w:rPr>
          <w:lang w:val="fr-FR"/>
        </w:rPr>
        <w:t>exception du Gouvernement.</w:t>
      </w:r>
    </w:p>
    <w:p w:rsidRPr="00D0609B" w:rsidR="00C75D67" w:rsidP="00D0609B" w14:paraId="5F9372B4" w14:textId="77777777">
      <w:pPr>
        <w:pStyle w:val="ECHRHeading3"/>
        <w:rPr>
          <w:lang w:val="fr-FR"/>
        </w:rPr>
      </w:pPr>
      <w:r w:rsidRPr="00D0609B">
        <w:rPr>
          <w:lang w:val="fr-FR"/>
        </w:rPr>
        <w:t>4.  Conclusion</w:t>
      </w:r>
    </w:p>
    <w:p w:rsidRPr="00D0609B" w:rsidR="00C75D67" w:rsidP="00D0609B" w14:paraId="36A45A9A" w14:textId="77777777">
      <w:pPr>
        <w:pStyle w:val="ECHRPara"/>
        <w:rPr>
          <w:lang w:val="fr-FR"/>
        </w:rPr>
      </w:pPr>
      <w:r w:rsidRPr="00D0609B">
        <w:rPr>
          <w:lang w:val="fr-FR"/>
        </w:rPr>
        <w:t>73.  La Cour constate que la partie de la requête relative à l</w:t>
      </w:r>
      <w:r w:rsidRPr="00D0609B" w:rsidR="00D0609B">
        <w:rPr>
          <w:lang w:val="fr-FR"/>
        </w:rPr>
        <w:t>’</w:t>
      </w:r>
      <w:r w:rsidRPr="00D0609B">
        <w:rPr>
          <w:lang w:val="fr-FR"/>
        </w:rPr>
        <w:t>absence d</w:t>
      </w:r>
      <w:r w:rsidRPr="00D0609B" w:rsidR="00D0609B">
        <w:rPr>
          <w:lang w:val="fr-FR"/>
        </w:rPr>
        <w:t>’</w:t>
      </w:r>
      <w:r w:rsidRPr="00D0609B">
        <w:rPr>
          <w:lang w:val="fr-FR"/>
        </w:rPr>
        <w:t>indemnisation n</w:t>
      </w:r>
      <w:r w:rsidRPr="00D0609B" w:rsidR="00D0609B">
        <w:rPr>
          <w:lang w:val="fr-FR"/>
        </w:rPr>
        <w:t>’</w:t>
      </w:r>
      <w:r w:rsidRPr="00D0609B">
        <w:rPr>
          <w:lang w:val="fr-FR"/>
        </w:rPr>
        <w:t>est pas manifestement mal fondée au sens de l</w:t>
      </w:r>
      <w:r w:rsidRPr="00D0609B" w:rsidR="00D0609B">
        <w:rPr>
          <w:lang w:val="fr-FR"/>
        </w:rPr>
        <w:t>’</w:t>
      </w:r>
      <w:r w:rsidRPr="00D0609B">
        <w:rPr>
          <w:lang w:val="fr-FR"/>
        </w:rPr>
        <w:t>article 35 § 3 a) de la Convention et qu</w:t>
      </w:r>
      <w:r w:rsidRPr="00D0609B" w:rsidR="00D0609B">
        <w:rPr>
          <w:lang w:val="fr-FR"/>
        </w:rPr>
        <w:t>’</w:t>
      </w:r>
      <w:r w:rsidRPr="00D0609B">
        <w:rPr>
          <w:lang w:val="fr-FR"/>
        </w:rPr>
        <w:t>elle ne se heurte par ailleurs à aucun autre motif d</w:t>
      </w:r>
      <w:r w:rsidRPr="00D0609B" w:rsidR="00D0609B">
        <w:rPr>
          <w:lang w:val="fr-FR"/>
        </w:rPr>
        <w:t>’</w:t>
      </w:r>
      <w:r w:rsidRPr="00D0609B">
        <w:rPr>
          <w:lang w:val="fr-FR"/>
        </w:rPr>
        <w:t>irrecevabilité. Elle déclare dès lors la requête recevable pour autant qu</w:t>
      </w:r>
      <w:r w:rsidRPr="00D0609B" w:rsidR="00D0609B">
        <w:rPr>
          <w:lang w:val="fr-FR"/>
        </w:rPr>
        <w:t>’</w:t>
      </w:r>
      <w:r w:rsidRPr="00D0609B">
        <w:rPr>
          <w:lang w:val="fr-FR"/>
        </w:rPr>
        <w:t>elle concerne cette partie, et irrecevable pour le surplus.</w:t>
      </w:r>
    </w:p>
    <w:p w:rsidRPr="00D0609B" w:rsidR="00C75D67" w:rsidP="00D0609B" w14:paraId="5A349F69" w14:textId="77777777">
      <w:pPr>
        <w:pStyle w:val="ECHRHeading2"/>
        <w:rPr>
          <w:lang w:val="fr-FR"/>
        </w:rPr>
      </w:pPr>
      <w:r w:rsidRPr="00D0609B">
        <w:rPr>
          <w:lang w:val="fr-FR"/>
        </w:rPr>
        <w:t>B.  Sur le fond</w:t>
      </w:r>
    </w:p>
    <w:p w:rsidRPr="00D0609B" w:rsidR="00C75D67" w:rsidP="00D0609B" w14:paraId="2FD45457" w14:textId="77777777">
      <w:pPr>
        <w:pStyle w:val="ECHRHeading3"/>
        <w:rPr>
          <w:lang w:val="fr-FR"/>
        </w:rPr>
      </w:pPr>
      <w:r w:rsidRPr="00D0609B">
        <w:rPr>
          <w:lang w:val="fr-FR"/>
        </w:rPr>
        <w:t>1.  Arguments des parties</w:t>
      </w:r>
    </w:p>
    <w:p w:rsidRPr="00D0609B" w:rsidR="00C75D67" w:rsidP="00D0609B" w14:paraId="7FB4553C" w14:textId="77777777">
      <w:pPr>
        <w:pStyle w:val="ECHRPara"/>
        <w:rPr>
          <w:lang w:val="fr-FR"/>
        </w:rPr>
      </w:pPr>
      <w:r w:rsidRPr="00D0609B">
        <w:rPr>
          <w:lang w:val="fr-FR"/>
        </w:rPr>
        <w:t>74.  Le requérant se plaint de ne pas avoir perçu la part des indemnités d</w:t>
      </w:r>
      <w:r w:rsidRPr="00D0609B" w:rsidR="00D0609B">
        <w:rPr>
          <w:lang w:val="fr-FR"/>
        </w:rPr>
        <w:t>’</w:t>
      </w:r>
      <w:r w:rsidRPr="00D0609B">
        <w:rPr>
          <w:lang w:val="fr-FR"/>
        </w:rPr>
        <w:t>expropriation censée lui revenir, et il voit dans cette circonstance une violation de son droit au respect de ses biens. Il réitère ses arguments relatifs à la désignation d</w:t>
      </w:r>
      <w:r w:rsidRPr="00D0609B" w:rsidR="00D0609B">
        <w:rPr>
          <w:lang w:val="fr-FR"/>
        </w:rPr>
        <w:t>’</w:t>
      </w:r>
      <w:r w:rsidRPr="00D0609B">
        <w:rPr>
          <w:lang w:val="fr-FR"/>
        </w:rPr>
        <w:t xml:space="preserve">un curateur et au défaut de notification faite à ses </w:t>
      </w:r>
      <w:r w:rsidRPr="00D0609B">
        <w:rPr>
          <w:i/>
          <w:lang w:val="fr-FR"/>
        </w:rPr>
        <w:t>de cujus</w:t>
      </w:r>
      <w:r w:rsidRPr="00D0609B">
        <w:rPr>
          <w:lang w:val="fr-FR"/>
        </w:rPr>
        <w:t>, dont, selon lui, l</w:t>
      </w:r>
      <w:r w:rsidRPr="00D0609B" w:rsidR="00D0609B">
        <w:rPr>
          <w:lang w:val="fr-FR"/>
        </w:rPr>
        <w:t>’</w:t>
      </w:r>
      <w:r w:rsidRPr="00D0609B">
        <w:rPr>
          <w:lang w:val="fr-FR"/>
        </w:rPr>
        <w:t>identification ne posait pas de difficultés eu égard au fait que ceux-ci étaient parties à la procédure devant le tribunal du cadastre.</w:t>
      </w:r>
    </w:p>
    <w:p w:rsidRPr="00D0609B" w:rsidR="00C75D67" w:rsidP="00D0609B" w14:paraId="4436D183" w14:textId="77777777">
      <w:pPr>
        <w:pStyle w:val="ECHRPara"/>
        <w:rPr>
          <w:lang w:val="fr-FR"/>
        </w:rPr>
      </w:pPr>
      <w:r w:rsidRPr="00D0609B">
        <w:rPr>
          <w:lang w:val="fr-FR"/>
        </w:rPr>
        <w:t>75.  Le Gouvernement estime que les autorités ont rempli leurs obligations en consignant les indemnités d</w:t>
      </w:r>
      <w:r w:rsidRPr="00D0609B" w:rsidR="00D0609B">
        <w:rPr>
          <w:lang w:val="fr-FR"/>
        </w:rPr>
        <w:t>’</w:t>
      </w:r>
      <w:r w:rsidRPr="00D0609B">
        <w:rPr>
          <w:lang w:val="fr-FR"/>
        </w:rPr>
        <w:t>expropriation sur des comptes bancaires bloqués en vue de leur versement ultérieur aux propriétaires qui devaient être désignés à l</w:t>
      </w:r>
      <w:r w:rsidRPr="00D0609B" w:rsidR="00D0609B">
        <w:rPr>
          <w:lang w:val="fr-FR"/>
        </w:rPr>
        <w:t>’</w:t>
      </w:r>
      <w:r w:rsidRPr="00D0609B">
        <w:rPr>
          <w:lang w:val="fr-FR"/>
        </w:rPr>
        <w:t>issue de la procédure relative au contentieux cadastral.</w:t>
      </w:r>
    </w:p>
    <w:p w:rsidRPr="00D0609B" w:rsidR="00C75D67" w:rsidP="00D0609B" w14:paraId="06106C07" w14:textId="77777777">
      <w:pPr>
        <w:pStyle w:val="ECHRPara"/>
        <w:rPr>
          <w:lang w:val="fr-FR"/>
        </w:rPr>
      </w:pPr>
      <w:r w:rsidRPr="00D0609B">
        <w:rPr>
          <w:lang w:val="fr-FR"/>
        </w:rPr>
        <w:t>76.  Il précise que le curateur avait été dûment informé de la situation et qu</w:t>
      </w:r>
      <w:r w:rsidRPr="00D0609B" w:rsidR="00D0609B">
        <w:rPr>
          <w:lang w:val="fr-FR"/>
        </w:rPr>
        <w:t>’</w:t>
      </w:r>
      <w:r w:rsidRPr="00D0609B">
        <w:rPr>
          <w:lang w:val="fr-FR"/>
        </w:rPr>
        <w:t>une annonce avait été passée dans la presse aux fins de l</w:t>
      </w:r>
      <w:r w:rsidRPr="00D0609B" w:rsidR="00D0609B">
        <w:rPr>
          <w:lang w:val="fr-FR"/>
        </w:rPr>
        <w:t>’</w:t>
      </w:r>
      <w:r w:rsidRPr="00D0609B">
        <w:rPr>
          <w:lang w:val="fr-FR"/>
        </w:rPr>
        <w:t xml:space="preserve">information des </w:t>
      </w:r>
      <w:r w:rsidRPr="00D0609B">
        <w:rPr>
          <w:lang w:val="fr-FR"/>
        </w:rPr>
        <w:t>bénéficiaires potentiels alors même que la loi n</w:t>
      </w:r>
      <w:r w:rsidRPr="00D0609B" w:rsidR="00D0609B">
        <w:rPr>
          <w:lang w:val="fr-FR"/>
        </w:rPr>
        <w:t>’</w:t>
      </w:r>
      <w:r w:rsidRPr="00D0609B">
        <w:rPr>
          <w:lang w:val="fr-FR"/>
        </w:rPr>
        <w:t>aurait pas exigé une telle modalité.</w:t>
      </w:r>
    </w:p>
    <w:p w:rsidRPr="00D0609B" w:rsidR="00C75D67" w:rsidP="00D0609B" w14:paraId="3F0D0F6D" w14:textId="77777777">
      <w:pPr>
        <w:pStyle w:val="ECHRPara"/>
        <w:rPr>
          <w:lang w:val="fr-FR"/>
        </w:rPr>
      </w:pPr>
      <w:r w:rsidRPr="00D0609B">
        <w:rPr>
          <w:lang w:val="fr-FR"/>
        </w:rPr>
        <w:t xml:space="preserve">77.  Par ailleurs, le Gouvernement reproche au requérant et à ses </w:t>
      </w:r>
      <w:r w:rsidRPr="00D0609B">
        <w:rPr>
          <w:i/>
          <w:lang w:val="fr-FR"/>
        </w:rPr>
        <w:t>de cujus</w:t>
      </w:r>
      <w:r w:rsidRPr="00D0609B">
        <w:rPr>
          <w:lang w:val="fr-FR"/>
        </w:rPr>
        <w:t xml:space="preserve"> de ne pas avoir retiré les sommes en question et de ne pas les avoir non plus réclamées, ni à l</w:t>
      </w:r>
      <w:r w:rsidRPr="00D0609B" w:rsidR="00D0609B">
        <w:rPr>
          <w:lang w:val="fr-FR"/>
        </w:rPr>
        <w:t>’</w:t>
      </w:r>
      <w:r w:rsidRPr="00D0609B">
        <w:rPr>
          <w:lang w:val="fr-FR"/>
        </w:rPr>
        <w:t>issue de la procédure d</w:t>
      </w:r>
      <w:r w:rsidRPr="00D0609B" w:rsidR="00D0609B">
        <w:rPr>
          <w:lang w:val="fr-FR"/>
        </w:rPr>
        <w:t>’</w:t>
      </w:r>
      <w:r w:rsidRPr="00D0609B">
        <w:rPr>
          <w:lang w:val="fr-FR"/>
        </w:rPr>
        <w:t>expropriation ni même après le jugement rendu par le tribunal du cadastre le 29 juin 2004.</w:t>
      </w:r>
    </w:p>
    <w:p w:rsidRPr="00D0609B" w:rsidR="00C75D67" w:rsidP="00D0609B" w14:paraId="73159BFD" w14:textId="77777777">
      <w:pPr>
        <w:pStyle w:val="ECHRPara"/>
        <w:rPr>
          <w:lang w:val="fr-FR"/>
        </w:rPr>
      </w:pPr>
      <w:r w:rsidRPr="00D0609B">
        <w:rPr>
          <w:lang w:val="fr-FR"/>
        </w:rPr>
        <w:t>78.  Le requérant rétorque que ce n</w:t>
      </w:r>
      <w:r w:rsidRPr="00D0609B" w:rsidR="00D0609B">
        <w:rPr>
          <w:lang w:val="fr-FR"/>
        </w:rPr>
        <w:t>’</w:t>
      </w:r>
      <w:r w:rsidRPr="00D0609B">
        <w:rPr>
          <w:lang w:val="fr-FR"/>
        </w:rPr>
        <w:t>est qu</w:t>
      </w:r>
      <w:r w:rsidRPr="00D0609B" w:rsidR="00D0609B">
        <w:rPr>
          <w:lang w:val="fr-FR"/>
        </w:rPr>
        <w:t>’</w:t>
      </w:r>
      <w:r w:rsidRPr="00D0609B">
        <w:rPr>
          <w:lang w:val="fr-FR"/>
        </w:rPr>
        <w:t>à la date à laquelle le jugement du tribunal du cadastre est devenu définitif qu</w:t>
      </w:r>
      <w:r w:rsidRPr="00D0609B" w:rsidR="00D0609B">
        <w:rPr>
          <w:lang w:val="fr-FR"/>
        </w:rPr>
        <w:t>’</w:t>
      </w:r>
      <w:r w:rsidRPr="00D0609B">
        <w:rPr>
          <w:lang w:val="fr-FR"/>
        </w:rPr>
        <w:t>il a acquis la possibilité de demander des indemnités d</w:t>
      </w:r>
      <w:r w:rsidRPr="00D0609B" w:rsidR="00D0609B">
        <w:rPr>
          <w:lang w:val="fr-FR"/>
        </w:rPr>
        <w:t>’</w:t>
      </w:r>
      <w:r w:rsidRPr="00D0609B">
        <w:rPr>
          <w:lang w:val="fr-FR"/>
        </w:rPr>
        <w:t>expropriation. Or, selon lui, les fonds versés sur les comptes bancaires bloqués n</w:t>
      </w:r>
      <w:r w:rsidRPr="00D0609B" w:rsidR="00D0609B">
        <w:rPr>
          <w:lang w:val="fr-FR"/>
        </w:rPr>
        <w:t>’</w:t>
      </w:r>
      <w:r w:rsidRPr="00D0609B">
        <w:rPr>
          <w:lang w:val="fr-FR"/>
        </w:rPr>
        <w:t>étaient plus disponibles à cette date. À ce propos, le requérant soutient que, d</w:t>
      </w:r>
      <w:r w:rsidRPr="00D0609B" w:rsidR="00D0609B">
        <w:rPr>
          <w:lang w:val="fr-FR"/>
        </w:rPr>
        <w:t>’</w:t>
      </w:r>
      <w:r w:rsidRPr="00D0609B">
        <w:rPr>
          <w:lang w:val="fr-FR"/>
        </w:rPr>
        <w:t>après la législation bancaire, le solde des comptes restés inactifs pendant plus de dix ans est versé aux autorités.</w:t>
      </w:r>
    </w:p>
    <w:p w:rsidRPr="00D0609B" w:rsidR="00C75D67" w:rsidP="00D0609B" w14:paraId="1F0E3F7C" w14:textId="77777777">
      <w:pPr>
        <w:pStyle w:val="ECHRPara"/>
        <w:rPr>
          <w:lang w:val="fr-FR"/>
        </w:rPr>
      </w:pPr>
      <w:r w:rsidRPr="00D0609B">
        <w:rPr>
          <w:lang w:val="fr-FR"/>
        </w:rPr>
        <w:t>79.  Le Gouvernement confirme que la législation bancaire prévoit le versement du solde des comptes « dormants » au Fonds de garantie des dépôts bancaires (« le TMSF ») après l</w:t>
      </w:r>
      <w:r w:rsidRPr="00D0609B" w:rsidR="00D0609B">
        <w:rPr>
          <w:lang w:val="fr-FR"/>
        </w:rPr>
        <w:t>’</w:t>
      </w:r>
      <w:r w:rsidRPr="00D0609B">
        <w:rPr>
          <w:lang w:val="fr-FR"/>
        </w:rPr>
        <w:t>écoulement d</w:t>
      </w:r>
      <w:r w:rsidRPr="00D0609B" w:rsidR="00D0609B">
        <w:rPr>
          <w:lang w:val="fr-FR"/>
        </w:rPr>
        <w:t>’</w:t>
      </w:r>
      <w:r w:rsidRPr="00D0609B">
        <w:rPr>
          <w:lang w:val="fr-FR"/>
        </w:rPr>
        <w:t>un délai de dix ans.</w:t>
      </w:r>
    </w:p>
    <w:p w:rsidRPr="00D0609B" w:rsidR="00C75D67" w:rsidP="00D0609B" w14:paraId="00A63438" w14:textId="77777777">
      <w:pPr>
        <w:pStyle w:val="ECHRPara"/>
        <w:rPr>
          <w:lang w:val="fr-FR"/>
        </w:rPr>
      </w:pPr>
      <w:r w:rsidRPr="00D0609B">
        <w:rPr>
          <w:lang w:val="fr-FR"/>
        </w:rPr>
        <w:t>80.  En l</w:t>
      </w:r>
      <w:r w:rsidRPr="00D0609B" w:rsidR="00D0609B">
        <w:rPr>
          <w:lang w:val="fr-FR"/>
        </w:rPr>
        <w:t>’</w:t>
      </w:r>
      <w:r w:rsidRPr="00D0609B">
        <w:rPr>
          <w:lang w:val="fr-FR"/>
        </w:rPr>
        <w:t xml:space="preserve">occurrence, la </w:t>
      </w:r>
      <w:r w:rsidRPr="00D0609B">
        <w:rPr>
          <w:i/>
          <w:lang w:val="fr-FR"/>
        </w:rPr>
        <w:t>Ziraat</w:t>
      </w:r>
      <w:r w:rsidRPr="00D0609B">
        <w:rPr>
          <w:i/>
          <w:lang w:val="fr-FR"/>
        </w:rPr>
        <w:t xml:space="preserve"> </w:t>
      </w:r>
      <w:r w:rsidRPr="00D0609B">
        <w:rPr>
          <w:i/>
          <w:lang w:val="fr-FR"/>
        </w:rPr>
        <w:t>Bankas</w:t>
      </w:r>
      <w:r w:rsidRPr="00D0609B">
        <w:rPr>
          <w:i/>
          <w:lang w:val="tr-TR"/>
        </w:rPr>
        <w:t>ı</w:t>
      </w:r>
      <w:r w:rsidRPr="00D0609B">
        <w:rPr>
          <w:lang w:val="fr-FR"/>
        </w:rPr>
        <w:t xml:space="preserve"> ayant, selon lui, détruit ses archives après l</w:t>
      </w:r>
      <w:r w:rsidRPr="00D0609B" w:rsidR="00D0609B">
        <w:rPr>
          <w:lang w:val="fr-FR"/>
        </w:rPr>
        <w:t>’</w:t>
      </w:r>
      <w:r w:rsidRPr="00D0609B">
        <w:rPr>
          <w:lang w:val="fr-FR"/>
        </w:rPr>
        <w:t>écoulement dudit délai, le Gouvernement se dit dans l</w:t>
      </w:r>
      <w:r w:rsidRPr="00D0609B" w:rsidR="00D0609B">
        <w:rPr>
          <w:lang w:val="fr-FR"/>
        </w:rPr>
        <w:t>’</w:t>
      </w:r>
      <w:r w:rsidRPr="00D0609B">
        <w:rPr>
          <w:lang w:val="fr-FR"/>
        </w:rPr>
        <w:t>impossibilité de déterminer avec précision ce qu</w:t>
      </w:r>
      <w:r w:rsidRPr="00D0609B" w:rsidR="00D0609B">
        <w:rPr>
          <w:lang w:val="fr-FR"/>
        </w:rPr>
        <w:t>’</w:t>
      </w:r>
      <w:r w:rsidRPr="00D0609B">
        <w:rPr>
          <w:lang w:val="fr-FR"/>
        </w:rPr>
        <w:t>il est advenu des fonds.</w:t>
      </w:r>
    </w:p>
    <w:p w:rsidRPr="00D0609B" w:rsidR="00C75D67" w:rsidP="00D0609B" w14:paraId="032DF65B" w14:textId="77777777">
      <w:pPr>
        <w:pStyle w:val="ECHRPara"/>
        <w:rPr>
          <w:lang w:val="fr-FR"/>
        </w:rPr>
      </w:pPr>
      <w:r w:rsidRPr="00D0609B">
        <w:rPr>
          <w:lang w:val="fr-FR"/>
        </w:rPr>
        <w:t xml:space="preserve">81.  Il précise cependant que le requérant ou ses </w:t>
      </w:r>
      <w:r w:rsidRPr="00D0609B">
        <w:rPr>
          <w:i/>
          <w:lang w:val="fr-FR"/>
        </w:rPr>
        <w:t>de cujus</w:t>
      </w:r>
      <w:r w:rsidRPr="00D0609B">
        <w:rPr>
          <w:lang w:val="fr-FR"/>
        </w:rPr>
        <w:t xml:space="preserve"> avaient la possibilité de demander au curateur de réaliser des opérations sur les comptes en question aux fins de l</w:t>
      </w:r>
      <w:r w:rsidRPr="00D0609B" w:rsidR="00D0609B">
        <w:rPr>
          <w:lang w:val="fr-FR"/>
        </w:rPr>
        <w:t>’</w:t>
      </w:r>
      <w:r w:rsidRPr="00D0609B">
        <w:rPr>
          <w:lang w:val="fr-FR"/>
        </w:rPr>
        <w:t xml:space="preserve">interruption du cours du délai de prescription de dix ans. En cas de refus de celui-ci, le requérant ou ses </w:t>
      </w:r>
      <w:r w:rsidRPr="00D0609B">
        <w:rPr>
          <w:i/>
          <w:lang w:val="fr-FR"/>
        </w:rPr>
        <w:t>de cujus</w:t>
      </w:r>
      <w:r w:rsidRPr="00D0609B">
        <w:rPr>
          <w:lang w:val="fr-FR"/>
        </w:rPr>
        <w:t xml:space="preserve"> auraient disposé de la possibilité de saisir la justice pour l</w:t>
      </w:r>
      <w:r w:rsidRPr="00D0609B" w:rsidR="00D0609B">
        <w:rPr>
          <w:lang w:val="fr-FR"/>
        </w:rPr>
        <w:t>’</w:t>
      </w:r>
      <w:r w:rsidRPr="00D0609B">
        <w:rPr>
          <w:lang w:val="fr-FR"/>
        </w:rPr>
        <w:t>y contraindre. Or ils se seraient montrés négligents sur ce point. Aussi, en vertu de l</w:t>
      </w:r>
      <w:r w:rsidRPr="00D0609B" w:rsidR="00D0609B">
        <w:rPr>
          <w:lang w:val="fr-FR"/>
        </w:rPr>
        <w:t>’</w:t>
      </w:r>
      <w:r w:rsidRPr="00D0609B">
        <w:rPr>
          <w:lang w:val="fr-FR"/>
        </w:rPr>
        <w:t xml:space="preserve">adage </w:t>
      </w:r>
      <w:r w:rsidRPr="00D0609B">
        <w:rPr>
          <w:i/>
          <w:lang w:val="fr-FR"/>
        </w:rPr>
        <w:t>nemo</w:t>
      </w:r>
      <w:r w:rsidRPr="00D0609B">
        <w:rPr>
          <w:i/>
          <w:lang w:val="fr-FR"/>
        </w:rPr>
        <w:t xml:space="preserve"> auditur </w:t>
      </w:r>
      <w:r w:rsidRPr="00D0609B">
        <w:rPr>
          <w:i/>
          <w:lang w:val="fr-FR"/>
        </w:rPr>
        <w:t>propriam</w:t>
      </w:r>
      <w:r w:rsidRPr="00D0609B">
        <w:rPr>
          <w:i/>
          <w:lang w:val="fr-FR"/>
        </w:rPr>
        <w:t xml:space="preserve"> </w:t>
      </w:r>
      <w:r w:rsidRPr="00D0609B">
        <w:rPr>
          <w:i/>
          <w:lang w:val="fr-FR"/>
        </w:rPr>
        <w:t>turpitudinem</w:t>
      </w:r>
      <w:r w:rsidRPr="00D0609B">
        <w:rPr>
          <w:i/>
          <w:lang w:val="fr-FR"/>
        </w:rPr>
        <w:t xml:space="preserve"> </w:t>
      </w:r>
      <w:r w:rsidRPr="00D0609B">
        <w:rPr>
          <w:i/>
          <w:lang w:val="fr-FR"/>
        </w:rPr>
        <w:t>allegans</w:t>
      </w:r>
      <w:r w:rsidRPr="00D0609B">
        <w:rPr>
          <w:lang w:val="fr-FR"/>
        </w:rPr>
        <w:t xml:space="preserve">, le requérant ne serait pas fondé à se prévaloir de ses propres erreurs ou de celles de ses </w:t>
      </w:r>
      <w:r w:rsidRPr="00D0609B">
        <w:rPr>
          <w:i/>
          <w:lang w:val="fr-FR"/>
        </w:rPr>
        <w:t>de cujus</w:t>
      </w:r>
      <w:r w:rsidRPr="00D0609B">
        <w:rPr>
          <w:lang w:val="fr-FR"/>
        </w:rPr>
        <w:t>.</w:t>
      </w:r>
    </w:p>
    <w:p w:rsidRPr="00D0609B" w:rsidR="00C75D67" w:rsidP="00D0609B" w14:paraId="1550A268" w14:textId="77777777">
      <w:pPr>
        <w:pStyle w:val="ECHRPara"/>
        <w:rPr>
          <w:lang w:val="fr-FR"/>
        </w:rPr>
      </w:pPr>
      <w:r w:rsidRPr="00D0609B">
        <w:rPr>
          <w:lang w:val="fr-FR"/>
        </w:rPr>
        <w:t>82.  Le requérant réplique qu</w:t>
      </w:r>
      <w:r w:rsidRPr="00D0609B" w:rsidR="00D0609B">
        <w:rPr>
          <w:lang w:val="fr-FR"/>
        </w:rPr>
        <w:t>’</w:t>
      </w:r>
      <w:r w:rsidRPr="00D0609B">
        <w:rPr>
          <w:lang w:val="fr-FR"/>
        </w:rPr>
        <w:t>il n</w:t>
      </w:r>
      <w:r w:rsidRPr="00D0609B" w:rsidR="00D0609B">
        <w:rPr>
          <w:lang w:val="fr-FR"/>
        </w:rPr>
        <w:t>’</w:t>
      </w:r>
      <w:r w:rsidRPr="00D0609B">
        <w:rPr>
          <w:lang w:val="fr-FR"/>
        </w:rPr>
        <w:t>a été procédé à aucune notification à l</w:t>
      </w:r>
      <w:r w:rsidRPr="00D0609B" w:rsidR="00D0609B">
        <w:rPr>
          <w:lang w:val="fr-FR"/>
        </w:rPr>
        <w:t>’</w:t>
      </w:r>
      <w:r w:rsidRPr="00D0609B">
        <w:rPr>
          <w:lang w:val="fr-FR"/>
        </w:rPr>
        <w:t>endroit des personnes concernées, qu</w:t>
      </w:r>
      <w:r w:rsidRPr="00D0609B" w:rsidR="00D0609B">
        <w:rPr>
          <w:lang w:val="fr-FR"/>
        </w:rPr>
        <w:t>’</w:t>
      </w:r>
      <w:r w:rsidRPr="00D0609B">
        <w:rPr>
          <w:lang w:val="fr-FR"/>
        </w:rPr>
        <w:t xml:space="preserve">en conséquence lui-même et ses </w:t>
      </w:r>
      <w:r w:rsidRPr="00D0609B">
        <w:rPr>
          <w:i/>
          <w:lang w:val="fr-FR"/>
        </w:rPr>
        <w:t>de cujus</w:t>
      </w:r>
      <w:r w:rsidRPr="00D0609B">
        <w:rPr>
          <w:lang w:val="fr-FR"/>
        </w:rPr>
        <w:t xml:space="preserve"> ignoraient tout autant l</w:t>
      </w:r>
      <w:r w:rsidRPr="00D0609B" w:rsidR="00D0609B">
        <w:rPr>
          <w:lang w:val="fr-FR"/>
        </w:rPr>
        <w:t>’</w:t>
      </w:r>
      <w:r w:rsidRPr="00D0609B">
        <w:rPr>
          <w:lang w:val="fr-FR"/>
        </w:rPr>
        <w:t>existence d</w:t>
      </w:r>
      <w:r w:rsidRPr="00D0609B" w:rsidR="00D0609B">
        <w:rPr>
          <w:lang w:val="fr-FR"/>
        </w:rPr>
        <w:t>’</w:t>
      </w:r>
      <w:r w:rsidRPr="00D0609B">
        <w:rPr>
          <w:lang w:val="fr-FR"/>
        </w:rPr>
        <w:t>une procédure d</w:t>
      </w:r>
      <w:r w:rsidRPr="00D0609B" w:rsidR="00D0609B">
        <w:rPr>
          <w:lang w:val="fr-FR"/>
        </w:rPr>
        <w:t>’</w:t>
      </w:r>
      <w:r w:rsidRPr="00D0609B">
        <w:rPr>
          <w:lang w:val="fr-FR"/>
        </w:rPr>
        <w:t>expropriation formelle que la nomination d</w:t>
      </w:r>
      <w:r w:rsidRPr="00D0609B" w:rsidR="00D0609B">
        <w:rPr>
          <w:lang w:val="fr-FR"/>
        </w:rPr>
        <w:t>’</w:t>
      </w:r>
      <w:r w:rsidRPr="00D0609B">
        <w:rPr>
          <w:lang w:val="fr-FR"/>
        </w:rPr>
        <w:t>un curateur et que, dès lors, l</w:t>
      </w:r>
      <w:r w:rsidRPr="00D0609B" w:rsidR="00D0609B">
        <w:rPr>
          <w:lang w:val="fr-FR"/>
        </w:rPr>
        <w:t>’</w:t>
      </w:r>
      <w:r w:rsidRPr="00D0609B">
        <w:rPr>
          <w:lang w:val="fr-FR"/>
        </w:rPr>
        <w:t>on ne peut leur reprocher de s</w:t>
      </w:r>
      <w:r w:rsidRPr="00D0609B" w:rsidR="00D0609B">
        <w:rPr>
          <w:lang w:val="fr-FR"/>
        </w:rPr>
        <w:t>’</w:t>
      </w:r>
      <w:r w:rsidRPr="00D0609B">
        <w:rPr>
          <w:lang w:val="fr-FR"/>
        </w:rPr>
        <w:t>être montrés négligents. Selon lui, le recours à la notification par voie de publication avait pour but de soustraire la procédure d</w:t>
      </w:r>
      <w:r w:rsidRPr="00D0609B" w:rsidR="00D0609B">
        <w:rPr>
          <w:lang w:val="fr-FR"/>
        </w:rPr>
        <w:t>’</w:t>
      </w:r>
      <w:r w:rsidRPr="00D0609B">
        <w:rPr>
          <w:lang w:val="fr-FR"/>
        </w:rPr>
        <w:t>expropriation aux contrôles des propriétaires des biens en cause.</w:t>
      </w:r>
    </w:p>
    <w:p w:rsidRPr="00D0609B" w:rsidR="00C75D67" w:rsidP="00D0609B" w14:paraId="5173283D" w14:textId="77777777">
      <w:pPr>
        <w:pStyle w:val="ECHRHeading3"/>
        <w:rPr>
          <w:lang w:val="fr-FR"/>
        </w:rPr>
      </w:pPr>
      <w:r w:rsidRPr="00D0609B">
        <w:rPr>
          <w:lang w:val="fr-FR"/>
        </w:rPr>
        <w:t>2.  Appréciation de la Cour</w:t>
      </w:r>
    </w:p>
    <w:p w:rsidRPr="00D0609B" w:rsidR="00C75D67" w:rsidP="00D0609B" w14:paraId="49DB7D0C" w14:textId="77777777">
      <w:pPr>
        <w:pStyle w:val="ECHRPara"/>
        <w:rPr>
          <w:lang w:val="fr-FR"/>
        </w:rPr>
      </w:pPr>
      <w:r w:rsidRPr="00D0609B">
        <w:rPr>
          <w:lang w:val="fr-FR"/>
        </w:rPr>
        <w:t>83.  La Cour observe que le grief sous examen concerne l</w:t>
      </w:r>
      <w:r w:rsidRPr="00D0609B" w:rsidR="00D0609B">
        <w:rPr>
          <w:lang w:val="fr-FR"/>
        </w:rPr>
        <w:t>’</w:t>
      </w:r>
      <w:r w:rsidRPr="00D0609B">
        <w:rPr>
          <w:lang w:val="fr-FR"/>
        </w:rPr>
        <w:t>impossibilité pour le requérant d</w:t>
      </w:r>
      <w:r w:rsidRPr="00D0609B" w:rsidR="00D0609B">
        <w:rPr>
          <w:lang w:val="fr-FR"/>
        </w:rPr>
        <w:t>’</w:t>
      </w:r>
      <w:r w:rsidRPr="00D0609B">
        <w:rPr>
          <w:lang w:val="fr-FR"/>
        </w:rPr>
        <w:t>obtenir le versement de la part des indemnités d</w:t>
      </w:r>
      <w:r w:rsidRPr="00D0609B" w:rsidR="00D0609B">
        <w:rPr>
          <w:lang w:val="fr-FR"/>
        </w:rPr>
        <w:t>’</w:t>
      </w:r>
      <w:r w:rsidRPr="00D0609B">
        <w:rPr>
          <w:lang w:val="fr-FR"/>
        </w:rPr>
        <w:t xml:space="preserve">expropriation censée lui revenir en vertu du jugement du tribunal du cadastre en date du 29 juin 2004, qui avait déclaré ses </w:t>
      </w:r>
      <w:r w:rsidRPr="00D0609B">
        <w:rPr>
          <w:i/>
          <w:lang w:val="fr-FR"/>
        </w:rPr>
        <w:t>de cujus</w:t>
      </w:r>
      <w:r w:rsidRPr="00D0609B">
        <w:rPr>
          <w:lang w:val="fr-FR"/>
        </w:rPr>
        <w:t xml:space="preserve"> copropriétaires des parcelles d</w:t>
      </w:r>
      <w:r w:rsidRPr="00D0609B" w:rsidR="00D0609B">
        <w:rPr>
          <w:lang w:val="fr-FR"/>
        </w:rPr>
        <w:t>’</w:t>
      </w:r>
      <w:r w:rsidRPr="00D0609B">
        <w:rPr>
          <w:lang w:val="fr-FR"/>
        </w:rPr>
        <w:t>origine.</w:t>
      </w:r>
    </w:p>
    <w:p w:rsidRPr="00D0609B" w:rsidR="00C75D67" w:rsidP="00D0609B" w14:paraId="0458FF18" w14:textId="77777777">
      <w:pPr>
        <w:pStyle w:val="ECHRPara"/>
        <w:rPr>
          <w:lang w:val="fr-FR"/>
        </w:rPr>
      </w:pPr>
      <w:r w:rsidRPr="00D0609B">
        <w:rPr>
          <w:lang w:val="fr-FR"/>
        </w:rPr>
        <w:t>84.  Une telle ingérence constitue une privation de propriété relevant de la seconde norme de l</w:t>
      </w:r>
      <w:r w:rsidRPr="00D0609B" w:rsidR="00D0609B">
        <w:rPr>
          <w:lang w:val="fr-FR"/>
        </w:rPr>
        <w:t>’</w:t>
      </w:r>
      <w:r w:rsidRPr="00D0609B">
        <w:rPr>
          <w:lang w:val="fr-FR"/>
        </w:rPr>
        <w:t>article 1 du Protocole n</w:t>
      </w:r>
      <w:r w:rsidRPr="00D0609B">
        <w:rPr>
          <w:vertAlign w:val="superscript"/>
          <w:lang w:val="fr-FR"/>
        </w:rPr>
        <w:t>o</w:t>
      </w:r>
      <w:r w:rsidRPr="00D0609B">
        <w:rPr>
          <w:lang w:val="fr-FR"/>
        </w:rPr>
        <w:t xml:space="preserve"> 1 (voir, entre autres, </w:t>
      </w:r>
      <w:r w:rsidRPr="00D0609B">
        <w:rPr>
          <w:i/>
          <w:lang w:val="fr-FR"/>
        </w:rPr>
        <w:t>Sud Parisienne de Construction c. France</w:t>
      </w:r>
      <w:r w:rsidRPr="00D0609B">
        <w:rPr>
          <w:lang w:val="fr-FR"/>
        </w:rPr>
        <w:t>, n</w:t>
      </w:r>
      <w:r w:rsidRPr="00D0609B">
        <w:rPr>
          <w:vertAlign w:val="superscript"/>
          <w:lang w:val="fr-FR"/>
        </w:rPr>
        <w:t>o</w:t>
      </w:r>
      <w:r w:rsidRPr="00D0609B">
        <w:rPr>
          <w:lang w:val="fr-FR"/>
        </w:rPr>
        <w:t xml:space="preserve"> 33704/04</w:t>
      </w:r>
      <w:r w:rsidRPr="00D0609B">
        <w:rPr>
          <w:snapToGrid w:val="0"/>
          <w:lang w:val="fr-FR"/>
        </w:rPr>
        <w:t xml:space="preserve">, §§ 31-32, 11 </w:t>
      </w:r>
      <w:r w:rsidRPr="00D0609B">
        <w:rPr>
          <w:lang w:val="fr-FR"/>
        </w:rPr>
        <w:t>février</w:t>
      </w:r>
      <w:r w:rsidRPr="00D0609B">
        <w:rPr>
          <w:snapToGrid w:val="0"/>
          <w:lang w:val="fr-FR"/>
        </w:rPr>
        <w:t xml:space="preserve"> </w:t>
      </w:r>
      <w:r w:rsidRPr="00D0609B">
        <w:rPr>
          <w:snapToGrid w:val="0"/>
          <w:lang w:val="fr-FR"/>
        </w:rPr>
        <w:t xml:space="preserve">2010 ; et pour les trois normes de la disposition précitée, voir, entre autres, </w:t>
      </w:r>
      <w:r w:rsidRPr="00D0609B">
        <w:rPr>
          <w:i/>
          <w:lang w:val="fr-FR"/>
        </w:rPr>
        <w:t>Iatridis</w:t>
      </w:r>
      <w:r w:rsidRPr="00D0609B">
        <w:rPr>
          <w:i/>
          <w:lang w:val="fr-FR"/>
        </w:rPr>
        <w:t xml:space="preserve"> c. Grèce</w:t>
      </w:r>
      <w:r w:rsidRPr="00D0609B">
        <w:rPr>
          <w:lang w:val="fr-FR"/>
        </w:rPr>
        <w:t xml:space="preserve"> [GC], n</w:t>
      </w:r>
      <w:r w:rsidRPr="00D0609B">
        <w:rPr>
          <w:vertAlign w:val="superscript"/>
          <w:lang w:val="fr-FR"/>
        </w:rPr>
        <w:t>o</w:t>
      </w:r>
      <w:r w:rsidRPr="00D0609B">
        <w:rPr>
          <w:lang w:val="fr-FR"/>
        </w:rPr>
        <w:t xml:space="preserve"> 31107/96, § 55, CEDH 1999-II, et </w:t>
      </w:r>
      <w:r w:rsidRPr="00D0609B">
        <w:rPr>
          <w:i/>
          <w:lang w:val="fr-FR"/>
        </w:rPr>
        <w:t>G.I.E.M. S.R.L. et autres c. Italie</w:t>
      </w:r>
      <w:r w:rsidRPr="00D0609B">
        <w:rPr>
          <w:lang w:val="fr-FR"/>
        </w:rPr>
        <w:t xml:space="preserve"> [GC], n</w:t>
      </w:r>
      <w:r w:rsidRPr="00D0609B">
        <w:rPr>
          <w:vertAlign w:val="superscript"/>
          <w:lang w:val="fr-FR"/>
        </w:rPr>
        <w:t>os</w:t>
      </w:r>
      <w:r w:rsidRPr="00D0609B">
        <w:rPr>
          <w:lang w:val="fr-FR"/>
        </w:rPr>
        <w:t xml:space="preserve"> 1828/06 et 2 autres, § 289, 28 juin 2018).</w:t>
      </w:r>
    </w:p>
    <w:p w:rsidRPr="00D0609B" w:rsidR="00C75D67" w:rsidP="00D0609B" w14:paraId="653EE501" w14:textId="77777777">
      <w:pPr>
        <w:pStyle w:val="ECHRPara"/>
        <w:rPr>
          <w:lang w:val="fr-FR"/>
        </w:rPr>
      </w:pPr>
      <w:r w:rsidRPr="00D0609B">
        <w:rPr>
          <w:lang w:val="fr-FR"/>
        </w:rPr>
        <w:t>85.  La Cour observe que les indemnités d</w:t>
      </w:r>
      <w:r w:rsidRPr="00D0609B" w:rsidR="00D0609B">
        <w:rPr>
          <w:lang w:val="fr-FR"/>
        </w:rPr>
        <w:t>’</w:t>
      </w:r>
      <w:r w:rsidRPr="00D0609B">
        <w:rPr>
          <w:lang w:val="fr-FR"/>
        </w:rPr>
        <w:t>expropriation ont été déposées sur un compte bloqué aux fins de leur versement, à l</w:t>
      </w:r>
      <w:r w:rsidRPr="00D0609B" w:rsidR="00D0609B">
        <w:rPr>
          <w:lang w:val="fr-FR"/>
        </w:rPr>
        <w:t>’</w:t>
      </w:r>
      <w:r w:rsidRPr="00D0609B">
        <w:rPr>
          <w:lang w:val="fr-FR"/>
        </w:rPr>
        <w:t>issue du contentieux cadastral, aux personnes qui seraient désignées comme propriétaires.</w:t>
      </w:r>
    </w:p>
    <w:p w:rsidRPr="00D0609B" w:rsidR="00C75D67" w:rsidP="00D0609B" w14:paraId="38E4346D" w14:textId="77777777">
      <w:pPr>
        <w:pStyle w:val="ECHRPara"/>
        <w:rPr>
          <w:lang w:val="fr-FR"/>
        </w:rPr>
      </w:pPr>
      <w:r w:rsidRPr="00D0609B">
        <w:rPr>
          <w:lang w:val="fr-FR"/>
        </w:rPr>
        <w:t>86.  La question que la Cour est appelée à trancher est celle de savoir si le requérant a perçu ou a été en mesure de percevoir la part des indemnités qui lui revenait.</w:t>
      </w:r>
    </w:p>
    <w:p w:rsidRPr="00D0609B" w:rsidR="00C75D67" w:rsidP="00D0609B" w14:paraId="25BC0401" w14:textId="77777777">
      <w:pPr>
        <w:pStyle w:val="ECHRPara"/>
        <w:rPr>
          <w:lang w:val="fr-FR"/>
        </w:rPr>
      </w:pPr>
      <w:r w:rsidRPr="00D0609B">
        <w:rPr>
          <w:lang w:val="fr-FR"/>
        </w:rPr>
        <w:t>87.  En l</w:t>
      </w:r>
      <w:r w:rsidRPr="00D0609B" w:rsidR="00D0609B">
        <w:rPr>
          <w:lang w:val="fr-FR"/>
        </w:rPr>
        <w:t>’</w:t>
      </w:r>
      <w:r w:rsidRPr="00D0609B">
        <w:rPr>
          <w:lang w:val="fr-FR"/>
        </w:rPr>
        <w:t>occurrence, la Cour note que, avant que le jugement du tribunal du cadastre du 29 juin 2004 ne soit confirmé par la Cour de cassation et ne devienne définitif en 2006, le requérant n</w:t>
      </w:r>
      <w:r w:rsidRPr="00D0609B" w:rsidR="00D0609B">
        <w:rPr>
          <w:lang w:val="fr-FR"/>
        </w:rPr>
        <w:t>’</w:t>
      </w:r>
      <w:r w:rsidRPr="00D0609B">
        <w:rPr>
          <w:lang w:val="fr-FR"/>
        </w:rPr>
        <w:t xml:space="preserve">était pas juridiquement en mesure de prétendre à une part des indemnités puisque ses </w:t>
      </w:r>
      <w:r w:rsidRPr="00D0609B">
        <w:rPr>
          <w:i/>
          <w:lang w:val="fr-FR"/>
        </w:rPr>
        <w:t>de cujus</w:t>
      </w:r>
      <w:r w:rsidRPr="00D0609B">
        <w:rPr>
          <w:lang w:val="fr-FR"/>
        </w:rPr>
        <w:t xml:space="preserve"> n</w:t>
      </w:r>
      <w:r w:rsidRPr="00D0609B" w:rsidR="00D0609B">
        <w:rPr>
          <w:lang w:val="fr-FR"/>
        </w:rPr>
        <w:t>’</w:t>
      </w:r>
      <w:r w:rsidRPr="00D0609B">
        <w:rPr>
          <w:lang w:val="fr-FR"/>
        </w:rPr>
        <w:t>avaient pas encore été désignés comme propriétaires.</w:t>
      </w:r>
    </w:p>
    <w:p w:rsidRPr="00D0609B" w:rsidR="00C75D67" w:rsidP="00D0609B" w14:paraId="38F25C00" w14:textId="77777777">
      <w:pPr>
        <w:pStyle w:val="ECHRPara"/>
        <w:rPr>
          <w:lang w:val="fr-FR"/>
        </w:rPr>
      </w:pPr>
      <w:r w:rsidRPr="00D0609B">
        <w:rPr>
          <w:lang w:val="fr-FR"/>
        </w:rPr>
        <w:t>88.  Pour la Cour, une telle impossibilité d</w:t>
      </w:r>
      <w:r w:rsidRPr="00D0609B" w:rsidR="00D0609B">
        <w:rPr>
          <w:lang w:val="fr-FR"/>
        </w:rPr>
        <w:t>’</w:t>
      </w:r>
      <w:r w:rsidRPr="00D0609B">
        <w:rPr>
          <w:lang w:val="fr-FR"/>
        </w:rPr>
        <w:t>obtenir le paiement des indemnités tant que le contentieux sur la propriété n</w:t>
      </w:r>
      <w:r w:rsidRPr="00D0609B" w:rsidR="00D0609B">
        <w:rPr>
          <w:lang w:val="fr-FR"/>
        </w:rPr>
        <w:t>’</w:t>
      </w:r>
      <w:r w:rsidRPr="00D0609B">
        <w:rPr>
          <w:lang w:val="fr-FR"/>
        </w:rPr>
        <w:t>a pas été définitivement tranché est tout à fait compréhensible puisque ce contentieux a précisément pour objet de déterminer les personnes qui étaient les propriétaires légitimes des biens à la date de l</w:t>
      </w:r>
      <w:r w:rsidRPr="00D0609B" w:rsidR="00D0609B">
        <w:rPr>
          <w:lang w:val="fr-FR"/>
        </w:rPr>
        <w:t>’</w:t>
      </w:r>
      <w:r w:rsidRPr="00D0609B">
        <w:rPr>
          <w:lang w:val="fr-FR"/>
        </w:rPr>
        <w:t>expropriation et qui sont par conséquent les bénéficiaires des indemnités bloquées par l</w:t>
      </w:r>
      <w:r w:rsidRPr="00D0609B" w:rsidR="00D0609B">
        <w:rPr>
          <w:lang w:val="fr-FR"/>
        </w:rPr>
        <w:t>’</w:t>
      </w:r>
      <w:r w:rsidRPr="00D0609B">
        <w:rPr>
          <w:lang w:val="fr-FR"/>
        </w:rPr>
        <w:t>administration sur des comptes en banque.</w:t>
      </w:r>
    </w:p>
    <w:p w:rsidRPr="00D0609B" w:rsidR="00C75D67" w:rsidP="00D0609B" w14:paraId="44C04A56" w14:textId="77777777">
      <w:pPr>
        <w:pStyle w:val="ECHRPara"/>
        <w:rPr>
          <w:lang w:val="fr-FR"/>
        </w:rPr>
      </w:pPr>
      <w:r w:rsidRPr="00D0609B">
        <w:rPr>
          <w:lang w:val="fr-FR"/>
        </w:rPr>
        <w:t>89.  Or il apparaît en l</w:t>
      </w:r>
      <w:r w:rsidRPr="00D0609B" w:rsidR="00D0609B">
        <w:rPr>
          <w:lang w:val="fr-FR"/>
        </w:rPr>
        <w:t>’</w:t>
      </w:r>
      <w:r w:rsidRPr="00D0609B">
        <w:rPr>
          <w:lang w:val="fr-FR"/>
        </w:rPr>
        <w:t>espèce que, à l</w:t>
      </w:r>
      <w:r w:rsidRPr="00D0609B" w:rsidR="00D0609B">
        <w:rPr>
          <w:lang w:val="fr-FR"/>
        </w:rPr>
        <w:t>’</w:t>
      </w:r>
      <w:r w:rsidRPr="00D0609B">
        <w:rPr>
          <w:lang w:val="fr-FR"/>
        </w:rPr>
        <w:t>issue du contentieux cadastral, les fonds n</w:t>
      </w:r>
      <w:r w:rsidRPr="00D0609B" w:rsidR="00D0609B">
        <w:rPr>
          <w:lang w:val="fr-FR"/>
        </w:rPr>
        <w:t>’</w:t>
      </w:r>
      <w:r w:rsidRPr="00D0609B">
        <w:rPr>
          <w:lang w:val="fr-FR"/>
        </w:rPr>
        <w:t>étaient plus disponibles, de sorte que le requérant n</w:t>
      </w:r>
      <w:r w:rsidRPr="00D0609B" w:rsidR="00D0609B">
        <w:rPr>
          <w:lang w:val="fr-FR"/>
        </w:rPr>
        <w:t>’</w:t>
      </w:r>
      <w:r w:rsidRPr="00D0609B">
        <w:rPr>
          <w:lang w:val="fr-FR"/>
        </w:rPr>
        <w:t>a pas été en mesure d</w:t>
      </w:r>
      <w:r w:rsidRPr="00D0609B" w:rsidR="00D0609B">
        <w:rPr>
          <w:lang w:val="fr-FR"/>
        </w:rPr>
        <w:t>’</w:t>
      </w:r>
      <w:r w:rsidRPr="00D0609B">
        <w:rPr>
          <w:lang w:val="fr-FR"/>
        </w:rPr>
        <w:t xml:space="preserve">en obtenir le versement, bien que ses </w:t>
      </w:r>
      <w:r w:rsidRPr="00D0609B">
        <w:rPr>
          <w:i/>
          <w:lang w:val="fr-FR"/>
        </w:rPr>
        <w:t>de cujus</w:t>
      </w:r>
      <w:r w:rsidRPr="00D0609B">
        <w:rPr>
          <w:lang w:val="fr-FR"/>
        </w:rPr>
        <w:t xml:space="preserve"> aient été reconnus comme copropriétaires des biens expropriés, et par là même bénéficiaires d</w:t>
      </w:r>
      <w:r w:rsidRPr="00D0609B" w:rsidR="00D0609B">
        <w:rPr>
          <w:lang w:val="fr-FR"/>
        </w:rPr>
        <w:t>’</w:t>
      </w:r>
      <w:r w:rsidRPr="00D0609B">
        <w:rPr>
          <w:lang w:val="fr-FR"/>
        </w:rPr>
        <w:t>une partie des indemnités.</w:t>
      </w:r>
    </w:p>
    <w:p w:rsidRPr="00D0609B" w:rsidR="00C75D67" w:rsidP="00D0609B" w14:paraId="1FF09305" w14:textId="77777777">
      <w:pPr>
        <w:pStyle w:val="ECHRPara"/>
        <w:rPr>
          <w:lang w:val="fr-FR"/>
        </w:rPr>
      </w:pPr>
      <w:r w:rsidRPr="00D0609B">
        <w:rPr>
          <w:lang w:val="fr-FR"/>
        </w:rPr>
        <w:t>90.  À cet égard, la Cour prend note de l</w:t>
      </w:r>
      <w:r w:rsidRPr="00D0609B" w:rsidR="00D0609B">
        <w:rPr>
          <w:lang w:val="fr-FR"/>
        </w:rPr>
        <w:t>’</w:t>
      </w:r>
      <w:r w:rsidRPr="00D0609B">
        <w:rPr>
          <w:lang w:val="fr-FR"/>
        </w:rPr>
        <w:t>information fournie par le Gouvernement selon laquelle les autorités n</w:t>
      </w:r>
      <w:r w:rsidRPr="00D0609B" w:rsidR="00D0609B">
        <w:rPr>
          <w:lang w:val="fr-FR"/>
        </w:rPr>
        <w:t>’</w:t>
      </w:r>
      <w:r w:rsidRPr="00D0609B">
        <w:rPr>
          <w:lang w:val="fr-FR"/>
        </w:rPr>
        <w:t>ont pas retrouvé la trace des fonds auprès des établissements bancaires et ne sont pas en mesure de déterminer ce qu</w:t>
      </w:r>
      <w:r w:rsidRPr="00D0609B" w:rsidR="00D0609B">
        <w:rPr>
          <w:lang w:val="fr-FR"/>
        </w:rPr>
        <w:t>’</w:t>
      </w:r>
      <w:r w:rsidRPr="00D0609B">
        <w:rPr>
          <w:lang w:val="fr-FR"/>
        </w:rPr>
        <w:t>il en est advenu.</w:t>
      </w:r>
    </w:p>
    <w:p w:rsidRPr="00D0609B" w:rsidR="00C75D67" w:rsidP="00D0609B" w14:paraId="6B44EF1F" w14:textId="77777777">
      <w:pPr>
        <w:pStyle w:val="ECHRPara"/>
        <w:rPr>
          <w:lang w:val="fr-FR"/>
        </w:rPr>
      </w:pPr>
      <w:r w:rsidRPr="00D0609B">
        <w:rPr>
          <w:lang w:val="fr-FR"/>
        </w:rPr>
        <w:t>91.  Elle relève que les parties semblent l</w:t>
      </w:r>
      <w:r w:rsidRPr="00D0609B" w:rsidR="00D0609B">
        <w:rPr>
          <w:lang w:val="fr-FR"/>
        </w:rPr>
        <w:t>’</w:t>
      </w:r>
      <w:r w:rsidRPr="00D0609B">
        <w:rPr>
          <w:lang w:val="fr-FR"/>
        </w:rPr>
        <w:t>une et l</w:t>
      </w:r>
      <w:r w:rsidRPr="00D0609B" w:rsidR="00D0609B">
        <w:rPr>
          <w:lang w:val="fr-FR"/>
        </w:rPr>
        <w:t>’</w:t>
      </w:r>
      <w:r w:rsidRPr="00D0609B">
        <w:rPr>
          <w:lang w:val="fr-FR"/>
        </w:rPr>
        <w:t>autre penser que les fonds ont pu être versés au TMSF, c</w:t>
      </w:r>
      <w:r w:rsidRPr="00D0609B" w:rsidR="00D0609B">
        <w:rPr>
          <w:lang w:val="fr-FR"/>
        </w:rPr>
        <w:t>’</w:t>
      </w:r>
      <w:r w:rsidRPr="00D0609B">
        <w:rPr>
          <w:lang w:val="fr-FR"/>
        </w:rPr>
        <w:t>est-à-dire à l</w:t>
      </w:r>
      <w:r w:rsidRPr="00D0609B" w:rsidR="00D0609B">
        <w:rPr>
          <w:lang w:val="fr-FR"/>
        </w:rPr>
        <w:t>’</w:t>
      </w:r>
      <w:r w:rsidRPr="00D0609B">
        <w:rPr>
          <w:lang w:val="fr-FR"/>
        </w:rPr>
        <w:t>État, en vertu de la législation relative aux comptes bancaires inactifs.</w:t>
      </w:r>
    </w:p>
    <w:p w:rsidRPr="00D0609B" w:rsidR="00C75D67" w:rsidP="00D0609B" w14:paraId="4E965CF7" w14:textId="77777777">
      <w:pPr>
        <w:pStyle w:val="ECHRPara"/>
        <w:rPr>
          <w:lang w:val="fr-FR"/>
        </w:rPr>
      </w:pPr>
      <w:r w:rsidRPr="00D0609B">
        <w:rPr>
          <w:lang w:val="fr-FR"/>
        </w:rPr>
        <w:t>92.  À supposer que tel ait été le cas, la Cour rappelle qu</w:t>
      </w:r>
      <w:r w:rsidRPr="00D0609B" w:rsidR="00D0609B">
        <w:rPr>
          <w:lang w:val="fr-FR"/>
        </w:rPr>
        <w:t>’</w:t>
      </w:r>
      <w:r w:rsidRPr="00D0609B">
        <w:rPr>
          <w:lang w:val="fr-FR"/>
        </w:rPr>
        <w:t>elle a déjà eu à connaître de la compatibilité avec la Convention d</w:t>
      </w:r>
      <w:r w:rsidRPr="00D0609B" w:rsidR="00D0609B">
        <w:rPr>
          <w:lang w:val="fr-FR"/>
        </w:rPr>
        <w:t>’</w:t>
      </w:r>
      <w:r w:rsidRPr="00D0609B">
        <w:rPr>
          <w:lang w:val="fr-FR"/>
        </w:rPr>
        <w:t xml:space="preserve">une législation </w:t>
      </w:r>
      <w:bookmarkStart w:name="lt_pId622" w:id="6"/>
      <w:r w:rsidRPr="00D0609B">
        <w:rPr>
          <w:lang w:val="fr-FR"/>
        </w:rPr>
        <w:t>en vertu de laquelle tout dépôt sur un compte bancaire revenait définitivement à l</w:t>
      </w:r>
      <w:r w:rsidRPr="00D0609B" w:rsidR="00D0609B">
        <w:rPr>
          <w:lang w:val="fr-FR"/>
        </w:rPr>
        <w:t>’</w:t>
      </w:r>
      <w:r w:rsidRPr="00D0609B">
        <w:rPr>
          <w:lang w:val="fr-FR"/>
        </w:rPr>
        <w:t>État dès lors que le titulaire du compte était resté vingt ans sans réclamer les fonds ainsi déposés et sans effectuer la moindre opération sur le compte</w:t>
      </w:r>
      <w:bookmarkEnd w:id="6"/>
      <w:r w:rsidRPr="00D0609B">
        <w:rPr>
          <w:lang w:val="fr-FR"/>
        </w:rPr>
        <w:t xml:space="preserve"> (</w:t>
      </w:r>
      <w:r w:rsidRPr="00D0609B">
        <w:rPr>
          <w:i/>
          <w:lang w:val="fr-FR"/>
        </w:rPr>
        <w:t>Zolotas</w:t>
      </w:r>
      <w:r w:rsidRPr="00D0609B">
        <w:rPr>
          <w:i/>
          <w:lang w:val="fr-FR"/>
        </w:rPr>
        <w:t xml:space="preserve"> c. Grèce (n</w:t>
      </w:r>
      <w:r w:rsidRPr="00D0609B">
        <w:rPr>
          <w:rFonts w:cs="Times New Roman"/>
          <w:i/>
          <w:vertAlign w:val="superscript"/>
          <w:lang w:val="fr-FR"/>
        </w:rPr>
        <w:t>o</w:t>
      </w:r>
      <w:r w:rsidRPr="00D0609B">
        <w:rPr>
          <w:i/>
          <w:lang w:val="fr-FR"/>
        </w:rPr>
        <w:t xml:space="preserve"> 2)</w:t>
      </w:r>
      <w:r w:rsidRPr="00D0609B">
        <w:rPr>
          <w:lang w:val="fr-FR"/>
        </w:rPr>
        <w:t>, n</w:t>
      </w:r>
      <w:r w:rsidRPr="00D0609B">
        <w:rPr>
          <w:vertAlign w:val="superscript"/>
          <w:lang w:val="fr-FR"/>
        </w:rPr>
        <w:t>o</w:t>
      </w:r>
      <w:r w:rsidRPr="00D0609B">
        <w:rPr>
          <w:lang w:val="fr-FR"/>
        </w:rPr>
        <w:t xml:space="preserve"> 66610/09</w:t>
      </w:r>
      <w:r w:rsidRPr="00D0609B">
        <w:rPr>
          <w:snapToGrid w:val="0"/>
          <w:lang w:val="fr-FR"/>
        </w:rPr>
        <w:t xml:space="preserve">, §§ 45 à 55, </w:t>
      </w:r>
      <w:r w:rsidRPr="00D0609B">
        <w:rPr>
          <w:lang w:val="fr-FR"/>
        </w:rPr>
        <w:t>CEDH 2013 (extraits)). À cette occasion, elle a indiqué que la prescription poursuivait un but légitime et d</w:t>
      </w:r>
      <w:r w:rsidRPr="00D0609B" w:rsidR="00D0609B">
        <w:rPr>
          <w:lang w:val="fr-FR"/>
        </w:rPr>
        <w:t>’</w:t>
      </w:r>
      <w:r w:rsidRPr="00D0609B">
        <w:rPr>
          <w:lang w:val="fr-FR"/>
        </w:rPr>
        <w:t>intérêt public, à savoir la liquidation, pour des raisons d</w:t>
      </w:r>
      <w:r w:rsidRPr="00D0609B" w:rsidR="00D0609B">
        <w:rPr>
          <w:lang w:val="fr-FR"/>
        </w:rPr>
        <w:t>’</w:t>
      </w:r>
      <w:r w:rsidRPr="00D0609B">
        <w:rPr>
          <w:lang w:val="fr-FR"/>
        </w:rPr>
        <w:t>économie sociale, « des rapports juridiques créés dans un passé si lointain que leur existence devient incertaine ». Elle a précisé que ce système de prescription était raisonnable, étant donné que le délai de vingt ans était ample et qu</w:t>
      </w:r>
      <w:r w:rsidRPr="00D0609B" w:rsidR="00D0609B">
        <w:rPr>
          <w:lang w:val="fr-FR"/>
        </w:rPr>
        <w:t>’</w:t>
      </w:r>
      <w:r w:rsidRPr="00D0609B">
        <w:rPr>
          <w:lang w:val="fr-FR"/>
        </w:rPr>
        <w:t xml:space="preserve">il </w:t>
      </w:r>
      <w:r w:rsidRPr="00D0609B">
        <w:rPr>
          <w:lang w:val="fr-FR"/>
        </w:rPr>
        <w:t>n</w:t>
      </w:r>
      <w:r w:rsidRPr="00D0609B" w:rsidR="00D0609B">
        <w:rPr>
          <w:lang w:val="fr-FR"/>
        </w:rPr>
        <w:t>’</w:t>
      </w:r>
      <w:r w:rsidRPr="00D0609B">
        <w:rPr>
          <w:lang w:val="fr-FR"/>
        </w:rPr>
        <w:t>était pas difficile ni impossible aux intéressés d</w:t>
      </w:r>
      <w:r w:rsidRPr="00D0609B" w:rsidR="00D0609B">
        <w:rPr>
          <w:lang w:val="fr-FR"/>
        </w:rPr>
        <w:t>’</w:t>
      </w:r>
      <w:r w:rsidRPr="00D0609B">
        <w:rPr>
          <w:lang w:val="fr-FR"/>
        </w:rPr>
        <w:t>arrêter la prescription. Elle a néanmoins considéré que l</w:t>
      </w:r>
      <w:r w:rsidRPr="00D0609B" w:rsidR="00D0609B">
        <w:rPr>
          <w:lang w:val="fr-FR"/>
        </w:rPr>
        <w:t>’</w:t>
      </w:r>
      <w:r w:rsidRPr="00D0609B">
        <w:rPr>
          <w:lang w:val="fr-FR"/>
        </w:rPr>
        <w:t>application d</w:t>
      </w:r>
      <w:r w:rsidRPr="00D0609B" w:rsidR="00D0609B">
        <w:rPr>
          <w:lang w:val="fr-FR"/>
        </w:rPr>
        <w:t>’</w:t>
      </w:r>
      <w:r w:rsidRPr="00D0609B">
        <w:rPr>
          <w:lang w:val="fr-FR"/>
        </w:rPr>
        <w:t>une mesure aussi radicale que la prescription des prétentions afférentes à un compte bancaire était de nature à placer les détenteurs des comptes dans une situation désavantageuse par rapport à la banque ou même à l</w:t>
      </w:r>
      <w:r w:rsidRPr="00D0609B" w:rsidR="00D0609B">
        <w:rPr>
          <w:lang w:val="fr-FR"/>
        </w:rPr>
        <w:t>’</w:t>
      </w:r>
      <w:r w:rsidRPr="00D0609B">
        <w:rPr>
          <w:lang w:val="fr-FR"/>
        </w:rPr>
        <w:t xml:space="preserve">État. </w:t>
      </w:r>
      <w:bookmarkStart w:name="lt_pId623" w:id="7"/>
      <w:r w:rsidRPr="00D0609B">
        <w:rPr>
          <w:lang w:val="fr-FR"/>
        </w:rPr>
        <w:t>Ainsi, la Cour a jugé, notamment, que le juste équilibre requis par l</w:t>
      </w:r>
      <w:r w:rsidRPr="00D0609B" w:rsidR="00D0609B">
        <w:rPr>
          <w:lang w:val="fr-FR"/>
        </w:rPr>
        <w:t>’</w:t>
      </w:r>
      <w:r w:rsidRPr="00D0609B">
        <w:rPr>
          <w:lang w:val="fr-FR"/>
        </w:rPr>
        <w:t>article 1 du Protocole n</w:t>
      </w:r>
      <w:r w:rsidRPr="00D0609B">
        <w:rPr>
          <w:vertAlign w:val="superscript"/>
          <w:lang w:val="fr-FR"/>
        </w:rPr>
        <w:t>o</w:t>
      </w:r>
      <w:r w:rsidRPr="00D0609B">
        <w:rPr>
          <w:lang w:val="fr-FR"/>
        </w:rPr>
        <w:t> 1 avait été rompu par le fait que le requérant n</w:t>
      </w:r>
      <w:r w:rsidRPr="00D0609B" w:rsidR="00D0609B">
        <w:rPr>
          <w:lang w:val="fr-FR"/>
        </w:rPr>
        <w:t>’</w:t>
      </w:r>
      <w:r w:rsidRPr="00D0609B">
        <w:rPr>
          <w:lang w:val="fr-FR"/>
        </w:rPr>
        <w:t>avait pas été informé de la date à laquelle le délai de prescription était censé arriver à échéance, et qu</w:t>
      </w:r>
      <w:r w:rsidRPr="00D0609B" w:rsidR="00D0609B">
        <w:rPr>
          <w:lang w:val="fr-FR"/>
        </w:rPr>
        <w:t>’</w:t>
      </w:r>
      <w:r w:rsidRPr="00D0609B">
        <w:rPr>
          <w:lang w:val="fr-FR"/>
        </w:rPr>
        <w:t>il n</w:t>
      </w:r>
      <w:r w:rsidRPr="00D0609B" w:rsidR="00D0609B">
        <w:rPr>
          <w:lang w:val="fr-FR"/>
        </w:rPr>
        <w:t>’</w:t>
      </w:r>
      <w:r w:rsidRPr="00D0609B">
        <w:rPr>
          <w:lang w:val="fr-FR"/>
        </w:rPr>
        <w:t>avait donc pas eu la possibilité d</w:t>
      </w:r>
      <w:r w:rsidRPr="00D0609B" w:rsidR="00D0609B">
        <w:rPr>
          <w:lang w:val="fr-FR"/>
        </w:rPr>
        <w:t>’</w:t>
      </w:r>
      <w:r w:rsidRPr="00D0609B">
        <w:rPr>
          <w:lang w:val="fr-FR"/>
        </w:rPr>
        <w:t>interrompre la prescription</w:t>
      </w:r>
      <w:bookmarkEnd w:id="7"/>
      <w:r w:rsidRPr="00D0609B">
        <w:rPr>
          <w:lang w:val="fr-FR"/>
        </w:rPr>
        <w:t>.</w:t>
      </w:r>
    </w:p>
    <w:p w:rsidRPr="00D0609B" w:rsidR="00C75D67" w:rsidP="00D0609B" w14:paraId="79794E5D" w14:textId="77777777">
      <w:pPr>
        <w:pStyle w:val="ECHRPara"/>
        <w:rPr>
          <w:lang w:val="fr-FR"/>
        </w:rPr>
      </w:pPr>
      <w:r w:rsidRPr="00D0609B">
        <w:rPr>
          <w:lang w:val="fr-FR"/>
        </w:rPr>
        <w:t>93.  En l</w:t>
      </w:r>
      <w:r w:rsidRPr="00D0609B" w:rsidR="00D0609B">
        <w:rPr>
          <w:lang w:val="fr-FR"/>
        </w:rPr>
        <w:t>’</w:t>
      </w:r>
      <w:r w:rsidRPr="00D0609B">
        <w:rPr>
          <w:lang w:val="fr-FR"/>
        </w:rPr>
        <w:t>espèce, la Cour observe que le Gouvernement reproche au requérant de s</w:t>
      </w:r>
      <w:r w:rsidRPr="00D0609B" w:rsidR="00D0609B">
        <w:rPr>
          <w:lang w:val="fr-FR"/>
        </w:rPr>
        <w:t>’</w:t>
      </w:r>
      <w:r w:rsidRPr="00D0609B">
        <w:rPr>
          <w:lang w:val="fr-FR"/>
        </w:rPr>
        <w:t xml:space="preserve">être montré négligent, affirmant que, même si ses </w:t>
      </w:r>
      <w:r w:rsidRPr="00D0609B">
        <w:rPr>
          <w:i/>
          <w:lang w:val="fr-FR"/>
        </w:rPr>
        <w:t>de cujus</w:t>
      </w:r>
      <w:r w:rsidRPr="00D0609B">
        <w:rPr>
          <w:lang w:val="fr-FR"/>
        </w:rPr>
        <w:t xml:space="preserve"> n</w:t>
      </w:r>
      <w:r w:rsidRPr="00D0609B" w:rsidR="00D0609B">
        <w:rPr>
          <w:lang w:val="fr-FR"/>
        </w:rPr>
        <w:t>’</w:t>
      </w:r>
      <w:r w:rsidRPr="00D0609B">
        <w:rPr>
          <w:lang w:val="fr-FR"/>
        </w:rPr>
        <w:t>avaient pas encore été désignés comme propriétaires, l</w:t>
      </w:r>
      <w:r w:rsidRPr="00D0609B" w:rsidR="00D0609B">
        <w:rPr>
          <w:lang w:val="fr-FR"/>
        </w:rPr>
        <w:t>’</w:t>
      </w:r>
      <w:r w:rsidRPr="00D0609B">
        <w:rPr>
          <w:lang w:val="fr-FR"/>
        </w:rPr>
        <w:t>intéressé aurait pu demander au curateur de réaliser une opération sur le compte aux fins de l</w:t>
      </w:r>
      <w:r w:rsidRPr="00D0609B" w:rsidR="00D0609B">
        <w:rPr>
          <w:lang w:val="fr-FR"/>
        </w:rPr>
        <w:t>’</w:t>
      </w:r>
      <w:r w:rsidRPr="00D0609B">
        <w:rPr>
          <w:lang w:val="fr-FR"/>
        </w:rPr>
        <w:t>interruption du délai de prescription.</w:t>
      </w:r>
    </w:p>
    <w:p w:rsidRPr="00D0609B" w:rsidR="00C75D67" w:rsidP="00D0609B" w14:paraId="3DC02F6F" w14:textId="77777777">
      <w:pPr>
        <w:pStyle w:val="ECHRPara"/>
        <w:rPr>
          <w:lang w:val="fr-FR"/>
        </w:rPr>
      </w:pPr>
      <w:r w:rsidRPr="00D0609B">
        <w:rPr>
          <w:lang w:val="fr-FR"/>
        </w:rPr>
        <w:t>94.  À ce sujet, la Cour considère que l</w:t>
      </w:r>
      <w:r w:rsidRPr="00D0609B" w:rsidR="00D0609B">
        <w:rPr>
          <w:lang w:val="fr-FR"/>
        </w:rPr>
        <w:t>’</w:t>
      </w:r>
      <w:r w:rsidRPr="00D0609B">
        <w:rPr>
          <w:lang w:val="fr-FR"/>
        </w:rPr>
        <w:t>on ne pouvait raisonnablement s</w:t>
      </w:r>
      <w:r w:rsidRPr="00D0609B" w:rsidR="00D0609B">
        <w:rPr>
          <w:lang w:val="fr-FR"/>
        </w:rPr>
        <w:t>’</w:t>
      </w:r>
      <w:r w:rsidRPr="00D0609B">
        <w:rPr>
          <w:lang w:val="fr-FR"/>
        </w:rPr>
        <w:t xml:space="preserve">attendre à voir le requérant ou ses </w:t>
      </w:r>
      <w:r w:rsidRPr="00D0609B">
        <w:rPr>
          <w:i/>
          <w:lang w:val="fr-FR"/>
        </w:rPr>
        <w:t>de cujus</w:t>
      </w:r>
      <w:r w:rsidRPr="00D0609B">
        <w:rPr>
          <w:lang w:val="fr-FR"/>
        </w:rPr>
        <w:t xml:space="preserve"> entamer une quelconque démarche auprès du curateur, </w:t>
      </w:r>
      <w:r w:rsidRPr="00D0609B">
        <w:rPr>
          <w:szCs w:val="24"/>
          <w:lang w:val="fr-FR"/>
        </w:rPr>
        <w:t>étant donné que ni la nomination de ce dernier ni l</w:t>
      </w:r>
      <w:r w:rsidRPr="00D0609B" w:rsidR="00D0609B">
        <w:rPr>
          <w:szCs w:val="24"/>
          <w:lang w:val="fr-FR"/>
        </w:rPr>
        <w:t>’</w:t>
      </w:r>
      <w:r w:rsidRPr="00D0609B">
        <w:rPr>
          <w:szCs w:val="24"/>
          <w:lang w:val="fr-FR"/>
        </w:rPr>
        <w:t xml:space="preserve">expropriation ne leur </w:t>
      </w:r>
      <w:r w:rsidRPr="00D0609B">
        <w:rPr>
          <w:szCs w:val="24"/>
          <w:lang w:val="fr-FR"/>
        </w:rPr>
        <w:t>avai</w:t>
      </w:r>
      <w:r w:rsidRPr="00D0609B" w:rsidR="00395B89">
        <w:rPr>
          <w:szCs w:val="24"/>
          <w:lang w:val="tr-TR"/>
        </w:rPr>
        <w:t>en</w:t>
      </w:r>
      <w:r w:rsidRPr="00D0609B">
        <w:rPr>
          <w:szCs w:val="24"/>
          <w:lang w:val="fr-FR"/>
        </w:rPr>
        <w:t>t jamais</w:t>
      </w:r>
      <w:r w:rsidRPr="00D0609B" w:rsidR="00C434B4">
        <w:rPr>
          <w:szCs w:val="24"/>
          <w:lang w:val="fr-FR"/>
        </w:rPr>
        <w:t xml:space="preserve"> été notifiée</w:t>
      </w:r>
      <w:r w:rsidRPr="00D0609B" w:rsidR="009051CE">
        <w:rPr>
          <w:szCs w:val="24"/>
          <w:lang w:val="fr-FR"/>
        </w:rPr>
        <w:t>s</w:t>
      </w:r>
      <w:r w:rsidRPr="00D0609B" w:rsidR="00C434B4">
        <w:rPr>
          <w:szCs w:val="24"/>
          <w:lang w:val="fr-FR"/>
        </w:rPr>
        <w:t xml:space="preserve"> directement (voir </w:t>
      </w:r>
      <w:r w:rsidRPr="00D0609B">
        <w:rPr>
          <w:szCs w:val="24"/>
          <w:lang w:val="fr-FR"/>
        </w:rPr>
        <w:t xml:space="preserve">paragraphe 25 ci-dessus). </w:t>
      </w:r>
      <w:r w:rsidRPr="00D0609B">
        <w:rPr>
          <w:lang w:val="fr-FR"/>
        </w:rPr>
        <w:t>Si une notification a bien été faite, elle l</w:t>
      </w:r>
      <w:r w:rsidRPr="00D0609B" w:rsidR="00D0609B">
        <w:rPr>
          <w:lang w:val="fr-FR"/>
        </w:rPr>
        <w:t>’</w:t>
      </w:r>
      <w:r w:rsidRPr="00D0609B">
        <w:rPr>
          <w:lang w:val="fr-FR"/>
        </w:rPr>
        <w:t>a été par voie de publication dans la presse, ce qui ne permet pas nécessairement de s</w:t>
      </w:r>
      <w:r w:rsidRPr="00D0609B" w:rsidR="00D0609B">
        <w:rPr>
          <w:lang w:val="fr-FR"/>
        </w:rPr>
        <w:t>’</w:t>
      </w:r>
      <w:r w:rsidRPr="00D0609B">
        <w:rPr>
          <w:lang w:val="fr-FR"/>
        </w:rPr>
        <w:t>assurer que les intéressés aient pu en être informés.</w:t>
      </w:r>
    </w:p>
    <w:p w:rsidRPr="00D0609B" w:rsidR="00C75D67" w:rsidP="00D0609B" w14:paraId="10E893AA" w14:textId="77777777">
      <w:pPr>
        <w:pStyle w:val="ECHRPara"/>
        <w:rPr>
          <w:lang w:val="fr-FR"/>
        </w:rPr>
      </w:pPr>
      <w:r w:rsidRPr="00D0609B">
        <w:rPr>
          <w:lang w:val="fr-FR"/>
        </w:rPr>
        <w:t>95.  La Cour constate que ce mode de notification, qui peut souvent engendrer des conséquences fâcheuses pour son destinataire, n</w:t>
      </w:r>
      <w:r w:rsidRPr="00D0609B" w:rsidR="00D0609B">
        <w:rPr>
          <w:lang w:val="fr-FR"/>
        </w:rPr>
        <w:t>’</w:t>
      </w:r>
      <w:r w:rsidRPr="00D0609B">
        <w:rPr>
          <w:lang w:val="fr-FR"/>
        </w:rPr>
        <w:t>a pas été utilisé en dernier recours par les autorités. Celles-ci ne semblent pas s</w:t>
      </w:r>
      <w:r w:rsidRPr="00D0609B" w:rsidR="00D0609B">
        <w:rPr>
          <w:lang w:val="fr-FR"/>
        </w:rPr>
        <w:t>’</w:t>
      </w:r>
      <w:r w:rsidRPr="00D0609B">
        <w:rPr>
          <w:lang w:val="fr-FR"/>
        </w:rPr>
        <w:t>être interrogées sur l</w:t>
      </w:r>
      <w:r w:rsidRPr="00D0609B" w:rsidR="00D0609B">
        <w:rPr>
          <w:lang w:val="fr-FR"/>
        </w:rPr>
        <w:t>’</w:t>
      </w:r>
      <w:r w:rsidRPr="00D0609B">
        <w:rPr>
          <w:lang w:val="fr-FR"/>
        </w:rPr>
        <w:t>opportunité d</w:t>
      </w:r>
      <w:r w:rsidRPr="00D0609B" w:rsidR="00D0609B">
        <w:rPr>
          <w:lang w:val="fr-FR"/>
        </w:rPr>
        <w:t>’</w:t>
      </w:r>
      <w:r w:rsidRPr="00D0609B">
        <w:rPr>
          <w:lang w:val="fr-FR"/>
        </w:rPr>
        <w:t>accomplir au préalable d</w:t>
      </w:r>
      <w:r w:rsidRPr="00D0609B" w:rsidR="00D0609B">
        <w:rPr>
          <w:lang w:val="fr-FR"/>
        </w:rPr>
        <w:t>’</w:t>
      </w:r>
      <w:r w:rsidRPr="00D0609B">
        <w:rPr>
          <w:lang w:val="fr-FR"/>
        </w:rPr>
        <w:t>autres démarches aux fins de l</w:t>
      </w:r>
      <w:r w:rsidRPr="00D0609B" w:rsidR="00D0609B">
        <w:rPr>
          <w:lang w:val="fr-FR"/>
        </w:rPr>
        <w:t>’</w:t>
      </w:r>
      <w:r w:rsidRPr="00D0609B">
        <w:rPr>
          <w:lang w:val="fr-FR"/>
        </w:rPr>
        <w:t>identification des intéressés (comparer avec l</w:t>
      </w:r>
      <w:r w:rsidRPr="00D0609B" w:rsidR="00D0609B">
        <w:rPr>
          <w:lang w:val="fr-FR"/>
        </w:rPr>
        <w:t>’</w:t>
      </w:r>
      <w:r w:rsidRPr="00D0609B">
        <w:rPr>
          <w:lang w:val="fr-FR"/>
        </w:rPr>
        <w:t xml:space="preserve">affaire </w:t>
      </w:r>
      <w:r w:rsidRPr="00D0609B">
        <w:rPr>
          <w:i/>
          <w:lang w:val="fr-FR"/>
        </w:rPr>
        <w:t>Dilipak</w:t>
      </w:r>
      <w:r w:rsidRPr="00D0609B">
        <w:rPr>
          <w:i/>
          <w:lang w:val="fr-FR"/>
        </w:rPr>
        <w:t xml:space="preserve"> et </w:t>
      </w:r>
      <w:r w:rsidRPr="00D0609B">
        <w:rPr>
          <w:i/>
          <w:lang w:val="fr-FR"/>
        </w:rPr>
        <w:t>Karakaya</w:t>
      </w:r>
      <w:r w:rsidRPr="00D0609B">
        <w:rPr>
          <w:lang w:val="fr-FR"/>
        </w:rPr>
        <w:t xml:space="preserve"> </w:t>
      </w:r>
      <w:r w:rsidRPr="00D0609B">
        <w:rPr>
          <w:i/>
          <w:lang w:val="fr-FR"/>
        </w:rPr>
        <w:t>c. Turquie,</w:t>
      </w:r>
      <w:r w:rsidRPr="00D0609B">
        <w:rPr>
          <w:lang w:val="fr-FR"/>
        </w:rPr>
        <w:t xml:space="preserve"> n</w:t>
      </w:r>
      <w:r w:rsidRPr="00D0609B">
        <w:rPr>
          <w:vertAlign w:val="superscript"/>
          <w:lang w:val="fr-FR"/>
        </w:rPr>
        <w:t>os</w:t>
      </w:r>
      <w:r w:rsidRPr="00D0609B">
        <w:rPr>
          <w:lang w:val="fr-FR"/>
        </w:rPr>
        <w:t xml:space="preserve"> 7942/05 et 24838/05</w:t>
      </w:r>
      <w:r w:rsidRPr="00D0609B">
        <w:rPr>
          <w:snapToGrid w:val="0"/>
          <w:lang w:val="fr-FR"/>
        </w:rPr>
        <w:t xml:space="preserve">, §§ 81 à 85, 4 </w:t>
      </w:r>
      <w:r w:rsidRPr="00D0609B">
        <w:rPr>
          <w:lang w:val="fr-FR"/>
        </w:rPr>
        <w:t>mars</w:t>
      </w:r>
      <w:r w:rsidRPr="00D0609B">
        <w:rPr>
          <w:snapToGrid w:val="0"/>
          <w:lang w:val="fr-FR"/>
        </w:rPr>
        <w:t xml:space="preserve"> 2014, concernant la compatibilité avec le droit à un procès équitable du recours à la notification par voie de publication sans que soient accomplies au préalable les diligences nécessaires à la détermination de l</w:t>
      </w:r>
      <w:r w:rsidRPr="00D0609B" w:rsidR="00D0609B">
        <w:rPr>
          <w:snapToGrid w:val="0"/>
          <w:lang w:val="fr-FR"/>
        </w:rPr>
        <w:t>’</w:t>
      </w:r>
      <w:r w:rsidRPr="00D0609B">
        <w:rPr>
          <w:snapToGrid w:val="0"/>
          <w:lang w:val="fr-FR"/>
        </w:rPr>
        <w:t>adresse du requérant)</w:t>
      </w:r>
      <w:r w:rsidRPr="00D0609B">
        <w:rPr>
          <w:lang w:val="fr-FR"/>
        </w:rPr>
        <w:t xml:space="preserve">. Sur ce point, force est de constater que les </w:t>
      </w:r>
      <w:r w:rsidRPr="00D0609B">
        <w:rPr>
          <w:i/>
          <w:lang w:val="fr-FR"/>
        </w:rPr>
        <w:t>de cujus</w:t>
      </w:r>
      <w:r w:rsidRPr="00D0609B">
        <w:rPr>
          <w:lang w:val="fr-FR"/>
        </w:rPr>
        <w:t xml:space="preserve"> du requérant étaient parties à la procédure judiciaire relative à la propriété des biens expropriés et que c</w:t>
      </w:r>
      <w:r w:rsidRPr="00D0609B" w:rsidR="00D0609B">
        <w:rPr>
          <w:lang w:val="fr-FR"/>
        </w:rPr>
        <w:t>’</w:t>
      </w:r>
      <w:r w:rsidRPr="00D0609B">
        <w:rPr>
          <w:lang w:val="fr-FR"/>
        </w:rPr>
        <w:t>est l</w:t>
      </w:r>
      <w:r w:rsidRPr="00D0609B" w:rsidR="00D0609B">
        <w:rPr>
          <w:lang w:val="fr-FR"/>
        </w:rPr>
        <w:t>’</w:t>
      </w:r>
      <w:r w:rsidRPr="00D0609B">
        <w:rPr>
          <w:lang w:val="fr-FR"/>
        </w:rPr>
        <w:t>existence même de cette procédure qui avait conduit à la nomination d</w:t>
      </w:r>
      <w:r w:rsidRPr="00D0609B" w:rsidR="00D0609B">
        <w:rPr>
          <w:lang w:val="fr-FR"/>
        </w:rPr>
        <w:t>’</w:t>
      </w:r>
      <w:r w:rsidRPr="00D0609B">
        <w:rPr>
          <w:lang w:val="fr-FR"/>
        </w:rPr>
        <w:t>un curateur. Il est par conséquent difficilement compréhensible que les autorités n</w:t>
      </w:r>
      <w:r w:rsidRPr="00D0609B" w:rsidR="00D0609B">
        <w:rPr>
          <w:lang w:val="fr-FR"/>
        </w:rPr>
        <w:t>’</w:t>
      </w:r>
      <w:r w:rsidRPr="00D0609B">
        <w:rPr>
          <w:lang w:val="fr-FR"/>
        </w:rPr>
        <w:t>aient pas cherché à obtenir l</w:t>
      </w:r>
      <w:r w:rsidRPr="00D0609B" w:rsidR="00D0609B">
        <w:rPr>
          <w:lang w:val="fr-FR"/>
        </w:rPr>
        <w:t>’</w:t>
      </w:r>
      <w:r w:rsidRPr="00D0609B">
        <w:rPr>
          <w:lang w:val="fr-FR"/>
        </w:rPr>
        <w:t>identité et l</w:t>
      </w:r>
      <w:r w:rsidRPr="00D0609B" w:rsidR="00D0609B">
        <w:rPr>
          <w:lang w:val="fr-FR"/>
        </w:rPr>
        <w:t>’</w:t>
      </w:r>
      <w:r w:rsidRPr="00D0609B">
        <w:rPr>
          <w:lang w:val="fr-FR"/>
        </w:rPr>
        <w:t>adresse des parties à ladite procédure</w:t>
      </w:r>
      <w:r w:rsidRPr="00D0609B">
        <w:rPr>
          <w:snapToGrid w:val="0"/>
          <w:lang w:val="fr-FR"/>
        </w:rPr>
        <w:t xml:space="preserve"> pour leur notifier la décision d</w:t>
      </w:r>
      <w:r w:rsidRPr="00D0609B" w:rsidR="00D0609B">
        <w:rPr>
          <w:snapToGrid w:val="0"/>
          <w:lang w:val="fr-FR"/>
        </w:rPr>
        <w:t>’</w:t>
      </w:r>
      <w:r w:rsidRPr="00D0609B">
        <w:rPr>
          <w:snapToGrid w:val="0"/>
          <w:lang w:val="fr-FR"/>
        </w:rPr>
        <w:t>expropriation et ses suites.</w:t>
      </w:r>
    </w:p>
    <w:p w:rsidRPr="00D0609B" w:rsidR="00C75D67" w:rsidP="00D0609B" w14:paraId="4575882C" w14:textId="77777777">
      <w:pPr>
        <w:pStyle w:val="ECHRPara"/>
        <w:rPr>
          <w:snapToGrid w:val="0"/>
          <w:lang w:val="fr-FR"/>
        </w:rPr>
      </w:pPr>
      <w:r w:rsidRPr="00D0609B">
        <w:rPr>
          <w:snapToGrid w:val="0"/>
          <w:lang w:val="fr-FR"/>
        </w:rPr>
        <w:t>96.  Dans ces conditions, rien ne permet d</w:t>
      </w:r>
      <w:r w:rsidRPr="00D0609B" w:rsidR="00D0609B">
        <w:rPr>
          <w:snapToGrid w:val="0"/>
          <w:lang w:val="fr-FR"/>
        </w:rPr>
        <w:t>’</w:t>
      </w:r>
      <w:r w:rsidRPr="00D0609B">
        <w:rPr>
          <w:snapToGrid w:val="0"/>
          <w:lang w:val="fr-FR"/>
        </w:rPr>
        <w:t xml:space="preserve">affirmer que le requérant ou ses </w:t>
      </w:r>
      <w:r w:rsidRPr="00D0609B">
        <w:rPr>
          <w:i/>
          <w:snapToGrid w:val="0"/>
          <w:lang w:val="fr-FR"/>
        </w:rPr>
        <w:t>de cujus</w:t>
      </w:r>
      <w:r w:rsidRPr="00D0609B">
        <w:rPr>
          <w:snapToGrid w:val="0"/>
          <w:lang w:val="fr-FR"/>
        </w:rPr>
        <w:t xml:space="preserve"> avaient été dûment informés de l</w:t>
      </w:r>
      <w:r w:rsidRPr="00D0609B" w:rsidR="00D0609B">
        <w:rPr>
          <w:snapToGrid w:val="0"/>
          <w:lang w:val="fr-FR"/>
        </w:rPr>
        <w:t>’</w:t>
      </w:r>
      <w:r w:rsidRPr="00D0609B">
        <w:rPr>
          <w:snapToGrid w:val="0"/>
          <w:lang w:val="fr-FR"/>
        </w:rPr>
        <w:t>existence d</w:t>
      </w:r>
      <w:r w:rsidRPr="00D0609B" w:rsidR="00D0609B">
        <w:rPr>
          <w:snapToGrid w:val="0"/>
          <w:lang w:val="fr-FR"/>
        </w:rPr>
        <w:t>’</w:t>
      </w:r>
      <w:r w:rsidRPr="00D0609B">
        <w:rPr>
          <w:snapToGrid w:val="0"/>
          <w:lang w:val="fr-FR"/>
        </w:rPr>
        <w:t>une procédure d</w:t>
      </w:r>
      <w:r w:rsidRPr="00D0609B" w:rsidR="00D0609B">
        <w:rPr>
          <w:snapToGrid w:val="0"/>
          <w:lang w:val="fr-FR"/>
        </w:rPr>
        <w:t>’</w:t>
      </w:r>
      <w:r w:rsidRPr="00D0609B">
        <w:rPr>
          <w:snapToGrid w:val="0"/>
          <w:lang w:val="fr-FR"/>
        </w:rPr>
        <w:t>expropriation formelle et de la nomination d</w:t>
      </w:r>
      <w:r w:rsidRPr="00D0609B" w:rsidR="00D0609B">
        <w:rPr>
          <w:snapToGrid w:val="0"/>
          <w:lang w:val="fr-FR"/>
        </w:rPr>
        <w:t>’</w:t>
      </w:r>
      <w:r w:rsidRPr="00D0609B">
        <w:rPr>
          <w:snapToGrid w:val="0"/>
          <w:lang w:val="fr-FR"/>
        </w:rPr>
        <w:t>un curateur chargé de représenter leurs intérêts, et encore moins qu</w:t>
      </w:r>
      <w:r w:rsidRPr="00D0609B" w:rsidR="00D0609B">
        <w:rPr>
          <w:snapToGrid w:val="0"/>
          <w:lang w:val="fr-FR"/>
        </w:rPr>
        <w:t>’</w:t>
      </w:r>
      <w:r w:rsidRPr="00D0609B">
        <w:rPr>
          <w:snapToGrid w:val="0"/>
          <w:lang w:val="fr-FR"/>
        </w:rPr>
        <w:t>ils étaient en mesure d</w:t>
      </w:r>
      <w:r w:rsidRPr="00D0609B" w:rsidR="00D0609B">
        <w:rPr>
          <w:snapToGrid w:val="0"/>
          <w:lang w:val="fr-FR"/>
        </w:rPr>
        <w:t>’</w:t>
      </w:r>
      <w:r w:rsidRPr="00D0609B">
        <w:rPr>
          <w:snapToGrid w:val="0"/>
          <w:lang w:val="fr-FR"/>
        </w:rPr>
        <w:t>interrompre le délai de prescription.</w:t>
      </w:r>
    </w:p>
    <w:p w:rsidRPr="00D0609B" w:rsidR="00C75D67" w:rsidP="00D0609B" w14:paraId="48F5C84A" w14:textId="77777777">
      <w:pPr>
        <w:pStyle w:val="ECHRPara"/>
        <w:rPr>
          <w:lang w:val="fr-FR"/>
        </w:rPr>
      </w:pPr>
      <w:r w:rsidRPr="00D0609B">
        <w:rPr>
          <w:lang w:val="fr-FR"/>
        </w:rPr>
        <w:t>97.  Compte tenu des éléments qui précèdent, la Cour constate que le requérant n</w:t>
      </w:r>
      <w:r w:rsidRPr="00D0609B" w:rsidR="00D0609B">
        <w:rPr>
          <w:lang w:val="fr-FR"/>
        </w:rPr>
        <w:t>’</w:t>
      </w:r>
      <w:r w:rsidRPr="00D0609B">
        <w:rPr>
          <w:lang w:val="fr-FR"/>
        </w:rPr>
        <w:t>a jamais perçu la part des indemnités d</w:t>
      </w:r>
      <w:r w:rsidRPr="00D0609B" w:rsidR="00D0609B">
        <w:rPr>
          <w:lang w:val="fr-FR"/>
        </w:rPr>
        <w:t>’</w:t>
      </w:r>
      <w:r w:rsidRPr="00D0609B">
        <w:rPr>
          <w:lang w:val="fr-FR"/>
        </w:rPr>
        <w:t xml:space="preserve">expropriation qui lui </w:t>
      </w:r>
      <w:r w:rsidRPr="00D0609B">
        <w:rPr>
          <w:lang w:val="fr-FR"/>
        </w:rPr>
        <w:t>revenait, ni été concrètement en mesure de l</w:t>
      </w:r>
      <w:r w:rsidRPr="00D0609B" w:rsidR="00D0609B">
        <w:rPr>
          <w:lang w:val="fr-FR"/>
        </w:rPr>
        <w:t>’</w:t>
      </w:r>
      <w:r w:rsidRPr="00D0609B">
        <w:rPr>
          <w:lang w:val="fr-FR"/>
        </w:rPr>
        <w:t>obtenir avant que les sommes en question ne disparaissent, et que cette situation n</w:t>
      </w:r>
      <w:r w:rsidRPr="00D0609B" w:rsidR="00D0609B">
        <w:rPr>
          <w:lang w:val="fr-FR"/>
        </w:rPr>
        <w:t>’</w:t>
      </w:r>
      <w:r w:rsidRPr="00D0609B">
        <w:rPr>
          <w:lang w:val="fr-FR"/>
        </w:rPr>
        <w:t>est pas le résultat d</w:t>
      </w:r>
      <w:r w:rsidRPr="00D0609B" w:rsidR="00D0609B">
        <w:rPr>
          <w:lang w:val="fr-FR"/>
        </w:rPr>
        <w:t>’</w:t>
      </w:r>
      <w:r w:rsidRPr="00D0609B">
        <w:rPr>
          <w:lang w:val="fr-FR"/>
        </w:rPr>
        <w:t xml:space="preserve">une quelconque négligence de sa part ou de la part de ses </w:t>
      </w:r>
      <w:r w:rsidRPr="00D0609B">
        <w:rPr>
          <w:i/>
          <w:lang w:val="fr-FR"/>
        </w:rPr>
        <w:t>de cujus</w:t>
      </w:r>
      <w:r w:rsidRPr="00D0609B">
        <w:rPr>
          <w:lang w:val="fr-FR"/>
        </w:rPr>
        <w:t>.</w:t>
      </w:r>
    </w:p>
    <w:p w:rsidRPr="00D0609B" w:rsidR="00C75D67" w:rsidP="00D0609B" w14:paraId="1811A397" w14:textId="77777777">
      <w:pPr>
        <w:pStyle w:val="ECHRPara"/>
        <w:rPr>
          <w:lang w:val="fr-FR"/>
        </w:rPr>
      </w:pPr>
      <w:r w:rsidRPr="00D0609B">
        <w:rPr>
          <w:lang w:val="fr-FR"/>
        </w:rPr>
        <w:t>98.  Dès lors, même à supposer qu</w:t>
      </w:r>
      <w:r w:rsidRPr="00D0609B" w:rsidR="00D0609B">
        <w:rPr>
          <w:lang w:val="fr-FR"/>
        </w:rPr>
        <w:t>’</w:t>
      </w:r>
      <w:r w:rsidRPr="00D0609B">
        <w:rPr>
          <w:lang w:val="fr-FR"/>
        </w:rPr>
        <w:t>elle reposât sur une base légale et qu</w:t>
      </w:r>
      <w:r w:rsidRPr="00D0609B" w:rsidR="00D0609B">
        <w:rPr>
          <w:lang w:val="fr-FR"/>
        </w:rPr>
        <w:t>’</w:t>
      </w:r>
      <w:r w:rsidRPr="00D0609B">
        <w:rPr>
          <w:lang w:val="fr-FR"/>
        </w:rPr>
        <w:t>elle poursuivît un but légitime, l</w:t>
      </w:r>
      <w:r w:rsidRPr="00D0609B" w:rsidR="00D0609B">
        <w:rPr>
          <w:lang w:val="fr-FR"/>
        </w:rPr>
        <w:t>’</w:t>
      </w:r>
      <w:r w:rsidRPr="00D0609B">
        <w:rPr>
          <w:lang w:val="fr-FR"/>
        </w:rPr>
        <w:t>ingérence litigieuse a rompu le juste équilibre voulu par l</w:t>
      </w:r>
      <w:r w:rsidRPr="00D0609B" w:rsidR="00D0609B">
        <w:rPr>
          <w:lang w:val="fr-FR"/>
        </w:rPr>
        <w:t>’</w:t>
      </w:r>
      <w:r w:rsidRPr="00D0609B">
        <w:rPr>
          <w:lang w:val="fr-FR"/>
        </w:rPr>
        <w:t>article 1 du Protocole n</w:t>
      </w:r>
      <w:r w:rsidRPr="00D0609B">
        <w:rPr>
          <w:vertAlign w:val="superscript"/>
          <w:lang w:val="fr-FR"/>
        </w:rPr>
        <w:t>o</w:t>
      </w:r>
      <w:r w:rsidRPr="00D0609B">
        <w:rPr>
          <w:lang w:val="fr-FR"/>
        </w:rPr>
        <w:t xml:space="preserve"> 1.</w:t>
      </w:r>
    </w:p>
    <w:p w:rsidRPr="00D0609B" w:rsidR="00C75D67" w:rsidP="00D0609B" w14:paraId="77BD9020" w14:textId="77777777">
      <w:pPr>
        <w:pStyle w:val="ECHRPara"/>
        <w:rPr>
          <w:i/>
          <w:lang w:val="fr-FR"/>
        </w:rPr>
      </w:pPr>
      <w:r w:rsidRPr="00D0609B">
        <w:rPr>
          <w:lang w:val="fr-FR"/>
        </w:rPr>
        <w:t>99.  Il s</w:t>
      </w:r>
      <w:r w:rsidRPr="00D0609B" w:rsidR="00D0609B">
        <w:rPr>
          <w:lang w:val="fr-FR"/>
        </w:rPr>
        <w:t>’</w:t>
      </w:r>
      <w:r w:rsidRPr="00D0609B">
        <w:rPr>
          <w:lang w:val="fr-FR"/>
        </w:rPr>
        <w:t>ensuit qu</w:t>
      </w:r>
      <w:r w:rsidRPr="00D0609B" w:rsidR="00D0609B">
        <w:rPr>
          <w:lang w:val="fr-FR"/>
        </w:rPr>
        <w:t>’</w:t>
      </w:r>
      <w:r w:rsidRPr="00D0609B">
        <w:rPr>
          <w:lang w:val="fr-FR"/>
        </w:rPr>
        <w:t>il y a eu une violation de la disposition susmentionnée.</w:t>
      </w:r>
    </w:p>
    <w:p w:rsidRPr="00D0609B" w:rsidR="00C75D67" w:rsidP="00D0609B" w14:paraId="3E4F0546" w14:textId="77777777">
      <w:pPr>
        <w:pStyle w:val="ECHRHeading1"/>
        <w:rPr>
          <w:lang w:val="fr-FR"/>
        </w:rPr>
      </w:pPr>
      <w:r w:rsidRPr="00D0609B">
        <w:rPr>
          <w:lang w:val="fr-FR"/>
        </w:rPr>
        <w:t>II.  SUR L</w:t>
      </w:r>
      <w:r w:rsidRPr="00D0609B" w:rsidR="00D0609B">
        <w:rPr>
          <w:lang w:val="fr-FR"/>
        </w:rPr>
        <w:t>’</w:t>
      </w:r>
      <w:r w:rsidRPr="00D0609B">
        <w:rPr>
          <w:lang w:val="fr-FR"/>
        </w:rPr>
        <w:t>APPLICATION DE L</w:t>
      </w:r>
      <w:r w:rsidRPr="00D0609B" w:rsidR="00D0609B">
        <w:rPr>
          <w:lang w:val="fr-FR"/>
        </w:rPr>
        <w:t>’</w:t>
      </w:r>
      <w:r w:rsidRPr="00D0609B">
        <w:rPr>
          <w:lang w:val="fr-FR"/>
        </w:rPr>
        <w:t>ARTICLE 41 DE LA CONVENTION</w:t>
      </w:r>
    </w:p>
    <w:p w:rsidRPr="00D0609B" w:rsidR="00C75D67" w:rsidP="00D0609B" w14:paraId="788A2CC3" w14:textId="77777777">
      <w:pPr>
        <w:pStyle w:val="ECHRPara"/>
        <w:rPr>
          <w:lang w:val="fr-FR"/>
        </w:rPr>
      </w:pPr>
      <w:r w:rsidRPr="00D0609B">
        <w:rPr>
          <w:lang w:val="fr-FR"/>
        </w:rPr>
        <w:t>100.  Aux termes de l</w:t>
      </w:r>
      <w:r w:rsidRPr="00D0609B" w:rsidR="00D0609B">
        <w:rPr>
          <w:lang w:val="fr-FR"/>
        </w:rPr>
        <w:t>’</w:t>
      </w:r>
      <w:r w:rsidRPr="00D0609B">
        <w:rPr>
          <w:lang w:val="fr-FR"/>
        </w:rPr>
        <w:t>article 41 de la Convention,</w:t>
      </w:r>
    </w:p>
    <w:p w:rsidRPr="00D0609B" w:rsidR="00C75D67" w:rsidP="00D0609B" w14:paraId="67E428FA" w14:textId="77777777">
      <w:pPr>
        <w:pStyle w:val="ECHRParaQuote"/>
        <w:keepNext/>
        <w:keepLines/>
        <w:rPr>
          <w:lang w:val="fr-FR"/>
        </w:rPr>
      </w:pPr>
      <w:r w:rsidRPr="00D0609B">
        <w:rPr>
          <w:lang w:val="fr-FR"/>
        </w:rPr>
        <w:t>« Si la Cour déclare qu</w:t>
      </w:r>
      <w:r w:rsidRPr="00D0609B" w:rsidR="00D0609B">
        <w:rPr>
          <w:lang w:val="fr-FR"/>
        </w:rPr>
        <w:t>’</w:t>
      </w:r>
      <w:r w:rsidRPr="00D0609B">
        <w:rPr>
          <w:lang w:val="fr-FR"/>
        </w:rPr>
        <w:t>il y a eu violation de la Convention ou de ses Protocoles, et si le droit interne de la Haute Partie contractante ne permet d</w:t>
      </w:r>
      <w:r w:rsidRPr="00D0609B" w:rsidR="00D0609B">
        <w:rPr>
          <w:lang w:val="fr-FR"/>
        </w:rPr>
        <w:t>’</w:t>
      </w:r>
      <w:r w:rsidRPr="00D0609B">
        <w:rPr>
          <w:lang w:val="fr-FR"/>
        </w:rPr>
        <w:t>effacer qu</w:t>
      </w:r>
      <w:r w:rsidRPr="00D0609B" w:rsidR="00D0609B">
        <w:rPr>
          <w:lang w:val="fr-FR"/>
        </w:rPr>
        <w:t>’</w:t>
      </w:r>
      <w:r w:rsidRPr="00D0609B">
        <w:rPr>
          <w:lang w:val="fr-FR"/>
        </w:rPr>
        <w:t>imparfaitement les conséquences de cette violation, la Cour accorde à la partie lésée, s</w:t>
      </w:r>
      <w:r w:rsidRPr="00D0609B" w:rsidR="00D0609B">
        <w:rPr>
          <w:lang w:val="fr-FR"/>
        </w:rPr>
        <w:t>’</w:t>
      </w:r>
      <w:r w:rsidRPr="00D0609B">
        <w:rPr>
          <w:lang w:val="fr-FR"/>
        </w:rPr>
        <w:t>il y a lieu, une satisfaction équitable. »</w:t>
      </w:r>
    </w:p>
    <w:p w:rsidRPr="00D0609B" w:rsidR="00C75D67" w:rsidP="00D0609B" w14:paraId="3704EDA4" w14:textId="77777777">
      <w:pPr>
        <w:pStyle w:val="ECHRPara"/>
        <w:rPr>
          <w:lang w:val="fr-FR"/>
        </w:rPr>
      </w:pPr>
      <w:r w:rsidRPr="00D0609B">
        <w:rPr>
          <w:lang w:val="fr-FR"/>
        </w:rPr>
        <w:t>101.  Le requérant n</w:t>
      </w:r>
      <w:r w:rsidRPr="00D0609B" w:rsidR="00D0609B">
        <w:rPr>
          <w:lang w:val="fr-FR"/>
        </w:rPr>
        <w:t>’</w:t>
      </w:r>
      <w:r w:rsidRPr="00D0609B">
        <w:rPr>
          <w:lang w:val="fr-FR"/>
        </w:rPr>
        <w:t xml:space="preserve">a pas présenté, </w:t>
      </w:r>
      <w:r w:rsidRPr="00D0609B">
        <w:rPr>
          <w:lang w:val="fr-BE"/>
        </w:rPr>
        <w:t>dans le délai qui lui a été imparti pour la présentation de ses observations sur le fond</w:t>
      </w:r>
      <w:r w:rsidRPr="00D0609B">
        <w:rPr>
          <w:lang w:val="fr-FR"/>
        </w:rPr>
        <w:t>, de demande de satisfaction équitable ni réitéré celle qui était contenue dans son formulaire de requête. Partant, la Cour estime qu</w:t>
      </w:r>
      <w:r w:rsidRPr="00D0609B" w:rsidR="00D0609B">
        <w:rPr>
          <w:lang w:val="fr-FR"/>
        </w:rPr>
        <w:t>’</w:t>
      </w:r>
      <w:r w:rsidRPr="00D0609B">
        <w:rPr>
          <w:lang w:val="fr-FR"/>
        </w:rPr>
        <w:t>il n</w:t>
      </w:r>
      <w:r w:rsidRPr="00D0609B" w:rsidR="00D0609B">
        <w:rPr>
          <w:lang w:val="fr-FR"/>
        </w:rPr>
        <w:t>’</w:t>
      </w:r>
      <w:r w:rsidRPr="00D0609B">
        <w:rPr>
          <w:lang w:val="fr-FR"/>
        </w:rPr>
        <w:t>y a pas lieu de lui octroyer de somme à ce titre.</w:t>
      </w:r>
    </w:p>
    <w:p w:rsidRPr="00D0609B" w:rsidR="00C75D67" w:rsidP="00D0609B" w14:paraId="531D78DB" w14:textId="77777777">
      <w:pPr>
        <w:pStyle w:val="ECHRPara"/>
        <w:rPr>
          <w:lang w:val="fr-FR"/>
        </w:rPr>
      </w:pPr>
      <w:r w:rsidRPr="00D0609B">
        <w:rPr>
          <w:lang w:val="fr-FR"/>
        </w:rPr>
        <w:t>102.  Cette considération ne porte toutefois pas préjudice à un éventuel droit à la réouverture de la procédure que les dispositions de droit interne pourraient accorder au requérant.</w:t>
      </w:r>
    </w:p>
    <w:p w:rsidRPr="00D0609B" w:rsidR="00C75D67" w:rsidP="00D0609B" w14:paraId="2CB23FF4" w14:textId="77777777">
      <w:pPr>
        <w:pStyle w:val="ECHRTitle1"/>
        <w:rPr>
          <w:lang w:val="fr-FR"/>
        </w:rPr>
      </w:pPr>
      <w:r w:rsidRPr="00D0609B">
        <w:rPr>
          <w:lang w:val="fr-FR"/>
        </w:rPr>
        <w:t>PAR CES MOTIFS, LA COUR, À L</w:t>
      </w:r>
      <w:r w:rsidRPr="00D0609B" w:rsidR="00D0609B">
        <w:rPr>
          <w:lang w:val="fr-FR"/>
        </w:rPr>
        <w:t>’</w:t>
      </w:r>
      <w:r w:rsidRPr="00D0609B">
        <w:rPr>
          <w:lang w:val="fr-FR"/>
        </w:rPr>
        <w:t>UNANIMITÉ,</w:t>
      </w:r>
    </w:p>
    <w:p w:rsidRPr="00D0609B" w:rsidR="00C75D67" w:rsidP="00D0609B" w14:paraId="4D4C37AD" w14:textId="77777777">
      <w:pPr>
        <w:pStyle w:val="JuList"/>
        <w:ind w:left="284" w:hanging="284"/>
        <w:rPr>
          <w:lang w:val="fr-FR"/>
        </w:rPr>
      </w:pPr>
      <w:r w:rsidRPr="00D0609B">
        <w:rPr>
          <w:lang w:val="fr-FR"/>
        </w:rPr>
        <w:t>1.  </w:t>
      </w:r>
      <w:r w:rsidRPr="00D0609B">
        <w:rPr>
          <w:i/>
          <w:lang w:val="fr-FR"/>
        </w:rPr>
        <w:t>Déclare</w:t>
      </w:r>
      <w:r w:rsidRPr="00D0609B">
        <w:rPr>
          <w:lang w:val="fr-FR"/>
        </w:rPr>
        <w:t xml:space="preserve"> la requête recevable quant à l</w:t>
      </w:r>
      <w:r w:rsidRPr="00D0609B" w:rsidR="00D0609B">
        <w:rPr>
          <w:lang w:val="fr-FR"/>
        </w:rPr>
        <w:t>’</w:t>
      </w:r>
      <w:r w:rsidRPr="00D0609B">
        <w:rPr>
          <w:lang w:val="fr-FR"/>
        </w:rPr>
        <w:t>impossibilité pour le requérant d</w:t>
      </w:r>
      <w:r w:rsidRPr="00D0609B" w:rsidR="00D0609B">
        <w:rPr>
          <w:lang w:val="fr-FR"/>
        </w:rPr>
        <w:t>’</w:t>
      </w:r>
      <w:r w:rsidRPr="00D0609B">
        <w:rPr>
          <w:lang w:val="fr-FR"/>
        </w:rPr>
        <w:t>obtenir la part des indemnités d</w:t>
      </w:r>
      <w:r w:rsidRPr="00D0609B" w:rsidR="00D0609B">
        <w:rPr>
          <w:lang w:val="fr-FR"/>
        </w:rPr>
        <w:t>’</w:t>
      </w:r>
      <w:r w:rsidRPr="00D0609B">
        <w:rPr>
          <w:lang w:val="fr-FR"/>
        </w:rPr>
        <w:t>expropriation censée lui revenir, et irrecevable pour le surplus ;</w:t>
      </w:r>
    </w:p>
    <w:p w:rsidRPr="00D0609B" w:rsidR="00C75D67" w:rsidP="00D0609B" w14:paraId="0000BEFE" w14:textId="77777777">
      <w:pPr>
        <w:pStyle w:val="JuList"/>
        <w:rPr>
          <w:lang w:val="fr-FR"/>
        </w:rPr>
      </w:pPr>
    </w:p>
    <w:p w:rsidRPr="00D0609B" w:rsidR="00C75D67" w:rsidP="00D0609B" w14:paraId="37ABD344" w14:textId="77777777">
      <w:pPr>
        <w:pStyle w:val="JuList"/>
        <w:rPr>
          <w:lang w:val="fr-FR"/>
        </w:rPr>
      </w:pPr>
      <w:r w:rsidRPr="00D0609B">
        <w:rPr>
          <w:lang w:val="fr-FR"/>
        </w:rPr>
        <w:t>2.  </w:t>
      </w:r>
      <w:r w:rsidRPr="00D0609B">
        <w:rPr>
          <w:i/>
          <w:lang w:val="fr-FR"/>
        </w:rPr>
        <w:t>Dit</w:t>
      </w:r>
      <w:r w:rsidRPr="00D0609B">
        <w:rPr>
          <w:lang w:val="fr-FR"/>
        </w:rPr>
        <w:t xml:space="preserve"> qu</w:t>
      </w:r>
      <w:r w:rsidRPr="00D0609B" w:rsidR="00D0609B">
        <w:rPr>
          <w:lang w:val="fr-FR"/>
        </w:rPr>
        <w:t>’</w:t>
      </w:r>
      <w:r w:rsidRPr="00D0609B">
        <w:rPr>
          <w:lang w:val="fr-FR"/>
        </w:rPr>
        <w:t>il y a eu violation de l</w:t>
      </w:r>
      <w:r w:rsidRPr="00D0609B" w:rsidR="00D0609B">
        <w:rPr>
          <w:lang w:val="fr-FR"/>
        </w:rPr>
        <w:t>’</w:t>
      </w:r>
      <w:r w:rsidRPr="00D0609B">
        <w:rPr>
          <w:lang w:val="fr-FR"/>
        </w:rPr>
        <w:t>article 1 du Protocole n</w:t>
      </w:r>
      <w:r w:rsidRPr="00D0609B">
        <w:rPr>
          <w:vertAlign w:val="superscript"/>
          <w:lang w:val="fr-FR"/>
        </w:rPr>
        <w:t>o</w:t>
      </w:r>
      <w:r w:rsidRPr="00D0609B">
        <w:rPr>
          <w:lang w:val="fr-FR"/>
        </w:rPr>
        <w:t xml:space="preserve"> 1 à la Convention.</w:t>
      </w:r>
    </w:p>
    <w:p w:rsidRPr="00D0609B" w:rsidR="0055090B" w:rsidP="00D0609B" w14:paraId="55D4ABFF" w14:textId="77777777">
      <w:pPr>
        <w:pStyle w:val="JuParaLast"/>
        <w:keepNext w:val="0"/>
        <w:keepLines w:val="0"/>
        <w:rPr>
          <w:lang w:val="fr-FR"/>
        </w:rPr>
      </w:pPr>
      <w:r w:rsidRPr="00D0609B">
        <w:rPr>
          <w:lang w:val="fr-FR"/>
        </w:rPr>
        <w:t xml:space="preserve">Fait en français, puis communiqué par écrit le </w:t>
      </w:r>
      <w:r w:rsidRPr="00D0609B" w:rsidR="00C75D67">
        <w:rPr>
          <w:rFonts w:ascii="Times New Roman" w:hAnsi="Times New Roman" w:cs="Times New Roman"/>
          <w:lang w:val="fr-FR"/>
        </w:rPr>
        <w:t>29 octobre 2019</w:t>
      </w:r>
      <w:r w:rsidRPr="00D0609B">
        <w:rPr>
          <w:lang w:val="fr-FR"/>
        </w:rPr>
        <w:t>, en application de l</w:t>
      </w:r>
      <w:r w:rsidRPr="00D0609B" w:rsidR="00D0609B">
        <w:rPr>
          <w:lang w:val="fr-FR"/>
        </w:rPr>
        <w:t>’</w:t>
      </w:r>
      <w:r w:rsidRPr="00D0609B">
        <w:rPr>
          <w:lang w:val="fr-FR"/>
        </w:rPr>
        <w:t>article 77 §§ 2 et 3 du règlement de la Cour.</w:t>
      </w:r>
    </w:p>
    <w:p w:rsidRPr="00D0609B" w:rsidR="0055090B" w:rsidP="00D0609B" w14:paraId="5AD74A86" w14:textId="77777777">
      <w:pPr>
        <w:pStyle w:val="JuSigned"/>
        <w:rPr>
          <w:szCs w:val="24"/>
          <w:lang w:val="fr-FR"/>
        </w:rPr>
      </w:pPr>
      <w:r w:rsidRPr="00D0609B">
        <w:rPr>
          <w:lang w:val="fr-FR"/>
        </w:rPr>
        <w:tab/>
        <w:t>Stanley Naismith</w:t>
      </w:r>
      <w:r w:rsidRPr="00D0609B">
        <w:rPr>
          <w:lang w:val="fr-FR"/>
        </w:rPr>
        <w:tab/>
      </w:r>
      <w:r w:rsidRPr="00D0609B">
        <w:rPr>
          <w:szCs w:val="24"/>
          <w:lang w:val="fr-FR"/>
        </w:rPr>
        <w:t>Robert Spano</w:t>
      </w:r>
      <w:r w:rsidRPr="00D0609B">
        <w:rPr>
          <w:lang w:val="fr-FR"/>
        </w:rPr>
        <w:br/>
      </w:r>
      <w:r w:rsidRPr="00D0609B">
        <w:rPr>
          <w:lang w:val="fr-FR"/>
        </w:rPr>
        <w:tab/>
      </w:r>
      <w:r w:rsidRPr="00D0609B">
        <w:rPr>
          <w:lang w:val="fr-FR"/>
        </w:rPr>
        <w:t>Greffier</w:t>
      </w:r>
      <w:r w:rsidRPr="00D0609B">
        <w:rPr>
          <w:lang w:val="fr-FR"/>
        </w:rPr>
        <w:tab/>
      </w:r>
      <w:r w:rsidRPr="00D0609B">
        <w:rPr>
          <w:lang w:val="fr-FR"/>
        </w:rPr>
        <w:t>Président</w:t>
      </w:r>
    </w:p>
    <w:p w:rsidRPr="00D0609B" w:rsidR="002A613A" w:rsidP="00D0609B" w14:paraId="1052DE4F" w14:textId="77777777">
      <w:pPr>
        <w:rPr>
          <w:lang w:val="en-GB"/>
        </w:rPr>
      </w:pP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D67" w:rsidRPr="00150BFA" w:rsidP="0020718E" w14:paraId="269B0DCE" w14:textId="77777777">
    <w:pPr>
      <w:jc w:val="center"/>
    </w:pPr>
    <w:r>
      <w:rPr>
        <w:noProof/>
        <w:lang w:val="fr-FR" w:eastAsia="fr-FR"/>
      </w:rPr>
      <w:drawing>
        <wp:inline distT="0" distB="0" distL="0" distR="0">
          <wp:extent cx="771525" cy="619125"/>
          <wp:effectExtent l="0" t="0" r="9525" b="9525"/>
          <wp:docPr id="36" name="Picture 3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256D5A39" w14:textId="77777777">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14:paraId="417F8D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14:paraId="7A944FB3" w14:textId="77777777">
    <w:pPr>
      <w:pStyle w:val="Footer"/>
      <w:rPr>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D67" w:rsidRPr="00A45145" w:rsidP="00A45145" w14:paraId="0ECF1519"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39690985" w14:textId="77777777">
    <w:pPr>
      <w:jc w:val="center"/>
      <w:rPr>
        <w:sz w:val="4"/>
        <w:szCs w:val="4"/>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D67" w:rsidRPr="00A45145" w:rsidP="00A45145" w14:paraId="62AB0EED" w14:textId="77777777">
    <w:pPr>
      <w:jc w:val="center"/>
    </w:pPr>
    <w:r>
      <w:rPr>
        <w:noProof/>
        <w:lang w:val="fr-FR" w:eastAsia="fr-FR"/>
      </w:rPr>
      <w:drawing>
        <wp:inline distT="0" distB="0" distL="0" distR="0">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57688C83" w14:textId="77777777">
    <w:pP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14:paraId="0EB77074" w14:textId="77777777">
    <w:pPr>
      <w:pStyle w:val="ECHRHeader"/>
    </w:pPr>
    <w:r>
      <w:rPr>
        <w:rStyle w:val="PageNumber"/>
      </w:rPr>
      <w:fldChar w:fldCharType="begin"/>
    </w:r>
    <w:r>
      <w:rPr>
        <w:rStyle w:val="PageNumber"/>
      </w:rPr>
      <w:instrText xml:space="preserve"> PAGE </w:instrText>
    </w:r>
    <w:r>
      <w:rPr>
        <w:rStyle w:val="PageNumber"/>
      </w:rPr>
      <w:fldChar w:fldCharType="separate"/>
    </w:r>
    <w:r w:rsidR="00352E78">
      <w:rPr>
        <w:rStyle w:val="PageNumber"/>
        <w:noProof/>
      </w:rPr>
      <w:t>12</w:t>
    </w:r>
    <w:r>
      <w:rPr>
        <w:rStyle w:val="PageNumber"/>
      </w:rPr>
      <w:fldChar w:fldCharType="end"/>
    </w:r>
    <w:r w:rsidRPr="00C25A3E" w:rsidR="0055090B">
      <w:tab/>
      <w:t xml:space="preserve">ARRÊT </w:t>
    </w:r>
    <w:r>
      <w:t>AKVARDAR C. TURQUIE</w:t>
    </w:r>
    <w:r w:rsidRPr="00C25A3E" w:rsidR="0055090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14:paraId="775476AA" w14:textId="77777777">
    <w:pPr>
      <w:pStyle w:val="ECHRHeader"/>
    </w:pPr>
    <w:r>
      <w:tab/>
    </w:r>
    <w:r w:rsidRPr="00A7574A">
      <w:t xml:space="preserve">ARRÊT </w:t>
    </w:r>
    <w:r w:rsidR="00C75D67">
      <w:t>AKVARDAR C. TURQUIE</w:t>
    </w:r>
    <w:r w:rsidRPr="00A7574A">
      <w:t xml:space="preserve"> </w:t>
    </w:r>
    <w:r w:rsidRPr="007100AD">
      <w:tab/>
    </w:r>
    <w:r w:rsidR="00C75D67">
      <w:rPr>
        <w:rStyle w:val="PageNumber"/>
      </w:rPr>
      <w:fldChar w:fldCharType="begin"/>
    </w:r>
    <w:r w:rsidR="00C75D67">
      <w:rPr>
        <w:rStyle w:val="PageNumber"/>
      </w:rPr>
      <w:instrText xml:space="preserve"> PAGE </w:instrText>
    </w:r>
    <w:r w:rsidR="00C75D67">
      <w:rPr>
        <w:rStyle w:val="PageNumber"/>
      </w:rPr>
      <w:fldChar w:fldCharType="separate"/>
    </w:r>
    <w:r w:rsidR="00352E78">
      <w:rPr>
        <w:rStyle w:val="PageNumber"/>
        <w:noProof/>
      </w:rPr>
      <w:t>1</w:t>
    </w:r>
    <w:r w:rsidR="00C75D67">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1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7"/>
  </w:num>
  <w:num w:numId="7">
    <w:abstractNumId w:val="10"/>
  </w:num>
  <w:num w:numId="8">
    <w:abstractNumId w:val="6"/>
  </w:num>
  <w:num w:numId="9">
    <w:abstractNumId w:val="15"/>
  </w:num>
  <w:num w:numId="10">
    <w:abstractNumId w:val="14"/>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9"/>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75D67"/>
    <w:rsid w:val="00085457"/>
    <w:rsid w:val="000B5449"/>
    <w:rsid w:val="000B7195"/>
    <w:rsid w:val="00150BFA"/>
    <w:rsid w:val="00156729"/>
    <w:rsid w:val="0020718E"/>
    <w:rsid w:val="002422B6"/>
    <w:rsid w:val="002A613A"/>
    <w:rsid w:val="00334BFD"/>
    <w:rsid w:val="00352E78"/>
    <w:rsid w:val="00395B89"/>
    <w:rsid w:val="00475200"/>
    <w:rsid w:val="004D0EC7"/>
    <w:rsid w:val="00547158"/>
    <w:rsid w:val="0055090B"/>
    <w:rsid w:val="005C1129"/>
    <w:rsid w:val="006A4335"/>
    <w:rsid w:val="007100AD"/>
    <w:rsid w:val="00875641"/>
    <w:rsid w:val="00880D6F"/>
    <w:rsid w:val="00882CD5"/>
    <w:rsid w:val="008D1A75"/>
    <w:rsid w:val="008F650F"/>
    <w:rsid w:val="009051CE"/>
    <w:rsid w:val="0098410D"/>
    <w:rsid w:val="009876FF"/>
    <w:rsid w:val="00A45145"/>
    <w:rsid w:val="00A7574A"/>
    <w:rsid w:val="00AF12C5"/>
    <w:rsid w:val="00B14793"/>
    <w:rsid w:val="00C25A3E"/>
    <w:rsid w:val="00C26D3D"/>
    <w:rsid w:val="00C434B4"/>
    <w:rsid w:val="00C75D67"/>
    <w:rsid w:val="00D0609B"/>
    <w:rsid w:val="00D61679"/>
    <w:rsid w:val="00F7614A"/>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B865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876FF"/>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876FF"/>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9876F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9876F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hAnsi="Tahoma" w:eastAsiaTheme="minorEastAsia" w:cs="Tahoma"/>
      <w:sz w:val="16"/>
      <w:szCs w:val="16"/>
    </w:rPr>
  </w:style>
  <w:style w:type="character" w:styleId="BookTitle">
    <w:name w:val="Book Title"/>
    <w:uiPriority w:val="99"/>
    <w:semiHidden/>
    <w:qFormat/>
    <w:rsid w:val="009876FF"/>
    <w:rPr>
      <w:i/>
      <w:iCs/>
      <w:smallCaps/>
      <w:spacing w:val="5"/>
    </w:rPr>
  </w:style>
  <w:style w:type="paragraph" w:customStyle="1" w:styleId="ECHRHeader">
    <w:name w:val="ECHR_Header"/>
    <w:aliases w:val="Ju_Header"/>
    <w:basedOn w:val="Header"/>
    <w:uiPriority w:val="4"/>
    <w:qFormat/>
    <w:rsid w:val="009876FF"/>
    <w:pPr>
      <w:tabs>
        <w:tab w:val="center" w:pos="3686"/>
        <w:tab w:val="clear" w:pos="4536"/>
        <w:tab w:val="right" w:pos="7371"/>
        <w:tab w:val="clear" w:pos="9072"/>
      </w:tabs>
      <w:jc w:val="left"/>
    </w:pPr>
    <w:rPr>
      <w:sz w:val="18"/>
      <w:lang w:val="en-GB"/>
    </w:rPr>
  </w:style>
  <w:style w:type="paragraph" w:customStyle="1" w:styleId="OpiPara">
    <w:name w:val="Opi_Para"/>
    <w:basedOn w:val="ECHRPara"/>
    <w:uiPriority w:val="46"/>
    <w:qFormat/>
    <w:rsid w:val="009876FF"/>
  </w:style>
  <w:style w:type="character" w:styleId="Strong">
    <w:name w:val="Strong"/>
    <w:uiPriority w:val="99"/>
    <w:semiHidden/>
    <w:qFormat/>
    <w:rsid w:val="009876FF"/>
    <w:rPr>
      <w:b/>
      <w:bCs/>
    </w:rPr>
  </w:style>
  <w:style w:type="paragraph" w:styleId="NoSpacing">
    <w:name w:val="No Spacing"/>
    <w:basedOn w:val="Normal"/>
    <w:link w:val="NoSpacingChar"/>
    <w:semiHidden/>
    <w:qFormat/>
    <w:rsid w:val="009876FF"/>
    <w:rPr>
      <w:sz w:val="22"/>
    </w:rPr>
  </w:style>
  <w:style w:type="character" w:customStyle="1" w:styleId="NoSpacingChar">
    <w:name w:val="No Spacing Char"/>
    <w:basedOn w:val="DefaultParagraphFont"/>
    <w:link w:val="NoSpacing"/>
    <w:semiHidden/>
    <w:rsid w:val="009876FF"/>
    <w:rPr>
      <w:rFonts w:eastAsiaTheme="minorEastAsia"/>
    </w:rPr>
  </w:style>
  <w:style w:type="paragraph" w:customStyle="1" w:styleId="ECHRParaQuote">
    <w:name w:val="ECHR_Para_Quote"/>
    <w:aliases w:val="Ju_Quot"/>
    <w:basedOn w:val="Normal"/>
    <w:uiPriority w:val="14"/>
    <w:qFormat/>
    <w:rsid w:val="009876FF"/>
    <w:pPr>
      <w:spacing w:before="120" w:after="120"/>
      <w:ind w:left="425" w:firstLine="142"/>
    </w:pPr>
    <w:rPr>
      <w:sz w:val="20"/>
      <w:lang w:val="en-GB"/>
    </w:rPr>
  </w:style>
  <w:style w:type="paragraph" w:customStyle="1" w:styleId="JuParaSub">
    <w:name w:val="Ju_Para_Sub"/>
    <w:basedOn w:val="ECHRPara"/>
    <w:uiPriority w:val="13"/>
    <w:qFormat/>
    <w:rsid w:val="009876FF"/>
    <w:pPr>
      <w:ind w:left="284"/>
    </w:pPr>
  </w:style>
  <w:style w:type="paragraph" w:customStyle="1" w:styleId="OpiParaSub">
    <w:name w:val="Opi_Para_Sub"/>
    <w:basedOn w:val="JuParaSub"/>
    <w:uiPriority w:val="47"/>
    <w:qFormat/>
    <w:rsid w:val="009876FF"/>
  </w:style>
  <w:style w:type="paragraph" w:customStyle="1" w:styleId="OpiQuot">
    <w:name w:val="Opi_Quot"/>
    <w:basedOn w:val="ECHRParaQuote"/>
    <w:uiPriority w:val="48"/>
    <w:qFormat/>
    <w:rsid w:val="009876FF"/>
  </w:style>
  <w:style w:type="paragraph" w:customStyle="1" w:styleId="OpiQuotSub">
    <w:name w:val="Opi_Quot_Sub"/>
    <w:basedOn w:val="JuQuotSub"/>
    <w:uiPriority w:val="49"/>
    <w:qFormat/>
    <w:rsid w:val="009876FF"/>
  </w:style>
  <w:style w:type="paragraph" w:customStyle="1" w:styleId="ECHRTitleCentre3">
    <w:name w:val="ECHR_Title_Centre_3"/>
    <w:aliases w:val="Ju_H_Article"/>
    <w:basedOn w:val="Normal"/>
    <w:next w:val="ECHRParaQuote"/>
    <w:uiPriority w:val="27"/>
    <w:qFormat/>
    <w:rsid w:val="009876FF"/>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9876FF"/>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9876FF"/>
    <w:pPr>
      <w:ind w:left="567"/>
    </w:pPr>
  </w:style>
  <w:style w:type="paragraph" w:customStyle="1" w:styleId="ECHRTitle1">
    <w:name w:val="ECHR_Title_1"/>
    <w:aliases w:val="Ju_H_Head"/>
    <w:basedOn w:val="Normal"/>
    <w:next w:val="ECHRPara"/>
    <w:uiPriority w:val="18"/>
    <w:qFormat/>
    <w:rsid w:val="009876FF"/>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9876FF"/>
    <w:pPr>
      <w:tabs>
        <w:tab w:val="center" w:pos="6407"/>
      </w:tabs>
      <w:spacing w:before="720"/>
      <w:jc w:val="right"/>
    </w:pPr>
    <w:rPr>
      <w:lang w:val="en-GB"/>
    </w:rPr>
  </w:style>
  <w:style w:type="paragraph" w:customStyle="1" w:styleId="JuSigned">
    <w:name w:val="Ju_Signed"/>
    <w:basedOn w:val="Normal"/>
    <w:next w:val="JuParaLast"/>
    <w:uiPriority w:val="32"/>
    <w:qFormat/>
    <w:rsid w:val="009876FF"/>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9876F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9876FF"/>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9876FF"/>
    <w:pPr>
      <w:tabs>
        <w:tab w:val="clear" w:pos="357"/>
      </w:tabs>
      <w:outlineLvl w:val="1"/>
    </w:pPr>
    <w:rPr>
      <w:b/>
    </w:rPr>
  </w:style>
  <w:style w:type="character" w:customStyle="1" w:styleId="JUNAMES">
    <w:name w:val="JU_NAMES"/>
    <w:uiPriority w:val="17"/>
    <w:qFormat/>
    <w:rsid w:val="009876FF"/>
    <w:rPr>
      <w:caps w:val="0"/>
      <w:smallCaps/>
    </w:rPr>
  </w:style>
  <w:style w:type="character" w:customStyle="1" w:styleId="JuITMark">
    <w:name w:val="Ju_ITMark"/>
    <w:basedOn w:val="DefaultParagraphFont"/>
    <w:uiPriority w:val="38"/>
    <w:qFormat/>
    <w:rsid w:val="009876FF"/>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9876FF"/>
    <w:pPr>
      <w:jc w:val="center"/>
      <w:outlineLvl w:val="0"/>
    </w:pPr>
    <w:rPr>
      <w:i/>
      <w:lang w:val="en-GB"/>
    </w:rPr>
  </w:style>
  <w:style w:type="paragraph" w:customStyle="1" w:styleId="JuCourt">
    <w:name w:val="Ju_Court"/>
    <w:basedOn w:val="Normal"/>
    <w:next w:val="Normal"/>
    <w:uiPriority w:val="16"/>
    <w:qFormat/>
    <w:rsid w:val="009876FF"/>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9876FF"/>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9876FF"/>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9876FF"/>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9876FF"/>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9876F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9876F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9876F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9876FF"/>
    <w:pPr>
      <w:keepNext/>
      <w:keepLines/>
      <w:spacing w:before="240"/>
      <w:ind w:firstLine="284"/>
    </w:pPr>
    <w:rPr>
      <w:lang w:val="en-GB"/>
    </w:rPr>
  </w:style>
  <w:style w:type="paragraph" w:customStyle="1" w:styleId="ECHRDecisionBody">
    <w:name w:val="ECHR_Decision_Body"/>
    <w:aliases w:val="Ju_Judges"/>
    <w:basedOn w:val="Normal"/>
    <w:uiPriority w:val="11"/>
    <w:qFormat/>
    <w:rsid w:val="009876FF"/>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9876FF"/>
    <w:pPr>
      <w:ind w:left="340" w:hanging="340"/>
    </w:pPr>
    <w:rPr>
      <w:lang w:val="en-GB"/>
    </w:rPr>
  </w:style>
  <w:style w:type="character" w:customStyle="1" w:styleId="Heading5Char">
    <w:name w:val="Heading 5 Char"/>
    <w:basedOn w:val="DefaultParagraphFont"/>
    <w:link w:val="Heading5"/>
    <w:uiPriority w:val="99"/>
    <w:semiHidden/>
    <w:rsid w:val="009876FF"/>
    <w:rPr>
      <w:rFonts w:asciiTheme="majorHAnsi" w:eastAsiaTheme="majorEastAsia" w:hAnsiTheme="majorHAnsi" w:cstheme="majorBidi"/>
      <w:b/>
      <w:bCs/>
      <w:color w:val="808080"/>
    </w:rPr>
  </w:style>
  <w:style w:type="paragraph" w:customStyle="1" w:styleId="JuLista">
    <w:name w:val="Ju_List_a"/>
    <w:basedOn w:val="JuList"/>
    <w:uiPriority w:val="28"/>
    <w:qFormat/>
    <w:rsid w:val="009876FF"/>
    <w:pPr>
      <w:ind w:left="346" w:firstLine="0"/>
    </w:pPr>
  </w:style>
  <w:style w:type="paragraph" w:customStyle="1" w:styleId="JuListi">
    <w:name w:val="Ju_List_i"/>
    <w:basedOn w:val="Normal"/>
    <w:next w:val="JuLista"/>
    <w:uiPriority w:val="28"/>
    <w:qFormat/>
    <w:rsid w:val="009876FF"/>
    <w:pPr>
      <w:ind w:left="794"/>
    </w:pPr>
    <w:rPr>
      <w:lang w:val="en-GB"/>
    </w:rPr>
  </w:style>
  <w:style w:type="character" w:styleId="SubtleEmphasis">
    <w:name w:val="Subtle Emphasis"/>
    <w:uiPriority w:val="99"/>
    <w:semiHidden/>
    <w:qFormat/>
    <w:rsid w:val="009876FF"/>
    <w:rPr>
      <w:i/>
      <w:iCs/>
    </w:rPr>
  </w:style>
  <w:style w:type="paragraph" w:customStyle="1" w:styleId="OpiH1">
    <w:name w:val="Opi_H_1"/>
    <w:basedOn w:val="ECHRHeading2"/>
    <w:uiPriority w:val="42"/>
    <w:qFormat/>
    <w:rsid w:val="009876FF"/>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9876FF"/>
    <w:pPr>
      <w:ind w:left="833" w:hanging="357"/>
      <w:outlineLvl w:val="3"/>
    </w:pPr>
    <w:rPr>
      <w:b/>
      <w:i w:val="0"/>
      <w:sz w:val="20"/>
    </w:rPr>
  </w:style>
  <w:style w:type="paragraph" w:customStyle="1" w:styleId="OpiHi">
    <w:name w:val="Opi_H_i"/>
    <w:basedOn w:val="ECHRHeading4"/>
    <w:uiPriority w:val="44"/>
    <w:qFormat/>
    <w:rsid w:val="009876FF"/>
    <w:pPr>
      <w:ind w:left="1037" w:hanging="357"/>
      <w:outlineLvl w:val="4"/>
    </w:pPr>
    <w:rPr>
      <w:b w:val="0"/>
      <w:i/>
    </w:rPr>
  </w:style>
  <w:style w:type="paragraph" w:customStyle="1" w:styleId="DummyStyle">
    <w:name w:val="Dummy_Style"/>
    <w:basedOn w:val="Normal"/>
    <w:semiHidden/>
    <w:qFormat/>
    <w:rsid w:val="009876FF"/>
    <w:rPr>
      <w:color w:val="00B050"/>
      <w:lang w:val="en-GB"/>
    </w:rPr>
  </w:style>
  <w:style w:type="character" w:styleId="Emphasis">
    <w:name w:val="Emphasis"/>
    <w:uiPriority w:val="99"/>
    <w:semiHidden/>
    <w:qFormat/>
    <w:rsid w:val="009876FF"/>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9876F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876F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876F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9876FF"/>
    <w:rPr>
      <w:b/>
      <w:bCs/>
    </w:rPr>
  </w:style>
  <w:style w:type="paragraph" w:styleId="IntenseQuote">
    <w:name w:val="Intense Quote"/>
    <w:basedOn w:val="Normal"/>
    <w:next w:val="Normal"/>
    <w:link w:val="IntenseQuoteChar"/>
    <w:uiPriority w:val="99"/>
    <w:semiHidden/>
    <w:qFormat/>
    <w:rsid w:val="009876FF"/>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9876FF"/>
    <w:rPr>
      <w:rFonts w:eastAsiaTheme="minorEastAsia"/>
      <w:b/>
      <w:bCs/>
      <w:i/>
      <w:iCs/>
      <w:lang w:bidi="en-US"/>
    </w:rPr>
  </w:style>
  <w:style w:type="character" w:styleId="IntenseReference">
    <w:name w:val="Intense Reference"/>
    <w:uiPriority w:val="99"/>
    <w:semiHidden/>
    <w:qFormat/>
    <w:rsid w:val="009876FF"/>
    <w:rPr>
      <w:smallCaps/>
      <w:spacing w:val="5"/>
      <w:u w:val="single"/>
    </w:rPr>
  </w:style>
  <w:style w:type="paragraph" w:styleId="ListParagraph">
    <w:name w:val="List Paragraph"/>
    <w:basedOn w:val="Normal"/>
    <w:uiPriority w:val="99"/>
    <w:semiHidden/>
    <w:qFormat/>
    <w:rsid w:val="009876FF"/>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876FF"/>
    <w:pPr>
      <w:spacing w:before="200"/>
      <w:ind w:left="360" w:right="360"/>
    </w:pPr>
    <w:rPr>
      <w:i/>
      <w:iCs/>
      <w:sz w:val="22"/>
      <w:lang w:bidi="en-US"/>
    </w:rPr>
  </w:style>
  <w:style w:type="character" w:customStyle="1" w:styleId="QuoteChar">
    <w:name w:val="Quote Char"/>
    <w:basedOn w:val="DefaultParagraphFont"/>
    <w:link w:val="Quote"/>
    <w:uiPriority w:val="99"/>
    <w:semiHidden/>
    <w:rsid w:val="009876FF"/>
    <w:rPr>
      <w:rFonts w:eastAsiaTheme="minorEastAsia"/>
      <w:i/>
      <w:iCs/>
      <w:lang w:bidi="en-US"/>
    </w:rPr>
  </w:style>
  <w:style w:type="character" w:styleId="SubtleReference">
    <w:name w:val="Subtle Reference"/>
    <w:uiPriority w:val="99"/>
    <w:semiHidden/>
    <w:qFormat/>
    <w:rsid w:val="009876FF"/>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876FF"/>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876FF"/>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9876F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9876FF"/>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9876FF"/>
  </w:style>
  <w:style w:type="paragraph" w:customStyle="1" w:styleId="DecList">
    <w:name w:val="Dec_List"/>
    <w:basedOn w:val="Normal"/>
    <w:uiPriority w:val="9"/>
    <w:qFormat/>
    <w:rsid w:val="009876FF"/>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9876FF"/>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9876FF"/>
    <w:pPr>
      <w:numPr>
        <w:numId w:val="23"/>
      </w:numPr>
      <w:jc w:val="left"/>
    </w:pPr>
    <w:rPr>
      <w:b/>
      <w:lang w:val="en-GB"/>
    </w:rPr>
  </w:style>
  <w:style w:type="paragraph" w:customStyle="1" w:styleId="JuHeaderLandscape">
    <w:name w:val="Ju_Header_Landscape"/>
    <w:basedOn w:val="ECHRHeader"/>
    <w:uiPriority w:val="4"/>
    <w:qFormat/>
    <w:rsid w:val="009876FF"/>
    <w:pPr>
      <w:tabs>
        <w:tab w:val="clear" w:pos="3686"/>
        <w:tab w:val="center" w:pos="6146"/>
        <w:tab w:val="clear" w:pos="7371"/>
        <w:tab w:val="right" w:pos="12293"/>
      </w:tabs>
    </w:pPr>
  </w:style>
  <w:style w:type="paragraph" w:customStyle="1" w:styleId="JuTitle">
    <w:name w:val="Ju_Title"/>
    <w:basedOn w:val="Normal"/>
    <w:next w:val="ECHRPara"/>
    <w:uiPriority w:val="3"/>
    <w:qFormat/>
    <w:rsid w:val="009876FF"/>
    <w:pPr>
      <w:spacing w:before="720" w:after="240"/>
      <w:jc w:val="center"/>
      <w:outlineLvl w:val="0"/>
    </w:pPr>
    <w:rPr>
      <w:rFonts w:asciiTheme="majorHAnsi" w:hAnsiTheme="majorHAnsi"/>
      <w:b/>
      <w:caps/>
      <w:lang w:val="en-GB"/>
    </w:rPr>
  </w:style>
  <w:style w:type="character" w:customStyle="1" w:styleId="JuNames0">
    <w:name w:val="Ju_Names"/>
    <w:rsid w:val="00C75D67"/>
    <w:rPr>
      <w:rFonts w:ascii="Times New Roman" w:hAnsi="Times New Roman" w:cs="Times New Roman"/>
      <w:smallCaps/>
    </w:rPr>
  </w:style>
  <w:style w:type="paragraph" w:styleId="NoteHeading">
    <w:name w:val="Note Heading"/>
    <w:basedOn w:val="Normal"/>
    <w:next w:val="Normal"/>
    <w:uiPriority w:val="99"/>
    <w:semiHidden/>
    <w:rsid w:val="00C75D67"/>
    <w:rPr>
      <w:lang w:val="en-GB"/>
    </w:rPr>
  </w:style>
  <w:style w:type="paragraph" w:customStyle="1" w:styleId="ECHRSpacer">
    <w:name w:val="ECHR_Spacer"/>
    <w:basedOn w:val="Normal"/>
    <w:uiPriority w:val="45"/>
    <w:rsid w:val="00C75D67"/>
    <w:pPr>
      <w:jc w:val="left"/>
    </w:pPr>
    <w:rPr>
      <w:rFonts w:eastAsiaTheme="minorHAnsi"/>
      <w:sz w:val="4"/>
      <w:lang w:val="en-GB"/>
    </w:rPr>
  </w:style>
  <w:style w:type="character" w:customStyle="1" w:styleId="column">
    <w:name w:val="column"/>
    <w:basedOn w:val="DefaultParagraphFont"/>
    <w:rsid w:val="00C75D67"/>
  </w:style>
  <w:style w:type="paragraph" w:customStyle="1" w:styleId="ECHRParaSpaced">
    <w:name w:val="ECHR_Para_Spaced"/>
    <w:aliases w:val="Para_Spaced"/>
    <w:basedOn w:val="Normal"/>
    <w:uiPriority w:val="4"/>
    <w:rsid w:val="00C75D67"/>
    <w:pPr>
      <w:spacing w:before="120" w:after="120"/>
    </w:pPr>
    <w:rPr>
      <w:sz w:val="22"/>
    </w:rPr>
  </w:style>
  <w:style w:type="character" w:customStyle="1" w:styleId="ECHRParaChar">
    <w:name w:val="ECHR_Para Char"/>
    <w:aliases w:val="Ju_Para Char"/>
    <w:link w:val="ECHRPara"/>
    <w:uiPriority w:val="12"/>
    <w:rsid w:val="00C75D67"/>
    <w:rPr>
      <w:rFonts w:eastAsiaTheme="minorEastAsia"/>
      <w:sz w:val="24"/>
      <w:lang w:val="en-GB"/>
    </w:rPr>
  </w:style>
  <w:style w:type="paragraph" w:customStyle="1" w:styleId="jupara0">
    <w:name w:val="jupara"/>
    <w:basedOn w:val="Normal"/>
    <w:rsid w:val="00352E7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352E7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8AF5A-A288-4D6B-B6BF-634A0D809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5186</Words>
  <Characters>28527</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Arrêt</vt:lpstr>
    </vt:vector>
  </TitlesOfParts>
  <Company/>
  <LinksUpToDate>false</LinksUpToDate>
  <CharactersWithSpaces>33646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2019-10-24T10:30:00Z</dcterms:created>
  <dcterms:modified xsi:type="dcterms:W3CDTF">2023-09-05T09:43:00Z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662179</vt:lpwstr>
  </property>
  <property fmtid="{D5CDD505-2E9C-101B-9397-08002B2CF9AE}" pid="3" name="cstLanguage">
    <vt:i4>2057</vt:i4>
  </property>
  <property fmtid="{D5CDD505-2E9C-101B-9397-08002B2CF9AE}" pid="4" name="RegisteredNo">
    <vt:lpwstr>48171/10</vt:lpwstr>
  </property>
</Properties>
</file>