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94841" w:rsidR="003E3207" w:rsidP="00594841" w:rsidRDefault="003E3207">
      <w:pPr>
        <w:jc w:val="center"/>
        <w:rPr>
          <w:rFonts w:ascii="Times New Roman" w:hAnsi="Times New Roman" w:cs="Times New Roman"/>
        </w:rPr>
      </w:pPr>
    </w:p>
    <w:p w:rsidRPr="00594841" w:rsidR="00EE1C7B" w:rsidP="00594841" w:rsidRDefault="00EE1C7B">
      <w:pPr>
        <w:jc w:val="center"/>
        <w:rPr>
          <w:rFonts w:ascii="Times New Roman" w:hAnsi="Times New Roman" w:cs="Times New Roman"/>
        </w:rPr>
      </w:pPr>
    </w:p>
    <w:p w:rsidRPr="00594841" w:rsidR="00EE1C7B" w:rsidP="00594841" w:rsidRDefault="00EE1C7B">
      <w:pPr>
        <w:jc w:val="center"/>
        <w:rPr>
          <w:rFonts w:ascii="Times New Roman" w:hAnsi="Times New Roman" w:cs="Times New Roman"/>
        </w:rPr>
      </w:pPr>
    </w:p>
    <w:p w:rsidRPr="00594841" w:rsidR="007A4070" w:rsidP="00594841" w:rsidRDefault="003E3207">
      <w:pPr>
        <w:pStyle w:val="DecHCase"/>
      </w:pPr>
      <w:r w:rsidRPr="00594841">
        <w:t>DEUXIÈME SECTION</w:t>
      </w:r>
    </w:p>
    <w:p w:rsidRPr="00594841" w:rsidR="007A4070" w:rsidP="00594841" w:rsidRDefault="007A4070">
      <w:pPr>
        <w:pStyle w:val="JuTitle"/>
      </w:pPr>
      <w:r w:rsidRPr="00594841">
        <w:t xml:space="preserve">AFFAIRE </w:t>
      </w:r>
      <w:r w:rsidRPr="00594841" w:rsidR="009F0232">
        <w:t>DÜRRÜ MAZHAR ÇEVİK ET MÜNİRE ASUMAN ÇEVİ</w:t>
      </w:r>
      <w:r w:rsidRPr="00594841" w:rsidR="003E3207">
        <w:t>K DAĞDELEN c. TURQUIE</w:t>
      </w:r>
    </w:p>
    <w:p w:rsidRPr="00594841" w:rsidR="007A4070" w:rsidP="00594841" w:rsidRDefault="007A4070">
      <w:pPr>
        <w:pStyle w:val="Title4"/>
      </w:pPr>
      <w:r w:rsidRPr="00594841">
        <w:t>(</w:t>
      </w:r>
      <w:r w:rsidRPr="00594841" w:rsidR="003E3207">
        <w:t>Requête n</w:t>
      </w:r>
      <w:r w:rsidRPr="00594841" w:rsidR="003E3207">
        <w:rPr>
          <w:vertAlign w:val="superscript"/>
        </w:rPr>
        <w:t>o</w:t>
      </w:r>
      <w:r w:rsidRPr="00594841">
        <w:t xml:space="preserve"> </w:t>
      </w:r>
      <w:r w:rsidRPr="00594841" w:rsidR="003E3207">
        <w:t>2705/05</w:t>
      </w:r>
      <w:r w:rsidRPr="00594841">
        <w:t>)</w:t>
      </w:r>
    </w:p>
    <w:p w:rsidRPr="00594841" w:rsidR="007A4070" w:rsidP="00594841" w:rsidRDefault="007A4070">
      <w:pPr>
        <w:pStyle w:val="DecHCase"/>
      </w:pPr>
    </w:p>
    <w:p w:rsidRPr="00594841" w:rsidR="007A4070" w:rsidP="00594841" w:rsidRDefault="007A4070">
      <w:pPr>
        <w:pStyle w:val="DecHCase"/>
      </w:pPr>
    </w:p>
    <w:p w:rsidRPr="00594841" w:rsidR="007A4070" w:rsidP="00594841" w:rsidRDefault="007A4070">
      <w:pPr>
        <w:pStyle w:val="DecHCase"/>
      </w:pPr>
    </w:p>
    <w:p w:rsidRPr="00594841" w:rsidR="007A4070" w:rsidP="00594841" w:rsidRDefault="007A4070">
      <w:pPr>
        <w:pStyle w:val="DecHCase"/>
      </w:pPr>
      <w:proofErr w:type="gramStart"/>
      <w:r w:rsidRPr="00594841">
        <w:t>ARRÊT</w:t>
      </w:r>
      <w:proofErr w:type="gramEnd"/>
      <w:r w:rsidRPr="00594841">
        <w:br/>
      </w:r>
      <w:bookmarkStart w:name="JUDTYPE" w:id="0"/>
      <w:r w:rsidRPr="00594841" w:rsidR="003E3207">
        <w:t>(</w:t>
      </w:r>
      <w:r w:rsidRPr="00594841" w:rsidR="003E3207">
        <w:rPr>
          <w:i/>
        </w:rPr>
        <w:t>Satisfaction équitable</w:t>
      </w:r>
      <w:r w:rsidRPr="00594841" w:rsidR="003E3207">
        <w:t>)</w:t>
      </w:r>
      <w:bookmarkEnd w:id="0"/>
    </w:p>
    <w:p w:rsidRPr="00594841" w:rsidR="00DE1959" w:rsidP="00594841" w:rsidRDefault="00DE1959">
      <w:pPr>
        <w:pStyle w:val="JuPara"/>
      </w:pPr>
    </w:p>
    <w:p w:rsidRPr="00594841" w:rsidR="00DE1959" w:rsidP="00594841" w:rsidRDefault="00DE1959">
      <w:pPr>
        <w:pStyle w:val="JuPara"/>
        <w:pBdr>
          <w:top w:val="single" w:color="auto" w:sz="4" w:space="1"/>
          <w:left w:val="single" w:color="auto" w:sz="4" w:space="4"/>
          <w:bottom w:val="single" w:color="auto" w:sz="4" w:space="1"/>
          <w:right w:val="single" w:color="auto" w:sz="4" w:space="4"/>
        </w:pBdr>
        <w:ind w:firstLine="0"/>
      </w:pPr>
      <w:r w:rsidRPr="00594841">
        <w:t>Art 41 • Radiation du rôle • Nouvelle voie interne d</w:t>
      </w:r>
      <w:r w:rsidRPr="00594841" w:rsidR="00594841">
        <w:t>’</w:t>
      </w:r>
      <w:r w:rsidRPr="00594841">
        <w:t>indemnisation • Poursuite de l</w:t>
      </w:r>
      <w:r w:rsidRPr="00594841" w:rsidR="00594841">
        <w:t>’</w:t>
      </w:r>
      <w:r w:rsidRPr="00594841">
        <w:t>examen non justifiée</w:t>
      </w:r>
    </w:p>
    <w:p w:rsidRPr="00594841" w:rsidR="00DE1959" w:rsidP="00594841" w:rsidRDefault="00DE1959">
      <w:pPr>
        <w:pStyle w:val="JuPara"/>
      </w:pPr>
    </w:p>
    <w:p w:rsidRPr="00594841" w:rsidR="007A4070" w:rsidP="00594841" w:rsidRDefault="007A4070">
      <w:pPr>
        <w:pStyle w:val="DecHCase"/>
      </w:pPr>
      <w:r w:rsidRPr="00594841">
        <w:t>STRASBOURG</w:t>
      </w:r>
    </w:p>
    <w:p w:rsidRPr="00594841" w:rsidR="007A4070" w:rsidP="00594841" w:rsidRDefault="003E3207">
      <w:pPr>
        <w:pStyle w:val="DecHCase"/>
      </w:pPr>
      <w:r w:rsidRPr="00594841">
        <w:t>29 octobre 2019</w:t>
      </w:r>
    </w:p>
    <w:p w:rsidRPr="00594841" w:rsidR="007A4070" w:rsidP="00594841" w:rsidRDefault="007A4070">
      <w:pPr>
        <w:pStyle w:val="DecHCase"/>
      </w:pPr>
    </w:p>
    <w:p w:rsidR="003A47E1" w:rsidP="003A47E1" w:rsidRDefault="003A47E1">
      <w:pPr>
        <w:pStyle w:val="jucase0"/>
        <w:ind w:firstLine="0"/>
        <w:jc w:val="center"/>
        <w:rPr>
          <w:color w:val="FF0000"/>
          <w:sz w:val="28"/>
          <w:szCs w:val="28"/>
          <w:u w:val="single"/>
          <w:lang w:val="fr-FR"/>
        </w:rPr>
      </w:pPr>
      <w:r>
        <w:rPr>
          <w:color w:val="FF0000"/>
          <w:sz w:val="28"/>
          <w:szCs w:val="28"/>
          <w:u w:val="single"/>
          <w:lang w:val="fr-FR"/>
        </w:rPr>
        <w:t>DÉFINITIF</w:t>
      </w:r>
    </w:p>
    <w:p w:rsidR="003A47E1" w:rsidP="003A47E1" w:rsidRDefault="003A47E1">
      <w:pPr>
        <w:pStyle w:val="jupara0"/>
        <w:tabs>
          <w:tab w:val="left" w:pos="3450"/>
        </w:tabs>
        <w:ind w:firstLine="0"/>
        <w:jc w:val="center"/>
        <w:rPr>
          <w:color w:val="FF0000"/>
          <w:sz w:val="28"/>
          <w:szCs w:val="28"/>
          <w:lang w:val="fr-FR"/>
        </w:rPr>
      </w:pPr>
    </w:p>
    <w:p w:rsidR="003A47E1" w:rsidP="003A47E1" w:rsidRDefault="003A47E1">
      <w:pPr>
        <w:pStyle w:val="jupara0"/>
        <w:ind w:firstLine="0"/>
        <w:jc w:val="center"/>
        <w:rPr>
          <w:color w:val="FF0000"/>
          <w:sz w:val="28"/>
          <w:szCs w:val="28"/>
          <w:lang w:val="fr-FR"/>
        </w:rPr>
      </w:pPr>
      <w:r>
        <w:rPr>
          <w:color w:val="FF0000"/>
          <w:sz w:val="28"/>
          <w:szCs w:val="28"/>
          <w:lang w:val="fr-FR"/>
        </w:rPr>
        <w:t>29/01/2020</w:t>
      </w:r>
    </w:p>
    <w:p w:rsidR="003A47E1" w:rsidP="003A47E1" w:rsidRDefault="003A47E1">
      <w:pPr>
        <w:pStyle w:val="jupara0"/>
        <w:ind w:firstLine="0"/>
        <w:jc w:val="center"/>
        <w:rPr>
          <w:u w:val="single"/>
          <w:lang w:val="fr-FR"/>
        </w:rPr>
      </w:pPr>
    </w:p>
    <w:p w:rsidRPr="00594841" w:rsidR="00516B59" w:rsidP="003A47E1" w:rsidRDefault="003A47E1">
      <w:pPr>
        <w:jc w:val="center"/>
        <w:rPr>
          <w:rFonts w:ascii="Times New Roman" w:hAnsi="Times New Roman" w:cs="Times New Roman"/>
          <w:i/>
          <w:sz w:val="22"/>
        </w:rPr>
      </w:pPr>
      <w:r>
        <w:rPr>
          <w:i/>
          <w:iCs/>
          <w:sz w:val="22"/>
        </w:rPr>
        <w:t xml:space="preserve">Cet arrêt est devenu définitif en vertu de l’article 44 § 2 de la Convention. Il peut subir </w:t>
      </w:r>
      <w:bookmarkStart w:name="_GoBack" w:id="1"/>
      <w:bookmarkEnd w:id="1"/>
      <w:r>
        <w:rPr>
          <w:i/>
          <w:iCs/>
          <w:sz w:val="22"/>
        </w:rPr>
        <w:t>des retouches de forme.</w:t>
      </w:r>
    </w:p>
    <w:p w:rsidRPr="00594841" w:rsidR="00516B59" w:rsidP="00594841" w:rsidRDefault="00516B59">
      <w:pPr>
        <w:ind w:left="720"/>
        <w:rPr>
          <w:rFonts w:ascii="Times New Roman" w:hAnsi="Times New Roman" w:cs="Times New Roman"/>
          <w:sz w:val="22"/>
        </w:rPr>
        <w:sectPr w:rsidRPr="00594841" w:rsidR="00516B5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594841" w:rsidR="004344E6" w:rsidP="00594841" w:rsidRDefault="004344E6">
      <w:pPr>
        <w:pStyle w:val="JuPara"/>
        <w:rPr>
          <w:b/>
        </w:rPr>
      </w:pPr>
      <w:r w:rsidRPr="00594841">
        <w:rPr>
          <w:b/>
        </w:rPr>
        <w:t>En l</w:t>
      </w:r>
      <w:r w:rsidRPr="00594841" w:rsidR="00594841">
        <w:rPr>
          <w:b/>
        </w:rPr>
        <w:t>’</w:t>
      </w:r>
      <w:r w:rsidRPr="00594841">
        <w:rPr>
          <w:b/>
        </w:rPr>
        <w:t xml:space="preserve">affaire </w:t>
      </w:r>
      <w:proofErr w:type="spellStart"/>
      <w:r w:rsidRPr="00594841" w:rsidR="003E3207">
        <w:rPr>
          <w:b/>
        </w:rPr>
        <w:t>Dürrü</w:t>
      </w:r>
      <w:proofErr w:type="spellEnd"/>
      <w:r w:rsidRPr="00594841" w:rsidR="003E3207">
        <w:rPr>
          <w:b/>
        </w:rPr>
        <w:t xml:space="preserve"> </w:t>
      </w:r>
      <w:proofErr w:type="spellStart"/>
      <w:r w:rsidRPr="00594841" w:rsidR="003E3207">
        <w:rPr>
          <w:b/>
        </w:rPr>
        <w:t>Mazh</w:t>
      </w:r>
      <w:r w:rsidRPr="00594841" w:rsidR="002C6AC5">
        <w:rPr>
          <w:b/>
        </w:rPr>
        <w:t>arÇevik</w:t>
      </w:r>
      <w:proofErr w:type="spellEnd"/>
      <w:r w:rsidRPr="00594841" w:rsidR="002C6AC5">
        <w:rPr>
          <w:b/>
        </w:rPr>
        <w:t xml:space="preserve"> et </w:t>
      </w:r>
      <w:proofErr w:type="spellStart"/>
      <w:r w:rsidRPr="00594841" w:rsidR="002C6AC5">
        <w:rPr>
          <w:b/>
        </w:rPr>
        <w:t>Münire</w:t>
      </w:r>
      <w:proofErr w:type="spellEnd"/>
      <w:r w:rsidRPr="00594841" w:rsidR="002C6AC5">
        <w:rPr>
          <w:b/>
        </w:rPr>
        <w:t xml:space="preserve"> </w:t>
      </w:r>
      <w:proofErr w:type="spellStart"/>
      <w:r w:rsidRPr="00594841" w:rsidR="002C6AC5">
        <w:rPr>
          <w:b/>
        </w:rPr>
        <w:t>Asuman</w:t>
      </w:r>
      <w:proofErr w:type="spellEnd"/>
      <w:r w:rsidRPr="00594841" w:rsidR="002C6AC5">
        <w:rPr>
          <w:b/>
        </w:rPr>
        <w:t xml:space="preserve"> </w:t>
      </w:r>
      <w:proofErr w:type="spellStart"/>
      <w:r w:rsidRPr="00594841" w:rsidR="002C6AC5">
        <w:rPr>
          <w:b/>
        </w:rPr>
        <w:t>Çevik</w:t>
      </w:r>
      <w:proofErr w:type="spellEnd"/>
      <w:r w:rsidRPr="00594841" w:rsidR="002C6AC5">
        <w:rPr>
          <w:b/>
        </w:rPr>
        <w:t xml:space="preserve"> </w:t>
      </w:r>
      <w:proofErr w:type="spellStart"/>
      <w:r w:rsidRPr="00594841" w:rsidR="003E3207">
        <w:rPr>
          <w:b/>
        </w:rPr>
        <w:t>Dağdelen</w:t>
      </w:r>
      <w:proofErr w:type="spellEnd"/>
      <w:r w:rsidRPr="00594841" w:rsidR="003E3207">
        <w:rPr>
          <w:b/>
        </w:rPr>
        <w:t xml:space="preserve"> c. Turquie</w:t>
      </w:r>
      <w:r w:rsidRPr="00594841">
        <w:rPr>
          <w:b/>
        </w:rPr>
        <w:t>,</w:t>
      </w:r>
    </w:p>
    <w:p w:rsidRPr="00594841" w:rsidR="004344E6" w:rsidP="00594841" w:rsidRDefault="004344E6">
      <w:pPr>
        <w:pStyle w:val="JuPara"/>
      </w:pPr>
      <w:r w:rsidRPr="00594841">
        <w:t>La Cour européenne des droits de l</w:t>
      </w:r>
      <w:r w:rsidRPr="00594841" w:rsidR="00594841">
        <w:t>’</w:t>
      </w:r>
      <w:r w:rsidRPr="00594841">
        <w:t>homme (</w:t>
      </w:r>
      <w:r w:rsidRPr="00594841" w:rsidR="003E3207">
        <w:t>deuxième section</w:t>
      </w:r>
      <w:r w:rsidRPr="00594841">
        <w:t xml:space="preserve">), siégeant en </w:t>
      </w:r>
      <w:r w:rsidRPr="00594841" w:rsidR="003E3207">
        <w:rPr>
          <w:color w:val="000000"/>
        </w:rPr>
        <w:t>une</w:t>
      </w:r>
      <w:r w:rsidRPr="00594841" w:rsidR="003E3207">
        <w:t xml:space="preserve"> Chambre composée</w:t>
      </w:r>
      <w:r w:rsidRPr="00594841">
        <w:t xml:space="preserve"> de :</w:t>
      </w:r>
    </w:p>
    <w:p w:rsidRPr="00594841" w:rsidR="004344E6" w:rsidP="00594841" w:rsidRDefault="009F0232">
      <w:pPr>
        <w:pStyle w:val="JuJudges"/>
      </w:pPr>
      <w:r w:rsidRPr="00594841">
        <w:tab/>
        <w:t>Robert Spano,</w:t>
      </w:r>
      <w:r w:rsidRPr="00594841">
        <w:rPr>
          <w:i/>
        </w:rPr>
        <w:t xml:space="preserve"> président,</w:t>
      </w:r>
      <w:r w:rsidRPr="00594841">
        <w:rPr>
          <w:i/>
        </w:rPr>
        <w:br/>
      </w:r>
      <w:r w:rsidRPr="00594841">
        <w:tab/>
        <w:t xml:space="preserve">Marko </w:t>
      </w:r>
      <w:proofErr w:type="spellStart"/>
      <w:r w:rsidRPr="00594841">
        <w:t>Bošnjak</w:t>
      </w:r>
      <w:proofErr w:type="spellEnd"/>
      <w:r w:rsidRPr="00594841">
        <w:t>,</w:t>
      </w:r>
      <w:r w:rsidRPr="00594841">
        <w:rPr>
          <w:i/>
        </w:rPr>
        <w:br/>
      </w:r>
      <w:r w:rsidRPr="00594841">
        <w:tab/>
        <w:t>Julia Laffranque,</w:t>
      </w:r>
      <w:r w:rsidRPr="00594841">
        <w:rPr>
          <w:i/>
        </w:rPr>
        <w:br/>
      </w:r>
      <w:r w:rsidRPr="00594841">
        <w:tab/>
        <w:t xml:space="preserve">Egidijus </w:t>
      </w:r>
      <w:proofErr w:type="spellStart"/>
      <w:r w:rsidRPr="00594841">
        <w:t>Kūris</w:t>
      </w:r>
      <w:proofErr w:type="spellEnd"/>
      <w:r w:rsidRPr="00594841">
        <w:t>,</w:t>
      </w:r>
      <w:r w:rsidRPr="00594841">
        <w:rPr>
          <w:i/>
        </w:rPr>
        <w:br/>
      </w:r>
      <w:r w:rsidRPr="00594841">
        <w:tab/>
      </w:r>
      <w:proofErr w:type="spellStart"/>
      <w:r w:rsidRPr="00594841">
        <w:t>Arnfinn</w:t>
      </w:r>
      <w:proofErr w:type="spellEnd"/>
      <w:r w:rsidRPr="00594841">
        <w:t xml:space="preserve"> </w:t>
      </w:r>
      <w:proofErr w:type="spellStart"/>
      <w:r w:rsidRPr="00594841">
        <w:t>Bårdsen</w:t>
      </w:r>
      <w:proofErr w:type="spellEnd"/>
      <w:r w:rsidRPr="00594841">
        <w:t>,</w:t>
      </w:r>
      <w:r w:rsidRPr="00594841">
        <w:rPr>
          <w:i/>
        </w:rPr>
        <w:br/>
      </w:r>
      <w:r w:rsidRPr="00594841">
        <w:tab/>
        <w:t>Darian Pavli,</w:t>
      </w:r>
      <w:r w:rsidRPr="00594841">
        <w:rPr>
          <w:i/>
        </w:rPr>
        <w:br/>
      </w:r>
      <w:r w:rsidRPr="00594841">
        <w:tab/>
      </w:r>
      <w:proofErr w:type="spellStart"/>
      <w:r w:rsidRPr="00594841">
        <w:t>Saadet</w:t>
      </w:r>
      <w:proofErr w:type="spellEnd"/>
      <w:r w:rsidRPr="00594841">
        <w:t xml:space="preserve"> </w:t>
      </w:r>
      <w:proofErr w:type="spellStart"/>
      <w:r w:rsidRPr="00594841">
        <w:t>Yüksel</w:t>
      </w:r>
      <w:proofErr w:type="spellEnd"/>
      <w:r w:rsidRPr="00594841">
        <w:t>,</w:t>
      </w:r>
      <w:r w:rsidRPr="00594841">
        <w:rPr>
          <w:i/>
        </w:rPr>
        <w:t xml:space="preserve"> juges</w:t>
      </w:r>
      <w:proofErr w:type="gramStart"/>
      <w:r w:rsidRPr="00594841">
        <w:rPr>
          <w:i/>
        </w:rPr>
        <w:t>,</w:t>
      </w:r>
      <w:proofErr w:type="gramEnd"/>
      <w:r w:rsidRPr="00594841" w:rsidR="004344E6">
        <w:br/>
        <w:t xml:space="preserve">et de </w:t>
      </w:r>
      <w:r w:rsidRPr="00594841" w:rsidR="003E3207">
        <w:t>Stanley Naismith</w:t>
      </w:r>
      <w:r w:rsidRPr="00594841" w:rsidR="004344E6">
        <w:t xml:space="preserve">, </w:t>
      </w:r>
      <w:r w:rsidRPr="00594841" w:rsidR="003E3207">
        <w:rPr>
          <w:i/>
        </w:rPr>
        <w:t>greffier</w:t>
      </w:r>
      <w:r w:rsidRPr="00594841" w:rsidR="003E3207">
        <w:rPr>
          <w:iCs/>
        </w:rPr>
        <w:t xml:space="preserve"> </w:t>
      </w:r>
      <w:r w:rsidRPr="00594841" w:rsidR="003E3207">
        <w:rPr>
          <w:i/>
          <w:iCs/>
        </w:rPr>
        <w:t>d</w:t>
      </w:r>
      <w:r w:rsidRPr="00594841" w:rsidR="003E3207">
        <w:rPr>
          <w:i/>
        </w:rPr>
        <w:t>e section</w:t>
      </w:r>
      <w:r w:rsidRPr="00594841" w:rsidR="004344E6">
        <w:t>,</w:t>
      </w:r>
    </w:p>
    <w:p w:rsidRPr="00594841" w:rsidR="004344E6" w:rsidP="00594841" w:rsidRDefault="004344E6">
      <w:pPr>
        <w:pStyle w:val="JuPara"/>
      </w:pPr>
      <w:r w:rsidRPr="00594841">
        <w:t xml:space="preserve">Après en avoir délibéré en chambre du conseil le </w:t>
      </w:r>
      <w:r w:rsidRPr="00594841" w:rsidR="003E3207">
        <w:rPr>
          <w:szCs w:val="24"/>
        </w:rPr>
        <w:t>8 octobre 2019</w:t>
      </w:r>
      <w:r w:rsidRPr="00594841">
        <w:t>,</w:t>
      </w:r>
    </w:p>
    <w:p w:rsidRPr="00594841" w:rsidR="00876F03" w:rsidP="00594841" w:rsidRDefault="004344E6">
      <w:pPr>
        <w:pStyle w:val="JuPara"/>
      </w:pPr>
      <w:r w:rsidRPr="00594841">
        <w:t>Rend l</w:t>
      </w:r>
      <w:r w:rsidRPr="00594841" w:rsidR="00594841">
        <w:t>’</w:t>
      </w:r>
      <w:r w:rsidRPr="00594841">
        <w:t>arrêt que voici</w:t>
      </w:r>
      <w:r w:rsidRPr="00594841" w:rsidR="00876F03">
        <w:t>, adopté à cette date :</w:t>
      </w:r>
    </w:p>
    <w:p w:rsidRPr="00594841" w:rsidR="003E3207" w:rsidP="00594841" w:rsidRDefault="003E3207">
      <w:pPr>
        <w:pStyle w:val="JuHHead"/>
      </w:pPr>
      <w:r w:rsidRPr="00594841">
        <w:t>PROCÉDURE</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w:t>
      </w:r>
      <w:r w:rsidRPr="00594841">
        <w:fldChar w:fldCharType="end"/>
      </w:r>
      <w:r w:rsidRPr="00594841">
        <w:t>.  À l</w:t>
      </w:r>
      <w:r w:rsidRPr="00594841" w:rsidR="00594841">
        <w:t>’</w:t>
      </w:r>
      <w:r w:rsidRPr="00594841">
        <w:t>origine de l</w:t>
      </w:r>
      <w:r w:rsidRPr="00594841" w:rsidR="00594841">
        <w:t>’</w:t>
      </w:r>
      <w:r w:rsidRPr="00594841">
        <w:t>affaire se trouve une requête (n</w:t>
      </w:r>
      <w:r w:rsidRPr="00594841">
        <w:rPr>
          <w:vertAlign w:val="superscript"/>
        </w:rPr>
        <w:t>o</w:t>
      </w:r>
      <w:r w:rsidRPr="00594841">
        <w:t xml:space="preserve"> 2705/05) dirigée contre la République de Turquie et dont deux ressortissants turcs, M. </w:t>
      </w:r>
      <w:proofErr w:type="spellStart"/>
      <w:r w:rsidRPr="00594841">
        <w:t>Dürrü</w:t>
      </w:r>
      <w:proofErr w:type="spellEnd"/>
      <w:r w:rsidRPr="00594841">
        <w:t> </w:t>
      </w:r>
      <w:proofErr w:type="spellStart"/>
      <w:r w:rsidRPr="00594841">
        <w:t>Mazhar</w:t>
      </w:r>
      <w:proofErr w:type="spellEnd"/>
      <w:r w:rsidRPr="00594841">
        <w:t xml:space="preserve"> </w:t>
      </w:r>
      <w:proofErr w:type="spellStart"/>
      <w:r w:rsidRPr="00594841">
        <w:t>Çevik</w:t>
      </w:r>
      <w:proofErr w:type="spellEnd"/>
      <w:r w:rsidRPr="00594841">
        <w:t xml:space="preserve"> et M</w:t>
      </w:r>
      <w:r w:rsidRPr="00594841">
        <w:rPr>
          <w:vertAlign w:val="superscript"/>
        </w:rPr>
        <w:t>me</w:t>
      </w:r>
      <w:r w:rsidRPr="00594841">
        <w:t xml:space="preserve"> </w:t>
      </w:r>
      <w:proofErr w:type="spellStart"/>
      <w:r w:rsidRPr="00594841">
        <w:t>Münire</w:t>
      </w:r>
      <w:proofErr w:type="spellEnd"/>
      <w:r w:rsidRPr="00594841">
        <w:t xml:space="preserve"> </w:t>
      </w:r>
      <w:proofErr w:type="spellStart"/>
      <w:r w:rsidRPr="00594841">
        <w:t>Asuman</w:t>
      </w:r>
      <w:proofErr w:type="spellEnd"/>
      <w:r w:rsidRPr="00594841">
        <w:t xml:space="preserve"> </w:t>
      </w:r>
      <w:proofErr w:type="spellStart"/>
      <w:r w:rsidRPr="00594841">
        <w:t>Çevik</w:t>
      </w:r>
      <w:proofErr w:type="spellEnd"/>
      <w:r w:rsidRPr="00594841">
        <w:t xml:space="preserve"> </w:t>
      </w:r>
      <w:proofErr w:type="spellStart"/>
      <w:r w:rsidRPr="00594841">
        <w:t>Dağdelen</w:t>
      </w:r>
      <w:proofErr w:type="spellEnd"/>
      <w:r w:rsidRPr="00594841">
        <w:t xml:space="preserve"> (« les requérants »), ont saisi la Cour le 23 décembre 2004 en vertu de l</w:t>
      </w:r>
      <w:r w:rsidRPr="00594841" w:rsidR="00594841">
        <w:t>’</w:t>
      </w:r>
      <w:r w:rsidRPr="00594841">
        <w:t>article 34 de la Convention de sauvegarde des droits de l</w:t>
      </w:r>
      <w:r w:rsidRPr="00594841" w:rsidR="00594841">
        <w:t>’</w:t>
      </w:r>
      <w:r w:rsidRPr="00594841">
        <w:t>homme et des libertés fondamentales (« la Convention »).</w:t>
      </w:r>
    </w:p>
    <w:p w:rsidRPr="00594841" w:rsidR="003E3207" w:rsidP="00594841" w:rsidRDefault="003E3207">
      <w:pPr>
        <w:pStyle w:val="JuPara"/>
        <w:rPr>
          <w:snapToGrid w:val="0"/>
        </w:rPr>
      </w:pPr>
      <w:r w:rsidRPr="00594841">
        <w:fldChar w:fldCharType="begin"/>
      </w:r>
      <w:r w:rsidRPr="00594841">
        <w:instrText xml:space="preserve"> SEQ level0 \*arabic </w:instrText>
      </w:r>
      <w:r w:rsidRPr="00594841">
        <w:fldChar w:fldCharType="separate"/>
      </w:r>
      <w:r w:rsidRPr="00594841" w:rsidR="00594841">
        <w:rPr>
          <w:noProof/>
        </w:rPr>
        <w:t>2</w:t>
      </w:r>
      <w:r w:rsidRPr="00594841">
        <w:fldChar w:fldCharType="end"/>
      </w:r>
      <w:r w:rsidRPr="00594841">
        <w:t>.  Par un arrêt du 14 avril 2015 (« l</w:t>
      </w:r>
      <w:r w:rsidRPr="00594841" w:rsidR="00594841">
        <w:t>’</w:t>
      </w:r>
      <w:r w:rsidRPr="00594841">
        <w:t>arrêt au principal »), la Cour a jugé qu</w:t>
      </w:r>
      <w:r w:rsidRPr="00594841" w:rsidR="00594841">
        <w:t>’</w:t>
      </w:r>
      <w:r w:rsidRPr="00594841">
        <w:t>il y avait eu violation de l</w:t>
      </w:r>
      <w:r w:rsidRPr="00594841" w:rsidR="00594841">
        <w:t>’</w:t>
      </w:r>
      <w:r w:rsidRPr="00594841">
        <w:t>article 1 du Protocole n</w:t>
      </w:r>
      <w:r w:rsidRPr="00594841">
        <w:rPr>
          <w:vertAlign w:val="superscript"/>
        </w:rPr>
        <w:t>o</w:t>
      </w:r>
      <w:r w:rsidRPr="00594841">
        <w:t> 1 en raison de l</w:t>
      </w:r>
      <w:r w:rsidRPr="00594841" w:rsidR="00594841">
        <w:t>’</w:t>
      </w:r>
      <w:r w:rsidRPr="00594841">
        <w:t>annulation des titres de propriété des requérants (</w:t>
      </w:r>
      <w:proofErr w:type="spellStart"/>
      <w:r w:rsidRPr="00594841">
        <w:rPr>
          <w:i/>
        </w:rPr>
        <w:t>Dürrü</w:t>
      </w:r>
      <w:proofErr w:type="spellEnd"/>
      <w:r w:rsidRPr="00594841">
        <w:rPr>
          <w:i/>
        </w:rPr>
        <w:t xml:space="preserve"> </w:t>
      </w:r>
      <w:proofErr w:type="spellStart"/>
      <w:r w:rsidRPr="00594841">
        <w:rPr>
          <w:i/>
        </w:rPr>
        <w:t>Mazhar</w:t>
      </w:r>
      <w:proofErr w:type="spellEnd"/>
      <w:r w:rsidRPr="00594841">
        <w:rPr>
          <w:i/>
        </w:rPr>
        <w:t xml:space="preserve"> </w:t>
      </w:r>
      <w:proofErr w:type="spellStart"/>
      <w:r w:rsidRPr="00594841">
        <w:rPr>
          <w:i/>
        </w:rPr>
        <w:t>Çevik</w:t>
      </w:r>
      <w:proofErr w:type="spellEnd"/>
      <w:r w:rsidRPr="00594841">
        <w:rPr>
          <w:i/>
        </w:rPr>
        <w:t xml:space="preserve"> et </w:t>
      </w:r>
      <w:proofErr w:type="spellStart"/>
      <w:r w:rsidRPr="00594841">
        <w:rPr>
          <w:i/>
        </w:rPr>
        <w:t>Münire</w:t>
      </w:r>
      <w:proofErr w:type="spellEnd"/>
      <w:r w:rsidRPr="00594841">
        <w:rPr>
          <w:i/>
        </w:rPr>
        <w:t xml:space="preserve"> </w:t>
      </w:r>
      <w:proofErr w:type="spellStart"/>
      <w:r w:rsidRPr="00594841">
        <w:rPr>
          <w:i/>
        </w:rPr>
        <w:t>Asuman</w:t>
      </w:r>
      <w:proofErr w:type="spellEnd"/>
      <w:r w:rsidRPr="00594841">
        <w:rPr>
          <w:i/>
        </w:rPr>
        <w:t xml:space="preserve"> </w:t>
      </w:r>
      <w:proofErr w:type="spellStart"/>
      <w:r w:rsidRPr="00594841">
        <w:rPr>
          <w:i/>
        </w:rPr>
        <w:t>Çevik</w:t>
      </w:r>
      <w:proofErr w:type="spellEnd"/>
      <w:r w:rsidRPr="00594841">
        <w:rPr>
          <w:i/>
        </w:rPr>
        <w:t xml:space="preserve"> </w:t>
      </w:r>
      <w:proofErr w:type="spellStart"/>
      <w:r w:rsidRPr="00594841">
        <w:rPr>
          <w:i/>
        </w:rPr>
        <w:t>Dağdelen</w:t>
      </w:r>
      <w:proofErr w:type="spellEnd"/>
      <w:r w:rsidRPr="00594841">
        <w:t xml:space="preserve"> </w:t>
      </w:r>
      <w:r w:rsidRPr="00594841">
        <w:rPr>
          <w:i/>
        </w:rPr>
        <w:t>c. Turquie</w:t>
      </w:r>
      <w:r w:rsidRPr="00594841">
        <w:t>, n</w:t>
      </w:r>
      <w:r w:rsidRPr="00594841">
        <w:rPr>
          <w:vertAlign w:val="superscript"/>
        </w:rPr>
        <w:t>o</w:t>
      </w:r>
      <w:r w:rsidRPr="00594841">
        <w:t xml:space="preserve"> 2705/05</w:t>
      </w:r>
      <w:r w:rsidRPr="00594841">
        <w:rPr>
          <w:snapToGrid w:val="0"/>
        </w:rPr>
        <w:t>, § 38, 14 </w:t>
      </w:r>
      <w:r w:rsidRPr="00594841">
        <w:t>avril</w:t>
      </w:r>
      <w:r w:rsidRPr="00594841">
        <w:rPr>
          <w:snapToGrid w:val="0"/>
        </w:rPr>
        <w:t xml:space="preserve"> 2015).</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3</w:t>
      </w:r>
      <w:r w:rsidRPr="00594841">
        <w:fldChar w:fldCharType="end"/>
      </w:r>
      <w:r w:rsidRPr="00594841">
        <w:t>.  La question de l</w:t>
      </w:r>
      <w:r w:rsidRPr="00594841" w:rsidR="00594841">
        <w:t>’</w:t>
      </w:r>
      <w:r w:rsidRPr="00594841">
        <w:t>application de l</w:t>
      </w:r>
      <w:r w:rsidRPr="00594841" w:rsidR="00594841">
        <w:t>’</w:t>
      </w:r>
      <w:r w:rsidRPr="00594841">
        <w:t>article 41 de la Convention ne se trouvant pas en état, la Cour l</w:t>
      </w:r>
      <w:r w:rsidRPr="00594841" w:rsidR="00594841">
        <w:t>’</w:t>
      </w:r>
      <w:r w:rsidRPr="00594841">
        <w:t>a réservée et a invité le Gouvernement et les requérants à lui soumettre par écrit, dans les six mois, leurs observations sur ladite question et notamment à lui donner connaissance de tout accord auquel ils pourraient aboutir (</w:t>
      </w:r>
      <w:r w:rsidRPr="00594841">
        <w:rPr>
          <w:i/>
        </w:rPr>
        <w:t>ibidem</w:t>
      </w:r>
      <w:r w:rsidRPr="00594841">
        <w:t>, § 41, et point 3 du dispositif).</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4</w:t>
      </w:r>
      <w:r w:rsidRPr="00594841">
        <w:fldChar w:fldCharType="end"/>
      </w:r>
      <w:r w:rsidRPr="00594841">
        <w:t>.  Tant les requérants que le Gouvernement ont déposé des observations. Aucun accord permettant d</w:t>
      </w:r>
      <w:r w:rsidRPr="00594841" w:rsidR="00594841">
        <w:t>’</w:t>
      </w:r>
      <w:r w:rsidRPr="00594841">
        <w:t>aboutir à un règlement amiable n</w:t>
      </w:r>
      <w:r w:rsidRPr="00594841" w:rsidR="00594841">
        <w:t>’</w:t>
      </w:r>
      <w:r w:rsidRPr="00594841">
        <w:t>a été trouvé entre les parties.</w:t>
      </w:r>
    </w:p>
    <w:p w:rsidRPr="00594841" w:rsidR="003E3207" w:rsidP="00594841" w:rsidRDefault="003E3207">
      <w:pPr>
        <w:pStyle w:val="JuHHead"/>
      </w:pPr>
      <w:r w:rsidRPr="00594841">
        <w:t>EN DROIT</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5</w:t>
      </w:r>
      <w:r w:rsidRPr="00594841">
        <w:fldChar w:fldCharType="end"/>
      </w:r>
      <w:r w:rsidRPr="00594841">
        <w:t>.  Aux termes de l</w:t>
      </w:r>
      <w:r w:rsidRPr="00594841" w:rsidR="00594841">
        <w:t>’</w:t>
      </w:r>
      <w:r w:rsidRPr="00594841">
        <w:t>article 41 de la Convention,</w:t>
      </w:r>
    </w:p>
    <w:p w:rsidRPr="00594841" w:rsidR="003E3207" w:rsidP="00594841" w:rsidRDefault="003E3207">
      <w:pPr>
        <w:pStyle w:val="JuQuot"/>
      </w:pPr>
      <w:r w:rsidRPr="00594841">
        <w:t>« Si la Cour déclare qu</w:t>
      </w:r>
      <w:r w:rsidRPr="00594841" w:rsidR="00594841">
        <w:t>’</w:t>
      </w:r>
      <w:r w:rsidRPr="00594841">
        <w:t>il y a eu violation de la Convention ou de ses Protocoles, et si le droit interne de la Haute Partie contractante ne permet d</w:t>
      </w:r>
      <w:r w:rsidRPr="00594841" w:rsidR="00594841">
        <w:t>’</w:t>
      </w:r>
      <w:r w:rsidRPr="00594841">
        <w:t>effacer qu</w:t>
      </w:r>
      <w:r w:rsidRPr="00594841" w:rsidR="00594841">
        <w:t>’</w:t>
      </w:r>
      <w:r w:rsidRPr="00594841">
        <w:t>imparfaitement les conséquences de cette violation, la Cour accorde à la partie lésée, s</w:t>
      </w:r>
      <w:r w:rsidRPr="00594841" w:rsidR="00594841">
        <w:t>’</w:t>
      </w:r>
      <w:r w:rsidRPr="00594841">
        <w:t>il y a lieu, une satisfaction équitable. »</w:t>
      </w:r>
    </w:p>
    <w:p w:rsidRPr="00594841" w:rsidR="003E3207" w:rsidP="00594841" w:rsidRDefault="003E3207">
      <w:pPr>
        <w:pStyle w:val="JuHA"/>
      </w:pPr>
      <w:r w:rsidRPr="00594841">
        <w:t>Dommage</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6</w:t>
      </w:r>
      <w:r w:rsidRPr="00594841">
        <w:fldChar w:fldCharType="end"/>
      </w:r>
      <w:r w:rsidRPr="00594841">
        <w:t>.  Les requérants réclament 5 586 188 euros (EUR) au titre du dommage matériel et se réfèrent, à ce titre, à un rapport d</w:t>
      </w:r>
      <w:r w:rsidRPr="00594841" w:rsidR="00594841">
        <w:t>’</w:t>
      </w:r>
      <w:r w:rsidRPr="00594841">
        <w:t>expertise du 17 avril 2009, établi par une société anonyme spécialisée en évaluation immobilière. Ils demandent également 2 380 952 EUR pour le préjudice moral qu</w:t>
      </w:r>
      <w:r w:rsidRPr="00594841" w:rsidR="00594841">
        <w:t>’</w:t>
      </w:r>
      <w:r w:rsidRPr="00594841">
        <w:t>ils auraient subi.</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7</w:t>
      </w:r>
      <w:r w:rsidRPr="00594841">
        <w:fldChar w:fldCharType="end"/>
      </w:r>
      <w:r w:rsidRPr="00594841">
        <w:t>.  Le Gouvernement juge injustifiées les sommes réclamées par les requérants. Il invite également la Cour à conclure à la radiation de la requête sur le fondement de l</w:t>
      </w:r>
      <w:r w:rsidRPr="00594841" w:rsidR="00594841">
        <w:t>’</w:t>
      </w:r>
      <w:r w:rsidRPr="00594841">
        <w:t>article 37 § 1 c) de la Convention au motif qu</w:t>
      </w:r>
      <w:r w:rsidRPr="00594841" w:rsidR="00594841">
        <w:t>’</w:t>
      </w:r>
      <w:r w:rsidRPr="00594841">
        <w:t>un recours d</w:t>
      </w:r>
      <w:r w:rsidRPr="00594841" w:rsidR="00594841">
        <w:t>’</w:t>
      </w:r>
      <w:r w:rsidRPr="00594841">
        <w:t>indemnisation a été instauré au niveau national avec l</w:t>
      </w:r>
      <w:r w:rsidRPr="00594841" w:rsidR="00594841">
        <w:t>’</w:t>
      </w:r>
      <w:r w:rsidRPr="00594841">
        <w:t>entrée en vigueur de l</w:t>
      </w:r>
      <w:r w:rsidRPr="00594841" w:rsidR="00594841">
        <w:t>’</w:t>
      </w:r>
      <w:r w:rsidRPr="00594841">
        <w:t>ordonnance présidentielle n</w:t>
      </w:r>
      <w:r w:rsidRPr="00594841">
        <w:rPr>
          <w:vertAlign w:val="superscript"/>
        </w:rPr>
        <w:t>o</w:t>
      </w:r>
      <w:r w:rsidRPr="00594841">
        <w:t> 809.</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8</w:t>
      </w:r>
      <w:r w:rsidRPr="00594841">
        <w:fldChar w:fldCharType="end"/>
      </w:r>
      <w:r w:rsidRPr="00594841">
        <w:t>.  La Cour rappelle qu</w:t>
      </w:r>
      <w:r w:rsidRPr="00594841" w:rsidR="00594841">
        <w:t>’</w:t>
      </w:r>
      <w:r w:rsidRPr="00594841">
        <w:t>un arrêt constatant une violation entraîne pour l</w:t>
      </w:r>
      <w:r w:rsidRPr="00594841" w:rsidR="00594841">
        <w:t>’</w:t>
      </w:r>
      <w:r w:rsidRPr="00594841">
        <w:t>État défendeur l</w:t>
      </w:r>
      <w:r w:rsidRPr="00594841" w:rsidR="00594841">
        <w:t>’</w:t>
      </w:r>
      <w:r w:rsidRPr="00594841">
        <w:t>obligation juridique de mettre un terme à la violation et d</w:t>
      </w:r>
      <w:r w:rsidRPr="00594841" w:rsidR="00594841">
        <w:t>’</w:t>
      </w:r>
      <w:r w:rsidRPr="00594841">
        <w:t>en effacer les conséquences de manière à rétablir autant que faire se peut la situation antérieure à celle-ci (</w:t>
      </w:r>
      <w:proofErr w:type="spellStart"/>
      <w:r w:rsidRPr="00594841">
        <w:rPr>
          <w:i/>
        </w:rPr>
        <w:t>Iatridis</w:t>
      </w:r>
      <w:proofErr w:type="spellEnd"/>
      <w:r w:rsidRPr="00594841">
        <w:rPr>
          <w:i/>
        </w:rPr>
        <w:t xml:space="preserve"> c. Grèce</w:t>
      </w:r>
      <w:r w:rsidRPr="00594841">
        <w:t xml:space="preserve"> [GC], n</w:t>
      </w:r>
      <w:r w:rsidRPr="00594841">
        <w:rPr>
          <w:vertAlign w:val="superscript"/>
        </w:rPr>
        <w:t>o</w:t>
      </w:r>
      <w:r w:rsidRPr="00594841">
        <w:t xml:space="preserve"> 31107/96, § 32, CEDH 1999</w:t>
      </w:r>
      <w:r w:rsidRPr="00594841">
        <w:noBreakHyphen/>
        <w:t>II). Les États contractants parties dans une affaire sont en principe libres de choisir les moyens dont ils useront pour se conformer à un arrêt constatant une violation. Ce pouvoir d</w:t>
      </w:r>
      <w:r w:rsidRPr="00594841" w:rsidR="00594841">
        <w:t>’</w:t>
      </w:r>
      <w:r w:rsidRPr="00594841">
        <w:t>appréciation quant aux modalités d</w:t>
      </w:r>
      <w:r w:rsidRPr="00594841" w:rsidR="00594841">
        <w:t>’</w:t>
      </w:r>
      <w:r w:rsidRPr="00594841">
        <w:t>exécution d</w:t>
      </w:r>
      <w:r w:rsidRPr="00594841" w:rsidR="00594841">
        <w:t>’</w:t>
      </w:r>
      <w:r w:rsidRPr="00594841">
        <w:t>un arrêt traduit la liberté de choix dont est assortie l</w:t>
      </w:r>
      <w:r w:rsidRPr="00594841" w:rsidR="00594841">
        <w:t>’</w:t>
      </w:r>
      <w:r w:rsidRPr="00594841">
        <w:t xml:space="preserve">obligation primordiale imposée par la Convention aux États contractants : assurer le respect des droits et libertés garantis (article 1). Si la nature de la violation permet une </w:t>
      </w:r>
      <w:proofErr w:type="spellStart"/>
      <w:r w:rsidRPr="00594841">
        <w:rPr>
          <w:i/>
        </w:rPr>
        <w:t>restitutio</w:t>
      </w:r>
      <w:proofErr w:type="spellEnd"/>
      <w:r w:rsidRPr="00594841">
        <w:rPr>
          <w:i/>
        </w:rPr>
        <w:t xml:space="preserve"> in </w:t>
      </w:r>
      <w:proofErr w:type="spellStart"/>
      <w:r w:rsidRPr="00594841">
        <w:rPr>
          <w:i/>
        </w:rPr>
        <w:t>integrum</w:t>
      </w:r>
      <w:proofErr w:type="spellEnd"/>
      <w:r w:rsidRPr="00594841">
        <w:t>, il incombe à l</w:t>
      </w:r>
      <w:r w:rsidRPr="00594841" w:rsidR="00594841">
        <w:t>’</w:t>
      </w:r>
      <w:r w:rsidRPr="00594841">
        <w:t>État défendeur de la réaliser, la Cour n</w:t>
      </w:r>
      <w:r w:rsidRPr="00594841" w:rsidR="00594841">
        <w:t>’</w:t>
      </w:r>
      <w:r w:rsidRPr="00594841">
        <w:t>ayant ni la compétence ni la possibilité pratique de l</w:t>
      </w:r>
      <w:r w:rsidRPr="00594841" w:rsidR="00594841">
        <w:t>’</w:t>
      </w:r>
      <w:r w:rsidRPr="00594841">
        <w:t>accomplir elle</w:t>
      </w:r>
      <w:r w:rsidRPr="00594841">
        <w:noBreakHyphen/>
        <w:t>même. Si, en revanche, le droit national ne permet pas ou ne permet qu</w:t>
      </w:r>
      <w:r w:rsidRPr="00594841" w:rsidR="00594841">
        <w:t>’</w:t>
      </w:r>
      <w:r w:rsidRPr="00594841">
        <w:t>imparfaitement d</w:t>
      </w:r>
      <w:r w:rsidRPr="00594841" w:rsidR="00594841">
        <w:t>’</w:t>
      </w:r>
      <w:r w:rsidRPr="00594841">
        <w:t>effacer les conséquences de la violation, l</w:t>
      </w:r>
      <w:r w:rsidRPr="00594841" w:rsidR="00594841">
        <w:t>’</w:t>
      </w:r>
      <w:r w:rsidRPr="00594841">
        <w:t>article 41 habilite la Cour à accorder, s</w:t>
      </w:r>
      <w:r w:rsidRPr="00594841" w:rsidR="00594841">
        <w:t>’</w:t>
      </w:r>
      <w:r w:rsidRPr="00594841">
        <w:t>il y a lieu, à la partie lésée la satisfaction qui lui semble appropriée (</w:t>
      </w:r>
      <w:proofErr w:type="spellStart"/>
      <w:r w:rsidRPr="00594841">
        <w:rPr>
          <w:i/>
        </w:rPr>
        <w:t>Brumărescu</w:t>
      </w:r>
      <w:proofErr w:type="spellEnd"/>
      <w:r w:rsidRPr="00594841">
        <w:rPr>
          <w:i/>
        </w:rPr>
        <w:t xml:space="preserve"> c. Roumanie</w:t>
      </w:r>
      <w:r w:rsidRPr="00594841">
        <w:t xml:space="preserve"> (satisfaction équitable) [GC], n</w:t>
      </w:r>
      <w:r w:rsidRPr="00594841">
        <w:rPr>
          <w:vertAlign w:val="superscript"/>
        </w:rPr>
        <w:t>o</w:t>
      </w:r>
      <w:r w:rsidRPr="00594841">
        <w:t xml:space="preserve"> 28342/95, § 20, CEDH 2000-I, et </w:t>
      </w:r>
      <w:proofErr w:type="spellStart"/>
      <w:r w:rsidRPr="00594841">
        <w:rPr>
          <w:i/>
        </w:rPr>
        <w:t>Guiso</w:t>
      </w:r>
      <w:r w:rsidRPr="00594841">
        <w:rPr>
          <w:i/>
        </w:rPr>
        <w:noBreakHyphen/>
        <w:t>Gallisay</w:t>
      </w:r>
      <w:proofErr w:type="spellEnd"/>
      <w:r w:rsidRPr="00594841">
        <w:rPr>
          <w:i/>
        </w:rPr>
        <w:t xml:space="preserve"> c. Italie</w:t>
      </w:r>
      <w:r w:rsidRPr="00594841">
        <w:t xml:space="preserve"> (satisfaction équitable) [GC], n</w:t>
      </w:r>
      <w:r w:rsidRPr="00594841">
        <w:rPr>
          <w:vertAlign w:val="superscript"/>
        </w:rPr>
        <w:t>o</w:t>
      </w:r>
      <w:r w:rsidRPr="00594841">
        <w:t xml:space="preserve"> 58858/00, § 90, 22 décembre 2009).</w:t>
      </w:r>
    </w:p>
    <w:bookmarkStart w:name="OLE_LINK1" w:id="2"/>
    <w:bookmarkEnd w:id="2"/>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9</w:t>
      </w:r>
      <w:r w:rsidRPr="00594841">
        <w:fldChar w:fldCharType="end"/>
      </w:r>
      <w:r w:rsidRPr="00594841">
        <w:t>.  La Cour observe que les requérants ont présenté une demande au titre du dommage matériel, correspondant, selon eux, à la valeur marchande des biens objets du présent litige, et qu</w:t>
      </w:r>
      <w:r w:rsidRPr="00594841" w:rsidR="00594841">
        <w:t>’</w:t>
      </w:r>
      <w:r w:rsidRPr="00594841">
        <w:t>ils ont produit un rapport émanant d</w:t>
      </w:r>
      <w:r w:rsidRPr="00594841" w:rsidR="00594841">
        <w:t>’</w:t>
      </w:r>
      <w:r w:rsidRPr="00594841">
        <w:t>experts privés afin de justifier leur demande.</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10</w:t>
      </w:r>
      <w:r w:rsidRPr="00594841">
        <w:fldChar w:fldCharType="end"/>
      </w:r>
      <w:r w:rsidRPr="00594841">
        <w:t>.  La Cour estime qu</w:t>
      </w:r>
      <w:r w:rsidRPr="00594841" w:rsidR="00594841">
        <w:t>’</w:t>
      </w:r>
      <w:r w:rsidRPr="00594841">
        <w:t>elle ne dispose pas d</w:t>
      </w:r>
      <w:r w:rsidRPr="00594841" w:rsidR="00594841">
        <w:t>’</w:t>
      </w:r>
      <w:r w:rsidRPr="00594841">
        <w:t>éléments suffisants pour déterminer de manière objective la perte pécuniaire des requérants.</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11</w:t>
      </w:r>
      <w:r w:rsidRPr="00594841">
        <w:fldChar w:fldCharType="end"/>
      </w:r>
      <w:r w:rsidRPr="00594841">
        <w:t>.  Elle note que le Gouvernement vient de porter à sa connaissance que, le 8 mars 2019, l</w:t>
      </w:r>
      <w:r w:rsidRPr="00594841" w:rsidR="00594841">
        <w:t>’</w:t>
      </w:r>
      <w:r w:rsidRPr="00594841">
        <w:t>ordonnance présidentielle n</w:t>
      </w:r>
      <w:r w:rsidRPr="00594841">
        <w:rPr>
          <w:vertAlign w:val="superscript"/>
        </w:rPr>
        <w:t>o</w:t>
      </w:r>
      <w:r w:rsidRPr="00594841">
        <w:t xml:space="preserve"> 809 est entrée en vigueur. Cette disposition élargit la compétence de la commission d</w:t>
      </w:r>
      <w:r w:rsidRPr="00594841" w:rsidR="00594841">
        <w:t>’</w:t>
      </w:r>
      <w:r w:rsidRPr="00594841">
        <w:t>indemnisation créée en janvier 2013 et énonce les principes et la procédure à suivre relativement à l</w:t>
      </w:r>
      <w:r w:rsidRPr="00594841" w:rsidR="00594841">
        <w:t>’</w:t>
      </w:r>
      <w:r w:rsidRPr="00594841">
        <w:t>indemnisation dans les affaires où la Cour a conclu à la violation de l</w:t>
      </w:r>
      <w:r w:rsidRPr="00594841" w:rsidR="00594841">
        <w:t>’</w:t>
      </w:r>
      <w:r w:rsidRPr="00594841">
        <w:t>article 1 du Protocole n</w:t>
      </w:r>
      <w:r w:rsidRPr="00594841">
        <w:rPr>
          <w:vertAlign w:val="superscript"/>
        </w:rPr>
        <w:t>o</w:t>
      </w:r>
      <w:r w:rsidRPr="00594841">
        <w:t xml:space="preserve"> 1 mais ne s</w:t>
      </w:r>
      <w:r w:rsidRPr="00594841" w:rsidR="00594841">
        <w:t>’</w:t>
      </w:r>
      <w:r w:rsidRPr="00594841">
        <w:t>est pas prononcée sur les demandes de dommages au titre de l</w:t>
      </w:r>
      <w:r w:rsidRPr="00594841" w:rsidR="00594841">
        <w:t>’</w:t>
      </w:r>
      <w:r w:rsidRPr="00594841">
        <w:t>article 41 de la Convention ou a décidé de réserver la question de l</w:t>
      </w:r>
      <w:r w:rsidRPr="00594841" w:rsidR="00594841">
        <w:t>’</w:t>
      </w:r>
      <w:r w:rsidRPr="00594841">
        <w:t>application de cet article. La Cour observe que la présente espèce rentre dans la deuxième catégorie d</w:t>
      </w:r>
      <w:r w:rsidRPr="00594841" w:rsidR="00594841">
        <w:t>’</w:t>
      </w:r>
      <w:r w:rsidRPr="00594841">
        <w:t>affaires, à savoir celles dans lesquelles elle a réservé la question de l</w:t>
      </w:r>
      <w:r w:rsidRPr="00594841" w:rsidR="00594841">
        <w:t>’</w:t>
      </w:r>
      <w:r w:rsidRPr="00594841">
        <w:t>application de l</w:t>
      </w:r>
      <w:r w:rsidRPr="00594841" w:rsidR="00594841">
        <w:t>’</w:t>
      </w:r>
      <w:r w:rsidRPr="00594841">
        <w:t>article 41 de la Convention.</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12</w:t>
      </w:r>
      <w:r w:rsidRPr="00594841">
        <w:fldChar w:fldCharType="end"/>
      </w:r>
      <w:r w:rsidRPr="00594841">
        <w:t>.  Par ailleurs, dans les affaires</w:t>
      </w:r>
      <w:r w:rsidRPr="00594841">
        <w:rPr>
          <w:i/>
        </w:rPr>
        <w:t xml:space="preserve"> </w:t>
      </w:r>
      <w:proofErr w:type="spellStart"/>
      <w:r w:rsidRPr="00594841">
        <w:rPr>
          <w:i/>
        </w:rPr>
        <w:t>Turgut</w:t>
      </w:r>
      <w:proofErr w:type="spellEnd"/>
      <w:r w:rsidRPr="00594841">
        <w:rPr>
          <w:i/>
        </w:rPr>
        <w:t xml:space="preserve"> et autres c. Turquie </w:t>
      </w:r>
      <w:r w:rsidRPr="00594841">
        <w:t>((déc.), n</w:t>
      </w:r>
      <w:r w:rsidRPr="00594841">
        <w:rPr>
          <w:vertAlign w:val="superscript"/>
        </w:rPr>
        <w:t>o</w:t>
      </w:r>
      <w:r w:rsidRPr="00594841">
        <w:t xml:space="preserve"> 4860/09, 26 mars 2013) et </w:t>
      </w:r>
      <w:proofErr w:type="spellStart"/>
      <w:r w:rsidRPr="00594841">
        <w:rPr>
          <w:i/>
        </w:rPr>
        <w:t>Demiroğlu</w:t>
      </w:r>
      <w:proofErr w:type="spellEnd"/>
      <w:r w:rsidRPr="00594841">
        <w:rPr>
          <w:i/>
        </w:rPr>
        <w:t xml:space="preserve"> c. Turquie</w:t>
      </w:r>
      <w:r w:rsidRPr="00594841">
        <w:t xml:space="preserve"> ((déc.), n</w:t>
      </w:r>
      <w:r w:rsidRPr="00594841">
        <w:rPr>
          <w:vertAlign w:val="superscript"/>
        </w:rPr>
        <w:t>o</w:t>
      </w:r>
      <w:r w:rsidRPr="00594841">
        <w:t> 56125/10, 4 juin 2013), la Cour a procédé à un examen détaillé du fonctionnement de la commission d</w:t>
      </w:r>
      <w:r w:rsidRPr="00594841" w:rsidR="00594841">
        <w:t>’</w:t>
      </w:r>
      <w:r w:rsidRPr="00594841">
        <w:t>indemnisation. Elle a estimé que les requérants devaient au préalable s</w:t>
      </w:r>
      <w:r w:rsidRPr="00594841" w:rsidR="00594841">
        <w:t>’</w:t>
      </w:r>
      <w:r w:rsidRPr="00594841">
        <w:t xml:space="preserve">adresser à celle-ci dans la mesure où elle offrait un nouveau recours interne accessible et susceptible de donner réparation à leurs griefs (voir aussi </w:t>
      </w:r>
      <w:proofErr w:type="spellStart"/>
      <w:r w:rsidRPr="00594841">
        <w:rPr>
          <w:i/>
        </w:rPr>
        <w:t>Yıldız</w:t>
      </w:r>
      <w:proofErr w:type="spellEnd"/>
      <w:r w:rsidRPr="00594841">
        <w:rPr>
          <w:i/>
        </w:rPr>
        <w:t xml:space="preserve"> et </w:t>
      </w:r>
      <w:proofErr w:type="spellStart"/>
      <w:r w:rsidRPr="00594841">
        <w:rPr>
          <w:i/>
        </w:rPr>
        <w:t>Yanak</w:t>
      </w:r>
      <w:proofErr w:type="spellEnd"/>
      <w:r w:rsidRPr="00594841">
        <w:rPr>
          <w:i/>
        </w:rPr>
        <w:t xml:space="preserve"> c. Turquie</w:t>
      </w:r>
      <w:r w:rsidRPr="00594841">
        <w:t xml:space="preserve"> (déc.), n</w:t>
      </w:r>
      <w:r w:rsidRPr="00594841">
        <w:rPr>
          <w:vertAlign w:val="superscript"/>
        </w:rPr>
        <w:t>o</w:t>
      </w:r>
      <w:r w:rsidRPr="00594841">
        <w:t xml:space="preserve"> 44013/07, 27 mai 2014, </w:t>
      </w:r>
      <w:proofErr w:type="spellStart"/>
      <w:r w:rsidRPr="00594841">
        <w:rPr>
          <w:i/>
        </w:rPr>
        <w:t>Bozkurt</w:t>
      </w:r>
      <w:proofErr w:type="spellEnd"/>
      <w:r w:rsidRPr="00594841">
        <w:rPr>
          <w:i/>
        </w:rPr>
        <w:t xml:space="preserve"> c. Turquie</w:t>
      </w:r>
      <w:r w:rsidRPr="00594841">
        <w:t xml:space="preserve"> (déc.), n</w:t>
      </w:r>
      <w:r w:rsidRPr="00594841">
        <w:rPr>
          <w:vertAlign w:val="superscript"/>
        </w:rPr>
        <w:t xml:space="preserve">o </w:t>
      </w:r>
      <w:r w:rsidRPr="00594841">
        <w:t xml:space="preserve">38674/07, 10 mars 2015, </w:t>
      </w:r>
      <w:proofErr w:type="spellStart"/>
      <w:r w:rsidRPr="00594841">
        <w:rPr>
          <w:i/>
        </w:rPr>
        <w:t>Çelik</w:t>
      </w:r>
      <w:proofErr w:type="spellEnd"/>
      <w:r w:rsidRPr="00594841">
        <w:rPr>
          <w:i/>
        </w:rPr>
        <w:t xml:space="preserve"> c. Turquie</w:t>
      </w:r>
      <w:r w:rsidRPr="00594841">
        <w:t xml:space="preserve"> (déc.), n</w:t>
      </w:r>
      <w:r w:rsidRPr="00594841">
        <w:rPr>
          <w:vertAlign w:val="superscript"/>
        </w:rPr>
        <w:t>o</w:t>
      </w:r>
      <w:r w:rsidRPr="00594841">
        <w:t xml:space="preserve"> 23772/13, 16 juin 2015, et </w:t>
      </w:r>
      <w:proofErr w:type="spellStart"/>
      <w:r w:rsidRPr="00594841">
        <w:rPr>
          <w:i/>
        </w:rPr>
        <w:t>Özbil</w:t>
      </w:r>
      <w:proofErr w:type="spellEnd"/>
      <w:r w:rsidRPr="00594841">
        <w:rPr>
          <w:i/>
        </w:rPr>
        <w:t xml:space="preserve"> c. Turquie</w:t>
      </w:r>
      <w:r w:rsidRPr="00594841">
        <w:t xml:space="preserve"> (déc.), n</w:t>
      </w:r>
      <w:r w:rsidRPr="00594841">
        <w:rPr>
          <w:vertAlign w:val="superscript"/>
        </w:rPr>
        <w:t>o</w:t>
      </w:r>
      <w:r w:rsidRPr="00594841">
        <w:t> 45601/09, 29 septembre 2015). La Cour observe également que la commission d</w:t>
      </w:r>
      <w:r w:rsidRPr="00594841" w:rsidR="00594841">
        <w:t>’</w:t>
      </w:r>
      <w:r w:rsidRPr="00594841">
        <w:t>indemnisation est compétente pour indemniser tous les individus conformément à sa pratique (</w:t>
      </w:r>
      <w:proofErr w:type="spellStart"/>
      <w:r w:rsidRPr="00594841">
        <w:rPr>
          <w:i/>
        </w:rPr>
        <w:t>Turgut</w:t>
      </w:r>
      <w:proofErr w:type="spellEnd"/>
      <w:r w:rsidRPr="00594841">
        <w:rPr>
          <w:i/>
        </w:rPr>
        <w:t xml:space="preserve"> et autres</w:t>
      </w:r>
      <w:r w:rsidRPr="00594841">
        <w:t xml:space="preserve"> et </w:t>
      </w:r>
      <w:proofErr w:type="spellStart"/>
      <w:r w:rsidRPr="00594841">
        <w:rPr>
          <w:i/>
        </w:rPr>
        <w:t>Demiroğlu</w:t>
      </w:r>
      <w:proofErr w:type="spellEnd"/>
      <w:r w:rsidRPr="00594841">
        <w:t>, décisions précitées). Les indemnités accordées par cette instance sont versées par le ministère de la Justice dans les trois mois suivant la date à laquelle la décision est devenue définitive et sont exonérées de tout impôt ou charge. Par ailleurs, la décision de cette commission peut faire l</w:t>
      </w:r>
      <w:r w:rsidRPr="00594841" w:rsidR="00594841">
        <w:t>’</w:t>
      </w:r>
      <w:r w:rsidRPr="00594841">
        <w:t>objet d</w:t>
      </w:r>
      <w:r w:rsidRPr="00594841" w:rsidR="00594841">
        <w:t>’</w:t>
      </w:r>
      <w:r w:rsidRPr="00594841">
        <w:t>un recours devant les tribunaux administratifs, qui doivent statuer dans les trois mois. Les requérants peuvent également saisir la Cour constitutionnelle d</w:t>
      </w:r>
      <w:r w:rsidRPr="00594841" w:rsidR="00594841">
        <w:t>’</w:t>
      </w:r>
      <w:r w:rsidRPr="00594841">
        <w:t>une requête individuelle contre les décisions des tribunaux administratifs (</w:t>
      </w:r>
      <w:r w:rsidRPr="00594841">
        <w:rPr>
          <w:i/>
        </w:rPr>
        <w:t>Ahmet </w:t>
      </w:r>
      <w:proofErr w:type="spellStart"/>
      <w:r w:rsidRPr="00594841">
        <w:rPr>
          <w:i/>
        </w:rPr>
        <w:t>Erol</w:t>
      </w:r>
      <w:proofErr w:type="spellEnd"/>
      <w:r w:rsidRPr="00594841">
        <w:rPr>
          <w:i/>
        </w:rPr>
        <w:t xml:space="preserve"> c. Turquie</w:t>
      </w:r>
      <w:r w:rsidRPr="00594841">
        <w:t xml:space="preserve"> (déc.), n</w:t>
      </w:r>
      <w:r w:rsidRPr="00594841">
        <w:rPr>
          <w:vertAlign w:val="superscript"/>
        </w:rPr>
        <w:t>o</w:t>
      </w:r>
      <w:r w:rsidRPr="00594841">
        <w:t xml:space="preserve"> 73290/13, 6 mai 2014, et </w:t>
      </w:r>
      <w:proofErr w:type="spellStart"/>
      <w:r w:rsidRPr="00594841">
        <w:rPr>
          <w:i/>
        </w:rPr>
        <w:t>Sayan</w:t>
      </w:r>
      <w:proofErr w:type="spellEnd"/>
      <w:r w:rsidRPr="00594841">
        <w:rPr>
          <w:i/>
        </w:rPr>
        <w:t xml:space="preserve"> c. Turquie</w:t>
      </w:r>
      <w:r w:rsidRPr="00594841">
        <w:t> (déc.), n</w:t>
      </w:r>
      <w:r w:rsidRPr="00594841">
        <w:rPr>
          <w:vertAlign w:val="superscript"/>
        </w:rPr>
        <w:t>o</w:t>
      </w:r>
      <w:r w:rsidRPr="00594841">
        <w:t> 49460/11, § 19, 14 juin 2016).</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13</w:t>
      </w:r>
      <w:r w:rsidRPr="00594841">
        <w:fldChar w:fldCharType="end"/>
      </w:r>
      <w:r w:rsidRPr="00594841">
        <w:t>.  La Cour prend note de cette initiative du Gouvernement turc et observe que ce développement renforce le caractère subsidiaire du mécanisme de protection des droits de l</w:t>
      </w:r>
      <w:r w:rsidRPr="00594841" w:rsidR="00594841">
        <w:t>’</w:t>
      </w:r>
      <w:r w:rsidRPr="00594841">
        <w:t>homme instauré par la Convention et facilite pour la Cour et le Comité des Ministres l</w:t>
      </w:r>
      <w:r w:rsidRPr="00594841" w:rsidR="00594841">
        <w:t>’</w:t>
      </w:r>
      <w:r w:rsidRPr="00594841">
        <w:t>accomplissement des tâches que leur confient respectivement l</w:t>
      </w:r>
      <w:r w:rsidRPr="00594841" w:rsidR="00594841">
        <w:t>’</w:t>
      </w:r>
      <w:r w:rsidRPr="00594841">
        <w:t>article 41 et l</w:t>
      </w:r>
      <w:r w:rsidRPr="00594841" w:rsidR="00594841">
        <w:t>’</w:t>
      </w:r>
      <w:r w:rsidRPr="00594841">
        <w:t>article 46 de la Convention (</w:t>
      </w:r>
      <w:proofErr w:type="spellStart"/>
      <w:r w:rsidRPr="00594841">
        <w:rPr>
          <w:rFonts w:eastAsiaTheme="majorEastAsia"/>
          <w:i/>
        </w:rPr>
        <w:t>Broniowski</w:t>
      </w:r>
      <w:proofErr w:type="spellEnd"/>
      <w:r w:rsidRPr="00594841">
        <w:rPr>
          <w:rFonts w:eastAsiaTheme="majorEastAsia"/>
          <w:i/>
        </w:rPr>
        <w:t xml:space="preserve"> c. Pologne</w:t>
      </w:r>
      <w:r w:rsidRPr="00594841">
        <w:rPr>
          <w:rFonts w:eastAsiaTheme="majorEastAsia"/>
        </w:rPr>
        <w:t xml:space="preserve"> </w:t>
      </w:r>
      <w:r w:rsidRPr="00594841">
        <w:t>(règlement amiable) [GC], n</w:t>
      </w:r>
      <w:r w:rsidRPr="00594841">
        <w:rPr>
          <w:rFonts w:eastAsiaTheme="majorEastAsia"/>
          <w:vertAlign w:val="superscript"/>
        </w:rPr>
        <w:t>o</w:t>
      </w:r>
      <w:r w:rsidRPr="00594841">
        <w:t> 31443/96, § 36, CEDH 2005</w:t>
      </w:r>
      <w:r w:rsidRPr="00594841">
        <w:noBreakHyphen/>
        <w:t>IX).</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14</w:t>
      </w:r>
      <w:r w:rsidRPr="00594841">
        <w:fldChar w:fldCharType="end"/>
      </w:r>
      <w:r w:rsidRPr="00594841">
        <w:t>.  Dans ces conditions, la Cour estime qu</w:t>
      </w:r>
      <w:r w:rsidRPr="00594841" w:rsidR="00594841">
        <w:t>’</w:t>
      </w:r>
      <w:r w:rsidRPr="00594841">
        <w:t>un recours devant la commission d</w:t>
      </w:r>
      <w:r w:rsidRPr="00594841" w:rsidR="00594841">
        <w:t>’</w:t>
      </w:r>
      <w:r w:rsidRPr="00594841">
        <w:t>indemnisation dans un délai d</w:t>
      </w:r>
      <w:r w:rsidRPr="00594841" w:rsidR="00594841">
        <w:t>’</w:t>
      </w:r>
      <w:r w:rsidRPr="00594841">
        <w:t>un mois à compter de la date de la notification de son arrêt final est susceptible de donner lieu à l</w:t>
      </w:r>
      <w:r w:rsidRPr="00594841" w:rsidR="00594841">
        <w:t>’</w:t>
      </w:r>
      <w:r w:rsidRPr="00594841">
        <w:t>indemnisation par l</w:t>
      </w:r>
      <w:r w:rsidRPr="00594841" w:rsidR="00594841">
        <w:t>’</w:t>
      </w:r>
      <w:r w:rsidRPr="00594841">
        <w:t>administration et que ce recours représente un moyen approprié de redresser la violation constatée au regard de l</w:t>
      </w:r>
      <w:r w:rsidRPr="00594841" w:rsidR="00594841">
        <w:t>’</w:t>
      </w:r>
      <w:r w:rsidRPr="00594841">
        <w:t>article 1 du Protocole n</w:t>
      </w:r>
      <w:r w:rsidRPr="00594841">
        <w:rPr>
          <w:rFonts w:eastAsiaTheme="majorEastAsia"/>
          <w:vertAlign w:val="superscript"/>
        </w:rPr>
        <w:t>o</w:t>
      </w:r>
      <w:r w:rsidRPr="00594841">
        <w:t xml:space="preserve"> 1 (voir, </w:t>
      </w:r>
      <w:r w:rsidRPr="00594841">
        <w:rPr>
          <w:rFonts w:eastAsiaTheme="majorEastAsia"/>
          <w:i/>
        </w:rPr>
        <w:t>mutatis mutandis</w:t>
      </w:r>
      <w:r w:rsidRPr="00594841">
        <w:t xml:space="preserve">, </w:t>
      </w:r>
      <w:proofErr w:type="spellStart"/>
      <w:r w:rsidRPr="00594841">
        <w:rPr>
          <w:rFonts w:eastAsiaTheme="majorEastAsia"/>
          <w:i/>
        </w:rPr>
        <w:t>Gençel</w:t>
      </w:r>
      <w:proofErr w:type="spellEnd"/>
      <w:r w:rsidRPr="00594841">
        <w:rPr>
          <w:rFonts w:eastAsiaTheme="majorEastAsia"/>
          <w:i/>
        </w:rPr>
        <w:t xml:space="preserve"> c. Turquie</w:t>
      </w:r>
      <w:r w:rsidRPr="00594841">
        <w:t>, n</w:t>
      </w:r>
      <w:r w:rsidRPr="00594841">
        <w:rPr>
          <w:rFonts w:eastAsiaTheme="majorEastAsia"/>
          <w:vertAlign w:val="superscript"/>
        </w:rPr>
        <w:t>o</w:t>
      </w:r>
      <w:r w:rsidRPr="00594841" w:rsidR="00594841">
        <w:t> 53431/99, § 27, 23 </w:t>
      </w:r>
      <w:r w:rsidRPr="00594841">
        <w:t xml:space="preserve">octobre 2003 et, récemment, </w:t>
      </w:r>
      <w:r w:rsidRPr="00594841">
        <w:rPr>
          <w:rFonts w:eastAsiaTheme="majorEastAsia"/>
          <w:i/>
        </w:rPr>
        <w:t>Moreira Ferreira c.</w:t>
      </w:r>
      <w:r w:rsidRPr="00594841" w:rsidR="00316A39">
        <w:rPr>
          <w:rFonts w:eastAsiaTheme="majorEastAsia"/>
          <w:i/>
        </w:rPr>
        <w:t> </w:t>
      </w:r>
      <w:r w:rsidRPr="00594841">
        <w:rPr>
          <w:rFonts w:eastAsiaTheme="majorEastAsia"/>
          <w:i/>
        </w:rPr>
        <w:t>Portugal</w:t>
      </w:r>
      <w:r w:rsidRPr="00594841">
        <w:rPr>
          <w:i/>
        </w:rPr>
        <w:t xml:space="preserve"> (n</w:t>
      </w:r>
      <w:r w:rsidRPr="00594841">
        <w:rPr>
          <w:i/>
          <w:vertAlign w:val="superscript"/>
        </w:rPr>
        <w:t>o</w:t>
      </w:r>
      <w:r w:rsidRPr="00594841">
        <w:rPr>
          <w:i/>
        </w:rPr>
        <w:t> 2)</w:t>
      </w:r>
      <w:r w:rsidRPr="00594841" w:rsidR="00316A39">
        <w:t> </w:t>
      </w:r>
      <w:r w:rsidRPr="00594841">
        <w:t>[GC], n</w:t>
      </w:r>
      <w:r w:rsidRPr="00594841">
        <w:rPr>
          <w:rFonts w:eastAsiaTheme="majorEastAsia"/>
          <w:vertAlign w:val="superscript"/>
        </w:rPr>
        <w:t>o</w:t>
      </w:r>
      <w:r w:rsidRPr="00594841" w:rsidR="00594841">
        <w:t> </w:t>
      </w:r>
      <w:r w:rsidRPr="00594841">
        <w:t xml:space="preserve">19867/12, §§ 48-50, 11 juillet 2017 ; voir aussi, </w:t>
      </w:r>
      <w:r w:rsidRPr="00594841">
        <w:rPr>
          <w:rFonts w:eastAsiaTheme="majorEastAsia"/>
          <w:i/>
        </w:rPr>
        <w:t>mutatis mutandis</w:t>
      </w:r>
      <w:r w:rsidRPr="00594841">
        <w:t xml:space="preserve">, </w:t>
      </w:r>
      <w:proofErr w:type="spellStart"/>
      <w:r w:rsidRPr="00594841">
        <w:rPr>
          <w:rFonts w:eastAsiaTheme="majorEastAsia"/>
          <w:i/>
        </w:rPr>
        <w:t>Gümrükçüler</w:t>
      </w:r>
      <w:proofErr w:type="spellEnd"/>
      <w:r w:rsidRPr="00594841">
        <w:rPr>
          <w:rFonts w:eastAsiaTheme="majorEastAsia"/>
          <w:i/>
        </w:rPr>
        <w:t xml:space="preserve"> et autres c. Turquie</w:t>
      </w:r>
      <w:r w:rsidRPr="00594841">
        <w:rPr>
          <w:rFonts w:eastAsiaTheme="majorEastAsia"/>
        </w:rPr>
        <w:t xml:space="preserve"> </w:t>
      </w:r>
      <w:r w:rsidRPr="00594841">
        <w:t>(satisfaction équitable), n</w:t>
      </w:r>
      <w:r w:rsidRPr="00594841">
        <w:rPr>
          <w:rFonts w:eastAsiaTheme="majorEastAsia"/>
          <w:vertAlign w:val="superscript"/>
        </w:rPr>
        <w:t>o</w:t>
      </w:r>
      <w:r w:rsidRPr="00594841" w:rsidR="00316A39">
        <w:t> </w:t>
      </w:r>
      <w:r w:rsidRPr="00594841">
        <w:t xml:space="preserve">9580/03, § 34, 7 février 2017, et </w:t>
      </w:r>
      <w:proofErr w:type="spellStart"/>
      <w:r w:rsidRPr="00594841">
        <w:rPr>
          <w:rFonts w:eastAsiaTheme="majorEastAsia"/>
          <w:i/>
        </w:rPr>
        <w:t>Keçecioğlu</w:t>
      </w:r>
      <w:proofErr w:type="spellEnd"/>
      <w:r w:rsidRPr="00594841">
        <w:rPr>
          <w:rFonts w:eastAsiaTheme="majorEastAsia"/>
          <w:i/>
        </w:rPr>
        <w:t xml:space="preserve"> et autres c. Turquie</w:t>
      </w:r>
      <w:r w:rsidRPr="00594841">
        <w:t xml:space="preserve"> (satisfaction équitable), n</w:t>
      </w:r>
      <w:r w:rsidRPr="00594841">
        <w:rPr>
          <w:rFonts w:eastAsiaTheme="majorEastAsia"/>
          <w:vertAlign w:val="superscript"/>
        </w:rPr>
        <w:t>o</w:t>
      </w:r>
      <w:r w:rsidRPr="00594841">
        <w:t> 37546/02, § 18, 20 juillet 2010).</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15</w:t>
      </w:r>
      <w:r w:rsidRPr="00594841">
        <w:fldChar w:fldCharType="end"/>
      </w:r>
      <w:r w:rsidRPr="00594841">
        <w:t>.  Après ce constat, la Cour rappelle qu</w:t>
      </w:r>
      <w:r w:rsidRPr="00594841" w:rsidR="00594841">
        <w:t>’</w:t>
      </w:r>
      <w:r w:rsidRPr="00594841">
        <w:t>elle peut rechercher si la requête se prête à l</w:t>
      </w:r>
      <w:r w:rsidRPr="00594841" w:rsidR="00594841">
        <w:t>’</w:t>
      </w:r>
      <w:r w:rsidRPr="00594841">
        <w:t>application de l</w:t>
      </w:r>
      <w:r w:rsidRPr="00594841" w:rsidR="00594841">
        <w:t>’</w:t>
      </w:r>
      <w:r w:rsidRPr="00594841">
        <w:t>article 37 de la Convention (</w:t>
      </w:r>
      <w:proofErr w:type="spellStart"/>
      <w:r w:rsidRPr="00594841">
        <w:rPr>
          <w:rFonts w:eastAsiaTheme="majorEastAsia"/>
          <w:i/>
        </w:rPr>
        <w:t>Gümrükçüler</w:t>
      </w:r>
      <w:proofErr w:type="spellEnd"/>
      <w:r w:rsidRPr="00594841">
        <w:rPr>
          <w:rFonts w:eastAsiaTheme="majorEastAsia"/>
          <w:i/>
        </w:rPr>
        <w:t xml:space="preserve"> et autres</w:t>
      </w:r>
      <w:r w:rsidRPr="00594841">
        <w:t>, précité, § 37). En effet, elle peut décider de rayer une requête du rôle dans le cadre de article 37 § 1 c) de la Convention lorsqu</w:t>
      </w:r>
      <w:r w:rsidRPr="00594841" w:rsidR="00594841">
        <w:t>’</w:t>
      </w:r>
      <w:r w:rsidRPr="00594841">
        <w:t>il est établi que la possibilité concrète d</w:t>
      </w:r>
      <w:r w:rsidRPr="00594841" w:rsidR="00594841">
        <w:t>’</w:t>
      </w:r>
      <w:r w:rsidRPr="00594841">
        <w:t>indemniser les requérants existe au niveau national où les organes adéquates, qui sont sur place et ont accès aux biens, registres et archives, ainsi qu</w:t>
      </w:r>
      <w:r w:rsidRPr="00594841" w:rsidR="00594841">
        <w:t>’</w:t>
      </w:r>
      <w:r w:rsidRPr="00594841">
        <w:t>à tous les autres moyens pratiques, sont certainement mieux placés pour statuer sur des questions complexes de propriété et d</w:t>
      </w:r>
      <w:r w:rsidRPr="00594841" w:rsidR="00594841">
        <w:t>’</w:t>
      </w:r>
      <w:r w:rsidRPr="00594841">
        <w:t>évaluation et pour fixer une indemnisation, comme dans le cas des requérants (</w:t>
      </w:r>
      <w:r w:rsidRPr="00594841">
        <w:rPr>
          <w:rFonts w:eastAsiaTheme="majorEastAsia"/>
          <w:i/>
        </w:rPr>
        <w:t>ibidem</w:t>
      </w:r>
      <w:r w:rsidRPr="00594841">
        <w:t>, § 29).</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16</w:t>
      </w:r>
      <w:r w:rsidRPr="00594841">
        <w:fldChar w:fldCharType="end"/>
      </w:r>
      <w:r w:rsidRPr="00594841">
        <w:t>.  La Cour estime que les instances nationales sont sans conteste les mieux placées pour évaluer le préjudice subi et disposent de moyens juridiques et techniques adéquats pour mettre un terme à une violation de la Convention et d</w:t>
      </w:r>
      <w:r w:rsidRPr="00594841" w:rsidR="00594841">
        <w:t>’</w:t>
      </w:r>
      <w:r w:rsidRPr="00594841">
        <w:t>en effacer les conséquences, notamment, comme dans le cas d</w:t>
      </w:r>
      <w:r w:rsidRPr="00594841" w:rsidR="00594841">
        <w:t>’</w:t>
      </w:r>
      <w:r w:rsidRPr="00594841">
        <w:t>espèce, lorsqu</w:t>
      </w:r>
      <w:r w:rsidRPr="00594841" w:rsidR="00594841">
        <w:t>’</w:t>
      </w:r>
      <w:r w:rsidRPr="00594841">
        <w:t>il s</w:t>
      </w:r>
      <w:r w:rsidRPr="00594841" w:rsidR="00594841">
        <w:t>’</w:t>
      </w:r>
      <w:r w:rsidRPr="00594841">
        <w:t>agit de déterminer la valeur des biens immobiliers dans un État contractant à une date donnée. En effet, pour la Cour, comme elle l</w:t>
      </w:r>
      <w:r w:rsidRPr="00594841" w:rsidR="00594841">
        <w:t>’</w:t>
      </w:r>
      <w:r w:rsidRPr="00594841">
        <w:t>a constaté dans de nombreuses affaires contre la Turquie relative au droit de propriété, une telle évaluation est presque objectivement impossible dans la mesure où elle est très étroitement liée aux contextes nationaux, voire locaux, et les experts et juridictions nationaux sont les mieux placés pour la réaliser (voir, à titre d</w:t>
      </w:r>
      <w:r w:rsidRPr="00594841" w:rsidR="00594841">
        <w:t>’</w:t>
      </w:r>
      <w:r w:rsidRPr="00594841">
        <w:t xml:space="preserve">exemple, </w:t>
      </w:r>
      <w:proofErr w:type="spellStart"/>
      <w:r w:rsidRPr="00594841">
        <w:rPr>
          <w:rFonts w:eastAsiaTheme="majorEastAsia"/>
          <w:i/>
        </w:rPr>
        <w:t>Keçecioğlu</w:t>
      </w:r>
      <w:proofErr w:type="spellEnd"/>
      <w:r w:rsidRPr="00594841">
        <w:rPr>
          <w:rFonts w:eastAsiaTheme="majorEastAsia"/>
          <w:i/>
        </w:rPr>
        <w:t xml:space="preserve"> et autres</w:t>
      </w:r>
      <w:r w:rsidRPr="00594841">
        <w:rPr>
          <w:rFonts w:eastAsiaTheme="majorEastAsia"/>
        </w:rPr>
        <w:t xml:space="preserve">, </w:t>
      </w:r>
      <w:r w:rsidRPr="00594841">
        <w:t>précité, § 18).</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17</w:t>
      </w:r>
      <w:r w:rsidRPr="00594841">
        <w:fldChar w:fldCharType="end"/>
      </w:r>
      <w:r w:rsidRPr="00594841">
        <w:t>.  À la lumière de ce qui précède, s</w:t>
      </w:r>
      <w:r w:rsidRPr="00594841" w:rsidR="00594841">
        <w:t>’</w:t>
      </w:r>
      <w:r w:rsidRPr="00594841">
        <w:t>agissant du dommage matériel allégué, la Cour conclut que le droit national permet dorénavant d</w:t>
      </w:r>
      <w:r w:rsidRPr="00594841" w:rsidR="00594841">
        <w:t>’</w:t>
      </w:r>
      <w:r w:rsidRPr="00594841">
        <w:t>effacer les conséquences de la violation constatée et estime dès lors qu</w:t>
      </w:r>
      <w:r w:rsidRPr="00594841" w:rsidR="00594841">
        <w:t>’</w:t>
      </w:r>
      <w:r w:rsidRPr="00594841">
        <w:t>il n</w:t>
      </w:r>
      <w:r w:rsidRPr="00594841" w:rsidR="00594841">
        <w:t>’</w:t>
      </w:r>
      <w:r w:rsidRPr="00594841">
        <w:t>est pas nécessaire de se prononcer sur la demande présentée par les requérants à ce titre. Elle estime par conséquent qu</w:t>
      </w:r>
      <w:r w:rsidRPr="00594841" w:rsidR="00594841">
        <w:t>’</w:t>
      </w:r>
      <w:r w:rsidRPr="00594841">
        <w:t>il ne se justifie plus de poursuivre l</w:t>
      </w:r>
      <w:r w:rsidRPr="00594841" w:rsidR="00594841">
        <w:t>’</w:t>
      </w:r>
      <w:r w:rsidRPr="00594841">
        <w:t>examen de la requête (article 37 § 1 c) de la Convention). Elle est en outre d</w:t>
      </w:r>
      <w:r w:rsidRPr="00594841" w:rsidR="00594841">
        <w:t>’</w:t>
      </w:r>
      <w:r w:rsidRPr="00594841">
        <w:t>avis qu</w:t>
      </w:r>
      <w:r w:rsidRPr="00594841" w:rsidR="00594841">
        <w:t>’</w:t>
      </w:r>
      <w:r w:rsidRPr="00594841">
        <w:t>il n</w:t>
      </w:r>
      <w:r w:rsidRPr="00594841" w:rsidR="00594841">
        <w:t>’</w:t>
      </w:r>
      <w:r w:rsidRPr="00594841">
        <w:t>existe en l</w:t>
      </w:r>
      <w:r w:rsidRPr="00594841" w:rsidR="00594841">
        <w:t>’</w:t>
      </w:r>
      <w:r w:rsidRPr="00594841">
        <w:t>espèce pas de circonstances spéciales touchant au respect des droits de l</w:t>
      </w:r>
      <w:r w:rsidRPr="00594841" w:rsidR="00594841">
        <w:t>’</w:t>
      </w:r>
      <w:r w:rsidRPr="00594841">
        <w:t>homme garantis par la Convention et ses Protocoles qui exigeraient la poursuite de l</w:t>
      </w:r>
      <w:r w:rsidRPr="00594841" w:rsidR="00594841">
        <w:t>’</w:t>
      </w:r>
      <w:r w:rsidRPr="00594841">
        <w:t xml:space="preserve">examen de la requête (article 37 § 1 </w:t>
      </w:r>
      <w:r w:rsidRPr="00594841">
        <w:rPr>
          <w:rFonts w:eastAsiaTheme="majorEastAsia"/>
          <w:i/>
        </w:rPr>
        <w:t>in fine</w:t>
      </w:r>
      <w:r w:rsidRPr="00594841">
        <w:t>). Par ailleurs, pour parvenir à cette conclusion, elle a tenu compte de sa compétence en vertu de l</w:t>
      </w:r>
      <w:r w:rsidRPr="00594841" w:rsidR="00594841">
        <w:t>’</w:t>
      </w:r>
      <w:r w:rsidRPr="00594841">
        <w:t>article 37 § 2 de la Convention pour réinscrire la requête lorsqu</w:t>
      </w:r>
      <w:r w:rsidRPr="00594841" w:rsidR="00594841">
        <w:t>’</w:t>
      </w:r>
      <w:r w:rsidRPr="00594841">
        <w:t>elle estime que les circonstances justifient une telle procédure (</w:t>
      </w:r>
      <w:proofErr w:type="spellStart"/>
      <w:r w:rsidRPr="00594841">
        <w:rPr>
          <w:rFonts w:eastAsiaTheme="majorEastAsia"/>
          <w:i/>
        </w:rPr>
        <w:t>Gümrükçüler</w:t>
      </w:r>
      <w:proofErr w:type="spellEnd"/>
      <w:r w:rsidRPr="00594841">
        <w:rPr>
          <w:rFonts w:eastAsiaTheme="majorEastAsia"/>
          <w:i/>
        </w:rPr>
        <w:t xml:space="preserve"> et autres</w:t>
      </w:r>
      <w:r w:rsidRPr="00594841">
        <w:t>, précité, § 42).</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18</w:t>
      </w:r>
      <w:r w:rsidRPr="00594841">
        <w:fldChar w:fldCharType="end"/>
      </w:r>
      <w:r w:rsidRPr="00594841">
        <w:t>.  En conclusion, il y a lieu de rayer du rôle la partie de l</w:t>
      </w:r>
      <w:r w:rsidRPr="00594841" w:rsidR="00594841">
        <w:t>’</w:t>
      </w:r>
      <w:r w:rsidRPr="00594841">
        <w:t>affaire relative à la question de l</w:t>
      </w:r>
      <w:r w:rsidRPr="00594841" w:rsidR="00594841">
        <w:t>’</w:t>
      </w:r>
      <w:r w:rsidRPr="00594841">
        <w:t>article 41 de la Convention, concernant la demande du dommage matériel en raison de la violation de l</w:t>
      </w:r>
      <w:r w:rsidRPr="00594841" w:rsidR="00594841">
        <w:t>’</w:t>
      </w:r>
      <w:r w:rsidRPr="00594841">
        <w:t>article 1 du Protocole n</w:t>
      </w:r>
      <w:r w:rsidRPr="00594841">
        <w:rPr>
          <w:rFonts w:eastAsiaTheme="majorEastAsia"/>
          <w:vertAlign w:val="superscript"/>
        </w:rPr>
        <w:t>o</w:t>
      </w:r>
      <w:r w:rsidRPr="00594841">
        <w:t> 1 à la Convention (voir dans le même sens,</w:t>
      </w:r>
      <w:r w:rsidRPr="00594841" w:rsidR="00B667DF">
        <w:t xml:space="preserve"> </w:t>
      </w:r>
      <w:proofErr w:type="spellStart"/>
      <w:r w:rsidRPr="00594841" w:rsidR="00B667DF">
        <w:rPr>
          <w:i/>
        </w:rPr>
        <w:t>Kaynar</w:t>
      </w:r>
      <w:proofErr w:type="spellEnd"/>
      <w:r w:rsidRPr="00594841" w:rsidR="00B667DF">
        <w:rPr>
          <w:i/>
        </w:rPr>
        <w:t xml:space="preserve"> et autres c. Turquie, </w:t>
      </w:r>
      <w:r w:rsidRPr="00594841" w:rsidR="00B667DF">
        <w:t>n</w:t>
      </w:r>
      <w:r w:rsidRPr="00594841" w:rsidR="00B667DF">
        <w:rPr>
          <w:vertAlign w:val="superscript"/>
        </w:rPr>
        <w:t>os</w:t>
      </w:r>
      <w:r w:rsidRPr="00594841" w:rsidR="00733FC2">
        <w:t xml:space="preserve"> 21104/06</w:t>
      </w:r>
      <w:r w:rsidRPr="00594841" w:rsidR="00B667DF">
        <w:t>, § 78, 7 mai 2019</w:t>
      </w:r>
      <w:r w:rsidRPr="00594841">
        <w:t>).</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19</w:t>
      </w:r>
      <w:r w:rsidRPr="00594841">
        <w:fldChar w:fldCharType="end"/>
      </w:r>
      <w:r w:rsidRPr="00594841">
        <w:t>.  La Cour observe aussi que, en vertu de l</w:t>
      </w:r>
      <w:r w:rsidRPr="00594841" w:rsidR="00594841">
        <w:t>’</w:t>
      </w:r>
      <w:r w:rsidRPr="00594841">
        <w:t>ordonnance présidentielle précitée, la commission d</w:t>
      </w:r>
      <w:r w:rsidRPr="00594841" w:rsidR="00594841">
        <w:t>’</w:t>
      </w:r>
      <w:r w:rsidRPr="00594841">
        <w:t>indemnisation est également compétente pour examiner les demandes de dommages pour préjudice moral et statuer sur celles-ci. Par conséquent, à la lumière de ses conclusions au regard du préjudice matériel, il y a lieu également de rayer du rôle la partie de l</w:t>
      </w:r>
      <w:r w:rsidRPr="00594841" w:rsidR="00594841">
        <w:t>’</w:t>
      </w:r>
      <w:r w:rsidRPr="00594841">
        <w:t>affaire relative à la question de l</w:t>
      </w:r>
      <w:r w:rsidRPr="00594841" w:rsidR="00594841">
        <w:t>’</w:t>
      </w:r>
      <w:r w:rsidRPr="00594841">
        <w:t>article 41 de la Convention, concernant la demande du dommage moral en raison de la violation de l</w:t>
      </w:r>
      <w:r w:rsidRPr="00594841" w:rsidR="00594841">
        <w:t>’</w:t>
      </w:r>
      <w:r w:rsidRPr="00594841">
        <w:t>article 1 du Protocole n</w:t>
      </w:r>
      <w:r w:rsidRPr="00594841">
        <w:rPr>
          <w:vertAlign w:val="superscript"/>
        </w:rPr>
        <w:t>o</w:t>
      </w:r>
      <w:r w:rsidRPr="00594841">
        <w:t xml:space="preserve"> 1 à la Convention.</w:t>
      </w:r>
    </w:p>
    <w:p w:rsidRPr="00594841" w:rsidR="003E3207" w:rsidP="00594841" w:rsidRDefault="003E3207">
      <w:pPr>
        <w:pStyle w:val="JuHA"/>
      </w:pPr>
      <w:r w:rsidRPr="00594841">
        <w:t>Frais et dépens</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20</w:t>
      </w:r>
      <w:r w:rsidRPr="00594841">
        <w:fldChar w:fldCharType="end"/>
      </w:r>
      <w:r w:rsidRPr="00594841">
        <w:t>.  Les requérants réclament 3 970 livres turques (environ 1 880 EUR) pour les frais et dépens engagés devant la Cour et les instances nationales. Il fournit des justificatifs relatifs à des frais d</w:t>
      </w:r>
      <w:r w:rsidRPr="00594841" w:rsidR="00594841">
        <w:t>’</w:t>
      </w:r>
      <w:r w:rsidRPr="00594841">
        <w:t>expertises et de traduction.</w:t>
      </w:r>
    </w:p>
    <w:p w:rsidRPr="00594841" w:rsidR="003E3207" w:rsidP="00594841" w:rsidRDefault="003E3207">
      <w:pPr>
        <w:pStyle w:val="JuPara"/>
      </w:pPr>
      <w:r w:rsidRPr="00594841">
        <w:rPr>
          <w:rFonts w:eastAsiaTheme="majorEastAsia"/>
        </w:rPr>
        <w:fldChar w:fldCharType="begin"/>
      </w:r>
      <w:r w:rsidRPr="00594841">
        <w:rPr>
          <w:rFonts w:eastAsiaTheme="majorEastAsia"/>
        </w:rPr>
        <w:instrText xml:space="preserve"> SEQ level0 \*arabic </w:instrText>
      </w:r>
      <w:r w:rsidRPr="00594841">
        <w:rPr>
          <w:rFonts w:eastAsiaTheme="majorEastAsia"/>
        </w:rPr>
        <w:fldChar w:fldCharType="separate"/>
      </w:r>
      <w:r w:rsidRPr="00594841" w:rsidR="00594841">
        <w:rPr>
          <w:rFonts w:eastAsiaTheme="majorEastAsia"/>
          <w:noProof/>
        </w:rPr>
        <w:t>21</w:t>
      </w:r>
      <w:r w:rsidRPr="00594841">
        <w:rPr>
          <w:rFonts w:eastAsiaTheme="majorEastAsia"/>
        </w:rPr>
        <w:fldChar w:fldCharType="end"/>
      </w:r>
      <w:r w:rsidRPr="00594841">
        <w:rPr>
          <w:rFonts w:eastAsiaTheme="majorEastAsia"/>
        </w:rPr>
        <w:t>.  Le Gouvernement conteste ces prétentions.</w:t>
      </w:r>
    </w:p>
    <w:p w:rsidRPr="00594841" w:rsidR="003E3207" w:rsidP="00594841" w:rsidRDefault="003E3207">
      <w:pPr>
        <w:pStyle w:val="JuPara"/>
      </w:pPr>
      <w:r w:rsidRPr="00594841">
        <w:rPr>
          <w:rFonts w:eastAsiaTheme="majorEastAsia"/>
        </w:rPr>
        <w:fldChar w:fldCharType="begin"/>
      </w:r>
      <w:r w:rsidRPr="00594841">
        <w:rPr>
          <w:rFonts w:eastAsiaTheme="majorEastAsia"/>
        </w:rPr>
        <w:instrText xml:space="preserve"> SEQ level0 \*arabic </w:instrText>
      </w:r>
      <w:r w:rsidRPr="00594841">
        <w:rPr>
          <w:rFonts w:eastAsiaTheme="majorEastAsia"/>
        </w:rPr>
        <w:fldChar w:fldCharType="separate"/>
      </w:r>
      <w:r w:rsidRPr="00594841" w:rsidR="00594841">
        <w:rPr>
          <w:rFonts w:eastAsiaTheme="majorEastAsia"/>
          <w:noProof/>
        </w:rPr>
        <w:t>22</w:t>
      </w:r>
      <w:r w:rsidRPr="00594841">
        <w:rPr>
          <w:rFonts w:eastAsiaTheme="majorEastAsia"/>
        </w:rPr>
        <w:fldChar w:fldCharType="end"/>
      </w:r>
      <w:r w:rsidRPr="00594841">
        <w:rPr>
          <w:rFonts w:eastAsiaTheme="majorEastAsia"/>
        </w:rPr>
        <w:t>.  En l</w:t>
      </w:r>
      <w:r w:rsidRPr="00594841" w:rsidR="00594841">
        <w:rPr>
          <w:rFonts w:eastAsiaTheme="majorEastAsia"/>
        </w:rPr>
        <w:t>’</w:t>
      </w:r>
      <w:r w:rsidRPr="00594841">
        <w:rPr>
          <w:rFonts w:eastAsiaTheme="majorEastAsia"/>
        </w:rPr>
        <w:t>espèce, eu égard aux documents dont elle dispose et à sa jurisprudence, la Cour estime raisonnable la somme demandée par les requérants pour frais et dépens et la leur accorde conjointement.</w:t>
      </w:r>
    </w:p>
    <w:p w:rsidRPr="00594841" w:rsidR="003E3207" w:rsidP="00594841" w:rsidRDefault="003E3207">
      <w:pPr>
        <w:pStyle w:val="JuHA"/>
      </w:pPr>
      <w:r w:rsidRPr="00594841">
        <w:t>Intérêts moratoires</w:t>
      </w:r>
    </w:p>
    <w:p w:rsidRPr="00594841" w:rsidR="003E3207" w:rsidP="00594841" w:rsidRDefault="003E3207">
      <w:pPr>
        <w:pStyle w:val="JuPara"/>
      </w:pPr>
      <w:r w:rsidRPr="00594841">
        <w:fldChar w:fldCharType="begin"/>
      </w:r>
      <w:r w:rsidRPr="00594841">
        <w:instrText xml:space="preserve"> SEQ level0 \*arabic </w:instrText>
      </w:r>
      <w:r w:rsidRPr="00594841">
        <w:fldChar w:fldCharType="separate"/>
      </w:r>
      <w:r w:rsidRPr="00594841" w:rsidR="00594841">
        <w:rPr>
          <w:noProof/>
        </w:rPr>
        <w:t>23</w:t>
      </w:r>
      <w:r w:rsidRPr="00594841">
        <w:fldChar w:fldCharType="end"/>
      </w:r>
      <w:r w:rsidRPr="00594841">
        <w:t>.  La Cour juge approprié de calquer le taux des intérêts moratoires sur le taux d</w:t>
      </w:r>
      <w:r w:rsidRPr="00594841" w:rsidR="00594841">
        <w:t>’</w:t>
      </w:r>
      <w:r w:rsidRPr="00594841">
        <w:t>intérêt de la facilité de prêt marginal de la Banque centrale européenne majoré de trois points de pourcentage.</w:t>
      </w:r>
    </w:p>
    <w:p w:rsidRPr="00594841" w:rsidR="003E3207" w:rsidP="00594841" w:rsidRDefault="003E3207">
      <w:pPr>
        <w:pStyle w:val="JuHHead"/>
      </w:pPr>
      <w:r w:rsidRPr="00594841">
        <w:t>PAR CES MOTIFS, LA COUR, À L</w:t>
      </w:r>
      <w:r w:rsidRPr="00594841" w:rsidR="00594841">
        <w:t>’</w:t>
      </w:r>
      <w:r w:rsidRPr="00594841" w:rsidR="00316A39">
        <w:t>UNANIMITÉ,</w:t>
      </w:r>
    </w:p>
    <w:p w:rsidRPr="00594841" w:rsidR="003E3207" w:rsidP="00594841" w:rsidRDefault="003E3207">
      <w:pPr>
        <w:pStyle w:val="JuList"/>
      </w:pPr>
      <w:r w:rsidRPr="00594841">
        <w:rPr>
          <w:i/>
        </w:rPr>
        <w:t>Décide</w:t>
      </w:r>
      <w:r w:rsidRPr="00594841">
        <w:t xml:space="preserve"> de rayer du rôle la partie de l</w:t>
      </w:r>
      <w:r w:rsidRPr="00594841" w:rsidR="00594841">
        <w:t>’</w:t>
      </w:r>
      <w:r w:rsidRPr="00594841">
        <w:t>affaire relative à la question de l</w:t>
      </w:r>
      <w:r w:rsidRPr="00594841" w:rsidR="00594841">
        <w:t>’</w:t>
      </w:r>
      <w:r w:rsidRPr="00594841">
        <w:t>article 41 de la Convention, concernant la demande du dommage matériel et moral;</w:t>
      </w:r>
    </w:p>
    <w:p w:rsidRPr="00594841" w:rsidR="003E3207" w:rsidP="00594841" w:rsidRDefault="003E3207">
      <w:pPr>
        <w:pStyle w:val="JuList"/>
        <w:rPr>
          <w:i/>
        </w:rPr>
      </w:pPr>
      <w:r w:rsidRPr="00594841">
        <w:rPr>
          <w:i/>
        </w:rPr>
        <w:t>Dit</w:t>
      </w:r>
      <w:r w:rsidRPr="00594841" w:rsidR="00316A39">
        <w:rPr>
          <w:i/>
        </w:rPr>
        <w:t>,</w:t>
      </w:r>
    </w:p>
    <w:p w:rsidRPr="00594841" w:rsidR="003E3207" w:rsidP="00594841" w:rsidRDefault="003E3207">
      <w:pPr>
        <w:pStyle w:val="JuLista"/>
      </w:pPr>
      <w:r w:rsidRPr="00594841">
        <w:t>que</w:t>
      </w:r>
      <w:r w:rsidRPr="00594841">
        <w:rPr>
          <w:rFonts w:eastAsiaTheme="majorEastAsia"/>
        </w:rPr>
        <w:t xml:space="preserve"> l</w:t>
      </w:r>
      <w:r w:rsidRPr="00594841" w:rsidR="00594841">
        <w:rPr>
          <w:rFonts w:eastAsiaTheme="majorEastAsia"/>
        </w:rPr>
        <w:t>’</w:t>
      </w:r>
      <w:r w:rsidRPr="00594841">
        <w:rPr>
          <w:rFonts w:eastAsiaTheme="majorEastAsia"/>
        </w:rPr>
        <w:t>État défendeur doit verser aux requérants conjointement, au titre des frais et dépens</w:t>
      </w:r>
      <w:r w:rsidRPr="00594841">
        <w:t>, dans les trois mois à compter du jour où l</w:t>
      </w:r>
      <w:r w:rsidRPr="00594841" w:rsidR="00594841">
        <w:t>’</w:t>
      </w:r>
      <w:r w:rsidRPr="00594841">
        <w:t>arrêt sera devenu définitif conformément à l</w:t>
      </w:r>
      <w:r w:rsidRPr="00594841" w:rsidR="00594841">
        <w:t>’</w:t>
      </w:r>
      <w:r w:rsidRPr="00594841">
        <w:t xml:space="preserve">article 44 § 2 de la Convention, </w:t>
      </w:r>
      <w:r w:rsidRPr="00594841">
        <w:rPr>
          <w:rFonts w:eastAsiaTheme="majorEastAsia"/>
        </w:rPr>
        <w:t xml:space="preserve">la somme de 1 880 EUR (mille huit cent quatre-vingt euros), </w:t>
      </w:r>
      <w:r w:rsidRPr="00594841">
        <w:t>à convertir dans la monnaie de l</w:t>
      </w:r>
      <w:r w:rsidRPr="00594841" w:rsidR="00594841">
        <w:t>’</w:t>
      </w:r>
      <w:r w:rsidRPr="00594841">
        <w:t>État défendeur ;</w:t>
      </w:r>
    </w:p>
    <w:p w:rsidRPr="00594841" w:rsidR="003E3207" w:rsidP="00594841" w:rsidRDefault="003E3207">
      <w:pPr>
        <w:pStyle w:val="JuLista"/>
      </w:pPr>
      <w:r w:rsidRPr="00594841">
        <w:t>qu</w:t>
      </w:r>
      <w:r w:rsidRPr="00594841" w:rsidR="00594841">
        <w:t>’</w:t>
      </w:r>
      <w:r w:rsidRPr="00594841">
        <w:t>à compter de l</w:t>
      </w:r>
      <w:r w:rsidRPr="00594841" w:rsidR="00594841">
        <w:t>’</w:t>
      </w:r>
      <w:r w:rsidRPr="00594841">
        <w:t>expiration dudit délai et jusqu</w:t>
      </w:r>
      <w:r w:rsidRPr="00594841" w:rsidR="00594841">
        <w:t>’</w:t>
      </w:r>
      <w:r w:rsidRPr="00594841">
        <w:t>au versement, ce montant sera à majorer d</w:t>
      </w:r>
      <w:r w:rsidRPr="00594841" w:rsidR="00594841">
        <w:t>’</w:t>
      </w:r>
      <w:r w:rsidRPr="00594841">
        <w:t>un intérêt simple à un taux égal à celui de la facilité de prêt marginal de la Banque centrale européenne applicable pendant cette période, augmenté de trois points de pourcentage ;</w:t>
      </w:r>
    </w:p>
    <w:p w:rsidRPr="00594841" w:rsidR="00876F03" w:rsidP="00594841" w:rsidRDefault="003E3207">
      <w:pPr>
        <w:pStyle w:val="JuList"/>
      </w:pPr>
      <w:r w:rsidRPr="00594841">
        <w:rPr>
          <w:i/>
        </w:rPr>
        <w:t>Rejette</w:t>
      </w:r>
      <w:r w:rsidRPr="00594841">
        <w:t>, la demande de satisfaction équitable pour le surplus.</w:t>
      </w:r>
    </w:p>
    <w:p w:rsidRPr="00594841" w:rsidR="00893F30" w:rsidP="00594841" w:rsidRDefault="00893F30">
      <w:pPr>
        <w:pStyle w:val="JuParaLast"/>
      </w:pPr>
      <w:r w:rsidRPr="00594841">
        <w:t xml:space="preserve">Fait en français, puis communiqué par écrit le </w:t>
      </w:r>
      <w:r w:rsidRPr="00594841" w:rsidR="003E3207">
        <w:t>29 octobre 2019</w:t>
      </w:r>
      <w:r w:rsidRPr="00594841">
        <w:t>, en application de l</w:t>
      </w:r>
      <w:r w:rsidRPr="00594841" w:rsidR="00594841">
        <w:t>’</w:t>
      </w:r>
      <w:r w:rsidRPr="00594841">
        <w:t>article 77 §§ 2 et 3 du règlement.</w:t>
      </w:r>
    </w:p>
    <w:p w:rsidRPr="00594841" w:rsidR="00876F03" w:rsidP="00594841" w:rsidRDefault="003E3207">
      <w:pPr>
        <w:pStyle w:val="JuSigned"/>
        <w:rPr>
          <w:szCs w:val="24"/>
        </w:rPr>
      </w:pPr>
      <w:r w:rsidRPr="00594841">
        <w:tab/>
        <w:t>Stanley Naismith</w:t>
      </w:r>
      <w:r w:rsidRPr="00594841" w:rsidR="004344E6">
        <w:tab/>
      </w:r>
      <w:r w:rsidRPr="00594841" w:rsidR="009F0232">
        <w:t>Robert Spano</w:t>
      </w:r>
      <w:r w:rsidRPr="00594841" w:rsidR="004344E6">
        <w:br/>
      </w:r>
      <w:r w:rsidRPr="00594841" w:rsidR="004344E6">
        <w:tab/>
      </w:r>
      <w:r w:rsidRPr="00594841">
        <w:t>Greffier</w:t>
      </w:r>
      <w:r w:rsidRPr="00594841" w:rsidR="004344E6">
        <w:tab/>
      </w:r>
      <w:r w:rsidRPr="00594841" w:rsidR="009F0232">
        <w:t>Président</w:t>
      </w:r>
    </w:p>
    <w:sectPr w:rsidRPr="00594841" w:rsidR="00876F03">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207" w:rsidRPr="00A75785" w:rsidRDefault="003E3207" w:rsidP="00516B59">
      <w:r w:rsidRPr="00A75785">
        <w:separator/>
      </w:r>
    </w:p>
  </w:endnote>
  <w:endnote w:type="continuationSeparator" w:id="0">
    <w:p w:rsidR="003E3207" w:rsidRPr="00A75785" w:rsidRDefault="003E3207" w:rsidP="00516B59">
      <w:r w:rsidRPr="00A757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207" w:rsidRPr="00150BFA" w:rsidRDefault="003E3207" w:rsidP="0020718E">
    <w:pPr>
      <w:jc w:val="center"/>
    </w:pPr>
    <w:r>
      <w:rPr>
        <w:noProof/>
        <w:lang w:val="en-US" w:eastAsia="ja-JP"/>
      </w:rPr>
      <w:drawing>
        <wp:inline distT="0" distB="0" distL="0" distR="0" wp14:anchorId="6D867559" wp14:editId="5A50D283">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22D5C" w:rsidRPr="00F27D13" w:rsidRDefault="00B838E4" w:rsidP="00F27D13">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D5C" w:rsidRPr="00D01935" w:rsidRDefault="00B838E4" w:rsidP="00C4198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207" w:rsidRPr="00A75785" w:rsidRDefault="003E3207" w:rsidP="00516B59">
      <w:r w:rsidRPr="00A75785">
        <w:separator/>
      </w:r>
    </w:p>
  </w:footnote>
  <w:footnote w:type="continuationSeparator" w:id="0">
    <w:p w:rsidR="003E3207" w:rsidRPr="00A75785" w:rsidRDefault="003E3207" w:rsidP="00516B59">
      <w:r w:rsidRPr="00A7578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207" w:rsidRPr="00A45145" w:rsidRDefault="003E3207" w:rsidP="00A45145">
    <w:pPr>
      <w:jc w:val="center"/>
    </w:pPr>
    <w:r>
      <w:rPr>
        <w:noProof/>
        <w:lang w:val="en-US" w:eastAsia="ja-JP"/>
      </w:rPr>
      <w:drawing>
        <wp:inline distT="0" distB="0" distL="0" distR="0" wp14:anchorId="0A03FA50" wp14:editId="55A67294">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22D5C" w:rsidRDefault="00B838E4" w:rsidP="009840A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9C7" w:rsidRDefault="003E3207" w:rsidP="009F0232">
    <w:pPr>
      <w:pStyle w:val="JuHeader"/>
      <w:jc w:val="center"/>
    </w:pPr>
    <w:r>
      <w:rPr>
        <w:rStyle w:val="PageNumber"/>
        <w:lang w:val="en-GB"/>
      </w:rPr>
      <w:fldChar w:fldCharType="begin"/>
    </w:r>
    <w:r w:rsidRPr="003E3207">
      <w:rPr>
        <w:rStyle w:val="PageNumber"/>
      </w:rPr>
      <w:instrText xml:space="preserve"> PAGE </w:instrText>
    </w:r>
    <w:r>
      <w:rPr>
        <w:rStyle w:val="PageNumber"/>
        <w:lang w:val="en-GB"/>
      </w:rPr>
      <w:fldChar w:fldCharType="separate"/>
    </w:r>
    <w:r w:rsidR="003A47E1">
      <w:rPr>
        <w:rStyle w:val="PageNumber"/>
        <w:noProof/>
      </w:rPr>
      <w:t>6</w:t>
    </w:r>
    <w:r>
      <w:rPr>
        <w:rStyle w:val="PageNumber"/>
        <w:lang w:val="en-GB"/>
      </w:rPr>
      <w:fldChar w:fldCharType="end"/>
    </w:r>
    <w:r w:rsidR="007971FF" w:rsidRPr="003E3207">
      <w:tab/>
    </w:r>
    <w:r w:rsidR="00A21624" w:rsidRPr="003E3207">
      <w:t>ARRÊT</w:t>
    </w:r>
    <w:r w:rsidR="00256F45" w:rsidRPr="003E3207">
      <w:t xml:space="preserve"> </w:t>
    </w:r>
    <w:r w:rsidR="009F0232">
      <w:t>DÜRRÜ MAZHAR ÇEVİK ET MÜNİRE ASUMAN ÇEVİ</w:t>
    </w:r>
    <w:r w:rsidRPr="003E3207">
      <w:t xml:space="preserve">K DAĞDELEN </w:t>
    </w:r>
  </w:p>
  <w:p w:rsidR="00F22D5C" w:rsidRPr="00F83589" w:rsidRDefault="003E3207" w:rsidP="009F0232">
    <w:pPr>
      <w:pStyle w:val="JuHeader"/>
      <w:jc w:val="center"/>
    </w:pPr>
    <w:r w:rsidRPr="003E3207">
      <w:t>c. TURQUIE</w:t>
    </w:r>
    <w:r w:rsidRPr="003E3207">
      <w:rPr>
        <w:noProof/>
      </w:rPr>
      <w:t xml:space="preserve"> (SATISFACTION ÉQUITABLE)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69C7" w:rsidRDefault="002369C7" w:rsidP="009F0232">
    <w:pPr>
      <w:pStyle w:val="JuHeader"/>
      <w:jc w:val="center"/>
    </w:pPr>
    <w:r>
      <w:tab/>
    </w:r>
    <w:r w:rsidR="00256F45" w:rsidRPr="003E3207">
      <w:t>ARRÊT</w:t>
    </w:r>
    <w:r w:rsidR="00162967" w:rsidRPr="003E3207">
      <w:t xml:space="preserve"> </w:t>
    </w:r>
    <w:r w:rsidR="009F0232">
      <w:t>DÜRRÜ MAZHAR ÇEVİK ET MÜNİRE ASUMAN ÇEVİ</w:t>
    </w:r>
    <w:r w:rsidR="003E3207" w:rsidRPr="003E3207">
      <w:t>K DAĞDELEN</w:t>
    </w:r>
    <w:r w:rsidRPr="007100AD">
      <w:tab/>
    </w:r>
    <w:r>
      <w:rPr>
        <w:rStyle w:val="PageNumber"/>
      </w:rPr>
      <w:fldChar w:fldCharType="begin"/>
    </w:r>
    <w:r>
      <w:rPr>
        <w:rStyle w:val="PageNumber"/>
      </w:rPr>
      <w:instrText xml:space="preserve"> PAGE </w:instrText>
    </w:r>
    <w:r>
      <w:rPr>
        <w:rStyle w:val="PageNumber"/>
      </w:rPr>
      <w:fldChar w:fldCharType="separate"/>
    </w:r>
    <w:r w:rsidR="003A47E1">
      <w:rPr>
        <w:rStyle w:val="PageNumber"/>
        <w:noProof/>
      </w:rPr>
      <w:t>1</w:t>
    </w:r>
    <w:r>
      <w:rPr>
        <w:rStyle w:val="PageNumber"/>
      </w:rPr>
      <w:fldChar w:fldCharType="end"/>
    </w:r>
  </w:p>
  <w:p w:rsidR="00F22D5C" w:rsidRPr="00F22D5C" w:rsidRDefault="003E3207" w:rsidP="009F0232">
    <w:pPr>
      <w:pStyle w:val="JuHeader"/>
      <w:jc w:val="center"/>
    </w:pPr>
    <w:r w:rsidRPr="003E3207">
      <w:t>c. TURQUIE</w:t>
    </w:r>
    <w:r w:rsidR="007971FF" w:rsidRPr="003E3207">
      <w:t xml:space="preserve"> </w:t>
    </w:r>
    <w:r w:rsidRPr="003E3207">
      <w:t>(SATISFACTION ÉQUITABLE)</w:t>
    </w:r>
    <w:r w:rsidR="002369C7" w:rsidRPr="00F22D5C">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etCode" w:val="Arrêt "/>
    <w:docVar w:name="NBEMMDOC" w:val="0"/>
  </w:docVars>
  <w:rsids>
    <w:rsidRoot w:val="003E3207"/>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80ECE"/>
    <w:rsid w:val="000925AD"/>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9D8"/>
    <w:rsid w:val="000F7851"/>
    <w:rsid w:val="00104E23"/>
    <w:rsid w:val="00111B0C"/>
    <w:rsid w:val="00117CD2"/>
    <w:rsid w:val="00120D6C"/>
    <w:rsid w:val="001257EC"/>
    <w:rsid w:val="00133D33"/>
    <w:rsid w:val="00134D64"/>
    <w:rsid w:val="00135A30"/>
    <w:rsid w:val="0013612C"/>
    <w:rsid w:val="00137FF6"/>
    <w:rsid w:val="00141650"/>
    <w:rsid w:val="00162967"/>
    <w:rsid w:val="00162A12"/>
    <w:rsid w:val="00166530"/>
    <w:rsid w:val="001832BD"/>
    <w:rsid w:val="001943B5"/>
    <w:rsid w:val="00194C5B"/>
    <w:rsid w:val="00195134"/>
    <w:rsid w:val="001A145B"/>
    <w:rsid w:val="001A674C"/>
    <w:rsid w:val="001B3B24"/>
    <w:rsid w:val="001C0F98"/>
    <w:rsid w:val="001C2A42"/>
    <w:rsid w:val="001D63ED"/>
    <w:rsid w:val="001D7348"/>
    <w:rsid w:val="001E035B"/>
    <w:rsid w:val="001E0961"/>
    <w:rsid w:val="001E3EAE"/>
    <w:rsid w:val="001E6F32"/>
    <w:rsid w:val="001F2145"/>
    <w:rsid w:val="001F39F4"/>
    <w:rsid w:val="001F6262"/>
    <w:rsid w:val="001F67B0"/>
    <w:rsid w:val="001F7B3D"/>
    <w:rsid w:val="00205F9F"/>
    <w:rsid w:val="00210338"/>
    <w:rsid w:val="002115FC"/>
    <w:rsid w:val="00212184"/>
    <w:rsid w:val="0021423C"/>
    <w:rsid w:val="00230D00"/>
    <w:rsid w:val="00231364"/>
    <w:rsid w:val="00231DF7"/>
    <w:rsid w:val="00231FD1"/>
    <w:rsid w:val="002339E0"/>
    <w:rsid w:val="00233CF8"/>
    <w:rsid w:val="0023575D"/>
    <w:rsid w:val="002369C7"/>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C0E27"/>
    <w:rsid w:val="002C3040"/>
    <w:rsid w:val="002C6AC5"/>
    <w:rsid w:val="002D022D"/>
    <w:rsid w:val="002D24BB"/>
    <w:rsid w:val="002F29AA"/>
    <w:rsid w:val="002F2AF7"/>
    <w:rsid w:val="002F7E1C"/>
    <w:rsid w:val="00301A75"/>
    <w:rsid w:val="00302F70"/>
    <w:rsid w:val="0030336F"/>
    <w:rsid w:val="0030375E"/>
    <w:rsid w:val="0030660C"/>
    <w:rsid w:val="00312A30"/>
    <w:rsid w:val="00316323"/>
    <w:rsid w:val="00316A39"/>
    <w:rsid w:val="00320F72"/>
    <w:rsid w:val="0032463E"/>
    <w:rsid w:val="00326224"/>
    <w:rsid w:val="00337EE4"/>
    <w:rsid w:val="00340FFD"/>
    <w:rsid w:val="0034610D"/>
    <w:rsid w:val="003506B1"/>
    <w:rsid w:val="00356AC7"/>
    <w:rsid w:val="003609FA"/>
    <w:rsid w:val="00367B4F"/>
    <w:rsid w:val="003710C8"/>
    <w:rsid w:val="003750BE"/>
    <w:rsid w:val="00387B9D"/>
    <w:rsid w:val="0039364F"/>
    <w:rsid w:val="00396686"/>
    <w:rsid w:val="0039778E"/>
    <w:rsid w:val="003A37B8"/>
    <w:rsid w:val="003A47E1"/>
    <w:rsid w:val="003B4941"/>
    <w:rsid w:val="003B6A2E"/>
    <w:rsid w:val="003C5714"/>
    <w:rsid w:val="003C6B9F"/>
    <w:rsid w:val="003C6E2A"/>
    <w:rsid w:val="003D0299"/>
    <w:rsid w:val="003D32BE"/>
    <w:rsid w:val="003E3207"/>
    <w:rsid w:val="003E6D80"/>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907F0"/>
    <w:rsid w:val="0049140B"/>
    <w:rsid w:val="004923A5"/>
    <w:rsid w:val="00496197"/>
    <w:rsid w:val="00496BFB"/>
    <w:rsid w:val="004A15C7"/>
    <w:rsid w:val="004B013B"/>
    <w:rsid w:val="004B112B"/>
    <w:rsid w:val="004C01E4"/>
    <w:rsid w:val="004C086C"/>
    <w:rsid w:val="004C1A3F"/>
    <w:rsid w:val="004C1F56"/>
    <w:rsid w:val="004C27BC"/>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4841"/>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172B0"/>
    <w:rsid w:val="00720DB3"/>
    <w:rsid w:val="00723580"/>
    <w:rsid w:val="00723755"/>
    <w:rsid w:val="00724AE2"/>
    <w:rsid w:val="0073136C"/>
    <w:rsid w:val="00731F0F"/>
    <w:rsid w:val="00733250"/>
    <w:rsid w:val="00733FC2"/>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2C7C"/>
    <w:rsid w:val="00834220"/>
    <w:rsid w:val="00845723"/>
    <w:rsid w:val="00851EF9"/>
    <w:rsid w:val="008577FD"/>
    <w:rsid w:val="00860B03"/>
    <w:rsid w:val="0086497A"/>
    <w:rsid w:val="008713A1"/>
    <w:rsid w:val="008748BE"/>
    <w:rsid w:val="008754AB"/>
    <w:rsid w:val="00876A02"/>
    <w:rsid w:val="00876F03"/>
    <w:rsid w:val="0088060C"/>
    <w:rsid w:val="00893576"/>
    <w:rsid w:val="00893E73"/>
    <w:rsid w:val="00893F30"/>
    <w:rsid w:val="008B02DC"/>
    <w:rsid w:val="008B57CE"/>
    <w:rsid w:val="008C26DE"/>
    <w:rsid w:val="008D2225"/>
    <w:rsid w:val="008D4752"/>
    <w:rsid w:val="008E271C"/>
    <w:rsid w:val="008E418E"/>
    <w:rsid w:val="008E5BC6"/>
    <w:rsid w:val="008E6A25"/>
    <w:rsid w:val="008E7A1B"/>
    <w:rsid w:val="008F5193"/>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75039"/>
    <w:rsid w:val="00977227"/>
    <w:rsid w:val="0098228B"/>
    <w:rsid w:val="009828DA"/>
    <w:rsid w:val="00985BAB"/>
    <w:rsid w:val="009B1B5F"/>
    <w:rsid w:val="009B62F7"/>
    <w:rsid w:val="009B6673"/>
    <w:rsid w:val="009C191B"/>
    <w:rsid w:val="009C2BD6"/>
    <w:rsid w:val="009D2F52"/>
    <w:rsid w:val="009D63DE"/>
    <w:rsid w:val="009E16D2"/>
    <w:rsid w:val="009E1F32"/>
    <w:rsid w:val="009E776C"/>
    <w:rsid w:val="009F023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C00C2"/>
    <w:rsid w:val="00AC5872"/>
    <w:rsid w:val="00AE0A2E"/>
    <w:rsid w:val="00AE354C"/>
    <w:rsid w:val="00AF4B07"/>
    <w:rsid w:val="00AF6186"/>
    <w:rsid w:val="00AF7A3A"/>
    <w:rsid w:val="00B009F4"/>
    <w:rsid w:val="00B160DB"/>
    <w:rsid w:val="00B20836"/>
    <w:rsid w:val="00B235BB"/>
    <w:rsid w:val="00B25320"/>
    <w:rsid w:val="00B25D3B"/>
    <w:rsid w:val="00B27A44"/>
    <w:rsid w:val="00B30BBF"/>
    <w:rsid w:val="00B33C03"/>
    <w:rsid w:val="00B44E56"/>
    <w:rsid w:val="00B45529"/>
    <w:rsid w:val="00B46543"/>
    <w:rsid w:val="00B47D33"/>
    <w:rsid w:val="00B52BE0"/>
    <w:rsid w:val="00B54133"/>
    <w:rsid w:val="00B667DF"/>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CC3"/>
    <w:rsid w:val="00C00E59"/>
    <w:rsid w:val="00C054C7"/>
    <w:rsid w:val="00C057B5"/>
    <w:rsid w:val="00C22687"/>
    <w:rsid w:val="00C25983"/>
    <w:rsid w:val="00C32E4D"/>
    <w:rsid w:val="00C333A0"/>
    <w:rsid w:val="00C36408"/>
    <w:rsid w:val="00C36A81"/>
    <w:rsid w:val="00C41974"/>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37DB"/>
    <w:rsid w:val="00D44C2E"/>
    <w:rsid w:val="00D45414"/>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1959"/>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7BE0"/>
    <w:rsid w:val="00EC315E"/>
    <w:rsid w:val="00EC58D1"/>
    <w:rsid w:val="00ED077C"/>
    <w:rsid w:val="00ED1190"/>
    <w:rsid w:val="00ED6544"/>
    <w:rsid w:val="00EE0277"/>
    <w:rsid w:val="00EE1C7B"/>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588E"/>
    <w:rsid w:val="00FA685B"/>
    <w:rsid w:val="00FB0C01"/>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21C26"/>
    <w:rPr>
      <w:rFonts w:eastAsiaTheme="minorEastAsia"/>
      <w:sz w:val="24"/>
      <w:lang w:val="fr-FR"/>
    </w:rPr>
  </w:style>
  <w:style w:type="paragraph" w:styleId="Heading1">
    <w:name w:val="heading 1"/>
    <w:basedOn w:val="Normal"/>
    <w:next w:val="Normal"/>
    <w:link w:val="Heading1Char"/>
    <w:uiPriority w:val="99"/>
    <w:semiHidden/>
    <w:rsid w:val="00D21C2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21C2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21C2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21C2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21C26"/>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D21C2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21C26"/>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D21C2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21C2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21C26"/>
    <w:rPr>
      <w:rFonts w:ascii="Tahoma" w:hAnsi="Tahoma" w:cs="Tahoma"/>
      <w:sz w:val="16"/>
      <w:szCs w:val="16"/>
    </w:rPr>
  </w:style>
  <w:style w:type="character" w:customStyle="1" w:styleId="BalloonTextChar">
    <w:name w:val="Balloon Text Char"/>
    <w:basedOn w:val="DefaultParagraphFont"/>
    <w:link w:val="BalloonText"/>
    <w:uiPriority w:val="99"/>
    <w:semiHidden/>
    <w:rsid w:val="00D21C26"/>
    <w:rPr>
      <w:rFonts w:ascii="Tahoma" w:eastAsiaTheme="minorEastAsia" w:hAnsi="Tahoma" w:cs="Tahoma"/>
      <w:sz w:val="16"/>
      <w:szCs w:val="16"/>
      <w:lang w:val="fr-FR"/>
    </w:rPr>
  </w:style>
  <w:style w:type="character" w:styleId="BookTitle">
    <w:name w:val="Book Title"/>
    <w:uiPriority w:val="99"/>
    <w:semiHidden/>
    <w:qFormat/>
    <w:rsid w:val="00D21C26"/>
    <w:rPr>
      <w:i/>
      <w:iCs/>
      <w:smallCaps/>
      <w:spacing w:val="5"/>
    </w:rPr>
  </w:style>
  <w:style w:type="paragraph" w:customStyle="1" w:styleId="JuHeader">
    <w:name w:val="Ju_Header"/>
    <w:aliases w:val="_Header"/>
    <w:basedOn w:val="Header"/>
    <w:uiPriority w:val="29"/>
    <w:qFormat/>
    <w:rsid w:val="00D21C26"/>
    <w:pPr>
      <w:tabs>
        <w:tab w:val="clear" w:pos="4536"/>
        <w:tab w:val="clear" w:pos="9072"/>
        <w:tab w:val="center" w:pos="3686"/>
        <w:tab w:val="right" w:pos="7371"/>
      </w:tabs>
    </w:pPr>
    <w:rPr>
      <w:sz w:val="18"/>
    </w:rPr>
  </w:style>
  <w:style w:type="paragraph" w:customStyle="1" w:styleId="DecList">
    <w:name w:val="Dec_List"/>
    <w:aliases w:val="_List"/>
    <w:basedOn w:val="JuList"/>
    <w:uiPriority w:val="22"/>
    <w:rsid w:val="00D21C26"/>
    <w:pPr>
      <w:numPr>
        <w:numId w:val="0"/>
      </w:numPr>
      <w:ind w:left="340"/>
    </w:pPr>
  </w:style>
  <w:style w:type="character" w:styleId="Strong">
    <w:name w:val="Strong"/>
    <w:uiPriority w:val="99"/>
    <w:semiHidden/>
    <w:qFormat/>
    <w:rsid w:val="00D21C26"/>
    <w:rPr>
      <w:b/>
      <w:bCs/>
    </w:rPr>
  </w:style>
  <w:style w:type="paragraph" w:styleId="NoSpacing">
    <w:name w:val="No Spacing"/>
    <w:basedOn w:val="Normal"/>
    <w:link w:val="NoSpacingChar"/>
    <w:semiHidden/>
    <w:qFormat/>
    <w:rsid w:val="00D21C26"/>
  </w:style>
  <w:style w:type="character" w:customStyle="1" w:styleId="NoSpacingChar">
    <w:name w:val="No Spacing Char"/>
    <w:basedOn w:val="DefaultParagraphFont"/>
    <w:link w:val="NoSpacing"/>
    <w:semiHidden/>
    <w:rsid w:val="00D21C26"/>
    <w:rPr>
      <w:rFonts w:eastAsiaTheme="minorEastAsia"/>
      <w:sz w:val="24"/>
      <w:lang w:val="fr-FR"/>
    </w:rPr>
  </w:style>
  <w:style w:type="paragraph" w:customStyle="1" w:styleId="JuQuot">
    <w:name w:val="Ju_Quot"/>
    <w:aliases w:val="_Quote"/>
    <w:basedOn w:val="NormalJustified"/>
    <w:uiPriority w:val="21"/>
    <w:qFormat/>
    <w:rsid w:val="00D21C26"/>
    <w:pPr>
      <w:spacing w:before="120" w:after="120"/>
      <w:ind w:left="425" w:firstLine="142"/>
    </w:pPr>
    <w:rPr>
      <w:sz w:val="20"/>
    </w:rPr>
  </w:style>
  <w:style w:type="paragraph" w:customStyle="1" w:styleId="JuList">
    <w:name w:val="Ju_List"/>
    <w:aliases w:val="_List_1"/>
    <w:basedOn w:val="NormalJustified"/>
    <w:uiPriority w:val="28"/>
    <w:qFormat/>
    <w:rsid w:val="00D21C26"/>
    <w:pPr>
      <w:numPr>
        <w:numId w:val="2"/>
      </w:numPr>
      <w:spacing w:before="280" w:after="60"/>
    </w:pPr>
    <w:rPr>
      <w:rFonts w:eastAsiaTheme="minorHAnsi"/>
    </w:rPr>
  </w:style>
  <w:style w:type="paragraph" w:customStyle="1" w:styleId="JuLista">
    <w:name w:val="Ju_List_a"/>
    <w:aliases w:val="_List_2"/>
    <w:basedOn w:val="NormalJustified"/>
    <w:uiPriority w:val="23"/>
    <w:rsid w:val="00D21C26"/>
    <w:pPr>
      <w:numPr>
        <w:ilvl w:val="1"/>
        <w:numId w:val="2"/>
      </w:numPr>
    </w:pPr>
  </w:style>
  <w:style w:type="paragraph" w:customStyle="1" w:styleId="JuListi">
    <w:name w:val="Ju_List_i"/>
    <w:aliases w:val="_List_3"/>
    <w:basedOn w:val="NormalJustified"/>
    <w:uiPriority w:val="23"/>
    <w:rsid w:val="00D21C26"/>
    <w:pPr>
      <w:numPr>
        <w:ilvl w:val="2"/>
        <w:numId w:val="2"/>
      </w:numPr>
    </w:pPr>
  </w:style>
  <w:style w:type="paragraph" w:customStyle="1" w:styleId="DecHTitle">
    <w:name w:val="Dec_H_Title"/>
    <w:aliases w:val="_Title_1"/>
    <w:basedOn w:val="JuPara"/>
    <w:next w:val="JuPara"/>
    <w:uiPriority w:val="35"/>
    <w:qFormat/>
    <w:rsid w:val="00D21C26"/>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20"/>
    <w:qFormat/>
    <w:rsid w:val="00D21C26"/>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D21C26"/>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D21C26"/>
    <w:pPr>
      <w:numPr>
        <w:numId w:val="6"/>
      </w:numPr>
    </w:pPr>
  </w:style>
  <w:style w:type="paragraph" w:customStyle="1" w:styleId="JuHHead">
    <w:name w:val="Ju_H_Head"/>
    <w:aliases w:val="_Head_1"/>
    <w:basedOn w:val="Normal"/>
    <w:next w:val="JuPara"/>
    <w:uiPriority w:val="19"/>
    <w:qFormat/>
    <w:rsid w:val="00D21C26"/>
    <w:pPr>
      <w:keepNext/>
      <w:keepLines/>
      <w:numPr>
        <w:numId w:val="1"/>
      </w:numPr>
      <w:spacing w:before="100" w:beforeAutospacing="1" w:after="240"/>
      <w:jc w:val="both"/>
      <w:outlineLvl w:val="0"/>
    </w:pPr>
    <w:rPr>
      <w:caps/>
      <w:sz w:val="28"/>
    </w:rPr>
  </w:style>
  <w:style w:type="numbering" w:customStyle="1" w:styleId="ECHRA1StyleList">
    <w:name w:val="ECHR_A1_Style_List"/>
    <w:basedOn w:val="NoList"/>
    <w:uiPriority w:val="99"/>
    <w:rsid w:val="00D21C26"/>
    <w:pPr>
      <w:numPr>
        <w:numId w:val="7"/>
      </w:numPr>
    </w:pPr>
  </w:style>
  <w:style w:type="paragraph" w:customStyle="1" w:styleId="JuSigned">
    <w:name w:val="Ju_Signed"/>
    <w:aliases w:val="_Signature"/>
    <w:basedOn w:val="Normal"/>
    <w:next w:val="JuPara"/>
    <w:uiPriority w:val="30"/>
    <w:qFormat/>
    <w:rsid w:val="00D21C26"/>
    <w:pPr>
      <w:tabs>
        <w:tab w:val="center" w:pos="851"/>
        <w:tab w:val="center" w:pos="6407"/>
      </w:tabs>
      <w:spacing w:before="720"/>
    </w:pPr>
  </w:style>
  <w:style w:type="paragraph" w:styleId="Title">
    <w:name w:val="Title"/>
    <w:basedOn w:val="Normal"/>
    <w:next w:val="Normal"/>
    <w:link w:val="TitleChar"/>
    <w:uiPriority w:val="99"/>
    <w:semiHidden/>
    <w:qFormat/>
    <w:rsid w:val="00D21C2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21C26"/>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D21C26"/>
    <w:pPr>
      <w:numPr>
        <w:numId w:val="8"/>
      </w:numPr>
    </w:pPr>
  </w:style>
  <w:style w:type="table" w:customStyle="1" w:styleId="ECHRTable2019">
    <w:name w:val="ECHR_Table_2019"/>
    <w:basedOn w:val="TableNormal"/>
    <w:uiPriority w:val="99"/>
    <w:rsid w:val="00D21C26"/>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D21C26"/>
    <w:rPr>
      <w:sz w:val="8"/>
    </w:rPr>
  </w:style>
  <w:style w:type="paragraph" w:customStyle="1" w:styleId="JuCourt">
    <w:name w:val="Ju_Court"/>
    <w:basedOn w:val="Normal"/>
    <w:next w:val="Normal"/>
    <w:uiPriority w:val="31"/>
    <w:qFormat/>
    <w:rsid w:val="00D21C2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D21C26"/>
    <w:pPr>
      <w:tabs>
        <w:tab w:val="center" w:pos="6407"/>
      </w:tabs>
      <w:spacing w:before="720"/>
      <w:jc w:val="right"/>
    </w:pPr>
  </w:style>
  <w:style w:type="paragraph" w:customStyle="1" w:styleId="JuHIRoman">
    <w:name w:val="Ju_H_I_Roman"/>
    <w:aliases w:val="_Head_2"/>
    <w:basedOn w:val="Normal"/>
    <w:next w:val="JuPara"/>
    <w:uiPriority w:val="19"/>
    <w:qFormat/>
    <w:rsid w:val="00D21C26"/>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D21C26"/>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D21C26"/>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D21C2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21C26"/>
    <w:rPr>
      <w:sz w:val="24"/>
      <w:lang w:val="fr-FR"/>
    </w:rPr>
  </w:style>
  <w:style w:type="character" w:customStyle="1" w:styleId="Heading1Char">
    <w:name w:val="Heading 1 Char"/>
    <w:basedOn w:val="DefaultParagraphFont"/>
    <w:link w:val="Heading1"/>
    <w:uiPriority w:val="99"/>
    <w:semiHidden/>
    <w:rsid w:val="00D21C2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
    <w:next w:val="JuPara"/>
    <w:uiPriority w:val="19"/>
    <w:rsid w:val="00D21C26"/>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D21C26"/>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D21C2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JuPara"/>
    <w:uiPriority w:val="19"/>
    <w:rsid w:val="00D21C26"/>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D21C26"/>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D21C26"/>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Justified"/>
    <w:uiPriority w:val="9"/>
    <w:qFormat/>
    <w:rsid w:val="00D21C26"/>
    <w:pPr>
      <w:keepNext/>
      <w:keepLines/>
      <w:spacing w:before="240" w:after="240"/>
      <w:ind w:firstLine="284"/>
    </w:pPr>
    <w:rPr>
      <w:rFonts w:eastAsiaTheme="minorHAnsi"/>
    </w:rPr>
  </w:style>
  <w:style w:type="paragraph" w:customStyle="1" w:styleId="JuJudges">
    <w:name w:val="Ju_Judges"/>
    <w:basedOn w:val="Normal"/>
    <w:uiPriority w:val="28"/>
    <w:qFormat/>
    <w:rsid w:val="00D21C26"/>
    <w:pPr>
      <w:tabs>
        <w:tab w:val="left" w:pos="567"/>
        <w:tab w:val="left" w:pos="1134"/>
      </w:tabs>
    </w:pPr>
  </w:style>
  <w:style w:type="character" w:customStyle="1" w:styleId="Heading4Char">
    <w:name w:val="Heading 4 Char"/>
    <w:basedOn w:val="DefaultParagraphFont"/>
    <w:link w:val="Heading4"/>
    <w:uiPriority w:val="99"/>
    <w:semiHidden/>
    <w:rsid w:val="00D21C26"/>
    <w:rPr>
      <w:rFonts w:asciiTheme="majorHAnsi" w:eastAsiaTheme="majorEastAsia" w:hAnsiTheme="majorHAnsi" w:cstheme="majorBidi"/>
      <w:b/>
      <w:bCs/>
      <w:i/>
      <w:iCs/>
      <w:color w:val="777777"/>
      <w:sz w:val="24"/>
      <w:lang w:val="fr-FR"/>
    </w:rPr>
  </w:style>
  <w:style w:type="character" w:customStyle="1" w:styleId="JuITMark">
    <w:name w:val="Ju_ITMark"/>
    <w:basedOn w:val="DefaultParagraphFont"/>
    <w:uiPriority w:val="38"/>
    <w:semiHidden/>
    <w:qFormat/>
    <w:rsid w:val="00D21C26"/>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9"/>
    <w:semiHidden/>
    <w:rsid w:val="00D21C26"/>
    <w:rPr>
      <w:rFonts w:asciiTheme="majorHAnsi" w:eastAsiaTheme="majorEastAsia" w:hAnsiTheme="majorHAnsi" w:cstheme="majorBidi"/>
      <w:b/>
      <w:bCs/>
      <w:color w:val="808080"/>
      <w:sz w:val="24"/>
      <w:lang w:val="fr-FR"/>
    </w:rPr>
  </w:style>
  <w:style w:type="character" w:customStyle="1" w:styleId="JUNAMES">
    <w:name w:val="JU_NAMES"/>
    <w:uiPriority w:val="34"/>
    <w:qFormat/>
    <w:rsid w:val="00D21C26"/>
    <w:rPr>
      <w:caps w:val="0"/>
      <w:smallCaps/>
    </w:rPr>
  </w:style>
  <w:style w:type="paragraph" w:customStyle="1" w:styleId="NormalJustified">
    <w:name w:val="Normal_Justified"/>
    <w:basedOn w:val="Normal"/>
    <w:semiHidden/>
    <w:rsid w:val="00D21C26"/>
    <w:pPr>
      <w:jc w:val="both"/>
    </w:pPr>
  </w:style>
  <w:style w:type="character" w:styleId="SubtleEmphasis">
    <w:name w:val="Subtle Emphasis"/>
    <w:uiPriority w:val="99"/>
    <w:semiHidden/>
    <w:qFormat/>
    <w:rsid w:val="00D21C2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21C2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D21C26"/>
    <w:rPr>
      <w:b/>
      <w:bCs/>
      <w:i/>
      <w:iCs/>
      <w:spacing w:val="10"/>
      <w:bdr w:val="none" w:sz="0" w:space="0" w:color="auto"/>
      <w:shd w:val="clear" w:color="auto" w:fill="auto"/>
    </w:rPr>
  </w:style>
  <w:style w:type="paragraph" w:styleId="Footer0">
    <w:name w:val="footer"/>
    <w:basedOn w:val="Normal"/>
    <w:link w:val="FooterChar"/>
    <w:uiPriority w:val="57"/>
    <w:semiHidden/>
    <w:rsid w:val="00D21C26"/>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D21C26"/>
    <w:rPr>
      <w:sz w:val="24"/>
      <w:lang w:val="fr-FR"/>
    </w:rPr>
  </w:style>
  <w:style w:type="character" w:styleId="FootnoteReference">
    <w:name w:val="footnote reference"/>
    <w:basedOn w:val="DefaultParagraphFont"/>
    <w:uiPriority w:val="99"/>
    <w:semiHidden/>
    <w:rsid w:val="00D21C26"/>
    <w:rPr>
      <w:vertAlign w:val="superscript"/>
    </w:rPr>
  </w:style>
  <w:style w:type="paragraph" w:styleId="FootnoteText">
    <w:name w:val="footnote text"/>
    <w:basedOn w:val="Normal"/>
    <w:link w:val="FootnoteTextChar"/>
    <w:uiPriority w:val="99"/>
    <w:semiHidden/>
    <w:rsid w:val="00D21C26"/>
    <w:rPr>
      <w:sz w:val="20"/>
      <w:szCs w:val="20"/>
    </w:rPr>
  </w:style>
  <w:style w:type="character" w:customStyle="1" w:styleId="FootnoteTextChar">
    <w:name w:val="Footnote Text Char"/>
    <w:basedOn w:val="DefaultParagraphFont"/>
    <w:link w:val="FootnoteText"/>
    <w:uiPriority w:val="99"/>
    <w:semiHidden/>
    <w:rsid w:val="00D21C26"/>
    <w:rPr>
      <w:rFonts w:eastAsiaTheme="minorEastAsia"/>
      <w:sz w:val="20"/>
      <w:szCs w:val="20"/>
      <w:lang w:val="fr-FR"/>
    </w:rPr>
  </w:style>
  <w:style w:type="character" w:customStyle="1" w:styleId="Heading6Char">
    <w:name w:val="Heading 6 Char"/>
    <w:basedOn w:val="DefaultParagraphFont"/>
    <w:link w:val="Heading6"/>
    <w:uiPriority w:val="99"/>
    <w:semiHidden/>
    <w:rsid w:val="00D21C26"/>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D21C26"/>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D21C26"/>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D21C26"/>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D21C26"/>
    <w:rPr>
      <w:color w:val="0072BC" w:themeColor="hyperlink"/>
      <w:u w:val="single"/>
    </w:rPr>
  </w:style>
  <w:style w:type="character" w:styleId="IntenseEmphasis">
    <w:name w:val="Intense Emphasis"/>
    <w:uiPriority w:val="99"/>
    <w:semiHidden/>
    <w:qFormat/>
    <w:rsid w:val="00D21C26"/>
    <w:rPr>
      <w:b/>
      <w:bCs/>
    </w:rPr>
  </w:style>
  <w:style w:type="paragraph" w:styleId="IntenseQuote">
    <w:name w:val="Intense Quote"/>
    <w:basedOn w:val="Normal"/>
    <w:next w:val="Normal"/>
    <w:link w:val="IntenseQuoteChar"/>
    <w:uiPriority w:val="99"/>
    <w:semiHidden/>
    <w:qFormat/>
    <w:rsid w:val="00D21C2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D21C26"/>
    <w:rPr>
      <w:rFonts w:eastAsiaTheme="minorEastAsia"/>
      <w:b/>
      <w:bCs/>
      <w:i/>
      <w:iCs/>
      <w:sz w:val="24"/>
      <w:lang w:val="fr-FR" w:bidi="en-US"/>
    </w:rPr>
  </w:style>
  <w:style w:type="character" w:styleId="IntenseReference">
    <w:name w:val="Intense Reference"/>
    <w:uiPriority w:val="99"/>
    <w:semiHidden/>
    <w:qFormat/>
    <w:rsid w:val="00D21C26"/>
    <w:rPr>
      <w:smallCaps/>
      <w:spacing w:val="5"/>
      <w:u w:val="single"/>
    </w:rPr>
  </w:style>
  <w:style w:type="paragraph" w:styleId="ListParagraph">
    <w:name w:val="List Paragraph"/>
    <w:basedOn w:val="Normal"/>
    <w:uiPriority w:val="99"/>
    <w:semiHidden/>
    <w:qFormat/>
    <w:rsid w:val="00D21C2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21C26"/>
    <w:pPr>
      <w:spacing w:before="200"/>
      <w:ind w:left="360" w:right="360"/>
    </w:pPr>
    <w:rPr>
      <w:i/>
      <w:iCs/>
      <w:lang w:bidi="en-US"/>
    </w:rPr>
  </w:style>
  <w:style w:type="character" w:customStyle="1" w:styleId="QuoteChar">
    <w:name w:val="Quote Char"/>
    <w:basedOn w:val="DefaultParagraphFont"/>
    <w:link w:val="Quote"/>
    <w:uiPriority w:val="99"/>
    <w:semiHidden/>
    <w:rsid w:val="00D21C26"/>
    <w:rPr>
      <w:rFonts w:eastAsiaTheme="minorEastAsia"/>
      <w:i/>
      <w:iCs/>
      <w:sz w:val="24"/>
      <w:lang w:val="fr-FR" w:bidi="en-US"/>
    </w:rPr>
  </w:style>
  <w:style w:type="character" w:styleId="SubtleReference">
    <w:name w:val="Subtle Reference"/>
    <w:uiPriority w:val="99"/>
    <w:semiHidden/>
    <w:qFormat/>
    <w:rsid w:val="00D21C26"/>
    <w:rPr>
      <w:smallCaps/>
    </w:rPr>
  </w:style>
  <w:style w:type="table" w:styleId="TableGrid">
    <w:name w:val="Table Grid"/>
    <w:basedOn w:val="TableNormal"/>
    <w:uiPriority w:val="59"/>
    <w:semiHidden/>
    <w:rsid w:val="00D21C2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21C2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21C2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21C2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21C2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21C2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21C2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21C2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21C26"/>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D21C26"/>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21C2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D21C2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21C26"/>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D21C26"/>
    <w:pPr>
      <w:numPr>
        <w:numId w:val="3"/>
      </w:numPr>
    </w:pPr>
  </w:style>
  <w:style w:type="paragraph" w:customStyle="1" w:styleId="JuPara">
    <w:name w:val="Ju_Para"/>
    <w:aliases w:val="_Para"/>
    <w:basedOn w:val="NormalJustified"/>
    <w:link w:val="JuParaChar"/>
    <w:uiPriority w:val="12"/>
    <w:qFormat/>
    <w:rsid w:val="00D21C26"/>
    <w:pPr>
      <w:ind w:firstLine="284"/>
    </w:pPr>
  </w:style>
  <w:style w:type="numbering" w:styleId="1ai">
    <w:name w:val="Outline List 1"/>
    <w:basedOn w:val="NoList"/>
    <w:uiPriority w:val="99"/>
    <w:semiHidden/>
    <w:unhideWhenUsed/>
    <w:rsid w:val="00D21C26"/>
    <w:pPr>
      <w:numPr>
        <w:numId w:val="4"/>
      </w:numPr>
    </w:pPr>
  </w:style>
  <w:style w:type="table" w:customStyle="1" w:styleId="ECHRTableSimpleBox">
    <w:name w:val="ECHR_Table_Simple_Box"/>
    <w:basedOn w:val="TableNormal"/>
    <w:uiPriority w:val="99"/>
    <w:rsid w:val="00D21C26"/>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21C26"/>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21C26"/>
    <w:pPr>
      <w:numPr>
        <w:numId w:val="5"/>
      </w:numPr>
    </w:pPr>
  </w:style>
  <w:style w:type="table" w:customStyle="1" w:styleId="ECHRTableForInternalUse">
    <w:name w:val="ECHR_Table_For_Internal_Use"/>
    <w:basedOn w:val="TableNormal"/>
    <w:uiPriority w:val="99"/>
    <w:rsid w:val="00D21C26"/>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93F3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21C26"/>
  </w:style>
  <w:style w:type="paragraph" w:styleId="BlockText">
    <w:name w:val="Block Text"/>
    <w:basedOn w:val="Normal"/>
    <w:uiPriority w:val="99"/>
    <w:semiHidden/>
    <w:rsid w:val="00D21C2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21C26"/>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21C26"/>
    <w:pPr>
      <w:spacing w:after="120"/>
    </w:pPr>
  </w:style>
  <w:style w:type="character" w:customStyle="1" w:styleId="BodyTextChar">
    <w:name w:val="Body Text Char"/>
    <w:basedOn w:val="DefaultParagraphFont"/>
    <w:link w:val="BodyText"/>
    <w:uiPriority w:val="99"/>
    <w:semiHidden/>
    <w:rsid w:val="00D21C26"/>
    <w:rPr>
      <w:rFonts w:eastAsiaTheme="minorEastAsia"/>
      <w:sz w:val="24"/>
      <w:lang w:val="fr-FR"/>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21C26"/>
    <w:pPr>
      <w:spacing w:after="120" w:line="480" w:lineRule="auto"/>
    </w:pPr>
  </w:style>
  <w:style w:type="table" w:customStyle="1" w:styleId="ECHRHeaderTableReduced">
    <w:name w:val="ECHR_Header_Table_Reduced"/>
    <w:basedOn w:val="TableNormal"/>
    <w:uiPriority w:val="99"/>
    <w:rsid w:val="00D21C26"/>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26"/>
    <w:rsid w:val="00D21C26"/>
    <w:pPr>
      <w:ind w:firstLine="284"/>
    </w:pPr>
    <w:rPr>
      <w:b/>
    </w:rPr>
  </w:style>
  <w:style w:type="character" w:styleId="PageNumber">
    <w:name w:val="page number"/>
    <w:uiPriority w:val="99"/>
    <w:semiHidden/>
    <w:rsid w:val="00D21C26"/>
    <w:rPr>
      <w:sz w:val="18"/>
    </w:rPr>
  </w:style>
  <w:style w:type="paragraph" w:styleId="ListBullet2">
    <w:name w:val="List Bullet 2"/>
    <w:basedOn w:val="Normal"/>
    <w:uiPriority w:val="99"/>
    <w:semiHidden/>
    <w:rsid w:val="00D21C26"/>
    <w:pPr>
      <w:numPr>
        <w:numId w:val="10"/>
      </w:numPr>
      <w:contextualSpacing/>
    </w:pPr>
  </w:style>
  <w:style w:type="character" w:customStyle="1" w:styleId="BodyText2Char">
    <w:name w:val="Body Text 2 Char"/>
    <w:basedOn w:val="DefaultParagraphFont"/>
    <w:link w:val="BodyText2"/>
    <w:uiPriority w:val="99"/>
    <w:semiHidden/>
    <w:rsid w:val="00D21C26"/>
    <w:rPr>
      <w:rFonts w:eastAsiaTheme="minorEastAsia"/>
      <w:sz w:val="24"/>
      <w:lang w:val="fr-FR"/>
    </w:rPr>
  </w:style>
  <w:style w:type="paragraph" w:styleId="BodyText3">
    <w:name w:val="Body Text 3"/>
    <w:basedOn w:val="Normal"/>
    <w:link w:val="BodyText3Char"/>
    <w:uiPriority w:val="99"/>
    <w:semiHidden/>
    <w:rsid w:val="00D21C26"/>
    <w:pPr>
      <w:spacing w:after="120"/>
    </w:pPr>
    <w:rPr>
      <w:sz w:val="16"/>
      <w:szCs w:val="16"/>
    </w:rPr>
  </w:style>
  <w:style w:type="character" w:customStyle="1" w:styleId="BodyText3Char">
    <w:name w:val="Body Text 3 Char"/>
    <w:basedOn w:val="DefaultParagraphFont"/>
    <w:link w:val="BodyText3"/>
    <w:uiPriority w:val="99"/>
    <w:semiHidden/>
    <w:rsid w:val="00D21C26"/>
    <w:rPr>
      <w:rFonts w:eastAsiaTheme="minorEastAsia"/>
      <w:sz w:val="16"/>
      <w:szCs w:val="16"/>
      <w:lang w:val="fr-FR"/>
    </w:rPr>
  </w:style>
  <w:style w:type="paragraph" w:styleId="BodyTextFirstIndent">
    <w:name w:val="Body Text First Indent"/>
    <w:basedOn w:val="BodyText"/>
    <w:link w:val="BodyTextFirstIndentChar"/>
    <w:uiPriority w:val="99"/>
    <w:semiHidden/>
    <w:rsid w:val="00D21C26"/>
    <w:pPr>
      <w:spacing w:after="0"/>
      <w:ind w:firstLine="360"/>
    </w:pPr>
  </w:style>
  <w:style w:type="character" w:customStyle="1" w:styleId="BodyTextFirstIndentChar">
    <w:name w:val="Body Text First Indent Char"/>
    <w:basedOn w:val="BodyTextChar"/>
    <w:link w:val="BodyTextFirstIndent"/>
    <w:uiPriority w:val="99"/>
    <w:semiHidden/>
    <w:rsid w:val="00D21C26"/>
    <w:rPr>
      <w:rFonts w:eastAsiaTheme="minorEastAsia"/>
      <w:sz w:val="24"/>
      <w:lang w:val="fr-FR"/>
    </w:rPr>
  </w:style>
  <w:style w:type="paragraph" w:styleId="BodyTextIndent">
    <w:name w:val="Body Text Indent"/>
    <w:basedOn w:val="Normal"/>
    <w:link w:val="BodyTextIndentChar"/>
    <w:uiPriority w:val="99"/>
    <w:semiHidden/>
    <w:rsid w:val="00D21C26"/>
    <w:pPr>
      <w:spacing w:after="120"/>
      <w:ind w:left="283"/>
    </w:pPr>
  </w:style>
  <w:style w:type="character" w:customStyle="1" w:styleId="BodyTextIndentChar">
    <w:name w:val="Body Text Indent Char"/>
    <w:basedOn w:val="DefaultParagraphFont"/>
    <w:link w:val="BodyTextIndent"/>
    <w:uiPriority w:val="99"/>
    <w:semiHidden/>
    <w:rsid w:val="00D21C26"/>
    <w:rPr>
      <w:rFonts w:eastAsiaTheme="minorEastAsia"/>
      <w:sz w:val="24"/>
      <w:lang w:val="fr-FR"/>
    </w:rPr>
  </w:style>
  <w:style w:type="paragraph" w:styleId="BodyTextFirstIndent2">
    <w:name w:val="Body Text First Indent 2"/>
    <w:basedOn w:val="BodyTextIndent"/>
    <w:link w:val="BodyTextFirstIndent2Char"/>
    <w:uiPriority w:val="99"/>
    <w:semiHidden/>
    <w:rsid w:val="00D21C26"/>
    <w:pPr>
      <w:spacing w:after="0"/>
      <w:ind w:left="360" w:firstLine="360"/>
    </w:pPr>
  </w:style>
  <w:style w:type="character" w:customStyle="1" w:styleId="BodyTextFirstIndent2Char">
    <w:name w:val="Body Text First Indent 2 Char"/>
    <w:basedOn w:val="BodyTextIndentChar"/>
    <w:link w:val="BodyTextFirstIndent2"/>
    <w:uiPriority w:val="99"/>
    <w:semiHidden/>
    <w:rsid w:val="00D21C26"/>
    <w:rPr>
      <w:rFonts w:eastAsiaTheme="minorEastAsia"/>
      <w:sz w:val="24"/>
      <w:lang w:val="fr-FR"/>
    </w:rPr>
  </w:style>
  <w:style w:type="paragraph" w:styleId="BodyTextIndent2">
    <w:name w:val="Body Text Indent 2"/>
    <w:basedOn w:val="Normal"/>
    <w:link w:val="BodyTextIndent2Char"/>
    <w:uiPriority w:val="99"/>
    <w:semiHidden/>
    <w:rsid w:val="00D21C26"/>
    <w:pPr>
      <w:spacing w:after="120" w:line="480" w:lineRule="auto"/>
      <w:ind w:left="283"/>
    </w:pPr>
  </w:style>
  <w:style w:type="character" w:customStyle="1" w:styleId="BodyTextIndent2Char">
    <w:name w:val="Body Text Indent 2 Char"/>
    <w:basedOn w:val="DefaultParagraphFont"/>
    <w:link w:val="BodyTextIndent2"/>
    <w:uiPriority w:val="99"/>
    <w:semiHidden/>
    <w:rsid w:val="00D21C26"/>
    <w:rPr>
      <w:rFonts w:eastAsiaTheme="minorEastAsia"/>
      <w:sz w:val="24"/>
      <w:lang w:val="fr-FR"/>
    </w:rPr>
  </w:style>
  <w:style w:type="paragraph" w:styleId="BodyTextIndent3">
    <w:name w:val="Body Text Indent 3"/>
    <w:basedOn w:val="Normal"/>
    <w:link w:val="BodyTextIndent3Char"/>
    <w:uiPriority w:val="99"/>
    <w:semiHidden/>
    <w:rsid w:val="00D21C2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21C26"/>
    <w:rPr>
      <w:rFonts w:eastAsiaTheme="minorEastAsia"/>
      <w:sz w:val="16"/>
      <w:szCs w:val="16"/>
      <w:lang w:val="fr-FR"/>
    </w:rPr>
  </w:style>
  <w:style w:type="paragraph" w:styleId="Caption">
    <w:name w:val="caption"/>
    <w:basedOn w:val="Normal"/>
    <w:next w:val="Normal"/>
    <w:uiPriority w:val="99"/>
    <w:semiHidden/>
    <w:qFormat/>
    <w:rsid w:val="00D21C26"/>
    <w:pPr>
      <w:spacing w:after="200"/>
    </w:pPr>
    <w:rPr>
      <w:b/>
      <w:bCs/>
      <w:color w:val="0072BC" w:themeColor="accent1"/>
      <w:sz w:val="18"/>
      <w:szCs w:val="18"/>
    </w:rPr>
  </w:style>
  <w:style w:type="paragraph" w:styleId="Closing">
    <w:name w:val="Closing"/>
    <w:basedOn w:val="Normal"/>
    <w:link w:val="ClosingChar"/>
    <w:uiPriority w:val="99"/>
    <w:semiHidden/>
    <w:rsid w:val="00D21C26"/>
    <w:pPr>
      <w:ind w:left="4252"/>
    </w:pPr>
  </w:style>
  <w:style w:type="character" w:customStyle="1" w:styleId="ClosingChar">
    <w:name w:val="Closing Char"/>
    <w:basedOn w:val="DefaultParagraphFont"/>
    <w:link w:val="Closing"/>
    <w:uiPriority w:val="99"/>
    <w:semiHidden/>
    <w:rsid w:val="00D21C26"/>
    <w:rPr>
      <w:rFonts w:eastAsiaTheme="minorEastAsia"/>
      <w:sz w:val="24"/>
      <w:lang w:val="fr-FR"/>
    </w:rPr>
  </w:style>
  <w:style w:type="table" w:styleId="ColorfulGrid">
    <w:name w:val="Colorful Grid"/>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21C2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21C2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21C2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21C2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21C2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21C2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21C2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21C2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21C2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21C2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21C2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21C2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21C2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21C2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21C2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D21C26"/>
    <w:rPr>
      <w:sz w:val="16"/>
      <w:szCs w:val="16"/>
    </w:rPr>
  </w:style>
  <w:style w:type="paragraph" w:styleId="CommentText">
    <w:name w:val="annotation text"/>
    <w:basedOn w:val="Normal"/>
    <w:link w:val="CommentTextChar"/>
    <w:semiHidden/>
    <w:rsid w:val="00D21C26"/>
    <w:rPr>
      <w:sz w:val="20"/>
      <w:szCs w:val="20"/>
    </w:rPr>
  </w:style>
  <w:style w:type="character" w:customStyle="1" w:styleId="CommentTextChar">
    <w:name w:val="Comment Text Char"/>
    <w:basedOn w:val="DefaultParagraphFont"/>
    <w:link w:val="CommentText"/>
    <w:semiHidden/>
    <w:rsid w:val="00D21C26"/>
    <w:rPr>
      <w:rFonts w:eastAsiaTheme="minorEastAsia"/>
      <w:sz w:val="20"/>
      <w:szCs w:val="20"/>
      <w:lang w:val="fr-FR"/>
    </w:rPr>
  </w:style>
  <w:style w:type="paragraph" w:styleId="CommentSubject">
    <w:name w:val="annotation subject"/>
    <w:basedOn w:val="CommentText"/>
    <w:next w:val="CommentText"/>
    <w:link w:val="CommentSubjectChar"/>
    <w:uiPriority w:val="99"/>
    <w:semiHidden/>
    <w:rsid w:val="00D21C26"/>
    <w:rPr>
      <w:b/>
      <w:bCs/>
    </w:rPr>
  </w:style>
  <w:style w:type="character" w:customStyle="1" w:styleId="CommentSubjectChar">
    <w:name w:val="Comment Subject Char"/>
    <w:basedOn w:val="CommentTextChar"/>
    <w:link w:val="CommentSubject"/>
    <w:uiPriority w:val="99"/>
    <w:semiHidden/>
    <w:rsid w:val="00D21C26"/>
    <w:rPr>
      <w:rFonts w:eastAsiaTheme="minorEastAsia"/>
      <w:b/>
      <w:bCs/>
      <w:sz w:val="20"/>
      <w:szCs w:val="20"/>
      <w:lang w:val="fr-FR"/>
    </w:rPr>
  </w:style>
  <w:style w:type="table" w:styleId="DarkList">
    <w:name w:val="Dark List"/>
    <w:basedOn w:val="TableNormal"/>
    <w:uiPriority w:val="70"/>
    <w:semiHidden/>
    <w:rsid w:val="00D21C2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21C2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21C2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21C2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21C2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21C2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21C2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21C26"/>
  </w:style>
  <w:style w:type="character" w:customStyle="1" w:styleId="DateChar">
    <w:name w:val="Date Char"/>
    <w:basedOn w:val="DefaultParagraphFont"/>
    <w:link w:val="Date"/>
    <w:uiPriority w:val="99"/>
    <w:semiHidden/>
    <w:rsid w:val="00D21C26"/>
    <w:rPr>
      <w:rFonts w:eastAsiaTheme="minorEastAsia"/>
      <w:sz w:val="24"/>
      <w:lang w:val="fr-FR"/>
    </w:rPr>
  </w:style>
  <w:style w:type="paragraph" w:styleId="DocumentMap">
    <w:name w:val="Document Map"/>
    <w:basedOn w:val="Normal"/>
    <w:link w:val="DocumentMapChar"/>
    <w:uiPriority w:val="99"/>
    <w:semiHidden/>
    <w:rsid w:val="00D21C26"/>
    <w:rPr>
      <w:rFonts w:ascii="Tahoma" w:hAnsi="Tahoma" w:cs="Tahoma"/>
      <w:sz w:val="16"/>
      <w:szCs w:val="16"/>
    </w:rPr>
  </w:style>
  <w:style w:type="character" w:customStyle="1" w:styleId="DocumentMapChar">
    <w:name w:val="Document Map Char"/>
    <w:basedOn w:val="DefaultParagraphFont"/>
    <w:link w:val="DocumentMap"/>
    <w:uiPriority w:val="99"/>
    <w:semiHidden/>
    <w:rsid w:val="00D21C26"/>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D21C26"/>
  </w:style>
  <w:style w:type="character" w:customStyle="1" w:styleId="E-mailSignatureChar">
    <w:name w:val="E-mail Signature Char"/>
    <w:basedOn w:val="DefaultParagraphFont"/>
    <w:link w:val="E-mailSignature"/>
    <w:uiPriority w:val="99"/>
    <w:semiHidden/>
    <w:rsid w:val="00D21C26"/>
    <w:rPr>
      <w:rFonts w:eastAsiaTheme="minorEastAsia"/>
      <w:sz w:val="24"/>
      <w:lang w:val="fr-FR"/>
    </w:rPr>
  </w:style>
  <w:style w:type="character" w:styleId="EndnoteReference">
    <w:name w:val="endnote reference"/>
    <w:basedOn w:val="DefaultParagraphFont"/>
    <w:uiPriority w:val="99"/>
    <w:semiHidden/>
    <w:rsid w:val="00D21C26"/>
    <w:rPr>
      <w:vertAlign w:val="superscript"/>
    </w:rPr>
  </w:style>
  <w:style w:type="paragraph" w:styleId="EndnoteText">
    <w:name w:val="endnote text"/>
    <w:basedOn w:val="Normal"/>
    <w:link w:val="EndnoteTextChar"/>
    <w:uiPriority w:val="99"/>
    <w:semiHidden/>
    <w:rsid w:val="00D21C26"/>
    <w:rPr>
      <w:sz w:val="20"/>
      <w:szCs w:val="20"/>
    </w:rPr>
  </w:style>
  <w:style w:type="character" w:customStyle="1" w:styleId="EndnoteTextChar">
    <w:name w:val="Endnote Text Char"/>
    <w:basedOn w:val="DefaultParagraphFont"/>
    <w:link w:val="EndnoteText"/>
    <w:uiPriority w:val="99"/>
    <w:semiHidden/>
    <w:rsid w:val="00D21C26"/>
    <w:rPr>
      <w:rFonts w:eastAsiaTheme="minorEastAsia"/>
      <w:sz w:val="20"/>
      <w:szCs w:val="20"/>
      <w:lang w:val="fr-FR"/>
    </w:rPr>
  </w:style>
  <w:style w:type="paragraph" w:styleId="EnvelopeAddress">
    <w:name w:val="envelope address"/>
    <w:basedOn w:val="Normal"/>
    <w:uiPriority w:val="99"/>
    <w:semiHidden/>
    <w:rsid w:val="00D21C2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21C26"/>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21C26"/>
    <w:rPr>
      <w:color w:val="7030A0" w:themeColor="followedHyperlink"/>
      <w:u w:val="single"/>
    </w:rPr>
  </w:style>
  <w:style w:type="character" w:styleId="HTMLAcronym">
    <w:name w:val="HTML Acronym"/>
    <w:basedOn w:val="DefaultParagraphFont"/>
    <w:uiPriority w:val="99"/>
    <w:semiHidden/>
    <w:rsid w:val="00D21C26"/>
  </w:style>
  <w:style w:type="paragraph" w:styleId="HTMLAddress">
    <w:name w:val="HTML Address"/>
    <w:basedOn w:val="Normal"/>
    <w:link w:val="HTMLAddressChar"/>
    <w:uiPriority w:val="99"/>
    <w:semiHidden/>
    <w:rsid w:val="00D21C26"/>
    <w:rPr>
      <w:i/>
      <w:iCs/>
    </w:rPr>
  </w:style>
  <w:style w:type="character" w:customStyle="1" w:styleId="HTMLAddressChar">
    <w:name w:val="HTML Address Char"/>
    <w:basedOn w:val="DefaultParagraphFont"/>
    <w:link w:val="HTMLAddress"/>
    <w:uiPriority w:val="99"/>
    <w:semiHidden/>
    <w:rsid w:val="00D21C26"/>
    <w:rPr>
      <w:rFonts w:eastAsiaTheme="minorEastAsia"/>
      <w:i/>
      <w:iCs/>
      <w:sz w:val="24"/>
      <w:lang w:val="fr-FR"/>
    </w:rPr>
  </w:style>
  <w:style w:type="character" w:styleId="HTMLCite">
    <w:name w:val="HTML Cite"/>
    <w:basedOn w:val="DefaultParagraphFont"/>
    <w:uiPriority w:val="99"/>
    <w:semiHidden/>
    <w:rsid w:val="00D21C26"/>
    <w:rPr>
      <w:i/>
      <w:iCs/>
    </w:rPr>
  </w:style>
  <w:style w:type="character" w:styleId="HTMLCode">
    <w:name w:val="HTML Code"/>
    <w:basedOn w:val="DefaultParagraphFont"/>
    <w:uiPriority w:val="99"/>
    <w:semiHidden/>
    <w:rsid w:val="00D21C26"/>
    <w:rPr>
      <w:rFonts w:ascii="Consolas" w:hAnsi="Consolas" w:cs="Consolas"/>
      <w:sz w:val="20"/>
      <w:szCs w:val="20"/>
    </w:rPr>
  </w:style>
  <w:style w:type="character" w:styleId="HTMLDefinition">
    <w:name w:val="HTML Definition"/>
    <w:basedOn w:val="DefaultParagraphFont"/>
    <w:uiPriority w:val="99"/>
    <w:semiHidden/>
    <w:rsid w:val="00D21C26"/>
    <w:rPr>
      <w:i/>
      <w:iCs/>
    </w:rPr>
  </w:style>
  <w:style w:type="character" w:styleId="HTMLKeyboard">
    <w:name w:val="HTML Keyboard"/>
    <w:basedOn w:val="DefaultParagraphFont"/>
    <w:uiPriority w:val="99"/>
    <w:semiHidden/>
    <w:rsid w:val="00D21C26"/>
    <w:rPr>
      <w:rFonts w:ascii="Consolas" w:hAnsi="Consolas" w:cs="Consolas"/>
      <w:sz w:val="20"/>
      <w:szCs w:val="20"/>
    </w:rPr>
  </w:style>
  <w:style w:type="paragraph" w:styleId="HTMLPreformatted">
    <w:name w:val="HTML Preformatted"/>
    <w:basedOn w:val="Normal"/>
    <w:link w:val="HTMLPreformattedChar"/>
    <w:uiPriority w:val="99"/>
    <w:semiHidden/>
    <w:rsid w:val="00D21C2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21C26"/>
    <w:rPr>
      <w:rFonts w:ascii="Consolas" w:eastAsiaTheme="minorEastAsia" w:hAnsi="Consolas" w:cs="Consolas"/>
      <w:sz w:val="20"/>
      <w:szCs w:val="20"/>
      <w:lang w:val="fr-FR"/>
    </w:rPr>
  </w:style>
  <w:style w:type="character" w:styleId="HTMLSample">
    <w:name w:val="HTML Sample"/>
    <w:basedOn w:val="DefaultParagraphFont"/>
    <w:uiPriority w:val="99"/>
    <w:semiHidden/>
    <w:rsid w:val="00D21C26"/>
    <w:rPr>
      <w:rFonts w:ascii="Consolas" w:hAnsi="Consolas" w:cs="Consolas"/>
      <w:sz w:val="24"/>
      <w:szCs w:val="24"/>
    </w:rPr>
  </w:style>
  <w:style w:type="character" w:styleId="HTMLTypewriter">
    <w:name w:val="HTML Typewriter"/>
    <w:basedOn w:val="DefaultParagraphFont"/>
    <w:uiPriority w:val="99"/>
    <w:semiHidden/>
    <w:rsid w:val="00D21C26"/>
    <w:rPr>
      <w:rFonts w:ascii="Consolas" w:hAnsi="Consolas" w:cs="Consolas"/>
      <w:sz w:val="20"/>
      <w:szCs w:val="20"/>
    </w:rPr>
  </w:style>
  <w:style w:type="character" w:styleId="HTMLVariable">
    <w:name w:val="HTML Variable"/>
    <w:basedOn w:val="DefaultParagraphFont"/>
    <w:uiPriority w:val="99"/>
    <w:semiHidden/>
    <w:rsid w:val="00D21C26"/>
    <w:rPr>
      <w:i/>
      <w:iCs/>
    </w:rPr>
  </w:style>
  <w:style w:type="paragraph" w:styleId="Index1">
    <w:name w:val="index 1"/>
    <w:basedOn w:val="Normal"/>
    <w:next w:val="Normal"/>
    <w:autoRedefine/>
    <w:uiPriority w:val="99"/>
    <w:semiHidden/>
    <w:rsid w:val="00D21C26"/>
    <w:pPr>
      <w:ind w:left="240" w:hanging="240"/>
    </w:pPr>
  </w:style>
  <w:style w:type="paragraph" w:styleId="Index2">
    <w:name w:val="index 2"/>
    <w:basedOn w:val="Normal"/>
    <w:next w:val="Normal"/>
    <w:autoRedefine/>
    <w:uiPriority w:val="99"/>
    <w:semiHidden/>
    <w:rsid w:val="00D21C26"/>
    <w:pPr>
      <w:ind w:left="480" w:hanging="240"/>
    </w:pPr>
  </w:style>
  <w:style w:type="paragraph" w:styleId="Index3">
    <w:name w:val="index 3"/>
    <w:basedOn w:val="Normal"/>
    <w:next w:val="Normal"/>
    <w:autoRedefine/>
    <w:uiPriority w:val="99"/>
    <w:semiHidden/>
    <w:rsid w:val="00D21C26"/>
    <w:pPr>
      <w:ind w:left="720" w:hanging="240"/>
    </w:pPr>
  </w:style>
  <w:style w:type="paragraph" w:styleId="Index4">
    <w:name w:val="index 4"/>
    <w:basedOn w:val="Normal"/>
    <w:next w:val="Normal"/>
    <w:autoRedefine/>
    <w:uiPriority w:val="99"/>
    <w:semiHidden/>
    <w:rsid w:val="00D21C26"/>
    <w:pPr>
      <w:ind w:left="960" w:hanging="240"/>
    </w:pPr>
  </w:style>
  <w:style w:type="paragraph" w:styleId="Index5">
    <w:name w:val="index 5"/>
    <w:basedOn w:val="Normal"/>
    <w:next w:val="Normal"/>
    <w:autoRedefine/>
    <w:uiPriority w:val="99"/>
    <w:semiHidden/>
    <w:rsid w:val="00D21C26"/>
    <w:pPr>
      <w:ind w:left="1200" w:hanging="240"/>
    </w:pPr>
  </w:style>
  <w:style w:type="paragraph" w:styleId="Index6">
    <w:name w:val="index 6"/>
    <w:basedOn w:val="Normal"/>
    <w:next w:val="Normal"/>
    <w:autoRedefine/>
    <w:uiPriority w:val="99"/>
    <w:semiHidden/>
    <w:rsid w:val="00D21C26"/>
    <w:pPr>
      <w:ind w:left="1440" w:hanging="240"/>
    </w:pPr>
  </w:style>
  <w:style w:type="paragraph" w:styleId="Index7">
    <w:name w:val="index 7"/>
    <w:basedOn w:val="Normal"/>
    <w:next w:val="Normal"/>
    <w:autoRedefine/>
    <w:uiPriority w:val="99"/>
    <w:semiHidden/>
    <w:rsid w:val="00D21C26"/>
    <w:pPr>
      <w:ind w:left="1680" w:hanging="240"/>
    </w:pPr>
  </w:style>
  <w:style w:type="paragraph" w:styleId="Index8">
    <w:name w:val="index 8"/>
    <w:basedOn w:val="Normal"/>
    <w:next w:val="Normal"/>
    <w:autoRedefine/>
    <w:uiPriority w:val="99"/>
    <w:semiHidden/>
    <w:rsid w:val="00D21C26"/>
    <w:pPr>
      <w:ind w:left="1920" w:hanging="240"/>
    </w:pPr>
  </w:style>
  <w:style w:type="paragraph" w:styleId="Index9">
    <w:name w:val="index 9"/>
    <w:basedOn w:val="Normal"/>
    <w:next w:val="Normal"/>
    <w:autoRedefine/>
    <w:uiPriority w:val="99"/>
    <w:semiHidden/>
    <w:rsid w:val="00D21C26"/>
    <w:pPr>
      <w:ind w:left="2160" w:hanging="240"/>
    </w:pPr>
  </w:style>
  <w:style w:type="paragraph" w:styleId="IndexHeading">
    <w:name w:val="index heading"/>
    <w:basedOn w:val="Normal"/>
    <w:next w:val="Index1"/>
    <w:uiPriority w:val="99"/>
    <w:semiHidden/>
    <w:rsid w:val="00D21C26"/>
    <w:rPr>
      <w:rFonts w:asciiTheme="majorHAnsi" w:eastAsiaTheme="majorEastAsia" w:hAnsiTheme="majorHAnsi" w:cstheme="majorBidi"/>
      <w:b/>
      <w:bCs/>
    </w:rPr>
  </w:style>
  <w:style w:type="table" w:styleId="LightGrid">
    <w:name w:val="Light Grid"/>
    <w:basedOn w:val="TableNormal"/>
    <w:uiPriority w:val="62"/>
    <w:semiHidden/>
    <w:rsid w:val="00D21C2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21C2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21C2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21C2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21C2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21C2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21C2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21C2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21C2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21C2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21C2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21C2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21C2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21C2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21C2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21C2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21C2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21C2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21C2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21C2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21C2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21C26"/>
  </w:style>
  <w:style w:type="paragraph" w:styleId="List">
    <w:name w:val="List"/>
    <w:basedOn w:val="Normal"/>
    <w:uiPriority w:val="99"/>
    <w:semiHidden/>
    <w:rsid w:val="00D21C26"/>
    <w:pPr>
      <w:ind w:left="283" w:hanging="283"/>
      <w:contextualSpacing/>
    </w:pPr>
  </w:style>
  <w:style w:type="paragraph" w:styleId="List2">
    <w:name w:val="List 2"/>
    <w:basedOn w:val="Normal"/>
    <w:uiPriority w:val="99"/>
    <w:semiHidden/>
    <w:rsid w:val="00D21C26"/>
    <w:pPr>
      <w:ind w:left="566" w:hanging="283"/>
      <w:contextualSpacing/>
    </w:pPr>
  </w:style>
  <w:style w:type="paragraph" w:styleId="List3">
    <w:name w:val="List 3"/>
    <w:basedOn w:val="Normal"/>
    <w:uiPriority w:val="99"/>
    <w:semiHidden/>
    <w:rsid w:val="00D21C26"/>
    <w:pPr>
      <w:ind w:left="849" w:hanging="283"/>
      <w:contextualSpacing/>
    </w:pPr>
  </w:style>
  <w:style w:type="paragraph" w:styleId="List4">
    <w:name w:val="List 4"/>
    <w:basedOn w:val="Normal"/>
    <w:uiPriority w:val="99"/>
    <w:semiHidden/>
    <w:rsid w:val="00D21C26"/>
    <w:pPr>
      <w:ind w:left="1132" w:hanging="283"/>
      <w:contextualSpacing/>
    </w:pPr>
  </w:style>
  <w:style w:type="paragraph" w:styleId="List5">
    <w:name w:val="List 5"/>
    <w:basedOn w:val="Normal"/>
    <w:uiPriority w:val="99"/>
    <w:semiHidden/>
    <w:rsid w:val="00D21C26"/>
    <w:pPr>
      <w:ind w:left="1415" w:hanging="283"/>
      <w:contextualSpacing/>
    </w:pPr>
  </w:style>
  <w:style w:type="paragraph" w:styleId="ListBullet">
    <w:name w:val="List Bullet"/>
    <w:basedOn w:val="Normal"/>
    <w:uiPriority w:val="99"/>
    <w:semiHidden/>
    <w:rsid w:val="00D21C26"/>
    <w:pPr>
      <w:numPr>
        <w:numId w:val="9"/>
      </w:numPr>
    </w:pPr>
  </w:style>
  <w:style w:type="paragraph" w:styleId="ListBullet3">
    <w:name w:val="List Bullet 3"/>
    <w:basedOn w:val="Normal"/>
    <w:uiPriority w:val="99"/>
    <w:semiHidden/>
    <w:rsid w:val="00D21C26"/>
    <w:pPr>
      <w:numPr>
        <w:numId w:val="11"/>
      </w:numPr>
      <w:contextualSpacing/>
    </w:pPr>
  </w:style>
  <w:style w:type="paragraph" w:styleId="ListBullet4">
    <w:name w:val="List Bullet 4"/>
    <w:basedOn w:val="Normal"/>
    <w:uiPriority w:val="99"/>
    <w:semiHidden/>
    <w:rsid w:val="00D21C26"/>
    <w:pPr>
      <w:numPr>
        <w:numId w:val="12"/>
      </w:numPr>
      <w:contextualSpacing/>
    </w:pPr>
  </w:style>
  <w:style w:type="paragraph" w:styleId="ListBullet5">
    <w:name w:val="List Bullet 5"/>
    <w:basedOn w:val="Normal"/>
    <w:uiPriority w:val="99"/>
    <w:semiHidden/>
    <w:rsid w:val="00D21C26"/>
    <w:pPr>
      <w:numPr>
        <w:numId w:val="13"/>
      </w:numPr>
      <w:contextualSpacing/>
    </w:pPr>
  </w:style>
  <w:style w:type="paragraph" w:styleId="ListContinue">
    <w:name w:val="List Continue"/>
    <w:basedOn w:val="Normal"/>
    <w:uiPriority w:val="99"/>
    <w:semiHidden/>
    <w:rsid w:val="00D21C26"/>
    <w:pPr>
      <w:spacing w:after="120"/>
      <w:ind w:left="283"/>
      <w:contextualSpacing/>
    </w:pPr>
  </w:style>
  <w:style w:type="paragraph" w:styleId="ListContinue2">
    <w:name w:val="List Continue 2"/>
    <w:basedOn w:val="Normal"/>
    <w:uiPriority w:val="99"/>
    <w:semiHidden/>
    <w:rsid w:val="00D21C26"/>
    <w:pPr>
      <w:spacing w:after="120"/>
      <w:ind w:left="566"/>
      <w:contextualSpacing/>
    </w:pPr>
  </w:style>
  <w:style w:type="paragraph" w:styleId="ListContinue3">
    <w:name w:val="List Continue 3"/>
    <w:basedOn w:val="Normal"/>
    <w:uiPriority w:val="99"/>
    <w:semiHidden/>
    <w:rsid w:val="00D21C26"/>
    <w:pPr>
      <w:spacing w:after="120"/>
      <w:ind w:left="849"/>
      <w:contextualSpacing/>
    </w:pPr>
  </w:style>
  <w:style w:type="paragraph" w:styleId="ListContinue4">
    <w:name w:val="List Continue 4"/>
    <w:basedOn w:val="Normal"/>
    <w:uiPriority w:val="99"/>
    <w:semiHidden/>
    <w:rsid w:val="00D21C26"/>
    <w:pPr>
      <w:spacing w:after="120"/>
      <w:ind w:left="1132"/>
      <w:contextualSpacing/>
    </w:pPr>
  </w:style>
  <w:style w:type="paragraph" w:styleId="ListContinue5">
    <w:name w:val="List Continue 5"/>
    <w:basedOn w:val="Normal"/>
    <w:uiPriority w:val="99"/>
    <w:semiHidden/>
    <w:rsid w:val="00D21C26"/>
    <w:pPr>
      <w:spacing w:after="120"/>
      <w:ind w:left="1415"/>
      <w:contextualSpacing/>
    </w:pPr>
  </w:style>
  <w:style w:type="paragraph" w:styleId="ListNumber">
    <w:name w:val="List Number"/>
    <w:basedOn w:val="Normal"/>
    <w:uiPriority w:val="99"/>
    <w:semiHidden/>
    <w:rsid w:val="00D21C26"/>
    <w:pPr>
      <w:numPr>
        <w:numId w:val="14"/>
      </w:numPr>
      <w:contextualSpacing/>
    </w:pPr>
  </w:style>
  <w:style w:type="paragraph" w:styleId="ListNumber2">
    <w:name w:val="List Number 2"/>
    <w:basedOn w:val="Normal"/>
    <w:uiPriority w:val="99"/>
    <w:semiHidden/>
    <w:rsid w:val="00D21C26"/>
    <w:pPr>
      <w:numPr>
        <w:numId w:val="15"/>
      </w:numPr>
      <w:contextualSpacing/>
    </w:pPr>
  </w:style>
  <w:style w:type="paragraph" w:styleId="ListNumber3">
    <w:name w:val="List Number 3"/>
    <w:basedOn w:val="Normal"/>
    <w:uiPriority w:val="99"/>
    <w:semiHidden/>
    <w:rsid w:val="00D21C26"/>
    <w:pPr>
      <w:numPr>
        <w:numId w:val="16"/>
      </w:numPr>
      <w:contextualSpacing/>
    </w:pPr>
  </w:style>
  <w:style w:type="paragraph" w:styleId="ListNumber4">
    <w:name w:val="List Number 4"/>
    <w:basedOn w:val="Normal"/>
    <w:uiPriority w:val="99"/>
    <w:semiHidden/>
    <w:rsid w:val="00D21C26"/>
    <w:pPr>
      <w:numPr>
        <w:numId w:val="17"/>
      </w:numPr>
      <w:contextualSpacing/>
    </w:pPr>
  </w:style>
  <w:style w:type="paragraph" w:styleId="ListNumber5">
    <w:name w:val="List Number 5"/>
    <w:basedOn w:val="Normal"/>
    <w:uiPriority w:val="99"/>
    <w:semiHidden/>
    <w:rsid w:val="00D21C26"/>
    <w:pPr>
      <w:numPr>
        <w:numId w:val="18"/>
      </w:numPr>
      <w:contextualSpacing/>
    </w:pPr>
  </w:style>
  <w:style w:type="paragraph" w:styleId="MacroText">
    <w:name w:val="macro"/>
    <w:link w:val="MacroTextChar"/>
    <w:uiPriority w:val="99"/>
    <w:semiHidden/>
    <w:rsid w:val="00D21C2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21C26"/>
    <w:rPr>
      <w:rFonts w:ascii="Consolas" w:eastAsiaTheme="minorEastAsia" w:hAnsi="Consolas" w:cs="Consolas"/>
      <w:sz w:val="20"/>
      <w:szCs w:val="20"/>
    </w:rPr>
  </w:style>
  <w:style w:type="table" w:styleId="MediumGrid1">
    <w:name w:val="Medium Grid 1"/>
    <w:basedOn w:val="TableNormal"/>
    <w:uiPriority w:val="67"/>
    <w:semiHidden/>
    <w:rsid w:val="00D21C2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21C2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21C2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21C2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21C2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21C2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21C2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21C2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21C2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21C2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21C2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21C2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21C2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21C2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21C2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21C2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21C2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21C2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21C2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21C2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21C2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21C2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21C2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21C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21C2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21C26"/>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D21C26"/>
    <w:rPr>
      <w:rFonts w:ascii="Times New Roman" w:hAnsi="Times New Roman" w:cs="Times New Roman"/>
      <w:szCs w:val="24"/>
    </w:rPr>
  </w:style>
  <w:style w:type="paragraph" w:styleId="NormalIndent">
    <w:name w:val="Normal Indent"/>
    <w:basedOn w:val="Normal"/>
    <w:uiPriority w:val="99"/>
    <w:semiHidden/>
    <w:rsid w:val="00D21C26"/>
    <w:pPr>
      <w:ind w:left="720"/>
    </w:pPr>
  </w:style>
  <w:style w:type="paragraph" w:styleId="NoteHeading">
    <w:name w:val="Note Heading"/>
    <w:basedOn w:val="Normal"/>
    <w:next w:val="Normal"/>
    <w:link w:val="NoteHeadingChar"/>
    <w:uiPriority w:val="99"/>
    <w:semiHidden/>
    <w:rsid w:val="00D21C26"/>
  </w:style>
  <w:style w:type="character" w:customStyle="1" w:styleId="NoteHeadingChar">
    <w:name w:val="Note Heading Char"/>
    <w:basedOn w:val="DefaultParagraphFont"/>
    <w:link w:val="NoteHeading"/>
    <w:uiPriority w:val="99"/>
    <w:semiHidden/>
    <w:rsid w:val="00D21C26"/>
    <w:rPr>
      <w:rFonts w:eastAsiaTheme="minorEastAsia"/>
      <w:sz w:val="24"/>
      <w:lang w:val="fr-FR"/>
    </w:rPr>
  </w:style>
  <w:style w:type="character" w:styleId="PlaceholderText">
    <w:name w:val="Placeholder Text"/>
    <w:basedOn w:val="DefaultParagraphFont"/>
    <w:uiPriority w:val="99"/>
    <w:semiHidden/>
    <w:rsid w:val="00D21C2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21C26"/>
    <w:rPr>
      <w:rFonts w:ascii="Consolas" w:hAnsi="Consolas" w:cs="Consolas"/>
      <w:sz w:val="21"/>
      <w:szCs w:val="21"/>
    </w:rPr>
  </w:style>
  <w:style w:type="character" w:customStyle="1" w:styleId="PlainTextChar">
    <w:name w:val="Plain Text Char"/>
    <w:basedOn w:val="DefaultParagraphFont"/>
    <w:link w:val="PlainText"/>
    <w:uiPriority w:val="99"/>
    <w:semiHidden/>
    <w:rsid w:val="00D21C26"/>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D21C26"/>
  </w:style>
  <w:style w:type="character" w:customStyle="1" w:styleId="SalutationChar">
    <w:name w:val="Salutation Char"/>
    <w:basedOn w:val="DefaultParagraphFont"/>
    <w:link w:val="Salutation"/>
    <w:uiPriority w:val="99"/>
    <w:semiHidden/>
    <w:rsid w:val="00D21C26"/>
    <w:rPr>
      <w:rFonts w:eastAsiaTheme="minorEastAsia"/>
      <w:sz w:val="24"/>
      <w:lang w:val="fr-FR"/>
    </w:rPr>
  </w:style>
  <w:style w:type="paragraph" w:styleId="Signature">
    <w:name w:val="Signature"/>
    <w:basedOn w:val="Normal"/>
    <w:link w:val="SignatureChar"/>
    <w:uiPriority w:val="99"/>
    <w:semiHidden/>
    <w:rsid w:val="00D21C26"/>
    <w:pPr>
      <w:ind w:left="4252"/>
    </w:pPr>
  </w:style>
  <w:style w:type="character" w:customStyle="1" w:styleId="SignatureChar">
    <w:name w:val="Signature Char"/>
    <w:basedOn w:val="DefaultParagraphFont"/>
    <w:link w:val="Signature"/>
    <w:uiPriority w:val="99"/>
    <w:semiHidden/>
    <w:rsid w:val="00D21C26"/>
    <w:rPr>
      <w:rFonts w:eastAsiaTheme="minorEastAsia"/>
      <w:sz w:val="24"/>
      <w:lang w:val="fr-FR"/>
    </w:rPr>
  </w:style>
  <w:style w:type="table" w:styleId="Table3Deffects1">
    <w:name w:val="Table 3D effects 1"/>
    <w:basedOn w:val="TableNormal"/>
    <w:uiPriority w:val="99"/>
    <w:semiHidden/>
    <w:unhideWhenUsed/>
    <w:rsid w:val="00D21C26"/>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21C26"/>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21C26"/>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21C26"/>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21C26"/>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21C26"/>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21C26"/>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21C26"/>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21C26"/>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21C26"/>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21C26"/>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21C26"/>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21C26"/>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21C26"/>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21C26"/>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21C26"/>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21C26"/>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21C2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21C26"/>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21C26"/>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21C26"/>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21C26"/>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21C26"/>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21C26"/>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21C26"/>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21C26"/>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21C26"/>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21C26"/>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21C26"/>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21C26"/>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21C26"/>
    <w:pPr>
      <w:ind w:left="240" w:hanging="240"/>
    </w:pPr>
  </w:style>
  <w:style w:type="paragraph" w:styleId="TableofFigures">
    <w:name w:val="table of figures"/>
    <w:basedOn w:val="Normal"/>
    <w:next w:val="Normal"/>
    <w:uiPriority w:val="99"/>
    <w:semiHidden/>
    <w:rsid w:val="00D21C26"/>
  </w:style>
  <w:style w:type="table" w:styleId="TableProfessional">
    <w:name w:val="Table Professional"/>
    <w:basedOn w:val="TableNormal"/>
    <w:uiPriority w:val="99"/>
    <w:semiHidden/>
    <w:unhideWhenUsed/>
    <w:rsid w:val="00D21C26"/>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21C26"/>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21C26"/>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21C26"/>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21C26"/>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21C26"/>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21C2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21C26"/>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21C26"/>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21C26"/>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21C2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21C2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21C26"/>
    <w:pPr>
      <w:spacing w:after="100"/>
      <w:ind w:left="1680"/>
    </w:pPr>
  </w:style>
  <w:style w:type="paragraph" w:styleId="TOC9">
    <w:name w:val="toc 9"/>
    <w:basedOn w:val="Normal"/>
    <w:next w:val="Normal"/>
    <w:autoRedefine/>
    <w:uiPriority w:val="99"/>
    <w:semiHidden/>
    <w:rsid w:val="00D21C26"/>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FooterLine">
    <w:name w:val="_Footer_Line"/>
    <w:aliases w:val="Footer_Line"/>
    <w:basedOn w:val="Normal"/>
    <w:next w:val="Footer"/>
    <w:uiPriority w:val="57"/>
    <w:semiHidden/>
    <w:rsid w:val="00D21C26"/>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D21C26"/>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D21C26"/>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D21C26"/>
    <w:pPr>
      <w:keepNext/>
      <w:keepLines/>
      <w:spacing w:before="1320" w:after="280"/>
      <w:contextualSpacing/>
      <w:jc w:val="center"/>
    </w:pPr>
    <w:rPr>
      <w:rFonts w:eastAsiaTheme="minorHAnsi"/>
      <w:b/>
    </w:rPr>
  </w:style>
  <w:style w:type="character" w:customStyle="1" w:styleId="JuParaChar">
    <w:name w:val="Ju_Para Char"/>
    <w:aliases w:val="_Para Char"/>
    <w:basedOn w:val="DefaultParagraphFont"/>
    <w:link w:val="JuPara"/>
    <w:uiPriority w:val="12"/>
    <w:rsid w:val="003E3207"/>
    <w:rPr>
      <w:rFonts w:eastAsiaTheme="minorEastAsia"/>
      <w:sz w:val="24"/>
      <w:lang w:val="fr-FR"/>
    </w:rPr>
  </w:style>
  <w:style w:type="paragraph" w:customStyle="1" w:styleId="jupara0">
    <w:name w:val="jupara"/>
    <w:basedOn w:val="Normal"/>
    <w:rsid w:val="003A47E1"/>
    <w:pPr>
      <w:ind w:firstLine="284"/>
      <w:jc w:val="both"/>
    </w:pPr>
    <w:rPr>
      <w:rFonts w:ascii="Times New Roman" w:eastAsia="Times New Roman" w:hAnsi="Times New Roman" w:cs="Times New Roman"/>
      <w:szCs w:val="24"/>
      <w:lang w:val="en-GB" w:eastAsia="en-GB"/>
    </w:rPr>
  </w:style>
  <w:style w:type="paragraph" w:customStyle="1" w:styleId="jucase0">
    <w:name w:val="jucase"/>
    <w:basedOn w:val="Normal"/>
    <w:rsid w:val="003A47E1"/>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486B65-C4DE-4E88-A824-E8D1CF72F77A}"/>
</file>

<file path=customXml/itemProps2.xml><?xml version="1.0" encoding="utf-8"?>
<ds:datastoreItem xmlns:ds="http://schemas.openxmlformats.org/officeDocument/2006/customXml" ds:itemID="{88BB52E4-1601-415D-9FF1-E3A3DDEF5418}"/>
</file>

<file path=customXml/itemProps3.xml><?xml version="1.0" encoding="utf-8"?>
<ds:datastoreItem xmlns:ds="http://schemas.openxmlformats.org/officeDocument/2006/customXml" ds:itemID="{73C8BA6E-2BD0-4A89-B7FC-1E434EDAA8DE}"/>
</file>

<file path=customXml/itemProps4.xml><?xml version="1.0" encoding="utf-8"?>
<ds:datastoreItem xmlns:ds="http://schemas.openxmlformats.org/officeDocument/2006/customXml" ds:itemID="{B996C981-FDCF-4CED-B6F6-5DE58AEF2763}"/>
</file>

<file path=docProps/app.xml><?xml version="1.0" encoding="utf-8"?>
<Properties xmlns="http://schemas.openxmlformats.org/officeDocument/2006/extended-properties" xmlns:vt="http://schemas.openxmlformats.org/officeDocument/2006/docPropsVTypes">
  <Template>Normal.dotm</Template>
  <TotalTime>0</TotalTime>
  <Pages>1</Pages>
  <Words>2095</Words>
  <Characters>11944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2021-01-11T13:46:00Z</dcterms:created>
  <dcterms:modified xsi:type="dcterms:W3CDTF">2021-01-11T13:46:00Z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2705/05</vt:lpwstr>
  </property>
  <property fmtid="{D5CDD505-2E9C-101B-9397-08002B2CF9AE}" pid="4" name="CASEID">
    <vt:lpwstr>332925</vt:lpwstr>
  </property>
  <property fmtid="{D5CDD505-2E9C-101B-9397-08002B2CF9AE}" pid="5" name="ContentTypeId">
    <vt:lpwstr>0x010100558EB02BDB9E204AB350EDD385B68E10</vt:lpwstr>
  </property>
</Properties>
</file>