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672891" w:rsidR="001E2DCB" w:rsidP="00672891" w14:paraId="684E3FDD" w14:textId="77777777">
      <w:pPr>
        <w:jc w:val="center"/>
        <w:rPr>
          <w:rFonts w:ascii="Times New Roman" w:hAnsi="Times New Roman" w:cs="Times New Roman"/>
        </w:rPr>
      </w:pPr>
    </w:p>
    <w:p w:rsidRPr="00672891" w:rsidR="001E2DCB" w:rsidP="00672891" w14:paraId="1CF4E458" w14:textId="77777777">
      <w:pPr>
        <w:jc w:val="center"/>
        <w:rPr>
          <w:rFonts w:ascii="Times New Roman" w:hAnsi="Times New Roman" w:cs="Times New Roman"/>
        </w:rPr>
      </w:pPr>
    </w:p>
    <w:p w:rsidRPr="00672891" w:rsidR="001E2DCB" w:rsidP="00672891" w14:paraId="79E8BC63" w14:textId="77777777">
      <w:pPr>
        <w:jc w:val="center"/>
        <w:rPr>
          <w:rFonts w:ascii="Times New Roman" w:hAnsi="Times New Roman" w:cs="Times New Roman"/>
        </w:rPr>
      </w:pPr>
    </w:p>
    <w:p w:rsidRPr="00672891" w:rsidR="002D2C99" w:rsidP="00672891" w14:paraId="7090198C" w14:textId="77777777">
      <w:pPr>
        <w:pStyle w:val="DecHCase"/>
      </w:pPr>
      <w:r w:rsidRPr="00672891">
        <w:t>DEUXIÈME SECTION</w:t>
      </w:r>
    </w:p>
    <w:p w:rsidRPr="00672891" w:rsidR="00A82D04" w:rsidP="00672891" w14:paraId="63310C2A" w14:textId="77777777">
      <w:pPr>
        <w:pStyle w:val="JuTitle"/>
      </w:pPr>
    </w:p>
    <w:p w:rsidRPr="00672891" w:rsidR="00A82D04" w:rsidP="00672891" w14:paraId="6BAC8E48" w14:textId="77777777">
      <w:pPr>
        <w:pStyle w:val="JuTitle"/>
      </w:pPr>
    </w:p>
    <w:p w:rsidRPr="00672891" w:rsidR="002D2C99" w:rsidP="00672891" w14:paraId="55DB56FE" w14:textId="77777777">
      <w:pPr>
        <w:pStyle w:val="JuTitle"/>
      </w:pPr>
      <w:r w:rsidRPr="00672891">
        <w:t xml:space="preserve">AFFAIRE </w:t>
      </w:r>
      <w:r w:rsidRPr="00672891" w:rsidR="001E2DCB">
        <w:t>YAŞAR HOLD</w:t>
      </w:r>
      <w:r w:rsidRPr="00672891" w:rsidR="001E2DCB">
        <w:rPr>
          <w:rFonts w:ascii="Times New Roman" w:hAnsi="Times New Roman" w:cs="Times New Roman" w:eastAsiaTheme="minorEastAsia"/>
        </w:rPr>
        <w:t>İ</w:t>
      </w:r>
      <w:r w:rsidRPr="00672891" w:rsidR="00E66827">
        <w:rPr>
          <w:rFonts w:ascii="Times New Roman" w:hAnsi="Times New Roman" w:cs="Times New Roman" w:eastAsiaTheme="minorEastAsia"/>
        </w:rPr>
        <w:t>N</w:t>
      </w:r>
      <w:r w:rsidRPr="00672891" w:rsidR="00E66827">
        <w:t>G A.Ş. c. TURQUIE</w:t>
      </w:r>
    </w:p>
    <w:p w:rsidRPr="00672891" w:rsidR="002D2C99" w:rsidP="00672891" w14:paraId="5AA52B68" w14:textId="77777777">
      <w:pPr>
        <w:pStyle w:val="Title4"/>
      </w:pPr>
      <w:r w:rsidRPr="00672891">
        <w:t>(</w:t>
      </w:r>
      <w:r w:rsidRPr="00672891" w:rsidR="00E66827">
        <w:t>Requête n</w:t>
      </w:r>
      <w:r w:rsidRPr="00672891" w:rsidR="00E66827">
        <w:rPr>
          <w:vertAlign w:val="superscript"/>
        </w:rPr>
        <w:t>o</w:t>
      </w:r>
      <w:r w:rsidRPr="00672891" w:rsidR="00956E5B">
        <w:t xml:space="preserve"> </w:t>
      </w:r>
      <w:r w:rsidRPr="00672891" w:rsidR="00E66827">
        <w:t>48642/07</w:t>
      </w:r>
      <w:r w:rsidRPr="00672891">
        <w:t>)</w:t>
      </w:r>
    </w:p>
    <w:p w:rsidRPr="00672891" w:rsidR="002D2C99" w:rsidP="00672891" w14:paraId="0D7F2C85" w14:textId="77777777">
      <w:pPr>
        <w:jc w:val="center"/>
        <w:rPr>
          <w:rFonts w:ascii="Times New Roman" w:hAnsi="Times New Roman" w:cs="Times New Roman"/>
        </w:rPr>
      </w:pPr>
    </w:p>
    <w:p w:rsidRPr="00672891" w:rsidR="002D2C99" w:rsidP="00672891" w14:paraId="62DBA7D5" w14:textId="77777777">
      <w:pPr>
        <w:jc w:val="center"/>
        <w:rPr>
          <w:rFonts w:ascii="Times New Roman" w:hAnsi="Times New Roman" w:cs="Times New Roman"/>
        </w:rPr>
      </w:pPr>
    </w:p>
    <w:p w:rsidRPr="00672891" w:rsidR="002D2C99" w:rsidP="00672891" w14:paraId="1FC27517" w14:textId="77777777">
      <w:pPr>
        <w:jc w:val="center"/>
        <w:rPr>
          <w:rFonts w:ascii="Times New Roman" w:hAnsi="Times New Roman" w:cs="Times New Roman"/>
        </w:rPr>
      </w:pPr>
    </w:p>
    <w:p w:rsidRPr="00672891" w:rsidR="00A82D04" w:rsidP="00672891" w14:paraId="0212BD9D" w14:textId="77777777">
      <w:pPr>
        <w:jc w:val="center"/>
        <w:rPr>
          <w:rFonts w:ascii="Times New Roman" w:hAnsi="Times New Roman" w:cs="Times New Roman"/>
        </w:rPr>
      </w:pPr>
    </w:p>
    <w:p w:rsidRPr="00672891" w:rsidR="002D2C99" w:rsidP="00672891" w14:paraId="2400E3BD" w14:textId="77777777">
      <w:pPr>
        <w:jc w:val="center"/>
        <w:rPr>
          <w:rFonts w:ascii="Times New Roman" w:hAnsi="Times New Roman" w:cs="Times New Roman"/>
        </w:rPr>
      </w:pPr>
    </w:p>
    <w:p w:rsidRPr="00672891" w:rsidR="002D2C99" w:rsidP="00672891" w14:paraId="512D89E0" w14:textId="77777777">
      <w:pPr>
        <w:pStyle w:val="DecHCase"/>
        <w:rPr>
          <w:i/>
        </w:rPr>
      </w:pPr>
      <w:r w:rsidRPr="00672891">
        <w:t>ARRÊT</w:t>
      </w:r>
      <w:r w:rsidRPr="00672891" w:rsidR="00032D1B">
        <w:br/>
      </w:r>
      <w:bookmarkStart w:name="JUDTYPE" w:id="0"/>
      <w:r w:rsidRPr="00672891" w:rsidR="00E66827">
        <w:rPr>
          <w:i/>
        </w:rPr>
        <w:t>(Satisfaction équitable – radiation)</w:t>
      </w:r>
      <w:bookmarkEnd w:id="0"/>
    </w:p>
    <w:p w:rsidRPr="00672891" w:rsidR="00A82D04" w:rsidP="00672891" w14:paraId="5B0F3A67" w14:textId="77777777">
      <w:pPr>
        <w:pStyle w:val="JuPara"/>
      </w:pPr>
    </w:p>
    <w:p w:rsidRPr="00672891" w:rsidR="00A82D04" w:rsidP="00672891" w14:paraId="72406E10" w14:textId="77777777">
      <w:pPr>
        <w:pStyle w:val="JuPara"/>
      </w:pPr>
    </w:p>
    <w:p w:rsidRPr="00672891" w:rsidR="00A82D04" w:rsidP="00A3272C" w14:paraId="2CCB4430" w14:textId="77777777">
      <w:pPr>
        <w:pStyle w:val="JuPara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ind w:firstLine="0"/>
      </w:pPr>
      <w:r w:rsidRPr="00672891">
        <w:t>Art 41 • Radiation du rôle • Règlement amiable • Problème résolu</w:t>
      </w:r>
    </w:p>
    <w:p w:rsidRPr="00672891" w:rsidR="00672891" w:rsidP="00672891" w14:paraId="0D03C054" w14:textId="77777777">
      <w:pPr>
        <w:pStyle w:val="JuPara"/>
      </w:pPr>
    </w:p>
    <w:p w:rsidRPr="00672891" w:rsidR="00A82D04" w:rsidP="00672891" w14:paraId="63F616A7" w14:textId="77777777">
      <w:pPr>
        <w:pStyle w:val="JuPara"/>
      </w:pPr>
    </w:p>
    <w:p w:rsidRPr="00672891" w:rsidR="002D2C99" w:rsidP="00672891" w14:paraId="72CFF116" w14:textId="77777777">
      <w:pPr>
        <w:pStyle w:val="DecHCase"/>
      </w:pPr>
      <w:r w:rsidRPr="00672891">
        <w:t>STRASBOURG</w:t>
      </w:r>
    </w:p>
    <w:p w:rsidRPr="00672891" w:rsidR="00032D1B" w:rsidP="00672891" w14:paraId="2E60D2D4" w14:textId="77777777">
      <w:pPr>
        <w:pStyle w:val="DecHCase"/>
      </w:pPr>
      <w:r w:rsidRPr="00672891">
        <w:t>22 octobre 2019</w:t>
      </w:r>
    </w:p>
    <w:p w:rsidR="007718B8" w:rsidP="007718B8" w14:paraId="5384CFFA" w14:textId="77777777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>
        <w:rPr>
          <w:color w:val="FF0000"/>
          <w:sz w:val="28"/>
          <w:szCs w:val="28"/>
          <w:u w:val="single"/>
          <w:lang w:val="fr-FR"/>
        </w:rPr>
        <w:t>DÉFINITIF</w:t>
      </w:r>
    </w:p>
    <w:p w:rsidR="007718B8" w:rsidP="007718B8" w14:paraId="292B962B" w14:textId="77777777">
      <w:pPr>
        <w:pStyle w:val="jupara0"/>
        <w:tabs>
          <w:tab w:val="left" w:pos="3450"/>
        </w:tabs>
        <w:ind w:firstLine="0"/>
        <w:jc w:val="center"/>
        <w:rPr>
          <w:color w:val="FF0000"/>
          <w:sz w:val="28"/>
          <w:szCs w:val="28"/>
          <w:lang w:val="fr-FR"/>
        </w:rPr>
      </w:pPr>
    </w:p>
    <w:p w:rsidR="007718B8" w:rsidP="007718B8" w14:paraId="082CBC20" w14:textId="77777777">
      <w:pPr>
        <w:pStyle w:val="jupara0"/>
        <w:ind w:firstLine="0"/>
        <w:jc w:val="center"/>
        <w:rPr>
          <w:color w:val="FF0000"/>
          <w:sz w:val="28"/>
          <w:szCs w:val="28"/>
          <w:lang w:val="fr-FR"/>
        </w:rPr>
      </w:pPr>
      <w:r>
        <w:rPr>
          <w:color w:val="FF0000"/>
          <w:sz w:val="28"/>
          <w:szCs w:val="28"/>
          <w:lang w:val="fr-FR"/>
        </w:rPr>
        <w:t>22/01/2020</w:t>
      </w:r>
    </w:p>
    <w:p w:rsidR="007718B8" w:rsidP="007718B8" w14:paraId="3739DC8F" w14:textId="77777777">
      <w:pPr>
        <w:pStyle w:val="jupara0"/>
        <w:ind w:firstLine="0"/>
        <w:jc w:val="center"/>
        <w:rPr>
          <w:u w:val="single"/>
          <w:lang w:val="fr-FR"/>
        </w:rPr>
      </w:pPr>
    </w:p>
    <w:p w:rsidR="007718B8" w:rsidP="007718B8" w14:paraId="41CF37FC" w14:textId="77777777">
      <w:pPr>
        <w:jc w:val="center"/>
        <w:rPr>
          <w:i/>
          <w:iCs/>
          <w:sz w:val="22"/>
        </w:rPr>
      </w:pPr>
      <w:r>
        <w:rPr>
          <w:i/>
          <w:iCs/>
          <w:sz w:val="22"/>
        </w:rPr>
        <w:t>Cet arrêt est devenu définitif en vertu de l’article 44 § 2 de la Convention. Il peut subir des retouches de forme.</w:t>
      </w:r>
    </w:p>
    <w:p w:rsidRPr="00672891" w:rsidR="002D2C99" w:rsidP="00672891" w14:paraId="45A396D0" w14:textId="77777777">
      <w:pPr>
        <w:jc w:val="left"/>
        <w:rPr>
          <w:i/>
          <w:sz w:val="22"/>
        </w:rPr>
      </w:pPr>
    </w:p>
    <w:p w:rsidRPr="00672891" w:rsidR="002D2C99" w:rsidP="00672891" w14:paraId="2FDD825B" w14:textId="77777777">
      <w:pPr>
        <w:sectPr w:rsidSect="00F5432B">
          <w:headerReference w:type="default" r:id="rId5"/>
          <w:footerReference w:type="default" r:id="rId6"/>
          <w:footnotePr>
            <w:numRestart w:val="eachSect"/>
          </w:foot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</w:sectPr>
      </w:pPr>
    </w:p>
    <w:p w:rsidRPr="00672891" w:rsidR="002D2C99" w:rsidP="00672891" w14:paraId="5FDE99E6" w14:textId="77777777">
      <w:pPr>
        <w:pStyle w:val="JuCase"/>
      </w:pPr>
      <w:r w:rsidRPr="00672891">
        <w:t>En l</w:t>
      </w:r>
      <w:r w:rsidRPr="00672891" w:rsidR="00672891">
        <w:t>’</w:t>
      </w:r>
      <w:r w:rsidRPr="00672891">
        <w:t xml:space="preserve">affaire </w:t>
      </w:r>
      <w:r w:rsidRPr="00672891" w:rsidR="00E66827">
        <w:t>Yaşar</w:t>
      </w:r>
      <w:r w:rsidRPr="00672891" w:rsidR="00E66827">
        <w:t xml:space="preserve"> Holding A.Ş. c. Turquie</w:t>
      </w:r>
      <w:r w:rsidRPr="00672891">
        <w:t>,</w:t>
      </w:r>
    </w:p>
    <w:p w:rsidRPr="00672891" w:rsidR="00777C71" w:rsidP="00672891" w14:paraId="79C2F946" w14:textId="77777777">
      <w:pPr>
        <w:pStyle w:val="JuPara"/>
      </w:pPr>
      <w:r w:rsidRPr="00672891">
        <w:t>La Cour européenne des droits de l</w:t>
      </w:r>
      <w:r w:rsidRPr="00672891" w:rsidR="00672891">
        <w:t>’</w:t>
      </w:r>
      <w:r w:rsidRPr="00672891">
        <w:t>homme (</w:t>
      </w:r>
      <w:r w:rsidRPr="00672891" w:rsidR="00E66827">
        <w:t>deuxième section</w:t>
      </w:r>
      <w:r w:rsidRPr="00672891">
        <w:t xml:space="preserve">), siégeant en </w:t>
      </w:r>
      <w:r w:rsidRPr="00672891" w:rsidR="00E66827">
        <w:rPr>
          <w:color w:val="000000"/>
        </w:rPr>
        <w:t>une</w:t>
      </w:r>
      <w:r w:rsidRPr="00672891" w:rsidR="00E66827">
        <w:t xml:space="preserve"> Chambre composée</w:t>
      </w:r>
      <w:r w:rsidRPr="00672891">
        <w:t xml:space="preserve"> de :</w:t>
      </w:r>
    </w:p>
    <w:p w:rsidRPr="00672891" w:rsidR="00777C71" w:rsidP="00672891" w14:paraId="47E1E1C6" w14:textId="77777777">
      <w:pPr>
        <w:pStyle w:val="JuJudges"/>
      </w:pPr>
      <w:r w:rsidRPr="00672891">
        <w:tab/>
        <w:t xml:space="preserve">Robert </w:t>
      </w:r>
      <w:r w:rsidRPr="00672891">
        <w:t>Spano</w:t>
      </w:r>
      <w:r w:rsidRPr="00672891">
        <w:t>,</w:t>
      </w:r>
      <w:r w:rsidRPr="00672891">
        <w:rPr>
          <w:i/>
        </w:rPr>
        <w:t xml:space="preserve"> président,</w:t>
      </w:r>
      <w:r w:rsidRPr="00672891">
        <w:rPr>
          <w:i/>
        </w:rPr>
        <w:br/>
      </w:r>
      <w:r w:rsidRPr="00672891">
        <w:tab/>
        <w:t xml:space="preserve">Marko </w:t>
      </w:r>
      <w:r w:rsidRPr="00672891">
        <w:t>Bošnjak</w:t>
      </w:r>
      <w:r w:rsidRPr="00672891">
        <w:t>,</w:t>
      </w:r>
      <w:r w:rsidRPr="00672891">
        <w:rPr>
          <w:i/>
        </w:rPr>
        <w:br/>
      </w:r>
      <w:r w:rsidRPr="00672891">
        <w:tab/>
        <w:t xml:space="preserve">Julia </w:t>
      </w:r>
      <w:r w:rsidRPr="00672891">
        <w:t>Laffranque</w:t>
      </w:r>
      <w:r w:rsidRPr="00672891">
        <w:t>,</w:t>
      </w:r>
      <w:r w:rsidRPr="00672891">
        <w:rPr>
          <w:i/>
        </w:rPr>
        <w:br/>
      </w:r>
      <w:r w:rsidRPr="00672891">
        <w:tab/>
      </w:r>
      <w:r w:rsidRPr="00672891">
        <w:t>Valeriu</w:t>
      </w:r>
      <w:r w:rsidRPr="00672891">
        <w:t xml:space="preserve"> </w:t>
      </w:r>
      <w:r w:rsidRPr="00672891">
        <w:t>Griţco</w:t>
      </w:r>
      <w:r w:rsidRPr="00672891">
        <w:t>,</w:t>
      </w:r>
      <w:r w:rsidRPr="00672891">
        <w:rPr>
          <w:i/>
        </w:rPr>
        <w:br/>
      </w:r>
      <w:r w:rsidRPr="00672891">
        <w:tab/>
        <w:t xml:space="preserve">Arnfinn </w:t>
      </w:r>
      <w:r w:rsidRPr="00672891">
        <w:t>Bårdsen</w:t>
      </w:r>
      <w:r w:rsidRPr="00672891">
        <w:t>,</w:t>
      </w:r>
      <w:r w:rsidRPr="00672891">
        <w:rPr>
          <w:i/>
        </w:rPr>
        <w:br/>
      </w:r>
      <w:r w:rsidRPr="00672891">
        <w:tab/>
        <w:t>Darian Pavli,</w:t>
      </w:r>
      <w:r w:rsidRPr="00672891">
        <w:rPr>
          <w:i/>
        </w:rPr>
        <w:br/>
      </w:r>
      <w:r w:rsidRPr="00672891">
        <w:tab/>
      </w:r>
      <w:r w:rsidRPr="00672891">
        <w:t>Saadet</w:t>
      </w:r>
      <w:r w:rsidRPr="00672891">
        <w:t xml:space="preserve"> </w:t>
      </w:r>
      <w:r w:rsidRPr="00672891">
        <w:t>Yüksel</w:t>
      </w:r>
      <w:r w:rsidRPr="00672891">
        <w:t>,</w:t>
      </w:r>
      <w:r w:rsidRPr="00672891">
        <w:rPr>
          <w:i/>
        </w:rPr>
        <w:t xml:space="preserve"> juges,</w:t>
      </w:r>
      <w:r w:rsidRPr="00672891">
        <w:br/>
        <w:t xml:space="preserve">et de </w:t>
      </w:r>
      <w:r w:rsidRPr="00672891" w:rsidR="001A020B">
        <w:t xml:space="preserve">Hasan </w:t>
      </w:r>
      <w:r w:rsidRPr="00672891" w:rsidR="001A020B">
        <w:t>Bakırcı</w:t>
      </w:r>
      <w:r w:rsidRPr="00672891">
        <w:t xml:space="preserve">, </w:t>
      </w:r>
      <w:r w:rsidRPr="00672891" w:rsidR="00E66827">
        <w:rPr>
          <w:i/>
        </w:rPr>
        <w:t>greffier</w:t>
      </w:r>
      <w:r w:rsidRPr="00672891" w:rsidR="00E66827">
        <w:rPr>
          <w:i/>
          <w:iCs/>
        </w:rPr>
        <w:t xml:space="preserve"> </w:t>
      </w:r>
      <w:r w:rsidRPr="00672891" w:rsidR="001A020B">
        <w:rPr>
          <w:i/>
          <w:iCs/>
          <w:lang w:val="tr-TR"/>
        </w:rPr>
        <w:t>adjoint</w:t>
      </w:r>
      <w:r w:rsidRPr="00672891" w:rsidR="001A020B">
        <w:rPr>
          <w:i/>
          <w:iCs/>
          <w:lang w:val="tr-TR"/>
        </w:rPr>
        <w:t xml:space="preserve"> </w:t>
      </w:r>
      <w:r w:rsidRPr="00672891" w:rsidR="00E66827">
        <w:rPr>
          <w:i/>
          <w:iCs/>
        </w:rPr>
        <w:t>d</w:t>
      </w:r>
      <w:r w:rsidRPr="00672891" w:rsidR="00E66827">
        <w:rPr>
          <w:i/>
        </w:rPr>
        <w:t>e section</w:t>
      </w:r>
      <w:r w:rsidRPr="00672891">
        <w:t>,</w:t>
      </w:r>
    </w:p>
    <w:p w:rsidRPr="00672891" w:rsidR="00777C71" w:rsidP="00672891" w14:paraId="3F9F3FC6" w14:textId="77777777">
      <w:pPr>
        <w:pStyle w:val="JuPara"/>
      </w:pPr>
      <w:r w:rsidRPr="00672891">
        <w:t xml:space="preserve">Après en avoir délibéré en chambre du conseil le </w:t>
      </w:r>
      <w:r w:rsidRPr="00672891" w:rsidR="00E66827">
        <w:rPr>
          <w:szCs w:val="24"/>
        </w:rPr>
        <w:t>1</w:t>
      </w:r>
      <w:r w:rsidRPr="00672891" w:rsidR="00E66827">
        <w:rPr>
          <w:szCs w:val="24"/>
          <w:vertAlign w:val="superscript"/>
        </w:rPr>
        <w:t>er</w:t>
      </w:r>
      <w:r w:rsidRPr="00672891" w:rsidR="00E66827">
        <w:rPr>
          <w:szCs w:val="24"/>
        </w:rPr>
        <w:t xml:space="preserve"> octobre 2019</w:t>
      </w:r>
      <w:r w:rsidRPr="00672891">
        <w:t>,</w:t>
      </w:r>
    </w:p>
    <w:p w:rsidRPr="00672891" w:rsidR="00777C71" w:rsidP="00672891" w14:paraId="5B5E5669" w14:textId="77777777">
      <w:pPr>
        <w:pStyle w:val="JuPara"/>
      </w:pPr>
      <w:r w:rsidRPr="00672891">
        <w:t>Rend l</w:t>
      </w:r>
      <w:r w:rsidRPr="00672891" w:rsidR="00672891">
        <w:t>’</w:t>
      </w:r>
      <w:r w:rsidRPr="00672891">
        <w:t>arrêt que voici, adopté à cette date :</w:t>
      </w:r>
    </w:p>
    <w:p w:rsidRPr="00672891" w:rsidR="00E66827" w:rsidP="00672891" w14:paraId="4D25DEEC" w14:textId="77777777">
      <w:pPr>
        <w:pStyle w:val="JuHHead"/>
        <w:numPr>
          <w:ilvl w:val="0"/>
          <w:numId w:val="23"/>
        </w:numPr>
        <w:jc w:val="both"/>
      </w:pPr>
      <w:r w:rsidRPr="00672891">
        <w:t>PROCÉDURE</w:t>
      </w:r>
    </w:p>
    <w:p w:rsidRPr="00672891" w:rsidR="00E66827" w:rsidP="00672891" w14:paraId="40E5E956" w14:textId="77777777">
      <w:pPr>
        <w:pStyle w:val="JuPara"/>
      </w:pPr>
      <w:r w:rsidRPr="00672891">
        <w:t>1.  À l</w:t>
      </w:r>
      <w:r w:rsidRPr="00672891" w:rsidR="00672891">
        <w:t>’</w:t>
      </w:r>
      <w:r w:rsidRPr="00672891">
        <w:t>origine de l</w:t>
      </w:r>
      <w:r w:rsidRPr="00672891" w:rsidR="00672891">
        <w:t>’</w:t>
      </w:r>
      <w:r w:rsidRPr="00672891">
        <w:t>affaire se trouve une requête (n</w:t>
      </w:r>
      <w:r w:rsidRPr="00672891">
        <w:rPr>
          <w:vertAlign w:val="superscript"/>
        </w:rPr>
        <w:t>o</w:t>
      </w:r>
      <w:r w:rsidRPr="00672891">
        <w:t xml:space="preserve"> 48642/07) dirigée contre la République de Turquie et dont une société anonyme de droit turc, </w:t>
      </w:r>
      <w:r w:rsidRPr="00672891">
        <w:t>Yaşar</w:t>
      </w:r>
      <w:r w:rsidRPr="00672891">
        <w:t xml:space="preserve"> Holding A.Ş. (« la requérante »), a saisi la Cour le 31 octobre 2007 en vertu de l</w:t>
      </w:r>
      <w:r w:rsidRPr="00672891" w:rsidR="00672891">
        <w:t>’</w:t>
      </w:r>
      <w:r w:rsidRPr="00672891">
        <w:t>article 34 de la Convention de sauvegarde des droits de l</w:t>
      </w:r>
      <w:r w:rsidRPr="00672891" w:rsidR="00672891">
        <w:t>’</w:t>
      </w:r>
      <w:r w:rsidRPr="00672891">
        <w:t>homme et des libertés fondamentales (« la Convention »).</w:t>
      </w:r>
    </w:p>
    <w:p w:rsidRPr="00672891" w:rsidR="00E66827" w:rsidP="00672891" w14:paraId="4F356DC5" w14:textId="77777777">
      <w:pPr>
        <w:pStyle w:val="JuPara"/>
        <w:rPr>
          <w:i/>
        </w:rPr>
      </w:pPr>
      <w:r w:rsidRPr="00672891">
        <w:t>2.  Par un arrêt du 4 avril 2017 (« l</w:t>
      </w:r>
      <w:r w:rsidRPr="00672891" w:rsidR="00672891">
        <w:t>’</w:t>
      </w:r>
      <w:r w:rsidRPr="00672891">
        <w:t>arrêt au principal »), la Cour a jugé que le transfert de la propriété des actions appartenant à la requérante au Fonds de garantie des dépôts, opéré en vertu d</w:t>
      </w:r>
      <w:r w:rsidRPr="00672891" w:rsidR="00672891">
        <w:t>’</w:t>
      </w:r>
      <w:r w:rsidRPr="00672891">
        <w:t>une disposition entrée en vigueur à peine deux jours plus tôt, était une mesure difficilement prévisible par l</w:t>
      </w:r>
      <w:r w:rsidRPr="00672891" w:rsidR="00672891">
        <w:t>’</w:t>
      </w:r>
      <w:r w:rsidRPr="00672891">
        <w:t>intéressée, et que l</w:t>
      </w:r>
      <w:r w:rsidRPr="00672891" w:rsidR="00672891">
        <w:t>’</w:t>
      </w:r>
      <w:r w:rsidRPr="00672891">
        <w:t>ingérence qui en ait résulté était incompatible avec le principe de légalité. Elle a conclu à la violation de l</w:t>
      </w:r>
      <w:r w:rsidRPr="00672891" w:rsidR="00672891">
        <w:t>’</w:t>
      </w:r>
      <w:r w:rsidRPr="00672891">
        <w:t>article 1 du Protocole n</w:t>
      </w:r>
      <w:r w:rsidRPr="00672891">
        <w:rPr>
          <w:vertAlign w:val="superscript"/>
        </w:rPr>
        <w:t>o</w:t>
      </w:r>
      <w:r w:rsidRPr="00672891">
        <w:t> 1 à la Convention (</w:t>
      </w:r>
      <w:r w:rsidRPr="00672891">
        <w:rPr>
          <w:i/>
        </w:rPr>
        <w:t>Yaşar</w:t>
      </w:r>
      <w:r w:rsidRPr="00672891">
        <w:rPr>
          <w:i/>
        </w:rPr>
        <w:t xml:space="preserve"> Holding A.Ş. c. Turquie</w:t>
      </w:r>
      <w:r w:rsidRPr="00672891">
        <w:t>, n</w:t>
      </w:r>
      <w:r w:rsidRPr="00672891">
        <w:rPr>
          <w:vertAlign w:val="superscript"/>
        </w:rPr>
        <w:t>o</w:t>
      </w:r>
      <w:r w:rsidRPr="00672891">
        <w:t xml:space="preserve"> 48642/07, §§ 99 et 101, 4 avril 2017).</w:t>
      </w:r>
    </w:p>
    <w:p w:rsidRPr="00672891" w:rsidR="00E66827" w:rsidP="00672891" w14:paraId="4FC0FD20" w14:textId="77777777">
      <w:pPr>
        <w:pStyle w:val="JuPara"/>
      </w:pPr>
      <w:r w:rsidRPr="00672891">
        <w:t>3.  En s</w:t>
      </w:r>
      <w:r w:rsidRPr="00672891" w:rsidR="00672891">
        <w:t>’</w:t>
      </w:r>
      <w:r w:rsidRPr="00672891">
        <w:t>appuyant sur l</w:t>
      </w:r>
      <w:r w:rsidRPr="00672891" w:rsidR="00672891">
        <w:t>’</w:t>
      </w:r>
      <w:r w:rsidRPr="00672891">
        <w:t>article 41 de la Convention, la requérante réclamait une satisfaction équitable de 150 millions de dollars américains (« USD »), cette somme correspondant au montant requis pour obtenir une licence d</w:t>
      </w:r>
      <w:r w:rsidRPr="00672891" w:rsidR="00672891">
        <w:t>’</w:t>
      </w:r>
      <w:r w:rsidRPr="00672891">
        <w:t xml:space="preserve">exploitation bancaire lui permettant de retrouver le statut légal qui était le sien avant la perte de ses actions. À titre </w:t>
      </w:r>
      <w:r w:rsidRPr="00672891" w:rsidR="00A82D04">
        <w:t>subsidiaire, elle demandait 1,3 </w:t>
      </w:r>
      <w:r w:rsidRPr="00672891">
        <w:t>milliard USD pour la réparation des pertes subies en raison du transfert de ses actions. Elle réclamait aussi 1 euro (« EUR ») pour préjudice moral. Enfin, la requérante demandait 30 000 EUR pour les frais et dépens engagés pour la procédure devant la Cour.</w:t>
      </w:r>
    </w:p>
    <w:p w:rsidRPr="00672891" w:rsidR="00E66827" w:rsidP="00672891" w14:paraId="39BB974E" w14:textId="77777777">
      <w:pPr>
        <w:pStyle w:val="JuPara"/>
      </w:pPr>
      <w:r w:rsidRPr="00672891">
        <w:t>4.  La question de l</w:t>
      </w:r>
      <w:r w:rsidRPr="00672891" w:rsidR="00672891">
        <w:t>’</w:t>
      </w:r>
      <w:r w:rsidRPr="00672891">
        <w:t>application de l</w:t>
      </w:r>
      <w:r w:rsidRPr="00672891" w:rsidR="00672891">
        <w:t>’</w:t>
      </w:r>
      <w:r w:rsidRPr="00672891">
        <w:t>article 41 de la Convention ne se trouvant pas en état, la Cour l</w:t>
      </w:r>
      <w:r w:rsidRPr="00672891" w:rsidR="00672891">
        <w:t>’</w:t>
      </w:r>
      <w:r w:rsidRPr="00672891">
        <w:t>a réservée et a invité les parties à lui soumettre par écrit, dans les six mois, leurs observations sur ladite question et notamment à lui donner connaissance de tout accord auquel ils pourraient aboutir (</w:t>
      </w:r>
      <w:r w:rsidRPr="00672891">
        <w:rPr>
          <w:i/>
        </w:rPr>
        <w:t>ibidem</w:t>
      </w:r>
      <w:r w:rsidRPr="00672891">
        <w:t>, p. 25, et point 3 du dispositif).</w:t>
      </w:r>
    </w:p>
    <w:p w:rsidRPr="00672891" w:rsidR="00E66827" w:rsidP="00672891" w14:paraId="6CA86DA4" w14:textId="77777777">
      <w:pPr>
        <w:pStyle w:val="JuPara"/>
      </w:pPr>
      <w:r w:rsidRPr="00672891">
        <w:t>5.  Le 17 juin 2019, le Gouvernement a informé la Cour d</w:t>
      </w:r>
      <w:r w:rsidRPr="00672891" w:rsidR="00672891">
        <w:t>’</w:t>
      </w:r>
      <w:r w:rsidRPr="00672891">
        <w:t>un accord intervenu avec la requérante et envoyé le protocole signé le 10 janvier 2019 entre les parties, relatif à l</w:t>
      </w:r>
      <w:r w:rsidRPr="00672891" w:rsidR="00672891">
        <w:t>’</w:t>
      </w:r>
      <w:r w:rsidRPr="00672891">
        <w:t>octroi d</w:t>
      </w:r>
      <w:r w:rsidRPr="00672891" w:rsidR="00672891">
        <w:t>’</w:t>
      </w:r>
      <w:r w:rsidRPr="00672891">
        <w:t>une nouvelle licence d</w:t>
      </w:r>
      <w:r w:rsidRPr="00672891" w:rsidR="00672891">
        <w:t>’</w:t>
      </w:r>
      <w:r w:rsidRPr="00672891">
        <w:t>exploitation bancaire à l</w:t>
      </w:r>
      <w:r w:rsidRPr="00672891" w:rsidR="00672891">
        <w:t>’</w:t>
      </w:r>
      <w:r w:rsidRPr="00672891">
        <w:t>intéressée en vue d</w:t>
      </w:r>
      <w:r w:rsidRPr="00672891" w:rsidR="00672891">
        <w:t>’</w:t>
      </w:r>
      <w:r w:rsidRPr="00672891">
        <w:t>un règlement amiable de l</w:t>
      </w:r>
      <w:r w:rsidRPr="00672891" w:rsidR="00672891">
        <w:t>’</w:t>
      </w:r>
      <w:r w:rsidRPr="00672891">
        <w:t>affaire. Il invite en conséquence la Cour à radier l</w:t>
      </w:r>
      <w:r w:rsidRPr="00672891" w:rsidR="00672891">
        <w:t>’</w:t>
      </w:r>
      <w:r w:rsidRPr="00672891">
        <w:t>affaire du r</w:t>
      </w:r>
      <w:r w:rsidRPr="00672891" w:rsidR="00F34175">
        <w:t>ôle en application de l</w:t>
      </w:r>
      <w:r w:rsidRPr="00672891" w:rsidR="00672891">
        <w:t>’</w:t>
      </w:r>
      <w:r w:rsidRPr="00672891" w:rsidR="00F34175">
        <w:t>article </w:t>
      </w:r>
      <w:r w:rsidRPr="00672891" w:rsidR="00A82D04">
        <w:t>37 § 1 </w:t>
      </w:r>
      <w:r w:rsidRPr="00672891">
        <w:t>b).</w:t>
      </w:r>
    </w:p>
    <w:p w:rsidRPr="00672891" w:rsidR="00E66827" w:rsidP="00672891" w14:paraId="14831269" w14:textId="77777777">
      <w:pPr>
        <w:pStyle w:val="JuPara"/>
      </w:pPr>
      <w:r w:rsidRPr="00672891">
        <w:t>6.  Le 26 juin 2019, la requérante a aussi informé la Cour de l</w:t>
      </w:r>
      <w:r w:rsidRPr="00672891" w:rsidR="00672891">
        <w:t>’</w:t>
      </w:r>
      <w:r w:rsidRPr="00672891">
        <w:t>accord intervenu entre les parties. Elle a indiqué que l</w:t>
      </w:r>
      <w:r w:rsidRPr="00672891" w:rsidR="00672891">
        <w:t>’</w:t>
      </w:r>
      <w:r w:rsidRPr="00672891">
        <w:t>octroi d</w:t>
      </w:r>
      <w:r w:rsidRPr="00672891" w:rsidR="00672891">
        <w:t>’</w:t>
      </w:r>
      <w:r w:rsidRPr="00672891">
        <w:t>une nouvelle licence d</w:t>
      </w:r>
      <w:r w:rsidRPr="00672891" w:rsidR="00672891">
        <w:t>’</w:t>
      </w:r>
      <w:r w:rsidRPr="00672891">
        <w:t>exploitation bancaire constituait une satisfaction équitable et qu</w:t>
      </w:r>
      <w:r w:rsidRPr="00672891" w:rsidR="00672891">
        <w:t>’</w:t>
      </w:r>
      <w:r w:rsidRPr="00672891">
        <w:t>elle renonçait à l</w:t>
      </w:r>
      <w:r w:rsidRPr="00672891" w:rsidR="00672891">
        <w:t>’</w:t>
      </w:r>
      <w:r w:rsidRPr="00672891">
        <w:t>application de l</w:t>
      </w:r>
      <w:r w:rsidRPr="00672891" w:rsidR="00672891">
        <w:t>’</w:t>
      </w:r>
      <w:r w:rsidRPr="00672891">
        <w:t>article 41 de la Convention.</w:t>
      </w:r>
    </w:p>
    <w:p w:rsidRPr="00672891" w:rsidR="00E66827" w:rsidP="00672891" w14:paraId="0365F3EE" w14:textId="77777777">
      <w:pPr>
        <w:pStyle w:val="JuHHead"/>
        <w:numPr>
          <w:ilvl w:val="0"/>
          <w:numId w:val="23"/>
        </w:numPr>
        <w:jc w:val="both"/>
      </w:pPr>
      <w:r w:rsidRPr="00672891">
        <w:t>EN DROIT</w:t>
      </w:r>
    </w:p>
    <w:p w:rsidRPr="00672891" w:rsidR="00E66827" w:rsidP="00672891" w14:paraId="794BA442" w14:textId="77777777">
      <w:pPr>
        <w:pStyle w:val="JuHIRoman"/>
        <w:numPr>
          <w:ilvl w:val="0"/>
          <w:numId w:val="0"/>
        </w:numPr>
      </w:pPr>
      <w:r w:rsidRPr="00672891">
        <w:t>SUR L</w:t>
      </w:r>
      <w:r w:rsidRPr="00672891" w:rsidR="00672891">
        <w:t>’</w:t>
      </w:r>
      <w:r w:rsidRPr="00672891">
        <w:t>APPLICATION DE L</w:t>
      </w:r>
      <w:r w:rsidRPr="00672891" w:rsidR="00672891">
        <w:t>’</w:t>
      </w:r>
      <w:r w:rsidRPr="00672891">
        <w:t>ARTICLE 41 DE LA CONVENTION</w:t>
      </w:r>
    </w:p>
    <w:p w:rsidRPr="00672891" w:rsidR="00E66827" w:rsidP="00672891" w14:paraId="65E97E05" w14:textId="77777777">
      <w:pPr>
        <w:pStyle w:val="JuPara"/>
      </w:pPr>
      <w:r w:rsidRPr="00672891">
        <w:t>7.  Depuis son arrêt au principal, la Cour a été informée d</w:t>
      </w:r>
      <w:r w:rsidRPr="00672891" w:rsidR="00672891">
        <w:t>’</w:t>
      </w:r>
      <w:r w:rsidRPr="00672891">
        <w:t>un règlement amiable conclu entre le Gouvernement et la requérante, quant aux demandes de ce dernier au titre de l</w:t>
      </w:r>
      <w:r w:rsidRPr="00672891" w:rsidR="00672891">
        <w:t>’</w:t>
      </w:r>
      <w:r w:rsidRPr="00672891">
        <w:t>article 41 de la Convention.</w:t>
      </w:r>
    </w:p>
    <w:p w:rsidRPr="00672891" w:rsidR="00E66827" w:rsidP="00672891" w14:paraId="4994845F" w14:textId="77777777">
      <w:pPr>
        <w:pStyle w:val="JuPara"/>
      </w:pPr>
      <w:r w:rsidRPr="00672891">
        <w:t>8.  À la lumière de ce qui précède, la Cour considère que le litige a été résolu au sens de l</w:t>
      </w:r>
      <w:r w:rsidRPr="00672891" w:rsidR="00672891">
        <w:t>’</w:t>
      </w:r>
      <w:r w:rsidRPr="00672891">
        <w:t>article 37 § 1 b) de la Convention. Par ailleurs, aucun motif particulier touchant au respect des droits de l</w:t>
      </w:r>
      <w:r w:rsidRPr="00672891" w:rsidR="00672891">
        <w:t>’</w:t>
      </w:r>
      <w:r w:rsidRPr="00672891">
        <w:t>homme garantis par la Convention et ses protocoles n</w:t>
      </w:r>
      <w:r w:rsidRPr="00672891" w:rsidR="00672891">
        <w:t>’</w:t>
      </w:r>
      <w:r w:rsidRPr="00672891">
        <w:t>exige la poursuite de l</w:t>
      </w:r>
      <w:r w:rsidRPr="00672891" w:rsidR="00672891">
        <w:t>’</w:t>
      </w:r>
      <w:r w:rsidRPr="00672891">
        <w:t>examen de la requête en vertu de l</w:t>
      </w:r>
      <w:r w:rsidRPr="00672891" w:rsidR="00672891">
        <w:t>’</w:t>
      </w:r>
      <w:r w:rsidRPr="00672891">
        <w:t xml:space="preserve">article 37 § 1 </w:t>
      </w:r>
      <w:r w:rsidRPr="00672891">
        <w:rPr>
          <w:i/>
        </w:rPr>
        <w:t>in fine</w:t>
      </w:r>
      <w:r w:rsidRPr="00672891">
        <w:t xml:space="preserve"> de la Convention.</w:t>
      </w:r>
    </w:p>
    <w:p w:rsidRPr="00672891" w:rsidR="00E66827" w:rsidP="00672891" w14:paraId="61A70255" w14:textId="77777777">
      <w:pPr>
        <w:pStyle w:val="JuPara"/>
      </w:pPr>
      <w:r w:rsidRPr="00672891">
        <w:t>9.  Partant, il convient de rayer le restant de l</w:t>
      </w:r>
      <w:r w:rsidRPr="00672891" w:rsidR="00672891">
        <w:t>’</w:t>
      </w:r>
      <w:r w:rsidRPr="00672891">
        <w:t>affaire du rôle.</w:t>
      </w:r>
    </w:p>
    <w:p w:rsidRPr="00672891" w:rsidR="00E66827" w:rsidP="00672891" w14:paraId="5F115E34" w14:textId="77777777">
      <w:pPr>
        <w:pStyle w:val="JuHHead"/>
        <w:numPr>
          <w:ilvl w:val="0"/>
          <w:numId w:val="23"/>
        </w:numPr>
        <w:jc w:val="both"/>
      </w:pPr>
      <w:r w:rsidRPr="00672891">
        <w:t>PAR CES MOTIFS, LA COUR, À L</w:t>
      </w:r>
      <w:r w:rsidRPr="00672891" w:rsidR="00672891">
        <w:t>’</w:t>
      </w:r>
      <w:r w:rsidRPr="00672891">
        <w:t>UNANIMITÉ,</w:t>
      </w:r>
    </w:p>
    <w:p w:rsidRPr="00672891" w:rsidR="00021956" w:rsidP="00672891" w14:paraId="3857DD3D" w14:textId="77777777">
      <w:pPr>
        <w:pStyle w:val="JuList"/>
      </w:pPr>
      <w:r w:rsidRPr="00672891">
        <w:rPr>
          <w:i/>
        </w:rPr>
        <w:t>Décide</w:t>
      </w:r>
      <w:r w:rsidRPr="00672891">
        <w:t xml:space="preserve"> de rayer le restant de l</w:t>
      </w:r>
      <w:r w:rsidRPr="00672891" w:rsidR="00672891">
        <w:t>’</w:t>
      </w:r>
      <w:r w:rsidRPr="00672891">
        <w:t>affaire du rôle.</w:t>
      </w:r>
    </w:p>
    <w:p w:rsidRPr="00672891" w:rsidR="00102FB2" w:rsidP="00672891" w14:paraId="1DCF39AA" w14:textId="77777777">
      <w:pPr>
        <w:pStyle w:val="JuParaLast"/>
        <w:keepNext w:val="0"/>
        <w:keepLines w:val="0"/>
      </w:pPr>
      <w:r w:rsidRPr="00672891">
        <w:t xml:space="preserve">Fait en français, puis communiqué par écrit le </w:t>
      </w:r>
      <w:r w:rsidRPr="00672891" w:rsidR="00E66827">
        <w:rPr>
          <w:rFonts w:ascii="Times New Roman" w:hAnsi="Times New Roman" w:cs="Times New Roman"/>
        </w:rPr>
        <w:t>22 octobre 2019</w:t>
      </w:r>
      <w:r w:rsidRPr="00672891">
        <w:t>, en application de l</w:t>
      </w:r>
      <w:r w:rsidRPr="00672891" w:rsidR="00672891">
        <w:t>’</w:t>
      </w:r>
      <w:r w:rsidRPr="00672891">
        <w:t>article 77 §§ 2 et 3 du règlement de la Cour.</w:t>
      </w:r>
    </w:p>
    <w:p w:rsidRPr="00672891" w:rsidR="004D15F3" w:rsidP="00672891" w14:paraId="31E3F3B1" w14:textId="77777777">
      <w:pPr>
        <w:pStyle w:val="JuSigned"/>
        <w:rPr>
          <w:szCs w:val="24"/>
        </w:rPr>
      </w:pPr>
      <w:r w:rsidRPr="00672891">
        <w:tab/>
        <w:t>Hasan Bakırcı</w:t>
      </w:r>
      <w:r w:rsidRPr="00672891" w:rsidR="00777C71">
        <w:tab/>
      </w:r>
      <w:r w:rsidRPr="00672891" w:rsidR="00F34175">
        <w:rPr>
          <w:szCs w:val="24"/>
        </w:rPr>
        <w:t>Robert Spano</w:t>
      </w:r>
      <w:r w:rsidRPr="00672891" w:rsidR="00777C71">
        <w:br/>
      </w:r>
      <w:r w:rsidRPr="00672891" w:rsidR="00777C71">
        <w:tab/>
      </w:r>
      <w:r w:rsidRPr="00672891" w:rsidR="00E66827">
        <w:t>Greffier</w:t>
      </w:r>
      <w:r w:rsidRPr="00672891">
        <w:t xml:space="preserve"> adjoint</w:t>
      </w:r>
      <w:r w:rsidRPr="00672891" w:rsidR="00777C71">
        <w:tab/>
      </w:r>
      <w:r w:rsidRPr="00672891" w:rsidR="00F34175">
        <w:t>Président</w:t>
      </w:r>
    </w:p>
    <w:sectPr w:rsidSect="001F5B70">
      <w:headerReference w:type="even" r:id="rId7"/>
      <w:headerReference w:type="default" r:id="rId8"/>
      <w:footerReference w:type="even" r:id="rId9"/>
      <w:footerReference w:type="default" r:id="rId10"/>
      <w:footnotePr>
        <w:numRestart w:val="eachSect"/>
      </w:footnotePr>
      <w:pgSz w:w="11906" w:h="16838" w:code="9"/>
      <w:pgMar w:top="2274" w:right="2274" w:bottom="2274" w:left="2274" w:header="1701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827" w:rsidRPr="00150BFA" w:rsidP="0020718E" w14:paraId="6F303151" w14:textId="77777777">
    <w:pPr>
      <w:jc w:val="center"/>
    </w:pPr>
    <w:r>
      <w:rPr>
        <w:noProof/>
        <w:lang w:eastAsia="fr-FR"/>
      </w:rPr>
      <w:drawing>
        <wp:inline distT="0" distB="0" distL="0" distR="0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C99" w:rsidRPr="00775885" w:rsidP="005072EA" w14:paraId="26E0F5B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007" w:rsidP="005072EA" w14:paraId="173FA8DB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6007" w:rsidP="005072EA" w14:paraId="576640C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66827" w:rsidRPr="00A45145" w:rsidP="00A45145" w14:paraId="3D5886BE" w14:textId="77777777">
    <w:pPr>
      <w:jc w:val="center"/>
    </w:pPr>
    <w:r>
      <w:rPr>
        <w:noProof/>
        <w:lang w:eastAsia="fr-FR"/>
      </w:rPr>
      <w:drawing>
        <wp:inline distT="0" distB="0" distL="0" distR="0">
          <wp:extent cx="2962275" cy="1219200"/>
          <wp:effectExtent l="0" t="0" r="9525" b="0"/>
          <wp:docPr id="4" name="Picture 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C99" w:rsidRPr="00775885" w:rsidP="00F5432B" w14:paraId="08360BE1" w14:textId="7777777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B70" w:rsidP="001F5B70" w14:paraId="65EE58B8" w14:textId="77777777">
    <w:pPr>
      <w:pStyle w:val="JuHeader"/>
    </w:pPr>
    <w:r>
      <w:rPr>
        <w:rStyle w:val="PageNumber"/>
        <w:lang w:val="en-GB"/>
      </w:rPr>
      <w:fldChar w:fldCharType="begin"/>
    </w:r>
    <w:r w:rsidRPr="00E66827">
      <w:rPr>
        <w:rStyle w:val="PageNumber"/>
      </w:rPr>
      <w:instrText xml:space="preserve"> PAGE </w:instrText>
    </w:r>
    <w:r>
      <w:rPr>
        <w:rStyle w:val="PageNumber"/>
        <w:lang w:val="en-GB"/>
      </w:rPr>
      <w:fldChar w:fldCharType="separate"/>
    </w:r>
    <w:r w:rsidR="007718B8">
      <w:rPr>
        <w:rStyle w:val="PageNumber"/>
        <w:noProof/>
      </w:rPr>
      <w:t>2</w:t>
    </w:r>
    <w:r>
      <w:rPr>
        <w:rStyle w:val="PageNumber"/>
        <w:lang w:val="en-GB"/>
      </w:rPr>
      <w:fldChar w:fldCharType="end"/>
    </w:r>
    <w:r w:rsidR="00731FD5">
      <w:tab/>
    </w:r>
    <w:r w:rsidRPr="00E66827" w:rsidR="00420F04">
      <w:t xml:space="preserve">ARRÊT </w:t>
    </w:r>
    <w:r w:rsidR="001E2DCB">
      <w:t xml:space="preserve">YAŞAR </w:t>
    </w:r>
    <w:r w:rsidRPr="001F5B70" w:rsidR="001E2DCB">
      <w:t>HOLDİ</w:t>
    </w:r>
    <w:r w:rsidRPr="001F5B70">
      <w:t>NG</w:t>
    </w:r>
    <w:r w:rsidRPr="00E66827">
      <w:t xml:space="preserve"> A.Ş. c. TURQUIE</w:t>
    </w:r>
  </w:p>
  <w:p w:rsidR="00326007" w:rsidRPr="00F5432B" w:rsidP="00731FD5" w14:paraId="03CE6E6D" w14:textId="77777777">
    <w:pPr>
      <w:pStyle w:val="JuHeader"/>
      <w:jc w:val="center"/>
    </w:pPr>
    <w:r w:rsidRPr="00E66827">
      <w:t xml:space="preserve">(SATISFACTION </w:t>
    </w:r>
    <w:r w:rsidRPr="00E66827" w:rsidR="00E66827">
      <w:t>ÉQUITABLE – RADIATION)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F5B70" w:rsidRPr="001F5B70" w:rsidP="001F5B70" w14:paraId="3C899310" w14:textId="77777777">
    <w:pPr>
      <w:pStyle w:val="JuHeader"/>
    </w:pPr>
    <w:r w:rsidRPr="001F5B70">
      <w:tab/>
      <w:t xml:space="preserve">ARRÊT </w:t>
    </w:r>
    <w:r w:rsidRPr="001F5B70" w:rsidR="001E2DCB">
      <w:t>YAŞAR HOLDİ</w:t>
    </w:r>
    <w:r w:rsidRPr="001F5B70" w:rsidR="00E66827">
      <w:t>NG A.Ş. c. TURQUIE</w:t>
    </w:r>
    <w:r w:rsidRPr="001F5B70">
      <w:tab/>
    </w:r>
    <w:r w:rsidRPr="001F5B70">
      <w:rPr>
        <w:rStyle w:val="PageNumber"/>
      </w:rPr>
      <w:fldChar w:fldCharType="begin"/>
    </w:r>
    <w:r w:rsidRPr="001F5B70">
      <w:rPr>
        <w:rStyle w:val="PageNumber"/>
      </w:rPr>
      <w:instrText xml:space="preserve"> PAGE </w:instrText>
    </w:r>
    <w:r w:rsidRPr="001F5B70">
      <w:rPr>
        <w:rStyle w:val="PageNumber"/>
      </w:rPr>
      <w:fldChar w:fldCharType="separate"/>
    </w:r>
    <w:r w:rsidR="007718B8">
      <w:rPr>
        <w:rStyle w:val="PageNumber"/>
        <w:noProof/>
      </w:rPr>
      <w:t>1</w:t>
    </w:r>
    <w:r w:rsidRPr="001F5B70">
      <w:rPr>
        <w:rStyle w:val="PageNumber"/>
      </w:rPr>
      <w:fldChar w:fldCharType="end"/>
    </w:r>
  </w:p>
  <w:p w:rsidR="00326007" w:rsidRPr="001F5B70" w:rsidP="001F5B70" w14:paraId="04DBA562" w14:textId="77777777">
    <w:pPr>
      <w:pStyle w:val="JuHeader"/>
    </w:pPr>
    <w:r w:rsidRPr="001F5B70">
      <w:tab/>
      <w:t>(SATISFACTION ÉQUITABLE –</w:t>
    </w:r>
    <w:r>
      <w:t xml:space="preserve"> </w:t>
    </w:r>
    <w:r w:rsidRPr="001F5B70" w:rsidR="00E66827">
      <w:t>RADIATION)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8CC5F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363396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F4B36E4"/>
    <w:multiLevelType w:val="multilevel"/>
    <w:tmpl w:val="9B34AC6C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4">
    <w:nsid w:val="27D5546B"/>
    <w:multiLevelType w:val="multilevel"/>
    <w:tmpl w:val="BD4225D2"/>
    <w:styleLink w:val="ECHRA1StyleList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285E6A40"/>
    <w:multiLevelType w:val="multilevel"/>
    <w:tmpl w:val="4522B778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lvlText w:val="%3."/>
      <w:lvlJc w:val="left"/>
      <w:pPr>
        <w:tabs>
          <w:tab w:val="num" w:pos="1134"/>
        </w:tabs>
        <w:ind w:left="1134" w:hanging="45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Jc w:val="left"/>
      <w:pPr>
        <w:ind w:left="2517" w:hanging="345"/>
      </w:pPr>
      <w:rPr>
        <w:rFonts w:ascii="Symbol" w:hAnsi="Symbol" w:hint="default"/>
        <w:sz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88D47DE"/>
    <w:multiLevelType w:val="multilevel"/>
    <w:tmpl w:val="8012C870"/>
    <w:lvl w:ilvl="0">
      <w:start w:val="1"/>
      <w:numFmt w:val="decimal"/>
      <w:lvlText w:val="%1."/>
      <w:lvlJc w:val="left"/>
      <w:pPr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40B939E1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989571C"/>
    <w:multiLevelType w:val="multilevel"/>
    <w:tmpl w:val="F842BC8C"/>
    <w:styleLink w:val="ECHRA1StyleBulletedSquare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9">
    <w:nsid w:val="50201130"/>
    <w:multiLevelType w:val="multilevel"/>
    <w:tmpl w:val="F842BC8C"/>
    <w:lvl w:ilvl="0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20">
    <w:nsid w:val="5032512D"/>
    <w:multiLevelType w:val="multilevel"/>
    <w:tmpl w:val="9B34AC6C"/>
    <w:styleLink w:val="ECHRA1StyleNumberedList"/>
    <w:lvl w:ilvl="0">
      <w:start w:val="1"/>
      <w:numFmt w:val="decimal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21">
    <w:nsid w:val="56B9429C"/>
    <w:multiLevelType w:val="multilevel"/>
    <w:tmpl w:val="BDD64E96"/>
    <w:lvl w:ilvl="0">
      <w:start w:val="1"/>
      <w:numFmt w:val="none"/>
      <w:pStyle w:val="JuHHead"/>
      <w:suff w:val="nothing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pStyle w:val="JuHA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pStyle w:val="JuHa0"/>
      <w:lvlText w:val="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pStyle w:val="JuHi"/>
      <w:lvlText w:val="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pStyle w:val="JuHalpha"/>
      <w:lvlText w:val="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pStyle w:val="JuH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22">
    <w:nsid w:val="5B4233A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>
    <w:nsid w:val="70152ADB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76903243"/>
    <w:multiLevelType w:val="multilevel"/>
    <w:tmpl w:val="E884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6"/>
  </w:num>
  <w:num w:numId="2">
    <w:abstractNumId w:val="1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3"/>
  </w:num>
  <w:num w:numId="6">
    <w:abstractNumId w:val="19"/>
  </w:num>
  <w:num w:numId="7">
    <w:abstractNumId w:val="13"/>
  </w:num>
  <w:num w:numId="8">
    <w:abstractNumId w:val="7"/>
  </w:num>
  <w:num w:numId="9">
    <w:abstractNumId w:val="24"/>
  </w:num>
  <w:num w:numId="10">
    <w:abstractNumId w:val="22"/>
  </w:num>
  <w:num w:numId="11">
    <w:abstractNumId w:val="10"/>
  </w:num>
  <w:num w:numId="12">
    <w:abstractNumId w:val="9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5"/>
  </w:num>
  <w:num w:numId="22">
    <w:abstractNumId w:val="25"/>
  </w:num>
  <w:num w:numId="23">
    <w:abstractNumId w:val="21"/>
  </w:num>
  <w:num w:numId="24">
    <w:abstractNumId w:val="21"/>
  </w:num>
  <w:num w:numId="25">
    <w:abstractNumId w:val="21"/>
  </w:num>
  <w:num w:numId="26">
    <w:abstractNumId w:val="21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15"/>
  </w:num>
  <w:num w:numId="32">
    <w:abstractNumId w:val="15"/>
  </w:num>
  <w:num w:numId="33">
    <w:abstractNumId w:val="15"/>
  </w:num>
  <w:num w:numId="34">
    <w:abstractNumId w:val="17"/>
  </w:num>
  <w:num w:numId="35">
    <w:abstractNumId w:val="12"/>
  </w:num>
  <w:num w:numId="36">
    <w:abstractNumId w:val="11"/>
  </w:num>
  <w:num w:numId="37">
    <w:abstractNumId w:val="18"/>
  </w:num>
  <w:num w:numId="38">
    <w:abstractNumId w:val="14"/>
  </w:num>
  <w:num w:numId="39">
    <w:abstractNumId w:val="20"/>
  </w:num>
  <w:num w:numId="40">
    <w:abstractNumId w:val="23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  <w:num w:numId="45">
    <w:abstractNumId w:val="8"/>
  </w:num>
  <w:num w:numId="46">
    <w:abstractNumId w:val="3"/>
  </w:num>
  <w:num w:numId="47">
    <w:abstractNumId w:val="2"/>
  </w:num>
  <w:num w:numId="48">
    <w:abstractNumId w:val="1"/>
  </w:num>
  <w:num w:numId="49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E66827"/>
    <w:rsid w:val="000041F8"/>
    <w:rsid w:val="000042A8"/>
    <w:rsid w:val="00004308"/>
    <w:rsid w:val="00005BF0"/>
    <w:rsid w:val="00007154"/>
    <w:rsid w:val="000103AE"/>
    <w:rsid w:val="00011D69"/>
    <w:rsid w:val="00012AD3"/>
    <w:rsid w:val="00015C2D"/>
    <w:rsid w:val="00015F00"/>
    <w:rsid w:val="00021956"/>
    <w:rsid w:val="00022C1D"/>
    <w:rsid w:val="00032D1B"/>
    <w:rsid w:val="00034987"/>
    <w:rsid w:val="000448F1"/>
    <w:rsid w:val="000602DF"/>
    <w:rsid w:val="00061B05"/>
    <w:rsid w:val="000632D5"/>
    <w:rsid w:val="000644EE"/>
    <w:rsid w:val="00066567"/>
    <w:rsid w:val="000925AD"/>
    <w:rsid w:val="00093335"/>
    <w:rsid w:val="000A24EB"/>
    <w:rsid w:val="000B6923"/>
    <w:rsid w:val="000C5F3C"/>
    <w:rsid w:val="000C6DCC"/>
    <w:rsid w:val="000D47AA"/>
    <w:rsid w:val="000D721F"/>
    <w:rsid w:val="000E069B"/>
    <w:rsid w:val="000E0E82"/>
    <w:rsid w:val="000E1DC5"/>
    <w:rsid w:val="000E223F"/>
    <w:rsid w:val="000E7D45"/>
    <w:rsid w:val="000F7851"/>
    <w:rsid w:val="001022BE"/>
    <w:rsid w:val="00102FB2"/>
    <w:rsid w:val="00104E23"/>
    <w:rsid w:val="00111B0C"/>
    <w:rsid w:val="00120410"/>
    <w:rsid w:val="00120D6C"/>
    <w:rsid w:val="001257EC"/>
    <w:rsid w:val="00127B42"/>
    <w:rsid w:val="00133D33"/>
    <w:rsid w:val="00134D64"/>
    <w:rsid w:val="00135A30"/>
    <w:rsid w:val="0013612C"/>
    <w:rsid w:val="00137FF6"/>
    <w:rsid w:val="00141650"/>
    <w:rsid w:val="00150BFA"/>
    <w:rsid w:val="00162A12"/>
    <w:rsid w:val="00166530"/>
    <w:rsid w:val="001832BD"/>
    <w:rsid w:val="001943B5"/>
    <w:rsid w:val="00195134"/>
    <w:rsid w:val="001A020B"/>
    <w:rsid w:val="001A145B"/>
    <w:rsid w:val="001A3D28"/>
    <w:rsid w:val="001A674C"/>
    <w:rsid w:val="001B3B24"/>
    <w:rsid w:val="001C0F98"/>
    <w:rsid w:val="001C2A42"/>
    <w:rsid w:val="001D63ED"/>
    <w:rsid w:val="001D6B54"/>
    <w:rsid w:val="001D7348"/>
    <w:rsid w:val="001E035B"/>
    <w:rsid w:val="001E0961"/>
    <w:rsid w:val="001E2DCB"/>
    <w:rsid w:val="001E3EAE"/>
    <w:rsid w:val="001E6F32"/>
    <w:rsid w:val="001F2145"/>
    <w:rsid w:val="001F5B70"/>
    <w:rsid w:val="001F6262"/>
    <w:rsid w:val="001F67B0"/>
    <w:rsid w:val="001F7B3D"/>
    <w:rsid w:val="00205F9F"/>
    <w:rsid w:val="0020718E"/>
    <w:rsid w:val="00210338"/>
    <w:rsid w:val="002115FC"/>
    <w:rsid w:val="0021423C"/>
    <w:rsid w:val="002258CD"/>
    <w:rsid w:val="00230D00"/>
    <w:rsid w:val="00231DF7"/>
    <w:rsid w:val="00231FD1"/>
    <w:rsid w:val="002339E0"/>
    <w:rsid w:val="00233CF8"/>
    <w:rsid w:val="0023575D"/>
    <w:rsid w:val="00237148"/>
    <w:rsid w:val="0023766D"/>
    <w:rsid w:val="0024222D"/>
    <w:rsid w:val="00244B0E"/>
    <w:rsid w:val="00244F6C"/>
    <w:rsid w:val="002532C5"/>
    <w:rsid w:val="00260C03"/>
    <w:rsid w:val="0026540E"/>
    <w:rsid w:val="00275123"/>
    <w:rsid w:val="00282240"/>
    <w:rsid w:val="002948AD"/>
    <w:rsid w:val="002A01CC"/>
    <w:rsid w:val="002A61B1"/>
    <w:rsid w:val="002A663C"/>
    <w:rsid w:val="002B444B"/>
    <w:rsid w:val="002B5887"/>
    <w:rsid w:val="002C0E27"/>
    <w:rsid w:val="002C3040"/>
    <w:rsid w:val="002D022D"/>
    <w:rsid w:val="002D24BB"/>
    <w:rsid w:val="002D2C99"/>
    <w:rsid w:val="002F2AF7"/>
    <w:rsid w:val="002F7E1C"/>
    <w:rsid w:val="00301A75"/>
    <w:rsid w:val="00302F70"/>
    <w:rsid w:val="0030336F"/>
    <w:rsid w:val="0030375E"/>
    <w:rsid w:val="00312A30"/>
    <w:rsid w:val="00320F72"/>
    <w:rsid w:val="0032463E"/>
    <w:rsid w:val="00326007"/>
    <w:rsid w:val="00326224"/>
    <w:rsid w:val="00336456"/>
    <w:rsid w:val="00337EE4"/>
    <w:rsid w:val="00340FFD"/>
    <w:rsid w:val="003506B1"/>
    <w:rsid w:val="00352FB1"/>
    <w:rsid w:val="00356AC7"/>
    <w:rsid w:val="003609FA"/>
    <w:rsid w:val="003710C8"/>
    <w:rsid w:val="003750BE"/>
    <w:rsid w:val="00387B9D"/>
    <w:rsid w:val="0039364F"/>
    <w:rsid w:val="00396686"/>
    <w:rsid w:val="0039778E"/>
    <w:rsid w:val="003979ED"/>
    <w:rsid w:val="003B336E"/>
    <w:rsid w:val="003B4941"/>
    <w:rsid w:val="003C5714"/>
    <w:rsid w:val="003C6B9F"/>
    <w:rsid w:val="003C6E2A"/>
    <w:rsid w:val="003D0299"/>
    <w:rsid w:val="003E4026"/>
    <w:rsid w:val="003E65E2"/>
    <w:rsid w:val="003E6D80"/>
    <w:rsid w:val="003E748D"/>
    <w:rsid w:val="003F05FA"/>
    <w:rsid w:val="003F244A"/>
    <w:rsid w:val="003F30B8"/>
    <w:rsid w:val="003F4C45"/>
    <w:rsid w:val="003F5F7B"/>
    <w:rsid w:val="003F7D64"/>
    <w:rsid w:val="00414300"/>
    <w:rsid w:val="00420F04"/>
    <w:rsid w:val="00425C67"/>
    <w:rsid w:val="00427844"/>
    <w:rsid w:val="00427E7A"/>
    <w:rsid w:val="00436C49"/>
    <w:rsid w:val="00445366"/>
    <w:rsid w:val="00447F5B"/>
    <w:rsid w:val="00461DB0"/>
    <w:rsid w:val="00463926"/>
    <w:rsid w:val="00464C9A"/>
    <w:rsid w:val="00474F3D"/>
    <w:rsid w:val="00477E3A"/>
    <w:rsid w:val="00483E5F"/>
    <w:rsid w:val="004840F1"/>
    <w:rsid w:val="00485FF9"/>
    <w:rsid w:val="004907F0"/>
    <w:rsid w:val="0049140B"/>
    <w:rsid w:val="004923A5"/>
    <w:rsid w:val="00493C5C"/>
    <w:rsid w:val="00496BFB"/>
    <w:rsid w:val="004A15C7"/>
    <w:rsid w:val="004B013B"/>
    <w:rsid w:val="004B112B"/>
    <w:rsid w:val="004C01E4"/>
    <w:rsid w:val="004C086C"/>
    <w:rsid w:val="004C1F56"/>
    <w:rsid w:val="004C27BC"/>
    <w:rsid w:val="004D15F3"/>
    <w:rsid w:val="004D5311"/>
    <w:rsid w:val="004D5DCC"/>
    <w:rsid w:val="004F10AF"/>
    <w:rsid w:val="004F11A4"/>
    <w:rsid w:val="004F2389"/>
    <w:rsid w:val="004F304D"/>
    <w:rsid w:val="004F61BE"/>
    <w:rsid w:val="004F66B1"/>
    <w:rsid w:val="005072EA"/>
    <w:rsid w:val="00511C07"/>
    <w:rsid w:val="005173A6"/>
    <w:rsid w:val="00520BAA"/>
    <w:rsid w:val="005236D5"/>
    <w:rsid w:val="00525208"/>
    <w:rsid w:val="005257A5"/>
    <w:rsid w:val="005264C0"/>
    <w:rsid w:val="00526A8A"/>
    <w:rsid w:val="00531DF2"/>
    <w:rsid w:val="005442EE"/>
    <w:rsid w:val="00547353"/>
    <w:rsid w:val="005474E7"/>
    <w:rsid w:val="005512A3"/>
    <w:rsid w:val="00557294"/>
    <w:rsid w:val="005578CE"/>
    <w:rsid w:val="00562781"/>
    <w:rsid w:val="0057271C"/>
    <w:rsid w:val="00572845"/>
    <w:rsid w:val="00592772"/>
    <w:rsid w:val="0059574A"/>
    <w:rsid w:val="005A1B9B"/>
    <w:rsid w:val="005A6751"/>
    <w:rsid w:val="005B092E"/>
    <w:rsid w:val="005B152C"/>
    <w:rsid w:val="005B1EE0"/>
    <w:rsid w:val="005B2B24"/>
    <w:rsid w:val="005B4425"/>
    <w:rsid w:val="005B4B94"/>
    <w:rsid w:val="005C1AAD"/>
    <w:rsid w:val="005C3EE8"/>
    <w:rsid w:val="005D34F9"/>
    <w:rsid w:val="005D4190"/>
    <w:rsid w:val="005D67A3"/>
    <w:rsid w:val="005E2988"/>
    <w:rsid w:val="005E3085"/>
    <w:rsid w:val="005F3858"/>
    <w:rsid w:val="005F51E1"/>
    <w:rsid w:val="00611C80"/>
    <w:rsid w:val="0061712A"/>
    <w:rsid w:val="00620692"/>
    <w:rsid w:val="006242CA"/>
    <w:rsid w:val="00627507"/>
    <w:rsid w:val="00633717"/>
    <w:rsid w:val="006344E1"/>
    <w:rsid w:val="0064121C"/>
    <w:rsid w:val="006545C4"/>
    <w:rsid w:val="00656E3D"/>
    <w:rsid w:val="00661971"/>
    <w:rsid w:val="00661CE8"/>
    <w:rsid w:val="00661D89"/>
    <w:rsid w:val="006623D9"/>
    <w:rsid w:val="0066550C"/>
    <w:rsid w:val="006716F2"/>
    <w:rsid w:val="00672891"/>
    <w:rsid w:val="00682BF2"/>
    <w:rsid w:val="006859CE"/>
    <w:rsid w:val="00691270"/>
    <w:rsid w:val="00694BA8"/>
    <w:rsid w:val="006A037C"/>
    <w:rsid w:val="006A36F4"/>
    <w:rsid w:val="006A406F"/>
    <w:rsid w:val="006A5D3A"/>
    <w:rsid w:val="006C23D4"/>
    <w:rsid w:val="006C7BB0"/>
    <w:rsid w:val="006C7EAD"/>
    <w:rsid w:val="006D3237"/>
    <w:rsid w:val="006E2E37"/>
    <w:rsid w:val="006E3CF1"/>
    <w:rsid w:val="006E7E80"/>
    <w:rsid w:val="006F48CA"/>
    <w:rsid w:val="006F64DD"/>
    <w:rsid w:val="00701C36"/>
    <w:rsid w:val="00715127"/>
    <w:rsid w:val="00715E8E"/>
    <w:rsid w:val="00723580"/>
    <w:rsid w:val="00723755"/>
    <w:rsid w:val="0073136C"/>
    <w:rsid w:val="00731F0F"/>
    <w:rsid w:val="00731FD5"/>
    <w:rsid w:val="00733250"/>
    <w:rsid w:val="00741404"/>
    <w:rsid w:val="007449E5"/>
    <w:rsid w:val="00747FF0"/>
    <w:rsid w:val="0075103A"/>
    <w:rsid w:val="0075544E"/>
    <w:rsid w:val="00764D4E"/>
    <w:rsid w:val="00765A1F"/>
    <w:rsid w:val="00770328"/>
    <w:rsid w:val="007718B8"/>
    <w:rsid w:val="00775885"/>
    <w:rsid w:val="00775B6D"/>
    <w:rsid w:val="00776D68"/>
    <w:rsid w:val="00777C71"/>
    <w:rsid w:val="007817FD"/>
    <w:rsid w:val="007850EE"/>
    <w:rsid w:val="00785B95"/>
    <w:rsid w:val="00790E96"/>
    <w:rsid w:val="00793366"/>
    <w:rsid w:val="007A716F"/>
    <w:rsid w:val="007B270A"/>
    <w:rsid w:val="007C0695"/>
    <w:rsid w:val="007C15DE"/>
    <w:rsid w:val="007C419A"/>
    <w:rsid w:val="007C4CC8"/>
    <w:rsid w:val="007C5426"/>
    <w:rsid w:val="007C5798"/>
    <w:rsid w:val="007D4832"/>
    <w:rsid w:val="007E21B2"/>
    <w:rsid w:val="007E2C4E"/>
    <w:rsid w:val="007F17A4"/>
    <w:rsid w:val="007F1905"/>
    <w:rsid w:val="00801300"/>
    <w:rsid w:val="00802C64"/>
    <w:rsid w:val="00805E52"/>
    <w:rsid w:val="008061D0"/>
    <w:rsid w:val="00810B38"/>
    <w:rsid w:val="008204C7"/>
    <w:rsid w:val="00820992"/>
    <w:rsid w:val="00823602"/>
    <w:rsid w:val="008255F5"/>
    <w:rsid w:val="0083014E"/>
    <w:rsid w:val="0083214A"/>
    <w:rsid w:val="00834220"/>
    <w:rsid w:val="008405F2"/>
    <w:rsid w:val="00845723"/>
    <w:rsid w:val="00851EF9"/>
    <w:rsid w:val="008577FD"/>
    <w:rsid w:val="00860B03"/>
    <w:rsid w:val="0086497A"/>
    <w:rsid w:val="00865378"/>
    <w:rsid w:val="008713A1"/>
    <w:rsid w:val="008754AB"/>
    <w:rsid w:val="008802A9"/>
    <w:rsid w:val="0088060C"/>
    <w:rsid w:val="00893576"/>
    <w:rsid w:val="00893E73"/>
    <w:rsid w:val="008B02DC"/>
    <w:rsid w:val="008B57CE"/>
    <w:rsid w:val="008C26DE"/>
    <w:rsid w:val="008D2225"/>
    <w:rsid w:val="008D4752"/>
    <w:rsid w:val="008D6CCA"/>
    <w:rsid w:val="008E271C"/>
    <w:rsid w:val="008E418E"/>
    <w:rsid w:val="008E5BC6"/>
    <w:rsid w:val="008E6A25"/>
    <w:rsid w:val="008F5193"/>
    <w:rsid w:val="008F55F5"/>
    <w:rsid w:val="009013A7"/>
    <w:rsid w:val="009017FB"/>
    <w:rsid w:val="009017FC"/>
    <w:rsid w:val="00902299"/>
    <w:rsid w:val="0090506B"/>
    <w:rsid w:val="009050C9"/>
    <w:rsid w:val="009066FC"/>
    <w:rsid w:val="009067D7"/>
    <w:rsid w:val="009140A3"/>
    <w:rsid w:val="009144A2"/>
    <w:rsid w:val="0091510C"/>
    <w:rsid w:val="009259AC"/>
    <w:rsid w:val="00926F38"/>
    <w:rsid w:val="00934301"/>
    <w:rsid w:val="00936CD1"/>
    <w:rsid w:val="00941747"/>
    <w:rsid w:val="00941EFB"/>
    <w:rsid w:val="00947AFB"/>
    <w:rsid w:val="00951D7D"/>
    <w:rsid w:val="00956E5B"/>
    <w:rsid w:val="009630C7"/>
    <w:rsid w:val="0096503F"/>
    <w:rsid w:val="00972B55"/>
    <w:rsid w:val="009743B7"/>
    <w:rsid w:val="0098228B"/>
    <w:rsid w:val="009828DA"/>
    <w:rsid w:val="00984352"/>
    <w:rsid w:val="00985BAB"/>
    <w:rsid w:val="00987A99"/>
    <w:rsid w:val="009B1B5F"/>
    <w:rsid w:val="009B6673"/>
    <w:rsid w:val="009C191B"/>
    <w:rsid w:val="009C2BD6"/>
    <w:rsid w:val="009E1F32"/>
    <w:rsid w:val="009E776C"/>
    <w:rsid w:val="009F2112"/>
    <w:rsid w:val="009F65DC"/>
    <w:rsid w:val="00A071D1"/>
    <w:rsid w:val="00A1726E"/>
    <w:rsid w:val="00A204CF"/>
    <w:rsid w:val="00A23D49"/>
    <w:rsid w:val="00A242AC"/>
    <w:rsid w:val="00A27004"/>
    <w:rsid w:val="00A30C29"/>
    <w:rsid w:val="00A3272C"/>
    <w:rsid w:val="00A34DD6"/>
    <w:rsid w:val="00A36819"/>
    <w:rsid w:val="00A36989"/>
    <w:rsid w:val="00A43628"/>
    <w:rsid w:val="00A45145"/>
    <w:rsid w:val="00A54192"/>
    <w:rsid w:val="00A6035E"/>
    <w:rsid w:val="00A6144C"/>
    <w:rsid w:val="00A66617"/>
    <w:rsid w:val="00A671F8"/>
    <w:rsid w:val="00A673A4"/>
    <w:rsid w:val="00A724AE"/>
    <w:rsid w:val="00A73329"/>
    <w:rsid w:val="00A77041"/>
    <w:rsid w:val="00A82359"/>
    <w:rsid w:val="00A82D04"/>
    <w:rsid w:val="00A865D2"/>
    <w:rsid w:val="00A94C20"/>
    <w:rsid w:val="00AA227F"/>
    <w:rsid w:val="00AA3BC7"/>
    <w:rsid w:val="00AA754A"/>
    <w:rsid w:val="00AB099E"/>
    <w:rsid w:val="00AB4328"/>
    <w:rsid w:val="00AC23BE"/>
    <w:rsid w:val="00AC3ABA"/>
    <w:rsid w:val="00AC7FA7"/>
    <w:rsid w:val="00AD4891"/>
    <w:rsid w:val="00AE0A2E"/>
    <w:rsid w:val="00AE354C"/>
    <w:rsid w:val="00AF4B07"/>
    <w:rsid w:val="00AF5653"/>
    <w:rsid w:val="00AF6186"/>
    <w:rsid w:val="00AF7A3A"/>
    <w:rsid w:val="00B160DB"/>
    <w:rsid w:val="00B20836"/>
    <w:rsid w:val="00B235BB"/>
    <w:rsid w:val="00B26274"/>
    <w:rsid w:val="00B27A44"/>
    <w:rsid w:val="00B30BBF"/>
    <w:rsid w:val="00B33C03"/>
    <w:rsid w:val="00B36632"/>
    <w:rsid w:val="00B44E56"/>
    <w:rsid w:val="00B46543"/>
    <w:rsid w:val="00B47D33"/>
    <w:rsid w:val="00B52BE0"/>
    <w:rsid w:val="00B54133"/>
    <w:rsid w:val="00B55B08"/>
    <w:rsid w:val="00B67649"/>
    <w:rsid w:val="00B701ED"/>
    <w:rsid w:val="00B7631B"/>
    <w:rsid w:val="00B8086C"/>
    <w:rsid w:val="00B861B4"/>
    <w:rsid w:val="00B86DFE"/>
    <w:rsid w:val="00B8712D"/>
    <w:rsid w:val="00B90990"/>
    <w:rsid w:val="00B922FF"/>
    <w:rsid w:val="00B9281E"/>
    <w:rsid w:val="00B93925"/>
    <w:rsid w:val="00B95187"/>
    <w:rsid w:val="00BA2D55"/>
    <w:rsid w:val="00BA71B1"/>
    <w:rsid w:val="00BB0637"/>
    <w:rsid w:val="00BB1838"/>
    <w:rsid w:val="00BB345F"/>
    <w:rsid w:val="00BB68EA"/>
    <w:rsid w:val="00BC1C27"/>
    <w:rsid w:val="00BC6BBF"/>
    <w:rsid w:val="00BC6E2D"/>
    <w:rsid w:val="00BD1572"/>
    <w:rsid w:val="00BE14E3"/>
    <w:rsid w:val="00BE3774"/>
    <w:rsid w:val="00BE41E5"/>
    <w:rsid w:val="00BF4109"/>
    <w:rsid w:val="00BF4CC3"/>
    <w:rsid w:val="00C054C7"/>
    <w:rsid w:val="00C057B5"/>
    <w:rsid w:val="00C1029D"/>
    <w:rsid w:val="00C22687"/>
    <w:rsid w:val="00C25A3E"/>
    <w:rsid w:val="00C32E4D"/>
    <w:rsid w:val="00C333A0"/>
    <w:rsid w:val="00C36408"/>
    <w:rsid w:val="00C36A81"/>
    <w:rsid w:val="00C41226"/>
    <w:rsid w:val="00C41974"/>
    <w:rsid w:val="00C41981"/>
    <w:rsid w:val="00C47D20"/>
    <w:rsid w:val="00C535F5"/>
    <w:rsid w:val="00C53F4A"/>
    <w:rsid w:val="00C54125"/>
    <w:rsid w:val="00C55B54"/>
    <w:rsid w:val="00C6098E"/>
    <w:rsid w:val="00C6152C"/>
    <w:rsid w:val="00C73539"/>
    <w:rsid w:val="00C74810"/>
    <w:rsid w:val="00C9017A"/>
    <w:rsid w:val="00C90D68"/>
    <w:rsid w:val="00C939FE"/>
    <w:rsid w:val="00CA4473"/>
    <w:rsid w:val="00CA4BDA"/>
    <w:rsid w:val="00CB1F66"/>
    <w:rsid w:val="00CB25E5"/>
    <w:rsid w:val="00CB2951"/>
    <w:rsid w:val="00CD282B"/>
    <w:rsid w:val="00CD4C35"/>
    <w:rsid w:val="00CD649F"/>
    <w:rsid w:val="00CD7369"/>
    <w:rsid w:val="00CE0A42"/>
    <w:rsid w:val="00CE0B0E"/>
    <w:rsid w:val="00CE3831"/>
    <w:rsid w:val="00D00ABB"/>
    <w:rsid w:val="00D02EEC"/>
    <w:rsid w:val="00D03551"/>
    <w:rsid w:val="00D06A63"/>
    <w:rsid w:val="00D07E0E"/>
    <w:rsid w:val="00D11478"/>
    <w:rsid w:val="00D15ED0"/>
    <w:rsid w:val="00D20A92"/>
    <w:rsid w:val="00D21B3E"/>
    <w:rsid w:val="00D21FED"/>
    <w:rsid w:val="00D24251"/>
    <w:rsid w:val="00D343E2"/>
    <w:rsid w:val="00D361A2"/>
    <w:rsid w:val="00D44C2E"/>
    <w:rsid w:val="00D45414"/>
    <w:rsid w:val="00D47891"/>
    <w:rsid w:val="00D566BD"/>
    <w:rsid w:val="00D57A4D"/>
    <w:rsid w:val="00D60AA7"/>
    <w:rsid w:val="00D6435F"/>
    <w:rsid w:val="00D75E28"/>
    <w:rsid w:val="00D772C2"/>
    <w:rsid w:val="00D8008E"/>
    <w:rsid w:val="00D82C45"/>
    <w:rsid w:val="00D908A8"/>
    <w:rsid w:val="00D9423F"/>
    <w:rsid w:val="00D977B6"/>
    <w:rsid w:val="00DA4A31"/>
    <w:rsid w:val="00DA7B04"/>
    <w:rsid w:val="00DA7FF4"/>
    <w:rsid w:val="00DB36C2"/>
    <w:rsid w:val="00DC169B"/>
    <w:rsid w:val="00DC2AB9"/>
    <w:rsid w:val="00DC63F0"/>
    <w:rsid w:val="00DD6EE5"/>
    <w:rsid w:val="00DE386C"/>
    <w:rsid w:val="00DE4D35"/>
    <w:rsid w:val="00DF098B"/>
    <w:rsid w:val="00DF11C4"/>
    <w:rsid w:val="00DF1EFB"/>
    <w:rsid w:val="00DF210C"/>
    <w:rsid w:val="00DF4B6A"/>
    <w:rsid w:val="00E02C09"/>
    <w:rsid w:val="00E04D59"/>
    <w:rsid w:val="00E07DA1"/>
    <w:rsid w:val="00E123CB"/>
    <w:rsid w:val="00E20E13"/>
    <w:rsid w:val="00E21DBC"/>
    <w:rsid w:val="00E275D7"/>
    <w:rsid w:val="00E27DBE"/>
    <w:rsid w:val="00E32AB1"/>
    <w:rsid w:val="00E36C71"/>
    <w:rsid w:val="00E37CB1"/>
    <w:rsid w:val="00E40404"/>
    <w:rsid w:val="00E459C6"/>
    <w:rsid w:val="00E47589"/>
    <w:rsid w:val="00E64915"/>
    <w:rsid w:val="00E661D4"/>
    <w:rsid w:val="00E66827"/>
    <w:rsid w:val="00E70091"/>
    <w:rsid w:val="00E720F5"/>
    <w:rsid w:val="00E73BDC"/>
    <w:rsid w:val="00E76D47"/>
    <w:rsid w:val="00E849F7"/>
    <w:rsid w:val="00E90302"/>
    <w:rsid w:val="00E97396"/>
    <w:rsid w:val="00EA185E"/>
    <w:rsid w:val="00EA2502"/>
    <w:rsid w:val="00EA4BD7"/>
    <w:rsid w:val="00EA592A"/>
    <w:rsid w:val="00EB14E4"/>
    <w:rsid w:val="00EB32A5"/>
    <w:rsid w:val="00EB34ED"/>
    <w:rsid w:val="00EB657B"/>
    <w:rsid w:val="00EB7BE0"/>
    <w:rsid w:val="00EC315E"/>
    <w:rsid w:val="00EC3F18"/>
    <w:rsid w:val="00EC69C0"/>
    <w:rsid w:val="00ED077C"/>
    <w:rsid w:val="00ED1190"/>
    <w:rsid w:val="00ED6544"/>
    <w:rsid w:val="00EE0277"/>
    <w:rsid w:val="00EE3E00"/>
    <w:rsid w:val="00EE5DD2"/>
    <w:rsid w:val="00F00A79"/>
    <w:rsid w:val="00F00E86"/>
    <w:rsid w:val="00F07C1E"/>
    <w:rsid w:val="00F105DB"/>
    <w:rsid w:val="00F132BC"/>
    <w:rsid w:val="00F13D80"/>
    <w:rsid w:val="00F16AAA"/>
    <w:rsid w:val="00F21161"/>
    <w:rsid w:val="00F218EF"/>
    <w:rsid w:val="00F21BC7"/>
    <w:rsid w:val="00F266A2"/>
    <w:rsid w:val="00F32269"/>
    <w:rsid w:val="00F34175"/>
    <w:rsid w:val="00F5432B"/>
    <w:rsid w:val="00F552A0"/>
    <w:rsid w:val="00F56A6F"/>
    <w:rsid w:val="00F5709C"/>
    <w:rsid w:val="00F64EF1"/>
    <w:rsid w:val="00F8765F"/>
    <w:rsid w:val="00F90767"/>
    <w:rsid w:val="00F9289A"/>
    <w:rsid w:val="00FA685B"/>
    <w:rsid w:val="00FB0C01"/>
    <w:rsid w:val="00FC18F2"/>
    <w:rsid w:val="00FC39E5"/>
    <w:rsid w:val="00FC3A78"/>
    <w:rsid w:val="00FD1005"/>
    <w:rsid w:val="00FD6C75"/>
    <w:rsid w:val="00FE71B3"/>
    <w:rsid w:val="00FF0943"/>
    <w:rsid w:val="00FF42C5"/>
  </w:rsids>
  <w:docVars>
    <w:docVar w:name="ApplicationsApp" w:val="1"/>
    <w:docVar w:name="EMM" w:val="0"/>
    <w:docVar w:name="NBEMMDOC" w:val="0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1825E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semiHidden="1" w:uiPriority="59"/>
    <w:lsdException w:name="Table Theme" w:semiHidden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semiHidden/>
    <w:rsid w:val="009F2112"/>
    <w:pPr>
      <w:jc w:val="both"/>
    </w:pPr>
    <w:rPr>
      <w:rFonts w:eastAsiaTheme="minorEastAsia"/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701C36"/>
    <w:pPr>
      <w:spacing w:before="480"/>
      <w:contextualSpacing/>
      <w:jc w:val="left"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701C36"/>
    <w:pPr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701C36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701C36"/>
    <w:pPr>
      <w:spacing w:before="20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701C36"/>
    <w:pPr>
      <w:spacing w:before="200"/>
      <w:jc w:val="left"/>
      <w:outlineLvl w:val="4"/>
    </w:pPr>
    <w:rPr>
      <w:rFonts w:asciiTheme="majorHAnsi" w:eastAsiaTheme="majorEastAsia" w:hAnsiTheme="majorHAnsi" w:cstheme="majorBidi"/>
      <w:b/>
      <w:bCs/>
      <w:color w:val="808080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701C36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701C36"/>
    <w:pPr>
      <w:jc w:val="left"/>
      <w:outlineLvl w:val="6"/>
    </w:pPr>
    <w:rPr>
      <w:rFonts w:asciiTheme="majorHAnsi" w:eastAsiaTheme="majorEastAsia" w:hAnsiTheme="majorHAnsi" w:cstheme="majorBidi"/>
      <w:i/>
      <w:iCs/>
      <w:lang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701C36"/>
    <w:pPr>
      <w:jc w:val="left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701C36"/>
    <w:pPr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01C36"/>
    <w:pPr>
      <w:jc w:val="left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C36"/>
    <w:rPr>
      <w:rFonts w:ascii="Tahoma" w:hAnsi="Tahoma" w:eastAsiaTheme="minorEastAsia" w:cs="Tahom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701C36"/>
    <w:rPr>
      <w:i/>
      <w:iCs/>
      <w:smallCaps/>
      <w:spacing w:val="5"/>
    </w:rPr>
  </w:style>
  <w:style w:type="paragraph" w:customStyle="1" w:styleId="JuHeader">
    <w:name w:val="Ju_Header"/>
    <w:basedOn w:val="Header"/>
    <w:uiPriority w:val="29"/>
    <w:qFormat/>
    <w:rsid w:val="00701C36"/>
    <w:pPr>
      <w:tabs>
        <w:tab w:val="center" w:pos="3686"/>
        <w:tab w:val="clear" w:pos="4536"/>
        <w:tab w:val="right" w:pos="7371"/>
        <w:tab w:val="clear" w:pos="9072"/>
      </w:tabs>
    </w:pPr>
    <w:rPr>
      <w:sz w:val="18"/>
    </w:rPr>
  </w:style>
  <w:style w:type="paragraph" w:customStyle="1" w:styleId="DecList">
    <w:name w:val="Dec_List"/>
    <w:aliases w:val="_List"/>
    <w:basedOn w:val="Normal"/>
    <w:uiPriority w:val="22"/>
    <w:rsid w:val="00701C36"/>
    <w:pPr>
      <w:spacing w:before="280" w:after="60"/>
      <w:ind w:left="340"/>
    </w:pPr>
    <w:rPr>
      <w:rFonts w:eastAsiaTheme="minorHAnsi"/>
    </w:rPr>
  </w:style>
  <w:style w:type="character" w:styleId="Strong">
    <w:name w:val="Strong"/>
    <w:uiPriority w:val="99"/>
    <w:semiHidden/>
    <w:qFormat/>
    <w:rsid w:val="00701C36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701C36"/>
    <w:pPr>
      <w:jc w:val="left"/>
    </w:pPr>
  </w:style>
  <w:style w:type="character" w:customStyle="1" w:styleId="NoSpacingChar">
    <w:name w:val="No Spacing Char"/>
    <w:basedOn w:val="DefaultParagraphFont"/>
    <w:link w:val="NoSpacing"/>
    <w:semiHidden/>
    <w:rsid w:val="00701C36"/>
    <w:rPr>
      <w:rFonts w:eastAsiaTheme="minorEastAsia"/>
      <w:sz w:val="24"/>
      <w:lang w:val="fr-FR"/>
    </w:rPr>
  </w:style>
  <w:style w:type="paragraph" w:customStyle="1" w:styleId="JuQuot">
    <w:name w:val="Ju_Quot"/>
    <w:aliases w:val="_Quote"/>
    <w:basedOn w:val="Normal"/>
    <w:uiPriority w:val="21"/>
    <w:qFormat/>
    <w:rsid w:val="00701C36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"/>
    <w:uiPriority w:val="23"/>
    <w:qFormat/>
    <w:rsid w:val="00701C36"/>
    <w:pPr>
      <w:numPr>
        <w:numId w:val="33"/>
      </w:numPr>
      <w:spacing w:before="280" w:after="60"/>
    </w:pPr>
    <w:rPr>
      <w:rFonts w:eastAsiaTheme="minorHAnsi"/>
    </w:rPr>
  </w:style>
  <w:style w:type="paragraph" w:customStyle="1" w:styleId="JuLista">
    <w:name w:val="Ju_List_a"/>
    <w:aliases w:val="_List_2"/>
    <w:basedOn w:val="Normal"/>
    <w:uiPriority w:val="23"/>
    <w:rsid w:val="00701C36"/>
    <w:pPr>
      <w:numPr>
        <w:ilvl w:val="1"/>
        <w:numId w:val="33"/>
      </w:numPr>
    </w:pPr>
  </w:style>
  <w:style w:type="paragraph" w:customStyle="1" w:styleId="JuListi">
    <w:name w:val="Ju_List_i"/>
    <w:aliases w:val="_List_3"/>
    <w:basedOn w:val="Normal"/>
    <w:uiPriority w:val="23"/>
    <w:rsid w:val="00701C36"/>
    <w:pPr>
      <w:numPr>
        <w:ilvl w:val="2"/>
        <w:numId w:val="33"/>
      </w:numPr>
    </w:pPr>
  </w:style>
  <w:style w:type="paragraph" w:customStyle="1" w:styleId="DecHTitle">
    <w:name w:val="Dec_H_Title"/>
    <w:aliases w:val="_Title_1"/>
    <w:basedOn w:val="JuPara"/>
    <w:next w:val="JuPara"/>
    <w:uiPriority w:val="35"/>
    <w:qFormat/>
    <w:rsid w:val="00701C36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HArticle">
    <w:name w:val="Ju_H_Article"/>
    <w:aliases w:val="_Title_Quote"/>
    <w:basedOn w:val="Normal"/>
    <w:next w:val="JuQuot"/>
    <w:uiPriority w:val="20"/>
    <w:qFormat/>
    <w:rsid w:val="00701C36"/>
    <w:pPr>
      <w:keepNext/>
      <w:spacing w:before="100" w:beforeAutospacing="1" w:after="120"/>
      <w:contextualSpacing/>
      <w:jc w:val="center"/>
    </w:pPr>
    <w:rPr>
      <w:rFonts w:eastAsiaTheme="minorHAnsi"/>
      <w:b/>
      <w:sz w:val="20"/>
    </w:rPr>
  </w:style>
  <w:style w:type="paragraph" w:customStyle="1" w:styleId="Title4">
    <w:name w:val="_Title_4"/>
    <w:basedOn w:val="JuPara"/>
    <w:next w:val="JuPara"/>
    <w:uiPriority w:val="35"/>
    <w:qFormat/>
    <w:rsid w:val="00701C36"/>
    <w:pPr>
      <w:keepNext/>
      <w:keepLines/>
      <w:tabs>
        <w:tab w:val="right" w:pos="7938"/>
      </w:tabs>
      <w:ind w:firstLine="0"/>
      <w:jc w:val="center"/>
    </w:pPr>
    <w:rPr>
      <w:rFonts w:eastAsiaTheme="minorHAnsi"/>
      <w:i/>
    </w:rPr>
  </w:style>
  <w:style w:type="numbering" w:customStyle="1" w:styleId="ECHRA1StyleBulletedSquare">
    <w:name w:val="ECHR_A1_Style_Bulleted_Square"/>
    <w:basedOn w:val="NoList"/>
    <w:rsid w:val="00701C36"/>
    <w:pPr>
      <w:numPr>
        <w:numId w:val="37"/>
      </w:numPr>
    </w:pPr>
  </w:style>
  <w:style w:type="paragraph" w:customStyle="1" w:styleId="JuHHead">
    <w:name w:val="Ju_H_Head"/>
    <w:aliases w:val="_Head_1"/>
    <w:basedOn w:val="Normal"/>
    <w:next w:val="Normal"/>
    <w:uiPriority w:val="19"/>
    <w:qFormat/>
    <w:rsid w:val="00701C36"/>
    <w:pPr>
      <w:keepNext/>
      <w:keepLines/>
      <w:numPr>
        <w:numId w:val="30"/>
      </w:numPr>
      <w:spacing w:before="100" w:beforeAutospacing="1" w:after="240"/>
      <w:jc w:val="left"/>
      <w:outlineLvl w:val="0"/>
    </w:pPr>
    <w:rPr>
      <w:caps/>
      <w:sz w:val="28"/>
    </w:rPr>
  </w:style>
  <w:style w:type="numbering" w:customStyle="1" w:styleId="ECHRA1StyleList">
    <w:name w:val="ECHR_A1_Style_List"/>
    <w:basedOn w:val="NoList"/>
    <w:uiPriority w:val="99"/>
    <w:rsid w:val="00701C36"/>
    <w:pPr>
      <w:numPr>
        <w:numId w:val="38"/>
      </w:numPr>
    </w:pPr>
  </w:style>
  <w:style w:type="paragraph" w:customStyle="1" w:styleId="JuSigned">
    <w:name w:val="Ju_Signed"/>
    <w:basedOn w:val="Normal"/>
    <w:next w:val="JuPara"/>
    <w:uiPriority w:val="34"/>
    <w:qFormat/>
    <w:rsid w:val="00701C36"/>
    <w:pPr>
      <w:tabs>
        <w:tab w:val="center" w:pos="851"/>
        <w:tab w:val="center" w:pos="6407"/>
      </w:tabs>
      <w:spacing w:before="720"/>
      <w:jc w:val="left"/>
    </w:pPr>
  </w:style>
  <w:style w:type="paragraph" w:styleId="Title">
    <w:name w:val="Title"/>
    <w:basedOn w:val="Normal"/>
    <w:next w:val="Normal"/>
    <w:link w:val="TitleChar"/>
    <w:uiPriority w:val="99"/>
    <w:semiHidden/>
    <w:qFormat/>
    <w:rsid w:val="00701C36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701C36"/>
    <w:rPr>
      <w:rFonts w:asciiTheme="majorHAnsi" w:eastAsiaTheme="majorEastAsia" w:hAnsiTheme="majorHAnsi" w:cstheme="majorBidi"/>
      <w:spacing w:val="5"/>
      <w:sz w:val="52"/>
      <w:szCs w:val="52"/>
      <w:lang w:val="fr-FR" w:bidi="en-US"/>
    </w:rPr>
  </w:style>
  <w:style w:type="numbering" w:customStyle="1" w:styleId="ECHRA1StyleNumberedList">
    <w:name w:val="ECHR_A1_Style_Numbered_List"/>
    <w:basedOn w:val="NoList"/>
    <w:rsid w:val="00701C36"/>
    <w:pPr>
      <w:numPr>
        <w:numId w:val="39"/>
      </w:numPr>
    </w:pPr>
  </w:style>
  <w:style w:type="table" w:customStyle="1" w:styleId="ECHRTable2019">
    <w:name w:val="ECHR_Table_2019"/>
    <w:basedOn w:val="TableNormal"/>
    <w:uiPriority w:val="99"/>
    <w:rsid w:val="00701C36"/>
    <w:tblPr>
      <w:tblStyleRowBandSize w:val="1"/>
      <w:tblStyleCol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01C36"/>
    <w:rPr>
      <w:sz w:val="8"/>
    </w:rPr>
  </w:style>
  <w:style w:type="paragraph" w:customStyle="1" w:styleId="JuCourt">
    <w:name w:val="Ju_Court"/>
    <w:basedOn w:val="Normal"/>
    <w:next w:val="Normal"/>
    <w:uiPriority w:val="27"/>
    <w:qFormat/>
    <w:rsid w:val="00701C36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701C36"/>
    <w:pPr>
      <w:tabs>
        <w:tab w:val="center" w:pos="6407"/>
      </w:tabs>
      <w:spacing w:before="720"/>
      <w:jc w:val="right"/>
    </w:pPr>
  </w:style>
  <w:style w:type="paragraph" w:customStyle="1" w:styleId="JuHIRoman">
    <w:name w:val="Ju_H_I_Roman"/>
    <w:aliases w:val="_Head_2"/>
    <w:basedOn w:val="Normal"/>
    <w:next w:val="Normal"/>
    <w:uiPriority w:val="19"/>
    <w:qFormat/>
    <w:rsid w:val="00701C36"/>
    <w:pPr>
      <w:keepNext/>
      <w:keepLines/>
      <w:numPr>
        <w:ilvl w:val="1"/>
        <w:numId w:val="30"/>
      </w:numPr>
      <w:spacing w:before="100" w:beforeAutospacing="1" w:after="240"/>
      <w:jc w:val="left"/>
      <w:outlineLvl w:val="1"/>
    </w:pPr>
    <w:rPr>
      <w:caps/>
    </w:rPr>
  </w:style>
  <w:style w:type="paragraph" w:customStyle="1" w:styleId="JuHA">
    <w:name w:val="Ju_H_A"/>
    <w:aliases w:val="_Head_3"/>
    <w:basedOn w:val="Normal"/>
    <w:next w:val="Normal"/>
    <w:uiPriority w:val="19"/>
    <w:qFormat/>
    <w:rsid w:val="00701C36"/>
    <w:pPr>
      <w:keepNext/>
      <w:keepLines/>
      <w:numPr>
        <w:ilvl w:val="2"/>
        <w:numId w:val="30"/>
      </w:numPr>
      <w:spacing w:before="100" w:beforeAutospacing="1" w:after="240"/>
      <w:jc w:val="left"/>
      <w:outlineLvl w:val="2"/>
    </w:pPr>
    <w:rPr>
      <w:b/>
    </w:rPr>
  </w:style>
  <w:style w:type="paragraph" w:customStyle="1" w:styleId="JuH1">
    <w:name w:val="Ju_H_1."/>
    <w:aliases w:val="_Head_4"/>
    <w:basedOn w:val="Normal"/>
    <w:next w:val="Normal"/>
    <w:uiPriority w:val="19"/>
    <w:rsid w:val="00701C36"/>
    <w:pPr>
      <w:keepNext/>
      <w:keepLines/>
      <w:numPr>
        <w:ilvl w:val="3"/>
        <w:numId w:val="30"/>
      </w:numPr>
      <w:spacing w:before="100" w:beforeAutospacing="1" w:after="120"/>
      <w:jc w:val="left"/>
      <w:outlineLvl w:val="3"/>
    </w:pPr>
    <w:rPr>
      <w:i/>
    </w:rPr>
  </w:style>
  <w:style w:type="paragraph" w:styleId="Header">
    <w:name w:val="header"/>
    <w:basedOn w:val="Normal"/>
    <w:link w:val="HeaderChar"/>
    <w:uiPriority w:val="57"/>
    <w:semiHidden/>
    <w:rsid w:val="00701C36"/>
    <w:pPr>
      <w:tabs>
        <w:tab w:val="center" w:pos="4536"/>
        <w:tab w:val="right" w:pos="9072"/>
      </w:tabs>
      <w:jc w:val="left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701C36"/>
    <w:rPr>
      <w:sz w:val="24"/>
      <w:lang w:val="fr-FR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701C36"/>
    <w:rPr>
      <w:rFonts w:asciiTheme="majorHAnsi" w:eastAsiaTheme="majorEastAsia" w:hAnsiTheme="majorHAnsi" w:cstheme="majorBidi"/>
      <w:b/>
      <w:bCs/>
      <w:color w:val="333333"/>
      <w:sz w:val="28"/>
      <w:szCs w:val="28"/>
      <w:lang w:val="fr-FR"/>
    </w:rPr>
  </w:style>
  <w:style w:type="paragraph" w:customStyle="1" w:styleId="JuHa0">
    <w:name w:val="Ju_H_a"/>
    <w:aliases w:val="_Head_5"/>
    <w:basedOn w:val="Normal"/>
    <w:next w:val="Normal"/>
    <w:uiPriority w:val="19"/>
    <w:rsid w:val="00701C36"/>
    <w:pPr>
      <w:keepNext/>
      <w:keepLines/>
      <w:numPr>
        <w:ilvl w:val="4"/>
        <w:numId w:val="30"/>
      </w:numPr>
      <w:spacing w:before="100" w:beforeAutospacing="1" w:after="120"/>
      <w:jc w:val="left"/>
      <w:outlineLvl w:val="4"/>
    </w:pPr>
    <w:rPr>
      <w:b/>
      <w:sz w:val="20"/>
    </w:rPr>
  </w:style>
  <w:style w:type="paragraph" w:customStyle="1" w:styleId="JuHi">
    <w:name w:val="Ju_H_i"/>
    <w:aliases w:val="_Head_6"/>
    <w:basedOn w:val="Normal"/>
    <w:next w:val="Normal"/>
    <w:uiPriority w:val="19"/>
    <w:rsid w:val="00701C36"/>
    <w:pPr>
      <w:keepNext/>
      <w:keepLines/>
      <w:numPr>
        <w:ilvl w:val="5"/>
        <w:numId w:val="30"/>
      </w:numPr>
      <w:spacing w:before="100" w:beforeAutospacing="1" w:after="120"/>
      <w:jc w:val="left"/>
      <w:outlineLvl w:val="5"/>
    </w:pPr>
    <w:rPr>
      <w:i/>
      <w:sz w:val="20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701C36"/>
    <w:rPr>
      <w:rFonts w:asciiTheme="majorHAnsi" w:eastAsiaTheme="majorEastAsia" w:hAnsiTheme="majorHAnsi" w:cstheme="majorBidi"/>
      <w:b/>
      <w:bCs/>
      <w:color w:val="4D4D4D"/>
      <w:sz w:val="26"/>
      <w:szCs w:val="26"/>
      <w:lang w:val="fr-FR"/>
    </w:rPr>
  </w:style>
  <w:style w:type="paragraph" w:customStyle="1" w:styleId="JuHalpha">
    <w:name w:val="Ju_H_alpha"/>
    <w:aliases w:val="_Head_7"/>
    <w:basedOn w:val="Normal"/>
    <w:next w:val="Normal"/>
    <w:uiPriority w:val="19"/>
    <w:rsid w:val="00701C36"/>
    <w:pPr>
      <w:keepNext/>
      <w:keepLines/>
      <w:numPr>
        <w:ilvl w:val="6"/>
        <w:numId w:val="30"/>
      </w:numPr>
      <w:spacing w:before="100" w:beforeAutospacing="1" w:after="120"/>
      <w:jc w:val="left"/>
      <w:outlineLvl w:val="6"/>
    </w:pPr>
    <w:rPr>
      <w:sz w:val="20"/>
    </w:rPr>
  </w:style>
  <w:style w:type="paragraph" w:customStyle="1" w:styleId="JuH">
    <w:name w:val="Ju_H_–"/>
    <w:aliases w:val="_Head_8"/>
    <w:basedOn w:val="Normal"/>
    <w:next w:val="Normal"/>
    <w:uiPriority w:val="19"/>
    <w:rsid w:val="00701C36"/>
    <w:pPr>
      <w:keepNext/>
      <w:keepLines/>
      <w:numPr>
        <w:ilvl w:val="7"/>
        <w:numId w:val="30"/>
      </w:numPr>
      <w:spacing w:before="100" w:beforeAutospacing="1" w:after="120"/>
      <w:jc w:val="left"/>
      <w:outlineLvl w:val="7"/>
    </w:pPr>
    <w:rPr>
      <w:i/>
      <w:sz w:val="20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701C36"/>
    <w:rPr>
      <w:rFonts w:asciiTheme="majorHAnsi" w:eastAsiaTheme="majorEastAsia" w:hAnsiTheme="majorHAnsi" w:cstheme="majorBidi"/>
      <w:b/>
      <w:bCs/>
      <w:color w:val="5F5F5F"/>
      <w:sz w:val="24"/>
      <w:lang w:val="fr-FR"/>
    </w:rPr>
  </w:style>
  <w:style w:type="paragraph" w:customStyle="1" w:styleId="JuParaLast">
    <w:name w:val="Ju_Para_Last"/>
    <w:aliases w:val="_Para_Spaced"/>
    <w:basedOn w:val="Normal"/>
    <w:uiPriority w:val="9"/>
    <w:qFormat/>
    <w:rsid w:val="00701C36"/>
    <w:pPr>
      <w:keepNext/>
      <w:keepLines/>
      <w:spacing w:before="240" w:after="240"/>
      <w:ind w:firstLine="284"/>
    </w:pPr>
    <w:rPr>
      <w:rFonts w:eastAsiaTheme="minorHAnsi"/>
    </w:rPr>
  </w:style>
  <w:style w:type="character" w:customStyle="1" w:styleId="JuITMark">
    <w:name w:val="Ju_ITMark"/>
    <w:basedOn w:val="DefaultParagraphFont"/>
    <w:uiPriority w:val="38"/>
    <w:semiHidden/>
    <w:qFormat/>
    <w:rsid w:val="00701C36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701C36"/>
    <w:rPr>
      <w:rFonts w:asciiTheme="majorHAnsi" w:eastAsiaTheme="majorEastAsia" w:hAnsiTheme="majorHAnsi" w:cstheme="majorBidi"/>
      <w:b/>
      <w:bCs/>
      <w:i/>
      <w:iCs/>
      <w:color w:val="777777"/>
      <w:sz w:val="24"/>
      <w:lang w:val="fr-FR"/>
    </w:rPr>
  </w:style>
  <w:style w:type="character" w:customStyle="1" w:styleId="JUNAMES">
    <w:name w:val="JU_NAMES"/>
    <w:uiPriority w:val="33"/>
    <w:qFormat/>
    <w:rsid w:val="00701C36"/>
    <w:rPr>
      <w:caps w:val="0"/>
      <w:smallCap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701C36"/>
    <w:rPr>
      <w:rFonts w:asciiTheme="majorHAnsi" w:eastAsiaTheme="majorEastAsia" w:hAnsiTheme="majorHAnsi" w:cstheme="majorBidi"/>
      <w:b/>
      <w:bCs/>
      <w:color w:val="808080"/>
      <w:sz w:val="24"/>
      <w:lang w:val="fr-FR"/>
    </w:rPr>
  </w:style>
  <w:style w:type="paragraph" w:customStyle="1" w:styleId="NormalJustified">
    <w:name w:val="Normal_Justified"/>
    <w:basedOn w:val="Normal"/>
    <w:semiHidden/>
    <w:rsid w:val="00701C36"/>
  </w:style>
  <w:style w:type="character" w:styleId="SubtleEmphasis">
    <w:name w:val="Subtle Emphasis"/>
    <w:uiPriority w:val="99"/>
    <w:semiHidden/>
    <w:qFormat/>
    <w:rsid w:val="00701C36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01C36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701C36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bidi="en-US"/>
    </w:rPr>
  </w:style>
  <w:style w:type="character" w:styleId="Emphasis">
    <w:name w:val="Emphasis"/>
    <w:uiPriority w:val="99"/>
    <w:semiHidden/>
    <w:qFormat/>
    <w:rsid w:val="00701C3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57"/>
    <w:semiHidden/>
    <w:rsid w:val="00701C36"/>
    <w:pPr>
      <w:tabs>
        <w:tab w:val="center" w:pos="4536"/>
        <w:tab w:val="right" w:pos="9696"/>
      </w:tabs>
      <w:ind w:left="-680" w:right="-680"/>
      <w:jc w:val="left"/>
    </w:pPr>
    <w:rPr>
      <w:rFonts w:eastAsiaTheme="minorHAnsi"/>
    </w:rPr>
  </w:style>
  <w:style w:type="character" w:customStyle="1" w:styleId="FooterChar">
    <w:name w:val="Footer Char"/>
    <w:basedOn w:val="DefaultParagraphFont"/>
    <w:link w:val="Footer1"/>
    <w:uiPriority w:val="57"/>
    <w:semiHidden/>
    <w:rsid w:val="00701C36"/>
    <w:rPr>
      <w:sz w:val="24"/>
      <w:lang w:val="fr-FR"/>
    </w:rPr>
  </w:style>
  <w:style w:type="character" w:styleId="FootnoteReference">
    <w:name w:val="footnote reference"/>
    <w:basedOn w:val="DefaultParagraphFont"/>
    <w:uiPriority w:val="99"/>
    <w:semiHidden/>
    <w:rsid w:val="00701C3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701C36"/>
    <w:pPr>
      <w:jc w:val="left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1C36"/>
    <w:rPr>
      <w:rFonts w:eastAsiaTheme="minorEastAsia"/>
      <w:sz w:val="20"/>
      <w:szCs w:val="20"/>
      <w:lang w:val="fr-FR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701C36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fr-FR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701C36"/>
    <w:rPr>
      <w:rFonts w:asciiTheme="majorHAnsi" w:eastAsiaTheme="majorEastAsia" w:hAnsiTheme="majorHAnsi" w:cstheme="majorBidi"/>
      <w:i/>
      <w:iCs/>
      <w:sz w:val="24"/>
      <w:lang w:val="fr-FR"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701C36"/>
    <w:rPr>
      <w:rFonts w:asciiTheme="majorHAnsi" w:eastAsiaTheme="majorEastAsia" w:hAnsiTheme="majorHAnsi" w:cstheme="majorBidi"/>
      <w:sz w:val="20"/>
      <w:szCs w:val="20"/>
      <w:lang w:val="fr-FR"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701C36"/>
    <w:rPr>
      <w:rFonts w:asciiTheme="majorHAnsi" w:eastAsiaTheme="majorEastAsia" w:hAnsiTheme="majorHAnsi" w:cstheme="majorBidi"/>
      <w:i/>
      <w:iCs/>
      <w:spacing w:val="5"/>
      <w:sz w:val="20"/>
      <w:szCs w:val="20"/>
      <w:lang w:val="fr-FR" w:bidi="en-US"/>
    </w:rPr>
  </w:style>
  <w:style w:type="character" w:styleId="Hyperlink">
    <w:name w:val="Hyperlink"/>
    <w:basedOn w:val="DefaultParagraphFont"/>
    <w:uiPriority w:val="99"/>
    <w:semiHidden/>
    <w:rsid w:val="00701C36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701C36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701C36"/>
    <w:pPr>
      <w:pBdr>
        <w:bottom w:val="single" w:sz="4" w:space="1" w:color="auto"/>
      </w:pBdr>
      <w:spacing w:before="200" w:after="280"/>
      <w:ind w:left="1008" w:right="1152"/>
      <w:jc w:val="left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701C36"/>
    <w:rPr>
      <w:rFonts w:eastAsiaTheme="minorEastAsia"/>
      <w:b/>
      <w:bCs/>
      <w:i/>
      <w:iCs/>
      <w:sz w:val="24"/>
      <w:lang w:val="fr-FR" w:bidi="en-US"/>
    </w:rPr>
  </w:style>
  <w:style w:type="character" w:styleId="IntenseReference">
    <w:name w:val="Intense Reference"/>
    <w:uiPriority w:val="99"/>
    <w:semiHidden/>
    <w:qFormat/>
    <w:rsid w:val="00701C36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701C36"/>
    <w:pPr>
      <w:ind w:left="720"/>
      <w:contextualSpacing/>
      <w:jc w:val="left"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9"/>
    <w:semiHidden/>
    <w:qFormat/>
    <w:rsid w:val="00701C36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9"/>
    <w:semiHidden/>
    <w:rsid w:val="00701C36"/>
    <w:rPr>
      <w:rFonts w:eastAsiaTheme="minorEastAsia"/>
      <w:i/>
      <w:iCs/>
      <w:sz w:val="24"/>
      <w:lang w:val="fr-FR" w:bidi="en-US"/>
    </w:rPr>
  </w:style>
  <w:style w:type="character" w:styleId="SubtleReference">
    <w:name w:val="Subtle Reference"/>
    <w:uiPriority w:val="99"/>
    <w:semiHidden/>
    <w:qFormat/>
    <w:rsid w:val="00701C36"/>
    <w:rPr>
      <w:smallCaps/>
    </w:rPr>
  </w:style>
  <w:style w:type="table" w:styleId="TableGrid">
    <w:name w:val="Table Grid"/>
    <w:basedOn w:val="TableNormal"/>
    <w:uiPriority w:val="59"/>
    <w:semiHidden/>
    <w:rsid w:val="00701C3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701C36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701C36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701C36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701C36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701C36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701C36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="120" w:beforeLines="0" w:beforeAutospacing="0" w:after="12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01C3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01C36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701C36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701C36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701C36"/>
    <w:rPr>
      <w:rFonts w:asciiTheme="majorHAnsi" w:eastAsiaTheme="majorEastAsia" w:hAnsiTheme="majorHAnsi" w:cstheme="majorBidi"/>
      <w:i/>
      <w:iCs/>
      <w:spacing w:val="13"/>
      <w:sz w:val="24"/>
      <w:szCs w:val="24"/>
      <w:lang w:val="fr-FR" w:bidi="en-US"/>
    </w:rPr>
  </w:style>
  <w:style w:type="numbering" w:styleId="111111">
    <w:name w:val="Outline List 2"/>
    <w:basedOn w:val="NoList"/>
    <w:uiPriority w:val="99"/>
    <w:semiHidden/>
    <w:unhideWhenUsed/>
    <w:rsid w:val="00701C36"/>
    <w:pPr>
      <w:numPr>
        <w:numId w:val="9"/>
      </w:numPr>
    </w:pPr>
  </w:style>
  <w:style w:type="numbering" w:styleId="1ai">
    <w:name w:val="Outline List 1"/>
    <w:basedOn w:val="NoList"/>
    <w:uiPriority w:val="99"/>
    <w:semiHidden/>
    <w:unhideWhenUsed/>
    <w:rsid w:val="00701C36"/>
    <w:pPr>
      <w:numPr>
        <w:numId w:val="10"/>
      </w:numPr>
    </w:pPr>
  </w:style>
  <w:style w:type="paragraph" w:customStyle="1" w:styleId="JuPara">
    <w:name w:val="Ju_Para"/>
    <w:aliases w:val="_Para"/>
    <w:basedOn w:val="Normal"/>
    <w:link w:val="JuParaChar"/>
    <w:uiPriority w:val="8"/>
    <w:qFormat/>
    <w:rsid w:val="00701C36"/>
    <w:pPr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01C36"/>
    <w:pPr>
      <w:numPr>
        <w:numId w:val="36"/>
      </w:numPr>
    </w:pPr>
  </w:style>
  <w:style w:type="table" w:customStyle="1" w:styleId="ECHRTableSimpleBox">
    <w:name w:val="ECHR_Table_Simple_Box"/>
    <w:basedOn w:val="TableNormal"/>
    <w:uiPriority w:val="99"/>
    <w:rsid w:val="00701C36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01C36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ibliography">
    <w:name w:val="Bibliography"/>
    <w:basedOn w:val="Normal"/>
    <w:next w:val="Normal"/>
    <w:uiPriority w:val="99"/>
    <w:semiHidden/>
    <w:rsid w:val="00701C36"/>
    <w:pPr>
      <w:jc w:val="left"/>
    </w:pPr>
  </w:style>
  <w:style w:type="table" w:customStyle="1" w:styleId="ECHRTableForInternalUse">
    <w:name w:val="ECHR_Table_For_Internal_Use"/>
    <w:basedOn w:val="TableNormal"/>
    <w:uiPriority w:val="99"/>
    <w:rsid w:val="00701C36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D20A92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styleId="BlockText">
    <w:name w:val="Block Text"/>
    <w:basedOn w:val="Normal"/>
    <w:uiPriority w:val="99"/>
    <w:semiHidden/>
    <w:rsid w:val="00701C36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  <w:jc w:val="left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9"/>
    <w:semiHidden/>
    <w:rsid w:val="00701C36"/>
    <w:pPr>
      <w:spacing w:after="120"/>
      <w:jc w:val="left"/>
    </w:pPr>
  </w:style>
  <w:style w:type="table" w:customStyle="1" w:styleId="ECHRHeaderTable">
    <w:name w:val="ECHR_Header_Table"/>
    <w:basedOn w:val="TableNormal"/>
    <w:uiPriority w:val="99"/>
    <w:rsid w:val="00701C36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Char">
    <w:name w:val="Body Text Char"/>
    <w:basedOn w:val="DefaultParagraphFont"/>
    <w:link w:val="BodyText"/>
    <w:uiPriority w:val="99"/>
    <w:semiHidden/>
    <w:rsid w:val="00701C36"/>
    <w:rPr>
      <w:rFonts w:eastAsiaTheme="minorEastAsia"/>
      <w:sz w:val="24"/>
      <w:lang w:val="fr-FR"/>
    </w:rPr>
  </w:style>
  <w:style w:type="paragraph" w:styleId="BodyText2">
    <w:name w:val="Body Text 2"/>
    <w:basedOn w:val="Normal"/>
    <w:link w:val="BodyText2Char"/>
    <w:uiPriority w:val="99"/>
    <w:semiHidden/>
    <w:rsid w:val="00701C36"/>
    <w:pPr>
      <w:spacing w:after="120" w:line="480" w:lineRule="auto"/>
      <w:jc w:val="left"/>
    </w:p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basedOn w:val="Normal"/>
    <w:uiPriority w:val="28"/>
    <w:qFormat/>
    <w:rsid w:val="00701C36"/>
    <w:pPr>
      <w:tabs>
        <w:tab w:val="left" w:pos="567"/>
        <w:tab w:val="left" w:pos="1134"/>
      </w:tabs>
      <w:jc w:val="left"/>
    </w:pPr>
  </w:style>
  <w:style w:type="table" w:customStyle="1" w:styleId="ECHRHeaderTableReduced">
    <w:name w:val="ECHR_Header_Table_Reduced"/>
    <w:basedOn w:val="TableNormal"/>
    <w:uiPriority w:val="99"/>
    <w:rsid w:val="00701C36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JuPara"/>
    <w:uiPriority w:val="26"/>
    <w:rsid w:val="00701C36"/>
    <w:pPr>
      <w:ind w:firstLine="284"/>
      <w:jc w:val="left"/>
    </w:pPr>
    <w:rPr>
      <w:b/>
    </w:rPr>
  </w:style>
  <w:style w:type="character" w:styleId="PageNumber">
    <w:name w:val="page number"/>
    <w:uiPriority w:val="99"/>
    <w:semiHidden/>
    <w:rsid w:val="00701C36"/>
    <w:rPr>
      <w:sz w:val="18"/>
    </w:rPr>
  </w:style>
  <w:style w:type="paragraph" w:styleId="ListBullet2">
    <w:name w:val="List Bullet 2"/>
    <w:basedOn w:val="Normal"/>
    <w:uiPriority w:val="99"/>
    <w:semiHidden/>
    <w:rsid w:val="00701C36"/>
    <w:pPr>
      <w:numPr>
        <w:numId w:val="41"/>
      </w:numPr>
      <w:contextualSpacing/>
      <w:jc w:val="left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01C36"/>
    <w:rPr>
      <w:rFonts w:eastAsiaTheme="minorEastAsia"/>
      <w:sz w:val="24"/>
      <w:lang w:val="fr-FR"/>
    </w:rPr>
  </w:style>
  <w:style w:type="paragraph" w:styleId="BodyText3">
    <w:name w:val="Body Text 3"/>
    <w:basedOn w:val="Normal"/>
    <w:link w:val="BodyText3Char"/>
    <w:uiPriority w:val="99"/>
    <w:semiHidden/>
    <w:rsid w:val="00701C36"/>
    <w:pPr>
      <w:spacing w:after="120"/>
      <w:jc w:val="left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01C36"/>
    <w:rPr>
      <w:rFonts w:eastAsiaTheme="minorEastAsia"/>
      <w:sz w:val="16"/>
      <w:szCs w:val="16"/>
      <w:lang w:val="fr-FR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01C36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01C36"/>
    <w:rPr>
      <w:rFonts w:eastAsiaTheme="minorEastAsia"/>
      <w:sz w:val="24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rsid w:val="00701C36"/>
    <w:pPr>
      <w:spacing w:after="120"/>
      <w:ind w:left="283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01C36"/>
    <w:rPr>
      <w:rFonts w:eastAsiaTheme="minorEastAsia"/>
      <w:sz w:val="24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01C36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01C36"/>
    <w:rPr>
      <w:rFonts w:eastAsiaTheme="minorEastAsia"/>
      <w:sz w:val="24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rsid w:val="00701C36"/>
    <w:pPr>
      <w:spacing w:after="120" w:line="480" w:lineRule="auto"/>
      <w:ind w:left="283"/>
      <w:jc w:val="left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01C36"/>
    <w:rPr>
      <w:rFonts w:eastAsiaTheme="minorEastAsia"/>
      <w:sz w:val="24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rsid w:val="00701C36"/>
    <w:pPr>
      <w:spacing w:after="120"/>
      <w:ind w:left="283"/>
      <w:jc w:val="left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01C36"/>
    <w:rPr>
      <w:rFonts w:eastAsiaTheme="minorEastAsia"/>
      <w:sz w:val="16"/>
      <w:szCs w:val="16"/>
      <w:lang w:val="fr-FR"/>
    </w:rPr>
  </w:style>
  <w:style w:type="paragraph" w:styleId="Caption">
    <w:name w:val="caption"/>
    <w:basedOn w:val="Normal"/>
    <w:next w:val="Normal"/>
    <w:uiPriority w:val="99"/>
    <w:semiHidden/>
    <w:qFormat/>
    <w:rsid w:val="00701C36"/>
    <w:pPr>
      <w:spacing w:after="200"/>
      <w:jc w:val="left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701C36"/>
    <w:pPr>
      <w:ind w:left="4252"/>
      <w:jc w:val="left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01C36"/>
    <w:rPr>
      <w:rFonts w:eastAsiaTheme="minorEastAsia"/>
      <w:sz w:val="24"/>
      <w:lang w:val="fr-FR"/>
    </w:rPr>
  </w:style>
  <w:style w:type="table" w:styleId="ColorfulGrid">
    <w:name w:val="Colorful Grid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01C36"/>
    <w:rPr>
      <w:color w:val="000000" w:themeColor="text1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01C36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01C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01C36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01C36"/>
    <w:rPr>
      <w:rFonts w:eastAsiaTheme="minorEastAsia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01C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C36"/>
    <w:rPr>
      <w:rFonts w:eastAsiaTheme="minorEastAsia"/>
      <w:b/>
      <w:bCs/>
      <w:sz w:val="20"/>
      <w:szCs w:val="20"/>
      <w:lang w:val="fr-FR"/>
    </w:rPr>
  </w:style>
  <w:style w:type="table" w:styleId="DarkList">
    <w:name w:val="Dark List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01C36"/>
    <w:rPr>
      <w:color w:val="0072BC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01C36"/>
    <w:pPr>
      <w:jc w:val="left"/>
    </w:pPr>
  </w:style>
  <w:style w:type="character" w:customStyle="1" w:styleId="DateChar">
    <w:name w:val="Date Char"/>
    <w:basedOn w:val="DefaultParagraphFont"/>
    <w:link w:val="Date"/>
    <w:uiPriority w:val="99"/>
    <w:semiHidden/>
    <w:rsid w:val="00701C36"/>
    <w:rPr>
      <w:rFonts w:eastAsiaTheme="minorEastAsia"/>
      <w:sz w:val="24"/>
      <w:lang w:val="fr-FR"/>
    </w:rPr>
  </w:style>
  <w:style w:type="paragraph" w:styleId="DocumentMap">
    <w:name w:val="Document Map"/>
    <w:basedOn w:val="Normal"/>
    <w:link w:val="DocumentMapChar"/>
    <w:uiPriority w:val="99"/>
    <w:semiHidden/>
    <w:rsid w:val="00701C36"/>
    <w:pPr>
      <w:jc w:val="left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01C36"/>
    <w:rPr>
      <w:rFonts w:ascii="Tahoma" w:hAnsi="Tahoma" w:eastAsiaTheme="minorEastAsi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rsid w:val="00701C36"/>
    <w:pPr>
      <w:jc w:val="left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01C36"/>
    <w:rPr>
      <w:rFonts w:eastAsiaTheme="minorEastAsia"/>
      <w:sz w:val="24"/>
      <w:lang w:val="fr-FR"/>
    </w:rPr>
  </w:style>
  <w:style w:type="character" w:styleId="EndnoteReference">
    <w:name w:val="endnote reference"/>
    <w:basedOn w:val="DefaultParagraphFont"/>
    <w:uiPriority w:val="99"/>
    <w:semiHidden/>
    <w:rsid w:val="00701C3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701C36"/>
    <w:pPr>
      <w:jc w:val="left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1C36"/>
    <w:rPr>
      <w:rFonts w:eastAsiaTheme="minorEastAsia"/>
      <w:sz w:val="20"/>
      <w:szCs w:val="20"/>
      <w:lang w:val="fr-FR"/>
    </w:rPr>
  </w:style>
  <w:style w:type="paragraph" w:styleId="EnvelopeAddress">
    <w:name w:val="envelope address"/>
    <w:basedOn w:val="Normal"/>
    <w:uiPriority w:val="99"/>
    <w:semiHidden/>
    <w:rsid w:val="00701C36"/>
    <w:pPr>
      <w:framePr w:w="7938" w:h="1985" w:hRule="exact" w:hSpace="141" w:wrap="auto" w:hAnchor="page" w:xAlign="center" w:yAlign="bottom"/>
      <w:ind w:left="2835"/>
      <w:jc w:val="left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701C36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01C36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rsid w:val="00701C36"/>
  </w:style>
  <w:style w:type="paragraph" w:styleId="HTMLAddress">
    <w:name w:val="HTML Address"/>
    <w:basedOn w:val="Normal"/>
    <w:link w:val="HTMLAddressChar"/>
    <w:uiPriority w:val="99"/>
    <w:semiHidden/>
    <w:rsid w:val="00701C36"/>
    <w:pPr>
      <w:jc w:val="left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01C36"/>
    <w:rPr>
      <w:rFonts w:eastAsiaTheme="minorEastAsia"/>
      <w:i/>
      <w:iCs/>
      <w:sz w:val="24"/>
      <w:lang w:val="fr-FR"/>
    </w:rPr>
  </w:style>
  <w:style w:type="character" w:styleId="HTMLCite">
    <w:name w:val="HTML Cite"/>
    <w:basedOn w:val="DefaultParagraphFont"/>
    <w:uiPriority w:val="99"/>
    <w:semiHidden/>
    <w:rsid w:val="00701C36"/>
    <w:rPr>
      <w:i/>
      <w:iCs/>
    </w:rPr>
  </w:style>
  <w:style w:type="character" w:styleId="HTMLCode">
    <w:name w:val="HTML Code"/>
    <w:basedOn w:val="DefaultParagraphFont"/>
    <w:uiPriority w:val="99"/>
    <w:semiHidden/>
    <w:rsid w:val="00701C36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01C36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01C36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01C36"/>
    <w:pPr>
      <w:jc w:val="left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01C36"/>
    <w:rPr>
      <w:rFonts w:ascii="Consolas" w:hAnsi="Consolas" w:eastAsiaTheme="minorEastAsia" w:cs="Consolas"/>
      <w:sz w:val="20"/>
      <w:szCs w:val="20"/>
      <w:lang w:val="fr-FR"/>
    </w:rPr>
  </w:style>
  <w:style w:type="character" w:styleId="HTMLSample">
    <w:name w:val="HTML Sample"/>
    <w:basedOn w:val="DefaultParagraphFont"/>
    <w:uiPriority w:val="99"/>
    <w:semiHidden/>
    <w:rsid w:val="00701C36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01C36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01C36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01C36"/>
    <w:pPr>
      <w:ind w:left="240" w:hanging="240"/>
      <w:jc w:val="left"/>
    </w:pPr>
  </w:style>
  <w:style w:type="paragraph" w:styleId="Index2">
    <w:name w:val="index 2"/>
    <w:basedOn w:val="Normal"/>
    <w:next w:val="Normal"/>
    <w:autoRedefine/>
    <w:uiPriority w:val="99"/>
    <w:semiHidden/>
    <w:rsid w:val="00701C36"/>
    <w:pPr>
      <w:ind w:left="480" w:hanging="240"/>
      <w:jc w:val="left"/>
    </w:pPr>
  </w:style>
  <w:style w:type="paragraph" w:styleId="Index3">
    <w:name w:val="index 3"/>
    <w:basedOn w:val="Normal"/>
    <w:next w:val="Normal"/>
    <w:autoRedefine/>
    <w:uiPriority w:val="99"/>
    <w:semiHidden/>
    <w:rsid w:val="00701C36"/>
    <w:pPr>
      <w:ind w:left="720" w:hanging="240"/>
      <w:jc w:val="left"/>
    </w:pPr>
  </w:style>
  <w:style w:type="paragraph" w:styleId="Index4">
    <w:name w:val="index 4"/>
    <w:basedOn w:val="Normal"/>
    <w:next w:val="Normal"/>
    <w:autoRedefine/>
    <w:uiPriority w:val="99"/>
    <w:semiHidden/>
    <w:rsid w:val="00701C36"/>
    <w:pPr>
      <w:ind w:left="960" w:hanging="240"/>
      <w:jc w:val="left"/>
    </w:pPr>
  </w:style>
  <w:style w:type="paragraph" w:styleId="Index5">
    <w:name w:val="index 5"/>
    <w:basedOn w:val="Normal"/>
    <w:next w:val="Normal"/>
    <w:autoRedefine/>
    <w:uiPriority w:val="99"/>
    <w:semiHidden/>
    <w:rsid w:val="00701C36"/>
    <w:pPr>
      <w:ind w:left="1200" w:hanging="240"/>
      <w:jc w:val="left"/>
    </w:pPr>
  </w:style>
  <w:style w:type="paragraph" w:styleId="Index6">
    <w:name w:val="index 6"/>
    <w:basedOn w:val="Normal"/>
    <w:next w:val="Normal"/>
    <w:autoRedefine/>
    <w:uiPriority w:val="99"/>
    <w:semiHidden/>
    <w:rsid w:val="00701C36"/>
    <w:pPr>
      <w:ind w:left="1440" w:hanging="240"/>
      <w:jc w:val="left"/>
    </w:pPr>
  </w:style>
  <w:style w:type="paragraph" w:styleId="Index7">
    <w:name w:val="index 7"/>
    <w:basedOn w:val="Normal"/>
    <w:next w:val="Normal"/>
    <w:autoRedefine/>
    <w:uiPriority w:val="99"/>
    <w:semiHidden/>
    <w:rsid w:val="00701C36"/>
    <w:pPr>
      <w:ind w:left="1680" w:hanging="240"/>
      <w:jc w:val="left"/>
    </w:pPr>
  </w:style>
  <w:style w:type="paragraph" w:styleId="Index8">
    <w:name w:val="index 8"/>
    <w:basedOn w:val="Normal"/>
    <w:next w:val="Normal"/>
    <w:autoRedefine/>
    <w:uiPriority w:val="99"/>
    <w:semiHidden/>
    <w:rsid w:val="00701C36"/>
    <w:pPr>
      <w:ind w:left="1920" w:hanging="240"/>
      <w:jc w:val="left"/>
    </w:pPr>
  </w:style>
  <w:style w:type="paragraph" w:styleId="Index9">
    <w:name w:val="index 9"/>
    <w:basedOn w:val="Normal"/>
    <w:next w:val="Normal"/>
    <w:autoRedefine/>
    <w:uiPriority w:val="99"/>
    <w:semiHidden/>
    <w:rsid w:val="00701C36"/>
    <w:pPr>
      <w:ind w:left="2160" w:hanging="240"/>
      <w:jc w:val="left"/>
    </w:pPr>
  </w:style>
  <w:style w:type="paragraph" w:styleId="IndexHeading">
    <w:name w:val="index heading"/>
    <w:basedOn w:val="Normal"/>
    <w:next w:val="Index1"/>
    <w:uiPriority w:val="99"/>
    <w:semiHidden/>
    <w:rsid w:val="00701C36"/>
    <w:pPr>
      <w:jc w:val="left"/>
    </w:pPr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01C36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01C36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01C3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701C36"/>
    <w:rPr>
      <w:color w:val="00548C" w:themeColor="accent1" w:themeShade="BF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01C36"/>
    <w:rPr>
      <w:color w:val="8F0000" w:themeColor="accent2" w:themeShade="BF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01C36"/>
    <w:rPr>
      <w:color w:val="474747" w:themeColor="accent3" w:themeShade="BF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01C36"/>
    <w:rPr>
      <w:color w:val="707070" w:themeColor="accent4" w:themeShade="BF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01C36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01C36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01C36"/>
  </w:style>
  <w:style w:type="paragraph" w:styleId="List0">
    <w:name w:val="List"/>
    <w:basedOn w:val="Normal"/>
    <w:uiPriority w:val="99"/>
    <w:semiHidden/>
    <w:rsid w:val="00701C36"/>
    <w:pPr>
      <w:ind w:left="283" w:hanging="283"/>
      <w:contextualSpacing/>
      <w:jc w:val="left"/>
    </w:pPr>
  </w:style>
  <w:style w:type="paragraph" w:styleId="List20">
    <w:name w:val="List 2"/>
    <w:basedOn w:val="Normal"/>
    <w:uiPriority w:val="99"/>
    <w:semiHidden/>
    <w:rsid w:val="00701C36"/>
    <w:pPr>
      <w:ind w:left="566" w:hanging="283"/>
      <w:contextualSpacing/>
      <w:jc w:val="left"/>
    </w:pPr>
  </w:style>
  <w:style w:type="paragraph" w:styleId="List30">
    <w:name w:val="List 3"/>
    <w:basedOn w:val="Normal"/>
    <w:uiPriority w:val="99"/>
    <w:semiHidden/>
    <w:rsid w:val="00701C36"/>
    <w:pPr>
      <w:ind w:left="849" w:hanging="283"/>
      <w:contextualSpacing/>
      <w:jc w:val="left"/>
    </w:pPr>
  </w:style>
  <w:style w:type="paragraph" w:styleId="List4">
    <w:name w:val="List 4"/>
    <w:basedOn w:val="Normal"/>
    <w:uiPriority w:val="99"/>
    <w:semiHidden/>
    <w:rsid w:val="00701C36"/>
    <w:pPr>
      <w:ind w:left="1132" w:hanging="283"/>
      <w:contextualSpacing/>
      <w:jc w:val="left"/>
    </w:pPr>
  </w:style>
  <w:style w:type="paragraph" w:styleId="List5">
    <w:name w:val="List 5"/>
    <w:basedOn w:val="Normal"/>
    <w:uiPriority w:val="99"/>
    <w:semiHidden/>
    <w:rsid w:val="00701C36"/>
    <w:pPr>
      <w:ind w:left="1415" w:hanging="283"/>
      <w:contextualSpacing/>
      <w:jc w:val="left"/>
    </w:pPr>
  </w:style>
  <w:style w:type="paragraph" w:styleId="ListBullet">
    <w:name w:val="List Bullet"/>
    <w:basedOn w:val="Normal"/>
    <w:uiPriority w:val="99"/>
    <w:semiHidden/>
    <w:rsid w:val="00701C36"/>
    <w:pPr>
      <w:numPr>
        <w:numId w:val="40"/>
      </w:numPr>
      <w:jc w:val="left"/>
    </w:pPr>
  </w:style>
  <w:style w:type="paragraph" w:styleId="ListBullet3">
    <w:name w:val="List Bullet 3"/>
    <w:basedOn w:val="Normal"/>
    <w:uiPriority w:val="99"/>
    <w:semiHidden/>
    <w:rsid w:val="00701C36"/>
    <w:pPr>
      <w:numPr>
        <w:numId w:val="42"/>
      </w:numPr>
      <w:contextualSpacing/>
      <w:jc w:val="left"/>
    </w:pPr>
  </w:style>
  <w:style w:type="paragraph" w:styleId="ListBullet4">
    <w:name w:val="List Bullet 4"/>
    <w:basedOn w:val="Normal"/>
    <w:uiPriority w:val="99"/>
    <w:semiHidden/>
    <w:rsid w:val="00701C36"/>
    <w:pPr>
      <w:numPr>
        <w:numId w:val="43"/>
      </w:numPr>
      <w:contextualSpacing/>
      <w:jc w:val="left"/>
    </w:pPr>
  </w:style>
  <w:style w:type="paragraph" w:styleId="ListBullet5">
    <w:name w:val="List Bullet 5"/>
    <w:basedOn w:val="Normal"/>
    <w:uiPriority w:val="99"/>
    <w:semiHidden/>
    <w:rsid w:val="00701C36"/>
    <w:pPr>
      <w:numPr>
        <w:numId w:val="44"/>
      </w:numPr>
      <w:contextualSpacing/>
      <w:jc w:val="left"/>
    </w:pPr>
  </w:style>
  <w:style w:type="paragraph" w:styleId="ListContinue">
    <w:name w:val="List Continue"/>
    <w:basedOn w:val="Normal"/>
    <w:uiPriority w:val="99"/>
    <w:semiHidden/>
    <w:rsid w:val="00701C36"/>
    <w:pPr>
      <w:spacing w:after="120"/>
      <w:ind w:left="283"/>
      <w:contextualSpacing/>
      <w:jc w:val="left"/>
    </w:pPr>
  </w:style>
  <w:style w:type="paragraph" w:styleId="ListContinue2">
    <w:name w:val="List Continue 2"/>
    <w:basedOn w:val="Normal"/>
    <w:uiPriority w:val="99"/>
    <w:semiHidden/>
    <w:rsid w:val="00701C36"/>
    <w:pPr>
      <w:spacing w:after="120"/>
      <w:ind w:left="566"/>
      <w:contextualSpacing/>
      <w:jc w:val="left"/>
    </w:pPr>
  </w:style>
  <w:style w:type="paragraph" w:styleId="ListContinue3">
    <w:name w:val="List Continue 3"/>
    <w:basedOn w:val="Normal"/>
    <w:uiPriority w:val="99"/>
    <w:semiHidden/>
    <w:rsid w:val="00701C36"/>
    <w:pPr>
      <w:spacing w:after="120"/>
      <w:ind w:left="849"/>
      <w:contextualSpacing/>
      <w:jc w:val="left"/>
    </w:pPr>
  </w:style>
  <w:style w:type="paragraph" w:styleId="ListContinue4">
    <w:name w:val="List Continue 4"/>
    <w:basedOn w:val="Normal"/>
    <w:uiPriority w:val="99"/>
    <w:semiHidden/>
    <w:rsid w:val="00701C36"/>
    <w:pPr>
      <w:spacing w:after="120"/>
      <w:ind w:left="1132"/>
      <w:contextualSpacing/>
      <w:jc w:val="left"/>
    </w:pPr>
  </w:style>
  <w:style w:type="paragraph" w:styleId="ListContinue5">
    <w:name w:val="List Continue 5"/>
    <w:basedOn w:val="Normal"/>
    <w:uiPriority w:val="99"/>
    <w:semiHidden/>
    <w:rsid w:val="00701C36"/>
    <w:pPr>
      <w:spacing w:after="120"/>
      <w:ind w:left="1415"/>
      <w:contextualSpacing/>
      <w:jc w:val="left"/>
    </w:pPr>
  </w:style>
  <w:style w:type="paragraph" w:styleId="ListNumber">
    <w:name w:val="List Number"/>
    <w:basedOn w:val="Normal"/>
    <w:uiPriority w:val="99"/>
    <w:semiHidden/>
    <w:rsid w:val="00701C36"/>
    <w:pPr>
      <w:numPr>
        <w:numId w:val="45"/>
      </w:numPr>
      <w:contextualSpacing/>
      <w:jc w:val="left"/>
    </w:pPr>
  </w:style>
  <w:style w:type="paragraph" w:styleId="ListNumber2">
    <w:name w:val="List Number 2"/>
    <w:basedOn w:val="Normal"/>
    <w:uiPriority w:val="99"/>
    <w:semiHidden/>
    <w:rsid w:val="00701C36"/>
    <w:pPr>
      <w:numPr>
        <w:numId w:val="46"/>
      </w:numPr>
      <w:contextualSpacing/>
      <w:jc w:val="left"/>
    </w:pPr>
  </w:style>
  <w:style w:type="paragraph" w:styleId="ListNumber3">
    <w:name w:val="List Number 3"/>
    <w:basedOn w:val="Normal"/>
    <w:uiPriority w:val="99"/>
    <w:semiHidden/>
    <w:rsid w:val="00701C36"/>
    <w:pPr>
      <w:numPr>
        <w:numId w:val="47"/>
      </w:numPr>
      <w:contextualSpacing/>
      <w:jc w:val="left"/>
    </w:pPr>
  </w:style>
  <w:style w:type="paragraph" w:styleId="ListNumber4">
    <w:name w:val="List Number 4"/>
    <w:basedOn w:val="Normal"/>
    <w:uiPriority w:val="99"/>
    <w:semiHidden/>
    <w:rsid w:val="00701C36"/>
    <w:pPr>
      <w:numPr>
        <w:numId w:val="48"/>
      </w:numPr>
      <w:contextualSpacing/>
      <w:jc w:val="left"/>
    </w:pPr>
  </w:style>
  <w:style w:type="paragraph" w:styleId="ListNumber5">
    <w:name w:val="List Number 5"/>
    <w:basedOn w:val="Normal"/>
    <w:uiPriority w:val="99"/>
    <w:semiHidden/>
    <w:rsid w:val="00701C36"/>
    <w:pPr>
      <w:numPr>
        <w:numId w:val="49"/>
      </w:numPr>
      <w:contextualSpacing/>
      <w:jc w:val="left"/>
    </w:pPr>
  </w:style>
  <w:style w:type="paragraph" w:styleId="Macro">
    <w:name w:val="macro"/>
    <w:link w:val="MacroTextChar"/>
    <w:uiPriority w:val="99"/>
    <w:semiHidden/>
    <w:rsid w:val="00701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701C36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01C36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01C36"/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01C36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01C3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01C36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01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701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01C36"/>
    <w:rPr>
      <w:rFonts w:asciiTheme="majorHAnsi" w:eastAsiaTheme="majorEastAsia" w:hAnsiTheme="majorHAnsi" w:cstheme="majorBidi"/>
      <w:sz w:val="24"/>
      <w:szCs w:val="24"/>
      <w:shd w:val="pct20" w:color="auto" w:fill="auto"/>
      <w:lang w:val="fr-FR"/>
    </w:rPr>
  </w:style>
  <w:style w:type="paragraph" w:styleId="NormalWeb">
    <w:name w:val="Normal (Web)"/>
    <w:basedOn w:val="Normal"/>
    <w:uiPriority w:val="99"/>
    <w:semiHidden/>
    <w:rsid w:val="00701C3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701C3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01C36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01C36"/>
    <w:rPr>
      <w:rFonts w:eastAsiaTheme="minorEastAsia"/>
      <w:sz w:val="24"/>
      <w:lang w:val="fr-FR"/>
    </w:rPr>
  </w:style>
  <w:style w:type="character" w:styleId="PlaceholderText">
    <w:name w:val="Placeholder Text"/>
    <w:basedOn w:val="DefaultParagraphFont"/>
    <w:uiPriority w:val="99"/>
    <w:semiHidden/>
    <w:rsid w:val="00701C36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9"/>
    <w:semiHidden/>
    <w:rsid w:val="00701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01C36"/>
    <w:rPr>
      <w:rFonts w:ascii="Consolas" w:hAnsi="Consolas" w:eastAsiaTheme="minorEastAsia" w:cs="Consolas"/>
      <w:sz w:val="21"/>
      <w:szCs w:val="21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01C3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01C36"/>
    <w:rPr>
      <w:rFonts w:eastAsiaTheme="minorEastAsia"/>
      <w:sz w:val="24"/>
      <w:lang w:val="fr-FR"/>
    </w:rPr>
  </w:style>
  <w:style w:type="paragraph" w:styleId="Signature">
    <w:name w:val="Signature"/>
    <w:basedOn w:val="Normal"/>
    <w:link w:val="SignatureChar"/>
    <w:uiPriority w:val="99"/>
    <w:semiHidden/>
    <w:rsid w:val="00701C36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01C36"/>
    <w:rPr>
      <w:rFonts w:eastAsiaTheme="minorEastAsia"/>
      <w:sz w:val="24"/>
      <w:lang w:val="fr-FR"/>
    </w:rPr>
  </w:style>
  <w:style w:type="table" w:styleId="Table3Deffects1">
    <w:name w:val="Table 3D effects 1"/>
    <w:basedOn w:val="TableNormal"/>
    <w:uiPriority w:val="99"/>
    <w:semiHidden/>
    <w:unhideWhenUsed/>
    <w:rsid w:val="00701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01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01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01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01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01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01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01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01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01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01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01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01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01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01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01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01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01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01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01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01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01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01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01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01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01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01C36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01C36"/>
  </w:style>
  <w:style w:type="table" w:styleId="TableProfessional">
    <w:name w:val="Table Professional"/>
    <w:basedOn w:val="TableNormal"/>
    <w:uiPriority w:val="99"/>
    <w:semiHidden/>
    <w:unhideWhenUsed/>
    <w:rsid w:val="00701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01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01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01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01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01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01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01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01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701C36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701C36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701C3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701C36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D20A92"/>
    <w:rPr>
      <w:sz w:val="8"/>
    </w:rPr>
  </w:style>
  <w:style w:type="paragraph" w:customStyle="1" w:styleId="FooterLine">
    <w:name w:val="_Footer_Line"/>
    <w:aliases w:val="Footer_Line"/>
    <w:basedOn w:val="Normal"/>
    <w:next w:val="Footer"/>
    <w:uiPriority w:val="57"/>
    <w:semiHidden/>
    <w:rsid w:val="00701C36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5"/>
    <w:qFormat/>
    <w:rsid w:val="00701C36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HeaderLandscape">
    <w:name w:val="Ju_Header_Landscape"/>
    <w:basedOn w:val="JuHeader"/>
    <w:uiPriority w:val="30"/>
    <w:qFormat/>
    <w:rsid w:val="00701C36"/>
    <w:pPr>
      <w:tabs>
        <w:tab w:val="clear" w:pos="3686"/>
        <w:tab w:val="center" w:pos="6146"/>
        <w:tab w:val="clear" w:pos="7371"/>
        <w:tab w:val="right" w:pos="12293"/>
      </w:tabs>
    </w:pPr>
  </w:style>
  <w:style w:type="paragraph" w:customStyle="1" w:styleId="JuTitle">
    <w:name w:val="Ju_Title"/>
    <w:aliases w:val="_Title_2"/>
    <w:basedOn w:val="Normal"/>
    <w:next w:val="JuPara"/>
    <w:uiPriority w:val="35"/>
    <w:qFormat/>
    <w:rsid w:val="00701C36"/>
    <w:pPr>
      <w:keepNext/>
      <w:keepLines/>
      <w:spacing w:before="1320" w:after="280"/>
      <w:contextualSpacing/>
      <w:jc w:val="center"/>
    </w:pPr>
    <w:rPr>
      <w:rFonts w:eastAsiaTheme="minorHAnsi"/>
      <w:b/>
    </w:rPr>
  </w:style>
  <w:style w:type="character" w:customStyle="1" w:styleId="JuParaChar">
    <w:name w:val="Ju_Para Char"/>
    <w:aliases w:val="_Para Char"/>
    <w:link w:val="JuPara"/>
    <w:uiPriority w:val="8"/>
    <w:rsid w:val="00E66827"/>
    <w:rPr>
      <w:rFonts w:eastAsiaTheme="minorEastAsia"/>
      <w:sz w:val="24"/>
      <w:lang w:val="fr-FR"/>
    </w:rPr>
  </w:style>
  <w:style w:type="paragraph" w:customStyle="1" w:styleId="jupara0">
    <w:name w:val="jupara"/>
    <w:basedOn w:val="Normal"/>
    <w:rsid w:val="007718B8"/>
    <w:pPr>
      <w:ind w:firstLine="284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jucase0">
    <w:name w:val="jucase"/>
    <w:basedOn w:val="Normal"/>
    <w:rsid w:val="007718B8"/>
    <w:pPr>
      <w:ind w:firstLine="284"/>
    </w:pPr>
    <w:rPr>
      <w:rFonts w:ascii="Times New Roman" w:eastAsia="Times New Roman" w:hAnsi="Times New Roman" w:cs="Times New Roman"/>
      <w:b/>
      <w:bCs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0420A-D9C2-4F70-9FB4-446D2B4B8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JUDF</dc:subject>
  <cp:revision>1</cp:revision>
  <dcterms:created xsi:type="dcterms:W3CDTF">2019-10-21T09:46:00Z</dcterms:created>
  <dcterms:modified xsi:type="dcterms:W3CDTF">2023-09-05T09:32:00Z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476176</vt:lpwstr>
  </property>
  <property fmtid="{D5CDD505-2E9C-101B-9397-08002B2CF9AE}" pid="3" name="cstLanguage">
    <vt:i4>1036</vt:i4>
  </property>
  <property fmtid="{D5CDD505-2E9C-101B-9397-08002B2CF9AE}" pid="4" name="RegisteredNo">
    <vt:lpwstr>48642/07</vt:lpwstr>
  </property>
</Properties>
</file>