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7.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oter4.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9.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header1.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5E5BB9" w:rsidR="001B7A31" w:rsidP="005E5BB9" w:rsidRDefault="001B7A31">
      <w:pPr>
        <w:jc w:val="center"/>
        <w:rPr>
          <w:rFonts w:ascii="Times New Roman" w:hAnsi="Times New Roman" w:cs="Times New Roman"/>
        </w:rPr>
      </w:pPr>
    </w:p>
    <w:p w:rsidRPr="005E5BB9" w:rsidR="0098410D" w:rsidP="005E5BB9" w:rsidRDefault="0098410D">
      <w:pPr>
        <w:jc w:val="center"/>
      </w:pPr>
    </w:p>
    <w:p w:rsidRPr="005E5BB9" w:rsidR="00B15EFA" w:rsidP="005E5BB9" w:rsidRDefault="00B15EFA">
      <w:pPr>
        <w:jc w:val="center"/>
      </w:pPr>
    </w:p>
    <w:p w:rsidRPr="005E5BB9" w:rsidR="0098410D" w:rsidP="005E5BB9" w:rsidRDefault="001B7A31">
      <w:pPr>
        <w:pStyle w:val="DecHCase"/>
      </w:pPr>
      <w:r w:rsidRPr="005E5BB9">
        <w:t>THIRD SECTION</w:t>
      </w:r>
    </w:p>
    <w:p w:rsidRPr="005E5BB9" w:rsidR="00B15EFA" w:rsidP="005E5BB9" w:rsidRDefault="00B15EFA">
      <w:pPr>
        <w:pStyle w:val="JuTitle"/>
      </w:pPr>
      <w:bookmarkStart w:name="To" w:id="0"/>
    </w:p>
    <w:p w:rsidRPr="005E5BB9" w:rsidR="00B15EFA" w:rsidP="005E5BB9" w:rsidRDefault="00B15EFA">
      <w:pPr>
        <w:pStyle w:val="JuTitle"/>
      </w:pPr>
    </w:p>
    <w:p w:rsidRPr="005E5BB9" w:rsidR="008E6217" w:rsidP="005E5BB9" w:rsidRDefault="008E6217">
      <w:pPr>
        <w:pStyle w:val="JuTitle"/>
      </w:pPr>
      <w:r w:rsidRPr="005E5BB9">
        <w:t xml:space="preserve">CASE OF </w:t>
      </w:r>
      <w:bookmarkEnd w:id="0"/>
      <w:r w:rsidRPr="005E5BB9" w:rsidR="001B7A31">
        <w:t>KONSTANTINOV</w:t>
      </w:r>
      <w:r w:rsidRPr="005E5BB9" w:rsidR="003E0374">
        <w:t xml:space="preserve"> AND OTHERS</w:t>
      </w:r>
      <w:r w:rsidRPr="005E5BB9" w:rsidR="001B7A31">
        <w:t xml:space="preserve"> v. RUSSIA</w:t>
      </w:r>
    </w:p>
    <w:p w:rsidRPr="005E5BB9" w:rsidR="00D74888" w:rsidP="005E5BB9" w:rsidRDefault="008E6217">
      <w:pPr>
        <w:pStyle w:val="Title4"/>
      </w:pPr>
      <w:r w:rsidRPr="005E5BB9">
        <w:t>(</w:t>
      </w:r>
      <w:r w:rsidRPr="005E5BB9" w:rsidR="001B7A31">
        <w:t>Applications nos.</w:t>
      </w:r>
      <w:r w:rsidRPr="005E5BB9">
        <w:t xml:space="preserve"> </w:t>
      </w:r>
      <w:r w:rsidRPr="005E5BB9" w:rsidR="001B7A31">
        <w:t xml:space="preserve">15364/11 and </w:t>
      </w:r>
      <w:r w:rsidRPr="005E5BB9" w:rsidR="003E0374">
        <w:t>2</w:t>
      </w:r>
      <w:r w:rsidRPr="005E5BB9" w:rsidR="001B7A31">
        <w:t xml:space="preserve"> others</w:t>
      </w:r>
      <w:r w:rsidRPr="005E5BB9" w:rsidR="005A08AC">
        <w:t xml:space="preserve"> – see appended list</w:t>
      </w:r>
      <w:r w:rsidRPr="005E5BB9">
        <w:t>)</w:t>
      </w:r>
    </w:p>
    <w:p w:rsidRPr="005E5BB9" w:rsidR="0098410D" w:rsidP="005E5BB9" w:rsidRDefault="0098410D">
      <w:pPr>
        <w:pStyle w:val="DecHCase"/>
      </w:pPr>
    </w:p>
    <w:p w:rsidRPr="005E5BB9" w:rsidR="0098410D" w:rsidP="005E5BB9" w:rsidRDefault="0098410D">
      <w:pPr>
        <w:pStyle w:val="DecHCase"/>
      </w:pPr>
    </w:p>
    <w:p w:rsidRPr="005E5BB9" w:rsidR="00AC4CD4" w:rsidP="005E5BB9" w:rsidRDefault="00AC4CD4">
      <w:pPr>
        <w:pStyle w:val="DecHCase"/>
      </w:pPr>
    </w:p>
    <w:p w:rsidRPr="005E5BB9" w:rsidR="00AC4CD4" w:rsidP="005E5BB9" w:rsidRDefault="00AC4CD4">
      <w:pPr>
        <w:pStyle w:val="DecHCase"/>
      </w:pPr>
    </w:p>
    <w:p w:rsidRPr="005E5BB9" w:rsidR="005A08AC" w:rsidP="005E5BB9" w:rsidRDefault="0098410D">
      <w:pPr>
        <w:jc w:val="center"/>
      </w:pPr>
      <w:r w:rsidRPr="005E5BB9">
        <w:t>JUDGMENT</w:t>
      </w:r>
      <w:r w:rsidRPr="005E5BB9" w:rsidR="00AC4CD4">
        <w:br/>
      </w:r>
      <w:bookmarkStart w:name="JUDTYPE" w:id="1"/>
      <w:r w:rsidRPr="005E5BB9" w:rsidR="005A08AC">
        <w:rPr>
          <w:sz w:val="22"/>
        </w:rPr>
        <w:t>(</w:t>
      </w:r>
      <w:r w:rsidRPr="005E5BB9" w:rsidR="005A08AC">
        <w:rPr>
          <w:i/>
          <w:sz w:val="22"/>
        </w:rPr>
        <w:t>Merits</w:t>
      </w:r>
      <w:r w:rsidRPr="005E5BB9" w:rsidR="005A08AC">
        <w:rPr>
          <w:sz w:val="22"/>
        </w:rPr>
        <w:t>)</w:t>
      </w:r>
      <w:bookmarkEnd w:id="1"/>
    </w:p>
    <w:p w:rsidRPr="005E5BB9" w:rsidR="007A3B5F" w:rsidP="005E5BB9" w:rsidRDefault="007A3B5F">
      <w:pPr>
        <w:pStyle w:val="DecHCase"/>
      </w:pPr>
    </w:p>
    <w:p w:rsidRPr="005E5BB9" w:rsidR="007A3B5F" w:rsidP="005E5BB9" w:rsidRDefault="007A3B5F">
      <w:pPr>
        <w:pStyle w:val="DecHCase"/>
      </w:pPr>
    </w:p>
    <w:p w:rsidRPr="005E5BB9" w:rsidR="007A3B5F" w:rsidP="005E5BB9" w:rsidRDefault="007A3B5F">
      <w:pPr>
        <w:pStyle w:val="DecHCase"/>
      </w:pPr>
    </w:p>
    <w:p w:rsidRPr="005E5BB9" w:rsidR="007A3B5F" w:rsidP="005E5BB9" w:rsidRDefault="007A3B5F">
      <w:pPr>
        <w:pStyle w:val="DecHCase"/>
      </w:pPr>
    </w:p>
    <w:p w:rsidRPr="005E5BB9" w:rsidR="0098410D" w:rsidP="005E5BB9" w:rsidRDefault="0098410D">
      <w:pPr>
        <w:pStyle w:val="DecHCase"/>
      </w:pPr>
      <w:r w:rsidRPr="005E5BB9">
        <w:t>STRASBOURG</w:t>
      </w:r>
    </w:p>
    <w:p w:rsidRPr="005E5BB9" w:rsidR="0098410D" w:rsidP="005E5BB9" w:rsidRDefault="001B7A31">
      <w:pPr>
        <w:pStyle w:val="DecHCase"/>
        <w:rPr>
          <w:szCs w:val="24"/>
        </w:rPr>
      </w:pPr>
      <w:r w:rsidRPr="005E5BB9">
        <w:rPr>
          <w:rFonts w:ascii="Times New Roman" w:hAnsi="Times New Roman" w:cs="Times New Roman"/>
        </w:rPr>
        <w:t>22 October 2019</w:t>
      </w:r>
    </w:p>
    <w:p w:rsidRPr="005E5BB9" w:rsidR="00AC4CD4" w:rsidP="005E5BB9" w:rsidRDefault="00AC4CD4">
      <w:pPr>
        <w:pStyle w:val="JuPara"/>
      </w:pPr>
    </w:p>
    <w:p w:rsidRPr="005E5BB9" w:rsidR="002422B6" w:rsidP="005E5BB9" w:rsidRDefault="0098410D">
      <w:pPr>
        <w:rPr>
          <w:i/>
          <w:sz w:val="22"/>
        </w:rPr>
      </w:pPr>
      <w:r w:rsidRPr="005E5BB9">
        <w:rPr>
          <w:i/>
          <w:sz w:val="22"/>
        </w:rPr>
        <w:t xml:space="preserve">This judgment </w:t>
      </w:r>
      <w:r w:rsidRPr="005E5BB9" w:rsidR="001B7A31">
        <w:rPr>
          <w:i/>
          <w:sz w:val="22"/>
        </w:rPr>
        <w:t>is final but it</w:t>
      </w:r>
      <w:r w:rsidRPr="005E5BB9">
        <w:rPr>
          <w:i/>
          <w:sz w:val="22"/>
        </w:rPr>
        <w:t xml:space="preserve"> may be subject to editorial revision.</w:t>
      </w:r>
    </w:p>
    <w:p w:rsidRPr="005E5BB9" w:rsidR="0098410D" w:rsidP="005E5BB9" w:rsidRDefault="0098410D">
      <w:pPr>
        <w:sectPr w:rsidRPr="005E5BB9" w:rsidR="0098410D">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noEndnote/>
        </w:sectPr>
      </w:pPr>
    </w:p>
    <w:p w:rsidRPr="005E5BB9" w:rsidR="0098410D" w:rsidP="005E5BB9" w:rsidRDefault="0098410D">
      <w:pPr>
        <w:pStyle w:val="JuCase"/>
      </w:pPr>
      <w:r w:rsidRPr="005E5BB9">
        <w:t xml:space="preserve">In the case of </w:t>
      </w:r>
      <w:proofErr w:type="spellStart"/>
      <w:r w:rsidRPr="005E5BB9" w:rsidR="001B7A31">
        <w:t>Konstantinov</w:t>
      </w:r>
      <w:proofErr w:type="spellEnd"/>
      <w:r w:rsidRPr="005E5BB9" w:rsidR="001B7A31">
        <w:t xml:space="preserve"> </w:t>
      </w:r>
      <w:r w:rsidRPr="005E5BB9" w:rsidR="00B15EFA">
        <w:t xml:space="preserve">and Others </w:t>
      </w:r>
      <w:r w:rsidRPr="005E5BB9" w:rsidR="001B7A31">
        <w:t>v. Russia</w:t>
      </w:r>
      <w:r w:rsidRPr="005E5BB9">
        <w:t>,</w:t>
      </w:r>
    </w:p>
    <w:p w:rsidRPr="005E5BB9" w:rsidR="009F4C8F" w:rsidP="005E5BB9" w:rsidRDefault="009F4C8F">
      <w:pPr>
        <w:pStyle w:val="JuPara"/>
      </w:pPr>
      <w:r w:rsidRPr="005E5BB9">
        <w:t>The European Court of Human Rights (</w:t>
      </w:r>
      <w:r w:rsidRPr="005E5BB9" w:rsidR="001B7A31">
        <w:t>Third Section</w:t>
      </w:r>
      <w:r w:rsidRPr="005E5BB9">
        <w:t xml:space="preserve">), sitting as a </w:t>
      </w:r>
      <w:r w:rsidRPr="005E5BB9" w:rsidR="001B7A31">
        <w:t>Committee</w:t>
      </w:r>
      <w:r w:rsidRPr="005E5BB9">
        <w:t xml:space="preserve"> composed of:</w:t>
      </w:r>
    </w:p>
    <w:p w:rsidRPr="005E5BB9" w:rsidR="009F4C8F" w:rsidP="005E5BB9" w:rsidRDefault="00B15EFA">
      <w:pPr>
        <w:pStyle w:val="JuJudges"/>
      </w:pPr>
      <w:r w:rsidRPr="005E5BB9">
        <w:tab/>
        <w:t xml:space="preserve">Alena </w:t>
      </w:r>
      <w:proofErr w:type="spellStart"/>
      <w:r w:rsidRPr="005E5BB9">
        <w:t>Poláčková</w:t>
      </w:r>
      <w:proofErr w:type="spellEnd"/>
      <w:r w:rsidRPr="005E5BB9">
        <w:t>,</w:t>
      </w:r>
      <w:r w:rsidRPr="005E5BB9">
        <w:rPr>
          <w:i/>
        </w:rPr>
        <w:t xml:space="preserve"> President,</w:t>
      </w:r>
      <w:r w:rsidRPr="005E5BB9">
        <w:rPr>
          <w:i/>
        </w:rPr>
        <w:br/>
      </w:r>
      <w:r w:rsidRPr="005E5BB9">
        <w:tab/>
        <w:t xml:space="preserve">Dmitry </w:t>
      </w:r>
      <w:proofErr w:type="spellStart"/>
      <w:r w:rsidRPr="005E5BB9">
        <w:t>Dedov</w:t>
      </w:r>
      <w:proofErr w:type="spellEnd"/>
      <w:r w:rsidRPr="005E5BB9">
        <w:t>,</w:t>
      </w:r>
      <w:r w:rsidRPr="005E5BB9">
        <w:rPr>
          <w:i/>
        </w:rPr>
        <w:br/>
      </w:r>
      <w:r w:rsidRPr="005E5BB9">
        <w:tab/>
        <w:t xml:space="preserve">Gilberto </w:t>
      </w:r>
      <w:proofErr w:type="spellStart"/>
      <w:r w:rsidRPr="005E5BB9">
        <w:t>Felici</w:t>
      </w:r>
      <w:proofErr w:type="spellEnd"/>
      <w:r w:rsidRPr="005E5BB9">
        <w:t>,</w:t>
      </w:r>
      <w:r w:rsidRPr="005E5BB9">
        <w:rPr>
          <w:i/>
        </w:rPr>
        <w:t xml:space="preserve"> judges,</w:t>
      </w:r>
      <w:r w:rsidRPr="005E5BB9" w:rsidR="009F4C8F">
        <w:rPr>
          <w:szCs w:val="24"/>
        </w:rPr>
        <w:br/>
      </w:r>
      <w:r w:rsidRPr="005E5BB9" w:rsidR="009F4C8F">
        <w:t>and</w:t>
      </w:r>
      <w:r w:rsidRPr="005E5BB9" w:rsidR="001B7A31">
        <w:t xml:space="preserve"> </w:t>
      </w:r>
      <w:r w:rsidRPr="005E5BB9">
        <w:t>Stephen Phillips</w:t>
      </w:r>
      <w:r w:rsidRPr="005E5BB9" w:rsidR="009F4C8F">
        <w:t xml:space="preserve">, </w:t>
      </w:r>
      <w:r w:rsidRPr="005E5BB9" w:rsidR="001B7A31">
        <w:rPr>
          <w:i/>
        </w:rPr>
        <w:t xml:space="preserve">Section </w:t>
      </w:r>
      <w:r w:rsidRPr="005E5BB9" w:rsidR="001B7A31">
        <w:rPr>
          <w:i/>
          <w:iCs/>
        </w:rPr>
        <w:t>Registrar</w:t>
      </w:r>
      <w:r w:rsidRPr="005E5BB9" w:rsidR="009F4C8F">
        <w:rPr>
          <w:i/>
        </w:rPr>
        <w:t>,</w:t>
      </w:r>
    </w:p>
    <w:p w:rsidRPr="005E5BB9" w:rsidR="009F4C8F" w:rsidP="005E5BB9" w:rsidRDefault="009F4C8F">
      <w:pPr>
        <w:pStyle w:val="JuPara"/>
      </w:pPr>
      <w:r w:rsidRPr="005E5BB9">
        <w:t xml:space="preserve">Having deliberated in private on </w:t>
      </w:r>
      <w:r w:rsidRPr="005E5BB9" w:rsidR="001B7A31">
        <w:rPr>
          <w:szCs w:val="24"/>
        </w:rPr>
        <w:t>1 October 2019</w:t>
      </w:r>
      <w:r w:rsidRPr="005E5BB9">
        <w:t>,</w:t>
      </w:r>
    </w:p>
    <w:p w:rsidRPr="005E5BB9" w:rsidR="009F4C8F" w:rsidP="005E5BB9" w:rsidRDefault="009F4C8F">
      <w:pPr>
        <w:pStyle w:val="JuPara"/>
      </w:pPr>
      <w:r w:rsidRPr="005E5BB9">
        <w:t>Delivers the following judgment, which was adopted on that date:</w:t>
      </w:r>
    </w:p>
    <w:p w:rsidRPr="005E5BB9" w:rsidR="001B7A31" w:rsidP="005E5BB9" w:rsidRDefault="001B7A31">
      <w:pPr>
        <w:pStyle w:val="JuHHead"/>
      </w:pPr>
      <w:r w:rsidRPr="005E5BB9">
        <w:t>PROCEDURE</w:t>
      </w:r>
    </w:p>
    <w:p w:rsidRPr="005E5BB9" w:rsidR="001B7A31" w:rsidP="005E5BB9" w:rsidRDefault="001B7A31">
      <w:pPr>
        <w:pStyle w:val="JuPara"/>
        <w:rPr>
          <w:lang w:val="en-US"/>
        </w:rPr>
      </w:pPr>
      <w:r w:rsidRPr="005E5BB9">
        <w:t xml:space="preserve">1.  The case originated in </w:t>
      </w:r>
      <w:r w:rsidRPr="005E5BB9">
        <w:rPr>
          <w:color w:val="000000"/>
          <w:lang w:val="en-US"/>
        </w:rPr>
        <w:t>three</w:t>
      </w:r>
      <w:r w:rsidRPr="005E5BB9">
        <w:t xml:space="preserve"> applications (nos. 15364/11, 49623/11 and 55790/11) against the Russian Federation lodged with the Court under Article 34 of the Convention for the Protection of Human Rights and Fundamental Freedoms (“the Convention”) by three Russian nationals. Their details and the dates of their applications to the Court appear below in the Appendix.</w:t>
      </w:r>
    </w:p>
    <w:p w:rsidRPr="005E5BB9" w:rsidR="001B7A31" w:rsidP="005E5BB9" w:rsidRDefault="001B7A31">
      <w:pPr>
        <w:pStyle w:val="JuPara"/>
      </w:pPr>
      <w:r w:rsidRPr="005E5BB9">
        <w:t xml:space="preserve">2.  The Russian Government (“the Government”) were represented by Mr G. </w:t>
      </w:r>
      <w:proofErr w:type="spellStart"/>
      <w:r w:rsidRPr="005E5BB9">
        <w:t>Matyushkin</w:t>
      </w:r>
      <w:proofErr w:type="spellEnd"/>
      <w:r w:rsidRPr="005E5BB9">
        <w:t>, Representative of the Russian Federation at the European Court of Human Rights and then by his successor in that office, Mr M. Galperin.</w:t>
      </w:r>
    </w:p>
    <w:p w:rsidRPr="005E5BB9" w:rsidR="001B7A31" w:rsidP="005E5BB9" w:rsidRDefault="001B7A31">
      <w:pPr>
        <w:pStyle w:val="JuPara"/>
      </w:pPr>
      <w:r w:rsidRPr="005E5BB9">
        <w:t>3.  On 18 May 2015 the complaints concerning non-enforcement of the final judgments and insufficiency of compensation for non-enforcement were communicated to the Government and the remainder of the applications nos. 49623/11 and 55790/11 were declared inadmissible pursuant to Rule 54 § 3 of the Rules of Court. The Government did not object to the examination of the application by a Committee.</w:t>
      </w:r>
    </w:p>
    <w:p w:rsidRPr="005E5BB9" w:rsidR="001B7A31" w:rsidP="005E5BB9" w:rsidRDefault="001B7A31">
      <w:pPr>
        <w:pStyle w:val="JuHHead"/>
      </w:pPr>
      <w:r w:rsidRPr="005E5BB9">
        <w:t>THE FACTS</w:t>
      </w:r>
    </w:p>
    <w:p w:rsidRPr="005E5BB9" w:rsidR="001B7A31" w:rsidP="005E5BB9" w:rsidRDefault="001B7A31">
      <w:pPr>
        <w:pStyle w:val="JuHIRoman"/>
      </w:pPr>
      <w:r w:rsidRPr="005E5BB9">
        <w:t>THE CIRCUMSTANCES OF THE CASE</w:t>
      </w:r>
    </w:p>
    <w:p w:rsidRPr="005E5BB9" w:rsidR="001B7A31" w:rsidP="005E5BB9" w:rsidRDefault="001B7A31">
      <w:pPr>
        <w:pStyle w:val="JuPara"/>
      </w:pPr>
      <w:r w:rsidRPr="005E5BB9">
        <w:t>4.  The applicants obtained final court judgments in their favour, according to which different State authorities were ordered to pay them lump sums. Since there was a delay in their enforcement, the applicants sought compensation in this respect under the Compensation Act. Their claims for compensation were granted. The respective information about the judgments in the applicants</w:t>
      </w:r>
      <w:r w:rsidRPr="005E5BB9" w:rsidR="005E5BB9">
        <w:t>’</w:t>
      </w:r>
      <w:r w:rsidRPr="005E5BB9">
        <w:t xml:space="preserve"> favour, courts decisions concerning the compensation awards and respective sums are indicated in the Appendix.</w:t>
      </w:r>
    </w:p>
    <w:p w:rsidRPr="005E5BB9" w:rsidR="001B7A31" w:rsidP="005E5BB9" w:rsidRDefault="001B7A31">
      <w:pPr>
        <w:pStyle w:val="JuHIRoman"/>
      </w:pPr>
      <w:r w:rsidRPr="005E5BB9">
        <w:t>RELEVANT DOMESTIC LAW</w:t>
      </w:r>
    </w:p>
    <w:p w:rsidRPr="005E5BB9" w:rsidR="001B7A31" w:rsidP="005E5BB9" w:rsidRDefault="001B7A31">
      <w:pPr>
        <w:pStyle w:val="JuPara"/>
      </w:pPr>
      <w:r w:rsidRPr="005E5BB9">
        <w:t>5.  Federal Law № 68-ФЗ “On Compensation for Violation of the Right to a Trial within a Reasonable Time or the Right to Enforcement of a Judgment within a Reasonable Time” of 30 April 2010 (in force as of 4 May 2010) provides that in case of a violation of the right to trial within a reasonable time or of the right to enforcement of a final judgment, the Russian citizens are entitled to seek compensation of the non-pecuniary damage.</w:t>
      </w:r>
    </w:p>
    <w:p w:rsidRPr="005E5BB9" w:rsidR="001B7A31" w:rsidP="005E5BB9" w:rsidRDefault="001B7A31">
      <w:pPr>
        <w:pStyle w:val="JuHHead"/>
      </w:pPr>
      <w:r w:rsidRPr="005E5BB9">
        <w:t>THE LAW</w:t>
      </w:r>
    </w:p>
    <w:p w:rsidRPr="005E5BB9" w:rsidR="001B7A31" w:rsidP="005E5BB9" w:rsidRDefault="001B7A31">
      <w:pPr>
        <w:pStyle w:val="JuHIRoman"/>
      </w:pPr>
      <w:r w:rsidRPr="005E5BB9">
        <w:t>JOINDER OF THE APPLICATIONS</w:t>
      </w:r>
    </w:p>
    <w:p w:rsidRPr="005E5BB9" w:rsidR="001B7A31" w:rsidP="005E5BB9" w:rsidRDefault="001B7A31">
      <w:pPr>
        <w:pStyle w:val="JuPara"/>
      </w:pPr>
      <w:r w:rsidRPr="005E5BB9">
        <w:t>6.  Having regard to the similar subject matter of the applications, the Court finds it appropriate to examine them jointly in a single judgment.</w:t>
      </w:r>
    </w:p>
    <w:p w:rsidRPr="005E5BB9" w:rsidR="001B7A31" w:rsidP="005E5BB9" w:rsidRDefault="001B7A31">
      <w:pPr>
        <w:pStyle w:val="JuHIRoman"/>
      </w:pPr>
      <w:r w:rsidRPr="005E5BB9">
        <w:t xml:space="preserve">  ALLEGED VIOLATION OF ARTICLE 6 § 1 OF THE CONVENTION </w:t>
      </w:r>
      <w:r w:rsidRPr="005E5BB9" w:rsidR="00E17DA2">
        <w:t>AND ARTICLE 1 OF PROTOCOL N</w:t>
      </w:r>
      <w:r w:rsidRPr="005E5BB9" w:rsidR="00E17DA2">
        <w:rPr>
          <w:caps w:val="0"/>
        </w:rPr>
        <w:t>o</w:t>
      </w:r>
      <w:r w:rsidRPr="005E5BB9" w:rsidR="00E17DA2">
        <w:t>. 1</w:t>
      </w:r>
    </w:p>
    <w:p w:rsidRPr="005E5BB9" w:rsidR="001B7A31" w:rsidP="005E5BB9" w:rsidRDefault="001B7A31">
      <w:pPr>
        <w:pStyle w:val="JuPara"/>
      </w:pPr>
      <w:r w:rsidRPr="005E5BB9">
        <w:t>7.  The applicants complained that the final judgments in their favour were not enforced whatsoever. They further complained about insufficient compensation under the Compensation Act. They relied on Article 6 of the Convention and Article 1 of Protocol No. 1 to the Convention, which in the relevant parts read as follows:</w:t>
      </w:r>
    </w:p>
    <w:p w:rsidRPr="005E5BB9" w:rsidR="001B7A31" w:rsidP="005E5BB9" w:rsidRDefault="001B7A31">
      <w:pPr>
        <w:pStyle w:val="JuHArticle"/>
      </w:pPr>
      <w:r w:rsidRPr="005E5BB9">
        <w:t>Article 6 § 1</w:t>
      </w:r>
    </w:p>
    <w:p w:rsidRPr="005E5BB9" w:rsidR="001B7A31" w:rsidP="005E5BB9" w:rsidRDefault="001B7A31">
      <w:pPr>
        <w:pStyle w:val="JuQuot"/>
      </w:pPr>
      <w:r w:rsidRPr="005E5BB9">
        <w:t>“In the determination of his civil rights and obligations ... everyone is entitled to a fair ... hearing ... by [a] ... tribunal ...”</w:t>
      </w:r>
    </w:p>
    <w:p w:rsidRPr="005E5BB9" w:rsidR="001B7A31" w:rsidP="005E5BB9" w:rsidRDefault="001B7A31">
      <w:pPr>
        <w:pStyle w:val="JuHArticle"/>
      </w:pPr>
      <w:r w:rsidRPr="005E5BB9">
        <w:t>Article 1 of Protocol No. 1</w:t>
      </w:r>
    </w:p>
    <w:p w:rsidRPr="005E5BB9" w:rsidR="001B7A31" w:rsidP="005E5BB9" w:rsidRDefault="001B7A31">
      <w:pPr>
        <w:pStyle w:val="JuQuot"/>
      </w:pPr>
      <w:r w:rsidRPr="005E5BB9">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5E5BB9" w:rsidR="001B7A31" w:rsidP="005E5BB9" w:rsidRDefault="001B7A31">
      <w:pPr>
        <w:pStyle w:val="JuHA"/>
      </w:pPr>
      <w:r w:rsidRPr="005E5BB9">
        <w:t>Admissibility</w:t>
      </w:r>
    </w:p>
    <w:p w:rsidRPr="005E5BB9" w:rsidR="001B7A31" w:rsidP="005E5BB9" w:rsidRDefault="001B7A31">
      <w:pPr>
        <w:pStyle w:val="JuPara"/>
      </w:pPr>
      <w:r w:rsidRPr="005E5BB9">
        <w:t>8.  The Court notes that these complaints are not manifestly ill-founded within the meaning of Article 35 § 3 (a) of the Convention. It further notes that they are not inadmissible on any other grounds. They must therefore be declared admissible.</w:t>
      </w:r>
    </w:p>
    <w:p w:rsidRPr="005E5BB9" w:rsidR="001B7A31" w:rsidP="005E5BB9" w:rsidRDefault="001B7A31">
      <w:pPr>
        <w:pStyle w:val="JuHA"/>
      </w:pPr>
      <w:r w:rsidRPr="005E5BB9">
        <w:t>Merits</w:t>
      </w:r>
    </w:p>
    <w:p w:rsidRPr="005E5BB9" w:rsidR="001B7A31" w:rsidP="005E5BB9" w:rsidRDefault="001B7A31">
      <w:pPr>
        <w:pStyle w:val="JuPara"/>
      </w:pPr>
      <w:r w:rsidRPr="005E5BB9">
        <w:t>9.  The Government submitted that the non-enforcement of the judgments was a result of the applicants</w:t>
      </w:r>
      <w:r w:rsidRPr="005E5BB9" w:rsidR="005E5BB9">
        <w:t>’</w:t>
      </w:r>
      <w:r w:rsidRPr="005E5BB9">
        <w:t xml:space="preserve"> own behaviour obstructing payment of the award or the lack of funds in the regional budgets. Finally they submitted that the applicants had already received compensation for non-pecuniary damage sustained as a result of non-enforcement.</w:t>
      </w:r>
    </w:p>
    <w:p w:rsidRPr="005E5BB9" w:rsidR="001B7A31" w:rsidP="005E5BB9" w:rsidRDefault="001B7A31">
      <w:pPr>
        <w:pStyle w:val="JuPara"/>
      </w:pPr>
      <w:r w:rsidRPr="005E5BB9">
        <w:t>10.  The applicants disagreed with the Government</w:t>
      </w:r>
      <w:r w:rsidRPr="005E5BB9" w:rsidR="005E5BB9">
        <w:t>’</w:t>
      </w:r>
      <w:r w:rsidRPr="005E5BB9">
        <w:t>s submissions and maintained their complaints.</w:t>
      </w:r>
    </w:p>
    <w:p w:rsidRPr="005E5BB9" w:rsidR="001B7A31" w:rsidP="005E5BB9" w:rsidRDefault="001B7A31">
      <w:pPr>
        <w:pStyle w:val="JuPara"/>
      </w:pPr>
      <w:r w:rsidRPr="005E5BB9">
        <w:t>11.  The Court notes at the outset that it is not in dispute between the parties that the domestic judgments in the applicants</w:t>
      </w:r>
      <w:r w:rsidRPr="005E5BB9" w:rsidR="005E5BB9">
        <w:t>’</w:t>
      </w:r>
      <w:r w:rsidRPr="005E5BB9">
        <w:t xml:space="preserve"> favour remained unenforced. It further reiterates that </w:t>
      </w:r>
      <w:r w:rsidRPr="005E5BB9">
        <w:rPr>
          <w:rStyle w:val="JuParaChar"/>
        </w:rPr>
        <w:t xml:space="preserve">where a State has taken a significant step by introducing a compensatory remedy, the Court must leave a wider margin of appreciation to the State to allow it to organise the remedy in a manner consistent with its own legal system and traditions and consonant with the standard of living in the country concerned. The Court has therefore been prepared to accept that the compensation amounts awarded by domestic courts for violations of the Convention rights may be somewhat lower than those granted by the Court in similar cases (see, </w:t>
      </w:r>
      <w:r w:rsidRPr="005E5BB9">
        <w:rPr>
          <w:rStyle w:val="JuParaChar"/>
          <w:i/>
        </w:rPr>
        <w:t>mutatis mutandis</w:t>
      </w:r>
      <w:r w:rsidRPr="005E5BB9">
        <w:rPr>
          <w:rStyle w:val="JuParaChar"/>
        </w:rPr>
        <w:t xml:space="preserve">, </w:t>
      </w:r>
      <w:proofErr w:type="spellStart"/>
      <w:r w:rsidRPr="005E5BB9">
        <w:rPr>
          <w:rStyle w:val="JuParaChar"/>
          <w:i/>
        </w:rPr>
        <w:t>Scordino</w:t>
      </w:r>
      <w:proofErr w:type="spellEnd"/>
      <w:r w:rsidRPr="005E5BB9">
        <w:rPr>
          <w:rStyle w:val="JuParaChar"/>
          <w:i/>
        </w:rPr>
        <w:t xml:space="preserve"> v. Italy</w:t>
      </w:r>
      <w:r w:rsidRPr="005E5BB9">
        <w:rPr>
          <w:rStyle w:val="JuParaChar"/>
        </w:rPr>
        <w:t xml:space="preserve"> (no. 1) [GC], no. 36813/97, § 189, ECHR 2006</w:t>
      </w:r>
      <w:r w:rsidRPr="005E5BB9">
        <w:rPr>
          <w:rStyle w:val="JuParaChar"/>
        </w:rPr>
        <w:noBreakHyphen/>
        <w:t xml:space="preserve">V). In the present case, however, the amount of compensation awarded by the domestic courts falls far below what the Court awards in comparable situations in respect of non-pecuniary damage. With reference to the Convention criteria as they were set out in the pilot judgment (see </w:t>
      </w:r>
      <w:bookmarkStart w:name="File2" w:id="2"/>
      <w:proofErr w:type="spellStart"/>
      <w:r w:rsidRPr="005E5BB9">
        <w:rPr>
          <w:i/>
          <w:lang w:val="en-US"/>
        </w:rPr>
        <w:t>Burdov</w:t>
      </w:r>
      <w:proofErr w:type="spellEnd"/>
      <w:r w:rsidRPr="005E5BB9">
        <w:rPr>
          <w:i/>
          <w:lang w:val="en-US"/>
        </w:rPr>
        <w:t xml:space="preserve"> </w:t>
      </w:r>
      <w:bookmarkEnd w:id="2"/>
      <w:r w:rsidRPr="005E5BB9">
        <w:rPr>
          <w:i/>
          <w:lang w:val="en-US"/>
        </w:rPr>
        <w:t>v. Russia (no. 2)</w:t>
      </w:r>
      <w:r w:rsidRPr="005E5BB9">
        <w:rPr>
          <w:lang w:val="en-US"/>
        </w:rPr>
        <w:t>, no. 33509/04, §</w:t>
      </w:r>
      <w:r w:rsidRPr="005E5BB9">
        <w:rPr>
          <w:rStyle w:val="JuParaChar"/>
        </w:rPr>
        <w:t>§ 154-157</w:t>
      </w:r>
      <w:r w:rsidRPr="005E5BB9">
        <w:rPr>
          <w:lang w:val="en-US"/>
        </w:rPr>
        <w:t>, ECHR 2009</w:t>
      </w:r>
      <w:r w:rsidRPr="005E5BB9">
        <w:rPr>
          <w:rStyle w:val="JuParaChar"/>
        </w:rPr>
        <w:t>), the Court considers that the amounts awarded to the applicants by the domestic courts are unreasonably low, taking into consideration notably the nature of the court award at issue and the extremely long delay in enforcement.</w:t>
      </w:r>
    </w:p>
    <w:p w:rsidRPr="005E5BB9" w:rsidR="001B7A31" w:rsidP="005E5BB9" w:rsidRDefault="001B7A31">
      <w:pPr>
        <w:pStyle w:val="JuPara"/>
      </w:pPr>
      <w:r w:rsidRPr="005E5BB9">
        <w:t xml:space="preserve">12.  The Court observes that it has already found violations of the Convention on account of non-enforcement or delayed enforcement of the judgments and insufficient compensation granted in that respect under the Compensation Act (see </w:t>
      </w:r>
      <w:r w:rsidRPr="005E5BB9">
        <w:rPr>
          <w:i/>
        </w:rPr>
        <w:t>Lavrov v. Russia</w:t>
      </w:r>
      <w:r w:rsidRPr="005E5BB9">
        <w:t xml:space="preserve">, no. </w:t>
      </w:r>
      <w:bookmarkStart w:name="File0" w:id="3"/>
      <w:r w:rsidRPr="005E5BB9">
        <w:t>33422/03</w:t>
      </w:r>
      <w:bookmarkEnd w:id="3"/>
      <w:r w:rsidRPr="005E5BB9">
        <w:t>, §§ 35-39, 17 January 2012). The Court sees no reason to reach a different conclusion in the present cases.</w:t>
      </w:r>
    </w:p>
    <w:p w:rsidRPr="005E5BB9" w:rsidR="001B7A31" w:rsidP="005E5BB9" w:rsidRDefault="001B7A31">
      <w:pPr>
        <w:pStyle w:val="JuPara"/>
      </w:pPr>
      <w:r w:rsidRPr="005E5BB9">
        <w:t>13.  The foregoing considerations are sufficient to enable the Court to conclude that the authorities failed to comply with their obligation to promptly enforce final judgments in the applicants</w:t>
      </w:r>
      <w:r w:rsidRPr="005E5BB9" w:rsidR="005E5BB9">
        <w:t>’</w:t>
      </w:r>
      <w:r w:rsidRPr="005E5BB9">
        <w:t xml:space="preserve"> favour.</w:t>
      </w:r>
    </w:p>
    <w:p w:rsidRPr="005E5BB9" w:rsidR="001B7A31" w:rsidP="005E5BB9" w:rsidRDefault="001B7A31">
      <w:pPr>
        <w:pStyle w:val="JuPara"/>
      </w:pPr>
      <w:r w:rsidRPr="005E5BB9">
        <w:t>14.  There has accordingly been violations of Article 6 § 1 of the Convention and Article 1 of Protocol No. 1 to the Convention</w:t>
      </w:r>
    </w:p>
    <w:p w:rsidRPr="005E5BB9" w:rsidR="001B7A31" w:rsidP="005E5BB9" w:rsidRDefault="001B7A31">
      <w:pPr>
        <w:pStyle w:val="JuHIRoman"/>
      </w:pPr>
      <w:r w:rsidRPr="005E5BB9">
        <w:t>APPLICATION OF ARTICLE 41 OF THE CONVENTION</w:t>
      </w:r>
    </w:p>
    <w:p w:rsidRPr="005E5BB9" w:rsidR="001B7A31" w:rsidP="005E5BB9" w:rsidRDefault="001B7A31">
      <w:pPr>
        <w:pStyle w:val="JuPara"/>
        <w:keepNext/>
        <w:keepLines/>
      </w:pPr>
      <w:r w:rsidRPr="005E5BB9">
        <w:t>15.  Article 41 of the Convention provides:</w:t>
      </w:r>
    </w:p>
    <w:p w:rsidRPr="005E5BB9" w:rsidR="001B7A31" w:rsidP="005E5BB9" w:rsidRDefault="001B7A31">
      <w:pPr>
        <w:pStyle w:val="JuQuot"/>
        <w:keepNext/>
        <w:keepLines/>
      </w:pPr>
      <w:r w:rsidRPr="005E5BB9">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5E5BB9" w:rsidR="001B7A31" w:rsidP="005E5BB9" w:rsidRDefault="001B7A31">
      <w:pPr>
        <w:pStyle w:val="JuHA"/>
        <w:numPr>
          <w:ilvl w:val="0"/>
          <w:numId w:val="0"/>
        </w:numPr>
        <w:ind w:left="584"/>
      </w:pPr>
      <w:r w:rsidRPr="005E5BB9">
        <w:t>Damage</w:t>
      </w:r>
    </w:p>
    <w:p w:rsidRPr="005E5BB9" w:rsidR="001B7A31" w:rsidP="005E5BB9" w:rsidRDefault="001B7A31">
      <w:pPr>
        <w:pStyle w:val="JuPara"/>
      </w:pPr>
      <w:r w:rsidRPr="005E5BB9">
        <w:t>16.  The applicants submitted, as far as their admissible complaints were concerned, claims in respect of pecuniary and/or non-pecuniary damage ranging from 3,400 euros (EUR) to EUR 115,187. They further submitted claims in respect of costs and expenses (see the Appendix).</w:t>
      </w:r>
    </w:p>
    <w:p w:rsidRPr="005E5BB9" w:rsidR="001B7A31" w:rsidP="005E5BB9" w:rsidRDefault="001B7A31">
      <w:pPr>
        <w:pStyle w:val="JuPara"/>
      </w:pPr>
      <w:r w:rsidRPr="005E5BB9">
        <w:t>17.  In all cases, the Government contested the applicants</w:t>
      </w:r>
      <w:r w:rsidRPr="005E5BB9" w:rsidR="005E5BB9">
        <w:t>’</w:t>
      </w:r>
      <w:r w:rsidRPr="005E5BB9">
        <w:t xml:space="preserve"> methods of calculation as regards pecuniary damage. They further contended that the applicants did not sustain any pecuniary damage. As for non-pecuniary damage the Government referred to the compensation awarded at the domestic level as being in compliance with the Court</w:t>
      </w:r>
      <w:r w:rsidRPr="005E5BB9" w:rsidR="005E5BB9">
        <w:t>’</w:t>
      </w:r>
      <w:r w:rsidRPr="005E5BB9">
        <w:t>s case law.</w:t>
      </w:r>
    </w:p>
    <w:p w:rsidRPr="005E5BB9" w:rsidR="001B7A31" w:rsidP="005E5BB9" w:rsidRDefault="001B7A31">
      <w:pPr>
        <w:pStyle w:val="JuPara"/>
      </w:pPr>
      <w:r w:rsidRPr="005E5BB9">
        <w:t>18.  The Court reiterates that the most appropriate form of redress in respect of a violation of Article 6 is to ensure that the applicant</w:t>
      </w:r>
      <w:r w:rsidRPr="005E5BB9">
        <w:rPr>
          <w:lang w:val="en-US"/>
        </w:rPr>
        <w:t>,</w:t>
      </w:r>
      <w:r w:rsidRPr="005E5BB9">
        <w:t xml:space="preserve"> as far as possible</w:t>
      </w:r>
      <w:r w:rsidRPr="005E5BB9">
        <w:rPr>
          <w:lang w:val="en-US"/>
        </w:rPr>
        <w:t>,</w:t>
      </w:r>
      <w:r w:rsidRPr="005E5BB9">
        <w:t xml:space="preserve"> is put in the position in which he would have been had the requirements of Article 6 not been disregarded</w:t>
      </w:r>
      <w:r w:rsidRPr="005E5BB9">
        <w:rPr>
          <w:lang w:val="en-US"/>
        </w:rPr>
        <w:t xml:space="preserve"> (see </w:t>
      </w:r>
      <w:bookmarkStart w:name="File1" w:id="4"/>
      <w:proofErr w:type="spellStart"/>
      <w:r w:rsidRPr="005E5BB9">
        <w:rPr>
          <w:i/>
        </w:rPr>
        <w:t>Piersack</w:t>
      </w:r>
      <w:bookmarkEnd w:id="4"/>
      <w:proofErr w:type="spellEnd"/>
      <w:r w:rsidRPr="005E5BB9">
        <w:rPr>
          <w:i/>
        </w:rPr>
        <w:t xml:space="preserve"> v. Belgium</w:t>
      </w:r>
      <w:r w:rsidRPr="005E5BB9">
        <w:t xml:space="preserve"> (Article 50), 26 October 1984, § </w:t>
      </w:r>
      <w:r w:rsidRPr="005E5BB9">
        <w:rPr>
          <w:lang w:val="en-US"/>
        </w:rPr>
        <w:t>12</w:t>
      </w:r>
      <w:r w:rsidRPr="005E5BB9">
        <w:t>, Series A no. 85</w:t>
      </w:r>
      <w:r w:rsidRPr="005E5BB9">
        <w:rPr>
          <w:lang w:val="en-US"/>
        </w:rPr>
        <w:t>)</w:t>
      </w:r>
      <w:r w:rsidRPr="005E5BB9">
        <w:t xml:space="preserve"> In this respect, it observes that none of the parties submitted any evidence demonstrating the status of the final judgments in the applicants</w:t>
      </w:r>
      <w:r w:rsidRPr="005E5BB9" w:rsidR="005E5BB9">
        <w:t>’</w:t>
      </w:r>
      <w:r w:rsidRPr="005E5BB9">
        <w:t xml:space="preserve"> favour – whether they have been eventually enforced or not and in the latter situation, whether there are still any reasonable prospects for their execution domestically, notably in view of possible statutes of limitations (</w:t>
      </w:r>
      <w:r w:rsidRPr="005E5BB9">
        <w:rPr>
          <w:lang w:val="en-US"/>
        </w:rPr>
        <w:t xml:space="preserve">see, for the most recent, </w:t>
      </w:r>
      <w:proofErr w:type="spellStart"/>
      <w:r w:rsidRPr="005E5BB9">
        <w:rPr>
          <w:i/>
          <w:lang w:val="en-US"/>
        </w:rPr>
        <w:t>Tesayev</w:t>
      </w:r>
      <w:proofErr w:type="spellEnd"/>
      <w:r w:rsidRPr="005E5BB9">
        <w:rPr>
          <w:i/>
        </w:rPr>
        <w:t xml:space="preserve"> v. </w:t>
      </w:r>
      <w:r w:rsidRPr="005E5BB9">
        <w:rPr>
          <w:i/>
          <w:lang w:val="en-US"/>
        </w:rPr>
        <w:t>Russia</w:t>
      </w:r>
      <w:r w:rsidRPr="005E5BB9">
        <w:t xml:space="preserve"> (</w:t>
      </w:r>
      <w:proofErr w:type="spellStart"/>
      <w:r w:rsidRPr="005E5BB9">
        <w:t>dec.</w:t>
      </w:r>
      <w:proofErr w:type="spellEnd"/>
      <w:r w:rsidRPr="005E5BB9">
        <w:t xml:space="preserve">), no. </w:t>
      </w:r>
      <w:r w:rsidRPr="005E5BB9">
        <w:rPr>
          <w:lang w:val="en-US"/>
        </w:rPr>
        <w:t>20432/11</w:t>
      </w:r>
      <w:r w:rsidRPr="005E5BB9">
        <w:t>). Also, there is no indication on whether the applicants applied again for additional compensation under the Compensation Act in respect of the new delays.</w:t>
      </w:r>
    </w:p>
    <w:p w:rsidRPr="005E5BB9" w:rsidR="001B7A31" w:rsidP="005E5BB9" w:rsidRDefault="001B7A31">
      <w:pPr>
        <w:pStyle w:val="JuPara"/>
      </w:pPr>
      <w:r w:rsidRPr="005E5BB9">
        <w:rPr>
          <w:lang w:val="en-US"/>
        </w:rPr>
        <w:t xml:space="preserve">19.  In these circumstances, the Court considers that the question of the application of Article 41 is not ready for decision. It is therefore necessary to </w:t>
      </w:r>
      <w:proofErr w:type="spellStart"/>
      <w:r w:rsidRPr="005E5BB9">
        <w:rPr>
          <w:lang w:val="en-US"/>
        </w:rPr>
        <w:t>reserve</w:t>
      </w:r>
      <w:proofErr w:type="spellEnd"/>
      <w:r w:rsidRPr="005E5BB9">
        <w:rPr>
          <w:lang w:val="en-US"/>
        </w:rPr>
        <w:t xml:space="preserve"> the matter, due regard being had to the possibility of an agreement between the respondent State and the applicant (Rule 75 §§ 1 and 4 of the Rules of Court).</w:t>
      </w:r>
    </w:p>
    <w:p w:rsidRPr="005E5BB9" w:rsidR="001B7A31" w:rsidP="005E5BB9" w:rsidRDefault="001B7A31">
      <w:pPr>
        <w:pStyle w:val="JuPara"/>
      </w:pPr>
      <w:r w:rsidRPr="005E5BB9">
        <w:rPr>
          <w:lang w:val="en-US"/>
        </w:rPr>
        <w:t>20.  Accordingly, the Court reserves this question and invites the Government and the applicants to notify it, within six months from the date on which the judgment becomes final in accordance with Article 44 § 2 of the Convention, of any agreement that they may reach.</w:t>
      </w:r>
    </w:p>
    <w:p w:rsidRPr="005E5BB9" w:rsidR="001B7A31" w:rsidP="005E5BB9" w:rsidRDefault="001B7A31">
      <w:pPr>
        <w:pStyle w:val="JuHHead"/>
      </w:pPr>
      <w:r w:rsidRPr="005E5BB9">
        <w:t>FOR THESE REASONS, THE COURT, UNANIMOUSLY,</w:t>
      </w:r>
    </w:p>
    <w:p w:rsidRPr="005E5BB9" w:rsidR="001B7A31" w:rsidP="005E5BB9" w:rsidRDefault="001B7A31">
      <w:pPr>
        <w:pStyle w:val="JuList"/>
        <w:ind w:left="0" w:firstLine="0"/>
      </w:pPr>
      <w:r w:rsidRPr="005E5BB9">
        <w:rPr>
          <w:i/>
        </w:rPr>
        <w:t xml:space="preserve">Decides </w:t>
      </w:r>
      <w:r w:rsidRPr="005E5BB9">
        <w:t>to join the applications;</w:t>
      </w:r>
    </w:p>
    <w:p w:rsidRPr="005E5BB9" w:rsidR="001B7A31" w:rsidP="005E5BB9" w:rsidRDefault="001B7A31">
      <w:pPr>
        <w:pStyle w:val="JuList"/>
      </w:pPr>
      <w:r w:rsidRPr="005E5BB9">
        <w:rPr>
          <w:i/>
        </w:rPr>
        <w:t>Declares</w:t>
      </w:r>
      <w:r w:rsidRPr="005E5BB9">
        <w:rPr>
          <w:color w:val="000000"/>
        </w:rPr>
        <w:t xml:space="preserve"> </w:t>
      </w:r>
      <w:r w:rsidRPr="005E5BB9">
        <w:t>the applications admissible;</w:t>
      </w:r>
    </w:p>
    <w:p w:rsidRPr="005E5BB9" w:rsidR="001B7A31" w:rsidP="005E5BB9" w:rsidRDefault="001B7A31">
      <w:pPr>
        <w:pStyle w:val="JuList"/>
      </w:pPr>
      <w:r w:rsidRPr="005E5BB9">
        <w:rPr>
          <w:i/>
        </w:rPr>
        <w:t>Holds</w:t>
      </w:r>
      <w:r w:rsidRPr="005E5BB9">
        <w:rPr>
          <w:color w:val="000000"/>
        </w:rPr>
        <w:t xml:space="preserve"> </w:t>
      </w:r>
      <w:r w:rsidRPr="005E5BB9">
        <w:t>that there has been a violation of Article 6 of the Convention in respect of all applicants;</w:t>
      </w:r>
    </w:p>
    <w:p w:rsidRPr="005E5BB9" w:rsidR="001B7A31" w:rsidP="005E5BB9" w:rsidRDefault="001B7A31">
      <w:pPr>
        <w:pStyle w:val="JuList"/>
      </w:pPr>
      <w:r w:rsidRPr="005E5BB9">
        <w:rPr>
          <w:i/>
        </w:rPr>
        <w:t>Holds</w:t>
      </w:r>
      <w:r w:rsidRPr="005E5BB9">
        <w:rPr>
          <w:color w:val="000000"/>
        </w:rPr>
        <w:t xml:space="preserve"> </w:t>
      </w:r>
      <w:r w:rsidRPr="005E5BB9">
        <w:t>that there has been a violation of Article 1 of Protocol No. 1 to the Convention in respect of all applicants;</w:t>
      </w:r>
    </w:p>
    <w:p w:rsidRPr="005E5BB9" w:rsidR="001B7A31" w:rsidP="005E5BB9" w:rsidRDefault="001B7A31">
      <w:pPr>
        <w:pStyle w:val="JuList"/>
      </w:pPr>
      <w:r w:rsidRPr="005E5BB9">
        <w:rPr>
          <w:i/>
        </w:rPr>
        <w:t>Holds</w:t>
      </w:r>
      <w:r w:rsidRPr="005E5BB9">
        <w:rPr>
          <w:rFonts w:ascii="Arial" w:hAnsi="Arial" w:cs="Arial" w:eastAsiaTheme="minorEastAsia"/>
          <w:color w:val="000000"/>
        </w:rPr>
        <w:t xml:space="preserve"> </w:t>
      </w:r>
      <w:r w:rsidRPr="005E5BB9">
        <w:t>that the question of the application of Article 41</w:t>
      </w:r>
      <w:bookmarkStart w:name="HIT36" w:id="5"/>
      <w:bookmarkEnd w:id="5"/>
      <w:r w:rsidRPr="005E5BB9">
        <w:t> is not ready for decision; accordingly</w:t>
      </w:r>
    </w:p>
    <w:p w:rsidRPr="005E5BB9" w:rsidR="001B7A31" w:rsidP="005E5BB9" w:rsidRDefault="00283413">
      <w:pPr>
        <w:pStyle w:val="JuLista"/>
      </w:pPr>
      <w:r w:rsidRPr="005E5BB9">
        <w:rPr>
          <w:i/>
          <w:iCs/>
        </w:rPr>
        <w:t>r</w:t>
      </w:r>
      <w:r w:rsidRPr="005E5BB9" w:rsidR="001B7A31">
        <w:rPr>
          <w:i/>
          <w:iCs/>
        </w:rPr>
        <w:t>eserves</w:t>
      </w:r>
      <w:r w:rsidRPr="005E5BB9" w:rsidR="00E17DA2">
        <w:t xml:space="preserve"> </w:t>
      </w:r>
      <w:r w:rsidRPr="005E5BB9" w:rsidR="001B7A31">
        <w:t>the said question in whole;</w:t>
      </w:r>
    </w:p>
    <w:p w:rsidRPr="005E5BB9" w:rsidR="001B7A31" w:rsidP="005E5BB9" w:rsidRDefault="00E17DA2">
      <w:pPr>
        <w:pStyle w:val="JuLista"/>
      </w:pPr>
      <w:r w:rsidRPr="005E5BB9">
        <w:rPr>
          <w:i/>
          <w:iCs/>
        </w:rPr>
        <w:t xml:space="preserve">invites </w:t>
      </w:r>
      <w:r w:rsidRPr="005E5BB9" w:rsidR="001B7A31">
        <w:rPr>
          <w:iCs/>
        </w:rPr>
        <w:t>the Government and the applicants to submit, within six months of the date on which the judgment becomes final in accordance with Article 44 § 2 of the Convention, their written observations on the matter and, in particular, to notify the Court of any agreement that they may reach</w:t>
      </w:r>
      <w:r w:rsidRPr="005E5BB9" w:rsidR="001B7A31">
        <w:t>;</w:t>
      </w:r>
    </w:p>
    <w:p w:rsidRPr="005E5BB9" w:rsidR="004D0EC7" w:rsidP="005E5BB9" w:rsidRDefault="00283413">
      <w:pPr>
        <w:pStyle w:val="JuList"/>
      </w:pPr>
      <w:r w:rsidRPr="005E5BB9">
        <w:rPr>
          <w:i/>
          <w:iCs/>
        </w:rPr>
        <w:t>R</w:t>
      </w:r>
      <w:r w:rsidRPr="005E5BB9" w:rsidR="001B7A31">
        <w:rPr>
          <w:i/>
          <w:iCs/>
        </w:rPr>
        <w:t>eserves</w:t>
      </w:r>
      <w:r w:rsidRPr="005E5BB9" w:rsidR="00E17DA2">
        <w:t xml:space="preserve"> </w:t>
      </w:r>
      <w:r w:rsidRPr="005E5BB9" w:rsidR="001B7A31">
        <w:t>the further procedure and </w:t>
      </w:r>
      <w:r w:rsidRPr="005E5BB9" w:rsidR="001B7A31">
        <w:rPr>
          <w:i/>
          <w:iCs/>
        </w:rPr>
        <w:t>delegates</w:t>
      </w:r>
      <w:r w:rsidRPr="005E5BB9" w:rsidR="001B7A31">
        <w:t> to the President the power to fix the same if need be.</w:t>
      </w:r>
    </w:p>
    <w:p w:rsidRPr="005E5BB9" w:rsidR="008E3A08" w:rsidP="005E5BB9" w:rsidRDefault="007E2C8C">
      <w:pPr>
        <w:pStyle w:val="JuParaLast"/>
      </w:pPr>
      <w:r w:rsidRPr="005E5BB9">
        <w:t xml:space="preserve">Done in English, and notified in writing on </w:t>
      </w:r>
      <w:r w:rsidRPr="005E5BB9" w:rsidR="001B7A31">
        <w:rPr>
          <w:rFonts w:ascii="Times New Roman" w:hAnsi="Times New Roman" w:cs="Times New Roman"/>
        </w:rPr>
        <w:t>22 October 2019</w:t>
      </w:r>
      <w:r w:rsidRPr="005E5BB9">
        <w:t>, pursuant to Rule 77 §§ 2 and 3 of the Rules of Court.</w:t>
      </w:r>
    </w:p>
    <w:p w:rsidRPr="005E5BB9" w:rsidR="003E0374" w:rsidP="005E5BB9" w:rsidRDefault="009F4C8F">
      <w:pPr>
        <w:pStyle w:val="JuSigned"/>
      </w:pPr>
      <w:r w:rsidRPr="005E5BB9">
        <w:tab/>
      </w:r>
      <w:r w:rsidRPr="005E5BB9" w:rsidR="00B15EFA">
        <w:t>Stephen Phillips</w:t>
      </w:r>
      <w:r w:rsidRPr="005E5BB9" w:rsidR="00B15EFA">
        <w:tab/>
      </w:r>
      <w:r w:rsidRPr="005E5BB9" w:rsidR="001B7A31">
        <w:rPr>
          <w:szCs w:val="24"/>
        </w:rPr>
        <w:t xml:space="preserve">Alena </w:t>
      </w:r>
      <w:proofErr w:type="spellStart"/>
      <w:r w:rsidRPr="005E5BB9" w:rsidR="001B7A31">
        <w:rPr>
          <w:szCs w:val="24"/>
        </w:rPr>
        <w:t>Poláčková</w:t>
      </w:r>
      <w:proofErr w:type="spellEnd"/>
      <w:r w:rsidRPr="005E5BB9">
        <w:rPr>
          <w:szCs w:val="24"/>
        </w:rPr>
        <w:br/>
      </w:r>
      <w:r w:rsidRPr="005E5BB9">
        <w:tab/>
      </w:r>
      <w:r w:rsidRPr="005E5BB9" w:rsidR="001B7A31">
        <w:rPr>
          <w:iCs/>
        </w:rPr>
        <w:t>Registrar</w:t>
      </w:r>
      <w:r w:rsidRPr="005E5BB9">
        <w:tab/>
        <w:t>President</w:t>
      </w:r>
    </w:p>
    <w:p w:rsidR="00B15EFA" w:rsidP="005E5BB9" w:rsidRDefault="00B15EFA">
      <w:pPr>
        <w:pStyle w:val="JuPara"/>
        <w:ind w:firstLine="0"/>
      </w:pPr>
    </w:p>
    <w:p w:rsidRPr="005E5BB9" w:rsidR="00DA5E1E" w:rsidP="005E5BB9" w:rsidRDefault="00DA5E1E">
      <w:pPr>
        <w:pStyle w:val="JuPara"/>
        <w:ind w:firstLine="0"/>
        <w:sectPr w:rsidRPr="005E5BB9" w:rsidR="00DA5E1E" w:rsidSect="003E0374">
          <w:headerReference w:type="even" r:id="rId14"/>
          <w:headerReference w:type="default" r:id="rId15"/>
          <w:footerReference w:type="even" r:id="rId16"/>
          <w:footerReference w:type="default" r:id="rId17"/>
          <w:headerReference w:type="first" r:id="rId18"/>
          <w:footerReference w:type="first" r:id="rId19"/>
          <w:footnotePr>
            <w:numRestart w:val="eachSect"/>
          </w:footnotePr>
          <w:pgSz w:w="11906" w:h="16838" w:code="9"/>
          <w:pgMar w:top="2274" w:right="2274" w:bottom="2274" w:left="2274" w:header="1701" w:footer="720" w:gutter="0"/>
          <w:pgNumType w:start="1"/>
          <w:cols w:space="720"/>
          <w:docGrid w:linePitch="326"/>
        </w:sectPr>
      </w:pPr>
    </w:p>
    <w:p w:rsidRPr="005E5BB9" w:rsidR="001B7A31" w:rsidP="005E5BB9" w:rsidRDefault="00B15EFA">
      <w:pPr>
        <w:pStyle w:val="DecHTitle"/>
      </w:pPr>
      <w:r w:rsidRPr="005E5BB9">
        <w:t>APPENDIX</w:t>
      </w:r>
    </w:p>
    <w:p w:rsidRPr="005E5BB9" w:rsidR="001B7A31" w:rsidP="005E5BB9" w:rsidRDefault="001B7A31"/>
    <w:tbl>
      <w:tblPr>
        <w:tblStyle w:val="ECHRListTable"/>
        <w:tblW w:w="14743" w:type="dxa"/>
        <w:tblInd w:w="-1310" w:type="dxa"/>
        <w:tblLayout w:type="fixed"/>
        <w:tblLook w:val="04A0" w:firstRow="1" w:lastRow="0" w:firstColumn="1" w:lastColumn="0" w:noHBand="0" w:noVBand="1"/>
      </w:tblPr>
      <w:tblGrid>
        <w:gridCol w:w="425"/>
        <w:gridCol w:w="1419"/>
        <w:gridCol w:w="2409"/>
        <w:gridCol w:w="3261"/>
        <w:gridCol w:w="1417"/>
        <w:gridCol w:w="2693"/>
        <w:gridCol w:w="3119"/>
      </w:tblGrid>
      <w:tr w:rsidRPr="005E5BB9" w:rsidR="003E0374" w:rsidTr="004C2F83">
        <w:trPr>
          <w:cnfStyle w:val="100000000000" w:firstRow="1" w:lastRow="0" w:firstColumn="0" w:lastColumn="0" w:oddVBand="0" w:evenVBand="0" w:oddHBand="0" w:evenHBand="0" w:firstRowFirstColumn="0" w:firstRowLastColumn="0" w:lastRowFirstColumn="0" w:lastRowLastColumn="0"/>
        </w:trPr>
        <w:tc>
          <w:tcPr>
            <w:tcW w:w="425" w:type="dxa"/>
          </w:tcPr>
          <w:p w:rsidRPr="005E5BB9" w:rsidR="001B7A31" w:rsidP="005E5BB9" w:rsidRDefault="001B7A31">
            <w:pPr>
              <w:ind w:left="-189" w:right="-165"/>
              <w:jc w:val="center"/>
              <w:rPr>
                <w:sz w:val="20"/>
                <w:szCs w:val="20"/>
              </w:rPr>
            </w:pPr>
            <w:r w:rsidRPr="005E5BB9">
              <w:rPr>
                <w:sz w:val="20"/>
                <w:szCs w:val="20"/>
              </w:rPr>
              <w:t>No.</w:t>
            </w:r>
          </w:p>
        </w:tc>
        <w:tc>
          <w:tcPr>
            <w:tcW w:w="1419" w:type="dxa"/>
          </w:tcPr>
          <w:p w:rsidRPr="005E5BB9" w:rsidR="001B7A31" w:rsidP="005E5BB9" w:rsidRDefault="001B7A31">
            <w:pPr>
              <w:ind w:left="-193" w:right="-172"/>
              <w:jc w:val="center"/>
              <w:rPr>
                <w:sz w:val="20"/>
                <w:szCs w:val="20"/>
              </w:rPr>
            </w:pPr>
            <w:r w:rsidRPr="005E5BB9">
              <w:rPr>
                <w:sz w:val="20"/>
                <w:szCs w:val="20"/>
              </w:rPr>
              <w:t>Application no.</w:t>
            </w:r>
          </w:p>
          <w:p w:rsidRPr="005E5BB9" w:rsidR="001B7A31" w:rsidP="005E5BB9" w:rsidRDefault="001B7A31">
            <w:pPr>
              <w:ind w:right="-30"/>
              <w:jc w:val="center"/>
              <w:rPr>
                <w:sz w:val="20"/>
                <w:szCs w:val="20"/>
              </w:rPr>
            </w:pPr>
            <w:r w:rsidRPr="005E5BB9">
              <w:rPr>
                <w:sz w:val="20"/>
                <w:szCs w:val="20"/>
              </w:rPr>
              <w:t>Lodged on</w:t>
            </w:r>
          </w:p>
        </w:tc>
        <w:tc>
          <w:tcPr>
            <w:tcW w:w="2409" w:type="dxa"/>
          </w:tcPr>
          <w:p w:rsidRPr="005E5BB9" w:rsidR="001B7A31" w:rsidP="005E5BB9" w:rsidRDefault="001B7A31">
            <w:pPr>
              <w:jc w:val="center"/>
              <w:rPr>
                <w:sz w:val="20"/>
                <w:szCs w:val="20"/>
              </w:rPr>
            </w:pPr>
            <w:r w:rsidRPr="005E5BB9">
              <w:rPr>
                <w:sz w:val="20"/>
                <w:szCs w:val="20"/>
              </w:rPr>
              <w:t>Applicant</w:t>
            </w:r>
          </w:p>
          <w:p w:rsidRPr="005E5BB9" w:rsidR="001B7A31" w:rsidP="005E5BB9" w:rsidRDefault="001B7A31">
            <w:pPr>
              <w:jc w:val="center"/>
              <w:rPr>
                <w:sz w:val="20"/>
                <w:szCs w:val="20"/>
              </w:rPr>
            </w:pPr>
            <w:r w:rsidRPr="005E5BB9">
              <w:rPr>
                <w:sz w:val="20"/>
                <w:szCs w:val="20"/>
              </w:rPr>
              <w:t>Date of birth</w:t>
            </w:r>
          </w:p>
          <w:p w:rsidRPr="005E5BB9" w:rsidR="001B7A31" w:rsidP="005E5BB9" w:rsidRDefault="001B7A31">
            <w:pPr>
              <w:jc w:val="center"/>
              <w:rPr>
                <w:sz w:val="20"/>
                <w:szCs w:val="20"/>
              </w:rPr>
            </w:pPr>
            <w:r w:rsidRPr="005E5BB9">
              <w:rPr>
                <w:sz w:val="20"/>
                <w:szCs w:val="20"/>
              </w:rPr>
              <w:t>Place of residence</w:t>
            </w:r>
          </w:p>
          <w:p w:rsidRPr="005E5BB9" w:rsidR="001B7A31" w:rsidP="00DA5E1E" w:rsidRDefault="001B7A31">
            <w:pPr>
              <w:jc w:val="center"/>
              <w:rPr>
                <w:sz w:val="20"/>
                <w:szCs w:val="20"/>
              </w:rPr>
            </w:pPr>
            <w:r w:rsidRPr="005E5BB9">
              <w:rPr>
                <w:sz w:val="20"/>
                <w:szCs w:val="20"/>
              </w:rPr>
              <w:t>Nationality</w:t>
            </w:r>
          </w:p>
        </w:tc>
        <w:tc>
          <w:tcPr>
            <w:tcW w:w="3261" w:type="dxa"/>
          </w:tcPr>
          <w:p w:rsidRPr="005E5BB9" w:rsidR="001B7A31" w:rsidP="005E5BB9" w:rsidRDefault="001B7A31">
            <w:pPr>
              <w:jc w:val="center"/>
              <w:rPr>
                <w:sz w:val="20"/>
                <w:szCs w:val="20"/>
              </w:rPr>
            </w:pPr>
            <w:r w:rsidRPr="005E5BB9">
              <w:rPr>
                <w:sz w:val="20"/>
                <w:szCs w:val="20"/>
              </w:rPr>
              <w:t>Final domestic judgments and awards,</w:t>
            </w:r>
          </w:p>
          <w:p w:rsidRPr="005E5BB9" w:rsidR="001B7A31" w:rsidP="005E5BB9" w:rsidRDefault="001B7A31">
            <w:pPr>
              <w:jc w:val="center"/>
              <w:rPr>
                <w:sz w:val="20"/>
                <w:szCs w:val="20"/>
              </w:rPr>
            </w:pPr>
            <w:r w:rsidRPr="005E5BB9">
              <w:rPr>
                <w:sz w:val="20"/>
                <w:szCs w:val="20"/>
              </w:rPr>
              <w:t>a) date of delivery</w:t>
            </w:r>
          </w:p>
          <w:p w:rsidRPr="005E5BB9" w:rsidR="001B7A31" w:rsidP="00DA5E1E" w:rsidRDefault="001B7A31">
            <w:pPr>
              <w:jc w:val="center"/>
              <w:rPr>
                <w:sz w:val="20"/>
                <w:szCs w:val="20"/>
              </w:rPr>
            </w:pPr>
            <w:r w:rsidRPr="005E5BB9">
              <w:rPr>
                <w:sz w:val="20"/>
                <w:szCs w:val="20"/>
              </w:rPr>
              <w:t>b) date of becoming final</w:t>
            </w:r>
          </w:p>
        </w:tc>
        <w:tc>
          <w:tcPr>
            <w:tcW w:w="1417" w:type="dxa"/>
          </w:tcPr>
          <w:p w:rsidRPr="005E5BB9" w:rsidR="001B7A31" w:rsidP="005E5BB9" w:rsidRDefault="001B7A31">
            <w:pPr>
              <w:jc w:val="center"/>
              <w:rPr>
                <w:sz w:val="20"/>
                <w:szCs w:val="20"/>
              </w:rPr>
            </w:pPr>
            <w:r w:rsidRPr="005E5BB9">
              <w:rPr>
                <w:sz w:val="20"/>
                <w:szCs w:val="20"/>
              </w:rPr>
              <w:t>Length of enforcement</w:t>
            </w:r>
          </w:p>
        </w:tc>
        <w:tc>
          <w:tcPr>
            <w:tcW w:w="2693" w:type="dxa"/>
          </w:tcPr>
          <w:p w:rsidRPr="005E5BB9" w:rsidR="001B7A31" w:rsidP="005E5BB9" w:rsidRDefault="001B7A31">
            <w:pPr>
              <w:jc w:val="center"/>
              <w:rPr>
                <w:sz w:val="20"/>
                <w:szCs w:val="20"/>
              </w:rPr>
            </w:pPr>
            <w:r w:rsidRPr="005E5BB9">
              <w:rPr>
                <w:sz w:val="20"/>
                <w:szCs w:val="20"/>
              </w:rPr>
              <w:t>Compensation under the Compensation Act (court, date of delivery, date of becoming final, award)</w:t>
            </w:r>
          </w:p>
        </w:tc>
        <w:tc>
          <w:tcPr>
            <w:tcW w:w="3119" w:type="dxa"/>
          </w:tcPr>
          <w:p w:rsidRPr="005E5BB9" w:rsidR="001B7A31" w:rsidP="005E5BB9" w:rsidRDefault="001B7A31">
            <w:pPr>
              <w:ind w:left="-57"/>
              <w:jc w:val="center"/>
              <w:rPr>
                <w:sz w:val="20"/>
                <w:szCs w:val="20"/>
              </w:rPr>
            </w:pPr>
            <w:r w:rsidRPr="005E5BB9">
              <w:rPr>
                <w:sz w:val="20"/>
                <w:szCs w:val="20"/>
              </w:rPr>
              <w:t>Claims for just satisfaction</w:t>
            </w:r>
          </w:p>
          <w:p w:rsidRPr="005E5BB9" w:rsidR="001B7A31" w:rsidP="005E5BB9" w:rsidRDefault="001B7A31">
            <w:pPr>
              <w:ind w:left="-57"/>
              <w:jc w:val="center"/>
              <w:rPr>
                <w:sz w:val="20"/>
                <w:szCs w:val="20"/>
              </w:rPr>
            </w:pPr>
            <w:r w:rsidRPr="005E5BB9">
              <w:rPr>
                <w:sz w:val="20"/>
                <w:szCs w:val="20"/>
              </w:rPr>
              <w:t>a) pecuniary damage</w:t>
            </w:r>
          </w:p>
          <w:p w:rsidRPr="005E5BB9" w:rsidR="001B7A31" w:rsidP="005E5BB9" w:rsidRDefault="001B7A31">
            <w:pPr>
              <w:ind w:left="-57"/>
              <w:jc w:val="center"/>
              <w:rPr>
                <w:sz w:val="20"/>
                <w:szCs w:val="20"/>
              </w:rPr>
            </w:pPr>
            <w:r w:rsidRPr="005E5BB9">
              <w:rPr>
                <w:sz w:val="20"/>
                <w:szCs w:val="20"/>
              </w:rPr>
              <w:t>b) non-pecuniary damage</w:t>
            </w:r>
          </w:p>
          <w:p w:rsidR="001B7A31" w:rsidP="005E5BB9" w:rsidRDefault="001B7A31">
            <w:pPr>
              <w:ind w:left="-57"/>
              <w:jc w:val="center"/>
              <w:rPr>
                <w:b w:val="0"/>
                <w:sz w:val="20"/>
                <w:szCs w:val="20"/>
              </w:rPr>
            </w:pPr>
            <w:r w:rsidRPr="005E5BB9">
              <w:rPr>
                <w:sz w:val="20"/>
                <w:szCs w:val="20"/>
              </w:rPr>
              <w:t>c) costs and expenses</w:t>
            </w:r>
          </w:p>
          <w:p w:rsidRPr="005E5BB9" w:rsidR="00DA5E1E" w:rsidP="005E5BB9" w:rsidRDefault="00DA5E1E">
            <w:pPr>
              <w:ind w:left="-57"/>
              <w:jc w:val="center"/>
              <w:rPr>
                <w:sz w:val="20"/>
                <w:szCs w:val="20"/>
              </w:rPr>
            </w:pPr>
          </w:p>
        </w:tc>
      </w:tr>
      <w:tr w:rsidRPr="005E5BB9" w:rsidR="000F712B" w:rsidTr="004C2F83">
        <w:tc>
          <w:tcPr>
            <w:tcW w:w="425" w:type="dxa"/>
          </w:tcPr>
          <w:p w:rsidRPr="00910619" w:rsidR="000F712B" w:rsidP="000F712B" w:rsidRDefault="000F712B">
            <w:pPr>
              <w:numPr>
                <w:ilvl w:val="0"/>
                <w:numId w:val="20"/>
              </w:numPr>
              <w:ind w:left="357" w:hanging="357"/>
              <w:rPr>
                <w:sz w:val="22"/>
              </w:rPr>
            </w:pPr>
            <w:bookmarkStart w:name="AppTableStart" w:id="6"/>
            <w:bookmarkEnd w:id="6"/>
          </w:p>
        </w:tc>
        <w:tc>
          <w:tcPr>
            <w:tcW w:w="1419" w:type="dxa"/>
          </w:tcPr>
          <w:p w:rsidRPr="005E5BB9" w:rsidR="000F712B" w:rsidP="000F712B" w:rsidRDefault="000F712B">
            <w:pPr>
              <w:jc w:val="center"/>
              <w:rPr>
                <w:sz w:val="20"/>
                <w:szCs w:val="20"/>
              </w:rPr>
            </w:pPr>
            <w:r w:rsidRPr="005E5BB9">
              <w:rPr>
                <w:sz w:val="20"/>
                <w:szCs w:val="20"/>
              </w:rPr>
              <w:t>15364/11</w:t>
            </w:r>
          </w:p>
          <w:p w:rsidRPr="005E5BB9" w:rsidR="000F712B" w:rsidP="000F712B" w:rsidRDefault="000F712B">
            <w:pPr>
              <w:jc w:val="center"/>
              <w:rPr>
                <w:sz w:val="20"/>
                <w:szCs w:val="20"/>
              </w:rPr>
            </w:pPr>
            <w:r w:rsidRPr="005E5BB9">
              <w:rPr>
                <w:sz w:val="20"/>
                <w:szCs w:val="20"/>
              </w:rPr>
              <w:t>07/02/2011</w:t>
            </w:r>
          </w:p>
        </w:tc>
        <w:tc>
          <w:tcPr>
            <w:tcW w:w="2409" w:type="dxa"/>
          </w:tcPr>
          <w:p w:rsidRPr="000F712B" w:rsidR="000F712B" w:rsidP="000F712B" w:rsidRDefault="000F712B">
            <w:pPr>
              <w:jc w:val="center"/>
              <w:rPr>
                <w:sz w:val="20"/>
                <w:szCs w:val="20"/>
                <w:lang w:val="it-IT"/>
              </w:rPr>
            </w:pPr>
            <w:r w:rsidRPr="000F712B">
              <w:rPr>
                <w:b/>
                <w:sz w:val="20"/>
                <w:szCs w:val="20"/>
                <w:lang w:val="it-IT"/>
              </w:rPr>
              <w:t xml:space="preserve">Mikhail </w:t>
            </w:r>
            <w:proofErr w:type="spellStart"/>
            <w:r w:rsidRPr="000F712B">
              <w:rPr>
                <w:b/>
                <w:sz w:val="20"/>
                <w:szCs w:val="20"/>
                <w:lang w:val="it-IT"/>
              </w:rPr>
              <w:t>Vasilyevich</w:t>
            </w:r>
            <w:proofErr w:type="spellEnd"/>
            <w:r w:rsidRPr="000F712B">
              <w:rPr>
                <w:b/>
                <w:sz w:val="20"/>
                <w:szCs w:val="20"/>
                <w:lang w:val="it-IT"/>
              </w:rPr>
              <w:t xml:space="preserve"> KONSTANTINOV</w:t>
            </w:r>
          </w:p>
          <w:p w:rsidRPr="000F712B" w:rsidR="000F712B" w:rsidP="000F712B" w:rsidRDefault="000F712B">
            <w:pPr>
              <w:jc w:val="center"/>
              <w:rPr>
                <w:sz w:val="20"/>
                <w:szCs w:val="20"/>
                <w:lang w:val="it-IT"/>
              </w:rPr>
            </w:pPr>
            <w:r w:rsidRPr="000F712B">
              <w:rPr>
                <w:sz w:val="20"/>
                <w:szCs w:val="20"/>
                <w:lang w:val="it-IT"/>
              </w:rPr>
              <w:t>20/11/1956</w:t>
            </w:r>
          </w:p>
          <w:p w:rsidRPr="000F712B" w:rsidR="000F712B" w:rsidP="000F712B" w:rsidRDefault="000F712B">
            <w:pPr>
              <w:jc w:val="center"/>
              <w:rPr>
                <w:sz w:val="20"/>
                <w:szCs w:val="20"/>
                <w:lang w:val="it-IT"/>
              </w:rPr>
            </w:pPr>
            <w:proofErr w:type="spellStart"/>
            <w:r w:rsidRPr="000F712B">
              <w:rPr>
                <w:sz w:val="20"/>
                <w:szCs w:val="20"/>
                <w:lang w:val="it-IT"/>
              </w:rPr>
              <w:t>Novovoronezh</w:t>
            </w:r>
            <w:proofErr w:type="spellEnd"/>
          </w:p>
          <w:p w:rsidRPr="000F712B" w:rsidR="000F712B" w:rsidP="000F712B" w:rsidRDefault="000F712B">
            <w:pPr>
              <w:jc w:val="center"/>
              <w:rPr>
                <w:sz w:val="20"/>
                <w:szCs w:val="20"/>
                <w:lang w:val="it-IT"/>
              </w:rPr>
            </w:pPr>
            <w:r w:rsidRPr="000F712B">
              <w:rPr>
                <w:sz w:val="20"/>
                <w:szCs w:val="20"/>
                <w:lang w:val="it-IT"/>
              </w:rPr>
              <w:t>Russian</w:t>
            </w:r>
          </w:p>
        </w:tc>
        <w:tc>
          <w:tcPr>
            <w:tcW w:w="3261" w:type="dxa"/>
          </w:tcPr>
          <w:p w:rsidRPr="005E5BB9" w:rsidR="000F712B" w:rsidP="000F712B" w:rsidRDefault="000F712B">
            <w:pPr>
              <w:jc w:val="center"/>
              <w:rPr>
                <w:sz w:val="20"/>
                <w:szCs w:val="20"/>
              </w:rPr>
            </w:pPr>
            <w:proofErr w:type="spellStart"/>
            <w:r w:rsidRPr="005E5BB9">
              <w:rPr>
                <w:sz w:val="20"/>
                <w:szCs w:val="20"/>
              </w:rPr>
              <w:t>Novovoronezh</w:t>
            </w:r>
            <w:proofErr w:type="spellEnd"/>
            <w:r w:rsidRPr="005E5BB9">
              <w:rPr>
                <w:sz w:val="20"/>
                <w:szCs w:val="20"/>
              </w:rPr>
              <w:t xml:space="preserve"> Town Court</w:t>
            </w:r>
          </w:p>
          <w:p w:rsidRPr="005E5BB9" w:rsidR="000F712B" w:rsidP="000F712B" w:rsidRDefault="000F712B">
            <w:pPr>
              <w:jc w:val="center"/>
              <w:rPr>
                <w:sz w:val="20"/>
                <w:szCs w:val="20"/>
              </w:rPr>
            </w:pPr>
            <w:r w:rsidRPr="005E5BB9">
              <w:rPr>
                <w:sz w:val="20"/>
                <w:szCs w:val="20"/>
              </w:rPr>
              <w:t>30/03/2010</w:t>
            </w:r>
          </w:p>
          <w:p w:rsidRPr="005E5BB9" w:rsidR="000F712B" w:rsidP="000F712B" w:rsidRDefault="000F712B">
            <w:pPr>
              <w:jc w:val="center"/>
              <w:rPr>
                <w:sz w:val="20"/>
                <w:szCs w:val="20"/>
              </w:rPr>
            </w:pPr>
            <w:r w:rsidRPr="005E5BB9">
              <w:rPr>
                <w:sz w:val="20"/>
                <w:szCs w:val="20"/>
              </w:rPr>
              <w:t>12/04/2010</w:t>
            </w:r>
          </w:p>
          <w:p w:rsidRPr="005E5BB9" w:rsidR="000F712B" w:rsidP="000F712B" w:rsidRDefault="000F712B">
            <w:pPr>
              <w:jc w:val="center"/>
              <w:rPr>
                <w:sz w:val="20"/>
                <w:szCs w:val="20"/>
              </w:rPr>
            </w:pPr>
          </w:p>
          <w:p w:rsidRPr="005E5BB9" w:rsidR="000F712B" w:rsidP="000F712B" w:rsidRDefault="000F712B">
            <w:pPr>
              <w:jc w:val="center"/>
              <w:rPr>
                <w:sz w:val="20"/>
                <w:szCs w:val="20"/>
              </w:rPr>
            </w:pPr>
            <w:r w:rsidRPr="005E5BB9">
              <w:rPr>
                <w:sz w:val="20"/>
                <w:szCs w:val="20"/>
              </w:rPr>
              <w:t>RUB 614,835.21</w:t>
            </w:r>
          </w:p>
        </w:tc>
        <w:tc>
          <w:tcPr>
            <w:tcW w:w="1417" w:type="dxa"/>
          </w:tcPr>
          <w:p w:rsidRPr="005E5BB9" w:rsidR="000F712B" w:rsidP="000F712B" w:rsidRDefault="000F712B">
            <w:pPr>
              <w:jc w:val="center"/>
              <w:rPr>
                <w:sz w:val="20"/>
                <w:szCs w:val="20"/>
              </w:rPr>
            </w:pPr>
            <w:r w:rsidRPr="005E5BB9">
              <w:rPr>
                <w:sz w:val="20"/>
                <w:szCs w:val="20"/>
              </w:rPr>
              <w:t>Non-enforced</w:t>
            </w:r>
          </w:p>
        </w:tc>
        <w:tc>
          <w:tcPr>
            <w:tcW w:w="2693" w:type="dxa"/>
          </w:tcPr>
          <w:p w:rsidRPr="005E5BB9" w:rsidR="000F712B" w:rsidP="000F712B" w:rsidRDefault="000F712B">
            <w:pPr>
              <w:jc w:val="center"/>
              <w:rPr>
                <w:rFonts w:ascii="Times New Roman" w:hAnsi="Times New Roman" w:eastAsia="Times New Roman" w:cs="Times New Roman"/>
                <w:sz w:val="20"/>
                <w:szCs w:val="20"/>
              </w:rPr>
            </w:pPr>
            <w:r w:rsidRPr="005E5BB9">
              <w:rPr>
                <w:rFonts w:ascii="Times New Roman" w:hAnsi="Times New Roman" w:eastAsia="Times New Roman" w:cs="Times New Roman"/>
                <w:sz w:val="20"/>
                <w:szCs w:val="20"/>
              </w:rPr>
              <w:t>Voronezh Regional Court</w:t>
            </w:r>
          </w:p>
          <w:p w:rsidRPr="005E5BB9" w:rsidR="000F712B" w:rsidP="000F712B" w:rsidRDefault="000F712B">
            <w:pPr>
              <w:jc w:val="center"/>
              <w:rPr>
                <w:rFonts w:ascii="Times New Roman" w:hAnsi="Times New Roman" w:eastAsia="Times New Roman" w:cs="Times New Roman"/>
                <w:sz w:val="20"/>
                <w:szCs w:val="20"/>
              </w:rPr>
            </w:pPr>
            <w:r w:rsidRPr="005E5BB9">
              <w:rPr>
                <w:rFonts w:ascii="Times New Roman" w:hAnsi="Times New Roman" w:eastAsia="Times New Roman" w:cs="Times New Roman"/>
                <w:sz w:val="20"/>
                <w:szCs w:val="20"/>
              </w:rPr>
              <w:t>02/06/2011</w:t>
            </w:r>
          </w:p>
          <w:p w:rsidRPr="005E5BB9" w:rsidR="000F712B" w:rsidP="000F712B" w:rsidRDefault="000F712B">
            <w:pPr>
              <w:jc w:val="center"/>
              <w:rPr>
                <w:rFonts w:ascii="Times New Roman" w:hAnsi="Times New Roman" w:eastAsia="Times New Roman" w:cs="Times New Roman"/>
                <w:sz w:val="20"/>
                <w:szCs w:val="20"/>
              </w:rPr>
            </w:pPr>
            <w:r w:rsidRPr="005E5BB9">
              <w:rPr>
                <w:rFonts w:ascii="Times New Roman" w:hAnsi="Times New Roman" w:eastAsia="Times New Roman" w:cs="Times New Roman"/>
                <w:sz w:val="20"/>
                <w:szCs w:val="20"/>
              </w:rPr>
              <w:t>28/07/2011</w:t>
            </w:r>
          </w:p>
          <w:p w:rsidRPr="005E5BB9" w:rsidR="000F712B" w:rsidP="000F712B" w:rsidRDefault="000F712B">
            <w:pPr>
              <w:jc w:val="center"/>
              <w:rPr>
                <w:rFonts w:ascii="Times New Roman" w:hAnsi="Times New Roman" w:eastAsia="Times New Roman" w:cs="Times New Roman"/>
                <w:sz w:val="20"/>
                <w:szCs w:val="20"/>
              </w:rPr>
            </w:pPr>
          </w:p>
          <w:p w:rsidRPr="005E5BB9" w:rsidR="000F712B" w:rsidP="000F712B" w:rsidRDefault="000F712B">
            <w:pPr>
              <w:jc w:val="center"/>
              <w:rPr>
                <w:rFonts w:ascii="Times New Roman" w:hAnsi="Times New Roman" w:eastAsia="Times New Roman" w:cs="Times New Roman"/>
                <w:sz w:val="20"/>
                <w:szCs w:val="20"/>
              </w:rPr>
            </w:pPr>
            <w:r w:rsidRPr="005E5BB9">
              <w:rPr>
                <w:rFonts w:ascii="Times New Roman" w:hAnsi="Times New Roman" w:eastAsia="Times New Roman" w:cs="Times New Roman"/>
                <w:sz w:val="20"/>
                <w:szCs w:val="20"/>
              </w:rPr>
              <w:t>RUB 10,000 (enforced)</w:t>
            </w:r>
          </w:p>
        </w:tc>
        <w:tc>
          <w:tcPr>
            <w:tcW w:w="3119" w:type="dxa"/>
          </w:tcPr>
          <w:p w:rsidRPr="005E5BB9" w:rsidR="000F712B" w:rsidP="000F712B" w:rsidRDefault="000F712B">
            <w:pPr>
              <w:jc w:val="center"/>
              <w:rPr>
                <w:sz w:val="20"/>
                <w:szCs w:val="20"/>
              </w:rPr>
            </w:pPr>
            <w:r w:rsidRPr="005E5BB9">
              <w:rPr>
                <w:sz w:val="20"/>
                <w:szCs w:val="20"/>
              </w:rPr>
              <w:t>RUB 614,835.21(EUR 7,200) and</w:t>
            </w:r>
          </w:p>
          <w:p w:rsidRPr="005E5BB9" w:rsidR="000F712B" w:rsidP="000F712B" w:rsidRDefault="000F712B">
            <w:pPr>
              <w:jc w:val="center"/>
              <w:rPr>
                <w:sz w:val="20"/>
                <w:szCs w:val="20"/>
              </w:rPr>
            </w:pPr>
            <w:r w:rsidRPr="005E5BB9">
              <w:rPr>
                <w:sz w:val="20"/>
                <w:szCs w:val="20"/>
              </w:rPr>
              <w:t>EUR 20,000 (pecuniary damage)</w:t>
            </w:r>
          </w:p>
          <w:p w:rsidRPr="005E5BB9" w:rsidR="000F712B" w:rsidP="000F712B" w:rsidRDefault="000F712B">
            <w:pPr>
              <w:jc w:val="center"/>
              <w:rPr>
                <w:sz w:val="20"/>
                <w:szCs w:val="20"/>
              </w:rPr>
            </w:pPr>
            <w:r w:rsidRPr="005E5BB9">
              <w:rPr>
                <w:sz w:val="20"/>
                <w:szCs w:val="20"/>
              </w:rPr>
              <w:t>EUR 5,000 (non-pecuniary damage)</w:t>
            </w:r>
          </w:p>
          <w:p w:rsidRPr="005E5BB9" w:rsidR="000F712B" w:rsidP="000F712B" w:rsidRDefault="000F712B">
            <w:pPr>
              <w:jc w:val="center"/>
              <w:rPr>
                <w:sz w:val="20"/>
                <w:szCs w:val="20"/>
              </w:rPr>
            </w:pPr>
            <w:r w:rsidRPr="005E5BB9">
              <w:rPr>
                <w:sz w:val="20"/>
                <w:szCs w:val="20"/>
              </w:rPr>
              <w:t>n/a</w:t>
            </w:r>
          </w:p>
        </w:tc>
      </w:tr>
      <w:tr w:rsidRPr="005E5BB9" w:rsidR="000F712B" w:rsidTr="004C2F83">
        <w:tc>
          <w:tcPr>
            <w:tcW w:w="425" w:type="dxa"/>
          </w:tcPr>
          <w:p w:rsidRPr="005E5BB9" w:rsidR="000F712B" w:rsidP="000F712B" w:rsidRDefault="000F712B">
            <w:pPr>
              <w:numPr>
                <w:ilvl w:val="0"/>
                <w:numId w:val="20"/>
              </w:numPr>
              <w:ind w:left="357" w:hanging="357"/>
              <w:rPr>
                <w:sz w:val="20"/>
                <w:szCs w:val="20"/>
              </w:rPr>
            </w:pPr>
          </w:p>
        </w:tc>
        <w:tc>
          <w:tcPr>
            <w:tcW w:w="1419" w:type="dxa"/>
          </w:tcPr>
          <w:p w:rsidRPr="005E5BB9" w:rsidR="000F712B" w:rsidP="000F712B" w:rsidRDefault="000F712B">
            <w:pPr>
              <w:jc w:val="center"/>
              <w:rPr>
                <w:sz w:val="20"/>
                <w:szCs w:val="20"/>
              </w:rPr>
            </w:pPr>
            <w:r w:rsidRPr="005E5BB9">
              <w:rPr>
                <w:sz w:val="20"/>
                <w:szCs w:val="20"/>
              </w:rPr>
              <w:t>49623/11</w:t>
            </w:r>
          </w:p>
          <w:p w:rsidRPr="005E5BB9" w:rsidR="000F712B" w:rsidP="000F712B" w:rsidRDefault="000F712B">
            <w:pPr>
              <w:jc w:val="center"/>
              <w:rPr>
                <w:sz w:val="20"/>
                <w:szCs w:val="20"/>
              </w:rPr>
            </w:pPr>
            <w:r w:rsidRPr="005E5BB9">
              <w:rPr>
                <w:sz w:val="20"/>
                <w:szCs w:val="20"/>
              </w:rPr>
              <w:t>18/07/2011</w:t>
            </w:r>
          </w:p>
        </w:tc>
        <w:tc>
          <w:tcPr>
            <w:tcW w:w="2409" w:type="dxa"/>
          </w:tcPr>
          <w:p w:rsidRPr="005E5BB9" w:rsidR="000F712B" w:rsidP="000F712B" w:rsidRDefault="000F712B">
            <w:pPr>
              <w:jc w:val="center"/>
              <w:rPr>
                <w:sz w:val="20"/>
                <w:szCs w:val="20"/>
              </w:rPr>
            </w:pPr>
            <w:proofErr w:type="spellStart"/>
            <w:r w:rsidRPr="005E5BB9">
              <w:rPr>
                <w:b/>
                <w:sz w:val="20"/>
                <w:szCs w:val="20"/>
              </w:rPr>
              <w:t>Radimkhan</w:t>
            </w:r>
            <w:proofErr w:type="spellEnd"/>
            <w:r w:rsidRPr="005E5BB9">
              <w:rPr>
                <w:b/>
                <w:sz w:val="20"/>
                <w:szCs w:val="20"/>
              </w:rPr>
              <w:t xml:space="preserve"> </w:t>
            </w:r>
            <w:proofErr w:type="spellStart"/>
            <w:r w:rsidRPr="005E5BB9">
              <w:rPr>
                <w:b/>
                <w:sz w:val="20"/>
                <w:szCs w:val="20"/>
              </w:rPr>
              <w:t>Yunusovna</w:t>
            </w:r>
            <w:proofErr w:type="spellEnd"/>
            <w:r w:rsidRPr="005E5BB9">
              <w:rPr>
                <w:b/>
                <w:sz w:val="20"/>
                <w:szCs w:val="20"/>
              </w:rPr>
              <w:t xml:space="preserve"> KOKURKHOYEVA</w:t>
            </w:r>
          </w:p>
          <w:p w:rsidRPr="005E5BB9" w:rsidR="000F712B" w:rsidP="000F712B" w:rsidRDefault="000F712B">
            <w:pPr>
              <w:jc w:val="center"/>
              <w:rPr>
                <w:sz w:val="20"/>
                <w:szCs w:val="20"/>
              </w:rPr>
            </w:pPr>
            <w:proofErr w:type="spellStart"/>
            <w:r w:rsidRPr="005E5BB9">
              <w:rPr>
                <w:sz w:val="20"/>
                <w:szCs w:val="20"/>
              </w:rPr>
              <w:t>Ordzhonikidzevskaya</w:t>
            </w:r>
            <w:proofErr w:type="spellEnd"/>
          </w:p>
          <w:p w:rsidRPr="005E5BB9" w:rsidR="000F712B" w:rsidP="000F712B" w:rsidRDefault="000F712B">
            <w:pPr>
              <w:jc w:val="center"/>
              <w:rPr>
                <w:sz w:val="20"/>
                <w:szCs w:val="20"/>
              </w:rPr>
            </w:pPr>
            <w:r w:rsidRPr="005E5BB9">
              <w:rPr>
                <w:sz w:val="20"/>
                <w:szCs w:val="20"/>
              </w:rPr>
              <w:t>Russian</w:t>
            </w:r>
          </w:p>
        </w:tc>
        <w:tc>
          <w:tcPr>
            <w:tcW w:w="3261" w:type="dxa"/>
          </w:tcPr>
          <w:p w:rsidRPr="005E5BB9" w:rsidR="000F712B" w:rsidP="000F712B" w:rsidRDefault="000F712B">
            <w:pPr>
              <w:jc w:val="center"/>
              <w:rPr>
                <w:sz w:val="20"/>
                <w:szCs w:val="20"/>
              </w:rPr>
            </w:pPr>
            <w:proofErr w:type="spellStart"/>
            <w:r w:rsidRPr="005E5BB9">
              <w:rPr>
                <w:sz w:val="20"/>
                <w:szCs w:val="20"/>
              </w:rPr>
              <w:t>Sunzhenskiy</w:t>
            </w:r>
            <w:proofErr w:type="spellEnd"/>
            <w:r w:rsidRPr="005E5BB9">
              <w:rPr>
                <w:sz w:val="20"/>
                <w:szCs w:val="20"/>
              </w:rPr>
              <w:t xml:space="preserve"> District Court of Ingushetia</w:t>
            </w:r>
          </w:p>
          <w:p w:rsidRPr="005E5BB9" w:rsidR="000F712B" w:rsidP="000F712B" w:rsidRDefault="000F712B">
            <w:pPr>
              <w:tabs>
                <w:tab w:val="right" w:pos="1911"/>
              </w:tabs>
              <w:jc w:val="center"/>
              <w:rPr>
                <w:sz w:val="20"/>
                <w:szCs w:val="20"/>
              </w:rPr>
            </w:pPr>
            <w:r w:rsidRPr="005E5BB9">
              <w:rPr>
                <w:sz w:val="20"/>
                <w:szCs w:val="20"/>
              </w:rPr>
              <w:t>21/06/2005</w:t>
            </w:r>
          </w:p>
          <w:p w:rsidRPr="005E5BB9" w:rsidR="000F712B" w:rsidP="000F712B" w:rsidRDefault="000F712B">
            <w:pPr>
              <w:tabs>
                <w:tab w:val="right" w:pos="1911"/>
              </w:tabs>
              <w:jc w:val="center"/>
              <w:rPr>
                <w:sz w:val="20"/>
                <w:szCs w:val="20"/>
              </w:rPr>
            </w:pPr>
            <w:r w:rsidRPr="005E5BB9">
              <w:rPr>
                <w:sz w:val="20"/>
                <w:szCs w:val="20"/>
                <w:lang w:val="ru-RU"/>
              </w:rPr>
              <w:t>04/07/2005</w:t>
            </w:r>
          </w:p>
          <w:p w:rsidRPr="005E5BB9" w:rsidR="000F712B" w:rsidP="000F712B" w:rsidRDefault="000F712B">
            <w:pPr>
              <w:tabs>
                <w:tab w:val="right" w:pos="1911"/>
              </w:tabs>
              <w:jc w:val="center"/>
              <w:rPr>
                <w:sz w:val="20"/>
                <w:szCs w:val="20"/>
              </w:rPr>
            </w:pPr>
          </w:p>
          <w:p w:rsidRPr="005E5BB9" w:rsidR="000F712B" w:rsidP="000F712B" w:rsidRDefault="000F712B">
            <w:pPr>
              <w:tabs>
                <w:tab w:val="right" w:pos="1911"/>
              </w:tabs>
              <w:jc w:val="center"/>
              <w:rPr>
                <w:sz w:val="20"/>
                <w:szCs w:val="20"/>
              </w:rPr>
            </w:pPr>
            <w:r w:rsidRPr="005E5BB9">
              <w:rPr>
                <w:sz w:val="20"/>
                <w:szCs w:val="20"/>
              </w:rPr>
              <w:t>RUB 84,409.40</w:t>
            </w:r>
          </w:p>
        </w:tc>
        <w:tc>
          <w:tcPr>
            <w:tcW w:w="1417" w:type="dxa"/>
          </w:tcPr>
          <w:p w:rsidRPr="005E5BB9" w:rsidR="000F712B" w:rsidP="000F712B" w:rsidRDefault="000F712B">
            <w:pPr>
              <w:jc w:val="center"/>
              <w:rPr>
                <w:sz w:val="20"/>
                <w:szCs w:val="20"/>
              </w:rPr>
            </w:pPr>
            <w:r w:rsidRPr="005E5BB9">
              <w:rPr>
                <w:sz w:val="20"/>
                <w:szCs w:val="20"/>
              </w:rPr>
              <w:t>Non-enforced</w:t>
            </w:r>
          </w:p>
        </w:tc>
        <w:tc>
          <w:tcPr>
            <w:tcW w:w="2693" w:type="dxa"/>
          </w:tcPr>
          <w:p w:rsidRPr="005E5BB9" w:rsidR="000F712B" w:rsidP="000F712B" w:rsidRDefault="000F712B">
            <w:pPr>
              <w:jc w:val="center"/>
              <w:rPr>
                <w:rFonts w:ascii="Times New Roman" w:hAnsi="Times New Roman" w:eastAsia="Times New Roman" w:cs="Times New Roman"/>
                <w:sz w:val="20"/>
                <w:szCs w:val="20"/>
              </w:rPr>
            </w:pPr>
            <w:r w:rsidRPr="005E5BB9">
              <w:rPr>
                <w:rFonts w:ascii="Times New Roman" w:hAnsi="Times New Roman" w:eastAsia="Times New Roman" w:cs="Times New Roman"/>
                <w:sz w:val="20"/>
                <w:szCs w:val="20"/>
              </w:rPr>
              <w:t>Supreme Court of Ingushetia</w:t>
            </w:r>
          </w:p>
          <w:p w:rsidRPr="005E5BB9" w:rsidR="000F712B" w:rsidP="000F712B" w:rsidRDefault="000F712B">
            <w:pPr>
              <w:jc w:val="center"/>
              <w:rPr>
                <w:rFonts w:ascii="Times New Roman" w:hAnsi="Times New Roman" w:eastAsia="Times New Roman" w:cs="Times New Roman"/>
                <w:sz w:val="20"/>
                <w:szCs w:val="20"/>
              </w:rPr>
            </w:pPr>
            <w:r w:rsidRPr="005E5BB9">
              <w:rPr>
                <w:rFonts w:ascii="Times New Roman" w:hAnsi="Times New Roman" w:eastAsia="Times New Roman" w:cs="Times New Roman"/>
                <w:sz w:val="20"/>
                <w:szCs w:val="20"/>
              </w:rPr>
              <w:t>01/04/2011</w:t>
            </w:r>
          </w:p>
          <w:p w:rsidRPr="005E5BB9" w:rsidR="000F712B" w:rsidP="000F712B" w:rsidRDefault="000F712B">
            <w:pPr>
              <w:jc w:val="center"/>
              <w:rPr>
                <w:rFonts w:ascii="Times New Roman" w:hAnsi="Times New Roman" w:eastAsia="Times New Roman" w:cs="Times New Roman"/>
                <w:sz w:val="20"/>
                <w:szCs w:val="20"/>
              </w:rPr>
            </w:pPr>
            <w:r w:rsidRPr="005E5BB9">
              <w:rPr>
                <w:rFonts w:ascii="Times New Roman" w:hAnsi="Times New Roman" w:eastAsia="Times New Roman" w:cs="Times New Roman"/>
                <w:sz w:val="20"/>
                <w:szCs w:val="20"/>
              </w:rPr>
              <w:t>17/06/2011</w:t>
            </w:r>
          </w:p>
          <w:p w:rsidRPr="005E5BB9" w:rsidR="000F712B" w:rsidP="000F712B" w:rsidRDefault="000F712B">
            <w:pPr>
              <w:jc w:val="center"/>
              <w:rPr>
                <w:rFonts w:ascii="Times New Roman" w:hAnsi="Times New Roman" w:eastAsia="Times New Roman" w:cs="Times New Roman"/>
                <w:sz w:val="20"/>
                <w:szCs w:val="20"/>
              </w:rPr>
            </w:pPr>
          </w:p>
          <w:p w:rsidRPr="005E5BB9" w:rsidR="000F712B" w:rsidP="000F712B" w:rsidRDefault="000F712B">
            <w:pPr>
              <w:jc w:val="center"/>
              <w:rPr>
                <w:rFonts w:ascii="Times New Roman" w:hAnsi="Times New Roman" w:eastAsia="Times New Roman" w:cs="Times New Roman"/>
                <w:sz w:val="20"/>
                <w:szCs w:val="20"/>
              </w:rPr>
            </w:pPr>
            <w:r w:rsidRPr="005E5BB9">
              <w:rPr>
                <w:rFonts w:ascii="Times New Roman" w:hAnsi="Times New Roman" w:eastAsia="Times New Roman" w:cs="Times New Roman"/>
                <w:sz w:val="20"/>
                <w:szCs w:val="20"/>
              </w:rPr>
              <w:t>RUB 3,000 (non-enforced)</w:t>
            </w:r>
          </w:p>
        </w:tc>
        <w:tc>
          <w:tcPr>
            <w:tcW w:w="3119" w:type="dxa"/>
          </w:tcPr>
          <w:p w:rsidRPr="005E5BB9" w:rsidR="000F712B" w:rsidP="000F712B" w:rsidRDefault="000F712B">
            <w:pPr>
              <w:jc w:val="center"/>
              <w:rPr>
                <w:sz w:val="20"/>
                <w:szCs w:val="20"/>
              </w:rPr>
            </w:pPr>
            <w:r w:rsidRPr="005E5BB9">
              <w:rPr>
                <w:sz w:val="20"/>
                <w:szCs w:val="20"/>
              </w:rPr>
              <w:t>RUB 319,741</w:t>
            </w:r>
            <w:r w:rsidRPr="005E5BB9">
              <w:rPr>
                <w:rFonts w:ascii="Sylfaen" w:hAnsi="Sylfaen"/>
                <w:sz w:val="20"/>
                <w:szCs w:val="20"/>
                <w:lang w:val="en-US"/>
              </w:rPr>
              <w:t>(EUR 3,700) (</w:t>
            </w:r>
            <w:r w:rsidRPr="005E5BB9">
              <w:rPr>
                <w:sz w:val="20"/>
                <w:szCs w:val="20"/>
              </w:rPr>
              <w:t>pecuniary damage)</w:t>
            </w:r>
          </w:p>
          <w:p w:rsidRPr="005E5BB9" w:rsidR="000F712B" w:rsidP="000F712B" w:rsidRDefault="000F712B">
            <w:pPr>
              <w:jc w:val="center"/>
              <w:rPr>
                <w:sz w:val="20"/>
                <w:szCs w:val="20"/>
                <w:lang w:val="en-US"/>
              </w:rPr>
            </w:pPr>
            <w:r w:rsidRPr="005E5BB9">
              <w:rPr>
                <w:sz w:val="20"/>
                <w:szCs w:val="20"/>
                <w:lang w:val="en-US"/>
              </w:rPr>
              <w:t>EUR 13,000 (non-pecuniary damage)</w:t>
            </w:r>
          </w:p>
          <w:p w:rsidRPr="005E5BB9" w:rsidR="000F712B" w:rsidP="000F712B" w:rsidRDefault="000F712B">
            <w:pPr>
              <w:jc w:val="center"/>
              <w:rPr>
                <w:sz w:val="20"/>
                <w:szCs w:val="20"/>
              </w:rPr>
            </w:pPr>
            <w:r w:rsidRPr="005E5BB9">
              <w:rPr>
                <w:sz w:val="20"/>
                <w:szCs w:val="20"/>
                <w:lang w:val="ru-RU"/>
              </w:rPr>
              <w:t>EUR 300</w:t>
            </w:r>
          </w:p>
          <w:p w:rsidRPr="005E5BB9" w:rsidR="000F712B" w:rsidP="000F712B" w:rsidRDefault="000F712B">
            <w:pPr>
              <w:jc w:val="center"/>
              <w:rPr>
                <w:sz w:val="20"/>
                <w:szCs w:val="20"/>
              </w:rPr>
            </w:pPr>
          </w:p>
        </w:tc>
      </w:tr>
      <w:tr w:rsidRPr="005E5BB9" w:rsidR="000F712B" w:rsidTr="004C2F83">
        <w:tc>
          <w:tcPr>
            <w:tcW w:w="425" w:type="dxa"/>
          </w:tcPr>
          <w:p w:rsidRPr="005E5BB9" w:rsidR="000F712B" w:rsidP="000F712B" w:rsidRDefault="000F712B">
            <w:pPr>
              <w:numPr>
                <w:ilvl w:val="0"/>
                <w:numId w:val="20"/>
              </w:numPr>
              <w:ind w:left="357" w:hanging="357"/>
              <w:rPr>
                <w:sz w:val="20"/>
                <w:szCs w:val="20"/>
              </w:rPr>
            </w:pPr>
            <w:bookmarkStart w:name="_GoBack" w:id="7"/>
            <w:bookmarkEnd w:id="7"/>
          </w:p>
        </w:tc>
        <w:tc>
          <w:tcPr>
            <w:tcW w:w="1419" w:type="dxa"/>
          </w:tcPr>
          <w:p w:rsidRPr="005E5BB9" w:rsidR="000F712B" w:rsidP="000F712B" w:rsidRDefault="000F712B">
            <w:pPr>
              <w:jc w:val="center"/>
              <w:rPr>
                <w:sz w:val="20"/>
                <w:szCs w:val="20"/>
              </w:rPr>
            </w:pPr>
            <w:r w:rsidRPr="005E5BB9">
              <w:rPr>
                <w:sz w:val="20"/>
                <w:szCs w:val="20"/>
              </w:rPr>
              <w:t>55790/11</w:t>
            </w:r>
          </w:p>
          <w:p w:rsidRPr="005E5BB9" w:rsidR="000F712B" w:rsidP="000F712B" w:rsidRDefault="000F712B">
            <w:pPr>
              <w:jc w:val="center"/>
              <w:rPr>
                <w:sz w:val="20"/>
                <w:szCs w:val="20"/>
              </w:rPr>
            </w:pPr>
            <w:r w:rsidRPr="005E5BB9">
              <w:rPr>
                <w:sz w:val="20"/>
                <w:szCs w:val="20"/>
              </w:rPr>
              <w:t>11/08/2011</w:t>
            </w:r>
          </w:p>
        </w:tc>
        <w:tc>
          <w:tcPr>
            <w:tcW w:w="2409" w:type="dxa"/>
          </w:tcPr>
          <w:p w:rsidRPr="005E5BB9" w:rsidR="000F712B" w:rsidP="000815E7" w:rsidRDefault="000F712B">
            <w:pPr>
              <w:ind w:left="357"/>
              <w:rPr>
                <w:sz w:val="20"/>
                <w:szCs w:val="20"/>
              </w:rPr>
            </w:pPr>
            <w:proofErr w:type="spellStart"/>
            <w:r w:rsidRPr="005E5BB9">
              <w:rPr>
                <w:b/>
                <w:sz w:val="20"/>
                <w:szCs w:val="20"/>
              </w:rPr>
              <w:t>Vakhit</w:t>
            </w:r>
            <w:proofErr w:type="spellEnd"/>
            <w:r w:rsidRPr="005E5BB9">
              <w:rPr>
                <w:b/>
                <w:sz w:val="20"/>
                <w:szCs w:val="20"/>
              </w:rPr>
              <w:t xml:space="preserve"> </w:t>
            </w:r>
            <w:proofErr w:type="spellStart"/>
            <w:r w:rsidRPr="005E5BB9">
              <w:rPr>
                <w:b/>
                <w:sz w:val="20"/>
                <w:szCs w:val="20"/>
              </w:rPr>
              <w:t>Khatiyevich</w:t>
            </w:r>
            <w:proofErr w:type="spellEnd"/>
            <w:r w:rsidRPr="005E5BB9">
              <w:rPr>
                <w:b/>
                <w:sz w:val="20"/>
                <w:szCs w:val="20"/>
              </w:rPr>
              <w:t xml:space="preserve"> </w:t>
            </w:r>
            <w:r w:rsidRPr="000815E7">
              <w:rPr>
                <w:sz w:val="20"/>
                <w:szCs w:val="20"/>
              </w:rPr>
              <w:t>MARKHIYEV</w:t>
            </w:r>
          </w:p>
          <w:p w:rsidRPr="005E5BB9" w:rsidR="000F712B" w:rsidP="000F712B" w:rsidRDefault="000F712B">
            <w:pPr>
              <w:jc w:val="center"/>
              <w:rPr>
                <w:sz w:val="20"/>
                <w:szCs w:val="20"/>
              </w:rPr>
            </w:pPr>
            <w:r w:rsidRPr="005E5BB9">
              <w:rPr>
                <w:sz w:val="20"/>
                <w:szCs w:val="20"/>
              </w:rPr>
              <w:t>01/01/1953</w:t>
            </w:r>
          </w:p>
          <w:p w:rsidRPr="005E5BB9" w:rsidR="000F712B" w:rsidP="000F712B" w:rsidRDefault="000F712B">
            <w:pPr>
              <w:jc w:val="center"/>
              <w:rPr>
                <w:sz w:val="20"/>
                <w:szCs w:val="20"/>
              </w:rPr>
            </w:pPr>
            <w:proofErr w:type="spellStart"/>
            <w:r w:rsidRPr="005E5BB9">
              <w:rPr>
                <w:sz w:val="20"/>
                <w:szCs w:val="20"/>
              </w:rPr>
              <w:t>Sunzha</w:t>
            </w:r>
            <w:proofErr w:type="spellEnd"/>
          </w:p>
          <w:p w:rsidRPr="005E5BB9" w:rsidR="000F712B" w:rsidP="000F712B" w:rsidRDefault="000F712B">
            <w:pPr>
              <w:jc w:val="center"/>
              <w:rPr>
                <w:sz w:val="20"/>
                <w:szCs w:val="20"/>
              </w:rPr>
            </w:pPr>
            <w:r w:rsidRPr="005E5BB9">
              <w:rPr>
                <w:sz w:val="20"/>
                <w:szCs w:val="20"/>
              </w:rPr>
              <w:t>Russian</w:t>
            </w:r>
          </w:p>
        </w:tc>
        <w:tc>
          <w:tcPr>
            <w:tcW w:w="3261" w:type="dxa"/>
          </w:tcPr>
          <w:p w:rsidRPr="005E5BB9" w:rsidR="000F712B" w:rsidP="000F712B" w:rsidRDefault="000F712B">
            <w:pPr>
              <w:jc w:val="center"/>
              <w:rPr>
                <w:sz w:val="20"/>
                <w:szCs w:val="20"/>
              </w:rPr>
            </w:pPr>
            <w:r w:rsidRPr="005E5BB9">
              <w:rPr>
                <w:sz w:val="20"/>
                <w:szCs w:val="20"/>
              </w:rPr>
              <w:t>Justice of the Peace of Judicial Circuit no. 11 of Ingushetia</w:t>
            </w:r>
          </w:p>
          <w:p w:rsidRPr="005E5BB9" w:rsidR="000F712B" w:rsidP="000F712B" w:rsidRDefault="000F712B">
            <w:pPr>
              <w:jc w:val="center"/>
              <w:rPr>
                <w:sz w:val="20"/>
                <w:szCs w:val="20"/>
              </w:rPr>
            </w:pPr>
            <w:r w:rsidRPr="005E5BB9">
              <w:rPr>
                <w:sz w:val="20"/>
                <w:szCs w:val="20"/>
              </w:rPr>
              <w:t>08/06/2005</w:t>
            </w:r>
          </w:p>
          <w:p w:rsidRPr="005E5BB9" w:rsidR="000F712B" w:rsidP="000F712B" w:rsidRDefault="000F712B">
            <w:pPr>
              <w:jc w:val="center"/>
              <w:rPr>
                <w:sz w:val="20"/>
                <w:szCs w:val="20"/>
                <w:lang w:val="ru-RU"/>
              </w:rPr>
            </w:pPr>
            <w:r w:rsidRPr="005E5BB9">
              <w:rPr>
                <w:sz w:val="20"/>
                <w:szCs w:val="20"/>
                <w:lang w:val="ru-RU"/>
              </w:rPr>
              <w:t>18/06/2005</w:t>
            </w:r>
          </w:p>
          <w:p w:rsidRPr="005E5BB9" w:rsidR="000F712B" w:rsidP="000F712B" w:rsidRDefault="000F712B">
            <w:pPr>
              <w:jc w:val="center"/>
              <w:rPr>
                <w:sz w:val="20"/>
                <w:szCs w:val="20"/>
              </w:rPr>
            </w:pPr>
          </w:p>
          <w:p w:rsidRPr="005E5BB9" w:rsidR="000F712B" w:rsidP="000F712B" w:rsidRDefault="000F712B">
            <w:pPr>
              <w:jc w:val="center"/>
              <w:rPr>
                <w:sz w:val="20"/>
                <w:szCs w:val="20"/>
              </w:rPr>
            </w:pPr>
            <w:r w:rsidRPr="005E5BB9">
              <w:rPr>
                <w:sz w:val="20"/>
                <w:szCs w:val="20"/>
              </w:rPr>
              <w:t>RUB 76,106.24</w:t>
            </w:r>
          </w:p>
        </w:tc>
        <w:tc>
          <w:tcPr>
            <w:tcW w:w="1417" w:type="dxa"/>
          </w:tcPr>
          <w:p w:rsidRPr="005E5BB9" w:rsidR="000F712B" w:rsidP="000F712B" w:rsidRDefault="000F712B">
            <w:pPr>
              <w:jc w:val="center"/>
              <w:rPr>
                <w:sz w:val="20"/>
                <w:szCs w:val="20"/>
              </w:rPr>
            </w:pPr>
            <w:r w:rsidRPr="005E5BB9">
              <w:rPr>
                <w:sz w:val="20"/>
                <w:szCs w:val="20"/>
              </w:rPr>
              <w:t>Non-enforced</w:t>
            </w:r>
          </w:p>
        </w:tc>
        <w:tc>
          <w:tcPr>
            <w:tcW w:w="2693" w:type="dxa"/>
          </w:tcPr>
          <w:p w:rsidRPr="005E5BB9" w:rsidR="000F712B" w:rsidP="000F712B" w:rsidRDefault="000F712B">
            <w:pPr>
              <w:jc w:val="center"/>
              <w:rPr>
                <w:rFonts w:ascii="Times New Roman" w:hAnsi="Times New Roman" w:eastAsia="Times New Roman" w:cs="Times New Roman"/>
                <w:sz w:val="20"/>
                <w:szCs w:val="20"/>
              </w:rPr>
            </w:pPr>
            <w:r w:rsidRPr="005E5BB9">
              <w:rPr>
                <w:rFonts w:ascii="Times New Roman" w:hAnsi="Times New Roman" w:eastAsia="Times New Roman" w:cs="Times New Roman"/>
                <w:sz w:val="20"/>
                <w:szCs w:val="20"/>
              </w:rPr>
              <w:t>Supreme Court of Ingushetia</w:t>
            </w:r>
          </w:p>
          <w:p w:rsidRPr="005E5BB9" w:rsidR="000F712B" w:rsidP="000F712B" w:rsidRDefault="000F712B">
            <w:pPr>
              <w:jc w:val="center"/>
              <w:rPr>
                <w:rFonts w:ascii="Times New Roman" w:hAnsi="Times New Roman" w:eastAsia="Times New Roman" w:cs="Times New Roman"/>
                <w:sz w:val="20"/>
                <w:szCs w:val="20"/>
              </w:rPr>
            </w:pPr>
            <w:r w:rsidRPr="005E5BB9">
              <w:rPr>
                <w:rFonts w:ascii="Times New Roman" w:hAnsi="Times New Roman" w:eastAsia="Times New Roman" w:cs="Times New Roman"/>
                <w:sz w:val="20"/>
                <w:szCs w:val="20"/>
              </w:rPr>
              <w:t>25/05/2011</w:t>
            </w:r>
          </w:p>
          <w:p w:rsidRPr="005E5BB9" w:rsidR="000F712B" w:rsidP="000F712B" w:rsidRDefault="000F712B">
            <w:pPr>
              <w:jc w:val="center"/>
              <w:rPr>
                <w:rFonts w:ascii="Times New Roman" w:hAnsi="Times New Roman" w:eastAsia="Times New Roman" w:cs="Times New Roman"/>
                <w:sz w:val="20"/>
                <w:szCs w:val="20"/>
              </w:rPr>
            </w:pPr>
            <w:r w:rsidRPr="005E5BB9">
              <w:rPr>
                <w:rFonts w:ascii="Times New Roman" w:hAnsi="Times New Roman" w:eastAsia="Times New Roman" w:cs="Times New Roman"/>
                <w:sz w:val="20"/>
                <w:szCs w:val="20"/>
              </w:rPr>
              <w:t>18/07/2011</w:t>
            </w:r>
          </w:p>
          <w:p w:rsidRPr="005E5BB9" w:rsidR="000F712B" w:rsidP="000F712B" w:rsidRDefault="000F712B">
            <w:pPr>
              <w:jc w:val="center"/>
              <w:rPr>
                <w:rFonts w:ascii="Times New Roman" w:hAnsi="Times New Roman" w:eastAsia="Times New Roman" w:cs="Times New Roman"/>
                <w:sz w:val="20"/>
                <w:szCs w:val="20"/>
              </w:rPr>
            </w:pPr>
          </w:p>
          <w:p w:rsidRPr="005E5BB9" w:rsidR="000F712B" w:rsidP="000F712B" w:rsidRDefault="000F712B">
            <w:pPr>
              <w:jc w:val="center"/>
              <w:rPr>
                <w:rFonts w:ascii="Times New Roman" w:hAnsi="Times New Roman" w:eastAsia="Times New Roman" w:cs="Times New Roman"/>
                <w:sz w:val="20"/>
                <w:szCs w:val="20"/>
              </w:rPr>
            </w:pPr>
            <w:r w:rsidRPr="005E5BB9">
              <w:rPr>
                <w:rFonts w:ascii="Times New Roman" w:hAnsi="Times New Roman" w:eastAsia="Times New Roman" w:cs="Times New Roman"/>
                <w:sz w:val="20"/>
                <w:szCs w:val="20"/>
              </w:rPr>
              <w:t>RUB 3,000 (non</w:t>
            </w:r>
            <w:r w:rsidRPr="005E5BB9">
              <w:rPr>
                <w:rFonts w:ascii="Times New Roman" w:hAnsi="Times New Roman" w:eastAsia="Times New Roman" w:cs="Times New Roman"/>
                <w:sz w:val="20"/>
                <w:szCs w:val="20"/>
              </w:rPr>
              <w:noBreakHyphen/>
              <w:t>unenforced)</w:t>
            </w:r>
          </w:p>
        </w:tc>
        <w:tc>
          <w:tcPr>
            <w:tcW w:w="3119" w:type="dxa"/>
          </w:tcPr>
          <w:p w:rsidRPr="005E5BB9" w:rsidR="000F712B" w:rsidP="000F712B" w:rsidRDefault="000F712B">
            <w:pPr>
              <w:jc w:val="center"/>
              <w:rPr>
                <w:sz w:val="20"/>
                <w:szCs w:val="20"/>
              </w:rPr>
            </w:pPr>
            <w:r w:rsidRPr="005E5BB9">
              <w:rPr>
                <w:sz w:val="20"/>
                <w:szCs w:val="20"/>
              </w:rPr>
              <w:t>RUB 288,289 (EUR 3,400) (pecuniary damage)</w:t>
            </w:r>
          </w:p>
          <w:p w:rsidRPr="005E5BB9" w:rsidR="000F712B" w:rsidP="000F712B" w:rsidRDefault="000F712B">
            <w:pPr>
              <w:jc w:val="center"/>
              <w:rPr>
                <w:sz w:val="20"/>
                <w:szCs w:val="20"/>
                <w:lang w:val="en-US"/>
              </w:rPr>
            </w:pPr>
            <w:r w:rsidRPr="005E5BB9">
              <w:rPr>
                <w:sz w:val="20"/>
                <w:szCs w:val="20"/>
                <w:lang w:val="en-US"/>
              </w:rPr>
              <w:t>EUR 13,000 (non-pecuniary damage)</w:t>
            </w:r>
          </w:p>
          <w:p w:rsidRPr="005E5BB9" w:rsidR="000F712B" w:rsidP="000F712B" w:rsidRDefault="000F712B">
            <w:pPr>
              <w:jc w:val="center"/>
              <w:rPr>
                <w:sz w:val="20"/>
                <w:szCs w:val="20"/>
                <w:lang w:val="fr-FR"/>
              </w:rPr>
            </w:pPr>
            <w:r w:rsidRPr="005E5BB9">
              <w:rPr>
                <w:sz w:val="20"/>
                <w:szCs w:val="20"/>
                <w:lang w:val="fr-FR"/>
              </w:rPr>
              <w:t>EUR 300</w:t>
            </w:r>
          </w:p>
          <w:p w:rsidRPr="005E5BB9" w:rsidR="000F712B" w:rsidP="000F712B" w:rsidRDefault="000F712B">
            <w:pPr>
              <w:jc w:val="center"/>
              <w:rPr>
                <w:sz w:val="20"/>
                <w:szCs w:val="20"/>
                <w:lang w:val="fr-FR"/>
              </w:rPr>
            </w:pPr>
          </w:p>
        </w:tc>
      </w:tr>
    </w:tbl>
    <w:p w:rsidRPr="005E5BB9" w:rsidR="002A613A" w:rsidP="005E5BB9" w:rsidRDefault="002A613A"/>
    <w:sectPr w:rsidRPr="005E5BB9" w:rsidR="002A613A" w:rsidSect="003E0374">
      <w:headerReference w:type="even" r:id="rId20"/>
      <w:headerReference w:type="default" r:id="rId21"/>
      <w:footerReference w:type="even" r:id="rId22"/>
      <w:footerReference w:type="default" r:id="rId23"/>
      <w:headerReference w:type="first" r:id="rId24"/>
      <w:footerReference w:type="first" r:id="rId25"/>
      <w:footnotePr>
        <w:numRestart w:val="eachSect"/>
      </w:foot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7A31" w:rsidRPr="00085457" w:rsidRDefault="001B7A31" w:rsidP="0098410D">
      <w:r w:rsidRPr="00085457">
        <w:separator/>
      </w:r>
    </w:p>
  </w:endnote>
  <w:endnote w:type="continuationSeparator" w:id="0">
    <w:p w:rsidR="001B7A31" w:rsidRPr="00085457" w:rsidRDefault="001B7A31"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0F68" w:rsidRDefault="00820F68">
    <w:pPr>
      <w:pStyle w:val="Foo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7A31" w:rsidRPr="00150BFA" w:rsidRDefault="001B7A31" w:rsidP="0020718E">
    <w:pPr>
      <w:jc w:val="center"/>
    </w:pPr>
    <w:r>
      <w:rPr>
        <w:noProof/>
        <w:lang w:val="en-US" w:eastAsia="ja-JP"/>
      </w:rPr>
      <w:drawing>
        <wp:inline distT="0" distB="0" distL="0" distR="0" wp14:anchorId="6A0DE8E9" wp14:editId="32AD2D14">
          <wp:extent cx="771525" cy="619125"/>
          <wp:effectExtent l="0" t="0" r="9525" b="9525"/>
          <wp:docPr id="24" name="Picture 2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0F68" w:rsidRDefault="00820F68">
    <w:pPr>
      <w:pStyle w:val="Footer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213687">
    <w:pPr>
      <w:pStyle w:val="Footer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213687" w:rsidP="00AF12C5">
    <w:pPr>
      <w:pStyle w:val="Footer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0374" w:rsidRDefault="003E0374">
    <w:pPr>
      <w:pStyle w:val="Footer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0374" w:rsidRDefault="003E0374">
    <w:pPr>
      <w:pStyle w:val="Footer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0374" w:rsidRPr="000B7195" w:rsidRDefault="003E0374" w:rsidP="00AF12C5">
    <w:pPr>
      <w:pStyle w:val="Footer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0374" w:rsidRDefault="003E0374">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7A31" w:rsidRPr="00085457" w:rsidRDefault="001B7A31" w:rsidP="0098410D">
      <w:r w:rsidRPr="00085457">
        <w:separator/>
      </w:r>
    </w:p>
  </w:footnote>
  <w:footnote w:type="continuationSeparator" w:id="0">
    <w:p w:rsidR="001B7A31" w:rsidRPr="00085457" w:rsidRDefault="001B7A31"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0F68" w:rsidRDefault="00820F6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7A31" w:rsidRPr="00A45145" w:rsidRDefault="001B7A31" w:rsidP="00A45145">
    <w:pPr>
      <w:jc w:val="center"/>
    </w:pPr>
    <w:r>
      <w:rPr>
        <w:noProof/>
        <w:lang w:val="en-US" w:eastAsia="ja-JP"/>
      </w:rPr>
      <w:drawing>
        <wp:inline distT="0" distB="0" distL="0" distR="0" wp14:anchorId="7D4ED2BF" wp14:editId="53F7F20E">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7A31" w:rsidRPr="00A45145" w:rsidRDefault="001B7A31" w:rsidP="00A45145">
    <w:pPr>
      <w:jc w:val="center"/>
    </w:pPr>
    <w:r>
      <w:rPr>
        <w:noProof/>
        <w:lang w:val="en-US" w:eastAsia="ja-JP"/>
      </w:rPr>
      <w:drawing>
        <wp:inline distT="0" distB="0" distL="0" distR="0" wp14:anchorId="38A72A76" wp14:editId="0014D4AD">
          <wp:extent cx="2962275" cy="1219200"/>
          <wp:effectExtent l="0" t="0" r="9525" b="0"/>
          <wp:docPr id="21" name="Picture 2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1B7A31" w:rsidP="004D0EC7">
    <w:pPr>
      <w:pStyle w:val="JuHeader"/>
    </w:pPr>
    <w:r>
      <w:rPr>
        <w:rStyle w:val="PageNumber"/>
      </w:rPr>
      <w:fldChar w:fldCharType="begin"/>
    </w:r>
    <w:r>
      <w:rPr>
        <w:rStyle w:val="PageNumber"/>
      </w:rPr>
      <w:instrText xml:space="preserve"> PAGE </w:instrText>
    </w:r>
    <w:r>
      <w:rPr>
        <w:rStyle w:val="PageNumber"/>
      </w:rPr>
      <w:fldChar w:fldCharType="separate"/>
    </w:r>
    <w:r w:rsidR="005E5BB9">
      <w:rPr>
        <w:rStyle w:val="PageNumber"/>
        <w:noProof/>
      </w:rPr>
      <w:t>4</w:t>
    </w:r>
    <w:r>
      <w:rPr>
        <w:rStyle w:val="PageNumber"/>
      </w:rPr>
      <w:fldChar w:fldCharType="end"/>
    </w:r>
    <w:r w:rsidR="00882CD5" w:rsidRPr="004D0EC7">
      <w:tab/>
    </w:r>
    <w:r w:rsidR="00820F68" w:rsidRPr="00820F68">
      <w:t>KONSTANTINOV AND OTHERS v. RUSSIA (MERITS) 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JuHeader"/>
    </w:pPr>
    <w:r w:rsidRPr="00882CD5">
      <w:tab/>
    </w:r>
    <w:r w:rsidR="00820F68" w:rsidRPr="00820F68">
      <w:t>KONSTANTINOV AND OTHERS v. RUSSIA (MERITS) JUDGMENT</w:t>
    </w:r>
    <w:r w:rsidRPr="00882CD5">
      <w:tab/>
    </w:r>
    <w:r w:rsidR="001B7A31">
      <w:rPr>
        <w:rStyle w:val="PageNumber"/>
      </w:rPr>
      <w:fldChar w:fldCharType="begin"/>
    </w:r>
    <w:r w:rsidR="001B7A31">
      <w:rPr>
        <w:rStyle w:val="PageNumber"/>
      </w:rPr>
      <w:instrText xml:space="preserve"> PAGE </w:instrText>
    </w:r>
    <w:r w:rsidR="001B7A31">
      <w:rPr>
        <w:rStyle w:val="PageNumber"/>
      </w:rPr>
      <w:fldChar w:fldCharType="separate"/>
    </w:r>
    <w:r w:rsidR="005E5BB9">
      <w:rPr>
        <w:rStyle w:val="PageNumber"/>
        <w:noProof/>
      </w:rPr>
      <w:t>5</w:t>
    </w:r>
    <w:r w:rsidR="001B7A31">
      <w:rPr>
        <w:rStyle w:val="PageNumber"/>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0374" w:rsidRPr="00A45145" w:rsidRDefault="003E0374" w:rsidP="00A45145">
    <w:pPr>
      <w:jc w:val="center"/>
    </w:pPr>
    <w:r>
      <w:rPr>
        <w:noProof/>
        <w:lang w:val="en-US" w:eastAsia="ja-JP"/>
      </w:rPr>
      <w:drawing>
        <wp:inline distT="0" distB="0" distL="0" distR="0" wp14:anchorId="3A2FA23A" wp14:editId="506F5972">
          <wp:extent cx="2962275" cy="1219200"/>
          <wp:effectExtent l="0" t="0" r="9525" b="0"/>
          <wp:docPr id="27" name="Picture 2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3E0374" w:rsidRPr="00085457" w:rsidRDefault="003E0374"/>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0374" w:rsidRPr="004D0EC7" w:rsidRDefault="003E0374" w:rsidP="00B15EFA">
    <w:pPr>
      <w:pStyle w:val="JuHeader"/>
      <w:tabs>
        <w:tab w:val="clear" w:pos="3686"/>
        <w:tab w:val="clear" w:pos="7371"/>
        <w:tab w:val="center" w:pos="6236"/>
      </w:tabs>
      <w:ind w:left="-1418"/>
    </w:pPr>
    <w:r>
      <w:rPr>
        <w:rStyle w:val="PageNumber"/>
      </w:rPr>
      <w:fldChar w:fldCharType="begin"/>
    </w:r>
    <w:r>
      <w:rPr>
        <w:rStyle w:val="PageNumber"/>
      </w:rPr>
      <w:instrText xml:space="preserve"> PAGE </w:instrText>
    </w:r>
    <w:r>
      <w:rPr>
        <w:rStyle w:val="PageNumber"/>
      </w:rPr>
      <w:fldChar w:fldCharType="separate"/>
    </w:r>
    <w:r w:rsidR="005E5BB9">
      <w:rPr>
        <w:rStyle w:val="PageNumber"/>
        <w:noProof/>
      </w:rPr>
      <w:t>6</w:t>
    </w:r>
    <w:r>
      <w:rPr>
        <w:rStyle w:val="PageNumber"/>
      </w:rPr>
      <w:fldChar w:fldCharType="end"/>
    </w:r>
    <w:r w:rsidRPr="004D0EC7">
      <w:tab/>
    </w:r>
    <w:r w:rsidR="00820F68" w:rsidRPr="00820F68">
      <w:t>KONSTANTINOV AND OTHERS v. RUSSIA (MERITS) JUDGMENT</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0374" w:rsidRPr="00882CD5" w:rsidRDefault="003E0374" w:rsidP="003E0374">
    <w:pPr>
      <w:pStyle w:val="JuHeader"/>
      <w:tabs>
        <w:tab w:val="clear" w:pos="3686"/>
        <w:tab w:val="clear" w:pos="7371"/>
        <w:tab w:val="center" w:pos="6236"/>
        <w:tab w:val="right" w:pos="12472"/>
      </w:tabs>
    </w:pPr>
    <w:r w:rsidRPr="00882CD5">
      <w:tab/>
    </w:r>
    <w:r>
      <w:t>KONSTANTINOV v. RUSSIA</w:t>
    </w:r>
    <w:r w:rsidRPr="00882CD5">
      <w:t xml:space="preserve"> JUDGMENT</w:t>
    </w:r>
    <w:r w:rsidRPr="00882CD5">
      <w:tab/>
    </w:r>
    <w:r>
      <w:rPr>
        <w:rStyle w:val="PageNumber"/>
      </w:rPr>
      <w:fldChar w:fldCharType="begin"/>
    </w:r>
    <w:r>
      <w:rPr>
        <w:rStyle w:val="PageNumber"/>
      </w:rPr>
      <w:instrText xml:space="preserve"> PAGE </w:instrText>
    </w:r>
    <w:r>
      <w:rPr>
        <w:rStyle w:val="PageNumber"/>
      </w:rPr>
      <w:fldChar w:fldCharType="separate"/>
    </w:r>
    <w:r w:rsidR="00B15EFA">
      <w:rPr>
        <w:rStyle w:val="PageNumber"/>
        <w:noProof/>
      </w:rPr>
      <w:t>7</w:t>
    </w:r>
    <w:r>
      <w:rPr>
        <w:rStyle w:val="PageNumber"/>
      </w:rPr>
      <w:fldChar w:fldCharType="end"/>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0374" w:rsidRPr="00A45145" w:rsidRDefault="003E0374" w:rsidP="00A45145">
    <w:pPr>
      <w:jc w:val="center"/>
    </w:pPr>
    <w:r>
      <w:rPr>
        <w:noProof/>
        <w:lang w:val="en-US" w:eastAsia="ja-JP"/>
      </w:rPr>
      <w:drawing>
        <wp:inline distT="0" distB="0" distL="0" distR="0" wp14:anchorId="263E2022" wp14:editId="38638707">
          <wp:extent cx="2962275" cy="1219200"/>
          <wp:effectExtent l="0" t="0" r="9525" b="0"/>
          <wp:docPr id="26" name="Picture 2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3E0374" w:rsidRPr="00085457" w:rsidRDefault="003E037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163F153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3DB3476D"/>
    <w:multiLevelType w:val="hybridMultilevel"/>
    <w:tmpl w:val="5C9E7A48"/>
    <w:lvl w:ilvl="0" w:tplc="BB0EC0FC">
      <w:start w:val="1"/>
      <w:numFmt w:val="decimal"/>
      <w:lvlText w:val="%1."/>
      <w:lvlJc w:val="left"/>
      <w:pPr>
        <w:tabs>
          <w:tab w:val="num" w:pos="720"/>
        </w:tabs>
        <w:ind w:left="720" w:hanging="360"/>
      </w:pPr>
      <w:rPr>
        <w:b w:val="0"/>
        <w:bCs/>
        <w:sz w:val="20"/>
        <w:szCs w:val="20"/>
      </w:rPr>
    </w:lvl>
    <w:lvl w:ilvl="1" w:tplc="7214FB80" w:tentative="1">
      <w:start w:val="1"/>
      <w:numFmt w:val="lowerLetter"/>
      <w:lvlText w:val="%2."/>
      <w:lvlJc w:val="left"/>
      <w:pPr>
        <w:tabs>
          <w:tab w:val="num" w:pos="1440"/>
        </w:tabs>
        <w:ind w:left="1440" w:hanging="360"/>
      </w:pPr>
    </w:lvl>
    <w:lvl w:ilvl="2" w:tplc="12E09B46" w:tentative="1">
      <w:start w:val="1"/>
      <w:numFmt w:val="lowerRoman"/>
      <w:lvlText w:val="%3."/>
      <w:lvlJc w:val="right"/>
      <w:pPr>
        <w:tabs>
          <w:tab w:val="num" w:pos="2160"/>
        </w:tabs>
        <w:ind w:left="2160" w:hanging="180"/>
      </w:pPr>
    </w:lvl>
    <w:lvl w:ilvl="3" w:tplc="3D16FB2A" w:tentative="1">
      <w:start w:val="1"/>
      <w:numFmt w:val="decimal"/>
      <w:lvlText w:val="%4."/>
      <w:lvlJc w:val="left"/>
      <w:pPr>
        <w:tabs>
          <w:tab w:val="num" w:pos="2880"/>
        </w:tabs>
        <w:ind w:left="2880" w:hanging="360"/>
      </w:pPr>
    </w:lvl>
    <w:lvl w:ilvl="4" w:tplc="2B3CEF7C" w:tentative="1">
      <w:start w:val="1"/>
      <w:numFmt w:val="lowerLetter"/>
      <w:lvlText w:val="%5."/>
      <w:lvlJc w:val="left"/>
      <w:pPr>
        <w:tabs>
          <w:tab w:val="num" w:pos="3600"/>
        </w:tabs>
        <w:ind w:left="3600" w:hanging="360"/>
      </w:pPr>
    </w:lvl>
    <w:lvl w:ilvl="5" w:tplc="08D086C4" w:tentative="1">
      <w:start w:val="1"/>
      <w:numFmt w:val="lowerRoman"/>
      <w:lvlText w:val="%6."/>
      <w:lvlJc w:val="right"/>
      <w:pPr>
        <w:tabs>
          <w:tab w:val="num" w:pos="4320"/>
        </w:tabs>
        <w:ind w:left="4320" w:hanging="180"/>
      </w:pPr>
    </w:lvl>
    <w:lvl w:ilvl="6" w:tplc="84808974" w:tentative="1">
      <w:start w:val="1"/>
      <w:numFmt w:val="decimal"/>
      <w:lvlText w:val="%7."/>
      <w:lvlJc w:val="left"/>
      <w:pPr>
        <w:tabs>
          <w:tab w:val="num" w:pos="5040"/>
        </w:tabs>
        <w:ind w:left="5040" w:hanging="360"/>
      </w:pPr>
    </w:lvl>
    <w:lvl w:ilvl="7" w:tplc="B9E88608" w:tentative="1">
      <w:start w:val="1"/>
      <w:numFmt w:val="lowerLetter"/>
      <w:lvlText w:val="%8."/>
      <w:lvlJc w:val="left"/>
      <w:pPr>
        <w:tabs>
          <w:tab w:val="num" w:pos="5760"/>
        </w:tabs>
        <w:ind w:left="5760" w:hanging="360"/>
      </w:pPr>
    </w:lvl>
    <w:lvl w:ilvl="8" w:tplc="8AB49DE8" w:tentative="1">
      <w:start w:val="1"/>
      <w:numFmt w:val="lowerRoman"/>
      <w:lvlText w:val="%9."/>
      <w:lvlJc w:val="right"/>
      <w:pPr>
        <w:tabs>
          <w:tab w:val="num" w:pos="6480"/>
        </w:tabs>
        <w:ind w:left="6480" w:hanging="180"/>
      </w:pPr>
    </w:lvl>
  </w:abstractNum>
  <w:abstractNum w:abstractNumId="15"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15:restartNumberingAfterBreak="0">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15:restartNumberingAfterBreak="0">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9"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8"/>
  </w:num>
  <w:num w:numId="2">
    <w:abstractNumId w:val="13"/>
  </w:num>
  <w:num w:numId="3">
    <w:abstractNumId w:val="15"/>
  </w:num>
  <w:num w:numId="4">
    <w:abstractNumId w:val="11"/>
  </w:num>
  <w:num w:numId="5">
    <w:abstractNumId w:val="10"/>
  </w:num>
  <w:num w:numId="6">
    <w:abstractNumId w:val="16"/>
  </w:num>
  <w:num w:numId="7">
    <w:abstractNumId w:val="12"/>
  </w:num>
  <w:num w:numId="8">
    <w:abstractNumId w:val="17"/>
  </w:num>
  <w:num w:numId="9">
    <w:abstractNumId w:val="1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9"/>
  </w:num>
  <w:num w:numId="20">
    <w:abstractNumId w:val="1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6625"/>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3"/>
    <w:docVar w:name="EMM" w:val="0"/>
    <w:docVar w:name="NBApplication" w:val="3"/>
    <w:docVar w:name="NBEMMDOC" w:val="0"/>
  </w:docVars>
  <w:rsids>
    <w:rsidRoot w:val="001B7A31"/>
    <w:rsid w:val="000041F8"/>
    <w:rsid w:val="000042A8"/>
    <w:rsid w:val="00004308"/>
    <w:rsid w:val="00005BF0"/>
    <w:rsid w:val="00007154"/>
    <w:rsid w:val="000103AE"/>
    <w:rsid w:val="00011D69"/>
    <w:rsid w:val="00012AD3"/>
    <w:rsid w:val="00015C2D"/>
    <w:rsid w:val="00015F00"/>
    <w:rsid w:val="00022C1D"/>
    <w:rsid w:val="00026E5B"/>
    <w:rsid w:val="00034987"/>
    <w:rsid w:val="00041560"/>
    <w:rsid w:val="000602DF"/>
    <w:rsid w:val="00061B05"/>
    <w:rsid w:val="000632D5"/>
    <w:rsid w:val="000644EE"/>
    <w:rsid w:val="000815E7"/>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12B"/>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443A4"/>
    <w:rsid w:val="001561B6"/>
    <w:rsid w:val="00162A12"/>
    <w:rsid w:val="00166530"/>
    <w:rsid w:val="00170027"/>
    <w:rsid w:val="001832BD"/>
    <w:rsid w:val="001943B5"/>
    <w:rsid w:val="00195134"/>
    <w:rsid w:val="001A145B"/>
    <w:rsid w:val="001A674C"/>
    <w:rsid w:val="001B3B24"/>
    <w:rsid w:val="001B7A31"/>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335A"/>
    <w:rsid w:val="002052BC"/>
    <w:rsid w:val="00205F9F"/>
    <w:rsid w:val="00210338"/>
    <w:rsid w:val="002115FC"/>
    <w:rsid w:val="0021423C"/>
    <w:rsid w:val="00224ECA"/>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3413"/>
    <w:rsid w:val="00287AD5"/>
    <w:rsid w:val="002934D0"/>
    <w:rsid w:val="00293676"/>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90294"/>
    <w:rsid w:val="0039364F"/>
    <w:rsid w:val="00396686"/>
    <w:rsid w:val="0039778E"/>
    <w:rsid w:val="003B4941"/>
    <w:rsid w:val="003C5714"/>
    <w:rsid w:val="003C6B9F"/>
    <w:rsid w:val="003C6E2A"/>
    <w:rsid w:val="003D0299"/>
    <w:rsid w:val="003E0374"/>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6BFB"/>
    <w:rsid w:val="004A15C7"/>
    <w:rsid w:val="004B013B"/>
    <w:rsid w:val="004B112B"/>
    <w:rsid w:val="004B444E"/>
    <w:rsid w:val="004C01E4"/>
    <w:rsid w:val="004C086C"/>
    <w:rsid w:val="004C1F56"/>
    <w:rsid w:val="004C27BC"/>
    <w:rsid w:val="004C2F83"/>
    <w:rsid w:val="004C635B"/>
    <w:rsid w:val="004C6621"/>
    <w:rsid w:val="004D0EC7"/>
    <w:rsid w:val="004D15F3"/>
    <w:rsid w:val="004D4EF1"/>
    <w:rsid w:val="004D5311"/>
    <w:rsid w:val="004D5DCC"/>
    <w:rsid w:val="004D7E45"/>
    <w:rsid w:val="004F10AF"/>
    <w:rsid w:val="004F11A4"/>
    <w:rsid w:val="004F2389"/>
    <w:rsid w:val="004F304D"/>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08AC"/>
    <w:rsid w:val="005A1B9B"/>
    <w:rsid w:val="005A2E79"/>
    <w:rsid w:val="005A6751"/>
    <w:rsid w:val="005B092E"/>
    <w:rsid w:val="005B152C"/>
    <w:rsid w:val="005B1EE0"/>
    <w:rsid w:val="005B2B24"/>
    <w:rsid w:val="005B4425"/>
    <w:rsid w:val="005B4B94"/>
    <w:rsid w:val="005C3EE8"/>
    <w:rsid w:val="005D34F9"/>
    <w:rsid w:val="005D4190"/>
    <w:rsid w:val="005D67A3"/>
    <w:rsid w:val="005E2988"/>
    <w:rsid w:val="005E3085"/>
    <w:rsid w:val="005E5BB9"/>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3B5F"/>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0F68"/>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726E"/>
    <w:rsid w:val="00A204CF"/>
    <w:rsid w:val="00A21D2B"/>
    <w:rsid w:val="00A23D49"/>
    <w:rsid w:val="00A27004"/>
    <w:rsid w:val="00A308CE"/>
    <w:rsid w:val="00A30C29"/>
    <w:rsid w:val="00A34DD6"/>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5EFA"/>
    <w:rsid w:val="00B16095"/>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230"/>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1478"/>
    <w:rsid w:val="00D15ED0"/>
    <w:rsid w:val="00D164BF"/>
    <w:rsid w:val="00D21B3E"/>
    <w:rsid w:val="00D21FED"/>
    <w:rsid w:val="00D23048"/>
    <w:rsid w:val="00D24251"/>
    <w:rsid w:val="00D26E72"/>
    <w:rsid w:val="00D343E2"/>
    <w:rsid w:val="00D361A2"/>
    <w:rsid w:val="00D44C2E"/>
    <w:rsid w:val="00D45414"/>
    <w:rsid w:val="00D50A0A"/>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5E1E"/>
    <w:rsid w:val="00DA7B04"/>
    <w:rsid w:val="00DB36C2"/>
    <w:rsid w:val="00DC169B"/>
    <w:rsid w:val="00DC2AB9"/>
    <w:rsid w:val="00DC63F0"/>
    <w:rsid w:val="00DD37EA"/>
    <w:rsid w:val="00DD6EE5"/>
    <w:rsid w:val="00DE386C"/>
    <w:rsid w:val="00DE4D35"/>
    <w:rsid w:val="00DF098B"/>
    <w:rsid w:val="00DF11C4"/>
    <w:rsid w:val="00DF210C"/>
    <w:rsid w:val="00DF4B6A"/>
    <w:rsid w:val="00E02C09"/>
    <w:rsid w:val="00E04D59"/>
    <w:rsid w:val="00E07DA1"/>
    <w:rsid w:val="00E123CB"/>
    <w:rsid w:val="00E13B09"/>
    <w:rsid w:val="00E17DA2"/>
    <w:rsid w:val="00E20E13"/>
    <w:rsid w:val="00E21DBC"/>
    <w:rsid w:val="00E275D7"/>
    <w:rsid w:val="00E27DBE"/>
    <w:rsid w:val="00E32AB1"/>
    <w:rsid w:val="00E36C71"/>
    <w:rsid w:val="00E40404"/>
    <w:rsid w:val="00E4126A"/>
    <w:rsid w:val="00E42A06"/>
    <w:rsid w:val="00E459C6"/>
    <w:rsid w:val="00E47589"/>
    <w:rsid w:val="00E517EE"/>
    <w:rsid w:val="00E63EC7"/>
    <w:rsid w:val="00E64915"/>
    <w:rsid w:val="00E64D3A"/>
    <w:rsid w:val="00E661D4"/>
    <w:rsid w:val="00E70091"/>
    <w:rsid w:val="00E70D2E"/>
    <w:rsid w:val="00E720F5"/>
    <w:rsid w:val="00E76D47"/>
    <w:rsid w:val="00E827BC"/>
    <w:rsid w:val="00E849F7"/>
    <w:rsid w:val="00E90302"/>
    <w:rsid w:val="00E95C1E"/>
    <w:rsid w:val="00E97396"/>
    <w:rsid w:val="00EA185E"/>
    <w:rsid w:val="00EA592A"/>
    <w:rsid w:val="00EB14E4"/>
    <w:rsid w:val="00EB32A5"/>
    <w:rsid w:val="00EB34ED"/>
    <w:rsid w:val="00EB447C"/>
    <w:rsid w:val="00EB7BE0"/>
    <w:rsid w:val="00EC315E"/>
    <w:rsid w:val="00ED077C"/>
    <w:rsid w:val="00ED10A9"/>
    <w:rsid w:val="00ED1190"/>
    <w:rsid w:val="00ED6544"/>
    <w:rsid w:val="00EE0277"/>
    <w:rsid w:val="00EE2899"/>
    <w:rsid w:val="00EE3E00"/>
    <w:rsid w:val="00EE5DD2"/>
    <w:rsid w:val="00EF3DB4"/>
    <w:rsid w:val="00F00A79"/>
    <w:rsid w:val="00F00E86"/>
    <w:rsid w:val="00F07C1E"/>
    <w:rsid w:val="00F105DB"/>
    <w:rsid w:val="00F132BC"/>
    <w:rsid w:val="00F13D80"/>
    <w:rsid w:val="00F15B4D"/>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eastAsiaTheme="minorEastAsia" w:hAnsi="Tahom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
    <w:uiPriority w:val="29"/>
    <w:qFormat/>
    <w:rsid w:val="0051725A"/>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ECHR_Para_Quote"/>
    <w:basedOn w:val="NormalJustified"/>
    <w:uiPriority w:val="14"/>
    <w:qFormat/>
    <w:rsid w:val="0051725A"/>
    <w:pPr>
      <w:spacing w:before="120" w:after="120"/>
      <w:ind w:left="425" w:firstLine="142"/>
    </w:pPr>
    <w:rPr>
      <w:sz w:val="20"/>
    </w:rPr>
  </w:style>
  <w:style w:type="paragraph" w:customStyle="1" w:styleId="DecList">
    <w:name w:val="Dec_List"/>
    <w:aliases w:val="_List"/>
    <w:basedOn w:val="JuList"/>
    <w:uiPriority w:val="22"/>
    <w:rsid w:val="0051725A"/>
    <w:pPr>
      <w:numPr>
        <w:numId w:val="0"/>
      </w:numPr>
      <w:ind w:left="340"/>
    </w:pPr>
  </w:style>
  <w:style w:type="paragraph" w:customStyle="1" w:styleId="JuList">
    <w:name w:val="Ju_List"/>
    <w:aliases w:val="_List_1"/>
    <w:basedOn w:val="NormalJustified"/>
    <w:uiPriority w:val="23"/>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
    <w:basedOn w:val="Normal"/>
    <w:next w:val="JuQuot"/>
    <w:uiPriority w:val="20"/>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9"/>
    <w:rsid w:val="0051725A"/>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0">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
    <w:basedOn w:val="NormalJustified"/>
    <w:link w:val="JuParaChar"/>
    <w:uiPriority w:val="8"/>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eastAsiaTheme="minorEastAsia" w:hAnsi="Consolas"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
    <w:name w:val="List"/>
    <w:basedOn w:val="Normal"/>
    <w:uiPriority w:val="99"/>
    <w:semiHidden/>
    <w:rsid w:val="0051725A"/>
    <w:pPr>
      <w:ind w:left="283" w:hanging="283"/>
      <w:contextualSpacing/>
    </w:pPr>
  </w:style>
  <w:style w:type="paragraph" w:styleId="List2">
    <w:name w:val="List 2"/>
    <w:basedOn w:val="Normal"/>
    <w:uiPriority w:val="99"/>
    <w:semiHidden/>
    <w:rsid w:val="0051725A"/>
    <w:pPr>
      <w:ind w:left="566" w:hanging="283"/>
      <w:contextualSpacing/>
    </w:pPr>
  </w:style>
  <w:style w:type="paragraph" w:styleId="List3">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Text">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1725A"/>
    <w:rPr>
      <w:rFonts w:ascii="Consolas" w:eastAsiaTheme="minorEastAsia" w:hAnsi="Consolas"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JuParaChar">
    <w:name w:val="Ju_Para Char"/>
    <w:aliases w:val="_Para Char"/>
    <w:link w:val="JuPara"/>
    <w:uiPriority w:val="8"/>
    <w:rsid w:val="001B7A31"/>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customXml" Target="../customXml/item2.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theme" Target="theme/theme1.xml"/><Relationship Id="rId30" Type="http://schemas.openxmlformats.org/officeDocument/2006/relationships/customXml" Target="../customXml/item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B215923-E38B-472B-BF34-4322886C0898}">
  <ds:schemaRefs>
    <ds:schemaRef ds:uri="http://schemas.openxmlformats.org/officeDocument/2006/bibliography"/>
  </ds:schemaRefs>
</ds:datastoreItem>
</file>

<file path=customXml/itemProps2.xml><?xml version="1.0" encoding="utf-8"?>
<ds:datastoreItem xmlns:ds="http://schemas.openxmlformats.org/officeDocument/2006/customXml" ds:itemID="{9ECC2D6B-4F00-4827-9653-6B0351A263AA}"/>
</file>

<file path=customXml/itemProps3.xml><?xml version="1.0" encoding="utf-8"?>
<ds:datastoreItem xmlns:ds="http://schemas.openxmlformats.org/officeDocument/2006/customXml" ds:itemID="{C3C4ECA5-7B32-4BB4-86D6-78D69164DA44}"/>
</file>

<file path=customXml/itemProps4.xml><?xml version="1.0" encoding="utf-8"?>
<ds:datastoreItem xmlns:ds="http://schemas.openxmlformats.org/officeDocument/2006/customXml" ds:itemID="{F30254EB-0CA4-4BDC-9810-23B3F3FF0680}"/>
</file>

<file path=docProps/app.xml><?xml version="1.0" encoding="utf-8"?>
<Properties xmlns="http://schemas.openxmlformats.org/officeDocument/2006/extended-properties" xmlns:vt="http://schemas.openxmlformats.org/officeDocument/2006/docPropsVTypes">
  <Template>Normal.dotm</Template>
  <TotalTime>0</TotalTime>
  <Pages>1</Pages>
  <Words>1698</Words>
  <Characters>9684</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11360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2021-05-18T14:56:00Z</dcterms:created>
  <dcterms:modified xsi:type="dcterms:W3CDTF">2021-05-18T14:56:00Z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15364/11</vt:lpwstr>
  </property>
  <property fmtid="{D5CDD505-2E9C-101B-9397-08002B2CF9AE}" pid="4" name="CASEID">
    <vt:lpwstr>704982</vt:lpwstr>
  </property>
  <property fmtid="{D5CDD505-2E9C-101B-9397-08002B2CF9AE}" pid="5" name="ContentTypeId">
    <vt:lpwstr>0x010100558EB02BDB9E204AB350EDD385B68E10</vt:lpwstr>
  </property>
</Properties>
</file>