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359DD" w:rsidR="00D420F3" w:rsidP="00A359DD" w:rsidRDefault="00D420F3">
      <w:pPr>
        <w:pStyle w:val="ECHRDecisionBody"/>
        <w:jc w:val="center"/>
      </w:pPr>
      <w:bookmarkStart w:name="_GoBack" w:id="0"/>
      <w:bookmarkEnd w:id="0"/>
    </w:p>
    <w:p w:rsidRPr="00A359DD" w:rsidR="00B506B7" w:rsidP="00A359DD" w:rsidRDefault="00B506B7">
      <w:pPr>
        <w:pStyle w:val="ECHRDecisionBody"/>
        <w:jc w:val="center"/>
      </w:pPr>
    </w:p>
    <w:p w:rsidRPr="00A359DD" w:rsidR="00B506B7" w:rsidP="00A359DD" w:rsidRDefault="00B506B7">
      <w:pPr>
        <w:pStyle w:val="ECHRDecisionBody"/>
        <w:jc w:val="center"/>
      </w:pPr>
    </w:p>
    <w:p w:rsidRPr="00A359DD" w:rsidR="00D420F3" w:rsidP="00A359DD" w:rsidRDefault="00FC4F82">
      <w:pPr>
        <w:jc w:val="center"/>
      </w:pPr>
      <w:r w:rsidRPr="00A359DD">
        <w:t>THIRD SECTION</w:t>
      </w:r>
    </w:p>
    <w:p w:rsidR="00D420F3" w:rsidP="00A359DD" w:rsidRDefault="00D420F3">
      <w:pPr>
        <w:jc w:val="center"/>
      </w:pPr>
    </w:p>
    <w:p w:rsidR="00A359DD" w:rsidP="00A359DD" w:rsidRDefault="00A359DD">
      <w:pPr>
        <w:jc w:val="center"/>
      </w:pPr>
    </w:p>
    <w:p w:rsidR="00A359DD" w:rsidP="00A359DD" w:rsidRDefault="00A359DD">
      <w:pPr>
        <w:jc w:val="center"/>
      </w:pPr>
    </w:p>
    <w:p w:rsidRPr="00A359DD" w:rsidR="00A359DD" w:rsidP="00A359DD" w:rsidRDefault="00A359DD">
      <w:pPr>
        <w:jc w:val="center"/>
      </w:pPr>
    </w:p>
    <w:p w:rsidRPr="00A359DD" w:rsidR="00B506B7" w:rsidP="00A359DD" w:rsidRDefault="00B506B7">
      <w:pPr>
        <w:jc w:val="center"/>
      </w:pPr>
    </w:p>
    <w:p w:rsidRPr="00A359DD" w:rsidR="00B506B7" w:rsidP="00A359DD" w:rsidRDefault="00B506B7">
      <w:pPr>
        <w:jc w:val="center"/>
      </w:pPr>
    </w:p>
    <w:p w:rsidRPr="00A359DD" w:rsidR="00B506B7" w:rsidP="00A359DD" w:rsidRDefault="00B506B7">
      <w:pPr>
        <w:jc w:val="center"/>
      </w:pPr>
    </w:p>
    <w:p w:rsidRPr="00A359DD" w:rsidR="00B506B7" w:rsidP="00A359DD" w:rsidRDefault="00B506B7">
      <w:pPr>
        <w:jc w:val="center"/>
      </w:pPr>
    </w:p>
    <w:p w:rsidRPr="00A359DD" w:rsidR="00B506B7" w:rsidP="00A359DD" w:rsidRDefault="00B506B7">
      <w:pPr>
        <w:jc w:val="center"/>
      </w:pPr>
    </w:p>
    <w:p w:rsidRPr="00A359DD" w:rsidR="00D420F3" w:rsidP="00A359DD" w:rsidRDefault="0077175D">
      <w:pPr>
        <w:jc w:val="center"/>
        <w:rPr>
          <w:b/>
        </w:rPr>
      </w:pPr>
      <w:bookmarkStart w:name="To" w:id="1"/>
      <w:r w:rsidRPr="00A359DD">
        <w:rPr>
          <w:b/>
        </w:rPr>
        <w:t xml:space="preserve">CASE OF </w:t>
      </w:r>
      <w:bookmarkEnd w:id="1"/>
      <w:r w:rsidRPr="00A359DD" w:rsidR="00FC4F82">
        <w:rPr>
          <w:b/>
        </w:rPr>
        <w:t>VANYUKOVA v. RUSSIA</w:t>
      </w:r>
    </w:p>
    <w:p w:rsidRPr="00A359DD" w:rsidR="00D420F3" w:rsidP="00A359DD" w:rsidRDefault="00D420F3">
      <w:pPr>
        <w:jc w:val="center"/>
      </w:pPr>
    </w:p>
    <w:p w:rsidRPr="00A359DD" w:rsidR="00D420F3" w:rsidP="00A359DD" w:rsidRDefault="0077175D">
      <w:pPr>
        <w:jc w:val="center"/>
        <w:rPr>
          <w:i/>
        </w:rPr>
      </w:pPr>
      <w:r w:rsidRPr="00A359DD">
        <w:rPr>
          <w:i/>
        </w:rPr>
        <w:t>(</w:t>
      </w:r>
      <w:r w:rsidRPr="00A359DD" w:rsidR="00FC4F82">
        <w:rPr>
          <w:i/>
        </w:rPr>
        <w:t>Application no. 22764/12</w:t>
      </w:r>
      <w:r w:rsidRPr="00A359DD">
        <w:rPr>
          <w:i/>
        </w:rPr>
        <w:t>)</w:t>
      </w:r>
    </w:p>
    <w:p w:rsidRPr="00A359DD" w:rsidR="00D420F3" w:rsidP="00A359DD" w:rsidRDefault="00D420F3">
      <w:pPr>
        <w:jc w:val="center"/>
      </w:pPr>
    </w:p>
    <w:p w:rsidRPr="00A359DD" w:rsidR="00D420F3" w:rsidP="00A359DD" w:rsidRDefault="00D420F3">
      <w:pPr>
        <w:jc w:val="center"/>
      </w:pPr>
    </w:p>
    <w:p w:rsidRPr="00A359DD" w:rsidR="00D420F3" w:rsidP="00A359DD" w:rsidRDefault="00D420F3">
      <w:pPr>
        <w:jc w:val="center"/>
      </w:pPr>
    </w:p>
    <w:p w:rsidRPr="00A359DD" w:rsidR="00B506B7" w:rsidP="00A359DD" w:rsidRDefault="00B506B7">
      <w:pPr>
        <w:jc w:val="center"/>
      </w:pPr>
    </w:p>
    <w:p w:rsidRPr="00A359DD" w:rsidR="00B506B7" w:rsidP="00A359DD" w:rsidRDefault="00B506B7">
      <w:pPr>
        <w:jc w:val="center"/>
      </w:pPr>
    </w:p>
    <w:p w:rsidRPr="00A359DD" w:rsidR="00B506B7" w:rsidP="00A359DD" w:rsidRDefault="00B506B7">
      <w:pPr>
        <w:jc w:val="center"/>
      </w:pPr>
    </w:p>
    <w:p w:rsidRPr="00A359DD" w:rsidR="00D420F3" w:rsidP="00A359DD" w:rsidRDefault="00D420F3">
      <w:pPr>
        <w:jc w:val="center"/>
      </w:pPr>
    </w:p>
    <w:p w:rsidRPr="00A359DD" w:rsidR="00D420F3" w:rsidP="00A359DD" w:rsidRDefault="00D420F3">
      <w:pPr>
        <w:jc w:val="center"/>
      </w:pPr>
    </w:p>
    <w:p w:rsidRPr="00A359DD" w:rsidR="00D420F3" w:rsidP="00A359DD" w:rsidRDefault="00B506B7">
      <w:pPr>
        <w:jc w:val="center"/>
        <w:rPr>
          <w:szCs w:val="24"/>
        </w:rPr>
      </w:pPr>
      <w:r w:rsidRPr="00A359DD">
        <w:rPr>
          <w:szCs w:val="24"/>
        </w:rPr>
        <w:t>JUDGMENT</w:t>
      </w:r>
    </w:p>
    <w:p w:rsidRPr="00A359DD" w:rsidR="00CB20C3" w:rsidP="00A359DD" w:rsidRDefault="00CB20C3">
      <w:pPr>
        <w:jc w:val="center"/>
        <w:rPr>
          <w:szCs w:val="24"/>
        </w:rPr>
      </w:pPr>
    </w:p>
    <w:p w:rsidR="00B506B7" w:rsidP="00A359DD" w:rsidRDefault="00B506B7">
      <w:pPr>
        <w:jc w:val="center"/>
        <w:rPr>
          <w:szCs w:val="24"/>
        </w:rPr>
      </w:pPr>
    </w:p>
    <w:p w:rsidRPr="00A359DD" w:rsidR="00A359DD" w:rsidP="00A359DD" w:rsidRDefault="00A359DD">
      <w:pPr>
        <w:jc w:val="center"/>
        <w:rPr>
          <w:szCs w:val="24"/>
        </w:rPr>
      </w:pPr>
    </w:p>
    <w:p w:rsidRPr="00A359DD" w:rsidR="00F72237" w:rsidP="00A359DD" w:rsidRDefault="00F72237">
      <w:pPr>
        <w:jc w:val="center"/>
      </w:pPr>
    </w:p>
    <w:p w:rsidRPr="00A359DD" w:rsidR="00B506B7" w:rsidP="00A359DD" w:rsidRDefault="00B506B7">
      <w:pPr>
        <w:pStyle w:val="JuCase"/>
        <w:ind w:firstLine="0"/>
        <w:jc w:val="center"/>
        <w:rPr>
          <w:b w:val="0"/>
        </w:rPr>
      </w:pPr>
    </w:p>
    <w:p w:rsidRPr="00A359DD" w:rsidR="00B506B7" w:rsidP="00A359DD" w:rsidRDefault="00B506B7">
      <w:pPr>
        <w:pStyle w:val="JuCase"/>
        <w:ind w:firstLine="0"/>
        <w:jc w:val="center"/>
        <w:rPr>
          <w:b w:val="0"/>
        </w:rPr>
      </w:pPr>
    </w:p>
    <w:p w:rsidRPr="00A359DD" w:rsidR="00B506B7" w:rsidP="00A359DD" w:rsidRDefault="00B506B7">
      <w:pPr>
        <w:pStyle w:val="JuCase"/>
        <w:ind w:firstLine="0"/>
        <w:jc w:val="center"/>
        <w:rPr>
          <w:b w:val="0"/>
        </w:rPr>
      </w:pPr>
      <w:r w:rsidRPr="00A359DD">
        <w:rPr>
          <w:b w:val="0"/>
        </w:rPr>
        <w:t>STRASBOURG</w:t>
      </w:r>
    </w:p>
    <w:p w:rsidRPr="00A359DD" w:rsidR="00B506B7" w:rsidP="00A359DD" w:rsidRDefault="00B506B7">
      <w:pPr>
        <w:pStyle w:val="JuCase"/>
        <w:ind w:firstLine="0"/>
        <w:jc w:val="center"/>
        <w:rPr>
          <w:b w:val="0"/>
        </w:rPr>
      </w:pPr>
    </w:p>
    <w:p w:rsidRPr="00A359DD" w:rsidR="00B506B7" w:rsidP="00A359DD" w:rsidRDefault="00B506B7">
      <w:pPr>
        <w:pStyle w:val="JuCase"/>
        <w:ind w:firstLine="0"/>
        <w:jc w:val="center"/>
        <w:rPr>
          <w:b w:val="0"/>
        </w:rPr>
      </w:pPr>
      <w:r w:rsidRPr="00A359DD">
        <w:rPr>
          <w:b w:val="0"/>
        </w:rPr>
        <w:t>8 October 2019</w:t>
      </w:r>
    </w:p>
    <w:p w:rsidRPr="00A359DD" w:rsidR="00B506B7" w:rsidP="00A359DD" w:rsidRDefault="00B506B7">
      <w:pPr>
        <w:pStyle w:val="JuCase"/>
        <w:ind w:firstLine="0"/>
        <w:jc w:val="center"/>
        <w:rPr>
          <w:b w:val="0"/>
        </w:rPr>
      </w:pPr>
    </w:p>
    <w:p w:rsidRPr="00A359DD" w:rsidR="00B506B7" w:rsidP="00A359DD" w:rsidRDefault="00B506B7">
      <w:pPr>
        <w:pStyle w:val="ECHRPara"/>
        <w:ind w:firstLine="0"/>
        <w:jc w:val="center"/>
      </w:pPr>
    </w:p>
    <w:p w:rsidRPr="00A359DD" w:rsidR="00B506B7" w:rsidP="00A359DD" w:rsidRDefault="00B506B7">
      <w:pPr>
        <w:pStyle w:val="ECHRPara"/>
        <w:ind w:firstLine="0"/>
        <w:jc w:val="center"/>
      </w:pPr>
    </w:p>
    <w:p w:rsidRPr="00A359DD" w:rsidR="00B506B7" w:rsidP="00A359DD" w:rsidRDefault="00B506B7">
      <w:pPr>
        <w:pStyle w:val="JuCase"/>
        <w:ind w:firstLine="0"/>
        <w:rPr>
          <w:b w:val="0"/>
          <w:i/>
          <w:sz w:val="22"/>
        </w:rPr>
      </w:pPr>
      <w:r w:rsidRPr="00A359DD">
        <w:rPr>
          <w:b w:val="0"/>
          <w:i/>
          <w:sz w:val="22"/>
        </w:rPr>
        <w:t>This judgment is final but it may be subject to editorial revision.</w:t>
      </w:r>
    </w:p>
    <w:p w:rsidRPr="00A359DD" w:rsidR="00B506B7" w:rsidP="00A359DD" w:rsidRDefault="00B506B7">
      <w:pPr>
        <w:pStyle w:val="ECHRPara"/>
        <w:sectPr w:rsidRPr="00A359DD" w:rsidR="00B506B7" w:rsidSect="00B506B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359DD" w:rsidR="00D420F3" w:rsidP="00A359DD" w:rsidRDefault="0077175D">
      <w:pPr>
        <w:pStyle w:val="JuCase"/>
        <w:rPr>
          <w:bCs/>
        </w:rPr>
      </w:pPr>
      <w:r w:rsidRPr="00A359DD">
        <w:t xml:space="preserve">In the case of </w:t>
      </w:r>
      <w:proofErr w:type="spellStart"/>
      <w:r w:rsidRPr="00A359DD" w:rsidR="00FC4F82">
        <w:t>Vanyukova</w:t>
      </w:r>
      <w:proofErr w:type="spellEnd"/>
      <w:r w:rsidRPr="00A359DD" w:rsidR="00FC4F82">
        <w:t xml:space="preserve"> v. Russia</w:t>
      </w:r>
      <w:r w:rsidRPr="00A359DD">
        <w:t>,</w:t>
      </w:r>
    </w:p>
    <w:p w:rsidRPr="00A359DD" w:rsidR="00D420F3" w:rsidP="00A359DD" w:rsidRDefault="0077175D">
      <w:pPr>
        <w:pStyle w:val="ECHRPara"/>
      </w:pPr>
      <w:r w:rsidRPr="00A359DD">
        <w:t>The European Court of Human Rights (</w:t>
      </w:r>
      <w:r w:rsidRPr="00A359DD" w:rsidR="00FC4F82">
        <w:t>Third Section</w:t>
      </w:r>
      <w:r w:rsidRPr="00A359DD">
        <w:t xml:space="preserve">), sitting as a </w:t>
      </w:r>
      <w:r w:rsidRPr="00A359DD" w:rsidR="00FC4F82">
        <w:t>Committee</w:t>
      </w:r>
      <w:r w:rsidRPr="00A359DD">
        <w:t xml:space="preserve"> composed of:</w:t>
      </w:r>
    </w:p>
    <w:p w:rsidRPr="00A359DD" w:rsidR="00D420F3" w:rsidP="00A359DD" w:rsidRDefault="00B506B7">
      <w:pPr>
        <w:pStyle w:val="ECHRDecisionBody"/>
      </w:pPr>
      <w:r w:rsidRPr="00A359DD">
        <w:tab/>
        <w:t>Georgios A. Serghides,</w:t>
      </w:r>
      <w:r w:rsidRPr="00A359DD">
        <w:rPr>
          <w:i/>
        </w:rPr>
        <w:t xml:space="preserve"> President,</w:t>
      </w:r>
      <w:r w:rsidRPr="00A359DD">
        <w:rPr>
          <w:i/>
        </w:rPr>
        <w:br/>
      </w:r>
      <w:r w:rsidRPr="00A359DD">
        <w:tab/>
      </w:r>
      <w:proofErr w:type="spellStart"/>
      <w:r w:rsidRPr="00A359DD">
        <w:t>Branko</w:t>
      </w:r>
      <w:proofErr w:type="spellEnd"/>
      <w:r w:rsidRPr="00A359DD">
        <w:t xml:space="preserve"> </w:t>
      </w:r>
      <w:proofErr w:type="spellStart"/>
      <w:r w:rsidRPr="00A359DD">
        <w:t>Lubarda</w:t>
      </w:r>
      <w:proofErr w:type="spellEnd"/>
      <w:r w:rsidRPr="00A359DD">
        <w:t>,</w:t>
      </w:r>
      <w:r w:rsidRPr="00A359DD">
        <w:rPr>
          <w:i/>
        </w:rPr>
        <w:br/>
      </w:r>
      <w:r w:rsidRPr="00A359DD">
        <w:tab/>
        <w:t xml:space="preserve">Erik </w:t>
      </w:r>
      <w:proofErr w:type="spellStart"/>
      <w:r w:rsidRPr="00A359DD">
        <w:t>Wennerström</w:t>
      </w:r>
      <w:proofErr w:type="spellEnd"/>
      <w:r w:rsidRPr="00A359DD">
        <w:t>,</w:t>
      </w:r>
      <w:r w:rsidRPr="00A359DD">
        <w:rPr>
          <w:i/>
        </w:rPr>
        <w:t xml:space="preserve"> judges</w:t>
      </w:r>
      <w:proofErr w:type="gramStart"/>
      <w:r w:rsidRPr="00A359DD">
        <w:rPr>
          <w:i/>
        </w:rPr>
        <w:t>,</w:t>
      </w:r>
      <w:proofErr w:type="gramEnd"/>
      <w:r w:rsidRPr="00A359DD" w:rsidR="0077175D">
        <w:rPr>
          <w:szCs w:val="24"/>
        </w:rPr>
        <w:br/>
      </w:r>
      <w:r w:rsidRPr="00A359DD" w:rsidR="0077175D">
        <w:t xml:space="preserve">and </w:t>
      </w:r>
      <w:r w:rsidRPr="00A359DD">
        <w:t>Stephen Phillips</w:t>
      </w:r>
      <w:r w:rsidRPr="00A359DD" w:rsidR="0077175D">
        <w:t xml:space="preserve">, </w:t>
      </w:r>
      <w:r w:rsidRPr="00A359DD" w:rsidR="00FC4F82">
        <w:rPr>
          <w:i/>
        </w:rPr>
        <w:t xml:space="preserve">Section </w:t>
      </w:r>
      <w:r w:rsidRPr="00A359DD" w:rsidR="00FC4F82">
        <w:rPr>
          <w:i/>
          <w:iCs/>
        </w:rPr>
        <w:t>Registrar</w:t>
      </w:r>
      <w:r w:rsidRPr="00A359DD" w:rsidR="0077175D">
        <w:rPr>
          <w:i/>
        </w:rPr>
        <w:t>,</w:t>
      </w:r>
    </w:p>
    <w:p w:rsidRPr="00A359DD" w:rsidR="00D420F3" w:rsidP="00A359DD" w:rsidRDefault="0077175D">
      <w:pPr>
        <w:pStyle w:val="ECHRPara"/>
      </w:pPr>
      <w:r w:rsidRPr="00A359DD">
        <w:t xml:space="preserve">Having deliberated in private on </w:t>
      </w:r>
      <w:r w:rsidRPr="00A359DD" w:rsidR="00B506B7">
        <w:t>17 September 2019</w:t>
      </w:r>
      <w:r w:rsidRPr="00A359DD">
        <w:t>,</w:t>
      </w:r>
    </w:p>
    <w:p w:rsidRPr="00A359DD" w:rsidR="00D420F3" w:rsidP="00A359DD" w:rsidRDefault="0077175D">
      <w:pPr>
        <w:pStyle w:val="ECHRPara"/>
      </w:pPr>
      <w:r w:rsidRPr="00A359DD">
        <w:t>Delivers the following judgment, which was adopted on that date:</w:t>
      </w:r>
    </w:p>
    <w:p w:rsidRPr="00A359DD" w:rsidR="00D420F3" w:rsidP="00A359DD" w:rsidRDefault="0077175D">
      <w:pPr>
        <w:pStyle w:val="ECHRTitle1"/>
      </w:pPr>
      <w:r w:rsidRPr="00A359DD">
        <w:t>PROCEDURE</w:t>
      </w:r>
    </w:p>
    <w:p w:rsidRPr="00A359DD" w:rsidR="00FC4F82"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1</w:t>
      </w:r>
      <w:r w:rsidRPr="00A359DD">
        <w:fldChar w:fldCharType="end"/>
      </w:r>
      <w:r w:rsidRPr="00A359DD" w:rsidR="0077175D">
        <w:t xml:space="preserve">.  The case originated in </w:t>
      </w:r>
      <w:r w:rsidRPr="00A359DD" w:rsidR="00005D62">
        <w:t>an application (no. </w:t>
      </w:r>
      <w:r w:rsidRPr="00A359DD">
        <w:t>22764/12)</w:t>
      </w:r>
      <w:r w:rsidRPr="00A359DD" w:rsidR="0077175D">
        <w:t xml:space="preserve"> against </w:t>
      </w:r>
      <w:r w:rsidRPr="00A359DD">
        <w:t>the Russian Federation</w:t>
      </w:r>
      <w:r w:rsidRPr="00A359DD" w:rsidR="0077175D">
        <w:t xml:space="preserve"> lodged with the </w:t>
      </w:r>
      <w:r w:rsidRPr="00A359DD" w:rsidR="00005D62">
        <w:t>Court under Article </w:t>
      </w:r>
      <w:r w:rsidRPr="00A359DD">
        <w:t>34</w:t>
      </w:r>
      <w:r w:rsidRPr="00A359DD" w:rsidR="0077175D">
        <w:t xml:space="preserve"> of the Convention for the Protection of Human Rights and Fundamental Freedoms (“the Convention”) by </w:t>
      </w:r>
      <w:r w:rsidRPr="00A359DD">
        <w:t xml:space="preserve">a Russian national, Ms Tatyana </w:t>
      </w:r>
      <w:proofErr w:type="spellStart"/>
      <w:r w:rsidRPr="00A359DD">
        <w:t>Georgiyevna</w:t>
      </w:r>
      <w:proofErr w:type="spellEnd"/>
      <w:r w:rsidRPr="00A359DD">
        <w:t xml:space="preserve"> </w:t>
      </w:r>
      <w:proofErr w:type="spellStart"/>
      <w:r w:rsidRPr="00A359DD">
        <w:t>Vanyukova</w:t>
      </w:r>
      <w:proofErr w:type="spellEnd"/>
      <w:r w:rsidRPr="00A359DD">
        <w:t xml:space="preserve"> (“the applicant”), on 16</w:t>
      </w:r>
      <w:r w:rsidRPr="00A359DD" w:rsidR="00B8339B">
        <w:t> </w:t>
      </w:r>
      <w:r w:rsidRPr="00A359DD">
        <w:t>March 2012</w:t>
      </w:r>
      <w:r w:rsidRPr="00A359DD" w:rsidR="0077175D">
        <w:t>.</w:t>
      </w:r>
    </w:p>
    <w:p w:rsidRPr="00A359DD" w:rsidR="00020A50"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2</w:t>
      </w:r>
      <w:r w:rsidRPr="00A359DD">
        <w:fldChar w:fldCharType="end"/>
      </w:r>
      <w:r w:rsidRPr="00A359DD" w:rsidR="0077175D">
        <w:t>.  </w:t>
      </w:r>
      <w:r w:rsidRPr="00A359DD">
        <w:t xml:space="preserve">The applicant was represented by Mr </w:t>
      </w:r>
      <w:r w:rsidRPr="00A359DD" w:rsidR="00005D62">
        <w:t>S.I.</w:t>
      </w:r>
      <w:r w:rsidRPr="00A359DD">
        <w:t xml:space="preserve"> </w:t>
      </w:r>
      <w:proofErr w:type="spellStart"/>
      <w:r w:rsidRPr="00A359DD">
        <w:t>Gridnev</w:t>
      </w:r>
      <w:proofErr w:type="spellEnd"/>
      <w:r w:rsidRPr="00A359DD" w:rsidR="00005D62">
        <w:t>,</w:t>
      </w:r>
      <w:r w:rsidRPr="00A359DD">
        <w:t xml:space="preserve"> a lawyer practising in Vladikavkaz.</w:t>
      </w:r>
    </w:p>
    <w:p w:rsidRPr="00A359DD" w:rsidR="00005D62" w:rsidP="00A359DD" w:rsidRDefault="00005D62">
      <w:pPr>
        <w:pStyle w:val="ECHRPara"/>
      </w:pPr>
      <w:r w:rsidRPr="00A359DD">
        <w:fldChar w:fldCharType="begin"/>
      </w:r>
      <w:r w:rsidRPr="00A359DD">
        <w:instrText xml:space="preserve"> SEQ level0 \*arabic </w:instrText>
      </w:r>
      <w:r w:rsidRPr="00A359DD">
        <w:fldChar w:fldCharType="separate"/>
      </w:r>
      <w:r w:rsidRPr="00A359DD" w:rsidR="00A359DD">
        <w:rPr>
          <w:noProof/>
        </w:rPr>
        <w:t>3</w:t>
      </w:r>
      <w:r w:rsidRPr="00A359DD">
        <w:fldChar w:fldCharType="end"/>
      </w:r>
      <w:r w:rsidRPr="00A359DD">
        <w:t>.  The Russian Government (“ the Government” ) were represented initially by Mr G. </w:t>
      </w:r>
      <w:proofErr w:type="spellStart"/>
      <w:r w:rsidRPr="00A359DD">
        <w:t>Matyushkin</w:t>
      </w:r>
      <w:proofErr w:type="spellEnd"/>
      <w:r w:rsidRPr="00A359DD">
        <w:t xml:space="preserve">, the Representative of the Russian Federation to the European Court of Human Rights, and then by his successor in that office, Mr M. </w:t>
      </w:r>
      <w:proofErr w:type="spellStart"/>
      <w:r w:rsidRPr="00A359DD">
        <w:t>Galperin</w:t>
      </w:r>
      <w:proofErr w:type="spellEnd"/>
      <w:r w:rsidRPr="00A359DD">
        <w:t>.</w:t>
      </w:r>
    </w:p>
    <w:p w:rsidRPr="00A359DD" w:rsidR="00AC6DA4"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4</w:t>
      </w:r>
      <w:r w:rsidRPr="00A359DD">
        <w:rPr>
          <w:noProof/>
        </w:rPr>
        <w:fldChar w:fldCharType="end"/>
      </w:r>
      <w:r w:rsidRPr="00A359DD" w:rsidR="00E54E94">
        <w:t>.  </w:t>
      </w:r>
      <w:r w:rsidRPr="00A359DD" w:rsidR="00AC6DA4">
        <w:t xml:space="preserve">In the wake of the pilot judgment in the case of </w:t>
      </w:r>
      <w:r w:rsidRPr="00A359DD" w:rsidR="00D13F3F">
        <w:rPr>
          <w:i/>
          <w:iCs/>
        </w:rPr>
        <w:t>Gerasimov and Others v. </w:t>
      </w:r>
      <w:r w:rsidRPr="00A359DD" w:rsidR="00AC6DA4">
        <w:rPr>
          <w:i/>
          <w:iCs/>
        </w:rPr>
        <w:t>Russia</w:t>
      </w:r>
      <w:r w:rsidRPr="00A359DD" w:rsidR="00AC6DA4">
        <w:t xml:space="preserve">, on 24 November 2014 the </w:t>
      </w:r>
      <w:proofErr w:type="spellStart"/>
      <w:r w:rsidRPr="00A359DD" w:rsidR="00AC6DA4">
        <w:t>the</w:t>
      </w:r>
      <w:proofErr w:type="spellEnd"/>
      <w:r w:rsidRPr="00A359DD" w:rsidR="00AC6DA4">
        <w:t xml:space="preserve"> complaints concerning the non-enforcement of a judgment in the applicant</w:t>
      </w:r>
      <w:r w:rsidRPr="00A359DD" w:rsidR="00A359DD">
        <w:t>’</w:t>
      </w:r>
      <w:r w:rsidRPr="00A359DD" w:rsidR="00AC6DA4">
        <w:t xml:space="preserve">s favour and the lack of an effective remedy against the non-enforcement was communicated to the Government for settlement or resolution (see </w:t>
      </w:r>
      <w:r w:rsidRPr="00A359DD" w:rsidR="00AC6DA4">
        <w:rPr>
          <w:i/>
          <w:iCs/>
        </w:rPr>
        <w:t>Gerasimov and Others</w:t>
      </w:r>
      <w:r w:rsidRPr="00A359DD" w:rsidR="00020A50">
        <w:t xml:space="preserve"> v. </w:t>
      </w:r>
      <w:r w:rsidRPr="00A359DD" w:rsidR="00AC6DA4">
        <w:t>Russia, nos. 29920/05 and 10 others, §§ 230-31 and point 13 of the operative part, 1 July 2014). The remainder of the application was declared inadmissible</w:t>
      </w:r>
      <w:r w:rsidRPr="00A359DD" w:rsidR="00AC6DA4">
        <w:rPr>
          <w:szCs w:val="24"/>
        </w:rPr>
        <w:t xml:space="preserve"> </w:t>
      </w:r>
      <w:r w:rsidRPr="00A359DD" w:rsidR="00AC6DA4">
        <w:t>pursuant to Rule 54 § 3 of the Rules of Court.</w:t>
      </w:r>
      <w:r w:rsidRPr="00A359DD" w:rsidR="00B002D1">
        <w:t xml:space="preserve"> The Court informed the parties at the communication stage that the case, subject to settled case-law, would be allocated to the Committee.</w:t>
      </w:r>
    </w:p>
    <w:p w:rsidRPr="00A359DD" w:rsidR="00005D62"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5</w:t>
      </w:r>
      <w:r w:rsidRPr="00A359DD">
        <w:rPr>
          <w:noProof/>
        </w:rPr>
        <w:fldChar w:fldCharType="end"/>
      </w:r>
      <w:r w:rsidRPr="00A359DD" w:rsidR="00AC6DA4">
        <w:t>.  The Court adjourned for two years, that is until 1 October 2016, the proceedings in all cases concerning non-enforcement or delayed enforcement of domestic judgments imposing obligations in kind on the State authorities (ibid., § 232 and point 14 of the operative part).</w:t>
      </w:r>
    </w:p>
    <w:bookmarkStart w:name="GVTletter29092016" w:id="2"/>
    <w:p w:rsidRPr="00A359DD" w:rsidR="00AC6DA4" w:rsidP="00A359DD" w:rsidRDefault="00A1253B">
      <w:pPr>
        <w:pStyle w:val="ECHRPara"/>
      </w:pPr>
      <w:r w:rsidRPr="00A359DD">
        <w:fldChar w:fldCharType="begin"/>
      </w:r>
      <w:r w:rsidRPr="00A359DD">
        <w:instrText xml:space="preserve"> SEQ level0 \*arabic </w:instrText>
      </w:r>
      <w:r w:rsidRPr="00A359DD">
        <w:fldChar w:fldCharType="separate"/>
      </w:r>
      <w:r w:rsidRPr="00A359DD" w:rsidR="00A359DD">
        <w:rPr>
          <w:noProof/>
        </w:rPr>
        <w:t>6</w:t>
      </w:r>
      <w:r w:rsidRPr="00A359DD">
        <w:rPr>
          <w:noProof/>
        </w:rPr>
        <w:fldChar w:fldCharType="end"/>
      </w:r>
      <w:bookmarkEnd w:id="2"/>
      <w:r w:rsidRPr="00A359DD" w:rsidR="00AC6DA4">
        <w:t>.  On 29 September 2016 the Government advised the Court that they were unable to settle the present application within the above time-limit, as the domestic judgment in the applicant</w:t>
      </w:r>
      <w:r w:rsidRPr="00A359DD" w:rsidR="00A359DD">
        <w:t>’</w:t>
      </w:r>
      <w:r w:rsidRPr="00A359DD" w:rsidR="00AC6DA4">
        <w:t xml:space="preserve">s favour had remained unenforced. </w:t>
      </w:r>
      <w:r w:rsidRPr="00A359DD" w:rsidR="00C70023">
        <w:t xml:space="preserve">Having regard to the expiry of the above-mentioned adjournment period, the Court has decided to resume the examination of the application. </w:t>
      </w:r>
      <w:r w:rsidRPr="00A359DD" w:rsidR="005301F6">
        <w:t>In</w:t>
      </w:r>
      <w:r w:rsidRPr="00A359DD" w:rsidR="001B2CB3">
        <w:t xml:space="preserve"> 2018 the Court invited the parties to provide </w:t>
      </w:r>
      <w:r w:rsidRPr="00A359DD" w:rsidR="00C70023">
        <w:t>further comments of factual and legal issues arising in the case.</w:t>
      </w:r>
      <w:r w:rsidRPr="00A359DD" w:rsidR="00B002D1">
        <w:t xml:space="preserve"> They were requested, in particular, to specify a due domestic procedure </w:t>
      </w:r>
      <w:r w:rsidRPr="00A359DD" w:rsidR="005301F6">
        <w:t xml:space="preserve">which was to be </w:t>
      </w:r>
      <w:r w:rsidRPr="00A359DD" w:rsidR="00B002D1">
        <w:t>used at the material time to allow enforcement of the initial judgment given against the command of a military unit after the applicant</w:t>
      </w:r>
      <w:r w:rsidRPr="00A359DD" w:rsidR="00A359DD">
        <w:t>’</w:t>
      </w:r>
      <w:r w:rsidRPr="00A359DD" w:rsidR="00B002D1">
        <w:t>s transfer to a different military unit.</w:t>
      </w:r>
    </w:p>
    <w:p w:rsidRPr="00A359DD" w:rsidR="00D420F3" w:rsidP="00A359DD" w:rsidRDefault="0077175D">
      <w:pPr>
        <w:pStyle w:val="ECHRTitle1"/>
      </w:pPr>
      <w:r w:rsidRPr="00A359DD">
        <w:t>THE FACTS</w:t>
      </w:r>
    </w:p>
    <w:p w:rsidRPr="00A359DD" w:rsidR="00D420F3" w:rsidP="00A359DD" w:rsidRDefault="0077175D">
      <w:pPr>
        <w:pStyle w:val="ECHRHeading1"/>
      </w:pPr>
      <w:r w:rsidRPr="00A359DD">
        <w:t>I.  THE CIRCUMSTANCES OF THE CASE</w:t>
      </w:r>
    </w:p>
    <w:p w:rsidRPr="00A359DD" w:rsidR="00020A50"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7</w:t>
      </w:r>
      <w:r w:rsidRPr="00A359DD">
        <w:fldChar w:fldCharType="end"/>
      </w:r>
      <w:r w:rsidRPr="00A359DD" w:rsidR="0077175D">
        <w:t xml:space="preserve">.  The </w:t>
      </w:r>
      <w:r w:rsidRPr="00A359DD">
        <w:t>applicant was born in 1955 and lives</w:t>
      </w:r>
      <w:r w:rsidRPr="00A359DD" w:rsidR="0077175D">
        <w:t xml:space="preserve"> in </w:t>
      </w:r>
      <w:r w:rsidRPr="00A359DD">
        <w:t>Vladikavkaz</w:t>
      </w:r>
      <w:r w:rsidRPr="00A359DD" w:rsidR="0077175D">
        <w:t>.</w:t>
      </w:r>
      <w:r w:rsidRPr="00A359DD" w:rsidR="006521FB">
        <w:t xml:space="preserve"> She is a former military officer.</w:t>
      </w:r>
    </w:p>
    <w:bookmarkStart w:name="Judgment11022004" w:id="3"/>
    <w:p w:rsidRPr="00A359DD" w:rsidR="00AC6DA4"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8</w:t>
      </w:r>
      <w:r w:rsidRPr="00A359DD">
        <w:fldChar w:fldCharType="end"/>
      </w:r>
      <w:bookmarkEnd w:id="3"/>
      <w:r w:rsidRPr="00A359DD" w:rsidR="0077175D">
        <w:t>.  </w:t>
      </w:r>
      <w:r w:rsidRPr="00A359DD" w:rsidR="00581E30">
        <w:t>On</w:t>
      </w:r>
      <w:r w:rsidRPr="00A359DD" w:rsidR="00AC6DA4">
        <w:t xml:space="preserve"> 11 February 2004 </w:t>
      </w:r>
      <w:r w:rsidRPr="00A359DD" w:rsidR="006521FB">
        <w:t xml:space="preserve">the Vladikavkaz Garrison Military Court </w:t>
      </w:r>
      <w:r w:rsidRPr="00A359DD" w:rsidR="00AC6DA4">
        <w:t xml:space="preserve">ordered the command of military unit no. 5588 to grant the applicant </w:t>
      </w:r>
      <w:r w:rsidRPr="00A359DD" w:rsidR="00020A50">
        <w:t>10 </w:t>
      </w:r>
      <w:r w:rsidRPr="00A359DD" w:rsidR="006521FB">
        <w:t xml:space="preserve">days of </w:t>
      </w:r>
      <w:r w:rsidRPr="00A359DD" w:rsidR="00AC6DA4">
        <w:t xml:space="preserve">additional </w:t>
      </w:r>
      <w:r w:rsidRPr="00A359DD" w:rsidR="006521FB">
        <w:t>leave</w:t>
      </w:r>
      <w:r w:rsidRPr="00A359DD" w:rsidR="00AC6DA4">
        <w:t xml:space="preserve"> per each </w:t>
      </w:r>
      <w:r w:rsidRPr="00A359DD" w:rsidR="006521FB">
        <w:t>three</w:t>
      </w:r>
      <w:r w:rsidRPr="00A359DD" w:rsidR="00AC6DA4">
        <w:t xml:space="preserve"> months of service and to recalculate the term of her military service</w:t>
      </w:r>
      <w:r w:rsidRPr="00A359DD" w:rsidR="006521FB">
        <w:t xml:space="preserve"> for the purpose of the calculation of her pension</w:t>
      </w:r>
      <w:r w:rsidRPr="00A359DD" w:rsidR="00AC6DA4">
        <w:t>, to take account of her participation in an armed conflict</w:t>
      </w:r>
      <w:r w:rsidRPr="00A359DD" w:rsidR="00657894">
        <w:t xml:space="preserve"> for the period between 8</w:t>
      </w:r>
      <w:r w:rsidRPr="00A359DD" w:rsidR="004838FF">
        <w:t> </w:t>
      </w:r>
      <w:r w:rsidRPr="00A359DD" w:rsidR="00657894">
        <w:t>June 1995 and 31</w:t>
      </w:r>
      <w:r w:rsidRPr="00A359DD" w:rsidR="004838FF">
        <w:t> </w:t>
      </w:r>
      <w:r w:rsidRPr="00A359DD" w:rsidR="00657894">
        <w:t>December 2001 and in line with the military unit</w:t>
      </w:r>
      <w:r w:rsidRPr="00A359DD" w:rsidR="00A359DD">
        <w:t>’</w:t>
      </w:r>
      <w:r w:rsidRPr="00A359DD" w:rsidR="00657894">
        <w:t>s commander</w:t>
      </w:r>
      <w:r w:rsidRPr="00A359DD" w:rsidR="00A359DD">
        <w:t>’</w:t>
      </w:r>
      <w:r w:rsidRPr="00A359DD" w:rsidR="00657894">
        <w:t>s orders</w:t>
      </w:r>
      <w:r w:rsidRPr="00A359DD" w:rsidR="00AC6DA4">
        <w:t xml:space="preserve">. </w:t>
      </w:r>
      <w:r w:rsidRPr="00A359DD" w:rsidR="00805923">
        <w:t xml:space="preserve">The judgment entered into force </w:t>
      </w:r>
      <w:r w:rsidRPr="00A359DD" w:rsidR="00702E54">
        <w:t xml:space="preserve">on </w:t>
      </w:r>
      <w:r w:rsidRPr="00A359DD" w:rsidR="006521FB">
        <w:t>25 February 2004</w:t>
      </w:r>
      <w:r w:rsidRPr="00A359DD" w:rsidR="00805923">
        <w:t>.</w:t>
      </w:r>
    </w:p>
    <w:bookmarkStart w:name="InitialDebtorCalculatingLeaveDays" w:id="4"/>
    <w:p w:rsidRPr="00A359DD" w:rsidR="00020A50" w:rsidP="00A359DD" w:rsidRDefault="005E5599">
      <w:pPr>
        <w:pStyle w:val="ECHRPara"/>
      </w:pPr>
      <w:r w:rsidRPr="00A359DD">
        <w:fldChar w:fldCharType="begin"/>
      </w:r>
      <w:r w:rsidRPr="00A359DD">
        <w:instrText xml:space="preserve"> SEQ level0 \*arabic </w:instrText>
      </w:r>
      <w:r w:rsidRPr="00A359DD">
        <w:fldChar w:fldCharType="separate"/>
      </w:r>
      <w:r w:rsidRPr="00A359DD" w:rsidR="00A359DD">
        <w:rPr>
          <w:noProof/>
        </w:rPr>
        <w:t>9</w:t>
      </w:r>
      <w:r w:rsidRPr="00A359DD">
        <w:rPr>
          <w:noProof/>
        </w:rPr>
        <w:fldChar w:fldCharType="end"/>
      </w:r>
      <w:bookmarkEnd w:id="4"/>
      <w:r w:rsidRPr="00A359DD" w:rsidR="00A94B98">
        <w:t>.  On 11 February 2004 the debtor unit issued a certificate to confirm that, according to the unit</w:t>
      </w:r>
      <w:r w:rsidRPr="00A359DD" w:rsidR="00A359DD">
        <w:t>’</w:t>
      </w:r>
      <w:r w:rsidRPr="00A359DD" w:rsidR="00A94B98">
        <w:t>s calculation, th</w:t>
      </w:r>
      <w:r w:rsidRPr="00A359DD" w:rsidR="00020A50">
        <w:t>e applicant was entitled to 224 </w:t>
      </w:r>
      <w:r w:rsidRPr="00A359DD" w:rsidR="00A94B98">
        <w:t>days of additional leave.</w:t>
      </w:r>
    </w:p>
    <w:p w:rsidRPr="00A359DD" w:rsidR="00805923"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10</w:t>
      </w:r>
      <w:r w:rsidRPr="00A359DD">
        <w:rPr>
          <w:noProof/>
        </w:rPr>
        <w:fldChar w:fldCharType="end"/>
      </w:r>
      <w:r w:rsidRPr="00A359DD" w:rsidR="00805923">
        <w:t xml:space="preserve">.  Once </w:t>
      </w:r>
      <w:r w:rsidRPr="00A359DD" w:rsidR="00A94B98">
        <w:t>the judgment</w:t>
      </w:r>
      <w:r w:rsidRPr="00A359DD" w:rsidR="00805923">
        <w:t xml:space="preserve"> became final, the </w:t>
      </w:r>
      <w:r w:rsidRPr="00A359DD" w:rsidR="00A94B98">
        <w:t>applicant transferred</w:t>
      </w:r>
      <w:r w:rsidRPr="00A359DD" w:rsidR="00805923">
        <w:t xml:space="preserve"> it to the debtor </w:t>
      </w:r>
      <w:r w:rsidRPr="00A359DD" w:rsidR="006521FB">
        <w:t>military unit</w:t>
      </w:r>
      <w:r w:rsidRPr="00A359DD" w:rsidR="00805923">
        <w:t>.</w:t>
      </w:r>
    </w:p>
    <w:bookmarkStart w:name="PartialEnforcement" w:id="5"/>
    <w:p w:rsidRPr="00A359DD" w:rsidR="00805923" w:rsidP="00A359DD" w:rsidRDefault="00AD66FE">
      <w:pPr>
        <w:pStyle w:val="ECHRPara"/>
      </w:pPr>
      <w:r w:rsidRPr="00A359DD">
        <w:fldChar w:fldCharType="begin"/>
      </w:r>
      <w:r w:rsidRPr="00A359DD">
        <w:instrText xml:space="preserve"> SEQ level0 \*arabic </w:instrText>
      </w:r>
      <w:r w:rsidRPr="00A359DD">
        <w:fldChar w:fldCharType="separate"/>
      </w:r>
      <w:r w:rsidRPr="00A359DD" w:rsidR="00A359DD">
        <w:rPr>
          <w:noProof/>
        </w:rPr>
        <w:t>11</w:t>
      </w:r>
      <w:r w:rsidRPr="00A359DD">
        <w:rPr>
          <w:noProof/>
        </w:rPr>
        <w:fldChar w:fldCharType="end"/>
      </w:r>
      <w:bookmarkEnd w:id="5"/>
      <w:r w:rsidRPr="00A359DD" w:rsidR="00805923">
        <w:t>.  </w:t>
      </w:r>
      <w:r w:rsidRPr="00A359DD" w:rsidR="00805460">
        <w:t>A</w:t>
      </w:r>
      <w:r w:rsidRPr="00A359DD" w:rsidR="006521FB">
        <w:t>t some point m</w:t>
      </w:r>
      <w:r w:rsidRPr="00A359DD" w:rsidR="00805923">
        <w:t xml:space="preserve">ilitary unit no. 5588 complied with the judgment in </w:t>
      </w:r>
      <w:r w:rsidRPr="00A359DD" w:rsidR="006521FB">
        <w:t>so far as the recalculation of her term of service on account of her participation in the armed conflict was concerned.</w:t>
      </w:r>
    </w:p>
    <w:bookmarkStart w:name="InitialUnitPartialEnforcement" w:id="6"/>
    <w:p w:rsidRPr="00A359DD" w:rsidR="00805923" w:rsidP="00A359DD" w:rsidRDefault="005E5599">
      <w:pPr>
        <w:pStyle w:val="ECHRPara"/>
      </w:pPr>
      <w:r w:rsidRPr="00A359DD">
        <w:fldChar w:fldCharType="begin"/>
      </w:r>
      <w:r w:rsidRPr="00A359DD">
        <w:instrText xml:space="preserve"> SEQ level0 \*arabic </w:instrText>
      </w:r>
      <w:r w:rsidRPr="00A359DD">
        <w:fldChar w:fldCharType="separate"/>
      </w:r>
      <w:r w:rsidRPr="00A359DD" w:rsidR="00A359DD">
        <w:rPr>
          <w:noProof/>
        </w:rPr>
        <w:t>12</w:t>
      </w:r>
      <w:r w:rsidRPr="00A359DD">
        <w:rPr>
          <w:noProof/>
        </w:rPr>
        <w:fldChar w:fldCharType="end"/>
      </w:r>
      <w:bookmarkEnd w:id="6"/>
      <w:r w:rsidRPr="00A359DD" w:rsidR="00805923">
        <w:t xml:space="preserve">.  According to the applicant, no procedure for compulsory enforcement </w:t>
      </w:r>
      <w:r w:rsidRPr="00A359DD" w:rsidR="006521FB">
        <w:t xml:space="preserve">of the court order </w:t>
      </w:r>
      <w:r w:rsidRPr="00A359DD" w:rsidR="00805923">
        <w:t>was put in place, and no writ of execution in respect of the judgment has ever been issued, as the military unit voluntarily complied with the judicial order in part</w:t>
      </w:r>
      <w:r w:rsidRPr="00A359DD" w:rsidR="007B6E9F">
        <w:t xml:space="preserve"> (</w:t>
      </w:r>
      <w:r w:rsidRPr="00A359DD" w:rsidR="00917655">
        <w:t>see paragraph </w:t>
      </w:r>
      <w:r w:rsidRPr="00A359DD" w:rsidR="00917655">
        <w:fldChar w:fldCharType="begin"/>
      </w:r>
      <w:r w:rsidRPr="00A359DD" w:rsidR="00917655">
        <w:instrText xml:space="preserve"> REF PartialEnforcement \h </w:instrText>
      </w:r>
      <w:r w:rsidRPr="00A359DD" w:rsidR="00917655">
        <w:fldChar w:fldCharType="separate"/>
      </w:r>
      <w:r w:rsidRPr="00A359DD" w:rsidR="00A359DD">
        <w:rPr>
          <w:noProof/>
        </w:rPr>
        <w:t>11</w:t>
      </w:r>
      <w:r w:rsidRPr="00A359DD" w:rsidR="00917655">
        <w:fldChar w:fldCharType="end"/>
      </w:r>
      <w:r w:rsidRPr="00A359DD" w:rsidR="007B6E9F">
        <w:t xml:space="preserve"> </w:t>
      </w:r>
      <w:r w:rsidRPr="00A359DD" w:rsidR="00917655">
        <w:t>above)</w:t>
      </w:r>
      <w:r w:rsidRPr="00A359DD" w:rsidR="00805923">
        <w:t>.</w:t>
      </w:r>
    </w:p>
    <w:bookmarkStart w:name="TransferNov2006" w:id="7"/>
    <w:p w:rsidRPr="00A359DD" w:rsidR="00020A50" w:rsidP="00A359DD" w:rsidRDefault="00881FE1">
      <w:pPr>
        <w:pStyle w:val="ECHRPara"/>
      </w:pPr>
      <w:r w:rsidRPr="00A359DD">
        <w:fldChar w:fldCharType="begin"/>
      </w:r>
      <w:r w:rsidRPr="00A359DD">
        <w:instrText xml:space="preserve"> SEQ level0 \*arabic </w:instrText>
      </w:r>
      <w:r w:rsidRPr="00A359DD">
        <w:fldChar w:fldCharType="separate"/>
      </w:r>
      <w:r w:rsidRPr="00A359DD" w:rsidR="00A359DD">
        <w:rPr>
          <w:noProof/>
        </w:rPr>
        <w:t>13</w:t>
      </w:r>
      <w:r w:rsidRPr="00A359DD">
        <w:rPr>
          <w:noProof/>
        </w:rPr>
        <w:fldChar w:fldCharType="end"/>
      </w:r>
      <w:bookmarkEnd w:id="7"/>
      <w:r w:rsidRPr="00A359DD" w:rsidR="00AC6DA4">
        <w:t>.  </w:t>
      </w:r>
      <w:r w:rsidRPr="00A359DD" w:rsidR="00805460">
        <w:t>On 6 </w:t>
      </w:r>
      <w:r w:rsidRPr="00A359DD" w:rsidR="00657894">
        <w:t xml:space="preserve">November </w:t>
      </w:r>
      <w:r w:rsidRPr="00A359DD" w:rsidR="00AC6DA4">
        <w:t>2006 the applicant was transferred to military unit</w:t>
      </w:r>
      <w:r w:rsidRPr="00A359DD" w:rsidR="00244BBE">
        <w:t xml:space="preserve"> no. 3718</w:t>
      </w:r>
      <w:r w:rsidRPr="00A359DD" w:rsidR="002F131B">
        <w:t xml:space="preserve"> (“the mew military unit”)</w:t>
      </w:r>
      <w:r w:rsidRPr="00A359DD" w:rsidR="00657894">
        <w:t xml:space="preserve"> for further military service</w:t>
      </w:r>
      <w:r w:rsidRPr="00A359DD" w:rsidR="00AC6DA4">
        <w:t xml:space="preserve">. </w:t>
      </w:r>
      <w:r w:rsidRPr="00A359DD" w:rsidR="00244BBE">
        <w:t xml:space="preserve">According to the applicant, </w:t>
      </w:r>
      <w:r w:rsidRPr="00A359DD" w:rsidR="001072AA">
        <w:t xml:space="preserve">military </w:t>
      </w:r>
      <w:proofErr w:type="gramStart"/>
      <w:r w:rsidRPr="00A359DD" w:rsidR="00244BBE">
        <w:t>units</w:t>
      </w:r>
      <w:proofErr w:type="gramEnd"/>
      <w:r w:rsidRPr="00A359DD" w:rsidR="00244BBE">
        <w:t xml:space="preserve"> nos. </w:t>
      </w:r>
      <w:r w:rsidRPr="00A359DD" w:rsidR="006521FB">
        <w:t xml:space="preserve">5588 and </w:t>
      </w:r>
      <w:r w:rsidRPr="00A359DD" w:rsidR="00244BBE">
        <w:t xml:space="preserve">3718 are parts of the same </w:t>
      </w:r>
      <w:r w:rsidRPr="00A359DD" w:rsidR="00702E54">
        <w:t>“sub</w:t>
      </w:r>
      <w:r w:rsidRPr="00A359DD" w:rsidR="00702E54">
        <w:noBreakHyphen/>
      </w:r>
      <w:r w:rsidRPr="00A359DD" w:rsidR="001072AA">
        <w:t>division”</w:t>
      </w:r>
      <w:r w:rsidRPr="00A359DD" w:rsidR="00BE1D2F">
        <w:t xml:space="preserve"> (</w:t>
      </w:r>
      <w:r w:rsidRPr="00A359DD" w:rsidR="00BE1D2F">
        <w:rPr>
          <w:i/>
          <w:lang w:val="ru-RU"/>
        </w:rPr>
        <w:t>подразделение</w:t>
      </w:r>
      <w:r w:rsidRPr="00A359DD" w:rsidR="00BE1D2F">
        <w:t>)</w:t>
      </w:r>
      <w:r w:rsidRPr="00A359DD" w:rsidR="001072AA">
        <w:t xml:space="preserve">. </w:t>
      </w:r>
      <w:r w:rsidRPr="00A359DD" w:rsidR="00AC6DA4">
        <w:t>The debtor unit indicated in the initial judgment still exists.</w:t>
      </w:r>
    </w:p>
    <w:p w:rsidRPr="00A359DD" w:rsidR="00020A50"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14</w:t>
      </w:r>
      <w:r w:rsidRPr="00A359DD">
        <w:rPr>
          <w:noProof/>
        </w:rPr>
        <w:fldChar w:fldCharType="end"/>
      </w:r>
      <w:r w:rsidRPr="00A359DD" w:rsidR="00805923">
        <w:t>.  </w:t>
      </w:r>
      <w:r w:rsidRPr="00A359DD" w:rsidR="001F4E8A">
        <w:t xml:space="preserve">On </w:t>
      </w:r>
      <w:r w:rsidRPr="00A359DD" w:rsidR="002F131B">
        <w:t>28 </w:t>
      </w:r>
      <w:r w:rsidRPr="00A359DD" w:rsidR="001F4E8A">
        <w:t>August and 27 October</w:t>
      </w:r>
      <w:r w:rsidRPr="00A359DD" w:rsidR="006862B9">
        <w:t xml:space="preserve"> 2010</w:t>
      </w:r>
      <w:r w:rsidRPr="00A359DD" w:rsidR="00AC6DA4">
        <w:t xml:space="preserve"> the applicant asked the new unit to </w:t>
      </w:r>
      <w:r w:rsidRPr="00A359DD" w:rsidR="006521FB">
        <w:t>grant her additional leave days in accordance with the judgment</w:t>
      </w:r>
      <w:r w:rsidRPr="00A359DD" w:rsidR="001F4E8A">
        <w:t>, in view of her upcoming dismissal from military service</w:t>
      </w:r>
      <w:r w:rsidRPr="00A359DD" w:rsidR="006862B9">
        <w:t xml:space="preserve">. </w:t>
      </w:r>
      <w:r w:rsidRPr="00A359DD" w:rsidR="001F4E8A">
        <w:t>F</w:t>
      </w:r>
      <w:r w:rsidRPr="00A359DD" w:rsidR="00805460">
        <w:t>rom the respective commander</w:t>
      </w:r>
      <w:r w:rsidRPr="00A359DD" w:rsidR="00A359DD">
        <w:t>’</w:t>
      </w:r>
      <w:r w:rsidRPr="00A359DD" w:rsidR="00805460">
        <w:t>s resolutions</w:t>
      </w:r>
      <w:r w:rsidRPr="00A359DD" w:rsidR="001F4E8A">
        <w:t xml:space="preserve"> (hand-written replies on the applicant</w:t>
      </w:r>
      <w:r w:rsidRPr="00A359DD" w:rsidR="00A359DD">
        <w:t>’</w:t>
      </w:r>
      <w:r w:rsidRPr="00A359DD" w:rsidR="001F4E8A">
        <w:t xml:space="preserve">s original requests) it follows that </w:t>
      </w:r>
      <w:r w:rsidRPr="00A359DD" w:rsidR="00805460">
        <w:t>her requests were disallowed</w:t>
      </w:r>
      <w:r w:rsidRPr="00A359DD" w:rsidR="001F4E8A">
        <w:t>, as the new military unit was not a debtor in accordance with the judgment, and there was no information on the applicant</w:t>
      </w:r>
      <w:r w:rsidRPr="00A359DD" w:rsidR="00A359DD">
        <w:t>’</w:t>
      </w:r>
      <w:r w:rsidRPr="00A359DD" w:rsidR="001F4E8A">
        <w:t>s use of the leave days. Furthermore, the request was belated as the judgment of 2004 should have been submitted for execution within three years.</w:t>
      </w:r>
    </w:p>
    <w:p w:rsidRPr="00A359DD" w:rsidR="001B60D5"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15</w:t>
      </w:r>
      <w:r w:rsidRPr="00A359DD">
        <w:rPr>
          <w:noProof/>
        </w:rPr>
        <w:fldChar w:fldCharType="end"/>
      </w:r>
      <w:r w:rsidRPr="00A359DD" w:rsidR="001B60D5">
        <w:t xml:space="preserve">.  On 8 September 2010 military unit </w:t>
      </w:r>
      <w:r w:rsidRPr="00A359DD" w:rsidR="002F131B">
        <w:t>no. 5588 certified that the applicant had been entitled to 224 additional leave days.</w:t>
      </w:r>
    </w:p>
    <w:bookmarkStart w:name="RecalculatedTermServiceNov2010" w:id="8"/>
    <w:p w:rsidRPr="00A359DD" w:rsidR="002F131B" w:rsidP="00A359DD" w:rsidRDefault="002F131B">
      <w:pPr>
        <w:pStyle w:val="ECHRPara"/>
      </w:pPr>
      <w:r w:rsidRPr="00A359DD">
        <w:rPr>
          <w:lang w:val="ru-RU"/>
        </w:rPr>
        <w:fldChar w:fldCharType="begin"/>
      </w:r>
      <w:r w:rsidRPr="00A359DD">
        <w:instrText xml:space="preserve"> SEQ level0 \*arabic </w:instrText>
      </w:r>
      <w:r w:rsidRPr="00A359DD">
        <w:rPr>
          <w:lang w:val="ru-RU"/>
        </w:rPr>
        <w:fldChar w:fldCharType="separate"/>
      </w:r>
      <w:r w:rsidRPr="00A359DD" w:rsidR="00A359DD">
        <w:rPr>
          <w:noProof/>
        </w:rPr>
        <w:t>16</w:t>
      </w:r>
      <w:r w:rsidRPr="00A359DD">
        <w:rPr>
          <w:lang w:val="ru-RU"/>
        </w:rPr>
        <w:fldChar w:fldCharType="end"/>
      </w:r>
      <w:bookmarkEnd w:id="8"/>
      <w:r w:rsidRPr="00A359DD">
        <w:t>.  According to the applicant, in November 2010 military unit no. 3718 recalculat</w:t>
      </w:r>
      <w:r w:rsidRPr="00A359DD" w:rsidR="001F4E8A">
        <w:t>ed the</w:t>
      </w:r>
      <w:r w:rsidRPr="00A359DD">
        <w:t xml:space="preserve"> term of her military service.</w:t>
      </w:r>
    </w:p>
    <w:p w:rsidRPr="00A359DD" w:rsidR="00020A50"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17</w:t>
      </w:r>
      <w:r w:rsidRPr="00A359DD">
        <w:rPr>
          <w:noProof/>
        </w:rPr>
        <w:fldChar w:fldCharType="end"/>
      </w:r>
      <w:r w:rsidRPr="00A359DD" w:rsidR="00AC6DA4">
        <w:t>.  </w:t>
      </w:r>
      <w:r w:rsidRPr="00A359DD" w:rsidR="00A94B98">
        <w:t>On 15 December 2010</w:t>
      </w:r>
      <w:r w:rsidRPr="00A359DD" w:rsidR="00AC6DA4">
        <w:t xml:space="preserve"> the applicant was dismissed from military service without being granted the leave in question.</w:t>
      </w:r>
    </w:p>
    <w:p w:rsidRPr="00A359DD" w:rsidR="00020A50"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18</w:t>
      </w:r>
      <w:r w:rsidRPr="00A359DD">
        <w:rPr>
          <w:noProof/>
        </w:rPr>
        <w:fldChar w:fldCharType="end"/>
      </w:r>
      <w:r w:rsidRPr="00A359DD" w:rsidR="00AC6DA4">
        <w:t>.  </w:t>
      </w:r>
      <w:r w:rsidRPr="00A359DD" w:rsidR="00657894">
        <w:t xml:space="preserve">On 21 February </w:t>
      </w:r>
      <w:r w:rsidRPr="00A359DD" w:rsidR="00AC6DA4">
        <w:t xml:space="preserve">2011 she challenged </w:t>
      </w:r>
      <w:r w:rsidRPr="00A359DD" w:rsidR="00581E30">
        <w:t xml:space="preserve">her dismissal </w:t>
      </w:r>
      <w:r w:rsidRPr="00A359DD" w:rsidR="00AC6DA4">
        <w:t xml:space="preserve">without granting </w:t>
      </w:r>
      <w:r w:rsidRPr="00A359DD" w:rsidR="00805460">
        <w:t xml:space="preserve">additional </w:t>
      </w:r>
      <w:r w:rsidRPr="00A359DD" w:rsidR="00AC6DA4">
        <w:t>leave, arguing, in particular, that she was entitled either to the said leave or to a monetary compensation for the unused leave days.</w:t>
      </w:r>
    </w:p>
    <w:bookmarkStart w:name="Judgment20052011" w:id="9"/>
    <w:p w:rsidRPr="00A359DD" w:rsidR="00AC6DA4" w:rsidP="00A359DD" w:rsidRDefault="00347F5D">
      <w:pPr>
        <w:pStyle w:val="ECHRPara"/>
      </w:pPr>
      <w:r w:rsidRPr="00A359DD">
        <w:fldChar w:fldCharType="begin"/>
      </w:r>
      <w:r w:rsidRPr="00A359DD">
        <w:instrText xml:space="preserve"> SEQ level0 \*arabic </w:instrText>
      </w:r>
      <w:r w:rsidRPr="00A359DD">
        <w:fldChar w:fldCharType="separate"/>
      </w:r>
      <w:r w:rsidRPr="00A359DD" w:rsidR="00A359DD">
        <w:rPr>
          <w:noProof/>
        </w:rPr>
        <w:t>19</w:t>
      </w:r>
      <w:r w:rsidRPr="00A359DD">
        <w:rPr>
          <w:noProof/>
        </w:rPr>
        <w:fldChar w:fldCharType="end"/>
      </w:r>
      <w:bookmarkEnd w:id="9"/>
      <w:r w:rsidRPr="00A359DD" w:rsidR="00A94B98">
        <w:t>.  On 20 May 2011 t</w:t>
      </w:r>
      <w:r w:rsidRPr="00A359DD" w:rsidR="00AC6DA4">
        <w:t xml:space="preserve">he first-instance court granted her claim. </w:t>
      </w:r>
      <w:r w:rsidRPr="00A359DD" w:rsidR="00A94B98">
        <w:t xml:space="preserve">The court found that </w:t>
      </w:r>
      <w:r w:rsidRPr="00A359DD" w:rsidR="00805460">
        <w:t>as a result of the applicant</w:t>
      </w:r>
      <w:r w:rsidRPr="00A359DD" w:rsidR="00A359DD">
        <w:t>’</w:t>
      </w:r>
      <w:r w:rsidRPr="00A359DD" w:rsidR="00805460">
        <w:t xml:space="preserve">s transfer to the new unit the </w:t>
      </w:r>
      <w:r w:rsidRPr="00A359DD" w:rsidR="00657894">
        <w:t xml:space="preserve">duty to enforce the award was </w:t>
      </w:r>
      <w:r w:rsidRPr="00A359DD" w:rsidR="00805460">
        <w:t xml:space="preserve">also </w:t>
      </w:r>
      <w:r w:rsidRPr="00A359DD" w:rsidR="00657894">
        <w:t xml:space="preserve">transferred </w:t>
      </w:r>
      <w:r w:rsidRPr="00A359DD" w:rsidR="00805460">
        <w:t>thereon</w:t>
      </w:r>
      <w:r w:rsidRPr="00A359DD" w:rsidR="00657894">
        <w:t xml:space="preserve">. The applicant had not missed the three-month time-limit for lodging her complaint, as she </w:t>
      </w:r>
      <w:r w:rsidRPr="00A359DD" w:rsidR="00805460">
        <w:t xml:space="preserve">had </w:t>
      </w:r>
      <w:r w:rsidRPr="00A359DD" w:rsidR="00657894">
        <w:t>challenged the decision to dismiss her without granting the leave awarded by the judgment, and not the commander</w:t>
      </w:r>
      <w:r w:rsidRPr="00A359DD" w:rsidR="00A359DD">
        <w:t>’</w:t>
      </w:r>
      <w:r w:rsidRPr="00A359DD" w:rsidR="00657894">
        <w:t>s refusals to grant her leave issued in August and October 2010. Finally, the requirement to submit the writ of execution within three years would only be applicable if the applicant had made use of her subjective right to seek co</w:t>
      </w:r>
      <w:r w:rsidRPr="00A359DD" w:rsidR="00581E30">
        <w:t>mpulsory enforcement of the judicial award</w:t>
      </w:r>
      <w:r w:rsidRPr="00A359DD" w:rsidR="00657894">
        <w:t xml:space="preserve">. In any event, the authorities were not absolved from an obligation to abide by the judgment. </w:t>
      </w:r>
      <w:r w:rsidRPr="00A359DD" w:rsidR="00A92C50">
        <w:t>Military unit no.</w:t>
      </w:r>
      <w:r w:rsidRPr="00A359DD" w:rsidR="00F2637F">
        <w:t> </w:t>
      </w:r>
      <w:r w:rsidRPr="00A359DD" w:rsidR="00A92C50">
        <w:t>5588 had received the judgment immediately after its entry into force, and the new unit had recalculated the applicant</w:t>
      </w:r>
      <w:r w:rsidRPr="00A359DD" w:rsidR="00A359DD">
        <w:t>’</w:t>
      </w:r>
      <w:r w:rsidRPr="00A359DD" w:rsidR="00A92C50">
        <w:t xml:space="preserve">s term of service and thus had complied with the judgment in part. </w:t>
      </w:r>
      <w:r w:rsidRPr="00A359DD" w:rsidR="00657894">
        <w:t>The court ordered to reinstate the applicant</w:t>
      </w:r>
      <w:r w:rsidRPr="00A359DD" w:rsidR="00CC4CA5">
        <w:t xml:space="preserve">, so that she could have been provided with </w:t>
      </w:r>
      <w:r w:rsidRPr="00A359DD" w:rsidR="00657894">
        <w:t>the leave days.</w:t>
      </w:r>
    </w:p>
    <w:bookmarkStart w:name="Judgment20072011" w:id="10"/>
    <w:p w:rsidRPr="00A359DD" w:rsidR="00020A50" w:rsidP="00A359DD" w:rsidRDefault="00347F5D">
      <w:pPr>
        <w:pStyle w:val="ECHRPara"/>
      </w:pPr>
      <w:r w:rsidRPr="00A359DD">
        <w:fldChar w:fldCharType="begin"/>
      </w:r>
      <w:r w:rsidRPr="00A359DD">
        <w:instrText xml:space="preserve"> SEQ level0 \*arabic </w:instrText>
      </w:r>
      <w:r w:rsidRPr="00A359DD">
        <w:fldChar w:fldCharType="separate"/>
      </w:r>
      <w:r w:rsidRPr="00A359DD" w:rsidR="00A359DD">
        <w:rPr>
          <w:noProof/>
        </w:rPr>
        <w:t>20</w:t>
      </w:r>
      <w:r w:rsidRPr="00A359DD">
        <w:rPr>
          <w:noProof/>
        </w:rPr>
        <w:fldChar w:fldCharType="end"/>
      </w:r>
      <w:bookmarkEnd w:id="10"/>
      <w:r w:rsidRPr="00A359DD" w:rsidR="00AC6DA4">
        <w:t xml:space="preserve">.  On </w:t>
      </w:r>
      <w:r w:rsidRPr="00A359DD" w:rsidR="007376B7">
        <w:t>20</w:t>
      </w:r>
      <w:r w:rsidRPr="00A359DD" w:rsidR="00805460">
        <w:t> </w:t>
      </w:r>
      <w:r w:rsidRPr="00A359DD" w:rsidR="00AC6DA4">
        <w:t>July 2011 the appeal court in the final instance quashed the lower court</w:t>
      </w:r>
      <w:r w:rsidRPr="00A359DD" w:rsidR="00A359DD">
        <w:t>’</w:t>
      </w:r>
      <w:r w:rsidRPr="00A359DD" w:rsidR="00AC6DA4">
        <w:t xml:space="preserve">s ruling and issued a new judgment dismissing her action. The court found </w:t>
      </w:r>
      <w:r w:rsidRPr="00A359DD" w:rsidR="002B5BB3">
        <w:t xml:space="preserve">that the lower court correctly established the facts but misapplied the domestic law. According to the appeal court, </w:t>
      </w:r>
      <w:r w:rsidRPr="00A359DD" w:rsidR="00AC6DA4">
        <w:t xml:space="preserve">the new military unit was under no legal obligation to enforce the judgment, as it was given against a different military unit. The court noted that the applicant had not requested </w:t>
      </w:r>
      <w:r w:rsidRPr="00A359DD" w:rsidR="002B5BB3">
        <w:t xml:space="preserve">the initial debtor to provide her with the leave days in 2004-2006, during her service in that unit. Furthermore, </w:t>
      </w:r>
      <w:r w:rsidRPr="00A359DD" w:rsidR="00D41D86">
        <w:t xml:space="preserve">the domestic courts had never examined the possibility </w:t>
      </w:r>
      <w:r w:rsidRPr="00A359DD" w:rsidR="00581E30">
        <w:t>of changing the method and the procedure of the execution of the judicial award</w:t>
      </w:r>
      <w:r w:rsidRPr="00A359DD" w:rsidR="00D41D86">
        <w:t xml:space="preserve">. </w:t>
      </w:r>
      <w:r w:rsidRPr="00A359DD" w:rsidR="002B5BB3">
        <w:t xml:space="preserve">Finally, </w:t>
      </w:r>
      <w:r w:rsidRPr="00A359DD" w:rsidR="00AC6DA4">
        <w:t>the initial judgment had never been amended or modified to allow its enforcement by the new military unit.</w:t>
      </w:r>
    </w:p>
    <w:p w:rsidRPr="00A359DD" w:rsidR="00020A50" w:rsidP="00A359DD" w:rsidRDefault="0077175D">
      <w:pPr>
        <w:pStyle w:val="ECHRHeading1"/>
      </w:pPr>
      <w:r w:rsidRPr="00A359DD">
        <w:t>II.</w:t>
      </w:r>
      <w:proofErr w:type="gramStart"/>
      <w:r w:rsidRPr="00A359DD">
        <w:t>  RELEVANT</w:t>
      </w:r>
      <w:proofErr w:type="gramEnd"/>
      <w:r w:rsidRPr="00A359DD">
        <w:t xml:space="preserve"> DOMESTIC LAW</w:t>
      </w:r>
    </w:p>
    <w:p w:rsidRPr="00A359DD" w:rsidR="00673295" w:rsidP="00A359DD" w:rsidRDefault="00673295">
      <w:pPr>
        <w:pStyle w:val="ECHRHeading2"/>
      </w:pPr>
      <w:r w:rsidRPr="00A359DD">
        <w:t>A.  </w:t>
      </w:r>
      <w:r w:rsidRPr="00A359DD" w:rsidR="004D0DEA">
        <w:t>Manner</w:t>
      </w:r>
      <w:r w:rsidRPr="00A359DD">
        <w:t xml:space="preserve"> of execution of a judgment</w:t>
      </w:r>
    </w:p>
    <w:bookmarkStart w:name="Article203CCPr" w:id="11"/>
    <w:p w:rsidRPr="00A359DD" w:rsidR="00020A50" w:rsidP="00A359DD" w:rsidRDefault="00673295">
      <w:pPr>
        <w:pStyle w:val="ECHRPara"/>
      </w:pPr>
      <w:r w:rsidRPr="00A359DD">
        <w:fldChar w:fldCharType="begin"/>
      </w:r>
      <w:r w:rsidRPr="00A359DD">
        <w:instrText xml:space="preserve"> SEQ level0 \*arabic </w:instrText>
      </w:r>
      <w:r w:rsidRPr="00A359DD">
        <w:fldChar w:fldCharType="separate"/>
      </w:r>
      <w:r w:rsidRPr="00A359DD" w:rsidR="00A359DD">
        <w:rPr>
          <w:noProof/>
        </w:rPr>
        <w:t>21</w:t>
      </w:r>
      <w:r w:rsidRPr="00A359DD">
        <w:fldChar w:fldCharType="end"/>
      </w:r>
      <w:bookmarkEnd w:id="11"/>
      <w:r w:rsidRPr="00A359DD">
        <w:t xml:space="preserve">.  Article 203 § 1 of the Code of Civil Procedure provides that a court which considered a case </w:t>
      </w:r>
      <w:r w:rsidRPr="00A359DD" w:rsidR="00804BB1">
        <w:t>may</w:t>
      </w:r>
      <w:r w:rsidRPr="00A359DD">
        <w:t xml:space="preserve"> change the method and the procedure («c</w:t>
      </w:r>
      <w:proofErr w:type="spellStart"/>
      <w:r w:rsidRPr="00A359DD">
        <w:rPr>
          <w:lang w:val="ru-RU"/>
        </w:rPr>
        <w:t>пособ</w:t>
      </w:r>
      <w:proofErr w:type="spellEnd"/>
      <w:r w:rsidRPr="00A359DD">
        <w:t xml:space="preserve"> </w:t>
      </w:r>
      <w:r w:rsidRPr="00A359DD">
        <w:rPr>
          <w:lang w:val="ru-RU"/>
        </w:rPr>
        <w:t>и</w:t>
      </w:r>
      <w:r w:rsidRPr="00A359DD">
        <w:t xml:space="preserve"> </w:t>
      </w:r>
      <w:r w:rsidRPr="00A359DD">
        <w:rPr>
          <w:lang w:val="ru-RU"/>
        </w:rPr>
        <w:t>порядок</w:t>
      </w:r>
      <w:r w:rsidRPr="00A359DD">
        <w:t xml:space="preserve">») of execution of the judgment on applications of the parties or the bailiff or </w:t>
      </w:r>
      <w:r w:rsidRPr="00A359DD" w:rsidR="00FF6438">
        <w:t>on account of the</w:t>
      </w:r>
      <w:r w:rsidRPr="00A359DD">
        <w:t xml:space="preserve"> parties</w:t>
      </w:r>
      <w:r w:rsidRPr="00A359DD" w:rsidR="00A359DD">
        <w:t>’</w:t>
      </w:r>
      <w:r w:rsidRPr="00A359DD">
        <w:t xml:space="preserve"> property s</w:t>
      </w:r>
      <w:r w:rsidRPr="00A359DD" w:rsidR="00B70DA3">
        <w:t>ituation</w:t>
      </w:r>
      <w:r w:rsidRPr="00A359DD">
        <w:t xml:space="preserve"> or other circumstances.</w:t>
      </w:r>
    </w:p>
    <w:bookmarkStart w:name="EnfActProvisions" w:id="12"/>
    <w:p w:rsidRPr="00A359DD" w:rsidR="00673295" w:rsidP="00A359DD" w:rsidRDefault="008A6A6A">
      <w:pPr>
        <w:pStyle w:val="ECHRPara"/>
      </w:pPr>
      <w:r w:rsidRPr="00A359DD">
        <w:fldChar w:fldCharType="begin"/>
      </w:r>
      <w:r w:rsidRPr="00A359DD">
        <w:instrText xml:space="preserve"> SEQ level0 \*arabic </w:instrText>
      </w:r>
      <w:r w:rsidRPr="00A359DD">
        <w:fldChar w:fldCharType="separate"/>
      </w:r>
      <w:r w:rsidRPr="00A359DD" w:rsidR="00A359DD">
        <w:rPr>
          <w:noProof/>
        </w:rPr>
        <w:t>22</w:t>
      </w:r>
      <w:r w:rsidRPr="00A359DD">
        <w:rPr>
          <w:noProof/>
        </w:rPr>
        <w:fldChar w:fldCharType="end"/>
      </w:r>
      <w:bookmarkEnd w:id="12"/>
      <w:r w:rsidRPr="00A359DD" w:rsidR="00673295">
        <w:t>.  According to section 18 of the Enforcement Act of 1997 (Federal Law on Enforceme</w:t>
      </w:r>
      <w:r w:rsidRPr="00A359DD" w:rsidR="008C1A96">
        <w:t>nt Proceedings no. 119-FZ of 21 </w:t>
      </w:r>
      <w:r w:rsidRPr="00A359DD" w:rsidR="00673295">
        <w:t>July 1997, in force until 1 February 2008), where circumstances precluding performance of the enforcement acts arose, a bailiff could apply to a court or another authority which issued the writ of execution, with a request for modification of the method and the procedure of execution of the judgment. The bailiff could do so of his own initiative or on the parties</w:t>
      </w:r>
      <w:r w:rsidRPr="00A359DD" w:rsidR="00A359DD">
        <w:t>’</w:t>
      </w:r>
      <w:r w:rsidRPr="00A359DD" w:rsidR="00673295">
        <w:t xml:space="preserve"> request. S</w:t>
      </w:r>
      <w:r w:rsidRPr="00A359DD" w:rsidR="008C1A96">
        <w:t>imilarly, s</w:t>
      </w:r>
      <w:r w:rsidRPr="00A359DD" w:rsidR="00673295">
        <w:t>ection 37 of the Enforcement Act of 2007 (Federal Law on Enforcement Proceedings no. 229- FZ of 2 October 2007 which replaced the earlier Enforcement Act as of 1 February 2008</w:t>
      </w:r>
      <w:r w:rsidRPr="00A359DD" w:rsidR="00801958">
        <w:t xml:space="preserve"> and is now in force</w:t>
      </w:r>
      <w:r w:rsidRPr="00A359DD" w:rsidR="00673295">
        <w:t xml:space="preserve">) provides </w:t>
      </w:r>
      <w:r w:rsidRPr="00A359DD" w:rsidR="008C1A96">
        <w:t>that</w:t>
      </w:r>
      <w:r w:rsidRPr="00A359DD" w:rsidR="00673295">
        <w:t xml:space="preserve"> the bailiff may request a court, another organ or authority which has issued the enforcement document to modify the method and the procedure of execution</w:t>
      </w:r>
      <w:r w:rsidRPr="00A359DD" w:rsidR="008C1A96">
        <w:t>.</w:t>
      </w:r>
    </w:p>
    <w:p w:rsidRPr="00A359DD" w:rsidR="00673295" w:rsidP="00A359DD" w:rsidRDefault="008A6A6A">
      <w:pPr>
        <w:pStyle w:val="ECHRHeading2"/>
      </w:pPr>
      <w:r w:rsidRPr="00A359DD">
        <w:t>B</w:t>
      </w:r>
      <w:r w:rsidRPr="00A359DD" w:rsidR="00673295">
        <w:t>.  Allowances for military servicemen</w:t>
      </w:r>
    </w:p>
    <w:p w:rsidRPr="00A359DD" w:rsidR="00020A50"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23</w:t>
      </w:r>
      <w:r w:rsidRPr="00A359DD">
        <w:fldChar w:fldCharType="end"/>
      </w:r>
      <w:r w:rsidRPr="00A359DD" w:rsidR="0077175D">
        <w:t>.  </w:t>
      </w:r>
      <w:r w:rsidRPr="00A359DD" w:rsidR="001F489F">
        <w:t>Military servicemen are entitled to additional leave days in accordance with domestic legislation on account of their participation in the armed conflicts (Rules of Military Service, approved by the Decree of the President of the Russian Federation no. 1237</w:t>
      </w:r>
      <w:r w:rsidRPr="00A359DD" w:rsidR="001F7611">
        <w:t xml:space="preserve"> </w:t>
      </w:r>
      <w:r w:rsidRPr="00A359DD" w:rsidR="001F489F">
        <w:t>of 16 September 1999</w:t>
      </w:r>
      <w:r w:rsidRPr="00A359DD" w:rsidR="00702E54">
        <w:t>, section </w:t>
      </w:r>
      <w:r w:rsidRPr="00A359DD" w:rsidR="001F489F">
        <w:t>34(16)).</w:t>
      </w:r>
    </w:p>
    <w:p w:rsidRPr="00A359DD" w:rsidR="0004700E" w:rsidP="00A359DD" w:rsidRDefault="00C75E5B">
      <w:pPr>
        <w:pStyle w:val="ECHRPara"/>
      </w:pPr>
      <w:r w:rsidRPr="00A359DD">
        <w:fldChar w:fldCharType="begin"/>
      </w:r>
      <w:r w:rsidRPr="00A359DD">
        <w:instrText xml:space="preserve"> SEQ level0 \*arabic </w:instrText>
      </w:r>
      <w:r w:rsidRPr="00A359DD">
        <w:fldChar w:fldCharType="separate"/>
      </w:r>
      <w:r w:rsidRPr="00A359DD" w:rsidR="00A359DD">
        <w:rPr>
          <w:noProof/>
        </w:rPr>
        <w:t>24</w:t>
      </w:r>
      <w:r w:rsidRPr="00A359DD">
        <w:fldChar w:fldCharType="end"/>
      </w:r>
      <w:r w:rsidRPr="00A359DD">
        <w:t>.  </w:t>
      </w:r>
      <w:r w:rsidRPr="00A359DD" w:rsidR="00B1497D">
        <w:t>Servicemen</w:t>
      </w:r>
      <w:r w:rsidRPr="00A359DD" w:rsidR="002F131B">
        <w:t xml:space="preserve"> </w:t>
      </w:r>
      <w:r w:rsidRPr="00A359DD" w:rsidR="001F489F">
        <w:t xml:space="preserve">dismissed from military service </w:t>
      </w:r>
      <w:r w:rsidRPr="00A359DD" w:rsidR="00CC4CA5">
        <w:t xml:space="preserve">should be provided with all types of allowances </w:t>
      </w:r>
      <w:r w:rsidRPr="00A359DD" w:rsidR="0004700E">
        <w:t xml:space="preserve">on </w:t>
      </w:r>
      <w:r w:rsidRPr="00A359DD" w:rsidR="00CC4CA5">
        <w:t xml:space="preserve">the date of </w:t>
      </w:r>
      <w:r w:rsidRPr="00A359DD" w:rsidR="00F40FC2">
        <w:t>their</w:t>
      </w:r>
      <w:r w:rsidRPr="00A359DD" w:rsidR="00CC4CA5">
        <w:t xml:space="preserve"> </w:t>
      </w:r>
      <w:r w:rsidRPr="00A359DD" w:rsidR="001F489F">
        <w:t>exclusion from the military unit</w:t>
      </w:r>
      <w:r w:rsidRPr="00A359DD" w:rsidR="00A359DD">
        <w:t>’</w:t>
      </w:r>
      <w:r w:rsidRPr="00A359DD" w:rsidR="001F489F">
        <w:t>s lists</w:t>
      </w:r>
      <w:r w:rsidRPr="00A359DD" w:rsidR="00CC4CA5">
        <w:t xml:space="preserve">. Otherwise </w:t>
      </w:r>
      <w:r w:rsidRPr="00A359DD" w:rsidR="00B1497D">
        <w:t xml:space="preserve">they </w:t>
      </w:r>
      <w:r w:rsidRPr="00A359DD" w:rsidR="00CC4CA5">
        <w:t>cannot be dismissed from service</w:t>
      </w:r>
      <w:r w:rsidRPr="00A359DD" w:rsidR="000137E9">
        <w:t xml:space="preserve"> without their</w:t>
      </w:r>
      <w:r w:rsidRPr="00A359DD" w:rsidR="00CC4CA5">
        <w:t xml:space="preserve"> consent</w:t>
      </w:r>
      <w:r w:rsidRPr="00A359DD" w:rsidR="0068697B">
        <w:t xml:space="preserve"> </w:t>
      </w:r>
      <w:r w:rsidRPr="00A359DD" w:rsidR="001F489F">
        <w:t>(section</w:t>
      </w:r>
      <w:r w:rsidRPr="00A359DD" w:rsidR="009C475E">
        <w:t> </w:t>
      </w:r>
      <w:r w:rsidRPr="00A359DD" w:rsidR="001F489F">
        <w:t>34(16) of the above Rules).</w:t>
      </w:r>
    </w:p>
    <w:p w:rsidRPr="00A359DD" w:rsidR="00D420F3" w:rsidP="00A359DD" w:rsidRDefault="0077175D">
      <w:pPr>
        <w:pStyle w:val="ECHRTitle1"/>
      </w:pPr>
      <w:bookmarkStart w:name="dst272" w:id="13"/>
      <w:bookmarkStart w:name="dst276" w:id="14"/>
      <w:bookmarkEnd w:id="13"/>
      <w:bookmarkEnd w:id="14"/>
      <w:r w:rsidRPr="00A359DD">
        <w:t>THE LAW</w:t>
      </w:r>
    </w:p>
    <w:p w:rsidRPr="00A359DD" w:rsidR="00D420F3" w:rsidP="00A359DD" w:rsidRDefault="0077175D">
      <w:pPr>
        <w:pStyle w:val="ECHRHeading1"/>
      </w:pPr>
      <w:r w:rsidRPr="00A359DD">
        <w:t>I</w:t>
      </w:r>
      <w:r w:rsidRPr="00A359DD" w:rsidR="00282C8F">
        <w:t>.  ALLEGED VIOLATION OF ARTICLE 6</w:t>
      </w:r>
      <w:r w:rsidRPr="00A359DD">
        <w:t xml:space="preserve"> OF THE CONVENTION</w:t>
      </w:r>
    </w:p>
    <w:p w:rsidRPr="00A359DD" w:rsidR="00D420F3"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25</w:t>
      </w:r>
      <w:r w:rsidRPr="00A359DD">
        <w:fldChar w:fldCharType="end"/>
      </w:r>
      <w:r w:rsidRPr="00A359DD" w:rsidR="0077175D">
        <w:t xml:space="preserve">.  The applicant complained </w:t>
      </w:r>
      <w:r w:rsidRPr="00A359DD" w:rsidR="00787941">
        <w:t>about the non-enforcement of the judgment of 11 February 2004 in her favour. She referred to Article 6</w:t>
      </w:r>
      <w:r w:rsidRPr="00A359DD" w:rsidR="0077175D">
        <w:t xml:space="preserve"> of the Convention</w:t>
      </w:r>
      <w:r w:rsidRPr="00A359DD" w:rsidR="00787941">
        <w:t xml:space="preserve"> and Article 1 of Protocol No.</w:t>
      </w:r>
      <w:r w:rsidRPr="00A359DD" w:rsidR="00702E54">
        <w:t> </w:t>
      </w:r>
      <w:r w:rsidRPr="00A359DD" w:rsidR="00787941">
        <w:t>1</w:t>
      </w:r>
      <w:r w:rsidRPr="00A359DD" w:rsidR="0077175D">
        <w:t>, which reads as follows:</w:t>
      </w:r>
    </w:p>
    <w:p w:rsidRPr="00A359DD" w:rsidR="00787941" w:rsidP="00A359DD" w:rsidRDefault="00787941">
      <w:pPr>
        <w:pStyle w:val="ECHRTitleCentre3"/>
      </w:pPr>
      <w:r w:rsidRPr="00A359DD">
        <w:t>Article 6</w:t>
      </w:r>
    </w:p>
    <w:p w:rsidRPr="00A359DD" w:rsidR="00787941" w:rsidP="00A359DD" w:rsidRDefault="00787941">
      <w:pPr>
        <w:pStyle w:val="ECHRParaQuote"/>
      </w:pPr>
      <w:r w:rsidRPr="00A359DD">
        <w:t>“In the determination of his civil rights and obligations ... everyone is entitled to a fair ... hearing ... by [a] ... tribunal ...”</w:t>
      </w:r>
    </w:p>
    <w:p w:rsidRPr="00A359DD" w:rsidR="00787941" w:rsidP="00A359DD" w:rsidRDefault="00787941">
      <w:pPr>
        <w:pStyle w:val="ECHRTitleCentre3"/>
      </w:pPr>
      <w:r w:rsidRPr="00A359DD">
        <w:t>Article 1 of Protocol No. 1</w:t>
      </w:r>
    </w:p>
    <w:p w:rsidRPr="00A359DD" w:rsidR="00787941" w:rsidP="00A359DD" w:rsidRDefault="00787941">
      <w:pPr>
        <w:pStyle w:val="ECHRParaQuote"/>
      </w:pPr>
      <w:r w:rsidRPr="00A359D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359DD" w:rsidR="00787941" w:rsidP="00A359DD" w:rsidRDefault="00787941">
      <w:pPr>
        <w:pStyle w:val="ECHRParaQuote"/>
      </w:pPr>
      <w:r w:rsidRPr="00A359D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359DD" w:rsidR="00020A50"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26</w:t>
      </w:r>
      <w:r w:rsidRPr="00A359DD">
        <w:fldChar w:fldCharType="end"/>
      </w:r>
      <w:r w:rsidRPr="00A359DD" w:rsidR="0077175D">
        <w:t>.  </w:t>
      </w:r>
      <w:r w:rsidRPr="00A359DD" w:rsidR="00787941">
        <w:t>In their initial observations after the expiry of the adjournment period the Government submitted that the judgment in the applicant</w:t>
      </w:r>
      <w:r w:rsidRPr="00A359DD" w:rsidR="00A359DD">
        <w:t>’</w:t>
      </w:r>
      <w:r w:rsidRPr="00A359DD" w:rsidR="00787941">
        <w:t xml:space="preserve">s favour had remained unenforced. They acknowledged their obligations under the </w:t>
      </w:r>
      <w:r w:rsidRPr="00A359DD" w:rsidR="00787941">
        <w:rPr>
          <w:i/>
          <w:iCs/>
        </w:rPr>
        <w:t xml:space="preserve">Gerasimov and </w:t>
      </w:r>
      <w:proofErr w:type="gramStart"/>
      <w:r w:rsidRPr="00A359DD" w:rsidR="00787941">
        <w:rPr>
          <w:i/>
          <w:iCs/>
        </w:rPr>
        <w:t>Others</w:t>
      </w:r>
      <w:proofErr w:type="gramEnd"/>
      <w:r w:rsidRPr="00A359DD" w:rsidR="00787941">
        <w:t xml:space="preserve"> pilot judgment and stated that they would deploy all means to enforce the judgments which had remained without execution or resolve the issues by any appropriate means. </w:t>
      </w:r>
      <w:r w:rsidRPr="00A359DD" w:rsidR="004838FF">
        <w:t>In their further observations they noted</w:t>
      </w:r>
      <w:r w:rsidRPr="00A359DD" w:rsidR="00787941">
        <w:t>, without further details, that the leave days were “counted towards the applicant</w:t>
      </w:r>
      <w:r w:rsidRPr="00A359DD" w:rsidR="00A359DD">
        <w:t>’</w:t>
      </w:r>
      <w:r w:rsidRPr="00A359DD" w:rsidR="00787941">
        <w:t xml:space="preserve">s service period” and that she </w:t>
      </w:r>
      <w:r w:rsidRPr="00A359DD" w:rsidR="00745A5D">
        <w:t xml:space="preserve">had been </w:t>
      </w:r>
      <w:r w:rsidRPr="00A359DD" w:rsidR="00787941">
        <w:t xml:space="preserve">provided </w:t>
      </w:r>
      <w:r w:rsidRPr="00A359DD" w:rsidR="00745A5D">
        <w:t xml:space="preserve">with </w:t>
      </w:r>
      <w:r w:rsidRPr="00A359DD" w:rsidR="00787941">
        <w:t xml:space="preserve">“30 rehabilitation days instead of the unused leave”. They further </w:t>
      </w:r>
      <w:r w:rsidRPr="00A359DD" w:rsidR="005D3562">
        <w:t>quoted</w:t>
      </w:r>
      <w:r w:rsidRPr="00A359DD" w:rsidR="004838FF">
        <w:t xml:space="preserve"> the domestic court</w:t>
      </w:r>
      <w:r w:rsidRPr="00A359DD" w:rsidR="00A359DD">
        <w:t>’</w:t>
      </w:r>
      <w:r w:rsidRPr="00A359DD" w:rsidR="004838FF">
        <w:t xml:space="preserve">s findings to the effect that </w:t>
      </w:r>
      <w:r w:rsidRPr="00A359DD" w:rsidR="005D3562">
        <w:t xml:space="preserve">the </w:t>
      </w:r>
      <w:r w:rsidRPr="00A359DD" w:rsidR="00787941">
        <w:t xml:space="preserve">applicant </w:t>
      </w:r>
      <w:r w:rsidRPr="00A359DD" w:rsidR="004838FF">
        <w:t>had not asked</w:t>
      </w:r>
      <w:r w:rsidRPr="00A359DD" w:rsidR="00787941">
        <w:t xml:space="preserve"> the </w:t>
      </w:r>
      <w:r w:rsidRPr="00A359DD" w:rsidR="004838FF">
        <w:t xml:space="preserve">command of the initial debtor unit </w:t>
      </w:r>
      <w:r w:rsidRPr="00A359DD" w:rsidR="008E5730">
        <w:t xml:space="preserve">for provision of additional leave days </w:t>
      </w:r>
      <w:r w:rsidRPr="00A359DD" w:rsidR="004838FF">
        <w:t xml:space="preserve">before her dismissal from that unit, and that the </w:t>
      </w:r>
      <w:r w:rsidRPr="00A359DD" w:rsidR="00A1078F">
        <w:t>domestic courts had not examined whether the manner of execution should have been changed</w:t>
      </w:r>
      <w:r w:rsidRPr="00A359DD" w:rsidR="00787941">
        <w:t xml:space="preserve">. </w:t>
      </w:r>
      <w:r w:rsidRPr="00A359DD" w:rsidR="008E5730">
        <w:t xml:space="preserve">They submitted that it was no longer possible to provide the applicant with additional days of leave, as </w:t>
      </w:r>
      <w:r w:rsidRPr="00A359DD" w:rsidR="00917655">
        <w:t>she</w:t>
      </w:r>
      <w:r w:rsidRPr="00A359DD" w:rsidR="008E5730">
        <w:t xml:space="preserve"> had been dismissed from the military service.</w:t>
      </w:r>
    </w:p>
    <w:p w:rsidRPr="00A359DD" w:rsidR="00FC4F82"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27</w:t>
      </w:r>
      <w:r w:rsidRPr="00A359DD">
        <w:fldChar w:fldCharType="end"/>
      </w:r>
      <w:r w:rsidRPr="00A359DD" w:rsidR="0077175D">
        <w:t>.  </w:t>
      </w:r>
      <w:r w:rsidRPr="00A359DD" w:rsidR="00787941">
        <w:t xml:space="preserve">The applicant maintained her complaint. She argued that the two military units were parts of the same sub-division, and the new military unit had been under obligation to comply with the unenforced part of the final judgment in her favour. </w:t>
      </w:r>
      <w:r w:rsidRPr="00A359DD" w:rsidR="00D13F3F">
        <w:t>Pursuant to the applicant</w:t>
      </w:r>
      <w:r w:rsidRPr="00A359DD" w:rsidR="00A359DD">
        <w:t>’</w:t>
      </w:r>
      <w:r w:rsidRPr="00A359DD" w:rsidR="00D13F3F">
        <w:t xml:space="preserve">s request in 2010, the </w:t>
      </w:r>
      <w:r w:rsidRPr="00A359DD" w:rsidR="00787941">
        <w:t>new military unit command voluntarily complied with th</w:t>
      </w:r>
      <w:r w:rsidRPr="00A359DD" w:rsidR="005D3562">
        <w:t>at</w:t>
      </w:r>
      <w:r w:rsidRPr="00A359DD" w:rsidR="00787941">
        <w:t xml:space="preserve"> jud</w:t>
      </w:r>
      <w:r w:rsidRPr="00A359DD" w:rsidR="005D3562">
        <w:t xml:space="preserve">icial decision </w:t>
      </w:r>
      <w:r w:rsidRPr="00A359DD" w:rsidR="00787941">
        <w:t xml:space="preserve">in part, as they had calculated the length of </w:t>
      </w:r>
      <w:r w:rsidRPr="00A359DD" w:rsidR="00D13F3F">
        <w:t>her</w:t>
      </w:r>
      <w:r w:rsidRPr="00A359DD" w:rsidR="00787941">
        <w:t xml:space="preserve"> service. The appeal court</w:t>
      </w:r>
      <w:r w:rsidRPr="00A359DD" w:rsidR="00A359DD">
        <w:t>’</w:t>
      </w:r>
      <w:r w:rsidRPr="00A359DD" w:rsidR="00787941">
        <w:t xml:space="preserve">s findings absolving the new unit from an obligation to enforce the award had been unfair. The days of the rehabilitation leave could not be counted towards </w:t>
      </w:r>
      <w:r w:rsidRPr="00A359DD" w:rsidR="005D3562">
        <w:t>her</w:t>
      </w:r>
      <w:r w:rsidRPr="00A359DD" w:rsidR="00787941">
        <w:t xml:space="preserve"> unused </w:t>
      </w:r>
      <w:r w:rsidRPr="00A359DD" w:rsidR="00745A5D">
        <w:t xml:space="preserve">additional </w:t>
      </w:r>
      <w:r w:rsidRPr="00A359DD" w:rsidR="00787941">
        <w:t>leave.</w:t>
      </w:r>
    </w:p>
    <w:p w:rsidRPr="00A359DD" w:rsidR="00D420F3" w:rsidP="00A359DD" w:rsidRDefault="0077175D">
      <w:pPr>
        <w:pStyle w:val="ECHRHeading2"/>
      </w:pPr>
      <w:r w:rsidRPr="00A359DD">
        <w:t>A.  Admissibility</w:t>
      </w:r>
    </w:p>
    <w:p w:rsidRPr="00A359DD" w:rsidR="00020A50"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28</w:t>
      </w:r>
      <w:r w:rsidRPr="00A359DD">
        <w:rPr>
          <w:noProof/>
        </w:rPr>
        <w:fldChar w:fldCharType="end"/>
      </w:r>
      <w:r w:rsidRPr="00A359DD" w:rsidR="003140A7">
        <w:t>.  </w:t>
      </w:r>
      <w:r w:rsidRPr="00A359DD" w:rsidR="00D932A4">
        <w:t>The</w:t>
      </w:r>
      <w:r w:rsidRPr="00A359DD" w:rsidR="00010BEA">
        <w:t xml:space="preserve"> Government may be understood to argue that the applicant</w:t>
      </w:r>
      <w:r w:rsidRPr="00A359DD" w:rsidR="00A359DD">
        <w:t>’</w:t>
      </w:r>
      <w:r w:rsidRPr="00A359DD" w:rsidR="00010BEA">
        <w:t xml:space="preserve">s behaviour was uncooperative and constituted an obstacle to </w:t>
      </w:r>
      <w:r w:rsidRPr="00A359DD" w:rsidR="001B0CF3">
        <w:t xml:space="preserve">the </w:t>
      </w:r>
      <w:r w:rsidRPr="00A359DD" w:rsidR="00010BEA">
        <w:t xml:space="preserve">enforcement of </w:t>
      </w:r>
      <w:r w:rsidRPr="00A359DD" w:rsidR="001B0CF3">
        <w:t>the judgment in good time</w:t>
      </w:r>
      <w:r w:rsidRPr="00A359DD" w:rsidR="00D932A4">
        <w:t>.</w:t>
      </w:r>
    </w:p>
    <w:p w:rsidRPr="00A359DD" w:rsidR="00D932A4"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29</w:t>
      </w:r>
      <w:r w:rsidRPr="00A359DD">
        <w:rPr>
          <w:noProof/>
        </w:rPr>
        <w:fldChar w:fldCharType="end"/>
      </w:r>
      <w:r w:rsidRPr="00A359DD" w:rsidR="00D932A4">
        <w:t xml:space="preserve">.  The Court has accepted in earlier cases that a successful litigant may be required to undertake certain procedural steps in order to recover the judgment debt (see </w:t>
      </w:r>
      <w:proofErr w:type="spellStart"/>
      <w:r w:rsidRPr="00A359DD" w:rsidR="00D932A4">
        <w:rPr>
          <w:i/>
        </w:rPr>
        <w:t>Shvedov</w:t>
      </w:r>
      <w:proofErr w:type="spellEnd"/>
      <w:r w:rsidRPr="00A359DD" w:rsidR="00D932A4">
        <w:rPr>
          <w:i/>
        </w:rPr>
        <w:t xml:space="preserve"> v. Russia</w:t>
      </w:r>
      <w:r w:rsidRPr="00A359DD" w:rsidR="00D932A4">
        <w:t>, no. 69306/01, § 32, 20 October 2005). The creditor</w:t>
      </w:r>
      <w:r w:rsidRPr="00A359DD" w:rsidR="00A359DD">
        <w:t>’</w:t>
      </w:r>
      <w:r w:rsidRPr="00A359DD" w:rsidR="00D932A4">
        <w:t>s uncooperative behaviour may be an obstacle to timely enforcement of a judgment, thus alleviating the authorities</w:t>
      </w:r>
      <w:r w:rsidRPr="00A359DD" w:rsidR="00A359DD">
        <w:t>’</w:t>
      </w:r>
      <w:r w:rsidRPr="00A359DD" w:rsidR="00D932A4">
        <w:t xml:space="preserve"> responsibility for delays (see </w:t>
      </w:r>
      <w:proofErr w:type="spellStart"/>
      <w:r w:rsidRPr="00A359DD" w:rsidR="00D932A4">
        <w:rPr>
          <w:i/>
        </w:rPr>
        <w:t>Belayev</w:t>
      </w:r>
      <w:proofErr w:type="spellEnd"/>
      <w:r w:rsidRPr="00A359DD" w:rsidR="00D932A4">
        <w:rPr>
          <w:i/>
        </w:rPr>
        <w:t xml:space="preserve"> v. Russia</w:t>
      </w:r>
      <w:r w:rsidRPr="00A359DD" w:rsidR="00D932A4">
        <w:t xml:space="preserve"> (</w:t>
      </w:r>
      <w:proofErr w:type="spellStart"/>
      <w:r w:rsidRPr="00A359DD" w:rsidR="00D932A4">
        <w:t>dec.</w:t>
      </w:r>
      <w:proofErr w:type="spellEnd"/>
      <w:r w:rsidRPr="00A359DD" w:rsidR="00D932A4">
        <w:t>), no. 36020/02, 22 March 2011). The requirement of the creditor</w:t>
      </w:r>
      <w:r w:rsidRPr="00A359DD" w:rsidR="00A359DD">
        <w:t>’</w:t>
      </w:r>
      <w:r w:rsidRPr="00A359DD" w:rsidR="00D932A4">
        <w:t xml:space="preserve">s cooperation must not, however, go beyond what is strictly necessary and, in any event, does not relieve the authorities of their obligation under the Convention to take timely action of their own motion, on the basis of the information available to them, with a view to honouring the judgment against the State (see </w:t>
      </w:r>
      <w:proofErr w:type="spellStart"/>
      <w:r w:rsidRPr="00A359DD" w:rsidR="00491636">
        <w:rPr>
          <w:i/>
          <w:iCs/>
        </w:rPr>
        <w:t>Akashev</w:t>
      </w:r>
      <w:proofErr w:type="spellEnd"/>
      <w:r w:rsidRPr="00A359DD" w:rsidR="00491636">
        <w:rPr>
          <w:i/>
          <w:iCs/>
        </w:rPr>
        <w:t xml:space="preserve"> v. Russia</w:t>
      </w:r>
      <w:r w:rsidRPr="00A359DD" w:rsidR="00491636">
        <w:t>, no. 30616/05, § 22, 12 June 2008</w:t>
      </w:r>
      <w:r w:rsidRPr="00A359DD" w:rsidR="00D932A4">
        <w:t>).</w:t>
      </w:r>
    </w:p>
    <w:bookmarkStart w:name="CaseLawNNEFBurden" w:id="15"/>
    <w:p w:rsidRPr="00A359DD" w:rsidR="00784746" w:rsidP="00A359DD" w:rsidRDefault="00D932A4">
      <w:pPr>
        <w:pStyle w:val="ECHRPara"/>
      </w:pPr>
      <w:r w:rsidRPr="00A359DD">
        <w:fldChar w:fldCharType="begin"/>
      </w:r>
      <w:r w:rsidRPr="00A359DD">
        <w:instrText xml:space="preserve"> SEQ level0 \*arabic </w:instrText>
      </w:r>
      <w:r w:rsidRPr="00A359DD">
        <w:fldChar w:fldCharType="separate"/>
      </w:r>
      <w:r w:rsidRPr="00A359DD" w:rsidR="00A359DD">
        <w:rPr>
          <w:noProof/>
        </w:rPr>
        <w:t>30</w:t>
      </w:r>
      <w:r w:rsidRPr="00A359DD">
        <w:fldChar w:fldCharType="end"/>
      </w:r>
      <w:bookmarkEnd w:id="15"/>
      <w:r w:rsidRPr="00A359DD">
        <w:t>.  </w:t>
      </w:r>
      <w:r w:rsidRPr="00A359DD" w:rsidR="00D2250B">
        <w:t>As regards the applicant</w:t>
      </w:r>
      <w:r w:rsidRPr="00A359DD" w:rsidR="00A359DD">
        <w:t>’</w:t>
      </w:r>
      <w:r w:rsidRPr="00A359DD" w:rsidR="00D2250B">
        <w:t xml:space="preserve">s alleged failure to request the initial debtor to execute the judicial award, </w:t>
      </w:r>
      <w:r w:rsidRPr="00A359DD" w:rsidR="00F26660">
        <w:t xml:space="preserve">the Court </w:t>
      </w:r>
      <w:r w:rsidRPr="00A359DD" w:rsidR="00784746">
        <w:t xml:space="preserve">reiterates that a person who has obtained an enforcement title against the State cannot be required to resort to enforcement proceedings in order to have it executed (see, for example, </w:t>
      </w:r>
      <w:proofErr w:type="spellStart"/>
      <w:r w:rsidRPr="00A359DD" w:rsidR="00784746">
        <w:rPr>
          <w:i/>
        </w:rPr>
        <w:t>Cocchiarella</w:t>
      </w:r>
      <w:proofErr w:type="spellEnd"/>
      <w:r w:rsidRPr="00A359DD" w:rsidR="00784746">
        <w:rPr>
          <w:i/>
        </w:rPr>
        <w:t xml:space="preserve"> v. Italy</w:t>
      </w:r>
      <w:r w:rsidRPr="00A359DD" w:rsidR="00784746">
        <w:t xml:space="preserve"> [GC], no. 64886/01, § </w:t>
      </w:r>
      <w:r w:rsidRPr="00A359DD" w:rsidR="00277780">
        <w:t>89, ECHR 2006</w:t>
      </w:r>
      <w:r w:rsidRPr="00A359DD" w:rsidR="00277780">
        <w:noBreakHyphen/>
        <w:t>V</w:t>
      </w:r>
      <w:r w:rsidRPr="00A359DD" w:rsidR="00784746">
        <w:t>). In such cases, the defendant State authority must be duly notiﬁed of the judgment and is thus well placed to take all necessary initiatives to comply with it or to transmit it to another competent State authority responsible for execution (see</w:t>
      </w:r>
      <w:r w:rsidRPr="00A359DD" w:rsidR="00491636">
        <w:t>, among others,</w:t>
      </w:r>
      <w:r w:rsidRPr="00A359DD" w:rsidR="00784746">
        <w:t xml:space="preserve"> </w:t>
      </w:r>
      <w:proofErr w:type="spellStart"/>
      <w:r w:rsidRPr="00A359DD" w:rsidR="00491636">
        <w:rPr>
          <w:i/>
          <w:iCs/>
        </w:rPr>
        <w:t>Akashev</w:t>
      </w:r>
      <w:proofErr w:type="spellEnd"/>
      <w:r w:rsidRPr="00A359DD" w:rsidR="00491636">
        <w:rPr>
          <w:i/>
          <w:iCs/>
        </w:rPr>
        <w:t xml:space="preserve">, </w:t>
      </w:r>
      <w:r w:rsidRPr="00A359DD" w:rsidR="00491636">
        <w:t>cited above,</w:t>
      </w:r>
      <w:r w:rsidRPr="00A359DD" w:rsidR="00784746">
        <w:t xml:space="preserve"> § 21). </w:t>
      </w:r>
      <w:r w:rsidRPr="00A359DD" w:rsidR="00932046">
        <w:t>The</w:t>
      </w:r>
      <w:r w:rsidRPr="00A359DD" w:rsidR="00784746">
        <w:t xml:space="preserve"> initial debtor in the present case was served with the copy of the judgment and, moreover, started to comply with it (see paragraph </w:t>
      </w:r>
      <w:r w:rsidRPr="00A359DD" w:rsidR="00932046">
        <w:fldChar w:fldCharType="begin"/>
      </w:r>
      <w:r w:rsidRPr="00A359DD" w:rsidR="00932046">
        <w:instrText xml:space="preserve"> REF PartialEnforcement \h </w:instrText>
      </w:r>
      <w:r w:rsidRPr="00A359DD" w:rsidR="00932046">
        <w:fldChar w:fldCharType="separate"/>
      </w:r>
      <w:r w:rsidRPr="00A359DD" w:rsidR="00A359DD">
        <w:rPr>
          <w:noProof/>
        </w:rPr>
        <w:t>11</w:t>
      </w:r>
      <w:r w:rsidRPr="00A359DD" w:rsidR="00932046">
        <w:fldChar w:fldCharType="end"/>
      </w:r>
      <w:r w:rsidRPr="00A359DD" w:rsidR="00784746">
        <w:t xml:space="preserve"> above). </w:t>
      </w:r>
      <w:r w:rsidRPr="00A359DD" w:rsidR="00324967">
        <w:t>The</w:t>
      </w:r>
      <w:r w:rsidRPr="00A359DD" w:rsidR="00784746">
        <w:t xml:space="preserve"> Court does not discern any need for the applicant to remind the authorities of the judgment they had already started to execute. </w:t>
      </w:r>
      <w:r w:rsidRPr="00A359DD" w:rsidR="008E50EF">
        <w:t>Similarly</w:t>
      </w:r>
      <w:r w:rsidRPr="00A359DD" w:rsidR="0025067F">
        <w:t>, the</w:t>
      </w:r>
      <w:r w:rsidRPr="00A359DD" w:rsidR="00784746">
        <w:t xml:space="preserve"> Court sees no reason to depart from its settled approach and finds that the applicant cannot be blamed for not making use of the compulsory enforcement proceedings.</w:t>
      </w:r>
    </w:p>
    <w:p w:rsidRPr="00A359DD" w:rsidR="00020A50" w:rsidP="00A359DD" w:rsidRDefault="00D13F3F">
      <w:pPr>
        <w:pStyle w:val="ECHRPara"/>
      </w:pPr>
      <w:r w:rsidRPr="00A359DD">
        <w:fldChar w:fldCharType="begin"/>
      </w:r>
      <w:r w:rsidRPr="00A359DD">
        <w:instrText xml:space="preserve"> SEQ level0 \*arabic </w:instrText>
      </w:r>
      <w:r w:rsidRPr="00A359DD">
        <w:fldChar w:fldCharType="separate"/>
      </w:r>
      <w:r w:rsidRPr="00A359DD" w:rsidR="00A359DD">
        <w:rPr>
          <w:noProof/>
        </w:rPr>
        <w:t>31</w:t>
      </w:r>
      <w:r w:rsidRPr="00A359DD">
        <w:fldChar w:fldCharType="end"/>
      </w:r>
      <w:r w:rsidRPr="00A359DD">
        <w:t>.  </w:t>
      </w:r>
      <w:r w:rsidRPr="00A359DD" w:rsidR="00F26660">
        <w:t>Further, as noted by the domestic courts and the Government, she could have arguably request</w:t>
      </w:r>
      <w:r w:rsidRPr="00A359DD" w:rsidR="00DE79CB">
        <w:t>ed</w:t>
      </w:r>
      <w:r w:rsidRPr="00A359DD" w:rsidR="00F26660">
        <w:t xml:space="preserve"> to change the manner of execution</w:t>
      </w:r>
      <w:r w:rsidRPr="00A359DD" w:rsidR="0025067F">
        <w:t xml:space="preserve"> (see paragraph </w:t>
      </w:r>
      <w:r w:rsidRPr="00A359DD" w:rsidR="0025067F">
        <w:fldChar w:fldCharType="begin"/>
      </w:r>
      <w:r w:rsidRPr="00A359DD" w:rsidR="0025067F">
        <w:instrText xml:space="preserve"> REF Article203CCPr \h </w:instrText>
      </w:r>
      <w:r w:rsidRPr="00A359DD" w:rsidR="0025067F">
        <w:fldChar w:fldCharType="separate"/>
      </w:r>
      <w:r w:rsidRPr="00A359DD" w:rsidR="00A359DD">
        <w:rPr>
          <w:noProof/>
        </w:rPr>
        <w:t>21</w:t>
      </w:r>
      <w:r w:rsidRPr="00A359DD" w:rsidR="0025067F">
        <w:fldChar w:fldCharType="end"/>
      </w:r>
      <w:r w:rsidRPr="00A359DD" w:rsidR="0025067F">
        <w:t xml:space="preserve"> above)</w:t>
      </w:r>
      <w:r w:rsidRPr="00A359DD" w:rsidR="00F26660">
        <w:t xml:space="preserve">, or, in case where the enforcement proceedings </w:t>
      </w:r>
      <w:r w:rsidRPr="00A359DD" w:rsidR="00784746">
        <w:t>were</w:t>
      </w:r>
      <w:r w:rsidRPr="00A359DD" w:rsidR="00F26660">
        <w:t xml:space="preserve"> in place, request the bailiff to make such a request (see paragraph</w:t>
      </w:r>
      <w:r w:rsidRPr="00A359DD" w:rsidR="0025067F">
        <w:t>s</w:t>
      </w:r>
      <w:r w:rsidRPr="00A359DD" w:rsidR="00F26660">
        <w:t> </w:t>
      </w:r>
      <w:r w:rsidRPr="00A359DD" w:rsidR="0025067F">
        <w:fldChar w:fldCharType="begin"/>
      </w:r>
      <w:r w:rsidRPr="00A359DD" w:rsidR="0025067F">
        <w:instrText xml:space="preserve"> REF Article203CCPr \h </w:instrText>
      </w:r>
      <w:r w:rsidRPr="00A359DD" w:rsidR="0025067F">
        <w:fldChar w:fldCharType="separate"/>
      </w:r>
      <w:r w:rsidRPr="00A359DD" w:rsidR="00A359DD">
        <w:rPr>
          <w:noProof/>
        </w:rPr>
        <w:t>21</w:t>
      </w:r>
      <w:r w:rsidRPr="00A359DD" w:rsidR="0025067F">
        <w:fldChar w:fldCharType="end"/>
      </w:r>
      <w:r w:rsidRPr="00A359DD" w:rsidR="0025067F">
        <w:t xml:space="preserve"> and </w:t>
      </w:r>
      <w:r w:rsidRPr="00A359DD" w:rsidR="0025067F">
        <w:fldChar w:fldCharType="begin"/>
      </w:r>
      <w:r w:rsidRPr="00A359DD" w:rsidR="0025067F">
        <w:instrText xml:space="preserve"> REF EnfActProvisions \h </w:instrText>
      </w:r>
      <w:r w:rsidRPr="00A359DD" w:rsidR="0025067F">
        <w:fldChar w:fldCharType="separate"/>
      </w:r>
      <w:r w:rsidRPr="00A359DD" w:rsidR="00A359DD">
        <w:rPr>
          <w:noProof/>
        </w:rPr>
        <w:t>22</w:t>
      </w:r>
      <w:r w:rsidRPr="00A359DD" w:rsidR="0025067F">
        <w:fldChar w:fldCharType="end"/>
      </w:r>
      <w:r w:rsidRPr="00A359DD" w:rsidR="00F26660">
        <w:t xml:space="preserve"> above). However</w:t>
      </w:r>
      <w:r w:rsidRPr="00A359DD" w:rsidR="00933041">
        <w:t xml:space="preserve">, in the absence of any further </w:t>
      </w:r>
      <w:r w:rsidRPr="00A359DD" w:rsidR="00AA0B7A">
        <w:t xml:space="preserve">clarifications </w:t>
      </w:r>
      <w:r w:rsidRPr="00A359DD" w:rsidR="00F26660">
        <w:t>from the parties, the Court cannot speculate on the outcome of such request, let alone prospects of success</w:t>
      </w:r>
      <w:r w:rsidRPr="00A359DD" w:rsidR="00404B31">
        <w:t xml:space="preserve"> of such proceeding</w:t>
      </w:r>
      <w:r w:rsidRPr="00A359DD" w:rsidR="008E50EF">
        <w:t xml:space="preserve">s, given that </w:t>
      </w:r>
      <w:r w:rsidRPr="00A359DD" w:rsidR="00404B31">
        <w:t xml:space="preserve">the key issue </w:t>
      </w:r>
      <w:r w:rsidRPr="00A359DD" w:rsidR="008E50EF">
        <w:t xml:space="preserve">in the present case </w:t>
      </w:r>
      <w:r w:rsidRPr="00A359DD" w:rsidR="00404B31">
        <w:t>was a correct determination of</w:t>
      </w:r>
      <w:r w:rsidRPr="00A359DD" w:rsidR="00FB2089">
        <w:t xml:space="preserve"> an entity responsible for further enforcement</w:t>
      </w:r>
      <w:r w:rsidRPr="00A359DD" w:rsidR="00100FCE">
        <w:t>,</w:t>
      </w:r>
      <w:r w:rsidRPr="00A359DD" w:rsidR="00404B31">
        <w:t xml:space="preserve"> </w:t>
      </w:r>
      <w:r w:rsidRPr="00A359DD" w:rsidR="00100FCE">
        <w:t xml:space="preserve">rather </w:t>
      </w:r>
      <w:r w:rsidRPr="00A359DD" w:rsidR="00404B31">
        <w:t>th</w:t>
      </w:r>
      <w:r w:rsidRPr="00A359DD" w:rsidR="00C07188">
        <w:t>a</w:t>
      </w:r>
      <w:r w:rsidRPr="00A359DD" w:rsidR="00404B31">
        <w:t xml:space="preserve">n specific </w:t>
      </w:r>
      <w:r w:rsidRPr="00A359DD" w:rsidR="00C07188">
        <w:t xml:space="preserve">enforcement </w:t>
      </w:r>
      <w:r w:rsidRPr="00A359DD" w:rsidR="00404B31">
        <w:t>modalities</w:t>
      </w:r>
      <w:r w:rsidRPr="00A359DD" w:rsidR="00FB2089">
        <w:t xml:space="preserve">. </w:t>
      </w:r>
      <w:r w:rsidRPr="00A359DD" w:rsidR="00AA0B7A">
        <w:t>The Court rejects the Government</w:t>
      </w:r>
      <w:r w:rsidRPr="00A359DD" w:rsidR="00A359DD">
        <w:t>’</w:t>
      </w:r>
      <w:r w:rsidRPr="00A359DD" w:rsidR="00AA0B7A">
        <w:t>s respective argument.</w:t>
      </w:r>
    </w:p>
    <w:p w:rsidRPr="00A359DD" w:rsidR="00AF70F3"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32</w:t>
      </w:r>
      <w:r w:rsidRPr="00A359DD">
        <w:rPr>
          <w:noProof/>
        </w:rPr>
        <w:fldChar w:fldCharType="end"/>
      </w:r>
      <w:r w:rsidRPr="00A359DD" w:rsidR="00893E80">
        <w:t>.  </w:t>
      </w:r>
      <w:r w:rsidRPr="00A359DD" w:rsidR="00FB2089">
        <w:t>Otherwise</w:t>
      </w:r>
      <w:r w:rsidRPr="00A359DD" w:rsidR="00F94AD3">
        <w:t xml:space="preserve">, </w:t>
      </w:r>
      <w:r w:rsidRPr="00A359DD" w:rsidR="00951A6C">
        <w:t xml:space="preserve">despite </w:t>
      </w:r>
      <w:r w:rsidRPr="00A359DD" w:rsidR="00F94AD3">
        <w:t>the Court</w:t>
      </w:r>
      <w:r w:rsidRPr="00A359DD" w:rsidR="00A359DD">
        <w:t>’</w:t>
      </w:r>
      <w:r w:rsidRPr="00A359DD" w:rsidR="00F94AD3">
        <w:t xml:space="preserve">s </w:t>
      </w:r>
      <w:r w:rsidRPr="00A359DD" w:rsidR="00FB2089">
        <w:t xml:space="preserve">explicit </w:t>
      </w:r>
      <w:r w:rsidRPr="00A359DD" w:rsidR="00F94AD3">
        <w:t>request (see paragraph </w:t>
      </w:r>
      <w:r w:rsidRPr="00A359DD" w:rsidR="00F94AD3">
        <w:fldChar w:fldCharType="begin"/>
      </w:r>
      <w:r w:rsidRPr="00A359DD" w:rsidR="00F94AD3">
        <w:instrText xml:space="preserve"> REF GVTletter29092016 \h  \* MERGEFORMAT </w:instrText>
      </w:r>
      <w:r w:rsidRPr="00A359DD" w:rsidR="00F94AD3">
        <w:fldChar w:fldCharType="separate"/>
      </w:r>
      <w:r w:rsidRPr="00A359DD" w:rsidR="00A359DD">
        <w:rPr>
          <w:noProof/>
        </w:rPr>
        <w:t>6</w:t>
      </w:r>
      <w:r w:rsidRPr="00A359DD" w:rsidR="00F94AD3">
        <w:fldChar w:fldCharType="end"/>
      </w:r>
      <w:r w:rsidRPr="00A359DD" w:rsidR="00F94AD3">
        <w:t xml:space="preserve"> above), the parties did not provide any information about </w:t>
      </w:r>
      <w:r w:rsidRPr="00A359DD" w:rsidR="00AA0B7A">
        <w:t>a</w:t>
      </w:r>
      <w:r w:rsidRPr="00A359DD" w:rsidR="00F94AD3">
        <w:t xml:space="preserve"> procedure which was to be used at the material time to allow enforcement of the judgment </w:t>
      </w:r>
      <w:r w:rsidRPr="00A359DD" w:rsidR="00951A6C">
        <w:t xml:space="preserve">concerning leave days </w:t>
      </w:r>
      <w:r w:rsidRPr="00A359DD" w:rsidR="00AA0B7A">
        <w:t xml:space="preserve">provision, </w:t>
      </w:r>
      <w:r w:rsidRPr="00A359DD" w:rsidR="00F94AD3">
        <w:t xml:space="preserve">where a serviceman </w:t>
      </w:r>
      <w:r w:rsidRPr="00A359DD" w:rsidR="00951A6C">
        <w:t>was</w:t>
      </w:r>
      <w:r w:rsidRPr="00A359DD" w:rsidR="00F94AD3">
        <w:t xml:space="preserve"> transferred </w:t>
      </w:r>
      <w:r w:rsidRPr="00A359DD" w:rsidR="00255FA3">
        <w:t>to a different unit</w:t>
      </w:r>
      <w:r w:rsidRPr="00A359DD" w:rsidR="00130CF7">
        <w:t xml:space="preserve"> </w:t>
      </w:r>
      <w:r w:rsidRPr="00A359DD" w:rsidR="00E14C54">
        <w:t>in the context of her continued employment with the Russian military forces</w:t>
      </w:r>
      <w:r w:rsidRPr="00A359DD" w:rsidR="00FB2089">
        <w:t xml:space="preserve">, </w:t>
      </w:r>
      <w:r w:rsidRPr="00A359DD" w:rsidR="00100FCE">
        <w:t>and where</w:t>
      </w:r>
      <w:r w:rsidRPr="00A359DD" w:rsidR="00E14C54">
        <w:t xml:space="preserve"> </w:t>
      </w:r>
      <w:r w:rsidRPr="00A359DD" w:rsidR="00951A6C">
        <w:t>the</w:t>
      </w:r>
      <w:r w:rsidRPr="00A359DD" w:rsidR="001B0CF3">
        <w:t xml:space="preserve"> initial debtor </w:t>
      </w:r>
      <w:r w:rsidRPr="00A359DD" w:rsidR="00FB2089">
        <w:t xml:space="preserve">unit </w:t>
      </w:r>
      <w:r w:rsidRPr="00A359DD" w:rsidR="001B0CF3">
        <w:t>ha</w:t>
      </w:r>
      <w:r w:rsidRPr="00A359DD" w:rsidR="00AA0B7A">
        <w:t>d</w:t>
      </w:r>
      <w:r w:rsidRPr="00A359DD" w:rsidR="001B0CF3">
        <w:t xml:space="preserve"> not ceased to exist.</w:t>
      </w:r>
      <w:r w:rsidRPr="00A359DD" w:rsidR="003E4F90">
        <w:t xml:space="preserve"> </w:t>
      </w:r>
      <w:r w:rsidRPr="00A359DD" w:rsidR="00951A6C">
        <w:t>In these circumstances</w:t>
      </w:r>
      <w:r w:rsidRPr="00A359DD" w:rsidR="00D13F3F">
        <w:t>, the Court is unable</w:t>
      </w:r>
      <w:r w:rsidRPr="00A359DD" w:rsidR="00D37529">
        <w:t xml:space="preserve"> </w:t>
      </w:r>
      <w:r w:rsidRPr="00A359DD" w:rsidR="00AA0B7A">
        <w:t xml:space="preserve">to </w:t>
      </w:r>
      <w:r w:rsidRPr="00A359DD" w:rsidR="00D37529">
        <w:t xml:space="preserve">establish </w:t>
      </w:r>
      <w:r w:rsidRPr="00A359DD" w:rsidR="00AA0B7A">
        <w:t xml:space="preserve">the </w:t>
      </w:r>
      <w:r w:rsidRPr="00A359DD" w:rsidR="007376B7">
        <w:t xml:space="preserve">exact scope and nature of </w:t>
      </w:r>
      <w:r w:rsidRPr="00A359DD" w:rsidR="00DE79CB">
        <w:t xml:space="preserve">any </w:t>
      </w:r>
      <w:r w:rsidRPr="00A359DD" w:rsidR="007376B7">
        <w:t xml:space="preserve">specific </w:t>
      </w:r>
      <w:r w:rsidRPr="00A359DD" w:rsidR="00EA5D02">
        <w:t>additional steps</w:t>
      </w:r>
      <w:r w:rsidRPr="00A359DD" w:rsidR="00801958">
        <w:t xml:space="preserve"> the applicant had to take</w:t>
      </w:r>
      <w:r w:rsidRPr="00A359DD" w:rsidR="00EA5D02">
        <w:t xml:space="preserve"> to obtain the enforcement of the judgment</w:t>
      </w:r>
      <w:r w:rsidRPr="00A359DD" w:rsidR="009F7145">
        <w:t xml:space="preserve">. </w:t>
      </w:r>
      <w:r w:rsidRPr="00A359DD" w:rsidR="00951A6C">
        <w:t xml:space="preserve">Accordingly, the Court does not have sufficient grounds to conclude that </w:t>
      </w:r>
      <w:r w:rsidRPr="00A359DD" w:rsidR="00AA0B7A">
        <w:t xml:space="preserve">her </w:t>
      </w:r>
      <w:proofErr w:type="spellStart"/>
      <w:r w:rsidRPr="00A359DD" w:rsidR="00951A6C">
        <w:t>behavior</w:t>
      </w:r>
      <w:proofErr w:type="spellEnd"/>
      <w:r w:rsidRPr="00A359DD" w:rsidR="00951A6C">
        <w:t xml:space="preserve"> was an obstacle to timely and full enforcement of a judgment (see, by contrast, </w:t>
      </w:r>
      <w:proofErr w:type="spellStart"/>
      <w:r w:rsidRPr="00A359DD" w:rsidR="00951A6C">
        <w:rPr>
          <w:i/>
        </w:rPr>
        <w:t>Gadzhikhanov</w:t>
      </w:r>
      <w:proofErr w:type="spellEnd"/>
      <w:r w:rsidRPr="00A359DD" w:rsidR="00951A6C">
        <w:rPr>
          <w:i/>
        </w:rPr>
        <w:t xml:space="preserve"> and </w:t>
      </w:r>
      <w:proofErr w:type="spellStart"/>
      <w:r w:rsidRPr="00A359DD" w:rsidR="00951A6C">
        <w:rPr>
          <w:i/>
        </w:rPr>
        <w:t>Saukov</w:t>
      </w:r>
      <w:proofErr w:type="spellEnd"/>
      <w:r w:rsidRPr="00A359DD" w:rsidR="00951A6C">
        <w:rPr>
          <w:i/>
        </w:rPr>
        <w:t xml:space="preserve"> v. Russia</w:t>
      </w:r>
      <w:r w:rsidRPr="00A359DD" w:rsidR="00951A6C">
        <w:t>, nos. 10511/08 and 5866/09, §§ 25-31, 31 January 2012)</w:t>
      </w:r>
      <w:r w:rsidRPr="00A359DD" w:rsidR="00AA0B7A">
        <w:t>, and rejects the Government</w:t>
      </w:r>
      <w:r w:rsidRPr="00A359DD" w:rsidR="00A359DD">
        <w:t>’</w:t>
      </w:r>
      <w:r w:rsidRPr="00A359DD" w:rsidR="00AA0B7A">
        <w:t>s argument to that effect. As it is</w:t>
      </w:r>
      <w:r w:rsidRPr="00A359DD" w:rsidR="008E6CBF">
        <w:t xml:space="preserve"> incumbent on the State to organise its legal system in such a way that ensures co-ordination between various enforcement agencies and secures honouring of the State</w:t>
      </w:r>
      <w:r w:rsidRPr="00A359DD" w:rsidR="00A359DD">
        <w:t>’</w:t>
      </w:r>
      <w:r w:rsidRPr="00A359DD" w:rsidR="008E6CBF">
        <w:t>s judgment debts in good time (see</w:t>
      </w:r>
      <w:r w:rsidRPr="00A359DD" w:rsidR="00745E31">
        <w:t xml:space="preserve">, </w:t>
      </w:r>
      <w:r w:rsidRPr="00A359DD" w:rsidR="00745E31">
        <w:rPr>
          <w:i/>
        </w:rPr>
        <w:t>mutatis mutandis</w:t>
      </w:r>
      <w:r w:rsidRPr="00A359DD" w:rsidR="00745E31">
        <w:t>,</w:t>
      </w:r>
      <w:r w:rsidRPr="00A359DD" w:rsidR="008E6CBF">
        <w:t xml:space="preserve"> </w:t>
      </w:r>
      <w:proofErr w:type="spellStart"/>
      <w:r w:rsidRPr="00A359DD" w:rsidR="008E6CBF">
        <w:rPr>
          <w:i/>
        </w:rPr>
        <w:t>Reynbakh</w:t>
      </w:r>
      <w:proofErr w:type="spellEnd"/>
      <w:r w:rsidRPr="00A359DD" w:rsidR="008E6CBF">
        <w:rPr>
          <w:i/>
        </w:rPr>
        <w:t xml:space="preserve"> v. Russia</w:t>
      </w:r>
      <w:r w:rsidRPr="00A359DD" w:rsidR="008E6CBF">
        <w:t>, no. 23405/03, § 23, 29</w:t>
      </w:r>
      <w:r w:rsidRPr="00A359DD" w:rsidR="00E14C54">
        <w:t> </w:t>
      </w:r>
      <w:r w:rsidRPr="00A359DD" w:rsidR="008E6CBF">
        <w:t>September 2005)</w:t>
      </w:r>
      <w:r w:rsidRPr="00A359DD" w:rsidR="00AA0B7A">
        <w:t>, the Court</w:t>
      </w:r>
      <w:r w:rsidRPr="00A359DD" w:rsidR="00881FE1">
        <w:t xml:space="preserve"> further</w:t>
      </w:r>
      <w:r w:rsidRPr="00A359DD" w:rsidR="008E6CBF">
        <w:t xml:space="preserve"> finds</w:t>
      </w:r>
      <w:r w:rsidRPr="00A359DD" w:rsidR="00D13F3F">
        <w:t xml:space="preserve"> </w:t>
      </w:r>
      <w:r w:rsidRPr="00A359DD" w:rsidR="008E6CBF">
        <w:t xml:space="preserve">that it was for </w:t>
      </w:r>
      <w:r w:rsidRPr="00A359DD" w:rsidR="00745E31">
        <w:t>the applicant</w:t>
      </w:r>
      <w:r w:rsidRPr="00A359DD" w:rsidR="00A359DD">
        <w:t>’</w:t>
      </w:r>
      <w:r w:rsidRPr="00A359DD" w:rsidR="00745E31">
        <w:t xml:space="preserve">s two </w:t>
      </w:r>
      <w:r w:rsidRPr="00A359DD" w:rsidR="00AF70F3">
        <w:t xml:space="preserve">consecutive </w:t>
      </w:r>
      <w:r w:rsidRPr="00A359DD" w:rsidR="00745E31">
        <w:t xml:space="preserve">employers – </w:t>
      </w:r>
      <w:r w:rsidRPr="00A359DD" w:rsidR="00AF70F3">
        <w:t xml:space="preserve">the </w:t>
      </w:r>
      <w:r w:rsidRPr="00A359DD" w:rsidR="00745E31">
        <w:t xml:space="preserve">military units </w:t>
      </w:r>
      <w:r w:rsidRPr="00A359DD" w:rsidR="00881FE1">
        <w:t xml:space="preserve">apparently </w:t>
      </w:r>
      <w:r w:rsidRPr="00A359DD" w:rsidR="00745E31">
        <w:t xml:space="preserve">belonging to the same sub-division – </w:t>
      </w:r>
      <w:r w:rsidRPr="00A359DD" w:rsidR="008E6CBF">
        <w:t xml:space="preserve">to ensure coordination </w:t>
      </w:r>
      <w:r w:rsidRPr="00A359DD" w:rsidR="00AF70F3">
        <w:t xml:space="preserve">in </w:t>
      </w:r>
      <w:r w:rsidRPr="00A359DD" w:rsidR="00D2250B">
        <w:t xml:space="preserve">providing </w:t>
      </w:r>
      <w:r w:rsidRPr="00A359DD" w:rsidR="00DE79CB">
        <w:t>her</w:t>
      </w:r>
      <w:r w:rsidRPr="00A359DD" w:rsidR="00AF70F3">
        <w:t xml:space="preserve"> with the allowances </w:t>
      </w:r>
      <w:r w:rsidRPr="00A359DD" w:rsidR="00130CF7">
        <w:t xml:space="preserve">pursuant to </w:t>
      </w:r>
      <w:r w:rsidRPr="00A359DD" w:rsidR="00881FE1">
        <w:t xml:space="preserve">the </w:t>
      </w:r>
      <w:r w:rsidRPr="00A359DD" w:rsidR="00130CF7">
        <w:t>final judgment</w:t>
      </w:r>
      <w:r w:rsidRPr="00A359DD" w:rsidR="00745A5D">
        <w:t xml:space="preserve"> during her uninterrupted service in the Russian military forces</w:t>
      </w:r>
      <w:r w:rsidRPr="00A359DD" w:rsidR="00AF70F3">
        <w:t>.</w:t>
      </w:r>
    </w:p>
    <w:p w:rsidRPr="00A359DD" w:rsidR="005A6133"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33</w:t>
      </w:r>
      <w:r w:rsidRPr="00A359DD">
        <w:rPr>
          <w:noProof/>
        </w:rPr>
        <w:fldChar w:fldCharType="end"/>
      </w:r>
      <w:r w:rsidRPr="00A359DD" w:rsidR="00D932A4">
        <w:t>.  </w:t>
      </w:r>
      <w:r w:rsidRPr="00A359DD" w:rsidR="00D13F3F">
        <w:t>Finally</w:t>
      </w:r>
      <w:r w:rsidRPr="00A359DD" w:rsidR="009D30D2">
        <w:t xml:space="preserve"> </w:t>
      </w:r>
      <w:r w:rsidRPr="00A359DD" w:rsidR="000137E9">
        <w:t>and importantly</w:t>
      </w:r>
      <w:r w:rsidRPr="00A359DD" w:rsidR="001B0CF3">
        <w:t xml:space="preserve">, </w:t>
      </w:r>
      <w:r w:rsidRPr="00A359DD" w:rsidR="00D37529">
        <w:t xml:space="preserve">as established by the first-instance court in 2011, the new unit </w:t>
      </w:r>
      <w:r w:rsidRPr="00A359DD" w:rsidR="00745E31">
        <w:t xml:space="preserve">in any event </w:t>
      </w:r>
      <w:r w:rsidRPr="00A359DD" w:rsidR="00D932A4">
        <w:t>complied with</w:t>
      </w:r>
      <w:r w:rsidRPr="00A359DD" w:rsidR="00D37529">
        <w:t xml:space="preserve"> the judgment in </w:t>
      </w:r>
      <w:r w:rsidRPr="00A359DD" w:rsidR="00745E31">
        <w:t xml:space="preserve">the </w:t>
      </w:r>
      <w:r w:rsidRPr="00A359DD" w:rsidR="00D37529">
        <w:t>part concerning the recalculation of the applicant</w:t>
      </w:r>
      <w:r w:rsidRPr="00A359DD" w:rsidR="00A359DD">
        <w:t>’</w:t>
      </w:r>
      <w:r w:rsidRPr="00A359DD" w:rsidR="00D37529">
        <w:t>s term of service</w:t>
      </w:r>
      <w:r w:rsidRPr="00A359DD" w:rsidR="00007908">
        <w:t xml:space="preserve"> (see paragraph </w:t>
      </w:r>
      <w:r w:rsidRPr="00A359DD" w:rsidR="00007908">
        <w:fldChar w:fldCharType="begin"/>
      </w:r>
      <w:r w:rsidRPr="00A359DD" w:rsidR="00007908">
        <w:instrText xml:space="preserve"> REF Judgment20052011 \h </w:instrText>
      </w:r>
      <w:r w:rsidRPr="00A359DD" w:rsidR="00007908">
        <w:fldChar w:fldCharType="separate"/>
      </w:r>
      <w:r w:rsidRPr="00A359DD" w:rsidR="00A359DD">
        <w:rPr>
          <w:noProof/>
        </w:rPr>
        <w:t>19</w:t>
      </w:r>
      <w:r w:rsidRPr="00A359DD" w:rsidR="00007908">
        <w:fldChar w:fldCharType="end"/>
      </w:r>
      <w:r w:rsidRPr="00A359DD" w:rsidR="00007908">
        <w:t xml:space="preserve"> above)</w:t>
      </w:r>
      <w:r w:rsidRPr="00A359DD" w:rsidR="00AF70F3">
        <w:t xml:space="preserve">. This conclusion was not disputed by the parties before the Court, and </w:t>
      </w:r>
      <w:r w:rsidRPr="00A359DD" w:rsidR="00D37529">
        <w:t xml:space="preserve">the appeal </w:t>
      </w:r>
      <w:r w:rsidRPr="00A359DD" w:rsidR="009D30D2">
        <w:t>instance</w:t>
      </w:r>
      <w:r w:rsidRPr="00A359DD" w:rsidR="00AF70F3">
        <w:t xml:space="preserve"> </w:t>
      </w:r>
      <w:r w:rsidRPr="00A359DD" w:rsidR="00D37529">
        <w:t>confirmed that the lower court</w:t>
      </w:r>
      <w:r w:rsidRPr="00A359DD" w:rsidR="00A359DD">
        <w:t>’</w:t>
      </w:r>
      <w:r w:rsidRPr="00A359DD" w:rsidR="00AF70F3">
        <w:t xml:space="preserve">s establishment of the facts was correct </w:t>
      </w:r>
      <w:r w:rsidRPr="00A359DD" w:rsidR="00007908">
        <w:t>(see paragraph </w:t>
      </w:r>
      <w:r w:rsidRPr="00A359DD" w:rsidR="00007908">
        <w:fldChar w:fldCharType="begin"/>
      </w:r>
      <w:r w:rsidRPr="00A359DD" w:rsidR="00007908">
        <w:instrText xml:space="preserve"> REF Judgment20072011 \h </w:instrText>
      </w:r>
      <w:r w:rsidRPr="00A359DD" w:rsidR="00007908">
        <w:fldChar w:fldCharType="separate"/>
      </w:r>
      <w:r w:rsidRPr="00A359DD" w:rsidR="00A359DD">
        <w:rPr>
          <w:noProof/>
        </w:rPr>
        <w:t>20</w:t>
      </w:r>
      <w:r w:rsidRPr="00A359DD" w:rsidR="00007908">
        <w:fldChar w:fldCharType="end"/>
      </w:r>
      <w:r w:rsidRPr="00A359DD" w:rsidR="00007908">
        <w:t xml:space="preserve"> above)</w:t>
      </w:r>
      <w:r w:rsidRPr="00A359DD" w:rsidR="00D37529">
        <w:t xml:space="preserve">. </w:t>
      </w:r>
      <w:r w:rsidRPr="00A359DD" w:rsidR="00951A6C">
        <w:t xml:space="preserve">Accordingly, the </w:t>
      </w:r>
      <w:r w:rsidRPr="00A359DD" w:rsidR="00801958">
        <w:t>Court cannot</w:t>
      </w:r>
      <w:r w:rsidRPr="00A359DD" w:rsidR="005A6133">
        <w:t xml:space="preserve"> establish that prior to her dismissal and the ensuing </w:t>
      </w:r>
      <w:r w:rsidRPr="00A359DD" w:rsidR="00F44843">
        <w:t>final court decision of 20 July 2011</w:t>
      </w:r>
      <w:r w:rsidRPr="00A359DD" w:rsidR="005A6133">
        <w:t xml:space="preserve"> the applicant knew, or ought to have known, that the enforcement of the judgment in her favour was no longer possible</w:t>
      </w:r>
      <w:r w:rsidRPr="00A359DD" w:rsidR="00F44843">
        <w:t xml:space="preserve"> after her transfer for further service to </w:t>
      </w:r>
      <w:r w:rsidRPr="00A359DD" w:rsidR="00745A5D">
        <w:t xml:space="preserve">the </w:t>
      </w:r>
      <w:r w:rsidRPr="00A359DD" w:rsidR="00F44843">
        <w:t>new military unit</w:t>
      </w:r>
      <w:r w:rsidRPr="00A359DD" w:rsidR="005A6133">
        <w:t xml:space="preserve"> (see, by contrast, </w:t>
      </w:r>
      <w:proofErr w:type="spellStart"/>
      <w:r w:rsidRPr="00A359DD" w:rsidR="005A6133">
        <w:rPr>
          <w:i/>
        </w:rPr>
        <w:t>Babich</w:t>
      </w:r>
      <w:proofErr w:type="spellEnd"/>
      <w:r w:rsidRPr="00A359DD" w:rsidR="005A6133">
        <w:rPr>
          <w:i/>
        </w:rPr>
        <w:t xml:space="preserve"> and </w:t>
      </w:r>
      <w:proofErr w:type="spellStart"/>
      <w:r w:rsidRPr="00A359DD" w:rsidR="005A6133">
        <w:rPr>
          <w:i/>
        </w:rPr>
        <w:t>Azhogin</w:t>
      </w:r>
      <w:proofErr w:type="spellEnd"/>
      <w:r w:rsidRPr="00A359DD" w:rsidR="005A6133">
        <w:rPr>
          <w:i/>
        </w:rPr>
        <w:t xml:space="preserve"> v. Russia </w:t>
      </w:r>
      <w:r w:rsidRPr="00A359DD" w:rsidR="005A6133">
        <w:t>(</w:t>
      </w:r>
      <w:proofErr w:type="spellStart"/>
      <w:r w:rsidRPr="00A359DD" w:rsidR="005A6133">
        <w:t>dec.</w:t>
      </w:r>
      <w:proofErr w:type="spellEnd"/>
      <w:r w:rsidRPr="00A359DD" w:rsidR="005A6133">
        <w:t>), nos. 9457/09 and 9531/09</w:t>
      </w:r>
      <w:r w:rsidRPr="00A359DD" w:rsidR="00D45453">
        <w:t>, §§ 47</w:t>
      </w:r>
      <w:r w:rsidRPr="00A359DD" w:rsidR="00D45453">
        <w:noBreakHyphen/>
        <w:t>54 and 57</w:t>
      </w:r>
      <w:r w:rsidRPr="00A359DD" w:rsidR="00D45453">
        <w:noBreakHyphen/>
        <w:t>58, 15 </w:t>
      </w:r>
      <w:r w:rsidRPr="00A359DD" w:rsidR="005A6133">
        <w:t xml:space="preserve">October 2013; or </w:t>
      </w:r>
      <w:proofErr w:type="spellStart"/>
      <w:r w:rsidRPr="00A359DD" w:rsidR="005A6133">
        <w:rPr>
          <w:i/>
        </w:rPr>
        <w:t>Bichenok</w:t>
      </w:r>
      <w:proofErr w:type="spellEnd"/>
      <w:r w:rsidRPr="00A359DD" w:rsidR="005A6133">
        <w:rPr>
          <w:i/>
        </w:rPr>
        <w:t xml:space="preserve"> v. Russia</w:t>
      </w:r>
      <w:r w:rsidRPr="00A359DD" w:rsidR="005A6133">
        <w:t xml:space="preserve"> (</w:t>
      </w:r>
      <w:proofErr w:type="spellStart"/>
      <w:r w:rsidRPr="00A359DD" w:rsidR="005A6133">
        <w:t>dec.</w:t>
      </w:r>
      <w:proofErr w:type="spellEnd"/>
      <w:r w:rsidRPr="00A359DD" w:rsidR="005A6133">
        <w:t>), no</w:t>
      </w:r>
      <w:r w:rsidRPr="00A359DD" w:rsidR="00D45453">
        <w:t>. </w:t>
      </w:r>
      <w:r w:rsidRPr="00A359DD" w:rsidR="005A6133">
        <w:t>13731/08</w:t>
      </w:r>
      <w:r w:rsidRPr="00A359DD" w:rsidR="00D45453">
        <w:t>, 31 </w:t>
      </w:r>
      <w:r w:rsidRPr="00A359DD" w:rsidR="005A6133">
        <w:t>March 2015).</w:t>
      </w:r>
    </w:p>
    <w:p w:rsidRPr="00A359DD" w:rsidR="00F44843"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34</w:t>
      </w:r>
      <w:r w:rsidRPr="00A359DD">
        <w:rPr>
          <w:noProof/>
        </w:rPr>
        <w:fldChar w:fldCharType="end"/>
      </w:r>
      <w:r w:rsidRPr="00A359DD" w:rsidR="00F44843">
        <w:t>.  The Court concludes that this complaint is not manifestly ill-founded within the meaning of Article 35 § 3 (a) of the Convention. It further notes that it is not inadmissible on any other grounds. It must therefore be declared admissible.</w:t>
      </w:r>
    </w:p>
    <w:p w:rsidRPr="00A359DD" w:rsidR="00F44843" w:rsidP="00A359DD" w:rsidRDefault="005301F6">
      <w:pPr>
        <w:pStyle w:val="ECHRHeading2"/>
      </w:pPr>
      <w:r w:rsidRPr="00A359DD">
        <w:t>B. </w:t>
      </w:r>
      <w:r w:rsidRPr="00A359DD" w:rsidR="00F44843">
        <w:t> Merits</w:t>
      </w:r>
    </w:p>
    <w:p w:rsidRPr="00A359DD" w:rsidR="00020A50" w:rsidP="00A359DD" w:rsidRDefault="00F44843">
      <w:pPr>
        <w:pStyle w:val="ECHRPara"/>
      </w:pPr>
      <w:r w:rsidRPr="00A359DD">
        <w:fldChar w:fldCharType="begin"/>
      </w:r>
      <w:r w:rsidRPr="00A359DD">
        <w:instrText xml:space="preserve"> SEQ level0 \*arabic </w:instrText>
      </w:r>
      <w:r w:rsidRPr="00A359DD">
        <w:fldChar w:fldCharType="separate"/>
      </w:r>
      <w:r w:rsidRPr="00A359DD" w:rsidR="00A359DD">
        <w:rPr>
          <w:noProof/>
        </w:rPr>
        <w:t>35</w:t>
      </w:r>
      <w:r w:rsidRPr="00A359DD">
        <w:fldChar w:fldCharType="end"/>
      </w:r>
      <w:r w:rsidRPr="00A359DD">
        <w:t>.  The Court observes that the judgment in the applicant</w:t>
      </w:r>
      <w:r w:rsidRPr="00A359DD" w:rsidR="00A359DD">
        <w:t>’</w:t>
      </w:r>
      <w:r w:rsidRPr="00A359DD" w:rsidR="00E1013A">
        <w:t xml:space="preserve">s favour had not been enforced until at least late 2010, when </w:t>
      </w:r>
      <w:r w:rsidRPr="00A359DD" w:rsidR="004435E5">
        <w:t>she</w:t>
      </w:r>
      <w:r w:rsidRPr="00A359DD" w:rsidR="00E1013A">
        <w:t xml:space="preserve"> was dismissed – that is, for more than six years. That period is </w:t>
      </w:r>
      <w:r w:rsidRPr="00A359DD" w:rsidR="00E1013A">
        <w:rPr>
          <w:i/>
        </w:rPr>
        <w:t>prima facie</w:t>
      </w:r>
      <w:r w:rsidRPr="00A359DD" w:rsidR="00E1013A">
        <w:t xml:space="preserve"> incompatible with the Convention requirements.</w:t>
      </w:r>
    </w:p>
    <w:p w:rsidRPr="00A359DD" w:rsidR="00E1013A" w:rsidP="00A359DD" w:rsidRDefault="00E1013A">
      <w:pPr>
        <w:pStyle w:val="ECHRPara"/>
      </w:pPr>
      <w:r w:rsidRPr="00A359DD">
        <w:fldChar w:fldCharType="begin"/>
      </w:r>
      <w:r w:rsidRPr="00A359DD">
        <w:instrText xml:space="preserve"> SEQ level0 \*arabic </w:instrText>
      </w:r>
      <w:r w:rsidRPr="00A359DD">
        <w:fldChar w:fldCharType="separate"/>
      </w:r>
      <w:r w:rsidRPr="00A359DD" w:rsidR="00A359DD">
        <w:rPr>
          <w:noProof/>
        </w:rPr>
        <w:t>36</w:t>
      </w:r>
      <w:r w:rsidRPr="00A359DD">
        <w:fldChar w:fldCharType="end"/>
      </w:r>
      <w:r w:rsidRPr="00A359DD">
        <w:t>.  In addition, despite the Court</w:t>
      </w:r>
      <w:r w:rsidRPr="00A359DD" w:rsidR="00A359DD">
        <w:t>’</w:t>
      </w:r>
      <w:r w:rsidRPr="00A359DD">
        <w:t xml:space="preserve">s request, the parties did not provide any reference to domestic law provisions enabling the debtor to replace the obligation to grant </w:t>
      </w:r>
      <w:r w:rsidRPr="00A359DD" w:rsidR="00801958">
        <w:t xml:space="preserve">additional </w:t>
      </w:r>
      <w:r w:rsidRPr="00A359DD">
        <w:t>leave by the so-called “rehabilitation days”</w:t>
      </w:r>
      <w:r w:rsidRPr="00A359DD" w:rsidR="004435E5">
        <w:t>, as suggested by the Government</w:t>
      </w:r>
      <w:r w:rsidRPr="00A359DD">
        <w:t xml:space="preserve">. The </w:t>
      </w:r>
      <w:r w:rsidRPr="00A359DD" w:rsidR="004435E5">
        <w:t>Court accordingly rejects their</w:t>
      </w:r>
      <w:r w:rsidRPr="00A359DD">
        <w:t xml:space="preserve"> respective argument.</w:t>
      </w:r>
    </w:p>
    <w:p w:rsidRPr="00A359DD" w:rsidR="00E1013A" w:rsidP="00A359DD" w:rsidRDefault="00E1013A">
      <w:pPr>
        <w:pStyle w:val="ECHRPara"/>
      </w:pPr>
      <w:r w:rsidRPr="00A359DD">
        <w:fldChar w:fldCharType="begin"/>
      </w:r>
      <w:r w:rsidRPr="00A359DD">
        <w:instrText xml:space="preserve"> SEQ level0 \*arabic </w:instrText>
      </w:r>
      <w:r w:rsidRPr="00A359DD">
        <w:fldChar w:fldCharType="separate"/>
      </w:r>
      <w:r w:rsidRPr="00A359DD" w:rsidR="00A359DD">
        <w:rPr>
          <w:noProof/>
        </w:rPr>
        <w:t>37</w:t>
      </w:r>
      <w:r w:rsidRPr="00A359DD">
        <w:fldChar w:fldCharType="end"/>
      </w:r>
      <w:r w:rsidRPr="00A359DD">
        <w:t xml:space="preserve">.  Having regard to its case-law on the matter ( see the leading case of </w:t>
      </w:r>
      <w:r w:rsidRPr="00A359DD">
        <w:rPr>
          <w:i/>
        </w:rPr>
        <w:t>Gerasimov and Others</w:t>
      </w:r>
      <w:r w:rsidRPr="00A359DD">
        <w:t xml:space="preserve">, cited above) the Court considers that the authorities did not deploy all necessary efforts to enforce fully and in due time the </w:t>
      </w:r>
      <w:r w:rsidRPr="00A359DD" w:rsidR="004435E5">
        <w:t>judgment</w:t>
      </w:r>
      <w:r w:rsidRPr="00A359DD">
        <w:t xml:space="preserve"> in the applicant</w:t>
      </w:r>
      <w:r w:rsidRPr="00A359DD" w:rsidR="00A359DD">
        <w:t>’</w:t>
      </w:r>
      <w:r w:rsidRPr="00A359DD">
        <w:t xml:space="preserve">s favour, in breach of </w:t>
      </w:r>
      <w:r w:rsidRPr="00A359DD" w:rsidR="004435E5">
        <w:t>her right</w:t>
      </w:r>
      <w:r w:rsidRPr="00A359DD">
        <w:t xml:space="preserve"> to a court.</w:t>
      </w:r>
    </w:p>
    <w:p w:rsidRPr="00A359DD" w:rsidR="00255612" w:rsidP="00A359DD" w:rsidRDefault="007B6E9F">
      <w:pPr>
        <w:pStyle w:val="ECHRPara"/>
      </w:pPr>
      <w:r w:rsidRPr="00A359DD">
        <w:fldChar w:fldCharType="begin"/>
      </w:r>
      <w:r w:rsidRPr="00A359DD">
        <w:instrText xml:space="preserve"> SEQ level0 \*arabic </w:instrText>
      </w:r>
      <w:r w:rsidRPr="00A359DD">
        <w:fldChar w:fldCharType="separate"/>
      </w:r>
      <w:r w:rsidRPr="00A359DD" w:rsidR="00A359DD">
        <w:rPr>
          <w:noProof/>
        </w:rPr>
        <w:t>38</w:t>
      </w:r>
      <w:r w:rsidRPr="00A359DD">
        <w:fldChar w:fldCharType="end"/>
      </w:r>
      <w:r w:rsidRPr="00A359DD">
        <w:t>.  </w:t>
      </w:r>
      <w:r w:rsidRPr="00A359DD" w:rsidR="00E1013A">
        <w:t>Accordingly, there</w:t>
      </w:r>
      <w:r w:rsidRPr="00A359DD" w:rsidR="008E6CBF">
        <w:t xml:space="preserve"> </w:t>
      </w:r>
      <w:r w:rsidRPr="00A359DD" w:rsidR="0077175D">
        <w:t>has been a violation of Article</w:t>
      </w:r>
      <w:r w:rsidRPr="00A359DD" w:rsidR="008554D1">
        <w:t> 6</w:t>
      </w:r>
      <w:r w:rsidRPr="00A359DD" w:rsidR="0077175D">
        <w:t xml:space="preserve"> of the Convention</w:t>
      </w:r>
      <w:r w:rsidRPr="00A359DD" w:rsidR="008554D1">
        <w:t xml:space="preserve"> on account of the non-enforcement of the judgment of 11 February 2004 in the applicant</w:t>
      </w:r>
      <w:r w:rsidRPr="00A359DD" w:rsidR="00A359DD">
        <w:t>’</w:t>
      </w:r>
      <w:r w:rsidRPr="00A359DD" w:rsidR="008554D1">
        <w:t>s favour.</w:t>
      </w:r>
    </w:p>
    <w:p w:rsidRPr="00A359DD" w:rsidR="00282C8F" w:rsidP="00A359DD" w:rsidRDefault="005301F6">
      <w:pPr>
        <w:pStyle w:val="ECHRHeading1"/>
      </w:pPr>
      <w:r w:rsidRPr="00A359DD">
        <w:t>II</w:t>
      </w:r>
      <w:r w:rsidRPr="00A359DD" w:rsidR="008554D1">
        <w:t>.</w:t>
      </w:r>
      <w:proofErr w:type="gramStart"/>
      <w:r w:rsidRPr="00A359DD" w:rsidR="008554D1">
        <w:t>  </w:t>
      </w:r>
      <w:r w:rsidRPr="00A359DD" w:rsidR="00443F78">
        <w:t>ALLEGED</w:t>
      </w:r>
      <w:proofErr w:type="gramEnd"/>
      <w:r w:rsidRPr="00A359DD" w:rsidR="00443F78">
        <w:t xml:space="preserve"> VIOLATION OF ARTICLE</w:t>
      </w:r>
      <w:r w:rsidRPr="00A359DD" w:rsidR="00702E54">
        <w:t> 1 OF PROTOCOL No</w:t>
      </w:r>
      <w:r w:rsidRPr="00A359DD" w:rsidR="00443F78">
        <w:t>. 1 TO THE CONVENTION</w:t>
      </w:r>
    </w:p>
    <w:p w:rsidRPr="00A359DD" w:rsidR="00751F94" w:rsidP="00A359DD" w:rsidRDefault="00282C8F">
      <w:pPr>
        <w:pStyle w:val="ECHRPara"/>
      </w:pPr>
      <w:r w:rsidRPr="00A359DD">
        <w:fldChar w:fldCharType="begin"/>
      </w:r>
      <w:r w:rsidRPr="00A359DD">
        <w:instrText xml:space="preserve"> SEQ level0 \*arabic </w:instrText>
      </w:r>
      <w:r w:rsidRPr="00A359DD">
        <w:fldChar w:fldCharType="separate"/>
      </w:r>
      <w:r w:rsidRPr="00A359DD" w:rsidR="00A359DD">
        <w:rPr>
          <w:noProof/>
        </w:rPr>
        <w:t>39</w:t>
      </w:r>
      <w:r w:rsidRPr="00A359DD">
        <w:fldChar w:fldCharType="end"/>
      </w:r>
      <w:r w:rsidRPr="00A359DD">
        <w:t>.  </w:t>
      </w:r>
      <w:r w:rsidRPr="00A359DD" w:rsidR="00751F94">
        <w:t xml:space="preserve">The applicant further referred to Article 1 of Protocol No. 1 in respect of the non-enforcement complaint. Given its findings under Article 6 above, as well as having regard to the nature of the domestic award made by </w:t>
      </w:r>
      <w:r w:rsidRPr="00A359DD" w:rsidR="00745A5D">
        <w:t xml:space="preserve">the </w:t>
      </w:r>
      <w:r w:rsidRPr="00A359DD" w:rsidR="00751F94">
        <w:t xml:space="preserve">national court in the present case, the Court considers that there is no need for a separate examination of the admissibility and merits of the complaints under Article 1 of Protocol No. 1 (see, </w:t>
      </w:r>
      <w:r w:rsidRPr="00A359DD" w:rsidR="00751F94">
        <w:rPr>
          <w:i/>
        </w:rPr>
        <w:t>mutatis mutandis</w:t>
      </w:r>
      <w:r w:rsidRPr="00A359DD" w:rsidR="00751F94">
        <w:t xml:space="preserve">, </w:t>
      </w:r>
      <w:proofErr w:type="spellStart"/>
      <w:r w:rsidRPr="00A359DD" w:rsidR="00751F94">
        <w:rPr>
          <w:i/>
          <w:lang w:val="fi-FI"/>
        </w:rPr>
        <w:t>Lyubov</w:t>
      </w:r>
      <w:proofErr w:type="spellEnd"/>
      <w:r w:rsidRPr="00A359DD" w:rsidR="00751F94">
        <w:rPr>
          <w:i/>
          <w:lang w:val="fi-FI"/>
        </w:rPr>
        <w:t xml:space="preserve"> </w:t>
      </w:r>
      <w:proofErr w:type="spellStart"/>
      <w:r w:rsidRPr="00A359DD" w:rsidR="00751F94">
        <w:rPr>
          <w:i/>
          <w:lang w:val="fi-FI"/>
        </w:rPr>
        <w:t>Stetsenko</w:t>
      </w:r>
      <w:proofErr w:type="spellEnd"/>
      <w:r w:rsidRPr="00A359DD" w:rsidR="00751F94">
        <w:rPr>
          <w:i/>
          <w:lang w:val="fi-FI"/>
        </w:rPr>
        <w:t xml:space="preserve"> v. </w:t>
      </w:r>
      <w:proofErr w:type="spellStart"/>
      <w:r w:rsidRPr="00A359DD" w:rsidR="00751F94">
        <w:rPr>
          <w:i/>
          <w:lang w:val="fi-FI"/>
        </w:rPr>
        <w:t>Russia</w:t>
      </w:r>
      <w:proofErr w:type="spellEnd"/>
      <w:r w:rsidRPr="00A359DD" w:rsidR="00751F94">
        <w:rPr>
          <w:lang w:val="fi-FI"/>
        </w:rPr>
        <w:t>, no. 26216/07, § 92, 17 </w:t>
      </w:r>
      <w:proofErr w:type="spellStart"/>
      <w:r w:rsidRPr="00A359DD" w:rsidR="00751F94">
        <w:rPr>
          <w:lang w:val="fi-FI"/>
        </w:rPr>
        <w:t>April</w:t>
      </w:r>
      <w:proofErr w:type="spellEnd"/>
      <w:r w:rsidRPr="00A359DD" w:rsidR="00751F94">
        <w:rPr>
          <w:lang w:val="fi-FI"/>
        </w:rPr>
        <w:t xml:space="preserve"> 2014)</w:t>
      </w:r>
      <w:r w:rsidRPr="00A359DD" w:rsidR="00751F94">
        <w:t>.</w:t>
      </w:r>
    </w:p>
    <w:p w:rsidRPr="00A359DD" w:rsidR="00D420F3" w:rsidP="00A359DD" w:rsidRDefault="00282C8F">
      <w:pPr>
        <w:pStyle w:val="ECHRHeading1"/>
      </w:pPr>
      <w:r w:rsidRPr="00A359DD">
        <w:t>II</w:t>
      </w:r>
      <w:r w:rsidRPr="00A359DD" w:rsidR="005301F6">
        <w:t>I</w:t>
      </w:r>
      <w:r w:rsidRPr="00A359DD" w:rsidR="0077175D">
        <w:t>.</w:t>
      </w:r>
      <w:proofErr w:type="gramStart"/>
      <w:r w:rsidRPr="00A359DD" w:rsidR="0077175D">
        <w:t>  ALLEGED</w:t>
      </w:r>
      <w:proofErr w:type="gramEnd"/>
      <w:r w:rsidRPr="00A359DD" w:rsidR="0077175D">
        <w:t xml:space="preserve"> VIOLATION OF ARTICLE</w:t>
      </w:r>
      <w:r w:rsidRPr="00A359DD">
        <w:t> 13</w:t>
      </w:r>
      <w:r w:rsidRPr="00A359DD" w:rsidR="0077175D">
        <w:t xml:space="preserve"> OF THE CONVENTION</w:t>
      </w:r>
    </w:p>
    <w:p w:rsidRPr="00A359DD" w:rsidR="00D420F3"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40</w:t>
      </w:r>
      <w:r w:rsidRPr="00A359DD">
        <w:fldChar w:fldCharType="end"/>
      </w:r>
      <w:r w:rsidRPr="00A359DD" w:rsidR="0077175D">
        <w:t xml:space="preserve">.  The applicant </w:t>
      </w:r>
      <w:r w:rsidRPr="00A359DD" w:rsidR="00282C8F">
        <w:t>may be understood to complain about the lack of an effective domestic remedy in respect of the non-enforcement.</w:t>
      </w:r>
      <w:r w:rsidRPr="00A359DD" w:rsidR="0077175D">
        <w:t xml:space="preserve"> </w:t>
      </w:r>
      <w:r w:rsidRPr="00A359DD">
        <w:t>She</w:t>
      </w:r>
      <w:r w:rsidRPr="00A359DD" w:rsidR="0077175D">
        <w:t xml:space="preserve"> relied on Article</w:t>
      </w:r>
      <w:r w:rsidRPr="00A359DD" w:rsidR="00282C8F">
        <w:t> 13 of the Convention, which reads as follows:</w:t>
      </w:r>
    </w:p>
    <w:p w:rsidRPr="00A359DD" w:rsidR="00282C8F" w:rsidP="00A359DD" w:rsidRDefault="00282C8F">
      <w:pPr>
        <w:pStyle w:val="ECHRTitleCentre3"/>
      </w:pPr>
      <w:r w:rsidRPr="00A359DD">
        <w:t>Article 13</w:t>
      </w:r>
    </w:p>
    <w:p w:rsidRPr="00A359DD" w:rsidR="00282C8F" w:rsidP="00A359DD" w:rsidRDefault="00020A50">
      <w:pPr>
        <w:pStyle w:val="ECHRParaQuote"/>
      </w:pPr>
      <w:r w:rsidRPr="00A359DD">
        <w:t>“</w:t>
      </w:r>
      <w:r w:rsidRPr="00A359DD" w:rsidR="00282C8F">
        <w:t>Everyone whose rights and freedoms as set forth in [the] Convention are violated shall have an effective remedy before a national authority notwithstanding that the violation has been committed by persons acting in an official capacity.”</w:t>
      </w:r>
    </w:p>
    <w:p w:rsidRPr="00A359DD" w:rsidR="00020A50"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41</w:t>
      </w:r>
      <w:r w:rsidRPr="00A359DD">
        <w:rPr>
          <w:noProof/>
        </w:rPr>
        <w:fldChar w:fldCharType="end"/>
      </w:r>
      <w:r w:rsidRPr="00A359DD" w:rsidR="00282C8F">
        <w:t xml:space="preserve">.  The Court has already noted the existence of a new domestic remedy against the non-enforcement of domestic judgments imposing obligations of a pecuniary and non-pecuniary nature on the Russian authorities, introduced in the wake of the pilot judgment by Federal Law No. 450-FZ amending the Compensation Act of 2010. That statute, which entered into force on 1 January 2017, enables those concerned to seek compensation for damage sustained as a result of excessive delays in the enforcement of court judgments ordering the domestic authorities to fulfil various obligations in kind (see </w:t>
      </w:r>
      <w:proofErr w:type="spellStart"/>
      <w:r w:rsidRPr="00A359DD" w:rsidR="00562027">
        <w:rPr>
          <w:i/>
          <w:iCs/>
        </w:rPr>
        <w:t>Kamneva</w:t>
      </w:r>
      <w:proofErr w:type="spellEnd"/>
      <w:r w:rsidRPr="00A359DD" w:rsidR="00562027">
        <w:rPr>
          <w:i/>
          <w:iCs/>
        </w:rPr>
        <w:t xml:space="preserve"> </w:t>
      </w:r>
      <w:r w:rsidRPr="00A359DD" w:rsidR="00282C8F">
        <w:rPr>
          <w:i/>
          <w:iCs/>
        </w:rPr>
        <w:t>and Others v. Russia</w:t>
      </w:r>
      <w:r w:rsidRPr="00A359DD" w:rsidR="00282C8F">
        <w:t xml:space="preserve"> (</w:t>
      </w:r>
      <w:proofErr w:type="spellStart"/>
      <w:r w:rsidRPr="00A359DD" w:rsidR="00282C8F">
        <w:t>dec.</w:t>
      </w:r>
      <w:proofErr w:type="spellEnd"/>
      <w:r w:rsidRPr="00A359DD" w:rsidR="00282C8F">
        <w:t>), no</w:t>
      </w:r>
      <w:r w:rsidRPr="00A359DD" w:rsidR="00702E54">
        <w:t>s</w:t>
      </w:r>
      <w:r w:rsidRPr="00A359DD" w:rsidR="00282C8F">
        <w:t xml:space="preserve">. 35555/05 and 6 others, 2 May 2017). The Court has found that the amended Compensation Act in principle meets the criteria set out in the </w:t>
      </w:r>
      <w:r w:rsidRPr="00A359DD" w:rsidR="00282C8F">
        <w:rPr>
          <w:i/>
          <w:iCs/>
        </w:rPr>
        <w:t>Gerasimov and Others</w:t>
      </w:r>
      <w:r w:rsidRPr="00A359DD" w:rsidR="00282C8F">
        <w:t xml:space="preserve"> pilot judgment and provides the applicants with a potentially effective remedy for their non-enforcement complaint (see </w:t>
      </w:r>
      <w:proofErr w:type="spellStart"/>
      <w:r w:rsidRPr="00A359DD" w:rsidR="00282C8F">
        <w:rPr>
          <w:i/>
          <w:iCs/>
        </w:rPr>
        <w:t>Shtolts</w:t>
      </w:r>
      <w:proofErr w:type="spellEnd"/>
      <w:r w:rsidRPr="00A359DD" w:rsidR="00282C8F">
        <w:rPr>
          <w:i/>
          <w:iCs/>
        </w:rPr>
        <w:t xml:space="preserve"> and Others v. Russia</w:t>
      </w:r>
      <w:r w:rsidRPr="00A359DD" w:rsidR="00282C8F">
        <w:t xml:space="preserve"> (</w:t>
      </w:r>
      <w:proofErr w:type="spellStart"/>
      <w:r w:rsidRPr="00A359DD" w:rsidR="00282C8F">
        <w:t>dec.</w:t>
      </w:r>
      <w:proofErr w:type="spellEnd"/>
      <w:r w:rsidRPr="00A359DD" w:rsidR="00282C8F">
        <w:t>), nos. 77056/14 and 2 others, §§ 87-116 and § 123, 30 January 2018).</w:t>
      </w:r>
    </w:p>
    <w:p w:rsidRPr="00A359DD" w:rsidR="00282C8F"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42</w:t>
      </w:r>
      <w:r w:rsidRPr="00A359DD">
        <w:rPr>
          <w:noProof/>
        </w:rPr>
        <w:fldChar w:fldCharType="end"/>
      </w:r>
      <w:r w:rsidRPr="00A359DD" w:rsidR="00282C8F">
        <w:t>.  </w:t>
      </w:r>
      <w:r w:rsidRPr="00A359DD" w:rsidR="00562027">
        <w:t>Even though the remedy was – and still is –</w:t>
      </w:r>
      <w:r w:rsidRPr="00A359DD" w:rsidR="00282C8F">
        <w:t xml:space="preserve"> available to the applicant, the Court reiterates that it would be unfair to request the applicants whose cases have already been pending for many years in the domestic system and who have come to seek relief at the Court, to bring again their claims before domestic tribunals (see </w:t>
      </w:r>
      <w:r w:rsidRPr="00A359DD" w:rsidR="00282C8F">
        <w:rPr>
          <w:i/>
          <w:iCs/>
        </w:rPr>
        <w:t>Gerasimov and Others</w:t>
      </w:r>
      <w:r w:rsidRPr="00A359DD" w:rsidR="00282C8F">
        <w:t>, cited above, § 230).</w:t>
      </w:r>
    </w:p>
    <w:p w:rsidRPr="00A359DD" w:rsidR="00020A50" w:rsidP="00A359DD" w:rsidRDefault="00E2716A">
      <w:pPr>
        <w:pStyle w:val="ECHRPara"/>
      </w:pPr>
      <w:r w:rsidRPr="00A359DD">
        <w:fldChar w:fldCharType="begin"/>
      </w:r>
      <w:r w:rsidRPr="00A359DD">
        <w:instrText xml:space="preserve"> SEQ level0 \*arabic </w:instrText>
      </w:r>
      <w:r w:rsidRPr="00A359DD">
        <w:fldChar w:fldCharType="separate"/>
      </w:r>
      <w:r w:rsidRPr="00A359DD" w:rsidR="00A359DD">
        <w:rPr>
          <w:noProof/>
        </w:rPr>
        <w:t>43</w:t>
      </w:r>
      <w:r w:rsidRPr="00A359DD">
        <w:rPr>
          <w:noProof/>
        </w:rPr>
        <w:fldChar w:fldCharType="end"/>
      </w:r>
      <w:r w:rsidRPr="00A359DD" w:rsidR="00282C8F">
        <w:t>.  However, in the light of the adoption of the new domestic remedy, the Court, as in its previous decisions, considers that it is not necessary to examine separately the admissibility and merits of the applicant</w:t>
      </w:r>
      <w:r w:rsidRPr="00A359DD" w:rsidR="00A359DD">
        <w:t>’</w:t>
      </w:r>
      <w:r w:rsidRPr="00A359DD" w:rsidR="001B2CB3">
        <w:t>s</w:t>
      </w:r>
      <w:r w:rsidRPr="00A359DD" w:rsidR="00282C8F">
        <w:t xml:space="preserve"> complaint under Article 13 in the present case (see, </w:t>
      </w:r>
      <w:r w:rsidRPr="00A359DD" w:rsidR="00282C8F">
        <w:rPr>
          <w:i/>
          <w:iCs/>
        </w:rPr>
        <w:t>mutatis mutandis</w:t>
      </w:r>
      <w:r w:rsidRPr="00A359DD" w:rsidR="00282C8F">
        <w:t>,</w:t>
      </w:r>
      <w:r w:rsidRPr="00A359DD" w:rsidR="00020A50">
        <w:t xml:space="preserve"> </w:t>
      </w:r>
      <w:proofErr w:type="spellStart"/>
      <w:r w:rsidRPr="00A359DD" w:rsidR="00282C8F">
        <w:rPr>
          <w:i/>
          <w:iCs/>
        </w:rPr>
        <w:t>Korotyayeva</w:t>
      </w:r>
      <w:proofErr w:type="spellEnd"/>
      <w:r w:rsidRPr="00A359DD" w:rsidR="00282C8F">
        <w:rPr>
          <w:i/>
          <w:iCs/>
        </w:rPr>
        <w:t xml:space="preserve"> and Others</w:t>
      </w:r>
      <w:r w:rsidRPr="00A359DD" w:rsidR="00282C8F">
        <w:t>, no</w:t>
      </w:r>
      <w:r w:rsidRPr="00A359DD" w:rsidR="00702E54">
        <w:t>s</w:t>
      </w:r>
      <w:r w:rsidRPr="00A359DD" w:rsidR="00282C8F">
        <w:t>. 13122/11 a</w:t>
      </w:r>
      <w:r w:rsidRPr="00A359DD" w:rsidR="00B506B7">
        <w:t>nd 2 others, § 40, 18 July 2017;</w:t>
      </w:r>
      <w:r w:rsidRPr="00A359DD" w:rsidR="00282C8F">
        <w:t xml:space="preserve"> and </w:t>
      </w:r>
      <w:proofErr w:type="spellStart"/>
      <w:r w:rsidRPr="00A359DD" w:rsidR="00282C8F">
        <w:rPr>
          <w:i/>
          <w:iCs/>
        </w:rPr>
        <w:t>Tkhyegepso</w:t>
      </w:r>
      <w:proofErr w:type="spellEnd"/>
      <w:r w:rsidRPr="00A359DD" w:rsidR="00282C8F">
        <w:rPr>
          <w:i/>
          <w:iCs/>
        </w:rPr>
        <w:t xml:space="preserve"> and Others v. Russia,</w:t>
      </w:r>
      <w:r w:rsidRPr="00A359DD" w:rsidR="00282C8F">
        <w:t xml:space="preserve"> nos. 44387/04 and 11 others, §§ 21-24, 25 October 2011).</w:t>
      </w:r>
    </w:p>
    <w:p w:rsidRPr="00A359DD" w:rsidR="00D420F3" w:rsidP="00A359DD" w:rsidRDefault="00562027">
      <w:pPr>
        <w:pStyle w:val="ECHRHeading1"/>
      </w:pPr>
      <w:r w:rsidRPr="00A359DD">
        <w:t>I</w:t>
      </w:r>
      <w:r w:rsidRPr="00A359DD" w:rsidR="00282C8F">
        <w:t>V</w:t>
      </w:r>
      <w:r w:rsidRPr="00A359DD" w:rsidR="00C90EAA">
        <w:t>.</w:t>
      </w:r>
      <w:proofErr w:type="gramStart"/>
      <w:r w:rsidRPr="00A359DD" w:rsidR="00C90EAA">
        <w:t>  APPLICATION</w:t>
      </w:r>
      <w:proofErr w:type="gramEnd"/>
      <w:r w:rsidRPr="00A359DD" w:rsidR="00C90EAA">
        <w:t xml:space="preserve"> OF ARTICLE </w:t>
      </w:r>
      <w:r w:rsidRPr="00A359DD" w:rsidR="0077175D">
        <w:t>41 OF THE CONVENTION</w:t>
      </w:r>
    </w:p>
    <w:p w:rsidRPr="00A359DD" w:rsidR="00D420F3" w:rsidP="00A359DD" w:rsidRDefault="00FC4F82">
      <w:pPr>
        <w:pStyle w:val="ECHRPara"/>
        <w:keepNext/>
        <w:keepLines/>
      </w:pPr>
      <w:r w:rsidRPr="00A359DD">
        <w:fldChar w:fldCharType="begin"/>
      </w:r>
      <w:r w:rsidRPr="00A359DD">
        <w:instrText xml:space="preserve"> SEQ level0 \*arabic </w:instrText>
      </w:r>
      <w:r w:rsidRPr="00A359DD">
        <w:fldChar w:fldCharType="separate"/>
      </w:r>
      <w:r w:rsidRPr="00A359DD" w:rsidR="00A359DD">
        <w:rPr>
          <w:noProof/>
        </w:rPr>
        <w:t>44</w:t>
      </w:r>
      <w:r w:rsidRPr="00A359DD">
        <w:fldChar w:fldCharType="end"/>
      </w:r>
      <w:r w:rsidRPr="00A359DD" w:rsidR="0077175D">
        <w:t>.  Article</w:t>
      </w:r>
      <w:r w:rsidRPr="00A359DD" w:rsidR="008A3811">
        <w:t> </w:t>
      </w:r>
      <w:r w:rsidRPr="00A359DD" w:rsidR="0077175D">
        <w:t>41 of the Convention provides:</w:t>
      </w:r>
    </w:p>
    <w:p w:rsidRPr="00A359DD" w:rsidR="00D420F3" w:rsidP="00A359DD" w:rsidRDefault="0077175D">
      <w:pPr>
        <w:pStyle w:val="ECHRParaQuote"/>
        <w:keepNext/>
        <w:keepLines/>
      </w:pPr>
      <w:r w:rsidRPr="00A359D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359DD" w:rsidR="00D420F3" w:rsidP="00A359DD" w:rsidRDefault="0077175D">
      <w:pPr>
        <w:pStyle w:val="ECHRHeading2"/>
      </w:pPr>
      <w:r w:rsidRPr="00A359DD">
        <w:t>A.  Damage</w:t>
      </w:r>
    </w:p>
    <w:p w:rsidRPr="00A359DD" w:rsidR="00D420F3"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45</w:t>
      </w:r>
      <w:r w:rsidRPr="00A359DD">
        <w:fldChar w:fldCharType="end"/>
      </w:r>
      <w:r w:rsidRPr="00A359DD" w:rsidR="0077175D">
        <w:t xml:space="preserve">.  The applicant claimed </w:t>
      </w:r>
      <w:r w:rsidRPr="00A359DD" w:rsidR="00255612">
        <w:t xml:space="preserve">7,800,778 </w:t>
      </w:r>
      <w:r w:rsidRPr="00A359DD" w:rsidR="00E2716A">
        <w:t xml:space="preserve">Russian roubles (RUB) </w:t>
      </w:r>
      <w:r w:rsidRPr="00A359DD" w:rsidR="00255612">
        <w:t>(approximately</w:t>
      </w:r>
      <w:r w:rsidRPr="00A359DD" w:rsidR="00745A5D">
        <w:t xml:space="preserve"> 121,725</w:t>
      </w:r>
      <w:r w:rsidRPr="00A359DD" w:rsidR="0077175D">
        <w:t xml:space="preserve"> euros (EUR</w:t>
      </w:r>
      <w:r w:rsidRPr="00A359DD" w:rsidR="004A7F76">
        <w:t>)</w:t>
      </w:r>
      <w:r w:rsidRPr="00A359DD" w:rsidR="0077175D">
        <w:t xml:space="preserve">) in respect of pecuniary </w:t>
      </w:r>
      <w:r w:rsidRPr="00A359DD" w:rsidR="000D7D00">
        <w:t>damage.</w:t>
      </w:r>
      <w:r w:rsidRPr="00A359DD" w:rsidR="00757C3F">
        <w:t xml:space="preserve"> That amount represented </w:t>
      </w:r>
      <w:r w:rsidRPr="00A359DD" w:rsidR="00B70DA3">
        <w:t>monetary compensation for 224 days of additional leave between 8 June 1995 and 31 December 2001, as well as salary, emoluments and interest for the period between 1 January 2002 and 31 December 2016</w:t>
      </w:r>
      <w:r w:rsidRPr="00A359DD" w:rsidR="00757C3F">
        <w:t xml:space="preserve">. </w:t>
      </w:r>
      <w:r w:rsidRPr="00A359DD" w:rsidR="000D7D00">
        <w:t>She further claimed RUB 500,000 (approximately EUR </w:t>
      </w:r>
      <w:r w:rsidRPr="00A359DD" w:rsidR="00AC5D7F">
        <w:t>7,795</w:t>
      </w:r>
      <w:r w:rsidRPr="00A359DD" w:rsidR="000D7D00">
        <w:t>)</w:t>
      </w:r>
      <w:r w:rsidRPr="00A359DD" w:rsidR="00AC5D7F">
        <w:t xml:space="preserve"> </w:t>
      </w:r>
      <w:r w:rsidRPr="00A359DD" w:rsidR="000D7D00">
        <w:t xml:space="preserve">in respect of </w:t>
      </w:r>
      <w:r w:rsidRPr="00A359DD" w:rsidR="0077175D">
        <w:t>non-pecuniary damage.</w:t>
      </w:r>
    </w:p>
    <w:p w:rsidRPr="00A359DD" w:rsidR="00D420F3"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46</w:t>
      </w:r>
      <w:r w:rsidRPr="00A359DD">
        <w:fldChar w:fldCharType="end"/>
      </w:r>
      <w:r w:rsidRPr="00A359DD" w:rsidR="0077175D">
        <w:t xml:space="preserve">.  The Government </w:t>
      </w:r>
      <w:r w:rsidRPr="00A359DD" w:rsidR="000D7D00">
        <w:t xml:space="preserve">contested those claims as </w:t>
      </w:r>
      <w:r w:rsidRPr="00A359DD" w:rsidR="00B70DA3">
        <w:t xml:space="preserve">manifestly </w:t>
      </w:r>
      <w:r w:rsidRPr="00A359DD" w:rsidR="000D7D00">
        <w:t>excessive and unsubstantiated.</w:t>
      </w:r>
      <w:r w:rsidRPr="00A359DD" w:rsidR="00B70DA3">
        <w:t xml:space="preserve"> They noted that no monetary award had been made by the domestic court in the applicant</w:t>
      </w:r>
      <w:r w:rsidRPr="00A359DD" w:rsidR="00A359DD">
        <w:t>’</w:t>
      </w:r>
      <w:r w:rsidRPr="00A359DD" w:rsidR="00B70DA3">
        <w:t xml:space="preserve">s favour, and the applicant had not </w:t>
      </w:r>
      <w:r w:rsidRPr="00A359DD" w:rsidR="00413809">
        <w:t>lodged</w:t>
      </w:r>
      <w:r w:rsidRPr="00A359DD" w:rsidR="00B70DA3">
        <w:t xml:space="preserve"> relevant claims </w:t>
      </w:r>
      <w:r w:rsidRPr="00A359DD" w:rsidR="00413809">
        <w:t>with</w:t>
      </w:r>
      <w:r w:rsidRPr="00A359DD" w:rsidR="00B70DA3">
        <w:t xml:space="preserve"> the national court.</w:t>
      </w:r>
    </w:p>
    <w:p w:rsidRPr="00A359DD" w:rsidR="00020A50"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47</w:t>
      </w:r>
      <w:r w:rsidRPr="00A359DD">
        <w:fldChar w:fldCharType="end"/>
      </w:r>
      <w:r w:rsidRPr="00A359DD" w:rsidR="0077175D">
        <w:t xml:space="preserve">.  The Court </w:t>
      </w:r>
      <w:r w:rsidRPr="00A359DD" w:rsidR="00255612">
        <w:t>a</w:t>
      </w:r>
      <w:r w:rsidRPr="00A359DD" w:rsidR="00F72237">
        <w:t>grees with the Government</w:t>
      </w:r>
      <w:r w:rsidRPr="00A359DD" w:rsidR="00255612">
        <w:t xml:space="preserve"> that the domestic cour</w:t>
      </w:r>
      <w:r w:rsidRPr="00A359DD" w:rsidR="00757C3F">
        <w:t>t</w:t>
      </w:r>
      <w:r w:rsidRPr="00A359DD" w:rsidR="00A359DD">
        <w:t>’</w:t>
      </w:r>
      <w:r w:rsidRPr="00A359DD" w:rsidR="00757C3F">
        <w:t>s judgment did not oblige the authorities to pay the applicant a</w:t>
      </w:r>
      <w:r w:rsidRPr="00A359DD" w:rsidR="00B70DA3">
        <w:t>ny</w:t>
      </w:r>
      <w:r w:rsidRPr="00A359DD" w:rsidR="00757C3F">
        <w:t xml:space="preserve"> specific amount of money</w:t>
      </w:r>
      <w:r w:rsidRPr="00A359DD" w:rsidR="00B70DA3">
        <w:t xml:space="preserve">. In the absence of a relevant domestic ruling, the Court does not discern a causal link between the amount claimed and the violation found, and </w:t>
      </w:r>
      <w:r w:rsidRPr="00A359DD" w:rsidR="00255612">
        <w:t xml:space="preserve">rejects the </w:t>
      </w:r>
      <w:r w:rsidRPr="00A359DD" w:rsidR="0077175D">
        <w:t>claim</w:t>
      </w:r>
      <w:r w:rsidRPr="00A359DD" w:rsidR="00255612">
        <w:t xml:space="preserve"> for pecuniary damage</w:t>
      </w:r>
      <w:r w:rsidRPr="00A359DD" w:rsidR="0077175D">
        <w:t>.</w:t>
      </w:r>
    </w:p>
    <w:p w:rsidRPr="00A359DD" w:rsidR="00255612" w:rsidP="00A359DD" w:rsidRDefault="0023169C">
      <w:pPr>
        <w:pStyle w:val="ECHRPara"/>
      </w:pPr>
      <w:r w:rsidRPr="00A359DD">
        <w:fldChar w:fldCharType="begin"/>
      </w:r>
      <w:r w:rsidRPr="00A359DD">
        <w:instrText xml:space="preserve"> SEQ level0 \*arabic </w:instrText>
      </w:r>
      <w:r w:rsidRPr="00A359DD">
        <w:fldChar w:fldCharType="separate"/>
      </w:r>
      <w:r w:rsidRPr="00A359DD" w:rsidR="00A359DD">
        <w:rPr>
          <w:noProof/>
        </w:rPr>
        <w:t>48</w:t>
      </w:r>
      <w:r w:rsidRPr="00A359DD">
        <w:fldChar w:fldCharType="end"/>
      </w:r>
      <w:r w:rsidRPr="00A359DD">
        <w:t>.  </w:t>
      </w:r>
      <w:r w:rsidRPr="00A359DD" w:rsidR="00255612">
        <w:t>On the ot</w:t>
      </w:r>
      <w:r w:rsidRPr="00A359DD">
        <w:t xml:space="preserve">her hand, the Court notes that </w:t>
      </w:r>
      <w:r w:rsidRPr="00A359DD" w:rsidR="00255612">
        <w:rPr>
          <w:rFonts w:ascii="Times New Roman" w:hAnsi="Times New Roman" w:cs="Times New Roman" w:eastAsiaTheme="minorHAnsi"/>
          <w:color w:val="000000"/>
          <w:szCs w:val="24"/>
        </w:rPr>
        <w:t>it has found a violation of th</w:t>
      </w:r>
      <w:r w:rsidRPr="00A359DD" w:rsidR="00F72237">
        <w:rPr>
          <w:rFonts w:ascii="Times New Roman" w:hAnsi="Times New Roman" w:cs="Times New Roman" w:eastAsiaTheme="minorHAnsi"/>
          <w:color w:val="000000"/>
          <w:szCs w:val="24"/>
        </w:rPr>
        <w:t>e Convention on account of the continued n</w:t>
      </w:r>
      <w:r w:rsidRPr="00A359DD" w:rsidR="00255612">
        <w:rPr>
          <w:rFonts w:ascii="Times New Roman" w:hAnsi="Times New Roman" w:cs="Times New Roman" w:eastAsiaTheme="minorHAnsi"/>
          <w:color w:val="000000"/>
          <w:szCs w:val="24"/>
        </w:rPr>
        <w:t xml:space="preserve">on-enforcement of the judgment of </w:t>
      </w:r>
      <w:r w:rsidRPr="00A359DD">
        <w:t>11 February 2004</w:t>
      </w:r>
      <w:r w:rsidRPr="00A359DD" w:rsidR="00255612">
        <w:rPr>
          <w:rFonts w:ascii="Times New Roman" w:hAnsi="Times New Roman" w:cs="Times New Roman" w:eastAsiaTheme="minorHAnsi"/>
          <w:color w:val="000000"/>
          <w:szCs w:val="24"/>
        </w:rPr>
        <w:t>. Indeed, in so far as th</w:t>
      </w:r>
      <w:r w:rsidRPr="00A359DD" w:rsidR="00F72237">
        <w:rPr>
          <w:rFonts w:ascii="Times New Roman" w:hAnsi="Times New Roman" w:cs="Times New Roman" w:eastAsiaTheme="minorHAnsi"/>
          <w:color w:val="000000"/>
          <w:szCs w:val="24"/>
        </w:rPr>
        <w:t>at</w:t>
      </w:r>
      <w:r w:rsidRPr="00A359DD" w:rsidR="00255612">
        <w:rPr>
          <w:rFonts w:ascii="Times New Roman" w:hAnsi="Times New Roman" w:cs="Times New Roman" w:eastAsiaTheme="minorHAnsi"/>
          <w:color w:val="000000"/>
          <w:szCs w:val="24"/>
        </w:rPr>
        <w:t xml:space="preserve"> judgment </w:t>
      </w:r>
      <w:r w:rsidRPr="00A359DD" w:rsidR="00757C3F">
        <w:rPr>
          <w:rFonts w:ascii="Times New Roman" w:hAnsi="Times New Roman" w:cs="Times New Roman" w:eastAsiaTheme="minorHAnsi"/>
          <w:color w:val="000000"/>
          <w:szCs w:val="24"/>
        </w:rPr>
        <w:t>has not been annulled and modified</w:t>
      </w:r>
      <w:r w:rsidRPr="00A359DD" w:rsidR="00255612">
        <w:rPr>
          <w:rFonts w:ascii="Times New Roman" w:hAnsi="Times New Roman" w:cs="Times New Roman" w:eastAsiaTheme="minorHAnsi"/>
          <w:color w:val="000000"/>
          <w:szCs w:val="24"/>
        </w:rPr>
        <w:t xml:space="preserve">, the Court reiterates that the most appropriate form of redress in respect of a violation of Article 6 is to ensure that the applicant as far as possible is put in the position he would have been in had the requirements of Article 6 not been disregarded (see </w:t>
      </w:r>
      <w:proofErr w:type="spellStart"/>
      <w:r w:rsidRPr="00A359DD" w:rsidR="00801958">
        <w:rPr>
          <w:rFonts w:ascii="Times New Roman" w:hAnsi="Times New Roman" w:cs="Times New Roman" w:eastAsiaTheme="minorHAnsi"/>
          <w:i/>
          <w:iCs/>
          <w:color w:val="000000"/>
          <w:szCs w:val="24"/>
        </w:rPr>
        <w:t>Piersack</w:t>
      </w:r>
      <w:proofErr w:type="spellEnd"/>
      <w:r w:rsidRPr="00A359DD" w:rsidR="00801958">
        <w:rPr>
          <w:rFonts w:ascii="Times New Roman" w:hAnsi="Times New Roman" w:cs="Times New Roman" w:eastAsiaTheme="minorHAnsi"/>
          <w:i/>
          <w:iCs/>
          <w:color w:val="000000"/>
          <w:szCs w:val="24"/>
        </w:rPr>
        <w:t xml:space="preserve"> v. </w:t>
      </w:r>
      <w:r w:rsidRPr="00A359DD" w:rsidR="00255612">
        <w:rPr>
          <w:rFonts w:ascii="Times New Roman" w:hAnsi="Times New Roman" w:cs="Times New Roman" w:eastAsiaTheme="minorHAnsi"/>
          <w:i/>
          <w:iCs/>
          <w:color w:val="000000"/>
          <w:szCs w:val="24"/>
        </w:rPr>
        <w:t>Belgium</w:t>
      </w:r>
      <w:r w:rsidRPr="00A359DD" w:rsidR="00801958">
        <w:rPr>
          <w:rFonts w:ascii="Times New Roman" w:hAnsi="Times New Roman" w:cs="Times New Roman" w:eastAsiaTheme="minorHAnsi"/>
          <w:color w:val="000000"/>
          <w:szCs w:val="24"/>
        </w:rPr>
        <w:t xml:space="preserve"> (Article 50), 26 October 1984, § </w:t>
      </w:r>
      <w:r w:rsidRPr="00A359DD" w:rsidR="00255612">
        <w:rPr>
          <w:rFonts w:ascii="Times New Roman" w:hAnsi="Times New Roman" w:cs="Times New Roman" w:eastAsiaTheme="minorHAnsi"/>
          <w:color w:val="000000"/>
          <w:szCs w:val="24"/>
        </w:rPr>
        <w:t>12, Series</w:t>
      </w:r>
      <w:r w:rsidRPr="00A359DD" w:rsidR="00801958">
        <w:rPr>
          <w:rFonts w:ascii="Times New Roman" w:hAnsi="Times New Roman" w:cs="Times New Roman" w:eastAsiaTheme="minorHAnsi"/>
          <w:color w:val="000000"/>
          <w:szCs w:val="24"/>
        </w:rPr>
        <w:t> A no. </w:t>
      </w:r>
      <w:r w:rsidRPr="00A359DD" w:rsidR="00255612">
        <w:rPr>
          <w:rFonts w:ascii="Times New Roman" w:hAnsi="Times New Roman" w:cs="Times New Roman" w:eastAsiaTheme="minorHAnsi"/>
          <w:color w:val="000000"/>
          <w:szCs w:val="24"/>
        </w:rPr>
        <w:t xml:space="preserve">85). Having regard to the violation found, the Court finds that in the present case this principle applies as well. It therefore considers that the Government shall secure, by appropriate means, the enforcement of the judgment of </w:t>
      </w:r>
      <w:r w:rsidRPr="00A359DD">
        <w:t>11 February 2004</w:t>
      </w:r>
      <w:r w:rsidRPr="00A359DD" w:rsidR="00255612">
        <w:rPr>
          <w:rFonts w:ascii="Times New Roman" w:hAnsi="Times New Roman" w:cs="Times New Roman" w:eastAsiaTheme="minorHAnsi"/>
          <w:color w:val="000000"/>
          <w:szCs w:val="24"/>
        </w:rPr>
        <w:t>.</w:t>
      </w:r>
    </w:p>
    <w:p w:rsidRPr="00A359DD" w:rsidR="00255612" w:rsidP="00A359DD" w:rsidRDefault="0023169C">
      <w:pPr>
        <w:pStyle w:val="ECHRPara"/>
      </w:pPr>
      <w:r w:rsidRPr="00A359DD">
        <w:rPr>
          <w:rFonts w:ascii="Times New Roman" w:hAnsi="Times New Roman" w:cs="Times New Roman" w:eastAsiaTheme="minorHAnsi"/>
          <w:color w:val="000000"/>
          <w:szCs w:val="24"/>
        </w:rPr>
        <w:fldChar w:fldCharType="begin"/>
      </w:r>
      <w:r w:rsidRPr="00A359DD">
        <w:rPr>
          <w:rFonts w:ascii="Times New Roman" w:hAnsi="Times New Roman" w:cs="Times New Roman" w:eastAsiaTheme="minorHAnsi"/>
          <w:color w:val="000000"/>
          <w:szCs w:val="24"/>
        </w:rPr>
        <w:instrText xml:space="preserve"> SEQ level0 \*arabic </w:instrText>
      </w:r>
      <w:r w:rsidRPr="00A359DD">
        <w:rPr>
          <w:rFonts w:ascii="Times New Roman" w:hAnsi="Times New Roman" w:cs="Times New Roman" w:eastAsiaTheme="minorHAnsi"/>
          <w:color w:val="000000"/>
          <w:szCs w:val="24"/>
        </w:rPr>
        <w:fldChar w:fldCharType="separate"/>
      </w:r>
      <w:r w:rsidRPr="00A359DD" w:rsidR="00A359DD">
        <w:rPr>
          <w:rFonts w:ascii="Times New Roman" w:hAnsi="Times New Roman" w:cs="Times New Roman" w:eastAsiaTheme="minorHAnsi"/>
          <w:noProof/>
          <w:color w:val="000000"/>
          <w:szCs w:val="24"/>
        </w:rPr>
        <w:t>49</w:t>
      </w:r>
      <w:r w:rsidRPr="00A359DD">
        <w:rPr>
          <w:rFonts w:ascii="Times New Roman" w:hAnsi="Times New Roman" w:cs="Times New Roman" w:eastAsiaTheme="minorHAnsi"/>
          <w:color w:val="000000"/>
          <w:szCs w:val="24"/>
        </w:rPr>
        <w:fldChar w:fldCharType="end"/>
      </w:r>
      <w:r w:rsidRPr="00A359DD">
        <w:rPr>
          <w:rFonts w:ascii="Times New Roman" w:hAnsi="Times New Roman" w:cs="Times New Roman" w:eastAsiaTheme="minorHAnsi"/>
          <w:color w:val="000000"/>
          <w:szCs w:val="24"/>
        </w:rPr>
        <w:t>.  </w:t>
      </w:r>
      <w:r w:rsidRPr="00A359DD" w:rsidR="00413809">
        <w:rPr>
          <w:rFonts w:ascii="Times New Roman" w:hAnsi="Times New Roman" w:cs="Times New Roman" w:eastAsiaTheme="minorHAnsi"/>
          <w:color w:val="000000"/>
          <w:szCs w:val="24"/>
        </w:rPr>
        <w:t xml:space="preserve">The Court further </w:t>
      </w:r>
      <w:r w:rsidRPr="00A359DD" w:rsidR="00255612">
        <w:rPr>
          <w:rFonts w:ascii="Times New Roman" w:hAnsi="Times New Roman" w:cs="Times New Roman" w:eastAsiaTheme="minorHAnsi"/>
          <w:color w:val="000000"/>
          <w:szCs w:val="24"/>
        </w:rPr>
        <w:t xml:space="preserve">points out that its judgments are essentially declaratory in nature. In general, it is primarily for the State concerned to choose the means to be used in its domestic legal order in order to discharge its legal obligation under Article 46 of the Convention (see </w:t>
      </w:r>
      <w:proofErr w:type="spellStart"/>
      <w:r w:rsidRPr="00A359DD" w:rsidR="00E2716A">
        <w:rPr>
          <w:rFonts w:ascii="Times New Roman" w:hAnsi="Times New Roman" w:cs="Times New Roman" w:eastAsiaTheme="minorHAnsi"/>
          <w:i/>
          <w:iCs/>
          <w:color w:val="000000"/>
          <w:szCs w:val="24"/>
        </w:rPr>
        <w:t>Shofman</w:t>
      </w:r>
      <w:proofErr w:type="spellEnd"/>
      <w:r w:rsidRPr="00A359DD" w:rsidR="00E2716A">
        <w:rPr>
          <w:rFonts w:ascii="Times New Roman" w:hAnsi="Times New Roman" w:cs="Times New Roman" w:eastAsiaTheme="minorHAnsi"/>
          <w:i/>
          <w:iCs/>
          <w:color w:val="000000"/>
          <w:szCs w:val="24"/>
        </w:rPr>
        <w:t xml:space="preserve"> v. </w:t>
      </w:r>
      <w:r w:rsidRPr="00A359DD" w:rsidR="00255612">
        <w:rPr>
          <w:rFonts w:ascii="Times New Roman" w:hAnsi="Times New Roman" w:cs="Times New Roman" w:eastAsiaTheme="minorHAnsi"/>
          <w:i/>
          <w:iCs/>
          <w:color w:val="000000"/>
          <w:szCs w:val="24"/>
        </w:rPr>
        <w:t>Russia</w:t>
      </w:r>
      <w:r w:rsidRPr="00A359DD" w:rsidR="00255612">
        <w:rPr>
          <w:rFonts w:ascii="Times New Roman" w:hAnsi="Times New Roman" w:cs="Times New Roman" w:eastAsiaTheme="minorHAnsi"/>
          <w:color w:val="000000"/>
          <w:szCs w:val="24"/>
        </w:rPr>
        <w:t>, no. 74826/01, § 53, 24 November 2005, with further references). By finding a violation of Article 6 § 1 in the present case, the Court has established the Government</w:t>
      </w:r>
      <w:r w:rsidRPr="00A359DD" w:rsidR="00A359DD">
        <w:rPr>
          <w:rFonts w:ascii="Times New Roman" w:hAnsi="Times New Roman" w:cs="Times New Roman" w:eastAsiaTheme="minorHAnsi"/>
          <w:color w:val="000000"/>
          <w:szCs w:val="24"/>
        </w:rPr>
        <w:t>’</w:t>
      </w:r>
      <w:r w:rsidRPr="00A359DD" w:rsidR="00255612">
        <w:rPr>
          <w:rFonts w:ascii="Times New Roman" w:hAnsi="Times New Roman" w:cs="Times New Roman" w:eastAsiaTheme="minorHAnsi"/>
          <w:color w:val="000000"/>
          <w:szCs w:val="24"/>
        </w:rPr>
        <w:t>s obligation to take appropriate measures to remedy the applicant</w:t>
      </w:r>
      <w:r w:rsidRPr="00A359DD" w:rsidR="00A359DD">
        <w:rPr>
          <w:rFonts w:ascii="Times New Roman" w:hAnsi="Times New Roman" w:cs="Times New Roman" w:eastAsiaTheme="minorHAnsi"/>
          <w:color w:val="000000"/>
          <w:szCs w:val="24"/>
        </w:rPr>
        <w:t>’</w:t>
      </w:r>
      <w:r w:rsidRPr="00A359DD" w:rsidR="00255612">
        <w:rPr>
          <w:rFonts w:ascii="Times New Roman" w:hAnsi="Times New Roman" w:cs="Times New Roman" w:eastAsiaTheme="minorHAnsi"/>
          <w:color w:val="000000"/>
          <w:szCs w:val="24"/>
        </w:rPr>
        <w:t>s individual situation, that is to ensure compliance with the applicant</w:t>
      </w:r>
      <w:r w:rsidRPr="00A359DD" w:rsidR="00A359DD">
        <w:rPr>
          <w:rFonts w:ascii="Times New Roman" w:hAnsi="Times New Roman" w:cs="Times New Roman" w:eastAsiaTheme="minorHAnsi"/>
          <w:color w:val="000000"/>
          <w:szCs w:val="24"/>
        </w:rPr>
        <w:t>’</w:t>
      </w:r>
      <w:r w:rsidRPr="00A359DD" w:rsidR="00255612">
        <w:rPr>
          <w:rFonts w:ascii="Times New Roman" w:hAnsi="Times New Roman" w:cs="Times New Roman" w:eastAsiaTheme="minorHAnsi"/>
          <w:color w:val="000000"/>
          <w:szCs w:val="24"/>
        </w:rPr>
        <w:t xml:space="preserve">s enforceable claim under the judgment of </w:t>
      </w:r>
      <w:r w:rsidRPr="00A359DD">
        <w:t>11 February 2004</w:t>
      </w:r>
      <w:r w:rsidRPr="00A359DD">
        <w:rPr>
          <w:rFonts w:ascii="Times New Roman" w:hAnsi="Times New Roman" w:cs="Times New Roman" w:eastAsiaTheme="minorHAnsi"/>
          <w:color w:val="000000"/>
          <w:szCs w:val="24"/>
        </w:rPr>
        <w:t xml:space="preserve"> </w:t>
      </w:r>
      <w:r w:rsidRPr="00A359DD" w:rsidR="00255612">
        <w:rPr>
          <w:rFonts w:ascii="Times New Roman" w:hAnsi="Times New Roman" w:cs="Times New Roman" w:eastAsiaTheme="minorHAnsi"/>
          <w:color w:val="000000"/>
          <w:szCs w:val="24"/>
        </w:rPr>
        <w:t xml:space="preserve">(see, for instance, </w:t>
      </w:r>
      <w:proofErr w:type="spellStart"/>
      <w:r w:rsidRPr="00A359DD" w:rsidR="00255612">
        <w:rPr>
          <w:rFonts w:ascii="Times New Roman" w:hAnsi="Times New Roman" w:cs="Times New Roman" w:eastAsiaTheme="minorHAnsi"/>
          <w:i/>
          <w:iCs/>
          <w:color w:val="000000"/>
          <w:szCs w:val="24"/>
        </w:rPr>
        <w:t>Humbatov</w:t>
      </w:r>
      <w:proofErr w:type="spellEnd"/>
      <w:r w:rsidRPr="00A359DD" w:rsidR="00255612">
        <w:rPr>
          <w:rFonts w:ascii="Times New Roman" w:hAnsi="Times New Roman" w:cs="Times New Roman" w:eastAsiaTheme="minorHAnsi"/>
          <w:i/>
          <w:iCs/>
          <w:color w:val="000000"/>
          <w:szCs w:val="24"/>
        </w:rPr>
        <w:t xml:space="preserve"> v. Azerbaijan</w:t>
      </w:r>
      <w:r w:rsidRPr="00A359DD" w:rsidR="00255612">
        <w:rPr>
          <w:rFonts w:ascii="Times New Roman" w:hAnsi="Times New Roman" w:cs="Times New Roman" w:eastAsiaTheme="minorHAnsi"/>
          <w:color w:val="000000"/>
          <w:szCs w:val="24"/>
        </w:rPr>
        <w:t xml:space="preserve">, no. 13652/06, § 38, 3 December 2009, with further references). </w:t>
      </w:r>
      <w:r w:rsidRPr="00A359DD" w:rsidR="00AA1D60">
        <w:rPr>
          <w:rFonts w:ascii="Times New Roman" w:hAnsi="Times New Roman" w:cs="Times New Roman" w:eastAsiaTheme="minorHAnsi"/>
          <w:color w:val="000000"/>
          <w:szCs w:val="24"/>
        </w:rPr>
        <w:t xml:space="preserve">The Court notes that the applicant in the present case was dismissed from military service. In this connection, the Court considers that a </w:t>
      </w:r>
      <w:r w:rsidRPr="00A359DD" w:rsidR="00255612">
        <w:rPr>
          <w:rFonts w:ascii="Times New Roman" w:hAnsi="Times New Roman" w:cs="Times New Roman" w:eastAsiaTheme="minorHAnsi"/>
          <w:color w:val="000000"/>
          <w:szCs w:val="24"/>
        </w:rPr>
        <w:t xml:space="preserve">decision on appropriate measures to enforce the judicial award, or, if this proves impossible, granting the applicant reasonable compensation, or a combination of these and other measures, falls to the respondent State (see, </w:t>
      </w:r>
      <w:r w:rsidRPr="00A359DD" w:rsidR="00255612">
        <w:rPr>
          <w:rFonts w:ascii="Times New Roman" w:hAnsi="Times New Roman" w:cs="Times New Roman" w:eastAsiaTheme="minorHAnsi"/>
          <w:i/>
          <w:iCs/>
          <w:color w:val="000000"/>
          <w:szCs w:val="24"/>
        </w:rPr>
        <w:t xml:space="preserve">mutandis </w:t>
      </w:r>
      <w:proofErr w:type="spellStart"/>
      <w:r w:rsidRPr="00A359DD" w:rsidR="00255612">
        <w:rPr>
          <w:rFonts w:ascii="Times New Roman" w:hAnsi="Times New Roman" w:cs="Times New Roman" w:eastAsiaTheme="minorHAnsi"/>
          <w:i/>
          <w:iCs/>
          <w:color w:val="000000"/>
          <w:szCs w:val="24"/>
        </w:rPr>
        <w:t>mutadis</w:t>
      </w:r>
      <w:proofErr w:type="spellEnd"/>
      <w:r w:rsidRPr="00A359DD" w:rsidR="00255612">
        <w:rPr>
          <w:rFonts w:ascii="Times New Roman" w:hAnsi="Times New Roman" w:cs="Times New Roman" w:eastAsiaTheme="minorHAnsi"/>
          <w:color w:val="000000"/>
          <w:szCs w:val="24"/>
        </w:rPr>
        <w:t xml:space="preserve">, </w:t>
      </w:r>
      <w:proofErr w:type="spellStart"/>
      <w:r w:rsidRPr="00A359DD" w:rsidR="00255612">
        <w:rPr>
          <w:rFonts w:ascii="Times New Roman" w:hAnsi="Times New Roman" w:cs="Times New Roman" w:eastAsiaTheme="minorHAnsi"/>
          <w:i/>
          <w:iCs/>
          <w:color w:val="000000"/>
          <w:szCs w:val="24"/>
        </w:rPr>
        <w:t>Tarverdiyev</w:t>
      </w:r>
      <w:proofErr w:type="spellEnd"/>
      <w:r w:rsidRPr="00A359DD" w:rsidR="00255612">
        <w:rPr>
          <w:rFonts w:ascii="Times New Roman" w:hAnsi="Times New Roman" w:cs="Times New Roman" w:eastAsiaTheme="minorHAnsi"/>
          <w:i/>
          <w:iCs/>
          <w:color w:val="000000"/>
          <w:szCs w:val="24"/>
        </w:rPr>
        <w:t xml:space="preserve"> v. Azerbaijan</w:t>
      </w:r>
      <w:r w:rsidRPr="00A359DD" w:rsidR="00255612">
        <w:rPr>
          <w:rFonts w:ascii="Times New Roman" w:hAnsi="Times New Roman" w:cs="Times New Roman" w:eastAsiaTheme="minorHAnsi"/>
          <w:color w:val="000000"/>
          <w:szCs w:val="24"/>
        </w:rPr>
        <w:t>, no. 33343/03, § 66, 26 July 2007). The Court, however, emphasises that any measures adopted must be compatible with the conclusions set out in the Court</w:t>
      </w:r>
      <w:r w:rsidRPr="00A359DD" w:rsidR="00A359DD">
        <w:rPr>
          <w:rFonts w:ascii="Times New Roman" w:hAnsi="Times New Roman" w:cs="Times New Roman" w:eastAsiaTheme="minorHAnsi"/>
          <w:color w:val="000000"/>
          <w:szCs w:val="24"/>
        </w:rPr>
        <w:t>’</w:t>
      </w:r>
      <w:r w:rsidRPr="00A359DD" w:rsidR="00255612">
        <w:rPr>
          <w:rFonts w:ascii="Times New Roman" w:hAnsi="Times New Roman" w:cs="Times New Roman" w:eastAsiaTheme="minorHAnsi"/>
          <w:color w:val="000000"/>
          <w:szCs w:val="24"/>
        </w:rPr>
        <w:t xml:space="preserve">s judgment (see </w:t>
      </w:r>
      <w:proofErr w:type="spellStart"/>
      <w:r w:rsidRPr="00A359DD" w:rsidR="00255612">
        <w:rPr>
          <w:rFonts w:ascii="Times New Roman" w:hAnsi="Times New Roman" w:cs="Times New Roman" w:eastAsiaTheme="minorHAnsi"/>
          <w:i/>
          <w:iCs/>
          <w:color w:val="000000"/>
          <w:szCs w:val="24"/>
        </w:rPr>
        <w:t>Assanidze</w:t>
      </w:r>
      <w:proofErr w:type="spellEnd"/>
      <w:r w:rsidRPr="00A359DD" w:rsidR="00255612">
        <w:rPr>
          <w:rFonts w:ascii="Times New Roman" w:hAnsi="Times New Roman" w:cs="Times New Roman" w:eastAsiaTheme="minorHAnsi"/>
          <w:i/>
          <w:iCs/>
          <w:color w:val="000000"/>
          <w:szCs w:val="24"/>
        </w:rPr>
        <w:t xml:space="preserve"> v.</w:t>
      </w:r>
      <w:r w:rsidRPr="00A359DD" w:rsidR="003C0D33">
        <w:rPr>
          <w:rFonts w:ascii="Times New Roman" w:hAnsi="Times New Roman" w:cs="Times New Roman" w:eastAsiaTheme="minorHAnsi"/>
          <w:i/>
          <w:iCs/>
          <w:color w:val="000000"/>
          <w:szCs w:val="24"/>
        </w:rPr>
        <w:t> </w:t>
      </w:r>
      <w:r w:rsidRPr="00A359DD" w:rsidR="00255612">
        <w:rPr>
          <w:rFonts w:ascii="Times New Roman" w:hAnsi="Times New Roman" w:cs="Times New Roman" w:eastAsiaTheme="minorHAnsi"/>
          <w:i/>
          <w:iCs/>
          <w:color w:val="000000"/>
          <w:szCs w:val="24"/>
        </w:rPr>
        <w:t>Georgia</w:t>
      </w:r>
      <w:r w:rsidRPr="00A359DD" w:rsidR="00255612">
        <w:rPr>
          <w:rFonts w:ascii="Times New Roman" w:hAnsi="Times New Roman" w:cs="Times New Roman" w:eastAsiaTheme="minorHAnsi"/>
          <w:color w:val="000000"/>
          <w:szCs w:val="24"/>
        </w:rPr>
        <w:t xml:space="preserve"> [GC], no. 71503/01, § 202, ECHR 2004-II, with further references).</w:t>
      </w:r>
    </w:p>
    <w:p w:rsidRPr="00A359DD" w:rsidR="00D420F3" w:rsidP="00A359DD" w:rsidRDefault="00255612">
      <w:pPr>
        <w:pStyle w:val="ECHRPara"/>
      </w:pPr>
      <w:r w:rsidRPr="00A359DD">
        <w:fldChar w:fldCharType="begin"/>
      </w:r>
      <w:r w:rsidRPr="00A359DD">
        <w:instrText xml:space="preserve"> SEQ level0 \*arabic </w:instrText>
      </w:r>
      <w:r w:rsidRPr="00A359DD">
        <w:fldChar w:fldCharType="separate"/>
      </w:r>
      <w:r w:rsidRPr="00A359DD" w:rsidR="00A359DD">
        <w:rPr>
          <w:noProof/>
        </w:rPr>
        <w:t>50</w:t>
      </w:r>
      <w:r w:rsidRPr="00A359DD">
        <w:fldChar w:fldCharType="end"/>
      </w:r>
      <w:r w:rsidRPr="00A359DD">
        <w:t>.  </w:t>
      </w:r>
      <w:r w:rsidRPr="00A359DD" w:rsidR="001B2CB3">
        <w:t>The Court further</w:t>
      </w:r>
      <w:r w:rsidRPr="00A359DD">
        <w:t xml:space="preserve"> </w:t>
      </w:r>
      <w:r w:rsidRPr="00A359DD" w:rsidR="0077175D">
        <w:t>awards the applicant EUR</w:t>
      </w:r>
      <w:r w:rsidRPr="00A359DD">
        <w:t> </w:t>
      </w:r>
      <w:r w:rsidRPr="00A359DD" w:rsidR="00B70DA3">
        <w:t>7,800</w:t>
      </w:r>
      <w:r w:rsidRPr="00A359DD" w:rsidR="0077175D">
        <w:t xml:space="preserve"> in </w:t>
      </w:r>
      <w:r w:rsidRPr="00A359DD" w:rsidR="001B2CB3">
        <w:t>respect of non</w:t>
      </w:r>
      <w:r w:rsidRPr="00A359DD" w:rsidR="00B506B7">
        <w:noBreakHyphen/>
      </w:r>
      <w:r w:rsidRPr="00A359DD" w:rsidR="001B2CB3">
        <w:t xml:space="preserve">pecuniary damage, and dismisses the remainder of </w:t>
      </w:r>
      <w:r w:rsidRPr="00A359DD" w:rsidR="00B70DA3">
        <w:t>her</w:t>
      </w:r>
      <w:r w:rsidRPr="00A359DD" w:rsidR="001B2CB3">
        <w:t xml:space="preserve"> claims under this head.</w:t>
      </w:r>
    </w:p>
    <w:p w:rsidRPr="00A359DD" w:rsidR="00D420F3" w:rsidP="00A359DD" w:rsidRDefault="0077175D">
      <w:pPr>
        <w:pStyle w:val="ECHRHeading2"/>
      </w:pPr>
      <w:r w:rsidRPr="00A359DD">
        <w:t>B.  Costs and expenses</w:t>
      </w:r>
    </w:p>
    <w:p w:rsidRPr="00A359DD" w:rsidR="00D420F3"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51</w:t>
      </w:r>
      <w:r w:rsidRPr="00A359DD">
        <w:fldChar w:fldCharType="end"/>
      </w:r>
      <w:r w:rsidRPr="00A359DD" w:rsidR="0077175D">
        <w:t>.</w:t>
      </w:r>
      <w:r w:rsidRPr="00A359DD" w:rsidR="00424A1A">
        <w:t>  The applicant also claimed RUB 70,000 (EUR 1,091)</w:t>
      </w:r>
      <w:r w:rsidRPr="00A359DD" w:rsidR="0077175D">
        <w:t xml:space="preserve"> for the costs and expenses incurred before the domestic courts and </w:t>
      </w:r>
      <w:r w:rsidRPr="00A359DD" w:rsidR="00424A1A">
        <w:t xml:space="preserve">RUB 150,000 (EUR 2,339) </w:t>
      </w:r>
      <w:r w:rsidRPr="00A359DD" w:rsidR="0077175D">
        <w:t>for those incurred before the Court.</w:t>
      </w:r>
      <w:r w:rsidRPr="00A359DD" w:rsidR="00424A1A">
        <w:t xml:space="preserve"> </w:t>
      </w:r>
      <w:r w:rsidRPr="00A359DD" w:rsidR="00C90EAA">
        <w:t>She</w:t>
      </w:r>
      <w:r w:rsidRPr="00A359DD" w:rsidR="00424A1A">
        <w:t xml:space="preserve"> submitted a copy of a receipt </w:t>
      </w:r>
      <w:r w:rsidRPr="00A359DD" w:rsidR="0010024E">
        <w:t>confirming the payment made by t</w:t>
      </w:r>
      <w:r w:rsidRPr="00A359DD" w:rsidR="009F0E84">
        <w:t>he applicant and accepted by Mr </w:t>
      </w:r>
      <w:proofErr w:type="spellStart"/>
      <w:r w:rsidRPr="00A359DD" w:rsidR="0010024E">
        <w:t>Gridnev</w:t>
      </w:r>
      <w:proofErr w:type="spellEnd"/>
      <w:r w:rsidRPr="00A359DD" w:rsidR="0010024E">
        <w:t xml:space="preserve"> of the two above amounts in respect of the “domestic proceedings” and “Strasbourg proceedings”, respectively.</w:t>
      </w:r>
    </w:p>
    <w:p w:rsidRPr="00A359DD" w:rsidR="00020A50"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52</w:t>
      </w:r>
      <w:r w:rsidRPr="00A359DD">
        <w:fldChar w:fldCharType="end"/>
      </w:r>
      <w:r w:rsidRPr="00A359DD" w:rsidR="0077175D">
        <w:t xml:space="preserve">.  The Government </w:t>
      </w:r>
      <w:r w:rsidRPr="00A359DD" w:rsidR="00424A1A">
        <w:t>contested the claim as unfounded and pointed out that the applicant had failed to submit a copy of any agreement for legal services.</w:t>
      </w:r>
    </w:p>
    <w:p w:rsidRPr="00A359DD" w:rsidR="003A697E"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53</w:t>
      </w:r>
      <w:r w:rsidRPr="00A359DD">
        <w:fldChar w:fldCharType="end"/>
      </w:r>
      <w:r w:rsidRPr="00A359DD" w:rsidR="0077175D">
        <w:t>.  </w:t>
      </w:r>
      <w:r w:rsidRPr="00A359DD" w:rsidR="00EE05D5">
        <w:t>According to the Court</w:t>
      </w:r>
      <w:r w:rsidRPr="00A359DD" w:rsidR="00A359DD">
        <w:t>’</w:t>
      </w:r>
      <w:r w:rsidRPr="00A359DD" w:rsidR="00EE05D5">
        <w:t xml:space="preserve">s case-law, an applicant is entitled to the reimbursement of costs and expenses only in so far as it has been shown that these have been actually and necessarily incurred and are reasonable as to quantum. </w:t>
      </w:r>
      <w:r w:rsidRPr="00A359DD">
        <w:t>Regard</w:t>
      </w:r>
      <w:r w:rsidRPr="00A359DD" w:rsidR="0077175D">
        <w:t xml:space="preserve"> being had to the documents in its possession and </w:t>
      </w:r>
      <w:r w:rsidRPr="00A359DD">
        <w:t>to its case-law</w:t>
      </w:r>
      <w:r w:rsidRPr="00A359DD" w:rsidR="0077175D">
        <w:t xml:space="preserve">, the Court </w:t>
      </w:r>
      <w:r w:rsidRPr="00A359DD" w:rsidR="00EE05D5">
        <w:t xml:space="preserve">considers that the </w:t>
      </w:r>
      <w:r w:rsidRPr="00A359DD" w:rsidR="003A697E">
        <w:t>amount claimed is not reasonable to quantum, given a straightforward nature of the case at hand. Furthermore, the Court observes that neither the applicant</w:t>
      </w:r>
      <w:r w:rsidRPr="00A359DD" w:rsidR="00A359DD">
        <w:t>’</w:t>
      </w:r>
      <w:r w:rsidRPr="00A359DD" w:rsidR="003A697E">
        <w:t>s submissions nor the case file contain information on the specific services covered by the invoices, or on the lawyer</w:t>
      </w:r>
      <w:r w:rsidRPr="00A359DD" w:rsidR="00A359DD">
        <w:t>’</w:t>
      </w:r>
      <w:r w:rsidRPr="00A359DD" w:rsidR="003A697E">
        <w:t xml:space="preserve">s hourly or daily rate, or a detailed description of the work done in that case and the time spent on it. Thus, the Court considers that a significant reduction is necessary on those grounds (see </w:t>
      </w:r>
      <w:proofErr w:type="spellStart"/>
      <w:r w:rsidRPr="00A359DD" w:rsidR="00E756C4">
        <w:rPr>
          <w:i/>
        </w:rPr>
        <w:t>Bykov</w:t>
      </w:r>
      <w:proofErr w:type="spellEnd"/>
      <w:r w:rsidRPr="00A359DD" w:rsidR="00E756C4">
        <w:rPr>
          <w:i/>
        </w:rPr>
        <w:t xml:space="preserve"> v. </w:t>
      </w:r>
      <w:r w:rsidRPr="00A359DD" w:rsidR="003A697E">
        <w:rPr>
          <w:i/>
        </w:rPr>
        <w:t>Russia</w:t>
      </w:r>
      <w:r w:rsidRPr="00A359DD" w:rsidR="003A697E">
        <w:t xml:space="preserve"> [GC], no</w:t>
      </w:r>
      <w:r w:rsidRPr="00A359DD" w:rsidR="00E2716A">
        <w:t>.</w:t>
      </w:r>
      <w:r w:rsidRPr="00A359DD" w:rsidR="003A697E">
        <w:t> 4378/02, § 114, 10 March 2009). Having regard to all relevant factors, the Court consid</w:t>
      </w:r>
      <w:r w:rsidRPr="00A359DD" w:rsidR="00EE05D5">
        <w:t>ers it reasonable to award EUR 3</w:t>
      </w:r>
      <w:r w:rsidRPr="00A359DD" w:rsidR="003A697E">
        <w:t>00 in respect of costs and expenses, plus any tax that may be chargeable to the applicant, and to reject the remainder of the claims under this head.</w:t>
      </w:r>
    </w:p>
    <w:p w:rsidRPr="00A359DD" w:rsidR="00D420F3" w:rsidP="00A359DD" w:rsidRDefault="0077175D">
      <w:pPr>
        <w:pStyle w:val="ECHRHeading2"/>
      </w:pPr>
      <w:r w:rsidRPr="00A359DD">
        <w:t>C.  Default interest</w:t>
      </w:r>
    </w:p>
    <w:p w:rsidRPr="00A359DD" w:rsidR="00D420F3" w:rsidP="00A359DD" w:rsidRDefault="00FC4F82">
      <w:pPr>
        <w:pStyle w:val="ECHRPara"/>
      </w:pPr>
      <w:r w:rsidRPr="00A359DD">
        <w:fldChar w:fldCharType="begin"/>
      </w:r>
      <w:r w:rsidRPr="00A359DD">
        <w:instrText xml:space="preserve"> SEQ level0 \*arabic </w:instrText>
      </w:r>
      <w:r w:rsidRPr="00A359DD">
        <w:fldChar w:fldCharType="separate"/>
      </w:r>
      <w:r w:rsidRPr="00A359DD" w:rsidR="00A359DD">
        <w:rPr>
          <w:noProof/>
        </w:rPr>
        <w:t>54</w:t>
      </w:r>
      <w:r w:rsidRPr="00A359DD">
        <w:fldChar w:fldCharType="end"/>
      </w:r>
      <w:r w:rsidRPr="00A359DD" w:rsidR="0077175D">
        <w:t>.  The Court considers it appropriate that the default interest rate should be based on the marginal lending rate of the European Central Bank, to which should be added three percentage points.</w:t>
      </w:r>
    </w:p>
    <w:p w:rsidRPr="00A359DD" w:rsidR="00D420F3" w:rsidP="00A359DD" w:rsidRDefault="0077175D">
      <w:pPr>
        <w:pStyle w:val="ECHRTitle1"/>
      </w:pPr>
      <w:r w:rsidRPr="00A359DD">
        <w:t>FOR THESE REASONS, THE COURT</w:t>
      </w:r>
      <w:r w:rsidRPr="00A359DD" w:rsidR="00FC4F82">
        <w:t>, UNANIMOUSLY,</w:t>
      </w:r>
    </w:p>
    <w:p w:rsidRPr="00A359DD" w:rsidR="00D420F3" w:rsidP="00A359DD" w:rsidRDefault="0077175D">
      <w:pPr>
        <w:pStyle w:val="JuList"/>
      </w:pPr>
      <w:r w:rsidRPr="00A359DD">
        <w:t>1.  </w:t>
      </w:r>
      <w:proofErr w:type="gramStart"/>
      <w:r w:rsidRPr="00A359DD">
        <w:rPr>
          <w:i/>
        </w:rPr>
        <w:t>Declares</w:t>
      </w:r>
      <w:proofErr w:type="gramEnd"/>
      <w:r w:rsidRPr="00A359DD">
        <w:t xml:space="preserve"> the complaint</w:t>
      </w:r>
      <w:r w:rsidRPr="00A359DD" w:rsidR="0067144C">
        <w:t xml:space="preserve"> under Article 6 of the Convention concerning the non-enforcement of the judgment of 11 February 2004 in the applicant</w:t>
      </w:r>
      <w:r w:rsidRPr="00A359DD" w:rsidR="00A359DD">
        <w:t>’</w:t>
      </w:r>
      <w:r w:rsidRPr="00A359DD" w:rsidR="0067144C">
        <w:t>s favour</w:t>
      </w:r>
      <w:r w:rsidRPr="00A359DD" w:rsidR="00B55EAF">
        <w:t xml:space="preserve"> admissible</w:t>
      </w:r>
      <w:r w:rsidRPr="00A359DD">
        <w:t>;</w:t>
      </w:r>
    </w:p>
    <w:p w:rsidRPr="00A359DD" w:rsidR="00D420F3" w:rsidP="00A359DD" w:rsidRDefault="00D420F3">
      <w:pPr>
        <w:pStyle w:val="JuList"/>
        <w:ind w:left="0" w:firstLine="0"/>
      </w:pPr>
    </w:p>
    <w:p w:rsidRPr="00A359DD" w:rsidR="00D420F3" w:rsidP="00A359DD" w:rsidRDefault="00453E36">
      <w:pPr>
        <w:pStyle w:val="JuList"/>
      </w:pPr>
      <w:r w:rsidRPr="00A359DD">
        <w:t>2</w:t>
      </w:r>
      <w:r w:rsidRPr="00A359DD" w:rsidR="0077175D">
        <w:t>.  </w:t>
      </w:r>
      <w:r w:rsidRPr="00A359DD" w:rsidR="0067144C">
        <w:rPr>
          <w:i/>
          <w:iCs/>
        </w:rPr>
        <w:t xml:space="preserve">Holds </w:t>
      </w:r>
      <w:r w:rsidRPr="00A359DD" w:rsidR="0067144C">
        <w:t xml:space="preserve">that these complaints disclose a breach of Article 6 § 1 of the Convention </w:t>
      </w:r>
      <w:r w:rsidRPr="00A359DD" w:rsidR="00702E54">
        <w:t>on account of the non</w:t>
      </w:r>
      <w:r w:rsidRPr="00A359DD" w:rsidR="00702E54">
        <w:noBreakHyphen/>
      </w:r>
      <w:r w:rsidRPr="00A359DD" w:rsidR="0067144C">
        <w:t>enforcement of the judgment of 11 February 2004;</w:t>
      </w:r>
    </w:p>
    <w:p w:rsidRPr="00A359DD" w:rsidR="00D420F3" w:rsidP="00A359DD" w:rsidRDefault="00D420F3">
      <w:pPr>
        <w:pStyle w:val="JuList"/>
      </w:pPr>
    </w:p>
    <w:p w:rsidRPr="00A359DD" w:rsidR="00D420F3" w:rsidP="00A359DD" w:rsidRDefault="00453E36">
      <w:pPr>
        <w:pStyle w:val="JuList"/>
      </w:pPr>
      <w:r w:rsidRPr="00A359DD">
        <w:t>3</w:t>
      </w:r>
      <w:r w:rsidRPr="00A359DD" w:rsidR="0077175D">
        <w:t>.  </w:t>
      </w:r>
      <w:r w:rsidRPr="00A359DD" w:rsidR="0077175D">
        <w:rPr>
          <w:i/>
        </w:rPr>
        <w:t>Holds</w:t>
      </w:r>
      <w:r w:rsidRPr="00A359DD" w:rsidR="0077175D">
        <w:rPr>
          <w:color w:val="000000"/>
        </w:rPr>
        <w:t xml:space="preserve"> </w:t>
      </w:r>
      <w:r w:rsidRPr="00A359DD" w:rsidR="0077175D">
        <w:t xml:space="preserve">that there is no need to examine </w:t>
      </w:r>
      <w:r w:rsidRPr="00A359DD" w:rsidR="00C948CF">
        <w:t xml:space="preserve">separately </w:t>
      </w:r>
      <w:r w:rsidRPr="00A359DD" w:rsidR="0077175D">
        <w:t xml:space="preserve">the </w:t>
      </w:r>
      <w:r w:rsidRPr="00A359DD" w:rsidR="0067144C">
        <w:t>admissibility and merits of the complaint under Article 13 of the Convention</w:t>
      </w:r>
      <w:r w:rsidRPr="00A359DD" w:rsidR="00C948CF">
        <w:t xml:space="preserve"> and Article 1 of Protocol No. 1</w:t>
      </w:r>
      <w:r w:rsidRPr="00A359DD" w:rsidR="001E64A8">
        <w:t xml:space="preserve"> to the Convention</w:t>
      </w:r>
      <w:r w:rsidRPr="00A359DD" w:rsidR="0077175D">
        <w:t>;</w:t>
      </w:r>
    </w:p>
    <w:p w:rsidRPr="00A359DD" w:rsidR="00D420F3" w:rsidP="00A359DD" w:rsidRDefault="00D420F3">
      <w:pPr>
        <w:pStyle w:val="JuList"/>
      </w:pPr>
    </w:p>
    <w:p w:rsidRPr="00A359DD" w:rsidR="00D420F3" w:rsidP="00A359DD" w:rsidRDefault="00453E36">
      <w:pPr>
        <w:pStyle w:val="JuList"/>
      </w:pPr>
      <w:r w:rsidRPr="00A359DD">
        <w:t>4</w:t>
      </w:r>
      <w:r w:rsidRPr="00A359DD" w:rsidR="0077175D">
        <w:t>.  </w:t>
      </w:r>
      <w:r w:rsidRPr="00A359DD" w:rsidR="0077175D">
        <w:rPr>
          <w:i/>
        </w:rPr>
        <w:t>Holds</w:t>
      </w:r>
      <w:r w:rsidRPr="00A359DD" w:rsidR="0077175D">
        <w:rPr>
          <w:color w:val="000000"/>
        </w:rPr>
        <w:t xml:space="preserve"> </w:t>
      </w:r>
      <w:r w:rsidRPr="00A359DD" w:rsidR="0077175D">
        <w:t>that</w:t>
      </w:r>
      <w:r w:rsidRPr="00A359DD" w:rsidR="001B2CB3">
        <w:t xml:space="preserve"> the respondent State shall ensure, by appropriate means, within three months, the enforcement of the pending domestic </w:t>
      </w:r>
      <w:r w:rsidRPr="00A359DD" w:rsidR="0067144C">
        <w:t>judgment in the applicant</w:t>
      </w:r>
      <w:r w:rsidRPr="00A359DD" w:rsidR="00A359DD">
        <w:t>’</w:t>
      </w:r>
      <w:r w:rsidRPr="00A359DD" w:rsidR="0067144C">
        <w:t>s favour</w:t>
      </w:r>
      <w:r w:rsidRPr="00A359DD" w:rsidR="001B2CB3">
        <w:t>;</w:t>
      </w:r>
    </w:p>
    <w:p w:rsidRPr="00A359DD" w:rsidR="00D420F3" w:rsidP="00A359DD" w:rsidRDefault="00D420F3">
      <w:pPr>
        <w:pStyle w:val="JuList"/>
      </w:pPr>
    </w:p>
    <w:p w:rsidRPr="00A359DD" w:rsidR="00FC4F82" w:rsidP="00A359DD" w:rsidRDefault="00453E36">
      <w:pPr>
        <w:pStyle w:val="JuList"/>
      </w:pPr>
      <w:r w:rsidRPr="00A359DD">
        <w:t>5</w:t>
      </w:r>
      <w:r w:rsidRPr="00A359DD" w:rsidR="0077175D">
        <w:t>.  </w:t>
      </w:r>
      <w:r w:rsidRPr="00A359DD" w:rsidR="0077175D">
        <w:rPr>
          <w:i/>
        </w:rPr>
        <w:t>Holds</w:t>
      </w:r>
    </w:p>
    <w:p w:rsidRPr="00A359DD" w:rsidR="00D420F3" w:rsidP="00A359DD" w:rsidRDefault="0077175D">
      <w:pPr>
        <w:pStyle w:val="JuLista"/>
      </w:pPr>
      <w:r w:rsidRPr="00A359DD">
        <w:t>(a)  that the respondent State is to pay the applicant, within three months</w:t>
      </w:r>
      <w:r w:rsidRPr="00A359DD" w:rsidR="00FC4F82">
        <w:t xml:space="preserve"> </w:t>
      </w:r>
      <w:r w:rsidRPr="00A359DD">
        <w:t>the following amounts,</w:t>
      </w:r>
      <w:r w:rsidRPr="00A359DD">
        <w:rPr>
          <w:b/>
        </w:rPr>
        <w:t xml:space="preserve"> </w:t>
      </w:r>
      <w:r w:rsidRPr="00A359DD">
        <w:t xml:space="preserve">to be converted into </w:t>
      </w:r>
      <w:r w:rsidRPr="00A359DD">
        <w:rPr>
          <w:color w:val="000000"/>
        </w:rPr>
        <w:t>the currency of the respondent State</w:t>
      </w:r>
      <w:r w:rsidRPr="00A359DD" w:rsidR="00453E36">
        <w:rPr>
          <w:b/>
          <w:color w:val="000000"/>
        </w:rPr>
        <w:t xml:space="preserve"> </w:t>
      </w:r>
      <w:r w:rsidRPr="00A359DD">
        <w:t>at the rate applicable at the date of settlement:</w:t>
      </w:r>
    </w:p>
    <w:p w:rsidRPr="00A359DD" w:rsidR="00D420F3" w:rsidP="00A359DD" w:rsidRDefault="001029BA">
      <w:pPr>
        <w:pStyle w:val="JuListi"/>
      </w:pPr>
      <w:r w:rsidRPr="00A359DD">
        <w:t>(</w:t>
      </w:r>
      <w:proofErr w:type="spellStart"/>
      <w:r w:rsidRPr="00A359DD">
        <w:t>i</w:t>
      </w:r>
      <w:proofErr w:type="spellEnd"/>
      <w:r w:rsidRPr="00A359DD">
        <w:t>)  EUR </w:t>
      </w:r>
      <w:r w:rsidRPr="00A359DD" w:rsidR="00B70DA3">
        <w:t>7,800</w:t>
      </w:r>
      <w:r w:rsidRPr="00A359DD" w:rsidR="0077175D">
        <w:t xml:space="preserve"> (</w:t>
      </w:r>
      <w:r w:rsidRPr="00A359DD" w:rsidR="00B70DA3">
        <w:t>seven thousand eight hundred</w:t>
      </w:r>
      <w:r w:rsidRPr="00A359DD" w:rsidR="0077175D">
        <w:t xml:space="preserve"> euros), plus any tax that may be chargeable,</w:t>
      </w:r>
      <w:r w:rsidRPr="00A359DD" w:rsidR="00453E36">
        <w:t xml:space="preserve"> </w:t>
      </w:r>
      <w:r w:rsidRPr="00A359DD" w:rsidR="0077175D">
        <w:t xml:space="preserve">in respect of </w:t>
      </w:r>
      <w:r w:rsidRPr="00A359DD" w:rsidR="00B952F5">
        <w:t>non-</w:t>
      </w:r>
      <w:r w:rsidRPr="00A359DD" w:rsidR="0077175D">
        <w:t>pecuniary damage;</w:t>
      </w:r>
    </w:p>
    <w:p w:rsidRPr="00A359DD" w:rsidR="00D420F3" w:rsidP="00A359DD" w:rsidRDefault="00453E36">
      <w:pPr>
        <w:pStyle w:val="JuListi"/>
      </w:pPr>
      <w:r w:rsidRPr="00A359DD">
        <w:t>(ii)  EUR 300</w:t>
      </w:r>
      <w:r w:rsidRPr="00A359DD" w:rsidR="0077175D">
        <w:t xml:space="preserve"> (</w:t>
      </w:r>
      <w:r w:rsidRPr="00A359DD">
        <w:t>three hundred</w:t>
      </w:r>
      <w:r w:rsidRPr="00A359DD" w:rsidR="0077175D">
        <w:t xml:space="preserve"> euros), plus any tax that may be chargeable to the applicant, in respect of costs and expenses;</w:t>
      </w:r>
    </w:p>
    <w:p w:rsidRPr="00A359DD" w:rsidR="00D420F3" w:rsidP="00A359DD" w:rsidRDefault="0077175D">
      <w:pPr>
        <w:pStyle w:val="JuLista"/>
      </w:pPr>
      <w:r w:rsidRPr="00A359D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359DD" w:rsidR="00D420F3" w:rsidP="00A359DD" w:rsidRDefault="00D420F3">
      <w:pPr>
        <w:pStyle w:val="JuList"/>
      </w:pPr>
    </w:p>
    <w:p w:rsidRPr="00A359DD" w:rsidR="00D420F3" w:rsidP="00A359DD" w:rsidRDefault="00453E36">
      <w:pPr>
        <w:pStyle w:val="JuList"/>
      </w:pPr>
      <w:r w:rsidRPr="00A359DD">
        <w:t>6</w:t>
      </w:r>
      <w:r w:rsidRPr="00A359DD" w:rsidR="0077175D">
        <w:t>.  </w:t>
      </w:r>
      <w:r w:rsidRPr="00A359DD" w:rsidR="0077175D">
        <w:rPr>
          <w:i/>
        </w:rPr>
        <w:t>Dismisses</w:t>
      </w:r>
      <w:r w:rsidRPr="00A359DD" w:rsidR="0077175D">
        <w:rPr>
          <w:color w:val="000000"/>
        </w:rPr>
        <w:t xml:space="preserve"> </w:t>
      </w:r>
      <w:r w:rsidRPr="00A359DD" w:rsidR="0077175D">
        <w:t>the remainder of the applicant</w:t>
      </w:r>
      <w:r w:rsidRPr="00A359DD" w:rsidR="00A359DD">
        <w:t>’</w:t>
      </w:r>
      <w:r w:rsidRPr="00A359DD" w:rsidR="00FC4F82">
        <w:t>s</w:t>
      </w:r>
      <w:r w:rsidRPr="00A359DD" w:rsidR="0077175D">
        <w:t xml:space="preserve"> claim for just satisfaction.</w:t>
      </w:r>
    </w:p>
    <w:p w:rsidRPr="00A359DD" w:rsidR="00D420F3" w:rsidP="00A359DD" w:rsidRDefault="0077175D">
      <w:pPr>
        <w:pStyle w:val="JuParaLast"/>
      </w:pPr>
      <w:r w:rsidRPr="00A359DD">
        <w:t xml:space="preserve">Done in English, and notified in writing on </w:t>
      </w:r>
      <w:r w:rsidRPr="00A359DD" w:rsidR="00B506B7">
        <w:t>8 October 2019</w:t>
      </w:r>
      <w:r w:rsidRPr="00A359DD">
        <w:t>, pursuant to Rule 77 §§ 2 and 3 of the Rules of Court.</w:t>
      </w:r>
    </w:p>
    <w:p w:rsidR="00D420F3" w:rsidP="00A359DD" w:rsidRDefault="0077175D">
      <w:pPr>
        <w:pStyle w:val="JuSigned"/>
      </w:pPr>
      <w:r w:rsidRPr="00A359DD">
        <w:tab/>
      </w:r>
      <w:r w:rsidRPr="00A359DD" w:rsidR="00B506B7">
        <w:t>Stephen Phillips</w:t>
      </w:r>
      <w:r w:rsidRPr="00A359DD">
        <w:tab/>
      </w:r>
      <w:r w:rsidRPr="00A359DD" w:rsidR="00B506B7">
        <w:t>Georgios A. Serghides</w:t>
      </w:r>
      <w:r w:rsidRPr="00A359DD">
        <w:rPr>
          <w:szCs w:val="24"/>
        </w:rPr>
        <w:br/>
      </w:r>
      <w:r w:rsidRPr="00A359DD">
        <w:tab/>
      </w:r>
      <w:r w:rsidRPr="00A359DD" w:rsidR="00FC4F82">
        <w:rPr>
          <w:iCs/>
        </w:rPr>
        <w:t>Registrar</w:t>
      </w:r>
      <w:r w:rsidRPr="00A359DD">
        <w:tab/>
        <w:t>President</w:t>
      </w:r>
    </w:p>
    <w:p w:rsidRPr="00A359DD" w:rsidR="00A359DD" w:rsidP="00A359DD" w:rsidRDefault="00A359DD">
      <w:pPr>
        <w:pStyle w:val="JuParaLast"/>
      </w:pPr>
    </w:p>
    <w:sectPr w:rsidRPr="00A359DD" w:rsidR="00A359DD" w:rsidSect="00B506B7">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2E6" w:rsidRDefault="002772E6">
      <w:r>
        <w:separator/>
      </w:r>
    </w:p>
  </w:endnote>
  <w:endnote w:type="continuationSeparator" w:id="0">
    <w:p w:rsidR="002772E6" w:rsidRDefault="00277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6B7" w:rsidRPr="00150BFA" w:rsidRDefault="00B506B7" w:rsidP="0020718E">
    <w:pPr>
      <w:jc w:val="center"/>
    </w:pPr>
    <w:r>
      <w:rPr>
        <w:noProof/>
        <w:lang w:val="en-US" w:eastAsia="ja-JP"/>
      </w:rPr>
      <w:drawing>
        <wp:inline distT="0" distB="0" distL="0" distR="0" wp14:anchorId="10E6CC1E" wp14:editId="013167DB">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506B7" w:rsidRDefault="00B506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2E6" w:rsidRPr="003152BA" w:rsidRDefault="002772E6" w:rsidP="00D420F3">
      <w:r w:rsidRPr="003152BA">
        <w:separator/>
      </w:r>
    </w:p>
  </w:footnote>
  <w:footnote w:type="continuationSeparator" w:id="0">
    <w:p w:rsidR="002772E6" w:rsidRPr="003152BA" w:rsidRDefault="002772E6"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2E6" w:rsidRPr="00B506B7" w:rsidRDefault="002772E6" w:rsidP="00B506B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6B7" w:rsidRPr="00A45145" w:rsidRDefault="00B506B7" w:rsidP="00A45145">
    <w:pPr>
      <w:jc w:val="center"/>
    </w:pPr>
    <w:r>
      <w:rPr>
        <w:noProof/>
        <w:lang w:val="en-US" w:eastAsia="ja-JP"/>
      </w:rPr>
      <w:drawing>
        <wp:inline distT="0" distB="0" distL="0" distR="0" wp14:anchorId="4C43437A" wp14:editId="4B80720A">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506B7" w:rsidRDefault="00B506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6B7" w:rsidRPr="003152BA" w:rsidRDefault="00B506B7"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359DD">
      <w:rPr>
        <w:rStyle w:val="PageNumber"/>
        <w:noProof/>
        <w:szCs w:val="18"/>
      </w:rPr>
      <w:t>2</w:t>
    </w:r>
    <w:r>
      <w:rPr>
        <w:rStyle w:val="PageNumber"/>
        <w:szCs w:val="18"/>
      </w:rPr>
      <w:fldChar w:fldCharType="end"/>
    </w:r>
    <w:r w:rsidRPr="003152BA">
      <w:tab/>
    </w:r>
    <w:r>
      <w:t>VANYUKOVA v. RUSSIA</w:t>
    </w:r>
    <w:r w:rsidRPr="003152BA">
      <w:t xml:space="preserve"> </w:t>
    </w:r>
    <w:r w:rsidR="0094088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6B7" w:rsidRPr="003152BA" w:rsidRDefault="00B506B7" w:rsidP="00D420F3">
    <w:pPr>
      <w:pStyle w:val="ECHRHeader"/>
    </w:pPr>
    <w:r w:rsidRPr="003152BA">
      <w:tab/>
    </w:r>
    <w:r w:rsidRPr="00020A50">
      <w:t>VAN</w:t>
    </w:r>
    <w:r w:rsidR="0094088C">
      <w:t>YUKOVA v. RUSSIA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A359DD">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F3F6722"/>
    <w:multiLevelType w:val="hybridMultilevel"/>
    <w:tmpl w:val="55DA6E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5B13E91"/>
    <w:multiLevelType w:val="hybridMultilevel"/>
    <w:tmpl w:val="07302798"/>
    <w:lvl w:ilvl="0" w:tplc="04090001">
      <w:start w:val="1"/>
      <w:numFmt w:val="bullet"/>
      <w:lvlText w:val=""/>
      <w:lvlJc w:val="left"/>
      <w:pPr>
        <w:ind w:left="704" w:hanging="360"/>
      </w:pPr>
      <w:rPr>
        <w:rFonts w:ascii="Symbol" w:hAnsi="Symbol"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13">
    <w:nsid w:val="60D91D3E"/>
    <w:multiLevelType w:val="hybridMultilevel"/>
    <w:tmpl w:val="EEB06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5">
    <w:nsid w:val="7134339F"/>
    <w:multiLevelType w:val="hybridMultilevel"/>
    <w:tmpl w:val="3252BC7A"/>
    <w:lvl w:ilvl="0" w:tplc="04090001">
      <w:start w:val="1"/>
      <w:numFmt w:val="bullet"/>
      <w:lvlText w:val=""/>
      <w:lvlJc w:val="left"/>
      <w:pPr>
        <w:ind w:left="1071" w:hanging="360"/>
      </w:pPr>
      <w:rPr>
        <w:rFonts w:ascii="Symbol" w:hAnsi="Symbol"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4"/>
  </w:num>
  <w:num w:numId="2">
    <w:abstractNumId w:val="10"/>
  </w:num>
  <w:num w:numId="3">
    <w:abstractNumId w:val="9"/>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6"/>
  </w:num>
  <w:num w:numId="16">
    <w:abstractNumId w:val="16"/>
  </w:num>
  <w:num w:numId="17">
    <w:abstractNumId w:val="13"/>
  </w:num>
  <w:num w:numId="18">
    <w:abstractNumId w:val="15"/>
  </w:num>
  <w:num w:numId="19">
    <w:abstractNumId w:val="12"/>
  </w:num>
  <w:num w:numId="20">
    <w:abstractNumId w:val="11"/>
  </w:num>
  <w:num w:numId="21">
    <w:abstractNumId w:val="16"/>
  </w:num>
  <w:num w:numId="22">
    <w:abstractNumId w:val="16"/>
  </w:num>
  <w:num w:numId="23">
    <w:abstractNumId w:val="16"/>
  </w:num>
  <w:num w:numId="24">
    <w:abstractNumId w:val="1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C4F82"/>
    <w:rsid w:val="00005D62"/>
    <w:rsid w:val="00007908"/>
    <w:rsid w:val="00010BEA"/>
    <w:rsid w:val="000137E9"/>
    <w:rsid w:val="00020A50"/>
    <w:rsid w:val="0004700E"/>
    <w:rsid w:val="00050EEA"/>
    <w:rsid w:val="000766C7"/>
    <w:rsid w:val="0007718E"/>
    <w:rsid w:val="000833FF"/>
    <w:rsid w:val="000B5179"/>
    <w:rsid w:val="000C1A75"/>
    <w:rsid w:val="000D7D00"/>
    <w:rsid w:val="000F34CD"/>
    <w:rsid w:val="0010024E"/>
    <w:rsid w:val="00100FCE"/>
    <w:rsid w:val="001029BA"/>
    <w:rsid w:val="001072AA"/>
    <w:rsid w:val="001243B2"/>
    <w:rsid w:val="00130CF7"/>
    <w:rsid w:val="0014568A"/>
    <w:rsid w:val="00146D72"/>
    <w:rsid w:val="00152CEB"/>
    <w:rsid w:val="001B0CF3"/>
    <w:rsid w:val="001B2CB3"/>
    <w:rsid w:val="001B60D5"/>
    <w:rsid w:val="001C2F08"/>
    <w:rsid w:val="001D748C"/>
    <w:rsid w:val="001E64A8"/>
    <w:rsid w:val="001F489F"/>
    <w:rsid w:val="001F4E8A"/>
    <w:rsid w:val="001F556D"/>
    <w:rsid w:val="001F7611"/>
    <w:rsid w:val="0023169C"/>
    <w:rsid w:val="00237E90"/>
    <w:rsid w:val="00241545"/>
    <w:rsid w:val="00244BBE"/>
    <w:rsid w:val="00245876"/>
    <w:rsid w:val="0025067F"/>
    <w:rsid w:val="0025534E"/>
    <w:rsid w:val="00255612"/>
    <w:rsid w:val="00255FA3"/>
    <w:rsid w:val="002772E6"/>
    <w:rsid w:val="00277780"/>
    <w:rsid w:val="00282C8F"/>
    <w:rsid w:val="002842EC"/>
    <w:rsid w:val="00285E27"/>
    <w:rsid w:val="00297C76"/>
    <w:rsid w:val="002A64A7"/>
    <w:rsid w:val="002B5BB3"/>
    <w:rsid w:val="002F131B"/>
    <w:rsid w:val="003140A7"/>
    <w:rsid w:val="00314B39"/>
    <w:rsid w:val="00320129"/>
    <w:rsid w:val="00324967"/>
    <w:rsid w:val="00333140"/>
    <w:rsid w:val="00347F5D"/>
    <w:rsid w:val="00352D5F"/>
    <w:rsid w:val="00396D32"/>
    <w:rsid w:val="003A697E"/>
    <w:rsid w:val="003B10F7"/>
    <w:rsid w:val="003C0D33"/>
    <w:rsid w:val="003E4F90"/>
    <w:rsid w:val="003E5882"/>
    <w:rsid w:val="00404B31"/>
    <w:rsid w:val="00413809"/>
    <w:rsid w:val="004178E9"/>
    <w:rsid w:val="00417E7E"/>
    <w:rsid w:val="00423D19"/>
    <w:rsid w:val="00424A1A"/>
    <w:rsid w:val="00442B76"/>
    <w:rsid w:val="004435E5"/>
    <w:rsid w:val="00443F78"/>
    <w:rsid w:val="0044701B"/>
    <w:rsid w:val="00453E36"/>
    <w:rsid w:val="00455648"/>
    <w:rsid w:val="004627EF"/>
    <w:rsid w:val="004838FF"/>
    <w:rsid w:val="00491636"/>
    <w:rsid w:val="004959E3"/>
    <w:rsid w:val="004A32FD"/>
    <w:rsid w:val="004A7F76"/>
    <w:rsid w:val="004D0DEA"/>
    <w:rsid w:val="004D36AC"/>
    <w:rsid w:val="004E502E"/>
    <w:rsid w:val="00501F13"/>
    <w:rsid w:val="005301F6"/>
    <w:rsid w:val="0055062B"/>
    <w:rsid w:val="00560C80"/>
    <w:rsid w:val="00562027"/>
    <w:rsid w:val="0057796C"/>
    <w:rsid w:val="00581E30"/>
    <w:rsid w:val="00596B5B"/>
    <w:rsid w:val="005A07B7"/>
    <w:rsid w:val="005A6133"/>
    <w:rsid w:val="005A61A7"/>
    <w:rsid w:val="005B345B"/>
    <w:rsid w:val="005B3CB9"/>
    <w:rsid w:val="005B754F"/>
    <w:rsid w:val="005D2E8A"/>
    <w:rsid w:val="005D3562"/>
    <w:rsid w:val="005E4AE1"/>
    <w:rsid w:val="005E5599"/>
    <w:rsid w:val="005F047A"/>
    <w:rsid w:val="006063B6"/>
    <w:rsid w:val="006071BC"/>
    <w:rsid w:val="00607DFA"/>
    <w:rsid w:val="00611074"/>
    <w:rsid w:val="00625F70"/>
    <w:rsid w:val="00626BA3"/>
    <w:rsid w:val="00630F58"/>
    <w:rsid w:val="006521FB"/>
    <w:rsid w:val="00657894"/>
    <w:rsid w:val="0066144E"/>
    <w:rsid w:val="0067144C"/>
    <w:rsid w:val="00673295"/>
    <w:rsid w:val="006862B9"/>
    <w:rsid w:val="00686685"/>
    <w:rsid w:val="0068697B"/>
    <w:rsid w:val="006A1790"/>
    <w:rsid w:val="00702E54"/>
    <w:rsid w:val="00704D3E"/>
    <w:rsid w:val="007141C1"/>
    <w:rsid w:val="00727752"/>
    <w:rsid w:val="007376B7"/>
    <w:rsid w:val="00745A5D"/>
    <w:rsid w:val="00745E31"/>
    <w:rsid w:val="00751F94"/>
    <w:rsid w:val="00757C3F"/>
    <w:rsid w:val="0076037E"/>
    <w:rsid w:val="00761861"/>
    <w:rsid w:val="0077175D"/>
    <w:rsid w:val="00784746"/>
    <w:rsid w:val="00787941"/>
    <w:rsid w:val="0079096A"/>
    <w:rsid w:val="007A47B4"/>
    <w:rsid w:val="007B6E9F"/>
    <w:rsid w:val="007B7C53"/>
    <w:rsid w:val="007C34B0"/>
    <w:rsid w:val="007D2F6A"/>
    <w:rsid w:val="007D6DC7"/>
    <w:rsid w:val="007D6F47"/>
    <w:rsid w:val="007F4070"/>
    <w:rsid w:val="00801958"/>
    <w:rsid w:val="00804BB1"/>
    <w:rsid w:val="00805460"/>
    <w:rsid w:val="00805923"/>
    <w:rsid w:val="008554D1"/>
    <w:rsid w:val="00881FE1"/>
    <w:rsid w:val="00887BB6"/>
    <w:rsid w:val="00893E80"/>
    <w:rsid w:val="00894A21"/>
    <w:rsid w:val="008A3811"/>
    <w:rsid w:val="008A5FFE"/>
    <w:rsid w:val="008A6A6A"/>
    <w:rsid w:val="008B4EFF"/>
    <w:rsid w:val="008C0EF5"/>
    <w:rsid w:val="008C1A96"/>
    <w:rsid w:val="008D1239"/>
    <w:rsid w:val="008E50EF"/>
    <w:rsid w:val="008E5730"/>
    <w:rsid w:val="008E6CBF"/>
    <w:rsid w:val="008F3331"/>
    <w:rsid w:val="00904680"/>
    <w:rsid w:val="00906A58"/>
    <w:rsid w:val="00914A94"/>
    <w:rsid w:val="00917655"/>
    <w:rsid w:val="00932046"/>
    <w:rsid w:val="00933041"/>
    <w:rsid w:val="0094088C"/>
    <w:rsid w:val="00951A6C"/>
    <w:rsid w:val="009650F1"/>
    <w:rsid w:val="00973F0B"/>
    <w:rsid w:val="009B7694"/>
    <w:rsid w:val="009C475E"/>
    <w:rsid w:val="009D30D2"/>
    <w:rsid w:val="009E4D73"/>
    <w:rsid w:val="009F0E84"/>
    <w:rsid w:val="009F32AC"/>
    <w:rsid w:val="009F7145"/>
    <w:rsid w:val="00A062F4"/>
    <w:rsid w:val="00A063FF"/>
    <w:rsid w:val="00A1078F"/>
    <w:rsid w:val="00A11A27"/>
    <w:rsid w:val="00A1253B"/>
    <w:rsid w:val="00A340DC"/>
    <w:rsid w:val="00A359DD"/>
    <w:rsid w:val="00A55899"/>
    <w:rsid w:val="00A7766F"/>
    <w:rsid w:val="00A807FC"/>
    <w:rsid w:val="00A92C50"/>
    <w:rsid w:val="00A94B98"/>
    <w:rsid w:val="00AA0B7A"/>
    <w:rsid w:val="00AA1D60"/>
    <w:rsid w:val="00AA3961"/>
    <w:rsid w:val="00AB4995"/>
    <w:rsid w:val="00AC5D7F"/>
    <w:rsid w:val="00AC6DA4"/>
    <w:rsid w:val="00AD66FE"/>
    <w:rsid w:val="00AF70F3"/>
    <w:rsid w:val="00AF7686"/>
    <w:rsid w:val="00B002D1"/>
    <w:rsid w:val="00B0572E"/>
    <w:rsid w:val="00B12E55"/>
    <w:rsid w:val="00B1497D"/>
    <w:rsid w:val="00B24417"/>
    <w:rsid w:val="00B273C8"/>
    <w:rsid w:val="00B506B7"/>
    <w:rsid w:val="00B55EAF"/>
    <w:rsid w:val="00B614C0"/>
    <w:rsid w:val="00B7018B"/>
    <w:rsid w:val="00B70DA3"/>
    <w:rsid w:val="00B73C8B"/>
    <w:rsid w:val="00B8339B"/>
    <w:rsid w:val="00B952F5"/>
    <w:rsid w:val="00BA49C5"/>
    <w:rsid w:val="00BE185F"/>
    <w:rsid w:val="00BE1D2F"/>
    <w:rsid w:val="00C07188"/>
    <w:rsid w:val="00C16B04"/>
    <w:rsid w:val="00C20793"/>
    <w:rsid w:val="00C45537"/>
    <w:rsid w:val="00C61E49"/>
    <w:rsid w:val="00C70023"/>
    <w:rsid w:val="00C7145E"/>
    <w:rsid w:val="00C75E5B"/>
    <w:rsid w:val="00C82150"/>
    <w:rsid w:val="00C8453A"/>
    <w:rsid w:val="00C90EAA"/>
    <w:rsid w:val="00C948CF"/>
    <w:rsid w:val="00CB20C3"/>
    <w:rsid w:val="00CC3DE3"/>
    <w:rsid w:val="00CC4CA5"/>
    <w:rsid w:val="00CF0D72"/>
    <w:rsid w:val="00CF4924"/>
    <w:rsid w:val="00D0404B"/>
    <w:rsid w:val="00D13F3F"/>
    <w:rsid w:val="00D156BA"/>
    <w:rsid w:val="00D2250B"/>
    <w:rsid w:val="00D244C5"/>
    <w:rsid w:val="00D37529"/>
    <w:rsid w:val="00D41D86"/>
    <w:rsid w:val="00D420F3"/>
    <w:rsid w:val="00D45453"/>
    <w:rsid w:val="00D47123"/>
    <w:rsid w:val="00D90185"/>
    <w:rsid w:val="00D932A4"/>
    <w:rsid w:val="00D96D2F"/>
    <w:rsid w:val="00DA2CAC"/>
    <w:rsid w:val="00DE79CB"/>
    <w:rsid w:val="00DF0E8A"/>
    <w:rsid w:val="00E1013A"/>
    <w:rsid w:val="00E14C54"/>
    <w:rsid w:val="00E26E97"/>
    <w:rsid w:val="00E2716A"/>
    <w:rsid w:val="00E41FA7"/>
    <w:rsid w:val="00E54E94"/>
    <w:rsid w:val="00E679D2"/>
    <w:rsid w:val="00E756C4"/>
    <w:rsid w:val="00E801A8"/>
    <w:rsid w:val="00E837CF"/>
    <w:rsid w:val="00E87134"/>
    <w:rsid w:val="00E94A25"/>
    <w:rsid w:val="00EA5D02"/>
    <w:rsid w:val="00EA771B"/>
    <w:rsid w:val="00EB2949"/>
    <w:rsid w:val="00EC0239"/>
    <w:rsid w:val="00EE05D5"/>
    <w:rsid w:val="00EE3A12"/>
    <w:rsid w:val="00EF6EED"/>
    <w:rsid w:val="00F04887"/>
    <w:rsid w:val="00F11D8F"/>
    <w:rsid w:val="00F178FC"/>
    <w:rsid w:val="00F2637F"/>
    <w:rsid w:val="00F26660"/>
    <w:rsid w:val="00F35ECC"/>
    <w:rsid w:val="00F40FC2"/>
    <w:rsid w:val="00F44843"/>
    <w:rsid w:val="00F57C10"/>
    <w:rsid w:val="00F62D54"/>
    <w:rsid w:val="00F72237"/>
    <w:rsid w:val="00F77735"/>
    <w:rsid w:val="00F80E7F"/>
    <w:rsid w:val="00F85102"/>
    <w:rsid w:val="00F94AD3"/>
    <w:rsid w:val="00F96D66"/>
    <w:rsid w:val="00FA4F8F"/>
    <w:rsid w:val="00FB2089"/>
    <w:rsid w:val="00FB2865"/>
    <w:rsid w:val="00FC4F82"/>
    <w:rsid w:val="00FD7EB0"/>
    <w:rsid w:val="00FF319D"/>
    <w:rsid w:val="00FF64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7766F"/>
    <w:pPr>
      <w:jc w:val="both"/>
    </w:pPr>
    <w:rPr>
      <w:rFonts w:eastAsiaTheme="minorEastAsia"/>
      <w:sz w:val="24"/>
      <w:lang w:val="en-GB"/>
    </w:rPr>
  </w:style>
  <w:style w:type="paragraph" w:styleId="Heading1">
    <w:name w:val="heading 1"/>
    <w:basedOn w:val="Normal"/>
    <w:next w:val="Normal"/>
    <w:link w:val="Heading1Char"/>
    <w:uiPriority w:val="99"/>
    <w:semiHidden/>
    <w:rsid w:val="00A7766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7766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7766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7766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359D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7766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359D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359D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359D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7766F"/>
    <w:rPr>
      <w:rFonts w:ascii="Tahoma" w:hAnsi="Tahoma" w:cs="Tahoma"/>
      <w:sz w:val="16"/>
      <w:szCs w:val="16"/>
    </w:rPr>
  </w:style>
  <w:style w:type="character" w:customStyle="1" w:styleId="BalloonTextChar">
    <w:name w:val="Balloon Text Char"/>
    <w:basedOn w:val="DefaultParagraphFont"/>
    <w:link w:val="BalloonText"/>
    <w:uiPriority w:val="99"/>
    <w:semiHidden/>
    <w:rsid w:val="00A7766F"/>
    <w:rPr>
      <w:rFonts w:ascii="Tahoma" w:eastAsiaTheme="minorEastAsia" w:hAnsi="Tahoma" w:cs="Tahoma"/>
      <w:sz w:val="16"/>
      <w:szCs w:val="16"/>
      <w:lang w:val="en-GB"/>
    </w:rPr>
  </w:style>
  <w:style w:type="character" w:styleId="BookTitle">
    <w:name w:val="Book Title"/>
    <w:uiPriority w:val="99"/>
    <w:semiHidden/>
    <w:qFormat/>
    <w:rsid w:val="00A359DD"/>
    <w:rPr>
      <w:i/>
      <w:iCs/>
      <w:smallCaps/>
      <w:spacing w:val="5"/>
    </w:rPr>
  </w:style>
  <w:style w:type="paragraph" w:customStyle="1" w:styleId="ECHRHeader">
    <w:name w:val="ECHR_Header"/>
    <w:aliases w:val="Ju_Header"/>
    <w:basedOn w:val="Header"/>
    <w:uiPriority w:val="4"/>
    <w:qFormat/>
    <w:rsid w:val="00A359DD"/>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7766F"/>
    <w:pPr>
      <w:jc w:val="left"/>
    </w:pPr>
    <w:rPr>
      <w:sz w:val="8"/>
    </w:rPr>
  </w:style>
  <w:style w:type="character" w:styleId="Strong">
    <w:name w:val="Strong"/>
    <w:uiPriority w:val="99"/>
    <w:semiHidden/>
    <w:qFormat/>
    <w:rsid w:val="00A359DD"/>
    <w:rPr>
      <w:b/>
      <w:bCs/>
    </w:rPr>
  </w:style>
  <w:style w:type="paragraph" w:styleId="NoSpacing">
    <w:name w:val="No Spacing"/>
    <w:basedOn w:val="Normal"/>
    <w:link w:val="NoSpacingChar"/>
    <w:semiHidden/>
    <w:qFormat/>
    <w:rsid w:val="00A359DD"/>
    <w:rPr>
      <w:sz w:val="22"/>
      <w:lang w:val="en-US"/>
    </w:rPr>
  </w:style>
  <w:style w:type="character" w:customStyle="1" w:styleId="NoSpacingChar">
    <w:name w:val="No Spacing Char"/>
    <w:basedOn w:val="DefaultParagraphFont"/>
    <w:link w:val="NoSpacing"/>
    <w:semiHidden/>
    <w:rsid w:val="00A359DD"/>
    <w:rPr>
      <w:rFonts w:eastAsiaTheme="minorEastAsia"/>
    </w:rPr>
  </w:style>
  <w:style w:type="paragraph" w:customStyle="1" w:styleId="ECHRFooterLine">
    <w:name w:val="ECHR_Footer_Line"/>
    <w:aliases w:val="Footer_Line"/>
    <w:basedOn w:val="Normal"/>
    <w:next w:val="ECHRFooter"/>
    <w:uiPriority w:val="57"/>
    <w:semiHidden/>
    <w:rsid w:val="00A7766F"/>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A359DD"/>
    <w:pPr>
      <w:numPr>
        <w:numId w:val="25"/>
      </w:numPr>
      <w:jc w:val="left"/>
    </w:pPr>
    <w:rPr>
      <w:b/>
    </w:rPr>
  </w:style>
  <w:style w:type="paragraph" w:customStyle="1" w:styleId="OpiPara">
    <w:name w:val="Opi_Para"/>
    <w:basedOn w:val="ECHRPara"/>
    <w:uiPriority w:val="46"/>
    <w:qFormat/>
    <w:rsid w:val="00A359DD"/>
  </w:style>
  <w:style w:type="paragraph" w:customStyle="1" w:styleId="JuParaSub">
    <w:name w:val="Ju_Para_Sub"/>
    <w:basedOn w:val="ECHRPara"/>
    <w:uiPriority w:val="13"/>
    <w:qFormat/>
    <w:rsid w:val="00A359DD"/>
    <w:pPr>
      <w:ind w:left="284"/>
    </w:pPr>
  </w:style>
  <w:style w:type="paragraph" w:customStyle="1" w:styleId="ECHRTitleCentre3">
    <w:name w:val="ECHR_Title_Centre_3"/>
    <w:aliases w:val="Ju_H_Article"/>
    <w:basedOn w:val="Normal"/>
    <w:next w:val="ECHRParaQuote"/>
    <w:uiPriority w:val="27"/>
    <w:qFormat/>
    <w:rsid w:val="00A359D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359DD"/>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359DD"/>
  </w:style>
  <w:style w:type="paragraph" w:customStyle="1" w:styleId="OpiQuot">
    <w:name w:val="Opi_Quot"/>
    <w:basedOn w:val="ECHRParaQuote"/>
    <w:uiPriority w:val="48"/>
    <w:qFormat/>
    <w:rsid w:val="00A359DD"/>
  </w:style>
  <w:style w:type="paragraph" w:customStyle="1" w:styleId="OpiQuotSub">
    <w:name w:val="Opi_Quot_Sub"/>
    <w:basedOn w:val="JuQuotSub"/>
    <w:uiPriority w:val="49"/>
    <w:qFormat/>
    <w:rsid w:val="00A359DD"/>
  </w:style>
  <w:style w:type="paragraph" w:customStyle="1" w:styleId="ECHRTitleCentre2">
    <w:name w:val="ECHR_Title_Centre_2"/>
    <w:aliases w:val="Dec_H_Case"/>
    <w:basedOn w:val="Normal"/>
    <w:next w:val="ECHRPara"/>
    <w:uiPriority w:val="8"/>
    <w:qFormat/>
    <w:rsid w:val="00A359DD"/>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A359DD"/>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359D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359DD"/>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359D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359D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359D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359D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359DD"/>
    <w:pPr>
      <w:keepNext/>
      <w:keepLines/>
      <w:spacing w:before="240" w:after="120"/>
      <w:ind w:left="1236"/>
    </w:pPr>
    <w:rPr>
      <w:sz w:val="20"/>
      <w:lang w:val="en-GB"/>
    </w:rPr>
  </w:style>
  <w:style w:type="paragraph" w:customStyle="1" w:styleId="JuQuotSub">
    <w:name w:val="Ju_Quot_Sub"/>
    <w:basedOn w:val="ECHRParaQuote"/>
    <w:uiPriority w:val="15"/>
    <w:qFormat/>
    <w:rsid w:val="00A359DD"/>
    <w:pPr>
      <w:ind w:left="567"/>
    </w:pPr>
  </w:style>
  <w:style w:type="paragraph" w:customStyle="1" w:styleId="JuInitialled">
    <w:name w:val="Ju_Initialled"/>
    <w:basedOn w:val="Normal"/>
    <w:uiPriority w:val="31"/>
    <w:qFormat/>
    <w:rsid w:val="00A359DD"/>
    <w:pPr>
      <w:tabs>
        <w:tab w:val="center" w:pos="6407"/>
      </w:tabs>
      <w:spacing w:before="720"/>
      <w:jc w:val="right"/>
    </w:pPr>
  </w:style>
  <w:style w:type="paragraph" w:customStyle="1" w:styleId="OpiHA">
    <w:name w:val="Opi_H_A"/>
    <w:basedOn w:val="ECHRHeading1"/>
    <w:next w:val="OpiPara"/>
    <w:uiPriority w:val="41"/>
    <w:qFormat/>
    <w:rsid w:val="00A359DD"/>
    <w:pPr>
      <w:tabs>
        <w:tab w:val="clear" w:pos="357"/>
      </w:tabs>
      <w:outlineLvl w:val="1"/>
    </w:pPr>
    <w:rPr>
      <w:b/>
    </w:rPr>
  </w:style>
  <w:style w:type="paragraph" w:styleId="Header">
    <w:name w:val="header"/>
    <w:basedOn w:val="Normal"/>
    <w:link w:val="HeaderChar"/>
    <w:uiPriority w:val="57"/>
    <w:semiHidden/>
    <w:rsid w:val="00A7766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7766F"/>
    <w:rPr>
      <w:sz w:val="24"/>
      <w:lang w:val="en-GB"/>
    </w:rPr>
  </w:style>
  <w:style w:type="character" w:customStyle="1" w:styleId="Heading1Char">
    <w:name w:val="Heading 1 Char"/>
    <w:basedOn w:val="DefaultParagraphFont"/>
    <w:link w:val="Heading1"/>
    <w:uiPriority w:val="99"/>
    <w:semiHidden/>
    <w:rsid w:val="00A7766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359D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359DD"/>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7766F"/>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A359DD"/>
    <w:rPr>
      <w:caps w:val="0"/>
      <w:smallCaps/>
    </w:rPr>
  </w:style>
  <w:style w:type="paragraph" w:customStyle="1" w:styleId="JuCase">
    <w:name w:val="Ju_Case"/>
    <w:basedOn w:val="Normal"/>
    <w:next w:val="ECHRPara"/>
    <w:uiPriority w:val="10"/>
    <w:rsid w:val="00A7766F"/>
    <w:pPr>
      <w:ind w:firstLine="284"/>
    </w:pPr>
    <w:rPr>
      <w:b/>
    </w:rPr>
  </w:style>
  <w:style w:type="character" w:customStyle="1" w:styleId="Heading3Char">
    <w:name w:val="Heading 3 Char"/>
    <w:basedOn w:val="DefaultParagraphFont"/>
    <w:link w:val="Heading3"/>
    <w:uiPriority w:val="99"/>
    <w:semiHidden/>
    <w:rsid w:val="00A7766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7766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359DD"/>
    <w:rPr>
      <w:rFonts w:asciiTheme="majorHAnsi" w:eastAsiaTheme="majorEastAsia" w:hAnsiTheme="majorHAnsi" w:cstheme="majorBidi"/>
      <w:b/>
      <w:bCs/>
      <w:color w:val="808080"/>
    </w:rPr>
  </w:style>
  <w:style w:type="character" w:styleId="SubtleEmphasis">
    <w:name w:val="Subtle Emphasis"/>
    <w:uiPriority w:val="99"/>
    <w:semiHidden/>
    <w:qFormat/>
    <w:rsid w:val="00A359D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359DD"/>
    <w:pPr>
      <w:keepNext/>
      <w:keepLines/>
      <w:spacing w:before="720" w:after="240"/>
      <w:outlineLvl w:val="0"/>
    </w:pPr>
    <w:rPr>
      <w:rFonts w:asciiTheme="majorHAnsi" w:hAnsiTheme="majorHAnsi"/>
      <w:sz w:val="28"/>
    </w:rPr>
  </w:style>
  <w:style w:type="character" w:styleId="Emphasis">
    <w:name w:val="Emphasis"/>
    <w:uiPriority w:val="99"/>
    <w:semiHidden/>
    <w:qFormat/>
    <w:rsid w:val="00A359DD"/>
    <w:rPr>
      <w:b/>
      <w:bCs/>
      <w:i/>
      <w:iCs/>
      <w:spacing w:val="10"/>
      <w:bdr w:val="none" w:sz="0" w:space="0" w:color="auto"/>
      <w:shd w:val="clear" w:color="auto" w:fill="auto"/>
    </w:rPr>
  </w:style>
  <w:style w:type="paragraph" w:styleId="Footer">
    <w:name w:val="footer"/>
    <w:basedOn w:val="Normal"/>
    <w:link w:val="FooterChar"/>
    <w:uiPriority w:val="57"/>
    <w:semiHidden/>
    <w:rsid w:val="00A7766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7766F"/>
    <w:rPr>
      <w:sz w:val="24"/>
      <w:lang w:val="en-GB"/>
    </w:rPr>
  </w:style>
  <w:style w:type="character" w:styleId="FootnoteReference">
    <w:name w:val="footnote reference"/>
    <w:basedOn w:val="DefaultParagraphFont"/>
    <w:uiPriority w:val="99"/>
    <w:semiHidden/>
    <w:rsid w:val="00A7766F"/>
    <w:rPr>
      <w:vertAlign w:val="superscript"/>
    </w:rPr>
  </w:style>
  <w:style w:type="paragraph" w:styleId="FootnoteText">
    <w:name w:val="footnote text"/>
    <w:basedOn w:val="Normal"/>
    <w:link w:val="FootnoteTextChar"/>
    <w:uiPriority w:val="99"/>
    <w:semiHidden/>
    <w:rsid w:val="00A7766F"/>
    <w:rPr>
      <w:sz w:val="20"/>
      <w:szCs w:val="20"/>
    </w:rPr>
  </w:style>
  <w:style w:type="character" w:customStyle="1" w:styleId="FootnoteTextChar">
    <w:name w:val="Footnote Text Char"/>
    <w:basedOn w:val="DefaultParagraphFont"/>
    <w:link w:val="FootnoteText"/>
    <w:uiPriority w:val="99"/>
    <w:semiHidden/>
    <w:rsid w:val="00A7766F"/>
    <w:rPr>
      <w:rFonts w:eastAsiaTheme="minorEastAsia"/>
      <w:sz w:val="20"/>
      <w:szCs w:val="20"/>
      <w:lang w:val="en-GB"/>
    </w:rPr>
  </w:style>
  <w:style w:type="character" w:customStyle="1" w:styleId="Heading6Char">
    <w:name w:val="Heading 6 Char"/>
    <w:basedOn w:val="DefaultParagraphFont"/>
    <w:link w:val="Heading6"/>
    <w:uiPriority w:val="99"/>
    <w:semiHidden/>
    <w:rsid w:val="00A7766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359D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359D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359D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7766F"/>
    <w:rPr>
      <w:color w:val="0072BC" w:themeColor="hyperlink"/>
      <w:u w:val="single"/>
    </w:rPr>
  </w:style>
  <w:style w:type="character" w:styleId="IntenseEmphasis">
    <w:name w:val="Intense Emphasis"/>
    <w:uiPriority w:val="99"/>
    <w:semiHidden/>
    <w:qFormat/>
    <w:rsid w:val="00A359DD"/>
    <w:rPr>
      <w:b/>
      <w:bCs/>
    </w:rPr>
  </w:style>
  <w:style w:type="paragraph" w:styleId="IntenseQuote">
    <w:name w:val="Intense Quote"/>
    <w:basedOn w:val="Normal"/>
    <w:next w:val="Normal"/>
    <w:link w:val="IntenseQuoteChar"/>
    <w:uiPriority w:val="99"/>
    <w:semiHidden/>
    <w:qFormat/>
    <w:rsid w:val="00A359D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359DD"/>
    <w:rPr>
      <w:rFonts w:eastAsiaTheme="minorEastAsia"/>
      <w:b/>
      <w:bCs/>
      <w:i/>
      <w:iCs/>
      <w:lang w:bidi="en-US"/>
    </w:rPr>
  </w:style>
  <w:style w:type="character" w:styleId="IntenseReference">
    <w:name w:val="Intense Reference"/>
    <w:uiPriority w:val="99"/>
    <w:semiHidden/>
    <w:qFormat/>
    <w:rsid w:val="00A359DD"/>
    <w:rPr>
      <w:smallCaps/>
      <w:spacing w:val="5"/>
      <w:u w:val="single"/>
    </w:rPr>
  </w:style>
  <w:style w:type="paragraph" w:styleId="ListParagraph">
    <w:name w:val="List Paragraph"/>
    <w:basedOn w:val="Normal"/>
    <w:uiPriority w:val="99"/>
    <w:semiHidden/>
    <w:qFormat/>
    <w:rsid w:val="00A359D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359D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359DD"/>
    <w:rPr>
      <w:rFonts w:eastAsiaTheme="minorEastAsia"/>
      <w:i/>
      <w:iCs/>
      <w:lang w:bidi="en-US"/>
    </w:rPr>
  </w:style>
  <w:style w:type="character" w:styleId="SubtleReference">
    <w:name w:val="Subtle Reference"/>
    <w:uiPriority w:val="99"/>
    <w:semiHidden/>
    <w:qFormat/>
    <w:rsid w:val="00A359DD"/>
    <w:rPr>
      <w:smallCaps/>
    </w:rPr>
  </w:style>
  <w:style w:type="table" w:styleId="TableGrid">
    <w:name w:val="Table Grid"/>
    <w:basedOn w:val="TableNormal"/>
    <w:uiPriority w:val="59"/>
    <w:semiHidden/>
    <w:rsid w:val="00A7766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7766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7766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7766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7766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7766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359D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7766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359DD"/>
    <w:pPr>
      <w:spacing w:before="120" w:after="120"/>
      <w:ind w:left="425" w:firstLine="142"/>
    </w:pPr>
    <w:rPr>
      <w:sz w:val="20"/>
    </w:rPr>
  </w:style>
  <w:style w:type="paragraph" w:customStyle="1" w:styleId="ECHRPara">
    <w:name w:val="ECHR_Para"/>
    <w:aliases w:val="Ju_Para"/>
    <w:basedOn w:val="Normal"/>
    <w:link w:val="ECHRParaChar"/>
    <w:uiPriority w:val="12"/>
    <w:qFormat/>
    <w:rsid w:val="00A359DD"/>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7766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359DD"/>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359DD"/>
    <w:pPr>
      <w:ind w:left="340" w:hanging="340"/>
    </w:pPr>
  </w:style>
  <w:style w:type="paragraph" w:customStyle="1" w:styleId="JuSigned">
    <w:name w:val="Ju_Signed"/>
    <w:basedOn w:val="Normal"/>
    <w:next w:val="JuParaLast"/>
    <w:uiPriority w:val="32"/>
    <w:qFormat/>
    <w:rsid w:val="00A359DD"/>
    <w:pPr>
      <w:tabs>
        <w:tab w:val="center" w:pos="851"/>
        <w:tab w:val="center" w:pos="6407"/>
      </w:tabs>
      <w:spacing w:before="720"/>
      <w:jc w:val="left"/>
    </w:pPr>
  </w:style>
  <w:style w:type="paragraph" w:customStyle="1" w:styleId="JuParaLast">
    <w:name w:val="Ju_Para_Last"/>
    <w:basedOn w:val="Normal"/>
    <w:next w:val="ECHRPara"/>
    <w:uiPriority w:val="30"/>
    <w:qFormat/>
    <w:rsid w:val="00A359DD"/>
    <w:pPr>
      <w:keepNext/>
      <w:keepLines/>
      <w:spacing w:before="240"/>
      <w:ind w:firstLine="284"/>
    </w:pPr>
  </w:style>
  <w:style w:type="paragraph" w:customStyle="1" w:styleId="JuCourt">
    <w:name w:val="Ju_Court"/>
    <w:basedOn w:val="Normal"/>
    <w:next w:val="Normal"/>
    <w:uiPriority w:val="16"/>
    <w:qFormat/>
    <w:rsid w:val="00A359DD"/>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359DD"/>
    <w:pPr>
      <w:ind w:left="346" w:firstLine="0"/>
    </w:pPr>
  </w:style>
  <w:style w:type="paragraph" w:customStyle="1" w:styleId="JuListi">
    <w:name w:val="Ju_List_i"/>
    <w:basedOn w:val="Normal"/>
    <w:next w:val="JuLista"/>
    <w:uiPriority w:val="28"/>
    <w:qFormat/>
    <w:rsid w:val="00A359DD"/>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7766F"/>
    <w:rPr>
      <w:vertAlign w:val="superscript"/>
    </w:rPr>
  </w:style>
  <w:style w:type="paragraph" w:styleId="EndnoteText">
    <w:name w:val="endnote text"/>
    <w:basedOn w:val="Normal"/>
    <w:link w:val="EndnoteTextChar"/>
    <w:uiPriority w:val="99"/>
    <w:semiHidden/>
    <w:rsid w:val="00A7766F"/>
    <w:rPr>
      <w:sz w:val="20"/>
      <w:szCs w:val="20"/>
    </w:rPr>
  </w:style>
  <w:style w:type="character" w:customStyle="1" w:styleId="EndnoteTextChar">
    <w:name w:val="Endnote Text Char"/>
    <w:basedOn w:val="DefaultParagraphFont"/>
    <w:link w:val="EndnoteText"/>
    <w:uiPriority w:val="99"/>
    <w:semiHidden/>
    <w:rsid w:val="00A7766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359DD"/>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359D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359D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Translation">
    <w:name w:val="Opi_Translation"/>
    <w:basedOn w:val="Normal"/>
    <w:next w:val="OpiPara"/>
    <w:uiPriority w:val="40"/>
    <w:qFormat/>
    <w:rsid w:val="00A359DD"/>
    <w:pPr>
      <w:jc w:val="center"/>
      <w:outlineLvl w:val="0"/>
    </w:pPr>
    <w:rPr>
      <w:i/>
    </w:rPr>
  </w:style>
  <w:style w:type="paragraph" w:customStyle="1" w:styleId="OpiH1">
    <w:name w:val="Opi_H_1"/>
    <w:basedOn w:val="ECHRHeading2"/>
    <w:uiPriority w:val="42"/>
    <w:qFormat/>
    <w:rsid w:val="00A359DD"/>
    <w:pPr>
      <w:ind w:left="635" w:hanging="357"/>
      <w:outlineLvl w:val="2"/>
    </w:pPr>
  </w:style>
  <w:style w:type="character" w:styleId="PlaceholderText">
    <w:name w:val="Placeholder Text"/>
    <w:basedOn w:val="DefaultParagraphFont"/>
    <w:uiPriority w:val="99"/>
    <w:semiHidden/>
    <w:rsid w:val="00A7766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7766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7766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3"/>
    <w:uiPriority w:val="43"/>
    <w:qFormat/>
    <w:rsid w:val="00A359DD"/>
    <w:pPr>
      <w:ind w:left="833" w:hanging="357"/>
      <w:outlineLvl w:val="3"/>
    </w:pPr>
    <w:rPr>
      <w:b/>
      <w:i w:val="0"/>
      <w:sz w:val="20"/>
    </w:rPr>
  </w:style>
  <w:style w:type="paragraph" w:customStyle="1" w:styleId="DecHTitle">
    <w:name w:val="Dec_H_Title"/>
    <w:basedOn w:val="ECHRTitleCentre1"/>
    <w:uiPriority w:val="7"/>
    <w:qFormat/>
    <w:rsid w:val="00A359DD"/>
  </w:style>
  <w:style w:type="paragraph" w:customStyle="1" w:styleId="DecList">
    <w:name w:val="Dec_List"/>
    <w:basedOn w:val="Normal"/>
    <w:uiPriority w:val="9"/>
    <w:qFormat/>
    <w:rsid w:val="00A359DD"/>
    <w:pPr>
      <w:spacing w:before="240"/>
      <w:ind w:left="284"/>
    </w:pPr>
  </w:style>
  <w:style w:type="paragraph" w:customStyle="1" w:styleId="OpiHi">
    <w:name w:val="Opi_H_i"/>
    <w:basedOn w:val="ECHRHeading4"/>
    <w:uiPriority w:val="44"/>
    <w:qFormat/>
    <w:rsid w:val="00A359DD"/>
    <w:pPr>
      <w:ind w:left="1037" w:hanging="357"/>
      <w:outlineLvl w:val="4"/>
    </w:pPr>
    <w:rPr>
      <w:b w:val="0"/>
      <w:i/>
    </w:rPr>
  </w:style>
  <w:style w:type="paragraph" w:customStyle="1" w:styleId="DummyStyle">
    <w:name w:val="Dummy_Style"/>
    <w:basedOn w:val="Normal"/>
    <w:semiHidden/>
    <w:qFormat/>
    <w:rsid w:val="00A359DD"/>
    <w:rPr>
      <w:color w:val="00B050"/>
    </w:rPr>
  </w:style>
  <w:style w:type="paragraph" w:styleId="NoteHeading">
    <w:name w:val="Note Heading"/>
    <w:basedOn w:val="Normal"/>
    <w:next w:val="Normal"/>
    <w:link w:val="NoteHeadingChar"/>
    <w:uiPriority w:val="99"/>
    <w:semiHidden/>
    <w:rsid w:val="00020A50"/>
  </w:style>
  <w:style w:type="character" w:customStyle="1" w:styleId="NoteHeadingChar">
    <w:name w:val="Note Heading Char"/>
    <w:basedOn w:val="DefaultParagraphFont"/>
    <w:link w:val="NoteHeading"/>
    <w:uiPriority w:val="99"/>
    <w:semiHidden/>
    <w:rsid w:val="00020A50"/>
    <w:rPr>
      <w:rFonts w:eastAsiaTheme="minorEastAsia"/>
      <w:sz w:val="24"/>
      <w:lang w:val="en-GB"/>
    </w:rPr>
  </w:style>
  <w:style w:type="paragraph" w:customStyle="1" w:styleId="JuHeaderLandscape">
    <w:name w:val="Ju_Header_Landscape"/>
    <w:basedOn w:val="ECHRHeader"/>
    <w:uiPriority w:val="4"/>
    <w:qFormat/>
    <w:rsid w:val="00A359DD"/>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D47123"/>
    <w:rPr>
      <w:rFonts w:eastAsiaTheme="minorEastAsia"/>
      <w:sz w:val="24"/>
      <w:lang w:val="en-GB"/>
    </w:rPr>
  </w:style>
  <w:style w:type="paragraph" w:customStyle="1" w:styleId="ECHRParaSpaced">
    <w:name w:val="ECHR_Para_Spaced"/>
    <w:aliases w:val="Para_Spaced"/>
    <w:basedOn w:val="ECHRPara"/>
    <w:uiPriority w:val="4"/>
    <w:rsid w:val="00AC5D7F"/>
    <w:pPr>
      <w:spacing w:before="120" w:after="120"/>
      <w:ind w:firstLine="0"/>
    </w:pPr>
    <w:rPr>
      <w:rFonts w:eastAsiaTheme="minorHAnsi"/>
      <w:sz w:val="22"/>
    </w:rPr>
  </w:style>
  <w:style w:type="character" w:customStyle="1" w:styleId="ECHRParaChar1">
    <w:name w:val="ECHR_Para Char1"/>
    <w:aliases w:val="Ju_Para Char1"/>
    <w:uiPriority w:val="12"/>
    <w:rsid w:val="00AC5D7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226354">
      <w:bodyDiv w:val="1"/>
      <w:marLeft w:val="0"/>
      <w:marRight w:val="0"/>
      <w:marTop w:val="0"/>
      <w:marBottom w:val="0"/>
      <w:divBdr>
        <w:top w:val="none" w:sz="0" w:space="0" w:color="auto"/>
        <w:left w:val="none" w:sz="0" w:space="0" w:color="auto"/>
        <w:bottom w:val="none" w:sz="0" w:space="0" w:color="auto"/>
        <w:right w:val="none" w:sz="0" w:space="0" w:color="auto"/>
      </w:divBdr>
      <w:divsChild>
        <w:div w:id="953438725">
          <w:marLeft w:val="0"/>
          <w:marRight w:val="0"/>
          <w:marTop w:val="0"/>
          <w:marBottom w:val="0"/>
          <w:divBdr>
            <w:top w:val="none" w:sz="0" w:space="0" w:color="auto"/>
            <w:left w:val="none" w:sz="0" w:space="0" w:color="auto"/>
            <w:bottom w:val="none" w:sz="0" w:space="0" w:color="auto"/>
            <w:right w:val="none" w:sz="0" w:space="0" w:color="auto"/>
          </w:divBdr>
          <w:divsChild>
            <w:div w:id="1121656298">
              <w:marLeft w:val="0"/>
              <w:marRight w:val="0"/>
              <w:marTop w:val="0"/>
              <w:marBottom w:val="0"/>
              <w:divBdr>
                <w:top w:val="none" w:sz="0" w:space="0" w:color="auto"/>
                <w:left w:val="none" w:sz="0" w:space="0" w:color="auto"/>
                <w:bottom w:val="none" w:sz="0" w:space="0" w:color="auto"/>
                <w:right w:val="none" w:sz="0" w:space="0" w:color="auto"/>
              </w:divBdr>
              <w:divsChild>
                <w:div w:id="2045398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03152831">
      <w:bodyDiv w:val="1"/>
      <w:marLeft w:val="0"/>
      <w:marRight w:val="0"/>
      <w:marTop w:val="0"/>
      <w:marBottom w:val="0"/>
      <w:divBdr>
        <w:top w:val="none" w:sz="0" w:space="0" w:color="auto"/>
        <w:left w:val="none" w:sz="0" w:space="0" w:color="auto"/>
        <w:bottom w:val="none" w:sz="0" w:space="0" w:color="auto"/>
        <w:right w:val="none" w:sz="0" w:space="0" w:color="auto"/>
      </w:divBdr>
      <w:divsChild>
        <w:div w:id="1858229925">
          <w:marLeft w:val="0"/>
          <w:marRight w:val="0"/>
          <w:marTop w:val="0"/>
          <w:marBottom w:val="0"/>
          <w:divBdr>
            <w:top w:val="none" w:sz="0" w:space="0" w:color="auto"/>
            <w:left w:val="none" w:sz="0" w:space="0" w:color="auto"/>
            <w:bottom w:val="none" w:sz="0" w:space="0" w:color="auto"/>
            <w:right w:val="none" w:sz="0" w:space="0" w:color="auto"/>
          </w:divBdr>
          <w:divsChild>
            <w:div w:id="49345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09830">
      <w:bodyDiv w:val="1"/>
      <w:marLeft w:val="0"/>
      <w:marRight w:val="0"/>
      <w:marTop w:val="0"/>
      <w:marBottom w:val="0"/>
      <w:divBdr>
        <w:top w:val="none" w:sz="0" w:space="0" w:color="auto"/>
        <w:left w:val="none" w:sz="0" w:space="0" w:color="auto"/>
        <w:bottom w:val="none" w:sz="0" w:space="0" w:color="auto"/>
        <w:right w:val="none" w:sz="0" w:space="0" w:color="auto"/>
      </w:divBdr>
      <w:divsChild>
        <w:div w:id="415706737">
          <w:marLeft w:val="0"/>
          <w:marRight w:val="0"/>
          <w:marTop w:val="0"/>
          <w:marBottom w:val="0"/>
          <w:divBdr>
            <w:top w:val="none" w:sz="0" w:space="0" w:color="auto"/>
            <w:left w:val="none" w:sz="0" w:space="0" w:color="auto"/>
            <w:bottom w:val="none" w:sz="0" w:space="0" w:color="auto"/>
            <w:right w:val="none" w:sz="0" w:space="0" w:color="auto"/>
          </w:divBdr>
          <w:divsChild>
            <w:div w:id="1469858741">
              <w:marLeft w:val="0"/>
              <w:marRight w:val="0"/>
              <w:marTop w:val="0"/>
              <w:marBottom w:val="0"/>
              <w:divBdr>
                <w:top w:val="none" w:sz="0" w:space="0" w:color="auto"/>
                <w:left w:val="none" w:sz="0" w:space="0" w:color="auto"/>
                <w:bottom w:val="none" w:sz="0" w:space="0" w:color="auto"/>
                <w:right w:val="none" w:sz="0" w:space="0" w:color="auto"/>
              </w:divBdr>
              <w:divsChild>
                <w:div w:id="484247519">
                  <w:marLeft w:val="0"/>
                  <w:marRight w:val="0"/>
                  <w:marTop w:val="120"/>
                  <w:marBottom w:val="0"/>
                  <w:divBdr>
                    <w:top w:val="none" w:sz="0" w:space="0" w:color="auto"/>
                    <w:left w:val="none" w:sz="0" w:space="0" w:color="auto"/>
                    <w:bottom w:val="none" w:sz="0" w:space="0" w:color="auto"/>
                    <w:right w:val="none" w:sz="0" w:space="0" w:color="auto"/>
                  </w:divBdr>
                </w:div>
                <w:div w:id="2052537862">
                  <w:marLeft w:val="0"/>
                  <w:marRight w:val="0"/>
                  <w:marTop w:val="120"/>
                  <w:marBottom w:val="0"/>
                  <w:divBdr>
                    <w:top w:val="none" w:sz="0" w:space="0" w:color="auto"/>
                    <w:left w:val="none" w:sz="0" w:space="0" w:color="auto"/>
                    <w:bottom w:val="none" w:sz="0" w:space="0" w:color="auto"/>
                    <w:right w:val="none" w:sz="0" w:space="0" w:color="auto"/>
                  </w:divBdr>
                </w:div>
                <w:div w:id="51658583">
                  <w:marLeft w:val="0"/>
                  <w:marRight w:val="0"/>
                  <w:marTop w:val="120"/>
                  <w:marBottom w:val="0"/>
                  <w:divBdr>
                    <w:top w:val="none" w:sz="0" w:space="0" w:color="auto"/>
                    <w:left w:val="none" w:sz="0" w:space="0" w:color="auto"/>
                    <w:bottom w:val="none" w:sz="0" w:space="0" w:color="auto"/>
                    <w:right w:val="none" w:sz="0" w:space="0" w:color="auto"/>
                  </w:divBdr>
                </w:div>
                <w:div w:id="2092462042">
                  <w:marLeft w:val="0"/>
                  <w:marRight w:val="0"/>
                  <w:marTop w:val="120"/>
                  <w:marBottom w:val="0"/>
                  <w:divBdr>
                    <w:top w:val="none" w:sz="0" w:space="0" w:color="auto"/>
                    <w:left w:val="none" w:sz="0" w:space="0" w:color="auto"/>
                    <w:bottom w:val="none" w:sz="0" w:space="0" w:color="auto"/>
                    <w:right w:val="none" w:sz="0" w:space="0" w:color="auto"/>
                  </w:divBdr>
                </w:div>
                <w:div w:id="946083640">
                  <w:marLeft w:val="0"/>
                  <w:marRight w:val="0"/>
                  <w:marTop w:val="120"/>
                  <w:marBottom w:val="0"/>
                  <w:divBdr>
                    <w:top w:val="none" w:sz="0" w:space="0" w:color="auto"/>
                    <w:left w:val="none" w:sz="0" w:space="0" w:color="auto"/>
                    <w:bottom w:val="none" w:sz="0" w:space="0" w:color="auto"/>
                    <w:right w:val="none" w:sz="0" w:space="0" w:color="auto"/>
                  </w:divBdr>
                </w:div>
                <w:div w:id="149082806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88955863">
      <w:bodyDiv w:val="1"/>
      <w:marLeft w:val="0"/>
      <w:marRight w:val="0"/>
      <w:marTop w:val="0"/>
      <w:marBottom w:val="0"/>
      <w:divBdr>
        <w:top w:val="none" w:sz="0" w:space="0" w:color="auto"/>
        <w:left w:val="none" w:sz="0" w:space="0" w:color="auto"/>
        <w:bottom w:val="none" w:sz="0" w:space="0" w:color="auto"/>
        <w:right w:val="none" w:sz="0" w:space="0" w:color="auto"/>
      </w:divBdr>
      <w:divsChild>
        <w:div w:id="1208839644">
          <w:marLeft w:val="0"/>
          <w:marRight w:val="0"/>
          <w:marTop w:val="0"/>
          <w:marBottom w:val="0"/>
          <w:divBdr>
            <w:top w:val="none" w:sz="0" w:space="0" w:color="auto"/>
            <w:left w:val="none" w:sz="0" w:space="0" w:color="auto"/>
            <w:bottom w:val="none" w:sz="0" w:space="0" w:color="auto"/>
            <w:right w:val="none" w:sz="0" w:space="0" w:color="auto"/>
          </w:divBdr>
          <w:divsChild>
            <w:div w:id="1727139092">
              <w:marLeft w:val="0"/>
              <w:marRight w:val="0"/>
              <w:marTop w:val="0"/>
              <w:marBottom w:val="0"/>
              <w:divBdr>
                <w:top w:val="none" w:sz="0" w:space="0" w:color="auto"/>
                <w:left w:val="none" w:sz="0" w:space="0" w:color="auto"/>
                <w:bottom w:val="none" w:sz="0" w:space="0" w:color="auto"/>
                <w:right w:val="none" w:sz="0" w:space="0" w:color="auto"/>
              </w:divBdr>
              <w:divsChild>
                <w:div w:id="1154487414">
                  <w:marLeft w:val="0"/>
                  <w:marRight w:val="0"/>
                  <w:marTop w:val="120"/>
                  <w:marBottom w:val="0"/>
                  <w:divBdr>
                    <w:top w:val="none" w:sz="0" w:space="0" w:color="auto"/>
                    <w:left w:val="none" w:sz="0" w:space="0" w:color="auto"/>
                    <w:bottom w:val="none" w:sz="0" w:space="0" w:color="auto"/>
                    <w:right w:val="none" w:sz="0" w:space="0" w:color="auto"/>
                  </w:divBdr>
                </w:div>
                <w:div w:id="34041721">
                  <w:marLeft w:val="0"/>
                  <w:marRight w:val="0"/>
                  <w:marTop w:val="120"/>
                  <w:marBottom w:val="0"/>
                  <w:divBdr>
                    <w:top w:val="none" w:sz="0" w:space="0" w:color="auto"/>
                    <w:left w:val="none" w:sz="0" w:space="0" w:color="auto"/>
                    <w:bottom w:val="none" w:sz="0" w:space="0" w:color="auto"/>
                    <w:right w:val="none" w:sz="0" w:space="0" w:color="auto"/>
                  </w:divBdr>
                </w:div>
                <w:div w:id="376782285">
                  <w:marLeft w:val="0"/>
                  <w:marRight w:val="0"/>
                  <w:marTop w:val="120"/>
                  <w:marBottom w:val="0"/>
                  <w:divBdr>
                    <w:top w:val="none" w:sz="0" w:space="0" w:color="auto"/>
                    <w:left w:val="none" w:sz="0" w:space="0" w:color="auto"/>
                    <w:bottom w:val="none" w:sz="0" w:space="0" w:color="auto"/>
                    <w:right w:val="none" w:sz="0" w:space="0" w:color="auto"/>
                  </w:divBdr>
                </w:div>
                <w:div w:id="1969164949">
                  <w:marLeft w:val="0"/>
                  <w:marRight w:val="0"/>
                  <w:marTop w:val="120"/>
                  <w:marBottom w:val="0"/>
                  <w:divBdr>
                    <w:top w:val="none" w:sz="0" w:space="0" w:color="auto"/>
                    <w:left w:val="none" w:sz="0" w:space="0" w:color="auto"/>
                    <w:bottom w:val="none" w:sz="0" w:space="0" w:color="auto"/>
                    <w:right w:val="none" w:sz="0" w:space="0" w:color="auto"/>
                  </w:divBdr>
                </w:div>
                <w:div w:id="1502114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64570583">
      <w:bodyDiv w:val="1"/>
      <w:marLeft w:val="0"/>
      <w:marRight w:val="0"/>
      <w:marTop w:val="0"/>
      <w:marBottom w:val="0"/>
      <w:divBdr>
        <w:top w:val="none" w:sz="0" w:space="0" w:color="auto"/>
        <w:left w:val="none" w:sz="0" w:space="0" w:color="auto"/>
        <w:bottom w:val="none" w:sz="0" w:space="0" w:color="auto"/>
        <w:right w:val="none" w:sz="0" w:space="0" w:color="auto"/>
      </w:divBdr>
      <w:divsChild>
        <w:div w:id="1407024242">
          <w:marLeft w:val="0"/>
          <w:marRight w:val="0"/>
          <w:marTop w:val="0"/>
          <w:marBottom w:val="0"/>
          <w:divBdr>
            <w:top w:val="none" w:sz="0" w:space="0" w:color="auto"/>
            <w:left w:val="none" w:sz="0" w:space="0" w:color="auto"/>
            <w:bottom w:val="none" w:sz="0" w:space="0" w:color="auto"/>
            <w:right w:val="none" w:sz="0" w:space="0" w:color="auto"/>
          </w:divBdr>
          <w:divsChild>
            <w:div w:id="1348678138">
              <w:marLeft w:val="0"/>
              <w:marRight w:val="0"/>
              <w:marTop w:val="0"/>
              <w:marBottom w:val="0"/>
              <w:divBdr>
                <w:top w:val="none" w:sz="0" w:space="0" w:color="auto"/>
                <w:left w:val="none" w:sz="0" w:space="0" w:color="auto"/>
                <w:bottom w:val="none" w:sz="0" w:space="0" w:color="auto"/>
                <w:right w:val="none" w:sz="0" w:space="0" w:color="auto"/>
              </w:divBdr>
              <w:divsChild>
                <w:div w:id="1361708335">
                  <w:marLeft w:val="0"/>
                  <w:marRight w:val="0"/>
                  <w:marTop w:val="120"/>
                  <w:marBottom w:val="0"/>
                  <w:divBdr>
                    <w:top w:val="none" w:sz="0" w:space="0" w:color="auto"/>
                    <w:left w:val="none" w:sz="0" w:space="0" w:color="auto"/>
                    <w:bottom w:val="none" w:sz="0" w:space="0" w:color="auto"/>
                    <w:right w:val="none" w:sz="0" w:space="0" w:color="auto"/>
                  </w:divBdr>
                </w:div>
                <w:div w:id="1677147617">
                  <w:marLeft w:val="0"/>
                  <w:marRight w:val="0"/>
                  <w:marTop w:val="120"/>
                  <w:marBottom w:val="96"/>
                  <w:divBdr>
                    <w:top w:val="none" w:sz="0" w:space="0" w:color="auto"/>
                    <w:left w:val="single" w:sz="24" w:space="0" w:color="CED3F1"/>
                    <w:bottom w:val="none" w:sz="0" w:space="0" w:color="auto"/>
                    <w:right w:val="none" w:sz="0" w:space="0" w:color="auto"/>
                  </w:divBdr>
                  <w:divsChild>
                    <w:div w:id="1404833248">
                      <w:marLeft w:val="0"/>
                      <w:marRight w:val="0"/>
                      <w:marTop w:val="120"/>
                      <w:marBottom w:val="0"/>
                      <w:divBdr>
                        <w:top w:val="none" w:sz="0" w:space="0" w:color="auto"/>
                        <w:left w:val="none" w:sz="0" w:space="0" w:color="auto"/>
                        <w:bottom w:val="none" w:sz="0" w:space="0" w:color="auto"/>
                        <w:right w:val="none" w:sz="0" w:space="0" w:color="auto"/>
                      </w:divBdr>
                    </w:div>
                  </w:divsChild>
                </w:div>
                <w:div w:id="142428906">
                  <w:marLeft w:val="0"/>
                  <w:marRight w:val="0"/>
                  <w:marTop w:val="120"/>
                  <w:marBottom w:val="96"/>
                  <w:divBdr>
                    <w:top w:val="none" w:sz="0" w:space="0" w:color="auto"/>
                    <w:left w:val="single" w:sz="24" w:space="0" w:color="CED3F1"/>
                    <w:bottom w:val="none" w:sz="0" w:space="0" w:color="auto"/>
                    <w:right w:val="none" w:sz="0" w:space="0" w:color="auto"/>
                  </w:divBdr>
                </w:div>
                <w:div w:id="2120636640">
                  <w:marLeft w:val="0"/>
                  <w:marRight w:val="0"/>
                  <w:marTop w:val="120"/>
                  <w:marBottom w:val="0"/>
                  <w:divBdr>
                    <w:top w:val="none" w:sz="0" w:space="0" w:color="auto"/>
                    <w:left w:val="none" w:sz="0" w:space="0" w:color="auto"/>
                    <w:bottom w:val="none" w:sz="0" w:space="0" w:color="auto"/>
                    <w:right w:val="none" w:sz="0" w:space="0" w:color="auto"/>
                  </w:divBdr>
                </w:div>
                <w:div w:id="948270140">
                  <w:marLeft w:val="0"/>
                  <w:marRight w:val="0"/>
                  <w:marTop w:val="120"/>
                  <w:marBottom w:val="0"/>
                  <w:divBdr>
                    <w:top w:val="none" w:sz="0" w:space="0" w:color="auto"/>
                    <w:left w:val="none" w:sz="0" w:space="0" w:color="auto"/>
                    <w:bottom w:val="none" w:sz="0" w:space="0" w:color="auto"/>
                    <w:right w:val="none" w:sz="0" w:space="0" w:color="auto"/>
                  </w:divBdr>
                </w:div>
                <w:div w:id="1338771842">
                  <w:marLeft w:val="0"/>
                  <w:marRight w:val="0"/>
                  <w:marTop w:val="120"/>
                  <w:marBottom w:val="0"/>
                  <w:divBdr>
                    <w:top w:val="none" w:sz="0" w:space="0" w:color="auto"/>
                    <w:left w:val="none" w:sz="0" w:space="0" w:color="auto"/>
                    <w:bottom w:val="none" w:sz="0" w:space="0" w:color="auto"/>
                    <w:right w:val="none" w:sz="0" w:space="0" w:color="auto"/>
                  </w:divBdr>
                </w:div>
                <w:div w:id="1498887350">
                  <w:marLeft w:val="0"/>
                  <w:marRight w:val="0"/>
                  <w:marTop w:val="120"/>
                  <w:marBottom w:val="0"/>
                  <w:divBdr>
                    <w:top w:val="none" w:sz="0" w:space="0" w:color="auto"/>
                    <w:left w:val="none" w:sz="0" w:space="0" w:color="auto"/>
                    <w:bottom w:val="none" w:sz="0" w:space="0" w:color="auto"/>
                    <w:right w:val="none" w:sz="0" w:space="0" w:color="auto"/>
                  </w:divBdr>
                </w:div>
                <w:div w:id="1272782165">
                  <w:marLeft w:val="0"/>
                  <w:marRight w:val="0"/>
                  <w:marTop w:val="120"/>
                  <w:marBottom w:val="0"/>
                  <w:divBdr>
                    <w:top w:val="none" w:sz="0" w:space="0" w:color="auto"/>
                    <w:left w:val="none" w:sz="0" w:space="0" w:color="auto"/>
                    <w:bottom w:val="none" w:sz="0" w:space="0" w:color="auto"/>
                    <w:right w:val="none" w:sz="0" w:space="0" w:color="auto"/>
                  </w:divBdr>
                </w:div>
                <w:div w:id="1283489211">
                  <w:marLeft w:val="0"/>
                  <w:marRight w:val="0"/>
                  <w:marTop w:val="120"/>
                  <w:marBottom w:val="0"/>
                  <w:divBdr>
                    <w:top w:val="none" w:sz="0" w:space="0" w:color="auto"/>
                    <w:left w:val="none" w:sz="0" w:space="0" w:color="auto"/>
                    <w:bottom w:val="none" w:sz="0" w:space="0" w:color="auto"/>
                    <w:right w:val="none" w:sz="0" w:space="0" w:color="auto"/>
                  </w:divBdr>
                </w:div>
                <w:div w:id="23543355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95485295">
      <w:bodyDiv w:val="1"/>
      <w:marLeft w:val="0"/>
      <w:marRight w:val="0"/>
      <w:marTop w:val="0"/>
      <w:marBottom w:val="0"/>
      <w:divBdr>
        <w:top w:val="none" w:sz="0" w:space="0" w:color="auto"/>
        <w:left w:val="none" w:sz="0" w:space="0" w:color="auto"/>
        <w:bottom w:val="none" w:sz="0" w:space="0" w:color="auto"/>
        <w:right w:val="none" w:sz="0" w:space="0" w:color="auto"/>
      </w:divBdr>
      <w:divsChild>
        <w:div w:id="362100068">
          <w:marLeft w:val="0"/>
          <w:marRight w:val="0"/>
          <w:marTop w:val="0"/>
          <w:marBottom w:val="0"/>
          <w:divBdr>
            <w:top w:val="none" w:sz="0" w:space="0" w:color="auto"/>
            <w:left w:val="none" w:sz="0" w:space="0" w:color="auto"/>
            <w:bottom w:val="none" w:sz="0" w:space="0" w:color="auto"/>
            <w:right w:val="none" w:sz="0" w:space="0" w:color="auto"/>
          </w:divBdr>
          <w:divsChild>
            <w:div w:id="1647855932">
              <w:marLeft w:val="0"/>
              <w:marRight w:val="0"/>
              <w:marTop w:val="0"/>
              <w:marBottom w:val="0"/>
              <w:divBdr>
                <w:top w:val="none" w:sz="0" w:space="0" w:color="auto"/>
                <w:left w:val="none" w:sz="0" w:space="0" w:color="auto"/>
                <w:bottom w:val="none" w:sz="0" w:space="0" w:color="auto"/>
                <w:right w:val="none" w:sz="0" w:space="0" w:color="auto"/>
              </w:divBdr>
              <w:divsChild>
                <w:div w:id="797335494">
                  <w:marLeft w:val="0"/>
                  <w:marRight w:val="0"/>
                  <w:marTop w:val="0"/>
                  <w:marBottom w:val="0"/>
                  <w:divBdr>
                    <w:top w:val="none" w:sz="0" w:space="0" w:color="auto"/>
                    <w:left w:val="none" w:sz="0" w:space="0" w:color="auto"/>
                    <w:bottom w:val="none" w:sz="0" w:space="0" w:color="auto"/>
                    <w:right w:val="none" w:sz="0" w:space="0" w:color="auto"/>
                  </w:divBdr>
                  <w:divsChild>
                    <w:div w:id="1472556581">
                      <w:marLeft w:val="0"/>
                      <w:marRight w:val="0"/>
                      <w:marTop w:val="0"/>
                      <w:marBottom w:val="0"/>
                      <w:divBdr>
                        <w:top w:val="none" w:sz="0" w:space="0" w:color="auto"/>
                        <w:left w:val="none" w:sz="0" w:space="0" w:color="auto"/>
                        <w:bottom w:val="none" w:sz="0" w:space="0" w:color="auto"/>
                        <w:right w:val="none" w:sz="0" w:space="0" w:color="auto"/>
                      </w:divBdr>
                      <w:divsChild>
                        <w:div w:id="1134907226">
                          <w:marLeft w:val="0"/>
                          <w:marRight w:val="0"/>
                          <w:marTop w:val="0"/>
                          <w:marBottom w:val="0"/>
                          <w:divBdr>
                            <w:top w:val="none" w:sz="0" w:space="0" w:color="auto"/>
                            <w:left w:val="none" w:sz="0" w:space="0" w:color="auto"/>
                            <w:bottom w:val="none" w:sz="0" w:space="0" w:color="auto"/>
                            <w:right w:val="none" w:sz="0" w:space="0" w:color="auto"/>
                          </w:divBdr>
                          <w:divsChild>
                            <w:div w:id="700087456">
                              <w:marLeft w:val="0"/>
                              <w:marRight w:val="0"/>
                              <w:marTop w:val="0"/>
                              <w:marBottom w:val="450"/>
                              <w:divBdr>
                                <w:top w:val="none" w:sz="0" w:space="0" w:color="auto"/>
                                <w:left w:val="none" w:sz="0" w:space="0" w:color="auto"/>
                                <w:bottom w:val="none" w:sz="0" w:space="0" w:color="auto"/>
                                <w:right w:val="none" w:sz="0" w:space="0" w:color="auto"/>
                              </w:divBdr>
                              <w:divsChild>
                                <w:div w:id="1581017256">
                                  <w:marLeft w:val="0"/>
                                  <w:marRight w:val="0"/>
                                  <w:marTop w:val="0"/>
                                  <w:marBottom w:val="0"/>
                                  <w:divBdr>
                                    <w:top w:val="none" w:sz="0" w:space="0" w:color="auto"/>
                                    <w:left w:val="none" w:sz="0" w:space="0" w:color="auto"/>
                                    <w:bottom w:val="none" w:sz="0" w:space="0" w:color="auto"/>
                                    <w:right w:val="none" w:sz="0" w:space="0" w:color="auto"/>
                                  </w:divBdr>
                                  <w:divsChild>
                                    <w:div w:id="19177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610053">
      <w:bodyDiv w:val="1"/>
      <w:marLeft w:val="0"/>
      <w:marRight w:val="0"/>
      <w:marTop w:val="0"/>
      <w:marBottom w:val="0"/>
      <w:divBdr>
        <w:top w:val="none" w:sz="0" w:space="0" w:color="auto"/>
        <w:left w:val="none" w:sz="0" w:space="0" w:color="auto"/>
        <w:bottom w:val="none" w:sz="0" w:space="0" w:color="auto"/>
        <w:right w:val="none" w:sz="0" w:space="0" w:color="auto"/>
      </w:divBdr>
    </w:div>
    <w:div w:id="1881355097">
      <w:bodyDiv w:val="1"/>
      <w:marLeft w:val="0"/>
      <w:marRight w:val="0"/>
      <w:marTop w:val="0"/>
      <w:marBottom w:val="0"/>
      <w:divBdr>
        <w:top w:val="none" w:sz="0" w:space="0" w:color="auto"/>
        <w:left w:val="none" w:sz="0" w:space="0" w:color="auto"/>
        <w:bottom w:val="none" w:sz="0" w:space="0" w:color="auto"/>
        <w:right w:val="none" w:sz="0" w:space="0" w:color="auto"/>
      </w:divBdr>
      <w:divsChild>
        <w:div w:id="2013293895">
          <w:marLeft w:val="0"/>
          <w:marRight w:val="0"/>
          <w:marTop w:val="0"/>
          <w:marBottom w:val="0"/>
          <w:divBdr>
            <w:top w:val="none" w:sz="0" w:space="0" w:color="auto"/>
            <w:left w:val="none" w:sz="0" w:space="0" w:color="auto"/>
            <w:bottom w:val="none" w:sz="0" w:space="0" w:color="auto"/>
            <w:right w:val="none" w:sz="0" w:space="0" w:color="auto"/>
          </w:divBdr>
          <w:divsChild>
            <w:div w:id="869759975">
              <w:marLeft w:val="0"/>
              <w:marRight w:val="0"/>
              <w:marTop w:val="0"/>
              <w:marBottom w:val="0"/>
              <w:divBdr>
                <w:top w:val="none" w:sz="0" w:space="0" w:color="auto"/>
                <w:left w:val="none" w:sz="0" w:space="0" w:color="auto"/>
                <w:bottom w:val="none" w:sz="0" w:space="0" w:color="auto"/>
                <w:right w:val="none" w:sz="0" w:space="0" w:color="auto"/>
              </w:divBdr>
              <w:divsChild>
                <w:div w:id="1509129576">
                  <w:marLeft w:val="0"/>
                  <w:marRight w:val="0"/>
                  <w:marTop w:val="0"/>
                  <w:marBottom w:val="0"/>
                  <w:divBdr>
                    <w:top w:val="none" w:sz="0" w:space="0" w:color="auto"/>
                    <w:left w:val="none" w:sz="0" w:space="0" w:color="auto"/>
                    <w:bottom w:val="none" w:sz="0" w:space="0" w:color="auto"/>
                    <w:right w:val="none" w:sz="0" w:space="0" w:color="auto"/>
                  </w:divBdr>
                  <w:divsChild>
                    <w:div w:id="2105346261">
                      <w:marLeft w:val="0"/>
                      <w:marRight w:val="0"/>
                      <w:marTop w:val="0"/>
                      <w:marBottom w:val="0"/>
                      <w:divBdr>
                        <w:top w:val="none" w:sz="0" w:space="0" w:color="auto"/>
                        <w:left w:val="none" w:sz="0" w:space="0" w:color="auto"/>
                        <w:bottom w:val="none" w:sz="0" w:space="0" w:color="auto"/>
                        <w:right w:val="none" w:sz="0" w:space="0" w:color="auto"/>
                      </w:divBdr>
                      <w:divsChild>
                        <w:div w:id="869758220">
                          <w:marLeft w:val="0"/>
                          <w:marRight w:val="0"/>
                          <w:marTop w:val="0"/>
                          <w:marBottom w:val="0"/>
                          <w:divBdr>
                            <w:top w:val="none" w:sz="0" w:space="0" w:color="auto"/>
                            <w:left w:val="none" w:sz="0" w:space="0" w:color="auto"/>
                            <w:bottom w:val="none" w:sz="0" w:space="0" w:color="auto"/>
                            <w:right w:val="none" w:sz="0" w:space="0" w:color="auto"/>
                          </w:divBdr>
                          <w:divsChild>
                            <w:div w:id="135916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5BDC15-4914-42D6-B719-A1BE4D2CBC3C}"/>
</file>

<file path=customXml/itemProps2.xml><?xml version="1.0" encoding="utf-8"?>
<ds:datastoreItem xmlns:ds="http://schemas.openxmlformats.org/officeDocument/2006/customXml" ds:itemID="{A1C28E43-69E5-497C-946C-F242444DBB85}"/>
</file>

<file path=customXml/itemProps3.xml><?xml version="1.0" encoding="utf-8"?>
<ds:datastoreItem xmlns:ds="http://schemas.openxmlformats.org/officeDocument/2006/customXml" ds:itemID="{33DCB0DE-0F8A-4DCA-A115-FA6F2A6E7936}"/>
</file>

<file path=customXml/itemProps4.xml><?xml version="1.0" encoding="utf-8"?>
<ds:datastoreItem xmlns:ds="http://schemas.openxmlformats.org/officeDocument/2006/customXml" ds:itemID="{0D61D39D-2E1C-457F-B050-851979ABC808}"/>
</file>

<file path=docProps/app.xml><?xml version="1.0" encoding="utf-8"?>
<Properties xmlns="http://schemas.openxmlformats.org/officeDocument/2006/extended-properties" xmlns:vt="http://schemas.openxmlformats.org/officeDocument/2006/docPropsVTypes">
  <Template>Normal.dotm</Template>
  <TotalTime>0</TotalTime>
  <Pages>1</Pages>
  <Words>4598</Words>
  <Characters>26214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2019-10-08T07:51:00Z</dcterms:created>
  <dcterms:modified xsi:type="dcterms:W3CDTF">2019-10-08T07:51:00Z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22764/12</vt:lpwstr>
  </property>
  <property fmtid="{D5CDD505-2E9C-101B-9397-08002B2CF9AE}" pid="4" name="CASEID">
    <vt:lpwstr>791405</vt:lpwstr>
  </property>
  <property fmtid="{D5CDD505-2E9C-101B-9397-08002B2CF9AE}" pid="5" name="ContentTypeId">
    <vt:lpwstr>0x010100558EB02BDB9E204AB350EDD385B68E10</vt:lpwstr>
  </property>
</Properties>
</file>