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C34FD" w:rsidR="00D420F3" w:rsidP="009F5C9E" w:rsidRDefault="00D420F3">
      <w:pPr>
        <w:pStyle w:val="JuJudges"/>
        <w:jc w:val="center"/>
      </w:pPr>
      <w:bookmarkStart w:name="_GoBack" w:id="0"/>
      <w:bookmarkEnd w:id="0"/>
    </w:p>
    <w:p w:rsidRPr="00FC34FD" w:rsidR="009A5C3B" w:rsidP="009F5C9E" w:rsidRDefault="009A5C3B">
      <w:pPr>
        <w:pStyle w:val="JuJudges"/>
        <w:jc w:val="center"/>
      </w:pPr>
    </w:p>
    <w:p w:rsidRPr="00FC34FD" w:rsidR="009A5C3B" w:rsidP="009F5C9E" w:rsidRDefault="009A5C3B">
      <w:pPr>
        <w:pStyle w:val="JuJudges"/>
        <w:jc w:val="center"/>
      </w:pPr>
    </w:p>
    <w:p w:rsidRPr="00FC34FD" w:rsidR="009A5C3B" w:rsidP="00F56D74" w:rsidRDefault="000E4EA7">
      <w:pPr>
        <w:pStyle w:val="DecHCase"/>
      </w:pPr>
      <w:r w:rsidRPr="00FC34FD">
        <w:t>FIRST SECTION</w:t>
      </w:r>
    </w:p>
    <w:p w:rsidR="009F5C9E" w:rsidP="00F56D74" w:rsidRDefault="009F5C9E">
      <w:pPr>
        <w:pStyle w:val="JuTitle"/>
      </w:pPr>
      <w:bookmarkStart w:name="To" w:id="1"/>
    </w:p>
    <w:p w:rsidR="009F5C9E" w:rsidP="00F56D74" w:rsidRDefault="009F5C9E">
      <w:pPr>
        <w:pStyle w:val="JuTitle"/>
      </w:pPr>
    </w:p>
    <w:p w:rsidR="009F5C9E" w:rsidP="00F56D74" w:rsidRDefault="009F5C9E">
      <w:pPr>
        <w:pStyle w:val="JuTitle"/>
      </w:pPr>
    </w:p>
    <w:p w:rsidR="009F5C9E" w:rsidP="00F56D74" w:rsidRDefault="009F5C9E">
      <w:pPr>
        <w:pStyle w:val="JuTitle"/>
      </w:pPr>
    </w:p>
    <w:p w:rsidR="009F5C9E" w:rsidP="00F56D74" w:rsidRDefault="009F5C9E">
      <w:pPr>
        <w:pStyle w:val="JuTitle"/>
      </w:pPr>
    </w:p>
    <w:p w:rsidRPr="00FC34FD" w:rsidR="00D420F3" w:rsidP="00F56D74" w:rsidRDefault="0077175D">
      <w:pPr>
        <w:pStyle w:val="JuTitle"/>
      </w:pPr>
      <w:r w:rsidRPr="00FC34FD">
        <w:t xml:space="preserve">CASE OF </w:t>
      </w:r>
      <w:bookmarkEnd w:id="1"/>
      <w:r w:rsidRPr="00FC34FD" w:rsidR="000E4EA7">
        <w:t>ZARĘBA v. POLAND</w:t>
      </w:r>
    </w:p>
    <w:p w:rsidRPr="00FC34FD" w:rsidR="00D420F3" w:rsidP="00FC34FD" w:rsidRDefault="0077175D">
      <w:pPr>
        <w:pStyle w:val="Title4"/>
      </w:pPr>
      <w:r w:rsidRPr="00FC34FD">
        <w:t>(</w:t>
      </w:r>
      <w:r w:rsidRPr="00FC34FD" w:rsidR="000E4EA7">
        <w:t>Application no. 59955/15</w:t>
      </w:r>
      <w:r w:rsidRPr="00FC34FD">
        <w:t>)</w:t>
      </w:r>
    </w:p>
    <w:p w:rsidRPr="00FC34FD" w:rsidR="00D420F3" w:rsidP="00F56D74" w:rsidRDefault="00D420F3">
      <w:pPr>
        <w:pStyle w:val="DecHCase"/>
      </w:pPr>
    </w:p>
    <w:p w:rsidR="00F56D74" w:rsidP="00F56D74" w:rsidRDefault="00F56D74">
      <w:pPr>
        <w:pStyle w:val="DecHCase"/>
      </w:pPr>
    </w:p>
    <w:p w:rsidRPr="009F5C9E" w:rsidR="009F5C9E" w:rsidP="009F5C9E" w:rsidRDefault="009F5C9E">
      <w:pPr>
        <w:pStyle w:val="JuPara"/>
      </w:pPr>
    </w:p>
    <w:p w:rsidR="009F5C9E" w:rsidP="00A861D0" w:rsidRDefault="009F5C9E">
      <w:pPr>
        <w:pStyle w:val="DecHCase"/>
      </w:pPr>
    </w:p>
    <w:p w:rsidRPr="00FC34FD" w:rsidR="00966701" w:rsidP="00A861D0" w:rsidRDefault="00C53E50">
      <w:pPr>
        <w:pStyle w:val="DecHCase"/>
      </w:pPr>
      <w:r w:rsidRPr="00FC34FD">
        <w:t>JUDGMENT</w:t>
      </w:r>
    </w:p>
    <w:p w:rsidR="009F5C9E" w:rsidP="009F5C9E" w:rsidRDefault="009F5C9E">
      <w:pPr>
        <w:pStyle w:val="JuPara"/>
      </w:pPr>
    </w:p>
    <w:p w:rsidR="009F5C9E" w:rsidP="009F5C9E" w:rsidRDefault="009F5C9E">
      <w:pPr>
        <w:pStyle w:val="JuPara"/>
      </w:pPr>
    </w:p>
    <w:p w:rsidR="009F5C9E" w:rsidP="009F5C9E" w:rsidRDefault="009F5C9E">
      <w:pPr>
        <w:pStyle w:val="JuPara"/>
      </w:pPr>
    </w:p>
    <w:p w:rsidR="009F5C9E" w:rsidP="009F5C9E" w:rsidRDefault="009F5C9E">
      <w:pPr>
        <w:pStyle w:val="JuPara"/>
      </w:pPr>
    </w:p>
    <w:p w:rsidRPr="009F5C9E" w:rsidR="009F5C9E" w:rsidP="009F5C9E" w:rsidRDefault="009F5C9E">
      <w:pPr>
        <w:pStyle w:val="JuPara"/>
      </w:pPr>
    </w:p>
    <w:p w:rsidRPr="00FC34FD" w:rsidR="009A5C3B" w:rsidP="00A861D0" w:rsidRDefault="00A861D0">
      <w:pPr>
        <w:pStyle w:val="DecHCase"/>
      </w:pPr>
      <w:r w:rsidRPr="00FC34FD">
        <w:t>STRASBOURG</w:t>
      </w:r>
    </w:p>
    <w:p w:rsidRPr="00FC34FD" w:rsidR="009A5C3B" w:rsidP="00A861D0" w:rsidRDefault="009A5C3B">
      <w:pPr>
        <w:pStyle w:val="DecHCase"/>
      </w:pPr>
      <w:r w:rsidRPr="00FC34FD">
        <w:t>10 October 2019</w:t>
      </w:r>
    </w:p>
    <w:p w:rsidRPr="00FC34FD" w:rsidR="009A5C3B" w:rsidP="009A5C3B" w:rsidRDefault="009A5C3B">
      <w:pPr>
        <w:pStyle w:val="JuCase"/>
        <w:ind w:firstLine="0"/>
        <w:jc w:val="center"/>
        <w:rPr>
          <w:b w:val="0"/>
        </w:rPr>
      </w:pPr>
    </w:p>
    <w:p w:rsidRPr="00FC34FD" w:rsidR="009A5C3B" w:rsidP="009A5C3B" w:rsidRDefault="009A5C3B">
      <w:pPr>
        <w:pStyle w:val="JuCase"/>
        <w:ind w:firstLine="0"/>
        <w:jc w:val="center"/>
        <w:rPr>
          <w:b w:val="0"/>
        </w:rPr>
      </w:pPr>
    </w:p>
    <w:p w:rsidRPr="00FC34FD" w:rsidR="009A5C3B" w:rsidP="00FC34FD" w:rsidRDefault="009A5C3B">
      <w:pPr>
        <w:pStyle w:val="JuCase"/>
        <w:ind w:firstLine="0"/>
        <w:rPr>
          <w:b w:val="0"/>
        </w:rPr>
        <w:sectPr w:rsidRPr="00FC34FD" w:rsidR="009A5C3B" w:rsidSect="009A5C3B">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FC34FD">
        <w:rPr>
          <w:b w:val="0"/>
          <w:i/>
          <w:sz w:val="22"/>
        </w:rPr>
        <w:t>This judgment is final but it may be subject to editorial revision.</w:t>
      </w:r>
    </w:p>
    <w:p w:rsidRPr="00FC34FD" w:rsidR="00D420F3" w:rsidP="00D420F3" w:rsidRDefault="0077175D">
      <w:pPr>
        <w:pStyle w:val="JuCase"/>
        <w:rPr>
          <w:bCs/>
        </w:rPr>
      </w:pPr>
      <w:r w:rsidRPr="00FC34FD">
        <w:t xml:space="preserve">In the case of </w:t>
      </w:r>
      <w:proofErr w:type="spellStart"/>
      <w:r w:rsidRPr="00FC34FD" w:rsidR="000E4EA7">
        <w:t>Zaręba</w:t>
      </w:r>
      <w:proofErr w:type="spellEnd"/>
      <w:r w:rsidRPr="00FC34FD" w:rsidR="000E4EA7">
        <w:t xml:space="preserve"> v. Poland</w:t>
      </w:r>
      <w:r w:rsidRPr="00FC34FD">
        <w:t>,</w:t>
      </w:r>
    </w:p>
    <w:p w:rsidRPr="00FC34FD" w:rsidR="00D420F3" w:rsidP="00D420F3" w:rsidRDefault="0077175D">
      <w:pPr>
        <w:pStyle w:val="JuPara"/>
      </w:pPr>
      <w:r w:rsidRPr="00FC34FD">
        <w:t>The European Court of Human Rights (</w:t>
      </w:r>
      <w:r w:rsidRPr="00FC34FD" w:rsidR="000E4EA7">
        <w:t>First Section</w:t>
      </w:r>
      <w:r w:rsidRPr="00FC34FD">
        <w:t xml:space="preserve">), sitting as a </w:t>
      </w:r>
      <w:r w:rsidRPr="00FC34FD" w:rsidR="000E4EA7">
        <w:t>Committee</w:t>
      </w:r>
      <w:r w:rsidRPr="00FC34FD">
        <w:t xml:space="preserve"> composed of:</w:t>
      </w:r>
    </w:p>
    <w:p w:rsidRPr="00FC34FD" w:rsidR="00D420F3" w:rsidP="00D420F3" w:rsidRDefault="009A5C3B">
      <w:pPr>
        <w:pStyle w:val="JuJudges"/>
      </w:pPr>
      <w:r w:rsidRPr="00FC34FD">
        <w:tab/>
      </w:r>
      <w:proofErr w:type="spellStart"/>
      <w:r w:rsidRPr="00FC34FD">
        <w:t>Aleš</w:t>
      </w:r>
      <w:proofErr w:type="spellEnd"/>
      <w:r w:rsidRPr="00FC34FD">
        <w:t xml:space="preserve"> </w:t>
      </w:r>
      <w:proofErr w:type="spellStart"/>
      <w:r w:rsidRPr="00FC34FD">
        <w:t>Pejchal</w:t>
      </w:r>
      <w:proofErr w:type="spellEnd"/>
      <w:r w:rsidRPr="00FC34FD">
        <w:t>,</w:t>
      </w:r>
      <w:r w:rsidRPr="00FC34FD">
        <w:rPr>
          <w:i/>
        </w:rPr>
        <w:t xml:space="preserve"> President,</w:t>
      </w:r>
      <w:r w:rsidRPr="00FC34FD">
        <w:rPr>
          <w:i/>
        </w:rPr>
        <w:br/>
      </w:r>
      <w:r w:rsidRPr="00FC34FD">
        <w:tab/>
        <w:t>Tim Eicke,</w:t>
      </w:r>
      <w:r w:rsidRPr="00FC34FD">
        <w:rPr>
          <w:i/>
        </w:rPr>
        <w:br/>
      </w:r>
      <w:r w:rsidRPr="00FC34FD">
        <w:tab/>
        <w:t>Jovan Ilievski,</w:t>
      </w:r>
      <w:r w:rsidRPr="00FC34FD">
        <w:rPr>
          <w:i/>
        </w:rPr>
        <w:t xml:space="preserve"> judges,</w:t>
      </w:r>
      <w:r w:rsidRPr="00FC34FD" w:rsidR="0077175D">
        <w:rPr>
          <w:szCs w:val="24"/>
        </w:rPr>
        <w:br/>
      </w:r>
      <w:r w:rsidRPr="00FC34FD" w:rsidR="0077175D">
        <w:t xml:space="preserve">and </w:t>
      </w:r>
      <w:r w:rsidRPr="00FC34FD" w:rsidR="000E4EA7">
        <w:t>Renata Degener</w:t>
      </w:r>
      <w:r w:rsidRPr="00FC34FD" w:rsidR="0077175D">
        <w:t xml:space="preserve">, </w:t>
      </w:r>
      <w:r w:rsidRPr="00FC34FD" w:rsidR="000E4EA7">
        <w:rPr>
          <w:i/>
        </w:rPr>
        <w:t xml:space="preserve">Deputy Section </w:t>
      </w:r>
      <w:r w:rsidRPr="00FC34FD" w:rsidR="000E4EA7">
        <w:rPr>
          <w:i/>
          <w:iCs/>
        </w:rPr>
        <w:t>Registrar</w:t>
      </w:r>
      <w:r w:rsidRPr="00FC34FD" w:rsidR="0077175D">
        <w:rPr>
          <w:i/>
        </w:rPr>
        <w:t>,</w:t>
      </w:r>
    </w:p>
    <w:p w:rsidRPr="00FC34FD" w:rsidR="00D420F3" w:rsidP="00D420F3" w:rsidRDefault="0077175D">
      <w:pPr>
        <w:pStyle w:val="JuPara"/>
      </w:pPr>
      <w:r w:rsidRPr="00FC34FD">
        <w:t xml:space="preserve">Having deliberated in private on </w:t>
      </w:r>
      <w:r w:rsidRPr="00FC34FD" w:rsidR="009A5C3B">
        <w:t>17 September 2019</w:t>
      </w:r>
      <w:r w:rsidRPr="00FC34FD">
        <w:t>,</w:t>
      </w:r>
    </w:p>
    <w:p w:rsidRPr="00FC34FD" w:rsidR="00D420F3" w:rsidP="00D420F3" w:rsidRDefault="0077175D">
      <w:pPr>
        <w:pStyle w:val="JuPara"/>
      </w:pPr>
      <w:r w:rsidRPr="00FC34FD">
        <w:t>Delivers the following judgment, which was adopted on that date:</w:t>
      </w:r>
    </w:p>
    <w:p w:rsidRPr="00FC34FD" w:rsidR="00290306" w:rsidP="00EF763E" w:rsidRDefault="00290306">
      <w:pPr>
        <w:pStyle w:val="JuHHead"/>
        <w:numPr>
          <w:ilvl w:val="0"/>
          <w:numId w:val="1"/>
        </w:numPr>
      </w:pPr>
      <w:r w:rsidRPr="00FC34FD">
        <w:t>PROCEDURE</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1</w:t>
      </w:r>
      <w:r w:rsidRPr="00FC34FD">
        <w:fldChar w:fldCharType="end"/>
      </w:r>
      <w:r w:rsidRPr="00FC34FD">
        <w:t xml:space="preserve">.  The case originated in an application (no. 59955/15) against the Republic of Poland lodged with the Court under Article 34 of the Convention for the Protection of Human Rights and Fundamental Freedoms (“the Convention”) by a Polish national, Mr Robert </w:t>
      </w:r>
      <w:proofErr w:type="spellStart"/>
      <w:r w:rsidRPr="00FC34FD">
        <w:t>Zaręba</w:t>
      </w:r>
      <w:proofErr w:type="spellEnd"/>
      <w:r w:rsidRPr="00FC34FD">
        <w:t xml:space="preserve"> (“the applicant”), on 13 November 2015.</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2</w:t>
      </w:r>
      <w:r w:rsidRPr="00FC34FD">
        <w:fldChar w:fldCharType="end"/>
      </w:r>
      <w:r w:rsidRPr="00FC34FD">
        <w:t>.  The Polish Government (“the Government”) were represented by their Agent, Ms J. Chrzanowska, and subsequently by Mr J. Sobczak, of the Ministry of Foreign Affairs.</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3</w:t>
      </w:r>
      <w:r w:rsidRPr="00FC34FD">
        <w:fldChar w:fldCharType="end"/>
      </w:r>
      <w:r w:rsidRPr="00FC34FD">
        <w:t xml:space="preserve">.  On </w:t>
      </w:r>
      <w:r w:rsidRPr="00FC34FD">
        <w:rPr>
          <w:szCs w:val="24"/>
        </w:rPr>
        <w:t>18 January 2017</w:t>
      </w:r>
      <w:r w:rsidRPr="00FC34FD">
        <w:t xml:space="preserve"> notice of the complaint concerning conditions of detention was given to the Government and the remainder of the application was declared inadmissible</w:t>
      </w:r>
      <w:r w:rsidRPr="00FC34FD">
        <w:rPr>
          <w:szCs w:val="24"/>
        </w:rPr>
        <w:t xml:space="preserve"> </w:t>
      </w:r>
      <w:r w:rsidRPr="00FC34FD">
        <w:t>pursuant to Rule 54 § 3 of the Rules of Court.</w:t>
      </w:r>
    </w:p>
    <w:p w:rsidRPr="00FC34FD" w:rsidR="00290306" w:rsidP="00EF763E" w:rsidRDefault="00290306">
      <w:pPr>
        <w:pStyle w:val="JuHHead"/>
        <w:numPr>
          <w:ilvl w:val="0"/>
          <w:numId w:val="1"/>
        </w:numPr>
      </w:pPr>
      <w:r w:rsidRPr="00FC34FD">
        <w:t>THE FACTS</w:t>
      </w:r>
    </w:p>
    <w:p w:rsidRPr="00FC34FD" w:rsidR="00290306" w:rsidP="00EF763E" w:rsidRDefault="009F5C9E">
      <w:pPr>
        <w:pStyle w:val="JuHIRoman"/>
        <w:numPr>
          <w:ilvl w:val="1"/>
          <w:numId w:val="1"/>
        </w:numPr>
      </w:pPr>
      <w:r>
        <w:t>  </w:t>
      </w:r>
      <w:r w:rsidRPr="00FC34FD" w:rsidR="00290306">
        <w:t>THE CIRCUMSTANCES OF THE CASE</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4</w:t>
      </w:r>
      <w:r w:rsidRPr="00FC34FD">
        <w:fldChar w:fldCharType="end"/>
      </w:r>
      <w:r w:rsidRPr="00FC34FD">
        <w:t xml:space="preserve">.  The applicant was born in 1971 and is currently detained in </w:t>
      </w:r>
      <w:proofErr w:type="spellStart"/>
      <w:r w:rsidRPr="00FC34FD">
        <w:t>Garbalin</w:t>
      </w:r>
      <w:proofErr w:type="spellEnd"/>
      <w:r w:rsidRPr="00FC34FD">
        <w:t xml:space="preserve"> Prison.</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5</w:t>
      </w:r>
      <w:r w:rsidRPr="00FC34FD">
        <w:fldChar w:fldCharType="end"/>
      </w:r>
      <w:r w:rsidRPr="00FC34FD">
        <w:t>.  The facts of the case were not in dispute and may be summarised as follows.</w:t>
      </w:r>
    </w:p>
    <w:p w:rsidRPr="00FC34FD" w:rsidR="00290306" w:rsidP="00EF763E" w:rsidRDefault="00290306">
      <w:pPr>
        <w:pStyle w:val="JuHA"/>
        <w:numPr>
          <w:ilvl w:val="2"/>
          <w:numId w:val="1"/>
        </w:numPr>
        <w:rPr>
          <w:szCs w:val="26"/>
        </w:rPr>
      </w:pPr>
      <w:r w:rsidRPr="00FC34FD">
        <w:rPr>
          <w:szCs w:val="26"/>
        </w:rPr>
        <w:t>Period of the applicant</w:t>
      </w:r>
      <w:r w:rsidRPr="00FC34FD" w:rsidR="00FC34FD">
        <w:rPr>
          <w:szCs w:val="26"/>
        </w:rPr>
        <w:t>’</w:t>
      </w:r>
      <w:r w:rsidRPr="00FC34FD">
        <w:rPr>
          <w:szCs w:val="26"/>
        </w:rPr>
        <w:t>s detention</w:t>
      </w:r>
    </w:p>
    <w:p w:rsidRPr="00FC34FD" w:rsidR="00290306" w:rsidP="00290306" w:rsidRDefault="00290306">
      <w:pPr>
        <w:pStyle w:val="JuPara"/>
        <w:rPr>
          <w:szCs w:val="24"/>
        </w:rPr>
      </w:pPr>
      <w:r w:rsidRPr="00FC34FD">
        <w:fldChar w:fldCharType="begin"/>
      </w:r>
      <w:r w:rsidRPr="00FC34FD">
        <w:instrText xml:space="preserve"> SEQ level0 \*arabic </w:instrText>
      </w:r>
      <w:r w:rsidRPr="00FC34FD">
        <w:fldChar w:fldCharType="separate"/>
      </w:r>
      <w:r w:rsidR="00B40CF4">
        <w:rPr>
          <w:noProof/>
        </w:rPr>
        <w:t>6</w:t>
      </w:r>
      <w:r w:rsidRPr="00FC34FD">
        <w:rPr>
          <w:noProof/>
        </w:rPr>
        <w:fldChar w:fldCharType="end"/>
      </w:r>
      <w:r w:rsidRPr="00FC34FD">
        <w:t xml:space="preserve">.  The applicant was detained in </w:t>
      </w:r>
      <w:proofErr w:type="spellStart"/>
      <w:r w:rsidRPr="00FC34FD">
        <w:rPr>
          <w:rFonts w:cstheme="minorHAnsi"/>
          <w:lang w:eastAsia="en-GB"/>
        </w:rPr>
        <w:t>Łó</w:t>
      </w:r>
      <w:r w:rsidRPr="00FC34FD">
        <w:rPr>
          <w:lang w:eastAsia="en-GB"/>
        </w:rPr>
        <w:t>d</w:t>
      </w:r>
      <w:r w:rsidRPr="00FC34FD">
        <w:rPr>
          <w:rFonts w:cstheme="minorHAnsi"/>
          <w:lang w:eastAsia="en-GB"/>
        </w:rPr>
        <w:t>ź</w:t>
      </w:r>
      <w:proofErr w:type="spellEnd"/>
      <w:r w:rsidRPr="00FC34FD">
        <w:rPr>
          <w:lang w:eastAsia="en-GB"/>
        </w:rPr>
        <w:t xml:space="preserve"> </w:t>
      </w:r>
      <w:r w:rsidRPr="00FC34FD">
        <w:t xml:space="preserve">Remand Centre </w:t>
      </w:r>
      <w:r w:rsidRPr="00FC34FD">
        <w:rPr>
          <w:szCs w:val="24"/>
          <w:lang w:eastAsia="en-GB"/>
        </w:rPr>
        <w:t>from</w:t>
      </w:r>
      <w:r w:rsidRPr="00FC34FD">
        <w:rPr>
          <w:szCs w:val="24"/>
        </w:rPr>
        <w:t xml:space="preserve"> January 2007 until at least the date on which he extended his claim lodged with the domestic courts, that is to say until 12 March 2013 (see paragraph 10 below).</w:t>
      </w:r>
    </w:p>
    <w:p w:rsidRPr="00FC34FD" w:rsidR="00290306" w:rsidP="00EF763E" w:rsidRDefault="00290306">
      <w:pPr>
        <w:pStyle w:val="JuHA"/>
        <w:numPr>
          <w:ilvl w:val="2"/>
          <w:numId w:val="1"/>
        </w:numPr>
        <w:rPr>
          <w:szCs w:val="26"/>
        </w:rPr>
      </w:pPr>
      <w:r w:rsidRPr="00FC34FD">
        <w:rPr>
          <w:szCs w:val="26"/>
        </w:rPr>
        <w:t>Conditions of the applicant</w:t>
      </w:r>
      <w:r w:rsidRPr="00FC34FD" w:rsidR="00FC34FD">
        <w:rPr>
          <w:szCs w:val="26"/>
        </w:rPr>
        <w:t>’</w:t>
      </w:r>
      <w:r w:rsidRPr="00FC34FD">
        <w:rPr>
          <w:szCs w:val="26"/>
        </w:rPr>
        <w:t>s detention</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7</w:t>
      </w:r>
      <w:r w:rsidRPr="00FC34FD">
        <w:rPr>
          <w:noProof/>
        </w:rPr>
        <w:fldChar w:fldCharType="end"/>
      </w:r>
      <w:r w:rsidRPr="00FC34FD">
        <w:t xml:space="preserve">.  The applicant submitted that during his detention in </w:t>
      </w:r>
      <w:proofErr w:type="spellStart"/>
      <w:r w:rsidRPr="00FC34FD">
        <w:rPr>
          <w:rFonts w:cstheme="minorHAnsi"/>
          <w:lang w:eastAsia="en-GB"/>
        </w:rPr>
        <w:t>Łó</w:t>
      </w:r>
      <w:r w:rsidRPr="00FC34FD">
        <w:rPr>
          <w:lang w:eastAsia="en-GB"/>
        </w:rPr>
        <w:t>d</w:t>
      </w:r>
      <w:r w:rsidRPr="00FC34FD">
        <w:rPr>
          <w:rFonts w:cstheme="minorHAnsi"/>
          <w:lang w:eastAsia="en-GB"/>
        </w:rPr>
        <w:t>ź</w:t>
      </w:r>
      <w:proofErr w:type="spellEnd"/>
      <w:r w:rsidRPr="00FC34FD">
        <w:rPr>
          <w:lang w:eastAsia="en-GB"/>
        </w:rPr>
        <w:t xml:space="preserve"> </w:t>
      </w:r>
      <w:r w:rsidRPr="00FC34FD">
        <w:t xml:space="preserve">Remand Centre he had been held in overcrowded cells </w:t>
      </w:r>
      <w:r w:rsidRPr="00FC34FD">
        <w:rPr>
          <w:lang w:eastAsia="en-GB"/>
        </w:rPr>
        <w:t>in which the space per person had been below the Polish statutory minimum standard of 3 sq. m</w:t>
      </w:r>
      <w:r w:rsidRPr="00FC34FD">
        <w:t>.</w:t>
      </w:r>
    </w:p>
    <w:p w:rsidRPr="00FC34FD" w:rsidR="00290306" w:rsidP="00290306" w:rsidRDefault="00290306">
      <w:pPr>
        <w:pStyle w:val="JuPara"/>
        <w:rPr>
          <w:szCs w:val="24"/>
          <w:lang w:eastAsia="en-GB"/>
        </w:rPr>
      </w:pPr>
      <w:r w:rsidRPr="00FC34FD">
        <w:rPr>
          <w:szCs w:val="24"/>
          <w:lang w:eastAsia="en-GB"/>
        </w:rPr>
        <w:fldChar w:fldCharType="begin"/>
      </w:r>
      <w:r w:rsidRPr="00FC34FD">
        <w:rPr>
          <w:szCs w:val="24"/>
          <w:lang w:eastAsia="en-GB"/>
        </w:rPr>
        <w:instrText xml:space="preserve"> SEQ level0 \*arabic </w:instrText>
      </w:r>
      <w:r w:rsidRPr="00FC34FD">
        <w:rPr>
          <w:szCs w:val="24"/>
          <w:lang w:eastAsia="en-GB"/>
        </w:rPr>
        <w:fldChar w:fldCharType="separate"/>
      </w:r>
      <w:r w:rsidR="00B40CF4">
        <w:rPr>
          <w:noProof/>
          <w:szCs w:val="24"/>
          <w:lang w:eastAsia="en-GB"/>
        </w:rPr>
        <w:t>8</w:t>
      </w:r>
      <w:r w:rsidRPr="00FC34FD">
        <w:rPr>
          <w:szCs w:val="24"/>
          <w:lang w:eastAsia="en-GB"/>
        </w:rPr>
        <w:fldChar w:fldCharType="end"/>
      </w:r>
      <w:r w:rsidRPr="00FC34FD">
        <w:rPr>
          <w:szCs w:val="24"/>
          <w:lang w:eastAsia="en-GB"/>
        </w:rPr>
        <w:t xml:space="preserve">.  The domestic courts found, without giving any further details, that the applicant had often been detained in overcrowded cells (meaning with less than the statutory minimum of 3 </w:t>
      </w:r>
      <w:r w:rsidRPr="00FC34FD">
        <w:rPr>
          <w:color w:val="000000"/>
        </w:rPr>
        <w:t>sq. m</w:t>
      </w:r>
      <w:r w:rsidRPr="00FC34FD">
        <w:rPr>
          <w:szCs w:val="24"/>
          <w:lang w:eastAsia="en-GB"/>
        </w:rPr>
        <w:t xml:space="preserve"> per person) between January 2007 and May 2009.</w:t>
      </w:r>
    </w:p>
    <w:p w:rsidRPr="00FC34FD" w:rsidR="00290306" w:rsidP="00290306" w:rsidRDefault="00290306">
      <w:pPr>
        <w:pStyle w:val="JuPara"/>
        <w:rPr>
          <w:szCs w:val="24"/>
        </w:rPr>
      </w:pPr>
      <w:r w:rsidRPr="00FC34FD">
        <w:rPr>
          <w:szCs w:val="24"/>
          <w:lang w:eastAsia="en-GB"/>
        </w:rPr>
        <w:fldChar w:fldCharType="begin"/>
      </w:r>
      <w:r w:rsidRPr="00FC34FD">
        <w:rPr>
          <w:szCs w:val="24"/>
          <w:lang w:eastAsia="en-GB"/>
        </w:rPr>
        <w:instrText xml:space="preserve"> SEQ level0 \*arabic </w:instrText>
      </w:r>
      <w:r w:rsidRPr="00FC34FD">
        <w:rPr>
          <w:szCs w:val="24"/>
          <w:lang w:eastAsia="en-GB"/>
        </w:rPr>
        <w:fldChar w:fldCharType="separate"/>
      </w:r>
      <w:r w:rsidR="00B40CF4">
        <w:rPr>
          <w:noProof/>
          <w:szCs w:val="24"/>
          <w:lang w:eastAsia="en-GB"/>
        </w:rPr>
        <w:t>9</w:t>
      </w:r>
      <w:r w:rsidRPr="00FC34FD">
        <w:rPr>
          <w:szCs w:val="24"/>
          <w:lang w:eastAsia="en-GB"/>
        </w:rPr>
        <w:fldChar w:fldCharType="end"/>
      </w:r>
      <w:r w:rsidRPr="00FC34FD">
        <w:rPr>
          <w:szCs w:val="24"/>
          <w:lang w:eastAsia="en-GB"/>
        </w:rPr>
        <w:t xml:space="preserve">.  The courts established, in particular, that the applicant had been detained in cell no. 151 (11.23 </w:t>
      </w:r>
      <w:r w:rsidRPr="00FC34FD">
        <w:rPr>
          <w:color w:val="000000"/>
        </w:rPr>
        <w:t>sq. m</w:t>
      </w:r>
      <w:r w:rsidRPr="00FC34FD">
        <w:rPr>
          <w:szCs w:val="24"/>
          <w:lang w:eastAsia="en-GB"/>
        </w:rPr>
        <w:t xml:space="preserve">) between 28 August and 20 October 2009 (one month and twenty-two days) shared by four prisoners, and then also on 21 October 2009 in a cell of 12.05 </w:t>
      </w:r>
      <w:r w:rsidRPr="00FC34FD">
        <w:rPr>
          <w:color w:val="000000"/>
        </w:rPr>
        <w:t>sq. m</w:t>
      </w:r>
      <w:r w:rsidRPr="00FC34FD">
        <w:rPr>
          <w:szCs w:val="24"/>
          <w:lang w:eastAsia="en-GB"/>
        </w:rPr>
        <w:t xml:space="preserve"> shared by five prisoners. </w:t>
      </w:r>
      <w:r w:rsidRPr="00FC34FD">
        <w:rPr>
          <w:szCs w:val="24"/>
        </w:rPr>
        <w:t>The applicant submitted that the cells had not been properly ventilated, there had been fungus on the walls and the windows had been leaky.</w:t>
      </w:r>
    </w:p>
    <w:p w:rsidRPr="00FC34FD" w:rsidR="00290306" w:rsidP="00290306" w:rsidRDefault="00290306">
      <w:pPr>
        <w:pStyle w:val="JuH1"/>
        <w:numPr>
          <w:ilvl w:val="0"/>
          <w:numId w:val="0"/>
        </w:numPr>
        <w:ind w:left="731"/>
      </w:pPr>
      <w:r w:rsidRPr="00FC34FD">
        <w:t>Civil proceedings against the State Treasury</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10</w:t>
      </w:r>
      <w:r w:rsidRPr="00FC34FD">
        <w:rPr>
          <w:noProof/>
        </w:rPr>
        <w:fldChar w:fldCharType="end"/>
      </w:r>
      <w:r w:rsidRPr="00FC34FD">
        <w:t xml:space="preserve">.  On 7 May 2012 the applicant brought a civil action for infringement of his personal rights on account of the inadequate living conditions in </w:t>
      </w:r>
      <w:proofErr w:type="spellStart"/>
      <w:r w:rsidRPr="00FC34FD">
        <w:rPr>
          <w:rFonts w:cstheme="minorHAnsi"/>
          <w:lang w:eastAsia="en-GB"/>
        </w:rPr>
        <w:t>Łó</w:t>
      </w:r>
      <w:r w:rsidRPr="00FC34FD">
        <w:rPr>
          <w:lang w:eastAsia="en-GB"/>
        </w:rPr>
        <w:t>d</w:t>
      </w:r>
      <w:r w:rsidRPr="00FC34FD">
        <w:rPr>
          <w:rFonts w:cstheme="minorHAnsi"/>
          <w:lang w:eastAsia="en-GB"/>
        </w:rPr>
        <w:t>ź</w:t>
      </w:r>
      <w:proofErr w:type="spellEnd"/>
      <w:r w:rsidRPr="00FC34FD">
        <w:rPr>
          <w:lang w:eastAsia="en-GB"/>
        </w:rPr>
        <w:t xml:space="preserve"> </w:t>
      </w:r>
      <w:r w:rsidRPr="00FC34FD">
        <w:t xml:space="preserve">Remand Centre between </w:t>
      </w:r>
      <w:r w:rsidRPr="00FC34FD">
        <w:rPr>
          <w:szCs w:val="24"/>
        </w:rPr>
        <w:t>January 2007 until the date of lodging his action with the court</w:t>
      </w:r>
      <w:r w:rsidRPr="00FC34FD">
        <w:t xml:space="preserve">. On 12 March 2013 he extended his claim for a further period from February 2012 until March 2013. The applicant argued that he had been detained in overcrowded cells below the statutory minimum standard. He claimed 82,000 Polish zlotys </w:t>
      </w:r>
      <w:r w:rsidRPr="00FC34FD" w:rsidR="00E62FD7">
        <w:t xml:space="preserve">(PLN) </w:t>
      </w:r>
      <w:r w:rsidRPr="00FC34FD">
        <w:t>(approximately 20,500 euros</w:t>
      </w:r>
      <w:r w:rsidRPr="00FC34FD" w:rsidR="00E62FD7">
        <w:t xml:space="preserve"> (EUR)</w:t>
      </w:r>
      <w:r w:rsidRPr="00FC34FD">
        <w:t>) in compensation.</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11</w:t>
      </w:r>
      <w:r w:rsidRPr="00FC34FD">
        <w:rPr>
          <w:noProof/>
        </w:rPr>
        <w:fldChar w:fldCharType="end"/>
      </w:r>
      <w:r w:rsidRPr="00FC34FD">
        <w:t xml:space="preserve">.  On 13 August 2013 the </w:t>
      </w:r>
      <w:proofErr w:type="spellStart"/>
      <w:r w:rsidRPr="00FC34FD">
        <w:rPr>
          <w:rFonts w:cstheme="minorHAnsi"/>
          <w:lang w:eastAsia="en-GB"/>
        </w:rPr>
        <w:t>Łó</w:t>
      </w:r>
      <w:r w:rsidRPr="00FC34FD">
        <w:rPr>
          <w:lang w:eastAsia="en-GB"/>
        </w:rPr>
        <w:t>d</w:t>
      </w:r>
      <w:r w:rsidRPr="00FC34FD">
        <w:rPr>
          <w:rFonts w:cstheme="minorHAnsi"/>
          <w:lang w:eastAsia="en-GB"/>
        </w:rPr>
        <w:t>ź</w:t>
      </w:r>
      <w:proofErr w:type="spellEnd"/>
      <w:r w:rsidRPr="00FC34FD">
        <w:rPr>
          <w:lang w:eastAsia="en-GB"/>
        </w:rPr>
        <w:t xml:space="preserve"> </w:t>
      </w:r>
      <w:r w:rsidRPr="00FC34FD">
        <w:t>Regional Court (</w:t>
      </w:r>
      <w:proofErr w:type="spellStart"/>
      <w:r w:rsidRPr="00FC34FD">
        <w:rPr>
          <w:i/>
        </w:rPr>
        <w:t>Sąd</w:t>
      </w:r>
      <w:proofErr w:type="spellEnd"/>
      <w:r w:rsidRPr="00FC34FD">
        <w:rPr>
          <w:i/>
        </w:rPr>
        <w:t xml:space="preserve"> </w:t>
      </w:r>
      <w:proofErr w:type="spellStart"/>
      <w:r w:rsidRPr="00FC34FD">
        <w:rPr>
          <w:i/>
        </w:rPr>
        <w:t>Okr</w:t>
      </w:r>
      <w:proofErr w:type="spellEnd"/>
      <w:r w:rsidRPr="00FC34FD">
        <w:rPr>
          <w:i/>
          <w:lang w:val="en-US"/>
        </w:rPr>
        <w:t>ę</w:t>
      </w:r>
      <w:proofErr w:type="spellStart"/>
      <w:r w:rsidRPr="00FC34FD">
        <w:rPr>
          <w:i/>
        </w:rPr>
        <w:t>gowy</w:t>
      </w:r>
      <w:proofErr w:type="spellEnd"/>
      <w:r w:rsidRPr="00FC34FD">
        <w:t xml:space="preserve">) awarded the applicant PLN 1,000 (approximately EUR 250) in compensation and dismissed the remainder of his action. The domestic court found that the </w:t>
      </w:r>
      <w:r w:rsidRPr="00FC34FD">
        <w:rPr>
          <w:szCs w:val="24"/>
          <w:lang w:eastAsia="en-GB"/>
        </w:rPr>
        <w:t>applicant had been detained in overcrowded cells between 28 August and 21 October 2009 (one month and twenty-three days). The court considered</w:t>
      </w:r>
      <w:r w:rsidRPr="00FC34FD">
        <w:t xml:space="preserve"> that, although the defendant</w:t>
      </w:r>
      <w:r w:rsidRPr="00FC34FD" w:rsidR="00FC34FD">
        <w:t>’</w:t>
      </w:r>
      <w:r w:rsidRPr="00FC34FD">
        <w:t>s actions had been unlawful and the conditions difficult, the compensation awarded had been sufficient.</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12</w:t>
      </w:r>
      <w:r w:rsidRPr="00FC34FD">
        <w:rPr>
          <w:noProof/>
        </w:rPr>
        <w:fldChar w:fldCharType="end"/>
      </w:r>
      <w:r w:rsidRPr="00FC34FD">
        <w:t xml:space="preserve">.  On 3 April 2014 the </w:t>
      </w:r>
      <w:proofErr w:type="spellStart"/>
      <w:r w:rsidRPr="00FC34FD">
        <w:t>Łód</w:t>
      </w:r>
      <w:proofErr w:type="spellEnd"/>
      <w:r w:rsidRPr="00FC34FD">
        <w:rPr>
          <w:lang w:val="en-US"/>
        </w:rPr>
        <w:t>ź</w:t>
      </w:r>
      <w:r w:rsidRPr="00FC34FD">
        <w:t xml:space="preserve"> Court of Appeal (</w:t>
      </w:r>
      <w:proofErr w:type="spellStart"/>
      <w:r w:rsidRPr="00FC34FD">
        <w:rPr>
          <w:i/>
        </w:rPr>
        <w:t>Sąd</w:t>
      </w:r>
      <w:proofErr w:type="spellEnd"/>
      <w:r w:rsidRPr="00FC34FD">
        <w:rPr>
          <w:i/>
        </w:rPr>
        <w:t xml:space="preserve"> </w:t>
      </w:r>
      <w:proofErr w:type="spellStart"/>
      <w:r w:rsidRPr="00FC34FD">
        <w:rPr>
          <w:i/>
        </w:rPr>
        <w:t>Apelacyjny</w:t>
      </w:r>
      <w:proofErr w:type="spellEnd"/>
      <w:r w:rsidRPr="00FC34FD">
        <w:t>) dismissed appeals by the applicant and the defendant, holding that the first</w:t>
      </w:r>
      <w:r w:rsidRPr="00FC34FD">
        <w:noBreakHyphen/>
        <w:t>instance court had correctly established the circumstances of the case, had properly assessed the evidence and had awarded sufficient compensation.</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13</w:t>
      </w:r>
      <w:r w:rsidRPr="00FC34FD">
        <w:rPr>
          <w:noProof/>
        </w:rPr>
        <w:fldChar w:fldCharType="end"/>
      </w:r>
      <w:r w:rsidRPr="00FC34FD">
        <w:t>.  On 11 June 2015 the Supreme Court refused to entertain a cassation appeal lodged by the applicant.</w:t>
      </w:r>
    </w:p>
    <w:p w:rsidRPr="00FC34FD" w:rsidR="00290306" w:rsidP="00EF763E" w:rsidRDefault="002760F4">
      <w:pPr>
        <w:pStyle w:val="JuHIRoman"/>
        <w:numPr>
          <w:ilvl w:val="1"/>
          <w:numId w:val="1"/>
        </w:numPr>
      </w:pPr>
      <w:r>
        <w:t>  </w:t>
      </w:r>
      <w:r w:rsidRPr="00FC34FD" w:rsidR="00290306">
        <w:t>RELEVANT DOMESTIC LAW AND PRACTICE</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14</w:t>
      </w:r>
      <w:r w:rsidRPr="00FC34FD">
        <w:fldChar w:fldCharType="end"/>
      </w:r>
      <w:r w:rsidRPr="00FC34FD">
        <w:t>.  A detailed description of the relevant domestic law and practice concerning general rules governing conditions of detention in Poland and domestic remedies available to detainees alleging inadequate conditions, is set out in the Court</w:t>
      </w:r>
      <w:r w:rsidRPr="00FC34FD" w:rsidR="00FC34FD">
        <w:t>’</w:t>
      </w:r>
      <w:r w:rsidRPr="00FC34FD">
        <w:t xml:space="preserve">s pilot judgments in the cases of </w:t>
      </w:r>
      <w:proofErr w:type="spellStart"/>
      <w:r w:rsidRPr="00FC34FD">
        <w:rPr>
          <w:i/>
        </w:rPr>
        <w:t>Orchowski</w:t>
      </w:r>
      <w:proofErr w:type="spellEnd"/>
      <w:r w:rsidRPr="00FC34FD">
        <w:rPr>
          <w:i/>
        </w:rPr>
        <w:t xml:space="preserve"> v. Poland</w:t>
      </w:r>
      <w:r w:rsidR="002760F4">
        <w:t xml:space="preserve"> (no. </w:t>
      </w:r>
      <w:r w:rsidRPr="00FC34FD">
        <w:t>17885/04)</w:t>
      </w:r>
      <w:r w:rsidR="002760F4">
        <w:t>,</w:t>
      </w:r>
      <w:r w:rsidRPr="00FC34FD">
        <w:t xml:space="preserve"> and </w:t>
      </w:r>
      <w:r w:rsidRPr="00FC34FD">
        <w:rPr>
          <w:i/>
        </w:rPr>
        <w:t>Norbert Sikorski v. Poland</w:t>
      </w:r>
      <w:r w:rsidRPr="00FC34FD">
        <w:t xml:space="preserve"> (no. 17599/05) adopted on 22 October 2009 (see §§ 75-85 and §§ 45-88 respectively). More recent developments are described in the Court</w:t>
      </w:r>
      <w:r w:rsidRPr="00FC34FD" w:rsidR="00FC34FD">
        <w:t>’</w:t>
      </w:r>
      <w:r w:rsidRPr="00FC34FD">
        <w:t xml:space="preserve">s decision in the case of </w:t>
      </w:r>
      <w:proofErr w:type="spellStart"/>
      <w:r w:rsidRPr="00FC34FD">
        <w:rPr>
          <w:i/>
        </w:rPr>
        <w:t>Łatak</w:t>
      </w:r>
      <w:proofErr w:type="spellEnd"/>
      <w:r w:rsidRPr="00FC34FD" w:rsidR="00A861D0">
        <w:rPr>
          <w:i/>
        </w:rPr>
        <w:t xml:space="preserve"> </w:t>
      </w:r>
      <w:r w:rsidRPr="00FC34FD">
        <w:rPr>
          <w:i/>
        </w:rPr>
        <w:t>v. Poland</w:t>
      </w:r>
      <w:r w:rsidRPr="00FC34FD">
        <w:t xml:space="preserve"> (no. 52070/08, 12 October 2010, §§ 25-54).</w:t>
      </w:r>
    </w:p>
    <w:p w:rsidRPr="00FC34FD" w:rsidR="00290306" w:rsidP="00EF763E" w:rsidRDefault="00290306">
      <w:pPr>
        <w:pStyle w:val="JuHHead"/>
        <w:numPr>
          <w:ilvl w:val="0"/>
          <w:numId w:val="1"/>
        </w:numPr>
      </w:pPr>
      <w:r w:rsidRPr="00FC34FD">
        <w:t>THE LAW</w:t>
      </w:r>
    </w:p>
    <w:p w:rsidRPr="00FC34FD" w:rsidR="00290306" w:rsidP="00EF763E" w:rsidRDefault="002760F4">
      <w:pPr>
        <w:pStyle w:val="JuHIRoman"/>
        <w:numPr>
          <w:ilvl w:val="1"/>
          <w:numId w:val="1"/>
        </w:numPr>
      </w:pPr>
      <w:r>
        <w:t>  </w:t>
      </w:r>
      <w:r w:rsidRPr="00FC34FD" w:rsidR="00290306">
        <w:t>THE GOVERNMENT</w:t>
      </w:r>
      <w:r w:rsidRPr="00FC34FD" w:rsidR="00FC34FD">
        <w:t>’</w:t>
      </w:r>
      <w:r w:rsidRPr="00FC34FD" w:rsidR="00290306">
        <w:t>S REQUEST FOR THE APPLICATION TO BE STRUCK OUT UNDER ARTICLE 37 OF THE CONVENTION</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15</w:t>
      </w:r>
      <w:r w:rsidRPr="00FC34FD">
        <w:fldChar w:fldCharType="end"/>
      </w:r>
      <w:r w:rsidRPr="00FC34FD">
        <w:t xml:space="preserve">.  On 22 March 2017 the Government submitted a unilateral declaration similar to that in the case of </w:t>
      </w:r>
      <w:proofErr w:type="spellStart"/>
      <w:r w:rsidRPr="00FC34FD">
        <w:rPr>
          <w:i/>
        </w:rPr>
        <w:t>Tahsin</w:t>
      </w:r>
      <w:proofErr w:type="spellEnd"/>
      <w:r w:rsidRPr="00FC34FD">
        <w:rPr>
          <w:i/>
        </w:rPr>
        <w:t xml:space="preserve"> Acar v. Turkey</w:t>
      </w:r>
      <w:r w:rsidRPr="00FC34FD">
        <w:t xml:space="preserve"> (</w:t>
      </w:r>
      <w:proofErr w:type="spellStart"/>
      <w:r w:rsidRPr="00FC34FD">
        <w:rPr>
          <w:i/>
        </w:rPr>
        <w:t>Tahsin</w:t>
      </w:r>
      <w:proofErr w:type="spellEnd"/>
      <w:r w:rsidRPr="00FC34FD">
        <w:rPr>
          <w:i/>
        </w:rPr>
        <w:t xml:space="preserve"> Acar v. Turkey</w:t>
      </w:r>
      <w:r w:rsidRPr="00FC34FD">
        <w:t xml:space="preserve"> (preliminary objection) [GC], no. 26307/95, ECHR 2003</w:t>
      </w:r>
      <w:r w:rsidRPr="00FC34FD">
        <w:rPr>
          <w:rFonts w:ascii="MS Mincho" w:hAnsi="MS Mincho" w:eastAsia="MS Mincho" w:cs="MS Mincho"/>
        </w:rPr>
        <w:t>‑</w:t>
      </w:r>
      <w:r w:rsidRPr="00FC34FD">
        <w:t>VI). They informed the Court that they were ready to accept that there had been a violation of the applicant</w:t>
      </w:r>
      <w:r w:rsidRPr="00FC34FD" w:rsidR="00FC34FD">
        <w:t>’</w:t>
      </w:r>
      <w:r w:rsidRPr="00FC34FD">
        <w:t>s right under Article 3 of the Convention as regards the overcrowded detention conditions and proposed an amount that they were prepared to pay in respect of the non-pecuniary damage sustained by the applicant. The Government invited the Court to strike out the application in accordance with Article 37 of the Convention.</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16</w:t>
      </w:r>
      <w:r w:rsidRPr="00FC34FD">
        <w:rPr>
          <w:noProof/>
        </w:rPr>
        <w:fldChar w:fldCharType="end"/>
      </w:r>
      <w:r w:rsidRPr="00FC34FD">
        <w:t>.  The applicant did not agree with the Government</w:t>
      </w:r>
      <w:r w:rsidRPr="00FC34FD" w:rsidR="00FC34FD">
        <w:t>’</w:t>
      </w:r>
      <w:r w:rsidRPr="00FC34FD">
        <w:t>s proposal. He submitted that the amount proposed did not constitute sufficient just satisfaction for the damage he had sustained.</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17</w:t>
      </w:r>
      <w:r w:rsidRPr="00FC34FD">
        <w:rPr>
          <w:noProof/>
        </w:rPr>
        <w:fldChar w:fldCharType="end"/>
      </w:r>
      <w:r w:rsidRPr="00FC34FD">
        <w:t>.  Having examined the terms of the Government</w:t>
      </w:r>
      <w:r w:rsidRPr="00FC34FD" w:rsidR="00FC34FD">
        <w:t>’</w:t>
      </w:r>
      <w:r w:rsidRPr="00FC34FD">
        <w:t xml:space="preserve">s unilateral declaration, the Court finds that the Government failed to submit a statement offering a sufficient basis for finding that respect for human rights as defined in the Convention and its Protocols does not require the Court to continue its examination of the case (contrast </w:t>
      </w:r>
      <w:proofErr w:type="spellStart"/>
      <w:r w:rsidRPr="00FC34FD">
        <w:rPr>
          <w:i/>
        </w:rPr>
        <w:t>Spółka</w:t>
      </w:r>
      <w:proofErr w:type="spellEnd"/>
      <w:r w:rsidRPr="00FC34FD">
        <w:rPr>
          <w:i/>
        </w:rPr>
        <w:t xml:space="preserve"> z </w:t>
      </w:r>
      <w:proofErr w:type="spellStart"/>
      <w:r w:rsidRPr="00FC34FD">
        <w:rPr>
          <w:i/>
        </w:rPr>
        <w:t>o.o</w:t>
      </w:r>
      <w:proofErr w:type="spellEnd"/>
      <w:r w:rsidRPr="00FC34FD">
        <w:rPr>
          <w:i/>
        </w:rPr>
        <w:t>. WAZA v. Poland</w:t>
      </w:r>
      <w:r w:rsidRPr="00FC34FD">
        <w:t xml:space="preserve"> (striking out), no. 11602/02, 26 June 2007).</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18</w:t>
      </w:r>
      <w:r w:rsidRPr="00FC34FD">
        <w:rPr>
          <w:noProof/>
        </w:rPr>
        <w:fldChar w:fldCharType="end"/>
      </w:r>
      <w:r w:rsidRPr="00FC34FD">
        <w:t>.  This being so, the Court rejects the Government</w:t>
      </w:r>
      <w:r w:rsidRPr="00FC34FD" w:rsidR="00FC34FD">
        <w:t>’</w:t>
      </w:r>
      <w:r w:rsidRPr="00FC34FD">
        <w:t>s request for the application to be struck out under Article 37 of the Convention and will accordingly pursue its examination of the admissibility and merits of the case.</w:t>
      </w:r>
    </w:p>
    <w:p w:rsidRPr="00FC34FD" w:rsidR="00290306" w:rsidP="00A861D0" w:rsidRDefault="009F5C9E">
      <w:pPr>
        <w:pStyle w:val="JuHIRoman"/>
      </w:pPr>
      <w:r>
        <w:t>  </w:t>
      </w:r>
      <w:r w:rsidRPr="00FC34FD" w:rsidR="00290306">
        <w:t>ALLEGED VIOLATION OF ARTICLE 3 OF THE CONVENTION</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19</w:t>
      </w:r>
      <w:r w:rsidRPr="00FC34FD">
        <w:rPr>
          <w:noProof/>
        </w:rPr>
        <w:fldChar w:fldCharType="end"/>
      </w:r>
      <w:r w:rsidRPr="00FC34FD">
        <w:t xml:space="preserve">.  The applicant complained that the conditions of his detention and the overcrowding in </w:t>
      </w:r>
      <w:proofErr w:type="spellStart"/>
      <w:r w:rsidRPr="00FC34FD">
        <w:rPr>
          <w:rFonts w:cstheme="minorHAnsi"/>
          <w:lang w:eastAsia="en-GB"/>
        </w:rPr>
        <w:t>Łó</w:t>
      </w:r>
      <w:r w:rsidRPr="00FC34FD">
        <w:rPr>
          <w:lang w:eastAsia="en-GB"/>
        </w:rPr>
        <w:t>d</w:t>
      </w:r>
      <w:r w:rsidRPr="00FC34FD">
        <w:rPr>
          <w:rFonts w:cstheme="minorHAnsi"/>
          <w:lang w:eastAsia="en-GB"/>
        </w:rPr>
        <w:t>ź</w:t>
      </w:r>
      <w:proofErr w:type="spellEnd"/>
      <w:r w:rsidRPr="00FC34FD">
        <w:rPr>
          <w:lang w:eastAsia="en-GB"/>
        </w:rPr>
        <w:t xml:space="preserve"> </w:t>
      </w:r>
      <w:r w:rsidRPr="00FC34FD">
        <w:t xml:space="preserve">Remand Centre, where he had been held </w:t>
      </w:r>
      <w:r w:rsidRPr="00FC34FD">
        <w:rPr>
          <w:szCs w:val="24"/>
          <w:lang w:eastAsia="en-GB"/>
        </w:rPr>
        <w:t xml:space="preserve">between 28 August and 21 October 2009 </w:t>
      </w:r>
      <w:r w:rsidRPr="00FC34FD">
        <w:t>(one month and twenty-three days), had amounted to inhuman and degrading treatment under Article 3 of the Convention, which reads as follows:</w:t>
      </w:r>
    </w:p>
    <w:p w:rsidRPr="00FC34FD" w:rsidR="00290306" w:rsidP="00290306" w:rsidRDefault="00290306">
      <w:pPr>
        <w:pStyle w:val="JuQuot"/>
      </w:pPr>
      <w:r w:rsidRPr="00FC34FD">
        <w:t>“No one shall be subjected to torture or to inhuman or degrading treatment or punishment.”</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20</w:t>
      </w:r>
      <w:r w:rsidRPr="00FC34FD">
        <w:fldChar w:fldCharType="end"/>
      </w:r>
      <w:r w:rsidRPr="00FC34FD">
        <w:t>.  The Government, having submitted a unilateral declaration, did not make detailed observations on the merits of the case. They only submitted that the reductions in the required personal space had been accompanied by mitigating factors in particular the fact that the applicant had spent sufficient time outside the cell due to his full-time employment and access to the various out-of-cell activities. However, these submissions were not confirmed by any evidence.</w:t>
      </w:r>
    </w:p>
    <w:p w:rsidRPr="00FC34FD" w:rsidR="00290306" w:rsidP="00EF763E" w:rsidRDefault="00290306">
      <w:pPr>
        <w:pStyle w:val="JuHA"/>
        <w:numPr>
          <w:ilvl w:val="2"/>
          <w:numId w:val="1"/>
        </w:numPr>
      </w:pPr>
      <w:r w:rsidRPr="00FC34FD">
        <w:t>Admissibility</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21</w:t>
      </w:r>
      <w:r w:rsidRPr="00FC34FD">
        <w:fldChar w:fldCharType="end"/>
      </w:r>
      <w:r w:rsidRPr="00FC34FD">
        <w:t>.  The Court notes that this complaint is not manifestly ill-founded within the meaning of Article 35 § 3 (a) of the Convention. It further notes that it is not inadmissible on any other grounds. It must therefore be declared admissible.</w:t>
      </w:r>
    </w:p>
    <w:p w:rsidRPr="00FC34FD" w:rsidR="00290306" w:rsidP="00EF763E" w:rsidRDefault="00290306">
      <w:pPr>
        <w:pStyle w:val="JuHA"/>
        <w:numPr>
          <w:ilvl w:val="2"/>
          <w:numId w:val="1"/>
        </w:numPr>
      </w:pPr>
      <w:r w:rsidRPr="00FC34FD">
        <w:t>Merits</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22</w:t>
      </w:r>
      <w:r w:rsidRPr="00FC34FD">
        <w:rPr>
          <w:noProof/>
        </w:rPr>
        <w:fldChar w:fldCharType="end"/>
      </w:r>
      <w:r w:rsidRPr="00FC34FD">
        <w:t>.  A restatement of the general principles concerning the examination of conditions of detention under Article 3 may be found in the Court</w:t>
      </w:r>
      <w:r w:rsidRPr="00FC34FD" w:rsidR="00FC34FD">
        <w:t>’</w:t>
      </w:r>
      <w:r w:rsidRPr="00FC34FD">
        <w:t xml:space="preserve">s pilot judgments against Poland (see </w:t>
      </w:r>
      <w:proofErr w:type="spellStart"/>
      <w:r w:rsidRPr="00FC34FD">
        <w:rPr>
          <w:i/>
        </w:rPr>
        <w:t>Orchowsk</w:t>
      </w:r>
      <w:r w:rsidRPr="00FC34FD">
        <w:t>i</w:t>
      </w:r>
      <w:proofErr w:type="spellEnd"/>
      <w:r w:rsidRPr="00FC34FD">
        <w:t xml:space="preserve">, cited above, §§ 119-31, </w:t>
      </w:r>
      <w:r w:rsidRPr="00FC34FD">
        <w:rPr>
          <w:i/>
        </w:rPr>
        <w:t>Norbert Sikorski</w:t>
      </w:r>
      <w:r w:rsidRPr="00FC34FD" w:rsidR="00035381">
        <w:t>, cited above, §§ 126-41</w:t>
      </w:r>
      <w:r w:rsidRPr="00FC34FD">
        <w:t>)</w:t>
      </w:r>
      <w:r w:rsidR="002760F4">
        <w:t>,</w:t>
      </w:r>
      <w:r w:rsidRPr="00FC34FD">
        <w:t xml:space="preserve"> and in </w:t>
      </w:r>
      <w:proofErr w:type="spellStart"/>
      <w:r w:rsidRPr="00FC34FD">
        <w:rPr>
          <w:i/>
        </w:rPr>
        <w:t>Muršić</w:t>
      </w:r>
      <w:proofErr w:type="spellEnd"/>
      <w:r w:rsidRPr="00FC34FD">
        <w:rPr>
          <w:i/>
        </w:rPr>
        <w:t xml:space="preserve"> v. Croatia</w:t>
      </w:r>
      <w:r w:rsidRPr="00FC34FD">
        <w:t xml:space="preserve"> ([GC], no. 7334/13, §§ 102-41, ECHR 2016).</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23</w:t>
      </w:r>
      <w:r w:rsidRPr="00FC34FD">
        <w:rPr>
          <w:noProof/>
        </w:rPr>
        <w:fldChar w:fldCharType="end"/>
      </w:r>
      <w:r w:rsidRPr="00FC34FD">
        <w:t>.  The Court has already found that a strong presumption of a violation of Article 3 arises when the personal spac</w:t>
      </w:r>
      <w:r w:rsidRPr="00FC34FD" w:rsidR="00035381">
        <w:t xml:space="preserve">e available to a detainee falls </w:t>
      </w:r>
      <w:r w:rsidRPr="00FC34FD">
        <w:t xml:space="preserve">below 3 sq. m in multi-occupancy accommodation, a presumption which can be rebutted only where the following requirements are cumulatively met: where short, occasional and minor reductions of personal space are accompanied by sufficient freedom to move outside the cell, and adequate out-of-cell activities and confinement is in, viewed generally, an appropriate detention facility (see, </w:t>
      </w:r>
      <w:proofErr w:type="spellStart"/>
      <w:r w:rsidRPr="00FC34FD">
        <w:rPr>
          <w:i/>
        </w:rPr>
        <w:t>Muršić</w:t>
      </w:r>
      <w:proofErr w:type="spellEnd"/>
      <w:r w:rsidRPr="00FC34FD">
        <w:t>, cited above, §§ 137-38).</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24</w:t>
      </w:r>
      <w:r w:rsidRPr="00FC34FD">
        <w:fldChar w:fldCharType="end"/>
      </w:r>
      <w:r w:rsidRPr="00FC34FD">
        <w:t>.  The Court notes that the domestic courts established, in a finding that was uncontested by the applicant or the Government, that the applicant</w:t>
      </w:r>
      <w:r w:rsidRPr="00FC34FD" w:rsidR="00FC34FD">
        <w:t>’</w:t>
      </w:r>
      <w:r w:rsidRPr="00FC34FD">
        <w:t xml:space="preserve">s detention in </w:t>
      </w:r>
      <w:proofErr w:type="spellStart"/>
      <w:r w:rsidRPr="00FC34FD">
        <w:t>Łódź</w:t>
      </w:r>
      <w:proofErr w:type="spellEnd"/>
      <w:r w:rsidRPr="00FC34FD">
        <w:t xml:space="preserve"> Remand Centre had been marked by overcrowding for a period of fifty-three days. In particular, the personal space per prisoner was reduced to 2.8075 sq. m and on 21 October 2009 to 2.41 sq. m. The Court finds that in these circumstances the reduction of the required personal space cannot be considered as “short, occasional and minor” within the meaning of the Court</w:t>
      </w:r>
      <w:r w:rsidRPr="00FC34FD" w:rsidR="00FC34FD">
        <w:t>’</w:t>
      </w:r>
      <w:r w:rsidRPr="00FC34FD">
        <w:t xml:space="preserve">s case-law (see </w:t>
      </w:r>
      <w:proofErr w:type="spellStart"/>
      <w:r w:rsidRPr="00FC34FD">
        <w:rPr>
          <w:i/>
        </w:rPr>
        <w:t>Muršić</w:t>
      </w:r>
      <w:proofErr w:type="spellEnd"/>
      <w:r w:rsidRPr="00FC34FD">
        <w:t>, cited above, § 130). In addition, as noted above, the Government</w:t>
      </w:r>
      <w:r w:rsidRPr="00FC34FD" w:rsidR="00FC34FD">
        <w:t>’</w:t>
      </w:r>
      <w:r w:rsidRPr="00FC34FD">
        <w:t>s submissions that the reductions in the required personal space were accompanied by mitigating factors were not confirmed by any evidence (see paragraph 21 above). It follows that in the present case the strong presumption of a violation of Article 3 cannot be rebutted.</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25</w:t>
      </w:r>
      <w:r w:rsidRPr="00FC34FD">
        <w:rPr>
          <w:noProof/>
        </w:rPr>
        <w:fldChar w:fldCharType="end"/>
      </w:r>
      <w:r w:rsidRPr="00FC34FD">
        <w:t>.  Having regard to the above findings, the Court considers that the distress and hardship endured by the applicant exceeded the unavoidable level of suffering inherent in detention and went beyond the threshold of severity under Article 3 of the Convention.</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26</w:t>
      </w:r>
      <w:r w:rsidRPr="00FC34FD">
        <w:rPr>
          <w:noProof/>
        </w:rPr>
        <w:fldChar w:fldCharType="end"/>
      </w:r>
      <w:r w:rsidRPr="00FC34FD">
        <w:t>.  There has accordingly been a violation of that Article.</w:t>
      </w:r>
    </w:p>
    <w:p w:rsidRPr="00FC34FD" w:rsidR="00290306" w:rsidP="00EF763E" w:rsidRDefault="009F5C9E">
      <w:pPr>
        <w:pStyle w:val="JuHIRoman"/>
        <w:numPr>
          <w:ilvl w:val="1"/>
          <w:numId w:val="1"/>
        </w:numPr>
      </w:pPr>
      <w:r>
        <w:t>  </w:t>
      </w:r>
      <w:r w:rsidRPr="00FC34FD" w:rsidR="00290306">
        <w:t>APPLICATION OF ARTICLE 41 OF THE CONVENTION</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27</w:t>
      </w:r>
      <w:r w:rsidRPr="00FC34FD">
        <w:fldChar w:fldCharType="end"/>
      </w:r>
      <w:r w:rsidRPr="00FC34FD">
        <w:t>.  Article 41 of the Convention provides:</w:t>
      </w:r>
    </w:p>
    <w:p w:rsidRPr="00FC34FD" w:rsidR="00290306" w:rsidP="00290306" w:rsidRDefault="00290306">
      <w:pPr>
        <w:pStyle w:val="JuQuot"/>
        <w:keepNext/>
        <w:keepLines/>
      </w:pPr>
      <w:r w:rsidRPr="00FC34F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C34FD" w:rsidR="00290306" w:rsidP="00EF763E" w:rsidRDefault="00290306">
      <w:pPr>
        <w:pStyle w:val="JuHA"/>
        <w:numPr>
          <w:ilvl w:val="2"/>
          <w:numId w:val="1"/>
        </w:numPr>
      </w:pPr>
      <w:r w:rsidRPr="00FC34FD">
        <w:t>Damage</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28</w:t>
      </w:r>
      <w:r w:rsidRPr="00FC34FD">
        <w:rPr>
          <w:noProof/>
        </w:rPr>
        <w:fldChar w:fldCharType="end"/>
      </w:r>
      <w:r w:rsidRPr="00FC34FD">
        <w:t>.  The applicant claimed 4,600 Polish zlotys</w:t>
      </w:r>
      <w:r w:rsidRPr="00FC34FD" w:rsidR="00F10991">
        <w:t xml:space="preserve"> (PLN)</w:t>
      </w:r>
      <w:r w:rsidRPr="00FC34FD">
        <w:t xml:space="preserve"> (approximately 1,150 euros (EUR)) in respect of non</w:t>
      </w:r>
      <w:r w:rsidRPr="00FC34FD">
        <w:noBreakHyphen/>
        <w:t>pecuniary damage.</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29</w:t>
      </w:r>
      <w:r w:rsidRPr="00FC34FD">
        <w:rPr>
          <w:noProof/>
        </w:rPr>
        <w:fldChar w:fldCharType="end"/>
      </w:r>
      <w:r w:rsidRPr="00FC34FD">
        <w:t>.  The Government did not express an opinion on the matter.</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30</w:t>
      </w:r>
      <w:r w:rsidRPr="00FC34FD">
        <w:rPr>
          <w:noProof/>
        </w:rPr>
        <w:fldChar w:fldCharType="end"/>
      </w:r>
      <w:r w:rsidRPr="00FC34FD">
        <w:t>.  The Court considers that the applicant suffered damage of a non</w:t>
      </w:r>
      <w:r w:rsidRPr="00FC34FD">
        <w:noBreakHyphen/>
        <w:t>pecuniary nature as a result of his detention in conditions contrary to Article 3 of the Convention (see paragraphs 24-26 above), which would not be sufficiently redressed by the finding of a violation of his rights under the Convention. Making an assessment on an equitable basis, as required by Article 41 of the Convention, the Court awards the applicant EUR 1,150 under this head.</w:t>
      </w:r>
    </w:p>
    <w:p w:rsidRPr="00FC34FD" w:rsidR="00290306" w:rsidP="00EF763E" w:rsidRDefault="00290306">
      <w:pPr>
        <w:pStyle w:val="JuHA"/>
        <w:numPr>
          <w:ilvl w:val="2"/>
          <w:numId w:val="1"/>
        </w:numPr>
      </w:pPr>
      <w:r w:rsidRPr="00FC34FD">
        <w:t>Costs and expenses</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31</w:t>
      </w:r>
      <w:r w:rsidRPr="00FC34FD">
        <w:rPr>
          <w:noProof/>
        </w:rPr>
        <w:fldChar w:fldCharType="end"/>
      </w:r>
      <w:r w:rsidRPr="00FC34FD">
        <w:t>.  The applicant did not make any claim for costs and expenses for the proceedings before the Court or the domestic courts.</w:t>
      </w:r>
    </w:p>
    <w:p w:rsidRPr="00FC34FD" w:rsidR="00290306" w:rsidP="00EF763E" w:rsidRDefault="00290306">
      <w:pPr>
        <w:pStyle w:val="JuHA"/>
        <w:numPr>
          <w:ilvl w:val="2"/>
          <w:numId w:val="1"/>
        </w:numPr>
      </w:pPr>
      <w:r w:rsidRPr="00FC34FD">
        <w:t>Default interest</w:t>
      </w:r>
    </w:p>
    <w:p w:rsidRPr="00FC34FD" w:rsidR="00290306" w:rsidP="00290306" w:rsidRDefault="00290306">
      <w:pPr>
        <w:pStyle w:val="JuPara"/>
      </w:pPr>
      <w:r w:rsidRPr="00FC34FD">
        <w:fldChar w:fldCharType="begin"/>
      </w:r>
      <w:r w:rsidRPr="00FC34FD">
        <w:instrText xml:space="preserve"> SEQ level0 \*arabic </w:instrText>
      </w:r>
      <w:r w:rsidRPr="00FC34FD">
        <w:fldChar w:fldCharType="separate"/>
      </w:r>
      <w:r w:rsidR="00B40CF4">
        <w:rPr>
          <w:noProof/>
        </w:rPr>
        <w:t>32</w:t>
      </w:r>
      <w:r w:rsidRPr="00FC34FD">
        <w:fldChar w:fldCharType="end"/>
      </w:r>
      <w:r w:rsidRPr="00FC34FD">
        <w:t>.  The Court considers it appropriate that the default interest rate should be based on the marginal lending rate of the European Central Bank, to which should be added three percentage points.</w:t>
      </w:r>
    </w:p>
    <w:p w:rsidRPr="00FC34FD" w:rsidR="00290306" w:rsidP="00EF763E" w:rsidRDefault="00290306">
      <w:pPr>
        <w:pStyle w:val="JuHHead"/>
        <w:numPr>
          <w:ilvl w:val="0"/>
          <w:numId w:val="1"/>
        </w:numPr>
      </w:pPr>
      <w:r w:rsidRPr="00FC34FD">
        <w:t>FOR THESE REASONS, THE COURT, UNANIMOUSLY,</w:t>
      </w:r>
    </w:p>
    <w:p w:rsidRPr="00FC34FD" w:rsidR="00290306" w:rsidP="00EF763E" w:rsidRDefault="00290306">
      <w:pPr>
        <w:pStyle w:val="JuList"/>
        <w:numPr>
          <w:ilvl w:val="0"/>
          <w:numId w:val="2"/>
        </w:numPr>
      </w:pPr>
      <w:r w:rsidRPr="00FC34FD">
        <w:rPr>
          <w:i/>
        </w:rPr>
        <w:t>Rejects</w:t>
      </w:r>
      <w:r w:rsidRPr="00FC34FD">
        <w:t xml:space="preserve"> the Government</w:t>
      </w:r>
      <w:r w:rsidRPr="00FC34FD" w:rsidR="00FC34FD">
        <w:t>’</w:t>
      </w:r>
      <w:r w:rsidRPr="00FC34FD">
        <w:t>s request to strike the application out of the list;</w:t>
      </w:r>
    </w:p>
    <w:p w:rsidRPr="00FC34FD" w:rsidR="00290306" w:rsidP="00EF763E" w:rsidRDefault="00290306">
      <w:pPr>
        <w:pStyle w:val="JuList"/>
        <w:numPr>
          <w:ilvl w:val="0"/>
          <w:numId w:val="2"/>
        </w:numPr>
      </w:pPr>
      <w:r w:rsidRPr="00FC34FD">
        <w:rPr>
          <w:i/>
        </w:rPr>
        <w:t>Declares</w:t>
      </w:r>
      <w:r w:rsidRPr="00FC34FD">
        <w:t xml:space="preserve"> the application admissible;</w:t>
      </w:r>
    </w:p>
    <w:p w:rsidRPr="00FC34FD" w:rsidR="00290306" w:rsidP="00EF763E" w:rsidRDefault="00290306">
      <w:pPr>
        <w:pStyle w:val="JuList"/>
        <w:numPr>
          <w:ilvl w:val="0"/>
          <w:numId w:val="2"/>
        </w:numPr>
      </w:pPr>
      <w:r w:rsidRPr="00FC34FD">
        <w:rPr>
          <w:i/>
        </w:rPr>
        <w:t>Holds</w:t>
      </w:r>
      <w:r w:rsidRPr="00FC34FD">
        <w:rPr>
          <w:color w:val="000000"/>
        </w:rPr>
        <w:t xml:space="preserve"> </w:t>
      </w:r>
      <w:r w:rsidRPr="00FC34FD">
        <w:t>that there has been a violation of Article 3 of the Convention;</w:t>
      </w:r>
    </w:p>
    <w:p w:rsidRPr="00FC34FD" w:rsidR="00290306" w:rsidP="00EF763E" w:rsidRDefault="00290306">
      <w:pPr>
        <w:pStyle w:val="JuList"/>
        <w:numPr>
          <w:ilvl w:val="0"/>
          <w:numId w:val="2"/>
        </w:numPr>
      </w:pPr>
      <w:r w:rsidRPr="00FC34FD">
        <w:rPr>
          <w:i/>
        </w:rPr>
        <w:t>Holds</w:t>
      </w:r>
    </w:p>
    <w:p w:rsidRPr="00FC34FD" w:rsidR="00290306" w:rsidP="00EF763E" w:rsidRDefault="00290306">
      <w:pPr>
        <w:pStyle w:val="JuLista"/>
        <w:numPr>
          <w:ilvl w:val="1"/>
          <w:numId w:val="2"/>
        </w:numPr>
      </w:pPr>
      <w:r w:rsidRPr="00FC34FD">
        <w:t>that the respondent State is to pay the applicant within three months EUR 1,150 (one thousand one hundred and fifty euros), plus any tax that may be chargeable, in respect of non-pecuniary damage, to be converted into the currency of the respondent State at the rate applicable at the date of settlement;</w:t>
      </w:r>
    </w:p>
    <w:p w:rsidRPr="00FC34FD" w:rsidR="00290306" w:rsidP="00EF763E" w:rsidRDefault="00290306">
      <w:pPr>
        <w:pStyle w:val="JuLista"/>
        <w:numPr>
          <w:ilvl w:val="1"/>
          <w:numId w:val="2"/>
        </w:numPr>
      </w:pPr>
      <w:proofErr w:type="gramStart"/>
      <w:r w:rsidRPr="00FC34FD">
        <w:t>that</w:t>
      </w:r>
      <w:proofErr w:type="gramEnd"/>
      <w:r w:rsidRPr="00FC34FD">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FC34FD" w:rsidR="00290306" w:rsidP="00290306" w:rsidRDefault="00290306">
      <w:pPr>
        <w:pStyle w:val="JuParaLast"/>
      </w:pPr>
      <w:r w:rsidRPr="00FC34FD">
        <w:t xml:space="preserve">Done in English, and notified in writing on </w:t>
      </w:r>
      <w:r w:rsidRPr="00FC34FD" w:rsidR="00A861D0">
        <w:t>10 October 2019</w:t>
      </w:r>
      <w:r w:rsidRPr="00FC34FD">
        <w:t>, pursuant to Rule 77 §§ 2 and 3 of the Rules of Court.</w:t>
      </w:r>
    </w:p>
    <w:p w:rsidRPr="00FC34FD" w:rsidR="00EF763E" w:rsidP="002760F4" w:rsidRDefault="00290306">
      <w:pPr>
        <w:pStyle w:val="JuSigned"/>
        <w:rPr>
          <w:lang w:val="it-IT"/>
        </w:rPr>
      </w:pPr>
      <w:r w:rsidRPr="00FC34FD">
        <w:tab/>
      </w:r>
      <w:r w:rsidRPr="00FC34FD">
        <w:rPr>
          <w:lang w:val="it-IT"/>
        </w:rPr>
        <w:t>Renata Degener</w:t>
      </w:r>
      <w:r w:rsidRPr="00FC34FD">
        <w:rPr>
          <w:lang w:val="it-IT"/>
        </w:rPr>
        <w:tab/>
      </w:r>
      <w:proofErr w:type="spellStart"/>
      <w:r w:rsidRPr="00FC34FD" w:rsidR="00A861D0">
        <w:rPr>
          <w:lang w:val="it-IT"/>
        </w:rPr>
        <w:t>Aleš</w:t>
      </w:r>
      <w:proofErr w:type="spellEnd"/>
      <w:r w:rsidRPr="00FC34FD" w:rsidR="00A861D0">
        <w:rPr>
          <w:lang w:val="it-IT"/>
        </w:rPr>
        <w:t xml:space="preserve"> </w:t>
      </w:r>
      <w:proofErr w:type="spellStart"/>
      <w:r w:rsidRPr="00FC34FD" w:rsidR="00A861D0">
        <w:rPr>
          <w:lang w:val="it-IT"/>
        </w:rPr>
        <w:t>Pejchal</w:t>
      </w:r>
      <w:proofErr w:type="spellEnd"/>
      <w:r w:rsidRPr="00FC34FD">
        <w:rPr>
          <w:szCs w:val="24"/>
          <w:lang w:val="it-IT"/>
        </w:rPr>
        <w:br/>
      </w:r>
      <w:r w:rsidRPr="00FC34FD">
        <w:rPr>
          <w:lang w:val="it-IT"/>
        </w:rPr>
        <w:tab/>
      </w:r>
      <w:proofErr w:type="spellStart"/>
      <w:r w:rsidRPr="00FC34FD">
        <w:rPr>
          <w:lang w:val="it-IT"/>
        </w:rPr>
        <w:t>Deputy</w:t>
      </w:r>
      <w:proofErr w:type="spellEnd"/>
      <w:r w:rsidRPr="00FC34FD">
        <w:rPr>
          <w:lang w:val="it-IT"/>
        </w:rPr>
        <w:t xml:space="preserve"> </w:t>
      </w:r>
      <w:r w:rsidRPr="00FC34FD">
        <w:rPr>
          <w:iCs/>
          <w:lang w:val="it-IT"/>
        </w:rPr>
        <w:t>Registrar</w:t>
      </w:r>
      <w:r w:rsidRPr="00FC34FD">
        <w:rPr>
          <w:lang w:val="it-IT"/>
        </w:rPr>
        <w:tab/>
        <w:t>President</w:t>
      </w:r>
    </w:p>
    <w:sectPr w:rsidRPr="00FC34FD" w:rsidR="00EF763E" w:rsidSect="009A5C3B">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75DD" w:rsidRDefault="003275DD">
      <w:r>
        <w:separator/>
      </w:r>
    </w:p>
  </w:endnote>
  <w:endnote w:type="continuationSeparator" w:id="0">
    <w:p w:rsidR="003275DD" w:rsidRDefault="00327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C3B" w:rsidRPr="00150BFA" w:rsidRDefault="009A5C3B" w:rsidP="0020718E">
    <w:pPr>
      <w:jc w:val="center"/>
    </w:pPr>
    <w:r>
      <w:rPr>
        <w:noProof/>
        <w:lang w:val="en-US" w:eastAsia="ja-JP"/>
      </w:rPr>
      <w:drawing>
        <wp:inline distT="0" distB="0" distL="0" distR="0" wp14:anchorId="6E89EDF2" wp14:editId="3C7A475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A5C3B" w:rsidRDefault="009A5C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75DD" w:rsidRPr="003152BA" w:rsidRDefault="003275DD" w:rsidP="00D420F3">
      <w:r w:rsidRPr="003152BA">
        <w:separator/>
      </w:r>
    </w:p>
  </w:footnote>
  <w:footnote w:type="continuationSeparator" w:id="0">
    <w:p w:rsidR="003275DD" w:rsidRPr="003152BA" w:rsidRDefault="003275DD"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5DD" w:rsidRPr="009A5C3B" w:rsidRDefault="003275DD" w:rsidP="009A5C3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C3B" w:rsidRPr="00A45145" w:rsidRDefault="009A5C3B" w:rsidP="00A45145">
    <w:pPr>
      <w:jc w:val="center"/>
    </w:pPr>
    <w:r>
      <w:rPr>
        <w:noProof/>
        <w:lang w:val="en-US" w:eastAsia="ja-JP"/>
      </w:rPr>
      <w:drawing>
        <wp:inline distT="0" distB="0" distL="0" distR="0" wp14:anchorId="6C194E3B" wp14:editId="21DB20E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A5C3B" w:rsidRDefault="009A5C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C3B" w:rsidRPr="003152BA" w:rsidRDefault="009A5C3B" w:rsidP="00D420F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9F5C9E">
      <w:rPr>
        <w:rStyle w:val="PageNumber"/>
        <w:noProof/>
        <w:szCs w:val="18"/>
      </w:rPr>
      <w:t>4</w:t>
    </w:r>
    <w:r>
      <w:rPr>
        <w:rStyle w:val="PageNumber"/>
        <w:szCs w:val="18"/>
      </w:rPr>
      <w:fldChar w:fldCharType="end"/>
    </w:r>
    <w:r w:rsidRPr="003152BA">
      <w:tab/>
    </w:r>
    <w:r w:rsidR="00A861D0">
      <w:t xml:space="preserve">ZARĘBA v. POLAND </w:t>
    </w:r>
    <w:r w:rsidR="00FC34FD">
      <w:t xml:space="preserve">JUDGMENT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C3B" w:rsidRPr="003152BA" w:rsidRDefault="009A5C3B" w:rsidP="009F5C9E">
    <w:pPr>
      <w:pStyle w:val="JuHeader"/>
    </w:pPr>
    <w:r w:rsidRPr="003152BA">
      <w:tab/>
    </w:r>
    <w:r>
      <w:t>ZARĘBA v. POLAND</w:t>
    </w:r>
    <w:r w:rsidR="00A861D0">
      <w:t xml:space="preserve"> </w:t>
    </w:r>
    <w:r w:rsidR="00FC34FD">
      <w:t xml:space="preserve">JUDGMENT </w:t>
    </w:r>
    <w:r w:rsidR="00A861D0">
      <w:tab/>
    </w:r>
    <w:r>
      <w:rPr>
        <w:rStyle w:val="PageNumber"/>
        <w:szCs w:val="18"/>
      </w:rPr>
      <w:fldChar w:fldCharType="begin"/>
    </w:r>
    <w:r>
      <w:rPr>
        <w:rStyle w:val="PageNumber"/>
        <w:szCs w:val="18"/>
      </w:rPr>
      <w:instrText xml:space="preserve"> PAGE </w:instrText>
    </w:r>
    <w:r>
      <w:rPr>
        <w:rStyle w:val="PageNumber"/>
        <w:szCs w:val="18"/>
      </w:rPr>
      <w:fldChar w:fldCharType="separate"/>
    </w:r>
    <w:r w:rsidR="009F5C9E">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6"/>
  </w:num>
  <w:num w:numId="4">
    <w:abstractNumId w:val="12"/>
  </w:num>
  <w:num w:numId="5">
    <w:abstractNumId w:val="13"/>
  </w:num>
  <w:num w:numId="6">
    <w:abstractNumId w:val="10"/>
  </w:num>
  <w:num w:numId="7">
    <w:abstractNumId w:val="9"/>
  </w:num>
  <w:num w:numId="8">
    <w:abstractNumId w:val="14"/>
  </w:num>
  <w:num w:numId="9">
    <w:abstractNumId w:val="11"/>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0E4EA7"/>
    <w:rsid w:val="00035381"/>
    <w:rsid w:val="00067242"/>
    <w:rsid w:val="000C7A22"/>
    <w:rsid w:val="000D073A"/>
    <w:rsid w:val="000D1994"/>
    <w:rsid w:val="000E4EA7"/>
    <w:rsid w:val="00100125"/>
    <w:rsid w:val="00100340"/>
    <w:rsid w:val="00126D9E"/>
    <w:rsid w:val="001350C7"/>
    <w:rsid w:val="00140399"/>
    <w:rsid w:val="001458DD"/>
    <w:rsid w:val="0015153C"/>
    <w:rsid w:val="001B3B6F"/>
    <w:rsid w:val="001B4086"/>
    <w:rsid w:val="001B5D44"/>
    <w:rsid w:val="001D0C2D"/>
    <w:rsid w:val="00217B40"/>
    <w:rsid w:val="00240CB4"/>
    <w:rsid w:val="00251D42"/>
    <w:rsid w:val="002760F4"/>
    <w:rsid w:val="002828D1"/>
    <w:rsid w:val="002842EC"/>
    <w:rsid w:val="00290306"/>
    <w:rsid w:val="002F1C63"/>
    <w:rsid w:val="00300BFA"/>
    <w:rsid w:val="003275DD"/>
    <w:rsid w:val="00354D7D"/>
    <w:rsid w:val="00393EB0"/>
    <w:rsid w:val="003D65C6"/>
    <w:rsid w:val="003D67D5"/>
    <w:rsid w:val="00403E58"/>
    <w:rsid w:val="004574B1"/>
    <w:rsid w:val="00467263"/>
    <w:rsid w:val="00490B47"/>
    <w:rsid w:val="005108E6"/>
    <w:rsid w:val="0051190A"/>
    <w:rsid w:val="00570D1B"/>
    <w:rsid w:val="00585959"/>
    <w:rsid w:val="005A3A4F"/>
    <w:rsid w:val="005A7318"/>
    <w:rsid w:val="006008E3"/>
    <w:rsid w:val="00623972"/>
    <w:rsid w:val="00624EDC"/>
    <w:rsid w:val="00630F58"/>
    <w:rsid w:val="00632964"/>
    <w:rsid w:val="00641234"/>
    <w:rsid w:val="00667710"/>
    <w:rsid w:val="00671F03"/>
    <w:rsid w:val="00696044"/>
    <w:rsid w:val="006B0579"/>
    <w:rsid w:val="00704D3E"/>
    <w:rsid w:val="007237F2"/>
    <w:rsid w:val="00726D24"/>
    <w:rsid w:val="00747D3D"/>
    <w:rsid w:val="007559FD"/>
    <w:rsid w:val="0077175D"/>
    <w:rsid w:val="00795D95"/>
    <w:rsid w:val="007E738A"/>
    <w:rsid w:val="00854C8F"/>
    <w:rsid w:val="00875E18"/>
    <w:rsid w:val="008826D6"/>
    <w:rsid w:val="008E1CB3"/>
    <w:rsid w:val="00916255"/>
    <w:rsid w:val="00920473"/>
    <w:rsid w:val="00953607"/>
    <w:rsid w:val="00954E7A"/>
    <w:rsid w:val="00964897"/>
    <w:rsid w:val="00966701"/>
    <w:rsid w:val="00997F5C"/>
    <w:rsid w:val="009A0D52"/>
    <w:rsid w:val="009A5C3B"/>
    <w:rsid w:val="009A7479"/>
    <w:rsid w:val="009B020F"/>
    <w:rsid w:val="009B51BC"/>
    <w:rsid w:val="009F5C9E"/>
    <w:rsid w:val="00A062F4"/>
    <w:rsid w:val="00A258BC"/>
    <w:rsid w:val="00A861D0"/>
    <w:rsid w:val="00B129B8"/>
    <w:rsid w:val="00B138DA"/>
    <w:rsid w:val="00B40CF4"/>
    <w:rsid w:val="00B912CC"/>
    <w:rsid w:val="00BB4DE7"/>
    <w:rsid w:val="00BB5057"/>
    <w:rsid w:val="00BE185F"/>
    <w:rsid w:val="00C15874"/>
    <w:rsid w:val="00C16B04"/>
    <w:rsid w:val="00C53E50"/>
    <w:rsid w:val="00C61BBD"/>
    <w:rsid w:val="00C774C5"/>
    <w:rsid w:val="00C86E35"/>
    <w:rsid w:val="00CB20C3"/>
    <w:rsid w:val="00CC31DD"/>
    <w:rsid w:val="00CC3DE3"/>
    <w:rsid w:val="00CE4850"/>
    <w:rsid w:val="00D153E0"/>
    <w:rsid w:val="00D219CA"/>
    <w:rsid w:val="00D2364F"/>
    <w:rsid w:val="00D420F3"/>
    <w:rsid w:val="00D52490"/>
    <w:rsid w:val="00D67E48"/>
    <w:rsid w:val="00D71BFD"/>
    <w:rsid w:val="00DA24DC"/>
    <w:rsid w:val="00DA6F5C"/>
    <w:rsid w:val="00DB6961"/>
    <w:rsid w:val="00DC45EC"/>
    <w:rsid w:val="00DD578C"/>
    <w:rsid w:val="00E00D91"/>
    <w:rsid w:val="00E110D6"/>
    <w:rsid w:val="00E41684"/>
    <w:rsid w:val="00E62FD7"/>
    <w:rsid w:val="00E84AA1"/>
    <w:rsid w:val="00E87134"/>
    <w:rsid w:val="00ED1533"/>
    <w:rsid w:val="00EF763E"/>
    <w:rsid w:val="00F10991"/>
    <w:rsid w:val="00F11D8F"/>
    <w:rsid w:val="00F1403C"/>
    <w:rsid w:val="00F46BA0"/>
    <w:rsid w:val="00F56D74"/>
    <w:rsid w:val="00F62D54"/>
    <w:rsid w:val="00F82355"/>
    <w:rsid w:val="00F84C3C"/>
    <w:rsid w:val="00FA4F8F"/>
    <w:rsid w:val="00FC34FD"/>
    <w:rsid w:val="00FD29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861D0"/>
    <w:rPr>
      <w:rFonts w:eastAsiaTheme="minorEastAsia"/>
      <w:sz w:val="24"/>
      <w:lang w:val="en-GB"/>
    </w:rPr>
  </w:style>
  <w:style w:type="paragraph" w:styleId="Heading1">
    <w:name w:val="heading 1"/>
    <w:basedOn w:val="Normal"/>
    <w:next w:val="Normal"/>
    <w:link w:val="Heading1Char"/>
    <w:uiPriority w:val="99"/>
    <w:semiHidden/>
    <w:rsid w:val="00A861D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861D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861D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861D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861D0"/>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A861D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861D0"/>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A861D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861D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861D0"/>
    <w:rPr>
      <w:rFonts w:ascii="Tahoma" w:hAnsi="Tahoma" w:cs="Tahoma"/>
      <w:sz w:val="16"/>
      <w:szCs w:val="16"/>
    </w:rPr>
  </w:style>
  <w:style w:type="character" w:customStyle="1" w:styleId="BalloonTextChar">
    <w:name w:val="Balloon Text Char"/>
    <w:basedOn w:val="DefaultParagraphFont"/>
    <w:link w:val="BalloonText"/>
    <w:uiPriority w:val="99"/>
    <w:semiHidden/>
    <w:rsid w:val="00A861D0"/>
    <w:rPr>
      <w:rFonts w:ascii="Tahoma" w:eastAsiaTheme="minorEastAsia" w:hAnsi="Tahoma" w:cs="Tahoma"/>
      <w:sz w:val="16"/>
      <w:szCs w:val="16"/>
      <w:lang w:val="en-GB"/>
    </w:rPr>
  </w:style>
  <w:style w:type="character" w:styleId="BookTitle">
    <w:name w:val="Book Title"/>
    <w:uiPriority w:val="99"/>
    <w:semiHidden/>
    <w:qFormat/>
    <w:rsid w:val="00A861D0"/>
    <w:rPr>
      <w:i/>
      <w:iCs/>
      <w:smallCaps/>
      <w:spacing w:val="5"/>
    </w:rPr>
  </w:style>
  <w:style w:type="paragraph" w:customStyle="1" w:styleId="JuHeader">
    <w:name w:val="Ju_Header"/>
    <w:aliases w:val="_Header"/>
    <w:basedOn w:val="Header"/>
    <w:uiPriority w:val="29"/>
    <w:qFormat/>
    <w:rsid w:val="00A861D0"/>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F1403C"/>
    <w:rPr>
      <w:sz w:val="8"/>
    </w:rPr>
  </w:style>
  <w:style w:type="character" w:styleId="Strong">
    <w:name w:val="Strong"/>
    <w:uiPriority w:val="99"/>
    <w:semiHidden/>
    <w:qFormat/>
    <w:rsid w:val="00A861D0"/>
    <w:rPr>
      <w:b/>
      <w:bCs/>
    </w:rPr>
  </w:style>
  <w:style w:type="paragraph" w:styleId="NoSpacing">
    <w:name w:val="No Spacing"/>
    <w:basedOn w:val="Normal"/>
    <w:link w:val="NoSpacingChar"/>
    <w:semiHidden/>
    <w:qFormat/>
    <w:rsid w:val="00A861D0"/>
  </w:style>
  <w:style w:type="character" w:customStyle="1" w:styleId="NoSpacingChar">
    <w:name w:val="No Spacing Char"/>
    <w:basedOn w:val="DefaultParagraphFont"/>
    <w:link w:val="NoSpacing"/>
    <w:semiHidden/>
    <w:rsid w:val="00A861D0"/>
    <w:rPr>
      <w:rFonts w:eastAsiaTheme="minorEastAsia"/>
      <w:sz w:val="24"/>
      <w:lang w:val="en-GB"/>
    </w:rPr>
  </w:style>
  <w:style w:type="paragraph" w:customStyle="1" w:styleId="FooterLine">
    <w:name w:val="_Footer_Line"/>
    <w:aliases w:val="Footer_Line"/>
    <w:basedOn w:val="Normal"/>
    <w:next w:val="Footer0"/>
    <w:uiPriority w:val="57"/>
    <w:semiHidden/>
    <w:rsid w:val="00A861D0"/>
    <w:pPr>
      <w:pBdr>
        <w:top w:val="single" w:sz="6" w:space="1" w:color="5F5F5F"/>
      </w:pBdr>
      <w:tabs>
        <w:tab w:val="center" w:pos="4536"/>
        <w:tab w:val="right" w:pos="9696"/>
      </w:tabs>
      <w:ind w:left="-680" w:right="-680"/>
    </w:pPr>
    <w:rPr>
      <w:color w:val="5F5F5F"/>
    </w:rPr>
  </w:style>
  <w:style w:type="paragraph" w:customStyle="1" w:styleId="DecList">
    <w:name w:val="Dec_List"/>
    <w:aliases w:val="_List"/>
    <w:basedOn w:val="JuList"/>
    <w:uiPriority w:val="22"/>
    <w:rsid w:val="00A861D0"/>
    <w:pPr>
      <w:ind w:firstLine="0"/>
    </w:pPr>
  </w:style>
  <w:style w:type="paragraph" w:customStyle="1" w:styleId="NormalJustified">
    <w:name w:val="Normal_Justified"/>
    <w:basedOn w:val="Normal"/>
    <w:semiHidden/>
    <w:rsid w:val="00A861D0"/>
    <w:pPr>
      <w:jc w:val="both"/>
    </w:pPr>
  </w:style>
  <w:style w:type="paragraph" w:customStyle="1" w:styleId="Title4">
    <w:name w:val="_Title_4"/>
    <w:basedOn w:val="JuPara"/>
    <w:next w:val="JuPara"/>
    <w:uiPriority w:val="35"/>
    <w:qFormat/>
    <w:rsid w:val="00A861D0"/>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A861D0"/>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A861D0"/>
    <w:pPr>
      <w:numPr>
        <w:numId w:val="8"/>
      </w:numPr>
    </w:pPr>
  </w:style>
  <w:style w:type="numbering" w:customStyle="1" w:styleId="ECHRA1StyleList">
    <w:name w:val="ECHR_A1_Style_List"/>
    <w:basedOn w:val="NoList"/>
    <w:uiPriority w:val="99"/>
    <w:rsid w:val="00A861D0"/>
    <w:pPr>
      <w:numPr>
        <w:numId w:val="9"/>
      </w:numPr>
    </w:pPr>
  </w:style>
  <w:style w:type="numbering" w:customStyle="1" w:styleId="ECHRA1StyleNumberedList">
    <w:name w:val="ECHR_A1_Style_Numbered_List"/>
    <w:basedOn w:val="NoList"/>
    <w:rsid w:val="00A861D0"/>
    <w:pPr>
      <w:numPr>
        <w:numId w:val="10"/>
      </w:numPr>
    </w:pPr>
  </w:style>
  <w:style w:type="table" w:customStyle="1" w:styleId="ECHRTable2019">
    <w:name w:val="ECHR_Table_2019"/>
    <w:basedOn w:val="TableNormal"/>
    <w:uiPriority w:val="99"/>
    <w:rsid w:val="00A861D0"/>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DecHCase">
    <w:name w:val="Dec_H_Case"/>
    <w:aliases w:val="_Title_3"/>
    <w:basedOn w:val="JuPara"/>
    <w:next w:val="JuPara"/>
    <w:uiPriority w:val="35"/>
    <w:qFormat/>
    <w:rsid w:val="00A861D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861D0"/>
    <w:pPr>
      <w:keepNext/>
      <w:keepLines/>
      <w:spacing w:before="1320" w:after="280"/>
      <w:contextualSpacing/>
      <w:jc w:val="center"/>
    </w:pPr>
    <w:rPr>
      <w:rFonts w:eastAsiaTheme="minorHAnsi"/>
      <w:b/>
    </w:rPr>
  </w:style>
  <w:style w:type="paragraph" w:styleId="Title">
    <w:name w:val="Title"/>
    <w:basedOn w:val="Normal"/>
    <w:next w:val="Normal"/>
    <w:link w:val="TitleChar"/>
    <w:uiPriority w:val="99"/>
    <w:semiHidden/>
    <w:qFormat/>
    <w:rsid w:val="00A861D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861D0"/>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A861D0"/>
    <w:pPr>
      <w:keepNext/>
      <w:keepLines/>
      <w:numPr>
        <w:ilvl w:val="3"/>
        <w:numId w:val="3"/>
      </w:numPr>
      <w:spacing w:before="100" w:beforeAutospacing="1" w:after="120"/>
      <w:jc w:val="both"/>
      <w:outlineLvl w:val="3"/>
    </w:pPr>
    <w:rPr>
      <w:i/>
    </w:rPr>
  </w:style>
  <w:style w:type="paragraph" w:customStyle="1" w:styleId="JuHa0">
    <w:name w:val="Ju_H_a"/>
    <w:aliases w:val="_Head_5"/>
    <w:basedOn w:val="Normal"/>
    <w:next w:val="JuPara"/>
    <w:uiPriority w:val="19"/>
    <w:rsid w:val="00A861D0"/>
    <w:pPr>
      <w:keepNext/>
      <w:keepLines/>
      <w:numPr>
        <w:ilvl w:val="4"/>
        <w:numId w:val="3"/>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A861D0"/>
    <w:pPr>
      <w:keepNext/>
      <w:keepLines/>
      <w:numPr>
        <w:ilvl w:val="5"/>
        <w:numId w:val="3"/>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A861D0"/>
    <w:pPr>
      <w:keepNext/>
      <w:keepLines/>
      <w:numPr>
        <w:ilvl w:val="6"/>
        <w:numId w:val="3"/>
      </w:numPr>
      <w:spacing w:before="100" w:beforeAutospacing="1" w:after="120"/>
      <w:jc w:val="both"/>
      <w:outlineLvl w:val="6"/>
    </w:pPr>
    <w:rPr>
      <w:sz w:val="20"/>
    </w:rPr>
  </w:style>
  <w:style w:type="paragraph" w:customStyle="1" w:styleId="JuH">
    <w:name w:val="Ju_H_–"/>
    <w:aliases w:val="_Head_8"/>
    <w:basedOn w:val="Normal"/>
    <w:next w:val="JuPara"/>
    <w:uiPriority w:val="19"/>
    <w:rsid w:val="00A861D0"/>
    <w:pPr>
      <w:keepNext/>
      <w:keepLines/>
      <w:numPr>
        <w:ilvl w:val="7"/>
        <w:numId w:val="3"/>
      </w:numPr>
      <w:spacing w:before="100" w:beforeAutospacing="1" w:after="120"/>
      <w:jc w:val="both"/>
      <w:outlineLvl w:val="7"/>
    </w:pPr>
    <w:rPr>
      <w:i/>
      <w:sz w:val="20"/>
    </w:rPr>
  </w:style>
  <w:style w:type="paragraph" w:customStyle="1" w:styleId="Footer0">
    <w:name w:val="_Footer"/>
    <w:aliases w:val="Footer_"/>
    <w:basedOn w:val="Footer"/>
    <w:uiPriority w:val="57"/>
    <w:semiHidden/>
    <w:rsid w:val="00A861D0"/>
    <w:rPr>
      <w:sz w:val="8"/>
    </w:rPr>
  </w:style>
  <w:style w:type="paragraph" w:customStyle="1" w:styleId="JuInitialled">
    <w:name w:val="Ju_Initialled"/>
    <w:aliases w:val="_Right"/>
    <w:basedOn w:val="Normal"/>
    <w:uiPriority w:val="30"/>
    <w:qFormat/>
    <w:rsid w:val="00A861D0"/>
    <w:pPr>
      <w:tabs>
        <w:tab w:val="center" w:pos="6407"/>
      </w:tabs>
      <w:spacing w:before="720"/>
      <w:jc w:val="right"/>
    </w:pPr>
  </w:style>
  <w:style w:type="paragraph" w:styleId="Header">
    <w:name w:val="header"/>
    <w:basedOn w:val="Normal"/>
    <w:link w:val="HeaderChar"/>
    <w:uiPriority w:val="57"/>
    <w:semiHidden/>
    <w:rsid w:val="00A861D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861D0"/>
    <w:rPr>
      <w:sz w:val="24"/>
      <w:lang w:val="en-GB"/>
    </w:rPr>
  </w:style>
  <w:style w:type="character" w:customStyle="1" w:styleId="Heading1Char">
    <w:name w:val="Heading 1 Char"/>
    <w:basedOn w:val="DefaultParagraphFont"/>
    <w:link w:val="Heading1"/>
    <w:uiPriority w:val="99"/>
    <w:semiHidden/>
    <w:rsid w:val="00A861D0"/>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A861D0"/>
    <w:pPr>
      <w:keepNext/>
      <w:keepLines/>
      <w:numPr>
        <w:ilvl w:val="1"/>
        <w:numId w:val="3"/>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A861D0"/>
    <w:pPr>
      <w:keepNext/>
      <w:keepLines/>
      <w:numPr>
        <w:ilvl w:val="2"/>
        <w:numId w:val="3"/>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A861D0"/>
    <w:rPr>
      <w:rFonts w:asciiTheme="majorHAnsi" w:eastAsiaTheme="majorEastAsia" w:hAnsiTheme="majorHAnsi" w:cstheme="majorBidi"/>
      <w:b/>
      <w:bCs/>
      <w:color w:val="4D4D4D"/>
      <w:sz w:val="26"/>
      <w:szCs w:val="26"/>
      <w:lang w:val="en-GB"/>
    </w:rPr>
  </w:style>
  <w:style w:type="character" w:customStyle="1" w:styleId="JUNAMES">
    <w:name w:val="JU_NAMES"/>
    <w:uiPriority w:val="34"/>
    <w:qFormat/>
    <w:rsid w:val="00A861D0"/>
    <w:rPr>
      <w:caps w:val="0"/>
      <w:smallCaps/>
    </w:rPr>
  </w:style>
  <w:style w:type="paragraph" w:customStyle="1" w:styleId="JuCase">
    <w:name w:val="Ju_Case"/>
    <w:basedOn w:val="Normal"/>
    <w:next w:val="JuPara"/>
    <w:uiPriority w:val="31"/>
    <w:rsid w:val="00A861D0"/>
    <w:pPr>
      <w:ind w:firstLine="284"/>
    </w:pPr>
    <w:rPr>
      <w:b/>
    </w:rPr>
  </w:style>
  <w:style w:type="character" w:customStyle="1" w:styleId="Heading3Char">
    <w:name w:val="Heading 3 Char"/>
    <w:basedOn w:val="DefaultParagraphFont"/>
    <w:link w:val="Heading3"/>
    <w:uiPriority w:val="99"/>
    <w:semiHidden/>
    <w:rsid w:val="00A861D0"/>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A861D0"/>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861D0"/>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A861D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861D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A861D0"/>
    <w:pPr>
      <w:keepNext/>
      <w:keepLines/>
      <w:numPr>
        <w:numId w:val="3"/>
      </w:numPr>
      <w:spacing w:before="100" w:beforeAutospacing="1" w:after="240"/>
      <w:jc w:val="both"/>
      <w:outlineLvl w:val="0"/>
    </w:pPr>
    <w:rPr>
      <w:caps/>
      <w:sz w:val="28"/>
    </w:rPr>
  </w:style>
  <w:style w:type="character" w:styleId="Emphasis">
    <w:name w:val="Emphasis"/>
    <w:uiPriority w:val="99"/>
    <w:semiHidden/>
    <w:qFormat/>
    <w:rsid w:val="00A861D0"/>
    <w:rPr>
      <w:b/>
      <w:bCs/>
      <w:i/>
      <w:iCs/>
      <w:spacing w:val="10"/>
      <w:bdr w:val="none" w:sz="0" w:space="0" w:color="auto"/>
      <w:shd w:val="clear" w:color="auto" w:fill="auto"/>
    </w:rPr>
  </w:style>
  <w:style w:type="paragraph" w:styleId="Footer">
    <w:name w:val="footer"/>
    <w:basedOn w:val="Normal"/>
    <w:link w:val="FooterChar"/>
    <w:uiPriority w:val="57"/>
    <w:semiHidden/>
    <w:rsid w:val="00A861D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861D0"/>
    <w:rPr>
      <w:sz w:val="24"/>
      <w:lang w:val="en-GB"/>
    </w:rPr>
  </w:style>
  <w:style w:type="character" w:styleId="FootnoteReference">
    <w:name w:val="footnote reference"/>
    <w:basedOn w:val="DefaultParagraphFont"/>
    <w:uiPriority w:val="99"/>
    <w:semiHidden/>
    <w:rsid w:val="00A861D0"/>
    <w:rPr>
      <w:vertAlign w:val="superscript"/>
    </w:rPr>
  </w:style>
  <w:style w:type="paragraph" w:styleId="FootnoteText">
    <w:name w:val="footnote text"/>
    <w:basedOn w:val="Normal"/>
    <w:link w:val="FootnoteTextChar"/>
    <w:uiPriority w:val="99"/>
    <w:semiHidden/>
    <w:rsid w:val="00A861D0"/>
    <w:rPr>
      <w:sz w:val="20"/>
      <w:szCs w:val="20"/>
    </w:rPr>
  </w:style>
  <w:style w:type="character" w:customStyle="1" w:styleId="FootnoteTextChar">
    <w:name w:val="Footnote Text Char"/>
    <w:basedOn w:val="DefaultParagraphFont"/>
    <w:link w:val="FootnoteText"/>
    <w:uiPriority w:val="99"/>
    <w:semiHidden/>
    <w:rsid w:val="00A861D0"/>
    <w:rPr>
      <w:rFonts w:eastAsiaTheme="minorEastAsia"/>
      <w:sz w:val="20"/>
      <w:szCs w:val="20"/>
      <w:lang w:val="en-GB"/>
    </w:rPr>
  </w:style>
  <w:style w:type="character" w:customStyle="1" w:styleId="Heading6Char">
    <w:name w:val="Heading 6 Char"/>
    <w:basedOn w:val="DefaultParagraphFont"/>
    <w:link w:val="Heading6"/>
    <w:uiPriority w:val="99"/>
    <w:semiHidden/>
    <w:rsid w:val="00A861D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861D0"/>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A861D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861D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861D0"/>
    <w:rPr>
      <w:color w:val="0072BC" w:themeColor="hyperlink"/>
      <w:u w:val="single"/>
    </w:rPr>
  </w:style>
  <w:style w:type="character" w:styleId="IntenseEmphasis">
    <w:name w:val="Intense Emphasis"/>
    <w:uiPriority w:val="99"/>
    <w:semiHidden/>
    <w:qFormat/>
    <w:rsid w:val="00A861D0"/>
    <w:rPr>
      <w:b/>
      <w:bCs/>
    </w:rPr>
  </w:style>
  <w:style w:type="paragraph" w:styleId="IntenseQuote">
    <w:name w:val="Intense Quote"/>
    <w:basedOn w:val="Normal"/>
    <w:next w:val="Normal"/>
    <w:link w:val="IntenseQuoteChar"/>
    <w:uiPriority w:val="99"/>
    <w:semiHidden/>
    <w:qFormat/>
    <w:rsid w:val="00A861D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861D0"/>
    <w:rPr>
      <w:rFonts w:eastAsiaTheme="minorEastAsia"/>
      <w:b/>
      <w:bCs/>
      <w:i/>
      <w:iCs/>
      <w:sz w:val="24"/>
      <w:lang w:val="en-GB" w:bidi="en-US"/>
    </w:rPr>
  </w:style>
  <w:style w:type="character" w:styleId="IntenseReference">
    <w:name w:val="Intense Reference"/>
    <w:uiPriority w:val="99"/>
    <w:semiHidden/>
    <w:qFormat/>
    <w:rsid w:val="00A861D0"/>
    <w:rPr>
      <w:smallCaps/>
      <w:spacing w:val="5"/>
      <w:u w:val="single"/>
    </w:rPr>
  </w:style>
  <w:style w:type="paragraph" w:styleId="ListParagraph">
    <w:name w:val="List Paragraph"/>
    <w:basedOn w:val="Normal"/>
    <w:uiPriority w:val="99"/>
    <w:semiHidden/>
    <w:qFormat/>
    <w:rsid w:val="00A861D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861D0"/>
    <w:pPr>
      <w:spacing w:before="200"/>
      <w:ind w:left="360" w:right="360"/>
    </w:pPr>
    <w:rPr>
      <w:i/>
      <w:iCs/>
      <w:lang w:bidi="en-US"/>
    </w:rPr>
  </w:style>
  <w:style w:type="character" w:customStyle="1" w:styleId="QuoteChar">
    <w:name w:val="Quote Char"/>
    <w:basedOn w:val="DefaultParagraphFont"/>
    <w:link w:val="Quote"/>
    <w:uiPriority w:val="99"/>
    <w:semiHidden/>
    <w:rsid w:val="00A861D0"/>
    <w:rPr>
      <w:rFonts w:eastAsiaTheme="minorEastAsia"/>
      <w:i/>
      <w:iCs/>
      <w:sz w:val="24"/>
      <w:lang w:val="en-GB" w:bidi="en-US"/>
    </w:rPr>
  </w:style>
  <w:style w:type="character" w:styleId="SubtleReference">
    <w:name w:val="Subtle Reference"/>
    <w:uiPriority w:val="99"/>
    <w:semiHidden/>
    <w:qFormat/>
    <w:rsid w:val="00A861D0"/>
    <w:rPr>
      <w:smallCaps/>
    </w:rPr>
  </w:style>
  <w:style w:type="table" w:styleId="TableGrid">
    <w:name w:val="Table Grid"/>
    <w:basedOn w:val="TableNormal"/>
    <w:uiPriority w:val="59"/>
    <w:semiHidden/>
    <w:rsid w:val="00A861D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861D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861D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861D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861D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861D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861D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861D0"/>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861D0"/>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861D0"/>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861D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A861D0"/>
    <w:pPr>
      <w:spacing w:before="120" w:after="120"/>
      <w:ind w:left="425" w:firstLine="142"/>
    </w:pPr>
    <w:rPr>
      <w:sz w:val="20"/>
    </w:rPr>
  </w:style>
  <w:style w:type="paragraph" w:customStyle="1" w:styleId="JuPara">
    <w:name w:val="Ju_Para"/>
    <w:aliases w:val="_Para"/>
    <w:basedOn w:val="NormalJustified"/>
    <w:link w:val="JuParaChar"/>
    <w:uiPriority w:val="8"/>
    <w:qFormat/>
    <w:rsid w:val="00A861D0"/>
    <w:pPr>
      <w:ind w:firstLine="284"/>
    </w:pPr>
  </w:style>
  <w:style w:type="table" w:customStyle="1" w:styleId="ECHRTableSimpleBox">
    <w:name w:val="ECHR_Table_Simple_Box"/>
    <w:basedOn w:val="TableNormal"/>
    <w:uiPriority w:val="99"/>
    <w:rsid w:val="00A861D0"/>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861D0"/>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A861D0"/>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1403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A861D0"/>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A861D0"/>
    <w:pPr>
      <w:tabs>
        <w:tab w:val="left" w:pos="567"/>
        <w:tab w:val="left" w:pos="1134"/>
      </w:tabs>
    </w:pPr>
  </w:style>
  <w:style w:type="table" w:customStyle="1" w:styleId="ECHRHeaderTableReduced">
    <w:name w:val="ECHR_Header_Table_Reduced"/>
    <w:basedOn w:val="TableNormal"/>
    <w:uiPriority w:val="99"/>
    <w:rsid w:val="00A861D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A861D0"/>
    <w:pPr>
      <w:numPr>
        <w:numId w:val="4"/>
      </w:numPr>
      <w:spacing w:before="280" w:after="60"/>
    </w:pPr>
    <w:rPr>
      <w:rFonts w:eastAsiaTheme="minorHAnsi"/>
    </w:rPr>
  </w:style>
  <w:style w:type="paragraph" w:customStyle="1" w:styleId="JuSigned">
    <w:name w:val="Ju_Signed"/>
    <w:aliases w:val="_Signature"/>
    <w:basedOn w:val="Normal"/>
    <w:next w:val="JuPara"/>
    <w:uiPriority w:val="30"/>
    <w:qFormat/>
    <w:rsid w:val="00A861D0"/>
    <w:pPr>
      <w:tabs>
        <w:tab w:val="center" w:pos="851"/>
        <w:tab w:val="center" w:pos="6407"/>
      </w:tabs>
      <w:spacing w:before="720"/>
    </w:pPr>
  </w:style>
  <w:style w:type="paragraph" w:customStyle="1" w:styleId="JuParaLast">
    <w:name w:val="Ju_Para_Last"/>
    <w:aliases w:val="_Para_Spaced"/>
    <w:basedOn w:val="NormalJustified"/>
    <w:uiPriority w:val="9"/>
    <w:qFormat/>
    <w:rsid w:val="00A861D0"/>
    <w:pPr>
      <w:keepNext/>
      <w:keepLines/>
      <w:spacing w:before="240" w:after="240"/>
      <w:ind w:firstLine="284"/>
    </w:pPr>
    <w:rPr>
      <w:rFonts w:eastAsiaTheme="minorHAnsi"/>
    </w:rPr>
  </w:style>
  <w:style w:type="paragraph" w:customStyle="1" w:styleId="JuCourt">
    <w:name w:val="Ju_Court"/>
    <w:basedOn w:val="Normal"/>
    <w:next w:val="Normal"/>
    <w:uiPriority w:val="31"/>
    <w:qFormat/>
    <w:rsid w:val="00A861D0"/>
    <w:pPr>
      <w:tabs>
        <w:tab w:val="left" w:pos="907"/>
        <w:tab w:val="left" w:pos="1701"/>
        <w:tab w:val="right" w:pos="7371"/>
      </w:tabs>
      <w:spacing w:before="240"/>
      <w:ind w:left="397" w:hanging="397"/>
    </w:pPr>
    <w:rPr>
      <w:lang w:bidi="en-US"/>
    </w:rPr>
  </w:style>
  <w:style w:type="character" w:styleId="PageNumber">
    <w:name w:val="page number"/>
    <w:uiPriority w:val="99"/>
    <w:semiHidden/>
    <w:rsid w:val="00A861D0"/>
    <w:rPr>
      <w:sz w:val="18"/>
    </w:rPr>
  </w:style>
  <w:style w:type="paragraph" w:customStyle="1" w:styleId="JuLista">
    <w:name w:val="Ju_List_a"/>
    <w:aliases w:val="_List_2"/>
    <w:basedOn w:val="NormalJustified"/>
    <w:uiPriority w:val="23"/>
    <w:rsid w:val="00A861D0"/>
    <w:pPr>
      <w:numPr>
        <w:ilvl w:val="1"/>
        <w:numId w:val="4"/>
      </w:numPr>
    </w:pPr>
  </w:style>
  <w:style w:type="paragraph" w:customStyle="1" w:styleId="JuListi">
    <w:name w:val="Ju_List_i"/>
    <w:aliases w:val="_List_3"/>
    <w:basedOn w:val="NormalJustified"/>
    <w:uiPriority w:val="23"/>
    <w:rsid w:val="00A861D0"/>
    <w:pPr>
      <w:numPr>
        <w:ilvl w:val="2"/>
        <w:numId w:val="4"/>
      </w:numPr>
    </w:pPr>
  </w:style>
  <w:style w:type="character" w:styleId="CommentReference">
    <w:name w:val="annotation reference"/>
    <w:basedOn w:val="DefaultParagraphFont"/>
    <w:uiPriority w:val="99"/>
    <w:semiHidden/>
    <w:rsid w:val="00A861D0"/>
    <w:rPr>
      <w:sz w:val="16"/>
      <w:szCs w:val="16"/>
    </w:rPr>
  </w:style>
  <w:style w:type="paragraph" w:styleId="CommentText">
    <w:name w:val="annotation text"/>
    <w:basedOn w:val="Normal"/>
    <w:link w:val="CommentTextChar"/>
    <w:semiHidden/>
    <w:rsid w:val="00A861D0"/>
    <w:rPr>
      <w:sz w:val="20"/>
      <w:szCs w:val="20"/>
    </w:rPr>
  </w:style>
  <w:style w:type="character" w:customStyle="1" w:styleId="CommentTextChar">
    <w:name w:val="Comment Text Char"/>
    <w:basedOn w:val="DefaultParagraphFont"/>
    <w:link w:val="CommentText"/>
    <w:semiHidden/>
    <w:rsid w:val="00A861D0"/>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A861D0"/>
    <w:rPr>
      <w:b/>
      <w:bCs/>
    </w:rPr>
  </w:style>
  <w:style w:type="character" w:customStyle="1" w:styleId="CommentSubjectChar">
    <w:name w:val="Comment Subject Char"/>
    <w:basedOn w:val="CommentTextChar"/>
    <w:link w:val="CommentSubject"/>
    <w:uiPriority w:val="99"/>
    <w:semiHidden/>
    <w:rsid w:val="00A861D0"/>
    <w:rPr>
      <w:rFonts w:eastAsiaTheme="minorEastAsia"/>
      <w:b/>
      <w:bCs/>
      <w:sz w:val="20"/>
      <w:szCs w:val="20"/>
      <w:lang w:val="en-GB"/>
    </w:rPr>
  </w:style>
  <w:style w:type="character" w:styleId="EndnoteReference">
    <w:name w:val="endnote reference"/>
    <w:basedOn w:val="DefaultParagraphFont"/>
    <w:uiPriority w:val="99"/>
    <w:semiHidden/>
    <w:rsid w:val="00A861D0"/>
    <w:rPr>
      <w:vertAlign w:val="superscript"/>
    </w:rPr>
  </w:style>
  <w:style w:type="paragraph" w:styleId="EndnoteText">
    <w:name w:val="endnote text"/>
    <w:basedOn w:val="Normal"/>
    <w:link w:val="EndnoteTextChar"/>
    <w:uiPriority w:val="99"/>
    <w:semiHidden/>
    <w:rsid w:val="00A861D0"/>
    <w:rPr>
      <w:sz w:val="20"/>
      <w:szCs w:val="20"/>
    </w:rPr>
  </w:style>
  <w:style w:type="character" w:customStyle="1" w:styleId="EndnoteTextChar">
    <w:name w:val="Endnote Text Char"/>
    <w:basedOn w:val="DefaultParagraphFont"/>
    <w:link w:val="EndnoteText"/>
    <w:uiPriority w:val="99"/>
    <w:semiHidden/>
    <w:rsid w:val="00A861D0"/>
    <w:rPr>
      <w:rFonts w:eastAsiaTheme="minorEastAsia"/>
      <w:sz w:val="20"/>
      <w:szCs w:val="20"/>
      <w:lang w:val="en-GB"/>
    </w:rPr>
  </w:style>
  <w:style w:type="character" w:styleId="FollowedHyperlink">
    <w:name w:val="FollowedHyperlink"/>
    <w:basedOn w:val="DefaultParagraphFont"/>
    <w:uiPriority w:val="99"/>
    <w:semiHidden/>
    <w:rsid w:val="00A861D0"/>
    <w:rPr>
      <w:color w:val="7030A0" w:themeColor="followedHyperlink"/>
      <w:u w:val="single"/>
    </w:rPr>
  </w:style>
  <w:style w:type="paragraph" w:styleId="DocumentMap">
    <w:name w:val="Document Map"/>
    <w:basedOn w:val="Normal"/>
    <w:link w:val="DocumentMapChar"/>
    <w:uiPriority w:val="99"/>
    <w:semiHidden/>
    <w:rsid w:val="00A861D0"/>
    <w:rPr>
      <w:rFonts w:ascii="Tahoma" w:hAnsi="Tahoma" w:cs="Tahoma"/>
      <w:sz w:val="16"/>
      <w:szCs w:val="16"/>
    </w:rPr>
  </w:style>
  <w:style w:type="character" w:customStyle="1" w:styleId="DocumentMapChar">
    <w:name w:val="Document Map Char"/>
    <w:basedOn w:val="DefaultParagraphFont"/>
    <w:link w:val="DocumentMap"/>
    <w:uiPriority w:val="99"/>
    <w:semiHidden/>
    <w:rsid w:val="00A861D0"/>
    <w:rPr>
      <w:rFonts w:ascii="Tahoma" w:eastAsiaTheme="minorEastAsia" w:hAnsi="Tahoma" w:cs="Tahoma"/>
      <w:sz w:val="16"/>
      <w:szCs w:val="16"/>
      <w:lang w:val="en-GB"/>
    </w:rPr>
  </w:style>
  <w:style w:type="character" w:customStyle="1" w:styleId="JuNames0">
    <w:name w:val="Ju_Names"/>
    <w:rsid w:val="00014566"/>
    <w:rPr>
      <w:smallCaps/>
    </w:rPr>
  </w:style>
  <w:style w:type="paragraph" w:styleId="ListBullet">
    <w:name w:val="List Bullet"/>
    <w:basedOn w:val="Normal"/>
    <w:uiPriority w:val="99"/>
    <w:semiHidden/>
    <w:rsid w:val="00A861D0"/>
    <w:pPr>
      <w:numPr>
        <w:numId w:val="11"/>
      </w:numPr>
    </w:pPr>
  </w:style>
  <w:style w:type="character" w:customStyle="1" w:styleId="JuITMark">
    <w:name w:val="Ju_ITMark"/>
    <w:basedOn w:val="DefaultParagraphFont"/>
    <w:uiPriority w:val="38"/>
    <w:qFormat/>
    <w:rsid w:val="00A861D0"/>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861D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861D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861D0"/>
    <w:pPr>
      <w:numPr>
        <w:numId w:val="5"/>
      </w:numPr>
    </w:pPr>
  </w:style>
  <w:style w:type="numbering" w:styleId="1ai">
    <w:name w:val="Outline List 1"/>
    <w:basedOn w:val="NoList"/>
    <w:uiPriority w:val="99"/>
    <w:semiHidden/>
    <w:unhideWhenUsed/>
    <w:rsid w:val="00A861D0"/>
    <w:pPr>
      <w:numPr>
        <w:numId w:val="6"/>
      </w:numPr>
    </w:pPr>
  </w:style>
  <w:style w:type="numbering" w:styleId="ArticleSection">
    <w:name w:val="Outline List 3"/>
    <w:basedOn w:val="NoList"/>
    <w:uiPriority w:val="99"/>
    <w:semiHidden/>
    <w:unhideWhenUsed/>
    <w:rsid w:val="00A861D0"/>
    <w:pPr>
      <w:numPr>
        <w:numId w:val="7"/>
      </w:numPr>
    </w:pPr>
  </w:style>
  <w:style w:type="paragraph" w:styleId="Bibliography">
    <w:name w:val="Bibliography"/>
    <w:basedOn w:val="Normal"/>
    <w:next w:val="Normal"/>
    <w:uiPriority w:val="99"/>
    <w:semiHidden/>
    <w:rsid w:val="00A861D0"/>
  </w:style>
  <w:style w:type="paragraph" w:styleId="BlockText">
    <w:name w:val="Block Text"/>
    <w:basedOn w:val="Normal"/>
    <w:uiPriority w:val="99"/>
    <w:semiHidden/>
    <w:rsid w:val="00A861D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A861D0"/>
    <w:pPr>
      <w:spacing w:after="120"/>
    </w:pPr>
  </w:style>
  <w:style w:type="character" w:customStyle="1" w:styleId="BodyTextChar">
    <w:name w:val="Body Text Char"/>
    <w:basedOn w:val="DefaultParagraphFont"/>
    <w:link w:val="BodyText"/>
    <w:uiPriority w:val="99"/>
    <w:semiHidden/>
    <w:rsid w:val="00A861D0"/>
    <w:rPr>
      <w:rFonts w:eastAsiaTheme="minorEastAsia"/>
      <w:sz w:val="24"/>
      <w:lang w:val="en-GB"/>
    </w:rPr>
  </w:style>
  <w:style w:type="paragraph" w:styleId="BodyText2">
    <w:name w:val="Body Text 2"/>
    <w:basedOn w:val="Normal"/>
    <w:link w:val="BodyText2Char"/>
    <w:uiPriority w:val="99"/>
    <w:semiHidden/>
    <w:rsid w:val="00A861D0"/>
    <w:pPr>
      <w:spacing w:after="120" w:line="480" w:lineRule="auto"/>
    </w:pPr>
  </w:style>
  <w:style w:type="character" w:customStyle="1" w:styleId="BodyText2Char">
    <w:name w:val="Body Text 2 Char"/>
    <w:basedOn w:val="DefaultParagraphFont"/>
    <w:link w:val="BodyText2"/>
    <w:uiPriority w:val="99"/>
    <w:semiHidden/>
    <w:rsid w:val="00A861D0"/>
    <w:rPr>
      <w:rFonts w:eastAsiaTheme="minorEastAsia"/>
      <w:sz w:val="24"/>
      <w:lang w:val="en-GB"/>
    </w:rPr>
  </w:style>
  <w:style w:type="paragraph" w:styleId="BodyText3">
    <w:name w:val="Body Text 3"/>
    <w:basedOn w:val="Normal"/>
    <w:link w:val="BodyText3Char"/>
    <w:uiPriority w:val="99"/>
    <w:semiHidden/>
    <w:rsid w:val="00A861D0"/>
    <w:pPr>
      <w:spacing w:after="120"/>
    </w:pPr>
    <w:rPr>
      <w:sz w:val="16"/>
      <w:szCs w:val="16"/>
    </w:rPr>
  </w:style>
  <w:style w:type="character" w:customStyle="1" w:styleId="BodyText3Char">
    <w:name w:val="Body Text 3 Char"/>
    <w:basedOn w:val="DefaultParagraphFont"/>
    <w:link w:val="BodyText3"/>
    <w:uiPriority w:val="99"/>
    <w:semiHidden/>
    <w:rsid w:val="00A861D0"/>
    <w:rPr>
      <w:rFonts w:eastAsiaTheme="minorEastAsia"/>
      <w:sz w:val="16"/>
      <w:szCs w:val="16"/>
      <w:lang w:val="en-GB"/>
    </w:rPr>
  </w:style>
  <w:style w:type="paragraph" w:styleId="BodyTextFirstIndent">
    <w:name w:val="Body Text First Indent"/>
    <w:basedOn w:val="BodyText"/>
    <w:link w:val="BodyTextFirstIndentChar"/>
    <w:uiPriority w:val="99"/>
    <w:semiHidden/>
    <w:rsid w:val="00A861D0"/>
    <w:pPr>
      <w:spacing w:after="0"/>
      <w:ind w:firstLine="360"/>
    </w:pPr>
  </w:style>
  <w:style w:type="character" w:customStyle="1" w:styleId="BodyTextFirstIndentChar">
    <w:name w:val="Body Text First Indent Char"/>
    <w:basedOn w:val="BodyTextChar"/>
    <w:link w:val="BodyTextFirstIndent"/>
    <w:uiPriority w:val="99"/>
    <w:semiHidden/>
    <w:rsid w:val="00A861D0"/>
    <w:rPr>
      <w:rFonts w:eastAsiaTheme="minorEastAsia"/>
      <w:sz w:val="24"/>
      <w:lang w:val="en-GB"/>
    </w:rPr>
  </w:style>
  <w:style w:type="paragraph" w:styleId="BodyTextIndent">
    <w:name w:val="Body Text Indent"/>
    <w:basedOn w:val="Normal"/>
    <w:link w:val="BodyTextIndentChar"/>
    <w:uiPriority w:val="99"/>
    <w:semiHidden/>
    <w:rsid w:val="00A861D0"/>
    <w:pPr>
      <w:spacing w:after="120"/>
      <w:ind w:left="283"/>
    </w:pPr>
  </w:style>
  <w:style w:type="character" w:customStyle="1" w:styleId="BodyTextIndentChar">
    <w:name w:val="Body Text Indent Char"/>
    <w:basedOn w:val="DefaultParagraphFont"/>
    <w:link w:val="BodyTextIndent"/>
    <w:uiPriority w:val="99"/>
    <w:semiHidden/>
    <w:rsid w:val="00A861D0"/>
    <w:rPr>
      <w:rFonts w:eastAsiaTheme="minorEastAsia"/>
      <w:sz w:val="24"/>
      <w:lang w:val="en-GB"/>
    </w:rPr>
  </w:style>
  <w:style w:type="paragraph" w:styleId="BodyTextFirstIndent2">
    <w:name w:val="Body Text First Indent 2"/>
    <w:basedOn w:val="BodyTextIndent"/>
    <w:link w:val="BodyTextFirstIndent2Char"/>
    <w:uiPriority w:val="99"/>
    <w:semiHidden/>
    <w:rsid w:val="00A861D0"/>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61D0"/>
    <w:rPr>
      <w:rFonts w:eastAsiaTheme="minorEastAsia"/>
      <w:sz w:val="24"/>
      <w:lang w:val="en-GB"/>
    </w:rPr>
  </w:style>
  <w:style w:type="paragraph" w:styleId="BodyTextIndent2">
    <w:name w:val="Body Text Indent 2"/>
    <w:basedOn w:val="Normal"/>
    <w:link w:val="BodyTextIndent2Char"/>
    <w:uiPriority w:val="99"/>
    <w:semiHidden/>
    <w:rsid w:val="00A861D0"/>
    <w:pPr>
      <w:spacing w:after="120" w:line="480" w:lineRule="auto"/>
      <w:ind w:left="283"/>
    </w:pPr>
  </w:style>
  <w:style w:type="character" w:customStyle="1" w:styleId="BodyTextIndent2Char">
    <w:name w:val="Body Text Indent 2 Char"/>
    <w:basedOn w:val="DefaultParagraphFont"/>
    <w:link w:val="BodyTextIndent2"/>
    <w:uiPriority w:val="99"/>
    <w:semiHidden/>
    <w:rsid w:val="00A861D0"/>
    <w:rPr>
      <w:rFonts w:eastAsiaTheme="minorEastAsia"/>
      <w:sz w:val="24"/>
      <w:lang w:val="en-GB"/>
    </w:rPr>
  </w:style>
  <w:style w:type="paragraph" w:styleId="BodyTextIndent3">
    <w:name w:val="Body Text Indent 3"/>
    <w:basedOn w:val="Normal"/>
    <w:link w:val="BodyTextIndent3Char"/>
    <w:uiPriority w:val="99"/>
    <w:semiHidden/>
    <w:rsid w:val="00A861D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61D0"/>
    <w:rPr>
      <w:rFonts w:eastAsiaTheme="minorEastAsia"/>
      <w:sz w:val="16"/>
      <w:szCs w:val="16"/>
      <w:lang w:val="en-GB"/>
    </w:rPr>
  </w:style>
  <w:style w:type="paragraph" w:styleId="Caption">
    <w:name w:val="caption"/>
    <w:basedOn w:val="Normal"/>
    <w:next w:val="Normal"/>
    <w:uiPriority w:val="99"/>
    <w:semiHidden/>
    <w:qFormat/>
    <w:rsid w:val="00A861D0"/>
    <w:pPr>
      <w:spacing w:after="200"/>
    </w:pPr>
    <w:rPr>
      <w:b/>
      <w:bCs/>
      <w:color w:val="0072BC" w:themeColor="accent1"/>
      <w:sz w:val="18"/>
      <w:szCs w:val="18"/>
    </w:rPr>
  </w:style>
  <w:style w:type="paragraph" w:styleId="Closing">
    <w:name w:val="Closing"/>
    <w:basedOn w:val="Normal"/>
    <w:link w:val="ClosingChar"/>
    <w:uiPriority w:val="99"/>
    <w:semiHidden/>
    <w:rsid w:val="00A861D0"/>
    <w:pPr>
      <w:ind w:left="4252"/>
    </w:pPr>
  </w:style>
  <w:style w:type="character" w:customStyle="1" w:styleId="ClosingChar">
    <w:name w:val="Closing Char"/>
    <w:basedOn w:val="DefaultParagraphFont"/>
    <w:link w:val="Closing"/>
    <w:uiPriority w:val="99"/>
    <w:semiHidden/>
    <w:rsid w:val="00A861D0"/>
    <w:rPr>
      <w:rFonts w:eastAsiaTheme="minorEastAsia"/>
      <w:sz w:val="24"/>
      <w:lang w:val="en-GB"/>
    </w:rPr>
  </w:style>
  <w:style w:type="table" w:styleId="ColorfulGrid">
    <w:name w:val="Colorful Grid"/>
    <w:basedOn w:val="TableNormal"/>
    <w:uiPriority w:val="73"/>
    <w:semiHidden/>
    <w:rsid w:val="00A861D0"/>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861D0"/>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861D0"/>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861D0"/>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861D0"/>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861D0"/>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861D0"/>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861D0"/>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861D0"/>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861D0"/>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861D0"/>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861D0"/>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861D0"/>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861D0"/>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861D0"/>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861D0"/>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861D0"/>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861D0"/>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861D0"/>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861D0"/>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861D0"/>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A861D0"/>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861D0"/>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861D0"/>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861D0"/>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861D0"/>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861D0"/>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861D0"/>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861D0"/>
  </w:style>
  <w:style w:type="character" w:customStyle="1" w:styleId="DateChar">
    <w:name w:val="Date Char"/>
    <w:basedOn w:val="DefaultParagraphFont"/>
    <w:link w:val="Date"/>
    <w:uiPriority w:val="99"/>
    <w:semiHidden/>
    <w:rsid w:val="00A861D0"/>
    <w:rPr>
      <w:rFonts w:eastAsiaTheme="minorEastAsia"/>
      <w:sz w:val="24"/>
      <w:lang w:val="en-GB"/>
    </w:rPr>
  </w:style>
  <w:style w:type="paragraph" w:styleId="E-mailSignature">
    <w:name w:val="E-mail Signature"/>
    <w:basedOn w:val="Normal"/>
    <w:link w:val="E-mailSignatureChar"/>
    <w:uiPriority w:val="99"/>
    <w:semiHidden/>
    <w:rsid w:val="00A861D0"/>
  </w:style>
  <w:style w:type="character" w:customStyle="1" w:styleId="E-mailSignatureChar">
    <w:name w:val="E-mail Signature Char"/>
    <w:basedOn w:val="DefaultParagraphFont"/>
    <w:link w:val="E-mailSignature"/>
    <w:uiPriority w:val="99"/>
    <w:semiHidden/>
    <w:rsid w:val="00A861D0"/>
    <w:rPr>
      <w:rFonts w:eastAsiaTheme="minorEastAsia"/>
      <w:sz w:val="24"/>
      <w:lang w:val="en-GB"/>
    </w:rPr>
  </w:style>
  <w:style w:type="paragraph" w:styleId="EnvelopeAddress">
    <w:name w:val="envelope address"/>
    <w:basedOn w:val="Normal"/>
    <w:uiPriority w:val="99"/>
    <w:semiHidden/>
    <w:rsid w:val="00A861D0"/>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A861D0"/>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A861D0"/>
  </w:style>
  <w:style w:type="paragraph" w:styleId="HTMLAddress">
    <w:name w:val="HTML Address"/>
    <w:basedOn w:val="Normal"/>
    <w:link w:val="HTMLAddressChar"/>
    <w:uiPriority w:val="99"/>
    <w:semiHidden/>
    <w:rsid w:val="00A861D0"/>
    <w:rPr>
      <w:i/>
      <w:iCs/>
    </w:rPr>
  </w:style>
  <w:style w:type="character" w:customStyle="1" w:styleId="HTMLAddressChar">
    <w:name w:val="HTML Address Char"/>
    <w:basedOn w:val="DefaultParagraphFont"/>
    <w:link w:val="HTMLAddress"/>
    <w:uiPriority w:val="99"/>
    <w:semiHidden/>
    <w:rsid w:val="00A861D0"/>
    <w:rPr>
      <w:rFonts w:eastAsiaTheme="minorEastAsia"/>
      <w:i/>
      <w:iCs/>
      <w:sz w:val="24"/>
      <w:lang w:val="en-GB"/>
    </w:rPr>
  </w:style>
  <w:style w:type="character" w:styleId="HTMLCite">
    <w:name w:val="HTML Cite"/>
    <w:basedOn w:val="DefaultParagraphFont"/>
    <w:uiPriority w:val="99"/>
    <w:semiHidden/>
    <w:rsid w:val="00A861D0"/>
    <w:rPr>
      <w:i/>
      <w:iCs/>
    </w:rPr>
  </w:style>
  <w:style w:type="character" w:styleId="HTMLCode">
    <w:name w:val="HTML Code"/>
    <w:basedOn w:val="DefaultParagraphFont"/>
    <w:uiPriority w:val="99"/>
    <w:semiHidden/>
    <w:rsid w:val="00A861D0"/>
    <w:rPr>
      <w:rFonts w:ascii="Consolas" w:hAnsi="Consolas" w:cs="Consolas"/>
      <w:sz w:val="20"/>
      <w:szCs w:val="20"/>
    </w:rPr>
  </w:style>
  <w:style w:type="character" w:styleId="HTMLDefinition">
    <w:name w:val="HTML Definition"/>
    <w:basedOn w:val="DefaultParagraphFont"/>
    <w:uiPriority w:val="99"/>
    <w:semiHidden/>
    <w:rsid w:val="00A861D0"/>
    <w:rPr>
      <w:i/>
      <w:iCs/>
    </w:rPr>
  </w:style>
  <w:style w:type="character" w:styleId="HTMLKeyboard">
    <w:name w:val="HTML Keyboard"/>
    <w:basedOn w:val="DefaultParagraphFont"/>
    <w:uiPriority w:val="99"/>
    <w:semiHidden/>
    <w:rsid w:val="00A861D0"/>
    <w:rPr>
      <w:rFonts w:ascii="Consolas" w:hAnsi="Consolas" w:cs="Consolas"/>
      <w:sz w:val="20"/>
      <w:szCs w:val="20"/>
    </w:rPr>
  </w:style>
  <w:style w:type="paragraph" w:styleId="HTMLPreformatted">
    <w:name w:val="HTML Preformatted"/>
    <w:basedOn w:val="Normal"/>
    <w:link w:val="HTMLPreformattedChar"/>
    <w:uiPriority w:val="99"/>
    <w:semiHidden/>
    <w:rsid w:val="00A861D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861D0"/>
    <w:rPr>
      <w:rFonts w:ascii="Consolas" w:eastAsiaTheme="minorEastAsia" w:hAnsi="Consolas" w:cs="Consolas"/>
      <w:sz w:val="20"/>
      <w:szCs w:val="20"/>
      <w:lang w:val="en-GB"/>
    </w:rPr>
  </w:style>
  <w:style w:type="character" w:styleId="HTMLSample">
    <w:name w:val="HTML Sample"/>
    <w:basedOn w:val="DefaultParagraphFont"/>
    <w:uiPriority w:val="99"/>
    <w:semiHidden/>
    <w:rsid w:val="00A861D0"/>
    <w:rPr>
      <w:rFonts w:ascii="Consolas" w:hAnsi="Consolas" w:cs="Consolas"/>
      <w:sz w:val="24"/>
      <w:szCs w:val="24"/>
    </w:rPr>
  </w:style>
  <w:style w:type="character" w:styleId="HTMLTypewriter">
    <w:name w:val="HTML Typewriter"/>
    <w:basedOn w:val="DefaultParagraphFont"/>
    <w:uiPriority w:val="99"/>
    <w:semiHidden/>
    <w:rsid w:val="00A861D0"/>
    <w:rPr>
      <w:rFonts w:ascii="Consolas" w:hAnsi="Consolas" w:cs="Consolas"/>
      <w:sz w:val="20"/>
      <w:szCs w:val="20"/>
    </w:rPr>
  </w:style>
  <w:style w:type="character" w:styleId="HTMLVariable">
    <w:name w:val="HTML Variable"/>
    <w:basedOn w:val="DefaultParagraphFont"/>
    <w:uiPriority w:val="99"/>
    <w:semiHidden/>
    <w:rsid w:val="00A861D0"/>
    <w:rPr>
      <w:i/>
      <w:iCs/>
    </w:rPr>
  </w:style>
  <w:style w:type="paragraph" w:styleId="Index1">
    <w:name w:val="index 1"/>
    <w:basedOn w:val="Normal"/>
    <w:next w:val="Normal"/>
    <w:autoRedefine/>
    <w:uiPriority w:val="99"/>
    <w:semiHidden/>
    <w:rsid w:val="00A861D0"/>
    <w:pPr>
      <w:ind w:left="240" w:hanging="240"/>
    </w:pPr>
  </w:style>
  <w:style w:type="paragraph" w:styleId="Index2">
    <w:name w:val="index 2"/>
    <w:basedOn w:val="Normal"/>
    <w:next w:val="Normal"/>
    <w:autoRedefine/>
    <w:uiPriority w:val="99"/>
    <w:semiHidden/>
    <w:rsid w:val="00A861D0"/>
    <w:pPr>
      <w:ind w:left="480" w:hanging="240"/>
    </w:pPr>
  </w:style>
  <w:style w:type="paragraph" w:styleId="Index3">
    <w:name w:val="index 3"/>
    <w:basedOn w:val="Normal"/>
    <w:next w:val="Normal"/>
    <w:autoRedefine/>
    <w:uiPriority w:val="99"/>
    <w:semiHidden/>
    <w:rsid w:val="00A861D0"/>
    <w:pPr>
      <w:ind w:left="720" w:hanging="240"/>
    </w:pPr>
  </w:style>
  <w:style w:type="paragraph" w:styleId="Index4">
    <w:name w:val="index 4"/>
    <w:basedOn w:val="Normal"/>
    <w:next w:val="Normal"/>
    <w:autoRedefine/>
    <w:uiPriority w:val="99"/>
    <w:semiHidden/>
    <w:rsid w:val="00A861D0"/>
    <w:pPr>
      <w:ind w:left="960" w:hanging="240"/>
    </w:pPr>
  </w:style>
  <w:style w:type="paragraph" w:styleId="Index5">
    <w:name w:val="index 5"/>
    <w:basedOn w:val="Normal"/>
    <w:next w:val="Normal"/>
    <w:autoRedefine/>
    <w:uiPriority w:val="99"/>
    <w:semiHidden/>
    <w:rsid w:val="00A861D0"/>
    <w:pPr>
      <w:ind w:left="1200" w:hanging="240"/>
    </w:pPr>
  </w:style>
  <w:style w:type="paragraph" w:styleId="Index6">
    <w:name w:val="index 6"/>
    <w:basedOn w:val="Normal"/>
    <w:next w:val="Normal"/>
    <w:autoRedefine/>
    <w:uiPriority w:val="99"/>
    <w:semiHidden/>
    <w:rsid w:val="00A861D0"/>
    <w:pPr>
      <w:ind w:left="1440" w:hanging="240"/>
    </w:pPr>
  </w:style>
  <w:style w:type="paragraph" w:styleId="Index7">
    <w:name w:val="index 7"/>
    <w:basedOn w:val="Normal"/>
    <w:next w:val="Normal"/>
    <w:autoRedefine/>
    <w:uiPriority w:val="99"/>
    <w:semiHidden/>
    <w:rsid w:val="00A861D0"/>
    <w:pPr>
      <w:ind w:left="1680" w:hanging="240"/>
    </w:pPr>
  </w:style>
  <w:style w:type="paragraph" w:styleId="Index8">
    <w:name w:val="index 8"/>
    <w:basedOn w:val="Normal"/>
    <w:next w:val="Normal"/>
    <w:autoRedefine/>
    <w:uiPriority w:val="99"/>
    <w:semiHidden/>
    <w:rsid w:val="00A861D0"/>
    <w:pPr>
      <w:ind w:left="1920" w:hanging="240"/>
    </w:pPr>
  </w:style>
  <w:style w:type="paragraph" w:styleId="Index9">
    <w:name w:val="index 9"/>
    <w:basedOn w:val="Normal"/>
    <w:next w:val="Normal"/>
    <w:autoRedefine/>
    <w:uiPriority w:val="99"/>
    <w:semiHidden/>
    <w:rsid w:val="00A861D0"/>
    <w:pPr>
      <w:ind w:left="2160" w:hanging="240"/>
    </w:pPr>
  </w:style>
  <w:style w:type="paragraph" w:styleId="IndexHeading">
    <w:name w:val="index heading"/>
    <w:basedOn w:val="Normal"/>
    <w:next w:val="Index1"/>
    <w:uiPriority w:val="99"/>
    <w:semiHidden/>
    <w:rsid w:val="00A861D0"/>
    <w:rPr>
      <w:rFonts w:asciiTheme="majorHAnsi" w:eastAsiaTheme="majorEastAsia" w:hAnsiTheme="majorHAnsi" w:cstheme="majorBidi"/>
      <w:b/>
      <w:bCs/>
    </w:rPr>
  </w:style>
  <w:style w:type="table" w:styleId="LightGrid">
    <w:name w:val="Light Grid"/>
    <w:basedOn w:val="TableNormal"/>
    <w:uiPriority w:val="62"/>
    <w:semiHidden/>
    <w:rsid w:val="00A861D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861D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861D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861D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861D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861D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861D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861D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861D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861D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861D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861D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861D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861D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861D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861D0"/>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861D0"/>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861D0"/>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861D0"/>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861D0"/>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861D0"/>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861D0"/>
  </w:style>
  <w:style w:type="paragraph" w:styleId="List">
    <w:name w:val="List"/>
    <w:basedOn w:val="Normal"/>
    <w:uiPriority w:val="99"/>
    <w:semiHidden/>
    <w:rsid w:val="00A861D0"/>
    <w:pPr>
      <w:ind w:left="283" w:hanging="283"/>
      <w:contextualSpacing/>
    </w:pPr>
  </w:style>
  <w:style w:type="paragraph" w:styleId="List2">
    <w:name w:val="List 2"/>
    <w:basedOn w:val="Normal"/>
    <w:uiPriority w:val="99"/>
    <w:semiHidden/>
    <w:rsid w:val="00A861D0"/>
    <w:pPr>
      <w:ind w:left="566" w:hanging="283"/>
      <w:contextualSpacing/>
    </w:pPr>
  </w:style>
  <w:style w:type="paragraph" w:styleId="List3">
    <w:name w:val="List 3"/>
    <w:basedOn w:val="Normal"/>
    <w:uiPriority w:val="99"/>
    <w:semiHidden/>
    <w:rsid w:val="00A861D0"/>
    <w:pPr>
      <w:ind w:left="849" w:hanging="283"/>
      <w:contextualSpacing/>
    </w:pPr>
  </w:style>
  <w:style w:type="paragraph" w:styleId="List4">
    <w:name w:val="List 4"/>
    <w:basedOn w:val="Normal"/>
    <w:uiPriority w:val="99"/>
    <w:semiHidden/>
    <w:rsid w:val="00A861D0"/>
    <w:pPr>
      <w:ind w:left="1132" w:hanging="283"/>
      <w:contextualSpacing/>
    </w:pPr>
  </w:style>
  <w:style w:type="paragraph" w:styleId="List5">
    <w:name w:val="List 5"/>
    <w:basedOn w:val="Normal"/>
    <w:uiPriority w:val="99"/>
    <w:semiHidden/>
    <w:rsid w:val="00A861D0"/>
    <w:pPr>
      <w:ind w:left="1415" w:hanging="283"/>
      <w:contextualSpacing/>
    </w:pPr>
  </w:style>
  <w:style w:type="paragraph" w:styleId="ListBullet2">
    <w:name w:val="List Bullet 2"/>
    <w:basedOn w:val="Normal"/>
    <w:uiPriority w:val="99"/>
    <w:semiHidden/>
    <w:rsid w:val="00A861D0"/>
    <w:pPr>
      <w:numPr>
        <w:numId w:val="12"/>
      </w:numPr>
      <w:contextualSpacing/>
    </w:pPr>
  </w:style>
  <w:style w:type="paragraph" w:styleId="ListBullet3">
    <w:name w:val="List Bullet 3"/>
    <w:basedOn w:val="Normal"/>
    <w:uiPriority w:val="99"/>
    <w:semiHidden/>
    <w:rsid w:val="00A861D0"/>
    <w:pPr>
      <w:numPr>
        <w:numId w:val="13"/>
      </w:numPr>
      <w:contextualSpacing/>
    </w:pPr>
  </w:style>
  <w:style w:type="paragraph" w:styleId="ListBullet4">
    <w:name w:val="List Bullet 4"/>
    <w:basedOn w:val="Normal"/>
    <w:uiPriority w:val="99"/>
    <w:semiHidden/>
    <w:rsid w:val="00A861D0"/>
    <w:pPr>
      <w:numPr>
        <w:numId w:val="14"/>
      </w:numPr>
      <w:contextualSpacing/>
    </w:pPr>
  </w:style>
  <w:style w:type="paragraph" w:styleId="ListBullet5">
    <w:name w:val="List Bullet 5"/>
    <w:basedOn w:val="Normal"/>
    <w:uiPriority w:val="99"/>
    <w:semiHidden/>
    <w:rsid w:val="00A861D0"/>
    <w:pPr>
      <w:numPr>
        <w:numId w:val="15"/>
      </w:numPr>
      <w:contextualSpacing/>
    </w:pPr>
  </w:style>
  <w:style w:type="paragraph" w:styleId="ListContinue">
    <w:name w:val="List Continue"/>
    <w:basedOn w:val="Normal"/>
    <w:uiPriority w:val="99"/>
    <w:semiHidden/>
    <w:rsid w:val="00A861D0"/>
    <w:pPr>
      <w:spacing w:after="120"/>
      <w:ind w:left="283"/>
      <w:contextualSpacing/>
    </w:pPr>
  </w:style>
  <w:style w:type="paragraph" w:styleId="ListContinue2">
    <w:name w:val="List Continue 2"/>
    <w:basedOn w:val="Normal"/>
    <w:uiPriority w:val="99"/>
    <w:semiHidden/>
    <w:rsid w:val="00A861D0"/>
    <w:pPr>
      <w:spacing w:after="120"/>
      <w:ind w:left="566"/>
      <w:contextualSpacing/>
    </w:pPr>
  </w:style>
  <w:style w:type="paragraph" w:styleId="ListContinue3">
    <w:name w:val="List Continue 3"/>
    <w:basedOn w:val="Normal"/>
    <w:uiPriority w:val="99"/>
    <w:semiHidden/>
    <w:rsid w:val="00A861D0"/>
    <w:pPr>
      <w:spacing w:after="120"/>
      <w:ind w:left="849"/>
      <w:contextualSpacing/>
    </w:pPr>
  </w:style>
  <w:style w:type="paragraph" w:styleId="ListContinue4">
    <w:name w:val="List Continue 4"/>
    <w:basedOn w:val="Normal"/>
    <w:uiPriority w:val="99"/>
    <w:semiHidden/>
    <w:rsid w:val="00A861D0"/>
    <w:pPr>
      <w:spacing w:after="120"/>
      <w:ind w:left="1132"/>
      <w:contextualSpacing/>
    </w:pPr>
  </w:style>
  <w:style w:type="paragraph" w:styleId="ListContinue5">
    <w:name w:val="List Continue 5"/>
    <w:basedOn w:val="Normal"/>
    <w:uiPriority w:val="99"/>
    <w:semiHidden/>
    <w:rsid w:val="00A861D0"/>
    <w:pPr>
      <w:spacing w:after="120"/>
      <w:ind w:left="1415"/>
      <w:contextualSpacing/>
    </w:pPr>
  </w:style>
  <w:style w:type="paragraph" w:styleId="ListNumber">
    <w:name w:val="List Number"/>
    <w:basedOn w:val="Normal"/>
    <w:uiPriority w:val="99"/>
    <w:semiHidden/>
    <w:rsid w:val="00A861D0"/>
    <w:pPr>
      <w:numPr>
        <w:numId w:val="16"/>
      </w:numPr>
      <w:contextualSpacing/>
    </w:pPr>
  </w:style>
  <w:style w:type="paragraph" w:styleId="ListNumber2">
    <w:name w:val="List Number 2"/>
    <w:basedOn w:val="Normal"/>
    <w:uiPriority w:val="99"/>
    <w:semiHidden/>
    <w:rsid w:val="00A861D0"/>
    <w:pPr>
      <w:numPr>
        <w:numId w:val="17"/>
      </w:numPr>
      <w:contextualSpacing/>
    </w:pPr>
  </w:style>
  <w:style w:type="paragraph" w:styleId="ListNumber3">
    <w:name w:val="List Number 3"/>
    <w:basedOn w:val="Normal"/>
    <w:uiPriority w:val="99"/>
    <w:semiHidden/>
    <w:rsid w:val="00A861D0"/>
    <w:pPr>
      <w:numPr>
        <w:numId w:val="18"/>
      </w:numPr>
      <w:contextualSpacing/>
    </w:pPr>
  </w:style>
  <w:style w:type="paragraph" w:styleId="ListNumber4">
    <w:name w:val="List Number 4"/>
    <w:basedOn w:val="Normal"/>
    <w:uiPriority w:val="99"/>
    <w:semiHidden/>
    <w:rsid w:val="00A861D0"/>
    <w:pPr>
      <w:numPr>
        <w:numId w:val="19"/>
      </w:numPr>
      <w:contextualSpacing/>
    </w:pPr>
  </w:style>
  <w:style w:type="paragraph" w:styleId="ListNumber5">
    <w:name w:val="List Number 5"/>
    <w:basedOn w:val="Normal"/>
    <w:uiPriority w:val="99"/>
    <w:semiHidden/>
    <w:rsid w:val="00A861D0"/>
    <w:pPr>
      <w:numPr>
        <w:numId w:val="20"/>
      </w:numPr>
      <w:contextualSpacing/>
    </w:pPr>
  </w:style>
  <w:style w:type="paragraph" w:styleId="MacroText">
    <w:name w:val="macro"/>
    <w:link w:val="MacroTextChar"/>
    <w:uiPriority w:val="99"/>
    <w:semiHidden/>
    <w:rsid w:val="00A861D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A861D0"/>
    <w:rPr>
      <w:rFonts w:ascii="Consolas" w:eastAsiaTheme="minorEastAsia" w:hAnsi="Consolas" w:cs="Consolas"/>
      <w:sz w:val="20"/>
      <w:szCs w:val="20"/>
    </w:rPr>
  </w:style>
  <w:style w:type="table" w:styleId="MediumGrid1">
    <w:name w:val="Medium Grid 1"/>
    <w:basedOn w:val="TableNormal"/>
    <w:uiPriority w:val="67"/>
    <w:semiHidden/>
    <w:rsid w:val="00A861D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861D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861D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861D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861D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861D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861D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861D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861D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861D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861D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861D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861D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861D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861D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861D0"/>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861D0"/>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861D0"/>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861D0"/>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861D0"/>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861D0"/>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861D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861D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861D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861D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861D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861D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861D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861D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861D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861D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861D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861D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861D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861D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861D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861D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A861D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A861D0"/>
    <w:rPr>
      <w:rFonts w:ascii="Times New Roman" w:hAnsi="Times New Roman" w:cs="Times New Roman"/>
      <w:szCs w:val="24"/>
    </w:rPr>
  </w:style>
  <w:style w:type="paragraph" w:styleId="NormalIndent">
    <w:name w:val="Normal Indent"/>
    <w:basedOn w:val="Normal"/>
    <w:uiPriority w:val="99"/>
    <w:semiHidden/>
    <w:rsid w:val="00A861D0"/>
    <w:pPr>
      <w:ind w:left="720"/>
    </w:pPr>
  </w:style>
  <w:style w:type="character" w:styleId="PlaceholderText">
    <w:name w:val="Placeholder Text"/>
    <w:basedOn w:val="DefaultParagraphFont"/>
    <w:uiPriority w:val="99"/>
    <w:semiHidden/>
    <w:rsid w:val="00A861D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861D0"/>
    <w:rPr>
      <w:rFonts w:ascii="Consolas" w:hAnsi="Consolas" w:cs="Consolas"/>
      <w:sz w:val="21"/>
      <w:szCs w:val="21"/>
    </w:rPr>
  </w:style>
  <w:style w:type="character" w:customStyle="1" w:styleId="PlainTextChar">
    <w:name w:val="Plain Text Char"/>
    <w:basedOn w:val="DefaultParagraphFont"/>
    <w:link w:val="PlainText"/>
    <w:uiPriority w:val="99"/>
    <w:semiHidden/>
    <w:rsid w:val="00A861D0"/>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A861D0"/>
  </w:style>
  <w:style w:type="character" w:customStyle="1" w:styleId="SalutationChar">
    <w:name w:val="Salutation Char"/>
    <w:basedOn w:val="DefaultParagraphFont"/>
    <w:link w:val="Salutation"/>
    <w:uiPriority w:val="99"/>
    <w:semiHidden/>
    <w:rsid w:val="00A861D0"/>
    <w:rPr>
      <w:rFonts w:eastAsiaTheme="minorEastAsia"/>
      <w:sz w:val="24"/>
      <w:lang w:val="en-GB"/>
    </w:rPr>
  </w:style>
  <w:style w:type="paragraph" w:styleId="Signature">
    <w:name w:val="Signature"/>
    <w:basedOn w:val="Normal"/>
    <w:link w:val="SignatureChar"/>
    <w:uiPriority w:val="99"/>
    <w:semiHidden/>
    <w:rsid w:val="00A861D0"/>
    <w:pPr>
      <w:ind w:left="4252"/>
    </w:pPr>
  </w:style>
  <w:style w:type="character" w:customStyle="1" w:styleId="SignatureChar">
    <w:name w:val="Signature Char"/>
    <w:basedOn w:val="DefaultParagraphFont"/>
    <w:link w:val="Signature"/>
    <w:uiPriority w:val="99"/>
    <w:semiHidden/>
    <w:rsid w:val="00A861D0"/>
    <w:rPr>
      <w:rFonts w:eastAsiaTheme="minorEastAsia"/>
      <w:sz w:val="24"/>
      <w:lang w:val="en-GB"/>
    </w:rPr>
  </w:style>
  <w:style w:type="table" w:styleId="Table3Deffects1">
    <w:name w:val="Table 3D effects 1"/>
    <w:basedOn w:val="TableNormal"/>
    <w:uiPriority w:val="99"/>
    <w:semiHidden/>
    <w:unhideWhenUsed/>
    <w:rsid w:val="00A861D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61D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61D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61D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61D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61D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61D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61D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61D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61D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61D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61D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61D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61D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61D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61D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61D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861D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61D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61D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61D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61D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61D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61D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61D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861D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61D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61D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61D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61D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61D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61D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61D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861D0"/>
    <w:pPr>
      <w:ind w:left="240" w:hanging="240"/>
    </w:pPr>
  </w:style>
  <w:style w:type="paragraph" w:styleId="TableofFigures">
    <w:name w:val="table of figures"/>
    <w:basedOn w:val="Normal"/>
    <w:next w:val="Normal"/>
    <w:uiPriority w:val="99"/>
    <w:semiHidden/>
    <w:rsid w:val="00A861D0"/>
  </w:style>
  <w:style w:type="table" w:styleId="TableProfessional">
    <w:name w:val="Table Professional"/>
    <w:basedOn w:val="TableNormal"/>
    <w:uiPriority w:val="99"/>
    <w:semiHidden/>
    <w:unhideWhenUsed/>
    <w:rsid w:val="00A861D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61D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61D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61D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61D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61D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61D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61D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61D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61D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861D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861D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861D0"/>
    <w:pPr>
      <w:spacing w:after="100"/>
      <w:ind w:left="1680"/>
    </w:pPr>
  </w:style>
  <w:style w:type="paragraph" w:styleId="TOC9">
    <w:name w:val="toc 9"/>
    <w:basedOn w:val="Normal"/>
    <w:next w:val="Normal"/>
    <w:autoRedefine/>
    <w:uiPriority w:val="99"/>
    <w:semiHidden/>
    <w:rsid w:val="00A861D0"/>
    <w:pPr>
      <w:spacing w:after="100"/>
      <w:ind w:left="1920"/>
    </w:pPr>
  </w:style>
  <w:style w:type="paragraph" w:customStyle="1" w:styleId="DecHTitle">
    <w:name w:val="Dec_H_Title"/>
    <w:aliases w:val="_Title_1"/>
    <w:basedOn w:val="JuPara"/>
    <w:next w:val="JuPara"/>
    <w:uiPriority w:val="35"/>
    <w:qFormat/>
    <w:rsid w:val="00A861D0"/>
    <w:pPr>
      <w:keepNext/>
      <w:keepLines/>
      <w:spacing w:after="240"/>
      <w:ind w:firstLine="0"/>
      <w:jc w:val="center"/>
      <w:outlineLvl w:val="0"/>
    </w:pPr>
    <w:rPr>
      <w:rFonts w:asciiTheme="majorHAnsi" w:hAnsiTheme="majorHAnsi"/>
      <w:sz w:val="28"/>
    </w:rPr>
  </w:style>
  <w:style w:type="paragraph" w:styleId="NoteHeading">
    <w:name w:val="Note Heading"/>
    <w:basedOn w:val="Normal"/>
    <w:next w:val="Normal"/>
    <w:link w:val="NoteHeadingChar"/>
    <w:uiPriority w:val="99"/>
    <w:semiHidden/>
    <w:rsid w:val="00A861D0"/>
  </w:style>
  <w:style w:type="character" w:customStyle="1" w:styleId="NoteHeadingChar">
    <w:name w:val="Note Heading Char"/>
    <w:basedOn w:val="DefaultParagraphFont"/>
    <w:link w:val="NoteHeading"/>
    <w:uiPriority w:val="99"/>
    <w:semiHidden/>
    <w:rsid w:val="00A861D0"/>
    <w:rPr>
      <w:rFonts w:eastAsiaTheme="minorEastAsia"/>
      <w:sz w:val="24"/>
      <w:lang w:val="en-GB"/>
    </w:rPr>
  </w:style>
  <w:style w:type="paragraph" w:customStyle="1" w:styleId="JuHeaderLandscape">
    <w:name w:val="Ju_Header_Landscape"/>
    <w:aliases w:val="_Header_Landscape"/>
    <w:basedOn w:val="JuHeader"/>
    <w:uiPriority w:val="30"/>
    <w:qFormat/>
    <w:rsid w:val="00A861D0"/>
    <w:pPr>
      <w:tabs>
        <w:tab w:val="clear" w:pos="3686"/>
        <w:tab w:val="clear" w:pos="7371"/>
        <w:tab w:val="center" w:pos="6146"/>
        <w:tab w:val="right" w:pos="12293"/>
      </w:tabs>
    </w:pPr>
  </w:style>
  <w:style w:type="character" w:customStyle="1" w:styleId="JuParaChar">
    <w:name w:val="Ju_Para Char"/>
    <w:aliases w:val="_Para Char"/>
    <w:link w:val="JuPara"/>
    <w:uiPriority w:val="8"/>
    <w:rsid w:val="003275DD"/>
    <w:rPr>
      <w:rFonts w:eastAsiaTheme="minorEastAsia"/>
      <w:sz w:val="24"/>
      <w:lang w:val="en-GB"/>
    </w:rPr>
  </w:style>
  <w:style w:type="paragraph" w:styleId="Revision">
    <w:name w:val="Revision"/>
    <w:hidden/>
    <w:uiPriority w:val="99"/>
    <w:semiHidden/>
    <w:rsid w:val="00393EB0"/>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01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08D2C2-CF51-4182-8AB3-320C64B305B3}"/>
</file>

<file path=customXml/itemProps2.xml><?xml version="1.0" encoding="utf-8"?>
<ds:datastoreItem xmlns:ds="http://schemas.openxmlformats.org/officeDocument/2006/customXml" ds:itemID="{C20EA6CE-01B4-4BCE-B003-EB6646AEBFBD}"/>
</file>

<file path=customXml/itemProps3.xml><?xml version="1.0" encoding="utf-8"?>
<ds:datastoreItem xmlns:ds="http://schemas.openxmlformats.org/officeDocument/2006/customXml" ds:itemID="{85303947-6176-4CD7-B909-CEB228579253}"/>
</file>

<file path=customXml/itemProps4.xml><?xml version="1.0" encoding="utf-8"?>
<ds:datastoreItem xmlns:ds="http://schemas.openxmlformats.org/officeDocument/2006/customXml" ds:itemID="{2B1E8263-7D2B-4169-8E45-22812C343F16}"/>
</file>

<file path=docProps/app.xml><?xml version="1.0" encoding="utf-8"?>
<Properties xmlns="http://schemas.openxmlformats.org/officeDocument/2006/extended-properties" xmlns:vt="http://schemas.openxmlformats.org/officeDocument/2006/docPropsVTypes">
  <Template>Normal.dotm</Template>
  <TotalTime>0</TotalTime>
  <Pages>1</Pages>
  <Words>1885</Words>
  <Characters>10747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2019-12-13T13:30:00Z</dcterms:created>
  <dcterms:modified xsi:type="dcterms:W3CDTF">2019-12-13T13:30:00Z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59955/15</vt:lpwstr>
  </property>
  <property fmtid="{D5CDD505-2E9C-101B-9397-08002B2CF9AE}" pid="4" name="CASEID">
    <vt:lpwstr>1170314</vt:lpwstr>
  </property>
  <property fmtid="{D5CDD505-2E9C-101B-9397-08002B2CF9AE}" pid="5" name="ContentTypeId">
    <vt:lpwstr>0x010100558EB02BDB9E204AB350EDD385B68E10</vt:lpwstr>
  </property>
</Properties>
</file>