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custom.xml" ContentType="application/vnd.openxmlformats-officedocument.custom-properti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DC1A6A" w:rsidR="00B77508" w:rsidP="00DC1A6A" w:rsidRDefault="00B77508">
      <w:pPr>
        <w:jc w:val="center"/>
        <w:rPr>
          <w:rFonts w:ascii="Times New Roman" w:hAnsi="Times New Roman" w:cs="Times New Roman"/>
        </w:rPr>
      </w:pPr>
      <w:bookmarkStart w:name="_GoBack" w:id="0"/>
      <w:bookmarkEnd w:id="0"/>
    </w:p>
    <w:p w:rsidRPr="00DC1A6A" w:rsidR="0098410D" w:rsidP="00DC1A6A" w:rsidRDefault="00B77508">
      <w:pPr>
        <w:pStyle w:val="DecHTitle"/>
      </w:pPr>
      <w:r w:rsidRPr="00DC1A6A">
        <w:t>THIRD SECTION</w:t>
      </w:r>
    </w:p>
    <w:p w:rsidRPr="00DC1A6A" w:rsidR="008E6217" w:rsidP="00DC1A6A" w:rsidRDefault="008E6217">
      <w:pPr>
        <w:pStyle w:val="JuTitle"/>
      </w:pPr>
      <w:bookmarkStart w:name="To" w:id="1"/>
      <w:r w:rsidRPr="00DC1A6A">
        <w:t xml:space="preserve">CASE OF </w:t>
      </w:r>
      <w:bookmarkEnd w:id="1"/>
      <w:r w:rsidRPr="00DC1A6A" w:rsidR="00B77508">
        <w:t>R.R. AND A.R. v. RUSSIA</w:t>
      </w:r>
    </w:p>
    <w:p w:rsidRPr="00DC1A6A" w:rsidR="00D74888" w:rsidP="00DC1A6A" w:rsidRDefault="008E6217">
      <w:pPr>
        <w:pStyle w:val="Title4"/>
      </w:pPr>
      <w:r w:rsidRPr="00DC1A6A">
        <w:t>(</w:t>
      </w:r>
      <w:r w:rsidRPr="00DC1A6A" w:rsidR="00B77508">
        <w:t>Applications nos.</w:t>
      </w:r>
      <w:r w:rsidRPr="00DC1A6A">
        <w:t xml:space="preserve"> </w:t>
      </w:r>
      <w:r w:rsidRPr="00DC1A6A" w:rsidR="00B77508">
        <w:t>67485/17 and 24014/18</w:t>
      </w:r>
      <w:r w:rsidRPr="00DC1A6A">
        <w:t>)</w:t>
      </w:r>
    </w:p>
    <w:p w:rsidRPr="00DC1A6A" w:rsidR="0098410D" w:rsidP="00DC1A6A" w:rsidRDefault="0098410D">
      <w:pPr>
        <w:pStyle w:val="DecHCase"/>
      </w:pPr>
    </w:p>
    <w:p w:rsidRPr="00DC1A6A" w:rsidR="0098410D" w:rsidP="00DC1A6A" w:rsidRDefault="0098410D">
      <w:pPr>
        <w:pStyle w:val="DecHCase"/>
      </w:pPr>
    </w:p>
    <w:p w:rsidRPr="00DC1A6A" w:rsidR="00AC4CD4" w:rsidP="00DC1A6A" w:rsidRDefault="00AC4CD4">
      <w:pPr>
        <w:pStyle w:val="DecHCase"/>
      </w:pPr>
    </w:p>
    <w:p w:rsidRPr="00DC1A6A" w:rsidR="00AC4CD4" w:rsidP="00DC1A6A" w:rsidRDefault="00AC4CD4">
      <w:pPr>
        <w:pStyle w:val="DecHCase"/>
      </w:pPr>
    </w:p>
    <w:p w:rsidRPr="00DC1A6A" w:rsidR="00AC4CD4" w:rsidP="00DC1A6A" w:rsidRDefault="00AC4CD4">
      <w:pPr>
        <w:pStyle w:val="DecHCase"/>
      </w:pPr>
    </w:p>
    <w:p w:rsidRPr="00DC1A6A" w:rsidR="0098410D" w:rsidP="00DC1A6A" w:rsidRDefault="0098410D">
      <w:pPr>
        <w:pStyle w:val="DecHCase"/>
      </w:pPr>
    </w:p>
    <w:p w:rsidRPr="00DC1A6A" w:rsidR="0098410D" w:rsidP="00DC1A6A" w:rsidRDefault="0098410D">
      <w:pPr>
        <w:pStyle w:val="DecHCase"/>
      </w:pPr>
      <w:r w:rsidRPr="00DC1A6A">
        <w:t>JUDGMENT</w:t>
      </w:r>
    </w:p>
    <w:p w:rsidRPr="00DC1A6A" w:rsidR="0098410D" w:rsidP="00DC1A6A" w:rsidRDefault="0098410D">
      <w:pPr>
        <w:pStyle w:val="DecHCase"/>
      </w:pPr>
      <w:r w:rsidRPr="00DC1A6A">
        <w:t>STRASBOURG</w:t>
      </w:r>
    </w:p>
    <w:p w:rsidRPr="00DC1A6A" w:rsidR="0098410D" w:rsidP="00DC1A6A" w:rsidRDefault="00B77508">
      <w:pPr>
        <w:pStyle w:val="DecHCase"/>
        <w:rPr>
          <w:szCs w:val="24"/>
        </w:rPr>
      </w:pPr>
      <w:r w:rsidRPr="00DC1A6A">
        <w:rPr>
          <w:rFonts w:ascii="Times New Roman" w:hAnsi="Times New Roman" w:cs="Times New Roman"/>
        </w:rPr>
        <w:t>8 October 2019</w:t>
      </w:r>
    </w:p>
    <w:p w:rsidRPr="00DC1A6A" w:rsidR="00EA26BD" w:rsidP="00DC1A6A" w:rsidRDefault="00EA26BD">
      <w:pPr>
        <w:pStyle w:val="JuPara"/>
      </w:pPr>
    </w:p>
    <w:p w:rsidRPr="00DC1A6A" w:rsidR="002422B6" w:rsidP="00DC1A6A" w:rsidRDefault="0098410D">
      <w:pPr>
        <w:rPr>
          <w:i/>
          <w:sz w:val="22"/>
        </w:rPr>
      </w:pPr>
      <w:r w:rsidRPr="00DC1A6A">
        <w:rPr>
          <w:i/>
          <w:sz w:val="22"/>
        </w:rPr>
        <w:t xml:space="preserve">This judgment </w:t>
      </w:r>
      <w:r w:rsidRPr="00DC1A6A" w:rsidR="00B77508">
        <w:rPr>
          <w:i/>
          <w:sz w:val="22"/>
        </w:rPr>
        <w:t>is final but it</w:t>
      </w:r>
      <w:r w:rsidRPr="00DC1A6A">
        <w:rPr>
          <w:i/>
          <w:sz w:val="22"/>
        </w:rPr>
        <w:t xml:space="preserve"> may be subject to editorial revision.</w:t>
      </w:r>
    </w:p>
    <w:p w:rsidRPr="00DC1A6A" w:rsidR="0098410D" w:rsidP="00DC1A6A" w:rsidRDefault="0098410D">
      <w:pPr>
        <w:sectPr w:rsidRPr="00DC1A6A" w:rsidR="0098410D">
          <w:headerReference w:type="default" r:id="rId8"/>
          <w:footerReference w:type="default" r:id="rId9"/>
          <w:headerReference w:type="first" r:id="rId10"/>
          <w:footnotePr>
            <w:numRestart w:val="eachSect"/>
          </w:footnotePr>
          <w:pgSz w:w="11906" w:h="16838" w:code="9"/>
          <w:pgMar w:top="2274" w:right="2274" w:bottom="2274" w:left="2274" w:header="1701" w:footer="720" w:gutter="0"/>
          <w:pgNumType w:start="1"/>
          <w:cols w:space="720"/>
          <w:noEndnote/>
        </w:sectPr>
      </w:pPr>
    </w:p>
    <w:p w:rsidRPr="00DC1A6A" w:rsidR="0098410D" w:rsidP="00DC1A6A" w:rsidRDefault="0098410D">
      <w:pPr>
        <w:pStyle w:val="JuCase"/>
      </w:pPr>
      <w:r w:rsidRPr="00DC1A6A">
        <w:t xml:space="preserve">In the case of </w:t>
      </w:r>
      <w:r w:rsidRPr="00DC1A6A" w:rsidR="00B77508">
        <w:t>R.R. and A.R. v. Russia</w:t>
      </w:r>
      <w:r w:rsidRPr="00DC1A6A">
        <w:t>,</w:t>
      </w:r>
    </w:p>
    <w:p w:rsidRPr="00DC1A6A" w:rsidR="009F4C8F" w:rsidP="00DC1A6A" w:rsidRDefault="009F4C8F">
      <w:pPr>
        <w:pStyle w:val="JuPara"/>
      </w:pPr>
      <w:r w:rsidRPr="00DC1A6A">
        <w:t>The European Court of Human Rights (</w:t>
      </w:r>
      <w:r w:rsidRPr="00DC1A6A" w:rsidR="00B77508">
        <w:t>Third Section</w:t>
      </w:r>
      <w:r w:rsidRPr="00DC1A6A">
        <w:t xml:space="preserve">), sitting as a </w:t>
      </w:r>
      <w:r w:rsidRPr="00DC1A6A" w:rsidR="00B77508">
        <w:t>Committee</w:t>
      </w:r>
      <w:r w:rsidRPr="00DC1A6A">
        <w:t xml:space="preserve"> composed of:</w:t>
      </w:r>
    </w:p>
    <w:p w:rsidRPr="00DC1A6A" w:rsidR="009F4C8F" w:rsidP="00DC1A6A" w:rsidRDefault="00EA26BD">
      <w:pPr>
        <w:pStyle w:val="JuJudges"/>
      </w:pPr>
      <w:r w:rsidRPr="00DC1A6A">
        <w:tab/>
        <w:t xml:space="preserve">Alena </w:t>
      </w:r>
      <w:proofErr w:type="spellStart"/>
      <w:r w:rsidRPr="00DC1A6A">
        <w:t>Poláčková</w:t>
      </w:r>
      <w:proofErr w:type="spellEnd"/>
      <w:r w:rsidRPr="00DC1A6A">
        <w:t>,</w:t>
      </w:r>
      <w:r w:rsidRPr="00DC1A6A">
        <w:rPr>
          <w:i/>
        </w:rPr>
        <w:t xml:space="preserve"> President,</w:t>
      </w:r>
      <w:r w:rsidRPr="00DC1A6A">
        <w:rPr>
          <w:i/>
        </w:rPr>
        <w:br/>
      </w:r>
      <w:r w:rsidRPr="00DC1A6A">
        <w:tab/>
        <w:t xml:space="preserve">Dmitry </w:t>
      </w:r>
      <w:proofErr w:type="spellStart"/>
      <w:r w:rsidRPr="00DC1A6A">
        <w:t>Dedov</w:t>
      </w:r>
      <w:proofErr w:type="spellEnd"/>
      <w:r w:rsidRPr="00DC1A6A">
        <w:t>,</w:t>
      </w:r>
      <w:r w:rsidRPr="00DC1A6A">
        <w:rPr>
          <w:i/>
        </w:rPr>
        <w:br/>
      </w:r>
      <w:r w:rsidRPr="00DC1A6A">
        <w:tab/>
        <w:t xml:space="preserve">Gilberto </w:t>
      </w:r>
      <w:proofErr w:type="spellStart"/>
      <w:r w:rsidRPr="00DC1A6A">
        <w:t>Felici</w:t>
      </w:r>
      <w:proofErr w:type="spellEnd"/>
      <w:r w:rsidRPr="00DC1A6A">
        <w:t>,</w:t>
      </w:r>
      <w:r w:rsidRPr="00DC1A6A">
        <w:rPr>
          <w:i/>
        </w:rPr>
        <w:t xml:space="preserve"> judges</w:t>
      </w:r>
      <w:proofErr w:type="gramStart"/>
      <w:r w:rsidRPr="00DC1A6A">
        <w:rPr>
          <w:i/>
        </w:rPr>
        <w:t>,</w:t>
      </w:r>
      <w:proofErr w:type="gramEnd"/>
      <w:r w:rsidRPr="00DC1A6A" w:rsidR="009F4C8F">
        <w:rPr>
          <w:szCs w:val="24"/>
        </w:rPr>
        <w:br/>
      </w:r>
      <w:r w:rsidRPr="00DC1A6A" w:rsidR="009F4C8F">
        <w:t>and</w:t>
      </w:r>
      <w:r w:rsidRPr="00DC1A6A" w:rsidR="00B77508">
        <w:t xml:space="preserve"> </w:t>
      </w:r>
      <w:r w:rsidRPr="00DC1A6A">
        <w:t>Stephen Phillips</w:t>
      </w:r>
      <w:r w:rsidRPr="00DC1A6A" w:rsidR="009F4C8F">
        <w:t xml:space="preserve">, </w:t>
      </w:r>
      <w:r w:rsidRPr="00DC1A6A" w:rsidR="00B77508">
        <w:rPr>
          <w:i/>
        </w:rPr>
        <w:t xml:space="preserve">Section </w:t>
      </w:r>
      <w:r w:rsidRPr="00DC1A6A" w:rsidR="00B77508">
        <w:rPr>
          <w:i/>
          <w:iCs/>
        </w:rPr>
        <w:t>Registrar</w:t>
      </w:r>
      <w:r w:rsidRPr="00DC1A6A" w:rsidR="009F4C8F">
        <w:rPr>
          <w:i/>
        </w:rPr>
        <w:t>,</w:t>
      </w:r>
    </w:p>
    <w:p w:rsidRPr="00DC1A6A" w:rsidR="009F4C8F" w:rsidP="00DC1A6A" w:rsidRDefault="009F4C8F">
      <w:pPr>
        <w:pStyle w:val="JuPara"/>
      </w:pPr>
      <w:r w:rsidRPr="00DC1A6A">
        <w:t xml:space="preserve">Having deliberated in private on </w:t>
      </w:r>
      <w:r w:rsidRPr="00DC1A6A" w:rsidR="00B77508">
        <w:rPr>
          <w:szCs w:val="24"/>
        </w:rPr>
        <w:t>17 September 2019</w:t>
      </w:r>
      <w:r w:rsidRPr="00DC1A6A">
        <w:t>,</w:t>
      </w:r>
    </w:p>
    <w:p w:rsidRPr="00DC1A6A" w:rsidR="009F4C8F" w:rsidP="00DC1A6A" w:rsidRDefault="009F4C8F">
      <w:pPr>
        <w:pStyle w:val="JuPara"/>
      </w:pPr>
      <w:r w:rsidRPr="00DC1A6A">
        <w:t>Delivers the following judgment, which was adopted on that date:</w:t>
      </w:r>
    </w:p>
    <w:p w:rsidRPr="00DC1A6A" w:rsidR="00B77508" w:rsidP="00DC1A6A" w:rsidRDefault="00B77508">
      <w:pPr>
        <w:pStyle w:val="JuHHead"/>
      </w:pPr>
      <w:r w:rsidRPr="00DC1A6A">
        <w:t>PROCEDURE</w:t>
      </w:r>
    </w:p>
    <w:p w:rsidRPr="00DC1A6A" w:rsidR="00B77508" w:rsidP="00DC1A6A" w:rsidRDefault="00B77508">
      <w:pPr>
        <w:pStyle w:val="JuPara"/>
      </w:pPr>
      <w:r w:rsidRPr="00DC1A6A">
        <w:t>1.  The case originated in two applications (nos. 67485/17 and 24014/18) against the Russian Federation lodged with the Court under Article 34 of the Convention for the Protection of Human Rights and Fundamental Freedoms (“the Convention”) by an Uzbek national, Mr R.R. and a Tajik national Mr A.R. (“the applicants”), on 13 September 2017 and 24 May 2018 respectively.</w:t>
      </w:r>
    </w:p>
    <w:p w:rsidRPr="00DC1A6A" w:rsidR="00B77508" w:rsidP="00DC1A6A" w:rsidRDefault="00B77508">
      <w:pPr>
        <w:pStyle w:val="JuPara"/>
        <w:rPr>
          <w:lang w:val="en-US"/>
        </w:rPr>
      </w:pPr>
      <w:r w:rsidRPr="00DC1A6A">
        <w:t>2.  </w:t>
      </w:r>
      <w:r w:rsidRPr="00DC1A6A">
        <w:rPr>
          <w:lang w:val="en-US"/>
        </w:rPr>
        <w:t xml:space="preserve">The applicants were represented by the lawyers indicated in the appended table. The Russian Government (“the Government”) </w:t>
      </w:r>
      <w:proofErr w:type="gramStart"/>
      <w:r w:rsidRPr="00DC1A6A">
        <w:rPr>
          <w:lang w:val="en-US"/>
        </w:rPr>
        <w:t>were</w:t>
      </w:r>
      <w:proofErr w:type="gramEnd"/>
      <w:r w:rsidRPr="00DC1A6A">
        <w:rPr>
          <w:lang w:val="en-US"/>
        </w:rPr>
        <w:t xml:space="preserve"> represented by </w:t>
      </w:r>
      <w:proofErr w:type="spellStart"/>
      <w:r w:rsidRPr="00DC1A6A">
        <w:rPr>
          <w:lang w:val="en-US"/>
        </w:rPr>
        <w:t>Mr</w:t>
      </w:r>
      <w:proofErr w:type="spellEnd"/>
      <w:r w:rsidRPr="00DC1A6A">
        <w:rPr>
          <w:lang w:val="en-US"/>
        </w:rPr>
        <w:t xml:space="preserve"> M. </w:t>
      </w:r>
      <w:proofErr w:type="spellStart"/>
      <w:r w:rsidRPr="00DC1A6A">
        <w:rPr>
          <w:lang w:val="en-US"/>
        </w:rPr>
        <w:t>Galperin</w:t>
      </w:r>
      <w:proofErr w:type="spellEnd"/>
      <w:r w:rsidRPr="00DC1A6A">
        <w:rPr>
          <w:lang w:val="en-US"/>
        </w:rPr>
        <w:t>, the Representative of the Russian Federation to the European Court of Human Rights.</w:t>
      </w:r>
    </w:p>
    <w:p w:rsidRPr="00DC1A6A" w:rsidR="00B77508" w:rsidP="00DC1A6A" w:rsidRDefault="00B77508">
      <w:pPr>
        <w:pStyle w:val="JuPara"/>
      </w:pPr>
      <w:r w:rsidRPr="00DC1A6A">
        <w:t>3.  On 13 September 2017 and 24 May 2018 respectively the applicants</w:t>
      </w:r>
      <w:r w:rsidRPr="00DC1A6A" w:rsidR="00DC1A6A">
        <w:t>’</w:t>
      </w:r>
      <w:r w:rsidRPr="00DC1A6A">
        <w:t xml:space="preserve"> requests for interim measures preventing their removal to their countries of origin were granted by the Court under Rule 39 of the Rules of Court. The applicants</w:t>
      </w:r>
      <w:r w:rsidRPr="00DC1A6A" w:rsidR="00DC1A6A">
        <w:t>’</w:t>
      </w:r>
      <w:r w:rsidRPr="00DC1A6A">
        <w:t xml:space="preserve"> cases were granted priority (Rule 41) and confidentiality (Rule 33) and the applicants were granted anonymity (Rule 47 § 4).</w:t>
      </w:r>
    </w:p>
    <w:p w:rsidRPr="00DC1A6A" w:rsidR="00B77508" w:rsidP="00DC1A6A" w:rsidRDefault="00B77508">
      <w:pPr>
        <w:pStyle w:val="JuPara"/>
      </w:pPr>
      <w:r w:rsidRPr="00DC1A6A">
        <w:rPr>
          <w:lang w:val="en-US"/>
        </w:rPr>
        <w:t xml:space="preserve">4.  The applicants submitted complaints under Articles 3, 5 and 13 of the Convention. On 3 September 2018 </w:t>
      </w:r>
      <w:r w:rsidRPr="00DC1A6A">
        <w:t xml:space="preserve">notice of the </w:t>
      </w:r>
      <w:r w:rsidRPr="00DC1A6A">
        <w:rPr>
          <w:lang w:val="en-US"/>
        </w:rPr>
        <w:t xml:space="preserve">above complaints was given to the Government and </w:t>
      </w:r>
      <w:r w:rsidRPr="00DC1A6A">
        <w:rPr>
          <w:rFonts w:ascii="Times New Roman" w:hAnsi="Times New Roman" w:eastAsia="Times New Roman" w:cs="Times New Roman"/>
        </w:rPr>
        <w:t>the remainder of the applications declared inadmissible</w:t>
      </w:r>
      <w:r w:rsidRPr="00DC1A6A">
        <w:t>.</w:t>
      </w:r>
    </w:p>
    <w:p w:rsidRPr="00DC1A6A" w:rsidR="00B77508" w:rsidP="00DC1A6A" w:rsidRDefault="00B77508">
      <w:pPr>
        <w:pStyle w:val="JuHHead"/>
      </w:pPr>
      <w:r w:rsidRPr="00DC1A6A">
        <w:t>THE FACTS</w:t>
      </w:r>
    </w:p>
    <w:p w:rsidRPr="00DC1A6A" w:rsidR="00B77508" w:rsidP="00DC1A6A" w:rsidRDefault="00B77508">
      <w:pPr>
        <w:pStyle w:val="JuHIRoman"/>
      </w:pPr>
      <w:r w:rsidRPr="00DC1A6A">
        <w:t>THE CIRCUMSTANCES OF THE CASE</w:t>
      </w:r>
    </w:p>
    <w:p w:rsidRPr="00DC1A6A" w:rsidR="00B77508" w:rsidP="00DC1A6A" w:rsidRDefault="00B77508">
      <w:pPr>
        <w:pStyle w:val="JuPara"/>
      </w:pPr>
      <w:r w:rsidRPr="00DC1A6A">
        <w:t>5.  The applicants are nationals of Tajikistan and Uzbekistan. Their initials, dates of birth, the dates on which their applications were introduced, application numbers, as well as the particulars of the domestic proceedings and other relevant information are set out in the Appendix.</w:t>
      </w:r>
    </w:p>
    <w:p w:rsidRPr="00DC1A6A" w:rsidR="00B77508" w:rsidP="00DC1A6A" w:rsidRDefault="00B77508">
      <w:pPr>
        <w:pStyle w:val="JuPara"/>
      </w:pPr>
      <w:r w:rsidRPr="00DC1A6A">
        <w:t xml:space="preserve">6.  On various dates they were charged in their countries of origin with religious and politically motivated crimes, their pre-trial detentions were ordered </w:t>
      </w:r>
      <w:r w:rsidRPr="00DC1A6A">
        <w:rPr>
          <w:i/>
        </w:rPr>
        <w:t>in absentia</w:t>
      </w:r>
      <w:r w:rsidRPr="00DC1A6A">
        <w:t>, and international search warrants were issued by the authorities.</w:t>
      </w:r>
    </w:p>
    <w:p w:rsidRPr="00DC1A6A" w:rsidR="00B77508" w:rsidP="00DC1A6A" w:rsidRDefault="00B77508">
      <w:pPr>
        <w:pStyle w:val="JuPara"/>
      </w:pPr>
      <w:r w:rsidRPr="00DC1A6A">
        <w:t>7.  Subsequently, the Russian authorities took final decisions to extradite or to expel the applicants, despite their consistent claims that in the event of return to their countries of origin they would face a real risk of being subjected to treatment contrary to Article 3 of the Convention.</w:t>
      </w:r>
    </w:p>
    <w:p w:rsidRPr="00DC1A6A" w:rsidR="00B77508" w:rsidP="00DC1A6A" w:rsidRDefault="00B77508">
      <w:pPr>
        <w:pStyle w:val="JuHIRoman"/>
      </w:pPr>
      <w:r w:rsidRPr="00DC1A6A">
        <w:t>RELEVANT DOMESTIC LAW AND PRACTICE</w:t>
      </w:r>
    </w:p>
    <w:p w:rsidRPr="00DC1A6A" w:rsidR="00B77508" w:rsidP="00DC1A6A" w:rsidRDefault="00B77508">
      <w:pPr>
        <w:pStyle w:val="JuPara"/>
      </w:pPr>
      <w:r w:rsidRPr="00DC1A6A">
        <w:t>8.  The relevant domestic and international law is summarised in the Court</w:t>
      </w:r>
      <w:r w:rsidRPr="00DC1A6A" w:rsidR="00DC1A6A">
        <w:t>’</w:t>
      </w:r>
      <w:r w:rsidRPr="00DC1A6A">
        <w:t>s judgments on removals from Russia to</w:t>
      </w:r>
      <w:r w:rsidRPr="00DC1A6A" w:rsidR="002D57A7">
        <w:t xml:space="preserve"> Tajikistan and Uzbekistan (see </w:t>
      </w:r>
      <w:proofErr w:type="spellStart"/>
      <w:r w:rsidRPr="00DC1A6A">
        <w:rPr>
          <w:i/>
          <w:iCs/>
        </w:rPr>
        <w:t>Savriddin</w:t>
      </w:r>
      <w:proofErr w:type="spellEnd"/>
      <w:r w:rsidRPr="00DC1A6A">
        <w:rPr>
          <w:i/>
          <w:iCs/>
        </w:rPr>
        <w:t xml:space="preserve"> </w:t>
      </w:r>
      <w:proofErr w:type="spellStart"/>
      <w:r w:rsidRPr="00DC1A6A">
        <w:rPr>
          <w:i/>
          <w:iCs/>
        </w:rPr>
        <w:t>Dzhurayev</w:t>
      </w:r>
      <w:proofErr w:type="spellEnd"/>
      <w:r w:rsidRPr="00DC1A6A">
        <w:rPr>
          <w:i/>
          <w:iCs/>
        </w:rPr>
        <w:t xml:space="preserve"> v. Russia</w:t>
      </w:r>
      <w:r w:rsidRPr="00DC1A6A">
        <w:t>, no. 71386/10, §§ 70</w:t>
      </w:r>
      <w:r w:rsidRPr="00DC1A6A" w:rsidR="002D57A7">
        <w:noBreakHyphen/>
        <w:t xml:space="preserve">101, ECHR 2013 (extracts), and </w:t>
      </w:r>
      <w:proofErr w:type="spellStart"/>
      <w:r w:rsidRPr="00DC1A6A">
        <w:rPr>
          <w:i/>
          <w:iCs/>
        </w:rPr>
        <w:t>Akram</w:t>
      </w:r>
      <w:proofErr w:type="spellEnd"/>
      <w:r w:rsidRPr="00DC1A6A">
        <w:rPr>
          <w:i/>
          <w:iCs/>
        </w:rPr>
        <w:t xml:space="preserve"> </w:t>
      </w:r>
      <w:proofErr w:type="spellStart"/>
      <w:r w:rsidRPr="00DC1A6A">
        <w:rPr>
          <w:i/>
          <w:iCs/>
        </w:rPr>
        <w:t>Karimov</w:t>
      </w:r>
      <w:proofErr w:type="spellEnd"/>
      <w:r w:rsidRPr="00DC1A6A" w:rsidR="002D57A7">
        <w:t xml:space="preserve"> </w:t>
      </w:r>
      <w:r w:rsidRPr="00DC1A6A">
        <w:rPr>
          <w:i/>
          <w:iCs/>
        </w:rPr>
        <w:t>v. Russia</w:t>
      </w:r>
      <w:r w:rsidRPr="00DC1A6A">
        <w:t>, no. 62892/12, §§ 69-105, 28 May 2014).</w:t>
      </w:r>
    </w:p>
    <w:p w:rsidRPr="00DC1A6A" w:rsidR="00B77508" w:rsidP="00DC1A6A" w:rsidRDefault="00B77508">
      <w:pPr>
        <w:pStyle w:val="JuHIRoman"/>
      </w:pPr>
      <w:r w:rsidRPr="00DC1A6A">
        <w:t>REPORTS ON TAJIKISTAN AND UZBEKISTAN</w:t>
      </w:r>
    </w:p>
    <w:p w:rsidRPr="00DC1A6A" w:rsidR="00B77508" w:rsidP="00DC1A6A" w:rsidRDefault="00B77508">
      <w:pPr>
        <w:pStyle w:val="JuPara"/>
        <w:rPr>
          <w:i/>
        </w:rPr>
      </w:pPr>
      <w:r w:rsidRPr="00DC1A6A">
        <w:t xml:space="preserve">9.  The references to the relevant reports by the UN agencies and international NGOs on the situation in Tajikistan were cited in the case of </w:t>
      </w:r>
      <w:r w:rsidRPr="00DC1A6A">
        <w:rPr>
          <w:i/>
        </w:rPr>
        <w:t>K.I. v. Russia</w:t>
      </w:r>
      <w:r w:rsidRPr="00DC1A6A">
        <w:t xml:space="preserve"> (</w:t>
      </w:r>
      <w:r w:rsidRPr="00DC1A6A">
        <w:rPr>
          <w:lang w:eastAsia="en-GB"/>
        </w:rPr>
        <w:t xml:space="preserve">no. </w:t>
      </w:r>
      <w:r w:rsidRPr="00DC1A6A">
        <w:t>58182/14</w:t>
      </w:r>
      <w:r w:rsidRPr="00DC1A6A">
        <w:rPr>
          <w:lang w:eastAsia="en-GB"/>
        </w:rPr>
        <w:t xml:space="preserve">, </w:t>
      </w:r>
      <w:r w:rsidRPr="00DC1A6A">
        <w:t xml:space="preserve">§§ 2-28, 7 November 2017) and on the situation in Uzbekistan in the cases of </w:t>
      </w:r>
      <w:proofErr w:type="spellStart"/>
      <w:r w:rsidRPr="00DC1A6A">
        <w:rPr>
          <w:i/>
          <w:iCs/>
        </w:rPr>
        <w:t>Kholmurodov</w:t>
      </w:r>
      <w:proofErr w:type="spellEnd"/>
      <w:r w:rsidRPr="00DC1A6A">
        <w:rPr>
          <w:i/>
          <w:iCs/>
        </w:rPr>
        <w:t xml:space="preserve"> v. Russia</w:t>
      </w:r>
      <w:r w:rsidRPr="00DC1A6A">
        <w:t xml:space="preserve"> (no. 58923/14, §§ 46-50, 1 March 2016), and </w:t>
      </w:r>
      <w:r w:rsidRPr="00DC1A6A">
        <w:rPr>
          <w:i/>
        </w:rPr>
        <w:t xml:space="preserve">T.M. and Others v. Russia </w:t>
      </w:r>
      <w:r w:rsidRPr="00DC1A6A">
        <w:t>([Committee], no. 31189/15, § 28, 7 November 2017)</w:t>
      </w:r>
      <w:r w:rsidRPr="00DC1A6A">
        <w:rPr>
          <w:i/>
        </w:rPr>
        <w:t>.</w:t>
      </w:r>
    </w:p>
    <w:p w:rsidRPr="00DC1A6A" w:rsidR="00B77508" w:rsidP="00DC1A6A" w:rsidRDefault="00B77508">
      <w:pPr>
        <w:pStyle w:val="JuPara"/>
        <w:rPr>
          <w:lang w:val="en-US"/>
        </w:rPr>
      </w:pPr>
      <w:r w:rsidRPr="00DC1A6A">
        <w:t xml:space="preserve">10.  In respect of Uzbekistan, 2019 World Report by Human Rights Watch indicated that there were certain </w:t>
      </w:r>
      <w:r w:rsidRPr="00DC1A6A">
        <w:rPr>
          <w:lang w:val="en-US"/>
        </w:rPr>
        <w:t>promising steps to reform the country</w:t>
      </w:r>
      <w:r w:rsidRPr="00DC1A6A" w:rsidR="00DC1A6A">
        <w:rPr>
          <w:lang w:val="en-US"/>
        </w:rPr>
        <w:t>’</w:t>
      </w:r>
      <w:r w:rsidRPr="00DC1A6A">
        <w:rPr>
          <w:lang w:val="en-US"/>
        </w:rPr>
        <w:t xml:space="preserve">s human rights record; however, many reforms are yet to be implemented. It further stated that a limited number of persons imprisoned on politically motivated charges had been released in 2016-2018. Furthermore, isolated incidents of </w:t>
      </w:r>
      <w:r w:rsidRPr="00DC1A6A">
        <w:t xml:space="preserve">security agency officers sentenced for torture </w:t>
      </w:r>
      <w:r w:rsidRPr="00DC1A6A">
        <w:rPr>
          <w:lang w:val="en-US"/>
        </w:rPr>
        <w:t xml:space="preserve">and death in custody were cited. Amnesty International Report 2017/2018 reflected similar trends, including judicial independence and effectiveness as the </w:t>
      </w:r>
      <w:r w:rsidRPr="00DC1A6A">
        <w:t>priorities set by the authorities for the systemic reform</w:t>
      </w:r>
      <w:r w:rsidRPr="00DC1A6A">
        <w:rPr>
          <w:lang w:val="en-US"/>
        </w:rPr>
        <w:t>. At the same time the report stressed that t</w:t>
      </w:r>
      <w:r w:rsidRPr="00DC1A6A">
        <w:t xml:space="preserve">he authorities continued to secure forcible returns, including through extradition proceedings, of Uzbekistani nationals identified as threats to the “constitutional </w:t>
      </w:r>
      <w:r w:rsidRPr="00DC1A6A">
        <w:rPr>
          <w:lang w:val="en-US"/>
        </w:rPr>
        <w:t>order” or national security.</w:t>
      </w:r>
    </w:p>
    <w:p w:rsidRPr="00DC1A6A" w:rsidR="00B77508" w:rsidP="00DC1A6A" w:rsidRDefault="00B77508">
      <w:pPr>
        <w:pStyle w:val="JuPara"/>
      </w:pPr>
      <w:r w:rsidRPr="00DC1A6A">
        <w:rPr>
          <w:lang w:val="en-US"/>
        </w:rPr>
        <w:t>11.  In respect of Tajikistan, World Report by Human Rights Watch indicated that the authorities continued to exert pressure on political and religious dissent. However, it also noted that a certain number of persons extradited from Russia had been pardoned following their withdrawal from religious movements. Amnesty International Report 2017/2018 stated that restrictions were still used to silence critical voices and cited a case of a human rights lawyer allegedly tortured in detention.</w:t>
      </w:r>
    </w:p>
    <w:p w:rsidRPr="00DC1A6A" w:rsidR="00B77508" w:rsidP="00DC1A6A" w:rsidRDefault="00B77508">
      <w:pPr>
        <w:pStyle w:val="JuHHead"/>
      </w:pPr>
      <w:r w:rsidRPr="00DC1A6A">
        <w:t>THE LAW</w:t>
      </w:r>
    </w:p>
    <w:p w:rsidRPr="00DC1A6A" w:rsidR="00B77508" w:rsidP="00DC1A6A" w:rsidRDefault="00B77508">
      <w:pPr>
        <w:pStyle w:val="JuHIRoman"/>
      </w:pPr>
      <w:r w:rsidRPr="00DC1A6A">
        <w:t>JOINDER OF THE APPLICATIONS</w:t>
      </w:r>
    </w:p>
    <w:p w:rsidRPr="00DC1A6A" w:rsidR="00B77508" w:rsidP="00DC1A6A" w:rsidRDefault="00B77508">
      <w:pPr>
        <w:pStyle w:val="JuPara"/>
      </w:pPr>
      <w:r w:rsidRPr="00DC1A6A">
        <w:t>12.  Having regard to the similar subject matter of the applications, the Court finds it appropriate to examine them jointly in a single judgment.</w:t>
      </w:r>
    </w:p>
    <w:p w:rsidRPr="00DC1A6A" w:rsidR="00B77508" w:rsidP="00DC1A6A" w:rsidRDefault="00B77508">
      <w:pPr>
        <w:pStyle w:val="JuHIRoman"/>
      </w:pPr>
      <w:r w:rsidRPr="00DC1A6A">
        <w:t>  ALLEGED VIOLATION OF ARTICLE 3 OF THE CONVENTION</w:t>
      </w:r>
    </w:p>
    <w:p w:rsidRPr="00DC1A6A" w:rsidR="00B77508" w:rsidP="00DC1A6A" w:rsidRDefault="00B77508">
      <w:pPr>
        <w:pStyle w:val="JuPara"/>
      </w:pPr>
      <w:r w:rsidRPr="00DC1A6A">
        <w:t>13.  The applicants complained under Article 3 of the Convention that the national authorities had failed to consider their claims, that they would face a real risk of being subjected to ill-treatment in the event of their extradition/expulsion to their respective countries of origin. Article 3 of the Convention reads:</w:t>
      </w:r>
    </w:p>
    <w:p w:rsidRPr="00DC1A6A" w:rsidR="00B77508" w:rsidP="00DC1A6A" w:rsidRDefault="00B77508">
      <w:pPr>
        <w:pStyle w:val="JuQuot"/>
      </w:pPr>
      <w:r w:rsidRPr="00DC1A6A">
        <w:t>“No one shall be subjected to torture or to inhuman or degrading treatment or punishment.”</w:t>
      </w:r>
    </w:p>
    <w:p w:rsidRPr="00DC1A6A" w:rsidR="00B77508" w:rsidP="00DC1A6A" w:rsidRDefault="00B77508">
      <w:pPr>
        <w:pStyle w:val="JuPara"/>
      </w:pPr>
      <w:r w:rsidRPr="00DC1A6A">
        <w:rPr>
          <w:lang w:val="en-US"/>
        </w:rPr>
        <w:t xml:space="preserve">14.  The Government contested that </w:t>
      </w:r>
      <w:r w:rsidRPr="00DC1A6A">
        <w:t>argument</w:t>
      </w:r>
      <w:r w:rsidRPr="00DC1A6A">
        <w:rPr>
          <w:lang w:val="en-US"/>
        </w:rPr>
        <w:t>.</w:t>
      </w:r>
    </w:p>
    <w:p w:rsidRPr="00DC1A6A" w:rsidR="00B77508" w:rsidP="00DC1A6A" w:rsidRDefault="00B77508">
      <w:pPr>
        <w:pStyle w:val="JuHA"/>
      </w:pPr>
      <w:r w:rsidRPr="00DC1A6A">
        <w:t>Admissibility</w:t>
      </w:r>
    </w:p>
    <w:p w:rsidRPr="00DC1A6A" w:rsidR="00B77508" w:rsidP="00DC1A6A" w:rsidRDefault="00B77508">
      <w:pPr>
        <w:pStyle w:val="JuPara"/>
      </w:pPr>
      <w:r w:rsidRPr="00DC1A6A">
        <w:t>15.  The Court notes that these complaints are not manifestly ill-founded within the meaning of Article 35 § 3 (a) of the Convention. It further notes that they are not inadmissible on any other grounds. They must therefore be declared admissible.</w:t>
      </w:r>
    </w:p>
    <w:p w:rsidRPr="00DC1A6A" w:rsidR="00B77508" w:rsidP="00DC1A6A" w:rsidRDefault="00B77508">
      <w:pPr>
        <w:pStyle w:val="JuHA"/>
      </w:pPr>
      <w:r w:rsidRPr="00DC1A6A">
        <w:t>Merits</w:t>
      </w:r>
    </w:p>
    <w:p w:rsidRPr="00DC1A6A" w:rsidR="00B77508" w:rsidP="00DC1A6A" w:rsidRDefault="00B77508">
      <w:pPr>
        <w:pStyle w:val="JuH1"/>
      </w:pPr>
      <w:r w:rsidRPr="00DC1A6A">
        <w:t>General principles</w:t>
      </w:r>
    </w:p>
    <w:p w:rsidRPr="00DC1A6A" w:rsidR="00B77508" w:rsidP="00DC1A6A" w:rsidRDefault="00B77508">
      <w:pPr>
        <w:pStyle w:val="JuPara"/>
      </w:pPr>
      <w:r w:rsidRPr="00DC1A6A">
        <w:t xml:space="preserve">16.  The relevant general principles concerning the application of Article 3 have been summarised by the Court in the judgment in the case of </w:t>
      </w:r>
      <w:r w:rsidRPr="00DC1A6A">
        <w:rPr>
          <w:i/>
        </w:rPr>
        <w:t>F.G. v. Sweden</w:t>
      </w:r>
      <w:r w:rsidRPr="00DC1A6A">
        <w:t xml:space="preserve"> ([GC], no. 43611/11, §§ 111-27, ECHR 2016) and in the context of removals from Russia to Central Asian states in </w:t>
      </w:r>
      <w:proofErr w:type="spellStart"/>
      <w:r w:rsidRPr="00DC1A6A">
        <w:rPr>
          <w:i/>
        </w:rPr>
        <w:t>Mamazhonov</w:t>
      </w:r>
      <w:proofErr w:type="spellEnd"/>
      <w:r w:rsidRPr="00DC1A6A">
        <w:rPr>
          <w:i/>
        </w:rPr>
        <w:t xml:space="preserve"> v. Russia </w:t>
      </w:r>
      <w:r w:rsidRPr="00DC1A6A">
        <w:t>(no. 17239/13, §§ 127-35, 23 October 2014).</w:t>
      </w:r>
    </w:p>
    <w:p w:rsidRPr="00DC1A6A" w:rsidR="00B77508" w:rsidP="00DC1A6A" w:rsidRDefault="00B77508">
      <w:pPr>
        <w:pStyle w:val="JuH1"/>
      </w:pPr>
      <w:r w:rsidRPr="00DC1A6A">
        <w:t>Application of those principles to the present cases</w:t>
      </w:r>
    </w:p>
    <w:p w:rsidRPr="00DC1A6A" w:rsidR="00B77508" w:rsidP="00DC1A6A" w:rsidRDefault="00B77508">
      <w:pPr>
        <w:pStyle w:val="JuHa0"/>
      </w:pPr>
      <w:r w:rsidRPr="00DC1A6A">
        <w:t>Existence of substantial grounds for believing that the applicant faces a real risk of ill-treatment</w:t>
      </w:r>
    </w:p>
    <w:p w:rsidRPr="00DC1A6A" w:rsidR="00B77508" w:rsidP="00DC1A6A" w:rsidRDefault="00B77508">
      <w:pPr>
        <w:pStyle w:val="JuPara"/>
      </w:pPr>
      <w:r w:rsidRPr="00DC1A6A">
        <w:t xml:space="preserve">17.  The Court has previously established that the individuals whose extradition was sought by either Tajik or Uzbek authorities on charges of religiously or politically motivated crimes constituted vulnerable groups facing a real risk of treatment contrary to Article 3 of the Convention in the event of their removal to their respective countries of origin (see </w:t>
      </w:r>
      <w:proofErr w:type="spellStart"/>
      <w:r w:rsidRPr="00DC1A6A">
        <w:rPr>
          <w:i/>
        </w:rPr>
        <w:t>Mamazhonov</w:t>
      </w:r>
      <w:proofErr w:type="spellEnd"/>
      <w:r w:rsidRPr="00DC1A6A">
        <w:rPr>
          <w:i/>
        </w:rPr>
        <w:t xml:space="preserve">, </w:t>
      </w:r>
      <w:r w:rsidRPr="00DC1A6A">
        <w:t xml:space="preserve">cited above, § 141, and </w:t>
      </w:r>
      <w:r w:rsidRPr="00DC1A6A">
        <w:rPr>
          <w:i/>
        </w:rPr>
        <w:t>K.I. v. Russia</w:t>
      </w:r>
      <w:r w:rsidRPr="00DC1A6A">
        <w:t>, cited above, § 36).</w:t>
      </w:r>
    </w:p>
    <w:p w:rsidRPr="00DC1A6A" w:rsidR="00B77508" w:rsidP="00DC1A6A" w:rsidRDefault="00B77508">
      <w:pPr>
        <w:pStyle w:val="JuPara"/>
      </w:pPr>
      <w:r w:rsidRPr="00DC1A6A">
        <w:t>18.  Turning to the present cases, it is apparent that in the course of the extradition and expulsion proceedings the applicants consistently and specifically argued that they had been prosecuted for religious extremism and faced a risk of ill</w:t>
      </w:r>
      <w:r w:rsidRPr="00DC1A6A">
        <w:noBreakHyphen/>
        <w:t xml:space="preserve">treatment. The Court further observes that documents from the Tajik and Uzbek authorities, i.e. the extradition requests, the bills of indictment and the detention orders, </w:t>
      </w:r>
      <w:r w:rsidRPr="00DC1A6A">
        <w:rPr>
          <w:lang w:val="en-US"/>
        </w:rPr>
        <w:t xml:space="preserve">were clear as to their basis - </w:t>
      </w:r>
      <w:r w:rsidRPr="00DC1A6A">
        <w:t>the applicants were accused of religiously and politically motivated crimes. The Tajik and Uzbek authorities thus directly identified them with the groups whose members have previously been found to be at real risk of being subjected to proscribed treatment.</w:t>
      </w:r>
    </w:p>
    <w:p w:rsidRPr="00DC1A6A" w:rsidR="00B77508" w:rsidP="00DC1A6A" w:rsidRDefault="00B77508">
      <w:pPr>
        <w:pStyle w:val="JuPara"/>
      </w:pPr>
      <w:r w:rsidRPr="00DC1A6A">
        <w:t>19.  In such circumstances, the Court considers that the Russian authorities had at their disposal sufficiently substantiated complaints pointing to a real risk of ill-treatment.</w:t>
      </w:r>
    </w:p>
    <w:p w:rsidRPr="00DC1A6A" w:rsidR="00B77508" w:rsidP="00DC1A6A" w:rsidRDefault="00B77508">
      <w:pPr>
        <w:pStyle w:val="JuPara"/>
      </w:pPr>
      <w:r w:rsidRPr="00DC1A6A">
        <w:t>20</w:t>
      </w:r>
      <w:r w:rsidRPr="00DC1A6A" w:rsidR="002D57A7">
        <w:t>.  </w:t>
      </w:r>
      <w:r w:rsidRPr="00DC1A6A">
        <w:t>The Court is therefore satisfied that the applicants presented the Russian authorities with substantial grounds for believing that they faced a real risk of ill-treatment in their countries of origin.</w:t>
      </w:r>
    </w:p>
    <w:p w:rsidRPr="00DC1A6A" w:rsidR="00B77508" w:rsidP="00DC1A6A" w:rsidRDefault="00B77508">
      <w:pPr>
        <w:pStyle w:val="JuHa0"/>
      </w:pPr>
      <w:r w:rsidRPr="00DC1A6A">
        <w:t>Duty to assess claims of a real risk of ill-treatment through reliance on sufficient relevant material</w:t>
      </w:r>
    </w:p>
    <w:p w:rsidRPr="00DC1A6A" w:rsidR="00B77508" w:rsidP="00DC1A6A" w:rsidRDefault="00B77508">
      <w:pPr>
        <w:pStyle w:val="JuPara"/>
      </w:pPr>
      <w:r w:rsidRPr="00DC1A6A">
        <w:t>21.  Having concluded that the applicants had advanced at national level valid claims based on substantial grounds for believing that they faced a real risk of treatment contrary to Article 3 of the Convention, the Court must examine whether the authorities discharged their obligation to assess these claims adequately through reliance on sufficient relevant material.</w:t>
      </w:r>
    </w:p>
    <w:p w:rsidRPr="00DC1A6A" w:rsidR="00B77508" w:rsidP="00DC1A6A" w:rsidRDefault="00B77508">
      <w:pPr>
        <w:pStyle w:val="JuPara"/>
      </w:pPr>
      <w:r w:rsidRPr="00DC1A6A">
        <w:t>22.  Turning to the present cases, the Court considers that in the extradition and expulsion proceedings the domestic authorities did not carry out a rigorous scrutiny of the applicants</w:t>
      </w:r>
      <w:r w:rsidRPr="00DC1A6A" w:rsidR="00DC1A6A">
        <w:t>’</w:t>
      </w:r>
      <w:r w:rsidRPr="00DC1A6A">
        <w:t xml:space="preserve"> claims that they faced a risk of ill</w:t>
      </w:r>
      <w:r w:rsidRPr="00DC1A6A">
        <w:noBreakHyphen/>
        <w:t>treatment in their home countries. The Court reaches this conclusion having considered the national courts</w:t>
      </w:r>
      <w:r w:rsidRPr="00DC1A6A" w:rsidR="00DC1A6A">
        <w:t>’</w:t>
      </w:r>
      <w:r w:rsidRPr="00DC1A6A">
        <w:t xml:space="preserve"> simplistic rejections of the applicants</w:t>
      </w:r>
      <w:r w:rsidRPr="00DC1A6A" w:rsidR="00DC1A6A">
        <w:t>’</w:t>
      </w:r>
      <w:r w:rsidRPr="00DC1A6A">
        <w:t xml:space="preserve"> claims.</w:t>
      </w:r>
    </w:p>
    <w:p w:rsidRPr="00DC1A6A" w:rsidR="00B77508" w:rsidP="00DC1A6A" w:rsidRDefault="00B77508">
      <w:pPr>
        <w:pStyle w:val="JuPara"/>
      </w:pPr>
      <w:r w:rsidRPr="00DC1A6A">
        <w:t>23.  The Court therefore concludes that the Russian authorities failed to assess the applicants</w:t>
      </w:r>
      <w:r w:rsidRPr="00DC1A6A" w:rsidR="00DC1A6A">
        <w:t>’</w:t>
      </w:r>
      <w:r w:rsidRPr="00DC1A6A">
        <w:t xml:space="preserve"> claims adequately through reliance on sufficient relevant material. This failure cleared the way for the applicants</w:t>
      </w:r>
      <w:r w:rsidRPr="00DC1A6A" w:rsidR="00DC1A6A">
        <w:t>’</w:t>
      </w:r>
      <w:r w:rsidRPr="00DC1A6A">
        <w:t xml:space="preserve"> removals.</w:t>
      </w:r>
    </w:p>
    <w:p w:rsidRPr="00DC1A6A" w:rsidR="00B77508" w:rsidP="00DC1A6A" w:rsidRDefault="00B77508">
      <w:pPr>
        <w:pStyle w:val="JuHa0"/>
      </w:pPr>
      <w:r w:rsidRPr="00DC1A6A">
        <w:t>Existence of a real risk of ill-treatment or danger to life in their countries of origin</w:t>
      </w:r>
    </w:p>
    <w:p w:rsidRPr="00DC1A6A" w:rsidR="00B77508" w:rsidP="00DC1A6A" w:rsidRDefault="00B77508">
      <w:pPr>
        <w:pStyle w:val="JuPara"/>
      </w:pPr>
      <w:r w:rsidRPr="00DC1A6A">
        <w:t>24.  Given the failure of the domestic authorities to adequately assess the applicants</w:t>
      </w:r>
      <w:r w:rsidRPr="00DC1A6A" w:rsidR="00DC1A6A">
        <w:t>’</w:t>
      </w:r>
      <w:r w:rsidRPr="00DC1A6A">
        <w:t xml:space="preserve"> claims, the Court finds itself compelled to examine independently whether or not the applicants would be exposed to such a risk in the event of their removal to their countries of origin.</w:t>
      </w:r>
    </w:p>
    <w:p w:rsidRPr="00DC1A6A" w:rsidR="00B77508" w:rsidP="00DC1A6A" w:rsidRDefault="00B77508">
      <w:pPr>
        <w:pStyle w:val="JuPara"/>
        <w:rPr>
          <w:lang w:val="en-US"/>
        </w:rPr>
      </w:pPr>
      <w:r w:rsidRPr="00DC1A6A">
        <w:t>25.  </w:t>
      </w:r>
      <w:r w:rsidRPr="00DC1A6A">
        <w:rPr>
          <w:lang w:val="en-US"/>
        </w:rPr>
        <w:t xml:space="preserve">Court reiterates that previously it had consistently concluded that the removal of an applicant charged with religiously and politically motivated crimes in Uzbekistan and in Tajikistan exposes that applicant to a real risk of ill-treatment in the country of origin (see e.g. </w:t>
      </w:r>
      <w:proofErr w:type="spellStart"/>
      <w:r w:rsidRPr="00DC1A6A">
        <w:rPr>
          <w:i/>
          <w:lang w:val="en-US"/>
        </w:rPr>
        <w:t>Mamazhonov</w:t>
      </w:r>
      <w:proofErr w:type="spellEnd"/>
      <w:r w:rsidRPr="00DC1A6A">
        <w:rPr>
          <w:lang w:val="en-US"/>
        </w:rPr>
        <w:t xml:space="preserve">, cited above; </w:t>
      </w:r>
      <w:proofErr w:type="spellStart"/>
      <w:r w:rsidRPr="00DC1A6A">
        <w:rPr>
          <w:i/>
          <w:iCs/>
          <w:lang w:val="en-US"/>
        </w:rPr>
        <w:t>Kholmurodov</w:t>
      </w:r>
      <w:proofErr w:type="spellEnd"/>
      <w:r w:rsidRPr="00DC1A6A">
        <w:rPr>
          <w:iCs/>
          <w:lang w:val="en-US"/>
        </w:rPr>
        <w:t xml:space="preserve">, </w:t>
      </w:r>
      <w:r w:rsidRPr="00DC1A6A">
        <w:t>no. 58923/14, 1 March 2016</w:t>
      </w:r>
      <w:r w:rsidRPr="00DC1A6A" w:rsidR="00771922">
        <w:t>;</w:t>
      </w:r>
      <w:r w:rsidRPr="00DC1A6A">
        <w:rPr>
          <w:lang w:val="en-US"/>
        </w:rPr>
        <w:t xml:space="preserve"> </w:t>
      </w:r>
      <w:r w:rsidRPr="00DC1A6A">
        <w:rPr>
          <w:i/>
          <w:lang w:val="en-US"/>
        </w:rPr>
        <w:t>K.I. v. Russia</w:t>
      </w:r>
      <w:r w:rsidRPr="00DC1A6A">
        <w:rPr>
          <w:lang w:val="en-US"/>
        </w:rPr>
        <w:t xml:space="preserve">, no. 58182/14, 7 November 2017; </w:t>
      </w:r>
      <w:r w:rsidRPr="00DC1A6A">
        <w:rPr>
          <w:i/>
          <w:lang w:val="en-US"/>
        </w:rPr>
        <w:t>T.M. and Others v. Russia</w:t>
      </w:r>
      <w:r w:rsidRPr="00DC1A6A">
        <w:rPr>
          <w:lang w:val="en-US"/>
        </w:rPr>
        <w:t xml:space="preserve">, </w:t>
      </w:r>
      <w:r w:rsidRPr="00DC1A6A">
        <w:t>[Committee], no. 31189/15, 7</w:t>
      </w:r>
      <w:r w:rsidRPr="00DC1A6A" w:rsidR="00700C2B">
        <w:t> </w:t>
      </w:r>
      <w:r w:rsidRPr="00DC1A6A">
        <w:t xml:space="preserve">November 2017; </w:t>
      </w:r>
      <w:r w:rsidRPr="00DC1A6A">
        <w:rPr>
          <w:lang w:val="en-US"/>
        </w:rPr>
        <w:t xml:space="preserve">and </w:t>
      </w:r>
      <w:r w:rsidRPr="00DC1A6A">
        <w:rPr>
          <w:i/>
          <w:lang w:val="en-US"/>
        </w:rPr>
        <w:t>B.U. and Others v. Russia</w:t>
      </w:r>
      <w:r w:rsidRPr="00DC1A6A">
        <w:rPr>
          <w:lang w:val="en-US"/>
        </w:rPr>
        <w:t>, no. 59609/17, 74677/17, 76379/17, 22 January 2019).</w:t>
      </w:r>
    </w:p>
    <w:p w:rsidRPr="00DC1A6A" w:rsidR="00B77508" w:rsidP="00DC1A6A" w:rsidRDefault="00B77508">
      <w:pPr>
        <w:pStyle w:val="JuPara"/>
      </w:pPr>
      <w:r w:rsidRPr="00DC1A6A">
        <w:rPr>
          <w:lang w:val="en-US"/>
        </w:rPr>
        <w:t>26.  While the Court notes with attention the cautious indications of improvement included in the independent reports (see paragraphs 10 and 11, above), nothing in the parties</w:t>
      </w:r>
      <w:r w:rsidRPr="00DC1A6A" w:rsidR="00DC1A6A">
        <w:rPr>
          <w:lang w:val="en-US"/>
        </w:rPr>
        <w:t>’</w:t>
      </w:r>
      <w:r w:rsidRPr="00DC1A6A">
        <w:rPr>
          <w:lang w:val="en-US"/>
        </w:rPr>
        <w:t xml:space="preserve"> submissions in the present cases or the relevant material from independent international sources provides at this moment a sufficient basis for a conclusion that the persons prosecuted for religiously and politically motivated crimes no longer run such a risk.</w:t>
      </w:r>
    </w:p>
    <w:p w:rsidRPr="00DC1A6A" w:rsidR="00B77508" w:rsidP="00DC1A6A" w:rsidRDefault="00B77508">
      <w:pPr>
        <w:pStyle w:val="JuHa0"/>
      </w:pPr>
      <w:r w:rsidRPr="00DC1A6A">
        <w:t>Conclusion</w:t>
      </w:r>
    </w:p>
    <w:p w:rsidRPr="00DC1A6A" w:rsidR="00B77508" w:rsidP="00DC1A6A" w:rsidRDefault="00B77508">
      <w:pPr>
        <w:pStyle w:val="JuPara"/>
      </w:pPr>
      <w:r w:rsidRPr="00DC1A6A">
        <w:t>27.  The foregoing considerations are sufficient to enable the Court to conclude that there would be a violation of Article 3 of the Convention if the applicants were to be returned to their respective countries of origin.</w:t>
      </w:r>
    </w:p>
    <w:p w:rsidRPr="00DC1A6A" w:rsidR="00B77508" w:rsidP="00DC1A6A" w:rsidRDefault="00B77508">
      <w:pPr>
        <w:pStyle w:val="JuHIRoman"/>
      </w:pPr>
      <w:r w:rsidRPr="00DC1A6A">
        <w:t>ALLEGED VIOLATION OF ARTICLE 5 OF THE CONVENTION</w:t>
      </w:r>
    </w:p>
    <w:p w:rsidRPr="00DC1A6A" w:rsidR="00B77508" w:rsidP="00DC1A6A" w:rsidRDefault="00B77508">
      <w:pPr>
        <w:pStyle w:val="JuPara"/>
      </w:pPr>
      <w:r w:rsidRPr="00DC1A6A">
        <w:t xml:space="preserve">28.  The applicant </w:t>
      </w:r>
      <w:r w:rsidRPr="00DC1A6A">
        <w:rPr>
          <w:lang w:val="en-US"/>
        </w:rPr>
        <w:t xml:space="preserve">in the case </w:t>
      </w:r>
      <w:r w:rsidRPr="00DC1A6A">
        <w:rPr>
          <w:i/>
          <w:lang w:val="en-US"/>
        </w:rPr>
        <w:t>R.R. v. Russia</w:t>
      </w:r>
      <w:r w:rsidRPr="00DC1A6A">
        <w:rPr>
          <w:lang w:val="en-US"/>
        </w:rPr>
        <w:t>, no. 67485/17 also complained under Article 5 §§ 1 (f) and 4 of the Convention about allegedly unlawful detention pending removal as well as about an alleged excessive length of the appeal review proceedings for the detention orders of 6 March and 6 June 2017.</w:t>
      </w:r>
    </w:p>
    <w:p w:rsidRPr="00DC1A6A" w:rsidR="00B77508" w:rsidP="00DC1A6A" w:rsidRDefault="00B77508">
      <w:pPr>
        <w:pStyle w:val="JuPara"/>
      </w:pPr>
      <w:r w:rsidRPr="00DC1A6A">
        <w:t>29.  The Government contested that argument.</w:t>
      </w:r>
    </w:p>
    <w:p w:rsidRPr="00DC1A6A" w:rsidR="00B77508" w:rsidP="00DC1A6A" w:rsidRDefault="00B77508">
      <w:pPr>
        <w:pStyle w:val="JuHA"/>
      </w:pPr>
      <w:r w:rsidRPr="00DC1A6A">
        <w:t>Article 5 § 1 (f) of the Convention</w:t>
      </w:r>
    </w:p>
    <w:p w:rsidRPr="00DC1A6A" w:rsidR="00B77508" w:rsidP="00DC1A6A" w:rsidRDefault="00B77508">
      <w:pPr>
        <w:pStyle w:val="JuPara"/>
        <w:rPr>
          <w:bCs/>
          <w:lang w:val="en-US"/>
        </w:rPr>
      </w:pPr>
      <w:r w:rsidRPr="00DC1A6A">
        <w:t xml:space="preserve">30.  The Court reiterates that </w:t>
      </w:r>
      <w:r w:rsidRPr="00DC1A6A">
        <w:rPr>
          <w:bCs/>
        </w:rPr>
        <w:t>the exception contained in sub</w:t>
      </w:r>
      <w:r w:rsidRPr="00DC1A6A">
        <w:rPr>
          <w:bCs/>
        </w:rPr>
        <w:noBreakHyphen/>
        <w:t xml:space="preserve">paragraph (f) of Article 5 § 1 of the Convention requires only that “action is being taken with a view to deportation or extradition”, without any further justification (see, </w:t>
      </w:r>
      <w:r w:rsidRPr="00DC1A6A">
        <w:rPr>
          <w:bCs/>
          <w:i/>
        </w:rPr>
        <w:t>inter alia</w:t>
      </w:r>
      <w:r w:rsidRPr="00DC1A6A">
        <w:rPr>
          <w:bCs/>
        </w:rPr>
        <w:t xml:space="preserve">, </w:t>
      </w:r>
      <w:proofErr w:type="spellStart"/>
      <w:r w:rsidRPr="00DC1A6A">
        <w:rPr>
          <w:i/>
        </w:rPr>
        <w:t>Chahal</w:t>
      </w:r>
      <w:proofErr w:type="spellEnd"/>
      <w:r w:rsidRPr="00DC1A6A">
        <w:rPr>
          <w:i/>
        </w:rPr>
        <w:t xml:space="preserve"> v. the United Kingdom</w:t>
      </w:r>
      <w:r w:rsidRPr="00DC1A6A">
        <w:t xml:space="preserve">, 15 November 1996, § 112, </w:t>
      </w:r>
      <w:r w:rsidRPr="00DC1A6A">
        <w:rPr>
          <w:i/>
        </w:rPr>
        <w:t>Reports of Judgments and Decisions</w:t>
      </w:r>
      <w:r w:rsidRPr="00DC1A6A">
        <w:t xml:space="preserve"> 1996</w:t>
      </w:r>
      <w:r w:rsidRPr="00DC1A6A">
        <w:noBreakHyphen/>
        <w:t>V</w:t>
      </w:r>
      <w:r w:rsidRPr="00DC1A6A">
        <w:rPr>
          <w:bCs/>
        </w:rPr>
        <w:t xml:space="preserve">), and that deprivation of liberty will be justified as long as deportation or extradition proceedings are in progress (see </w:t>
      </w:r>
      <w:r w:rsidRPr="00DC1A6A">
        <w:rPr>
          <w:bCs/>
          <w:i/>
        </w:rPr>
        <w:t>A. and Others v. the United Kingdom</w:t>
      </w:r>
      <w:r w:rsidRPr="00DC1A6A">
        <w:rPr>
          <w:bCs/>
        </w:rPr>
        <w:t xml:space="preserve"> [GC], no. 3455/05, § 164, ECHR 2009). If such proceedings are not prosecuted with due diligence, the detention will cease to be permissible (see </w:t>
      </w:r>
      <w:proofErr w:type="spellStart"/>
      <w:r w:rsidRPr="00DC1A6A">
        <w:rPr>
          <w:bCs/>
          <w:i/>
          <w:iCs/>
        </w:rPr>
        <w:t>Chahal</w:t>
      </w:r>
      <w:proofErr w:type="spellEnd"/>
      <w:r w:rsidRPr="00DC1A6A">
        <w:rPr>
          <w:bCs/>
        </w:rPr>
        <w:t>, cited above § 113; see also </w:t>
      </w:r>
      <w:r w:rsidRPr="00DC1A6A">
        <w:rPr>
          <w:bCs/>
          <w:i/>
          <w:iCs/>
        </w:rPr>
        <w:t>Gebremedhin [</w:t>
      </w:r>
      <w:proofErr w:type="spellStart"/>
      <w:r w:rsidRPr="00DC1A6A">
        <w:rPr>
          <w:bCs/>
          <w:i/>
          <w:iCs/>
        </w:rPr>
        <w:t>Gaberamadhien</w:t>
      </w:r>
      <w:proofErr w:type="spellEnd"/>
      <w:r w:rsidRPr="00DC1A6A">
        <w:rPr>
          <w:bCs/>
          <w:i/>
          <w:iCs/>
        </w:rPr>
        <w:t>] v. France</w:t>
      </w:r>
      <w:r w:rsidRPr="00DC1A6A">
        <w:rPr>
          <w:bCs/>
        </w:rPr>
        <w:t xml:space="preserve">, no. 25389/05, § 74, ECHR 2007-II). </w:t>
      </w:r>
      <w:r w:rsidRPr="00DC1A6A">
        <w:rPr>
          <w:bCs/>
          <w:lang w:val="en-US"/>
        </w:rPr>
        <w:t xml:space="preserve">In asking whether “action is being taken with a view to deportation”, this Court has found that removal must be a realistic prospect (see </w:t>
      </w:r>
      <w:r w:rsidRPr="00DC1A6A">
        <w:rPr>
          <w:bCs/>
          <w:i/>
          <w:iCs/>
          <w:lang w:val="en-US"/>
        </w:rPr>
        <w:t>A. and Others</w:t>
      </w:r>
      <w:r w:rsidRPr="00DC1A6A">
        <w:rPr>
          <w:bCs/>
          <w:lang w:val="en-US"/>
        </w:rPr>
        <w:t xml:space="preserve">, cited above, § 167, and </w:t>
      </w:r>
      <w:r w:rsidRPr="00DC1A6A">
        <w:rPr>
          <w:bCs/>
          <w:i/>
          <w:iCs/>
          <w:lang w:val="en-US"/>
        </w:rPr>
        <w:t>Amie and Others v. Bulgaria</w:t>
      </w:r>
      <w:r w:rsidRPr="00DC1A6A">
        <w:rPr>
          <w:bCs/>
          <w:lang w:val="en-US"/>
        </w:rPr>
        <w:t>, no. 58149/08, § 144, 12 February 2013).</w:t>
      </w:r>
    </w:p>
    <w:p w:rsidRPr="00DC1A6A" w:rsidR="00B77508" w:rsidP="00DC1A6A" w:rsidRDefault="00B77508">
      <w:pPr>
        <w:pStyle w:val="JuPara"/>
      </w:pPr>
      <w:r w:rsidRPr="00DC1A6A">
        <w:t xml:space="preserve">31.  The question of whether or not a period of detention is reasonable cannot be assessed in the abstract but must be assessed in each case according to its special features (see, </w:t>
      </w:r>
      <w:r w:rsidRPr="00DC1A6A">
        <w:rPr>
          <w:i/>
        </w:rPr>
        <w:t>mutatis mutandis</w:t>
      </w:r>
      <w:r w:rsidRPr="00DC1A6A">
        <w:t xml:space="preserve">, </w:t>
      </w:r>
      <w:r w:rsidRPr="00DC1A6A">
        <w:rPr>
          <w:i/>
        </w:rPr>
        <w:t xml:space="preserve">McKay v. the United Kingdom </w:t>
      </w:r>
      <w:r w:rsidRPr="00DC1A6A">
        <w:t>[GC], no. 543/03, §§ 41-45, ECHR 2006</w:t>
      </w:r>
      <w:r w:rsidRPr="00DC1A6A">
        <w:noBreakHyphen/>
        <w:t xml:space="preserve">X) and that the arguments for and against release must not be “general and abstract” (see, for example, </w:t>
      </w:r>
      <w:proofErr w:type="spellStart"/>
      <w:r w:rsidRPr="00DC1A6A">
        <w:rPr>
          <w:i/>
        </w:rPr>
        <w:t>Khudoyorov</w:t>
      </w:r>
      <w:proofErr w:type="spellEnd"/>
      <w:r w:rsidRPr="00DC1A6A">
        <w:rPr>
          <w:i/>
        </w:rPr>
        <w:t xml:space="preserve"> v. Russia</w:t>
      </w:r>
      <w:r w:rsidRPr="00DC1A6A">
        <w:t>, no. 6847/02, § 173, ECHR 2005</w:t>
      </w:r>
      <w:r w:rsidRPr="00DC1A6A">
        <w:noBreakHyphen/>
        <w:t>X (extracts)), but contain references to the specific facts and the applicant</w:t>
      </w:r>
      <w:r w:rsidRPr="00DC1A6A" w:rsidR="00DC1A6A">
        <w:t>’</w:t>
      </w:r>
      <w:r w:rsidRPr="00DC1A6A">
        <w:t>s personal circumstances justifying his detention.</w:t>
      </w:r>
    </w:p>
    <w:p w:rsidRPr="00DC1A6A" w:rsidR="00B77508" w:rsidP="00DC1A6A" w:rsidRDefault="00B77508">
      <w:pPr>
        <w:pStyle w:val="JuPara"/>
      </w:pPr>
      <w:r w:rsidRPr="00DC1A6A">
        <w:t>32.  Turning to the present case the Court notes that the Government in their submissions maintained that the applicant</w:t>
      </w:r>
      <w:r w:rsidRPr="00DC1A6A" w:rsidR="00DC1A6A">
        <w:t>’</w:t>
      </w:r>
      <w:r w:rsidRPr="00DC1A6A">
        <w:t>s detention had been justified by the ongoing removal proceedings.</w:t>
      </w:r>
    </w:p>
    <w:p w:rsidRPr="00DC1A6A" w:rsidR="00B77508" w:rsidP="00DC1A6A" w:rsidRDefault="00B77508">
      <w:pPr>
        <w:pStyle w:val="JuPara"/>
      </w:pPr>
      <w:r w:rsidRPr="00DC1A6A">
        <w:t>33.  The applicant</w:t>
      </w:r>
      <w:r w:rsidRPr="00DC1A6A" w:rsidR="00DC1A6A">
        <w:t>’</w:t>
      </w:r>
      <w:r w:rsidRPr="00DC1A6A">
        <w:t>s representative, relying on evidently mistaken references to Article 5 §§ 1 (c) and 3 of the Convention, which govern the pre-trial detention in criminal proceedings, stated that his detention pending extradition had been unlawful in absence of sufficient grounds for it. Neither in the application form, nor in his observations the applicant highlighted facts or supplied legal reasons relevant for the analysis under the above principles under Article 5 § 1 (f) of the Convention. Neither did he allege that the removal proceedings were carried out without requisite diligence, conducted in bad faith or tainted by unjustified delays.</w:t>
      </w:r>
    </w:p>
    <w:p w:rsidRPr="00DC1A6A" w:rsidR="00B77508" w:rsidP="00DC1A6A" w:rsidRDefault="00B77508">
      <w:pPr>
        <w:pStyle w:val="JuPara"/>
      </w:pPr>
      <w:r w:rsidRPr="00DC1A6A">
        <w:t>34.  In this regards, the Court notes that it cannot examine the application and make its findings in abstract and without relevant submissions from the applicant on whether, in the light of the Convention standard, the progress of the removal proceedings justified his continued detention. Given that the applicant had failed to substantiate his complaint with reference to the pertinent facts and relevant legal arguments, the Court concludes that this complaint is manifestly ill-founded within the meaning of Article 35 § 3 (a) of the Convention and must be declared inadmissible.</w:t>
      </w:r>
    </w:p>
    <w:p w:rsidRPr="00DC1A6A" w:rsidR="00B77508" w:rsidP="00DC1A6A" w:rsidRDefault="00B77508">
      <w:pPr>
        <w:pStyle w:val="JuHA"/>
      </w:pPr>
      <w:r w:rsidRPr="00DC1A6A">
        <w:t>Article 5 § 4 of the Convention</w:t>
      </w:r>
    </w:p>
    <w:p w:rsidRPr="00DC1A6A" w:rsidR="00B77508" w:rsidP="00DC1A6A" w:rsidRDefault="00B77508">
      <w:pPr>
        <w:pStyle w:val="JuPara"/>
      </w:pPr>
      <w:r w:rsidRPr="00DC1A6A">
        <w:t xml:space="preserve">35.  In the application form the applicant argued that the length of the appeal review proceedings for the detention orders of 6 March 2017 and 6 June 2017 by the </w:t>
      </w:r>
      <w:proofErr w:type="spellStart"/>
      <w:r w:rsidRPr="00DC1A6A">
        <w:t>Babushkinskiy</w:t>
      </w:r>
      <w:proofErr w:type="spellEnd"/>
      <w:r w:rsidRPr="00DC1A6A">
        <w:t xml:space="preserve"> District Court of Moscow had been excessive and implicitly maintained, that it did not comply with the “speediness” requirement under Article 5 § 4 of the Convention.</w:t>
      </w:r>
    </w:p>
    <w:p w:rsidRPr="00DC1A6A" w:rsidR="00B77508" w:rsidP="00DC1A6A" w:rsidRDefault="00B77508">
      <w:pPr>
        <w:pStyle w:val="JuPara"/>
      </w:pPr>
      <w:r w:rsidRPr="00DC1A6A">
        <w:t>36.  The Government in their observations stated that the period of the appeal review of the above orders was pre-determined by the need to translate and to furnish the applicant, who has low proficiency of the Russian language, with written translations of the procedural documents.</w:t>
      </w:r>
    </w:p>
    <w:p w:rsidRPr="00DC1A6A" w:rsidR="00B77508" w:rsidP="00DC1A6A" w:rsidRDefault="00B77508">
      <w:pPr>
        <w:pStyle w:val="JuPara"/>
      </w:pPr>
      <w:r w:rsidRPr="00DC1A6A">
        <w:t>37.  The applicant in his observations did not comment on the above arguments of the Government.</w:t>
      </w:r>
    </w:p>
    <w:p w:rsidRPr="00DC1A6A" w:rsidR="00B77508" w:rsidP="00DC1A6A" w:rsidRDefault="00B77508">
      <w:pPr>
        <w:pStyle w:val="JuPara"/>
      </w:pPr>
      <w:r w:rsidRPr="00DC1A6A">
        <w:t xml:space="preserve">38.  The Court reiterates that Article 5 § 4, in guaranteeing to persons arrested or detained a right to have the lawfulness of their detention reviewed, also proclaims their right, following the institution of such proceedings, to a speedy judicial decision concerning the lawfulness of detention and to an order terminating it if proved unlawful. The finding whether or not the relevant decision was taken “speedily” within the meaning of that provision depends on the particular features of the case. That does not mean, however, that the complexity of a given dossier – even exceptional – absolves the national authorities from their essential obligation under this provision (see </w:t>
      </w:r>
      <w:proofErr w:type="spellStart"/>
      <w:r w:rsidRPr="00DC1A6A">
        <w:rPr>
          <w:i/>
        </w:rPr>
        <w:t>Musiał</w:t>
      </w:r>
      <w:proofErr w:type="spellEnd"/>
      <w:r w:rsidRPr="00DC1A6A">
        <w:rPr>
          <w:i/>
        </w:rPr>
        <w:t xml:space="preserve"> v. Poland</w:t>
      </w:r>
      <w:r w:rsidRPr="00DC1A6A">
        <w:t xml:space="preserve"> [GC], no. 24557/94, § 43, ECHR 1999-II).</w:t>
      </w:r>
    </w:p>
    <w:p w:rsidRPr="00DC1A6A" w:rsidR="00B77508" w:rsidP="00DC1A6A" w:rsidRDefault="00B77508">
      <w:pPr>
        <w:pStyle w:val="JuPara"/>
      </w:pPr>
      <w:r w:rsidRPr="00DC1A6A">
        <w:t>39.  The Government pointed to the need for translation of documents as the particular feature of the case crucial for the examination of compliance with the “speediness” requirement under Article 5 § 4 of the Convention. The Court notes that affording the applicant, who had low proficiency of the Russian language, an opportunity to consult the documents in his native language on its face appears to be a valid consideration under the Convention. The applicant in his submission preferred not to provide any comments to the contrary.</w:t>
      </w:r>
    </w:p>
    <w:p w:rsidRPr="00DC1A6A" w:rsidR="00B77508" w:rsidP="00DC1A6A" w:rsidRDefault="00B77508">
      <w:pPr>
        <w:pStyle w:val="JuPara"/>
      </w:pPr>
      <w:r w:rsidRPr="00DC1A6A">
        <w:t>40.  Similarly to the above complaint, the Court does not find it appropriate to rule in abstract and without relevant submissions from the applicant on whether, in the light of the Convention standard, the length of the appeal review for the detention orders of 6 March 2017 and 6 June 2017 had been excessive given the need to provide the applicant with the written translations of the relevant documents. Accordingly, the Court concludes that this complaint is manifestly ill-founded w</w:t>
      </w:r>
      <w:r w:rsidRPr="00DC1A6A" w:rsidR="002D57A7">
        <w:t xml:space="preserve">ithin the meaning of Article 35 </w:t>
      </w:r>
      <w:r w:rsidRPr="00DC1A6A">
        <w:t>§ 3 (a) of the Convention and must be declared inadmissible.</w:t>
      </w:r>
    </w:p>
    <w:p w:rsidRPr="00DC1A6A" w:rsidR="00B77508" w:rsidP="00DC1A6A" w:rsidRDefault="00B77508">
      <w:pPr>
        <w:pStyle w:val="JuHIRoman"/>
      </w:pPr>
      <w:r w:rsidRPr="00DC1A6A">
        <w:t>OTHER ALLEGED VIOLATIONS OF THE CONVENTION</w:t>
      </w:r>
    </w:p>
    <w:p w:rsidRPr="00DC1A6A" w:rsidR="00B77508" w:rsidP="00DC1A6A" w:rsidRDefault="00B77508">
      <w:pPr>
        <w:pStyle w:val="JuPara"/>
      </w:pPr>
      <w:r w:rsidRPr="00DC1A6A">
        <w:t xml:space="preserve">41.  The applicant in the case </w:t>
      </w:r>
      <w:r w:rsidRPr="00DC1A6A">
        <w:rPr>
          <w:i/>
        </w:rPr>
        <w:t>R.R. v. Russia</w:t>
      </w:r>
      <w:r w:rsidRPr="00DC1A6A">
        <w:t>, no. 67485/17 submitted further complaints under Article 3 of the Convention related to the conditions of his detention and transportation. The Court having regard to all of the available material, the parties</w:t>
      </w:r>
      <w:r w:rsidRPr="00DC1A6A" w:rsidR="00DC1A6A">
        <w:t>’</w:t>
      </w:r>
      <w:r w:rsidRPr="00DC1A6A">
        <w:t xml:space="preserve"> submissions and its case-law on the matter concludes that these complaints are manifestly ill-founded and must be rejected under Article 35 § 3 (a) of the Convention.</w:t>
      </w:r>
    </w:p>
    <w:p w:rsidRPr="00DC1A6A" w:rsidR="00B77508" w:rsidP="00DC1A6A" w:rsidRDefault="00B77508">
      <w:pPr>
        <w:pStyle w:val="JuHIRoman"/>
      </w:pPr>
      <w:r w:rsidRPr="00DC1A6A">
        <w:t>APPLICATION OF THE INTERIM MEASURES UNDER RULE 39 OF THE RULES OF COURT</w:t>
      </w:r>
    </w:p>
    <w:p w:rsidRPr="00DC1A6A" w:rsidR="00B77508" w:rsidP="00DC1A6A" w:rsidRDefault="00B77508">
      <w:pPr>
        <w:pStyle w:val="JuPara"/>
      </w:pPr>
      <w:r w:rsidRPr="00DC1A6A">
        <w:t>42.  On 13 September 2017 and 24 May 2018 respectively the Court indicated to the respondent Government, under Rule 39 of the Rules of Court, that the applicants should not be removed from Russia to their respective countries of origin for the duration of the proceedings before the Court.</w:t>
      </w:r>
    </w:p>
    <w:p w:rsidRPr="00DC1A6A" w:rsidR="00B77508" w:rsidP="00DC1A6A" w:rsidRDefault="00B77508">
      <w:pPr>
        <w:pStyle w:val="JuPara"/>
      </w:pPr>
      <w:r w:rsidRPr="00DC1A6A">
        <w:t>43.  In this connection the Court reiterates that, in accordance with Article 28 § 2 of the Convention, the present judgment is final.</w:t>
      </w:r>
    </w:p>
    <w:p w:rsidRPr="00DC1A6A" w:rsidR="00B77508" w:rsidP="00DC1A6A" w:rsidRDefault="00B77508">
      <w:pPr>
        <w:pStyle w:val="JuPara"/>
      </w:pPr>
      <w:r w:rsidRPr="00DC1A6A">
        <w:t>44.  Accordingly, the Court considers that the measures indicated to the Government under Rule 39 of the Rules of Court come to an end.</w:t>
      </w:r>
    </w:p>
    <w:p w:rsidRPr="00DC1A6A" w:rsidR="00B77508" w:rsidP="00DC1A6A" w:rsidRDefault="00B77508">
      <w:pPr>
        <w:pStyle w:val="JuHIRoman"/>
      </w:pPr>
      <w:r w:rsidRPr="00DC1A6A">
        <w:t>APPLICATION OF ARTICLE 41 OF THE CONVENTION</w:t>
      </w:r>
    </w:p>
    <w:p w:rsidRPr="00DC1A6A" w:rsidR="00B77508" w:rsidP="00DC1A6A" w:rsidRDefault="00B77508">
      <w:pPr>
        <w:pStyle w:val="JuPara"/>
      </w:pPr>
      <w:r w:rsidRPr="00DC1A6A">
        <w:t>45.  Article 41 of the Convention provides:</w:t>
      </w:r>
    </w:p>
    <w:p w:rsidRPr="00DC1A6A" w:rsidR="00B77508" w:rsidP="00DC1A6A" w:rsidRDefault="00B77508">
      <w:pPr>
        <w:pStyle w:val="JuQuot"/>
        <w:keepNext/>
        <w:keepLines/>
      </w:pPr>
      <w:r w:rsidRPr="00DC1A6A">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DC1A6A" w:rsidR="00B77508" w:rsidP="00DC1A6A" w:rsidRDefault="00B77508">
      <w:pPr>
        <w:pStyle w:val="JuHA"/>
      </w:pPr>
      <w:r w:rsidRPr="00DC1A6A">
        <w:t>Damage</w:t>
      </w:r>
    </w:p>
    <w:p w:rsidRPr="00DC1A6A" w:rsidR="00B77508" w:rsidP="00DC1A6A" w:rsidRDefault="00B77508">
      <w:pPr>
        <w:pStyle w:val="JuPara"/>
      </w:pPr>
      <w:r w:rsidRPr="00DC1A6A">
        <w:t>46.  The applicants claimed between 5,000 euros (EUR) and EUR 50,000 in respect of non-pecuniary damage.</w:t>
      </w:r>
    </w:p>
    <w:p w:rsidRPr="00DC1A6A" w:rsidR="00B77508" w:rsidP="00DC1A6A" w:rsidRDefault="00B77508">
      <w:pPr>
        <w:pStyle w:val="JuPara"/>
      </w:pPr>
      <w:r w:rsidRPr="00DC1A6A">
        <w:t>47.  The Government stated that the awards should be made in compliance with the Court</w:t>
      </w:r>
      <w:r w:rsidRPr="00DC1A6A" w:rsidR="00DC1A6A">
        <w:t>’</w:t>
      </w:r>
      <w:r w:rsidRPr="00DC1A6A">
        <w:t>s well-established case-law.</w:t>
      </w:r>
    </w:p>
    <w:p w:rsidRPr="00DC1A6A" w:rsidR="00B77508" w:rsidP="00DC1A6A" w:rsidRDefault="00B77508">
      <w:pPr>
        <w:pStyle w:val="JuPara"/>
        <w:rPr>
          <w:lang w:val="en-US"/>
        </w:rPr>
      </w:pPr>
      <w:r w:rsidRPr="00DC1A6A">
        <w:rPr>
          <w:lang w:val="en-US"/>
        </w:rPr>
        <w:t>48.  In the light of the nature of the established violations of Article 3 of the Convention and the specific facts of the present case, the Court considers that finding that there would be a violation of Article 3 of the Convention if the applicants were to be returned to their respective countries of origin constitutes sufficient just satisfaction in respect of any non</w:t>
      </w:r>
      <w:r w:rsidRPr="00DC1A6A">
        <w:rPr>
          <w:lang w:val="en-US"/>
        </w:rPr>
        <w:noBreakHyphen/>
        <w:t xml:space="preserve">pecuniary damage suffered (see, to similar effect, </w:t>
      </w:r>
      <w:r w:rsidRPr="00DC1A6A">
        <w:rPr>
          <w:i/>
          <w:lang w:val="en-US"/>
        </w:rPr>
        <w:t>J.K.</w:t>
      </w:r>
      <w:r w:rsidRPr="00DC1A6A">
        <w:rPr>
          <w:lang w:val="en-US"/>
        </w:rPr>
        <w:t xml:space="preserve"> </w:t>
      </w:r>
      <w:r w:rsidRPr="00DC1A6A">
        <w:rPr>
          <w:i/>
          <w:lang w:val="en-US"/>
        </w:rPr>
        <w:t xml:space="preserve">and Others v. Sweden </w:t>
      </w:r>
      <w:r w:rsidRPr="00DC1A6A">
        <w:rPr>
          <w:lang w:val="en-US"/>
        </w:rPr>
        <w:t>[GC], no. 59166/12, § 127, ECHR 2016).</w:t>
      </w:r>
    </w:p>
    <w:p w:rsidRPr="00DC1A6A" w:rsidR="00B77508" w:rsidP="00DC1A6A" w:rsidRDefault="00B77508">
      <w:pPr>
        <w:pStyle w:val="JuHA"/>
      </w:pPr>
      <w:r w:rsidRPr="00DC1A6A">
        <w:t>Costs and expenses</w:t>
      </w:r>
    </w:p>
    <w:p w:rsidRPr="00DC1A6A" w:rsidR="00B77508" w:rsidP="00DC1A6A" w:rsidRDefault="00B77508">
      <w:pPr>
        <w:pStyle w:val="JuPara"/>
      </w:pPr>
      <w:r w:rsidRPr="00DC1A6A">
        <w:t xml:space="preserve">49.  The applicant in the case </w:t>
      </w:r>
      <w:r w:rsidRPr="00DC1A6A">
        <w:rPr>
          <w:i/>
        </w:rPr>
        <w:t>R.R. v. Russia</w:t>
      </w:r>
      <w:r w:rsidRPr="00DC1A6A">
        <w:t xml:space="preserve">, no. 67485/17 also claimed EUR 22,898 for the costs and expenses incurred before the domestic courts and the Court. The applicant in the case </w:t>
      </w:r>
      <w:r w:rsidRPr="00DC1A6A">
        <w:rPr>
          <w:i/>
        </w:rPr>
        <w:t>A.R. v. Russia</w:t>
      </w:r>
      <w:r w:rsidRPr="00DC1A6A" w:rsidR="00805FFB">
        <w:t>, no. 24014</w:t>
      </w:r>
      <w:r w:rsidRPr="00DC1A6A">
        <w:t>/1</w:t>
      </w:r>
      <w:r w:rsidRPr="00DC1A6A" w:rsidR="00805FFB">
        <w:t>8</w:t>
      </w:r>
      <w:r w:rsidRPr="00DC1A6A">
        <w:t xml:space="preserve"> also claimed EUR 1,740 for the costs and expenses incurred before the Court.</w:t>
      </w:r>
    </w:p>
    <w:p w:rsidRPr="00DC1A6A" w:rsidR="00B77508" w:rsidP="00DC1A6A" w:rsidRDefault="00B77508">
      <w:pPr>
        <w:pStyle w:val="JuPara"/>
      </w:pPr>
      <w:r w:rsidRPr="00DC1A6A">
        <w:t>50.  The Government stated that the cases fall under the established case</w:t>
      </w:r>
      <w:r w:rsidRPr="00DC1A6A">
        <w:noBreakHyphen/>
        <w:t>law of the Court, the representatives have extensive experience in these cases and that the amounts should be reduced accordingly.</w:t>
      </w:r>
    </w:p>
    <w:p w:rsidRPr="00DC1A6A" w:rsidR="00B77508" w:rsidP="00DC1A6A" w:rsidRDefault="00B77508">
      <w:pPr>
        <w:pStyle w:val="JuPara"/>
      </w:pPr>
      <w:r w:rsidRPr="00DC1A6A">
        <w:t>51.  </w:t>
      </w:r>
      <w:r w:rsidRPr="00DC1A6A">
        <w:rPr>
          <w:lang w:val="en-US"/>
        </w:rPr>
        <w:t>Regard being had to the documents in its possession and to its case</w:t>
      </w:r>
      <w:r w:rsidRPr="00DC1A6A">
        <w:rPr>
          <w:lang w:val="en-US"/>
        </w:rPr>
        <w:noBreakHyphen/>
        <w:t>law, the Court considers it reasonable that the sums indicated in the appended table be awarded and that these sums should be payable directly to the applicants</w:t>
      </w:r>
      <w:r w:rsidRPr="00DC1A6A" w:rsidR="00DC1A6A">
        <w:rPr>
          <w:lang w:val="en-US"/>
        </w:rPr>
        <w:t>’</w:t>
      </w:r>
      <w:r w:rsidRPr="00DC1A6A">
        <w:rPr>
          <w:lang w:val="en-US"/>
        </w:rPr>
        <w:t xml:space="preserve"> representatives.</w:t>
      </w:r>
    </w:p>
    <w:p w:rsidRPr="00DC1A6A" w:rsidR="00B77508" w:rsidP="00DC1A6A" w:rsidRDefault="00B77508">
      <w:pPr>
        <w:pStyle w:val="JuHA"/>
      </w:pPr>
      <w:r w:rsidRPr="00DC1A6A">
        <w:t>Default interest</w:t>
      </w:r>
    </w:p>
    <w:p w:rsidRPr="00DC1A6A" w:rsidR="00B77508" w:rsidP="00DC1A6A" w:rsidRDefault="00B77508">
      <w:pPr>
        <w:pStyle w:val="JuPara"/>
      </w:pPr>
      <w:r w:rsidRPr="00DC1A6A">
        <w:t>52.  The Court considers it appropriate that the default interest rate should be based on the marginal lending rate of the European Central Bank, to which should be added three percentage points.</w:t>
      </w:r>
    </w:p>
    <w:p w:rsidRPr="00DC1A6A" w:rsidR="00B77508" w:rsidP="00DC1A6A" w:rsidRDefault="00B77508">
      <w:pPr>
        <w:pStyle w:val="JuHHead"/>
      </w:pPr>
      <w:r w:rsidRPr="00DC1A6A">
        <w:t>FOR THESE REASONS, THE COURT, UNANIMOUSLY,</w:t>
      </w:r>
    </w:p>
    <w:p w:rsidRPr="00DC1A6A" w:rsidR="00B77508" w:rsidP="00DC1A6A" w:rsidRDefault="00B77508">
      <w:pPr>
        <w:pStyle w:val="JuList"/>
      </w:pPr>
      <w:r w:rsidRPr="00DC1A6A">
        <w:rPr>
          <w:i/>
        </w:rPr>
        <w:t xml:space="preserve">Decides </w:t>
      </w:r>
      <w:r w:rsidRPr="00DC1A6A">
        <w:t>to join the applications;</w:t>
      </w:r>
    </w:p>
    <w:p w:rsidRPr="00DC1A6A" w:rsidR="00B77508" w:rsidP="00DC1A6A" w:rsidRDefault="00B77508">
      <w:pPr>
        <w:pStyle w:val="JuList"/>
        <w:rPr>
          <w:lang w:val="en-US"/>
        </w:rPr>
      </w:pPr>
      <w:r w:rsidRPr="00DC1A6A">
        <w:rPr>
          <w:i/>
          <w:lang w:val="en-US"/>
        </w:rPr>
        <w:t xml:space="preserve">Declares </w:t>
      </w:r>
      <w:r w:rsidRPr="00DC1A6A">
        <w:rPr>
          <w:lang w:val="en-US"/>
        </w:rPr>
        <w:t>the complaints under Article 3 of the Convention concerning the applicants</w:t>
      </w:r>
      <w:r w:rsidRPr="00DC1A6A" w:rsidR="00DC1A6A">
        <w:rPr>
          <w:lang w:val="en-US"/>
        </w:rPr>
        <w:t>’</w:t>
      </w:r>
      <w:r w:rsidRPr="00DC1A6A">
        <w:rPr>
          <w:lang w:val="en-US"/>
        </w:rPr>
        <w:t xml:space="preserve"> pending removal to their respective countries of </w:t>
      </w:r>
      <w:r w:rsidRPr="00DC1A6A">
        <w:t>origin</w:t>
      </w:r>
      <w:r w:rsidRPr="00DC1A6A">
        <w:rPr>
          <w:lang w:val="en-US"/>
        </w:rPr>
        <w:t xml:space="preserve"> admissible and the remainder of the complaints inadmissible;</w:t>
      </w:r>
    </w:p>
    <w:p w:rsidRPr="00DC1A6A" w:rsidR="00B77508" w:rsidP="00DC1A6A" w:rsidRDefault="00B77508">
      <w:pPr>
        <w:pStyle w:val="JuList"/>
        <w:rPr>
          <w:lang w:val="en-US"/>
        </w:rPr>
      </w:pPr>
      <w:r w:rsidRPr="00DC1A6A">
        <w:rPr>
          <w:i/>
        </w:rPr>
        <w:t>Holds</w:t>
      </w:r>
      <w:r w:rsidRPr="00DC1A6A">
        <w:t xml:space="preserve"> </w:t>
      </w:r>
      <w:r w:rsidRPr="00DC1A6A">
        <w:rPr>
          <w:lang w:val="en-US"/>
        </w:rPr>
        <w:t xml:space="preserve">that there would be a violation of Article 3 of the </w:t>
      </w:r>
      <w:r w:rsidRPr="00DC1A6A">
        <w:t>Convention</w:t>
      </w:r>
      <w:r w:rsidRPr="00DC1A6A">
        <w:rPr>
          <w:lang w:val="en-US"/>
        </w:rPr>
        <w:t xml:space="preserve"> if the applicants were to be returned to their respective countries of origin;</w:t>
      </w:r>
    </w:p>
    <w:p w:rsidRPr="00DC1A6A" w:rsidR="00B77508" w:rsidP="00DC1A6A" w:rsidRDefault="00B77508">
      <w:pPr>
        <w:pStyle w:val="JuList"/>
        <w:rPr>
          <w:lang w:val="en-US"/>
        </w:rPr>
      </w:pPr>
      <w:r w:rsidRPr="00DC1A6A">
        <w:rPr>
          <w:i/>
          <w:lang w:val="en-US"/>
        </w:rPr>
        <w:t xml:space="preserve">Holds </w:t>
      </w:r>
      <w:r w:rsidRPr="00DC1A6A">
        <w:rPr>
          <w:lang w:val="en-US"/>
        </w:rPr>
        <w:t>that the finding that there would be a violation of Article 3 of the Convention in case of the applicants</w:t>
      </w:r>
      <w:r w:rsidRPr="00DC1A6A" w:rsidR="00DC1A6A">
        <w:rPr>
          <w:lang w:val="en-US"/>
        </w:rPr>
        <w:t>’</w:t>
      </w:r>
      <w:r w:rsidRPr="00DC1A6A">
        <w:rPr>
          <w:lang w:val="en-US"/>
        </w:rPr>
        <w:t xml:space="preserve"> return to their respective countries of origin constitutes in itself sufficient just </w:t>
      </w:r>
      <w:r w:rsidRPr="00DC1A6A">
        <w:t>satisfaction</w:t>
      </w:r>
      <w:r w:rsidRPr="00DC1A6A">
        <w:rPr>
          <w:lang w:val="en-US"/>
        </w:rPr>
        <w:t xml:space="preserve"> for the non</w:t>
      </w:r>
      <w:r w:rsidRPr="00DC1A6A">
        <w:rPr>
          <w:lang w:val="en-US"/>
        </w:rPr>
        <w:noBreakHyphen/>
        <w:t>pecuniary damage sustained by the applicants in this regard;</w:t>
      </w:r>
    </w:p>
    <w:p w:rsidRPr="00DC1A6A" w:rsidR="00B77508" w:rsidP="00DC1A6A" w:rsidRDefault="00B77508">
      <w:pPr>
        <w:pStyle w:val="JuList"/>
        <w:rPr>
          <w:i/>
        </w:rPr>
      </w:pPr>
      <w:r w:rsidRPr="00DC1A6A">
        <w:rPr>
          <w:i/>
        </w:rPr>
        <w:t>Holds</w:t>
      </w:r>
    </w:p>
    <w:p w:rsidRPr="00DC1A6A" w:rsidR="00B77508" w:rsidP="00DC1A6A" w:rsidRDefault="00B77508">
      <w:pPr>
        <w:pStyle w:val="JuLista"/>
      </w:pPr>
      <w:r w:rsidRPr="00DC1A6A">
        <w:t>that in respect of costs and expenses the respondent State is to pay directly to the applicants</w:t>
      </w:r>
      <w:r w:rsidRPr="00DC1A6A" w:rsidR="00DC1A6A">
        <w:t>’</w:t>
      </w:r>
      <w:r w:rsidRPr="00DC1A6A">
        <w:t xml:space="preserve"> representatives, within three months, the amounts indicated in the appended table, plus any tax that may be chargeable,</w:t>
      </w:r>
      <w:r w:rsidRPr="00DC1A6A">
        <w:rPr>
          <w:b/>
        </w:rPr>
        <w:t xml:space="preserve"> </w:t>
      </w:r>
      <w:r w:rsidRPr="00DC1A6A">
        <w:t>to be converted into the currency of the respondent State at the rate applicable at the date of settlement;</w:t>
      </w:r>
    </w:p>
    <w:p w:rsidRPr="00DC1A6A" w:rsidR="00B77508" w:rsidP="00DC1A6A" w:rsidRDefault="00B77508">
      <w:pPr>
        <w:pStyle w:val="JuLista"/>
      </w:pPr>
      <w:r w:rsidRPr="00DC1A6A">
        <w:t>that from the expiry of the above-mentioned three months until settlement simple interest shall be payable on the above amounts at a rate equal to the marginal lending rate of the European Central Bank during the default period plus three percentage points;</w:t>
      </w:r>
    </w:p>
    <w:p w:rsidRPr="00DC1A6A" w:rsidR="004D0EC7" w:rsidP="00DC1A6A" w:rsidRDefault="00B77508">
      <w:pPr>
        <w:pStyle w:val="JuList"/>
      </w:pPr>
      <w:r w:rsidRPr="00DC1A6A">
        <w:rPr>
          <w:i/>
        </w:rPr>
        <w:t>Dismisses</w:t>
      </w:r>
      <w:r w:rsidRPr="00DC1A6A">
        <w:rPr>
          <w:color w:val="000000"/>
        </w:rPr>
        <w:t xml:space="preserve"> </w:t>
      </w:r>
      <w:r w:rsidRPr="00DC1A6A">
        <w:t>the remainder of the applicants</w:t>
      </w:r>
      <w:r w:rsidRPr="00DC1A6A" w:rsidR="00DC1A6A">
        <w:t>’</w:t>
      </w:r>
      <w:r w:rsidRPr="00DC1A6A">
        <w:t xml:space="preserve"> claim</w:t>
      </w:r>
      <w:r w:rsidRPr="00DC1A6A" w:rsidR="004F7ABB">
        <w:t>s</w:t>
      </w:r>
      <w:r w:rsidRPr="00DC1A6A">
        <w:t xml:space="preserve"> for just satisfaction.</w:t>
      </w:r>
    </w:p>
    <w:p w:rsidRPr="00DC1A6A" w:rsidR="008E3A08" w:rsidP="00DC1A6A" w:rsidRDefault="007E2C8C">
      <w:pPr>
        <w:pStyle w:val="JuParaLast"/>
      </w:pPr>
      <w:r w:rsidRPr="00DC1A6A">
        <w:t xml:space="preserve">Done in English, and notified in writing on </w:t>
      </w:r>
      <w:r w:rsidRPr="00DC1A6A" w:rsidR="00B77508">
        <w:rPr>
          <w:rFonts w:ascii="Times New Roman" w:hAnsi="Times New Roman" w:cs="Times New Roman"/>
        </w:rPr>
        <w:t>8 October 2019</w:t>
      </w:r>
      <w:r w:rsidRPr="00DC1A6A">
        <w:t>, pursuant to Rule 77 §§ 2 and 3 of the Rules of Court.</w:t>
      </w:r>
    </w:p>
    <w:p w:rsidRPr="00DC1A6A" w:rsidR="001C055B" w:rsidP="00DC1A6A" w:rsidRDefault="00B77508">
      <w:pPr>
        <w:pStyle w:val="JuSigned"/>
      </w:pPr>
      <w:r w:rsidRPr="00DC1A6A">
        <w:t xml:space="preserve"> </w:t>
      </w:r>
      <w:r w:rsidRPr="00DC1A6A" w:rsidR="00EB1DF0">
        <w:t>Stephen Phillips</w:t>
      </w:r>
      <w:r w:rsidRPr="00DC1A6A" w:rsidR="009F4C8F">
        <w:tab/>
      </w:r>
      <w:r w:rsidRPr="00DC1A6A">
        <w:rPr>
          <w:szCs w:val="24"/>
        </w:rPr>
        <w:t xml:space="preserve">Alena </w:t>
      </w:r>
      <w:proofErr w:type="spellStart"/>
      <w:r w:rsidRPr="00DC1A6A">
        <w:rPr>
          <w:szCs w:val="24"/>
        </w:rPr>
        <w:t>Poláčková</w:t>
      </w:r>
      <w:proofErr w:type="spellEnd"/>
      <w:r w:rsidRPr="00DC1A6A" w:rsidR="009F4C8F">
        <w:rPr>
          <w:szCs w:val="24"/>
        </w:rPr>
        <w:br/>
      </w:r>
      <w:r w:rsidRPr="00DC1A6A" w:rsidR="009F4C8F">
        <w:tab/>
      </w:r>
      <w:r w:rsidRPr="00DC1A6A">
        <w:rPr>
          <w:iCs/>
        </w:rPr>
        <w:t>Registrar</w:t>
      </w:r>
      <w:r w:rsidRPr="00DC1A6A" w:rsidR="009F4C8F">
        <w:tab/>
        <w:t>President</w:t>
      </w:r>
    </w:p>
    <w:p w:rsidRPr="00DC1A6A" w:rsidR="00397BB6" w:rsidP="00DC1A6A" w:rsidRDefault="00397BB6">
      <w:pPr>
        <w:sectPr w:rsidRPr="00DC1A6A" w:rsidR="00397BB6" w:rsidSect="000B7195">
          <w:headerReference w:type="even" r:id="rId11"/>
          <w:headerReference w:type="default" r:id="rId12"/>
          <w:footerReference w:type="even" r:id="rId13"/>
          <w:footerReference w:type="default" r:id="rId14"/>
          <w:footnotePr>
            <w:numRestart w:val="eachSect"/>
          </w:footnotePr>
          <w:pgSz w:w="11906" w:h="16838" w:code="9"/>
          <w:pgMar w:top="2274" w:right="2274" w:bottom="2274" w:left="2274" w:header="1701" w:footer="720" w:gutter="0"/>
          <w:pgNumType w:start="1"/>
          <w:cols w:space="720"/>
          <w:docGrid w:linePitch="326"/>
        </w:sectPr>
      </w:pPr>
    </w:p>
    <w:p w:rsidRPr="00DC1A6A" w:rsidR="004F18EF" w:rsidP="00DC1A6A" w:rsidRDefault="004F18EF">
      <w:pPr>
        <w:pStyle w:val="JuTitle"/>
        <w:spacing w:before="360"/>
      </w:pPr>
      <w:r w:rsidRPr="00DC1A6A">
        <w:t>APPENDIX</w:t>
      </w:r>
    </w:p>
    <w:tbl>
      <w:tblPr>
        <w:tblStyle w:val="TableGrid"/>
        <w:tblW w:w="15168" w:type="dxa"/>
        <w:tblInd w:w="-1168" w:type="dxa"/>
        <w:tblLook w:val="04A0" w:firstRow="1" w:lastRow="0" w:firstColumn="1" w:lastColumn="0" w:noHBand="0" w:noVBand="1"/>
      </w:tblPr>
      <w:tblGrid>
        <w:gridCol w:w="524"/>
        <w:gridCol w:w="2170"/>
        <w:gridCol w:w="2466"/>
        <w:gridCol w:w="2920"/>
        <w:gridCol w:w="2410"/>
        <w:gridCol w:w="2268"/>
        <w:gridCol w:w="2410"/>
      </w:tblGrid>
      <w:tr w:rsidRPr="00DC1A6A" w:rsidR="004F18EF" w:rsidTr="001576AC">
        <w:trPr>
          <w:trHeight w:val="1512"/>
          <w:tblHeader/>
        </w:trPr>
        <w:tc>
          <w:tcPr>
            <w:tcW w:w="524" w:type="dxa"/>
            <w:shd w:val="clear" w:color="auto" w:fill="E8E8E8" w:themeFill="text2" w:themeFillTint="66"/>
          </w:tcPr>
          <w:p w:rsidRPr="00DC1A6A" w:rsidR="004F18EF" w:rsidP="00DC1A6A" w:rsidRDefault="004F18EF">
            <w:pPr>
              <w:pStyle w:val="JuPara"/>
              <w:ind w:firstLine="0"/>
              <w:rPr>
                <w:sz w:val="20"/>
                <w:szCs w:val="20"/>
              </w:rPr>
            </w:pPr>
            <w:r w:rsidRPr="00DC1A6A">
              <w:rPr>
                <w:sz w:val="20"/>
                <w:szCs w:val="20"/>
              </w:rPr>
              <w:t>No.</w:t>
            </w:r>
          </w:p>
        </w:tc>
        <w:tc>
          <w:tcPr>
            <w:tcW w:w="2170" w:type="dxa"/>
            <w:shd w:val="clear" w:color="auto" w:fill="E8E8E8" w:themeFill="text2" w:themeFillTint="66"/>
          </w:tcPr>
          <w:p w:rsidRPr="00DC1A6A" w:rsidR="004F18EF" w:rsidP="00DC1A6A" w:rsidRDefault="004F18EF">
            <w:pPr>
              <w:pStyle w:val="JuPara"/>
              <w:ind w:firstLine="33"/>
              <w:jc w:val="center"/>
              <w:rPr>
                <w:b/>
                <w:sz w:val="20"/>
                <w:szCs w:val="20"/>
              </w:rPr>
            </w:pPr>
            <w:r w:rsidRPr="00DC1A6A">
              <w:rPr>
                <w:b/>
                <w:sz w:val="20"/>
                <w:szCs w:val="20"/>
              </w:rPr>
              <w:t>Application no.,</w:t>
            </w:r>
          </w:p>
          <w:p w:rsidRPr="00DC1A6A" w:rsidR="004F18EF" w:rsidP="00DC1A6A" w:rsidRDefault="004F18EF">
            <w:pPr>
              <w:pStyle w:val="JuPara"/>
              <w:ind w:firstLine="33"/>
              <w:jc w:val="center"/>
              <w:rPr>
                <w:b/>
                <w:sz w:val="20"/>
                <w:szCs w:val="20"/>
              </w:rPr>
            </w:pPr>
            <w:r w:rsidRPr="00DC1A6A">
              <w:rPr>
                <w:b/>
                <w:sz w:val="20"/>
                <w:szCs w:val="20"/>
              </w:rPr>
              <w:t>lodged on,</w:t>
            </w:r>
          </w:p>
          <w:p w:rsidRPr="00DC1A6A" w:rsidR="004F18EF" w:rsidP="00DC1A6A" w:rsidRDefault="004F18EF">
            <w:pPr>
              <w:pStyle w:val="JuPara"/>
              <w:ind w:firstLine="33"/>
              <w:jc w:val="center"/>
              <w:rPr>
                <w:b/>
                <w:sz w:val="20"/>
                <w:szCs w:val="20"/>
              </w:rPr>
            </w:pPr>
            <w:r w:rsidRPr="00DC1A6A">
              <w:rPr>
                <w:b/>
                <w:sz w:val="20"/>
                <w:szCs w:val="20"/>
              </w:rPr>
              <w:t>application title,</w:t>
            </w:r>
          </w:p>
          <w:p w:rsidRPr="00DC1A6A" w:rsidR="004F18EF" w:rsidP="00DC1A6A" w:rsidRDefault="004F18EF">
            <w:pPr>
              <w:pStyle w:val="JuPara"/>
              <w:ind w:firstLine="33"/>
              <w:jc w:val="center"/>
              <w:rPr>
                <w:b/>
                <w:sz w:val="20"/>
                <w:szCs w:val="20"/>
              </w:rPr>
            </w:pPr>
            <w:r w:rsidRPr="00DC1A6A">
              <w:rPr>
                <w:b/>
                <w:sz w:val="20"/>
                <w:szCs w:val="20"/>
              </w:rPr>
              <w:t>date of birth,</w:t>
            </w:r>
          </w:p>
          <w:p w:rsidRPr="00DC1A6A" w:rsidR="004F18EF" w:rsidP="00DC1A6A" w:rsidRDefault="004F18EF">
            <w:pPr>
              <w:pStyle w:val="JuPara"/>
              <w:ind w:firstLine="33"/>
              <w:jc w:val="center"/>
              <w:rPr>
                <w:b/>
                <w:sz w:val="20"/>
                <w:szCs w:val="20"/>
              </w:rPr>
            </w:pPr>
            <w:r w:rsidRPr="00DC1A6A">
              <w:rPr>
                <w:b/>
                <w:sz w:val="20"/>
                <w:szCs w:val="20"/>
              </w:rPr>
              <w:t>nationality,</w:t>
            </w:r>
          </w:p>
          <w:p w:rsidRPr="00DC1A6A" w:rsidR="004F18EF" w:rsidP="00DC1A6A" w:rsidRDefault="004F18EF">
            <w:pPr>
              <w:pStyle w:val="JuPara"/>
              <w:ind w:firstLine="33"/>
              <w:jc w:val="center"/>
              <w:rPr>
                <w:b/>
                <w:sz w:val="20"/>
                <w:szCs w:val="20"/>
              </w:rPr>
            </w:pPr>
            <w:r w:rsidRPr="00DC1A6A">
              <w:rPr>
                <w:b/>
                <w:sz w:val="20"/>
                <w:szCs w:val="20"/>
              </w:rPr>
              <w:t>represented by</w:t>
            </w:r>
          </w:p>
          <w:p w:rsidRPr="00DC1A6A" w:rsidR="004F18EF" w:rsidP="00DC1A6A" w:rsidRDefault="004F18EF">
            <w:pPr>
              <w:pStyle w:val="JuPara"/>
              <w:ind w:firstLine="0"/>
              <w:rPr>
                <w:sz w:val="20"/>
                <w:szCs w:val="20"/>
              </w:rPr>
            </w:pPr>
          </w:p>
        </w:tc>
        <w:tc>
          <w:tcPr>
            <w:tcW w:w="2466" w:type="dxa"/>
            <w:shd w:val="clear" w:color="auto" w:fill="E8E8E8" w:themeFill="text2" w:themeFillTint="66"/>
          </w:tcPr>
          <w:p w:rsidRPr="00DC1A6A" w:rsidR="004F18EF" w:rsidP="00DC1A6A" w:rsidRDefault="004F18EF">
            <w:pPr>
              <w:pStyle w:val="JuPara"/>
              <w:ind w:firstLine="0"/>
              <w:jc w:val="center"/>
              <w:rPr>
                <w:sz w:val="20"/>
                <w:szCs w:val="20"/>
              </w:rPr>
            </w:pPr>
            <w:r w:rsidRPr="00DC1A6A">
              <w:rPr>
                <w:b/>
                <w:sz w:val="20"/>
                <w:szCs w:val="20"/>
              </w:rPr>
              <w:t>Dates of detention and release</w:t>
            </w:r>
          </w:p>
        </w:tc>
        <w:tc>
          <w:tcPr>
            <w:tcW w:w="2920" w:type="dxa"/>
            <w:shd w:val="clear" w:color="auto" w:fill="E8E8E8" w:themeFill="text2" w:themeFillTint="66"/>
          </w:tcPr>
          <w:p w:rsidRPr="00DC1A6A" w:rsidR="004F18EF" w:rsidP="00DC1A6A" w:rsidRDefault="004F18EF">
            <w:pPr>
              <w:pStyle w:val="JuPara"/>
              <w:ind w:firstLine="0"/>
              <w:jc w:val="center"/>
              <w:rPr>
                <w:b/>
                <w:sz w:val="20"/>
                <w:szCs w:val="20"/>
              </w:rPr>
            </w:pPr>
            <w:r w:rsidRPr="00DC1A6A">
              <w:rPr>
                <w:b/>
                <w:sz w:val="20"/>
                <w:szCs w:val="20"/>
              </w:rPr>
              <w:t>Removal proceedings</w:t>
            </w:r>
          </w:p>
          <w:p w:rsidRPr="00DC1A6A" w:rsidR="004F18EF" w:rsidP="00DC1A6A" w:rsidRDefault="004F18EF">
            <w:pPr>
              <w:pStyle w:val="JuPara"/>
              <w:ind w:firstLine="0"/>
              <w:jc w:val="center"/>
              <w:rPr>
                <w:sz w:val="20"/>
                <w:szCs w:val="20"/>
              </w:rPr>
            </w:pPr>
            <w:r w:rsidRPr="00DC1A6A">
              <w:rPr>
                <w:b/>
                <w:sz w:val="20"/>
                <w:szCs w:val="20"/>
              </w:rPr>
              <w:t>(type, progress, outcome)</w:t>
            </w:r>
          </w:p>
        </w:tc>
        <w:tc>
          <w:tcPr>
            <w:tcW w:w="2410" w:type="dxa"/>
            <w:shd w:val="clear" w:color="auto" w:fill="E8E8E8" w:themeFill="text2" w:themeFillTint="66"/>
          </w:tcPr>
          <w:p w:rsidRPr="00DC1A6A" w:rsidR="004F18EF" w:rsidP="00DC1A6A" w:rsidRDefault="004F18EF">
            <w:pPr>
              <w:pStyle w:val="JuPara"/>
              <w:ind w:firstLine="0"/>
              <w:jc w:val="center"/>
              <w:rPr>
                <w:sz w:val="20"/>
                <w:szCs w:val="20"/>
              </w:rPr>
            </w:pPr>
            <w:r w:rsidRPr="00DC1A6A">
              <w:rPr>
                <w:b/>
                <w:sz w:val="20"/>
                <w:szCs w:val="20"/>
              </w:rPr>
              <w:t>Refugee and/or temporary asylum proceedings</w:t>
            </w:r>
          </w:p>
        </w:tc>
        <w:tc>
          <w:tcPr>
            <w:tcW w:w="2268" w:type="dxa"/>
            <w:shd w:val="clear" w:color="auto" w:fill="E8E8E8" w:themeFill="text2" w:themeFillTint="66"/>
          </w:tcPr>
          <w:p w:rsidRPr="00DC1A6A" w:rsidR="004F18EF" w:rsidP="00DC1A6A" w:rsidRDefault="004F18EF">
            <w:pPr>
              <w:pStyle w:val="JuPara"/>
              <w:ind w:firstLine="0"/>
              <w:jc w:val="center"/>
              <w:rPr>
                <w:sz w:val="20"/>
                <w:szCs w:val="20"/>
              </w:rPr>
            </w:pPr>
            <w:r w:rsidRPr="00DC1A6A">
              <w:rPr>
                <w:b/>
                <w:sz w:val="20"/>
                <w:szCs w:val="20"/>
              </w:rPr>
              <w:t>Other relevant information</w:t>
            </w:r>
          </w:p>
        </w:tc>
        <w:tc>
          <w:tcPr>
            <w:tcW w:w="2410" w:type="dxa"/>
            <w:shd w:val="clear" w:color="auto" w:fill="E8E8E8" w:themeFill="text2" w:themeFillTint="66"/>
          </w:tcPr>
          <w:p w:rsidRPr="00DC1A6A" w:rsidR="004F18EF" w:rsidP="00DC1A6A" w:rsidRDefault="004F18EF">
            <w:pPr>
              <w:pStyle w:val="JuPara"/>
              <w:ind w:firstLine="0"/>
              <w:jc w:val="center"/>
              <w:rPr>
                <w:sz w:val="20"/>
                <w:szCs w:val="20"/>
              </w:rPr>
            </w:pPr>
            <w:r w:rsidRPr="00DC1A6A">
              <w:rPr>
                <w:b/>
                <w:sz w:val="20"/>
                <w:szCs w:val="20"/>
              </w:rPr>
              <w:t>Just satisfaction award</w:t>
            </w:r>
          </w:p>
        </w:tc>
      </w:tr>
      <w:tr w:rsidRPr="00DC1A6A" w:rsidR="004F18EF" w:rsidTr="001576AC">
        <w:tc>
          <w:tcPr>
            <w:tcW w:w="524" w:type="dxa"/>
          </w:tcPr>
          <w:p w:rsidRPr="00DC1A6A" w:rsidR="004F18EF" w:rsidP="00DC1A6A" w:rsidRDefault="004F18EF">
            <w:pPr>
              <w:pStyle w:val="JuPara"/>
              <w:ind w:firstLine="0"/>
              <w:rPr>
                <w:sz w:val="20"/>
                <w:szCs w:val="20"/>
              </w:rPr>
            </w:pPr>
            <w:r w:rsidRPr="00DC1A6A">
              <w:rPr>
                <w:sz w:val="20"/>
                <w:szCs w:val="20"/>
              </w:rPr>
              <w:t>1.</w:t>
            </w:r>
          </w:p>
        </w:tc>
        <w:tc>
          <w:tcPr>
            <w:tcW w:w="2170" w:type="dxa"/>
          </w:tcPr>
          <w:p w:rsidRPr="00DC1A6A" w:rsidR="004F18EF" w:rsidP="00DC1A6A" w:rsidRDefault="004F18EF">
            <w:pPr>
              <w:pStyle w:val="JuPara"/>
              <w:ind w:firstLine="33"/>
              <w:rPr>
                <w:bCs/>
                <w:sz w:val="20"/>
                <w:szCs w:val="20"/>
                <w:lang w:val="fi-FI"/>
              </w:rPr>
            </w:pPr>
            <w:r w:rsidRPr="00DC1A6A">
              <w:rPr>
                <w:bCs/>
                <w:sz w:val="20"/>
                <w:szCs w:val="20"/>
                <w:lang w:val="fi-FI"/>
              </w:rPr>
              <w:t>67485/17</w:t>
            </w:r>
          </w:p>
          <w:p w:rsidRPr="00DC1A6A" w:rsidR="004F18EF" w:rsidP="00DC1A6A" w:rsidRDefault="004F18EF">
            <w:pPr>
              <w:pStyle w:val="JuPara"/>
              <w:ind w:firstLine="33"/>
              <w:rPr>
                <w:bCs/>
                <w:sz w:val="20"/>
                <w:szCs w:val="20"/>
                <w:lang w:val="fi-FI"/>
              </w:rPr>
            </w:pPr>
            <w:proofErr w:type="gramStart"/>
            <w:r w:rsidRPr="00DC1A6A">
              <w:rPr>
                <w:bCs/>
                <w:sz w:val="20"/>
                <w:szCs w:val="20"/>
                <w:lang w:val="fi-FI"/>
              </w:rPr>
              <w:t>13/09/2017</w:t>
            </w:r>
            <w:proofErr w:type="gramEnd"/>
          </w:p>
          <w:p w:rsidRPr="00DC1A6A" w:rsidR="004F18EF" w:rsidP="00DC1A6A" w:rsidRDefault="004F18EF">
            <w:pPr>
              <w:pStyle w:val="JuPara"/>
              <w:ind w:firstLine="33"/>
              <w:rPr>
                <w:b/>
                <w:bCs/>
                <w:sz w:val="20"/>
                <w:szCs w:val="20"/>
                <w:lang w:val="fi-FI"/>
              </w:rPr>
            </w:pPr>
            <w:r w:rsidRPr="00DC1A6A">
              <w:rPr>
                <w:b/>
                <w:bCs/>
                <w:sz w:val="20"/>
                <w:szCs w:val="20"/>
                <w:lang w:val="fi-FI"/>
              </w:rPr>
              <w:t xml:space="preserve">R.R. v. </w:t>
            </w:r>
            <w:proofErr w:type="spellStart"/>
            <w:r w:rsidRPr="00DC1A6A">
              <w:rPr>
                <w:b/>
                <w:bCs/>
                <w:sz w:val="20"/>
                <w:szCs w:val="20"/>
                <w:lang w:val="fi-FI"/>
              </w:rPr>
              <w:t>Russia</w:t>
            </w:r>
            <w:proofErr w:type="spellEnd"/>
          </w:p>
          <w:p w:rsidRPr="00DC1A6A" w:rsidR="004F18EF" w:rsidP="00DC1A6A" w:rsidRDefault="004F18EF">
            <w:pPr>
              <w:pStyle w:val="JuPara"/>
              <w:ind w:firstLine="33"/>
              <w:rPr>
                <w:bCs/>
                <w:sz w:val="20"/>
                <w:szCs w:val="20"/>
                <w:lang w:val="fi-FI"/>
              </w:rPr>
            </w:pPr>
            <w:proofErr w:type="gramStart"/>
            <w:r w:rsidRPr="00DC1A6A">
              <w:rPr>
                <w:bCs/>
                <w:sz w:val="20"/>
                <w:szCs w:val="20"/>
                <w:lang w:val="fi-FI"/>
              </w:rPr>
              <w:t>03/06/1980</w:t>
            </w:r>
            <w:proofErr w:type="gramEnd"/>
          </w:p>
          <w:p w:rsidRPr="00DC1A6A" w:rsidR="004F18EF" w:rsidP="00DC1A6A" w:rsidRDefault="004F18EF">
            <w:pPr>
              <w:pStyle w:val="JuPara"/>
              <w:ind w:firstLine="33"/>
              <w:rPr>
                <w:bCs/>
                <w:sz w:val="20"/>
                <w:szCs w:val="20"/>
                <w:lang w:val="fi-FI"/>
              </w:rPr>
            </w:pPr>
            <w:r w:rsidRPr="00DC1A6A">
              <w:rPr>
                <w:bCs/>
                <w:sz w:val="20"/>
                <w:szCs w:val="20"/>
                <w:lang w:val="fi-FI"/>
              </w:rPr>
              <w:t>Uzbekistan</w:t>
            </w:r>
          </w:p>
          <w:p w:rsidRPr="00DC1A6A" w:rsidR="004F18EF" w:rsidP="00DC1A6A" w:rsidRDefault="004F18EF">
            <w:pPr>
              <w:pStyle w:val="JuPara"/>
              <w:ind w:firstLine="33"/>
              <w:rPr>
                <w:bCs/>
                <w:sz w:val="20"/>
                <w:szCs w:val="20"/>
                <w:lang w:val="fi-FI"/>
              </w:rPr>
            </w:pPr>
          </w:p>
          <w:p w:rsidRPr="00DC1A6A" w:rsidR="004F18EF" w:rsidP="00DC1A6A" w:rsidRDefault="004F18EF">
            <w:pPr>
              <w:pStyle w:val="JuPara"/>
              <w:ind w:firstLine="0"/>
              <w:rPr>
                <w:bCs/>
                <w:sz w:val="20"/>
                <w:szCs w:val="20"/>
                <w:lang w:val="fi-FI"/>
              </w:rPr>
            </w:pPr>
            <w:r w:rsidRPr="00DC1A6A">
              <w:rPr>
                <w:bCs/>
                <w:sz w:val="20"/>
                <w:szCs w:val="20"/>
                <w:lang w:val="fi-FI"/>
              </w:rPr>
              <w:t xml:space="preserve">Ms R. </w:t>
            </w:r>
            <w:proofErr w:type="spellStart"/>
            <w:r w:rsidRPr="00DC1A6A">
              <w:rPr>
                <w:bCs/>
                <w:sz w:val="20"/>
                <w:szCs w:val="20"/>
                <w:lang w:val="fi-FI"/>
              </w:rPr>
              <w:t>Magomedova</w:t>
            </w:r>
            <w:proofErr w:type="spellEnd"/>
          </w:p>
          <w:p w:rsidRPr="00DC1A6A" w:rsidR="00343C99" w:rsidP="00DC1A6A" w:rsidRDefault="00343C99">
            <w:pPr>
              <w:pStyle w:val="JuPara"/>
              <w:ind w:firstLine="0"/>
              <w:rPr>
                <w:bCs/>
                <w:sz w:val="20"/>
                <w:szCs w:val="20"/>
              </w:rPr>
            </w:pPr>
            <w:r w:rsidRPr="00DC1A6A">
              <w:rPr>
                <w:bCs/>
                <w:sz w:val="20"/>
                <w:szCs w:val="20"/>
              </w:rPr>
              <w:t>Ms O. Golub</w:t>
            </w:r>
          </w:p>
          <w:p w:rsidRPr="00DC1A6A" w:rsidR="00343C99" w:rsidP="00DC1A6A" w:rsidRDefault="00343C99">
            <w:pPr>
              <w:pStyle w:val="JuPara"/>
              <w:ind w:firstLine="0"/>
              <w:rPr>
                <w:bCs/>
                <w:sz w:val="20"/>
                <w:szCs w:val="20"/>
              </w:rPr>
            </w:pPr>
          </w:p>
          <w:p w:rsidRPr="00DC1A6A" w:rsidR="004F18EF" w:rsidP="00DC1A6A" w:rsidRDefault="004F18EF">
            <w:pPr>
              <w:pStyle w:val="JuPara"/>
              <w:ind w:firstLine="0"/>
              <w:rPr>
                <w:sz w:val="20"/>
                <w:szCs w:val="20"/>
              </w:rPr>
            </w:pPr>
          </w:p>
        </w:tc>
        <w:tc>
          <w:tcPr>
            <w:tcW w:w="2466" w:type="dxa"/>
          </w:tcPr>
          <w:p w:rsidRPr="00DC1A6A" w:rsidR="004F18EF" w:rsidP="00DC1A6A" w:rsidRDefault="004F18EF">
            <w:pPr>
              <w:pStyle w:val="JuPara"/>
              <w:ind w:firstLine="0"/>
              <w:rPr>
                <w:b/>
                <w:sz w:val="20"/>
                <w:szCs w:val="20"/>
              </w:rPr>
            </w:pPr>
            <w:r w:rsidRPr="00DC1A6A">
              <w:rPr>
                <w:b/>
                <w:sz w:val="20"/>
                <w:szCs w:val="20"/>
              </w:rPr>
              <w:t>Detention pending extradition</w:t>
            </w:r>
          </w:p>
          <w:p w:rsidRPr="00DC1A6A" w:rsidR="004F18EF" w:rsidP="00DC1A6A" w:rsidRDefault="004F18EF">
            <w:pPr>
              <w:pStyle w:val="JuPara"/>
              <w:ind w:firstLine="0"/>
              <w:rPr>
                <w:sz w:val="20"/>
                <w:szCs w:val="20"/>
              </w:rPr>
            </w:pPr>
            <w:r w:rsidRPr="00DC1A6A">
              <w:rPr>
                <w:sz w:val="20"/>
                <w:szCs w:val="20"/>
              </w:rPr>
              <w:t>7 February 2017 – arrested and subsequently detained</w:t>
            </w:r>
          </w:p>
          <w:p w:rsidRPr="00DC1A6A" w:rsidR="004F18EF" w:rsidP="00DC1A6A" w:rsidRDefault="004F18EF">
            <w:pPr>
              <w:pStyle w:val="JuPara"/>
              <w:ind w:firstLine="0"/>
              <w:rPr>
                <w:sz w:val="20"/>
                <w:szCs w:val="20"/>
              </w:rPr>
            </w:pPr>
            <w:r w:rsidRPr="00DC1A6A">
              <w:rPr>
                <w:sz w:val="20"/>
                <w:szCs w:val="20"/>
              </w:rPr>
              <w:t xml:space="preserve">6 March 2017 - extension of detention by the </w:t>
            </w:r>
            <w:proofErr w:type="spellStart"/>
            <w:r w:rsidRPr="00DC1A6A">
              <w:rPr>
                <w:sz w:val="20"/>
                <w:szCs w:val="20"/>
              </w:rPr>
              <w:t>Babushkinskiy</w:t>
            </w:r>
            <w:proofErr w:type="spellEnd"/>
            <w:r w:rsidRPr="00DC1A6A">
              <w:rPr>
                <w:sz w:val="20"/>
                <w:szCs w:val="20"/>
              </w:rPr>
              <w:t xml:space="preserve"> District Court of Moscow; reviewed on appeal on 27 April 2017 by the Moscow City Court</w:t>
            </w:r>
          </w:p>
          <w:p w:rsidRPr="00DC1A6A" w:rsidR="004F18EF" w:rsidP="00DC1A6A" w:rsidRDefault="004F18EF">
            <w:pPr>
              <w:pStyle w:val="JuPara"/>
              <w:ind w:firstLine="0"/>
              <w:rPr>
                <w:sz w:val="20"/>
                <w:szCs w:val="20"/>
              </w:rPr>
            </w:pPr>
            <w:r w:rsidRPr="00DC1A6A">
              <w:rPr>
                <w:sz w:val="20"/>
                <w:szCs w:val="20"/>
              </w:rPr>
              <w:t xml:space="preserve">6 June 2017 - extension of detention by the </w:t>
            </w:r>
            <w:proofErr w:type="spellStart"/>
            <w:r w:rsidRPr="00DC1A6A">
              <w:rPr>
                <w:sz w:val="20"/>
                <w:szCs w:val="20"/>
              </w:rPr>
              <w:t>Babushkinskiy</w:t>
            </w:r>
            <w:proofErr w:type="spellEnd"/>
            <w:r w:rsidRPr="00DC1A6A">
              <w:rPr>
                <w:sz w:val="20"/>
                <w:szCs w:val="20"/>
              </w:rPr>
              <w:t xml:space="preserve"> District Court of Moscow; reviewed on appeal on 1 August 2017 by the Moscow City Court</w:t>
            </w:r>
          </w:p>
          <w:p w:rsidRPr="00DC1A6A" w:rsidR="004F18EF" w:rsidP="00DC1A6A" w:rsidRDefault="004F18EF">
            <w:pPr>
              <w:pStyle w:val="JuPara"/>
              <w:ind w:firstLine="0"/>
              <w:rPr>
                <w:sz w:val="20"/>
                <w:szCs w:val="20"/>
              </w:rPr>
            </w:pPr>
            <w:r w:rsidRPr="00DC1A6A">
              <w:rPr>
                <w:sz w:val="20"/>
                <w:szCs w:val="20"/>
              </w:rPr>
              <w:t>4 August 2017 - extension of detention</w:t>
            </w:r>
          </w:p>
          <w:p w:rsidRPr="00DC1A6A" w:rsidR="004F18EF" w:rsidP="00DC1A6A" w:rsidRDefault="004F18EF">
            <w:pPr>
              <w:pStyle w:val="JuPara"/>
              <w:ind w:firstLine="0"/>
              <w:rPr>
                <w:sz w:val="20"/>
                <w:szCs w:val="20"/>
              </w:rPr>
            </w:pPr>
            <w:r w:rsidRPr="00DC1A6A">
              <w:rPr>
                <w:sz w:val="20"/>
                <w:szCs w:val="20"/>
              </w:rPr>
              <w:t>7 September 2017 – released due to annulment of extradition authorisation</w:t>
            </w:r>
          </w:p>
          <w:p w:rsidRPr="00DC1A6A" w:rsidR="004F18EF" w:rsidP="00DC1A6A" w:rsidRDefault="004F18EF">
            <w:pPr>
              <w:pStyle w:val="JuPara"/>
              <w:ind w:firstLine="0"/>
              <w:rPr>
                <w:sz w:val="20"/>
                <w:szCs w:val="20"/>
              </w:rPr>
            </w:pPr>
          </w:p>
          <w:p w:rsidRPr="00DC1A6A" w:rsidR="004F18EF" w:rsidP="00DC1A6A" w:rsidRDefault="004F18EF">
            <w:pPr>
              <w:pStyle w:val="JuPara"/>
              <w:ind w:firstLine="0"/>
              <w:rPr>
                <w:b/>
                <w:sz w:val="20"/>
                <w:szCs w:val="20"/>
              </w:rPr>
            </w:pPr>
            <w:r w:rsidRPr="00DC1A6A">
              <w:rPr>
                <w:b/>
                <w:sz w:val="20"/>
                <w:szCs w:val="20"/>
              </w:rPr>
              <w:t>Detention pending expulsion</w:t>
            </w:r>
          </w:p>
          <w:p w:rsidRPr="00DC1A6A" w:rsidR="004F18EF" w:rsidP="00DC1A6A" w:rsidRDefault="004F18EF">
            <w:pPr>
              <w:pStyle w:val="JuPara"/>
              <w:ind w:firstLine="0"/>
              <w:rPr>
                <w:sz w:val="20"/>
                <w:szCs w:val="20"/>
              </w:rPr>
            </w:pPr>
            <w:r w:rsidRPr="00DC1A6A">
              <w:rPr>
                <w:sz w:val="20"/>
                <w:szCs w:val="20"/>
              </w:rPr>
              <w:t>9 September 2017</w:t>
            </w:r>
            <w:r w:rsidRPr="00DC1A6A" w:rsidR="002D57A7">
              <w:rPr>
                <w:sz w:val="20"/>
                <w:szCs w:val="20"/>
              </w:rPr>
              <w:t xml:space="preserve"> </w:t>
            </w:r>
            <w:r w:rsidRPr="00DC1A6A">
              <w:rPr>
                <w:sz w:val="20"/>
                <w:szCs w:val="20"/>
              </w:rPr>
              <w:t>– arrest</w:t>
            </w:r>
          </w:p>
          <w:p w:rsidRPr="00DC1A6A" w:rsidR="004F18EF" w:rsidP="00DC1A6A" w:rsidRDefault="004F18EF">
            <w:pPr>
              <w:pStyle w:val="JuPara"/>
              <w:ind w:firstLine="0"/>
              <w:rPr>
                <w:sz w:val="20"/>
                <w:szCs w:val="20"/>
              </w:rPr>
            </w:pPr>
            <w:r w:rsidRPr="00DC1A6A">
              <w:rPr>
                <w:sz w:val="20"/>
                <w:szCs w:val="20"/>
              </w:rPr>
              <w:t xml:space="preserve">11 September 2017 – detention pending expulsion ordered by the </w:t>
            </w:r>
            <w:proofErr w:type="spellStart"/>
            <w:r w:rsidRPr="00DC1A6A">
              <w:rPr>
                <w:sz w:val="20"/>
                <w:szCs w:val="20"/>
              </w:rPr>
              <w:t>Babushkinskiy</w:t>
            </w:r>
            <w:proofErr w:type="spellEnd"/>
            <w:r w:rsidRPr="00DC1A6A">
              <w:rPr>
                <w:sz w:val="20"/>
                <w:szCs w:val="20"/>
              </w:rPr>
              <w:t xml:space="preserve"> District Court of Moscow</w:t>
            </w:r>
          </w:p>
          <w:p w:rsidRPr="00DC1A6A" w:rsidR="004F18EF" w:rsidP="00DC1A6A" w:rsidRDefault="004F18EF">
            <w:pPr>
              <w:pStyle w:val="JuPara"/>
              <w:ind w:firstLine="0"/>
              <w:rPr>
                <w:sz w:val="20"/>
                <w:szCs w:val="20"/>
              </w:rPr>
            </w:pPr>
            <w:r w:rsidRPr="00DC1A6A">
              <w:rPr>
                <w:sz w:val="20"/>
                <w:szCs w:val="20"/>
              </w:rPr>
              <w:t>The applicant is still in detention</w:t>
            </w:r>
          </w:p>
          <w:p w:rsidRPr="00DC1A6A" w:rsidR="004F18EF" w:rsidP="00DC1A6A" w:rsidRDefault="004F18EF">
            <w:pPr>
              <w:pStyle w:val="JuPara"/>
              <w:ind w:firstLine="0"/>
              <w:rPr>
                <w:sz w:val="20"/>
                <w:szCs w:val="20"/>
              </w:rPr>
            </w:pPr>
          </w:p>
          <w:p w:rsidRPr="00DC1A6A" w:rsidR="004F18EF" w:rsidP="00DC1A6A" w:rsidRDefault="004F18EF">
            <w:pPr>
              <w:pStyle w:val="JuPara"/>
              <w:ind w:firstLine="0"/>
              <w:rPr>
                <w:sz w:val="20"/>
                <w:szCs w:val="20"/>
              </w:rPr>
            </w:pPr>
          </w:p>
        </w:tc>
        <w:tc>
          <w:tcPr>
            <w:tcW w:w="2920" w:type="dxa"/>
          </w:tcPr>
          <w:p w:rsidRPr="00DC1A6A" w:rsidR="004F18EF" w:rsidP="00DC1A6A" w:rsidRDefault="004F18EF">
            <w:pPr>
              <w:pStyle w:val="JuPara"/>
              <w:ind w:firstLine="0"/>
              <w:rPr>
                <w:b/>
                <w:sz w:val="20"/>
                <w:szCs w:val="20"/>
              </w:rPr>
            </w:pPr>
            <w:r w:rsidRPr="00DC1A6A">
              <w:rPr>
                <w:b/>
                <w:sz w:val="20"/>
                <w:szCs w:val="20"/>
              </w:rPr>
              <w:t>Extradition proceedings</w:t>
            </w:r>
          </w:p>
          <w:p w:rsidRPr="00DC1A6A" w:rsidR="004F18EF" w:rsidP="00DC1A6A" w:rsidRDefault="004F18EF">
            <w:pPr>
              <w:pStyle w:val="JuPara"/>
              <w:ind w:firstLine="0"/>
              <w:rPr>
                <w:sz w:val="20"/>
                <w:szCs w:val="20"/>
              </w:rPr>
            </w:pPr>
            <w:r w:rsidRPr="00DC1A6A">
              <w:rPr>
                <w:sz w:val="20"/>
                <w:szCs w:val="20"/>
              </w:rPr>
              <w:t>December 2014 - charged with extremist crimes by the Uzbek authorities, international search warrant issued, detention order in absentia international search warrant by the Uzbek authorities</w:t>
            </w:r>
          </w:p>
          <w:p w:rsidRPr="00DC1A6A" w:rsidR="004F18EF" w:rsidP="00DC1A6A" w:rsidRDefault="004F18EF">
            <w:pPr>
              <w:pStyle w:val="JuPara"/>
              <w:ind w:firstLine="0"/>
              <w:rPr>
                <w:sz w:val="20"/>
                <w:szCs w:val="20"/>
              </w:rPr>
            </w:pPr>
            <w:r w:rsidRPr="00DC1A6A">
              <w:rPr>
                <w:sz w:val="20"/>
                <w:szCs w:val="20"/>
              </w:rPr>
              <w:t>23 February 2017 – extradition request by the Uzbek authorities</w:t>
            </w:r>
          </w:p>
          <w:p w:rsidRPr="00DC1A6A" w:rsidR="004F18EF" w:rsidP="00DC1A6A" w:rsidRDefault="004F18EF">
            <w:pPr>
              <w:pStyle w:val="JuPara"/>
              <w:ind w:firstLine="0"/>
              <w:rPr>
                <w:sz w:val="20"/>
                <w:szCs w:val="20"/>
              </w:rPr>
            </w:pPr>
            <w:r w:rsidRPr="00DC1A6A">
              <w:rPr>
                <w:sz w:val="20"/>
                <w:szCs w:val="20"/>
              </w:rPr>
              <w:t>24 July 2017 – extradition request granted by the Russian Prosecutor General</w:t>
            </w:r>
            <w:r w:rsidRPr="00DC1A6A" w:rsidR="00DC1A6A">
              <w:rPr>
                <w:sz w:val="20"/>
                <w:szCs w:val="20"/>
              </w:rPr>
              <w:t>’</w:t>
            </w:r>
            <w:r w:rsidRPr="00DC1A6A">
              <w:rPr>
                <w:sz w:val="20"/>
                <w:szCs w:val="20"/>
              </w:rPr>
              <w:t>s Office</w:t>
            </w:r>
          </w:p>
          <w:p w:rsidRPr="00DC1A6A" w:rsidR="004F18EF" w:rsidP="00DC1A6A" w:rsidRDefault="004F18EF">
            <w:pPr>
              <w:pStyle w:val="JuPara"/>
              <w:ind w:firstLine="0"/>
              <w:rPr>
                <w:sz w:val="20"/>
                <w:szCs w:val="20"/>
              </w:rPr>
            </w:pPr>
            <w:r w:rsidRPr="00DC1A6A">
              <w:rPr>
                <w:sz w:val="20"/>
                <w:szCs w:val="20"/>
              </w:rPr>
              <w:t>7 September 2017 – extradition order annulled by the Moscow City Court</w:t>
            </w:r>
          </w:p>
          <w:p w:rsidRPr="00DC1A6A" w:rsidR="004F18EF" w:rsidP="00DC1A6A" w:rsidRDefault="004F18EF">
            <w:pPr>
              <w:pStyle w:val="JuPara"/>
              <w:ind w:firstLine="0"/>
              <w:rPr>
                <w:sz w:val="20"/>
                <w:szCs w:val="20"/>
              </w:rPr>
            </w:pPr>
            <w:r w:rsidRPr="00DC1A6A">
              <w:rPr>
                <w:sz w:val="20"/>
                <w:szCs w:val="20"/>
              </w:rPr>
              <w:t>5 December 2017 - the Supreme Court of the Russian Federation annulled the lower court</w:t>
            </w:r>
            <w:r w:rsidRPr="00DC1A6A" w:rsidR="00DC1A6A">
              <w:rPr>
                <w:sz w:val="20"/>
                <w:szCs w:val="20"/>
              </w:rPr>
              <w:t>’</w:t>
            </w:r>
            <w:r w:rsidRPr="00DC1A6A">
              <w:rPr>
                <w:sz w:val="20"/>
                <w:szCs w:val="20"/>
              </w:rPr>
              <w:t>s judgment</w:t>
            </w:r>
          </w:p>
          <w:p w:rsidRPr="00DC1A6A" w:rsidR="004F18EF" w:rsidP="00DC1A6A" w:rsidRDefault="004F18EF">
            <w:pPr>
              <w:pStyle w:val="JuPara"/>
              <w:ind w:firstLine="0"/>
              <w:rPr>
                <w:sz w:val="20"/>
                <w:szCs w:val="20"/>
              </w:rPr>
            </w:pPr>
            <w:r w:rsidRPr="00DC1A6A">
              <w:rPr>
                <w:sz w:val="20"/>
                <w:szCs w:val="20"/>
              </w:rPr>
              <w:t>22 January 2018 - extradition order upheld by the Moscow City Court</w:t>
            </w:r>
          </w:p>
          <w:p w:rsidRPr="00DC1A6A" w:rsidR="004F18EF" w:rsidP="00DC1A6A" w:rsidRDefault="004F18EF">
            <w:pPr>
              <w:pStyle w:val="JuPara"/>
              <w:ind w:firstLine="0"/>
              <w:rPr>
                <w:sz w:val="20"/>
                <w:szCs w:val="20"/>
              </w:rPr>
            </w:pPr>
            <w:r w:rsidRPr="00DC1A6A">
              <w:rPr>
                <w:sz w:val="20"/>
                <w:szCs w:val="20"/>
              </w:rPr>
              <w:t>27 March 2018 - the Supreme Court of the Russian Federation upheld the lower court</w:t>
            </w:r>
            <w:r w:rsidRPr="00DC1A6A" w:rsidR="00DC1A6A">
              <w:rPr>
                <w:sz w:val="20"/>
                <w:szCs w:val="20"/>
              </w:rPr>
              <w:t>’</w:t>
            </w:r>
            <w:r w:rsidRPr="00DC1A6A">
              <w:rPr>
                <w:sz w:val="20"/>
                <w:szCs w:val="20"/>
              </w:rPr>
              <w:t>s judgment</w:t>
            </w:r>
          </w:p>
          <w:p w:rsidRPr="00DC1A6A" w:rsidR="004F18EF" w:rsidP="00DC1A6A" w:rsidRDefault="004F18EF">
            <w:pPr>
              <w:pStyle w:val="JuPara"/>
              <w:ind w:firstLine="0"/>
              <w:rPr>
                <w:sz w:val="20"/>
                <w:szCs w:val="20"/>
              </w:rPr>
            </w:pPr>
          </w:p>
          <w:p w:rsidRPr="00DC1A6A" w:rsidR="004F18EF" w:rsidP="00DC1A6A" w:rsidRDefault="004F18EF">
            <w:pPr>
              <w:pStyle w:val="JuPara"/>
              <w:ind w:firstLine="0"/>
              <w:rPr>
                <w:b/>
                <w:sz w:val="20"/>
                <w:szCs w:val="20"/>
              </w:rPr>
            </w:pPr>
            <w:r w:rsidRPr="00DC1A6A">
              <w:rPr>
                <w:b/>
                <w:sz w:val="20"/>
                <w:szCs w:val="20"/>
              </w:rPr>
              <w:t>Expulsion proceedings</w:t>
            </w:r>
          </w:p>
          <w:p w:rsidRPr="00DC1A6A" w:rsidR="004F18EF" w:rsidP="00DC1A6A" w:rsidRDefault="004F18EF">
            <w:pPr>
              <w:pStyle w:val="JuPara"/>
              <w:ind w:firstLine="0"/>
              <w:rPr>
                <w:sz w:val="20"/>
                <w:szCs w:val="20"/>
              </w:rPr>
            </w:pPr>
            <w:r w:rsidRPr="00DC1A6A">
              <w:rPr>
                <w:sz w:val="20"/>
                <w:szCs w:val="20"/>
              </w:rPr>
              <w:t xml:space="preserve">11 September 2017 – administrative removal ordered by the </w:t>
            </w:r>
            <w:proofErr w:type="spellStart"/>
            <w:r w:rsidRPr="00DC1A6A">
              <w:rPr>
                <w:sz w:val="20"/>
                <w:szCs w:val="20"/>
              </w:rPr>
              <w:t>Babushkinskiy</w:t>
            </w:r>
            <w:proofErr w:type="spellEnd"/>
            <w:r w:rsidRPr="00DC1A6A">
              <w:rPr>
                <w:sz w:val="20"/>
                <w:szCs w:val="20"/>
              </w:rPr>
              <w:t xml:space="preserve"> District Court of Moscow</w:t>
            </w:r>
          </w:p>
          <w:p w:rsidRPr="00DC1A6A" w:rsidR="004F18EF" w:rsidP="00DC1A6A" w:rsidRDefault="004F18EF">
            <w:pPr>
              <w:pStyle w:val="JuPara"/>
              <w:ind w:firstLine="0"/>
              <w:rPr>
                <w:sz w:val="20"/>
                <w:szCs w:val="20"/>
              </w:rPr>
            </w:pPr>
            <w:r w:rsidRPr="00DC1A6A">
              <w:rPr>
                <w:sz w:val="20"/>
                <w:szCs w:val="20"/>
              </w:rPr>
              <w:t>6 October 2017 - lower court</w:t>
            </w:r>
            <w:r w:rsidRPr="00DC1A6A" w:rsidR="00DC1A6A">
              <w:rPr>
                <w:sz w:val="20"/>
                <w:szCs w:val="20"/>
              </w:rPr>
              <w:t>’</w:t>
            </w:r>
            <w:r w:rsidRPr="00DC1A6A">
              <w:rPr>
                <w:sz w:val="20"/>
                <w:szCs w:val="20"/>
              </w:rPr>
              <w:t>s decision upheld by the Moscow City Court</w:t>
            </w:r>
          </w:p>
          <w:p w:rsidRPr="00DC1A6A" w:rsidR="004F18EF" w:rsidP="00DC1A6A" w:rsidRDefault="004F18EF">
            <w:pPr>
              <w:pStyle w:val="JuPara"/>
              <w:ind w:firstLine="0"/>
              <w:rPr>
                <w:sz w:val="20"/>
                <w:szCs w:val="20"/>
              </w:rPr>
            </w:pPr>
            <w:r w:rsidRPr="00DC1A6A">
              <w:rPr>
                <w:sz w:val="20"/>
                <w:szCs w:val="20"/>
              </w:rPr>
              <w:t>13 June 2018 - the Moscow City Court stayed the enforcement of the expulsion order pending proceedings before this Court</w:t>
            </w:r>
          </w:p>
          <w:p w:rsidRPr="00DC1A6A" w:rsidR="004F18EF" w:rsidP="00DC1A6A" w:rsidRDefault="004F18EF">
            <w:pPr>
              <w:pStyle w:val="JuPara"/>
              <w:ind w:firstLine="0"/>
              <w:rPr>
                <w:sz w:val="20"/>
                <w:szCs w:val="20"/>
              </w:rPr>
            </w:pPr>
          </w:p>
        </w:tc>
        <w:tc>
          <w:tcPr>
            <w:tcW w:w="2410" w:type="dxa"/>
          </w:tcPr>
          <w:p w:rsidRPr="00DC1A6A" w:rsidR="004F18EF" w:rsidP="00DC1A6A" w:rsidRDefault="004F18EF">
            <w:pPr>
              <w:pStyle w:val="JuPara"/>
              <w:ind w:firstLine="0"/>
              <w:rPr>
                <w:b/>
                <w:sz w:val="20"/>
                <w:szCs w:val="20"/>
              </w:rPr>
            </w:pPr>
            <w:r w:rsidRPr="00DC1A6A">
              <w:rPr>
                <w:b/>
                <w:sz w:val="20"/>
                <w:szCs w:val="20"/>
              </w:rPr>
              <w:t>Refugee status proceedings</w:t>
            </w:r>
          </w:p>
          <w:p w:rsidRPr="00DC1A6A" w:rsidR="002D57A7" w:rsidP="00DC1A6A" w:rsidRDefault="004F18EF">
            <w:pPr>
              <w:pStyle w:val="JuPara"/>
              <w:ind w:firstLine="0"/>
              <w:rPr>
                <w:sz w:val="20"/>
                <w:szCs w:val="20"/>
              </w:rPr>
            </w:pPr>
            <w:r w:rsidRPr="00DC1A6A">
              <w:rPr>
                <w:sz w:val="20"/>
                <w:szCs w:val="20"/>
              </w:rPr>
              <w:t>5 February 2016 – refugee status refused by the final administrative decision of the migration authorities</w:t>
            </w:r>
          </w:p>
          <w:p w:rsidRPr="00DC1A6A" w:rsidR="004F18EF" w:rsidP="00DC1A6A" w:rsidRDefault="004F18EF">
            <w:pPr>
              <w:pStyle w:val="JuPara"/>
              <w:ind w:firstLine="0"/>
              <w:rPr>
                <w:sz w:val="20"/>
                <w:szCs w:val="20"/>
              </w:rPr>
            </w:pPr>
          </w:p>
          <w:p w:rsidRPr="00DC1A6A" w:rsidR="004F18EF" w:rsidP="00DC1A6A" w:rsidRDefault="004F18EF">
            <w:pPr>
              <w:pStyle w:val="JuPara"/>
              <w:ind w:firstLine="0"/>
              <w:rPr>
                <w:b/>
                <w:sz w:val="20"/>
                <w:szCs w:val="20"/>
              </w:rPr>
            </w:pPr>
            <w:r w:rsidRPr="00DC1A6A">
              <w:rPr>
                <w:b/>
                <w:sz w:val="20"/>
                <w:szCs w:val="20"/>
              </w:rPr>
              <w:t>Temporary asylum proceedings</w:t>
            </w:r>
          </w:p>
          <w:p w:rsidRPr="00DC1A6A" w:rsidR="004F18EF" w:rsidP="00DC1A6A" w:rsidRDefault="004F18EF">
            <w:pPr>
              <w:pStyle w:val="JuPara"/>
              <w:ind w:firstLine="0"/>
              <w:rPr>
                <w:sz w:val="20"/>
                <w:szCs w:val="20"/>
              </w:rPr>
            </w:pPr>
            <w:r w:rsidRPr="00DC1A6A">
              <w:rPr>
                <w:sz w:val="20"/>
                <w:szCs w:val="20"/>
              </w:rPr>
              <w:t>14 September 2017 - request of temporary asylum</w:t>
            </w:r>
          </w:p>
          <w:p w:rsidRPr="00DC1A6A" w:rsidR="004F18EF" w:rsidP="00DC1A6A" w:rsidRDefault="004F18EF">
            <w:pPr>
              <w:pStyle w:val="JuPara"/>
              <w:ind w:firstLine="0"/>
              <w:rPr>
                <w:sz w:val="20"/>
                <w:szCs w:val="20"/>
              </w:rPr>
            </w:pPr>
            <w:r w:rsidRPr="00DC1A6A">
              <w:rPr>
                <w:sz w:val="20"/>
                <w:szCs w:val="20"/>
              </w:rPr>
              <w:t>10 October 2017 - temporary asylum refused by the migration authorities</w:t>
            </w:r>
          </w:p>
          <w:p w:rsidRPr="00DC1A6A" w:rsidR="004F18EF" w:rsidP="00DC1A6A" w:rsidRDefault="004F18EF">
            <w:pPr>
              <w:pStyle w:val="JuPara"/>
              <w:ind w:firstLine="0"/>
              <w:rPr>
                <w:sz w:val="20"/>
                <w:szCs w:val="20"/>
              </w:rPr>
            </w:pPr>
            <w:r w:rsidRPr="00DC1A6A">
              <w:rPr>
                <w:sz w:val="20"/>
                <w:szCs w:val="20"/>
              </w:rPr>
              <w:t>9 July 2018 - the complaint against the refusal lodged with the superior administrative authority</w:t>
            </w:r>
          </w:p>
        </w:tc>
        <w:tc>
          <w:tcPr>
            <w:tcW w:w="2268" w:type="dxa"/>
          </w:tcPr>
          <w:p w:rsidRPr="00DC1A6A" w:rsidR="004F18EF" w:rsidP="00DC1A6A" w:rsidRDefault="004F18EF">
            <w:pPr>
              <w:pStyle w:val="JuPara"/>
              <w:ind w:firstLine="0"/>
              <w:rPr>
                <w:sz w:val="20"/>
                <w:szCs w:val="20"/>
              </w:rPr>
            </w:pPr>
            <w:r w:rsidRPr="00DC1A6A">
              <w:rPr>
                <w:sz w:val="20"/>
                <w:szCs w:val="20"/>
              </w:rPr>
              <w:t>13 September 2017 -</w:t>
            </w:r>
            <w:r w:rsidRPr="00DC1A6A" w:rsidR="002D57A7">
              <w:rPr>
                <w:sz w:val="20"/>
                <w:szCs w:val="20"/>
              </w:rPr>
              <w:t xml:space="preserve"> </w:t>
            </w:r>
            <w:r w:rsidRPr="00DC1A6A">
              <w:rPr>
                <w:sz w:val="20"/>
                <w:szCs w:val="20"/>
              </w:rPr>
              <w:t>– interim measure preventing the applicant</w:t>
            </w:r>
            <w:r w:rsidRPr="00DC1A6A" w:rsidR="00DC1A6A">
              <w:rPr>
                <w:sz w:val="20"/>
                <w:szCs w:val="20"/>
              </w:rPr>
              <w:t>’</w:t>
            </w:r>
            <w:r w:rsidRPr="00DC1A6A">
              <w:rPr>
                <w:sz w:val="20"/>
                <w:szCs w:val="20"/>
              </w:rPr>
              <w:t>s removal</w:t>
            </w:r>
          </w:p>
        </w:tc>
        <w:tc>
          <w:tcPr>
            <w:tcW w:w="2410" w:type="dxa"/>
          </w:tcPr>
          <w:p w:rsidRPr="00DC1A6A" w:rsidR="004F18EF" w:rsidP="00DC1A6A" w:rsidRDefault="004F18EF">
            <w:pPr>
              <w:pStyle w:val="JuPara"/>
              <w:ind w:firstLine="0"/>
              <w:rPr>
                <w:sz w:val="20"/>
                <w:szCs w:val="20"/>
              </w:rPr>
            </w:pPr>
            <w:r w:rsidRPr="00DC1A6A">
              <w:rPr>
                <w:bCs/>
                <w:sz w:val="20"/>
                <w:szCs w:val="20"/>
              </w:rPr>
              <w:t>EUR 1,500 to Ms </w:t>
            </w:r>
            <w:proofErr w:type="spellStart"/>
            <w:r w:rsidRPr="00DC1A6A">
              <w:rPr>
                <w:bCs/>
                <w:sz w:val="20"/>
                <w:szCs w:val="20"/>
              </w:rPr>
              <w:t>Magomedova</w:t>
            </w:r>
            <w:proofErr w:type="spellEnd"/>
            <w:r w:rsidRPr="00DC1A6A">
              <w:rPr>
                <w:bCs/>
                <w:sz w:val="20"/>
                <w:szCs w:val="20"/>
              </w:rPr>
              <w:t xml:space="preserve"> and Ms Golub jointly, in respect of costs and expenses</w:t>
            </w:r>
          </w:p>
        </w:tc>
      </w:tr>
      <w:tr w:rsidRPr="00DC1A6A" w:rsidR="004F18EF" w:rsidTr="001576AC">
        <w:tc>
          <w:tcPr>
            <w:tcW w:w="524" w:type="dxa"/>
          </w:tcPr>
          <w:p w:rsidRPr="00DC1A6A" w:rsidR="004F18EF" w:rsidP="00DC1A6A" w:rsidRDefault="004F18EF">
            <w:pPr>
              <w:pStyle w:val="JuPara"/>
              <w:ind w:firstLine="0"/>
              <w:rPr>
                <w:sz w:val="20"/>
                <w:szCs w:val="20"/>
              </w:rPr>
            </w:pPr>
            <w:r w:rsidRPr="00DC1A6A">
              <w:rPr>
                <w:sz w:val="20"/>
                <w:szCs w:val="20"/>
              </w:rPr>
              <w:t>2.</w:t>
            </w:r>
          </w:p>
        </w:tc>
        <w:tc>
          <w:tcPr>
            <w:tcW w:w="2170" w:type="dxa"/>
          </w:tcPr>
          <w:p w:rsidRPr="00DC1A6A" w:rsidR="004F18EF" w:rsidP="00DC1A6A" w:rsidRDefault="004F18EF">
            <w:pPr>
              <w:pStyle w:val="JuPara"/>
              <w:ind w:firstLine="0"/>
              <w:rPr>
                <w:sz w:val="20"/>
                <w:szCs w:val="20"/>
                <w:lang w:val="fi-FI"/>
              </w:rPr>
            </w:pPr>
            <w:r w:rsidRPr="00DC1A6A">
              <w:rPr>
                <w:sz w:val="20"/>
                <w:szCs w:val="20"/>
                <w:lang w:val="fi-FI"/>
              </w:rPr>
              <w:t>24014/18</w:t>
            </w:r>
          </w:p>
          <w:p w:rsidRPr="00DC1A6A" w:rsidR="004F18EF" w:rsidP="00DC1A6A" w:rsidRDefault="004F18EF">
            <w:pPr>
              <w:pStyle w:val="JuPara"/>
              <w:ind w:firstLine="0"/>
              <w:rPr>
                <w:sz w:val="20"/>
                <w:szCs w:val="20"/>
                <w:lang w:val="fi-FI"/>
              </w:rPr>
            </w:pPr>
            <w:proofErr w:type="gramStart"/>
            <w:r w:rsidRPr="00DC1A6A">
              <w:rPr>
                <w:sz w:val="20"/>
                <w:szCs w:val="20"/>
                <w:lang w:val="fi-FI"/>
              </w:rPr>
              <w:t>24/05/2018</w:t>
            </w:r>
            <w:proofErr w:type="gramEnd"/>
          </w:p>
          <w:p w:rsidRPr="00DC1A6A" w:rsidR="004F18EF" w:rsidP="00DC1A6A" w:rsidRDefault="004F18EF">
            <w:pPr>
              <w:pStyle w:val="JuPara"/>
              <w:ind w:firstLine="0"/>
              <w:rPr>
                <w:b/>
                <w:sz w:val="20"/>
                <w:szCs w:val="20"/>
                <w:lang w:val="fi-FI"/>
              </w:rPr>
            </w:pPr>
            <w:r w:rsidRPr="00DC1A6A">
              <w:rPr>
                <w:b/>
                <w:sz w:val="20"/>
                <w:szCs w:val="20"/>
                <w:lang w:val="fi-FI"/>
              </w:rPr>
              <w:t xml:space="preserve">A.R. v. </w:t>
            </w:r>
            <w:proofErr w:type="spellStart"/>
            <w:r w:rsidRPr="00DC1A6A">
              <w:rPr>
                <w:b/>
                <w:sz w:val="20"/>
                <w:szCs w:val="20"/>
                <w:lang w:val="fi-FI"/>
              </w:rPr>
              <w:t>Russia</w:t>
            </w:r>
            <w:proofErr w:type="spellEnd"/>
          </w:p>
          <w:p w:rsidRPr="00DC1A6A" w:rsidR="004F18EF" w:rsidP="00DC1A6A" w:rsidRDefault="004F18EF">
            <w:pPr>
              <w:pStyle w:val="JuPara"/>
              <w:ind w:firstLine="0"/>
              <w:rPr>
                <w:sz w:val="20"/>
                <w:szCs w:val="20"/>
                <w:lang w:val="fi-FI"/>
              </w:rPr>
            </w:pPr>
            <w:proofErr w:type="gramStart"/>
            <w:r w:rsidRPr="00DC1A6A">
              <w:rPr>
                <w:sz w:val="20"/>
                <w:szCs w:val="20"/>
                <w:lang w:val="fi-FI"/>
              </w:rPr>
              <w:t>15/06/1978</w:t>
            </w:r>
            <w:proofErr w:type="gramEnd"/>
          </w:p>
          <w:p w:rsidRPr="00DC1A6A" w:rsidR="004F18EF" w:rsidP="00DC1A6A" w:rsidRDefault="004F18EF">
            <w:pPr>
              <w:pStyle w:val="JuPara"/>
              <w:ind w:firstLine="0"/>
              <w:rPr>
                <w:sz w:val="20"/>
                <w:szCs w:val="20"/>
                <w:lang w:val="fi-FI"/>
              </w:rPr>
            </w:pPr>
            <w:proofErr w:type="spellStart"/>
            <w:r w:rsidRPr="00DC1A6A">
              <w:rPr>
                <w:sz w:val="20"/>
                <w:szCs w:val="20"/>
                <w:lang w:val="fi-FI"/>
              </w:rPr>
              <w:t>Tajikistan</w:t>
            </w:r>
            <w:proofErr w:type="spellEnd"/>
          </w:p>
          <w:p w:rsidRPr="00DC1A6A" w:rsidR="004F18EF" w:rsidP="00DC1A6A" w:rsidRDefault="004F18EF">
            <w:pPr>
              <w:pStyle w:val="JuPara"/>
              <w:ind w:firstLine="0"/>
              <w:rPr>
                <w:sz w:val="20"/>
                <w:szCs w:val="20"/>
                <w:lang w:val="fi-FI"/>
              </w:rPr>
            </w:pPr>
          </w:p>
          <w:p w:rsidRPr="00DC1A6A" w:rsidR="004F18EF" w:rsidP="00DC1A6A" w:rsidRDefault="004F18EF">
            <w:pPr>
              <w:pStyle w:val="JuPara"/>
              <w:ind w:firstLine="0"/>
              <w:rPr>
                <w:bCs/>
                <w:sz w:val="20"/>
                <w:szCs w:val="20"/>
                <w:lang w:val="fi-FI"/>
              </w:rPr>
            </w:pPr>
            <w:r w:rsidRPr="00DC1A6A">
              <w:rPr>
                <w:bCs/>
                <w:sz w:val="20"/>
                <w:szCs w:val="20"/>
                <w:lang w:val="fi-FI"/>
              </w:rPr>
              <w:t xml:space="preserve">Ms D. </w:t>
            </w:r>
            <w:proofErr w:type="spellStart"/>
            <w:r w:rsidRPr="00DC1A6A">
              <w:rPr>
                <w:bCs/>
                <w:sz w:val="20"/>
                <w:szCs w:val="20"/>
                <w:lang w:val="fi-FI"/>
              </w:rPr>
              <w:t>Trenina</w:t>
            </w:r>
            <w:proofErr w:type="spellEnd"/>
          </w:p>
          <w:p w:rsidRPr="00DC1A6A" w:rsidR="004F18EF" w:rsidP="00DC1A6A" w:rsidRDefault="004F18EF">
            <w:pPr>
              <w:pStyle w:val="JuPara"/>
              <w:ind w:firstLine="0"/>
              <w:rPr>
                <w:bCs/>
                <w:sz w:val="20"/>
                <w:szCs w:val="20"/>
              </w:rPr>
            </w:pPr>
            <w:r w:rsidRPr="00DC1A6A">
              <w:rPr>
                <w:bCs/>
                <w:sz w:val="20"/>
                <w:szCs w:val="20"/>
              </w:rPr>
              <w:t xml:space="preserve">Ms E. </w:t>
            </w:r>
            <w:proofErr w:type="spellStart"/>
            <w:r w:rsidRPr="00DC1A6A">
              <w:rPr>
                <w:bCs/>
                <w:sz w:val="20"/>
                <w:szCs w:val="20"/>
              </w:rPr>
              <w:t>Davidyan</w:t>
            </w:r>
            <w:proofErr w:type="spellEnd"/>
          </w:p>
          <w:p w:rsidRPr="00DC1A6A" w:rsidR="002D57A7" w:rsidP="00DC1A6A" w:rsidRDefault="004F18EF">
            <w:pPr>
              <w:pStyle w:val="JuPara"/>
              <w:ind w:firstLine="0"/>
              <w:rPr>
                <w:sz w:val="20"/>
                <w:szCs w:val="20"/>
              </w:rPr>
            </w:pPr>
            <w:r w:rsidRPr="00DC1A6A">
              <w:rPr>
                <w:bCs/>
                <w:sz w:val="20"/>
                <w:szCs w:val="20"/>
              </w:rPr>
              <w:t xml:space="preserve">Mr K. </w:t>
            </w:r>
            <w:proofErr w:type="spellStart"/>
            <w:r w:rsidRPr="00DC1A6A">
              <w:rPr>
                <w:bCs/>
                <w:sz w:val="20"/>
                <w:szCs w:val="20"/>
              </w:rPr>
              <w:t>Zharinov</w:t>
            </w:r>
            <w:proofErr w:type="spellEnd"/>
          </w:p>
          <w:p w:rsidRPr="00DC1A6A" w:rsidR="004F18EF" w:rsidP="00DC1A6A" w:rsidRDefault="004F18EF">
            <w:pPr>
              <w:pStyle w:val="JuPara"/>
              <w:ind w:firstLine="0"/>
              <w:rPr>
                <w:sz w:val="20"/>
                <w:szCs w:val="20"/>
              </w:rPr>
            </w:pPr>
          </w:p>
        </w:tc>
        <w:tc>
          <w:tcPr>
            <w:tcW w:w="2466" w:type="dxa"/>
          </w:tcPr>
          <w:p w:rsidRPr="00DC1A6A" w:rsidR="004F18EF" w:rsidP="00DC1A6A" w:rsidRDefault="004F18EF">
            <w:pPr>
              <w:pStyle w:val="JuPara"/>
              <w:ind w:firstLine="0"/>
              <w:rPr>
                <w:b/>
                <w:sz w:val="20"/>
                <w:szCs w:val="20"/>
              </w:rPr>
            </w:pPr>
            <w:r w:rsidRPr="00DC1A6A">
              <w:rPr>
                <w:b/>
                <w:sz w:val="20"/>
                <w:szCs w:val="20"/>
              </w:rPr>
              <w:t>Detention pending extradition</w:t>
            </w:r>
          </w:p>
          <w:p w:rsidRPr="00DC1A6A" w:rsidR="004F18EF" w:rsidP="00DC1A6A" w:rsidRDefault="004F18EF">
            <w:pPr>
              <w:pStyle w:val="JuPara"/>
              <w:ind w:firstLine="0"/>
              <w:rPr>
                <w:sz w:val="20"/>
                <w:szCs w:val="20"/>
              </w:rPr>
            </w:pPr>
            <w:r w:rsidRPr="00DC1A6A">
              <w:rPr>
                <w:sz w:val="20"/>
                <w:szCs w:val="20"/>
              </w:rPr>
              <w:t>03 January 2018 - arrest</w:t>
            </w:r>
          </w:p>
          <w:p w:rsidRPr="00DC1A6A" w:rsidR="004F18EF" w:rsidP="00DC1A6A" w:rsidRDefault="004F18EF">
            <w:pPr>
              <w:pStyle w:val="JuPara"/>
              <w:ind w:firstLine="0"/>
              <w:rPr>
                <w:sz w:val="20"/>
                <w:szCs w:val="20"/>
              </w:rPr>
            </w:pPr>
            <w:r w:rsidRPr="00DC1A6A">
              <w:rPr>
                <w:sz w:val="20"/>
                <w:szCs w:val="20"/>
              </w:rPr>
              <w:t>unspecified date - released</w:t>
            </w:r>
          </w:p>
          <w:p w:rsidRPr="00DC1A6A" w:rsidR="004F18EF" w:rsidP="00DC1A6A" w:rsidRDefault="004F18EF">
            <w:pPr>
              <w:pStyle w:val="JuPara"/>
              <w:ind w:firstLine="0"/>
              <w:rPr>
                <w:sz w:val="20"/>
                <w:szCs w:val="20"/>
              </w:rPr>
            </w:pPr>
          </w:p>
          <w:p w:rsidRPr="00DC1A6A" w:rsidR="004F18EF" w:rsidP="00DC1A6A" w:rsidRDefault="004F18EF">
            <w:pPr>
              <w:pStyle w:val="JuPara"/>
              <w:ind w:firstLine="0"/>
              <w:rPr>
                <w:b/>
                <w:sz w:val="20"/>
                <w:szCs w:val="20"/>
              </w:rPr>
            </w:pPr>
            <w:r w:rsidRPr="00DC1A6A">
              <w:rPr>
                <w:b/>
                <w:sz w:val="20"/>
                <w:szCs w:val="20"/>
              </w:rPr>
              <w:t>Detention pending expulsion</w:t>
            </w:r>
          </w:p>
          <w:p w:rsidRPr="00DC1A6A" w:rsidR="004F18EF" w:rsidP="00DC1A6A" w:rsidRDefault="004F18EF">
            <w:pPr>
              <w:pStyle w:val="JuPara"/>
              <w:ind w:firstLine="0"/>
              <w:rPr>
                <w:sz w:val="20"/>
                <w:szCs w:val="20"/>
              </w:rPr>
            </w:pPr>
            <w:r w:rsidRPr="00DC1A6A">
              <w:rPr>
                <w:sz w:val="20"/>
                <w:szCs w:val="20"/>
              </w:rPr>
              <w:t>8 May 2018 - arrest</w:t>
            </w:r>
          </w:p>
          <w:p w:rsidRPr="00DC1A6A" w:rsidR="004F18EF" w:rsidP="00DC1A6A" w:rsidRDefault="004F18EF">
            <w:pPr>
              <w:pStyle w:val="JuPara"/>
              <w:ind w:firstLine="0"/>
              <w:rPr>
                <w:sz w:val="20"/>
                <w:szCs w:val="20"/>
              </w:rPr>
            </w:pPr>
            <w:r w:rsidRPr="00DC1A6A">
              <w:rPr>
                <w:sz w:val="20"/>
                <w:szCs w:val="20"/>
              </w:rPr>
              <w:t xml:space="preserve">8 May 2018 – detention pending expulsion ordered by the </w:t>
            </w:r>
            <w:proofErr w:type="spellStart"/>
            <w:r w:rsidRPr="00DC1A6A">
              <w:rPr>
                <w:sz w:val="20"/>
                <w:szCs w:val="20"/>
              </w:rPr>
              <w:t>Karasukskiy</w:t>
            </w:r>
            <w:proofErr w:type="spellEnd"/>
            <w:r w:rsidRPr="00DC1A6A">
              <w:rPr>
                <w:sz w:val="20"/>
                <w:szCs w:val="20"/>
              </w:rPr>
              <w:t xml:space="preserve"> District Court of Novosibirsk Region</w:t>
            </w:r>
          </w:p>
          <w:p w:rsidRPr="00DC1A6A" w:rsidR="004F18EF" w:rsidP="00DC1A6A" w:rsidRDefault="004F18EF">
            <w:pPr>
              <w:pStyle w:val="JuPara"/>
              <w:ind w:firstLine="0"/>
              <w:rPr>
                <w:sz w:val="20"/>
                <w:szCs w:val="20"/>
              </w:rPr>
            </w:pPr>
            <w:r w:rsidRPr="00DC1A6A">
              <w:rPr>
                <w:sz w:val="20"/>
                <w:szCs w:val="20"/>
              </w:rPr>
              <w:t>The applicant is still in detention</w:t>
            </w:r>
          </w:p>
          <w:p w:rsidRPr="00DC1A6A" w:rsidR="004F18EF" w:rsidP="00DC1A6A" w:rsidRDefault="004F18EF">
            <w:pPr>
              <w:pStyle w:val="JuPara"/>
              <w:ind w:firstLine="0"/>
              <w:rPr>
                <w:sz w:val="20"/>
                <w:szCs w:val="20"/>
              </w:rPr>
            </w:pPr>
          </w:p>
        </w:tc>
        <w:tc>
          <w:tcPr>
            <w:tcW w:w="2920" w:type="dxa"/>
          </w:tcPr>
          <w:p w:rsidRPr="00DC1A6A" w:rsidR="004F18EF" w:rsidP="00DC1A6A" w:rsidRDefault="004F18EF">
            <w:pPr>
              <w:pStyle w:val="JuPara"/>
              <w:ind w:firstLine="0"/>
              <w:rPr>
                <w:b/>
                <w:sz w:val="20"/>
                <w:szCs w:val="20"/>
              </w:rPr>
            </w:pPr>
            <w:r w:rsidRPr="00DC1A6A">
              <w:rPr>
                <w:b/>
                <w:sz w:val="20"/>
                <w:szCs w:val="20"/>
              </w:rPr>
              <w:t>Extradition proceedings</w:t>
            </w:r>
          </w:p>
          <w:p w:rsidRPr="00DC1A6A" w:rsidR="004F18EF" w:rsidP="00DC1A6A" w:rsidRDefault="004F18EF">
            <w:pPr>
              <w:pStyle w:val="JuPara"/>
              <w:ind w:firstLine="0"/>
              <w:rPr>
                <w:sz w:val="20"/>
                <w:szCs w:val="20"/>
              </w:rPr>
            </w:pPr>
            <w:r w:rsidRPr="00DC1A6A">
              <w:rPr>
                <w:sz w:val="20"/>
                <w:szCs w:val="20"/>
              </w:rPr>
              <w:t>January 2009 - charged with extremist crimes by the Tajik authorities, international search warrant issued, detention order in absentia</w:t>
            </w:r>
          </w:p>
          <w:p w:rsidRPr="00DC1A6A" w:rsidR="004F18EF" w:rsidP="00DC1A6A" w:rsidRDefault="004F18EF">
            <w:pPr>
              <w:pStyle w:val="JuPara"/>
              <w:ind w:firstLine="0"/>
              <w:rPr>
                <w:sz w:val="20"/>
                <w:szCs w:val="20"/>
              </w:rPr>
            </w:pPr>
            <w:r w:rsidRPr="00DC1A6A">
              <w:rPr>
                <w:sz w:val="20"/>
                <w:szCs w:val="20"/>
              </w:rPr>
              <w:t>30 March 2018 – Tajik authorities requested that the applicant be detained pending extradition</w:t>
            </w:r>
          </w:p>
          <w:p w:rsidRPr="00DC1A6A" w:rsidR="004F18EF" w:rsidP="00DC1A6A" w:rsidRDefault="004F18EF">
            <w:pPr>
              <w:pStyle w:val="JuPara"/>
              <w:ind w:firstLine="0"/>
              <w:rPr>
                <w:sz w:val="20"/>
                <w:szCs w:val="20"/>
              </w:rPr>
            </w:pPr>
          </w:p>
          <w:p w:rsidRPr="00DC1A6A" w:rsidR="004F18EF" w:rsidP="00DC1A6A" w:rsidRDefault="004F18EF">
            <w:pPr>
              <w:pStyle w:val="JuPara"/>
              <w:ind w:firstLine="0"/>
              <w:rPr>
                <w:b/>
                <w:sz w:val="20"/>
                <w:szCs w:val="20"/>
              </w:rPr>
            </w:pPr>
            <w:r w:rsidRPr="00DC1A6A">
              <w:rPr>
                <w:b/>
                <w:sz w:val="20"/>
                <w:szCs w:val="20"/>
              </w:rPr>
              <w:t>Expulsion proceedings</w:t>
            </w:r>
          </w:p>
          <w:p w:rsidRPr="00DC1A6A" w:rsidR="004F18EF" w:rsidP="00DC1A6A" w:rsidRDefault="004F18EF">
            <w:pPr>
              <w:pStyle w:val="JuPara"/>
              <w:ind w:firstLine="0"/>
              <w:rPr>
                <w:sz w:val="20"/>
                <w:szCs w:val="20"/>
              </w:rPr>
            </w:pPr>
            <w:r w:rsidRPr="00DC1A6A">
              <w:rPr>
                <w:sz w:val="20"/>
                <w:szCs w:val="20"/>
              </w:rPr>
              <w:t xml:space="preserve">8 May 2018 - administrative removal ordered by the </w:t>
            </w:r>
            <w:proofErr w:type="spellStart"/>
            <w:r w:rsidRPr="00DC1A6A">
              <w:rPr>
                <w:sz w:val="20"/>
                <w:szCs w:val="20"/>
              </w:rPr>
              <w:t>Karasukskiy</w:t>
            </w:r>
            <w:proofErr w:type="spellEnd"/>
            <w:r w:rsidRPr="00DC1A6A">
              <w:rPr>
                <w:sz w:val="20"/>
                <w:szCs w:val="20"/>
              </w:rPr>
              <w:t xml:space="preserve"> District Court of Novosibirsk Region</w:t>
            </w:r>
          </w:p>
          <w:p w:rsidRPr="00DC1A6A" w:rsidR="004F18EF" w:rsidP="00DC1A6A" w:rsidRDefault="004F18EF">
            <w:pPr>
              <w:pStyle w:val="JuPara"/>
              <w:ind w:firstLine="0"/>
              <w:rPr>
                <w:sz w:val="20"/>
                <w:szCs w:val="20"/>
              </w:rPr>
            </w:pPr>
            <w:r w:rsidRPr="00DC1A6A">
              <w:rPr>
                <w:sz w:val="20"/>
                <w:szCs w:val="20"/>
              </w:rPr>
              <w:t>25 May 2018 - lower court</w:t>
            </w:r>
            <w:r w:rsidRPr="00DC1A6A" w:rsidR="00DC1A6A">
              <w:rPr>
                <w:sz w:val="20"/>
                <w:szCs w:val="20"/>
              </w:rPr>
              <w:t>’</w:t>
            </w:r>
            <w:r w:rsidRPr="00DC1A6A">
              <w:rPr>
                <w:sz w:val="20"/>
                <w:szCs w:val="20"/>
              </w:rPr>
              <w:t>s decision upheld by the Novosibirsk Regional Court</w:t>
            </w:r>
          </w:p>
          <w:p w:rsidRPr="00DC1A6A" w:rsidR="004F18EF" w:rsidP="00DC1A6A" w:rsidRDefault="004F18EF">
            <w:pPr>
              <w:pStyle w:val="JuPara"/>
              <w:ind w:firstLine="0"/>
              <w:rPr>
                <w:sz w:val="20"/>
                <w:szCs w:val="20"/>
              </w:rPr>
            </w:pPr>
          </w:p>
        </w:tc>
        <w:tc>
          <w:tcPr>
            <w:tcW w:w="2410" w:type="dxa"/>
          </w:tcPr>
          <w:p w:rsidRPr="00DC1A6A" w:rsidR="004F18EF" w:rsidP="00DC1A6A" w:rsidRDefault="004F18EF">
            <w:pPr>
              <w:pStyle w:val="JuPara"/>
              <w:ind w:firstLine="0"/>
              <w:rPr>
                <w:b/>
                <w:sz w:val="20"/>
                <w:szCs w:val="20"/>
              </w:rPr>
            </w:pPr>
            <w:r w:rsidRPr="00DC1A6A">
              <w:rPr>
                <w:b/>
                <w:sz w:val="20"/>
                <w:szCs w:val="20"/>
              </w:rPr>
              <w:t>Refugee status proceedings</w:t>
            </w:r>
          </w:p>
          <w:p w:rsidRPr="00DC1A6A" w:rsidR="004F18EF" w:rsidP="00DC1A6A" w:rsidRDefault="004F18EF">
            <w:pPr>
              <w:pStyle w:val="JuPara"/>
              <w:ind w:firstLine="0"/>
              <w:rPr>
                <w:sz w:val="20"/>
                <w:szCs w:val="20"/>
              </w:rPr>
            </w:pPr>
            <w:r w:rsidRPr="00DC1A6A">
              <w:rPr>
                <w:sz w:val="20"/>
                <w:szCs w:val="20"/>
              </w:rPr>
              <w:t>25 May 2018 - asylum request</w:t>
            </w:r>
          </w:p>
          <w:p w:rsidRPr="00DC1A6A" w:rsidR="004F18EF" w:rsidP="00DC1A6A" w:rsidRDefault="004F18EF">
            <w:pPr>
              <w:pStyle w:val="JuPara"/>
              <w:ind w:firstLine="0"/>
              <w:rPr>
                <w:sz w:val="20"/>
                <w:szCs w:val="20"/>
              </w:rPr>
            </w:pPr>
          </w:p>
        </w:tc>
        <w:tc>
          <w:tcPr>
            <w:tcW w:w="2268" w:type="dxa"/>
          </w:tcPr>
          <w:p w:rsidRPr="00DC1A6A" w:rsidR="004F18EF" w:rsidP="00DC1A6A" w:rsidRDefault="004F18EF">
            <w:pPr>
              <w:pStyle w:val="JuPara"/>
              <w:ind w:firstLine="0"/>
              <w:rPr>
                <w:sz w:val="20"/>
                <w:szCs w:val="20"/>
              </w:rPr>
            </w:pPr>
            <w:r w:rsidRPr="00DC1A6A">
              <w:rPr>
                <w:sz w:val="20"/>
                <w:szCs w:val="20"/>
              </w:rPr>
              <w:t>2002-2008 – the applicant served a criminal sentence for manslaughter in Russia</w:t>
            </w:r>
          </w:p>
          <w:p w:rsidRPr="00DC1A6A" w:rsidR="004F18EF" w:rsidP="00DC1A6A" w:rsidRDefault="004F18EF">
            <w:pPr>
              <w:pStyle w:val="JuPara"/>
              <w:ind w:firstLine="0"/>
              <w:rPr>
                <w:sz w:val="20"/>
                <w:szCs w:val="20"/>
              </w:rPr>
            </w:pPr>
            <w:r w:rsidRPr="00DC1A6A">
              <w:rPr>
                <w:sz w:val="20"/>
                <w:szCs w:val="20"/>
              </w:rPr>
              <w:t>2010 – federal search warrant on suspicion of murder in Russia</w:t>
            </w:r>
          </w:p>
          <w:p w:rsidRPr="00DC1A6A" w:rsidR="004F18EF" w:rsidP="00DC1A6A" w:rsidRDefault="004F18EF">
            <w:pPr>
              <w:pStyle w:val="JuPara"/>
              <w:ind w:firstLine="0"/>
              <w:rPr>
                <w:sz w:val="20"/>
                <w:szCs w:val="20"/>
              </w:rPr>
            </w:pPr>
            <w:r w:rsidRPr="00DC1A6A">
              <w:rPr>
                <w:sz w:val="20"/>
                <w:szCs w:val="20"/>
              </w:rPr>
              <w:t>24 May 2018 – interim measure preventing the applicant</w:t>
            </w:r>
            <w:r w:rsidRPr="00DC1A6A" w:rsidR="00DC1A6A">
              <w:rPr>
                <w:sz w:val="20"/>
                <w:szCs w:val="20"/>
              </w:rPr>
              <w:t>’</w:t>
            </w:r>
            <w:r w:rsidRPr="00DC1A6A">
              <w:rPr>
                <w:sz w:val="20"/>
                <w:szCs w:val="20"/>
              </w:rPr>
              <w:t>s removal</w:t>
            </w:r>
          </w:p>
          <w:p w:rsidRPr="00DC1A6A" w:rsidR="004F18EF" w:rsidP="00DC1A6A" w:rsidRDefault="004F18EF">
            <w:pPr>
              <w:pStyle w:val="JuPara"/>
              <w:ind w:firstLine="0"/>
              <w:rPr>
                <w:sz w:val="20"/>
                <w:szCs w:val="20"/>
              </w:rPr>
            </w:pPr>
          </w:p>
        </w:tc>
        <w:tc>
          <w:tcPr>
            <w:tcW w:w="2410" w:type="dxa"/>
          </w:tcPr>
          <w:p w:rsidRPr="00DC1A6A" w:rsidR="004F18EF" w:rsidP="00DC1A6A" w:rsidRDefault="004F18EF">
            <w:pPr>
              <w:pStyle w:val="JuPara"/>
              <w:ind w:firstLine="0"/>
              <w:rPr>
                <w:bCs/>
                <w:sz w:val="20"/>
                <w:szCs w:val="20"/>
              </w:rPr>
            </w:pPr>
            <w:r w:rsidRPr="00DC1A6A">
              <w:rPr>
                <w:bCs/>
                <w:sz w:val="20"/>
                <w:szCs w:val="20"/>
              </w:rPr>
              <w:t>EUR 1,740 to Ms </w:t>
            </w:r>
            <w:proofErr w:type="spellStart"/>
            <w:r w:rsidRPr="00DC1A6A">
              <w:rPr>
                <w:bCs/>
                <w:sz w:val="20"/>
                <w:szCs w:val="20"/>
              </w:rPr>
              <w:t>Trenina</w:t>
            </w:r>
            <w:proofErr w:type="spellEnd"/>
            <w:r w:rsidRPr="00DC1A6A">
              <w:rPr>
                <w:bCs/>
                <w:sz w:val="20"/>
                <w:szCs w:val="20"/>
              </w:rPr>
              <w:t>, Ms </w:t>
            </w:r>
            <w:proofErr w:type="spellStart"/>
            <w:r w:rsidRPr="00DC1A6A">
              <w:rPr>
                <w:bCs/>
                <w:sz w:val="20"/>
                <w:szCs w:val="20"/>
              </w:rPr>
              <w:t>Davidyan</w:t>
            </w:r>
            <w:proofErr w:type="spellEnd"/>
            <w:r w:rsidRPr="00DC1A6A">
              <w:rPr>
                <w:bCs/>
                <w:sz w:val="20"/>
                <w:szCs w:val="20"/>
              </w:rPr>
              <w:t xml:space="preserve"> and Mr </w:t>
            </w:r>
            <w:proofErr w:type="spellStart"/>
            <w:r w:rsidRPr="00DC1A6A">
              <w:rPr>
                <w:bCs/>
                <w:sz w:val="20"/>
                <w:szCs w:val="20"/>
              </w:rPr>
              <w:t>Zharinov</w:t>
            </w:r>
            <w:proofErr w:type="spellEnd"/>
            <w:r w:rsidRPr="00DC1A6A">
              <w:rPr>
                <w:bCs/>
                <w:sz w:val="20"/>
                <w:szCs w:val="20"/>
              </w:rPr>
              <w:t xml:space="preserve"> jointly, in respect of costs and expenses</w:t>
            </w:r>
          </w:p>
          <w:p w:rsidRPr="00DC1A6A" w:rsidR="004F18EF" w:rsidP="00DC1A6A" w:rsidRDefault="004F18EF">
            <w:pPr>
              <w:pStyle w:val="JuPara"/>
              <w:ind w:firstLine="0"/>
              <w:rPr>
                <w:sz w:val="20"/>
                <w:szCs w:val="20"/>
              </w:rPr>
            </w:pPr>
          </w:p>
        </w:tc>
      </w:tr>
    </w:tbl>
    <w:p w:rsidRPr="00DC1A6A" w:rsidR="002A613A" w:rsidP="00DC1A6A" w:rsidRDefault="002A613A"/>
    <w:sectPr w:rsidRPr="00DC1A6A" w:rsidR="002A613A" w:rsidSect="00F62B03">
      <w:headerReference w:type="even" r:id="rId15"/>
      <w:headerReference w:type="default" r:id="rId16"/>
      <w:footnotePr>
        <w:numRestart w:val="eachSect"/>
      </w:footnotePr>
      <w:pgSz w:w="16838" w:h="11906" w:orient="landscape" w:code="9"/>
      <w:pgMar w:top="2274" w:right="2274" w:bottom="2274" w:left="2274" w:header="1701" w:footer="72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77508" w:rsidRPr="00085457" w:rsidRDefault="00B77508" w:rsidP="0098410D">
      <w:r w:rsidRPr="00085457">
        <w:separator/>
      </w:r>
    </w:p>
  </w:endnote>
  <w:endnote w:type="continuationSeparator" w:id="0">
    <w:p w:rsidR="00B77508" w:rsidRPr="00085457" w:rsidRDefault="00B77508" w:rsidP="0098410D">
      <w:r w:rsidRPr="0008545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77508" w:rsidRPr="00150BFA" w:rsidRDefault="00B77508" w:rsidP="0020718E">
    <w:pPr>
      <w:jc w:val="center"/>
    </w:pPr>
    <w:r>
      <w:rPr>
        <w:noProof/>
        <w:lang w:val="en-US" w:eastAsia="ja-JP"/>
      </w:rPr>
      <w:drawing>
        <wp:inline distT="0" distB="0" distL="0" distR="0" wp14:anchorId="1187D7B0" wp14:editId="236A2E6A">
          <wp:extent cx="771525" cy="619125"/>
          <wp:effectExtent l="0" t="0" r="9525" b="9525"/>
          <wp:docPr id="25" name="Picture 25"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98410D" w:rsidRPr="00085457" w:rsidRDefault="0098410D" w:rsidP="00AF12C5">
    <w:pPr>
      <w:pStyle w:val="Footer0"/>
      <w:jc w:val="center"/>
      <w:rPr>
        <w:sz w:val="4"/>
        <w:szCs w:val="4"/>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Default="006A0C17">
    <w:pPr>
      <w:pStyle w:val="Footer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0B7195" w:rsidRDefault="006A0C17" w:rsidP="00AF12C5">
    <w:pPr>
      <w:pStyle w:val="Footer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77508" w:rsidRPr="00085457" w:rsidRDefault="00B77508" w:rsidP="0098410D">
      <w:r w:rsidRPr="00085457">
        <w:separator/>
      </w:r>
    </w:p>
  </w:footnote>
  <w:footnote w:type="continuationSeparator" w:id="0">
    <w:p w:rsidR="00B77508" w:rsidRPr="00085457" w:rsidRDefault="00B77508" w:rsidP="0098410D">
      <w:r w:rsidRPr="00085457">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77508" w:rsidRPr="00A45145" w:rsidRDefault="00B77508" w:rsidP="00A45145">
    <w:pPr>
      <w:jc w:val="center"/>
    </w:pPr>
    <w:r>
      <w:rPr>
        <w:noProof/>
        <w:lang w:val="en-US" w:eastAsia="ja-JP"/>
      </w:rPr>
      <w:drawing>
        <wp:inline distT="0" distB="0" distL="0" distR="0" wp14:anchorId="4701D66D" wp14:editId="2C8BFD79">
          <wp:extent cx="2962275" cy="1219200"/>
          <wp:effectExtent l="0" t="0" r="9525" b="0"/>
          <wp:docPr id="23" name="Picture 23"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98410D" w:rsidRPr="00085457" w:rsidRDefault="0098410D" w:rsidP="00B14793">
    <w:pPr>
      <w:jc w:val="center"/>
      <w:rPr>
        <w:sz w:val="4"/>
        <w:szCs w:val="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77508" w:rsidRPr="00A45145" w:rsidRDefault="00B77508" w:rsidP="00A45145">
    <w:pPr>
      <w:jc w:val="center"/>
    </w:pPr>
    <w:r>
      <w:rPr>
        <w:noProof/>
        <w:lang w:val="en-US" w:eastAsia="ja-JP"/>
      </w:rPr>
      <w:drawing>
        <wp:inline distT="0" distB="0" distL="0" distR="0" wp14:anchorId="3B836A2E" wp14:editId="3B8D401A">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98410D" w:rsidRPr="00085457" w:rsidRDefault="0098410D"/>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4D0EC7" w:rsidRDefault="00B77508" w:rsidP="00217973">
    <w:pPr>
      <w:pStyle w:val="JuHeader"/>
    </w:pPr>
    <w:r>
      <w:rPr>
        <w:rStyle w:val="PageNumber"/>
      </w:rPr>
      <w:fldChar w:fldCharType="begin"/>
    </w:r>
    <w:r>
      <w:rPr>
        <w:rStyle w:val="PageNumber"/>
      </w:rPr>
      <w:instrText xml:space="preserve"> PAGE </w:instrText>
    </w:r>
    <w:r>
      <w:rPr>
        <w:rStyle w:val="PageNumber"/>
      </w:rPr>
      <w:fldChar w:fldCharType="separate"/>
    </w:r>
    <w:r w:rsidR="00DC1A6A">
      <w:rPr>
        <w:rStyle w:val="PageNumber"/>
        <w:noProof/>
      </w:rPr>
      <w:t>8</w:t>
    </w:r>
    <w:r>
      <w:rPr>
        <w:rStyle w:val="PageNumber"/>
      </w:rPr>
      <w:fldChar w:fldCharType="end"/>
    </w:r>
    <w:r w:rsidR="00882CD5" w:rsidRPr="004D0EC7">
      <w:tab/>
    </w:r>
    <w:r>
      <w:t>R.R. AND A.R. v. RUSSIA</w:t>
    </w:r>
    <w:r w:rsidR="00882CD5" w:rsidRPr="004D0EC7">
      <w:t xml:space="preserve"> </w:t>
    </w:r>
    <w:r w:rsidR="008E3A08">
      <w:t>JUDGMENT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882CD5" w:rsidRDefault="00882CD5" w:rsidP="00882CD5">
    <w:pPr>
      <w:pStyle w:val="JuHeader"/>
    </w:pPr>
    <w:r w:rsidRPr="00882CD5">
      <w:tab/>
    </w:r>
    <w:r w:rsidR="00B77508">
      <w:t>R.R. AND A.R. v. RUSSIA</w:t>
    </w:r>
    <w:r w:rsidRPr="00882CD5">
      <w:t xml:space="preserve"> JUDGMENT</w:t>
    </w:r>
    <w:r w:rsidRPr="00882CD5">
      <w:tab/>
    </w:r>
    <w:r w:rsidR="00B77508">
      <w:rPr>
        <w:rStyle w:val="PageNumber"/>
      </w:rPr>
      <w:fldChar w:fldCharType="begin"/>
    </w:r>
    <w:r w:rsidR="00B77508">
      <w:rPr>
        <w:rStyle w:val="PageNumber"/>
      </w:rPr>
      <w:instrText xml:space="preserve"> PAGE </w:instrText>
    </w:r>
    <w:r w:rsidR="00B77508">
      <w:rPr>
        <w:rStyle w:val="PageNumber"/>
      </w:rPr>
      <w:fldChar w:fldCharType="separate"/>
    </w:r>
    <w:r w:rsidR="00DC1A6A">
      <w:rPr>
        <w:rStyle w:val="PageNumber"/>
        <w:noProof/>
      </w:rPr>
      <w:t>1</w:t>
    </w:r>
    <w:r w:rsidR="00B77508">
      <w:rPr>
        <w:rStyle w:val="PageNumber"/>
      </w:rPr>
      <w:fldChar w:fldCharType="end"/>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F18EF" w:rsidRPr="004D0EC7" w:rsidRDefault="004F18EF" w:rsidP="004F18EF">
    <w:pPr>
      <w:pStyle w:val="JuHeader"/>
      <w:tabs>
        <w:tab w:val="clear" w:pos="3686"/>
        <w:tab w:val="clear" w:pos="7371"/>
        <w:tab w:val="center" w:pos="6237"/>
      </w:tabs>
    </w:pPr>
    <w:r>
      <w:rPr>
        <w:rStyle w:val="PageNumber"/>
      </w:rPr>
      <w:fldChar w:fldCharType="begin"/>
    </w:r>
    <w:r>
      <w:rPr>
        <w:rStyle w:val="PageNumber"/>
      </w:rPr>
      <w:instrText xml:space="preserve"> PAGE </w:instrText>
    </w:r>
    <w:r>
      <w:rPr>
        <w:rStyle w:val="PageNumber"/>
      </w:rPr>
      <w:fldChar w:fldCharType="separate"/>
    </w:r>
    <w:r w:rsidR="00DC1A6A">
      <w:rPr>
        <w:rStyle w:val="PageNumber"/>
        <w:noProof/>
      </w:rPr>
      <w:t>12</w:t>
    </w:r>
    <w:r>
      <w:rPr>
        <w:rStyle w:val="PageNumber"/>
      </w:rPr>
      <w:fldChar w:fldCharType="end"/>
    </w:r>
    <w:r w:rsidRPr="004D0EC7">
      <w:tab/>
    </w:r>
    <w:r>
      <w:t>R.R. AND A.R. v. RUSSIA</w:t>
    </w:r>
    <w:r w:rsidRPr="004D0EC7">
      <w:t xml:space="preserve"> </w:t>
    </w:r>
    <w:r>
      <w:t>JUDGMENT</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97BB6" w:rsidRPr="00882CD5" w:rsidRDefault="00397BB6" w:rsidP="00F62B03">
    <w:pPr>
      <w:pStyle w:val="JuHeaderLandscape"/>
    </w:pPr>
    <w:r w:rsidRPr="00882CD5">
      <w:tab/>
    </w:r>
    <w:r>
      <w:t>R.R. AND A.R. v. RUSSIA</w:t>
    </w:r>
    <w:r w:rsidRPr="00882CD5">
      <w:t xml:space="preserve"> JUDGMENT</w:t>
    </w:r>
    <w:r w:rsidRPr="00882CD5">
      <w:tab/>
    </w:r>
    <w:r>
      <w:rPr>
        <w:rStyle w:val="PageNumber"/>
      </w:rPr>
      <w:fldChar w:fldCharType="begin"/>
    </w:r>
    <w:r>
      <w:rPr>
        <w:rStyle w:val="PageNumber"/>
      </w:rPr>
      <w:instrText xml:space="preserve"> PAGE </w:instrText>
    </w:r>
    <w:r>
      <w:rPr>
        <w:rStyle w:val="PageNumber"/>
      </w:rPr>
      <w:fldChar w:fldCharType="separate"/>
    </w:r>
    <w:r w:rsidR="00DC1A6A">
      <w:rPr>
        <w:rStyle w:val="PageNumber"/>
        <w:noProof/>
      </w:rPr>
      <w:t>11</w:t>
    </w:r>
    <w:r>
      <w:rPr>
        <w:rStyle w:val="PageNumber"/>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0">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nsid w:val="27D5546B"/>
    <w:multiLevelType w:val="multilevel"/>
    <w:tmpl w:val="BD4225D2"/>
    <w:styleLink w:val="ECHRA1StyleList"/>
    <w:lvl w:ilvl="0">
      <w:start w:val="1"/>
      <w:numFmt w:val="decimal"/>
      <w:lvlText w:val="%1."/>
      <w:lvlJc w:val="left"/>
      <w:pPr>
        <w:tabs>
          <w:tab w:val="num" w:pos="397"/>
        </w:tabs>
        <w:ind w:left="397" w:hanging="397"/>
      </w:pPr>
      <w:rPr>
        <w:rFonts w:hint="default"/>
      </w:rPr>
    </w:lvl>
    <w:lvl w:ilvl="1">
      <w:start w:val="1"/>
      <w:numFmt w:val="lowerLetter"/>
      <w:lvlText w:val="%2."/>
      <w:lvlJc w:val="left"/>
      <w:pPr>
        <w:tabs>
          <w:tab w:val="num" w:pos="794"/>
        </w:tabs>
        <w:ind w:left="794" w:hanging="397"/>
      </w:pPr>
      <w:rPr>
        <w:rFonts w:hint="default"/>
      </w:rPr>
    </w:lvl>
    <w:lvl w:ilvl="2">
      <w:start w:val="1"/>
      <w:numFmt w:val="lowerRoman"/>
      <w:lvlText w:val="%3."/>
      <w:lvlJc w:val="left"/>
      <w:pPr>
        <w:tabs>
          <w:tab w:val="num" w:pos="1191"/>
        </w:tabs>
        <w:ind w:left="1191" w:hanging="397"/>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nsid w:val="285E6A40"/>
    <w:multiLevelType w:val="multilevel"/>
    <w:tmpl w:val="84A2DB16"/>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lvlText w:val="(%3)"/>
      <w:lvlJc w:val="left"/>
      <w:pPr>
        <w:tabs>
          <w:tab w:val="num" w:pos="1134"/>
        </w:tabs>
        <w:ind w:left="1134" w:hanging="454"/>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none"/>
      <w:lvlText w:val=""/>
      <w:lvlJc w:val="left"/>
      <w:pPr>
        <w:ind w:left="2517" w:hanging="345"/>
      </w:pPr>
      <w:rPr>
        <w:rFonts w:ascii="Symbol" w:hAnsi="Symbol" w:hint="default"/>
        <w:sz w:val="2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nsid w:val="4989571C"/>
    <w:multiLevelType w:val="multilevel"/>
    <w:tmpl w:val="F842BC8C"/>
    <w:styleLink w:val="ECHRA1StyleBulletedSquare"/>
    <w:lvl w:ilvl="0">
      <w:start w:val="1"/>
      <w:numFmt w:val="bullet"/>
      <w:lvlText w:val=""/>
      <w:lvlJc w:val="left"/>
      <w:pPr>
        <w:tabs>
          <w:tab w:val="num" w:pos="851"/>
        </w:tabs>
        <w:ind w:left="851" w:hanging="284"/>
      </w:pPr>
      <w:rPr>
        <w:rFonts w:ascii="Wingdings" w:hAnsi="Wingdings" w:hint="default"/>
        <w:color w:val="0072BC" w:themeColor="background1"/>
      </w:rPr>
    </w:lvl>
    <w:lvl w:ilvl="1">
      <w:start w:val="1"/>
      <w:numFmt w:val="bullet"/>
      <w:lvlText w:val=""/>
      <w:lvlJc w:val="left"/>
      <w:pPr>
        <w:tabs>
          <w:tab w:val="num" w:pos="1134"/>
        </w:tabs>
        <w:ind w:left="1135" w:hanging="284"/>
      </w:pPr>
      <w:rPr>
        <w:rFonts w:ascii="Wingdings" w:hAnsi="Wingdings" w:hint="default"/>
        <w:color w:val="0072BC" w:themeColor="background1"/>
      </w:rPr>
    </w:lvl>
    <w:lvl w:ilvl="2">
      <w:start w:val="1"/>
      <w:numFmt w:val="bullet"/>
      <w:lvlText w:val=""/>
      <w:lvlJc w:val="left"/>
      <w:pPr>
        <w:tabs>
          <w:tab w:val="num" w:pos="1418"/>
        </w:tabs>
        <w:ind w:left="1419" w:hanging="284"/>
      </w:pPr>
      <w:rPr>
        <w:rFonts w:ascii="Wingdings" w:hAnsi="Wingdings" w:hint="default"/>
        <w:color w:val="7F7F7F" w:themeColor="text1" w:themeTint="80"/>
      </w:rPr>
    </w:lvl>
    <w:lvl w:ilvl="3">
      <w:start w:val="1"/>
      <w:numFmt w:val="bullet"/>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5">
    <w:nsid w:val="5032512D"/>
    <w:multiLevelType w:val="multilevel"/>
    <w:tmpl w:val="9B34AC6C"/>
    <w:styleLink w:val="ECHRA1StyleNumberedList"/>
    <w:lvl w:ilvl="0">
      <w:start w:val="1"/>
      <w:numFmt w:val="decimal"/>
      <w:lvlText w:val="%1."/>
      <w:lvlJc w:val="left"/>
      <w:pPr>
        <w:tabs>
          <w:tab w:val="num" w:pos="964"/>
        </w:tabs>
        <w:ind w:left="964" w:hanging="397"/>
      </w:pPr>
      <w:rPr>
        <w:rFonts w:hint="default"/>
      </w:rPr>
    </w:lvl>
    <w:lvl w:ilvl="1">
      <w:start w:val="1"/>
      <w:numFmt w:val="lowerLetter"/>
      <w:lvlText w:val="%2."/>
      <w:lvlJc w:val="left"/>
      <w:pPr>
        <w:tabs>
          <w:tab w:val="num" w:pos="1361"/>
        </w:tabs>
        <w:ind w:left="1361" w:hanging="397"/>
      </w:pPr>
      <w:rPr>
        <w:rFonts w:hint="default"/>
      </w:rPr>
    </w:lvl>
    <w:lvl w:ilvl="2">
      <w:start w:val="1"/>
      <w:numFmt w:val="lowerRoman"/>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6">
    <w:nsid w:val="514C23F7"/>
    <w:multiLevelType w:val="hybridMultilevel"/>
    <w:tmpl w:val="84CE6FB2"/>
    <w:lvl w:ilvl="0" w:tplc="04090015">
      <w:start w:val="1"/>
      <w:numFmt w:val="upperLetter"/>
      <w:lvlText w:val="%1."/>
      <w:lvlJc w:val="left"/>
      <w:pPr>
        <w:ind w:left="952" w:hanging="360"/>
      </w:pPr>
    </w:lvl>
    <w:lvl w:ilvl="1" w:tplc="04090019" w:tentative="1">
      <w:start w:val="1"/>
      <w:numFmt w:val="lowerLetter"/>
      <w:lvlText w:val="%2."/>
      <w:lvlJc w:val="left"/>
      <w:pPr>
        <w:ind w:left="1672" w:hanging="360"/>
      </w:pPr>
    </w:lvl>
    <w:lvl w:ilvl="2" w:tplc="0409001B" w:tentative="1">
      <w:start w:val="1"/>
      <w:numFmt w:val="lowerRoman"/>
      <w:lvlText w:val="%3."/>
      <w:lvlJc w:val="right"/>
      <w:pPr>
        <w:ind w:left="2392" w:hanging="180"/>
      </w:pPr>
    </w:lvl>
    <w:lvl w:ilvl="3" w:tplc="0409000F" w:tentative="1">
      <w:start w:val="1"/>
      <w:numFmt w:val="decimal"/>
      <w:lvlText w:val="%4."/>
      <w:lvlJc w:val="left"/>
      <w:pPr>
        <w:ind w:left="3112" w:hanging="360"/>
      </w:pPr>
    </w:lvl>
    <w:lvl w:ilvl="4" w:tplc="04090019" w:tentative="1">
      <w:start w:val="1"/>
      <w:numFmt w:val="lowerLetter"/>
      <w:lvlText w:val="%5."/>
      <w:lvlJc w:val="left"/>
      <w:pPr>
        <w:ind w:left="3832" w:hanging="360"/>
      </w:pPr>
    </w:lvl>
    <w:lvl w:ilvl="5" w:tplc="0409001B" w:tentative="1">
      <w:start w:val="1"/>
      <w:numFmt w:val="lowerRoman"/>
      <w:lvlText w:val="%6."/>
      <w:lvlJc w:val="right"/>
      <w:pPr>
        <w:ind w:left="4552" w:hanging="180"/>
      </w:pPr>
    </w:lvl>
    <w:lvl w:ilvl="6" w:tplc="0409000F" w:tentative="1">
      <w:start w:val="1"/>
      <w:numFmt w:val="decimal"/>
      <w:lvlText w:val="%7."/>
      <w:lvlJc w:val="left"/>
      <w:pPr>
        <w:ind w:left="5272" w:hanging="360"/>
      </w:pPr>
    </w:lvl>
    <w:lvl w:ilvl="7" w:tplc="04090019" w:tentative="1">
      <w:start w:val="1"/>
      <w:numFmt w:val="lowerLetter"/>
      <w:lvlText w:val="%8."/>
      <w:lvlJc w:val="left"/>
      <w:pPr>
        <w:ind w:left="5992" w:hanging="360"/>
      </w:pPr>
    </w:lvl>
    <w:lvl w:ilvl="8" w:tplc="0409001B" w:tentative="1">
      <w:start w:val="1"/>
      <w:numFmt w:val="lowerRoman"/>
      <w:lvlText w:val="%9."/>
      <w:lvlJc w:val="right"/>
      <w:pPr>
        <w:ind w:left="6712" w:hanging="180"/>
      </w:pPr>
    </w:lvl>
  </w:abstractNum>
  <w:abstractNum w:abstractNumId="17">
    <w:nsid w:val="56B9429C"/>
    <w:multiLevelType w:val="multilevel"/>
    <w:tmpl w:val="B7886602"/>
    <w:lvl w:ilvl="0">
      <w:start w:val="1"/>
      <w:numFmt w:val="none"/>
      <w:pStyle w:val="JuHHead"/>
      <w:suff w:val="nothing"/>
      <w:lvlText w:val=""/>
      <w:lvlJc w:val="left"/>
      <w:pPr>
        <w:ind w:left="0" w:firstLine="0"/>
      </w:pPr>
      <w:rPr>
        <w:rFonts w:hint="default"/>
      </w:rPr>
    </w:lvl>
    <w:lvl w:ilvl="1">
      <w:start w:val="1"/>
      <w:numFmt w:val="upperRoman"/>
      <w:pStyle w:val="JuHIRoman"/>
      <w:suff w:val="space"/>
      <w:lvlText w:val="%2."/>
      <w:lvlJc w:val="left"/>
      <w:pPr>
        <w:ind w:left="357" w:hanging="357"/>
      </w:pPr>
      <w:rPr>
        <w:rFonts w:hint="default"/>
        <w:sz w:val="24"/>
      </w:rPr>
    </w:lvl>
    <w:lvl w:ilvl="2">
      <w:start w:val="1"/>
      <w:numFmt w:val="upperLetter"/>
      <w:pStyle w:val="JuHA"/>
      <w:lvlText w:val="%3."/>
      <w:lvlJc w:val="left"/>
      <w:pPr>
        <w:ind w:left="584" w:hanging="352"/>
      </w:pPr>
      <w:rPr>
        <w:rFonts w:hint="default"/>
      </w:rPr>
    </w:lvl>
    <w:lvl w:ilvl="3">
      <w:start w:val="1"/>
      <w:numFmt w:val="decimal"/>
      <w:pStyle w:val="JuH1"/>
      <w:lvlText w:val="%4."/>
      <w:lvlJc w:val="left"/>
      <w:pPr>
        <w:ind w:left="731" w:hanging="300"/>
      </w:pPr>
      <w:rPr>
        <w:rFonts w:hint="default"/>
      </w:rPr>
    </w:lvl>
    <w:lvl w:ilvl="4">
      <w:start w:val="1"/>
      <w:numFmt w:val="lowerLetter"/>
      <w:pStyle w:val="JuHa0"/>
      <w:lvlText w:val="(%5)"/>
      <w:lvlJc w:val="left"/>
      <w:pPr>
        <w:ind w:left="975" w:hanging="340"/>
      </w:pPr>
      <w:rPr>
        <w:rFonts w:hint="default"/>
      </w:rPr>
    </w:lvl>
    <w:lvl w:ilvl="5">
      <w:start w:val="1"/>
      <w:numFmt w:val="lowerRoman"/>
      <w:pStyle w:val="JuHi"/>
      <w:suff w:val="space"/>
      <w:lvlText w:val="(%6)"/>
      <w:lvlJc w:val="left"/>
      <w:pPr>
        <w:ind w:left="1191" w:hanging="358"/>
      </w:pPr>
      <w:rPr>
        <w:rFonts w:hint="default"/>
      </w:rPr>
    </w:lvl>
    <w:lvl w:ilvl="6">
      <w:start w:val="1"/>
      <w:numFmt w:val="lowerLetter"/>
      <w:pStyle w:val="JuHalpha"/>
      <w:lvlText w:val="(%7)"/>
      <w:lvlJc w:val="left"/>
      <w:pPr>
        <w:ind w:left="1372" w:hanging="334"/>
      </w:pPr>
      <w:rPr>
        <w:rFonts w:ascii="Symbol" w:hAnsi="Symbol" w:hint="default"/>
        <w:sz w:val="20"/>
      </w:rPr>
    </w:lvl>
    <w:lvl w:ilvl="7">
      <w:start w:val="1"/>
      <w:numFmt w:val="bullet"/>
      <w:pStyle w:val="JuH"/>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abstractNum w:abstractNumId="18">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num w:numId="1">
    <w:abstractNumId w:val="17"/>
  </w:num>
  <w:num w:numId="2">
    <w:abstractNumId w:val="12"/>
  </w:num>
  <w:num w:numId="3">
    <w:abstractNumId w:val="13"/>
  </w:num>
  <w:num w:numId="4">
    <w:abstractNumId w:val="10"/>
  </w:num>
  <w:num w:numId="5">
    <w:abstractNumId w:val="9"/>
  </w:num>
  <w:num w:numId="6">
    <w:abstractNumId w:val="14"/>
  </w:num>
  <w:num w:numId="7">
    <w:abstractNumId w:val="11"/>
  </w:num>
  <w:num w:numId="8">
    <w:abstractNumId w:val="15"/>
  </w:num>
  <w:num w:numId="9">
    <w:abstractNumId w:val="18"/>
  </w:num>
  <w:num w:numId="10">
    <w:abstractNumId w:val="7"/>
  </w:num>
  <w:num w:numId="11">
    <w:abstractNumId w:val="6"/>
  </w:num>
  <w:num w:numId="12">
    <w:abstractNumId w:val="5"/>
  </w:num>
  <w:num w:numId="13">
    <w:abstractNumId w:val="4"/>
  </w:num>
  <w:num w:numId="14">
    <w:abstractNumId w:val="8"/>
  </w:num>
  <w:num w:numId="15">
    <w:abstractNumId w:val="3"/>
  </w:num>
  <w:num w:numId="16">
    <w:abstractNumId w:val="2"/>
  </w:num>
  <w:num w:numId="17">
    <w:abstractNumId w:val="1"/>
  </w:num>
  <w:num w:numId="18">
    <w:abstractNumId w:val="0"/>
  </w:num>
  <w:num w:numId="19">
    <w:abstractNumId w:val="16"/>
  </w:num>
  <w:num w:numId="20">
    <w:abstractNumId w:val="17"/>
  </w:num>
  <w:num w:numId="21">
    <w:abstractNumId w:val="17"/>
  </w:num>
  <w:num w:numId="22">
    <w:abstractNumId w:val="17"/>
  </w:num>
  <w:num w:numId="23">
    <w:abstractNumId w:val="17"/>
  </w:num>
  <w:num w:numId="24">
    <w:abstractNumId w:val="17"/>
  </w:num>
  <w:num w:numId="25">
    <w:abstractNumId w:val="17"/>
  </w:num>
  <w:num w:numId="26">
    <w:abstractNumId w:val="17"/>
  </w:num>
  <w:num w:numId="27">
    <w:abstractNumId w:val="17"/>
  </w:num>
  <w:num w:numId="28">
    <w:abstractNumId w:val="12"/>
  </w:num>
  <w:num w:numId="29">
    <w:abstractNumId w:val="12"/>
  </w:num>
  <w:num w:numId="30">
    <w:abstractNumId w:val="12"/>
  </w:num>
  <w:num w:numId="31">
    <w:abstractNumId w:val="13"/>
  </w:num>
  <w:num w:numId="32">
    <w:abstractNumId w:val="10"/>
  </w:num>
  <w:num w:numId="33">
    <w:abstractNumId w:val="9"/>
  </w:num>
  <w:num w:numId="34">
    <w:abstractNumId w:val="14"/>
  </w:num>
  <w:num w:numId="35">
    <w:abstractNumId w:val="11"/>
  </w:num>
  <w:num w:numId="36">
    <w:abstractNumId w:val="15"/>
  </w:num>
  <w:num w:numId="37">
    <w:abstractNumId w:val="18"/>
  </w:num>
  <w:num w:numId="38">
    <w:abstractNumId w:val="7"/>
  </w:num>
  <w:num w:numId="39">
    <w:abstractNumId w:val="6"/>
  </w:num>
  <w:num w:numId="40">
    <w:abstractNumId w:val="5"/>
  </w:num>
  <w:num w:numId="41">
    <w:abstractNumId w:val="4"/>
  </w:num>
  <w:num w:numId="42">
    <w:abstractNumId w:val="8"/>
  </w:num>
  <w:num w:numId="43">
    <w:abstractNumId w:val="3"/>
  </w:num>
  <w:num w:numId="44">
    <w:abstractNumId w:val="2"/>
  </w:num>
  <w:num w:numId="45">
    <w:abstractNumId w:val="1"/>
  </w:num>
  <w:num w:numId="46">
    <w:abstractNumId w:val="0"/>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hdrShapeDefaults>
    <o:shapedefaults v:ext="edit" spidmax="12289"/>
  </w:hdrShapeDefault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licationsApp" w:val="2"/>
    <w:docVar w:name="EMM" w:val="0"/>
    <w:docVar w:name="NBEMMDOC" w:val="0"/>
  </w:docVars>
  <w:rsids>
    <w:rsidRoot w:val="00B77508"/>
    <w:rsid w:val="000041F8"/>
    <w:rsid w:val="000042A8"/>
    <w:rsid w:val="00004308"/>
    <w:rsid w:val="00005BF0"/>
    <w:rsid w:val="00007154"/>
    <w:rsid w:val="000103AE"/>
    <w:rsid w:val="00011D69"/>
    <w:rsid w:val="00012AD3"/>
    <w:rsid w:val="00015C2D"/>
    <w:rsid w:val="00015F00"/>
    <w:rsid w:val="00022C1D"/>
    <w:rsid w:val="00034987"/>
    <w:rsid w:val="00041560"/>
    <w:rsid w:val="000602DF"/>
    <w:rsid w:val="00061B05"/>
    <w:rsid w:val="000632D5"/>
    <w:rsid w:val="000644EE"/>
    <w:rsid w:val="00085457"/>
    <w:rsid w:val="000925AD"/>
    <w:rsid w:val="00096FE1"/>
    <w:rsid w:val="00097A62"/>
    <w:rsid w:val="000A24EB"/>
    <w:rsid w:val="000B686A"/>
    <w:rsid w:val="000B6923"/>
    <w:rsid w:val="000B7195"/>
    <w:rsid w:val="000C5F3C"/>
    <w:rsid w:val="000C6DCC"/>
    <w:rsid w:val="000D47AA"/>
    <w:rsid w:val="000D721F"/>
    <w:rsid w:val="000E069B"/>
    <w:rsid w:val="000E0E82"/>
    <w:rsid w:val="000E1DC5"/>
    <w:rsid w:val="000E223F"/>
    <w:rsid w:val="000E46B8"/>
    <w:rsid w:val="000E7D45"/>
    <w:rsid w:val="000F7851"/>
    <w:rsid w:val="00101505"/>
    <w:rsid w:val="00104E23"/>
    <w:rsid w:val="00110DA8"/>
    <w:rsid w:val="00111B0C"/>
    <w:rsid w:val="00120D6C"/>
    <w:rsid w:val="001257EC"/>
    <w:rsid w:val="00133D33"/>
    <w:rsid w:val="00134B6A"/>
    <w:rsid w:val="00134D64"/>
    <w:rsid w:val="00135A30"/>
    <w:rsid w:val="0013612C"/>
    <w:rsid w:val="00137FF6"/>
    <w:rsid w:val="00141650"/>
    <w:rsid w:val="001561B6"/>
    <w:rsid w:val="00162A12"/>
    <w:rsid w:val="00166530"/>
    <w:rsid w:val="00170027"/>
    <w:rsid w:val="001832BD"/>
    <w:rsid w:val="001943B5"/>
    <w:rsid w:val="00195134"/>
    <w:rsid w:val="001A145B"/>
    <w:rsid w:val="001A674C"/>
    <w:rsid w:val="001B3B24"/>
    <w:rsid w:val="001C055B"/>
    <w:rsid w:val="001C0F98"/>
    <w:rsid w:val="001C2A42"/>
    <w:rsid w:val="001D63ED"/>
    <w:rsid w:val="001D7348"/>
    <w:rsid w:val="001E035B"/>
    <w:rsid w:val="001E0961"/>
    <w:rsid w:val="001E3EAE"/>
    <w:rsid w:val="001E6857"/>
    <w:rsid w:val="001E6F32"/>
    <w:rsid w:val="001F2145"/>
    <w:rsid w:val="001F6262"/>
    <w:rsid w:val="001F67B0"/>
    <w:rsid w:val="001F7B3D"/>
    <w:rsid w:val="0020335A"/>
    <w:rsid w:val="002052BC"/>
    <w:rsid w:val="00205F9F"/>
    <w:rsid w:val="00210338"/>
    <w:rsid w:val="002115FC"/>
    <w:rsid w:val="0021423C"/>
    <w:rsid w:val="00217973"/>
    <w:rsid w:val="00230D00"/>
    <w:rsid w:val="00231DF7"/>
    <w:rsid w:val="00231FD1"/>
    <w:rsid w:val="002339E0"/>
    <w:rsid w:val="00233CF8"/>
    <w:rsid w:val="0023575D"/>
    <w:rsid w:val="00237148"/>
    <w:rsid w:val="0024222D"/>
    <w:rsid w:val="002422B6"/>
    <w:rsid w:val="00244B0E"/>
    <w:rsid w:val="00244F6C"/>
    <w:rsid w:val="00246B89"/>
    <w:rsid w:val="00252C4E"/>
    <w:rsid w:val="002532C5"/>
    <w:rsid w:val="00254DF2"/>
    <w:rsid w:val="00260C03"/>
    <w:rsid w:val="0026540E"/>
    <w:rsid w:val="00275123"/>
    <w:rsid w:val="00282240"/>
    <w:rsid w:val="00287AD5"/>
    <w:rsid w:val="002934D0"/>
    <w:rsid w:val="00293676"/>
    <w:rsid w:val="002948AD"/>
    <w:rsid w:val="002A01CC"/>
    <w:rsid w:val="002A613A"/>
    <w:rsid w:val="002A61B1"/>
    <w:rsid w:val="002A663C"/>
    <w:rsid w:val="002B444B"/>
    <w:rsid w:val="002B5887"/>
    <w:rsid w:val="002C0E27"/>
    <w:rsid w:val="002C3040"/>
    <w:rsid w:val="002C4433"/>
    <w:rsid w:val="002C7826"/>
    <w:rsid w:val="002D022D"/>
    <w:rsid w:val="002D24BB"/>
    <w:rsid w:val="002D2FA7"/>
    <w:rsid w:val="002D47BA"/>
    <w:rsid w:val="002D57A7"/>
    <w:rsid w:val="002D77B9"/>
    <w:rsid w:val="002E46DA"/>
    <w:rsid w:val="002F2AF7"/>
    <w:rsid w:val="002F69C4"/>
    <w:rsid w:val="002F7D9E"/>
    <w:rsid w:val="002F7E1C"/>
    <w:rsid w:val="00301A75"/>
    <w:rsid w:val="00302F70"/>
    <w:rsid w:val="0030336F"/>
    <w:rsid w:val="0030375E"/>
    <w:rsid w:val="00312A30"/>
    <w:rsid w:val="00320F72"/>
    <w:rsid w:val="0032463E"/>
    <w:rsid w:val="00326224"/>
    <w:rsid w:val="00337EE4"/>
    <w:rsid w:val="00340FFD"/>
    <w:rsid w:val="00343C99"/>
    <w:rsid w:val="00345C41"/>
    <w:rsid w:val="003506B1"/>
    <w:rsid w:val="00355877"/>
    <w:rsid w:val="0035602B"/>
    <w:rsid w:val="00356AC7"/>
    <w:rsid w:val="003609FA"/>
    <w:rsid w:val="003710C8"/>
    <w:rsid w:val="003750BE"/>
    <w:rsid w:val="00375A6B"/>
    <w:rsid w:val="00385A36"/>
    <w:rsid w:val="00385F3D"/>
    <w:rsid w:val="00387B9D"/>
    <w:rsid w:val="00390294"/>
    <w:rsid w:val="0039364F"/>
    <w:rsid w:val="00396686"/>
    <w:rsid w:val="0039778E"/>
    <w:rsid w:val="00397BB6"/>
    <w:rsid w:val="003B4941"/>
    <w:rsid w:val="003C5714"/>
    <w:rsid w:val="003C6B9F"/>
    <w:rsid w:val="003C6E2A"/>
    <w:rsid w:val="003D0299"/>
    <w:rsid w:val="003E6D80"/>
    <w:rsid w:val="003F05FA"/>
    <w:rsid w:val="003F244A"/>
    <w:rsid w:val="003F2517"/>
    <w:rsid w:val="003F30B8"/>
    <w:rsid w:val="003F4C45"/>
    <w:rsid w:val="003F5F7B"/>
    <w:rsid w:val="003F7D64"/>
    <w:rsid w:val="0040433A"/>
    <w:rsid w:val="00414300"/>
    <w:rsid w:val="00414F27"/>
    <w:rsid w:val="00420703"/>
    <w:rsid w:val="00425C67"/>
    <w:rsid w:val="00427E7A"/>
    <w:rsid w:val="004355AC"/>
    <w:rsid w:val="00436C49"/>
    <w:rsid w:val="00443D98"/>
    <w:rsid w:val="00445366"/>
    <w:rsid w:val="00447F5B"/>
    <w:rsid w:val="00461DB0"/>
    <w:rsid w:val="00463926"/>
    <w:rsid w:val="00464C9A"/>
    <w:rsid w:val="00474F3D"/>
    <w:rsid w:val="00477E3A"/>
    <w:rsid w:val="00483E5F"/>
    <w:rsid w:val="00485FF9"/>
    <w:rsid w:val="004907F0"/>
    <w:rsid w:val="0049140B"/>
    <w:rsid w:val="004923A5"/>
    <w:rsid w:val="0049310E"/>
    <w:rsid w:val="00496BFB"/>
    <w:rsid w:val="004A15C7"/>
    <w:rsid w:val="004B013B"/>
    <w:rsid w:val="004B112B"/>
    <w:rsid w:val="004B444E"/>
    <w:rsid w:val="004C01E4"/>
    <w:rsid w:val="004C086C"/>
    <w:rsid w:val="004C1F56"/>
    <w:rsid w:val="004C27BC"/>
    <w:rsid w:val="004C6621"/>
    <w:rsid w:val="004D0EC7"/>
    <w:rsid w:val="004D15F3"/>
    <w:rsid w:val="004D4EF1"/>
    <w:rsid w:val="004D5311"/>
    <w:rsid w:val="004D5DCC"/>
    <w:rsid w:val="004D7E45"/>
    <w:rsid w:val="004F10AF"/>
    <w:rsid w:val="004F11A4"/>
    <w:rsid w:val="004F18EF"/>
    <w:rsid w:val="004F2389"/>
    <w:rsid w:val="004F304D"/>
    <w:rsid w:val="004F61BE"/>
    <w:rsid w:val="004F66B1"/>
    <w:rsid w:val="004F7ABB"/>
    <w:rsid w:val="00511C07"/>
    <w:rsid w:val="005125CB"/>
    <w:rsid w:val="00512EC4"/>
    <w:rsid w:val="0051725A"/>
    <w:rsid w:val="005173A6"/>
    <w:rsid w:val="00520354"/>
    <w:rsid w:val="00520BAA"/>
    <w:rsid w:val="005217D8"/>
    <w:rsid w:val="00525208"/>
    <w:rsid w:val="005257A5"/>
    <w:rsid w:val="005264C0"/>
    <w:rsid w:val="00526A8A"/>
    <w:rsid w:val="00530FE6"/>
    <w:rsid w:val="00531DF2"/>
    <w:rsid w:val="0053315C"/>
    <w:rsid w:val="00537476"/>
    <w:rsid w:val="005442EE"/>
    <w:rsid w:val="00545DA6"/>
    <w:rsid w:val="00547353"/>
    <w:rsid w:val="005474E7"/>
    <w:rsid w:val="005512A3"/>
    <w:rsid w:val="005578CE"/>
    <w:rsid w:val="00562781"/>
    <w:rsid w:val="00562B6C"/>
    <w:rsid w:val="0057271C"/>
    <w:rsid w:val="00572845"/>
    <w:rsid w:val="005879A2"/>
    <w:rsid w:val="00592772"/>
    <w:rsid w:val="0059574A"/>
    <w:rsid w:val="005A1B9B"/>
    <w:rsid w:val="005A2E79"/>
    <w:rsid w:val="005A6751"/>
    <w:rsid w:val="005B092E"/>
    <w:rsid w:val="005B152C"/>
    <w:rsid w:val="005B1EE0"/>
    <w:rsid w:val="005B2B24"/>
    <w:rsid w:val="005B4425"/>
    <w:rsid w:val="005B4B94"/>
    <w:rsid w:val="005C3EE8"/>
    <w:rsid w:val="005D34F9"/>
    <w:rsid w:val="005D4190"/>
    <w:rsid w:val="005D67A3"/>
    <w:rsid w:val="005E2988"/>
    <w:rsid w:val="005E3085"/>
    <w:rsid w:val="005E310E"/>
    <w:rsid w:val="005F51E1"/>
    <w:rsid w:val="00611C80"/>
    <w:rsid w:val="00620692"/>
    <w:rsid w:val="006242CA"/>
    <w:rsid w:val="00627507"/>
    <w:rsid w:val="00633717"/>
    <w:rsid w:val="006344E1"/>
    <w:rsid w:val="00643524"/>
    <w:rsid w:val="0064393B"/>
    <w:rsid w:val="006545C4"/>
    <w:rsid w:val="00661971"/>
    <w:rsid w:val="00661CE8"/>
    <w:rsid w:val="006623D9"/>
    <w:rsid w:val="006642A5"/>
    <w:rsid w:val="0066550C"/>
    <w:rsid w:val="00665BD2"/>
    <w:rsid w:val="006716F2"/>
    <w:rsid w:val="00682BF2"/>
    <w:rsid w:val="0068573E"/>
    <w:rsid w:val="006859CE"/>
    <w:rsid w:val="00691270"/>
    <w:rsid w:val="00694BA8"/>
    <w:rsid w:val="006A037C"/>
    <w:rsid w:val="006A36F4"/>
    <w:rsid w:val="006A406F"/>
    <w:rsid w:val="006A5D3A"/>
    <w:rsid w:val="006C23D4"/>
    <w:rsid w:val="006C7BB0"/>
    <w:rsid w:val="006D3237"/>
    <w:rsid w:val="006E2E37"/>
    <w:rsid w:val="006E3CF1"/>
    <w:rsid w:val="006E7E80"/>
    <w:rsid w:val="006F48CA"/>
    <w:rsid w:val="006F64DD"/>
    <w:rsid w:val="006F712D"/>
    <w:rsid w:val="00700C2B"/>
    <w:rsid w:val="00715127"/>
    <w:rsid w:val="00715E8E"/>
    <w:rsid w:val="00723580"/>
    <w:rsid w:val="00723755"/>
    <w:rsid w:val="0073136C"/>
    <w:rsid w:val="00731F0F"/>
    <w:rsid w:val="00733250"/>
    <w:rsid w:val="00741404"/>
    <w:rsid w:val="007449E5"/>
    <w:rsid w:val="0074750E"/>
    <w:rsid w:val="00747FF0"/>
    <w:rsid w:val="00763602"/>
    <w:rsid w:val="00764D4E"/>
    <w:rsid w:val="00765A1F"/>
    <w:rsid w:val="00771922"/>
    <w:rsid w:val="00775B6D"/>
    <w:rsid w:val="00776D68"/>
    <w:rsid w:val="0078323E"/>
    <w:rsid w:val="007850EE"/>
    <w:rsid w:val="00785B95"/>
    <w:rsid w:val="00790E96"/>
    <w:rsid w:val="00793366"/>
    <w:rsid w:val="007A716F"/>
    <w:rsid w:val="007B270A"/>
    <w:rsid w:val="007B4182"/>
    <w:rsid w:val="007C0695"/>
    <w:rsid w:val="007C419A"/>
    <w:rsid w:val="007C4CC8"/>
    <w:rsid w:val="007C5426"/>
    <w:rsid w:val="007C5798"/>
    <w:rsid w:val="007D1ECD"/>
    <w:rsid w:val="007D4832"/>
    <w:rsid w:val="007E21B2"/>
    <w:rsid w:val="007E2C4E"/>
    <w:rsid w:val="007E2C8C"/>
    <w:rsid w:val="007E51BA"/>
    <w:rsid w:val="007E73D7"/>
    <w:rsid w:val="007F1905"/>
    <w:rsid w:val="007F27E4"/>
    <w:rsid w:val="007F3437"/>
    <w:rsid w:val="00802C64"/>
    <w:rsid w:val="00805E52"/>
    <w:rsid w:val="00805FFB"/>
    <w:rsid w:val="008061D0"/>
    <w:rsid w:val="00810B38"/>
    <w:rsid w:val="008204C7"/>
    <w:rsid w:val="00820992"/>
    <w:rsid w:val="00823602"/>
    <w:rsid w:val="008255F5"/>
    <w:rsid w:val="0083014E"/>
    <w:rsid w:val="0083214A"/>
    <w:rsid w:val="00834220"/>
    <w:rsid w:val="00840B38"/>
    <w:rsid w:val="00845723"/>
    <w:rsid w:val="008519E7"/>
    <w:rsid w:val="00851EF9"/>
    <w:rsid w:val="008577FD"/>
    <w:rsid w:val="00860B03"/>
    <w:rsid w:val="0086497A"/>
    <w:rsid w:val="00867066"/>
    <w:rsid w:val="008713A1"/>
    <w:rsid w:val="00872584"/>
    <w:rsid w:val="008754AB"/>
    <w:rsid w:val="0088060C"/>
    <w:rsid w:val="00882CD5"/>
    <w:rsid w:val="00883151"/>
    <w:rsid w:val="00893576"/>
    <w:rsid w:val="00893E73"/>
    <w:rsid w:val="008B02DC"/>
    <w:rsid w:val="008B57CE"/>
    <w:rsid w:val="008C26DE"/>
    <w:rsid w:val="008D2225"/>
    <w:rsid w:val="008D4752"/>
    <w:rsid w:val="008D5A13"/>
    <w:rsid w:val="008E271C"/>
    <w:rsid w:val="008E3A08"/>
    <w:rsid w:val="008E418E"/>
    <w:rsid w:val="008E5BC6"/>
    <w:rsid w:val="008E6217"/>
    <w:rsid w:val="008E6A25"/>
    <w:rsid w:val="008F2554"/>
    <w:rsid w:val="008F3AEC"/>
    <w:rsid w:val="008F4D80"/>
    <w:rsid w:val="008F5193"/>
    <w:rsid w:val="008F6B36"/>
    <w:rsid w:val="009013A7"/>
    <w:rsid w:val="009017FB"/>
    <w:rsid w:val="009017FC"/>
    <w:rsid w:val="0090506B"/>
    <w:rsid w:val="009050C9"/>
    <w:rsid w:val="009066FC"/>
    <w:rsid w:val="009140A3"/>
    <w:rsid w:val="009144A2"/>
    <w:rsid w:val="0091510C"/>
    <w:rsid w:val="009259AC"/>
    <w:rsid w:val="00926F38"/>
    <w:rsid w:val="00927BEB"/>
    <w:rsid w:val="00934301"/>
    <w:rsid w:val="00936CD1"/>
    <w:rsid w:val="00941747"/>
    <w:rsid w:val="00941EFB"/>
    <w:rsid w:val="00947AFB"/>
    <w:rsid w:val="00951AA3"/>
    <w:rsid w:val="00951D7D"/>
    <w:rsid w:val="0095592E"/>
    <w:rsid w:val="00956D0C"/>
    <w:rsid w:val="009630C7"/>
    <w:rsid w:val="00972B55"/>
    <w:rsid w:val="009743B7"/>
    <w:rsid w:val="0098228B"/>
    <w:rsid w:val="009828DA"/>
    <w:rsid w:val="0098410D"/>
    <w:rsid w:val="00985BAB"/>
    <w:rsid w:val="00986B3C"/>
    <w:rsid w:val="009A14C6"/>
    <w:rsid w:val="009B1B5F"/>
    <w:rsid w:val="009B6673"/>
    <w:rsid w:val="009C191B"/>
    <w:rsid w:val="009C2BD6"/>
    <w:rsid w:val="009E1F32"/>
    <w:rsid w:val="009E2CC2"/>
    <w:rsid w:val="009E776C"/>
    <w:rsid w:val="009F4C8F"/>
    <w:rsid w:val="00A05588"/>
    <w:rsid w:val="00A1726E"/>
    <w:rsid w:val="00A204CF"/>
    <w:rsid w:val="00A21D2B"/>
    <w:rsid w:val="00A23D49"/>
    <w:rsid w:val="00A27004"/>
    <w:rsid w:val="00A308CE"/>
    <w:rsid w:val="00A30C29"/>
    <w:rsid w:val="00A34DD6"/>
    <w:rsid w:val="00A36819"/>
    <w:rsid w:val="00A36989"/>
    <w:rsid w:val="00A43628"/>
    <w:rsid w:val="00A51D0F"/>
    <w:rsid w:val="00A54192"/>
    <w:rsid w:val="00A57147"/>
    <w:rsid w:val="00A6035E"/>
    <w:rsid w:val="00A6144C"/>
    <w:rsid w:val="00A66617"/>
    <w:rsid w:val="00A671F8"/>
    <w:rsid w:val="00A673A4"/>
    <w:rsid w:val="00A724AE"/>
    <w:rsid w:val="00A73329"/>
    <w:rsid w:val="00A82359"/>
    <w:rsid w:val="00A865D2"/>
    <w:rsid w:val="00A90BCD"/>
    <w:rsid w:val="00A94C20"/>
    <w:rsid w:val="00AA1B09"/>
    <w:rsid w:val="00AA227F"/>
    <w:rsid w:val="00AA3BC7"/>
    <w:rsid w:val="00AA754A"/>
    <w:rsid w:val="00AB099E"/>
    <w:rsid w:val="00AB4328"/>
    <w:rsid w:val="00AC4CD4"/>
    <w:rsid w:val="00AD2D6F"/>
    <w:rsid w:val="00AE0A2E"/>
    <w:rsid w:val="00AE354C"/>
    <w:rsid w:val="00AF4B07"/>
    <w:rsid w:val="00AF6186"/>
    <w:rsid w:val="00AF7A3A"/>
    <w:rsid w:val="00B02587"/>
    <w:rsid w:val="00B160DB"/>
    <w:rsid w:val="00B20836"/>
    <w:rsid w:val="00B235BB"/>
    <w:rsid w:val="00B27A44"/>
    <w:rsid w:val="00B30BBF"/>
    <w:rsid w:val="00B33C03"/>
    <w:rsid w:val="00B4421F"/>
    <w:rsid w:val="00B44E56"/>
    <w:rsid w:val="00B45917"/>
    <w:rsid w:val="00B46543"/>
    <w:rsid w:val="00B47D33"/>
    <w:rsid w:val="00B52BE0"/>
    <w:rsid w:val="00B54133"/>
    <w:rsid w:val="00B701ED"/>
    <w:rsid w:val="00B748F7"/>
    <w:rsid w:val="00B77508"/>
    <w:rsid w:val="00B8086C"/>
    <w:rsid w:val="00B81C58"/>
    <w:rsid w:val="00B861B4"/>
    <w:rsid w:val="00B86DFE"/>
    <w:rsid w:val="00B90990"/>
    <w:rsid w:val="00B922FF"/>
    <w:rsid w:val="00B9281E"/>
    <w:rsid w:val="00B93925"/>
    <w:rsid w:val="00B95187"/>
    <w:rsid w:val="00BA2D55"/>
    <w:rsid w:val="00BA71B1"/>
    <w:rsid w:val="00BB0637"/>
    <w:rsid w:val="00BB345F"/>
    <w:rsid w:val="00BB68EA"/>
    <w:rsid w:val="00BC0B99"/>
    <w:rsid w:val="00BC1C27"/>
    <w:rsid w:val="00BC6BBF"/>
    <w:rsid w:val="00BD1572"/>
    <w:rsid w:val="00BE14E3"/>
    <w:rsid w:val="00BE3774"/>
    <w:rsid w:val="00BE41E5"/>
    <w:rsid w:val="00BF118F"/>
    <w:rsid w:val="00BF4109"/>
    <w:rsid w:val="00BF4CC3"/>
    <w:rsid w:val="00C054C7"/>
    <w:rsid w:val="00C057B5"/>
    <w:rsid w:val="00C115C3"/>
    <w:rsid w:val="00C15547"/>
    <w:rsid w:val="00C22288"/>
    <w:rsid w:val="00C22687"/>
    <w:rsid w:val="00C32E4D"/>
    <w:rsid w:val="00C333A0"/>
    <w:rsid w:val="00C36A81"/>
    <w:rsid w:val="00C41974"/>
    <w:rsid w:val="00C44A2C"/>
    <w:rsid w:val="00C477F7"/>
    <w:rsid w:val="00C509A6"/>
    <w:rsid w:val="00C53F4A"/>
    <w:rsid w:val="00C54125"/>
    <w:rsid w:val="00C55B54"/>
    <w:rsid w:val="00C6098E"/>
    <w:rsid w:val="00C6152C"/>
    <w:rsid w:val="00C74810"/>
    <w:rsid w:val="00C90D68"/>
    <w:rsid w:val="00C939FE"/>
    <w:rsid w:val="00CA4BDA"/>
    <w:rsid w:val="00CB13E3"/>
    <w:rsid w:val="00CB1F66"/>
    <w:rsid w:val="00CB232C"/>
    <w:rsid w:val="00CB2951"/>
    <w:rsid w:val="00CB4277"/>
    <w:rsid w:val="00CC5067"/>
    <w:rsid w:val="00CD11D3"/>
    <w:rsid w:val="00CD282B"/>
    <w:rsid w:val="00CD4C35"/>
    <w:rsid w:val="00CD7369"/>
    <w:rsid w:val="00CE0B0E"/>
    <w:rsid w:val="00CE3831"/>
    <w:rsid w:val="00CF2397"/>
    <w:rsid w:val="00D00ABB"/>
    <w:rsid w:val="00D02EEC"/>
    <w:rsid w:val="00D03551"/>
    <w:rsid w:val="00D06A63"/>
    <w:rsid w:val="00D07E0E"/>
    <w:rsid w:val="00D11478"/>
    <w:rsid w:val="00D15ED0"/>
    <w:rsid w:val="00D164BF"/>
    <w:rsid w:val="00D21B3E"/>
    <w:rsid w:val="00D21FED"/>
    <w:rsid w:val="00D23048"/>
    <w:rsid w:val="00D24251"/>
    <w:rsid w:val="00D26E72"/>
    <w:rsid w:val="00D343E2"/>
    <w:rsid w:val="00D361A2"/>
    <w:rsid w:val="00D44C2E"/>
    <w:rsid w:val="00D45414"/>
    <w:rsid w:val="00D50A0A"/>
    <w:rsid w:val="00D566BD"/>
    <w:rsid w:val="00D57A4D"/>
    <w:rsid w:val="00D60AA7"/>
    <w:rsid w:val="00D6435F"/>
    <w:rsid w:val="00D70641"/>
    <w:rsid w:val="00D74888"/>
    <w:rsid w:val="00D75E28"/>
    <w:rsid w:val="00D772C2"/>
    <w:rsid w:val="00D8008E"/>
    <w:rsid w:val="00D82C45"/>
    <w:rsid w:val="00D908A8"/>
    <w:rsid w:val="00D977B6"/>
    <w:rsid w:val="00DA1223"/>
    <w:rsid w:val="00DA4A31"/>
    <w:rsid w:val="00DA7B04"/>
    <w:rsid w:val="00DB36C2"/>
    <w:rsid w:val="00DC169B"/>
    <w:rsid w:val="00DC1A6A"/>
    <w:rsid w:val="00DC2AB9"/>
    <w:rsid w:val="00DC63F0"/>
    <w:rsid w:val="00DD37EA"/>
    <w:rsid w:val="00DD6EE5"/>
    <w:rsid w:val="00DE386C"/>
    <w:rsid w:val="00DE4D35"/>
    <w:rsid w:val="00DF098B"/>
    <w:rsid w:val="00DF11C4"/>
    <w:rsid w:val="00DF210C"/>
    <w:rsid w:val="00DF4B6A"/>
    <w:rsid w:val="00E02C09"/>
    <w:rsid w:val="00E04D59"/>
    <w:rsid w:val="00E07DA1"/>
    <w:rsid w:val="00E123CB"/>
    <w:rsid w:val="00E13B09"/>
    <w:rsid w:val="00E20E13"/>
    <w:rsid w:val="00E21DBC"/>
    <w:rsid w:val="00E275D7"/>
    <w:rsid w:val="00E27DBE"/>
    <w:rsid w:val="00E32AB1"/>
    <w:rsid w:val="00E36C71"/>
    <w:rsid w:val="00E40404"/>
    <w:rsid w:val="00E4126A"/>
    <w:rsid w:val="00E42A06"/>
    <w:rsid w:val="00E459C6"/>
    <w:rsid w:val="00E47589"/>
    <w:rsid w:val="00E63EC7"/>
    <w:rsid w:val="00E64915"/>
    <w:rsid w:val="00E64D3A"/>
    <w:rsid w:val="00E661D4"/>
    <w:rsid w:val="00E70091"/>
    <w:rsid w:val="00E70D2E"/>
    <w:rsid w:val="00E720F5"/>
    <w:rsid w:val="00E76D47"/>
    <w:rsid w:val="00E827BC"/>
    <w:rsid w:val="00E849F7"/>
    <w:rsid w:val="00E90302"/>
    <w:rsid w:val="00E95C1E"/>
    <w:rsid w:val="00E97396"/>
    <w:rsid w:val="00EA185E"/>
    <w:rsid w:val="00EA26BD"/>
    <w:rsid w:val="00EA592A"/>
    <w:rsid w:val="00EB14E4"/>
    <w:rsid w:val="00EB1DF0"/>
    <w:rsid w:val="00EB32A5"/>
    <w:rsid w:val="00EB34ED"/>
    <w:rsid w:val="00EB447C"/>
    <w:rsid w:val="00EB7BE0"/>
    <w:rsid w:val="00EC315E"/>
    <w:rsid w:val="00ED077C"/>
    <w:rsid w:val="00ED10A9"/>
    <w:rsid w:val="00ED1190"/>
    <w:rsid w:val="00ED6544"/>
    <w:rsid w:val="00EE0277"/>
    <w:rsid w:val="00EE2899"/>
    <w:rsid w:val="00EE3E00"/>
    <w:rsid w:val="00EE5DD2"/>
    <w:rsid w:val="00EF3DB4"/>
    <w:rsid w:val="00F00A79"/>
    <w:rsid w:val="00F00E86"/>
    <w:rsid w:val="00F07C1E"/>
    <w:rsid w:val="00F105DB"/>
    <w:rsid w:val="00F132BC"/>
    <w:rsid w:val="00F13D80"/>
    <w:rsid w:val="00F15B4D"/>
    <w:rsid w:val="00F16AAA"/>
    <w:rsid w:val="00F1709C"/>
    <w:rsid w:val="00F21161"/>
    <w:rsid w:val="00F218EF"/>
    <w:rsid w:val="00F21BC7"/>
    <w:rsid w:val="00F266A2"/>
    <w:rsid w:val="00F32269"/>
    <w:rsid w:val="00F35B7A"/>
    <w:rsid w:val="00F56A6F"/>
    <w:rsid w:val="00F5709C"/>
    <w:rsid w:val="00F60B85"/>
    <w:rsid w:val="00F62B03"/>
    <w:rsid w:val="00F64EF1"/>
    <w:rsid w:val="00F7349B"/>
    <w:rsid w:val="00F8765F"/>
    <w:rsid w:val="00F90767"/>
    <w:rsid w:val="00FA1637"/>
    <w:rsid w:val="00FA685B"/>
    <w:rsid w:val="00FB0C01"/>
    <w:rsid w:val="00FB5934"/>
    <w:rsid w:val="00FC18F2"/>
    <w:rsid w:val="00FC2A17"/>
    <w:rsid w:val="00FC38CF"/>
    <w:rsid w:val="00FC39E5"/>
    <w:rsid w:val="00FC3A78"/>
    <w:rsid w:val="00FD1005"/>
    <w:rsid w:val="00FD6C75"/>
    <w:rsid w:val="00FD7972"/>
    <w:rsid w:val="00FE71B3"/>
    <w:rsid w:val="00FF42C5"/>
    <w:rsid w:val="00FF7FF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228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0"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2D57A7"/>
    <w:rPr>
      <w:rFonts w:eastAsiaTheme="minorEastAsia"/>
      <w:sz w:val="24"/>
      <w:lang w:val="en-GB"/>
    </w:rPr>
  </w:style>
  <w:style w:type="paragraph" w:styleId="Heading1">
    <w:name w:val="heading 1"/>
    <w:basedOn w:val="Normal"/>
    <w:next w:val="Normal"/>
    <w:link w:val="Heading1Char"/>
    <w:uiPriority w:val="99"/>
    <w:semiHidden/>
    <w:rsid w:val="002D57A7"/>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2D57A7"/>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2D57A7"/>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2D57A7"/>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2D57A7"/>
    <w:pPr>
      <w:spacing w:before="200"/>
      <w:outlineLvl w:val="4"/>
    </w:pPr>
    <w:rPr>
      <w:rFonts w:asciiTheme="majorHAnsi" w:eastAsiaTheme="majorEastAsia" w:hAnsiTheme="majorHAnsi" w:cstheme="majorBidi"/>
      <w:b/>
      <w:bCs/>
      <w:color w:val="808080"/>
    </w:rPr>
  </w:style>
  <w:style w:type="paragraph" w:styleId="Heading6">
    <w:name w:val="heading 6"/>
    <w:basedOn w:val="Normal"/>
    <w:next w:val="Normal"/>
    <w:link w:val="Heading6Char"/>
    <w:uiPriority w:val="99"/>
    <w:semiHidden/>
    <w:rsid w:val="002D57A7"/>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2D57A7"/>
    <w:pPr>
      <w:outlineLvl w:val="6"/>
    </w:pPr>
    <w:rPr>
      <w:rFonts w:asciiTheme="majorHAnsi" w:eastAsiaTheme="majorEastAsia" w:hAnsiTheme="majorHAnsi" w:cstheme="majorBidi"/>
      <w:i/>
      <w:iCs/>
      <w:lang w:bidi="en-US"/>
    </w:rPr>
  </w:style>
  <w:style w:type="paragraph" w:styleId="Heading8">
    <w:name w:val="heading 8"/>
    <w:basedOn w:val="Normal"/>
    <w:next w:val="Normal"/>
    <w:link w:val="Heading8Char"/>
    <w:uiPriority w:val="99"/>
    <w:semiHidden/>
    <w:qFormat/>
    <w:rsid w:val="002D57A7"/>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9"/>
    <w:semiHidden/>
    <w:qFormat/>
    <w:rsid w:val="002D57A7"/>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2D57A7"/>
    <w:rPr>
      <w:rFonts w:ascii="Tahoma" w:hAnsi="Tahoma" w:cs="Tahoma"/>
      <w:sz w:val="16"/>
      <w:szCs w:val="16"/>
    </w:rPr>
  </w:style>
  <w:style w:type="character" w:customStyle="1" w:styleId="BalloonTextChar">
    <w:name w:val="Balloon Text Char"/>
    <w:basedOn w:val="DefaultParagraphFont"/>
    <w:link w:val="BalloonText"/>
    <w:uiPriority w:val="99"/>
    <w:semiHidden/>
    <w:rsid w:val="002D57A7"/>
    <w:rPr>
      <w:rFonts w:ascii="Tahoma" w:eastAsiaTheme="minorEastAsia" w:hAnsi="Tahoma" w:cs="Tahoma"/>
      <w:sz w:val="16"/>
      <w:szCs w:val="16"/>
      <w:lang w:val="en-GB"/>
    </w:rPr>
  </w:style>
  <w:style w:type="character" w:styleId="BookTitle">
    <w:name w:val="Book Title"/>
    <w:uiPriority w:val="99"/>
    <w:semiHidden/>
    <w:qFormat/>
    <w:rsid w:val="002D57A7"/>
    <w:rPr>
      <w:i/>
      <w:iCs/>
      <w:smallCaps/>
      <w:spacing w:val="5"/>
    </w:rPr>
  </w:style>
  <w:style w:type="paragraph" w:customStyle="1" w:styleId="JuHeader">
    <w:name w:val="Ju_Header"/>
    <w:aliases w:val="_Header"/>
    <w:basedOn w:val="Header"/>
    <w:uiPriority w:val="29"/>
    <w:qFormat/>
    <w:rsid w:val="002D57A7"/>
    <w:pPr>
      <w:tabs>
        <w:tab w:val="clear" w:pos="4536"/>
        <w:tab w:val="clear" w:pos="9072"/>
        <w:tab w:val="center" w:pos="3686"/>
        <w:tab w:val="right" w:pos="7371"/>
      </w:tabs>
    </w:pPr>
    <w:rPr>
      <w:sz w:val="18"/>
    </w:rPr>
  </w:style>
  <w:style w:type="paragraph" w:customStyle="1" w:styleId="NormalJustified">
    <w:name w:val="Normal_Justified"/>
    <w:basedOn w:val="Normal"/>
    <w:semiHidden/>
    <w:rsid w:val="002D57A7"/>
    <w:pPr>
      <w:jc w:val="both"/>
    </w:pPr>
  </w:style>
  <w:style w:type="character" w:styleId="Strong">
    <w:name w:val="Strong"/>
    <w:uiPriority w:val="99"/>
    <w:semiHidden/>
    <w:qFormat/>
    <w:rsid w:val="002D57A7"/>
    <w:rPr>
      <w:b/>
      <w:bCs/>
    </w:rPr>
  </w:style>
  <w:style w:type="paragraph" w:styleId="NoSpacing">
    <w:name w:val="No Spacing"/>
    <w:basedOn w:val="Normal"/>
    <w:link w:val="NoSpacingChar"/>
    <w:semiHidden/>
    <w:qFormat/>
    <w:rsid w:val="002D57A7"/>
  </w:style>
  <w:style w:type="character" w:customStyle="1" w:styleId="NoSpacingChar">
    <w:name w:val="No Spacing Char"/>
    <w:basedOn w:val="DefaultParagraphFont"/>
    <w:link w:val="NoSpacing"/>
    <w:semiHidden/>
    <w:rsid w:val="002D57A7"/>
    <w:rPr>
      <w:rFonts w:eastAsiaTheme="minorEastAsia"/>
      <w:sz w:val="24"/>
      <w:lang w:val="en-GB"/>
    </w:rPr>
  </w:style>
  <w:style w:type="paragraph" w:customStyle="1" w:styleId="JuQuot">
    <w:name w:val="Ju_Quot"/>
    <w:aliases w:val="_Quote"/>
    <w:basedOn w:val="NormalJustified"/>
    <w:uiPriority w:val="21"/>
    <w:qFormat/>
    <w:rsid w:val="002D57A7"/>
    <w:pPr>
      <w:spacing w:before="120" w:after="120"/>
      <w:ind w:left="425" w:firstLine="142"/>
    </w:pPr>
    <w:rPr>
      <w:sz w:val="20"/>
    </w:rPr>
  </w:style>
  <w:style w:type="paragraph" w:customStyle="1" w:styleId="DecList">
    <w:name w:val="Dec_List"/>
    <w:aliases w:val="_List"/>
    <w:basedOn w:val="JuList"/>
    <w:uiPriority w:val="22"/>
    <w:rsid w:val="002D57A7"/>
    <w:pPr>
      <w:numPr>
        <w:numId w:val="0"/>
      </w:numPr>
      <w:ind w:left="340"/>
    </w:pPr>
  </w:style>
  <w:style w:type="paragraph" w:customStyle="1" w:styleId="JuList">
    <w:name w:val="Ju_List"/>
    <w:aliases w:val="_List_1"/>
    <w:basedOn w:val="NormalJustified"/>
    <w:uiPriority w:val="23"/>
    <w:qFormat/>
    <w:rsid w:val="002D57A7"/>
    <w:pPr>
      <w:numPr>
        <w:numId w:val="30"/>
      </w:numPr>
      <w:spacing w:before="280" w:after="60"/>
    </w:pPr>
    <w:rPr>
      <w:rFonts w:eastAsiaTheme="minorHAnsi"/>
    </w:rPr>
  </w:style>
  <w:style w:type="paragraph" w:customStyle="1" w:styleId="JuLista">
    <w:name w:val="Ju_List_a"/>
    <w:aliases w:val="_List_2"/>
    <w:basedOn w:val="NormalJustified"/>
    <w:uiPriority w:val="23"/>
    <w:rsid w:val="002D57A7"/>
    <w:pPr>
      <w:numPr>
        <w:ilvl w:val="1"/>
        <w:numId w:val="30"/>
      </w:numPr>
    </w:pPr>
  </w:style>
  <w:style w:type="paragraph" w:customStyle="1" w:styleId="JuListi">
    <w:name w:val="Ju_List_i"/>
    <w:aliases w:val="_List_3"/>
    <w:basedOn w:val="NormalJustified"/>
    <w:uiPriority w:val="23"/>
    <w:rsid w:val="002D57A7"/>
    <w:pPr>
      <w:numPr>
        <w:ilvl w:val="2"/>
        <w:numId w:val="30"/>
      </w:numPr>
    </w:pPr>
  </w:style>
  <w:style w:type="paragraph" w:customStyle="1" w:styleId="JuHArticle">
    <w:name w:val="Ju_H_Article"/>
    <w:aliases w:val="_Title_Quote"/>
    <w:basedOn w:val="Normal"/>
    <w:next w:val="JuQuot"/>
    <w:uiPriority w:val="20"/>
    <w:qFormat/>
    <w:rsid w:val="002D57A7"/>
    <w:pPr>
      <w:keepNext/>
      <w:spacing w:before="100" w:beforeAutospacing="1" w:after="120"/>
      <w:contextualSpacing/>
      <w:jc w:val="center"/>
    </w:pPr>
    <w:rPr>
      <w:rFonts w:eastAsiaTheme="minorHAnsi"/>
      <w:b/>
      <w:sz w:val="20"/>
    </w:rPr>
  </w:style>
  <w:style w:type="paragraph" w:customStyle="1" w:styleId="DecHTitle">
    <w:name w:val="Dec_H_Title"/>
    <w:aliases w:val="_Title_1"/>
    <w:basedOn w:val="JuPara"/>
    <w:next w:val="JuPara"/>
    <w:uiPriority w:val="35"/>
    <w:qFormat/>
    <w:rsid w:val="002D57A7"/>
    <w:pPr>
      <w:keepNext/>
      <w:keepLines/>
      <w:spacing w:after="240"/>
      <w:ind w:firstLine="0"/>
      <w:jc w:val="center"/>
      <w:outlineLvl w:val="0"/>
    </w:pPr>
    <w:rPr>
      <w:rFonts w:asciiTheme="majorHAnsi" w:hAnsiTheme="majorHAnsi"/>
      <w:sz w:val="28"/>
    </w:rPr>
  </w:style>
  <w:style w:type="paragraph" w:customStyle="1" w:styleId="Title4">
    <w:name w:val="_Title_4"/>
    <w:basedOn w:val="JuPara"/>
    <w:next w:val="JuPara"/>
    <w:uiPriority w:val="35"/>
    <w:qFormat/>
    <w:rsid w:val="002D57A7"/>
    <w:pPr>
      <w:keepNext/>
      <w:keepLines/>
      <w:tabs>
        <w:tab w:val="right" w:pos="7938"/>
      </w:tabs>
      <w:ind w:firstLine="0"/>
      <w:jc w:val="center"/>
    </w:pPr>
    <w:rPr>
      <w:rFonts w:eastAsiaTheme="minorHAnsi"/>
      <w:i/>
    </w:rPr>
  </w:style>
  <w:style w:type="paragraph" w:customStyle="1" w:styleId="JuHHead">
    <w:name w:val="Ju_H_Head"/>
    <w:aliases w:val="_Head_1"/>
    <w:basedOn w:val="Normal"/>
    <w:next w:val="JuPara"/>
    <w:uiPriority w:val="19"/>
    <w:qFormat/>
    <w:rsid w:val="002D57A7"/>
    <w:pPr>
      <w:keepNext/>
      <w:keepLines/>
      <w:numPr>
        <w:numId w:val="27"/>
      </w:numPr>
      <w:spacing w:before="100" w:beforeAutospacing="1" w:after="240"/>
      <w:jc w:val="both"/>
      <w:outlineLvl w:val="0"/>
    </w:pPr>
    <w:rPr>
      <w:caps/>
      <w:sz w:val="28"/>
    </w:rPr>
  </w:style>
  <w:style w:type="numbering" w:customStyle="1" w:styleId="ECHRA1StyleBulletedSquare">
    <w:name w:val="ECHR_A1_Style_Bulleted_Square"/>
    <w:basedOn w:val="NoList"/>
    <w:rsid w:val="002D57A7"/>
    <w:pPr>
      <w:numPr>
        <w:numId w:val="6"/>
      </w:numPr>
    </w:pPr>
  </w:style>
  <w:style w:type="paragraph" w:customStyle="1" w:styleId="JuSigned">
    <w:name w:val="Ju_Signed"/>
    <w:aliases w:val="_Signature"/>
    <w:basedOn w:val="Normal"/>
    <w:next w:val="JuPara"/>
    <w:uiPriority w:val="30"/>
    <w:qFormat/>
    <w:rsid w:val="002D57A7"/>
    <w:pPr>
      <w:tabs>
        <w:tab w:val="center" w:pos="851"/>
        <w:tab w:val="center" w:pos="6407"/>
      </w:tabs>
      <w:spacing w:before="720"/>
    </w:pPr>
  </w:style>
  <w:style w:type="paragraph" w:styleId="Title">
    <w:name w:val="Title"/>
    <w:basedOn w:val="Normal"/>
    <w:next w:val="Normal"/>
    <w:link w:val="TitleChar"/>
    <w:uiPriority w:val="99"/>
    <w:semiHidden/>
    <w:qFormat/>
    <w:rsid w:val="002D57A7"/>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9"/>
    <w:semiHidden/>
    <w:rsid w:val="002D57A7"/>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NoList"/>
    <w:uiPriority w:val="99"/>
    <w:rsid w:val="002D57A7"/>
    <w:pPr>
      <w:numPr>
        <w:numId w:val="7"/>
      </w:numPr>
    </w:pPr>
  </w:style>
  <w:style w:type="numbering" w:customStyle="1" w:styleId="ECHRA1StyleNumberedList">
    <w:name w:val="ECHR_A1_Style_Numbered_List"/>
    <w:basedOn w:val="NoList"/>
    <w:rsid w:val="002D57A7"/>
    <w:pPr>
      <w:numPr>
        <w:numId w:val="8"/>
      </w:numPr>
    </w:pPr>
  </w:style>
  <w:style w:type="table" w:customStyle="1" w:styleId="ECHRTable2019">
    <w:name w:val="ECHR_Table_2019"/>
    <w:basedOn w:val="TableNormal"/>
    <w:uiPriority w:val="99"/>
    <w:rsid w:val="002D57A7"/>
    <w:tblPr>
      <w:tblStyleRowBandSize w:val="1"/>
      <w:tblStyleColBandSize w:val="1"/>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Footer">
    <w:name w:val="_Footer"/>
    <w:aliases w:val="Footer_"/>
    <w:basedOn w:val="Footer0"/>
    <w:uiPriority w:val="57"/>
    <w:semiHidden/>
    <w:rsid w:val="002D57A7"/>
    <w:rPr>
      <w:sz w:val="8"/>
    </w:rPr>
  </w:style>
  <w:style w:type="paragraph" w:customStyle="1" w:styleId="JuCourt">
    <w:name w:val="Ju_Court"/>
    <w:basedOn w:val="Normal"/>
    <w:next w:val="Normal"/>
    <w:uiPriority w:val="31"/>
    <w:qFormat/>
    <w:rsid w:val="002D57A7"/>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Normal"/>
    <w:next w:val="JuPara"/>
    <w:uiPriority w:val="19"/>
    <w:qFormat/>
    <w:rsid w:val="002D57A7"/>
    <w:pPr>
      <w:keepNext/>
      <w:keepLines/>
      <w:numPr>
        <w:ilvl w:val="1"/>
        <w:numId w:val="27"/>
      </w:numPr>
      <w:spacing w:before="100" w:beforeAutospacing="1" w:after="240"/>
      <w:jc w:val="both"/>
      <w:outlineLvl w:val="1"/>
    </w:pPr>
    <w:rPr>
      <w:caps/>
    </w:rPr>
  </w:style>
  <w:style w:type="paragraph" w:customStyle="1" w:styleId="JuHA">
    <w:name w:val="Ju_H_A"/>
    <w:aliases w:val="_Head_3"/>
    <w:basedOn w:val="Normal"/>
    <w:next w:val="JuPara"/>
    <w:uiPriority w:val="19"/>
    <w:qFormat/>
    <w:rsid w:val="002D57A7"/>
    <w:pPr>
      <w:keepNext/>
      <w:keepLines/>
      <w:numPr>
        <w:ilvl w:val="2"/>
        <w:numId w:val="27"/>
      </w:numPr>
      <w:spacing w:before="100" w:beforeAutospacing="1" w:after="240"/>
      <w:jc w:val="both"/>
      <w:outlineLvl w:val="2"/>
    </w:pPr>
    <w:rPr>
      <w:b/>
    </w:rPr>
  </w:style>
  <w:style w:type="paragraph" w:customStyle="1" w:styleId="JuH1">
    <w:name w:val="Ju_H_1."/>
    <w:aliases w:val="_Head_4"/>
    <w:basedOn w:val="Normal"/>
    <w:next w:val="JuPara"/>
    <w:uiPriority w:val="19"/>
    <w:rsid w:val="002D57A7"/>
    <w:pPr>
      <w:keepNext/>
      <w:keepLines/>
      <w:numPr>
        <w:ilvl w:val="3"/>
        <w:numId w:val="27"/>
      </w:numPr>
      <w:spacing w:before="100" w:beforeAutospacing="1" w:after="120"/>
      <w:jc w:val="both"/>
      <w:outlineLvl w:val="3"/>
    </w:pPr>
    <w:rPr>
      <w:i/>
    </w:rPr>
  </w:style>
  <w:style w:type="paragraph" w:styleId="Header">
    <w:name w:val="header"/>
    <w:basedOn w:val="Normal"/>
    <w:link w:val="HeaderChar"/>
    <w:uiPriority w:val="57"/>
    <w:semiHidden/>
    <w:rsid w:val="002D57A7"/>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2D57A7"/>
    <w:rPr>
      <w:sz w:val="24"/>
      <w:lang w:val="en-GB"/>
    </w:rPr>
  </w:style>
  <w:style w:type="character" w:customStyle="1" w:styleId="Heading1Char">
    <w:name w:val="Heading 1 Char"/>
    <w:basedOn w:val="DefaultParagraphFont"/>
    <w:link w:val="Heading1"/>
    <w:uiPriority w:val="99"/>
    <w:semiHidden/>
    <w:rsid w:val="002D57A7"/>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Normal"/>
    <w:next w:val="JuPara"/>
    <w:uiPriority w:val="19"/>
    <w:rsid w:val="002D57A7"/>
    <w:pPr>
      <w:keepNext/>
      <w:keepLines/>
      <w:numPr>
        <w:ilvl w:val="4"/>
        <w:numId w:val="27"/>
      </w:numPr>
      <w:spacing w:before="100" w:beforeAutospacing="1" w:after="120"/>
      <w:jc w:val="both"/>
      <w:outlineLvl w:val="4"/>
    </w:pPr>
    <w:rPr>
      <w:b/>
      <w:sz w:val="20"/>
    </w:rPr>
  </w:style>
  <w:style w:type="paragraph" w:customStyle="1" w:styleId="JuHi">
    <w:name w:val="Ju_H_i"/>
    <w:aliases w:val="_Head_6"/>
    <w:basedOn w:val="Normal"/>
    <w:next w:val="JuPara"/>
    <w:uiPriority w:val="19"/>
    <w:rsid w:val="002D57A7"/>
    <w:pPr>
      <w:keepNext/>
      <w:keepLines/>
      <w:numPr>
        <w:ilvl w:val="5"/>
        <w:numId w:val="27"/>
      </w:numPr>
      <w:spacing w:before="100" w:beforeAutospacing="1" w:after="120"/>
      <w:jc w:val="both"/>
      <w:outlineLvl w:val="5"/>
    </w:pPr>
    <w:rPr>
      <w:i/>
      <w:sz w:val="20"/>
    </w:rPr>
  </w:style>
  <w:style w:type="character" w:customStyle="1" w:styleId="Heading2Char">
    <w:name w:val="Heading 2 Char"/>
    <w:basedOn w:val="DefaultParagraphFont"/>
    <w:link w:val="Heading2"/>
    <w:uiPriority w:val="99"/>
    <w:semiHidden/>
    <w:rsid w:val="002D57A7"/>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Normal"/>
    <w:next w:val="JuPara"/>
    <w:uiPriority w:val="19"/>
    <w:rsid w:val="002D57A7"/>
    <w:pPr>
      <w:keepNext/>
      <w:keepLines/>
      <w:numPr>
        <w:ilvl w:val="6"/>
        <w:numId w:val="27"/>
      </w:numPr>
      <w:spacing w:before="100" w:beforeAutospacing="1" w:after="120"/>
      <w:jc w:val="both"/>
      <w:outlineLvl w:val="6"/>
    </w:pPr>
    <w:rPr>
      <w:sz w:val="20"/>
    </w:rPr>
  </w:style>
  <w:style w:type="paragraph" w:customStyle="1" w:styleId="JuH">
    <w:name w:val="Ju_H_–"/>
    <w:aliases w:val="_Head_8"/>
    <w:basedOn w:val="Normal"/>
    <w:next w:val="JuPara"/>
    <w:uiPriority w:val="19"/>
    <w:rsid w:val="002D57A7"/>
    <w:pPr>
      <w:keepNext/>
      <w:keepLines/>
      <w:numPr>
        <w:ilvl w:val="7"/>
        <w:numId w:val="27"/>
      </w:numPr>
      <w:spacing w:before="100" w:beforeAutospacing="1" w:after="120"/>
      <w:jc w:val="both"/>
      <w:outlineLvl w:val="7"/>
    </w:pPr>
    <w:rPr>
      <w:i/>
      <w:sz w:val="20"/>
    </w:rPr>
  </w:style>
  <w:style w:type="character" w:customStyle="1" w:styleId="Heading3Char">
    <w:name w:val="Heading 3 Char"/>
    <w:basedOn w:val="DefaultParagraphFont"/>
    <w:link w:val="Heading3"/>
    <w:uiPriority w:val="99"/>
    <w:semiHidden/>
    <w:rsid w:val="002D57A7"/>
    <w:rPr>
      <w:rFonts w:asciiTheme="majorHAnsi" w:eastAsiaTheme="majorEastAsia" w:hAnsiTheme="majorHAnsi" w:cstheme="majorBidi"/>
      <w:b/>
      <w:bCs/>
      <w:color w:val="5F5F5F"/>
      <w:sz w:val="24"/>
      <w:lang w:val="en-GB"/>
    </w:rPr>
  </w:style>
  <w:style w:type="paragraph" w:customStyle="1" w:styleId="JuParaLast">
    <w:name w:val="Ju_Para_Last"/>
    <w:aliases w:val="_Para_Spaced"/>
    <w:basedOn w:val="NormalJustified"/>
    <w:uiPriority w:val="9"/>
    <w:qFormat/>
    <w:rsid w:val="002D57A7"/>
    <w:pPr>
      <w:keepNext/>
      <w:keepLines/>
      <w:spacing w:before="240" w:after="240"/>
      <w:ind w:firstLine="284"/>
    </w:pPr>
    <w:rPr>
      <w:rFonts w:eastAsiaTheme="minorHAnsi"/>
    </w:rPr>
  </w:style>
  <w:style w:type="paragraph" w:customStyle="1" w:styleId="JuJudges">
    <w:name w:val="Ju_Judges"/>
    <w:basedOn w:val="Normal"/>
    <w:uiPriority w:val="31"/>
    <w:qFormat/>
    <w:rsid w:val="002D57A7"/>
    <w:pPr>
      <w:tabs>
        <w:tab w:val="left" w:pos="567"/>
        <w:tab w:val="left" w:pos="1134"/>
      </w:tabs>
    </w:pPr>
  </w:style>
  <w:style w:type="character" w:customStyle="1" w:styleId="Heading4Char">
    <w:name w:val="Heading 4 Char"/>
    <w:basedOn w:val="DefaultParagraphFont"/>
    <w:link w:val="Heading4"/>
    <w:uiPriority w:val="99"/>
    <w:semiHidden/>
    <w:rsid w:val="002D57A7"/>
    <w:rPr>
      <w:rFonts w:asciiTheme="majorHAnsi" w:eastAsiaTheme="majorEastAsia" w:hAnsiTheme="majorHAnsi" w:cstheme="majorBidi"/>
      <w:b/>
      <w:bCs/>
      <w:i/>
      <w:iCs/>
      <w:color w:val="777777"/>
      <w:sz w:val="24"/>
      <w:lang w:val="en-GB"/>
    </w:rPr>
  </w:style>
  <w:style w:type="paragraph" w:customStyle="1" w:styleId="JuInitialled">
    <w:name w:val="Ju_Initialled"/>
    <w:aliases w:val="_Right"/>
    <w:basedOn w:val="Normal"/>
    <w:uiPriority w:val="30"/>
    <w:qFormat/>
    <w:rsid w:val="002D57A7"/>
    <w:pPr>
      <w:tabs>
        <w:tab w:val="center" w:pos="6407"/>
      </w:tabs>
      <w:spacing w:before="720"/>
      <w:jc w:val="right"/>
    </w:pPr>
  </w:style>
  <w:style w:type="character" w:customStyle="1" w:styleId="Heading5Char">
    <w:name w:val="Heading 5 Char"/>
    <w:basedOn w:val="DefaultParagraphFont"/>
    <w:link w:val="Heading5"/>
    <w:uiPriority w:val="99"/>
    <w:semiHidden/>
    <w:rsid w:val="002D57A7"/>
    <w:rPr>
      <w:rFonts w:asciiTheme="majorHAnsi" w:eastAsiaTheme="majorEastAsia" w:hAnsiTheme="majorHAnsi" w:cstheme="majorBidi"/>
      <w:b/>
      <w:bCs/>
      <w:color w:val="808080"/>
      <w:sz w:val="24"/>
      <w:lang w:val="en-GB"/>
    </w:rPr>
  </w:style>
  <w:style w:type="character" w:customStyle="1" w:styleId="JuITMark">
    <w:name w:val="Ju_ITMark"/>
    <w:basedOn w:val="DefaultParagraphFont"/>
    <w:uiPriority w:val="38"/>
    <w:qFormat/>
    <w:rsid w:val="002D57A7"/>
    <w:rPr>
      <w:vanish w:val="0"/>
      <w:color w:val="auto"/>
      <w:sz w:val="14"/>
      <w:bdr w:val="none" w:sz="0" w:space="0" w:color="auto"/>
      <w:shd w:val="clear" w:color="auto" w:fill="BEE5FF" w:themeFill="background1" w:themeFillTint="33"/>
    </w:rPr>
  </w:style>
  <w:style w:type="character" w:customStyle="1" w:styleId="JUNAMES">
    <w:name w:val="JU_NAMES"/>
    <w:uiPriority w:val="34"/>
    <w:qFormat/>
    <w:rsid w:val="002D57A7"/>
    <w:rPr>
      <w:caps w:val="0"/>
      <w:smallCaps/>
    </w:rPr>
  </w:style>
  <w:style w:type="character" w:styleId="SubtleEmphasis">
    <w:name w:val="Subtle Emphasis"/>
    <w:uiPriority w:val="99"/>
    <w:semiHidden/>
    <w:qFormat/>
    <w:rsid w:val="002D57A7"/>
    <w:rPr>
      <w:i/>
      <w:iCs/>
    </w:r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2D57A7"/>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character" w:styleId="Emphasis">
    <w:name w:val="Emphasis"/>
    <w:uiPriority w:val="99"/>
    <w:semiHidden/>
    <w:qFormat/>
    <w:rsid w:val="002D57A7"/>
    <w:rPr>
      <w:b/>
      <w:bCs/>
      <w:i/>
      <w:iCs/>
      <w:spacing w:val="10"/>
      <w:bdr w:val="none" w:sz="0" w:space="0" w:color="auto"/>
      <w:shd w:val="clear" w:color="auto" w:fill="auto"/>
    </w:rPr>
  </w:style>
  <w:style w:type="paragraph" w:styleId="Footer0">
    <w:name w:val="footer"/>
    <w:basedOn w:val="Normal"/>
    <w:link w:val="FooterChar"/>
    <w:uiPriority w:val="57"/>
    <w:semiHidden/>
    <w:rsid w:val="002D57A7"/>
    <w:pPr>
      <w:tabs>
        <w:tab w:val="center" w:pos="4536"/>
        <w:tab w:val="right" w:pos="9696"/>
      </w:tabs>
      <w:ind w:left="-680" w:right="-680"/>
    </w:pPr>
    <w:rPr>
      <w:rFonts w:eastAsiaTheme="minorHAnsi"/>
    </w:rPr>
  </w:style>
  <w:style w:type="character" w:customStyle="1" w:styleId="FooterChar">
    <w:name w:val="Footer Char"/>
    <w:basedOn w:val="DefaultParagraphFont"/>
    <w:link w:val="Footer0"/>
    <w:uiPriority w:val="57"/>
    <w:semiHidden/>
    <w:rsid w:val="002D57A7"/>
    <w:rPr>
      <w:sz w:val="24"/>
      <w:lang w:val="en-GB"/>
    </w:rPr>
  </w:style>
  <w:style w:type="character" w:styleId="FootnoteReference">
    <w:name w:val="footnote reference"/>
    <w:basedOn w:val="DefaultParagraphFont"/>
    <w:uiPriority w:val="99"/>
    <w:semiHidden/>
    <w:rsid w:val="002D57A7"/>
    <w:rPr>
      <w:vertAlign w:val="superscript"/>
    </w:rPr>
  </w:style>
  <w:style w:type="paragraph" w:styleId="FootnoteText">
    <w:name w:val="footnote text"/>
    <w:basedOn w:val="Normal"/>
    <w:link w:val="FootnoteTextChar"/>
    <w:uiPriority w:val="99"/>
    <w:semiHidden/>
    <w:rsid w:val="002D57A7"/>
    <w:rPr>
      <w:sz w:val="20"/>
      <w:szCs w:val="20"/>
    </w:rPr>
  </w:style>
  <w:style w:type="character" w:customStyle="1" w:styleId="FootnoteTextChar">
    <w:name w:val="Footnote Text Char"/>
    <w:basedOn w:val="DefaultParagraphFont"/>
    <w:link w:val="FootnoteText"/>
    <w:uiPriority w:val="99"/>
    <w:semiHidden/>
    <w:rsid w:val="002D57A7"/>
    <w:rPr>
      <w:rFonts w:eastAsiaTheme="minorEastAsia"/>
      <w:sz w:val="20"/>
      <w:szCs w:val="20"/>
      <w:lang w:val="en-GB"/>
    </w:rPr>
  </w:style>
  <w:style w:type="character" w:customStyle="1" w:styleId="Heading6Char">
    <w:name w:val="Heading 6 Char"/>
    <w:basedOn w:val="DefaultParagraphFont"/>
    <w:link w:val="Heading6"/>
    <w:uiPriority w:val="99"/>
    <w:semiHidden/>
    <w:rsid w:val="002D57A7"/>
    <w:rPr>
      <w:rFonts w:asciiTheme="majorHAnsi" w:eastAsiaTheme="majorEastAsia" w:hAnsiTheme="majorHAnsi" w:cstheme="majorBidi"/>
      <w:b/>
      <w:bCs/>
      <w:i/>
      <w:iCs/>
      <w:color w:val="7F7F7F" w:themeColor="text1" w:themeTint="80"/>
      <w:sz w:val="24"/>
      <w:lang w:val="en-GB" w:bidi="en-US"/>
    </w:rPr>
  </w:style>
  <w:style w:type="character" w:customStyle="1" w:styleId="Heading7Char">
    <w:name w:val="Heading 7 Char"/>
    <w:basedOn w:val="DefaultParagraphFont"/>
    <w:link w:val="Heading7"/>
    <w:uiPriority w:val="99"/>
    <w:semiHidden/>
    <w:rsid w:val="002D57A7"/>
    <w:rPr>
      <w:rFonts w:asciiTheme="majorHAnsi" w:eastAsiaTheme="majorEastAsia" w:hAnsiTheme="majorHAnsi" w:cstheme="majorBidi"/>
      <w:i/>
      <w:iCs/>
      <w:sz w:val="24"/>
      <w:lang w:val="en-GB" w:bidi="en-US"/>
    </w:rPr>
  </w:style>
  <w:style w:type="character" w:customStyle="1" w:styleId="Heading8Char">
    <w:name w:val="Heading 8 Char"/>
    <w:basedOn w:val="DefaultParagraphFont"/>
    <w:link w:val="Heading8"/>
    <w:uiPriority w:val="99"/>
    <w:semiHidden/>
    <w:rsid w:val="002D57A7"/>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9"/>
    <w:semiHidden/>
    <w:rsid w:val="002D57A7"/>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9"/>
    <w:semiHidden/>
    <w:rsid w:val="002D57A7"/>
    <w:rPr>
      <w:color w:val="0072BC" w:themeColor="hyperlink"/>
      <w:u w:val="single"/>
    </w:rPr>
  </w:style>
  <w:style w:type="character" w:styleId="IntenseEmphasis">
    <w:name w:val="Intense Emphasis"/>
    <w:uiPriority w:val="99"/>
    <w:semiHidden/>
    <w:qFormat/>
    <w:rsid w:val="002D57A7"/>
    <w:rPr>
      <w:b/>
      <w:bCs/>
    </w:rPr>
  </w:style>
  <w:style w:type="paragraph" w:styleId="IntenseQuote">
    <w:name w:val="Intense Quote"/>
    <w:basedOn w:val="Normal"/>
    <w:next w:val="Normal"/>
    <w:link w:val="IntenseQuoteChar"/>
    <w:uiPriority w:val="99"/>
    <w:semiHidden/>
    <w:qFormat/>
    <w:rsid w:val="002D57A7"/>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9"/>
    <w:semiHidden/>
    <w:rsid w:val="002D57A7"/>
    <w:rPr>
      <w:rFonts w:eastAsiaTheme="minorEastAsia"/>
      <w:b/>
      <w:bCs/>
      <w:i/>
      <w:iCs/>
      <w:sz w:val="24"/>
      <w:lang w:val="en-GB" w:bidi="en-US"/>
    </w:rPr>
  </w:style>
  <w:style w:type="character" w:styleId="IntenseReference">
    <w:name w:val="Intense Reference"/>
    <w:uiPriority w:val="99"/>
    <w:semiHidden/>
    <w:qFormat/>
    <w:rsid w:val="002D57A7"/>
    <w:rPr>
      <w:smallCaps/>
      <w:spacing w:val="5"/>
      <w:u w:val="single"/>
    </w:rPr>
  </w:style>
  <w:style w:type="paragraph" w:styleId="ListParagraph">
    <w:name w:val="List Paragraph"/>
    <w:basedOn w:val="Normal"/>
    <w:uiPriority w:val="99"/>
    <w:semiHidden/>
    <w:qFormat/>
    <w:rsid w:val="002D57A7"/>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2D57A7"/>
    <w:pPr>
      <w:spacing w:before="200"/>
      <w:ind w:left="360" w:right="360"/>
    </w:pPr>
    <w:rPr>
      <w:i/>
      <w:iCs/>
      <w:lang w:bidi="en-US"/>
    </w:rPr>
  </w:style>
  <w:style w:type="character" w:customStyle="1" w:styleId="QuoteChar">
    <w:name w:val="Quote Char"/>
    <w:basedOn w:val="DefaultParagraphFont"/>
    <w:link w:val="Quote"/>
    <w:uiPriority w:val="99"/>
    <w:semiHidden/>
    <w:rsid w:val="002D57A7"/>
    <w:rPr>
      <w:rFonts w:eastAsiaTheme="minorEastAsia"/>
      <w:i/>
      <w:iCs/>
      <w:sz w:val="24"/>
      <w:lang w:val="en-GB" w:bidi="en-US"/>
    </w:rPr>
  </w:style>
  <w:style w:type="character" w:styleId="SubtleReference">
    <w:name w:val="Subtle Reference"/>
    <w:uiPriority w:val="99"/>
    <w:semiHidden/>
    <w:qFormat/>
    <w:rsid w:val="002D57A7"/>
    <w:rPr>
      <w:smallCaps/>
    </w:rPr>
  </w:style>
  <w:style w:type="table" w:styleId="TableGrid">
    <w:name w:val="Table Grid"/>
    <w:basedOn w:val="TableNormal"/>
    <w:uiPriority w:val="59"/>
    <w:semiHidden/>
    <w:rsid w:val="002D57A7"/>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2D57A7"/>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2D57A7"/>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2D57A7"/>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2D57A7"/>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2D57A7"/>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2D57A7"/>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572845"/>
    <w:rPr>
      <w:rFonts w:eastAsiaTheme="minorEastAsia"/>
      <w:sz w:val="20"/>
      <w:lang w:val="en-GB" w:eastAsia="en-GB"/>
    </w:rPr>
    <w:tblPr>
      <w:tblInd w:w="-964" w:type="dxa"/>
      <w:tblCellMar>
        <w:left w:w="57" w:type="dxa"/>
        <w:bottom w:w="57" w:type="dxa"/>
        <w:right w:w="113"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3609FA"/>
    <w:rPr>
      <w:rFonts w:eastAsiaTheme="minorEastAsia"/>
      <w:lang w:val="en-GB" w:eastAsia="en-GB"/>
    </w:rPr>
    <w:tblPr>
      <w:tblInd w:w="113" w:type="dxa"/>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2D57A7"/>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D57A7"/>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2D57A7"/>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2D57A7"/>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styleId="Subtitle">
    <w:name w:val="Subtitle"/>
    <w:basedOn w:val="Normal"/>
    <w:next w:val="Normal"/>
    <w:link w:val="SubtitleChar"/>
    <w:uiPriority w:val="99"/>
    <w:semiHidden/>
    <w:qFormat/>
    <w:rsid w:val="002D57A7"/>
    <w:pPr>
      <w:spacing w:after="600"/>
    </w:pPr>
    <w:rPr>
      <w:rFonts w:asciiTheme="majorHAnsi" w:eastAsiaTheme="majorEastAsia" w:hAnsiTheme="majorHAnsi" w:cstheme="majorBidi"/>
      <w:i/>
      <w:iCs/>
      <w:spacing w:val="13"/>
      <w:szCs w:val="24"/>
      <w:lang w:bidi="en-US"/>
    </w:rPr>
  </w:style>
  <w:style w:type="character" w:customStyle="1" w:styleId="SubtitleChar">
    <w:name w:val="Subtitle Char"/>
    <w:basedOn w:val="DefaultParagraphFont"/>
    <w:link w:val="Subtitle"/>
    <w:uiPriority w:val="99"/>
    <w:semiHidden/>
    <w:rsid w:val="002D57A7"/>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2D57A7"/>
    <w:pPr>
      <w:numPr>
        <w:numId w:val="3"/>
      </w:numPr>
    </w:pPr>
  </w:style>
  <w:style w:type="paragraph" w:customStyle="1" w:styleId="JuPara">
    <w:name w:val="Ju_Para"/>
    <w:aliases w:val="_Para"/>
    <w:basedOn w:val="NormalJustified"/>
    <w:link w:val="JuParaChar"/>
    <w:uiPriority w:val="8"/>
    <w:qFormat/>
    <w:rsid w:val="002D57A7"/>
    <w:pPr>
      <w:ind w:firstLine="284"/>
    </w:pPr>
  </w:style>
  <w:style w:type="numbering" w:styleId="1ai">
    <w:name w:val="Outline List 1"/>
    <w:basedOn w:val="NoList"/>
    <w:uiPriority w:val="99"/>
    <w:semiHidden/>
    <w:unhideWhenUsed/>
    <w:rsid w:val="002D57A7"/>
    <w:pPr>
      <w:numPr>
        <w:numId w:val="4"/>
      </w:numPr>
    </w:pPr>
  </w:style>
  <w:style w:type="table" w:customStyle="1" w:styleId="ECHRTableSimpleBox">
    <w:name w:val="ECHR_Table_Simple_Box"/>
    <w:basedOn w:val="TableNormal"/>
    <w:uiPriority w:val="99"/>
    <w:rsid w:val="002D57A7"/>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2D57A7"/>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2D57A7"/>
    <w:pPr>
      <w:numPr>
        <w:numId w:val="5"/>
      </w:numPr>
    </w:pPr>
  </w:style>
  <w:style w:type="table" w:customStyle="1" w:styleId="ECHRTableForInternalUse">
    <w:name w:val="ECHR_Table_For_Internal_Use"/>
    <w:basedOn w:val="TableNormal"/>
    <w:uiPriority w:val="99"/>
    <w:rsid w:val="002D57A7"/>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64393B"/>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9"/>
    <w:semiHidden/>
    <w:rsid w:val="002D57A7"/>
  </w:style>
  <w:style w:type="paragraph" w:styleId="BlockText">
    <w:name w:val="Block Text"/>
    <w:basedOn w:val="Normal"/>
    <w:uiPriority w:val="99"/>
    <w:semiHidden/>
    <w:rsid w:val="002D57A7"/>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2D57A7"/>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9"/>
    <w:semiHidden/>
    <w:rsid w:val="002D57A7"/>
    <w:pPr>
      <w:spacing w:after="120"/>
    </w:pPr>
  </w:style>
  <w:style w:type="character" w:customStyle="1" w:styleId="BodyTextChar">
    <w:name w:val="Body Text Char"/>
    <w:basedOn w:val="DefaultParagraphFont"/>
    <w:link w:val="BodyText"/>
    <w:uiPriority w:val="99"/>
    <w:semiHidden/>
    <w:rsid w:val="002D57A7"/>
    <w:rPr>
      <w:rFonts w:eastAsiaTheme="minorEastAsia"/>
      <w:sz w:val="24"/>
      <w:lang w:val="en-GB"/>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9"/>
    <w:semiHidden/>
    <w:rsid w:val="002D57A7"/>
    <w:pPr>
      <w:spacing w:after="120" w:line="480" w:lineRule="auto"/>
    </w:pPr>
  </w:style>
  <w:style w:type="table" w:customStyle="1" w:styleId="ECHRHeaderTableReduced">
    <w:name w:val="ECHR_Header_Table_Reduced"/>
    <w:basedOn w:val="TableNormal"/>
    <w:uiPriority w:val="99"/>
    <w:rsid w:val="002D57A7"/>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basedOn w:val="Normal"/>
    <w:next w:val="JuPara"/>
    <w:uiPriority w:val="31"/>
    <w:rsid w:val="002D57A7"/>
    <w:pPr>
      <w:ind w:firstLine="284"/>
    </w:pPr>
    <w:rPr>
      <w:b/>
    </w:rPr>
  </w:style>
  <w:style w:type="character" w:styleId="PageNumber">
    <w:name w:val="page number"/>
    <w:uiPriority w:val="99"/>
    <w:semiHidden/>
    <w:rsid w:val="002D57A7"/>
    <w:rPr>
      <w:sz w:val="18"/>
    </w:rPr>
  </w:style>
  <w:style w:type="paragraph" w:styleId="ListBullet">
    <w:name w:val="List Bullet"/>
    <w:basedOn w:val="Normal"/>
    <w:uiPriority w:val="99"/>
    <w:semiHidden/>
    <w:rsid w:val="002D57A7"/>
    <w:pPr>
      <w:numPr>
        <w:numId w:val="37"/>
      </w:numPr>
    </w:pPr>
  </w:style>
  <w:style w:type="paragraph" w:styleId="ListBullet3">
    <w:name w:val="List Bullet 3"/>
    <w:basedOn w:val="Normal"/>
    <w:uiPriority w:val="99"/>
    <w:semiHidden/>
    <w:rsid w:val="002D57A7"/>
    <w:pPr>
      <w:numPr>
        <w:numId w:val="39"/>
      </w:numPr>
      <w:contextualSpacing/>
    </w:pPr>
  </w:style>
  <w:style w:type="character" w:customStyle="1" w:styleId="BodyText2Char">
    <w:name w:val="Body Text 2 Char"/>
    <w:basedOn w:val="DefaultParagraphFont"/>
    <w:link w:val="BodyText2"/>
    <w:uiPriority w:val="99"/>
    <w:semiHidden/>
    <w:rsid w:val="002D57A7"/>
    <w:rPr>
      <w:rFonts w:eastAsiaTheme="minorEastAsia"/>
      <w:sz w:val="24"/>
      <w:lang w:val="en-GB"/>
    </w:rPr>
  </w:style>
  <w:style w:type="paragraph" w:styleId="BodyText3">
    <w:name w:val="Body Text 3"/>
    <w:basedOn w:val="Normal"/>
    <w:link w:val="BodyText3Char"/>
    <w:uiPriority w:val="99"/>
    <w:semiHidden/>
    <w:rsid w:val="002D57A7"/>
    <w:pPr>
      <w:spacing w:after="120"/>
    </w:pPr>
    <w:rPr>
      <w:sz w:val="16"/>
      <w:szCs w:val="16"/>
    </w:rPr>
  </w:style>
  <w:style w:type="character" w:customStyle="1" w:styleId="BodyText3Char">
    <w:name w:val="Body Text 3 Char"/>
    <w:basedOn w:val="DefaultParagraphFont"/>
    <w:link w:val="BodyText3"/>
    <w:uiPriority w:val="99"/>
    <w:semiHidden/>
    <w:rsid w:val="002D57A7"/>
    <w:rPr>
      <w:rFonts w:eastAsiaTheme="minorEastAsia"/>
      <w:sz w:val="16"/>
      <w:szCs w:val="16"/>
      <w:lang w:val="en-GB"/>
    </w:rPr>
  </w:style>
  <w:style w:type="paragraph" w:styleId="BodyTextFirstIndent">
    <w:name w:val="Body Text First Indent"/>
    <w:basedOn w:val="BodyText"/>
    <w:link w:val="BodyTextFirstIndentChar"/>
    <w:uiPriority w:val="99"/>
    <w:semiHidden/>
    <w:rsid w:val="002D57A7"/>
    <w:pPr>
      <w:spacing w:after="0"/>
      <w:ind w:firstLine="360"/>
    </w:pPr>
  </w:style>
  <w:style w:type="character" w:customStyle="1" w:styleId="BodyTextFirstIndentChar">
    <w:name w:val="Body Text First Indent Char"/>
    <w:basedOn w:val="BodyTextChar"/>
    <w:link w:val="BodyTextFirstIndent"/>
    <w:uiPriority w:val="99"/>
    <w:semiHidden/>
    <w:rsid w:val="002D57A7"/>
    <w:rPr>
      <w:rFonts w:eastAsiaTheme="minorEastAsia"/>
      <w:sz w:val="24"/>
      <w:lang w:val="en-GB"/>
    </w:rPr>
  </w:style>
  <w:style w:type="paragraph" w:styleId="BodyTextIndent">
    <w:name w:val="Body Text Indent"/>
    <w:basedOn w:val="Normal"/>
    <w:link w:val="BodyTextIndentChar"/>
    <w:uiPriority w:val="99"/>
    <w:semiHidden/>
    <w:rsid w:val="002D57A7"/>
    <w:pPr>
      <w:spacing w:after="120"/>
      <w:ind w:left="283"/>
    </w:pPr>
  </w:style>
  <w:style w:type="character" w:customStyle="1" w:styleId="BodyTextIndentChar">
    <w:name w:val="Body Text Indent Char"/>
    <w:basedOn w:val="DefaultParagraphFont"/>
    <w:link w:val="BodyTextIndent"/>
    <w:uiPriority w:val="99"/>
    <w:semiHidden/>
    <w:rsid w:val="002D57A7"/>
    <w:rPr>
      <w:rFonts w:eastAsiaTheme="minorEastAsia"/>
      <w:sz w:val="24"/>
      <w:lang w:val="en-GB"/>
    </w:rPr>
  </w:style>
  <w:style w:type="paragraph" w:styleId="BodyTextFirstIndent2">
    <w:name w:val="Body Text First Indent 2"/>
    <w:basedOn w:val="BodyTextIndent"/>
    <w:link w:val="BodyTextFirstIndent2Char"/>
    <w:uiPriority w:val="99"/>
    <w:semiHidden/>
    <w:rsid w:val="002D57A7"/>
    <w:pPr>
      <w:spacing w:after="0"/>
      <w:ind w:left="360" w:firstLine="360"/>
    </w:pPr>
  </w:style>
  <w:style w:type="character" w:customStyle="1" w:styleId="BodyTextFirstIndent2Char">
    <w:name w:val="Body Text First Indent 2 Char"/>
    <w:basedOn w:val="BodyTextIndentChar"/>
    <w:link w:val="BodyTextFirstIndent2"/>
    <w:uiPriority w:val="99"/>
    <w:semiHidden/>
    <w:rsid w:val="002D57A7"/>
    <w:rPr>
      <w:rFonts w:eastAsiaTheme="minorEastAsia"/>
      <w:sz w:val="24"/>
      <w:lang w:val="en-GB"/>
    </w:rPr>
  </w:style>
  <w:style w:type="paragraph" w:styleId="BodyTextIndent2">
    <w:name w:val="Body Text Indent 2"/>
    <w:basedOn w:val="Normal"/>
    <w:link w:val="BodyTextIndent2Char"/>
    <w:uiPriority w:val="99"/>
    <w:semiHidden/>
    <w:rsid w:val="002D57A7"/>
    <w:pPr>
      <w:spacing w:after="120" w:line="480" w:lineRule="auto"/>
      <w:ind w:left="283"/>
    </w:pPr>
  </w:style>
  <w:style w:type="character" w:customStyle="1" w:styleId="BodyTextIndent2Char">
    <w:name w:val="Body Text Indent 2 Char"/>
    <w:basedOn w:val="DefaultParagraphFont"/>
    <w:link w:val="BodyTextIndent2"/>
    <w:uiPriority w:val="99"/>
    <w:semiHidden/>
    <w:rsid w:val="002D57A7"/>
    <w:rPr>
      <w:rFonts w:eastAsiaTheme="minorEastAsia"/>
      <w:sz w:val="24"/>
      <w:lang w:val="en-GB"/>
    </w:rPr>
  </w:style>
  <w:style w:type="paragraph" w:styleId="BodyTextIndent3">
    <w:name w:val="Body Text Indent 3"/>
    <w:basedOn w:val="Normal"/>
    <w:link w:val="BodyTextIndent3Char"/>
    <w:uiPriority w:val="99"/>
    <w:semiHidden/>
    <w:rsid w:val="002D57A7"/>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2D57A7"/>
    <w:rPr>
      <w:rFonts w:eastAsiaTheme="minorEastAsia"/>
      <w:sz w:val="16"/>
      <w:szCs w:val="16"/>
      <w:lang w:val="en-GB"/>
    </w:rPr>
  </w:style>
  <w:style w:type="paragraph" w:styleId="Caption">
    <w:name w:val="caption"/>
    <w:basedOn w:val="Normal"/>
    <w:next w:val="Normal"/>
    <w:uiPriority w:val="99"/>
    <w:semiHidden/>
    <w:qFormat/>
    <w:rsid w:val="002D57A7"/>
    <w:pPr>
      <w:spacing w:after="200"/>
    </w:pPr>
    <w:rPr>
      <w:b/>
      <w:bCs/>
      <w:color w:val="0072BC" w:themeColor="accent1"/>
      <w:sz w:val="18"/>
      <w:szCs w:val="18"/>
    </w:rPr>
  </w:style>
  <w:style w:type="paragraph" w:styleId="Closing">
    <w:name w:val="Closing"/>
    <w:basedOn w:val="Normal"/>
    <w:link w:val="ClosingChar"/>
    <w:uiPriority w:val="99"/>
    <w:semiHidden/>
    <w:rsid w:val="002D57A7"/>
    <w:pPr>
      <w:ind w:left="4252"/>
    </w:pPr>
  </w:style>
  <w:style w:type="character" w:customStyle="1" w:styleId="ClosingChar">
    <w:name w:val="Closing Char"/>
    <w:basedOn w:val="DefaultParagraphFont"/>
    <w:link w:val="Closing"/>
    <w:uiPriority w:val="99"/>
    <w:semiHidden/>
    <w:rsid w:val="002D57A7"/>
    <w:rPr>
      <w:rFonts w:eastAsiaTheme="minorEastAsia"/>
      <w:sz w:val="24"/>
      <w:lang w:val="en-GB"/>
    </w:rPr>
  </w:style>
  <w:style w:type="table" w:styleId="ColorfulGrid">
    <w:name w:val="Colorful Grid"/>
    <w:basedOn w:val="TableNormal"/>
    <w:uiPriority w:val="73"/>
    <w:semiHidden/>
    <w:rsid w:val="002D57A7"/>
    <w:rPr>
      <w:color w:val="000000" w:themeColor="text1"/>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2D57A7"/>
    <w:rPr>
      <w:color w:val="000000" w:themeColor="text1"/>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2D57A7"/>
    <w:rPr>
      <w:color w:val="000000" w:themeColor="text1"/>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2D57A7"/>
    <w:rPr>
      <w:color w:val="000000" w:themeColor="text1"/>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2D57A7"/>
    <w:rPr>
      <w:color w:val="000000" w:themeColor="text1"/>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2D57A7"/>
    <w:rPr>
      <w:color w:val="000000" w:themeColor="text1"/>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2D57A7"/>
    <w:rPr>
      <w:color w:val="000000" w:themeColor="text1"/>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2D57A7"/>
    <w:rPr>
      <w:color w:val="000000" w:themeColor="text1"/>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2D57A7"/>
    <w:rPr>
      <w:color w:val="000000" w:themeColor="text1"/>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2D57A7"/>
    <w:rPr>
      <w:color w:val="000000" w:themeColor="text1"/>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2D57A7"/>
    <w:rPr>
      <w:color w:val="000000" w:themeColor="text1"/>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2D57A7"/>
    <w:rPr>
      <w:color w:val="000000" w:themeColor="text1"/>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2D57A7"/>
    <w:rPr>
      <w:color w:val="000000" w:themeColor="text1"/>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2D57A7"/>
    <w:rPr>
      <w:color w:val="000000" w:themeColor="text1"/>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2D57A7"/>
    <w:rPr>
      <w:color w:val="000000" w:themeColor="text1"/>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2D57A7"/>
    <w:rPr>
      <w:color w:val="000000" w:themeColor="text1"/>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2D57A7"/>
    <w:rPr>
      <w:color w:val="000000" w:themeColor="text1"/>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2D57A7"/>
    <w:rPr>
      <w:color w:val="000000" w:themeColor="text1"/>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2D57A7"/>
    <w:rPr>
      <w:color w:val="000000" w:themeColor="text1"/>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2D57A7"/>
    <w:rPr>
      <w:color w:val="000000" w:themeColor="text1"/>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2D57A7"/>
    <w:rPr>
      <w:color w:val="000000" w:themeColor="text1"/>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rsid w:val="002D57A7"/>
    <w:rPr>
      <w:sz w:val="16"/>
      <w:szCs w:val="16"/>
    </w:rPr>
  </w:style>
  <w:style w:type="paragraph" w:styleId="CommentText">
    <w:name w:val="annotation text"/>
    <w:basedOn w:val="Normal"/>
    <w:link w:val="CommentTextChar"/>
    <w:semiHidden/>
    <w:rsid w:val="002D57A7"/>
    <w:rPr>
      <w:sz w:val="20"/>
      <w:szCs w:val="20"/>
    </w:rPr>
  </w:style>
  <w:style w:type="character" w:customStyle="1" w:styleId="CommentTextChar">
    <w:name w:val="Comment Text Char"/>
    <w:basedOn w:val="DefaultParagraphFont"/>
    <w:link w:val="CommentText"/>
    <w:semiHidden/>
    <w:rsid w:val="002D57A7"/>
    <w:rPr>
      <w:rFonts w:eastAsiaTheme="minorEastAsia"/>
      <w:sz w:val="20"/>
      <w:szCs w:val="20"/>
      <w:lang w:val="en-GB"/>
    </w:rPr>
  </w:style>
  <w:style w:type="paragraph" w:styleId="CommentSubject">
    <w:name w:val="annotation subject"/>
    <w:basedOn w:val="CommentText"/>
    <w:next w:val="CommentText"/>
    <w:link w:val="CommentSubjectChar"/>
    <w:uiPriority w:val="99"/>
    <w:semiHidden/>
    <w:rsid w:val="002D57A7"/>
    <w:rPr>
      <w:b/>
      <w:bCs/>
    </w:rPr>
  </w:style>
  <w:style w:type="character" w:customStyle="1" w:styleId="CommentSubjectChar">
    <w:name w:val="Comment Subject Char"/>
    <w:basedOn w:val="CommentTextChar"/>
    <w:link w:val="CommentSubject"/>
    <w:uiPriority w:val="99"/>
    <w:semiHidden/>
    <w:rsid w:val="002D57A7"/>
    <w:rPr>
      <w:rFonts w:eastAsiaTheme="minorEastAsia"/>
      <w:b/>
      <w:bCs/>
      <w:sz w:val="20"/>
      <w:szCs w:val="20"/>
      <w:lang w:val="en-GB"/>
    </w:rPr>
  </w:style>
  <w:style w:type="table" w:styleId="DarkList">
    <w:name w:val="Dark List"/>
    <w:basedOn w:val="TableNormal"/>
    <w:uiPriority w:val="70"/>
    <w:semiHidden/>
    <w:rsid w:val="002D57A7"/>
    <w:rPr>
      <w:color w:val="0072BC"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2D57A7"/>
    <w:rPr>
      <w:color w:val="0072BC" w:themeColor="background1"/>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2D57A7"/>
    <w:rPr>
      <w:color w:val="0072BC" w:themeColor="background1"/>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2D57A7"/>
    <w:rPr>
      <w:color w:val="0072BC" w:themeColor="background1"/>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2D57A7"/>
    <w:rPr>
      <w:color w:val="0072BC" w:themeColor="background1"/>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2D57A7"/>
    <w:rPr>
      <w:color w:val="0072BC" w:themeColor="background1"/>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2D57A7"/>
    <w:rPr>
      <w:color w:val="0072BC" w:themeColor="background1"/>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2D57A7"/>
  </w:style>
  <w:style w:type="character" w:customStyle="1" w:styleId="DateChar">
    <w:name w:val="Date Char"/>
    <w:basedOn w:val="DefaultParagraphFont"/>
    <w:link w:val="Date"/>
    <w:uiPriority w:val="99"/>
    <w:semiHidden/>
    <w:rsid w:val="002D57A7"/>
    <w:rPr>
      <w:rFonts w:eastAsiaTheme="minorEastAsia"/>
      <w:sz w:val="24"/>
      <w:lang w:val="en-GB"/>
    </w:rPr>
  </w:style>
  <w:style w:type="paragraph" w:styleId="DocumentMap">
    <w:name w:val="Document Map"/>
    <w:basedOn w:val="Normal"/>
    <w:link w:val="DocumentMapChar"/>
    <w:uiPriority w:val="99"/>
    <w:semiHidden/>
    <w:rsid w:val="002D57A7"/>
    <w:rPr>
      <w:rFonts w:ascii="Tahoma" w:hAnsi="Tahoma" w:cs="Tahoma"/>
      <w:sz w:val="16"/>
      <w:szCs w:val="16"/>
    </w:rPr>
  </w:style>
  <w:style w:type="character" w:customStyle="1" w:styleId="DocumentMapChar">
    <w:name w:val="Document Map Char"/>
    <w:basedOn w:val="DefaultParagraphFont"/>
    <w:link w:val="DocumentMap"/>
    <w:uiPriority w:val="99"/>
    <w:semiHidden/>
    <w:rsid w:val="002D57A7"/>
    <w:rPr>
      <w:rFonts w:ascii="Tahoma" w:eastAsiaTheme="minorEastAsia" w:hAnsi="Tahoma" w:cs="Tahoma"/>
      <w:sz w:val="16"/>
      <w:szCs w:val="16"/>
      <w:lang w:val="en-GB"/>
    </w:rPr>
  </w:style>
  <w:style w:type="paragraph" w:styleId="E-mailSignature">
    <w:name w:val="E-mail Signature"/>
    <w:basedOn w:val="Normal"/>
    <w:link w:val="E-mailSignatureChar"/>
    <w:uiPriority w:val="99"/>
    <w:semiHidden/>
    <w:rsid w:val="002D57A7"/>
  </w:style>
  <w:style w:type="character" w:customStyle="1" w:styleId="E-mailSignatureChar">
    <w:name w:val="E-mail Signature Char"/>
    <w:basedOn w:val="DefaultParagraphFont"/>
    <w:link w:val="E-mailSignature"/>
    <w:uiPriority w:val="99"/>
    <w:semiHidden/>
    <w:rsid w:val="002D57A7"/>
    <w:rPr>
      <w:rFonts w:eastAsiaTheme="minorEastAsia"/>
      <w:sz w:val="24"/>
      <w:lang w:val="en-GB"/>
    </w:rPr>
  </w:style>
  <w:style w:type="character" w:styleId="EndnoteReference">
    <w:name w:val="endnote reference"/>
    <w:basedOn w:val="DefaultParagraphFont"/>
    <w:uiPriority w:val="99"/>
    <w:semiHidden/>
    <w:rsid w:val="002D57A7"/>
    <w:rPr>
      <w:vertAlign w:val="superscript"/>
    </w:rPr>
  </w:style>
  <w:style w:type="paragraph" w:styleId="EndnoteText">
    <w:name w:val="endnote text"/>
    <w:basedOn w:val="Normal"/>
    <w:link w:val="EndnoteTextChar"/>
    <w:uiPriority w:val="99"/>
    <w:semiHidden/>
    <w:rsid w:val="002D57A7"/>
    <w:rPr>
      <w:sz w:val="20"/>
      <w:szCs w:val="20"/>
    </w:rPr>
  </w:style>
  <w:style w:type="character" w:customStyle="1" w:styleId="EndnoteTextChar">
    <w:name w:val="Endnote Text Char"/>
    <w:basedOn w:val="DefaultParagraphFont"/>
    <w:link w:val="EndnoteText"/>
    <w:uiPriority w:val="99"/>
    <w:semiHidden/>
    <w:rsid w:val="002D57A7"/>
    <w:rPr>
      <w:rFonts w:eastAsiaTheme="minorEastAsia"/>
      <w:sz w:val="20"/>
      <w:szCs w:val="20"/>
      <w:lang w:val="en-GB"/>
    </w:rPr>
  </w:style>
  <w:style w:type="paragraph" w:styleId="EnvelopeAddress">
    <w:name w:val="envelope address"/>
    <w:basedOn w:val="Normal"/>
    <w:uiPriority w:val="99"/>
    <w:semiHidden/>
    <w:rsid w:val="002D57A7"/>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2D57A7"/>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rsid w:val="002D57A7"/>
    <w:rPr>
      <w:color w:val="7030A0" w:themeColor="followedHyperlink"/>
      <w:u w:val="single"/>
    </w:rPr>
  </w:style>
  <w:style w:type="character" w:styleId="HTMLAcronym">
    <w:name w:val="HTML Acronym"/>
    <w:basedOn w:val="DefaultParagraphFont"/>
    <w:uiPriority w:val="99"/>
    <w:semiHidden/>
    <w:rsid w:val="002D57A7"/>
  </w:style>
  <w:style w:type="paragraph" w:styleId="HTMLAddress">
    <w:name w:val="HTML Address"/>
    <w:basedOn w:val="Normal"/>
    <w:link w:val="HTMLAddressChar"/>
    <w:uiPriority w:val="99"/>
    <w:semiHidden/>
    <w:rsid w:val="002D57A7"/>
    <w:rPr>
      <w:i/>
      <w:iCs/>
    </w:rPr>
  </w:style>
  <w:style w:type="character" w:customStyle="1" w:styleId="HTMLAddressChar">
    <w:name w:val="HTML Address Char"/>
    <w:basedOn w:val="DefaultParagraphFont"/>
    <w:link w:val="HTMLAddress"/>
    <w:uiPriority w:val="99"/>
    <w:semiHidden/>
    <w:rsid w:val="002D57A7"/>
    <w:rPr>
      <w:rFonts w:eastAsiaTheme="minorEastAsia"/>
      <w:i/>
      <w:iCs/>
      <w:sz w:val="24"/>
      <w:lang w:val="en-GB"/>
    </w:rPr>
  </w:style>
  <w:style w:type="character" w:styleId="HTMLCite">
    <w:name w:val="HTML Cite"/>
    <w:basedOn w:val="DefaultParagraphFont"/>
    <w:uiPriority w:val="99"/>
    <w:semiHidden/>
    <w:rsid w:val="002D57A7"/>
    <w:rPr>
      <w:i/>
      <w:iCs/>
    </w:rPr>
  </w:style>
  <w:style w:type="character" w:styleId="HTMLCode">
    <w:name w:val="HTML Code"/>
    <w:basedOn w:val="DefaultParagraphFont"/>
    <w:uiPriority w:val="99"/>
    <w:semiHidden/>
    <w:rsid w:val="002D57A7"/>
    <w:rPr>
      <w:rFonts w:ascii="Consolas" w:hAnsi="Consolas" w:cs="Consolas"/>
      <w:sz w:val="20"/>
      <w:szCs w:val="20"/>
    </w:rPr>
  </w:style>
  <w:style w:type="character" w:styleId="HTMLDefinition">
    <w:name w:val="HTML Definition"/>
    <w:basedOn w:val="DefaultParagraphFont"/>
    <w:uiPriority w:val="99"/>
    <w:semiHidden/>
    <w:rsid w:val="002D57A7"/>
    <w:rPr>
      <w:i/>
      <w:iCs/>
    </w:rPr>
  </w:style>
  <w:style w:type="character" w:styleId="HTMLKeyboard">
    <w:name w:val="HTML Keyboard"/>
    <w:basedOn w:val="DefaultParagraphFont"/>
    <w:uiPriority w:val="99"/>
    <w:semiHidden/>
    <w:rsid w:val="002D57A7"/>
    <w:rPr>
      <w:rFonts w:ascii="Consolas" w:hAnsi="Consolas" w:cs="Consolas"/>
      <w:sz w:val="20"/>
      <w:szCs w:val="20"/>
    </w:rPr>
  </w:style>
  <w:style w:type="paragraph" w:styleId="HTMLPreformatted">
    <w:name w:val="HTML Preformatted"/>
    <w:basedOn w:val="Normal"/>
    <w:link w:val="HTMLPreformattedChar"/>
    <w:uiPriority w:val="99"/>
    <w:semiHidden/>
    <w:rsid w:val="002D57A7"/>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2D57A7"/>
    <w:rPr>
      <w:rFonts w:ascii="Consolas" w:eastAsiaTheme="minorEastAsia" w:hAnsi="Consolas" w:cs="Consolas"/>
      <w:sz w:val="20"/>
      <w:szCs w:val="20"/>
      <w:lang w:val="en-GB"/>
    </w:rPr>
  </w:style>
  <w:style w:type="character" w:styleId="HTMLSample">
    <w:name w:val="HTML Sample"/>
    <w:basedOn w:val="DefaultParagraphFont"/>
    <w:uiPriority w:val="99"/>
    <w:semiHidden/>
    <w:rsid w:val="002D57A7"/>
    <w:rPr>
      <w:rFonts w:ascii="Consolas" w:hAnsi="Consolas" w:cs="Consolas"/>
      <w:sz w:val="24"/>
      <w:szCs w:val="24"/>
    </w:rPr>
  </w:style>
  <w:style w:type="character" w:styleId="HTMLTypewriter">
    <w:name w:val="HTML Typewriter"/>
    <w:basedOn w:val="DefaultParagraphFont"/>
    <w:uiPriority w:val="99"/>
    <w:semiHidden/>
    <w:rsid w:val="002D57A7"/>
    <w:rPr>
      <w:rFonts w:ascii="Consolas" w:hAnsi="Consolas" w:cs="Consolas"/>
      <w:sz w:val="20"/>
      <w:szCs w:val="20"/>
    </w:rPr>
  </w:style>
  <w:style w:type="character" w:styleId="HTMLVariable">
    <w:name w:val="HTML Variable"/>
    <w:basedOn w:val="DefaultParagraphFont"/>
    <w:uiPriority w:val="99"/>
    <w:semiHidden/>
    <w:rsid w:val="002D57A7"/>
    <w:rPr>
      <w:i/>
      <w:iCs/>
    </w:rPr>
  </w:style>
  <w:style w:type="paragraph" w:styleId="Index1">
    <w:name w:val="index 1"/>
    <w:basedOn w:val="Normal"/>
    <w:next w:val="Normal"/>
    <w:autoRedefine/>
    <w:uiPriority w:val="99"/>
    <w:semiHidden/>
    <w:rsid w:val="002D57A7"/>
    <w:pPr>
      <w:ind w:left="240" w:hanging="240"/>
    </w:pPr>
  </w:style>
  <w:style w:type="paragraph" w:styleId="Index2">
    <w:name w:val="index 2"/>
    <w:basedOn w:val="Normal"/>
    <w:next w:val="Normal"/>
    <w:autoRedefine/>
    <w:uiPriority w:val="99"/>
    <w:semiHidden/>
    <w:rsid w:val="002D57A7"/>
    <w:pPr>
      <w:ind w:left="480" w:hanging="240"/>
    </w:pPr>
  </w:style>
  <w:style w:type="paragraph" w:styleId="Index3">
    <w:name w:val="index 3"/>
    <w:basedOn w:val="Normal"/>
    <w:next w:val="Normal"/>
    <w:autoRedefine/>
    <w:uiPriority w:val="99"/>
    <w:semiHidden/>
    <w:rsid w:val="002D57A7"/>
    <w:pPr>
      <w:ind w:left="720" w:hanging="240"/>
    </w:pPr>
  </w:style>
  <w:style w:type="paragraph" w:styleId="Index4">
    <w:name w:val="index 4"/>
    <w:basedOn w:val="Normal"/>
    <w:next w:val="Normal"/>
    <w:autoRedefine/>
    <w:uiPriority w:val="99"/>
    <w:semiHidden/>
    <w:rsid w:val="002D57A7"/>
    <w:pPr>
      <w:ind w:left="960" w:hanging="240"/>
    </w:pPr>
  </w:style>
  <w:style w:type="paragraph" w:styleId="Index5">
    <w:name w:val="index 5"/>
    <w:basedOn w:val="Normal"/>
    <w:next w:val="Normal"/>
    <w:autoRedefine/>
    <w:uiPriority w:val="99"/>
    <w:semiHidden/>
    <w:rsid w:val="002D57A7"/>
    <w:pPr>
      <w:ind w:left="1200" w:hanging="240"/>
    </w:pPr>
  </w:style>
  <w:style w:type="paragraph" w:styleId="Index6">
    <w:name w:val="index 6"/>
    <w:basedOn w:val="Normal"/>
    <w:next w:val="Normal"/>
    <w:autoRedefine/>
    <w:uiPriority w:val="99"/>
    <w:semiHidden/>
    <w:rsid w:val="002D57A7"/>
    <w:pPr>
      <w:ind w:left="1440" w:hanging="240"/>
    </w:pPr>
  </w:style>
  <w:style w:type="paragraph" w:styleId="Index7">
    <w:name w:val="index 7"/>
    <w:basedOn w:val="Normal"/>
    <w:next w:val="Normal"/>
    <w:autoRedefine/>
    <w:uiPriority w:val="99"/>
    <w:semiHidden/>
    <w:rsid w:val="002D57A7"/>
    <w:pPr>
      <w:ind w:left="1680" w:hanging="240"/>
    </w:pPr>
  </w:style>
  <w:style w:type="paragraph" w:styleId="Index8">
    <w:name w:val="index 8"/>
    <w:basedOn w:val="Normal"/>
    <w:next w:val="Normal"/>
    <w:autoRedefine/>
    <w:uiPriority w:val="99"/>
    <w:semiHidden/>
    <w:rsid w:val="002D57A7"/>
    <w:pPr>
      <w:ind w:left="1920" w:hanging="240"/>
    </w:pPr>
  </w:style>
  <w:style w:type="paragraph" w:styleId="Index9">
    <w:name w:val="index 9"/>
    <w:basedOn w:val="Normal"/>
    <w:next w:val="Normal"/>
    <w:autoRedefine/>
    <w:uiPriority w:val="99"/>
    <w:semiHidden/>
    <w:rsid w:val="002D57A7"/>
    <w:pPr>
      <w:ind w:left="2160" w:hanging="240"/>
    </w:pPr>
  </w:style>
  <w:style w:type="paragraph" w:styleId="IndexHeading">
    <w:name w:val="index heading"/>
    <w:basedOn w:val="Normal"/>
    <w:next w:val="Index1"/>
    <w:uiPriority w:val="99"/>
    <w:semiHidden/>
    <w:rsid w:val="002D57A7"/>
    <w:rPr>
      <w:rFonts w:asciiTheme="majorHAnsi" w:eastAsiaTheme="majorEastAsia" w:hAnsiTheme="majorHAnsi" w:cstheme="majorBidi"/>
      <w:b/>
      <w:bCs/>
    </w:rPr>
  </w:style>
  <w:style w:type="table" w:styleId="LightGrid">
    <w:name w:val="Light Grid"/>
    <w:basedOn w:val="TableNormal"/>
    <w:uiPriority w:val="62"/>
    <w:semiHidden/>
    <w:rsid w:val="002D57A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2D57A7"/>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2D57A7"/>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2D57A7"/>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2D57A7"/>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2D57A7"/>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2D57A7"/>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2D57A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2D57A7"/>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2D57A7"/>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2D57A7"/>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2D57A7"/>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2D57A7"/>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2D57A7"/>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2D57A7"/>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2D57A7"/>
    <w:rPr>
      <w:color w:val="00548C" w:themeColor="accent1" w:themeShade="BF"/>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2D57A7"/>
    <w:rPr>
      <w:color w:val="8F0000" w:themeColor="accent2" w:themeShade="BF"/>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2D57A7"/>
    <w:rPr>
      <w:color w:val="474747" w:themeColor="accent3" w:themeShade="BF"/>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2D57A7"/>
    <w:rPr>
      <w:color w:val="707070" w:themeColor="accent4" w:themeShade="BF"/>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2D57A7"/>
    <w:rPr>
      <w:color w:val="474747" w:themeColor="accent5" w:themeShade="BF"/>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2D57A7"/>
    <w:rPr>
      <w:color w:val="393939" w:themeColor="accent6" w:themeShade="BF"/>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2D57A7"/>
  </w:style>
  <w:style w:type="paragraph" w:styleId="List">
    <w:name w:val="List"/>
    <w:basedOn w:val="Normal"/>
    <w:uiPriority w:val="99"/>
    <w:semiHidden/>
    <w:rsid w:val="002D57A7"/>
    <w:pPr>
      <w:ind w:left="283" w:hanging="283"/>
      <w:contextualSpacing/>
    </w:pPr>
  </w:style>
  <w:style w:type="paragraph" w:styleId="List2">
    <w:name w:val="List 2"/>
    <w:basedOn w:val="Normal"/>
    <w:uiPriority w:val="99"/>
    <w:semiHidden/>
    <w:rsid w:val="002D57A7"/>
    <w:pPr>
      <w:ind w:left="566" w:hanging="283"/>
      <w:contextualSpacing/>
    </w:pPr>
  </w:style>
  <w:style w:type="paragraph" w:styleId="List3">
    <w:name w:val="List 3"/>
    <w:basedOn w:val="Normal"/>
    <w:uiPriority w:val="99"/>
    <w:semiHidden/>
    <w:rsid w:val="002D57A7"/>
    <w:pPr>
      <w:ind w:left="849" w:hanging="283"/>
      <w:contextualSpacing/>
    </w:pPr>
  </w:style>
  <w:style w:type="paragraph" w:styleId="List4">
    <w:name w:val="List 4"/>
    <w:basedOn w:val="Normal"/>
    <w:uiPriority w:val="99"/>
    <w:semiHidden/>
    <w:rsid w:val="002D57A7"/>
    <w:pPr>
      <w:ind w:left="1132" w:hanging="283"/>
      <w:contextualSpacing/>
    </w:pPr>
  </w:style>
  <w:style w:type="paragraph" w:styleId="List5">
    <w:name w:val="List 5"/>
    <w:basedOn w:val="Normal"/>
    <w:uiPriority w:val="99"/>
    <w:semiHidden/>
    <w:rsid w:val="002D57A7"/>
    <w:pPr>
      <w:ind w:left="1415" w:hanging="283"/>
      <w:contextualSpacing/>
    </w:pPr>
  </w:style>
  <w:style w:type="paragraph" w:styleId="ListBullet2">
    <w:name w:val="List Bullet 2"/>
    <w:basedOn w:val="Normal"/>
    <w:uiPriority w:val="99"/>
    <w:semiHidden/>
    <w:rsid w:val="002D57A7"/>
    <w:pPr>
      <w:numPr>
        <w:numId w:val="38"/>
      </w:numPr>
      <w:contextualSpacing/>
    </w:pPr>
  </w:style>
  <w:style w:type="paragraph" w:styleId="ListBullet4">
    <w:name w:val="List Bullet 4"/>
    <w:basedOn w:val="Normal"/>
    <w:uiPriority w:val="99"/>
    <w:semiHidden/>
    <w:rsid w:val="002D57A7"/>
    <w:pPr>
      <w:numPr>
        <w:numId w:val="40"/>
      </w:numPr>
      <w:contextualSpacing/>
    </w:pPr>
  </w:style>
  <w:style w:type="paragraph" w:styleId="ListBullet5">
    <w:name w:val="List Bullet 5"/>
    <w:basedOn w:val="Normal"/>
    <w:uiPriority w:val="99"/>
    <w:semiHidden/>
    <w:rsid w:val="002D57A7"/>
    <w:pPr>
      <w:numPr>
        <w:numId w:val="41"/>
      </w:numPr>
      <w:contextualSpacing/>
    </w:pPr>
  </w:style>
  <w:style w:type="paragraph" w:styleId="ListContinue">
    <w:name w:val="List Continue"/>
    <w:basedOn w:val="Normal"/>
    <w:uiPriority w:val="99"/>
    <w:semiHidden/>
    <w:rsid w:val="002D57A7"/>
    <w:pPr>
      <w:spacing w:after="120"/>
      <w:ind w:left="283"/>
      <w:contextualSpacing/>
    </w:pPr>
  </w:style>
  <w:style w:type="paragraph" w:styleId="ListContinue2">
    <w:name w:val="List Continue 2"/>
    <w:basedOn w:val="Normal"/>
    <w:uiPriority w:val="99"/>
    <w:semiHidden/>
    <w:rsid w:val="002D57A7"/>
    <w:pPr>
      <w:spacing w:after="120"/>
      <w:ind w:left="566"/>
      <w:contextualSpacing/>
    </w:pPr>
  </w:style>
  <w:style w:type="paragraph" w:styleId="ListContinue3">
    <w:name w:val="List Continue 3"/>
    <w:basedOn w:val="Normal"/>
    <w:uiPriority w:val="99"/>
    <w:semiHidden/>
    <w:rsid w:val="002D57A7"/>
    <w:pPr>
      <w:spacing w:after="120"/>
      <w:ind w:left="849"/>
      <w:contextualSpacing/>
    </w:pPr>
  </w:style>
  <w:style w:type="paragraph" w:styleId="ListContinue4">
    <w:name w:val="List Continue 4"/>
    <w:basedOn w:val="Normal"/>
    <w:uiPriority w:val="99"/>
    <w:semiHidden/>
    <w:rsid w:val="002D57A7"/>
    <w:pPr>
      <w:spacing w:after="120"/>
      <w:ind w:left="1132"/>
      <w:contextualSpacing/>
    </w:pPr>
  </w:style>
  <w:style w:type="paragraph" w:styleId="ListContinue5">
    <w:name w:val="List Continue 5"/>
    <w:basedOn w:val="Normal"/>
    <w:uiPriority w:val="99"/>
    <w:semiHidden/>
    <w:rsid w:val="002D57A7"/>
    <w:pPr>
      <w:spacing w:after="120"/>
      <w:ind w:left="1415"/>
      <w:contextualSpacing/>
    </w:pPr>
  </w:style>
  <w:style w:type="paragraph" w:styleId="ListNumber">
    <w:name w:val="List Number"/>
    <w:basedOn w:val="Normal"/>
    <w:uiPriority w:val="99"/>
    <w:semiHidden/>
    <w:rsid w:val="002D57A7"/>
    <w:pPr>
      <w:numPr>
        <w:numId w:val="42"/>
      </w:numPr>
      <w:contextualSpacing/>
    </w:pPr>
  </w:style>
  <w:style w:type="paragraph" w:styleId="ListNumber2">
    <w:name w:val="List Number 2"/>
    <w:basedOn w:val="Normal"/>
    <w:uiPriority w:val="99"/>
    <w:semiHidden/>
    <w:rsid w:val="002D57A7"/>
    <w:pPr>
      <w:numPr>
        <w:numId w:val="43"/>
      </w:numPr>
      <w:contextualSpacing/>
    </w:pPr>
  </w:style>
  <w:style w:type="paragraph" w:styleId="ListNumber3">
    <w:name w:val="List Number 3"/>
    <w:basedOn w:val="Normal"/>
    <w:uiPriority w:val="99"/>
    <w:semiHidden/>
    <w:rsid w:val="002D57A7"/>
    <w:pPr>
      <w:numPr>
        <w:numId w:val="44"/>
      </w:numPr>
      <w:contextualSpacing/>
    </w:pPr>
  </w:style>
  <w:style w:type="paragraph" w:styleId="ListNumber4">
    <w:name w:val="List Number 4"/>
    <w:basedOn w:val="Normal"/>
    <w:uiPriority w:val="99"/>
    <w:semiHidden/>
    <w:rsid w:val="002D57A7"/>
    <w:pPr>
      <w:numPr>
        <w:numId w:val="45"/>
      </w:numPr>
      <w:contextualSpacing/>
    </w:pPr>
  </w:style>
  <w:style w:type="paragraph" w:styleId="ListNumber5">
    <w:name w:val="List Number 5"/>
    <w:basedOn w:val="Normal"/>
    <w:uiPriority w:val="99"/>
    <w:semiHidden/>
    <w:rsid w:val="002D57A7"/>
    <w:pPr>
      <w:numPr>
        <w:numId w:val="46"/>
      </w:numPr>
      <w:contextualSpacing/>
    </w:pPr>
  </w:style>
  <w:style w:type="paragraph" w:styleId="MacroText">
    <w:name w:val="macro"/>
    <w:link w:val="MacroTextChar"/>
    <w:uiPriority w:val="99"/>
    <w:semiHidden/>
    <w:rsid w:val="002D57A7"/>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9"/>
    <w:semiHidden/>
    <w:rsid w:val="002D57A7"/>
    <w:rPr>
      <w:rFonts w:ascii="Consolas" w:eastAsiaTheme="minorEastAsia" w:hAnsi="Consolas" w:cs="Consolas"/>
      <w:sz w:val="20"/>
      <w:szCs w:val="20"/>
    </w:rPr>
  </w:style>
  <w:style w:type="table" w:styleId="MediumGrid1">
    <w:name w:val="Medium Grid 1"/>
    <w:basedOn w:val="TableNormal"/>
    <w:uiPriority w:val="67"/>
    <w:semiHidden/>
    <w:rsid w:val="002D57A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2D57A7"/>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2D57A7"/>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2D57A7"/>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2D57A7"/>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2D57A7"/>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2D57A7"/>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2D57A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2D57A7"/>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2D57A7"/>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2D57A7"/>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2D57A7"/>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2D57A7"/>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2D57A7"/>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2D57A7"/>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2D57A7"/>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2D57A7"/>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2D57A7"/>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2D57A7"/>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2D57A7"/>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2D57A7"/>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2D57A7"/>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2D57A7"/>
    <w:rPr>
      <w:color w:val="000000" w:themeColor="text1"/>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2D57A7"/>
    <w:rPr>
      <w:color w:val="000000" w:themeColor="text1"/>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2D57A7"/>
    <w:rPr>
      <w:color w:val="000000" w:themeColor="text1"/>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2D57A7"/>
    <w:rPr>
      <w:color w:val="000000" w:themeColor="text1"/>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2D57A7"/>
    <w:rPr>
      <w:color w:val="000000" w:themeColor="text1"/>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2D57A7"/>
    <w:rPr>
      <w:color w:val="000000" w:themeColor="text1"/>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2D57A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2D57A7"/>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2D57A7"/>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2D57A7"/>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2D57A7"/>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2D57A7"/>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2D57A7"/>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2D57A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2D57A7"/>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2D57A7"/>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2D57A7"/>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2D57A7"/>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2D57A7"/>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2D57A7"/>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2D57A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2D57A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2D57A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2D57A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2D57A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2D57A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2D57A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2D57A7"/>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2D57A7"/>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9"/>
    <w:semiHidden/>
    <w:rsid w:val="002D57A7"/>
    <w:rPr>
      <w:rFonts w:ascii="Times New Roman" w:hAnsi="Times New Roman" w:cs="Times New Roman"/>
      <w:szCs w:val="24"/>
    </w:rPr>
  </w:style>
  <w:style w:type="paragraph" w:styleId="NormalIndent">
    <w:name w:val="Normal Indent"/>
    <w:basedOn w:val="Normal"/>
    <w:uiPriority w:val="99"/>
    <w:semiHidden/>
    <w:rsid w:val="002D57A7"/>
    <w:pPr>
      <w:ind w:left="720"/>
    </w:pPr>
  </w:style>
  <w:style w:type="paragraph" w:styleId="NoteHeading">
    <w:name w:val="Note Heading"/>
    <w:basedOn w:val="Normal"/>
    <w:next w:val="Normal"/>
    <w:link w:val="NoteHeadingChar"/>
    <w:uiPriority w:val="99"/>
    <w:semiHidden/>
    <w:rsid w:val="002D57A7"/>
  </w:style>
  <w:style w:type="character" w:customStyle="1" w:styleId="NoteHeadingChar">
    <w:name w:val="Note Heading Char"/>
    <w:basedOn w:val="DefaultParagraphFont"/>
    <w:link w:val="NoteHeading"/>
    <w:uiPriority w:val="99"/>
    <w:semiHidden/>
    <w:rsid w:val="002D57A7"/>
    <w:rPr>
      <w:rFonts w:eastAsiaTheme="minorEastAsia"/>
      <w:sz w:val="24"/>
      <w:lang w:val="en-GB"/>
    </w:rPr>
  </w:style>
  <w:style w:type="character" w:styleId="PlaceholderText">
    <w:name w:val="Placeholder Text"/>
    <w:basedOn w:val="DefaultParagraphFont"/>
    <w:uiPriority w:val="99"/>
    <w:semiHidden/>
    <w:rsid w:val="002D57A7"/>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2D57A7"/>
    <w:rPr>
      <w:rFonts w:ascii="Consolas" w:hAnsi="Consolas" w:cs="Consolas"/>
      <w:sz w:val="21"/>
      <w:szCs w:val="21"/>
    </w:rPr>
  </w:style>
  <w:style w:type="character" w:customStyle="1" w:styleId="PlainTextChar">
    <w:name w:val="Plain Text Char"/>
    <w:basedOn w:val="DefaultParagraphFont"/>
    <w:link w:val="PlainText"/>
    <w:uiPriority w:val="99"/>
    <w:semiHidden/>
    <w:rsid w:val="002D57A7"/>
    <w:rPr>
      <w:rFonts w:ascii="Consolas" w:eastAsiaTheme="minorEastAsia" w:hAnsi="Consolas" w:cs="Consolas"/>
      <w:sz w:val="21"/>
      <w:szCs w:val="21"/>
      <w:lang w:val="en-GB"/>
    </w:rPr>
  </w:style>
  <w:style w:type="paragraph" w:styleId="Salutation">
    <w:name w:val="Salutation"/>
    <w:basedOn w:val="Normal"/>
    <w:next w:val="Normal"/>
    <w:link w:val="SalutationChar"/>
    <w:uiPriority w:val="99"/>
    <w:semiHidden/>
    <w:rsid w:val="002D57A7"/>
  </w:style>
  <w:style w:type="character" w:customStyle="1" w:styleId="SalutationChar">
    <w:name w:val="Salutation Char"/>
    <w:basedOn w:val="DefaultParagraphFont"/>
    <w:link w:val="Salutation"/>
    <w:uiPriority w:val="99"/>
    <w:semiHidden/>
    <w:rsid w:val="002D57A7"/>
    <w:rPr>
      <w:rFonts w:eastAsiaTheme="minorEastAsia"/>
      <w:sz w:val="24"/>
      <w:lang w:val="en-GB"/>
    </w:rPr>
  </w:style>
  <w:style w:type="paragraph" w:styleId="Signature">
    <w:name w:val="Signature"/>
    <w:basedOn w:val="Normal"/>
    <w:link w:val="SignatureChar"/>
    <w:uiPriority w:val="99"/>
    <w:semiHidden/>
    <w:rsid w:val="002D57A7"/>
    <w:pPr>
      <w:ind w:left="4252"/>
    </w:pPr>
  </w:style>
  <w:style w:type="character" w:customStyle="1" w:styleId="SignatureChar">
    <w:name w:val="Signature Char"/>
    <w:basedOn w:val="DefaultParagraphFont"/>
    <w:link w:val="Signature"/>
    <w:uiPriority w:val="99"/>
    <w:semiHidden/>
    <w:rsid w:val="002D57A7"/>
    <w:rPr>
      <w:rFonts w:eastAsiaTheme="minorEastAsia"/>
      <w:sz w:val="24"/>
      <w:lang w:val="en-GB"/>
    </w:rPr>
  </w:style>
  <w:style w:type="table" w:styleId="Table3Deffects1">
    <w:name w:val="Table 3D effects 1"/>
    <w:basedOn w:val="TableNormal"/>
    <w:uiPriority w:val="99"/>
    <w:semiHidden/>
    <w:unhideWhenUsed/>
    <w:rsid w:val="002D57A7"/>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D57A7"/>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D57A7"/>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2D57A7"/>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D57A7"/>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D57A7"/>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D57A7"/>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D57A7"/>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D57A7"/>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D57A7"/>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2D57A7"/>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D57A7"/>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D57A7"/>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D57A7"/>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D57A7"/>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2D57A7"/>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2D57A7"/>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2D57A7"/>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D57A7"/>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D57A7"/>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D57A7"/>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D57A7"/>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D57A7"/>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D57A7"/>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D57A7"/>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2D57A7"/>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D57A7"/>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D57A7"/>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D57A7"/>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D57A7"/>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D57A7"/>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D57A7"/>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D57A7"/>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2D57A7"/>
    <w:pPr>
      <w:ind w:left="240" w:hanging="240"/>
    </w:pPr>
  </w:style>
  <w:style w:type="paragraph" w:styleId="TableofFigures">
    <w:name w:val="table of figures"/>
    <w:basedOn w:val="Normal"/>
    <w:next w:val="Normal"/>
    <w:uiPriority w:val="99"/>
    <w:semiHidden/>
    <w:rsid w:val="002D57A7"/>
  </w:style>
  <w:style w:type="table" w:styleId="TableProfessional">
    <w:name w:val="Table Professional"/>
    <w:basedOn w:val="TableNormal"/>
    <w:uiPriority w:val="99"/>
    <w:semiHidden/>
    <w:unhideWhenUsed/>
    <w:rsid w:val="002D57A7"/>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2D57A7"/>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D57A7"/>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D57A7"/>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D57A7"/>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D57A7"/>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D57A7"/>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2D57A7"/>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D57A7"/>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D57A7"/>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2D57A7"/>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2D57A7"/>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2D57A7"/>
    <w:pPr>
      <w:spacing w:after="100"/>
      <w:ind w:left="1680"/>
    </w:pPr>
  </w:style>
  <w:style w:type="paragraph" w:styleId="TOC9">
    <w:name w:val="toc 9"/>
    <w:basedOn w:val="Normal"/>
    <w:next w:val="Normal"/>
    <w:autoRedefine/>
    <w:uiPriority w:val="99"/>
    <w:semiHidden/>
    <w:rsid w:val="002D57A7"/>
    <w:pPr>
      <w:spacing w:after="100"/>
      <w:ind w:left="1920"/>
    </w:pPr>
  </w:style>
  <w:style w:type="paragraph" w:customStyle="1" w:styleId="ECHRFooter">
    <w:name w:val="ECHR_Footer"/>
    <w:aliases w:val="Footer_ECHR"/>
    <w:basedOn w:val="Footer0"/>
    <w:uiPriority w:val="57"/>
    <w:semiHidden/>
    <w:rsid w:val="0064393B"/>
    <w:rPr>
      <w:sz w:val="8"/>
    </w:rPr>
  </w:style>
  <w:style w:type="paragraph" w:customStyle="1" w:styleId="FooterLine">
    <w:name w:val="_Footer_Line"/>
    <w:aliases w:val="Footer_Line"/>
    <w:basedOn w:val="Normal"/>
    <w:next w:val="Footer"/>
    <w:uiPriority w:val="57"/>
    <w:semiHidden/>
    <w:rsid w:val="002D57A7"/>
    <w:pPr>
      <w:pBdr>
        <w:top w:val="single" w:sz="6" w:space="1" w:color="5F5F5F"/>
      </w:pBdr>
      <w:tabs>
        <w:tab w:val="center" w:pos="4536"/>
        <w:tab w:val="right" w:pos="9696"/>
      </w:tabs>
      <w:ind w:left="-680" w:right="-680"/>
    </w:pPr>
    <w:rPr>
      <w:color w:val="5F5F5F"/>
    </w:rPr>
  </w:style>
  <w:style w:type="paragraph" w:customStyle="1" w:styleId="DecHCase">
    <w:name w:val="Dec_H_Case"/>
    <w:aliases w:val="_Title_3"/>
    <w:basedOn w:val="JuPara"/>
    <w:next w:val="JuPara"/>
    <w:uiPriority w:val="35"/>
    <w:qFormat/>
    <w:rsid w:val="002D57A7"/>
    <w:pPr>
      <w:keepNext/>
      <w:keepLines/>
      <w:spacing w:after="280"/>
      <w:ind w:firstLine="0"/>
      <w:jc w:val="center"/>
    </w:pPr>
    <w:rPr>
      <w:rFonts w:asciiTheme="majorHAnsi" w:hAnsiTheme="majorHAnsi"/>
    </w:rPr>
  </w:style>
  <w:style w:type="paragraph" w:customStyle="1" w:styleId="JuHeaderLandscape">
    <w:name w:val="Ju_Header_Landscape"/>
    <w:aliases w:val="_Header_Landscape"/>
    <w:basedOn w:val="JuHeader"/>
    <w:uiPriority w:val="30"/>
    <w:qFormat/>
    <w:rsid w:val="002D57A7"/>
    <w:pPr>
      <w:tabs>
        <w:tab w:val="clear" w:pos="3686"/>
        <w:tab w:val="clear" w:pos="7371"/>
        <w:tab w:val="center" w:pos="6146"/>
        <w:tab w:val="right" w:pos="12293"/>
      </w:tabs>
    </w:pPr>
  </w:style>
  <w:style w:type="paragraph" w:customStyle="1" w:styleId="JuTitle">
    <w:name w:val="Ju_Title"/>
    <w:aliases w:val="_Title_2"/>
    <w:basedOn w:val="Normal"/>
    <w:next w:val="JuPara"/>
    <w:uiPriority w:val="35"/>
    <w:qFormat/>
    <w:rsid w:val="002D57A7"/>
    <w:pPr>
      <w:keepNext/>
      <w:keepLines/>
      <w:spacing w:before="1320" w:after="280"/>
      <w:contextualSpacing/>
      <w:jc w:val="center"/>
    </w:pPr>
    <w:rPr>
      <w:rFonts w:eastAsiaTheme="minorHAnsi"/>
      <w:b/>
    </w:rPr>
  </w:style>
  <w:style w:type="character" w:customStyle="1" w:styleId="JuParaChar">
    <w:name w:val="Ju_Para Char"/>
    <w:aliases w:val="_Para Char"/>
    <w:link w:val="JuPara"/>
    <w:uiPriority w:val="8"/>
    <w:rsid w:val="00B77508"/>
    <w:rPr>
      <w:rFonts w:eastAsiaTheme="minorEastAsia"/>
      <w:sz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45431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6.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header" Target="header2.xml"/><Relationship Id="rId19"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DFB01372-7260-4A6F-8270-6ACA1E80CD5A}"/>
</file>

<file path=customXml/itemProps2.xml><?xml version="1.0" encoding="utf-8"?>
<ds:datastoreItem xmlns:ds="http://schemas.openxmlformats.org/officeDocument/2006/customXml" ds:itemID="{292DAAC5-45D2-4E16-BE1F-567A5E966B52}"/>
</file>

<file path=customXml/itemProps3.xml><?xml version="1.0" encoding="utf-8"?>
<ds:datastoreItem xmlns:ds="http://schemas.openxmlformats.org/officeDocument/2006/customXml" ds:itemID="{6ED2E0C0-63AE-4BAF-8B68-0AE79B724DDA}"/>
</file>

<file path=customXml/itemProps4.xml><?xml version="1.0" encoding="utf-8"?>
<ds:datastoreItem xmlns:ds="http://schemas.openxmlformats.org/officeDocument/2006/customXml" ds:itemID="{8DBD7F62-09C3-4986-B2E7-8F8C72910B89}"/>
</file>

<file path=docProps/app.xml><?xml version="1.0" encoding="utf-8"?>
<Properties xmlns="http://schemas.openxmlformats.org/officeDocument/2006/extended-properties" xmlns:vt="http://schemas.openxmlformats.org/officeDocument/2006/docPropsVTypes">
  <Template>Normal.dotm</Template>
  <TotalTime>0</TotalTime>
  <Pages>1</Pages>
  <Words>3725</Words>
  <Characters>21234</Characters>
  <Application>Microsoft Office Word</Application>
  <DocSecurity>0</DocSecurity>
  <Lines>176</Lines>
  <Paragraphs>49</Paragraphs>
  <ScaleCrop>false</ScaleCrop>
  <HeadingPairs>
    <vt:vector size="2" baseType="variant">
      <vt:variant>
        <vt:lpstr>Title</vt:lpstr>
      </vt:variant>
      <vt:variant>
        <vt:i4>1</vt:i4>
      </vt:variant>
    </vt:vector>
  </HeadingPairs>
  <TitlesOfParts>
    <vt:vector size="1" baseType="lpstr">
      <vt:lpstr>Judgment</vt:lpstr>
    </vt:vector>
  </TitlesOfParts>
  <Manager/>
  <Company/>
  <LinksUpToDate>false</LinksUpToDate>
  <CharactersWithSpaces>24910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dc:creator/>
  <cp:keywords/>
  <cp:lastModifiedBy/>
  <cp:revision>1</cp:revision>
  <dcterms:created xsi:type="dcterms:W3CDTF">2019-10-08T08:12:00Z</dcterms:created>
  <dcterms:modified xsi:type="dcterms:W3CDTF">2019-10-08T08:12:00Z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67485/17</vt:lpwstr>
  </property>
  <property fmtid="{D5CDD505-2E9C-101B-9397-08002B2CF9AE}" pid="4" name="CASEID">
    <vt:lpwstr>1340742</vt:lpwstr>
  </property>
  <property fmtid="{D5CDD505-2E9C-101B-9397-08002B2CF9AE}" pid="5" name="ContentTypeId">
    <vt:lpwstr>0x010100558EB02BDB9E204AB350EDD385B68E10</vt:lpwstr>
  </property>
</Properties>
</file>