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61A13" w:rsidR="00787E12" w:rsidP="00161A13" w:rsidRDefault="005A1BDD">
      <w:pPr>
        <w:jc w:val="center"/>
      </w:pPr>
      <w:bookmarkStart w:name="_GoBack" w:id="0"/>
      <w:bookmarkEnd w:id="0"/>
    </w:p>
    <w:p w:rsidRPr="00161A13" w:rsidR="00787E12" w:rsidP="00161A13" w:rsidRDefault="005A1BDD"/>
    <w:p w:rsidRPr="00161A13" w:rsidR="00787E12" w:rsidP="00161A13" w:rsidRDefault="005A1BDD">
      <w:pPr>
        <w:jc w:val="center"/>
      </w:pPr>
    </w:p>
    <w:p w:rsidRPr="00161A13" w:rsidR="00787E12" w:rsidP="00161A13" w:rsidRDefault="002773EE">
      <w:pPr>
        <w:pStyle w:val="DecHCase"/>
      </w:pPr>
      <w:r w:rsidRPr="00161A13">
        <w:t>THIRD SECTION</w:t>
      </w:r>
    </w:p>
    <w:p w:rsidRPr="00161A13" w:rsidR="0035468E" w:rsidP="00161A13" w:rsidRDefault="0035468E">
      <w:pPr>
        <w:pStyle w:val="JuPara"/>
      </w:pPr>
    </w:p>
    <w:p w:rsidRPr="00161A13" w:rsidR="00787E12" w:rsidP="00161A13" w:rsidRDefault="0048584C">
      <w:pPr>
        <w:pStyle w:val="JuTitle"/>
      </w:pPr>
      <w:r w:rsidRPr="00161A13">
        <w:t xml:space="preserve">CASE OF </w:t>
      </w:r>
      <w:r w:rsidRPr="00161A13" w:rsidR="002773EE">
        <w:t>JOVIČIĆ v. SERBIA</w:t>
      </w:r>
    </w:p>
    <w:p w:rsidRPr="00161A13" w:rsidR="00787E12" w:rsidP="00161A13" w:rsidRDefault="0048584C">
      <w:pPr>
        <w:pStyle w:val="Title4"/>
      </w:pPr>
      <w:r w:rsidRPr="00161A13">
        <w:t>(</w:t>
      </w:r>
      <w:r w:rsidRPr="00161A13" w:rsidR="002773EE">
        <w:t>Application no. 65474/16</w:t>
      </w:r>
      <w:r w:rsidRPr="00161A13">
        <w:t>)</w:t>
      </w:r>
    </w:p>
    <w:p w:rsidRPr="00161A13" w:rsidR="00787E12" w:rsidP="00161A13" w:rsidRDefault="005A1BDD">
      <w:pPr>
        <w:pStyle w:val="DecHCase"/>
      </w:pPr>
    </w:p>
    <w:p w:rsidRPr="00161A13" w:rsidR="00787E12" w:rsidP="00161A13" w:rsidRDefault="005A1BDD">
      <w:pPr>
        <w:pStyle w:val="DecHCase"/>
      </w:pPr>
    </w:p>
    <w:p w:rsidRPr="00161A13" w:rsidR="00787E12" w:rsidP="00161A13" w:rsidRDefault="005A1BDD">
      <w:pPr>
        <w:pStyle w:val="DecHCase"/>
      </w:pPr>
    </w:p>
    <w:p w:rsidRPr="00161A13" w:rsidR="00787E12" w:rsidP="00161A13" w:rsidRDefault="005A1BDD">
      <w:pPr>
        <w:pStyle w:val="DecHCase"/>
      </w:pPr>
    </w:p>
    <w:p w:rsidRPr="00161A13" w:rsidR="00787E12" w:rsidP="00161A13" w:rsidRDefault="005A1BDD">
      <w:pPr>
        <w:pStyle w:val="DecHCase"/>
      </w:pPr>
    </w:p>
    <w:p w:rsidRPr="00161A13" w:rsidR="00A062B9" w:rsidP="00161A13" w:rsidRDefault="005A1BDD">
      <w:pPr>
        <w:pStyle w:val="DecHCase"/>
      </w:pPr>
    </w:p>
    <w:p w:rsidRPr="00161A13" w:rsidR="00787E12" w:rsidP="00161A13" w:rsidRDefault="0048584C">
      <w:pPr>
        <w:pStyle w:val="DecHCase"/>
      </w:pPr>
      <w:r w:rsidRPr="00161A13">
        <w:t>JUDGMENT</w:t>
      </w:r>
    </w:p>
    <w:p w:rsidRPr="00161A13" w:rsidR="00787E12" w:rsidP="00161A13" w:rsidRDefault="005A1BDD">
      <w:pPr>
        <w:jc w:val="center"/>
        <w:rPr>
          <w:i/>
        </w:rPr>
      </w:pPr>
    </w:p>
    <w:p w:rsidRPr="00161A13" w:rsidR="00787E12" w:rsidP="00161A13" w:rsidRDefault="0048584C">
      <w:pPr>
        <w:pStyle w:val="DecHCase"/>
      </w:pPr>
      <w:r w:rsidRPr="00161A13">
        <w:t>STRASBOURG</w:t>
      </w:r>
    </w:p>
    <w:p w:rsidRPr="00161A13" w:rsidR="00787E12" w:rsidP="00161A13" w:rsidRDefault="002773EE">
      <w:pPr>
        <w:pStyle w:val="DecHCase"/>
      </w:pPr>
      <w:r w:rsidRPr="00161A13">
        <w:t>3 October 2019</w:t>
      </w:r>
    </w:p>
    <w:p w:rsidRPr="00161A13" w:rsidR="00787E12" w:rsidP="00161A13" w:rsidRDefault="005A1BDD">
      <w:pPr>
        <w:jc w:val="center"/>
      </w:pPr>
    </w:p>
    <w:p w:rsidRPr="00161A13" w:rsidR="0035468E" w:rsidP="00161A13" w:rsidRDefault="0035468E">
      <w:pPr>
        <w:jc w:val="center"/>
      </w:pPr>
    </w:p>
    <w:p w:rsidRPr="00161A13" w:rsidR="0035468E" w:rsidP="00161A13" w:rsidRDefault="0035468E">
      <w:pPr>
        <w:jc w:val="center"/>
      </w:pPr>
    </w:p>
    <w:p w:rsidRPr="00161A13" w:rsidR="00787E12" w:rsidP="00161A13" w:rsidRDefault="0048584C">
      <w:pPr>
        <w:pStyle w:val="Title4"/>
        <w:rPr>
          <w:sz w:val="2"/>
          <w:szCs w:val="2"/>
        </w:rPr>
      </w:pPr>
      <w:r w:rsidRPr="00161A13">
        <w:t>This judgment is final but it may be subject to editorial revision.</w:t>
      </w:r>
    </w:p>
    <w:p w:rsidRPr="00161A13" w:rsidR="00787E12" w:rsidP="00161A13" w:rsidRDefault="005A1BDD">
      <w:pPr>
        <w:pStyle w:val="JuCase"/>
      </w:pPr>
    </w:p>
    <w:p w:rsidRPr="00161A13" w:rsidR="0035468E" w:rsidP="00161A13" w:rsidRDefault="0035468E">
      <w:pPr>
        <w:pStyle w:val="JuPara"/>
        <w:sectPr w:rsidRPr="00161A13" w:rsidR="0035468E" w:rsidSect="000318F7">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6" w:h="16838" w:code="9"/>
          <w:pgMar w:top="2274" w:right="2274" w:bottom="2274" w:left="2274" w:header="1701" w:footer="720" w:gutter="0"/>
          <w:cols w:space="720"/>
          <w:titlePg/>
          <w:docGrid w:linePitch="326"/>
        </w:sectPr>
      </w:pPr>
    </w:p>
    <w:p w:rsidRPr="00161A13" w:rsidR="00787E12" w:rsidP="00161A13" w:rsidRDefault="0048584C">
      <w:pPr>
        <w:pStyle w:val="JuCase"/>
        <w:rPr>
          <w:bCs/>
        </w:rPr>
      </w:pPr>
      <w:r w:rsidRPr="00161A13">
        <w:t xml:space="preserve">In the case of </w:t>
      </w:r>
      <w:proofErr w:type="spellStart"/>
      <w:r w:rsidRPr="00161A13" w:rsidR="002773EE">
        <w:t>Jovičić</w:t>
      </w:r>
      <w:proofErr w:type="spellEnd"/>
      <w:r w:rsidRPr="00161A13" w:rsidR="002773EE">
        <w:t xml:space="preserve"> v. Serbia</w:t>
      </w:r>
      <w:r w:rsidRPr="00161A13">
        <w:t>,</w:t>
      </w:r>
    </w:p>
    <w:p w:rsidRPr="00161A13" w:rsidR="00787E12" w:rsidP="00161A13" w:rsidRDefault="0048584C">
      <w:pPr>
        <w:pStyle w:val="JuPara"/>
      </w:pPr>
      <w:r w:rsidRPr="00161A13">
        <w:t>The European Court of Human Rights (</w:t>
      </w:r>
      <w:r w:rsidRPr="00161A13" w:rsidR="002773EE">
        <w:t>Third Section</w:t>
      </w:r>
      <w:r w:rsidRPr="00161A13">
        <w:t>), sitting as a Committee composed of:</w:t>
      </w:r>
    </w:p>
    <w:p w:rsidRPr="00161A13" w:rsidR="00787E12" w:rsidP="00161A13" w:rsidRDefault="001B3067">
      <w:pPr>
        <w:pStyle w:val="JuJudges"/>
      </w:pPr>
      <w:r w:rsidRPr="00161A13">
        <w:tab/>
        <w:t>Dmitry Dedov,</w:t>
      </w:r>
      <w:r w:rsidRPr="00161A13">
        <w:rPr>
          <w:i/>
        </w:rPr>
        <w:t xml:space="preserve"> President,</w:t>
      </w:r>
      <w:r w:rsidRPr="00161A13">
        <w:rPr>
          <w:i/>
        </w:rPr>
        <w:br/>
      </w:r>
      <w:r w:rsidRPr="00161A13">
        <w:tab/>
        <w:t xml:space="preserve">Alena </w:t>
      </w:r>
      <w:proofErr w:type="spellStart"/>
      <w:r w:rsidRPr="00161A13">
        <w:t>Poláčková</w:t>
      </w:r>
      <w:proofErr w:type="spellEnd"/>
      <w:r w:rsidRPr="00161A13">
        <w:t>,</w:t>
      </w:r>
      <w:r w:rsidRPr="00161A13">
        <w:rPr>
          <w:i/>
        </w:rPr>
        <w:br/>
      </w:r>
      <w:r w:rsidRPr="00161A13">
        <w:tab/>
        <w:t xml:space="preserve">Gilberto </w:t>
      </w:r>
      <w:proofErr w:type="spellStart"/>
      <w:r w:rsidRPr="00161A13">
        <w:t>Felici</w:t>
      </w:r>
      <w:proofErr w:type="spellEnd"/>
      <w:r w:rsidRPr="00161A13">
        <w:t>,</w:t>
      </w:r>
      <w:r w:rsidRPr="00161A13">
        <w:rPr>
          <w:i/>
        </w:rPr>
        <w:t xml:space="preserve"> judges,</w:t>
      </w:r>
      <w:r w:rsidRPr="00161A13" w:rsidR="0048584C">
        <w:br/>
        <w:t xml:space="preserve">and </w:t>
      </w:r>
      <w:r w:rsidRPr="00161A13" w:rsidR="002773EE">
        <w:t>Liv</w:t>
      </w:r>
      <w:r w:rsidRPr="00161A13" w:rsidR="0048584C">
        <w:t xml:space="preserve"> </w:t>
      </w:r>
      <w:r w:rsidRPr="00161A13" w:rsidR="002773EE">
        <w:t>Tigerstedt</w:t>
      </w:r>
      <w:r w:rsidRPr="00161A13" w:rsidR="00555A1D">
        <w:t>,</w:t>
      </w:r>
      <w:r w:rsidRPr="00161A13" w:rsidR="0048584C">
        <w:t xml:space="preserve"> </w:t>
      </w:r>
      <w:r w:rsidRPr="00161A13" w:rsidR="006F07C3">
        <w:rPr>
          <w:i/>
        </w:rPr>
        <w:t xml:space="preserve">Acting </w:t>
      </w:r>
      <w:r w:rsidRPr="00161A13" w:rsidR="0048584C">
        <w:rPr>
          <w:rFonts w:cstheme="minorHAnsi"/>
          <w:i/>
        </w:rPr>
        <w:t>Deputy Section Registrar</w:t>
      </w:r>
      <w:r w:rsidRPr="00161A13" w:rsidR="0048584C">
        <w:rPr>
          <w:i/>
        </w:rPr>
        <w:t>,</w:t>
      </w:r>
    </w:p>
    <w:p w:rsidRPr="00161A13" w:rsidR="00787E12" w:rsidP="00161A13" w:rsidRDefault="0048584C">
      <w:pPr>
        <w:pStyle w:val="JuPara"/>
      </w:pPr>
      <w:r w:rsidRPr="00161A13">
        <w:t xml:space="preserve">Having deliberated in private on </w:t>
      </w:r>
      <w:r w:rsidRPr="00161A13" w:rsidR="001B3067">
        <w:t>12 September 2019</w:t>
      </w:r>
      <w:r w:rsidRPr="00161A13">
        <w:t>,</w:t>
      </w:r>
    </w:p>
    <w:p w:rsidRPr="00161A13" w:rsidR="006372F5" w:rsidP="00161A13" w:rsidRDefault="0048584C">
      <w:pPr>
        <w:pStyle w:val="JuPara"/>
      </w:pPr>
      <w:r w:rsidRPr="00161A13">
        <w:t>Delivers the following judgment, which was adopted on that date:</w:t>
      </w:r>
    </w:p>
    <w:p w:rsidRPr="00161A13" w:rsidR="002773EE" w:rsidP="00161A13" w:rsidRDefault="002773EE">
      <w:pPr>
        <w:pStyle w:val="JuHHead"/>
        <w:numPr>
          <w:ilvl w:val="0"/>
          <w:numId w:val="22"/>
        </w:numPr>
        <w:jc w:val="both"/>
      </w:pPr>
      <w:bookmarkStart w:name="ITMARKStartJudgment" w:id="1"/>
      <w:bookmarkEnd w:id="1"/>
      <w:r w:rsidRPr="00161A13">
        <w:t>PROCEDURE</w:t>
      </w:r>
    </w:p>
    <w:p w:rsidRPr="00161A13" w:rsidR="002773EE" w:rsidP="00161A13" w:rsidRDefault="002773EE">
      <w:pPr>
        <w:pStyle w:val="JuPara"/>
        <w:rPr>
          <w:rFonts w:cs="Times New Roman"/>
        </w:rPr>
      </w:pPr>
      <w:r w:rsidRPr="00161A13">
        <w:t xml:space="preserve">1.  The case originated in an application against Serbia lodged with the Court under Article 34 of the Convention for the Protection of Human Rights and Fundamental Freedoms (“the Convention”) on </w:t>
      </w:r>
      <w:r w:rsidRPr="00161A13" w:rsidR="001B3067">
        <w:t>4 </w:t>
      </w:r>
      <w:r w:rsidRPr="00161A13">
        <w:t>November 2016.</w:t>
      </w:r>
    </w:p>
    <w:p w:rsidRPr="00161A13" w:rsidR="002773EE" w:rsidP="00161A13" w:rsidRDefault="002773EE">
      <w:pPr>
        <w:pStyle w:val="JuPara"/>
      </w:pPr>
      <w:r w:rsidRPr="00161A13">
        <w:rPr>
          <w:rFonts w:cs="Times New Roman"/>
        </w:rPr>
        <w:t xml:space="preserve">2.  The applicant was represented by Ms I. </w:t>
      </w:r>
      <w:proofErr w:type="spellStart"/>
      <w:r w:rsidRPr="00161A13">
        <w:rPr>
          <w:rFonts w:cs="Times New Roman"/>
        </w:rPr>
        <w:t>Krunić</w:t>
      </w:r>
      <w:proofErr w:type="spellEnd"/>
      <w:r w:rsidRPr="00161A13">
        <w:rPr>
          <w:rFonts w:cs="Times New Roman"/>
        </w:rPr>
        <w:t xml:space="preserve">, a lawyer practising in </w:t>
      </w:r>
      <w:r w:rsidRPr="00161A13">
        <w:rPr>
          <w:rFonts w:cs="Times New Roman"/>
          <w:lang w:val="sr-Latn-BA"/>
        </w:rPr>
        <w:t>Č</w:t>
      </w:r>
      <w:proofErr w:type="spellStart"/>
      <w:r w:rsidRPr="00161A13">
        <w:rPr>
          <w:rFonts w:cs="Times New Roman"/>
        </w:rPr>
        <w:t>ačak</w:t>
      </w:r>
      <w:proofErr w:type="spellEnd"/>
      <w:r w:rsidRPr="00161A13">
        <w:rPr>
          <w:rFonts w:cs="Times New Roman"/>
        </w:rPr>
        <w:t>.</w:t>
      </w:r>
    </w:p>
    <w:p w:rsidRPr="00161A13" w:rsidR="002773EE" w:rsidP="00161A13" w:rsidRDefault="002773EE">
      <w:pPr>
        <w:pStyle w:val="JuPara"/>
      </w:pPr>
      <w:r w:rsidRPr="00161A13">
        <w:t>3.  The Serbian Government (“the Government”) were given notice of the application.</w:t>
      </w:r>
    </w:p>
    <w:p w:rsidRPr="00161A13" w:rsidR="002773EE" w:rsidP="00161A13" w:rsidRDefault="002773EE">
      <w:pPr>
        <w:pStyle w:val="JuHHead"/>
        <w:numPr>
          <w:ilvl w:val="0"/>
          <w:numId w:val="22"/>
        </w:numPr>
        <w:jc w:val="both"/>
      </w:pPr>
      <w:r w:rsidRPr="00161A13">
        <w:t>THE FACTS</w:t>
      </w:r>
    </w:p>
    <w:p w:rsidRPr="00161A13" w:rsidR="002773EE" w:rsidP="00161A13" w:rsidRDefault="002773EE">
      <w:pPr>
        <w:pStyle w:val="JuPara"/>
      </w:pPr>
      <w:r w:rsidRPr="00161A13">
        <w:t>4.  The applicant</w:t>
      </w:r>
      <w:r w:rsidRPr="00161A13" w:rsidR="00161A13">
        <w:t>’</w:t>
      </w:r>
      <w:r w:rsidRPr="00161A13">
        <w:t>s details and information relevant to the application are set out in the appended table.</w:t>
      </w:r>
    </w:p>
    <w:p w:rsidRPr="00161A13" w:rsidR="002773EE" w:rsidP="00161A13" w:rsidRDefault="002773EE">
      <w:pPr>
        <w:pStyle w:val="JuPara"/>
        <w:rPr>
          <w:bCs/>
          <w:color w:val="000000"/>
        </w:rPr>
      </w:pPr>
      <w:r w:rsidRPr="00161A13">
        <w:t>5.  </w:t>
      </w:r>
      <w:r w:rsidRPr="00161A13">
        <w:rPr>
          <w:bCs/>
          <w:color w:val="000000"/>
        </w:rPr>
        <w:t xml:space="preserve">The applicant complained of the </w:t>
      </w:r>
      <w:r w:rsidRPr="00161A13">
        <w:t>non-enforcement or delayed enforcement of a domestic decision given against a socially/State-owned company</w:t>
      </w:r>
      <w:r w:rsidRPr="00161A13">
        <w:rPr>
          <w:bCs/>
          <w:color w:val="000000"/>
        </w:rPr>
        <w:t>.</w:t>
      </w:r>
    </w:p>
    <w:p w:rsidRPr="00161A13" w:rsidR="002773EE" w:rsidP="00161A13" w:rsidRDefault="002773EE">
      <w:pPr>
        <w:pStyle w:val="JuHHead"/>
        <w:numPr>
          <w:ilvl w:val="0"/>
          <w:numId w:val="22"/>
        </w:numPr>
        <w:jc w:val="both"/>
      </w:pPr>
      <w:r w:rsidRPr="00161A13">
        <w:t>THE LAW</w:t>
      </w:r>
    </w:p>
    <w:p w:rsidRPr="00161A13" w:rsidR="002773EE" w:rsidP="00161A13" w:rsidRDefault="002773EE">
      <w:pPr>
        <w:pStyle w:val="JuHIRoman"/>
        <w:numPr>
          <w:ilvl w:val="1"/>
          <w:numId w:val="22"/>
        </w:numPr>
        <w:jc w:val="both"/>
      </w:pPr>
      <w:r w:rsidRPr="00161A13">
        <w:t xml:space="preserve">ALLEGED VIOLATION OF ARTICLEs </w:t>
      </w:r>
      <w:r w:rsidRPr="00161A13">
        <w:rPr>
          <w:rFonts w:eastAsia="PMingLiU"/>
        </w:rPr>
        <w:t xml:space="preserve">6 § 1 and 13 </w:t>
      </w:r>
      <w:r w:rsidRPr="00161A13">
        <w:t>OF THE CONVENTION and article 1 of protocol no. 1</w:t>
      </w:r>
    </w:p>
    <w:p w:rsidRPr="00161A13" w:rsidR="002773EE" w:rsidP="00161A13" w:rsidRDefault="002773EE">
      <w:pPr>
        <w:pStyle w:val="JuPara"/>
      </w:pPr>
      <w:r w:rsidRPr="00161A13">
        <w:t xml:space="preserve">6.  The applicant complained of the </w:t>
      </w:r>
      <w:r w:rsidRPr="00161A13">
        <w:rPr>
          <w:szCs w:val="24"/>
        </w:rPr>
        <w:t>non-enforcement or delayed enforcement of a domestic decision</w:t>
      </w:r>
      <w:r w:rsidRPr="00161A13">
        <w:t xml:space="preserve"> given in his favour</w:t>
      </w:r>
      <w:r w:rsidRPr="00161A13">
        <w:rPr>
          <w:bCs/>
        </w:rPr>
        <w:t>.</w:t>
      </w:r>
      <w:r w:rsidRPr="00161A13">
        <w:t xml:space="preserve"> He relied, expressly or in substance, on Articles </w:t>
      </w:r>
      <w:r w:rsidRPr="00161A13">
        <w:rPr>
          <w:rFonts w:eastAsia="PMingLiU"/>
        </w:rPr>
        <w:t>6 § 1</w:t>
      </w:r>
      <w:r w:rsidRPr="00161A13">
        <w:t xml:space="preserve"> and 13 of the Convention and Article 1 of Protocol No. 1, which, in the relevant part, read as follows:</w:t>
      </w:r>
    </w:p>
    <w:p w:rsidRPr="00161A13" w:rsidR="002773EE" w:rsidP="00161A13" w:rsidRDefault="002773EE">
      <w:pPr>
        <w:pStyle w:val="JuHArticle"/>
      </w:pPr>
      <w:r w:rsidRPr="00161A13">
        <w:t xml:space="preserve">Article 6 </w:t>
      </w:r>
      <w:r w:rsidRPr="00161A13">
        <w:rPr>
          <w:rFonts w:cstheme="minorHAnsi"/>
        </w:rPr>
        <w:t>§</w:t>
      </w:r>
      <w:r w:rsidRPr="00161A13">
        <w:t xml:space="preserve"> 1</w:t>
      </w:r>
    </w:p>
    <w:p w:rsidRPr="00161A13" w:rsidR="002773EE" w:rsidP="00161A13" w:rsidRDefault="002773EE">
      <w:pPr>
        <w:pStyle w:val="JuQuot"/>
      </w:pPr>
      <w:r w:rsidRPr="00161A13">
        <w:t>“In the determination of his civil rights and obligations ... everyone is entitled to a fair ... hearing ... by [a] ... tribunal ...”</w:t>
      </w:r>
    </w:p>
    <w:p w:rsidRPr="00161A13" w:rsidR="002773EE" w:rsidP="00161A13" w:rsidRDefault="002773EE">
      <w:pPr>
        <w:pStyle w:val="JuHArticle"/>
      </w:pPr>
      <w:r w:rsidRPr="00161A13">
        <w:t>Article 13</w:t>
      </w:r>
    </w:p>
    <w:p w:rsidRPr="00161A13" w:rsidR="002773EE" w:rsidP="00161A13" w:rsidRDefault="002773EE">
      <w:pPr>
        <w:pStyle w:val="JuQuot"/>
      </w:pPr>
      <w:r w:rsidRPr="00161A13">
        <w:t>“Everyone whose rights and freedoms as set forth in [the] Convention are violated shall have an effective remedy before a national authority notwithstanding that the violation has been committed by persons acting in an official capacity.”</w:t>
      </w:r>
    </w:p>
    <w:p w:rsidRPr="00161A13" w:rsidR="002773EE" w:rsidP="00161A13" w:rsidRDefault="002773EE">
      <w:pPr>
        <w:pStyle w:val="JuHArticle"/>
      </w:pPr>
      <w:r w:rsidRPr="00161A13">
        <w:t>Article 1 of Protocol No. 1</w:t>
      </w:r>
    </w:p>
    <w:p w:rsidRPr="00161A13" w:rsidR="002773EE" w:rsidP="00161A13" w:rsidRDefault="002773EE">
      <w:pPr>
        <w:pStyle w:val="JuQuot"/>
      </w:pPr>
      <w:r w:rsidRPr="00161A13">
        <w:t>“Every natural or legal person is entitled to the peaceful enjoyment of his possessions. ...”</w:t>
      </w:r>
    </w:p>
    <w:p w:rsidRPr="00161A13" w:rsidR="002773EE" w:rsidP="00161A13" w:rsidRDefault="002773EE">
      <w:pPr>
        <w:pStyle w:val="JuPara"/>
      </w:pPr>
      <w:r w:rsidRPr="00161A13">
        <w:t xml:space="preserve">7.  The Court reiterates that the execution of a judgment given by any court must be regarded as an integral part of a “hearing” for the purposes of Article 6. It also refers to its case-law concerning the non-enforcement or delayed enforcement of final domestic judgments (see </w:t>
      </w:r>
      <w:r w:rsidRPr="00161A13">
        <w:rPr>
          <w:i/>
        </w:rPr>
        <w:t>Hornsby v. Greece</w:t>
      </w:r>
      <w:r w:rsidRPr="00161A13">
        <w:t xml:space="preserve">, no. 18357/91, § 40, </w:t>
      </w:r>
      <w:r w:rsidRPr="00161A13">
        <w:rPr>
          <w:i/>
        </w:rPr>
        <w:t>Reports of Judgments and Decisions</w:t>
      </w:r>
      <w:r w:rsidRPr="00161A13">
        <w:t xml:space="preserve"> 1997</w:t>
      </w:r>
      <w:r w:rsidRPr="00161A13">
        <w:noBreakHyphen/>
        <w:t>II).</w:t>
      </w:r>
    </w:p>
    <w:p w:rsidRPr="00161A13" w:rsidR="002773EE" w:rsidP="00161A13" w:rsidRDefault="002773EE">
      <w:pPr>
        <w:pStyle w:val="JuPara"/>
      </w:pPr>
      <w:r w:rsidRPr="00161A13">
        <w:t xml:space="preserve">8.  In the leading cases of </w:t>
      </w:r>
      <w:r w:rsidRPr="00161A13">
        <w:rPr>
          <w:i/>
        </w:rPr>
        <w:t xml:space="preserve">R. </w:t>
      </w:r>
      <w:proofErr w:type="spellStart"/>
      <w:r w:rsidRPr="00161A13">
        <w:rPr>
          <w:i/>
        </w:rPr>
        <w:t>Kačapor</w:t>
      </w:r>
      <w:proofErr w:type="spellEnd"/>
      <w:r w:rsidRPr="00161A13">
        <w:rPr>
          <w:i/>
        </w:rPr>
        <w:t xml:space="preserve"> and Others v. Serbia, </w:t>
      </w:r>
      <w:r w:rsidRPr="00161A13">
        <w:t xml:space="preserve">nos. 2269/06 and 5 others, §§ 97-99, 106-16 and 119-20, 15 January 2008, </w:t>
      </w:r>
      <w:proofErr w:type="spellStart"/>
      <w:r w:rsidRPr="00161A13">
        <w:rPr>
          <w:i/>
        </w:rPr>
        <w:t>Crnišanin</w:t>
      </w:r>
      <w:proofErr w:type="spellEnd"/>
      <w:r w:rsidRPr="00161A13">
        <w:rPr>
          <w:i/>
        </w:rPr>
        <w:t xml:space="preserve"> and Others v. Serbia, </w:t>
      </w:r>
      <w:r w:rsidRPr="00161A13">
        <w:t xml:space="preserve">nos. 35835/05 and 3 others, § 124, 13 January 2009, and </w:t>
      </w:r>
      <w:proofErr w:type="spellStart"/>
      <w:r w:rsidRPr="00161A13">
        <w:rPr>
          <w:i/>
        </w:rPr>
        <w:t>Stevanović</w:t>
      </w:r>
      <w:proofErr w:type="spellEnd"/>
      <w:r w:rsidRPr="00161A13">
        <w:rPr>
          <w:i/>
        </w:rPr>
        <w:t xml:space="preserve"> and Others</w:t>
      </w:r>
      <w:r w:rsidRPr="00161A13">
        <w:t xml:space="preserve"> [Committee], nos. 43815/17 and 15 others, 27</w:t>
      </w:r>
      <w:r w:rsidRPr="00161A13" w:rsidR="001B3067">
        <w:t> </w:t>
      </w:r>
      <w:r w:rsidRPr="00161A13">
        <w:t>August 2019, the Court already found a violation in respect of issues similar to those in the present case.</w:t>
      </w:r>
    </w:p>
    <w:p w:rsidRPr="00161A13" w:rsidR="002773EE" w:rsidP="00161A13" w:rsidRDefault="002773EE">
      <w:pPr>
        <w:pStyle w:val="JuPara"/>
      </w:pPr>
      <w:r w:rsidRPr="00161A13">
        <w:t>9.  The Court further notes that the decision in the present application ordered specific action to be taken. The Court therefore considers that the decision in question constitutes “possessions” within the meaning of Article 1 of Protocol No. 1.</w:t>
      </w:r>
    </w:p>
    <w:p w:rsidRPr="00161A13" w:rsidR="002773EE" w:rsidP="00161A13" w:rsidRDefault="002773EE">
      <w:pPr>
        <w:pStyle w:val="JuPara"/>
      </w:pPr>
      <w:r w:rsidRPr="00161A13">
        <w:t>10.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authorities did not deploy all necessary efforts to enforce in due time the decision in the applicant</w:t>
      </w:r>
      <w:r w:rsidRPr="00161A13" w:rsidR="00161A13">
        <w:t>’</w:t>
      </w:r>
      <w:r w:rsidRPr="00161A13">
        <w:t>s favour.</w:t>
      </w:r>
    </w:p>
    <w:p w:rsidRPr="00161A13" w:rsidR="002773EE" w:rsidP="00161A13" w:rsidRDefault="002773EE">
      <w:pPr>
        <w:pStyle w:val="JuPara"/>
      </w:pPr>
      <w:r w:rsidRPr="00161A13">
        <w:t>11.  These complaints are therefore admissible and disclose a breach of Article </w:t>
      </w:r>
      <w:r w:rsidRPr="00161A13">
        <w:rPr>
          <w:rFonts w:eastAsia="PMingLiU"/>
        </w:rPr>
        <w:t>6 § 1</w:t>
      </w:r>
      <w:r w:rsidRPr="00161A13">
        <w:t xml:space="preserve"> of the Convention and Article 1 of Protocol No. 1.</w:t>
      </w:r>
    </w:p>
    <w:p w:rsidRPr="00161A13" w:rsidR="002773EE" w:rsidP="00161A13" w:rsidRDefault="002773EE">
      <w:pPr>
        <w:pStyle w:val="JuPara"/>
      </w:pPr>
      <w:r w:rsidRPr="00161A13">
        <w:t xml:space="preserve">12.  The Court does not find it necessary in the circumstances of this case to examine essentially the same complaint under Article 13 of the Convention (see </w:t>
      </w:r>
      <w:proofErr w:type="spellStart"/>
      <w:r w:rsidRPr="00161A13">
        <w:rPr>
          <w:i/>
        </w:rPr>
        <w:t>Radovanović</w:t>
      </w:r>
      <w:proofErr w:type="spellEnd"/>
      <w:r w:rsidRPr="00161A13">
        <w:rPr>
          <w:i/>
        </w:rPr>
        <w:t xml:space="preserve"> and Others v. Serbia</w:t>
      </w:r>
      <w:r w:rsidRPr="00161A13">
        <w:t xml:space="preserve"> [Committee], nos.</w:t>
      </w:r>
      <w:r w:rsidRPr="00161A13" w:rsidR="001B3067">
        <w:t> </w:t>
      </w:r>
      <w:r w:rsidRPr="00161A13">
        <w:t>55003/16 and 11 others, § 24, 27 August 2019).</w:t>
      </w:r>
    </w:p>
    <w:p w:rsidRPr="00161A13" w:rsidR="002773EE" w:rsidP="00161A13" w:rsidRDefault="002773EE">
      <w:pPr>
        <w:pStyle w:val="JuHIRoman"/>
        <w:numPr>
          <w:ilvl w:val="1"/>
          <w:numId w:val="22"/>
        </w:numPr>
        <w:jc w:val="both"/>
        <w:rPr>
          <w:rFonts w:eastAsia="PMingLiU"/>
          <w:lang w:eastAsia="en-GB"/>
        </w:rPr>
      </w:pPr>
      <w:r w:rsidRPr="00161A13">
        <w:t>APPLICATION OF ARTICLE 41 OF THE CONVENTION</w:t>
      </w:r>
    </w:p>
    <w:p w:rsidRPr="00161A13" w:rsidR="002773EE" w:rsidP="00161A13" w:rsidRDefault="002773EE">
      <w:pPr>
        <w:pStyle w:val="JuPara"/>
      </w:pPr>
      <w:r w:rsidRPr="00161A13">
        <w:t>13.  Article 41 of the Convention provides:</w:t>
      </w:r>
    </w:p>
    <w:p w:rsidRPr="00161A13" w:rsidR="002773EE" w:rsidP="00161A13" w:rsidRDefault="002773EE">
      <w:pPr>
        <w:pStyle w:val="JuQuot"/>
        <w:keepNext/>
        <w:keepLines/>
      </w:pPr>
      <w:r w:rsidRPr="00161A1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61A13" w:rsidR="002773EE" w:rsidP="00161A13" w:rsidRDefault="002773EE">
      <w:pPr>
        <w:pStyle w:val="JuPara"/>
      </w:pPr>
      <w:r w:rsidRPr="00161A13">
        <w:t>14.  Regard being had to the documents in its possession and to its case</w:t>
      </w:r>
      <w:r w:rsidRPr="00161A13">
        <w:noBreakHyphen/>
        <w:t xml:space="preserve">law (see, in particular, </w:t>
      </w:r>
      <w:proofErr w:type="spellStart"/>
      <w:r w:rsidRPr="00161A13">
        <w:rPr>
          <w:i/>
        </w:rPr>
        <w:t>Stošić</w:t>
      </w:r>
      <w:proofErr w:type="spellEnd"/>
      <w:r w:rsidRPr="00161A13">
        <w:rPr>
          <w:i/>
        </w:rPr>
        <w:t xml:space="preserve"> v. Serbia</w:t>
      </w:r>
      <w:r w:rsidRPr="00161A13">
        <w:t>,</w:t>
      </w:r>
      <w:r w:rsidRPr="00161A13">
        <w:rPr>
          <w:i/>
        </w:rPr>
        <w:t xml:space="preserve"> </w:t>
      </w:r>
      <w:r w:rsidRPr="00161A13">
        <w:t>no. 64931/10, §§ 66-68, 1</w:t>
      </w:r>
      <w:r w:rsidRPr="00161A13" w:rsidR="001B3067">
        <w:t> </w:t>
      </w:r>
      <w:r w:rsidRPr="00161A13">
        <w:t>October 2013), the Court considers it reasonable to award the sum indicated in the appended table and it dismisses the remainder of the applicant</w:t>
      </w:r>
      <w:r w:rsidRPr="00161A13" w:rsidR="00161A13">
        <w:t>’</w:t>
      </w:r>
      <w:r w:rsidRPr="00161A13">
        <w:t>s claim for just satisfaction.</w:t>
      </w:r>
    </w:p>
    <w:p w:rsidRPr="00161A13" w:rsidR="002773EE" w:rsidP="00161A13" w:rsidRDefault="002773EE">
      <w:pPr>
        <w:pStyle w:val="JuPara"/>
      </w:pPr>
      <w:r w:rsidRPr="00161A13">
        <w:t>15.  The Court considers it appropriate that the default interest rate should be based on the marginal lending rate of the European Central Bank, to which should be added three percentage points.</w:t>
      </w:r>
    </w:p>
    <w:p w:rsidRPr="00161A13" w:rsidR="002773EE" w:rsidP="00161A13" w:rsidRDefault="002773EE">
      <w:pPr>
        <w:pStyle w:val="JuHHead"/>
        <w:numPr>
          <w:ilvl w:val="0"/>
          <w:numId w:val="22"/>
        </w:numPr>
        <w:jc w:val="both"/>
      </w:pPr>
      <w:r w:rsidRPr="00161A13">
        <w:t>FOR THESE REASONS, THE COURT</w:t>
      </w:r>
      <w:r w:rsidRPr="00161A13">
        <w:rPr>
          <w:color w:val="000000"/>
        </w:rPr>
        <w:t>,</w:t>
      </w:r>
      <w:r w:rsidRPr="00161A13">
        <w:t xml:space="preserve"> UNANIMOUSLY,</w:t>
      </w:r>
    </w:p>
    <w:p w:rsidRPr="00161A13" w:rsidR="002773EE" w:rsidP="00161A13" w:rsidRDefault="002773EE">
      <w:pPr>
        <w:pStyle w:val="JuList"/>
        <w:numPr>
          <w:ilvl w:val="0"/>
          <w:numId w:val="30"/>
        </w:numPr>
      </w:pPr>
      <w:r w:rsidRPr="00161A13">
        <w:rPr>
          <w:i/>
        </w:rPr>
        <w:t xml:space="preserve">Declares </w:t>
      </w:r>
      <w:r w:rsidRPr="00161A13">
        <w:t>the application admissible;</w:t>
      </w:r>
    </w:p>
    <w:p w:rsidRPr="00161A13" w:rsidR="002773EE" w:rsidP="00161A13" w:rsidRDefault="002773EE">
      <w:pPr>
        <w:pStyle w:val="JuList"/>
        <w:numPr>
          <w:ilvl w:val="0"/>
          <w:numId w:val="30"/>
        </w:numPr>
        <w:rPr>
          <w:rFonts w:cstheme="minorHAnsi"/>
          <w:bCs/>
        </w:rPr>
      </w:pPr>
      <w:r w:rsidRPr="00161A13">
        <w:rPr>
          <w:i/>
        </w:rPr>
        <w:t xml:space="preserve">Holds </w:t>
      </w:r>
      <w:r w:rsidRPr="00161A13">
        <w:t>that it discloses a breach of Article </w:t>
      </w:r>
      <w:r w:rsidRPr="00161A13">
        <w:rPr>
          <w:rFonts w:eastAsia="PMingLiU"/>
        </w:rPr>
        <w:t>6 § 1</w:t>
      </w:r>
      <w:r w:rsidRPr="00161A13">
        <w:t xml:space="preserve"> of the Convention and Article 1 of Protocol No. 1 concerning the delayed enforcement of a domestic decision given against a socially/State-owned company</w:t>
      </w:r>
      <w:r w:rsidRPr="00161A13">
        <w:rPr>
          <w:rFonts w:eastAsia="PMingLiU"/>
        </w:rPr>
        <w:t>;</w:t>
      </w:r>
    </w:p>
    <w:p w:rsidRPr="00161A13" w:rsidR="002773EE" w:rsidP="00161A13" w:rsidRDefault="002773EE">
      <w:pPr>
        <w:pStyle w:val="JuList"/>
        <w:numPr>
          <w:ilvl w:val="0"/>
          <w:numId w:val="30"/>
        </w:numPr>
        <w:rPr>
          <w:rFonts w:cstheme="minorHAnsi"/>
          <w:bCs/>
        </w:rPr>
      </w:pPr>
      <w:r w:rsidRPr="00161A13">
        <w:rPr>
          <w:rFonts w:cstheme="minorHAnsi"/>
          <w:bCs/>
          <w:i/>
        </w:rPr>
        <w:t>Holds</w:t>
      </w:r>
      <w:r w:rsidRPr="00161A13">
        <w:rPr>
          <w:rFonts w:cstheme="minorHAnsi"/>
          <w:bCs/>
        </w:rPr>
        <w:t xml:space="preserve"> that there is no need to examine the complaint under Article 13 of the Convention;</w:t>
      </w:r>
    </w:p>
    <w:p w:rsidRPr="00161A13" w:rsidR="002773EE" w:rsidP="00161A13" w:rsidRDefault="002773EE">
      <w:pPr>
        <w:pStyle w:val="JuList"/>
        <w:numPr>
          <w:ilvl w:val="0"/>
          <w:numId w:val="30"/>
        </w:numPr>
        <w:rPr>
          <w:rFonts w:cstheme="minorHAnsi"/>
          <w:bCs/>
        </w:rPr>
      </w:pPr>
      <w:r w:rsidRPr="00161A13">
        <w:rPr>
          <w:i/>
        </w:rPr>
        <w:t>Holds</w:t>
      </w:r>
    </w:p>
    <w:p w:rsidRPr="00161A13" w:rsidR="002773EE" w:rsidP="00161A13" w:rsidRDefault="002773EE">
      <w:pPr>
        <w:pStyle w:val="JuLista"/>
        <w:numPr>
          <w:ilvl w:val="1"/>
          <w:numId w:val="30"/>
        </w:numPr>
      </w:pPr>
      <w:r w:rsidRPr="00161A13">
        <w:t xml:space="preserve">that the respondent State is to pay the applicant, within three months, the amount indicated in the appended table, to be converted into </w:t>
      </w:r>
      <w:r w:rsidRPr="00161A13">
        <w:rPr>
          <w:color w:val="000000"/>
        </w:rPr>
        <w:t xml:space="preserve">the currency of the respondent State </w:t>
      </w:r>
      <w:r w:rsidRPr="00161A13">
        <w:t>at the rate applicable at the date of settlement;</w:t>
      </w:r>
    </w:p>
    <w:p w:rsidRPr="00161A13" w:rsidR="002773EE" w:rsidP="00161A13" w:rsidRDefault="002773EE">
      <w:pPr>
        <w:pStyle w:val="JuLista"/>
        <w:numPr>
          <w:ilvl w:val="1"/>
          <w:numId w:val="30"/>
        </w:numPr>
      </w:pPr>
      <w:r w:rsidRPr="00161A13">
        <w:t>that from the expiry of the above-mentioned three months until settlement simple interest shall be payable on the above amount at a rate equal to the marginal lending rate of the European Central Bank during the default period plus three percentage points;</w:t>
      </w:r>
    </w:p>
    <w:p w:rsidRPr="00161A13" w:rsidR="00787E12" w:rsidP="00161A13" w:rsidRDefault="002773EE">
      <w:pPr>
        <w:pStyle w:val="JuList"/>
      </w:pPr>
      <w:r w:rsidRPr="00161A13">
        <w:rPr>
          <w:i/>
        </w:rPr>
        <w:t>Dismisses</w:t>
      </w:r>
      <w:r w:rsidRPr="00161A13">
        <w:t xml:space="preserve"> the remainder of the applicant</w:t>
      </w:r>
      <w:r w:rsidRPr="00161A13" w:rsidR="00161A13">
        <w:t>’</w:t>
      </w:r>
      <w:r w:rsidRPr="00161A13">
        <w:t>s claim for just satisfaction.</w:t>
      </w:r>
    </w:p>
    <w:p w:rsidRPr="00161A13" w:rsidR="00C43D38" w:rsidP="00161A13" w:rsidRDefault="0048584C">
      <w:pPr>
        <w:pStyle w:val="JuParaLast"/>
      </w:pPr>
      <w:r w:rsidRPr="00161A13">
        <w:t xml:space="preserve">Done in English, and notified in writing on </w:t>
      </w:r>
      <w:r w:rsidRPr="00161A13" w:rsidR="002773EE">
        <w:t>3 October 2019</w:t>
      </w:r>
      <w:r w:rsidRPr="00161A13">
        <w:t>, pursuant to Rule 77 §§ 2 and 3 of the Rules of Court.</w:t>
      </w:r>
    </w:p>
    <w:p w:rsidRPr="00161A13" w:rsidR="00CF644B" w:rsidP="00161A13" w:rsidRDefault="0048584C">
      <w:pPr>
        <w:pStyle w:val="JuSigned"/>
        <w:tabs>
          <w:tab w:val="clear" w:pos="851"/>
          <w:tab w:val="center" w:pos="1134"/>
        </w:tabs>
        <w:rPr>
          <w:rFonts w:eastAsia="PMingLiU"/>
        </w:rPr>
      </w:pPr>
      <w:r w:rsidRPr="00161A13">
        <w:rPr>
          <w:rFonts w:eastAsia="PMingLiU"/>
        </w:rPr>
        <w:tab/>
      </w:r>
      <w:r w:rsidRPr="00161A13" w:rsidR="002773EE">
        <w:rPr>
          <w:rFonts w:eastAsia="PMingLiU"/>
        </w:rPr>
        <w:t>Liv</w:t>
      </w:r>
      <w:r w:rsidRPr="00161A13">
        <w:rPr>
          <w:rFonts w:eastAsia="PMingLiU"/>
        </w:rPr>
        <w:t xml:space="preserve"> </w:t>
      </w:r>
      <w:r w:rsidRPr="00161A13" w:rsidR="002773EE">
        <w:rPr>
          <w:rFonts w:eastAsia="PMingLiU"/>
        </w:rPr>
        <w:t>Tigerstedt</w:t>
      </w:r>
      <w:r w:rsidRPr="00161A13">
        <w:rPr>
          <w:rFonts w:eastAsia="PMingLiU"/>
        </w:rPr>
        <w:tab/>
      </w:r>
      <w:r w:rsidRPr="00161A13" w:rsidR="002773EE">
        <w:rPr>
          <w:rFonts w:eastAsia="PMingLiU"/>
        </w:rPr>
        <w:t>Dmitry Dedov</w:t>
      </w:r>
    </w:p>
    <w:p w:rsidRPr="00161A13" w:rsidR="00787E12" w:rsidP="00161A13" w:rsidRDefault="0048584C">
      <w:pPr>
        <w:pStyle w:val="JuSigned"/>
        <w:tabs>
          <w:tab w:val="clear" w:pos="851"/>
          <w:tab w:val="center" w:pos="1134"/>
        </w:tabs>
        <w:contextualSpacing/>
        <w:rPr>
          <w:rFonts w:eastAsia="PMingLiU"/>
        </w:rPr>
      </w:pPr>
      <w:r w:rsidRPr="00161A13">
        <w:rPr>
          <w:rFonts w:eastAsia="PMingLiU"/>
        </w:rPr>
        <w:tab/>
      </w:r>
      <w:r w:rsidRPr="00161A13" w:rsidR="006F07C3">
        <w:rPr>
          <w:rFonts w:eastAsia="PMingLiU"/>
        </w:rPr>
        <w:t xml:space="preserve">Acting </w:t>
      </w:r>
      <w:r w:rsidRPr="00161A13">
        <w:rPr>
          <w:rFonts w:eastAsia="PMingLiU"/>
        </w:rPr>
        <w:t>Deputy Registrar</w:t>
      </w:r>
      <w:r w:rsidRPr="00161A13">
        <w:rPr>
          <w:rFonts w:eastAsia="PMingLiU"/>
        </w:rPr>
        <w:tab/>
        <w:t>President</w:t>
      </w:r>
    </w:p>
    <w:p w:rsidRPr="00161A13" w:rsidR="00787E12" w:rsidP="00161A13" w:rsidRDefault="005A1BDD">
      <w:pPr>
        <w:pStyle w:val="JuParaLast"/>
        <w:sectPr w:rsidRPr="00161A13" w:rsidR="00787E12" w:rsidSect="006372F5">
          <w:headerReference w:type="even" r:id="rId14"/>
          <w:headerReference w:type="default" r:id="rId15"/>
          <w:footnotePr>
            <w:numRestart w:val="eachPage"/>
          </w:footnotePr>
          <w:type w:val="oddPage"/>
          <w:pgSz w:w="11906" w:h="16838" w:code="9"/>
          <w:pgMar w:top="2274" w:right="2274" w:bottom="2274" w:left="2274" w:header="1701" w:footer="720" w:gutter="0"/>
          <w:pgNumType w:start="1"/>
          <w:cols w:space="720"/>
          <w:docGrid w:linePitch="326"/>
        </w:sectPr>
      </w:pPr>
    </w:p>
    <w:p w:rsidRPr="00161A13" w:rsidR="00787E12" w:rsidP="00161A13" w:rsidRDefault="0048584C">
      <w:pPr>
        <w:pStyle w:val="DecHTitle"/>
      </w:pPr>
      <w:r w:rsidRPr="00161A13">
        <w:t>APPENDIX</w:t>
      </w:r>
    </w:p>
    <w:p w:rsidRPr="00161A13" w:rsidR="00787E12" w:rsidP="00161A13" w:rsidRDefault="002773EE">
      <w:pPr>
        <w:pStyle w:val="DecHCase"/>
        <w:contextualSpacing/>
        <w:rPr>
          <w:b/>
          <w:i/>
          <w:color w:val="3E3E3E" w:themeColor="background2" w:themeShade="40"/>
        </w:rPr>
      </w:pPr>
      <w:r w:rsidRPr="00161A13">
        <w:rPr>
          <w:color w:val="3E3E3E" w:themeColor="background2" w:themeShade="40"/>
        </w:rPr>
        <w:t>Application</w:t>
      </w:r>
      <w:r w:rsidRPr="00161A13" w:rsidR="0048584C">
        <w:rPr>
          <w:color w:val="3E3E3E" w:themeColor="background2" w:themeShade="40"/>
        </w:rPr>
        <w:t xml:space="preserve"> raising complaints under Article</w:t>
      </w:r>
      <w:r w:rsidRPr="00161A13">
        <w:rPr>
          <w:color w:val="3E3E3E" w:themeColor="background2" w:themeShade="40"/>
        </w:rPr>
        <w:t xml:space="preserve"> 6 § 1 of the Convention</w:t>
      </w:r>
      <w:r w:rsidRPr="00161A13" w:rsidR="001B3067">
        <w:rPr>
          <w:color w:val="3E3E3E" w:themeColor="background2" w:themeShade="40"/>
        </w:rPr>
        <w:t xml:space="preserve"> and Article 1 of Protocol No. 1</w:t>
      </w:r>
    </w:p>
    <w:p w:rsidRPr="00161A13" w:rsidR="00787E12" w:rsidP="00161A13" w:rsidRDefault="0048584C">
      <w:pPr>
        <w:pStyle w:val="DecHCase"/>
        <w:contextualSpacing/>
        <w:rPr>
          <w:b/>
          <w:i/>
          <w:szCs w:val="24"/>
        </w:rPr>
      </w:pPr>
      <w:r w:rsidRPr="00161A13">
        <w:rPr>
          <w:color w:val="3E3E3E" w:themeColor="background2" w:themeShade="40"/>
        </w:rPr>
        <w:t>(</w:t>
      </w:r>
      <w:proofErr w:type="gramStart"/>
      <w:r w:rsidRPr="00161A13" w:rsidR="002773EE">
        <w:rPr>
          <w:color w:val="3E3E3E" w:themeColor="background2" w:themeShade="40"/>
        </w:rPr>
        <w:t>non-enforcement</w:t>
      </w:r>
      <w:proofErr w:type="gramEnd"/>
      <w:r w:rsidRPr="00161A13" w:rsidR="002773EE">
        <w:rPr>
          <w:color w:val="3E3E3E" w:themeColor="background2" w:themeShade="40"/>
        </w:rPr>
        <w:t xml:space="preserve"> or delayed enforcement of domestic decisions given against socially/State-owned companies</w:t>
      </w:r>
      <w:r w:rsidRPr="00161A13">
        <w:rPr>
          <w:color w:val="3E3E3E" w:themeColor="background2" w:themeShade="40"/>
          <w:szCs w:val="24"/>
        </w:rPr>
        <w:t>)</w:t>
      </w:r>
    </w:p>
    <w:tbl>
      <w:tblPr>
        <w:tblStyle w:val="ECHRListTable"/>
        <w:tblW w:w="10632" w:type="dxa"/>
        <w:jc w:val="center"/>
        <w:tblLook w:val="0420" w:firstRow="1" w:lastRow="0" w:firstColumn="0" w:lastColumn="0" w:noHBand="0" w:noVBand="1"/>
      </w:tblPr>
      <w:tblGrid>
        <w:gridCol w:w="1419"/>
        <w:gridCol w:w="1550"/>
        <w:gridCol w:w="1427"/>
        <w:gridCol w:w="1417"/>
        <w:gridCol w:w="1701"/>
        <w:gridCol w:w="1134"/>
        <w:gridCol w:w="1984"/>
      </w:tblGrid>
      <w:tr w:rsidRPr="00161A13" w:rsidR="001B3067" w:rsidTr="001B3067">
        <w:trPr>
          <w:cnfStyle w:val="100000000000" w:firstRow="1" w:lastRow="0" w:firstColumn="0" w:lastColumn="0" w:oddVBand="0" w:evenVBand="0" w:oddHBand="0" w:evenHBand="0" w:firstRowFirstColumn="0" w:firstRowLastColumn="0" w:lastRowFirstColumn="0" w:lastRowLastColumn="0"/>
          <w:jc w:val="center"/>
        </w:trPr>
        <w:tc>
          <w:tcPr>
            <w:tcW w:w="1419" w:type="dxa"/>
          </w:tcPr>
          <w:p w:rsidRPr="00161A13" w:rsidR="001B3067" w:rsidP="00161A13" w:rsidRDefault="001B3067">
            <w:pPr>
              <w:jc w:val="center"/>
              <w:rPr>
                <w:sz w:val="16"/>
              </w:rPr>
            </w:pPr>
            <w:bookmarkStart w:name="WECLListStart" w:id="2"/>
            <w:bookmarkEnd w:id="2"/>
            <w:r w:rsidRPr="00161A13">
              <w:rPr>
                <w:sz w:val="16"/>
              </w:rPr>
              <w:t>Application no.</w:t>
            </w:r>
          </w:p>
          <w:p w:rsidRPr="00161A13" w:rsidR="001B3067" w:rsidP="00161A13" w:rsidRDefault="001B3067">
            <w:pPr>
              <w:jc w:val="center"/>
              <w:rPr>
                <w:sz w:val="16"/>
              </w:rPr>
            </w:pPr>
            <w:r w:rsidRPr="00161A13">
              <w:rPr>
                <w:sz w:val="16"/>
              </w:rPr>
              <w:t>Date of introduction</w:t>
            </w:r>
          </w:p>
        </w:tc>
        <w:tc>
          <w:tcPr>
            <w:tcW w:w="1550" w:type="dxa"/>
          </w:tcPr>
          <w:p w:rsidRPr="00161A13" w:rsidR="001B3067" w:rsidP="00161A13" w:rsidRDefault="001B3067">
            <w:pPr>
              <w:jc w:val="center"/>
              <w:rPr>
                <w:sz w:val="16"/>
              </w:rPr>
            </w:pPr>
            <w:r w:rsidRPr="00161A13">
              <w:rPr>
                <w:sz w:val="16"/>
              </w:rPr>
              <w:t>Applicant</w:t>
            </w:r>
            <w:r w:rsidRPr="00161A13" w:rsidR="00161A13">
              <w:rPr>
                <w:sz w:val="16"/>
              </w:rPr>
              <w:t>’</w:t>
            </w:r>
            <w:r w:rsidRPr="00161A13">
              <w:rPr>
                <w:sz w:val="16"/>
              </w:rPr>
              <w:t>s name</w:t>
            </w:r>
          </w:p>
          <w:p w:rsidRPr="00161A13" w:rsidR="001B3067" w:rsidP="00161A13" w:rsidRDefault="001B3067">
            <w:pPr>
              <w:jc w:val="center"/>
              <w:rPr>
                <w:sz w:val="16"/>
              </w:rPr>
            </w:pPr>
            <w:r w:rsidRPr="00161A13">
              <w:rPr>
                <w:sz w:val="16"/>
              </w:rPr>
              <w:t xml:space="preserve">Date of birth </w:t>
            </w:r>
          </w:p>
        </w:tc>
        <w:tc>
          <w:tcPr>
            <w:tcW w:w="1427" w:type="dxa"/>
          </w:tcPr>
          <w:p w:rsidRPr="00161A13" w:rsidR="001B3067" w:rsidP="00161A13" w:rsidRDefault="001B3067">
            <w:pPr>
              <w:jc w:val="center"/>
              <w:rPr>
                <w:sz w:val="16"/>
              </w:rPr>
            </w:pPr>
            <w:r w:rsidRPr="00161A13">
              <w:rPr>
                <w:sz w:val="16"/>
              </w:rPr>
              <w:t>Relevant domestic decision</w:t>
            </w:r>
          </w:p>
        </w:tc>
        <w:tc>
          <w:tcPr>
            <w:tcW w:w="1417" w:type="dxa"/>
          </w:tcPr>
          <w:p w:rsidRPr="00161A13" w:rsidR="001B3067" w:rsidP="00161A13" w:rsidRDefault="001B3067">
            <w:pPr>
              <w:jc w:val="center"/>
              <w:rPr>
                <w:sz w:val="16"/>
              </w:rPr>
            </w:pPr>
            <w:r w:rsidRPr="00161A13">
              <w:rPr>
                <w:sz w:val="16"/>
              </w:rPr>
              <w:t>Start date of non-enforcement period</w:t>
            </w:r>
          </w:p>
        </w:tc>
        <w:tc>
          <w:tcPr>
            <w:tcW w:w="1701" w:type="dxa"/>
          </w:tcPr>
          <w:p w:rsidRPr="00161A13" w:rsidR="001B3067" w:rsidP="00161A13" w:rsidRDefault="001B3067">
            <w:pPr>
              <w:jc w:val="center"/>
              <w:rPr>
                <w:sz w:val="16"/>
              </w:rPr>
            </w:pPr>
            <w:r w:rsidRPr="00161A13">
              <w:rPr>
                <w:sz w:val="16"/>
              </w:rPr>
              <w:t>End date of non-enforcement period Length of enforcement proceedings</w:t>
            </w:r>
          </w:p>
        </w:tc>
        <w:tc>
          <w:tcPr>
            <w:tcW w:w="1134" w:type="dxa"/>
          </w:tcPr>
          <w:p w:rsidRPr="00161A13" w:rsidR="001B3067" w:rsidP="00161A13" w:rsidRDefault="001B3067">
            <w:pPr>
              <w:jc w:val="center"/>
              <w:rPr>
                <w:sz w:val="16"/>
              </w:rPr>
            </w:pPr>
            <w:r w:rsidRPr="00161A13">
              <w:rPr>
                <w:sz w:val="16"/>
              </w:rPr>
              <w:t>Domestic award</w:t>
            </w:r>
          </w:p>
          <w:p w:rsidRPr="00161A13" w:rsidR="001B3067" w:rsidP="00161A13" w:rsidRDefault="001B3067">
            <w:pPr>
              <w:jc w:val="center"/>
              <w:rPr>
                <w:sz w:val="16"/>
              </w:rPr>
            </w:pPr>
            <w:r w:rsidRPr="00161A13">
              <w:rPr>
                <w:sz w:val="16"/>
              </w:rPr>
              <w:t>(in euros)</w:t>
            </w:r>
          </w:p>
        </w:tc>
        <w:tc>
          <w:tcPr>
            <w:tcW w:w="1984" w:type="dxa"/>
          </w:tcPr>
          <w:p w:rsidRPr="00161A13" w:rsidR="001B3067" w:rsidP="00161A13" w:rsidRDefault="001B3067">
            <w:pPr>
              <w:jc w:val="center"/>
              <w:rPr>
                <w:sz w:val="16"/>
              </w:rPr>
            </w:pPr>
            <w:r w:rsidRPr="00161A13">
              <w:rPr>
                <w:sz w:val="16"/>
              </w:rPr>
              <w:t>Amount awarded for non-pecuniary damage and costs and expenses per applicant (in euros)</w:t>
            </w:r>
            <w:r w:rsidRPr="00161A13">
              <w:rPr>
                <w:rStyle w:val="FootnoteReference"/>
                <w:sz w:val="16"/>
              </w:rPr>
              <w:footnoteReference w:id="1"/>
            </w:r>
            <w:r w:rsidRPr="00161A13">
              <w:rPr>
                <w:sz w:val="16"/>
              </w:rPr>
              <w:t xml:space="preserve"> </w:t>
            </w:r>
            <w:r w:rsidRPr="00161A13">
              <w:rPr>
                <w:rStyle w:val="FootnoteReference"/>
                <w:sz w:val="16"/>
              </w:rPr>
              <w:footnoteReference w:id="2"/>
            </w:r>
          </w:p>
        </w:tc>
      </w:tr>
      <w:tr w:rsidRPr="00161A13" w:rsidR="001B3067" w:rsidTr="001B3067">
        <w:trPr>
          <w:jc w:val="center"/>
        </w:trPr>
        <w:tc>
          <w:tcPr>
            <w:tcW w:w="1419" w:type="dxa"/>
          </w:tcPr>
          <w:p w:rsidRPr="00161A13" w:rsidR="001B3067" w:rsidP="00161A13" w:rsidRDefault="001B3067">
            <w:pPr>
              <w:jc w:val="center"/>
              <w:rPr>
                <w:sz w:val="16"/>
              </w:rPr>
            </w:pPr>
            <w:r w:rsidRPr="00161A13">
              <w:rPr>
                <w:sz w:val="16"/>
              </w:rPr>
              <w:t>65474/16</w:t>
            </w:r>
          </w:p>
          <w:p w:rsidRPr="00161A13" w:rsidR="001B3067" w:rsidP="00161A13" w:rsidRDefault="001B3067">
            <w:pPr>
              <w:jc w:val="center"/>
              <w:rPr>
                <w:sz w:val="16"/>
              </w:rPr>
            </w:pPr>
            <w:r w:rsidRPr="00161A13">
              <w:rPr>
                <w:sz w:val="16"/>
              </w:rPr>
              <w:t>04/11/2016</w:t>
            </w:r>
          </w:p>
        </w:tc>
        <w:tc>
          <w:tcPr>
            <w:tcW w:w="1550" w:type="dxa"/>
          </w:tcPr>
          <w:p w:rsidRPr="00161A13" w:rsidR="001B3067" w:rsidP="00161A13" w:rsidRDefault="001B3067">
            <w:pPr>
              <w:jc w:val="center"/>
              <w:rPr>
                <w:b/>
                <w:sz w:val="16"/>
              </w:rPr>
            </w:pPr>
            <w:proofErr w:type="spellStart"/>
            <w:r w:rsidRPr="00161A13">
              <w:rPr>
                <w:b/>
                <w:sz w:val="16"/>
              </w:rPr>
              <w:t>Milutin</w:t>
            </w:r>
            <w:proofErr w:type="spellEnd"/>
            <w:r w:rsidRPr="00161A13">
              <w:rPr>
                <w:b/>
                <w:sz w:val="16"/>
              </w:rPr>
              <w:t xml:space="preserve"> </w:t>
            </w:r>
            <w:proofErr w:type="spellStart"/>
            <w:r w:rsidRPr="00161A13">
              <w:rPr>
                <w:b/>
                <w:sz w:val="16"/>
              </w:rPr>
              <w:t>Jovičić</w:t>
            </w:r>
            <w:proofErr w:type="spellEnd"/>
          </w:p>
          <w:p w:rsidRPr="00161A13" w:rsidR="001B3067" w:rsidP="00161A13" w:rsidRDefault="001B3067">
            <w:pPr>
              <w:jc w:val="center"/>
              <w:rPr>
                <w:sz w:val="16"/>
              </w:rPr>
            </w:pPr>
            <w:r w:rsidRPr="00161A13">
              <w:rPr>
                <w:sz w:val="16"/>
              </w:rPr>
              <w:t>21/07/1950</w:t>
            </w:r>
          </w:p>
        </w:tc>
        <w:tc>
          <w:tcPr>
            <w:tcW w:w="1427" w:type="dxa"/>
          </w:tcPr>
          <w:p w:rsidRPr="00161A13" w:rsidR="001B3067" w:rsidP="00161A13" w:rsidRDefault="001B3067">
            <w:pPr>
              <w:jc w:val="center"/>
              <w:rPr>
                <w:sz w:val="16"/>
              </w:rPr>
            </w:pPr>
            <w:r w:rsidRPr="00161A13">
              <w:rPr>
                <w:sz w:val="16"/>
              </w:rPr>
              <w:t xml:space="preserve">Municipal Court in </w:t>
            </w:r>
            <w:r w:rsidRPr="00161A13">
              <w:rPr>
                <w:sz w:val="16"/>
                <w:lang w:val="sr-Latn-BA"/>
              </w:rPr>
              <w:t>Č</w:t>
            </w:r>
            <w:proofErr w:type="spellStart"/>
            <w:r w:rsidRPr="00161A13">
              <w:rPr>
                <w:sz w:val="16"/>
              </w:rPr>
              <w:t>ačak</w:t>
            </w:r>
            <w:proofErr w:type="spellEnd"/>
            <w:r w:rsidRPr="00161A13">
              <w:rPr>
                <w:sz w:val="16"/>
              </w:rPr>
              <w:t>, 12/03/2008</w:t>
            </w:r>
          </w:p>
          <w:p w:rsidRPr="00161A13" w:rsidR="001B3067" w:rsidP="00161A13" w:rsidRDefault="001B3067">
            <w:pPr>
              <w:jc w:val="center"/>
              <w:rPr>
                <w:sz w:val="16"/>
              </w:rPr>
            </w:pPr>
          </w:p>
        </w:tc>
        <w:tc>
          <w:tcPr>
            <w:tcW w:w="1417" w:type="dxa"/>
          </w:tcPr>
          <w:p w:rsidRPr="00161A13" w:rsidR="001B3067" w:rsidP="00161A13" w:rsidRDefault="001B3067">
            <w:pPr>
              <w:jc w:val="center"/>
              <w:rPr>
                <w:sz w:val="16"/>
              </w:rPr>
            </w:pPr>
            <w:r w:rsidRPr="00161A13">
              <w:rPr>
                <w:sz w:val="16"/>
              </w:rPr>
              <w:t>13/08/2008</w:t>
            </w:r>
          </w:p>
          <w:p w:rsidRPr="00161A13" w:rsidR="001B3067" w:rsidP="00161A13" w:rsidRDefault="001B3067">
            <w:pPr>
              <w:jc w:val="center"/>
              <w:rPr>
                <w:sz w:val="16"/>
              </w:rPr>
            </w:pPr>
          </w:p>
        </w:tc>
        <w:tc>
          <w:tcPr>
            <w:tcW w:w="1701" w:type="dxa"/>
          </w:tcPr>
          <w:p w:rsidRPr="00161A13" w:rsidR="001B3067" w:rsidP="00161A13" w:rsidRDefault="001B3067">
            <w:pPr>
              <w:jc w:val="center"/>
              <w:rPr>
                <w:sz w:val="16"/>
              </w:rPr>
            </w:pPr>
            <w:r w:rsidRPr="00161A13">
              <w:rPr>
                <w:sz w:val="16"/>
              </w:rPr>
              <w:t>01/08/2016</w:t>
            </w:r>
          </w:p>
          <w:p w:rsidRPr="00161A13" w:rsidR="001B3067" w:rsidP="00161A13" w:rsidRDefault="001B3067">
            <w:pPr>
              <w:jc w:val="center"/>
              <w:rPr>
                <w:sz w:val="16"/>
              </w:rPr>
            </w:pPr>
          </w:p>
          <w:p w:rsidRPr="00161A13" w:rsidR="001B3067" w:rsidP="00161A13" w:rsidRDefault="001B3067">
            <w:pPr>
              <w:jc w:val="center"/>
              <w:rPr>
                <w:sz w:val="16"/>
              </w:rPr>
            </w:pPr>
            <w:r w:rsidRPr="00161A13">
              <w:rPr>
                <w:sz w:val="16"/>
              </w:rPr>
              <w:t>7 year(s) and 11 month(s) and 20 day(s)</w:t>
            </w:r>
          </w:p>
          <w:p w:rsidRPr="00161A13" w:rsidR="001B3067" w:rsidP="00161A13" w:rsidRDefault="001B3067">
            <w:pPr>
              <w:jc w:val="center"/>
              <w:rPr>
                <w:sz w:val="16"/>
              </w:rPr>
            </w:pPr>
          </w:p>
        </w:tc>
        <w:tc>
          <w:tcPr>
            <w:tcW w:w="1134" w:type="dxa"/>
          </w:tcPr>
          <w:p w:rsidRPr="00161A13" w:rsidR="001B3067" w:rsidP="00161A13" w:rsidRDefault="001B3067">
            <w:pPr>
              <w:jc w:val="center"/>
              <w:rPr>
                <w:sz w:val="16"/>
              </w:rPr>
            </w:pPr>
            <w:r w:rsidRPr="00161A13">
              <w:rPr>
                <w:sz w:val="16"/>
              </w:rPr>
              <w:t>200</w:t>
            </w:r>
          </w:p>
          <w:p w:rsidRPr="00161A13" w:rsidR="001B3067" w:rsidP="00161A13" w:rsidRDefault="001B3067">
            <w:pPr>
              <w:jc w:val="center"/>
              <w:rPr>
                <w:sz w:val="16"/>
              </w:rPr>
            </w:pPr>
          </w:p>
          <w:p w:rsidRPr="00161A13" w:rsidR="001B3067" w:rsidP="00161A13" w:rsidRDefault="001B3067">
            <w:pPr>
              <w:jc w:val="center"/>
              <w:rPr>
                <w:sz w:val="16"/>
              </w:rPr>
            </w:pPr>
          </w:p>
        </w:tc>
        <w:tc>
          <w:tcPr>
            <w:tcW w:w="1984" w:type="dxa"/>
          </w:tcPr>
          <w:p w:rsidRPr="00161A13" w:rsidR="001B3067" w:rsidP="00161A13" w:rsidRDefault="001B3067">
            <w:pPr>
              <w:jc w:val="center"/>
              <w:rPr>
                <w:sz w:val="16"/>
              </w:rPr>
            </w:pPr>
            <w:r w:rsidRPr="00161A13">
              <w:rPr>
                <w:sz w:val="16"/>
              </w:rPr>
              <w:t>2,000</w:t>
            </w:r>
          </w:p>
        </w:tc>
      </w:tr>
    </w:tbl>
    <w:p w:rsidRPr="00161A13" w:rsidR="00787E12" w:rsidP="00161A13" w:rsidRDefault="005A1BDD">
      <w:pPr>
        <w:jc w:val="left"/>
      </w:pPr>
    </w:p>
    <w:p w:rsidRPr="00161A13" w:rsidR="00791456" w:rsidP="00161A13" w:rsidRDefault="005A1BDD">
      <w:pPr>
        <w:jc w:val="left"/>
      </w:pPr>
    </w:p>
    <w:sectPr w:rsidRPr="00161A13" w:rsidR="00791456" w:rsidSect="00366C88">
      <w:headerReference w:type="even" r:id="rId16"/>
      <w:headerReference w:type="default" r:id="rId17"/>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73EE" w:rsidRPr="00497FF8" w:rsidRDefault="002773EE">
      <w:r w:rsidRPr="00497FF8">
        <w:separator/>
      </w:r>
    </w:p>
  </w:endnote>
  <w:endnote w:type="continuationSeparator" w:id="0">
    <w:p w:rsidR="002773EE" w:rsidRPr="00497FF8" w:rsidRDefault="002773EE">
      <w:r w:rsidRPr="00497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73EE" w:rsidRDefault="002773EE">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73EE" w:rsidRDefault="002773EE">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73EE" w:rsidRPr="00150BFA" w:rsidRDefault="002773EE" w:rsidP="0020718E">
    <w:pPr>
      <w:jc w:val="center"/>
    </w:pPr>
    <w:r>
      <w:rPr>
        <w:noProof/>
        <w:lang w:val="en-US" w:eastAsia="ja-JP"/>
      </w:rPr>
      <w:drawing>
        <wp:inline distT="0" distB="0" distL="0" distR="0" wp14:anchorId="6A02903E" wp14:editId="7F64813F">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497FF8" w:rsidRDefault="005A1BDD"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73EE" w:rsidRPr="00497FF8" w:rsidRDefault="002773EE" w:rsidP="00787E12">
      <w:r w:rsidRPr="00497FF8">
        <w:separator/>
      </w:r>
    </w:p>
  </w:footnote>
  <w:footnote w:type="continuationSeparator" w:id="0">
    <w:p w:rsidR="002773EE" w:rsidRPr="00497FF8" w:rsidRDefault="002773EE" w:rsidP="00787E12">
      <w:r w:rsidRPr="00497FF8">
        <w:continuationSeparator/>
      </w:r>
    </w:p>
  </w:footnote>
  <w:footnote w:id="1">
    <w:p w:rsidR="001B3067" w:rsidRDefault="001B3067" w:rsidP="002773EE">
      <w:pPr>
        <w:pStyle w:val="FootnoteText"/>
      </w:pPr>
      <w:r w:rsidRPr="002773EE">
        <w:footnoteRef/>
      </w:r>
      <w:r w:rsidRPr="002773EE">
        <w:t>.  </w:t>
      </w:r>
      <w:r>
        <w:t>Plus any tax that may be chargeable to the applicant.</w:t>
      </w:r>
    </w:p>
  </w:footnote>
  <w:footnote w:id="2">
    <w:p w:rsidR="001B3067" w:rsidRDefault="001B3067" w:rsidP="002773EE">
      <w:pPr>
        <w:pStyle w:val="FootnoteText"/>
      </w:pPr>
      <w:r w:rsidRPr="002773EE">
        <w:footnoteRef/>
      </w:r>
      <w:r w:rsidRPr="002773EE">
        <w:t>.  </w:t>
      </w:r>
      <w:r w:rsidRPr="0006047E">
        <w:t>Less any amounts which may have already been paid in that regard at the domestic level.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73EE" w:rsidRDefault="002773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73EE" w:rsidRPr="00A45145" w:rsidRDefault="002773EE" w:rsidP="00A45145">
    <w:pPr>
      <w:jc w:val="center"/>
    </w:pPr>
    <w:r>
      <w:rPr>
        <w:noProof/>
        <w:lang w:val="en-US" w:eastAsia="ja-JP"/>
      </w:rPr>
      <w:drawing>
        <wp:inline distT="0" distB="0" distL="0" distR="0" wp14:anchorId="5BED56B7" wp14:editId="3B2495B4">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5A1BDD" w:rsidP="000318F7">
    <w:pPr>
      <w:jc w:val="center"/>
      <w:rPr>
        <w:sz w:val="4"/>
        <w:szCs w:val="4"/>
      </w:rPr>
    </w:pPr>
  </w:p>
  <w:p w:rsidR="00787E12" w:rsidRPr="00497FF8" w:rsidRDefault="005A1BD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73EE" w:rsidRPr="00A45145" w:rsidRDefault="002773EE" w:rsidP="00A45145">
    <w:pPr>
      <w:jc w:val="center"/>
    </w:pPr>
    <w:r>
      <w:rPr>
        <w:noProof/>
        <w:lang w:val="en-US" w:eastAsia="ja-JP"/>
      </w:rPr>
      <w:drawing>
        <wp:inline distT="0" distB="0" distL="0" distR="0" wp14:anchorId="058FF176" wp14:editId="7E2EF1E3">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5A1BDD" w:rsidP="00B64153">
    <w:pPr>
      <w:jc w:val="center"/>
      <w:rPr>
        <w:sz w:val="4"/>
        <w:szCs w:val="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2773EE" w:rsidP="006372F5">
    <w:pPr>
      <w:pStyle w:val="JuHeader"/>
    </w:pPr>
    <w:r>
      <w:rPr>
        <w:rStyle w:val="PageNumber"/>
      </w:rPr>
      <w:fldChar w:fldCharType="begin"/>
    </w:r>
    <w:r>
      <w:rPr>
        <w:rStyle w:val="PageNumber"/>
      </w:rPr>
      <w:instrText xml:space="preserve"> PAGE </w:instrText>
    </w:r>
    <w:r>
      <w:rPr>
        <w:rStyle w:val="PageNumber"/>
      </w:rPr>
      <w:fldChar w:fldCharType="separate"/>
    </w:r>
    <w:r w:rsidR="00161A13">
      <w:rPr>
        <w:rStyle w:val="PageNumber"/>
        <w:noProof/>
      </w:rPr>
      <w:t>2</w:t>
    </w:r>
    <w:r>
      <w:rPr>
        <w:rStyle w:val="PageNumber"/>
      </w:rPr>
      <w:fldChar w:fldCharType="end"/>
    </w:r>
    <w:r w:rsidR="0048584C" w:rsidRPr="004D0EC7">
      <w:tab/>
    </w:r>
    <w:r>
      <w:t>JOVIČIĆ v. SERBIA</w:t>
    </w:r>
    <w:r w:rsidR="0048584C" w:rsidRPr="004D0EC7">
      <w:t xml:space="preserve"> </w:t>
    </w:r>
    <w:r w:rsidR="0048584C">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48584C" w:rsidP="006372F5">
    <w:pPr>
      <w:pStyle w:val="JuHeader"/>
    </w:pPr>
    <w:r w:rsidRPr="00DE7D3F">
      <w:tab/>
    </w:r>
    <w:r w:rsidR="002773EE">
      <w:t>JOVIČIĆ v. SERBIA</w:t>
    </w:r>
    <w:r w:rsidRPr="00DE7D3F">
      <w:t xml:space="preserve"> JUDGMENT</w:t>
    </w:r>
    <w:r w:rsidRPr="00DE7D3F">
      <w:tab/>
    </w:r>
    <w:r w:rsidR="002773EE">
      <w:rPr>
        <w:rStyle w:val="PageNumber"/>
      </w:rPr>
      <w:fldChar w:fldCharType="begin"/>
    </w:r>
    <w:r w:rsidR="002773EE">
      <w:rPr>
        <w:rStyle w:val="PageNumber"/>
      </w:rPr>
      <w:instrText xml:space="preserve"> PAGE </w:instrText>
    </w:r>
    <w:r w:rsidR="002773EE">
      <w:rPr>
        <w:rStyle w:val="PageNumber"/>
      </w:rPr>
      <w:fldChar w:fldCharType="separate"/>
    </w:r>
    <w:r w:rsidR="00161A13">
      <w:rPr>
        <w:rStyle w:val="PageNumber"/>
        <w:noProof/>
      </w:rPr>
      <w:t>3</w:t>
    </w:r>
    <w:r w:rsidR="002773EE">
      <w:rPr>
        <w:rStyle w:val="PageNumber"/>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2773EE"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161A13">
      <w:rPr>
        <w:rStyle w:val="PageNumber"/>
        <w:noProof/>
      </w:rPr>
      <w:t>4</w:t>
    </w:r>
    <w:r>
      <w:rPr>
        <w:rStyle w:val="PageNumber"/>
      </w:rPr>
      <w:fldChar w:fldCharType="end"/>
    </w:r>
    <w:r w:rsidR="0048584C" w:rsidRPr="004D0EC7">
      <w:tab/>
    </w:r>
    <w:r>
      <w:t>JOVIČIĆ v. SERBIA</w:t>
    </w:r>
    <w:r w:rsidR="0048584C" w:rsidRPr="004D0EC7">
      <w:t xml:space="preserve"> </w:t>
    </w:r>
    <w:r w:rsidR="0048584C">
      <w:t>JUDGMENT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48584C" w:rsidP="00E026EC">
    <w:pPr>
      <w:pStyle w:val="JuHeaderLandscape"/>
    </w:pPr>
    <w:r w:rsidRPr="00DE7D3F">
      <w:tab/>
    </w:r>
    <w:r w:rsidR="002773EE">
      <w:t>JOVIČIĆ v. SERBIA</w:t>
    </w:r>
    <w:r w:rsidRPr="00DE7D3F">
      <w:t xml:space="preserve"> JUDGMENT</w:t>
    </w:r>
    <w:r w:rsidRPr="00DE7D3F">
      <w:tab/>
    </w:r>
    <w:r w:rsidR="002773EE">
      <w:rPr>
        <w:rStyle w:val="PageNumber"/>
      </w:rPr>
      <w:fldChar w:fldCharType="begin"/>
    </w:r>
    <w:r w:rsidR="002773EE">
      <w:rPr>
        <w:rStyle w:val="PageNumber"/>
      </w:rPr>
      <w:instrText xml:space="preserve"> PAGE </w:instrText>
    </w:r>
    <w:r w:rsidR="002773EE">
      <w:rPr>
        <w:rStyle w:val="PageNumber"/>
      </w:rPr>
      <w:fldChar w:fldCharType="separate"/>
    </w:r>
    <w:r w:rsidR="002773EE">
      <w:rPr>
        <w:rStyle w:val="PageNumber"/>
        <w:noProof/>
      </w:rPr>
      <w:t>4</w:t>
    </w:r>
    <w:r w:rsidR="002773EE">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C0023"/>
    <w:numStyleLink w:val="ArticleSection"/>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9105BF1"/>
    <w:multiLevelType w:val="multilevel"/>
    <w:tmpl w:val="040C001F"/>
    <w:numStyleLink w:val="111111"/>
  </w:abstractNum>
  <w:abstractNum w:abstractNumId="1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3">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4">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7D3A7FD5"/>
    <w:multiLevelType w:val="multilevel"/>
    <w:tmpl w:val="040C001D"/>
    <w:numStyleLink w:val="1ai"/>
  </w:abstractNum>
  <w:num w:numId="1">
    <w:abstractNumId w:val="16"/>
  </w:num>
  <w:num w:numId="2">
    <w:abstractNumId w:val="10"/>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2"/>
  </w:num>
  <w:num w:numId="6">
    <w:abstractNumId w:val="10"/>
  </w:num>
  <w:num w:numId="7">
    <w:abstractNumId w:val="22"/>
  </w:num>
  <w:num w:numId="8">
    <w:abstractNumId w:val="11"/>
  </w:num>
  <w:num w:numId="9">
    <w:abstractNumId w:val="9"/>
  </w:num>
  <w:num w:numId="10">
    <w:abstractNumId w:val="17"/>
  </w:num>
  <w:num w:numId="11">
    <w:abstractNumId w:val="25"/>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4"/>
  </w:num>
  <w:num w:numId="22">
    <w:abstractNumId w:val="21"/>
  </w:num>
  <w:num w:numId="23">
    <w:abstractNumId w:val="21"/>
  </w:num>
  <w:num w:numId="24">
    <w:abstractNumId w:val="21"/>
  </w:num>
  <w:num w:numId="25">
    <w:abstractNumId w:val="21"/>
  </w:num>
  <w:num w:numId="26">
    <w:abstractNumId w:val="21"/>
  </w:num>
  <w:num w:numId="27">
    <w:abstractNumId w:val="21"/>
  </w:num>
  <w:num w:numId="28">
    <w:abstractNumId w:val="21"/>
  </w:num>
  <w:num w:numId="29">
    <w:abstractNumId w:val="21"/>
  </w:num>
  <w:num w:numId="30">
    <w:abstractNumId w:val="15"/>
  </w:num>
  <w:num w:numId="31">
    <w:abstractNumId w:val="15"/>
  </w:num>
  <w:num w:numId="32">
    <w:abstractNumId w:val="15"/>
  </w:num>
  <w:num w:numId="33">
    <w:abstractNumId w:val="18"/>
  </w:num>
  <w:num w:numId="34">
    <w:abstractNumId w:val="13"/>
  </w:num>
  <w:num w:numId="35">
    <w:abstractNumId w:val="12"/>
  </w:num>
  <w:num w:numId="36">
    <w:abstractNumId w:val="19"/>
  </w:num>
  <w:num w:numId="37">
    <w:abstractNumId w:val="14"/>
  </w:num>
  <w:num w:numId="38">
    <w:abstractNumId w:val="20"/>
  </w:num>
  <w:num w:numId="39">
    <w:abstractNumId w:val="23"/>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2773EE"/>
    <w:rsid w:val="00161A13"/>
    <w:rsid w:val="001B3067"/>
    <w:rsid w:val="002773EE"/>
    <w:rsid w:val="00337785"/>
    <w:rsid w:val="0035468E"/>
    <w:rsid w:val="003E7EA5"/>
    <w:rsid w:val="0048584C"/>
    <w:rsid w:val="00497FF8"/>
    <w:rsid w:val="00555A1D"/>
    <w:rsid w:val="005A1BDD"/>
    <w:rsid w:val="006F07C3"/>
    <w:rsid w:val="006F23BD"/>
    <w:rsid w:val="008607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39116D"/>
    <w:pPr>
      <w:spacing w:before="280" w:after="60"/>
      <w:ind w:left="340"/>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ECHR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ECHRParaChar">
    <w:name w:val="ECHR_Para Char"/>
    <w:aliases w:val="Ju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26"/>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customStyle="1" w:styleId="NoteHeading1">
    <w:name w:val="Note Heading1"/>
    <w:basedOn w:val="Normal"/>
    <w:next w:val="Normal"/>
    <w:link w:val="NoteHeadingChar"/>
    <w:uiPriority w:val="99"/>
    <w:semiHidden/>
    <w:rsid w:val="0039116D"/>
  </w:style>
  <w:style w:type="character" w:customStyle="1" w:styleId="NoteHeadingChar">
    <w:name w:val="Note Heading Char"/>
    <w:basedOn w:val="DefaultParagraphFont"/>
    <w:link w:val="NoteHeading1"/>
    <w:uiPriority w:val="99"/>
    <w:semiHidden/>
    <w:rsid w:val="0039116D"/>
    <w:rPr>
      <w:rFonts w:eastAsiaTheme="minorEastAsia"/>
      <w:sz w:val="24"/>
      <w:lang w:val="en-GB"/>
    </w:r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styleId="Hyperlink">
    <w:name w:val="Hyperlink"/>
    <w:basedOn w:val="DefaultParagraphFont"/>
    <w:uiPriority w:val="99"/>
    <w:semiHidden/>
    <w:unhideWhenUsed/>
    <w:rsid w:val="00497FF8"/>
    <w:rPr>
      <w:color w:val="0072BC" w:themeColor="hyperlink"/>
      <w:u w:val="single"/>
    </w:rPr>
  </w:style>
  <w:style w:type="paragraph" w:styleId="NoteHeading">
    <w:name w:val="Note Heading"/>
    <w:basedOn w:val="Normal"/>
    <w:next w:val="Normal"/>
    <w:link w:val="NoteHeadingChar1"/>
    <w:uiPriority w:val="99"/>
    <w:semiHidden/>
    <w:rsid w:val="00497FF8"/>
  </w:style>
  <w:style w:type="character" w:customStyle="1" w:styleId="NoteHeadingChar1">
    <w:name w:val="Note Heading Char1"/>
    <w:basedOn w:val="DefaultParagraphFont"/>
    <w:link w:val="NoteHeading"/>
    <w:uiPriority w:val="99"/>
    <w:semiHidden/>
    <w:rsid w:val="00497FF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E26E13D-37D0-4DE5-A606-2D14D43EAF3B}"/>
</file>

<file path=customXml/itemProps2.xml><?xml version="1.0" encoding="utf-8"?>
<ds:datastoreItem xmlns:ds="http://schemas.openxmlformats.org/officeDocument/2006/customXml" ds:itemID="{9420F7CF-08DC-4903-A771-78CB8AF4EE45}"/>
</file>

<file path=customXml/itemProps3.xml><?xml version="1.0" encoding="utf-8"?>
<ds:datastoreItem xmlns:ds="http://schemas.openxmlformats.org/officeDocument/2006/customXml" ds:itemID="{D6EC5BBE-0340-4247-A57A-5A5166912C41}"/>
</file>

<file path=customXml/itemProps4.xml><?xml version="1.0" encoding="utf-8"?>
<ds:datastoreItem xmlns:ds="http://schemas.openxmlformats.org/officeDocument/2006/customXml" ds:itemID="{E493AA17-FFD9-461C-ADAC-1CBA080E8314}"/>
</file>

<file path=docProps/app.xml><?xml version="1.0" encoding="utf-8"?>
<Properties xmlns="http://schemas.openxmlformats.org/officeDocument/2006/extended-properties" xmlns:vt="http://schemas.openxmlformats.org/officeDocument/2006/docPropsVTypes">
  <Template>Normal.dotm</Template>
  <TotalTime>0</TotalTime>
  <Pages>1</Pages>
  <Words>986</Words>
  <Characters>5626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6599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2019-11-29T10:35:00Z</dcterms:created>
  <dcterms:modified xsi:type="dcterms:W3CDTF">2019-11-29T10:35:00Z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65474/16</vt:lpwstr>
  </property>
  <property fmtid="{D5CDD505-2E9C-101B-9397-08002B2CF9AE}" pid="4" name="CASEID">
    <vt:lpwstr>1258966</vt:lpwstr>
  </property>
  <property fmtid="{D5CDD505-2E9C-101B-9397-08002B2CF9AE}" pid="5" name="ContentTypeId">
    <vt:lpwstr>0x010100558EB02BDB9E204AB350EDD385B68E10</vt:lpwstr>
  </property>
</Properties>
</file>