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1F2352" w:rsidR="00F860A3" w:rsidP="001F2352" w:rsidRDefault="00F860A3">
      <w:pPr>
        <w:jc w:val="center"/>
        <w:rPr>
          <w:rFonts w:ascii="Times New Roman" w:hAnsi="Times New Roman" w:cs="Times New Roman"/>
        </w:rPr>
      </w:pPr>
      <w:bookmarkStart w:name="_GoBack" w:id="0"/>
      <w:bookmarkEnd w:id="0"/>
    </w:p>
    <w:p w:rsidRPr="001F2352" w:rsidR="009F345A" w:rsidP="001F2352" w:rsidRDefault="009F345A">
      <w:pPr>
        <w:jc w:val="center"/>
        <w:rPr>
          <w:rFonts w:ascii="Times New Roman" w:hAnsi="Times New Roman" w:cs="Times New Roman"/>
        </w:rPr>
      </w:pPr>
    </w:p>
    <w:p w:rsidRPr="001F2352" w:rsidR="0098410D" w:rsidP="001F2352" w:rsidRDefault="0098410D">
      <w:pPr>
        <w:jc w:val="center"/>
      </w:pPr>
    </w:p>
    <w:p w:rsidRPr="001F2352" w:rsidR="009F345A" w:rsidP="001F2352" w:rsidRDefault="00F860A3">
      <w:pPr>
        <w:pStyle w:val="DecHCase"/>
        <w:keepNext w:val="0"/>
        <w:keepLines w:val="0"/>
      </w:pPr>
      <w:r w:rsidRPr="001F2352">
        <w:t>THIRD SECTION</w:t>
      </w:r>
      <w:bookmarkStart w:name="To" w:id="1"/>
    </w:p>
    <w:p w:rsidRPr="001F2352" w:rsidR="009F345A" w:rsidP="001F2352" w:rsidRDefault="009F345A">
      <w:pPr>
        <w:jc w:val="center"/>
        <w:rPr>
          <w:rFonts w:ascii="Times New Roman" w:hAnsi="Times New Roman" w:cs="Times New Roman"/>
        </w:rPr>
      </w:pPr>
    </w:p>
    <w:p w:rsidRPr="001F2352" w:rsidR="009F345A" w:rsidP="001F2352" w:rsidRDefault="009F345A">
      <w:pPr>
        <w:jc w:val="center"/>
        <w:rPr>
          <w:rFonts w:ascii="Times New Roman" w:hAnsi="Times New Roman" w:cs="Times New Roman"/>
        </w:rPr>
      </w:pPr>
    </w:p>
    <w:p w:rsidRPr="001F2352" w:rsidR="000C2B78" w:rsidP="001F2352" w:rsidRDefault="000C2B78">
      <w:pPr>
        <w:jc w:val="center"/>
        <w:rPr>
          <w:rFonts w:ascii="Times New Roman" w:hAnsi="Times New Roman" w:cs="Times New Roman"/>
        </w:rPr>
      </w:pPr>
    </w:p>
    <w:p w:rsidRPr="001F2352" w:rsidR="000C2B78" w:rsidP="001F2352" w:rsidRDefault="000C2B78">
      <w:pPr>
        <w:jc w:val="center"/>
        <w:rPr>
          <w:rFonts w:ascii="Times New Roman" w:hAnsi="Times New Roman" w:cs="Times New Roman"/>
        </w:rPr>
      </w:pPr>
    </w:p>
    <w:p w:rsidRPr="001F2352" w:rsidR="000C2B78" w:rsidP="001F2352" w:rsidRDefault="000C2B78">
      <w:pPr>
        <w:jc w:val="center"/>
        <w:rPr>
          <w:rFonts w:ascii="Times New Roman" w:hAnsi="Times New Roman" w:cs="Times New Roman"/>
        </w:rPr>
      </w:pPr>
    </w:p>
    <w:p w:rsidRPr="001F2352" w:rsidR="009F345A" w:rsidP="001F2352" w:rsidRDefault="009F345A">
      <w:pPr>
        <w:jc w:val="center"/>
      </w:pPr>
    </w:p>
    <w:p w:rsidRPr="001F2352" w:rsidR="008E6217" w:rsidP="001F2352" w:rsidRDefault="008E6217">
      <w:pPr>
        <w:pStyle w:val="DecHCase"/>
        <w:keepNext w:val="0"/>
        <w:keepLines w:val="0"/>
        <w:rPr>
          <w:b/>
        </w:rPr>
      </w:pPr>
      <w:r w:rsidRPr="001F2352">
        <w:rPr>
          <w:b/>
        </w:rPr>
        <w:t xml:space="preserve">CASE OF </w:t>
      </w:r>
      <w:bookmarkEnd w:id="1"/>
      <w:r w:rsidRPr="001F2352" w:rsidR="00F860A3">
        <w:rPr>
          <w:b/>
        </w:rPr>
        <w:t>ISMAILOV v. RUSSIA</w:t>
      </w:r>
    </w:p>
    <w:p w:rsidRPr="001F2352" w:rsidR="00D74888" w:rsidP="001F2352" w:rsidRDefault="008E6217">
      <w:pPr>
        <w:pStyle w:val="Title4"/>
        <w:keepNext w:val="0"/>
        <w:keepLines w:val="0"/>
      </w:pPr>
      <w:r w:rsidRPr="001F2352">
        <w:t>(</w:t>
      </w:r>
      <w:r w:rsidRPr="001F2352" w:rsidR="00F860A3">
        <w:t>Application no.</w:t>
      </w:r>
      <w:r w:rsidRPr="001F2352">
        <w:t xml:space="preserve"> </w:t>
      </w:r>
      <w:r w:rsidRPr="001F2352" w:rsidR="00F860A3">
        <w:t>45852/17</w:t>
      </w:r>
      <w:r w:rsidRPr="001F2352">
        <w:t>)</w:t>
      </w:r>
    </w:p>
    <w:p w:rsidRPr="001F2352" w:rsidR="009F345A" w:rsidP="001F2352" w:rsidRDefault="009F345A">
      <w:pPr>
        <w:jc w:val="center"/>
        <w:rPr>
          <w:rFonts w:ascii="Times New Roman" w:hAnsi="Times New Roman" w:cs="Times New Roman"/>
        </w:rPr>
      </w:pPr>
    </w:p>
    <w:p w:rsidRPr="001F2352" w:rsidR="009F345A" w:rsidP="001F2352" w:rsidRDefault="009F345A">
      <w:pPr>
        <w:jc w:val="center"/>
        <w:rPr>
          <w:rFonts w:ascii="Times New Roman" w:hAnsi="Times New Roman" w:cs="Times New Roman"/>
        </w:rPr>
      </w:pPr>
    </w:p>
    <w:p w:rsidRPr="001F2352" w:rsidR="009F345A" w:rsidP="001F2352" w:rsidRDefault="009F345A">
      <w:pPr>
        <w:jc w:val="center"/>
        <w:rPr>
          <w:rFonts w:ascii="Times New Roman" w:hAnsi="Times New Roman" w:cs="Times New Roman"/>
        </w:rPr>
      </w:pPr>
    </w:p>
    <w:p w:rsidRPr="001F2352" w:rsidR="009F345A" w:rsidP="001F2352" w:rsidRDefault="009F345A">
      <w:pPr>
        <w:jc w:val="center"/>
        <w:rPr>
          <w:rFonts w:ascii="Times New Roman" w:hAnsi="Times New Roman" w:cs="Times New Roman"/>
        </w:rPr>
      </w:pPr>
    </w:p>
    <w:p w:rsidRPr="001F2352" w:rsidR="000C2B78" w:rsidP="001F2352" w:rsidRDefault="000C2B78">
      <w:pPr>
        <w:jc w:val="center"/>
        <w:rPr>
          <w:rFonts w:ascii="Times New Roman" w:hAnsi="Times New Roman" w:cs="Times New Roman"/>
        </w:rPr>
      </w:pPr>
    </w:p>
    <w:p w:rsidRPr="001F2352" w:rsidR="009F345A" w:rsidP="001F2352" w:rsidRDefault="009F345A">
      <w:pPr>
        <w:jc w:val="center"/>
        <w:rPr>
          <w:rFonts w:ascii="Times New Roman" w:hAnsi="Times New Roman" w:cs="Times New Roman"/>
        </w:rPr>
      </w:pPr>
    </w:p>
    <w:p w:rsidRPr="001F2352" w:rsidR="009F345A" w:rsidP="001F2352" w:rsidRDefault="009F345A">
      <w:pPr>
        <w:jc w:val="center"/>
        <w:rPr>
          <w:rFonts w:ascii="Times New Roman" w:hAnsi="Times New Roman" w:cs="Times New Roman"/>
        </w:rPr>
      </w:pPr>
    </w:p>
    <w:p w:rsidRPr="001F2352" w:rsidR="009F345A" w:rsidP="001F2352" w:rsidRDefault="009F345A">
      <w:pPr>
        <w:jc w:val="center"/>
      </w:pPr>
    </w:p>
    <w:p w:rsidRPr="001F2352" w:rsidR="009F345A" w:rsidP="001F2352" w:rsidRDefault="009F345A">
      <w:pPr>
        <w:jc w:val="center"/>
      </w:pPr>
    </w:p>
    <w:p w:rsidRPr="001F2352" w:rsidR="0098410D" w:rsidP="001F2352" w:rsidRDefault="0098410D">
      <w:pPr>
        <w:pStyle w:val="DecHCase"/>
        <w:keepNext w:val="0"/>
        <w:keepLines w:val="0"/>
      </w:pPr>
      <w:r w:rsidRPr="001F2352">
        <w:t>JUDGMENT</w:t>
      </w:r>
    </w:p>
    <w:p w:rsidRPr="001F2352" w:rsidR="009F345A" w:rsidP="001F2352" w:rsidRDefault="009F345A">
      <w:pPr>
        <w:pStyle w:val="JuPara"/>
        <w:jc w:val="center"/>
      </w:pPr>
    </w:p>
    <w:p w:rsidRPr="001F2352" w:rsidR="0098410D" w:rsidP="001F2352" w:rsidRDefault="0098410D">
      <w:pPr>
        <w:pStyle w:val="DecHCase"/>
        <w:keepNext w:val="0"/>
        <w:keepLines w:val="0"/>
      </w:pPr>
      <w:r w:rsidRPr="001F2352">
        <w:t>STRASBOURG</w:t>
      </w:r>
    </w:p>
    <w:p w:rsidRPr="001F2352" w:rsidR="0098410D" w:rsidP="001F2352" w:rsidRDefault="00F860A3">
      <w:pPr>
        <w:pStyle w:val="DecHCase"/>
        <w:keepNext w:val="0"/>
        <w:keepLines w:val="0"/>
        <w:rPr>
          <w:rFonts w:ascii="Times New Roman" w:hAnsi="Times New Roman" w:cs="Times New Roman"/>
        </w:rPr>
      </w:pPr>
      <w:r w:rsidRPr="001F2352">
        <w:rPr>
          <w:rFonts w:ascii="Times New Roman" w:hAnsi="Times New Roman" w:cs="Times New Roman"/>
        </w:rPr>
        <w:t>24 September 2019</w:t>
      </w:r>
    </w:p>
    <w:p w:rsidRPr="001F2352" w:rsidR="009F345A" w:rsidP="001F2352" w:rsidRDefault="009F345A">
      <w:pPr>
        <w:pStyle w:val="JuPara"/>
        <w:jc w:val="center"/>
      </w:pPr>
    </w:p>
    <w:p w:rsidRPr="001F2352" w:rsidR="00AC4CD4" w:rsidP="001F2352" w:rsidRDefault="00AC4CD4">
      <w:pPr>
        <w:pStyle w:val="JuPara"/>
        <w:jc w:val="center"/>
      </w:pPr>
    </w:p>
    <w:p w:rsidRPr="001F2352" w:rsidR="000C2B78" w:rsidP="001F2352" w:rsidRDefault="000C2B78">
      <w:pPr>
        <w:pStyle w:val="JuPara"/>
        <w:jc w:val="center"/>
      </w:pPr>
    </w:p>
    <w:p w:rsidRPr="001F2352" w:rsidR="000C2B78" w:rsidP="001F2352" w:rsidRDefault="000C2B78">
      <w:pPr>
        <w:pStyle w:val="JuPara"/>
        <w:jc w:val="center"/>
      </w:pPr>
    </w:p>
    <w:p w:rsidRPr="001F2352" w:rsidR="000C2B78" w:rsidP="001F2352" w:rsidRDefault="000C2B78">
      <w:pPr>
        <w:pStyle w:val="JuPara"/>
        <w:jc w:val="center"/>
      </w:pPr>
    </w:p>
    <w:p w:rsidRPr="001F2352" w:rsidR="002422B6" w:rsidP="001F2352" w:rsidRDefault="0098410D">
      <w:pPr>
        <w:rPr>
          <w:i/>
          <w:sz w:val="22"/>
        </w:rPr>
      </w:pPr>
      <w:r w:rsidRPr="001F2352">
        <w:rPr>
          <w:i/>
          <w:sz w:val="22"/>
        </w:rPr>
        <w:t xml:space="preserve">This judgment </w:t>
      </w:r>
      <w:r w:rsidRPr="001F2352" w:rsidR="00F860A3">
        <w:rPr>
          <w:i/>
          <w:sz w:val="22"/>
        </w:rPr>
        <w:t>is final but it</w:t>
      </w:r>
      <w:r w:rsidRPr="001F2352">
        <w:rPr>
          <w:i/>
          <w:sz w:val="22"/>
        </w:rPr>
        <w:t xml:space="preserve"> may be subject to editorial revision.</w:t>
      </w:r>
    </w:p>
    <w:p w:rsidRPr="001F2352" w:rsidR="0098410D" w:rsidP="001F2352" w:rsidRDefault="0098410D"/>
    <w:p w:rsidRPr="001F2352" w:rsidR="000C2B78" w:rsidP="001F2352" w:rsidRDefault="000C2B78">
      <w:pPr>
        <w:sectPr w:rsidRPr="001F2352" w:rsidR="000C2B78">
          <w:headerReference w:type="default" r:id="rId8"/>
          <w:footerReference w:type="default" r:id="rId9"/>
          <w:headerReference w:type="first" r:id="rId10"/>
          <w:footnotePr>
            <w:numRestart w:val="eachSect"/>
          </w:footnotePr>
          <w:pgSz w:w="11906" w:h="16838" w:code="9"/>
          <w:pgMar w:top="2274" w:right="2274" w:bottom="2274" w:left="2274" w:header="1701" w:footer="720" w:gutter="0"/>
          <w:pgNumType w:start="1"/>
          <w:cols w:space="720"/>
          <w:noEndnote/>
        </w:sectPr>
      </w:pPr>
    </w:p>
    <w:p w:rsidRPr="001F2352" w:rsidR="0098410D" w:rsidP="001F2352" w:rsidRDefault="0098410D">
      <w:pPr>
        <w:pStyle w:val="JuCase"/>
      </w:pPr>
      <w:r w:rsidRPr="001F2352">
        <w:t xml:space="preserve">In the case of </w:t>
      </w:r>
      <w:proofErr w:type="spellStart"/>
      <w:r w:rsidRPr="001F2352" w:rsidR="00F860A3">
        <w:t>Ismailov</w:t>
      </w:r>
      <w:proofErr w:type="spellEnd"/>
      <w:r w:rsidRPr="001F2352" w:rsidR="00F860A3">
        <w:t xml:space="preserve"> v. Russia</w:t>
      </w:r>
      <w:r w:rsidRPr="001F2352">
        <w:t>,</w:t>
      </w:r>
    </w:p>
    <w:p w:rsidRPr="001F2352" w:rsidR="009F4C8F" w:rsidP="001F2352" w:rsidRDefault="009F4C8F">
      <w:pPr>
        <w:pStyle w:val="JuPara"/>
      </w:pPr>
      <w:r w:rsidRPr="001F2352">
        <w:t>The European Court of Human Rights (</w:t>
      </w:r>
      <w:r w:rsidRPr="001F2352" w:rsidR="00F860A3">
        <w:t>Third Section</w:t>
      </w:r>
      <w:r w:rsidRPr="001F2352">
        <w:t xml:space="preserve">), sitting as a </w:t>
      </w:r>
      <w:r w:rsidRPr="001F2352" w:rsidR="00F860A3">
        <w:t>Committee</w:t>
      </w:r>
      <w:r w:rsidRPr="001F2352">
        <w:t xml:space="preserve"> composed of:</w:t>
      </w:r>
    </w:p>
    <w:p w:rsidRPr="001F2352" w:rsidR="009F4C8F" w:rsidP="001F2352" w:rsidRDefault="001A10FB">
      <w:pPr>
        <w:pStyle w:val="JuJudges"/>
      </w:pPr>
      <w:r w:rsidRPr="001F2352">
        <w:tab/>
        <w:t xml:space="preserve">Alena </w:t>
      </w:r>
      <w:proofErr w:type="spellStart"/>
      <w:r w:rsidRPr="001F2352">
        <w:t>Poláčková</w:t>
      </w:r>
      <w:proofErr w:type="spellEnd"/>
      <w:r w:rsidRPr="001F2352">
        <w:t>,</w:t>
      </w:r>
      <w:r w:rsidRPr="001F2352">
        <w:rPr>
          <w:i/>
        </w:rPr>
        <w:t xml:space="preserve"> President,</w:t>
      </w:r>
      <w:r w:rsidRPr="001F2352">
        <w:rPr>
          <w:i/>
        </w:rPr>
        <w:br/>
      </w:r>
      <w:r w:rsidRPr="001F2352">
        <w:tab/>
        <w:t xml:space="preserve">Dmitry </w:t>
      </w:r>
      <w:proofErr w:type="spellStart"/>
      <w:r w:rsidRPr="001F2352">
        <w:t>Dedov</w:t>
      </w:r>
      <w:proofErr w:type="spellEnd"/>
      <w:r w:rsidRPr="001F2352">
        <w:t>,</w:t>
      </w:r>
      <w:r w:rsidRPr="001F2352">
        <w:rPr>
          <w:i/>
        </w:rPr>
        <w:br/>
      </w:r>
      <w:r w:rsidRPr="001F2352">
        <w:tab/>
        <w:t xml:space="preserve">Gilberto </w:t>
      </w:r>
      <w:proofErr w:type="spellStart"/>
      <w:r w:rsidRPr="001F2352">
        <w:t>Felici</w:t>
      </w:r>
      <w:proofErr w:type="spellEnd"/>
      <w:r w:rsidRPr="001F2352">
        <w:t>,</w:t>
      </w:r>
      <w:r w:rsidRPr="001F2352">
        <w:rPr>
          <w:i/>
        </w:rPr>
        <w:t xml:space="preserve"> judges</w:t>
      </w:r>
      <w:proofErr w:type="gramStart"/>
      <w:r w:rsidRPr="001F2352">
        <w:rPr>
          <w:i/>
        </w:rPr>
        <w:t>,</w:t>
      </w:r>
      <w:proofErr w:type="gramEnd"/>
      <w:r w:rsidRPr="001F2352" w:rsidR="009F4C8F">
        <w:rPr>
          <w:szCs w:val="24"/>
        </w:rPr>
        <w:br/>
      </w:r>
      <w:r w:rsidRPr="001F2352" w:rsidR="009F4C8F">
        <w:t xml:space="preserve">and </w:t>
      </w:r>
      <w:r w:rsidRPr="001F2352">
        <w:t>Stephen</w:t>
      </w:r>
      <w:r w:rsidRPr="001F2352" w:rsidR="00F860A3">
        <w:t xml:space="preserve"> </w:t>
      </w:r>
      <w:r w:rsidRPr="001F2352">
        <w:t>Phillips</w:t>
      </w:r>
      <w:r w:rsidRPr="001F2352" w:rsidR="009F4C8F">
        <w:t xml:space="preserve">, </w:t>
      </w:r>
      <w:r w:rsidRPr="001F2352" w:rsidR="00F860A3">
        <w:rPr>
          <w:i/>
        </w:rPr>
        <w:t xml:space="preserve">Section </w:t>
      </w:r>
      <w:r w:rsidRPr="001F2352" w:rsidR="00F860A3">
        <w:rPr>
          <w:i/>
          <w:iCs/>
        </w:rPr>
        <w:t>Registrar</w:t>
      </w:r>
      <w:r w:rsidRPr="001F2352" w:rsidR="009F4C8F">
        <w:rPr>
          <w:i/>
        </w:rPr>
        <w:t>,</w:t>
      </w:r>
    </w:p>
    <w:p w:rsidRPr="001F2352" w:rsidR="009F4C8F" w:rsidP="001F2352" w:rsidRDefault="009F4C8F">
      <w:pPr>
        <w:pStyle w:val="JuPara"/>
      </w:pPr>
      <w:r w:rsidRPr="001F2352">
        <w:t xml:space="preserve">Having deliberated in private on </w:t>
      </w:r>
      <w:r w:rsidRPr="001F2352" w:rsidR="00F860A3">
        <w:rPr>
          <w:szCs w:val="24"/>
        </w:rPr>
        <w:t>3 September 2019</w:t>
      </w:r>
      <w:r w:rsidRPr="001F2352">
        <w:t>,</w:t>
      </w:r>
    </w:p>
    <w:p w:rsidRPr="001F2352" w:rsidR="009F4C8F" w:rsidP="001F2352" w:rsidRDefault="009F4C8F">
      <w:pPr>
        <w:pStyle w:val="JuPara"/>
      </w:pPr>
      <w:r w:rsidRPr="001F2352">
        <w:t>Delivers the following judgment, which was adopted on that date:</w:t>
      </w:r>
    </w:p>
    <w:p w:rsidRPr="001F2352" w:rsidR="00F860A3" w:rsidP="001F2352" w:rsidRDefault="00F860A3">
      <w:pPr>
        <w:pStyle w:val="JuHHead"/>
        <w:numPr>
          <w:ilvl w:val="0"/>
          <w:numId w:val="1"/>
        </w:numPr>
      </w:pPr>
      <w:r w:rsidRPr="001F2352">
        <w:t>PROCEDURE</w:t>
      </w:r>
    </w:p>
    <w:p w:rsidRPr="001F2352" w:rsidR="00F860A3" w:rsidP="001F2352" w:rsidRDefault="00F860A3">
      <w:pPr>
        <w:pStyle w:val="JuPara"/>
      </w:pPr>
      <w:r w:rsidRPr="001F2352">
        <w:t xml:space="preserve">1.  The case originated in an application (no. 45852/17) against the Russian Federation lodged with the Court under Article 34 of the Convention for the Protection of Human Rights and Fundamental Freedoms (“the Convention”) by a stateless person, Mr </w:t>
      </w:r>
      <w:proofErr w:type="spellStart"/>
      <w:r w:rsidRPr="001F2352">
        <w:t>Sherali</w:t>
      </w:r>
      <w:proofErr w:type="spellEnd"/>
      <w:r w:rsidRPr="001F2352">
        <w:t xml:space="preserve"> </w:t>
      </w:r>
      <w:proofErr w:type="spellStart"/>
      <w:r w:rsidRPr="001F2352">
        <w:t>Odinayevich</w:t>
      </w:r>
      <w:proofErr w:type="spellEnd"/>
      <w:r w:rsidRPr="001F2352">
        <w:t xml:space="preserve"> </w:t>
      </w:r>
      <w:proofErr w:type="spellStart"/>
      <w:r w:rsidRPr="001F2352">
        <w:t>Ismailov</w:t>
      </w:r>
      <w:proofErr w:type="spellEnd"/>
      <w:r w:rsidRPr="001F2352">
        <w:t xml:space="preserve"> (“the applicant”), on 15 June 2017.</w:t>
      </w:r>
    </w:p>
    <w:p w:rsidRPr="001F2352" w:rsidR="00F860A3" w:rsidP="001F2352" w:rsidRDefault="00F860A3">
      <w:pPr>
        <w:pStyle w:val="JuPara"/>
      </w:pPr>
      <w:r w:rsidRPr="001F2352">
        <w:t xml:space="preserve">2.  The applicant was represented by Mr K.I. </w:t>
      </w:r>
      <w:proofErr w:type="spellStart"/>
      <w:r w:rsidRPr="001F2352">
        <w:t>Terekhov</w:t>
      </w:r>
      <w:proofErr w:type="spellEnd"/>
      <w:r w:rsidRPr="001F2352">
        <w:t xml:space="preserve">, a lawyer practising in Moscow. The Russian Government (“the Government”) </w:t>
      </w:r>
      <w:r w:rsidRPr="001F2352">
        <w:rPr>
          <w:lang w:val="en-US"/>
        </w:rPr>
        <w:t xml:space="preserve">were represented by </w:t>
      </w:r>
      <w:proofErr w:type="spellStart"/>
      <w:r w:rsidRPr="001F2352">
        <w:rPr>
          <w:lang w:val="en-US"/>
        </w:rPr>
        <w:t>Mr</w:t>
      </w:r>
      <w:proofErr w:type="spellEnd"/>
      <w:r w:rsidRPr="001F2352">
        <w:rPr>
          <w:lang w:val="en-US"/>
        </w:rPr>
        <w:t xml:space="preserve"> M. </w:t>
      </w:r>
      <w:proofErr w:type="spellStart"/>
      <w:r w:rsidRPr="001F2352">
        <w:rPr>
          <w:lang w:val="en-US"/>
        </w:rPr>
        <w:t>Galperin</w:t>
      </w:r>
      <w:proofErr w:type="spellEnd"/>
      <w:r w:rsidRPr="001F2352">
        <w:rPr>
          <w:lang w:val="en-US"/>
        </w:rPr>
        <w:t>, the Representative of the Russian Federation to the European Court of Human Rights.</w:t>
      </w:r>
    </w:p>
    <w:p w:rsidRPr="001F2352" w:rsidR="00F860A3" w:rsidP="001F2352" w:rsidRDefault="00F860A3">
      <w:pPr>
        <w:pStyle w:val="JuPara"/>
      </w:pPr>
      <w:r w:rsidRPr="001F2352">
        <w:t xml:space="preserve">3.  On </w:t>
      </w:r>
      <w:r w:rsidRPr="001F2352">
        <w:rPr>
          <w:szCs w:val="24"/>
        </w:rPr>
        <w:t>5 September 2017</w:t>
      </w:r>
      <w:r w:rsidRPr="001F2352">
        <w:t xml:space="preserve"> notice of the complaints under Article 5 §§ 1 (f) and 4 of the Convention was given to the Government and the remainder of the application was declared inadmissible</w:t>
      </w:r>
      <w:r w:rsidRPr="001F2352">
        <w:rPr>
          <w:szCs w:val="24"/>
        </w:rPr>
        <w:t xml:space="preserve"> </w:t>
      </w:r>
      <w:r w:rsidRPr="001F2352">
        <w:t>pursuant to Rule 54 § 3 of the Rules of Court.</w:t>
      </w:r>
    </w:p>
    <w:p w:rsidRPr="001F2352" w:rsidR="00F860A3" w:rsidP="001F2352" w:rsidRDefault="00F860A3">
      <w:pPr>
        <w:pStyle w:val="JuHHead"/>
        <w:numPr>
          <w:ilvl w:val="0"/>
          <w:numId w:val="1"/>
        </w:numPr>
      </w:pPr>
      <w:r w:rsidRPr="001F2352">
        <w:t>THE FACTS</w:t>
      </w:r>
    </w:p>
    <w:p w:rsidRPr="001F2352" w:rsidR="00F860A3" w:rsidP="001F2352" w:rsidRDefault="001F2352">
      <w:pPr>
        <w:pStyle w:val="JuHIRoman"/>
        <w:numPr>
          <w:ilvl w:val="1"/>
          <w:numId w:val="1"/>
        </w:numPr>
        <w:ind w:left="0" w:firstLine="357"/>
        <w:outlineLvl w:val="0"/>
      </w:pPr>
      <w:r w:rsidRPr="001F2352">
        <w:t> </w:t>
      </w:r>
      <w:r w:rsidRPr="001F2352" w:rsidR="00F860A3">
        <w:t>THE CIRCUMSTANCES OF THE CASE</w:t>
      </w:r>
    </w:p>
    <w:p w:rsidRPr="001F2352" w:rsidR="00F860A3" w:rsidP="001F2352" w:rsidRDefault="00F860A3">
      <w:pPr>
        <w:pStyle w:val="JuPara"/>
      </w:pPr>
      <w:r w:rsidRPr="001F2352">
        <w:t>4.  The applicant was born in 1973.</w:t>
      </w:r>
    </w:p>
    <w:p w:rsidRPr="001F2352" w:rsidR="00F860A3" w:rsidP="001F2352" w:rsidRDefault="00F860A3">
      <w:pPr>
        <w:pStyle w:val="JuPara"/>
      </w:pPr>
      <w:r w:rsidRPr="001F2352">
        <w:t xml:space="preserve">5.  On 16 April 2007 the applicant was convicted by the </w:t>
      </w:r>
      <w:proofErr w:type="spellStart"/>
      <w:r w:rsidRPr="001F2352">
        <w:t>Zyuzinskiy</w:t>
      </w:r>
      <w:proofErr w:type="spellEnd"/>
      <w:r w:rsidRPr="001F2352">
        <w:t xml:space="preserve"> District Court of Moscow and sentenced to nine years</w:t>
      </w:r>
      <w:r w:rsidRPr="001F2352" w:rsidR="001F2352">
        <w:t>’</w:t>
      </w:r>
      <w:r w:rsidRPr="001F2352">
        <w:t xml:space="preserve"> imprisonment.</w:t>
      </w:r>
    </w:p>
    <w:p w:rsidRPr="001F2352" w:rsidR="00F860A3" w:rsidP="001F2352" w:rsidRDefault="00F860A3">
      <w:pPr>
        <w:pStyle w:val="JuPara"/>
      </w:pPr>
      <w:r w:rsidRPr="001F2352">
        <w:t>6.  On 14 July 2015 the applicant</w:t>
      </w:r>
      <w:r w:rsidRPr="001F2352" w:rsidR="001F2352">
        <w:t>’</w:t>
      </w:r>
      <w:r w:rsidRPr="001F2352">
        <w:t>s stay in Russia was declared undesirable by the Ministry of Justice of Russia and on 9 December 2015 the migration authorities adopted a decision to deport the applicant.</w:t>
      </w:r>
    </w:p>
    <w:p w:rsidRPr="001F2352" w:rsidR="00F860A3" w:rsidP="001F2352" w:rsidRDefault="00F860A3">
      <w:pPr>
        <w:pStyle w:val="JuPara"/>
      </w:pPr>
      <w:r w:rsidRPr="001F2352">
        <w:t>7.  On 15 December 2015 the applicant was released from the correctional colony and immediately re-arrested in the context of the deportation proceedings.</w:t>
      </w:r>
    </w:p>
    <w:p w:rsidRPr="001F2352" w:rsidR="00F860A3" w:rsidP="001F2352" w:rsidRDefault="00F860A3">
      <w:pPr>
        <w:pStyle w:val="JuPara"/>
      </w:pPr>
      <w:r w:rsidRPr="001F2352">
        <w:t xml:space="preserve">8.  On 17 December 2015 the applicant was placed in detention pending deportation by the </w:t>
      </w:r>
      <w:proofErr w:type="spellStart"/>
      <w:r w:rsidRPr="001F2352">
        <w:t>Moskovskiy</w:t>
      </w:r>
      <w:proofErr w:type="spellEnd"/>
      <w:r w:rsidRPr="001F2352">
        <w:t xml:space="preserve"> District Court of </w:t>
      </w:r>
      <w:proofErr w:type="spellStart"/>
      <w:r w:rsidRPr="001F2352">
        <w:t>Tver</w:t>
      </w:r>
      <w:proofErr w:type="spellEnd"/>
      <w:r w:rsidRPr="001F2352">
        <w:t xml:space="preserve">. On 14 June 2016 the </w:t>
      </w:r>
      <w:proofErr w:type="spellStart"/>
      <w:r w:rsidRPr="001F2352">
        <w:t>Moskovskiy</w:t>
      </w:r>
      <w:proofErr w:type="spellEnd"/>
      <w:r w:rsidRPr="001F2352">
        <w:t xml:space="preserve"> District Court of </w:t>
      </w:r>
      <w:proofErr w:type="spellStart"/>
      <w:r w:rsidRPr="001F2352">
        <w:t>Tver</w:t>
      </w:r>
      <w:proofErr w:type="spellEnd"/>
      <w:r w:rsidRPr="001F2352">
        <w:t xml:space="preserve"> extended his detention.</w:t>
      </w:r>
    </w:p>
    <w:p w:rsidRPr="001F2352" w:rsidR="00F860A3" w:rsidP="001F2352" w:rsidRDefault="00F860A3">
      <w:pPr>
        <w:pStyle w:val="JuPara"/>
      </w:pPr>
      <w:r w:rsidRPr="001F2352">
        <w:t>9.  On 17 December 2015, 18 January 2016 and 1 May 2016 the migration authorities requested the Consular Services of the Embassy of Tajikistan to verify the applicant</w:t>
      </w:r>
      <w:r w:rsidRPr="001F2352" w:rsidR="001F2352">
        <w:t>’</w:t>
      </w:r>
      <w:r w:rsidRPr="001F2352">
        <w:t>s nationality of that country and issue him a travel document.</w:t>
      </w:r>
    </w:p>
    <w:p w:rsidRPr="001F2352" w:rsidR="00F860A3" w:rsidP="001F2352" w:rsidRDefault="00F860A3">
      <w:pPr>
        <w:pStyle w:val="JuPara"/>
      </w:pPr>
      <w:r w:rsidRPr="001F2352">
        <w:t xml:space="preserve">10.  On 14 September 2016, 14 December 2016 and 14 March 2017 the </w:t>
      </w:r>
      <w:proofErr w:type="spellStart"/>
      <w:r w:rsidRPr="001F2352">
        <w:t>Moskovskiy</w:t>
      </w:r>
      <w:proofErr w:type="spellEnd"/>
      <w:r w:rsidRPr="001F2352">
        <w:t xml:space="preserve"> District Court of </w:t>
      </w:r>
      <w:proofErr w:type="spellStart"/>
      <w:r w:rsidRPr="001F2352">
        <w:t>Tver</w:t>
      </w:r>
      <w:proofErr w:type="spellEnd"/>
      <w:r w:rsidRPr="001F2352">
        <w:t xml:space="preserve"> extended the detention pending deportation. The above orders were upheld on appeal by the </w:t>
      </w:r>
      <w:proofErr w:type="spellStart"/>
      <w:r w:rsidRPr="001F2352">
        <w:t>Tver</w:t>
      </w:r>
      <w:proofErr w:type="spellEnd"/>
      <w:r w:rsidRPr="001F2352">
        <w:t xml:space="preserve"> Regional Court on 19 October 2016, 14 March 2017 and 5 April 2017 respectively.</w:t>
      </w:r>
    </w:p>
    <w:p w:rsidRPr="001F2352" w:rsidR="00F860A3" w:rsidP="001F2352" w:rsidRDefault="00F860A3">
      <w:pPr>
        <w:pStyle w:val="JuPara"/>
      </w:pPr>
      <w:r w:rsidRPr="001F2352">
        <w:t>11.  On 29 September 2016 the Consular Services of Tajikistan informed the migration authorities that the applicant had no Tajik nationality.</w:t>
      </w:r>
    </w:p>
    <w:p w:rsidRPr="001F2352" w:rsidR="00F860A3" w:rsidP="001F2352" w:rsidRDefault="00F860A3">
      <w:pPr>
        <w:pStyle w:val="JuPara"/>
      </w:pPr>
      <w:r w:rsidRPr="001F2352">
        <w:t xml:space="preserve">12.  On 9 June 2017 the </w:t>
      </w:r>
      <w:proofErr w:type="spellStart"/>
      <w:r w:rsidRPr="001F2352">
        <w:t>Moskovskiy</w:t>
      </w:r>
      <w:proofErr w:type="spellEnd"/>
      <w:r w:rsidRPr="001F2352">
        <w:t xml:space="preserve"> District Court of </w:t>
      </w:r>
      <w:proofErr w:type="spellStart"/>
      <w:r w:rsidRPr="001F2352">
        <w:t>Tver</w:t>
      </w:r>
      <w:proofErr w:type="spellEnd"/>
      <w:r w:rsidRPr="001F2352">
        <w:t xml:space="preserve"> refused to extend the applicant</w:t>
      </w:r>
      <w:r w:rsidRPr="001F2352" w:rsidR="001F2352">
        <w:t>’</w:t>
      </w:r>
      <w:r w:rsidRPr="001F2352">
        <w:t>s detention due to lack of progress in deportation proceedings.</w:t>
      </w:r>
    </w:p>
    <w:p w:rsidRPr="001F2352" w:rsidR="00F860A3" w:rsidP="001F2352" w:rsidRDefault="00F860A3">
      <w:pPr>
        <w:pStyle w:val="JuPara"/>
      </w:pPr>
      <w:r w:rsidRPr="001F2352">
        <w:t>13.  On 14 June 2017 the applicant was released and on unspecified date left Russia.</w:t>
      </w:r>
    </w:p>
    <w:p w:rsidRPr="001F2352" w:rsidR="00F860A3" w:rsidP="001F2352" w:rsidRDefault="001F2352">
      <w:pPr>
        <w:pStyle w:val="JuHIRoman"/>
        <w:numPr>
          <w:ilvl w:val="1"/>
          <w:numId w:val="1"/>
        </w:numPr>
        <w:outlineLvl w:val="0"/>
      </w:pPr>
      <w:r w:rsidRPr="001F2352">
        <w:t> </w:t>
      </w:r>
      <w:r w:rsidRPr="001F2352" w:rsidR="00F860A3">
        <w:t>RELEVANT DOMESTIC LAW AND PRACTICE</w:t>
      </w:r>
    </w:p>
    <w:p w:rsidRPr="001F2352" w:rsidR="00F860A3" w:rsidP="001F2352" w:rsidRDefault="00F860A3">
      <w:pPr>
        <w:pStyle w:val="JuPara"/>
      </w:pPr>
      <w:r w:rsidRPr="001F2352">
        <w:t>14.  For relevant provisions of the domestic law and practice, see </w:t>
      </w:r>
      <w:r w:rsidRPr="001F2352">
        <w:rPr>
          <w:i/>
          <w:iCs/>
        </w:rPr>
        <w:t>Kim v. Russia</w:t>
      </w:r>
      <w:r w:rsidRPr="001F2352">
        <w:t>, no. 44260/13, §§ 23-25, 17 July 2014.</w:t>
      </w:r>
    </w:p>
    <w:p w:rsidRPr="001F2352" w:rsidR="00F860A3" w:rsidP="001F2352" w:rsidRDefault="00F860A3">
      <w:pPr>
        <w:pStyle w:val="JuHHead"/>
        <w:numPr>
          <w:ilvl w:val="0"/>
          <w:numId w:val="1"/>
        </w:numPr>
      </w:pPr>
      <w:r w:rsidRPr="001F2352">
        <w:t>THE LAW</w:t>
      </w:r>
    </w:p>
    <w:p w:rsidRPr="001F2352" w:rsidR="00F860A3" w:rsidP="001F2352" w:rsidRDefault="001F2352">
      <w:pPr>
        <w:pStyle w:val="JuHIRoman"/>
        <w:numPr>
          <w:ilvl w:val="1"/>
          <w:numId w:val="1"/>
        </w:numPr>
        <w:outlineLvl w:val="0"/>
      </w:pPr>
      <w:r w:rsidRPr="001F2352">
        <w:t> </w:t>
      </w:r>
      <w:r w:rsidRPr="001F2352" w:rsidR="00F860A3">
        <w:t>ALLEGED VIOLATION OF ARTICLE 5 § 1 OF THE CONVENTION</w:t>
      </w:r>
    </w:p>
    <w:p w:rsidRPr="001F2352" w:rsidR="00F860A3" w:rsidP="001F2352" w:rsidRDefault="00F860A3">
      <w:pPr>
        <w:pStyle w:val="JuPara"/>
      </w:pPr>
      <w:r w:rsidRPr="001F2352">
        <w:t xml:space="preserve">15.  The </w:t>
      </w:r>
      <w:r w:rsidRPr="001F2352">
        <w:rPr>
          <w:szCs w:val="24"/>
        </w:rPr>
        <w:t>applicant</w:t>
      </w:r>
      <w:r w:rsidRPr="001F2352">
        <w:t xml:space="preserve"> complained that his detention pending deportation had been unlawful and that the domestic proceedings lacked diligence within the meaning of the exception provided for by Article 5 § 1 (f) of the Convention, which reads as follows:</w:t>
      </w:r>
    </w:p>
    <w:p w:rsidRPr="001F2352" w:rsidR="00F860A3" w:rsidP="001F2352" w:rsidRDefault="00F860A3">
      <w:pPr>
        <w:pStyle w:val="JuQuot"/>
      </w:pPr>
      <w:r w:rsidRPr="001F2352">
        <w:t>“1.</w:t>
      </w:r>
      <w:proofErr w:type="gramStart"/>
      <w:r w:rsidRPr="001F2352">
        <w:t>  Everyone</w:t>
      </w:r>
      <w:proofErr w:type="gramEnd"/>
      <w:r w:rsidRPr="001F2352">
        <w:t xml:space="preserve"> has the right to liberty and security of person. No one shall be deprived of his liberty save in the following cases and in accordance with a procedure prescribed by </w:t>
      </w:r>
      <w:proofErr w:type="gramStart"/>
      <w:r w:rsidRPr="001F2352">
        <w:t>law ...</w:t>
      </w:r>
      <w:proofErr w:type="gramEnd"/>
    </w:p>
    <w:p w:rsidRPr="001F2352" w:rsidR="00F860A3" w:rsidP="001F2352" w:rsidRDefault="00F860A3">
      <w:pPr>
        <w:pStyle w:val="JuQuot"/>
      </w:pPr>
      <w:r w:rsidRPr="001F2352">
        <w:t>(f)</w:t>
      </w:r>
      <w:proofErr w:type="gramStart"/>
      <w:r w:rsidRPr="001F2352">
        <w:t>  the</w:t>
      </w:r>
      <w:proofErr w:type="gramEnd"/>
      <w:r w:rsidRPr="001F2352">
        <w:t xml:space="preserve"> lawful arrest or detention ... of a person against whom action is being taken with a view to deportation or extradition ...”</w:t>
      </w:r>
    </w:p>
    <w:p w:rsidRPr="001F2352" w:rsidR="00F860A3" w:rsidP="001F2352" w:rsidRDefault="00F860A3">
      <w:pPr>
        <w:pStyle w:val="JuPara"/>
      </w:pPr>
      <w:r w:rsidRPr="001F2352">
        <w:t>16.  The Government contested that argument.</w:t>
      </w:r>
    </w:p>
    <w:p w:rsidRPr="001F2352" w:rsidR="00F860A3" w:rsidP="001F2352" w:rsidRDefault="00F860A3">
      <w:pPr>
        <w:pStyle w:val="JuHA"/>
        <w:numPr>
          <w:ilvl w:val="2"/>
          <w:numId w:val="1"/>
        </w:numPr>
      </w:pPr>
      <w:r w:rsidRPr="001F2352">
        <w:t>Admissibility</w:t>
      </w:r>
    </w:p>
    <w:p w:rsidRPr="001F2352" w:rsidR="00F860A3" w:rsidP="001F2352" w:rsidRDefault="00F860A3">
      <w:pPr>
        <w:pStyle w:val="JuPara"/>
      </w:pPr>
      <w:r w:rsidRPr="001F2352">
        <w:t>17.  The Court notes that this complaint is not manifestly ill-founded within the meaning of Article 35 § 3 (a) of the Convention. It further notes that it is not inadmissible on any other grounds. It must therefore be declared admissible.</w:t>
      </w:r>
    </w:p>
    <w:p w:rsidRPr="001F2352" w:rsidR="00F860A3" w:rsidP="001F2352" w:rsidRDefault="00F860A3">
      <w:pPr>
        <w:pStyle w:val="JuHA"/>
        <w:numPr>
          <w:ilvl w:val="2"/>
          <w:numId w:val="1"/>
        </w:numPr>
      </w:pPr>
      <w:r w:rsidRPr="001F2352">
        <w:t>Merits</w:t>
      </w:r>
    </w:p>
    <w:p w:rsidRPr="001F2352" w:rsidR="00F860A3" w:rsidP="001F2352" w:rsidRDefault="00F860A3">
      <w:pPr>
        <w:pStyle w:val="JuPara"/>
      </w:pPr>
      <w:r w:rsidRPr="001F2352">
        <w:t>18.  The applicant argued that his detention pending removal had been devoid of purpose and unlawful and that the domestic proceedings lacked requisite diligence.</w:t>
      </w:r>
    </w:p>
    <w:p w:rsidRPr="001F2352" w:rsidR="00F860A3" w:rsidP="001F2352" w:rsidRDefault="00F860A3">
      <w:pPr>
        <w:pStyle w:val="JuPara"/>
      </w:pPr>
      <w:r w:rsidRPr="001F2352">
        <w:t>19.  The Government in their observations argued that the applicant</w:t>
      </w:r>
      <w:r w:rsidRPr="001F2352" w:rsidR="001F2352">
        <w:t>’</w:t>
      </w:r>
      <w:r w:rsidRPr="001F2352">
        <w:t>s detention had been in compliance with Article 5 § 1 (f) requirements.</w:t>
      </w:r>
    </w:p>
    <w:p w:rsidRPr="001F2352" w:rsidR="00F860A3" w:rsidP="001F2352" w:rsidRDefault="00F860A3">
      <w:pPr>
        <w:pStyle w:val="JuPara"/>
        <w:rPr>
          <w:bCs/>
          <w:lang w:val="en-US"/>
        </w:rPr>
      </w:pPr>
      <w:r w:rsidRPr="001F2352">
        <w:t xml:space="preserve">20.  The Court reiterates that </w:t>
      </w:r>
      <w:r w:rsidRPr="001F2352">
        <w:rPr>
          <w:bCs/>
        </w:rPr>
        <w:t>the exception contained in sub</w:t>
      </w:r>
      <w:r w:rsidRPr="001F2352">
        <w:rPr>
          <w:bCs/>
        </w:rPr>
        <w:noBreakHyphen/>
        <w:t xml:space="preserve">paragraph (f) of Article 5 § 1 of the Convention requires only that “action is being taken with a view to deportation or extradition”, without any further justification (see, </w:t>
      </w:r>
      <w:r w:rsidRPr="001F2352">
        <w:rPr>
          <w:bCs/>
          <w:i/>
        </w:rPr>
        <w:t>inter alia</w:t>
      </w:r>
      <w:r w:rsidRPr="001F2352">
        <w:rPr>
          <w:bCs/>
        </w:rPr>
        <w:t xml:space="preserve">, </w:t>
      </w:r>
      <w:proofErr w:type="spellStart"/>
      <w:r w:rsidRPr="001F2352">
        <w:rPr>
          <w:i/>
        </w:rPr>
        <w:t>Chahal</w:t>
      </w:r>
      <w:proofErr w:type="spellEnd"/>
      <w:r w:rsidRPr="001F2352">
        <w:rPr>
          <w:i/>
        </w:rPr>
        <w:t xml:space="preserve"> v. the United Kingdom</w:t>
      </w:r>
      <w:r w:rsidRPr="001F2352">
        <w:t xml:space="preserve">, 15 November 1996, § 112, </w:t>
      </w:r>
      <w:r w:rsidRPr="001F2352">
        <w:rPr>
          <w:i/>
        </w:rPr>
        <w:t>Reports of Judgments and Decisions</w:t>
      </w:r>
      <w:r w:rsidRPr="001F2352">
        <w:t xml:space="preserve"> 1996</w:t>
      </w:r>
      <w:r w:rsidRPr="001F2352">
        <w:noBreakHyphen/>
        <w:t>V</w:t>
      </w:r>
      <w:r w:rsidRPr="001F2352">
        <w:rPr>
          <w:bCs/>
        </w:rPr>
        <w:t xml:space="preserve">), and that deprivation of liberty will be justified as long as deportation or extradition proceedings are in progress (see </w:t>
      </w:r>
      <w:r w:rsidRPr="001F2352">
        <w:rPr>
          <w:bCs/>
          <w:i/>
        </w:rPr>
        <w:t>A. and Others v. the United Kingdom</w:t>
      </w:r>
      <w:r w:rsidRPr="001F2352">
        <w:rPr>
          <w:bCs/>
        </w:rPr>
        <w:t xml:space="preserve"> [GC], no. 3455/05, § 164, ECHR 2009). If such proceedings are not prosecuted with due diligence, the detention will cease to be permissible (see </w:t>
      </w:r>
      <w:proofErr w:type="spellStart"/>
      <w:r w:rsidRPr="001F2352">
        <w:rPr>
          <w:bCs/>
          <w:i/>
          <w:iCs/>
        </w:rPr>
        <w:t>Chahal</w:t>
      </w:r>
      <w:proofErr w:type="spellEnd"/>
      <w:r w:rsidRPr="001F2352">
        <w:rPr>
          <w:bCs/>
        </w:rPr>
        <w:t>, cited above § 113; see also </w:t>
      </w:r>
      <w:r w:rsidRPr="001F2352">
        <w:rPr>
          <w:bCs/>
          <w:i/>
          <w:iCs/>
        </w:rPr>
        <w:t>Gebremedhin [</w:t>
      </w:r>
      <w:proofErr w:type="spellStart"/>
      <w:r w:rsidRPr="001F2352">
        <w:rPr>
          <w:bCs/>
          <w:i/>
          <w:iCs/>
        </w:rPr>
        <w:t>Gaberamadhien</w:t>
      </w:r>
      <w:proofErr w:type="spellEnd"/>
      <w:r w:rsidRPr="001F2352">
        <w:rPr>
          <w:bCs/>
          <w:i/>
          <w:iCs/>
        </w:rPr>
        <w:t>] v. France</w:t>
      </w:r>
      <w:r w:rsidRPr="001F2352">
        <w:rPr>
          <w:bCs/>
        </w:rPr>
        <w:t xml:space="preserve">, no. 25389/05, § 74, ECHR 2007-II). </w:t>
      </w:r>
      <w:r w:rsidRPr="001F2352">
        <w:rPr>
          <w:bCs/>
          <w:lang w:val="en-US"/>
        </w:rPr>
        <w:t xml:space="preserve">In asking whether “action is being taken with a view to deportation”, this Court has found that removal must be a realistic prospect (see </w:t>
      </w:r>
      <w:r w:rsidRPr="001F2352">
        <w:rPr>
          <w:bCs/>
          <w:i/>
          <w:iCs/>
          <w:lang w:val="en-US"/>
        </w:rPr>
        <w:t>A. and Others</w:t>
      </w:r>
      <w:r w:rsidRPr="001F2352">
        <w:rPr>
          <w:bCs/>
          <w:lang w:val="en-US"/>
        </w:rPr>
        <w:t xml:space="preserve">, cited above, § 167, and </w:t>
      </w:r>
      <w:r w:rsidRPr="001F2352">
        <w:rPr>
          <w:bCs/>
          <w:i/>
          <w:iCs/>
          <w:lang w:val="en-US"/>
        </w:rPr>
        <w:t>Amie and Others v. Bulgaria</w:t>
      </w:r>
      <w:r w:rsidRPr="001F2352">
        <w:rPr>
          <w:bCs/>
          <w:lang w:val="en-US"/>
        </w:rPr>
        <w:t>, no. 58149/08, § 144, 12 February 2013).</w:t>
      </w:r>
    </w:p>
    <w:p w:rsidRPr="001F2352" w:rsidR="00F860A3" w:rsidP="001F2352" w:rsidRDefault="00F860A3">
      <w:pPr>
        <w:pStyle w:val="JuPara"/>
      </w:pPr>
      <w:r w:rsidRPr="001F2352">
        <w:t xml:space="preserve">21.  The question of whether or not a period of detention is reasonable cannot be assessed in the abstract but must be assessed in each case according to its special features (see, </w:t>
      </w:r>
      <w:r w:rsidRPr="001F2352">
        <w:rPr>
          <w:i/>
        </w:rPr>
        <w:t>mutatis mutandis</w:t>
      </w:r>
      <w:r w:rsidRPr="001F2352">
        <w:t xml:space="preserve">, </w:t>
      </w:r>
      <w:r w:rsidRPr="001F2352">
        <w:rPr>
          <w:i/>
        </w:rPr>
        <w:t xml:space="preserve">McKay v. the United Kingdom </w:t>
      </w:r>
      <w:r w:rsidRPr="001F2352">
        <w:t>[GC], no. 543/03, §§ 41-45, ECHR 2006</w:t>
      </w:r>
      <w:r w:rsidRPr="001F2352">
        <w:noBreakHyphen/>
        <w:t xml:space="preserve">X) and that the arguments for and against release must not be “general and abstract” (see, for example, </w:t>
      </w:r>
      <w:proofErr w:type="spellStart"/>
      <w:r w:rsidRPr="001F2352">
        <w:rPr>
          <w:i/>
        </w:rPr>
        <w:t>Khudoyorov</w:t>
      </w:r>
      <w:proofErr w:type="spellEnd"/>
      <w:r w:rsidRPr="001F2352">
        <w:rPr>
          <w:i/>
        </w:rPr>
        <w:t xml:space="preserve"> v. Russia</w:t>
      </w:r>
      <w:r w:rsidRPr="001F2352">
        <w:t>, no. 6847/02, § 173, ECHR 2005</w:t>
      </w:r>
      <w:r w:rsidRPr="001F2352">
        <w:noBreakHyphen/>
        <w:t>X (extracts)), but contain references to the specific facts and the applicant</w:t>
      </w:r>
      <w:r w:rsidRPr="001F2352" w:rsidR="001F2352">
        <w:t>’</w:t>
      </w:r>
      <w:r w:rsidRPr="001F2352">
        <w:t>s personal circumstances justifying his detention.</w:t>
      </w:r>
    </w:p>
    <w:p w:rsidRPr="001F2352" w:rsidR="00F860A3" w:rsidP="001F2352" w:rsidRDefault="00F860A3">
      <w:pPr>
        <w:pStyle w:val="JuPara"/>
        <w:rPr>
          <w:bCs/>
        </w:rPr>
      </w:pPr>
      <w:r w:rsidRPr="001F2352">
        <w:t xml:space="preserve">22.  Bearing these principles in mind the Court notes that the applicant was detained for almost eighteen months between 15 December 2015 and 14 June 2017. While the authorities took certain actions </w:t>
      </w:r>
      <w:r w:rsidRPr="001F2352">
        <w:rPr>
          <w:bCs/>
        </w:rPr>
        <w:t>with a view to the applicant</w:t>
      </w:r>
      <w:r w:rsidRPr="001F2352" w:rsidR="001F2352">
        <w:rPr>
          <w:bCs/>
        </w:rPr>
        <w:t>’</w:t>
      </w:r>
      <w:r w:rsidRPr="001F2352">
        <w:rPr>
          <w:bCs/>
        </w:rPr>
        <w:t>s removal, these actions were of the repetitive nature and isolated by months of unexplained inactivity. In any event there is no information about any specific actions aimed at the applicant</w:t>
      </w:r>
      <w:r w:rsidRPr="001F2352" w:rsidR="001F2352">
        <w:rPr>
          <w:bCs/>
        </w:rPr>
        <w:t>’</w:t>
      </w:r>
      <w:r w:rsidRPr="001F2352">
        <w:rPr>
          <w:bCs/>
        </w:rPr>
        <w:t>s deportation after 29 September 2016 when the Consular Services of Tajikistan stated that the applicant had no nationality of that country.</w:t>
      </w:r>
    </w:p>
    <w:p w:rsidRPr="001F2352" w:rsidR="00F860A3" w:rsidP="001F2352" w:rsidRDefault="00F860A3">
      <w:pPr>
        <w:pStyle w:val="JuPara"/>
      </w:pPr>
      <w:r w:rsidRPr="001F2352">
        <w:rPr>
          <w:bCs/>
        </w:rPr>
        <w:t>23.  It must be concluded that the Russian authorities did not exercise the due diligence, requisite under Article 5 § 1 (f) of the Convention, for the last eight months of the applicant</w:t>
      </w:r>
      <w:r w:rsidRPr="001F2352" w:rsidR="001F2352">
        <w:rPr>
          <w:bCs/>
        </w:rPr>
        <w:t>’</w:t>
      </w:r>
      <w:r w:rsidRPr="001F2352">
        <w:rPr>
          <w:bCs/>
        </w:rPr>
        <w:t xml:space="preserve">s detention. </w:t>
      </w:r>
      <w:r w:rsidRPr="001F2352">
        <w:t>There has accordingly been a violation of Article 5 § 1 of the Convention.</w:t>
      </w:r>
    </w:p>
    <w:p w:rsidRPr="001F2352" w:rsidR="00F860A3" w:rsidP="001F2352" w:rsidRDefault="001F2352">
      <w:pPr>
        <w:pStyle w:val="JuHIRoman"/>
        <w:numPr>
          <w:ilvl w:val="1"/>
          <w:numId w:val="1"/>
        </w:numPr>
        <w:outlineLvl w:val="0"/>
      </w:pPr>
      <w:r w:rsidRPr="001F2352">
        <w:t> </w:t>
      </w:r>
      <w:r w:rsidRPr="001F2352" w:rsidR="00F860A3">
        <w:t>OTHER ALLEGED VIOLATIONS OF THE CONVENTION</w:t>
      </w:r>
    </w:p>
    <w:p w:rsidRPr="001F2352" w:rsidR="00F860A3" w:rsidP="001F2352" w:rsidRDefault="00F860A3">
      <w:pPr>
        <w:pStyle w:val="JuPara"/>
      </w:pPr>
      <w:r w:rsidRPr="001F2352">
        <w:t>24.  As regards the applicant</w:t>
      </w:r>
      <w:r w:rsidRPr="001F2352" w:rsidR="001F2352">
        <w:t>’</w:t>
      </w:r>
      <w:r w:rsidRPr="001F2352">
        <w:t>s remaining complaints under Article 5 § 4 of the Convention, the Court, having regard to the facts of the case and the findings under Article 5 § 1 of the Convention, considers that it has examined the main legal question raised in the present application and that there is no need to give a separate ruling on the admissibility and merits of the remaining complaints (see </w:t>
      </w:r>
      <w:r w:rsidRPr="001F2352">
        <w:rPr>
          <w:i/>
          <w:iCs/>
        </w:rPr>
        <w:t>Centre for Legal Resources on behalf of Valentin </w:t>
      </w:r>
      <w:proofErr w:type="spellStart"/>
      <w:r w:rsidRPr="001F2352">
        <w:rPr>
          <w:i/>
          <w:iCs/>
        </w:rPr>
        <w:t>Câmpeanu</w:t>
      </w:r>
      <w:proofErr w:type="spellEnd"/>
      <w:r w:rsidRPr="001F2352">
        <w:rPr>
          <w:i/>
          <w:iCs/>
        </w:rPr>
        <w:t> v. Romania</w:t>
      </w:r>
      <w:r w:rsidRPr="001F2352">
        <w:t> [GC], no. 47848/08, § 156, ECHR 2014, with further references).</w:t>
      </w:r>
    </w:p>
    <w:p w:rsidRPr="001F2352" w:rsidR="00F860A3" w:rsidP="001F2352" w:rsidRDefault="001F2352">
      <w:pPr>
        <w:pStyle w:val="JuHIRoman"/>
        <w:numPr>
          <w:ilvl w:val="1"/>
          <w:numId w:val="1"/>
        </w:numPr>
        <w:spacing w:before="360" w:beforeAutospacing="0"/>
        <w:outlineLvl w:val="0"/>
      </w:pPr>
      <w:r w:rsidRPr="001F2352">
        <w:t> </w:t>
      </w:r>
      <w:r w:rsidRPr="001F2352" w:rsidR="00F860A3">
        <w:t>APPLICATION OF ARTICLE 41 OF THE CONVENTION</w:t>
      </w:r>
    </w:p>
    <w:p w:rsidRPr="001F2352" w:rsidR="00F860A3" w:rsidP="001F2352" w:rsidRDefault="00F860A3">
      <w:pPr>
        <w:pStyle w:val="JuPara"/>
      </w:pPr>
      <w:r w:rsidRPr="001F2352">
        <w:t>25.  Article 41 of the Convention provides:</w:t>
      </w:r>
    </w:p>
    <w:p w:rsidRPr="001F2352" w:rsidR="00F860A3" w:rsidP="001F2352" w:rsidRDefault="00F860A3">
      <w:pPr>
        <w:pStyle w:val="JuQuot"/>
        <w:keepNext/>
        <w:keepLines/>
      </w:pPr>
      <w:r w:rsidRPr="001F2352">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1F2352" w:rsidR="00F860A3" w:rsidP="001F2352" w:rsidRDefault="00F860A3">
      <w:pPr>
        <w:pStyle w:val="JuHA"/>
        <w:numPr>
          <w:ilvl w:val="2"/>
          <w:numId w:val="1"/>
        </w:numPr>
      </w:pPr>
      <w:r w:rsidRPr="001F2352">
        <w:t>Damage</w:t>
      </w:r>
    </w:p>
    <w:p w:rsidRPr="001F2352" w:rsidR="00F860A3" w:rsidP="001F2352" w:rsidRDefault="00F860A3">
      <w:pPr>
        <w:pStyle w:val="JuPara"/>
      </w:pPr>
      <w:r w:rsidRPr="001F2352">
        <w:t xml:space="preserve">26.  The </w:t>
      </w:r>
      <w:r w:rsidRPr="001F2352">
        <w:rPr>
          <w:szCs w:val="24"/>
        </w:rPr>
        <w:t>applicant</w:t>
      </w:r>
      <w:r w:rsidRPr="001F2352">
        <w:t xml:space="preserve"> claimed 35,000 euros (EUR) in respect of non</w:t>
      </w:r>
      <w:r w:rsidRPr="001F2352">
        <w:noBreakHyphen/>
        <w:t>pecuniary damage.</w:t>
      </w:r>
    </w:p>
    <w:p w:rsidRPr="001F2352" w:rsidR="00F860A3" w:rsidP="001F2352" w:rsidRDefault="00F860A3">
      <w:pPr>
        <w:pStyle w:val="JuPara"/>
      </w:pPr>
      <w:r w:rsidRPr="001F2352">
        <w:t>27.  The Government stated that any award should be in compliance with the well-established case-law.</w:t>
      </w:r>
    </w:p>
    <w:p w:rsidRPr="001F2352" w:rsidR="00F860A3" w:rsidP="001F2352" w:rsidRDefault="00F860A3">
      <w:pPr>
        <w:pStyle w:val="JuPara"/>
      </w:pPr>
      <w:r w:rsidRPr="001F2352">
        <w:t>28.   The Court, having regard to the above findings under Article 5 § 1 of the Convention, its case-law on the matter and acting on an equitable basis, awards the applicant EUR 3,000 in non-pecuniary damage.</w:t>
      </w:r>
    </w:p>
    <w:p w:rsidRPr="001F2352" w:rsidR="00F860A3" w:rsidP="001F2352" w:rsidRDefault="00F860A3">
      <w:pPr>
        <w:pStyle w:val="JuHA"/>
        <w:numPr>
          <w:ilvl w:val="2"/>
          <w:numId w:val="1"/>
        </w:numPr>
      </w:pPr>
      <w:r w:rsidRPr="001F2352">
        <w:t>Costs and expenses</w:t>
      </w:r>
    </w:p>
    <w:p w:rsidRPr="001F2352" w:rsidR="00F860A3" w:rsidP="001F2352" w:rsidRDefault="00F860A3">
      <w:pPr>
        <w:pStyle w:val="JuPara"/>
      </w:pPr>
      <w:r w:rsidRPr="001F2352">
        <w:t xml:space="preserve">29.  The </w:t>
      </w:r>
      <w:r w:rsidRPr="001F2352">
        <w:rPr>
          <w:szCs w:val="24"/>
        </w:rPr>
        <w:t>applicant</w:t>
      </w:r>
      <w:r w:rsidRPr="001F2352">
        <w:t xml:space="preserve"> also claimed EUR 5,400 for the costs and expenses incurred before the Court.</w:t>
      </w:r>
    </w:p>
    <w:p w:rsidRPr="001F2352" w:rsidR="00F860A3" w:rsidP="001F2352" w:rsidRDefault="00F860A3">
      <w:pPr>
        <w:pStyle w:val="JuPara"/>
      </w:pPr>
      <w:r w:rsidRPr="001F2352">
        <w:t>30.  The Government stated that any award should be in compliance with the well-established case-law.</w:t>
      </w:r>
    </w:p>
    <w:p w:rsidRPr="001F2352" w:rsidR="00F860A3" w:rsidP="001F2352" w:rsidRDefault="00F860A3">
      <w:pPr>
        <w:pStyle w:val="JuPara"/>
      </w:pPr>
      <w:r w:rsidRPr="001F2352">
        <w:t>31.  Regard being had to the documents in its possession and to its case</w:t>
      </w:r>
      <w:r w:rsidRPr="001F2352">
        <w:noBreakHyphen/>
        <w:t>law, the Court considers it reasonable to award the sum of EUR 1,500 for costs and expenses in the proceedings before the Court. It considers it appropriate that this sum should be payable directly to the applicant</w:t>
      </w:r>
      <w:r w:rsidRPr="001F2352" w:rsidR="001F2352">
        <w:t>’</w:t>
      </w:r>
      <w:r w:rsidRPr="001F2352">
        <w:t>s representative.</w:t>
      </w:r>
    </w:p>
    <w:p w:rsidRPr="001F2352" w:rsidR="00F860A3" w:rsidP="001F2352" w:rsidRDefault="00F860A3">
      <w:pPr>
        <w:pStyle w:val="JuHA"/>
        <w:numPr>
          <w:ilvl w:val="2"/>
          <w:numId w:val="1"/>
        </w:numPr>
      </w:pPr>
      <w:r w:rsidRPr="001F2352">
        <w:t>Default interest</w:t>
      </w:r>
    </w:p>
    <w:p w:rsidRPr="001F2352" w:rsidR="00F860A3" w:rsidP="001F2352" w:rsidRDefault="00F860A3">
      <w:pPr>
        <w:pStyle w:val="JuPara"/>
      </w:pPr>
      <w:r w:rsidRPr="001F2352">
        <w:t>32.  The Court considers it appropriate that the default interest rate should be based on the marginal lending rate of the European Central Bank, to which should be added three percentage points.</w:t>
      </w:r>
    </w:p>
    <w:p w:rsidRPr="001F2352" w:rsidR="00F860A3" w:rsidP="001F2352" w:rsidRDefault="00F860A3">
      <w:pPr>
        <w:pStyle w:val="JuHHead"/>
        <w:numPr>
          <w:ilvl w:val="0"/>
          <w:numId w:val="1"/>
        </w:numPr>
      </w:pPr>
      <w:r w:rsidRPr="001F2352">
        <w:t>FOR THESE REASONS, THE COURT, UNANIMOUSLY,</w:t>
      </w:r>
    </w:p>
    <w:p w:rsidRPr="001F2352" w:rsidR="00F860A3" w:rsidP="001F2352" w:rsidRDefault="00F860A3">
      <w:pPr>
        <w:pStyle w:val="JuList"/>
        <w:numPr>
          <w:ilvl w:val="0"/>
          <w:numId w:val="3"/>
        </w:numPr>
      </w:pPr>
      <w:r w:rsidRPr="001F2352">
        <w:rPr>
          <w:i/>
        </w:rPr>
        <w:t>Declares</w:t>
      </w:r>
      <w:r w:rsidRPr="001F2352">
        <w:t xml:space="preserve"> the complaint under Article 5 § 1 of the Convention concerning an alleged unlawfulness of the applicant</w:t>
      </w:r>
      <w:r w:rsidRPr="001F2352" w:rsidR="001F2352">
        <w:t>’</w:t>
      </w:r>
      <w:r w:rsidRPr="001F2352">
        <w:t>s detention pending deportation admissible;</w:t>
      </w:r>
    </w:p>
    <w:p w:rsidRPr="001F2352" w:rsidR="00F860A3" w:rsidP="001F2352" w:rsidRDefault="00F860A3">
      <w:pPr>
        <w:pStyle w:val="JuList"/>
        <w:numPr>
          <w:ilvl w:val="0"/>
          <w:numId w:val="2"/>
        </w:numPr>
      </w:pPr>
      <w:r w:rsidRPr="001F2352">
        <w:rPr>
          <w:i/>
        </w:rPr>
        <w:t>Holds</w:t>
      </w:r>
      <w:r w:rsidRPr="001F2352">
        <w:rPr>
          <w:color w:val="000000"/>
        </w:rPr>
        <w:t xml:space="preserve"> </w:t>
      </w:r>
      <w:r w:rsidRPr="001F2352">
        <w:t>that there has been a violation of Article 5 § 1 of the Convention;</w:t>
      </w:r>
    </w:p>
    <w:p w:rsidRPr="001F2352" w:rsidR="00F860A3" w:rsidP="001F2352" w:rsidRDefault="00F860A3">
      <w:pPr>
        <w:pStyle w:val="JuList"/>
        <w:numPr>
          <w:ilvl w:val="0"/>
          <w:numId w:val="2"/>
        </w:numPr>
      </w:pPr>
      <w:r w:rsidRPr="001F2352">
        <w:rPr>
          <w:i/>
        </w:rPr>
        <w:t>Holds</w:t>
      </w:r>
      <w:r w:rsidRPr="001F2352">
        <w:rPr>
          <w:color w:val="000000"/>
        </w:rPr>
        <w:t xml:space="preserve"> </w:t>
      </w:r>
      <w:r w:rsidRPr="001F2352">
        <w:t>that it is not necessary to examine the admissibility and merits of the applicant</w:t>
      </w:r>
      <w:r w:rsidRPr="001F2352" w:rsidR="001F2352">
        <w:t>’</w:t>
      </w:r>
      <w:r w:rsidRPr="001F2352">
        <w:t>s complaints under Article 5 § 4 of the Convention;</w:t>
      </w:r>
    </w:p>
    <w:p w:rsidRPr="001F2352" w:rsidR="00F860A3" w:rsidP="001F2352" w:rsidRDefault="00F860A3">
      <w:pPr>
        <w:pStyle w:val="JuList"/>
        <w:numPr>
          <w:ilvl w:val="0"/>
          <w:numId w:val="2"/>
        </w:numPr>
      </w:pPr>
      <w:r w:rsidRPr="001F2352">
        <w:rPr>
          <w:i/>
        </w:rPr>
        <w:t>Holds</w:t>
      </w:r>
    </w:p>
    <w:p w:rsidRPr="001F2352" w:rsidR="00F860A3" w:rsidP="001F2352" w:rsidRDefault="00F860A3">
      <w:pPr>
        <w:pStyle w:val="JuLista"/>
        <w:numPr>
          <w:ilvl w:val="1"/>
          <w:numId w:val="2"/>
        </w:numPr>
      </w:pPr>
      <w:r w:rsidRPr="001F2352">
        <w:t xml:space="preserve">that in respect of non-pecuniary damage the respondent State is to pay the </w:t>
      </w:r>
      <w:r w:rsidRPr="001F2352">
        <w:rPr>
          <w:szCs w:val="24"/>
        </w:rPr>
        <w:t>applicant</w:t>
      </w:r>
      <w:r w:rsidRPr="001F2352">
        <w:t xml:space="preserve">, within three months EUR 3,000 (three thousand euros) plus any tax that may be chargeable, to be converted into </w:t>
      </w:r>
      <w:r w:rsidRPr="001F2352">
        <w:rPr>
          <w:color w:val="000000"/>
        </w:rPr>
        <w:t>the currency of the respondent State</w:t>
      </w:r>
      <w:r w:rsidRPr="001F2352">
        <w:t xml:space="preserve"> at the rate applicable at the date of settlement;</w:t>
      </w:r>
    </w:p>
    <w:p w:rsidRPr="001F2352" w:rsidR="00F860A3" w:rsidP="001F2352" w:rsidRDefault="00F860A3">
      <w:pPr>
        <w:pStyle w:val="JuLista"/>
        <w:numPr>
          <w:ilvl w:val="1"/>
          <w:numId w:val="2"/>
        </w:numPr>
      </w:pPr>
      <w:r w:rsidRPr="001F2352">
        <w:t>that in respect of costs and expenses the respondent State is to pay the applicant</w:t>
      </w:r>
      <w:r w:rsidRPr="001F2352" w:rsidR="001F2352">
        <w:t>’</w:t>
      </w:r>
      <w:r w:rsidRPr="001F2352">
        <w:t>s representative, within three months EUR 1,500 (one thousand five hundred euros) plus any tax that may be chargeable, to be converted into the currency of the respondent State at the rate applicable at the date of settlement;</w:t>
      </w:r>
    </w:p>
    <w:p w:rsidRPr="001F2352" w:rsidR="00F860A3" w:rsidP="001F2352" w:rsidRDefault="00F860A3">
      <w:pPr>
        <w:pStyle w:val="JuLista"/>
        <w:numPr>
          <w:ilvl w:val="1"/>
          <w:numId w:val="2"/>
        </w:numPr>
      </w:pPr>
      <w:r w:rsidRPr="001F2352">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1F2352" w:rsidR="004D0EC7" w:rsidP="001F2352" w:rsidRDefault="00F860A3">
      <w:pPr>
        <w:pStyle w:val="JuList"/>
      </w:pPr>
      <w:r w:rsidRPr="001F2352">
        <w:rPr>
          <w:i/>
        </w:rPr>
        <w:t>Dismisses</w:t>
      </w:r>
      <w:r w:rsidRPr="001F2352">
        <w:rPr>
          <w:color w:val="000000"/>
        </w:rPr>
        <w:t xml:space="preserve"> </w:t>
      </w:r>
      <w:r w:rsidRPr="001F2352">
        <w:t xml:space="preserve">the remainder of the </w:t>
      </w:r>
      <w:r w:rsidRPr="001F2352">
        <w:rPr>
          <w:szCs w:val="24"/>
        </w:rPr>
        <w:t>applicant</w:t>
      </w:r>
      <w:r w:rsidRPr="001F2352" w:rsidR="001F2352">
        <w:rPr>
          <w:szCs w:val="24"/>
        </w:rPr>
        <w:t>’</w:t>
      </w:r>
      <w:r w:rsidRPr="001F2352">
        <w:rPr>
          <w:szCs w:val="24"/>
        </w:rPr>
        <w:t>s</w:t>
      </w:r>
      <w:r w:rsidRPr="001F2352">
        <w:t xml:space="preserve"> claim for just satisfaction.</w:t>
      </w:r>
    </w:p>
    <w:p w:rsidRPr="001F2352" w:rsidR="008E3A08" w:rsidP="001F2352" w:rsidRDefault="007E2C8C">
      <w:pPr>
        <w:pStyle w:val="JuParaLast"/>
      </w:pPr>
      <w:r w:rsidRPr="001F2352">
        <w:t xml:space="preserve">Done in English, and notified in writing on </w:t>
      </w:r>
      <w:r w:rsidRPr="001F2352" w:rsidR="00F860A3">
        <w:rPr>
          <w:rFonts w:ascii="Times New Roman" w:hAnsi="Times New Roman" w:cs="Times New Roman"/>
        </w:rPr>
        <w:t>24 September 2019</w:t>
      </w:r>
      <w:r w:rsidRPr="001F2352">
        <w:t>, pursuant to Rule 77 §§ 2 and 3 of the Rules of Court.</w:t>
      </w:r>
    </w:p>
    <w:p w:rsidRPr="001F2352" w:rsidR="001C055B" w:rsidP="001F2352" w:rsidRDefault="003C68DD">
      <w:pPr>
        <w:pStyle w:val="JuSigned"/>
      </w:pPr>
      <w:r w:rsidRPr="001F2352">
        <w:tab/>
        <w:t>Stephen</w:t>
      </w:r>
      <w:r w:rsidRPr="001F2352" w:rsidR="00F860A3">
        <w:t xml:space="preserve"> </w:t>
      </w:r>
      <w:r w:rsidRPr="001F2352">
        <w:t>Phillips</w:t>
      </w:r>
      <w:r w:rsidRPr="001F2352" w:rsidR="005879A2">
        <w:t xml:space="preserve"> </w:t>
      </w:r>
      <w:r w:rsidRPr="001F2352" w:rsidR="009F4C8F">
        <w:tab/>
      </w:r>
      <w:r w:rsidRPr="001F2352" w:rsidR="00F860A3">
        <w:rPr>
          <w:szCs w:val="24"/>
        </w:rPr>
        <w:t xml:space="preserve">Alena </w:t>
      </w:r>
      <w:proofErr w:type="spellStart"/>
      <w:r w:rsidRPr="001F2352" w:rsidR="00F860A3">
        <w:rPr>
          <w:szCs w:val="24"/>
        </w:rPr>
        <w:t>Poláčková</w:t>
      </w:r>
      <w:proofErr w:type="spellEnd"/>
      <w:r w:rsidRPr="001F2352" w:rsidR="009F4C8F">
        <w:rPr>
          <w:szCs w:val="24"/>
        </w:rPr>
        <w:br/>
      </w:r>
      <w:r w:rsidRPr="001F2352" w:rsidR="009F4C8F">
        <w:tab/>
      </w:r>
      <w:r w:rsidRPr="001F2352" w:rsidR="00F860A3">
        <w:rPr>
          <w:iCs/>
        </w:rPr>
        <w:t>Registrar</w:t>
      </w:r>
      <w:r w:rsidRPr="001F2352" w:rsidR="009F4C8F">
        <w:tab/>
        <w:t>President</w:t>
      </w:r>
    </w:p>
    <w:p w:rsidRPr="001F2352" w:rsidR="002A613A" w:rsidP="001F2352" w:rsidRDefault="002A613A"/>
    <w:sectPr w:rsidRPr="001F2352" w:rsidR="002A613A" w:rsidSect="000B7195">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60A3" w:rsidRPr="00085457" w:rsidRDefault="00F860A3" w:rsidP="0098410D">
      <w:r w:rsidRPr="00085457">
        <w:separator/>
      </w:r>
    </w:p>
  </w:endnote>
  <w:endnote w:type="continuationSeparator" w:id="0">
    <w:p w:rsidR="00F860A3" w:rsidRPr="00085457" w:rsidRDefault="00F860A3" w:rsidP="0098410D">
      <w:r w:rsidRPr="0008545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60A3" w:rsidRPr="00150BFA" w:rsidRDefault="00F860A3" w:rsidP="0020718E">
    <w:pPr>
      <w:jc w:val="center"/>
    </w:pPr>
    <w:r>
      <w:rPr>
        <w:noProof/>
        <w:lang w:val="en-US" w:eastAsia="ja-JP"/>
      </w:rPr>
      <w:drawing>
        <wp:inline distT="0" distB="0" distL="0" distR="0" wp14:anchorId="10EADBB7" wp14:editId="1CFBC7C3">
          <wp:extent cx="771525" cy="619125"/>
          <wp:effectExtent l="0" t="0" r="9525" b="9525"/>
          <wp:docPr id="21" name="Picture 2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8410D" w:rsidRPr="00085457" w:rsidRDefault="0098410D" w:rsidP="00AF12C5">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Default="009018E5">
    <w:pPr>
      <w:pStyle w:val="Footer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0B7195" w:rsidRDefault="009018E5" w:rsidP="00AF12C5">
    <w:pPr>
      <w:pStyle w:val="Footer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60A3" w:rsidRPr="00085457" w:rsidRDefault="00F860A3" w:rsidP="0098410D">
      <w:r w:rsidRPr="00085457">
        <w:separator/>
      </w:r>
    </w:p>
  </w:footnote>
  <w:footnote w:type="continuationSeparator" w:id="0">
    <w:p w:rsidR="00F860A3" w:rsidRPr="00085457" w:rsidRDefault="00F860A3" w:rsidP="0098410D">
      <w:r w:rsidRPr="00085457">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60A3" w:rsidRPr="00A45145" w:rsidRDefault="00F860A3" w:rsidP="00A45145">
    <w:pPr>
      <w:jc w:val="center"/>
    </w:pPr>
    <w:r>
      <w:rPr>
        <w:noProof/>
        <w:lang w:val="en-US" w:eastAsia="ja-JP"/>
      </w:rPr>
      <w:drawing>
        <wp:inline distT="0" distB="0" distL="0" distR="0" wp14:anchorId="26F3199D" wp14:editId="572A6829">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085457" w:rsidRDefault="0098410D"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60A3" w:rsidRPr="00A45145" w:rsidRDefault="00F860A3" w:rsidP="00A45145">
    <w:pPr>
      <w:jc w:val="center"/>
    </w:pPr>
    <w:r>
      <w:rPr>
        <w:noProof/>
        <w:lang w:val="en-US" w:eastAsia="ja-JP"/>
      </w:rPr>
      <w:drawing>
        <wp:inline distT="0" distB="0" distL="0" distR="0" wp14:anchorId="022B33DF" wp14:editId="4E71B60C">
          <wp:extent cx="2962275" cy="1219200"/>
          <wp:effectExtent l="0" t="0" r="9525" b="0"/>
          <wp:docPr id="18" name="Picture 1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085457" w:rsidRDefault="0098410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4D0EC7" w:rsidRDefault="00F860A3" w:rsidP="004D0EC7">
    <w:pPr>
      <w:pStyle w:val="JuHeader"/>
    </w:pPr>
    <w:r>
      <w:rPr>
        <w:rStyle w:val="PageNumber"/>
      </w:rPr>
      <w:fldChar w:fldCharType="begin"/>
    </w:r>
    <w:r>
      <w:rPr>
        <w:rStyle w:val="PageNumber"/>
      </w:rPr>
      <w:instrText xml:space="preserve"> PAGE </w:instrText>
    </w:r>
    <w:r>
      <w:rPr>
        <w:rStyle w:val="PageNumber"/>
      </w:rPr>
      <w:fldChar w:fldCharType="separate"/>
    </w:r>
    <w:r w:rsidR="001F2352">
      <w:rPr>
        <w:rStyle w:val="PageNumber"/>
        <w:noProof/>
      </w:rPr>
      <w:t>4</w:t>
    </w:r>
    <w:r>
      <w:rPr>
        <w:rStyle w:val="PageNumber"/>
      </w:rPr>
      <w:fldChar w:fldCharType="end"/>
    </w:r>
    <w:r w:rsidR="00882CD5" w:rsidRPr="004D0EC7">
      <w:tab/>
    </w:r>
    <w:r>
      <w:t>ISMAILOV v. RUSSIA</w:t>
    </w:r>
    <w:r w:rsidR="00882CD5" w:rsidRPr="004D0EC7">
      <w:t xml:space="preserve"> </w:t>
    </w:r>
    <w:r w:rsidR="008E3A08">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882CD5" w:rsidRDefault="00882CD5" w:rsidP="00882CD5">
    <w:pPr>
      <w:pStyle w:val="JuHeader"/>
    </w:pPr>
    <w:r w:rsidRPr="00882CD5">
      <w:tab/>
    </w:r>
    <w:r w:rsidR="00F860A3">
      <w:t>ISMAILOV v. RUSSIA</w:t>
    </w:r>
    <w:r w:rsidRPr="00882CD5">
      <w:t xml:space="preserve"> JUDGMENT</w:t>
    </w:r>
    <w:r w:rsidRPr="00882CD5">
      <w:tab/>
    </w:r>
    <w:r w:rsidR="00F860A3">
      <w:rPr>
        <w:rStyle w:val="PageNumber"/>
      </w:rPr>
      <w:fldChar w:fldCharType="begin"/>
    </w:r>
    <w:r w:rsidR="00F860A3">
      <w:rPr>
        <w:rStyle w:val="PageNumber"/>
      </w:rPr>
      <w:instrText xml:space="preserve"> PAGE </w:instrText>
    </w:r>
    <w:r w:rsidR="00F860A3">
      <w:rPr>
        <w:rStyle w:val="PageNumber"/>
      </w:rPr>
      <w:fldChar w:fldCharType="separate"/>
    </w:r>
    <w:r w:rsidR="001F2352">
      <w:rPr>
        <w:rStyle w:val="PageNumber"/>
        <w:noProof/>
      </w:rPr>
      <w:t>5</w:t>
    </w:r>
    <w:r w:rsidR="00F860A3">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285E6A40"/>
    <w:multiLevelType w:val="multilevel"/>
    <w:tmpl w:val="84A2DB16"/>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56B9429C"/>
    <w:multiLevelType w:val="multilevel"/>
    <w:tmpl w:val="B788660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6"/>
  </w:num>
  <w:num w:numId="2">
    <w:abstractNumId w:val="12"/>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12"/>
  </w:num>
  <w:num w:numId="6">
    <w:abstractNumId w:val="13"/>
  </w:num>
  <w:num w:numId="7">
    <w:abstractNumId w:val="10"/>
  </w:num>
  <w:num w:numId="8">
    <w:abstractNumId w:val="9"/>
  </w:num>
  <w:num w:numId="9">
    <w:abstractNumId w:val="14"/>
  </w:num>
  <w:num w:numId="10">
    <w:abstractNumId w:val="11"/>
  </w:num>
  <w:num w:numId="11">
    <w:abstractNumId w:val="15"/>
  </w:num>
  <w:num w:numId="12">
    <w:abstractNumId w:val="17"/>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0241"/>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F860A3"/>
    <w:rsid w:val="000041F8"/>
    <w:rsid w:val="000042A8"/>
    <w:rsid w:val="00004308"/>
    <w:rsid w:val="00005BF0"/>
    <w:rsid w:val="00007154"/>
    <w:rsid w:val="000103AE"/>
    <w:rsid w:val="00011D69"/>
    <w:rsid w:val="00012AD3"/>
    <w:rsid w:val="00015C2D"/>
    <w:rsid w:val="00015F00"/>
    <w:rsid w:val="00022C1D"/>
    <w:rsid w:val="00034987"/>
    <w:rsid w:val="00041560"/>
    <w:rsid w:val="000602DF"/>
    <w:rsid w:val="00061B05"/>
    <w:rsid w:val="000632D5"/>
    <w:rsid w:val="000644EE"/>
    <w:rsid w:val="00085457"/>
    <w:rsid w:val="000925AD"/>
    <w:rsid w:val="00096FE1"/>
    <w:rsid w:val="00097A62"/>
    <w:rsid w:val="000A24EB"/>
    <w:rsid w:val="000B686A"/>
    <w:rsid w:val="000B6923"/>
    <w:rsid w:val="000B7195"/>
    <w:rsid w:val="000C2B78"/>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32BD"/>
    <w:rsid w:val="001943B5"/>
    <w:rsid w:val="00195134"/>
    <w:rsid w:val="001A10FB"/>
    <w:rsid w:val="001A145B"/>
    <w:rsid w:val="001A674C"/>
    <w:rsid w:val="001B3B24"/>
    <w:rsid w:val="001C055B"/>
    <w:rsid w:val="001C0F98"/>
    <w:rsid w:val="001C2A42"/>
    <w:rsid w:val="001D63ED"/>
    <w:rsid w:val="001D7348"/>
    <w:rsid w:val="001E035B"/>
    <w:rsid w:val="001E0961"/>
    <w:rsid w:val="001E3EAE"/>
    <w:rsid w:val="001E6857"/>
    <w:rsid w:val="001E6F32"/>
    <w:rsid w:val="001F2145"/>
    <w:rsid w:val="001F2352"/>
    <w:rsid w:val="001F6262"/>
    <w:rsid w:val="001F67B0"/>
    <w:rsid w:val="001F7B3D"/>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3676"/>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F72"/>
    <w:rsid w:val="0032463E"/>
    <w:rsid w:val="00326224"/>
    <w:rsid w:val="00332B44"/>
    <w:rsid w:val="00337EE4"/>
    <w:rsid w:val="00340FFD"/>
    <w:rsid w:val="00345C41"/>
    <w:rsid w:val="003506B1"/>
    <w:rsid w:val="00355877"/>
    <w:rsid w:val="00356AC7"/>
    <w:rsid w:val="003609FA"/>
    <w:rsid w:val="003710C8"/>
    <w:rsid w:val="003750BE"/>
    <w:rsid w:val="00385A36"/>
    <w:rsid w:val="00385F3D"/>
    <w:rsid w:val="00387B9D"/>
    <w:rsid w:val="00390294"/>
    <w:rsid w:val="0039364F"/>
    <w:rsid w:val="00396686"/>
    <w:rsid w:val="0039778E"/>
    <w:rsid w:val="003B4941"/>
    <w:rsid w:val="003C5714"/>
    <w:rsid w:val="003C68DD"/>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6BFB"/>
    <w:rsid w:val="004A15C7"/>
    <w:rsid w:val="004B013B"/>
    <w:rsid w:val="004B112B"/>
    <w:rsid w:val="004B444E"/>
    <w:rsid w:val="004C01E4"/>
    <w:rsid w:val="004C086C"/>
    <w:rsid w:val="004C1F56"/>
    <w:rsid w:val="004C27BC"/>
    <w:rsid w:val="004C6621"/>
    <w:rsid w:val="004D0EC7"/>
    <w:rsid w:val="004D15F3"/>
    <w:rsid w:val="004D4EF1"/>
    <w:rsid w:val="004D5311"/>
    <w:rsid w:val="004D5DCC"/>
    <w:rsid w:val="004D7E45"/>
    <w:rsid w:val="004F10AF"/>
    <w:rsid w:val="004F11A4"/>
    <w:rsid w:val="004F2389"/>
    <w:rsid w:val="004F304D"/>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34F9"/>
    <w:rsid w:val="005D4190"/>
    <w:rsid w:val="005D67A3"/>
    <w:rsid w:val="005E2988"/>
    <w:rsid w:val="005E3085"/>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7E80"/>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B1B5F"/>
    <w:rsid w:val="009B6673"/>
    <w:rsid w:val="009C191B"/>
    <w:rsid w:val="009C2BD6"/>
    <w:rsid w:val="009E1F32"/>
    <w:rsid w:val="009E2CC2"/>
    <w:rsid w:val="009E776C"/>
    <w:rsid w:val="009F345A"/>
    <w:rsid w:val="009F4C8F"/>
    <w:rsid w:val="00A05588"/>
    <w:rsid w:val="00A1726E"/>
    <w:rsid w:val="00A204CF"/>
    <w:rsid w:val="00A21D2B"/>
    <w:rsid w:val="00A23D49"/>
    <w:rsid w:val="00A27004"/>
    <w:rsid w:val="00A308CE"/>
    <w:rsid w:val="00A30C29"/>
    <w:rsid w:val="00A34DD6"/>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160DB"/>
    <w:rsid w:val="00B20836"/>
    <w:rsid w:val="00B235BB"/>
    <w:rsid w:val="00B27A44"/>
    <w:rsid w:val="00B30BBF"/>
    <w:rsid w:val="00B33C03"/>
    <w:rsid w:val="00B379E5"/>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115C3"/>
    <w:rsid w:val="00C15547"/>
    <w:rsid w:val="00C22687"/>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C35"/>
    <w:rsid w:val="00CD7369"/>
    <w:rsid w:val="00CE0B0E"/>
    <w:rsid w:val="00CE3831"/>
    <w:rsid w:val="00CF2397"/>
    <w:rsid w:val="00D00ABB"/>
    <w:rsid w:val="00D02EEC"/>
    <w:rsid w:val="00D03551"/>
    <w:rsid w:val="00D06A63"/>
    <w:rsid w:val="00D07E0E"/>
    <w:rsid w:val="00D11478"/>
    <w:rsid w:val="00D15ED0"/>
    <w:rsid w:val="00D164BF"/>
    <w:rsid w:val="00D21B3E"/>
    <w:rsid w:val="00D21FED"/>
    <w:rsid w:val="00D23048"/>
    <w:rsid w:val="00D24251"/>
    <w:rsid w:val="00D26E72"/>
    <w:rsid w:val="00D343E2"/>
    <w:rsid w:val="00D361A2"/>
    <w:rsid w:val="00D44C2E"/>
    <w:rsid w:val="00D45414"/>
    <w:rsid w:val="00D50A0A"/>
    <w:rsid w:val="00D566BD"/>
    <w:rsid w:val="00D57A4D"/>
    <w:rsid w:val="00D60AA7"/>
    <w:rsid w:val="00D6435F"/>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5C1E"/>
    <w:rsid w:val="00E97396"/>
    <w:rsid w:val="00EA185E"/>
    <w:rsid w:val="00EA592A"/>
    <w:rsid w:val="00EB14E4"/>
    <w:rsid w:val="00EB32A5"/>
    <w:rsid w:val="00EB34ED"/>
    <w:rsid w:val="00EB447C"/>
    <w:rsid w:val="00EB7BE0"/>
    <w:rsid w:val="00EC315E"/>
    <w:rsid w:val="00ED077C"/>
    <w:rsid w:val="00ED10A9"/>
    <w:rsid w:val="00ED1190"/>
    <w:rsid w:val="00ED6544"/>
    <w:rsid w:val="00EE0277"/>
    <w:rsid w:val="00EE2899"/>
    <w:rsid w:val="00EE3E00"/>
    <w:rsid w:val="00EE5DD2"/>
    <w:rsid w:val="00EF3DB4"/>
    <w:rsid w:val="00F00A79"/>
    <w:rsid w:val="00F00E86"/>
    <w:rsid w:val="00F07C1E"/>
    <w:rsid w:val="00F105DB"/>
    <w:rsid w:val="00F132BC"/>
    <w:rsid w:val="00F13D80"/>
    <w:rsid w:val="00F15B4D"/>
    <w:rsid w:val="00F16AAA"/>
    <w:rsid w:val="00F1709C"/>
    <w:rsid w:val="00F21161"/>
    <w:rsid w:val="00F218EF"/>
    <w:rsid w:val="00F21BC7"/>
    <w:rsid w:val="00F266A2"/>
    <w:rsid w:val="00F32269"/>
    <w:rsid w:val="00F35B7A"/>
    <w:rsid w:val="00F56A6F"/>
    <w:rsid w:val="00F5709C"/>
    <w:rsid w:val="00F60B85"/>
    <w:rsid w:val="00F64EF1"/>
    <w:rsid w:val="00F7349B"/>
    <w:rsid w:val="00F860A3"/>
    <w:rsid w:val="00F8765F"/>
    <w:rsid w:val="00F90767"/>
    <w:rsid w:val="00FA1637"/>
    <w:rsid w:val="00FA685B"/>
    <w:rsid w:val="00FB0C01"/>
    <w:rsid w:val="00FB5934"/>
    <w:rsid w:val="00FC18F2"/>
    <w:rsid w:val="00FC2A17"/>
    <w:rsid w:val="00FC38CF"/>
    <w:rsid w:val="00FC39E5"/>
    <w:rsid w:val="00FC3A78"/>
    <w:rsid w:val="00FD1005"/>
    <w:rsid w:val="00FD6C75"/>
    <w:rsid w:val="00FD7972"/>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3C68DD"/>
    <w:rPr>
      <w:rFonts w:eastAsiaTheme="minorEastAsia"/>
      <w:sz w:val="24"/>
      <w:lang w:val="en-GB"/>
    </w:rPr>
  </w:style>
  <w:style w:type="paragraph" w:styleId="Heading1">
    <w:name w:val="heading 1"/>
    <w:basedOn w:val="Normal"/>
    <w:next w:val="Normal"/>
    <w:link w:val="Heading1Char"/>
    <w:uiPriority w:val="99"/>
    <w:semiHidden/>
    <w:rsid w:val="003C68DD"/>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3C68DD"/>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3C68DD"/>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3C68DD"/>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3C68DD"/>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3C68DD"/>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3C68DD"/>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3C68DD"/>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3C68DD"/>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3C68DD"/>
    <w:rPr>
      <w:rFonts w:ascii="Tahoma" w:hAnsi="Tahoma" w:cs="Tahoma"/>
      <w:sz w:val="16"/>
      <w:szCs w:val="16"/>
    </w:rPr>
  </w:style>
  <w:style w:type="character" w:customStyle="1" w:styleId="BalloonTextChar">
    <w:name w:val="Balloon Text Char"/>
    <w:basedOn w:val="DefaultParagraphFont"/>
    <w:link w:val="BalloonText"/>
    <w:uiPriority w:val="99"/>
    <w:semiHidden/>
    <w:rsid w:val="003C68DD"/>
    <w:rPr>
      <w:rFonts w:ascii="Tahoma" w:eastAsiaTheme="minorEastAsia" w:hAnsi="Tahoma" w:cs="Tahoma"/>
      <w:sz w:val="16"/>
      <w:szCs w:val="16"/>
      <w:lang w:val="en-GB"/>
    </w:rPr>
  </w:style>
  <w:style w:type="character" w:styleId="BookTitle">
    <w:name w:val="Book Title"/>
    <w:uiPriority w:val="99"/>
    <w:semiHidden/>
    <w:qFormat/>
    <w:rsid w:val="003C68DD"/>
    <w:rPr>
      <w:i/>
      <w:iCs/>
      <w:smallCaps/>
      <w:spacing w:val="5"/>
    </w:rPr>
  </w:style>
  <w:style w:type="paragraph" w:customStyle="1" w:styleId="JuHeader">
    <w:name w:val="Ju_Header"/>
    <w:aliases w:val="_Header"/>
    <w:basedOn w:val="Header"/>
    <w:uiPriority w:val="29"/>
    <w:qFormat/>
    <w:rsid w:val="003C68DD"/>
    <w:pPr>
      <w:tabs>
        <w:tab w:val="clear" w:pos="4536"/>
        <w:tab w:val="clear" w:pos="9072"/>
        <w:tab w:val="center" w:pos="3686"/>
        <w:tab w:val="right" w:pos="7371"/>
      </w:tabs>
    </w:pPr>
    <w:rPr>
      <w:sz w:val="18"/>
    </w:rPr>
  </w:style>
  <w:style w:type="paragraph" w:customStyle="1" w:styleId="NormalJustified">
    <w:name w:val="Normal_Justified"/>
    <w:basedOn w:val="Normal"/>
    <w:semiHidden/>
    <w:rsid w:val="003C68DD"/>
    <w:pPr>
      <w:jc w:val="both"/>
    </w:pPr>
  </w:style>
  <w:style w:type="character" w:styleId="Strong">
    <w:name w:val="Strong"/>
    <w:uiPriority w:val="99"/>
    <w:semiHidden/>
    <w:qFormat/>
    <w:rsid w:val="003C68DD"/>
    <w:rPr>
      <w:b/>
      <w:bCs/>
    </w:rPr>
  </w:style>
  <w:style w:type="paragraph" w:styleId="NoSpacing">
    <w:name w:val="No Spacing"/>
    <w:basedOn w:val="Normal"/>
    <w:link w:val="NoSpacingChar"/>
    <w:semiHidden/>
    <w:qFormat/>
    <w:rsid w:val="003C68DD"/>
  </w:style>
  <w:style w:type="character" w:customStyle="1" w:styleId="NoSpacingChar">
    <w:name w:val="No Spacing Char"/>
    <w:basedOn w:val="DefaultParagraphFont"/>
    <w:link w:val="NoSpacing"/>
    <w:semiHidden/>
    <w:rsid w:val="003C68DD"/>
    <w:rPr>
      <w:rFonts w:eastAsiaTheme="minorEastAsia"/>
      <w:sz w:val="24"/>
      <w:lang w:val="en-GB"/>
    </w:rPr>
  </w:style>
  <w:style w:type="paragraph" w:customStyle="1" w:styleId="JuQuot">
    <w:name w:val="Ju_Quot"/>
    <w:aliases w:val="_Quote"/>
    <w:basedOn w:val="NormalJustified"/>
    <w:uiPriority w:val="21"/>
    <w:qFormat/>
    <w:rsid w:val="003C68DD"/>
    <w:pPr>
      <w:spacing w:before="120" w:after="120"/>
      <w:ind w:left="425" w:firstLine="142"/>
    </w:pPr>
    <w:rPr>
      <w:sz w:val="20"/>
    </w:rPr>
  </w:style>
  <w:style w:type="paragraph" w:customStyle="1" w:styleId="DecList">
    <w:name w:val="Dec_List"/>
    <w:aliases w:val="_List"/>
    <w:basedOn w:val="JuList"/>
    <w:uiPriority w:val="22"/>
    <w:rsid w:val="003C68DD"/>
    <w:pPr>
      <w:numPr>
        <w:numId w:val="0"/>
      </w:numPr>
      <w:ind w:left="340"/>
    </w:pPr>
  </w:style>
  <w:style w:type="paragraph" w:customStyle="1" w:styleId="JuList">
    <w:name w:val="Ju_List"/>
    <w:aliases w:val="_List_1"/>
    <w:basedOn w:val="NormalJustified"/>
    <w:uiPriority w:val="23"/>
    <w:qFormat/>
    <w:rsid w:val="003C68DD"/>
    <w:pPr>
      <w:numPr>
        <w:numId w:val="5"/>
      </w:numPr>
      <w:spacing w:before="280" w:after="60"/>
    </w:pPr>
    <w:rPr>
      <w:rFonts w:eastAsiaTheme="minorHAnsi"/>
    </w:rPr>
  </w:style>
  <w:style w:type="paragraph" w:customStyle="1" w:styleId="JuLista">
    <w:name w:val="Ju_List_a"/>
    <w:aliases w:val="_List_2"/>
    <w:basedOn w:val="NormalJustified"/>
    <w:uiPriority w:val="23"/>
    <w:rsid w:val="003C68DD"/>
    <w:pPr>
      <w:numPr>
        <w:ilvl w:val="1"/>
        <w:numId w:val="5"/>
      </w:numPr>
    </w:pPr>
  </w:style>
  <w:style w:type="paragraph" w:customStyle="1" w:styleId="JuListi">
    <w:name w:val="Ju_List_i"/>
    <w:aliases w:val="_List_3"/>
    <w:basedOn w:val="NormalJustified"/>
    <w:uiPriority w:val="23"/>
    <w:rsid w:val="003C68DD"/>
    <w:pPr>
      <w:numPr>
        <w:ilvl w:val="2"/>
        <w:numId w:val="5"/>
      </w:numPr>
    </w:pPr>
  </w:style>
  <w:style w:type="paragraph" w:customStyle="1" w:styleId="JuHArticle">
    <w:name w:val="Ju_H_Article"/>
    <w:aliases w:val="_Title_Quote"/>
    <w:basedOn w:val="Normal"/>
    <w:next w:val="JuQuot"/>
    <w:uiPriority w:val="20"/>
    <w:qFormat/>
    <w:rsid w:val="003C68DD"/>
    <w:pPr>
      <w:keepNext/>
      <w:spacing w:before="100" w:beforeAutospacing="1" w:after="120"/>
      <w:contextualSpacing/>
      <w:jc w:val="center"/>
    </w:pPr>
    <w:rPr>
      <w:rFonts w:eastAsiaTheme="minorHAnsi"/>
      <w:b/>
      <w:sz w:val="20"/>
    </w:rPr>
  </w:style>
  <w:style w:type="paragraph" w:customStyle="1" w:styleId="DecHTitle">
    <w:name w:val="Dec_H_Title"/>
    <w:aliases w:val="_Title_1"/>
    <w:basedOn w:val="JuPara"/>
    <w:next w:val="JuPara"/>
    <w:uiPriority w:val="35"/>
    <w:qFormat/>
    <w:rsid w:val="003C68DD"/>
    <w:pPr>
      <w:keepNext/>
      <w:keepLines/>
      <w:spacing w:after="240"/>
      <w:ind w:firstLine="0"/>
      <w:jc w:val="center"/>
      <w:outlineLvl w:val="0"/>
    </w:pPr>
    <w:rPr>
      <w:rFonts w:asciiTheme="majorHAnsi" w:hAnsiTheme="majorHAnsi"/>
      <w:sz w:val="28"/>
    </w:rPr>
  </w:style>
  <w:style w:type="paragraph" w:customStyle="1" w:styleId="Title4">
    <w:name w:val="_Title_4"/>
    <w:basedOn w:val="JuPara"/>
    <w:next w:val="JuPara"/>
    <w:uiPriority w:val="35"/>
    <w:qFormat/>
    <w:rsid w:val="003C68DD"/>
    <w:pPr>
      <w:keepNext/>
      <w:keepLines/>
      <w:tabs>
        <w:tab w:val="right" w:pos="7938"/>
      </w:tabs>
      <w:ind w:firstLine="0"/>
      <w:jc w:val="center"/>
    </w:pPr>
    <w:rPr>
      <w:rFonts w:eastAsiaTheme="minorHAnsi"/>
      <w:i/>
    </w:rPr>
  </w:style>
  <w:style w:type="paragraph" w:customStyle="1" w:styleId="JuHHead">
    <w:name w:val="Ju_H_Head"/>
    <w:aliases w:val="_Head_1"/>
    <w:basedOn w:val="Normal"/>
    <w:next w:val="JuPara"/>
    <w:uiPriority w:val="19"/>
    <w:qFormat/>
    <w:rsid w:val="003C68DD"/>
    <w:pPr>
      <w:keepNext/>
      <w:keepLines/>
      <w:numPr>
        <w:numId w:val="4"/>
      </w:numPr>
      <w:spacing w:before="100" w:beforeAutospacing="1" w:after="240"/>
      <w:jc w:val="both"/>
      <w:outlineLvl w:val="0"/>
    </w:pPr>
    <w:rPr>
      <w:caps/>
      <w:sz w:val="28"/>
    </w:rPr>
  </w:style>
  <w:style w:type="numbering" w:customStyle="1" w:styleId="ECHRA1StyleBulletedSquare">
    <w:name w:val="ECHR_A1_Style_Bulleted_Square"/>
    <w:basedOn w:val="NoList"/>
    <w:rsid w:val="003C68DD"/>
    <w:pPr>
      <w:numPr>
        <w:numId w:val="9"/>
      </w:numPr>
    </w:pPr>
  </w:style>
  <w:style w:type="paragraph" w:customStyle="1" w:styleId="JuSigned">
    <w:name w:val="Ju_Signed"/>
    <w:aliases w:val="_Signature"/>
    <w:basedOn w:val="Normal"/>
    <w:next w:val="JuPara"/>
    <w:uiPriority w:val="30"/>
    <w:qFormat/>
    <w:rsid w:val="003C68DD"/>
    <w:pPr>
      <w:tabs>
        <w:tab w:val="center" w:pos="851"/>
        <w:tab w:val="center" w:pos="6407"/>
      </w:tabs>
      <w:spacing w:before="720"/>
    </w:pPr>
  </w:style>
  <w:style w:type="paragraph" w:styleId="Title">
    <w:name w:val="Title"/>
    <w:basedOn w:val="Normal"/>
    <w:next w:val="Normal"/>
    <w:link w:val="TitleChar"/>
    <w:uiPriority w:val="99"/>
    <w:semiHidden/>
    <w:qFormat/>
    <w:rsid w:val="003C68D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3C68DD"/>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3C68DD"/>
    <w:pPr>
      <w:numPr>
        <w:numId w:val="10"/>
      </w:numPr>
    </w:pPr>
  </w:style>
  <w:style w:type="numbering" w:customStyle="1" w:styleId="ECHRA1StyleNumberedList">
    <w:name w:val="ECHR_A1_Style_Numbered_List"/>
    <w:basedOn w:val="NoList"/>
    <w:rsid w:val="003C68DD"/>
    <w:pPr>
      <w:numPr>
        <w:numId w:val="11"/>
      </w:numPr>
    </w:pPr>
  </w:style>
  <w:style w:type="table" w:customStyle="1" w:styleId="ECHRTable2019">
    <w:name w:val="ECHR_Table_2019"/>
    <w:basedOn w:val="TableNormal"/>
    <w:uiPriority w:val="99"/>
    <w:rsid w:val="003C68DD"/>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Footer">
    <w:name w:val="_Footer"/>
    <w:aliases w:val="Footer_"/>
    <w:basedOn w:val="Footer0"/>
    <w:uiPriority w:val="57"/>
    <w:semiHidden/>
    <w:rsid w:val="003C68DD"/>
    <w:rPr>
      <w:sz w:val="8"/>
    </w:rPr>
  </w:style>
  <w:style w:type="paragraph" w:customStyle="1" w:styleId="JuCourt">
    <w:name w:val="Ju_Court"/>
    <w:basedOn w:val="Normal"/>
    <w:next w:val="Normal"/>
    <w:uiPriority w:val="31"/>
    <w:qFormat/>
    <w:rsid w:val="003C68DD"/>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
    <w:next w:val="JuPara"/>
    <w:uiPriority w:val="19"/>
    <w:qFormat/>
    <w:rsid w:val="003C68DD"/>
    <w:pPr>
      <w:keepNext/>
      <w:keepLines/>
      <w:numPr>
        <w:ilvl w:val="1"/>
        <w:numId w:val="4"/>
      </w:numPr>
      <w:spacing w:before="100" w:beforeAutospacing="1" w:after="240"/>
      <w:jc w:val="both"/>
      <w:outlineLvl w:val="1"/>
    </w:pPr>
    <w:rPr>
      <w:caps/>
    </w:rPr>
  </w:style>
  <w:style w:type="paragraph" w:customStyle="1" w:styleId="JuHA">
    <w:name w:val="Ju_H_A"/>
    <w:aliases w:val="_Head_3"/>
    <w:basedOn w:val="Normal"/>
    <w:next w:val="JuPara"/>
    <w:uiPriority w:val="19"/>
    <w:qFormat/>
    <w:rsid w:val="003C68DD"/>
    <w:pPr>
      <w:keepNext/>
      <w:keepLines/>
      <w:numPr>
        <w:ilvl w:val="2"/>
        <w:numId w:val="4"/>
      </w:numPr>
      <w:spacing w:before="100" w:beforeAutospacing="1" w:after="240"/>
      <w:jc w:val="both"/>
      <w:outlineLvl w:val="2"/>
    </w:pPr>
    <w:rPr>
      <w:b/>
    </w:rPr>
  </w:style>
  <w:style w:type="paragraph" w:customStyle="1" w:styleId="JuH1">
    <w:name w:val="Ju_H_1."/>
    <w:aliases w:val="_Head_4"/>
    <w:basedOn w:val="Normal"/>
    <w:next w:val="JuPara"/>
    <w:uiPriority w:val="19"/>
    <w:rsid w:val="003C68DD"/>
    <w:pPr>
      <w:keepNext/>
      <w:keepLines/>
      <w:numPr>
        <w:ilvl w:val="3"/>
        <w:numId w:val="4"/>
      </w:numPr>
      <w:spacing w:before="100" w:beforeAutospacing="1" w:after="120"/>
      <w:jc w:val="both"/>
      <w:outlineLvl w:val="3"/>
    </w:pPr>
    <w:rPr>
      <w:i/>
    </w:rPr>
  </w:style>
  <w:style w:type="paragraph" w:styleId="Header">
    <w:name w:val="header"/>
    <w:basedOn w:val="Normal"/>
    <w:link w:val="HeaderChar"/>
    <w:uiPriority w:val="57"/>
    <w:semiHidden/>
    <w:rsid w:val="003C68DD"/>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3C68DD"/>
    <w:rPr>
      <w:sz w:val="24"/>
      <w:lang w:val="en-GB"/>
    </w:rPr>
  </w:style>
  <w:style w:type="character" w:customStyle="1" w:styleId="Heading1Char">
    <w:name w:val="Heading 1 Char"/>
    <w:basedOn w:val="DefaultParagraphFont"/>
    <w:link w:val="Heading1"/>
    <w:uiPriority w:val="99"/>
    <w:semiHidden/>
    <w:rsid w:val="003C68DD"/>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ormal"/>
    <w:next w:val="JuPara"/>
    <w:uiPriority w:val="19"/>
    <w:rsid w:val="003C68DD"/>
    <w:pPr>
      <w:keepNext/>
      <w:keepLines/>
      <w:numPr>
        <w:ilvl w:val="4"/>
        <w:numId w:val="4"/>
      </w:numPr>
      <w:spacing w:before="100" w:beforeAutospacing="1" w:after="120"/>
      <w:jc w:val="both"/>
      <w:outlineLvl w:val="4"/>
    </w:pPr>
    <w:rPr>
      <w:b/>
      <w:sz w:val="20"/>
    </w:rPr>
  </w:style>
  <w:style w:type="paragraph" w:customStyle="1" w:styleId="JuHi">
    <w:name w:val="Ju_H_i"/>
    <w:aliases w:val="_Head_6"/>
    <w:basedOn w:val="Normal"/>
    <w:next w:val="JuPara"/>
    <w:uiPriority w:val="19"/>
    <w:rsid w:val="003C68DD"/>
    <w:pPr>
      <w:keepNext/>
      <w:keepLines/>
      <w:numPr>
        <w:ilvl w:val="5"/>
        <w:numId w:val="4"/>
      </w:numPr>
      <w:spacing w:before="100" w:beforeAutospacing="1" w:after="120"/>
      <w:jc w:val="both"/>
      <w:outlineLvl w:val="5"/>
    </w:pPr>
    <w:rPr>
      <w:i/>
      <w:sz w:val="20"/>
    </w:rPr>
  </w:style>
  <w:style w:type="character" w:customStyle="1" w:styleId="Heading2Char">
    <w:name w:val="Heading 2 Char"/>
    <w:basedOn w:val="DefaultParagraphFont"/>
    <w:link w:val="Heading2"/>
    <w:uiPriority w:val="99"/>
    <w:semiHidden/>
    <w:rsid w:val="003C68DD"/>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ormal"/>
    <w:next w:val="JuPara"/>
    <w:uiPriority w:val="19"/>
    <w:rsid w:val="003C68DD"/>
    <w:pPr>
      <w:keepNext/>
      <w:keepLines/>
      <w:numPr>
        <w:ilvl w:val="6"/>
        <w:numId w:val="4"/>
      </w:numPr>
      <w:spacing w:before="100" w:beforeAutospacing="1" w:after="120"/>
      <w:jc w:val="both"/>
      <w:outlineLvl w:val="6"/>
    </w:pPr>
    <w:rPr>
      <w:sz w:val="20"/>
    </w:rPr>
  </w:style>
  <w:style w:type="paragraph" w:customStyle="1" w:styleId="JuH">
    <w:name w:val="Ju_H_–"/>
    <w:aliases w:val="_Head_8"/>
    <w:basedOn w:val="Normal"/>
    <w:next w:val="JuPara"/>
    <w:uiPriority w:val="19"/>
    <w:rsid w:val="003C68DD"/>
    <w:pPr>
      <w:keepNext/>
      <w:keepLines/>
      <w:numPr>
        <w:ilvl w:val="7"/>
        <w:numId w:val="4"/>
      </w:numPr>
      <w:spacing w:before="100" w:beforeAutospacing="1" w:after="120"/>
      <w:jc w:val="both"/>
      <w:outlineLvl w:val="7"/>
    </w:pPr>
    <w:rPr>
      <w:i/>
      <w:sz w:val="20"/>
    </w:rPr>
  </w:style>
  <w:style w:type="character" w:customStyle="1" w:styleId="Heading3Char">
    <w:name w:val="Heading 3 Char"/>
    <w:basedOn w:val="DefaultParagraphFont"/>
    <w:link w:val="Heading3"/>
    <w:uiPriority w:val="99"/>
    <w:semiHidden/>
    <w:rsid w:val="003C68DD"/>
    <w:rPr>
      <w:rFonts w:asciiTheme="majorHAnsi" w:eastAsiaTheme="majorEastAsia" w:hAnsiTheme="majorHAnsi" w:cstheme="majorBidi"/>
      <w:b/>
      <w:bCs/>
      <w:color w:val="5F5F5F"/>
      <w:sz w:val="24"/>
      <w:lang w:val="en-GB"/>
    </w:rPr>
  </w:style>
  <w:style w:type="paragraph" w:customStyle="1" w:styleId="JuParaLast">
    <w:name w:val="Ju_Para_Last"/>
    <w:aliases w:val="_Para_Spaced"/>
    <w:basedOn w:val="NormalJustified"/>
    <w:uiPriority w:val="9"/>
    <w:qFormat/>
    <w:rsid w:val="003C68DD"/>
    <w:pPr>
      <w:keepNext/>
      <w:keepLines/>
      <w:spacing w:before="240" w:after="240"/>
      <w:ind w:firstLine="284"/>
    </w:pPr>
    <w:rPr>
      <w:rFonts w:eastAsiaTheme="minorHAnsi"/>
    </w:rPr>
  </w:style>
  <w:style w:type="paragraph" w:customStyle="1" w:styleId="JuJudges">
    <w:name w:val="Ju_Judges"/>
    <w:basedOn w:val="Normal"/>
    <w:uiPriority w:val="31"/>
    <w:qFormat/>
    <w:rsid w:val="003C68DD"/>
    <w:pPr>
      <w:tabs>
        <w:tab w:val="left" w:pos="567"/>
        <w:tab w:val="left" w:pos="1134"/>
      </w:tabs>
    </w:pPr>
  </w:style>
  <w:style w:type="character" w:customStyle="1" w:styleId="Heading4Char">
    <w:name w:val="Heading 4 Char"/>
    <w:basedOn w:val="DefaultParagraphFont"/>
    <w:link w:val="Heading4"/>
    <w:uiPriority w:val="99"/>
    <w:semiHidden/>
    <w:rsid w:val="003C68DD"/>
    <w:rPr>
      <w:rFonts w:asciiTheme="majorHAnsi" w:eastAsiaTheme="majorEastAsia" w:hAnsiTheme="majorHAnsi" w:cstheme="majorBidi"/>
      <w:b/>
      <w:bCs/>
      <w:i/>
      <w:iCs/>
      <w:color w:val="777777"/>
      <w:sz w:val="24"/>
      <w:lang w:val="en-GB"/>
    </w:rPr>
  </w:style>
  <w:style w:type="paragraph" w:customStyle="1" w:styleId="JuInitialled">
    <w:name w:val="Ju_Initialled"/>
    <w:aliases w:val="_Right"/>
    <w:basedOn w:val="Normal"/>
    <w:uiPriority w:val="30"/>
    <w:qFormat/>
    <w:rsid w:val="003C68DD"/>
    <w:pPr>
      <w:tabs>
        <w:tab w:val="center" w:pos="6407"/>
      </w:tabs>
      <w:spacing w:before="720"/>
      <w:jc w:val="right"/>
    </w:pPr>
  </w:style>
  <w:style w:type="character" w:customStyle="1" w:styleId="Heading5Char">
    <w:name w:val="Heading 5 Char"/>
    <w:basedOn w:val="DefaultParagraphFont"/>
    <w:link w:val="Heading5"/>
    <w:uiPriority w:val="99"/>
    <w:semiHidden/>
    <w:rsid w:val="003C68DD"/>
    <w:rPr>
      <w:rFonts w:asciiTheme="majorHAnsi" w:eastAsiaTheme="majorEastAsia" w:hAnsiTheme="majorHAnsi" w:cstheme="majorBidi"/>
      <w:b/>
      <w:bCs/>
      <w:color w:val="808080"/>
      <w:sz w:val="24"/>
      <w:lang w:val="en-GB"/>
    </w:rPr>
  </w:style>
  <w:style w:type="character" w:customStyle="1" w:styleId="JuITMark">
    <w:name w:val="Ju_ITMark"/>
    <w:basedOn w:val="DefaultParagraphFont"/>
    <w:uiPriority w:val="38"/>
    <w:qFormat/>
    <w:rsid w:val="003C68DD"/>
    <w:rPr>
      <w:vanish w:val="0"/>
      <w:color w:val="auto"/>
      <w:sz w:val="14"/>
      <w:bdr w:val="none" w:sz="0" w:space="0" w:color="auto"/>
      <w:shd w:val="clear" w:color="auto" w:fill="BEE5FF" w:themeFill="background1" w:themeFillTint="33"/>
    </w:rPr>
  </w:style>
  <w:style w:type="character" w:customStyle="1" w:styleId="JUNAMES">
    <w:name w:val="JU_NAMES"/>
    <w:uiPriority w:val="34"/>
    <w:qFormat/>
    <w:rsid w:val="003C68DD"/>
    <w:rPr>
      <w:caps w:val="0"/>
      <w:smallCaps/>
    </w:rPr>
  </w:style>
  <w:style w:type="character" w:styleId="SubtleEmphasis">
    <w:name w:val="Subtle Emphasis"/>
    <w:uiPriority w:val="99"/>
    <w:semiHidden/>
    <w:qFormat/>
    <w:rsid w:val="003C68DD"/>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3C68DD"/>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9"/>
    <w:semiHidden/>
    <w:qFormat/>
    <w:rsid w:val="003C68DD"/>
    <w:rPr>
      <w:b/>
      <w:bCs/>
      <w:i/>
      <w:iCs/>
      <w:spacing w:val="10"/>
      <w:bdr w:val="none" w:sz="0" w:space="0" w:color="auto"/>
      <w:shd w:val="clear" w:color="auto" w:fill="auto"/>
    </w:rPr>
  </w:style>
  <w:style w:type="paragraph" w:styleId="Footer0">
    <w:name w:val="footer"/>
    <w:basedOn w:val="Normal"/>
    <w:link w:val="FooterChar"/>
    <w:uiPriority w:val="57"/>
    <w:semiHidden/>
    <w:rsid w:val="003C68DD"/>
    <w:pPr>
      <w:tabs>
        <w:tab w:val="center" w:pos="4536"/>
        <w:tab w:val="right" w:pos="9696"/>
      </w:tabs>
      <w:ind w:left="-680" w:right="-680"/>
    </w:pPr>
    <w:rPr>
      <w:rFonts w:eastAsiaTheme="minorHAnsi"/>
    </w:rPr>
  </w:style>
  <w:style w:type="character" w:customStyle="1" w:styleId="FooterChar">
    <w:name w:val="Footer Char"/>
    <w:basedOn w:val="DefaultParagraphFont"/>
    <w:link w:val="Footer0"/>
    <w:uiPriority w:val="57"/>
    <w:semiHidden/>
    <w:rsid w:val="003C68DD"/>
    <w:rPr>
      <w:sz w:val="24"/>
      <w:lang w:val="en-GB"/>
    </w:rPr>
  </w:style>
  <w:style w:type="character" w:styleId="FootnoteReference">
    <w:name w:val="footnote reference"/>
    <w:basedOn w:val="DefaultParagraphFont"/>
    <w:uiPriority w:val="99"/>
    <w:semiHidden/>
    <w:rsid w:val="003C68DD"/>
    <w:rPr>
      <w:vertAlign w:val="superscript"/>
    </w:rPr>
  </w:style>
  <w:style w:type="paragraph" w:styleId="FootnoteText">
    <w:name w:val="footnote text"/>
    <w:basedOn w:val="Normal"/>
    <w:link w:val="FootnoteTextChar"/>
    <w:uiPriority w:val="99"/>
    <w:semiHidden/>
    <w:rsid w:val="003C68DD"/>
    <w:rPr>
      <w:sz w:val="20"/>
      <w:szCs w:val="20"/>
    </w:rPr>
  </w:style>
  <w:style w:type="character" w:customStyle="1" w:styleId="FootnoteTextChar">
    <w:name w:val="Footnote Text Char"/>
    <w:basedOn w:val="DefaultParagraphFont"/>
    <w:link w:val="FootnoteText"/>
    <w:uiPriority w:val="99"/>
    <w:semiHidden/>
    <w:rsid w:val="003C68DD"/>
    <w:rPr>
      <w:rFonts w:eastAsiaTheme="minorEastAsia"/>
      <w:sz w:val="20"/>
      <w:szCs w:val="20"/>
      <w:lang w:val="en-GB"/>
    </w:rPr>
  </w:style>
  <w:style w:type="character" w:customStyle="1" w:styleId="Heading6Char">
    <w:name w:val="Heading 6 Char"/>
    <w:basedOn w:val="DefaultParagraphFont"/>
    <w:link w:val="Heading6"/>
    <w:uiPriority w:val="99"/>
    <w:semiHidden/>
    <w:rsid w:val="003C68DD"/>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3C68DD"/>
    <w:rPr>
      <w:rFonts w:asciiTheme="majorHAnsi" w:eastAsiaTheme="majorEastAsia" w:hAnsiTheme="majorHAnsi" w:cstheme="majorBidi"/>
      <w:i/>
      <w:iCs/>
      <w:sz w:val="24"/>
      <w:lang w:val="en-GB" w:bidi="en-US"/>
    </w:rPr>
  </w:style>
  <w:style w:type="character" w:customStyle="1" w:styleId="Heading8Char">
    <w:name w:val="Heading 8 Char"/>
    <w:basedOn w:val="DefaultParagraphFont"/>
    <w:link w:val="Heading8"/>
    <w:uiPriority w:val="99"/>
    <w:semiHidden/>
    <w:rsid w:val="003C68DD"/>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9"/>
    <w:semiHidden/>
    <w:rsid w:val="003C68DD"/>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9"/>
    <w:semiHidden/>
    <w:rsid w:val="003C68DD"/>
    <w:rPr>
      <w:color w:val="0072BC" w:themeColor="hyperlink"/>
      <w:u w:val="single"/>
    </w:rPr>
  </w:style>
  <w:style w:type="character" w:styleId="IntenseEmphasis">
    <w:name w:val="Intense Emphasis"/>
    <w:uiPriority w:val="99"/>
    <w:semiHidden/>
    <w:qFormat/>
    <w:rsid w:val="003C68DD"/>
    <w:rPr>
      <w:b/>
      <w:bCs/>
    </w:rPr>
  </w:style>
  <w:style w:type="paragraph" w:styleId="IntenseQuote">
    <w:name w:val="Intense Quote"/>
    <w:basedOn w:val="Normal"/>
    <w:next w:val="Normal"/>
    <w:link w:val="IntenseQuoteChar"/>
    <w:uiPriority w:val="99"/>
    <w:semiHidden/>
    <w:qFormat/>
    <w:rsid w:val="003C68DD"/>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3C68DD"/>
    <w:rPr>
      <w:rFonts w:eastAsiaTheme="minorEastAsia"/>
      <w:b/>
      <w:bCs/>
      <w:i/>
      <w:iCs/>
      <w:sz w:val="24"/>
      <w:lang w:val="en-GB" w:bidi="en-US"/>
    </w:rPr>
  </w:style>
  <w:style w:type="character" w:styleId="IntenseReference">
    <w:name w:val="Intense Reference"/>
    <w:uiPriority w:val="99"/>
    <w:semiHidden/>
    <w:qFormat/>
    <w:rsid w:val="003C68DD"/>
    <w:rPr>
      <w:smallCaps/>
      <w:spacing w:val="5"/>
      <w:u w:val="single"/>
    </w:rPr>
  </w:style>
  <w:style w:type="paragraph" w:styleId="ListParagraph">
    <w:name w:val="List Paragraph"/>
    <w:basedOn w:val="Normal"/>
    <w:uiPriority w:val="99"/>
    <w:semiHidden/>
    <w:qFormat/>
    <w:rsid w:val="003C68DD"/>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3C68DD"/>
    <w:pPr>
      <w:spacing w:before="200"/>
      <w:ind w:left="360" w:right="360"/>
    </w:pPr>
    <w:rPr>
      <w:i/>
      <w:iCs/>
      <w:lang w:bidi="en-US"/>
    </w:rPr>
  </w:style>
  <w:style w:type="character" w:customStyle="1" w:styleId="QuoteChar">
    <w:name w:val="Quote Char"/>
    <w:basedOn w:val="DefaultParagraphFont"/>
    <w:link w:val="Quote"/>
    <w:uiPriority w:val="99"/>
    <w:semiHidden/>
    <w:rsid w:val="003C68DD"/>
    <w:rPr>
      <w:rFonts w:eastAsiaTheme="minorEastAsia"/>
      <w:i/>
      <w:iCs/>
      <w:sz w:val="24"/>
      <w:lang w:val="en-GB" w:bidi="en-US"/>
    </w:rPr>
  </w:style>
  <w:style w:type="character" w:styleId="SubtleReference">
    <w:name w:val="Subtle Reference"/>
    <w:uiPriority w:val="99"/>
    <w:semiHidden/>
    <w:qFormat/>
    <w:rsid w:val="003C68DD"/>
    <w:rPr>
      <w:smallCaps/>
    </w:rPr>
  </w:style>
  <w:style w:type="table" w:styleId="TableGrid">
    <w:name w:val="Table Grid"/>
    <w:basedOn w:val="TableNormal"/>
    <w:uiPriority w:val="59"/>
    <w:semiHidden/>
    <w:rsid w:val="003C68DD"/>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3C68DD"/>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3C68DD"/>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3C68DD"/>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3C68DD"/>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3C68DD"/>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3C68DD"/>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3C68DD"/>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3C68DD"/>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3C68DD"/>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3C68DD"/>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3C68DD"/>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3C68DD"/>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3C68DD"/>
    <w:pPr>
      <w:numPr>
        <w:numId w:val="6"/>
      </w:numPr>
    </w:pPr>
  </w:style>
  <w:style w:type="paragraph" w:customStyle="1" w:styleId="JuPara">
    <w:name w:val="Ju_Para"/>
    <w:aliases w:val="_Para"/>
    <w:basedOn w:val="NormalJustified"/>
    <w:link w:val="JuParaChar"/>
    <w:uiPriority w:val="8"/>
    <w:qFormat/>
    <w:rsid w:val="003C68DD"/>
    <w:pPr>
      <w:ind w:firstLine="284"/>
    </w:pPr>
  </w:style>
  <w:style w:type="numbering" w:styleId="1ai">
    <w:name w:val="Outline List 1"/>
    <w:basedOn w:val="NoList"/>
    <w:uiPriority w:val="99"/>
    <w:semiHidden/>
    <w:unhideWhenUsed/>
    <w:rsid w:val="003C68DD"/>
    <w:pPr>
      <w:numPr>
        <w:numId w:val="7"/>
      </w:numPr>
    </w:pPr>
  </w:style>
  <w:style w:type="table" w:customStyle="1" w:styleId="ECHRTableSimpleBox">
    <w:name w:val="ECHR_Table_Simple_Box"/>
    <w:basedOn w:val="TableNormal"/>
    <w:uiPriority w:val="99"/>
    <w:rsid w:val="003C68DD"/>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3C68DD"/>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3C68DD"/>
    <w:pPr>
      <w:numPr>
        <w:numId w:val="8"/>
      </w:numPr>
    </w:pPr>
  </w:style>
  <w:style w:type="table" w:customStyle="1" w:styleId="ECHRTableForInternalUse">
    <w:name w:val="ECHR_Table_For_Internal_Use"/>
    <w:basedOn w:val="TableNormal"/>
    <w:uiPriority w:val="99"/>
    <w:rsid w:val="003C68DD"/>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64393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3C68DD"/>
  </w:style>
  <w:style w:type="paragraph" w:styleId="BlockText">
    <w:name w:val="Block Text"/>
    <w:basedOn w:val="Normal"/>
    <w:uiPriority w:val="99"/>
    <w:semiHidden/>
    <w:rsid w:val="003C68D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3C68DD"/>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3C68DD"/>
    <w:pPr>
      <w:spacing w:after="120"/>
    </w:pPr>
  </w:style>
  <w:style w:type="character" w:customStyle="1" w:styleId="BodyTextChar">
    <w:name w:val="Body Text Char"/>
    <w:basedOn w:val="DefaultParagraphFont"/>
    <w:link w:val="BodyText"/>
    <w:uiPriority w:val="99"/>
    <w:semiHidden/>
    <w:rsid w:val="003C68DD"/>
    <w:rPr>
      <w:rFonts w:eastAsiaTheme="minorEastAsia"/>
      <w:sz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3C68DD"/>
    <w:pPr>
      <w:spacing w:after="120" w:line="480" w:lineRule="auto"/>
    </w:pPr>
  </w:style>
  <w:style w:type="table" w:customStyle="1" w:styleId="ECHRHeaderTableReduced">
    <w:name w:val="ECHR_Header_Table_Reduced"/>
    <w:basedOn w:val="TableNormal"/>
    <w:uiPriority w:val="99"/>
    <w:rsid w:val="003C68DD"/>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JuPara"/>
    <w:uiPriority w:val="31"/>
    <w:rsid w:val="003C68DD"/>
    <w:pPr>
      <w:ind w:firstLine="284"/>
    </w:pPr>
    <w:rPr>
      <w:b/>
    </w:rPr>
  </w:style>
  <w:style w:type="character" w:styleId="PageNumber">
    <w:name w:val="page number"/>
    <w:uiPriority w:val="99"/>
    <w:semiHidden/>
    <w:rsid w:val="003C68DD"/>
    <w:rPr>
      <w:sz w:val="18"/>
    </w:rPr>
  </w:style>
  <w:style w:type="paragraph" w:styleId="ListBullet">
    <w:name w:val="List Bullet"/>
    <w:basedOn w:val="Normal"/>
    <w:uiPriority w:val="99"/>
    <w:semiHidden/>
    <w:rsid w:val="003C68DD"/>
    <w:pPr>
      <w:numPr>
        <w:numId w:val="12"/>
      </w:numPr>
    </w:pPr>
  </w:style>
  <w:style w:type="paragraph" w:styleId="ListBullet3">
    <w:name w:val="List Bullet 3"/>
    <w:basedOn w:val="Normal"/>
    <w:uiPriority w:val="99"/>
    <w:semiHidden/>
    <w:rsid w:val="003C68DD"/>
    <w:pPr>
      <w:numPr>
        <w:numId w:val="14"/>
      </w:numPr>
      <w:contextualSpacing/>
    </w:pPr>
  </w:style>
  <w:style w:type="character" w:customStyle="1" w:styleId="BodyText2Char">
    <w:name w:val="Body Text 2 Char"/>
    <w:basedOn w:val="DefaultParagraphFont"/>
    <w:link w:val="BodyText2"/>
    <w:uiPriority w:val="99"/>
    <w:semiHidden/>
    <w:rsid w:val="003C68DD"/>
    <w:rPr>
      <w:rFonts w:eastAsiaTheme="minorEastAsia"/>
      <w:sz w:val="24"/>
      <w:lang w:val="en-GB"/>
    </w:rPr>
  </w:style>
  <w:style w:type="paragraph" w:styleId="BodyText3">
    <w:name w:val="Body Text 3"/>
    <w:basedOn w:val="Normal"/>
    <w:link w:val="BodyText3Char"/>
    <w:uiPriority w:val="99"/>
    <w:semiHidden/>
    <w:rsid w:val="003C68DD"/>
    <w:pPr>
      <w:spacing w:after="120"/>
    </w:pPr>
    <w:rPr>
      <w:sz w:val="16"/>
      <w:szCs w:val="16"/>
    </w:rPr>
  </w:style>
  <w:style w:type="character" w:customStyle="1" w:styleId="BodyText3Char">
    <w:name w:val="Body Text 3 Char"/>
    <w:basedOn w:val="DefaultParagraphFont"/>
    <w:link w:val="BodyText3"/>
    <w:uiPriority w:val="99"/>
    <w:semiHidden/>
    <w:rsid w:val="003C68DD"/>
    <w:rPr>
      <w:rFonts w:eastAsiaTheme="minorEastAsia"/>
      <w:sz w:val="16"/>
      <w:szCs w:val="16"/>
      <w:lang w:val="en-GB"/>
    </w:rPr>
  </w:style>
  <w:style w:type="paragraph" w:styleId="BodyTextFirstIndent">
    <w:name w:val="Body Text First Indent"/>
    <w:basedOn w:val="BodyText"/>
    <w:link w:val="BodyTextFirstIndentChar"/>
    <w:uiPriority w:val="99"/>
    <w:semiHidden/>
    <w:rsid w:val="003C68DD"/>
    <w:pPr>
      <w:spacing w:after="0"/>
      <w:ind w:firstLine="360"/>
    </w:pPr>
  </w:style>
  <w:style w:type="character" w:customStyle="1" w:styleId="BodyTextFirstIndentChar">
    <w:name w:val="Body Text First Indent Char"/>
    <w:basedOn w:val="BodyTextChar"/>
    <w:link w:val="BodyTextFirstIndent"/>
    <w:uiPriority w:val="99"/>
    <w:semiHidden/>
    <w:rsid w:val="003C68DD"/>
    <w:rPr>
      <w:rFonts w:eastAsiaTheme="minorEastAsia"/>
      <w:sz w:val="24"/>
      <w:lang w:val="en-GB"/>
    </w:rPr>
  </w:style>
  <w:style w:type="paragraph" w:styleId="BodyTextIndent">
    <w:name w:val="Body Text Indent"/>
    <w:basedOn w:val="Normal"/>
    <w:link w:val="BodyTextIndentChar"/>
    <w:uiPriority w:val="99"/>
    <w:semiHidden/>
    <w:rsid w:val="003C68DD"/>
    <w:pPr>
      <w:spacing w:after="120"/>
      <w:ind w:left="283"/>
    </w:pPr>
  </w:style>
  <w:style w:type="character" w:customStyle="1" w:styleId="BodyTextIndentChar">
    <w:name w:val="Body Text Indent Char"/>
    <w:basedOn w:val="DefaultParagraphFont"/>
    <w:link w:val="BodyTextIndent"/>
    <w:uiPriority w:val="99"/>
    <w:semiHidden/>
    <w:rsid w:val="003C68DD"/>
    <w:rPr>
      <w:rFonts w:eastAsiaTheme="minorEastAsia"/>
      <w:sz w:val="24"/>
      <w:lang w:val="en-GB"/>
    </w:rPr>
  </w:style>
  <w:style w:type="paragraph" w:styleId="BodyTextFirstIndent2">
    <w:name w:val="Body Text First Indent 2"/>
    <w:basedOn w:val="BodyTextIndent"/>
    <w:link w:val="BodyTextFirstIndent2Char"/>
    <w:uiPriority w:val="99"/>
    <w:semiHidden/>
    <w:rsid w:val="003C68DD"/>
    <w:pPr>
      <w:spacing w:after="0"/>
      <w:ind w:left="360" w:firstLine="360"/>
    </w:pPr>
  </w:style>
  <w:style w:type="character" w:customStyle="1" w:styleId="BodyTextFirstIndent2Char">
    <w:name w:val="Body Text First Indent 2 Char"/>
    <w:basedOn w:val="BodyTextIndentChar"/>
    <w:link w:val="BodyTextFirstIndent2"/>
    <w:uiPriority w:val="99"/>
    <w:semiHidden/>
    <w:rsid w:val="003C68DD"/>
    <w:rPr>
      <w:rFonts w:eastAsiaTheme="minorEastAsia"/>
      <w:sz w:val="24"/>
      <w:lang w:val="en-GB"/>
    </w:rPr>
  </w:style>
  <w:style w:type="paragraph" w:styleId="BodyTextIndent2">
    <w:name w:val="Body Text Indent 2"/>
    <w:basedOn w:val="Normal"/>
    <w:link w:val="BodyTextIndent2Char"/>
    <w:uiPriority w:val="99"/>
    <w:semiHidden/>
    <w:rsid w:val="003C68DD"/>
    <w:pPr>
      <w:spacing w:after="120" w:line="480" w:lineRule="auto"/>
      <w:ind w:left="283"/>
    </w:pPr>
  </w:style>
  <w:style w:type="character" w:customStyle="1" w:styleId="BodyTextIndent2Char">
    <w:name w:val="Body Text Indent 2 Char"/>
    <w:basedOn w:val="DefaultParagraphFont"/>
    <w:link w:val="BodyTextIndent2"/>
    <w:uiPriority w:val="99"/>
    <w:semiHidden/>
    <w:rsid w:val="003C68DD"/>
    <w:rPr>
      <w:rFonts w:eastAsiaTheme="minorEastAsia"/>
      <w:sz w:val="24"/>
      <w:lang w:val="en-GB"/>
    </w:rPr>
  </w:style>
  <w:style w:type="paragraph" w:styleId="BodyTextIndent3">
    <w:name w:val="Body Text Indent 3"/>
    <w:basedOn w:val="Normal"/>
    <w:link w:val="BodyTextIndent3Char"/>
    <w:uiPriority w:val="99"/>
    <w:semiHidden/>
    <w:rsid w:val="003C68DD"/>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3C68DD"/>
    <w:rPr>
      <w:rFonts w:eastAsiaTheme="minorEastAsia"/>
      <w:sz w:val="16"/>
      <w:szCs w:val="16"/>
      <w:lang w:val="en-GB"/>
    </w:rPr>
  </w:style>
  <w:style w:type="paragraph" w:styleId="Caption">
    <w:name w:val="caption"/>
    <w:basedOn w:val="Normal"/>
    <w:next w:val="Normal"/>
    <w:uiPriority w:val="99"/>
    <w:semiHidden/>
    <w:qFormat/>
    <w:rsid w:val="003C68DD"/>
    <w:pPr>
      <w:spacing w:after="200"/>
    </w:pPr>
    <w:rPr>
      <w:b/>
      <w:bCs/>
      <w:color w:val="0072BC" w:themeColor="accent1"/>
      <w:sz w:val="18"/>
      <w:szCs w:val="18"/>
    </w:rPr>
  </w:style>
  <w:style w:type="paragraph" w:styleId="Closing">
    <w:name w:val="Closing"/>
    <w:basedOn w:val="Normal"/>
    <w:link w:val="ClosingChar"/>
    <w:uiPriority w:val="99"/>
    <w:semiHidden/>
    <w:rsid w:val="003C68DD"/>
    <w:pPr>
      <w:ind w:left="4252"/>
    </w:pPr>
  </w:style>
  <w:style w:type="character" w:customStyle="1" w:styleId="ClosingChar">
    <w:name w:val="Closing Char"/>
    <w:basedOn w:val="DefaultParagraphFont"/>
    <w:link w:val="Closing"/>
    <w:uiPriority w:val="99"/>
    <w:semiHidden/>
    <w:rsid w:val="003C68DD"/>
    <w:rPr>
      <w:rFonts w:eastAsiaTheme="minorEastAsia"/>
      <w:sz w:val="24"/>
      <w:lang w:val="en-GB"/>
    </w:rPr>
  </w:style>
  <w:style w:type="table" w:styleId="ColorfulGrid">
    <w:name w:val="Colorful Grid"/>
    <w:basedOn w:val="TableNormal"/>
    <w:uiPriority w:val="73"/>
    <w:semiHidden/>
    <w:rsid w:val="003C68D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3C68D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3C68D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3C68D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3C68D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3C68D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3C68D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3C68D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3C68D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3C68D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3C68D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3C68D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3C68D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3C68D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3C68D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3C68D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3C68D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3C68D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3C68D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3C68D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3C68D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3C68DD"/>
    <w:rPr>
      <w:sz w:val="16"/>
      <w:szCs w:val="16"/>
    </w:rPr>
  </w:style>
  <w:style w:type="paragraph" w:styleId="CommentText">
    <w:name w:val="annotation text"/>
    <w:basedOn w:val="Normal"/>
    <w:link w:val="CommentTextChar"/>
    <w:semiHidden/>
    <w:rsid w:val="003C68DD"/>
    <w:rPr>
      <w:sz w:val="20"/>
      <w:szCs w:val="20"/>
    </w:rPr>
  </w:style>
  <w:style w:type="character" w:customStyle="1" w:styleId="CommentTextChar">
    <w:name w:val="Comment Text Char"/>
    <w:basedOn w:val="DefaultParagraphFont"/>
    <w:link w:val="CommentText"/>
    <w:semiHidden/>
    <w:rsid w:val="003C68DD"/>
    <w:rPr>
      <w:rFonts w:eastAsiaTheme="minorEastAsia"/>
      <w:sz w:val="20"/>
      <w:szCs w:val="20"/>
      <w:lang w:val="en-GB"/>
    </w:rPr>
  </w:style>
  <w:style w:type="paragraph" w:styleId="CommentSubject">
    <w:name w:val="annotation subject"/>
    <w:basedOn w:val="CommentText"/>
    <w:next w:val="CommentText"/>
    <w:link w:val="CommentSubjectChar"/>
    <w:uiPriority w:val="99"/>
    <w:semiHidden/>
    <w:rsid w:val="003C68DD"/>
    <w:rPr>
      <w:b/>
      <w:bCs/>
    </w:rPr>
  </w:style>
  <w:style w:type="character" w:customStyle="1" w:styleId="CommentSubjectChar">
    <w:name w:val="Comment Subject Char"/>
    <w:basedOn w:val="CommentTextChar"/>
    <w:link w:val="CommentSubject"/>
    <w:uiPriority w:val="99"/>
    <w:semiHidden/>
    <w:rsid w:val="003C68DD"/>
    <w:rPr>
      <w:rFonts w:eastAsiaTheme="minorEastAsia"/>
      <w:b/>
      <w:bCs/>
      <w:sz w:val="20"/>
      <w:szCs w:val="20"/>
      <w:lang w:val="en-GB"/>
    </w:rPr>
  </w:style>
  <w:style w:type="table" w:styleId="DarkList">
    <w:name w:val="Dark List"/>
    <w:basedOn w:val="TableNormal"/>
    <w:uiPriority w:val="70"/>
    <w:semiHidden/>
    <w:rsid w:val="003C68D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3C68D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3C68D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3C68D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3C68D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3C68D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3C68D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3C68DD"/>
  </w:style>
  <w:style w:type="character" w:customStyle="1" w:styleId="DateChar">
    <w:name w:val="Date Char"/>
    <w:basedOn w:val="DefaultParagraphFont"/>
    <w:link w:val="Date"/>
    <w:uiPriority w:val="99"/>
    <w:semiHidden/>
    <w:rsid w:val="003C68DD"/>
    <w:rPr>
      <w:rFonts w:eastAsiaTheme="minorEastAsia"/>
      <w:sz w:val="24"/>
      <w:lang w:val="en-GB"/>
    </w:rPr>
  </w:style>
  <w:style w:type="paragraph" w:styleId="DocumentMap">
    <w:name w:val="Document Map"/>
    <w:basedOn w:val="Normal"/>
    <w:link w:val="DocumentMapChar"/>
    <w:uiPriority w:val="99"/>
    <w:semiHidden/>
    <w:rsid w:val="003C68DD"/>
    <w:rPr>
      <w:rFonts w:ascii="Tahoma" w:hAnsi="Tahoma" w:cs="Tahoma"/>
      <w:sz w:val="16"/>
      <w:szCs w:val="16"/>
    </w:rPr>
  </w:style>
  <w:style w:type="character" w:customStyle="1" w:styleId="DocumentMapChar">
    <w:name w:val="Document Map Char"/>
    <w:basedOn w:val="DefaultParagraphFont"/>
    <w:link w:val="DocumentMap"/>
    <w:uiPriority w:val="99"/>
    <w:semiHidden/>
    <w:rsid w:val="003C68DD"/>
    <w:rPr>
      <w:rFonts w:ascii="Tahoma" w:eastAsiaTheme="minorEastAsia" w:hAnsi="Tahoma" w:cs="Tahoma"/>
      <w:sz w:val="16"/>
      <w:szCs w:val="16"/>
      <w:lang w:val="en-GB"/>
    </w:rPr>
  </w:style>
  <w:style w:type="paragraph" w:styleId="E-mailSignature">
    <w:name w:val="E-mail Signature"/>
    <w:basedOn w:val="Normal"/>
    <w:link w:val="E-mailSignatureChar"/>
    <w:uiPriority w:val="99"/>
    <w:semiHidden/>
    <w:rsid w:val="003C68DD"/>
  </w:style>
  <w:style w:type="character" w:customStyle="1" w:styleId="E-mailSignatureChar">
    <w:name w:val="E-mail Signature Char"/>
    <w:basedOn w:val="DefaultParagraphFont"/>
    <w:link w:val="E-mailSignature"/>
    <w:uiPriority w:val="99"/>
    <w:semiHidden/>
    <w:rsid w:val="003C68DD"/>
    <w:rPr>
      <w:rFonts w:eastAsiaTheme="minorEastAsia"/>
      <w:sz w:val="24"/>
      <w:lang w:val="en-GB"/>
    </w:rPr>
  </w:style>
  <w:style w:type="character" w:styleId="EndnoteReference">
    <w:name w:val="endnote reference"/>
    <w:basedOn w:val="DefaultParagraphFont"/>
    <w:uiPriority w:val="99"/>
    <w:semiHidden/>
    <w:rsid w:val="003C68DD"/>
    <w:rPr>
      <w:vertAlign w:val="superscript"/>
    </w:rPr>
  </w:style>
  <w:style w:type="paragraph" w:styleId="EndnoteText">
    <w:name w:val="endnote text"/>
    <w:basedOn w:val="Normal"/>
    <w:link w:val="EndnoteTextChar"/>
    <w:uiPriority w:val="99"/>
    <w:semiHidden/>
    <w:rsid w:val="003C68DD"/>
    <w:rPr>
      <w:sz w:val="20"/>
      <w:szCs w:val="20"/>
    </w:rPr>
  </w:style>
  <w:style w:type="character" w:customStyle="1" w:styleId="EndnoteTextChar">
    <w:name w:val="Endnote Text Char"/>
    <w:basedOn w:val="DefaultParagraphFont"/>
    <w:link w:val="EndnoteText"/>
    <w:uiPriority w:val="99"/>
    <w:semiHidden/>
    <w:rsid w:val="003C68DD"/>
    <w:rPr>
      <w:rFonts w:eastAsiaTheme="minorEastAsia"/>
      <w:sz w:val="20"/>
      <w:szCs w:val="20"/>
      <w:lang w:val="en-GB"/>
    </w:rPr>
  </w:style>
  <w:style w:type="paragraph" w:styleId="EnvelopeAddress">
    <w:name w:val="envelope address"/>
    <w:basedOn w:val="Normal"/>
    <w:uiPriority w:val="99"/>
    <w:semiHidden/>
    <w:rsid w:val="003C68D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3C68DD"/>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3C68DD"/>
    <w:rPr>
      <w:color w:val="7030A0" w:themeColor="followedHyperlink"/>
      <w:u w:val="single"/>
    </w:rPr>
  </w:style>
  <w:style w:type="character" w:styleId="HTMLAcronym">
    <w:name w:val="HTML Acronym"/>
    <w:basedOn w:val="DefaultParagraphFont"/>
    <w:uiPriority w:val="99"/>
    <w:semiHidden/>
    <w:rsid w:val="003C68DD"/>
  </w:style>
  <w:style w:type="paragraph" w:styleId="HTMLAddress">
    <w:name w:val="HTML Address"/>
    <w:basedOn w:val="Normal"/>
    <w:link w:val="HTMLAddressChar"/>
    <w:uiPriority w:val="99"/>
    <w:semiHidden/>
    <w:rsid w:val="003C68DD"/>
    <w:rPr>
      <w:i/>
      <w:iCs/>
    </w:rPr>
  </w:style>
  <w:style w:type="character" w:customStyle="1" w:styleId="HTMLAddressChar">
    <w:name w:val="HTML Address Char"/>
    <w:basedOn w:val="DefaultParagraphFont"/>
    <w:link w:val="HTMLAddress"/>
    <w:uiPriority w:val="99"/>
    <w:semiHidden/>
    <w:rsid w:val="003C68DD"/>
    <w:rPr>
      <w:rFonts w:eastAsiaTheme="minorEastAsia"/>
      <w:i/>
      <w:iCs/>
      <w:sz w:val="24"/>
      <w:lang w:val="en-GB"/>
    </w:rPr>
  </w:style>
  <w:style w:type="character" w:styleId="HTMLCite">
    <w:name w:val="HTML Cite"/>
    <w:basedOn w:val="DefaultParagraphFont"/>
    <w:uiPriority w:val="99"/>
    <w:semiHidden/>
    <w:rsid w:val="003C68DD"/>
    <w:rPr>
      <w:i/>
      <w:iCs/>
    </w:rPr>
  </w:style>
  <w:style w:type="character" w:styleId="HTMLCode">
    <w:name w:val="HTML Code"/>
    <w:basedOn w:val="DefaultParagraphFont"/>
    <w:uiPriority w:val="99"/>
    <w:semiHidden/>
    <w:rsid w:val="003C68DD"/>
    <w:rPr>
      <w:rFonts w:ascii="Consolas" w:hAnsi="Consolas" w:cs="Consolas"/>
      <w:sz w:val="20"/>
      <w:szCs w:val="20"/>
    </w:rPr>
  </w:style>
  <w:style w:type="character" w:styleId="HTMLDefinition">
    <w:name w:val="HTML Definition"/>
    <w:basedOn w:val="DefaultParagraphFont"/>
    <w:uiPriority w:val="99"/>
    <w:semiHidden/>
    <w:rsid w:val="003C68DD"/>
    <w:rPr>
      <w:i/>
      <w:iCs/>
    </w:rPr>
  </w:style>
  <w:style w:type="character" w:styleId="HTMLKeyboard">
    <w:name w:val="HTML Keyboard"/>
    <w:basedOn w:val="DefaultParagraphFont"/>
    <w:uiPriority w:val="99"/>
    <w:semiHidden/>
    <w:rsid w:val="003C68DD"/>
    <w:rPr>
      <w:rFonts w:ascii="Consolas" w:hAnsi="Consolas" w:cs="Consolas"/>
      <w:sz w:val="20"/>
      <w:szCs w:val="20"/>
    </w:rPr>
  </w:style>
  <w:style w:type="paragraph" w:styleId="HTMLPreformatted">
    <w:name w:val="HTML Preformatted"/>
    <w:basedOn w:val="Normal"/>
    <w:link w:val="HTMLPreformattedChar"/>
    <w:uiPriority w:val="99"/>
    <w:semiHidden/>
    <w:rsid w:val="003C68DD"/>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3C68DD"/>
    <w:rPr>
      <w:rFonts w:ascii="Consolas" w:eastAsiaTheme="minorEastAsia" w:hAnsi="Consolas" w:cs="Consolas"/>
      <w:sz w:val="20"/>
      <w:szCs w:val="20"/>
      <w:lang w:val="en-GB"/>
    </w:rPr>
  </w:style>
  <w:style w:type="character" w:styleId="HTMLSample">
    <w:name w:val="HTML Sample"/>
    <w:basedOn w:val="DefaultParagraphFont"/>
    <w:uiPriority w:val="99"/>
    <w:semiHidden/>
    <w:rsid w:val="003C68DD"/>
    <w:rPr>
      <w:rFonts w:ascii="Consolas" w:hAnsi="Consolas" w:cs="Consolas"/>
      <w:sz w:val="24"/>
      <w:szCs w:val="24"/>
    </w:rPr>
  </w:style>
  <w:style w:type="character" w:styleId="HTMLTypewriter">
    <w:name w:val="HTML Typewriter"/>
    <w:basedOn w:val="DefaultParagraphFont"/>
    <w:uiPriority w:val="99"/>
    <w:semiHidden/>
    <w:rsid w:val="003C68DD"/>
    <w:rPr>
      <w:rFonts w:ascii="Consolas" w:hAnsi="Consolas" w:cs="Consolas"/>
      <w:sz w:val="20"/>
      <w:szCs w:val="20"/>
    </w:rPr>
  </w:style>
  <w:style w:type="character" w:styleId="HTMLVariable">
    <w:name w:val="HTML Variable"/>
    <w:basedOn w:val="DefaultParagraphFont"/>
    <w:uiPriority w:val="99"/>
    <w:semiHidden/>
    <w:rsid w:val="003C68DD"/>
    <w:rPr>
      <w:i/>
      <w:iCs/>
    </w:rPr>
  </w:style>
  <w:style w:type="paragraph" w:styleId="Index1">
    <w:name w:val="index 1"/>
    <w:basedOn w:val="Normal"/>
    <w:next w:val="Normal"/>
    <w:autoRedefine/>
    <w:uiPriority w:val="99"/>
    <w:semiHidden/>
    <w:rsid w:val="003C68DD"/>
    <w:pPr>
      <w:ind w:left="240" w:hanging="240"/>
    </w:pPr>
  </w:style>
  <w:style w:type="paragraph" w:styleId="Index2">
    <w:name w:val="index 2"/>
    <w:basedOn w:val="Normal"/>
    <w:next w:val="Normal"/>
    <w:autoRedefine/>
    <w:uiPriority w:val="99"/>
    <w:semiHidden/>
    <w:rsid w:val="003C68DD"/>
    <w:pPr>
      <w:ind w:left="480" w:hanging="240"/>
    </w:pPr>
  </w:style>
  <w:style w:type="paragraph" w:styleId="Index3">
    <w:name w:val="index 3"/>
    <w:basedOn w:val="Normal"/>
    <w:next w:val="Normal"/>
    <w:autoRedefine/>
    <w:uiPriority w:val="99"/>
    <w:semiHidden/>
    <w:rsid w:val="003C68DD"/>
    <w:pPr>
      <w:ind w:left="720" w:hanging="240"/>
    </w:pPr>
  </w:style>
  <w:style w:type="paragraph" w:styleId="Index4">
    <w:name w:val="index 4"/>
    <w:basedOn w:val="Normal"/>
    <w:next w:val="Normal"/>
    <w:autoRedefine/>
    <w:uiPriority w:val="99"/>
    <w:semiHidden/>
    <w:rsid w:val="003C68DD"/>
    <w:pPr>
      <w:ind w:left="960" w:hanging="240"/>
    </w:pPr>
  </w:style>
  <w:style w:type="paragraph" w:styleId="Index5">
    <w:name w:val="index 5"/>
    <w:basedOn w:val="Normal"/>
    <w:next w:val="Normal"/>
    <w:autoRedefine/>
    <w:uiPriority w:val="99"/>
    <w:semiHidden/>
    <w:rsid w:val="003C68DD"/>
    <w:pPr>
      <w:ind w:left="1200" w:hanging="240"/>
    </w:pPr>
  </w:style>
  <w:style w:type="paragraph" w:styleId="Index6">
    <w:name w:val="index 6"/>
    <w:basedOn w:val="Normal"/>
    <w:next w:val="Normal"/>
    <w:autoRedefine/>
    <w:uiPriority w:val="99"/>
    <w:semiHidden/>
    <w:rsid w:val="003C68DD"/>
    <w:pPr>
      <w:ind w:left="1440" w:hanging="240"/>
    </w:pPr>
  </w:style>
  <w:style w:type="paragraph" w:styleId="Index7">
    <w:name w:val="index 7"/>
    <w:basedOn w:val="Normal"/>
    <w:next w:val="Normal"/>
    <w:autoRedefine/>
    <w:uiPriority w:val="99"/>
    <w:semiHidden/>
    <w:rsid w:val="003C68DD"/>
    <w:pPr>
      <w:ind w:left="1680" w:hanging="240"/>
    </w:pPr>
  </w:style>
  <w:style w:type="paragraph" w:styleId="Index8">
    <w:name w:val="index 8"/>
    <w:basedOn w:val="Normal"/>
    <w:next w:val="Normal"/>
    <w:autoRedefine/>
    <w:uiPriority w:val="99"/>
    <w:semiHidden/>
    <w:rsid w:val="003C68DD"/>
    <w:pPr>
      <w:ind w:left="1920" w:hanging="240"/>
    </w:pPr>
  </w:style>
  <w:style w:type="paragraph" w:styleId="Index9">
    <w:name w:val="index 9"/>
    <w:basedOn w:val="Normal"/>
    <w:next w:val="Normal"/>
    <w:autoRedefine/>
    <w:uiPriority w:val="99"/>
    <w:semiHidden/>
    <w:rsid w:val="003C68DD"/>
    <w:pPr>
      <w:ind w:left="2160" w:hanging="240"/>
    </w:pPr>
  </w:style>
  <w:style w:type="paragraph" w:styleId="IndexHeading">
    <w:name w:val="index heading"/>
    <w:basedOn w:val="Normal"/>
    <w:next w:val="Index1"/>
    <w:uiPriority w:val="99"/>
    <w:semiHidden/>
    <w:rsid w:val="003C68DD"/>
    <w:rPr>
      <w:rFonts w:asciiTheme="majorHAnsi" w:eastAsiaTheme="majorEastAsia" w:hAnsiTheme="majorHAnsi" w:cstheme="majorBidi"/>
      <w:b/>
      <w:bCs/>
    </w:rPr>
  </w:style>
  <w:style w:type="table" w:styleId="LightGrid">
    <w:name w:val="Light Grid"/>
    <w:basedOn w:val="TableNormal"/>
    <w:uiPriority w:val="62"/>
    <w:semiHidden/>
    <w:rsid w:val="003C68D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3C68D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3C68D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3C68D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3C68D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3C68D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3C68D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3C68D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3C68D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3C68D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3C68D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3C68D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3C68D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3C68D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3C68D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3C68D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3C68D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3C68D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3C68D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3C68D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3C68D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3C68DD"/>
  </w:style>
  <w:style w:type="paragraph" w:styleId="List">
    <w:name w:val="List"/>
    <w:basedOn w:val="Normal"/>
    <w:uiPriority w:val="99"/>
    <w:semiHidden/>
    <w:rsid w:val="003C68DD"/>
    <w:pPr>
      <w:ind w:left="283" w:hanging="283"/>
      <w:contextualSpacing/>
    </w:pPr>
  </w:style>
  <w:style w:type="paragraph" w:styleId="List2">
    <w:name w:val="List 2"/>
    <w:basedOn w:val="Normal"/>
    <w:uiPriority w:val="99"/>
    <w:semiHidden/>
    <w:rsid w:val="003C68DD"/>
    <w:pPr>
      <w:ind w:left="566" w:hanging="283"/>
      <w:contextualSpacing/>
    </w:pPr>
  </w:style>
  <w:style w:type="paragraph" w:styleId="List3">
    <w:name w:val="List 3"/>
    <w:basedOn w:val="Normal"/>
    <w:uiPriority w:val="99"/>
    <w:semiHidden/>
    <w:rsid w:val="003C68DD"/>
    <w:pPr>
      <w:ind w:left="849" w:hanging="283"/>
      <w:contextualSpacing/>
    </w:pPr>
  </w:style>
  <w:style w:type="paragraph" w:styleId="List4">
    <w:name w:val="List 4"/>
    <w:basedOn w:val="Normal"/>
    <w:uiPriority w:val="99"/>
    <w:semiHidden/>
    <w:rsid w:val="003C68DD"/>
    <w:pPr>
      <w:ind w:left="1132" w:hanging="283"/>
      <w:contextualSpacing/>
    </w:pPr>
  </w:style>
  <w:style w:type="paragraph" w:styleId="List5">
    <w:name w:val="List 5"/>
    <w:basedOn w:val="Normal"/>
    <w:uiPriority w:val="99"/>
    <w:semiHidden/>
    <w:rsid w:val="003C68DD"/>
    <w:pPr>
      <w:ind w:left="1415" w:hanging="283"/>
      <w:contextualSpacing/>
    </w:pPr>
  </w:style>
  <w:style w:type="paragraph" w:styleId="ListBullet2">
    <w:name w:val="List Bullet 2"/>
    <w:basedOn w:val="Normal"/>
    <w:uiPriority w:val="99"/>
    <w:semiHidden/>
    <w:rsid w:val="003C68DD"/>
    <w:pPr>
      <w:numPr>
        <w:numId w:val="13"/>
      </w:numPr>
      <w:contextualSpacing/>
    </w:pPr>
  </w:style>
  <w:style w:type="paragraph" w:styleId="ListBullet4">
    <w:name w:val="List Bullet 4"/>
    <w:basedOn w:val="Normal"/>
    <w:uiPriority w:val="99"/>
    <w:semiHidden/>
    <w:rsid w:val="003C68DD"/>
    <w:pPr>
      <w:numPr>
        <w:numId w:val="15"/>
      </w:numPr>
      <w:contextualSpacing/>
    </w:pPr>
  </w:style>
  <w:style w:type="paragraph" w:styleId="ListBullet5">
    <w:name w:val="List Bullet 5"/>
    <w:basedOn w:val="Normal"/>
    <w:uiPriority w:val="99"/>
    <w:semiHidden/>
    <w:rsid w:val="003C68DD"/>
    <w:pPr>
      <w:numPr>
        <w:numId w:val="16"/>
      </w:numPr>
      <w:contextualSpacing/>
    </w:pPr>
  </w:style>
  <w:style w:type="paragraph" w:styleId="ListContinue">
    <w:name w:val="List Continue"/>
    <w:basedOn w:val="Normal"/>
    <w:uiPriority w:val="99"/>
    <w:semiHidden/>
    <w:rsid w:val="003C68DD"/>
    <w:pPr>
      <w:spacing w:after="120"/>
      <w:ind w:left="283"/>
      <w:contextualSpacing/>
    </w:pPr>
  </w:style>
  <w:style w:type="paragraph" w:styleId="ListContinue2">
    <w:name w:val="List Continue 2"/>
    <w:basedOn w:val="Normal"/>
    <w:uiPriority w:val="99"/>
    <w:semiHidden/>
    <w:rsid w:val="003C68DD"/>
    <w:pPr>
      <w:spacing w:after="120"/>
      <w:ind w:left="566"/>
      <w:contextualSpacing/>
    </w:pPr>
  </w:style>
  <w:style w:type="paragraph" w:styleId="ListContinue3">
    <w:name w:val="List Continue 3"/>
    <w:basedOn w:val="Normal"/>
    <w:uiPriority w:val="99"/>
    <w:semiHidden/>
    <w:rsid w:val="003C68DD"/>
    <w:pPr>
      <w:spacing w:after="120"/>
      <w:ind w:left="849"/>
      <w:contextualSpacing/>
    </w:pPr>
  </w:style>
  <w:style w:type="paragraph" w:styleId="ListContinue4">
    <w:name w:val="List Continue 4"/>
    <w:basedOn w:val="Normal"/>
    <w:uiPriority w:val="99"/>
    <w:semiHidden/>
    <w:rsid w:val="003C68DD"/>
    <w:pPr>
      <w:spacing w:after="120"/>
      <w:ind w:left="1132"/>
      <w:contextualSpacing/>
    </w:pPr>
  </w:style>
  <w:style w:type="paragraph" w:styleId="ListContinue5">
    <w:name w:val="List Continue 5"/>
    <w:basedOn w:val="Normal"/>
    <w:uiPriority w:val="99"/>
    <w:semiHidden/>
    <w:rsid w:val="003C68DD"/>
    <w:pPr>
      <w:spacing w:after="120"/>
      <w:ind w:left="1415"/>
      <w:contextualSpacing/>
    </w:pPr>
  </w:style>
  <w:style w:type="paragraph" w:styleId="ListNumber">
    <w:name w:val="List Number"/>
    <w:basedOn w:val="Normal"/>
    <w:uiPriority w:val="99"/>
    <w:semiHidden/>
    <w:rsid w:val="003C68DD"/>
    <w:pPr>
      <w:numPr>
        <w:numId w:val="17"/>
      </w:numPr>
      <w:contextualSpacing/>
    </w:pPr>
  </w:style>
  <w:style w:type="paragraph" w:styleId="ListNumber2">
    <w:name w:val="List Number 2"/>
    <w:basedOn w:val="Normal"/>
    <w:uiPriority w:val="99"/>
    <w:semiHidden/>
    <w:rsid w:val="003C68DD"/>
    <w:pPr>
      <w:numPr>
        <w:numId w:val="18"/>
      </w:numPr>
      <w:contextualSpacing/>
    </w:pPr>
  </w:style>
  <w:style w:type="paragraph" w:styleId="ListNumber3">
    <w:name w:val="List Number 3"/>
    <w:basedOn w:val="Normal"/>
    <w:uiPriority w:val="99"/>
    <w:semiHidden/>
    <w:rsid w:val="003C68DD"/>
    <w:pPr>
      <w:numPr>
        <w:numId w:val="19"/>
      </w:numPr>
      <w:contextualSpacing/>
    </w:pPr>
  </w:style>
  <w:style w:type="paragraph" w:styleId="ListNumber4">
    <w:name w:val="List Number 4"/>
    <w:basedOn w:val="Normal"/>
    <w:uiPriority w:val="99"/>
    <w:semiHidden/>
    <w:rsid w:val="003C68DD"/>
    <w:pPr>
      <w:numPr>
        <w:numId w:val="20"/>
      </w:numPr>
      <w:contextualSpacing/>
    </w:pPr>
  </w:style>
  <w:style w:type="paragraph" w:styleId="ListNumber5">
    <w:name w:val="List Number 5"/>
    <w:basedOn w:val="Normal"/>
    <w:uiPriority w:val="99"/>
    <w:semiHidden/>
    <w:rsid w:val="003C68DD"/>
    <w:pPr>
      <w:numPr>
        <w:numId w:val="21"/>
      </w:numPr>
      <w:contextualSpacing/>
    </w:pPr>
  </w:style>
  <w:style w:type="paragraph" w:styleId="MacroText">
    <w:name w:val="macro"/>
    <w:link w:val="MacroTextChar"/>
    <w:uiPriority w:val="99"/>
    <w:semiHidden/>
    <w:rsid w:val="003C68D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3C68DD"/>
    <w:rPr>
      <w:rFonts w:ascii="Consolas" w:eastAsiaTheme="minorEastAsia" w:hAnsi="Consolas" w:cs="Consolas"/>
      <w:sz w:val="20"/>
      <w:szCs w:val="20"/>
    </w:rPr>
  </w:style>
  <w:style w:type="table" w:styleId="MediumGrid1">
    <w:name w:val="Medium Grid 1"/>
    <w:basedOn w:val="TableNormal"/>
    <w:uiPriority w:val="67"/>
    <w:semiHidden/>
    <w:rsid w:val="003C68D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3C68D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3C68D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3C68D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3C68D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3C68D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3C68D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3C68D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3C68D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3C68D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3C68D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3C68D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3C68D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3C68D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3C68D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3C68D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3C68D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3C68D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3C68D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3C68D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3C68D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3C68D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3C68D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3C68D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3C68D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3C68D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3C68D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3C68D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3C68D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3C68D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3C68D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3C68D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3C68D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3C68D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3C68D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3C68D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3C68D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3C68D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3C68D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3C68D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3C68D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3C68D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3C68D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3C68D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3C68D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3C68D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3C68D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3C68D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3C68D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3C68D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3C68DD"/>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3C68DD"/>
    <w:rPr>
      <w:rFonts w:ascii="Times New Roman" w:hAnsi="Times New Roman" w:cs="Times New Roman"/>
      <w:szCs w:val="24"/>
    </w:rPr>
  </w:style>
  <w:style w:type="paragraph" w:styleId="NormalIndent">
    <w:name w:val="Normal Indent"/>
    <w:basedOn w:val="Normal"/>
    <w:uiPriority w:val="99"/>
    <w:semiHidden/>
    <w:rsid w:val="003C68DD"/>
    <w:pPr>
      <w:ind w:left="720"/>
    </w:pPr>
  </w:style>
  <w:style w:type="paragraph" w:styleId="NoteHeading">
    <w:name w:val="Note Heading"/>
    <w:basedOn w:val="Normal"/>
    <w:next w:val="Normal"/>
    <w:link w:val="NoteHeadingChar"/>
    <w:uiPriority w:val="99"/>
    <w:semiHidden/>
    <w:rsid w:val="003C68DD"/>
  </w:style>
  <w:style w:type="character" w:customStyle="1" w:styleId="NoteHeadingChar">
    <w:name w:val="Note Heading Char"/>
    <w:basedOn w:val="DefaultParagraphFont"/>
    <w:link w:val="NoteHeading"/>
    <w:uiPriority w:val="99"/>
    <w:semiHidden/>
    <w:rsid w:val="003C68DD"/>
    <w:rPr>
      <w:rFonts w:eastAsiaTheme="minorEastAsia"/>
      <w:sz w:val="24"/>
      <w:lang w:val="en-GB"/>
    </w:rPr>
  </w:style>
  <w:style w:type="character" w:styleId="PlaceholderText">
    <w:name w:val="Placeholder Text"/>
    <w:basedOn w:val="DefaultParagraphFont"/>
    <w:uiPriority w:val="99"/>
    <w:semiHidden/>
    <w:rsid w:val="003C68DD"/>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3C68DD"/>
    <w:rPr>
      <w:rFonts w:ascii="Consolas" w:hAnsi="Consolas" w:cs="Consolas"/>
      <w:sz w:val="21"/>
      <w:szCs w:val="21"/>
    </w:rPr>
  </w:style>
  <w:style w:type="character" w:customStyle="1" w:styleId="PlainTextChar">
    <w:name w:val="Plain Text Char"/>
    <w:basedOn w:val="DefaultParagraphFont"/>
    <w:link w:val="PlainText"/>
    <w:uiPriority w:val="99"/>
    <w:semiHidden/>
    <w:rsid w:val="003C68DD"/>
    <w:rPr>
      <w:rFonts w:ascii="Consolas" w:eastAsiaTheme="minorEastAsia" w:hAnsi="Consolas" w:cs="Consolas"/>
      <w:sz w:val="21"/>
      <w:szCs w:val="21"/>
      <w:lang w:val="en-GB"/>
    </w:rPr>
  </w:style>
  <w:style w:type="paragraph" w:styleId="Salutation">
    <w:name w:val="Salutation"/>
    <w:basedOn w:val="Normal"/>
    <w:next w:val="Normal"/>
    <w:link w:val="SalutationChar"/>
    <w:uiPriority w:val="99"/>
    <w:semiHidden/>
    <w:rsid w:val="003C68DD"/>
  </w:style>
  <w:style w:type="character" w:customStyle="1" w:styleId="SalutationChar">
    <w:name w:val="Salutation Char"/>
    <w:basedOn w:val="DefaultParagraphFont"/>
    <w:link w:val="Salutation"/>
    <w:uiPriority w:val="99"/>
    <w:semiHidden/>
    <w:rsid w:val="003C68DD"/>
    <w:rPr>
      <w:rFonts w:eastAsiaTheme="minorEastAsia"/>
      <w:sz w:val="24"/>
      <w:lang w:val="en-GB"/>
    </w:rPr>
  </w:style>
  <w:style w:type="paragraph" w:styleId="Signature">
    <w:name w:val="Signature"/>
    <w:basedOn w:val="Normal"/>
    <w:link w:val="SignatureChar"/>
    <w:uiPriority w:val="99"/>
    <w:semiHidden/>
    <w:rsid w:val="003C68DD"/>
    <w:pPr>
      <w:ind w:left="4252"/>
    </w:pPr>
  </w:style>
  <w:style w:type="character" w:customStyle="1" w:styleId="SignatureChar">
    <w:name w:val="Signature Char"/>
    <w:basedOn w:val="DefaultParagraphFont"/>
    <w:link w:val="Signature"/>
    <w:uiPriority w:val="99"/>
    <w:semiHidden/>
    <w:rsid w:val="003C68DD"/>
    <w:rPr>
      <w:rFonts w:eastAsiaTheme="minorEastAsia"/>
      <w:sz w:val="24"/>
      <w:lang w:val="en-GB"/>
    </w:rPr>
  </w:style>
  <w:style w:type="table" w:styleId="Table3Deffects1">
    <w:name w:val="Table 3D effects 1"/>
    <w:basedOn w:val="TableNormal"/>
    <w:uiPriority w:val="99"/>
    <w:semiHidden/>
    <w:unhideWhenUsed/>
    <w:rsid w:val="003C68D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3C68D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3C68D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3C68D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3C68D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3C68D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3C68D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3C68D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3C68D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3C68D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3C68D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3C68D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3C68D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3C68D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3C68D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3C68D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3C68D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3C68D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3C68D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3C68D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3C68D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3C68D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3C68D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3C68D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3C68D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3C68D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3C68D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3C68D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3C68D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3C68D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3C68D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3C68D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3C68D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3C68DD"/>
    <w:pPr>
      <w:ind w:left="240" w:hanging="240"/>
    </w:pPr>
  </w:style>
  <w:style w:type="paragraph" w:styleId="TableofFigures">
    <w:name w:val="table of figures"/>
    <w:basedOn w:val="Normal"/>
    <w:next w:val="Normal"/>
    <w:uiPriority w:val="99"/>
    <w:semiHidden/>
    <w:rsid w:val="003C68DD"/>
  </w:style>
  <w:style w:type="table" w:styleId="TableProfessional">
    <w:name w:val="Table Professional"/>
    <w:basedOn w:val="TableNormal"/>
    <w:uiPriority w:val="99"/>
    <w:semiHidden/>
    <w:unhideWhenUsed/>
    <w:rsid w:val="003C68D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3C68D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3C68D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3C68D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3C68D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3C68D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3C68D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3C68D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3C68D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3C68D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3C68DD"/>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3C68DD"/>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3C68DD"/>
    <w:pPr>
      <w:spacing w:after="100"/>
      <w:ind w:left="1680"/>
    </w:pPr>
  </w:style>
  <w:style w:type="paragraph" w:styleId="TOC9">
    <w:name w:val="toc 9"/>
    <w:basedOn w:val="Normal"/>
    <w:next w:val="Normal"/>
    <w:autoRedefine/>
    <w:uiPriority w:val="99"/>
    <w:semiHidden/>
    <w:rsid w:val="003C68DD"/>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FooterLine">
    <w:name w:val="_Footer_Line"/>
    <w:aliases w:val="Footer_Line"/>
    <w:basedOn w:val="Normal"/>
    <w:next w:val="Footer"/>
    <w:uiPriority w:val="57"/>
    <w:semiHidden/>
    <w:rsid w:val="003C68DD"/>
    <w:pPr>
      <w:pBdr>
        <w:top w:val="single" w:sz="6" w:space="1" w:color="5F5F5F"/>
      </w:pBdr>
      <w:tabs>
        <w:tab w:val="center" w:pos="4536"/>
        <w:tab w:val="right" w:pos="9696"/>
      </w:tabs>
      <w:ind w:left="-680" w:right="-680"/>
    </w:pPr>
    <w:rPr>
      <w:color w:val="5F5F5F"/>
    </w:rPr>
  </w:style>
  <w:style w:type="paragraph" w:customStyle="1" w:styleId="DecHCase">
    <w:name w:val="Dec_H_Case"/>
    <w:aliases w:val="_Title_3"/>
    <w:basedOn w:val="JuPara"/>
    <w:next w:val="JuPara"/>
    <w:uiPriority w:val="35"/>
    <w:qFormat/>
    <w:rsid w:val="003C68DD"/>
    <w:pPr>
      <w:keepNext/>
      <w:keepLines/>
      <w:spacing w:after="280"/>
      <w:ind w:firstLine="0"/>
      <w:jc w:val="center"/>
    </w:pPr>
    <w:rPr>
      <w:rFonts w:asciiTheme="majorHAnsi" w:hAnsiTheme="majorHAnsi"/>
    </w:rPr>
  </w:style>
  <w:style w:type="paragraph" w:customStyle="1" w:styleId="JuHeaderLandscape">
    <w:name w:val="Ju_Header_Landscape"/>
    <w:aliases w:val="_Header_Landscape"/>
    <w:basedOn w:val="JuHeader"/>
    <w:uiPriority w:val="30"/>
    <w:qFormat/>
    <w:rsid w:val="003C68DD"/>
    <w:pPr>
      <w:tabs>
        <w:tab w:val="clear" w:pos="3686"/>
        <w:tab w:val="clear" w:pos="7371"/>
        <w:tab w:val="center" w:pos="6146"/>
        <w:tab w:val="right" w:pos="12293"/>
      </w:tabs>
    </w:pPr>
  </w:style>
  <w:style w:type="paragraph" w:customStyle="1" w:styleId="JuTitle">
    <w:name w:val="Ju_Title"/>
    <w:aliases w:val="_Title_2"/>
    <w:basedOn w:val="Normal"/>
    <w:next w:val="JuPara"/>
    <w:uiPriority w:val="35"/>
    <w:qFormat/>
    <w:rsid w:val="003C68DD"/>
    <w:pPr>
      <w:keepNext/>
      <w:keepLines/>
      <w:spacing w:before="1320" w:after="280"/>
      <w:contextualSpacing/>
      <w:jc w:val="center"/>
    </w:pPr>
    <w:rPr>
      <w:rFonts w:eastAsiaTheme="minorHAnsi"/>
      <w:b/>
    </w:rPr>
  </w:style>
  <w:style w:type="character" w:customStyle="1" w:styleId="JuParaChar">
    <w:name w:val="Ju_Para Char"/>
    <w:aliases w:val="_Para Char"/>
    <w:link w:val="JuPara"/>
    <w:uiPriority w:val="8"/>
    <w:rsid w:val="00F860A3"/>
    <w:rPr>
      <w:rFonts w:eastAsiaTheme="minorEastAsia"/>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CD42D1-CF9B-4A81-BB73-5537E262F784}"/>
</file>

<file path=customXml/itemProps2.xml><?xml version="1.0" encoding="utf-8"?>
<ds:datastoreItem xmlns:ds="http://schemas.openxmlformats.org/officeDocument/2006/customXml" ds:itemID="{A79DD005-588C-41DB-AA2E-8EC2D9452401}"/>
</file>

<file path=customXml/itemProps3.xml><?xml version="1.0" encoding="utf-8"?>
<ds:datastoreItem xmlns:ds="http://schemas.openxmlformats.org/officeDocument/2006/customXml" ds:itemID="{C7C80620-E8C3-458E-B015-BAC9EBFFBD57}"/>
</file>

<file path=customXml/itemProps4.xml><?xml version="1.0" encoding="utf-8"?>
<ds:datastoreItem xmlns:ds="http://schemas.openxmlformats.org/officeDocument/2006/customXml" ds:itemID="{0138653E-1B78-49A6-9F28-AB8A6CD4AC44}"/>
</file>

<file path=docProps/app.xml><?xml version="1.0" encoding="utf-8"?>
<Properties xmlns="http://schemas.openxmlformats.org/officeDocument/2006/extended-properties" xmlns:vt="http://schemas.openxmlformats.org/officeDocument/2006/docPropsVTypes">
  <Template>Normal.dotm</Template>
  <TotalTime>0</TotalTime>
  <Pages>1</Pages>
  <Words>1554</Words>
  <Characters>8864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Judgment</vt:lpstr>
    </vt:vector>
  </TitlesOfParts>
  <Manager/>
  <Company/>
  <LinksUpToDate>false</LinksUpToDate>
  <CharactersWithSpaces>10398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2019-09-24T07:50:00Z</dcterms:created>
  <dcterms:modified xsi:type="dcterms:W3CDTF">2019-09-24T07:50:00Z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45852/17</vt:lpwstr>
  </property>
  <property fmtid="{D5CDD505-2E9C-101B-9397-08002B2CF9AE}" pid="4" name="CASEID">
    <vt:lpwstr>1319109</vt:lpwstr>
  </property>
  <property fmtid="{D5CDD505-2E9C-101B-9397-08002B2CF9AE}" pid="5" name="ContentTypeId">
    <vt:lpwstr>0x010100558EB02BDB9E204AB350EDD385B68E10</vt:lpwstr>
  </property>
</Properties>
</file>