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1176B" w:rsidR="00787E12" w:rsidP="0071176B" w:rsidRDefault="00BE1991">
      <w:pPr>
        <w:jc w:val="center"/>
      </w:pPr>
      <w:bookmarkStart w:name="_GoBack" w:id="0"/>
      <w:bookmarkEnd w:id="0"/>
    </w:p>
    <w:p w:rsidRPr="0071176B" w:rsidR="00850C4F" w:rsidP="0071176B" w:rsidRDefault="00850C4F">
      <w:pPr>
        <w:jc w:val="center"/>
      </w:pPr>
    </w:p>
    <w:p w:rsidRPr="0071176B" w:rsidR="00850C4F" w:rsidP="0071176B" w:rsidRDefault="00850C4F">
      <w:pPr>
        <w:jc w:val="center"/>
      </w:pPr>
    </w:p>
    <w:p w:rsidRPr="0071176B" w:rsidR="00787E12" w:rsidP="0071176B" w:rsidRDefault="00BE1991">
      <w:pPr>
        <w:jc w:val="center"/>
      </w:pPr>
    </w:p>
    <w:p w:rsidRPr="0071176B" w:rsidR="00787E12" w:rsidP="0071176B" w:rsidRDefault="00613D4A">
      <w:pPr>
        <w:pStyle w:val="DecHCase"/>
      </w:pPr>
      <w:r w:rsidRPr="0071176B">
        <w:t>FOURTH SECTION</w:t>
      </w:r>
    </w:p>
    <w:p w:rsidRPr="0071176B" w:rsidR="00787E12" w:rsidP="0071176B" w:rsidRDefault="0048584C">
      <w:pPr>
        <w:pStyle w:val="JuTitle"/>
        <w:spacing w:before="1560"/>
      </w:pPr>
      <w:r w:rsidRPr="0071176B">
        <w:t xml:space="preserve">CASE OF </w:t>
      </w:r>
      <w:r w:rsidRPr="0071176B" w:rsidR="00613D4A">
        <w:t>KÁLOVICS v. HUNGARY</w:t>
      </w:r>
    </w:p>
    <w:p w:rsidRPr="0071176B" w:rsidR="00787E12" w:rsidP="0071176B" w:rsidRDefault="0048584C">
      <w:pPr>
        <w:jc w:val="center"/>
        <w:rPr>
          <w:i/>
        </w:rPr>
      </w:pPr>
      <w:r w:rsidRPr="0071176B">
        <w:rPr>
          <w:i/>
        </w:rPr>
        <w:t>(</w:t>
      </w:r>
      <w:r w:rsidRPr="0071176B" w:rsidR="00613D4A">
        <w:rPr>
          <w:i/>
        </w:rPr>
        <w:t>Application no. 46030/18</w:t>
      </w:r>
      <w:r w:rsidRPr="0071176B">
        <w:rPr>
          <w:i/>
        </w:rPr>
        <w:t>)</w:t>
      </w:r>
    </w:p>
    <w:p w:rsidRPr="0071176B" w:rsidR="00787E12" w:rsidP="0071176B" w:rsidRDefault="00BE1991">
      <w:pPr>
        <w:pStyle w:val="DecHCase"/>
        <w:rPr>
          <w:i/>
        </w:rPr>
      </w:pPr>
    </w:p>
    <w:p w:rsidRPr="0071176B" w:rsidR="00787E12" w:rsidP="0071176B" w:rsidRDefault="00BE1991">
      <w:pPr>
        <w:pStyle w:val="DecHCase"/>
      </w:pPr>
    </w:p>
    <w:p w:rsidRPr="0071176B" w:rsidR="00787E12" w:rsidP="0071176B" w:rsidRDefault="00BE1991">
      <w:pPr>
        <w:pStyle w:val="DecHCase"/>
      </w:pPr>
    </w:p>
    <w:p w:rsidRPr="0071176B" w:rsidR="00787E12" w:rsidP="0071176B" w:rsidRDefault="00BE1991">
      <w:pPr>
        <w:pStyle w:val="DecHCase"/>
      </w:pPr>
    </w:p>
    <w:p w:rsidRPr="0071176B" w:rsidR="00A062B9" w:rsidP="0071176B" w:rsidRDefault="00BE1991">
      <w:pPr>
        <w:pStyle w:val="DecHCase"/>
      </w:pPr>
    </w:p>
    <w:p w:rsidRPr="0071176B" w:rsidR="00787E12" w:rsidP="0071176B" w:rsidRDefault="0048584C">
      <w:pPr>
        <w:pStyle w:val="DecHCase"/>
      </w:pPr>
      <w:r w:rsidRPr="0071176B">
        <w:t>JUDGMENT</w:t>
      </w:r>
    </w:p>
    <w:p w:rsidRPr="0071176B" w:rsidR="00787E12" w:rsidP="0071176B" w:rsidRDefault="00BE1991">
      <w:pPr>
        <w:jc w:val="center"/>
        <w:rPr>
          <w:i/>
        </w:rPr>
      </w:pPr>
    </w:p>
    <w:p w:rsidRPr="0071176B" w:rsidR="00787E12" w:rsidP="0071176B" w:rsidRDefault="0048584C">
      <w:pPr>
        <w:pStyle w:val="DecHCase"/>
      </w:pPr>
      <w:r w:rsidRPr="0071176B">
        <w:t>STRASBOURG</w:t>
      </w:r>
    </w:p>
    <w:p w:rsidRPr="0071176B" w:rsidR="00787E12" w:rsidP="0071176B" w:rsidRDefault="00613D4A">
      <w:pPr>
        <w:pStyle w:val="DecHCase"/>
      </w:pPr>
      <w:r w:rsidRPr="0071176B">
        <w:t>19 September 2019</w:t>
      </w:r>
    </w:p>
    <w:p w:rsidRPr="0071176B" w:rsidR="00787E12" w:rsidP="0071176B" w:rsidRDefault="00BE1991">
      <w:pPr>
        <w:jc w:val="center"/>
      </w:pPr>
    </w:p>
    <w:p w:rsidRPr="0071176B" w:rsidR="00996B52" w:rsidP="0071176B" w:rsidRDefault="00996B52">
      <w:pPr>
        <w:jc w:val="center"/>
      </w:pPr>
    </w:p>
    <w:p w:rsidRPr="0071176B" w:rsidR="00996B52" w:rsidP="0071176B" w:rsidRDefault="00996B52">
      <w:pPr>
        <w:jc w:val="center"/>
      </w:pPr>
    </w:p>
    <w:p w:rsidRPr="0071176B" w:rsidR="00787E12" w:rsidP="0071176B" w:rsidRDefault="0048584C">
      <w:pPr>
        <w:jc w:val="center"/>
        <w:rPr>
          <w:sz w:val="2"/>
          <w:szCs w:val="2"/>
        </w:rPr>
      </w:pPr>
      <w:r w:rsidRPr="0071176B">
        <w:rPr>
          <w:i/>
        </w:rPr>
        <w:t>This judgment is final but it may be subject to editorial revision.</w:t>
      </w:r>
    </w:p>
    <w:p w:rsidRPr="0071176B" w:rsidR="00787E12" w:rsidP="0071176B" w:rsidRDefault="00BE1991">
      <w:pPr>
        <w:pStyle w:val="JuCase"/>
      </w:pPr>
    </w:p>
    <w:p w:rsidRPr="0071176B" w:rsidR="00036534" w:rsidP="0071176B" w:rsidRDefault="00036534">
      <w:pPr>
        <w:pStyle w:val="JuPara"/>
        <w:sectPr w:rsidRPr="0071176B" w:rsidR="00036534"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71176B" w:rsidR="00787E12" w:rsidP="0071176B" w:rsidRDefault="0048584C">
      <w:pPr>
        <w:pStyle w:val="JuCase"/>
        <w:rPr>
          <w:bCs/>
        </w:rPr>
      </w:pPr>
      <w:r w:rsidRPr="0071176B">
        <w:t xml:space="preserve">In the case of </w:t>
      </w:r>
      <w:proofErr w:type="spellStart"/>
      <w:r w:rsidRPr="0071176B" w:rsidR="00613D4A">
        <w:t>Kálovics</w:t>
      </w:r>
      <w:proofErr w:type="spellEnd"/>
      <w:r w:rsidRPr="0071176B" w:rsidR="00613D4A">
        <w:t xml:space="preserve"> v. Hungary</w:t>
      </w:r>
      <w:r w:rsidRPr="0071176B">
        <w:t>,</w:t>
      </w:r>
    </w:p>
    <w:p w:rsidRPr="0071176B" w:rsidR="00787E12" w:rsidP="0071176B" w:rsidRDefault="0048584C">
      <w:pPr>
        <w:pStyle w:val="JuPara"/>
      </w:pPr>
      <w:r w:rsidRPr="0071176B">
        <w:t>The European Court of Human Rights (</w:t>
      </w:r>
      <w:r w:rsidRPr="0071176B" w:rsidR="00613D4A">
        <w:t>Fourth Section</w:t>
      </w:r>
      <w:r w:rsidRPr="0071176B">
        <w:t>), sitting as a Committee composed of:</w:t>
      </w:r>
    </w:p>
    <w:p w:rsidRPr="0071176B" w:rsidR="00787E12" w:rsidP="0071176B" w:rsidRDefault="0015690F">
      <w:pPr>
        <w:pStyle w:val="JuJudges"/>
      </w:pPr>
      <w:r w:rsidRPr="0071176B">
        <w:tab/>
        <w:t xml:space="preserve">Stéphanie </w:t>
      </w:r>
      <w:proofErr w:type="spellStart"/>
      <w:r w:rsidRPr="0071176B">
        <w:t>Mourou-Vikström</w:t>
      </w:r>
      <w:proofErr w:type="spellEnd"/>
      <w:r w:rsidRPr="0071176B">
        <w:t>,</w:t>
      </w:r>
      <w:r w:rsidRPr="0071176B">
        <w:rPr>
          <w:i/>
        </w:rPr>
        <w:t xml:space="preserve"> President,</w:t>
      </w:r>
      <w:r w:rsidRPr="0071176B">
        <w:rPr>
          <w:i/>
        </w:rPr>
        <w:br/>
      </w:r>
      <w:r w:rsidRPr="0071176B">
        <w:tab/>
        <w:t xml:space="preserve">Georges </w:t>
      </w:r>
      <w:proofErr w:type="spellStart"/>
      <w:r w:rsidRPr="0071176B">
        <w:t>Ravarani</w:t>
      </w:r>
      <w:proofErr w:type="spellEnd"/>
      <w:r w:rsidRPr="0071176B">
        <w:t>,</w:t>
      </w:r>
      <w:r w:rsidRPr="0071176B">
        <w:rPr>
          <w:i/>
        </w:rPr>
        <w:br/>
      </w:r>
      <w:r w:rsidRPr="0071176B">
        <w:tab/>
      </w:r>
      <w:proofErr w:type="spellStart"/>
      <w:r w:rsidRPr="0071176B">
        <w:t>Jolien</w:t>
      </w:r>
      <w:proofErr w:type="spellEnd"/>
      <w:r w:rsidRPr="0071176B">
        <w:t xml:space="preserve"> </w:t>
      </w:r>
      <w:proofErr w:type="spellStart"/>
      <w:r w:rsidRPr="0071176B">
        <w:t>Schukking</w:t>
      </w:r>
      <w:proofErr w:type="spellEnd"/>
      <w:r w:rsidRPr="0071176B">
        <w:t>,</w:t>
      </w:r>
      <w:r w:rsidRPr="0071176B">
        <w:rPr>
          <w:i/>
        </w:rPr>
        <w:t xml:space="preserve"> judges,</w:t>
      </w:r>
      <w:r w:rsidRPr="0071176B" w:rsidR="0048584C">
        <w:br/>
        <w:t xml:space="preserve">and </w:t>
      </w:r>
      <w:r w:rsidRPr="0071176B" w:rsidR="00613D4A">
        <w:t>Liv</w:t>
      </w:r>
      <w:r w:rsidRPr="0071176B" w:rsidR="0048584C">
        <w:t xml:space="preserve"> </w:t>
      </w:r>
      <w:r w:rsidRPr="0071176B" w:rsidR="00613D4A">
        <w:t>Tigerstedt</w:t>
      </w:r>
      <w:r w:rsidRPr="0071176B" w:rsidR="00555A1D">
        <w:t>,</w:t>
      </w:r>
      <w:r w:rsidRPr="0071176B" w:rsidR="0048584C">
        <w:t xml:space="preserve"> </w:t>
      </w:r>
      <w:r w:rsidRPr="0071176B" w:rsidR="0048584C">
        <w:rPr>
          <w:i/>
        </w:rPr>
        <w:t>Acting</w:t>
      </w:r>
      <w:r w:rsidRPr="0071176B">
        <w:rPr>
          <w:i/>
        </w:rPr>
        <w:t xml:space="preserve"> </w:t>
      </w:r>
      <w:r w:rsidRPr="0071176B" w:rsidR="0048584C">
        <w:rPr>
          <w:rFonts w:cstheme="minorHAnsi"/>
          <w:i/>
        </w:rPr>
        <w:t>Deputy Section Registrar</w:t>
      </w:r>
      <w:r w:rsidRPr="0071176B" w:rsidR="0048584C">
        <w:rPr>
          <w:i/>
        </w:rPr>
        <w:t>,</w:t>
      </w:r>
    </w:p>
    <w:p w:rsidRPr="0071176B" w:rsidR="00787E12" w:rsidP="0071176B" w:rsidRDefault="0048584C">
      <w:pPr>
        <w:pStyle w:val="JuPara"/>
      </w:pPr>
      <w:r w:rsidRPr="0071176B">
        <w:t xml:space="preserve">Having deliberated in private on </w:t>
      </w:r>
      <w:r w:rsidRPr="0071176B" w:rsidR="0015690F">
        <w:t>29 August 2019</w:t>
      </w:r>
      <w:r w:rsidRPr="0071176B">
        <w:t>,</w:t>
      </w:r>
    </w:p>
    <w:p w:rsidRPr="0071176B" w:rsidR="006372F5" w:rsidP="0071176B" w:rsidRDefault="0048584C">
      <w:pPr>
        <w:pStyle w:val="JuPara"/>
      </w:pPr>
      <w:r w:rsidRPr="0071176B">
        <w:t>Delivers the following judgment, which was adopted on that date:</w:t>
      </w:r>
    </w:p>
    <w:p w:rsidRPr="0071176B" w:rsidR="00613D4A" w:rsidP="0071176B" w:rsidRDefault="00613D4A">
      <w:pPr>
        <w:pStyle w:val="JuHHead"/>
        <w:numPr>
          <w:ilvl w:val="0"/>
          <w:numId w:val="22"/>
        </w:numPr>
        <w:jc w:val="both"/>
      </w:pPr>
      <w:bookmarkStart w:name="ITMARKStartJudgment" w:id="1"/>
      <w:bookmarkEnd w:id="1"/>
      <w:r w:rsidRPr="0071176B">
        <w:t>PROCEDURE</w:t>
      </w:r>
    </w:p>
    <w:p w:rsidRPr="0071176B" w:rsidR="00613D4A" w:rsidP="0071176B" w:rsidRDefault="00613D4A">
      <w:pPr>
        <w:pStyle w:val="JuPara"/>
      </w:pPr>
      <w:r w:rsidRPr="0071176B">
        <w:t>1.  The case originated in an application against Hungary lodged with the Court under Article 34 of the Convention for the Protection of Human Rights and Fundamental Freedoms (“the Convention”) on 3 September 2018.</w:t>
      </w:r>
    </w:p>
    <w:p w:rsidRPr="0071176B" w:rsidR="00613D4A" w:rsidP="0071176B" w:rsidRDefault="00613D4A">
      <w:pPr>
        <w:pStyle w:val="JuPara"/>
      </w:pPr>
      <w:r w:rsidRPr="0071176B">
        <w:rPr>
          <w:rFonts w:cs="Times New Roman"/>
        </w:rPr>
        <w:t xml:space="preserve">2.  The applicant was represented by Ms L. </w:t>
      </w:r>
      <w:proofErr w:type="spellStart"/>
      <w:r w:rsidRPr="0071176B">
        <w:rPr>
          <w:rFonts w:cs="Times New Roman"/>
        </w:rPr>
        <w:t>Horgos</w:t>
      </w:r>
      <w:proofErr w:type="spellEnd"/>
      <w:r w:rsidRPr="0071176B">
        <w:rPr>
          <w:rFonts w:cs="Times New Roman"/>
        </w:rPr>
        <w:t>, a lawyer practising in Budapest.</w:t>
      </w:r>
    </w:p>
    <w:p w:rsidRPr="0071176B" w:rsidR="00613D4A" w:rsidP="0071176B" w:rsidRDefault="00613D4A">
      <w:pPr>
        <w:pStyle w:val="JuPara"/>
      </w:pPr>
      <w:r w:rsidRPr="0071176B">
        <w:t>3.  Notice of the application was given to the Hungarian Government (“the Government”).</w:t>
      </w:r>
    </w:p>
    <w:p w:rsidRPr="0071176B" w:rsidR="00613D4A" w:rsidP="0071176B" w:rsidRDefault="00613D4A">
      <w:pPr>
        <w:pStyle w:val="JuHHead"/>
        <w:numPr>
          <w:ilvl w:val="0"/>
          <w:numId w:val="22"/>
        </w:numPr>
        <w:jc w:val="both"/>
      </w:pPr>
      <w:r w:rsidRPr="0071176B">
        <w:t>THE FACTS</w:t>
      </w:r>
    </w:p>
    <w:p w:rsidRPr="0071176B" w:rsidR="00613D4A" w:rsidP="0071176B" w:rsidRDefault="00613D4A">
      <w:pPr>
        <w:pStyle w:val="JuPara"/>
      </w:pPr>
      <w:r w:rsidRPr="0071176B">
        <w:t>4.  The applicant</w:t>
      </w:r>
      <w:r w:rsidRPr="0071176B" w:rsidR="0071176B">
        <w:t>’</w:t>
      </w:r>
      <w:r w:rsidRPr="0071176B">
        <w:t>s details and information relevant to the application are set out in the appended table.</w:t>
      </w:r>
    </w:p>
    <w:p w:rsidRPr="0071176B" w:rsidR="00613D4A" w:rsidP="0071176B" w:rsidRDefault="00613D4A">
      <w:pPr>
        <w:pStyle w:val="JuPara"/>
      </w:pPr>
      <w:r w:rsidRPr="0071176B">
        <w:t>5.  </w:t>
      </w:r>
      <w:r w:rsidRPr="0071176B">
        <w:rPr>
          <w:bCs/>
          <w:color w:val="000000"/>
        </w:rPr>
        <w:t xml:space="preserve">The applicant complained of the </w:t>
      </w:r>
      <w:r w:rsidRPr="0071176B">
        <w:rPr>
          <w:rFonts w:eastAsia="Times New Roman" w:cstheme="minorHAnsi"/>
          <w:color w:val="000000"/>
        </w:rPr>
        <w:t>excessive length of civil proceedings</w:t>
      </w:r>
      <w:r w:rsidRPr="0071176B">
        <w:rPr>
          <w:rFonts w:cstheme="minorHAnsi"/>
          <w:bCs/>
          <w:color w:val="000000"/>
        </w:rPr>
        <w:t>.</w:t>
      </w:r>
      <w:r w:rsidRPr="0071176B">
        <w:t xml:space="preserve"> He also raised other complaints under the provisions of the Convention.</w:t>
      </w:r>
    </w:p>
    <w:p w:rsidRPr="0071176B" w:rsidR="00613D4A" w:rsidP="0071176B" w:rsidRDefault="00613D4A">
      <w:pPr>
        <w:pStyle w:val="JuHHead"/>
        <w:numPr>
          <w:ilvl w:val="0"/>
          <w:numId w:val="22"/>
        </w:numPr>
        <w:jc w:val="both"/>
      </w:pPr>
      <w:r w:rsidRPr="0071176B">
        <w:t>THE LAW</w:t>
      </w:r>
    </w:p>
    <w:p w:rsidRPr="0071176B" w:rsidR="00613D4A" w:rsidP="0071176B" w:rsidRDefault="00613D4A">
      <w:pPr>
        <w:pStyle w:val="JuHIRoman"/>
        <w:numPr>
          <w:ilvl w:val="1"/>
          <w:numId w:val="22"/>
        </w:numPr>
        <w:jc w:val="both"/>
      </w:pPr>
      <w:r w:rsidRPr="0071176B">
        <w:t>ALLEGED VIOLATION OF ARTICLE</w:t>
      </w:r>
      <w:r w:rsidRPr="0071176B">
        <w:rPr>
          <w:rFonts w:eastAsia="PMingLiU"/>
        </w:rPr>
        <w:t xml:space="preserve"> 6 § 1 </w:t>
      </w:r>
      <w:r w:rsidRPr="0071176B">
        <w:t>OF THE CONVENTION</w:t>
      </w:r>
    </w:p>
    <w:p w:rsidRPr="0071176B" w:rsidR="00613D4A" w:rsidP="0071176B" w:rsidRDefault="00613D4A">
      <w:pPr>
        <w:pStyle w:val="JuPara"/>
      </w:pPr>
      <w:r w:rsidRPr="0071176B">
        <w:t>6.  The applicant complained</w:t>
      </w:r>
      <w:r w:rsidRPr="0071176B">
        <w:rPr>
          <w:rFonts w:cstheme="minorHAnsi"/>
          <w:bCs/>
        </w:rPr>
        <w:t xml:space="preserve"> principally </w:t>
      </w:r>
      <w:r w:rsidRPr="0071176B">
        <w:t>that the length of the civil proceedings in question had been incompatible with the “reasonable time” requirement. He relied on Article </w:t>
      </w:r>
      <w:r w:rsidRPr="0071176B">
        <w:rPr>
          <w:rFonts w:eastAsia="PMingLiU"/>
        </w:rPr>
        <w:t>6 § 1</w:t>
      </w:r>
      <w:r w:rsidRPr="0071176B">
        <w:t xml:space="preserve"> of the Convention, which reads as follows:</w:t>
      </w:r>
    </w:p>
    <w:p w:rsidRPr="0071176B" w:rsidR="00613D4A" w:rsidP="0071176B" w:rsidRDefault="00613D4A">
      <w:pPr>
        <w:pStyle w:val="JuHArticle"/>
      </w:pPr>
      <w:r w:rsidRPr="0071176B">
        <w:t>Article 6 </w:t>
      </w:r>
      <w:r w:rsidRPr="0071176B">
        <w:rPr>
          <w:rFonts w:cstheme="minorHAnsi"/>
        </w:rPr>
        <w:t>§</w:t>
      </w:r>
      <w:r w:rsidRPr="0071176B">
        <w:t> 1</w:t>
      </w:r>
    </w:p>
    <w:p w:rsidRPr="0071176B" w:rsidR="00613D4A" w:rsidP="0071176B" w:rsidRDefault="00613D4A">
      <w:pPr>
        <w:pStyle w:val="JuQuot"/>
      </w:pPr>
      <w:r w:rsidRPr="0071176B">
        <w:t>“In the determination of his civil rights and obligations ... everyone is entitled to a ... hearing within a reasonable time by [a] ... tribunal ...”</w:t>
      </w:r>
    </w:p>
    <w:p w:rsidRPr="0071176B" w:rsidR="00613D4A" w:rsidP="0071176B" w:rsidRDefault="00613D4A">
      <w:pPr>
        <w:pStyle w:val="JuPara"/>
        <w:rPr>
          <w:strike/>
        </w:rPr>
      </w:pPr>
      <w:r w:rsidRPr="0071176B">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71176B">
        <w:rPr>
          <w:i/>
        </w:rPr>
        <w:t>Frydlender</w:t>
      </w:r>
      <w:proofErr w:type="spellEnd"/>
      <w:r w:rsidRPr="0071176B">
        <w:rPr>
          <w:i/>
        </w:rPr>
        <w:t xml:space="preserve"> v. France</w:t>
      </w:r>
      <w:r w:rsidRPr="0071176B">
        <w:t xml:space="preserve"> [GC], no. 30979/96, § 43, ECHR 2000-VII).</w:t>
      </w:r>
    </w:p>
    <w:p w:rsidRPr="0071176B" w:rsidR="00613D4A" w:rsidP="0071176B" w:rsidRDefault="00613D4A">
      <w:pPr>
        <w:pStyle w:val="JuPara"/>
      </w:pPr>
      <w:r w:rsidRPr="0071176B">
        <w:t xml:space="preserve">8.  In the leading case of </w:t>
      </w:r>
      <w:proofErr w:type="spellStart"/>
      <w:r w:rsidRPr="0071176B">
        <w:rPr>
          <w:i/>
        </w:rPr>
        <w:t>Gazsó</w:t>
      </w:r>
      <w:proofErr w:type="spellEnd"/>
      <w:r w:rsidRPr="0071176B">
        <w:rPr>
          <w:i/>
        </w:rPr>
        <w:t xml:space="preserve"> v. Hungary, </w:t>
      </w:r>
      <w:r w:rsidRPr="0071176B">
        <w:t>no. 48322/12, 16</w:t>
      </w:r>
      <w:r w:rsidRPr="0071176B" w:rsidR="0015690F">
        <w:t> </w:t>
      </w:r>
      <w:r w:rsidRPr="0071176B">
        <w:t>July 2015, the Court already found a violation in respect of issues similar to those in the present case.</w:t>
      </w:r>
    </w:p>
    <w:p w:rsidRPr="0071176B" w:rsidR="00613D4A" w:rsidP="0071176B" w:rsidRDefault="00613D4A">
      <w:pPr>
        <w:pStyle w:val="JuPara"/>
      </w:pPr>
      <w:r w:rsidRPr="0071176B">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71176B" w:rsidR="00613D4A" w:rsidP="0071176B" w:rsidRDefault="00613D4A">
      <w:pPr>
        <w:pStyle w:val="JuPara"/>
      </w:pPr>
      <w:r w:rsidRPr="0071176B">
        <w:t>10.  These complaints are therefore admissible and disclose a breach of Article 6 § 1 of the Convention.</w:t>
      </w:r>
    </w:p>
    <w:p w:rsidRPr="0071176B" w:rsidR="00613D4A" w:rsidP="0071176B" w:rsidRDefault="00613D4A">
      <w:pPr>
        <w:pStyle w:val="JuHIRoman"/>
        <w:numPr>
          <w:ilvl w:val="1"/>
          <w:numId w:val="22"/>
        </w:numPr>
        <w:jc w:val="both"/>
        <w:rPr>
          <w:rFonts w:eastAsia="PMingLiU"/>
          <w:lang w:eastAsia="en-GB"/>
        </w:rPr>
      </w:pPr>
      <w:r w:rsidRPr="0071176B">
        <w:t>OTHER ALLEGED VIOLATION UNDER WELL-ESTABLISHED CASE-LAW</w:t>
      </w:r>
    </w:p>
    <w:p w:rsidRPr="0071176B" w:rsidR="00613D4A" w:rsidP="0071176B" w:rsidRDefault="00613D4A">
      <w:pPr>
        <w:pStyle w:val="JuPara"/>
        <w:rPr>
          <w:snapToGrid w:val="0"/>
        </w:rPr>
      </w:pPr>
      <w:r w:rsidRPr="0071176B">
        <w:t>11.  The applicant further submitted a complaint which raised an issue under Article 13 of the Convention, given the relevant well-established case-law of the Court (see appended table). This complaint is not manifestly ill</w:t>
      </w:r>
      <w:r w:rsidRPr="0071176B">
        <w:noBreakHyphen/>
        <w:t xml:space="preserve">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71176B" w:rsidR="00660F81">
        <w:rPr>
          <w:i/>
        </w:rPr>
        <w:t>Gazsó</w:t>
      </w:r>
      <w:proofErr w:type="spellEnd"/>
      <w:r w:rsidRPr="0071176B" w:rsidR="00660F81">
        <w:rPr>
          <w:i/>
        </w:rPr>
        <w:t xml:space="preserve"> v. </w:t>
      </w:r>
      <w:r w:rsidRPr="0071176B">
        <w:rPr>
          <w:i/>
        </w:rPr>
        <w:t>Hungary</w:t>
      </w:r>
      <w:r w:rsidRPr="0071176B">
        <w:t xml:space="preserve"> (cited above, </w:t>
      </w:r>
      <w:r w:rsidRPr="0071176B">
        <w:rPr>
          <w:rFonts w:cstheme="minorHAnsi"/>
        </w:rPr>
        <w:t>§</w:t>
      </w:r>
      <w:r w:rsidRPr="0071176B" w:rsidR="00660F81">
        <w:t> </w:t>
      </w:r>
      <w:r w:rsidRPr="0071176B">
        <w:t>21)</w:t>
      </w:r>
      <w:r w:rsidRPr="0071176B">
        <w:rPr>
          <w:snapToGrid w:val="0"/>
        </w:rPr>
        <w:t>.</w:t>
      </w:r>
    </w:p>
    <w:p w:rsidRPr="0071176B" w:rsidR="00613D4A" w:rsidP="0071176B" w:rsidRDefault="00613D4A">
      <w:pPr>
        <w:pStyle w:val="JuHIRoman"/>
        <w:numPr>
          <w:ilvl w:val="1"/>
          <w:numId w:val="22"/>
        </w:numPr>
        <w:jc w:val="both"/>
      </w:pPr>
      <w:r w:rsidRPr="0071176B">
        <w:t>REMAINING COMPLAINTS</w:t>
      </w:r>
    </w:p>
    <w:p w:rsidRPr="0071176B" w:rsidR="00613D4A" w:rsidP="0071176B" w:rsidRDefault="00613D4A">
      <w:pPr>
        <w:pStyle w:val="JuPara"/>
      </w:pPr>
      <w:r w:rsidRPr="0071176B">
        <w:t>12.  The applicant also raised other complaints under Article 6 of the Convention.</w:t>
      </w:r>
    </w:p>
    <w:p w:rsidRPr="0071176B" w:rsidR="00613D4A" w:rsidP="0071176B" w:rsidRDefault="00613D4A">
      <w:pPr>
        <w:pStyle w:val="JuPara"/>
      </w:pPr>
      <w:r w:rsidRPr="0071176B">
        <w:t xml:space="preserve">13.  The Court has examined the application and considers that, in the light of all the material in its possession and in so far as the matters complained of </w:t>
      </w:r>
      <w:proofErr w:type="gramStart"/>
      <w:r w:rsidRPr="0071176B">
        <w:t>are</w:t>
      </w:r>
      <w:proofErr w:type="gramEnd"/>
      <w:r w:rsidRPr="0071176B">
        <w:t xml:space="preserve"> within its competence, these complaints do not disclose any appearance of a violation of the rights and freedoms enshrined in the Convention or the Protocols thereto.</w:t>
      </w:r>
    </w:p>
    <w:p w:rsidRPr="0071176B" w:rsidR="00613D4A" w:rsidP="0071176B" w:rsidRDefault="00613D4A">
      <w:pPr>
        <w:pStyle w:val="JuPara"/>
      </w:pPr>
      <w:r w:rsidRPr="0071176B">
        <w:t>14.  It follows that this part of the application must be rejected in accordance with Article 35 § 4 of the Convention.</w:t>
      </w:r>
    </w:p>
    <w:p w:rsidRPr="0071176B" w:rsidR="00613D4A" w:rsidP="0071176B" w:rsidRDefault="00613D4A">
      <w:pPr>
        <w:pStyle w:val="JuHIRoman"/>
        <w:numPr>
          <w:ilvl w:val="1"/>
          <w:numId w:val="22"/>
        </w:numPr>
        <w:jc w:val="both"/>
      </w:pPr>
      <w:r w:rsidRPr="0071176B">
        <w:t>APPLICATION OF ARTICLE 41 OF THE CONVENTION</w:t>
      </w:r>
    </w:p>
    <w:p w:rsidRPr="0071176B" w:rsidR="00613D4A" w:rsidP="0071176B" w:rsidRDefault="00613D4A">
      <w:pPr>
        <w:pStyle w:val="JuPara"/>
      </w:pPr>
      <w:r w:rsidRPr="0071176B">
        <w:t>15.  Article 41 of the Convention provides:</w:t>
      </w:r>
    </w:p>
    <w:p w:rsidRPr="0071176B" w:rsidR="00613D4A" w:rsidP="0071176B" w:rsidRDefault="00613D4A">
      <w:pPr>
        <w:pStyle w:val="JuQuot"/>
        <w:keepNext/>
        <w:keepLines/>
      </w:pPr>
      <w:r w:rsidRPr="0071176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1176B" w:rsidR="00613D4A" w:rsidP="0071176B" w:rsidRDefault="00613D4A">
      <w:pPr>
        <w:pStyle w:val="JuPara"/>
      </w:pPr>
      <w:r w:rsidRPr="0071176B">
        <w:t>16.  Regard being had to the documents in its possession and to its case</w:t>
      </w:r>
      <w:r w:rsidRPr="0071176B">
        <w:noBreakHyphen/>
        <w:t>law, the Court considers it reasonable to award the sum indicated in the appended table.</w:t>
      </w:r>
    </w:p>
    <w:p w:rsidRPr="0071176B" w:rsidR="00613D4A" w:rsidP="0071176B" w:rsidRDefault="00613D4A">
      <w:pPr>
        <w:pStyle w:val="JuPara"/>
      </w:pPr>
      <w:r w:rsidRPr="0071176B">
        <w:t>17.  The Court considers it appropriate that the default interest rate should be based on the marginal lending rate of the European Central Bank, to which should be added three percentage points.</w:t>
      </w:r>
    </w:p>
    <w:p w:rsidRPr="0071176B" w:rsidR="00613D4A" w:rsidP="0071176B" w:rsidRDefault="00613D4A">
      <w:pPr>
        <w:pStyle w:val="JuHHead"/>
        <w:numPr>
          <w:ilvl w:val="0"/>
          <w:numId w:val="22"/>
        </w:numPr>
        <w:jc w:val="both"/>
      </w:pPr>
      <w:r w:rsidRPr="0071176B">
        <w:t>FOR THESE REASONS, THE COURT</w:t>
      </w:r>
      <w:r w:rsidRPr="0071176B">
        <w:rPr>
          <w:color w:val="000000"/>
        </w:rPr>
        <w:t>,</w:t>
      </w:r>
      <w:r w:rsidRPr="0071176B">
        <w:t xml:space="preserve"> UNANIMOUSLY,</w:t>
      </w:r>
    </w:p>
    <w:p w:rsidRPr="0071176B" w:rsidR="00613D4A" w:rsidP="0071176B" w:rsidRDefault="00613D4A">
      <w:pPr>
        <w:pStyle w:val="JuList"/>
        <w:numPr>
          <w:ilvl w:val="0"/>
          <w:numId w:val="30"/>
        </w:numPr>
        <w:ind w:left="426" w:hanging="426"/>
      </w:pPr>
      <w:r w:rsidRPr="0071176B">
        <w:rPr>
          <w:i/>
        </w:rPr>
        <w:t>Declares</w:t>
      </w:r>
      <w:r w:rsidRPr="0071176B">
        <w:t xml:space="preserve"> the complaints concerning the </w:t>
      </w:r>
      <w:r w:rsidRPr="0071176B">
        <w:rPr>
          <w:rStyle w:val="JuParaChar"/>
        </w:rPr>
        <w:t>excessive length of civil proceedings</w:t>
      </w:r>
      <w:r w:rsidRPr="0071176B">
        <w:rPr>
          <w:rFonts w:cstheme="minorHAnsi"/>
        </w:rPr>
        <w:t xml:space="preserve"> and</w:t>
      </w:r>
      <w:r w:rsidRPr="0071176B">
        <w:rPr>
          <w:szCs w:val="24"/>
        </w:rPr>
        <w:t xml:space="preserve"> the other complaint under well-established case-law of the Court</w:t>
      </w:r>
      <w:r w:rsidRPr="0071176B">
        <w:t>, as set out in the appended table,</w:t>
      </w:r>
      <w:r w:rsidRPr="0071176B">
        <w:rPr>
          <w:rStyle w:val="JuParaChar"/>
        </w:rPr>
        <w:t xml:space="preserve"> </w:t>
      </w:r>
      <w:r w:rsidRPr="0071176B">
        <w:t>admissible, and the remainder of the application inadmissible;</w:t>
      </w:r>
    </w:p>
    <w:p w:rsidRPr="0071176B" w:rsidR="00613D4A" w:rsidP="0071176B" w:rsidRDefault="00613D4A">
      <w:pPr>
        <w:pStyle w:val="JuList"/>
        <w:numPr>
          <w:ilvl w:val="0"/>
          <w:numId w:val="30"/>
        </w:numPr>
      </w:pPr>
      <w:r w:rsidRPr="0071176B">
        <w:rPr>
          <w:i/>
        </w:rPr>
        <w:t xml:space="preserve">Holds </w:t>
      </w:r>
      <w:r w:rsidRPr="0071176B">
        <w:t xml:space="preserve">that </w:t>
      </w:r>
      <w:r w:rsidRPr="0071176B">
        <w:rPr>
          <w:rFonts w:eastAsia="PMingLiU"/>
        </w:rPr>
        <w:t>these complaints</w:t>
      </w:r>
      <w:r w:rsidRPr="0071176B">
        <w:t xml:space="preserve"> disclose a breach of Article </w:t>
      </w:r>
      <w:r w:rsidRPr="0071176B">
        <w:rPr>
          <w:rFonts w:eastAsia="PMingLiU"/>
        </w:rPr>
        <w:t>6 §</w:t>
      </w:r>
      <w:r w:rsidRPr="0071176B" w:rsidR="0015690F">
        <w:rPr>
          <w:rFonts w:eastAsia="PMingLiU"/>
        </w:rPr>
        <w:t> </w:t>
      </w:r>
      <w:r w:rsidRPr="0071176B">
        <w:rPr>
          <w:rFonts w:eastAsia="PMingLiU"/>
        </w:rPr>
        <w:t xml:space="preserve">1 of the Convention concerning the </w:t>
      </w:r>
      <w:r w:rsidRPr="0071176B">
        <w:rPr>
          <w:rFonts w:eastAsia="Times New Roman" w:cstheme="minorHAnsi"/>
        </w:rPr>
        <w:t>excessive length of civil proceedings</w:t>
      </w:r>
      <w:r w:rsidRPr="0071176B">
        <w:rPr>
          <w:rFonts w:eastAsia="PMingLiU"/>
        </w:rPr>
        <w:t>;</w:t>
      </w:r>
    </w:p>
    <w:p w:rsidRPr="0071176B" w:rsidR="00613D4A" w:rsidP="0071176B" w:rsidRDefault="00613D4A">
      <w:pPr>
        <w:pStyle w:val="JuList"/>
        <w:numPr>
          <w:ilvl w:val="0"/>
          <w:numId w:val="30"/>
        </w:numPr>
      </w:pPr>
      <w:r w:rsidRPr="0071176B">
        <w:rPr>
          <w:i/>
        </w:rPr>
        <w:t xml:space="preserve">Holds </w:t>
      </w:r>
      <w:r w:rsidRPr="0071176B">
        <w:t>that there has been a violation of Article 13 of the Convention as regards the other complaint raised under well-established case-law of the Court (see appended table);</w:t>
      </w:r>
    </w:p>
    <w:p w:rsidRPr="0071176B" w:rsidR="00613D4A" w:rsidP="0071176B" w:rsidRDefault="00613D4A">
      <w:pPr>
        <w:pStyle w:val="JuList"/>
        <w:numPr>
          <w:ilvl w:val="0"/>
          <w:numId w:val="30"/>
        </w:numPr>
      </w:pPr>
      <w:r w:rsidRPr="0071176B">
        <w:rPr>
          <w:i/>
        </w:rPr>
        <w:t>Holds</w:t>
      </w:r>
    </w:p>
    <w:p w:rsidRPr="0071176B" w:rsidR="00613D4A" w:rsidP="0071176B" w:rsidRDefault="00613D4A">
      <w:pPr>
        <w:pStyle w:val="JuLista"/>
        <w:numPr>
          <w:ilvl w:val="1"/>
          <w:numId w:val="30"/>
        </w:numPr>
      </w:pPr>
      <w:r w:rsidRPr="0071176B">
        <w:t xml:space="preserve">that the respondent State is to pay the applicant, within three months, the amount indicated in the appended table, to be converted into </w:t>
      </w:r>
      <w:r w:rsidRPr="0071176B">
        <w:rPr>
          <w:color w:val="000000"/>
        </w:rPr>
        <w:t>the currency of the respondent State</w:t>
      </w:r>
      <w:r w:rsidRPr="0071176B">
        <w:t xml:space="preserve"> at the rate applicable at the date of settlement;</w:t>
      </w:r>
    </w:p>
    <w:p w:rsidRPr="0071176B" w:rsidR="00787E12" w:rsidP="0071176B" w:rsidRDefault="00613D4A">
      <w:pPr>
        <w:pStyle w:val="JuLista"/>
      </w:pPr>
      <w:proofErr w:type="gramStart"/>
      <w:r w:rsidRPr="0071176B">
        <w:t>that</w:t>
      </w:r>
      <w:proofErr w:type="gramEnd"/>
      <w:r w:rsidRPr="0071176B">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71176B" w:rsidR="00C43D38" w:rsidP="0071176B" w:rsidRDefault="0048584C">
      <w:pPr>
        <w:pStyle w:val="JuParaLast"/>
      </w:pPr>
      <w:r w:rsidRPr="0071176B">
        <w:t xml:space="preserve">Done in English, and notified in writing on </w:t>
      </w:r>
      <w:r w:rsidRPr="0071176B" w:rsidR="00613D4A">
        <w:t>19 September 2019</w:t>
      </w:r>
      <w:r w:rsidRPr="0071176B">
        <w:t>, pursuant to Rule 77 §§ 2 and 3 of the Rules of Court.</w:t>
      </w:r>
    </w:p>
    <w:p w:rsidRPr="0071176B" w:rsidR="00CF644B" w:rsidP="0071176B" w:rsidRDefault="0048584C">
      <w:pPr>
        <w:pStyle w:val="JuSigned"/>
        <w:tabs>
          <w:tab w:val="clear" w:pos="851"/>
          <w:tab w:val="center" w:pos="1134"/>
        </w:tabs>
        <w:rPr>
          <w:rFonts w:eastAsia="PMingLiU"/>
        </w:rPr>
      </w:pPr>
      <w:r w:rsidRPr="0071176B">
        <w:rPr>
          <w:rFonts w:eastAsia="PMingLiU"/>
        </w:rPr>
        <w:tab/>
      </w:r>
      <w:r w:rsidRPr="0071176B" w:rsidR="00613D4A">
        <w:rPr>
          <w:rFonts w:eastAsia="PMingLiU"/>
        </w:rPr>
        <w:t>Liv</w:t>
      </w:r>
      <w:r w:rsidRPr="0071176B">
        <w:rPr>
          <w:rFonts w:eastAsia="PMingLiU"/>
        </w:rPr>
        <w:t xml:space="preserve"> </w:t>
      </w:r>
      <w:r w:rsidRPr="0071176B" w:rsidR="00613D4A">
        <w:rPr>
          <w:rFonts w:eastAsia="PMingLiU"/>
        </w:rPr>
        <w:t>Tigerstedt</w:t>
      </w:r>
      <w:r w:rsidRPr="0071176B">
        <w:rPr>
          <w:rFonts w:eastAsia="PMingLiU"/>
        </w:rPr>
        <w:tab/>
      </w:r>
      <w:r w:rsidRPr="0071176B" w:rsidR="00613D4A">
        <w:rPr>
          <w:rFonts w:eastAsia="PMingLiU"/>
        </w:rPr>
        <w:t xml:space="preserve">Stéphanie </w:t>
      </w:r>
      <w:proofErr w:type="spellStart"/>
      <w:r w:rsidRPr="0071176B" w:rsidR="00613D4A">
        <w:rPr>
          <w:rFonts w:eastAsia="PMingLiU"/>
        </w:rPr>
        <w:t>Mourou-Vikström</w:t>
      </w:r>
      <w:proofErr w:type="spellEnd"/>
    </w:p>
    <w:p w:rsidRPr="0071176B" w:rsidR="00787E12" w:rsidP="0071176B" w:rsidRDefault="0048584C">
      <w:pPr>
        <w:pStyle w:val="JuSigned"/>
        <w:tabs>
          <w:tab w:val="clear" w:pos="851"/>
          <w:tab w:val="center" w:pos="1134"/>
        </w:tabs>
        <w:contextualSpacing/>
        <w:rPr>
          <w:rFonts w:eastAsia="PMingLiU"/>
        </w:rPr>
      </w:pPr>
      <w:r w:rsidRPr="0071176B">
        <w:rPr>
          <w:rFonts w:eastAsia="PMingLiU"/>
        </w:rPr>
        <w:tab/>
        <w:t>Acting Deputy Registrar</w:t>
      </w:r>
      <w:r w:rsidRPr="0071176B">
        <w:rPr>
          <w:rFonts w:eastAsia="PMingLiU"/>
        </w:rPr>
        <w:tab/>
        <w:t>President</w:t>
      </w:r>
    </w:p>
    <w:p w:rsidRPr="0071176B" w:rsidR="00787E12" w:rsidP="0071176B" w:rsidRDefault="00BE1991">
      <w:pPr>
        <w:pStyle w:val="JuParaLast"/>
      </w:pPr>
    </w:p>
    <w:p w:rsidRPr="0071176B" w:rsidR="00036534" w:rsidP="0071176B" w:rsidRDefault="00036534">
      <w:pPr>
        <w:pStyle w:val="JuParaLast"/>
        <w:sectPr w:rsidRPr="0071176B" w:rsidR="00036534" w:rsidSect="0015690F">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71176B" w:rsidR="00787E12" w:rsidP="0071176B" w:rsidRDefault="0048584C">
      <w:pPr>
        <w:pStyle w:val="DecHTitle"/>
      </w:pPr>
      <w:r w:rsidRPr="0071176B">
        <w:t>APPENDIX</w:t>
      </w:r>
    </w:p>
    <w:p w:rsidRPr="0071176B" w:rsidR="00787E12" w:rsidP="0071176B" w:rsidRDefault="00613D4A">
      <w:pPr>
        <w:pStyle w:val="DecHCase"/>
        <w:contextualSpacing/>
        <w:rPr>
          <w:b/>
          <w:i/>
          <w:color w:val="3E3E3E" w:themeColor="background2" w:themeShade="40"/>
        </w:rPr>
      </w:pPr>
      <w:r w:rsidRPr="0071176B">
        <w:rPr>
          <w:color w:val="3E3E3E" w:themeColor="background2" w:themeShade="40"/>
        </w:rPr>
        <w:t>Application</w:t>
      </w:r>
      <w:r w:rsidRPr="0071176B" w:rsidR="0048584C">
        <w:rPr>
          <w:color w:val="3E3E3E" w:themeColor="background2" w:themeShade="40"/>
        </w:rPr>
        <w:t xml:space="preserve"> raising complaints under Article</w:t>
      </w:r>
      <w:r w:rsidRPr="0071176B">
        <w:rPr>
          <w:color w:val="3E3E3E" w:themeColor="background2" w:themeShade="40"/>
        </w:rPr>
        <w:t xml:space="preserve"> 6 § 1 of the Convention</w:t>
      </w:r>
    </w:p>
    <w:p w:rsidRPr="0071176B" w:rsidR="00787E12" w:rsidP="0071176B" w:rsidRDefault="0048584C">
      <w:pPr>
        <w:pStyle w:val="DecHCase"/>
        <w:contextualSpacing/>
        <w:rPr>
          <w:b/>
          <w:i/>
          <w:szCs w:val="24"/>
        </w:rPr>
      </w:pPr>
      <w:r w:rsidRPr="0071176B">
        <w:rPr>
          <w:color w:val="3E3E3E" w:themeColor="background2" w:themeShade="40"/>
        </w:rPr>
        <w:t>(</w:t>
      </w:r>
      <w:proofErr w:type="gramStart"/>
      <w:r w:rsidRPr="0071176B" w:rsidR="00613D4A">
        <w:rPr>
          <w:color w:val="3E3E3E" w:themeColor="background2" w:themeShade="40"/>
        </w:rPr>
        <w:t>excessive</w:t>
      </w:r>
      <w:proofErr w:type="gramEnd"/>
      <w:r w:rsidRPr="0071176B" w:rsidR="00613D4A">
        <w:rPr>
          <w:color w:val="3E3E3E" w:themeColor="background2" w:themeShade="40"/>
        </w:rPr>
        <w:t xml:space="preserve"> length of civil proceedings</w:t>
      </w:r>
      <w:r w:rsidRPr="0071176B">
        <w:rPr>
          <w:color w:val="3E3E3E" w:themeColor="background2" w:themeShade="40"/>
          <w:szCs w:val="24"/>
        </w:rPr>
        <w:t>)</w:t>
      </w:r>
    </w:p>
    <w:tbl>
      <w:tblPr>
        <w:tblStyle w:val="ECHRListTable"/>
        <w:tblW w:w="12734" w:type="dxa"/>
        <w:jc w:val="center"/>
        <w:tblLook w:val="0420" w:firstRow="1" w:lastRow="0" w:firstColumn="0" w:lastColumn="0" w:noHBand="0" w:noVBand="1"/>
      </w:tblPr>
      <w:tblGrid>
        <w:gridCol w:w="1466"/>
        <w:gridCol w:w="1418"/>
        <w:gridCol w:w="1416"/>
        <w:gridCol w:w="1034"/>
        <w:gridCol w:w="1093"/>
        <w:gridCol w:w="1581"/>
        <w:gridCol w:w="1428"/>
        <w:gridCol w:w="3298"/>
      </w:tblGrid>
      <w:tr w:rsidRPr="0071176B" w:rsidR="0015690F" w:rsidTr="0015690F">
        <w:trPr>
          <w:cnfStyle w:val="100000000000" w:firstRow="1" w:lastRow="0" w:firstColumn="0" w:lastColumn="0" w:oddVBand="0" w:evenVBand="0" w:oddHBand="0" w:evenHBand="0" w:firstRowFirstColumn="0" w:firstRowLastColumn="0" w:lastRowFirstColumn="0" w:lastRowLastColumn="0"/>
          <w:jc w:val="center"/>
        </w:trPr>
        <w:tc>
          <w:tcPr>
            <w:tcW w:w="1466" w:type="dxa"/>
          </w:tcPr>
          <w:p w:rsidRPr="0071176B" w:rsidR="0015690F" w:rsidP="0071176B" w:rsidRDefault="0015690F">
            <w:pPr>
              <w:jc w:val="center"/>
              <w:rPr>
                <w:sz w:val="16"/>
              </w:rPr>
            </w:pPr>
            <w:bookmarkStart w:name="WECLListStart" w:id="2"/>
            <w:bookmarkEnd w:id="2"/>
            <w:r w:rsidRPr="0071176B">
              <w:rPr>
                <w:sz w:val="16"/>
              </w:rPr>
              <w:t>Application no.</w:t>
            </w:r>
          </w:p>
          <w:p w:rsidRPr="0071176B" w:rsidR="0015690F" w:rsidP="0071176B" w:rsidRDefault="0015690F">
            <w:pPr>
              <w:jc w:val="center"/>
              <w:rPr>
                <w:sz w:val="16"/>
              </w:rPr>
            </w:pPr>
            <w:r w:rsidRPr="0071176B">
              <w:rPr>
                <w:sz w:val="16"/>
              </w:rPr>
              <w:t>Date of introduction</w:t>
            </w:r>
          </w:p>
        </w:tc>
        <w:tc>
          <w:tcPr>
            <w:tcW w:w="1418" w:type="dxa"/>
          </w:tcPr>
          <w:p w:rsidRPr="0071176B" w:rsidR="0015690F" w:rsidP="0071176B" w:rsidRDefault="0015690F">
            <w:pPr>
              <w:jc w:val="center"/>
              <w:rPr>
                <w:sz w:val="16"/>
              </w:rPr>
            </w:pPr>
            <w:r w:rsidRPr="0071176B">
              <w:rPr>
                <w:sz w:val="16"/>
              </w:rPr>
              <w:t>Applicant</w:t>
            </w:r>
            <w:r w:rsidRPr="0071176B" w:rsidR="0071176B">
              <w:rPr>
                <w:sz w:val="16"/>
              </w:rPr>
              <w:t>’</w:t>
            </w:r>
            <w:r w:rsidRPr="0071176B">
              <w:rPr>
                <w:sz w:val="16"/>
              </w:rPr>
              <w:t>s name</w:t>
            </w:r>
          </w:p>
          <w:p w:rsidRPr="0071176B" w:rsidR="0015690F" w:rsidP="0071176B" w:rsidRDefault="0015690F">
            <w:pPr>
              <w:jc w:val="center"/>
              <w:rPr>
                <w:sz w:val="16"/>
              </w:rPr>
            </w:pPr>
            <w:r w:rsidRPr="0071176B">
              <w:rPr>
                <w:sz w:val="16"/>
              </w:rPr>
              <w:t>Date of birth</w:t>
            </w:r>
          </w:p>
          <w:p w:rsidRPr="0071176B" w:rsidR="0015690F" w:rsidP="0071176B" w:rsidRDefault="0015690F">
            <w:pPr>
              <w:jc w:val="center"/>
              <w:rPr>
                <w:sz w:val="16"/>
              </w:rPr>
            </w:pPr>
          </w:p>
        </w:tc>
        <w:tc>
          <w:tcPr>
            <w:tcW w:w="1416" w:type="dxa"/>
          </w:tcPr>
          <w:p w:rsidRPr="0071176B" w:rsidR="0015690F" w:rsidP="0071176B" w:rsidRDefault="0015690F">
            <w:pPr>
              <w:jc w:val="center"/>
              <w:rPr>
                <w:sz w:val="16"/>
              </w:rPr>
            </w:pPr>
            <w:r w:rsidRPr="0071176B">
              <w:rPr>
                <w:sz w:val="16"/>
              </w:rPr>
              <w:t>Representative</w:t>
            </w:r>
            <w:r w:rsidRPr="0071176B" w:rsidR="0071176B">
              <w:rPr>
                <w:sz w:val="16"/>
              </w:rPr>
              <w:t>’</w:t>
            </w:r>
            <w:r w:rsidRPr="0071176B">
              <w:rPr>
                <w:sz w:val="16"/>
              </w:rPr>
              <w:t>s name and location</w:t>
            </w:r>
          </w:p>
        </w:tc>
        <w:tc>
          <w:tcPr>
            <w:tcW w:w="1034" w:type="dxa"/>
          </w:tcPr>
          <w:p w:rsidRPr="0071176B" w:rsidR="0015690F" w:rsidP="0071176B" w:rsidRDefault="0015690F">
            <w:pPr>
              <w:jc w:val="center"/>
              <w:rPr>
                <w:sz w:val="16"/>
              </w:rPr>
            </w:pPr>
            <w:r w:rsidRPr="0071176B">
              <w:rPr>
                <w:sz w:val="16"/>
              </w:rPr>
              <w:t>Start of proceedings</w:t>
            </w:r>
          </w:p>
        </w:tc>
        <w:tc>
          <w:tcPr>
            <w:tcW w:w="1093" w:type="dxa"/>
          </w:tcPr>
          <w:p w:rsidRPr="0071176B" w:rsidR="0015690F" w:rsidP="0071176B" w:rsidRDefault="0015690F">
            <w:pPr>
              <w:jc w:val="center"/>
              <w:rPr>
                <w:sz w:val="16"/>
              </w:rPr>
            </w:pPr>
            <w:r w:rsidRPr="0071176B">
              <w:rPr>
                <w:sz w:val="16"/>
              </w:rPr>
              <w:t>End of proceedings</w:t>
            </w:r>
          </w:p>
        </w:tc>
        <w:tc>
          <w:tcPr>
            <w:tcW w:w="1581" w:type="dxa"/>
          </w:tcPr>
          <w:p w:rsidRPr="0071176B" w:rsidR="0015690F" w:rsidP="0071176B" w:rsidRDefault="0015690F">
            <w:pPr>
              <w:jc w:val="center"/>
              <w:rPr>
                <w:sz w:val="16"/>
              </w:rPr>
            </w:pPr>
            <w:r w:rsidRPr="0071176B">
              <w:rPr>
                <w:sz w:val="16"/>
              </w:rPr>
              <w:t>Total length</w:t>
            </w:r>
          </w:p>
          <w:p w:rsidRPr="0071176B" w:rsidR="0015690F" w:rsidP="0071176B" w:rsidRDefault="0015690F">
            <w:pPr>
              <w:jc w:val="center"/>
              <w:rPr>
                <w:sz w:val="16"/>
              </w:rPr>
            </w:pPr>
            <w:r w:rsidRPr="0071176B">
              <w:rPr>
                <w:sz w:val="16"/>
              </w:rPr>
              <w:t>Levels of jurisdiction</w:t>
            </w:r>
          </w:p>
        </w:tc>
        <w:tc>
          <w:tcPr>
            <w:tcW w:w="1428" w:type="dxa"/>
          </w:tcPr>
          <w:p w:rsidRPr="0071176B" w:rsidR="0015690F" w:rsidP="0071176B" w:rsidRDefault="0015690F">
            <w:pPr>
              <w:jc w:val="center"/>
              <w:rPr>
                <w:sz w:val="16"/>
              </w:rPr>
            </w:pPr>
            <w:r w:rsidRPr="0071176B">
              <w:rPr>
                <w:sz w:val="16"/>
              </w:rPr>
              <w:t>Other complaints under well-established case-law</w:t>
            </w:r>
          </w:p>
        </w:tc>
        <w:tc>
          <w:tcPr>
            <w:tcW w:w="3298" w:type="dxa"/>
          </w:tcPr>
          <w:p w:rsidRPr="0071176B" w:rsidR="0015690F" w:rsidP="0071176B" w:rsidRDefault="0015690F">
            <w:pPr>
              <w:jc w:val="center"/>
              <w:rPr>
                <w:sz w:val="16"/>
              </w:rPr>
            </w:pPr>
            <w:r w:rsidRPr="0071176B">
              <w:rPr>
                <w:sz w:val="16"/>
              </w:rPr>
              <w:t>Amount awarded for pecuniary and non-pecuniary damage and costs and expenses per applicant</w:t>
            </w:r>
          </w:p>
          <w:p w:rsidRPr="0071176B" w:rsidR="0015690F" w:rsidP="0071176B" w:rsidRDefault="0015690F">
            <w:pPr>
              <w:jc w:val="center"/>
              <w:rPr>
                <w:sz w:val="16"/>
              </w:rPr>
            </w:pPr>
            <w:r w:rsidRPr="0071176B">
              <w:rPr>
                <w:sz w:val="16"/>
              </w:rPr>
              <w:t>(in euros)</w:t>
            </w:r>
            <w:r w:rsidRPr="0071176B">
              <w:rPr>
                <w:rStyle w:val="FootnoteReference"/>
                <w:sz w:val="16"/>
              </w:rPr>
              <w:footnoteReference w:id="1"/>
            </w:r>
          </w:p>
        </w:tc>
      </w:tr>
      <w:tr w:rsidRPr="0071176B" w:rsidR="0015690F" w:rsidTr="0015690F">
        <w:trPr>
          <w:jc w:val="center"/>
        </w:trPr>
        <w:tc>
          <w:tcPr>
            <w:tcW w:w="1466" w:type="dxa"/>
          </w:tcPr>
          <w:p w:rsidRPr="0071176B" w:rsidR="0015690F" w:rsidP="0071176B" w:rsidRDefault="0015690F">
            <w:pPr>
              <w:jc w:val="center"/>
              <w:rPr>
                <w:sz w:val="16"/>
              </w:rPr>
            </w:pPr>
            <w:r w:rsidRPr="0071176B">
              <w:rPr>
                <w:sz w:val="16"/>
              </w:rPr>
              <w:t>46030/18</w:t>
            </w:r>
          </w:p>
          <w:p w:rsidRPr="0071176B" w:rsidR="0015690F" w:rsidP="0071176B" w:rsidRDefault="0015690F">
            <w:pPr>
              <w:jc w:val="center"/>
              <w:rPr>
                <w:sz w:val="16"/>
              </w:rPr>
            </w:pPr>
            <w:r w:rsidRPr="0071176B">
              <w:rPr>
                <w:sz w:val="16"/>
              </w:rPr>
              <w:t>23/09/2018</w:t>
            </w:r>
          </w:p>
        </w:tc>
        <w:tc>
          <w:tcPr>
            <w:tcW w:w="1418" w:type="dxa"/>
          </w:tcPr>
          <w:p w:rsidRPr="0071176B" w:rsidR="0015690F" w:rsidP="0071176B" w:rsidRDefault="0015690F">
            <w:pPr>
              <w:jc w:val="center"/>
              <w:rPr>
                <w:b/>
                <w:sz w:val="16"/>
              </w:rPr>
            </w:pPr>
            <w:proofErr w:type="spellStart"/>
            <w:r w:rsidRPr="0071176B">
              <w:rPr>
                <w:b/>
                <w:sz w:val="16"/>
              </w:rPr>
              <w:t>Tamás</w:t>
            </w:r>
            <w:proofErr w:type="spellEnd"/>
            <w:r w:rsidRPr="0071176B">
              <w:rPr>
                <w:b/>
                <w:sz w:val="16"/>
              </w:rPr>
              <w:t xml:space="preserve"> </w:t>
            </w:r>
            <w:proofErr w:type="spellStart"/>
            <w:r w:rsidRPr="0071176B">
              <w:rPr>
                <w:b/>
                <w:sz w:val="16"/>
              </w:rPr>
              <w:t>Kálovics</w:t>
            </w:r>
            <w:proofErr w:type="spellEnd"/>
          </w:p>
          <w:p w:rsidRPr="0071176B" w:rsidR="0015690F" w:rsidP="0071176B" w:rsidRDefault="0015690F">
            <w:pPr>
              <w:jc w:val="center"/>
              <w:rPr>
                <w:sz w:val="16"/>
              </w:rPr>
            </w:pPr>
            <w:r w:rsidRPr="0071176B">
              <w:rPr>
                <w:sz w:val="16"/>
              </w:rPr>
              <w:t>19/11/1977</w:t>
            </w:r>
          </w:p>
        </w:tc>
        <w:tc>
          <w:tcPr>
            <w:tcW w:w="1416" w:type="dxa"/>
          </w:tcPr>
          <w:p w:rsidRPr="0071176B" w:rsidR="0015690F" w:rsidP="0071176B" w:rsidRDefault="0015690F">
            <w:pPr>
              <w:jc w:val="center"/>
              <w:rPr>
                <w:sz w:val="16"/>
              </w:rPr>
            </w:pPr>
            <w:proofErr w:type="spellStart"/>
            <w:r w:rsidRPr="0071176B">
              <w:rPr>
                <w:sz w:val="16"/>
              </w:rPr>
              <w:t>Horgos</w:t>
            </w:r>
            <w:proofErr w:type="spellEnd"/>
            <w:r w:rsidRPr="0071176B">
              <w:rPr>
                <w:sz w:val="16"/>
              </w:rPr>
              <w:t xml:space="preserve"> </w:t>
            </w:r>
            <w:proofErr w:type="spellStart"/>
            <w:r w:rsidRPr="0071176B">
              <w:rPr>
                <w:sz w:val="16"/>
              </w:rPr>
              <w:t>Lívia</w:t>
            </w:r>
            <w:proofErr w:type="spellEnd"/>
          </w:p>
          <w:p w:rsidRPr="0071176B" w:rsidR="0015690F" w:rsidP="0071176B" w:rsidRDefault="0015690F">
            <w:pPr>
              <w:jc w:val="center"/>
              <w:rPr>
                <w:sz w:val="16"/>
              </w:rPr>
            </w:pPr>
            <w:r w:rsidRPr="0071176B">
              <w:rPr>
                <w:sz w:val="16"/>
              </w:rPr>
              <w:t>Budapest</w:t>
            </w:r>
          </w:p>
        </w:tc>
        <w:tc>
          <w:tcPr>
            <w:tcW w:w="1034" w:type="dxa"/>
          </w:tcPr>
          <w:p w:rsidRPr="0071176B" w:rsidR="0015690F" w:rsidP="0071176B" w:rsidRDefault="0015690F">
            <w:pPr>
              <w:jc w:val="center"/>
              <w:rPr>
                <w:sz w:val="16"/>
              </w:rPr>
            </w:pPr>
            <w:r w:rsidRPr="0071176B">
              <w:rPr>
                <w:sz w:val="16"/>
              </w:rPr>
              <w:t>27/07/2010</w:t>
            </w:r>
          </w:p>
          <w:p w:rsidRPr="0071176B" w:rsidR="0015690F" w:rsidP="0071176B" w:rsidRDefault="0015690F">
            <w:pPr>
              <w:jc w:val="center"/>
              <w:rPr>
                <w:sz w:val="16"/>
              </w:rPr>
            </w:pPr>
          </w:p>
        </w:tc>
        <w:tc>
          <w:tcPr>
            <w:tcW w:w="1093" w:type="dxa"/>
          </w:tcPr>
          <w:p w:rsidRPr="0071176B" w:rsidR="0015690F" w:rsidP="0071176B" w:rsidRDefault="0015690F">
            <w:pPr>
              <w:jc w:val="center"/>
              <w:rPr>
                <w:sz w:val="16"/>
              </w:rPr>
            </w:pPr>
            <w:r w:rsidRPr="0071176B">
              <w:rPr>
                <w:sz w:val="16"/>
              </w:rPr>
              <w:t>08/05/2018</w:t>
            </w:r>
          </w:p>
          <w:p w:rsidRPr="0071176B" w:rsidR="0015690F" w:rsidP="0071176B" w:rsidRDefault="0015690F">
            <w:pPr>
              <w:jc w:val="center"/>
              <w:rPr>
                <w:sz w:val="16"/>
              </w:rPr>
            </w:pPr>
          </w:p>
        </w:tc>
        <w:tc>
          <w:tcPr>
            <w:tcW w:w="1581" w:type="dxa"/>
          </w:tcPr>
          <w:p w:rsidRPr="0071176B" w:rsidR="0015690F" w:rsidP="0071176B" w:rsidRDefault="0015690F">
            <w:pPr>
              <w:jc w:val="center"/>
              <w:rPr>
                <w:sz w:val="16"/>
              </w:rPr>
            </w:pPr>
            <w:r w:rsidRPr="0071176B">
              <w:rPr>
                <w:sz w:val="16"/>
              </w:rPr>
              <w:t>7 year(s) and</w:t>
            </w:r>
          </w:p>
          <w:p w:rsidRPr="0071176B" w:rsidR="0015690F" w:rsidP="0071176B" w:rsidRDefault="0015690F">
            <w:pPr>
              <w:jc w:val="center"/>
              <w:rPr>
                <w:sz w:val="16"/>
              </w:rPr>
            </w:pPr>
            <w:r w:rsidRPr="0071176B">
              <w:rPr>
                <w:sz w:val="16"/>
              </w:rPr>
              <w:t>9 month(s) and</w:t>
            </w:r>
          </w:p>
          <w:p w:rsidRPr="0071176B" w:rsidR="0015690F" w:rsidP="0071176B" w:rsidRDefault="0015690F">
            <w:pPr>
              <w:jc w:val="center"/>
              <w:rPr>
                <w:sz w:val="16"/>
              </w:rPr>
            </w:pPr>
            <w:r w:rsidRPr="0071176B">
              <w:rPr>
                <w:sz w:val="16"/>
              </w:rPr>
              <w:t>12 day(s) 3 level(s) of jurisdiction</w:t>
            </w:r>
          </w:p>
          <w:p w:rsidRPr="0071176B" w:rsidR="0015690F" w:rsidP="0071176B" w:rsidRDefault="0015690F">
            <w:pPr>
              <w:jc w:val="center"/>
              <w:rPr>
                <w:sz w:val="16"/>
              </w:rPr>
            </w:pPr>
          </w:p>
        </w:tc>
        <w:tc>
          <w:tcPr>
            <w:tcW w:w="1428" w:type="dxa"/>
          </w:tcPr>
          <w:p w:rsidRPr="0071176B" w:rsidR="0015690F" w:rsidP="0071176B" w:rsidRDefault="0015690F">
            <w:pPr>
              <w:jc w:val="center"/>
              <w:rPr>
                <w:sz w:val="16"/>
              </w:rPr>
            </w:pPr>
            <w:r w:rsidRPr="0071176B">
              <w:rPr>
                <w:sz w:val="16"/>
              </w:rPr>
              <w:t xml:space="preserve">Art. 13 - </w:t>
            </w:r>
            <w:proofErr w:type="gramStart"/>
            <w:r w:rsidRPr="0071176B">
              <w:rPr>
                <w:sz w:val="16"/>
              </w:rPr>
              <w:t>lack</w:t>
            </w:r>
            <w:proofErr w:type="gramEnd"/>
            <w:r w:rsidRPr="0071176B">
              <w:rPr>
                <w:sz w:val="16"/>
              </w:rPr>
              <w:t xml:space="preserve"> of any effective remedy in domestic law in respect of excessive length of civil proceedings.</w:t>
            </w:r>
          </w:p>
        </w:tc>
        <w:tc>
          <w:tcPr>
            <w:tcW w:w="3298" w:type="dxa"/>
          </w:tcPr>
          <w:p w:rsidRPr="0071176B" w:rsidR="0015690F" w:rsidP="0071176B" w:rsidRDefault="0015690F">
            <w:pPr>
              <w:jc w:val="center"/>
              <w:rPr>
                <w:sz w:val="16"/>
              </w:rPr>
            </w:pPr>
            <w:r w:rsidRPr="0071176B">
              <w:rPr>
                <w:sz w:val="16"/>
              </w:rPr>
              <w:t>3,400</w:t>
            </w:r>
          </w:p>
        </w:tc>
      </w:tr>
    </w:tbl>
    <w:p w:rsidRPr="0071176B" w:rsidR="00787E12" w:rsidP="0071176B" w:rsidRDefault="00BE1991">
      <w:pPr>
        <w:jc w:val="left"/>
      </w:pPr>
    </w:p>
    <w:p w:rsidRPr="0071176B" w:rsidR="00791456" w:rsidP="0071176B" w:rsidRDefault="00BE1991">
      <w:pPr>
        <w:jc w:val="left"/>
      </w:pPr>
    </w:p>
    <w:sectPr w:rsidRPr="0071176B" w:rsidR="00791456" w:rsidSect="0015690F">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D4A" w:rsidRPr="00497FF8" w:rsidRDefault="00613D4A">
      <w:r w:rsidRPr="00497FF8">
        <w:separator/>
      </w:r>
    </w:p>
  </w:endnote>
  <w:endnote w:type="continuationSeparator" w:id="0">
    <w:p w:rsidR="00613D4A" w:rsidRPr="00497FF8" w:rsidRDefault="00613D4A">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4A" w:rsidRDefault="00613D4A">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4A" w:rsidRDefault="00613D4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4A" w:rsidRPr="00150BFA" w:rsidRDefault="00613D4A" w:rsidP="0020718E">
    <w:pPr>
      <w:jc w:val="center"/>
    </w:pPr>
    <w:r>
      <w:rPr>
        <w:noProof/>
        <w:lang w:val="en-US" w:eastAsia="ja-JP"/>
      </w:rPr>
      <w:drawing>
        <wp:inline distT="0" distB="0" distL="0" distR="0" wp14:anchorId="28917468" wp14:editId="6F2B945E">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BE1991"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D4A" w:rsidRPr="00497FF8" w:rsidRDefault="00613D4A" w:rsidP="00787E12">
      <w:r w:rsidRPr="00497FF8">
        <w:separator/>
      </w:r>
    </w:p>
  </w:footnote>
  <w:footnote w:type="continuationSeparator" w:id="0">
    <w:p w:rsidR="00613D4A" w:rsidRPr="00497FF8" w:rsidRDefault="00613D4A" w:rsidP="00787E12">
      <w:r w:rsidRPr="00497FF8">
        <w:continuationSeparator/>
      </w:r>
    </w:p>
  </w:footnote>
  <w:footnote w:id="1">
    <w:p w:rsidR="0015690F" w:rsidRPr="005353BA" w:rsidRDefault="0015690F" w:rsidP="00613D4A">
      <w:pPr>
        <w:pStyle w:val="FootnoteText"/>
        <w:rPr>
          <w:lang w:val="hu-HU"/>
        </w:rPr>
      </w:pPr>
      <w:r w:rsidRPr="00532B86">
        <w:footnoteRef/>
      </w:r>
      <w:r w:rsidRPr="00532B86">
        <w:t>.  </w:t>
      </w:r>
      <w:r>
        <w:rPr>
          <w:lang w:val="hu-HU"/>
        </w:rPr>
        <w:t xml:space="preserve">Plus </w:t>
      </w:r>
      <w:proofErr w:type="spellStart"/>
      <w:r>
        <w:rPr>
          <w:lang w:val="hu-HU"/>
        </w:rPr>
        <w:t>any</w:t>
      </w:r>
      <w:proofErr w:type="spellEnd"/>
      <w:r>
        <w:rPr>
          <w:lang w:val="hu-HU"/>
        </w:rPr>
        <w:t xml:space="preserve"> </w:t>
      </w:r>
      <w:proofErr w:type="spellStart"/>
      <w:r>
        <w:rPr>
          <w:lang w:val="hu-HU"/>
        </w:rPr>
        <w:t>tax</w:t>
      </w:r>
      <w:proofErr w:type="spellEnd"/>
      <w:r>
        <w:rPr>
          <w:lang w:val="hu-HU"/>
        </w:rPr>
        <w:t xml:space="preserve"> </w:t>
      </w:r>
      <w:proofErr w:type="spellStart"/>
      <w:r>
        <w:rPr>
          <w:lang w:val="hu-HU"/>
        </w:rPr>
        <w:t>that</w:t>
      </w:r>
      <w:proofErr w:type="spellEnd"/>
      <w:r>
        <w:rPr>
          <w:lang w:val="hu-HU"/>
        </w:rPr>
        <w:t xml:space="preserve"> </w:t>
      </w:r>
      <w:proofErr w:type="spellStart"/>
      <w:r>
        <w:rPr>
          <w:lang w:val="hu-HU"/>
        </w:rPr>
        <w:t>may</w:t>
      </w:r>
      <w:proofErr w:type="spellEnd"/>
      <w:r>
        <w:rPr>
          <w:lang w:val="hu-HU"/>
        </w:rPr>
        <w:t xml:space="preserve"> be </w:t>
      </w:r>
      <w:proofErr w:type="spellStart"/>
      <w:r>
        <w:rPr>
          <w:lang w:val="hu-HU"/>
        </w:rPr>
        <w:t>chargeable</w:t>
      </w:r>
      <w:proofErr w:type="spellEnd"/>
      <w:r>
        <w:rPr>
          <w:lang w:val="hu-HU"/>
        </w:rPr>
        <w:t xml:space="preserve"> </w:t>
      </w:r>
      <w:proofErr w:type="spellStart"/>
      <w:r>
        <w:rPr>
          <w:lang w:val="hu-HU"/>
        </w:rPr>
        <w:t>to</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applicants</w:t>
      </w:r>
      <w:proofErr w:type="spellEnd"/>
      <w:r>
        <w:rPr>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4A" w:rsidRDefault="00613D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4A" w:rsidRPr="00A45145" w:rsidRDefault="00613D4A" w:rsidP="00A45145">
    <w:pPr>
      <w:jc w:val="center"/>
    </w:pPr>
    <w:r>
      <w:rPr>
        <w:noProof/>
        <w:lang w:val="en-US" w:eastAsia="ja-JP"/>
      </w:rPr>
      <w:drawing>
        <wp:inline distT="0" distB="0" distL="0" distR="0" wp14:anchorId="38A44011" wp14:editId="103AA412">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BE1991" w:rsidP="000318F7">
    <w:pPr>
      <w:jc w:val="center"/>
      <w:rPr>
        <w:sz w:val="4"/>
        <w:szCs w:val="4"/>
      </w:rPr>
    </w:pPr>
  </w:p>
  <w:p w:rsidR="00787E12" w:rsidRPr="00497FF8" w:rsidRDefault="00BE19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D4A" w:rsidRPr="00A45145" w:rsidRDefault="00613D4A" w:rsidP="00A45145">
    <w:pPr>
      <w:jc w:val="center"/>
    </w:pPr>
    <w:r>
      <w:rPr>
        <w:noProof/>
        <w:lang w:val="en-US" w:eastAsia="ja-JP"/>
      </w:rPr>
      <w:drawing>
        <wp:inline distT="0" distB="0" distL="0" distR="0" wp14:anchorId="34B4FC7D" wp14:editId="1E4718DC">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BE1991"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13D4A" w:rsidP="006372F5">
    <w:pPr>
      <w:pStyle w:val="JuHeader"/>
    </w:pPr>
    <w:r>
      <w:rPr>
        <w:rStyle w:val="PageNumber"/>
      </w:rPr>
      <w:fldChar w:fldCharType="begin"/>
    </w:r>
    <w:r>
      <w:rPr>
        <w:rStyle w:val="PageNumber"/>
      </w:rPr>
      <w:instrText xml:space="preserve"> PAGE </w:instrText>
    </w:r>
    <w:r>
      <w:rPr>
        <w:rStyle w:val="PageNumber"/>
      </w:rPr>
      <w:fldChar w:fldCharType="separate"/>
    </w:r>
    <w:r w:rsidR="0071176B">
      <w:rPr>
        <w:rStyle w:val="PageNumber"/>
        <w:noProof/>
      </w:rPr>
      <w:t>2</w:t>
    </w:r>
    <w:r>
      <w:rPr>
        <w:rStyle w:val="PageNumber"/>
      </w:rPr>
      <w:fldChar w:fldCharType="end"/>
    </w:r>
    <w:r w:rsidR="0048584C" w:rsidRPr="004D0EC7">
      <w:tab/>
    </w:r>
    <w:r>
      <w:t>KÁLOVICS v. HUNGARY</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613D4A">
      <w:t>KÁLOVICS v. HUNGARY</w:t>
    </w:r>
    <w:r w:rsidRPr="00DE7D3F">
      <w:t xml:space="preserve"> JUDGMENT</w:t>
    </w:r>
    <w:r w:rsidRPr="00DE7D3F">
      <w:tab/>
    </w:r>
    <w:r w:rsidR="00613D4A">
      <w:rPr>
        <w:rStyle w:val="PageNumber"/>
      </w:rPr>
      <w:fldChar w:fldCharType="begin"/>
    </w:r>
    <w:r w:rsidR="00613D4A">
      <w:rPr>
        <w:rStyle w:val="PageNumber"/>
      </w:rPr>
      <w:instrText xml:space="preserve"> PAGE </w:instrText>
    </w:r>
    <w:r w:rsidR="00613D4A">
      <w:rPr>
        <w:rStyle w:val="PageNumber"/>
      </w:rPr>
      <w:fldChar w:fldCharType="separate"/>
    </w:r>
    <w:r w:rsidR="0071176B">
      <w:rPr>
        <w:rStyle w:val="PageNumber"/>
        <w:noProof/>
      </w:rPr>
      <w:t>3</w:t>
    </w:r>
    <w:r w:rsidR="00613D4A">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13D4A"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71176B">
      <w:rPr>
        <w:rStyle w:val="PageNumber"/>
        <w:noProof/>
      </w:rPr>
      <w:t>4</w:t>
    </w:r>
    <w:r>
      <w:rPr>
        <w:rStyle w:val="PageNumber"/>
      </w:rPr>
      <w:fldChar w:fldCharType="end"/>
    </w:r>
    <w:r w:rsidR="0048584C" w:rsidRPr="004D0EC7">
      <w:tab/>
    </w:r>
    <w:r>
      <w:t>KÁLOVICS v. HUNGARY</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613D4A">
      <w:t>KÁLOVICS v. HUNGARY</w:t>
    </w:r>
    <w:r w:rsidRPr="00DE7D3F">
      <w:t xml:space="preserve"> JUDGMENT</w:t>
    </w:r>
    <w:r w:rsidRPr="00DE7D3F">
      <w:tab/>
    </w:r>
    <w:r w:rsidR="00613D4A">
      <w:rPr>
        <w:rStyle w:val="PageNumber"/>
      </w:rPr>
      <w:fldChar w:fldCharType="begin"/>
    </w:r>
    <w:r w:rsidR="00613D4A">
      <w:rPr>
        <w:rStyle w:val="PageNumber"/>
      </w:rPr>
      <w:instrText xml:space="preserve"> PAGE </w:instrText>
    </w:r>
    <w:r w:rsidR="00613D4A">
      <w:rPr>
        <w:rStyle w:val="PageNumber"/>
      </w:rPr>
      <w:fldChar w:fldCharType="separate"/>
    </w:r>
    <w:r w:rsidR="00613D4A">
      <w:rPr>
        <w:rStyle w:val="PageNumber"/>
        <w:noProof/>
      </w:rPr>
      <w:t>1</w:t>
    </w:r>
    <w:r w:rsidR="00613D4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13D4A"/>
    <w:rsid w:val="00036534"/>
    <w:rsid w:val="0015690F"/>
    <w:rsid w:val="00337785"/>
    <w:rsid w:val="0048584C"/>
    <w:rsid w:val="00497FF8"/>
    <w:rsid w:val="00532B86"/>
    <w:rsid w:val="00555A1D"/>
    <w:rsid w:val="00613D4A"/>
    <w:rsid w:val="00660F81"/>
    <w:rsid w:val="0071176B"/>
    <w:rsid w:val="00850C4F"/>
    <w:rsid w:val="00860732"/>
    <w:rsid w:val="00996B52"/>
    <w:rsid w:val="00AC786E"/>
    <w:rsid w:val="00BE1991"/>
    <w:rsid w:val="00D73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5A7A42-D871-4E49-BDAA-71E70562BA3F}"/>
</file>

<file path=customXml/itemProps2.xml><?xml version="1.0" encoding="utf-8"?>
<ds:datastoreItem xmlns:ds="http://schemas.openxmlformats.org/officeDocument/2006/customXml" ds:itemID="{D7F215CC-0610-4D8B-82E5-CC4AFA118540}"/>
</file>

<file path=customXml/itemProps3.xml><?xml version="1.0" encoding="utf-8"?>
<ds:datastoreItem xmlns:ds="http://schemas.openxmlformats.org/officeDocument/2006/customXml" ds:itemID="{250874CD-D975-4F16-8DB9-F7E286B91944}"/>
</file>

<file path=customXml/itemProps4.xml><?xml version="1.0" encoding="utf-8"?>
<ds:datastoreItem xmlns:ds="http://schemas.openxmlformats.org/officeDocument/2006/customXml" ds:itemID="{B498B35C-FED8-4F2B-AA21-68083A94F947}"/>
</file>

<file path=docProps/app.xml><?xml version="1.0" encoding="utf-8"?>
<Properties xmlns="http://schemas.openxmlformats.org/officeDocument/2006/extended-properties" xmlns:vt="http://schemas.openxmlformats.org/officeDocument/2006/docPropsVTypes">
  <Template>Normal.dotm</Template>
  <TotalTime>0</TotalTime>
  <Pages>1</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2019-12-04T14:49:00Z</dcterms:created>
  <dcterms:modified xsi:type="dcterms:W3CDTF">2019-12-04T14:49:00Z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46030/18</vt:lpwstr>
  </property>
  <property fmtid="{D5CDD505-2E9C-101B-9397-08002B2CF9AE}" pid="4" name="CASEID">
    <vt:lpwstr>1404066</vt:lpwstr>
  </property>
  <property fmtid="{D5CDD505-2E9C-101B-9397-08002B2CF9AE}" pid="5" name="ContentTypeId">
    <vt:lpwstr>0x010100558EB02BDB9E204AB350EDD385B68E10</vt:lpwstr>
  </property>
</Properties>
</file>