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D0AB2" w:rsidR="00DE61E0" w:rsidP="00AD0AB2" w:rsidRDefault="00DE61E0">
      <w:pPr>
        <w:jc w:val="center"/>
      </w:pPr>
      <w:bookmarkStart w:name="_GoBack" w:id="0"/>
      <w:bookmarkEnd w:id="0"/>
    </w:p>
    <w:p w:rsidRPr="00AD0AB2" w:rsidR="00DE7BA7" w:rsidP="00AD0AB2" w:rsidRDefault="00DE7BA7">
      <w:pPr>
        <w:jc w:val="center"/>
      </w:pPr>
    </w:p>
    <w:p w:rsidRPr="00AD0AB2" w:rsidR="00DE7BA7" w:rsidP="00AD0AB2" w:rsidRDefault="00DE7BA7">
      <w:pPr>
        <w:jc w:val="center"/>
      </w:pPr>
    </w:p>
    <w:p w:rsidRPr="00AD0AB2" w:rsidR="00DE61E0" w:rsidP="00AD0AB2" w:rsidRDefault="004E5D2C">
      <w:pPr>
        <w:jc w:val="center"/>
      </w:pPr>
      <w:r w:rsidRPr="00AD0AB2">
        <w:t>FIFTH SECTION</w:t>
      </w:r>
    </w:p>
    <w:p w:rsidRPr="00AD0AB2" w:rsidR="00DE61E0" w:rsidP="00AD0AB2" w:rsidRDefault="00DE61E0">
      <w:pPr>
        <w:jc w:val="center"/>
      </w:pPr>
    </w:p>
    <w:p w:rsidRPr="00AD0AB2" w:rsidR="00DE7BA7" w:rsidP="00AD0AB2" w:rsidRDefault="00DE7BA7">
      <w:pPr>
        <w:jc w:val="center"/>
      </w:pPr>
    </w:p>
    <w:p w:rsidRPr="00AD0AB2" w:rsidR="00DE7BA7" w:rsidP="00AD0AB2" w:rsidRDefault="00DE7BA7">
      <w:pPr>
        <w:jc w:val="center"/>
      </w:pPr>
    </w:p>
    <w:p w:rsidRPr="00AD0AB2" w:rsidR="00AD0AB2" w:rsidP="00AD0AB2" w:rsidRDefault="00AD0AB2">
      <w:pPr>
        <w:jc w:val="center"/>
      </w:pPr>
    </w:p>
    <w:p w:rsidRPr="00AD0AB2" w:rsidR="00AD0AB2" w:rsidP="00AD0AB2" w:rsidRDefault="00AD0AB2">
      <w:pPr>
        <w:jc w:val="center"/>
      </w:pPr>
    </w:p>
    <w:p w:rsidRPr="00AD0AB2" w:rsidR="00DE7BA7" w:rsidP="00AD0AB2" w:rsidRDefault="00DE7BA7">
      <w:pPr>
        <w:jc w:val="center"/>
      </w:pPr>
    </w:p>
    <w:p w:rsidRPr="00AD0AB2" w:rsidR="00DE7BA7" w:rsidP="00AD0AB2" w:rsidRDefault="00DE7BA7">
      <w:pPr>
        <w:jc w:val="center"/>
      </w:pPr>
    </w:p>
    <w:p w:rsidRPr="00AD0AB2" w:rsidR="00DE7BA7" w:rsidP="00AD0AB2" w:rsidRDefault="00DE7BA7">
      <w:pPr>
        <w:jc w:val="center"/>
      </w:pPr>
    </w:p>
    <w:p w:rsidRPr="00AD0AB2" w:rsidR="004E5D2C" w:rsidP="00AD0AB2" w:rsidRDefault="004E5D2C">
      <w:pPr>
        <w:jc w:val="center"/>
        <w:rPr>
          <w:i/>
        </w:rPr>
      </w:pPr>
      <w:bookmarkStart w:name="To" w:id="1"/>
      <w:r w:rsidRPr="00AD0AB2">
        <w:rPr>
          <w:b/>
        </w:rPr>
        <w:t xml:space="preserve">CASE OF </w:t>
      </w:r>
      <w:bookmarkEnd w:id="1"/>
      <w:r w:rsidRPr="00AD0AB2">
        <w:rPr>
          <w:b/>
        </w:rPr>
        <w:t>ANDERSONE v. LATVIA</w:t>
      </w:r>
    </w:p>
    <w:p w:rsidRPr="00AD0AB2" w:rsidR="004E5D2C" w:rsidP="00AD0AB2" w:rsidRDefault="004E5D2C">
      <w:pPr>
        <w:jc w:val="center"/>
        <w:rPr>
          <w:i/>
        </w:rPr>
      </w:pPr>
    </w:p>
    <w:p w:rsidRPr="00AD0AB2" w:rsidR="004E5D2C" w:rsidP="00AD0AB2" w:rsidRDefault="004E5D2C">
      <w:pPr>
        <w:jc w:val="center"/>
        <w:rPr>
          <w:i/>
        </w:rPr>
      </w:pPr>
      <w:r w:rsidRPr="00AD0AB2">
        <w:rPr>
          <w:i/>
        </w:rPr>
        <w:t>(Application no. 301/12)</w:t>
      </w:r>
    </w:p>
    <w:p w:rsidRPr="00AD0AB2" w:rsidR="004E5D2C" w:rsidP="00AD0AB2" w:rsidRDefault="004E5D2C">
      <w:pPr>
        <w:jc w:val="center"/>
      </w:pPr>
    </w:p>
    <w:p w:rsidRPr="00AD0AB2" w:rsidR="004E5D2C" w:rsidP="00AD0AB2" w:rsidRDefault="004E5D2C">
      <w:pPr>
        <w:jc w:val="center"/>
        <w:rPr>
          <w:szCs w:val="24"/>
        </w:rPr>
      </w:pPr>
    </w:p>
    <w:p w:rsidRPr="00AD0AB2" w:rsidR="004E5D2C" w:rsidP="00AD0AB2" w:rsidRDefault="004E5D2C">
      <w:pPr>
        <w:jc w:val="center"/>
        <w:rPr>
          <w:szCs w:val="24"/>
        </w:rPr>
      </w:pPr>
    </w:p>
    <w:p w:rsidRPr="00AD0AB2" w:rsidR="00AD0AB2" w:rsidP="00AD0AB2" w:rsidRDefault="00AD0AB2">
      <w:pPr>
        <w:jc w:val="center"/>
        <w:rPr>
          <w:szCs w:val="24"/>
        </w:rPr>
      </w:pPr>
    </w:p>
    <w:p w:rsidRPr="00AD0AB2" w:rsidR="004E5D2C" w:rsidP="00AD0AB2" w:rsidRDefault="004E5D2C">
      <w:pPr>
        <w:jc w:val="center"/>
        <w:rPr>
          <w:szCs w:val="24"/>
        </w:rPr>
      </w:pPr>
    </w:p>
    <w:p w:rsidRPr="00AD0AB2" w:rsidR="00AD0AB2" w:rsidP="00AD0AB2" w:rsidRDefault="00AD0AB2">
      <w:pPr>
        <w:jc w:val="center"/>
        <w:rPr>
          <w:szCs w:val="24"/>
        </w:rPr>
      </w:pPr>
    </w:p>
    <w:p w:rsidRPr="00AD0AB2" w:rsidR="004E5D2C" w:rsidP="00AD0AB2" w:rsidRDefault="004E5D2C">
      <w:pPr>
        <w:jc w:val="center"/>
        <w:rPr>
          <w:szCs w:val="24"/>
        </w:rPr>
      </w:pPr>
    </w:p>
    <w:p w:rsidRPr="00AD0AB2" w:rsidR="004E5D2C" w:rsidP="00AD0AB2" w:rsidRDefault="004E5D2C">
      <w:pPr>
        <w:jc w:val="center"/>
        <w:rPr>
          <w:szCs w:val="24"/>
        </w:rPr>
      </w:pPr>
    </w:p>
    <w:p w:rsidRPr="00AD0AB2" w:rsidR="004E5D2C" w:rsidP="00AD0AB2" w:rsidRDefault="004E5D2C">
      <w:pPr>
        <w:jc w:val="center"/>
        <w:rPr>
          <w:szCs w:val="24"/>
        </w:rPr>
      </w:pPr>
    </w:p>
    <w:p w:rsidRPr="00AD0AB2" w:rsidR="00420969" w:rsidP="00AD0AB2" w:rsidRDefault="00DE7BA7">
      <w:pPr>
        <w:pStyle w:val="ECHRPara"/>
        <w:jc w:val="center"/>
      </w:pPr>
      <w:r w:rsidRPr="00AD0AB2">
        <w:t>JUDGMENT</w:t>
      </w:r>
    </w:p>
    <w:p w:rsidRPr="00AD0AB2" w:rsidR="00DE7BA7" w:rsidP="00AD0AB2" w:rsidRDefault="00DE7BA7">
      <w:pPr>
        <w:pStyle w:val="ECHRPara"/>
        <w:ind w:firstLine="0"/>
        <w:jc w:val="center"/>
      </w:pPr>
    </w:p>
    <w:p w:rsidRPr="00AD0AB2" w:rsidR="00AD0AB2" w:rsidP="00AD0AB2" w:rsidRDefault="00AD0AB2">
      <w:pPr>
        <w:pStyle w:val="ECHRPara"/>
        <w:ind w:firstLine="0"/>
        <w:jc w:val="center"/>
      </w:pPr>
    </w:p>
    <w:p w:rsidRPr="00AD0AB2" w:rsidR="00AD0AB2" w:rsidP="00AD0AB2" w:rsidRDefault="00AD0AB2">
      <w:pPr>
        <w:pStyle w:val="ECHRPara"/>
        <w:ind w:firstLine="0"/>
        <w:jc w:val="center"/>
      </w:pPr>
    </w:p>
    <w:p w:rsidRPr="00AD0AB2" w:rsidR="00AD0AB2" w:rsidP="00AD0AB2" w:rsidRDefault="00AD0AB2">
      <w:pPr>
        <w:pStyle w:val="ECHRPara"/>
        <w:ind w:firstLine="0"/>
        <w:jc w:val="center"/>
      </w:pPr>
    </w:p>
    <w:p w:rsidRPr="00AD0AB2" w:rsidR="00AD0AB2" w:rsidP="00AD0AB2" w:rsidRDefault="00AD0AB2">
      <w:pPr>
        <w:pStyle w:val="ECHRPara"/>
        <w:ind w:firstLine="0"/>
        <w:jc w:val="center"/>
      </w:pPr>
    </w:p>
    <w:p w:rsidRPr="00AD0AB2" w:rsidR="00AD0AB2" w:rsidP="00AD0AB2" w:rsidRDefault="00AD0AB2">
      <w:pPr>
        <w:pStyle w:val="ECHRPara"/>
        <w:ind w:firstLine="0"/>
        <w:jc w:val="center"/>
      </w:pPr>
    </w:p>
    <w:p w:rsidRPr="00AD0AB2" w:rsidR="00DE7BA7" w:rsidP="00AD0AB2" w:rsidRDefault="00DE7BA7">
      <w:pPr>
        <w:pStyle w:val="ECHRPara"/>
        <w:ind w:firstLine="0"/>
        <w:jc w:val="center"/>
      </w:pPr>
    </w:p>
    <w:p w:rsidRPr="00AD0AB2" w:rsidR="00DE7BA7" w:rsidP="00AD0AB2" w:rsidRDefault="00DE7BA7">
      <w:pPr>
        <w:pStyle w:val="JuCase"/>
        <w:ind w:firstLine="0"/>
        <w:jc w:val="center"/>
        <w:rPr>
          <w:b w:val="0"/>
        </w:rPr>
      </w:pPr>
      <w:r w:rsidRPr="00AD0AB2">
        <w:rPr>
          <w:b w:val="0"/>
        </w:rPr>
        <w:t>STRASBOURG</w:t>
      </w:r>
    </w:p>
    <w:p w:rsidRPr="00AD0AB2" w:rsidR="00DE7BA7" w:rsidP="00AD0AB2" w:rsidRDefault="00DE7BA7">
      <w:pPr>
        <w:pStyle w:val="JuCase"/>
        <w:ind w:firstLine="0"/>
        <w:jc w:val="center"/>
        <w:rPr>
          <w:b w:val="0"/>
        </w:rPr>
      </w:pPr>
    </w:p>
    <w:p w:rsidRPr="00AD0AB2" w:rsidR="00DE7BA7" w:rsidP="00AD0AB2" w:rsidRDefault="00DE7BA7">
      <w:pPr>
        <w:pStyle w:val="JuCase"/>
        <w:ind w:firstLine="0"/>
        <w:jc w:val="center"/>
        <w:rPr>
          <w:b w:val="0"/>
          <w:bCs/>
        </w:rPr>
      </w:pPr>
      <w:r w:rsidRPr="00AD0AB2">
        <w:rPr>
          <w:b w:val="0"/>
          <w:bCs/>
        </w:rPr>
        <w:t>5 September 2019</w:t>
      </w:r>
    </w:p>
    <w:p w:rsidRPr="00AD0AB2" w:rsidR="00DE7BA7" w:rsidP="00AD0AB2" w:rsidRDefault="00DE7BA7">
      <w:pPr>
        <w:pStyle w:val="ECHRPara"/>
        <w:ind w:firstLine="0"/>
        <w:jc w:val="center"/>
      </w:pPr>
    </w:p>
    <w:p w:rsidRPr="00AD0AB2" w:rsidR="00DE7BA7" w:rsidP="00AD0AB2" w:rsidRDefault="00DE7BA7">
      <w:pPr>
        <w:pStyle w:val="ECHRPara"/>
        <w:ind w:firstLine="0"/>
        <w:jc w:val="center"/>
      </w:pPr>
    </w:p>
    <w:p w:rsidRPr="00AD0AB2" w:rsidR="00DE7BA7" w:rsidP="00AD0AB2" w:rsidRDefault="00DE7BA7">
      <w:pPr>
        <w:pStyle w:val="JuCase"/>
        <w:ind w:firstLine="0"/>
        <w:jc w:val="center"/>
        <w:rPr>
          <w:b w:val="0"/>
        </w:rPr>
      </w:pPr>
    </w:p>
    <w:p w:rsidRPr="00AD0AB2" w:rsidR="00595619" w:rsidP="00AD0AB2" w:rsidRDefault="00DE7BA7">
      <w:pPr>
        <w:pStyle w:val="JuCase"/>
        <w:ind w:firstLine="0"/>
        <w:jc w:val="left"/>
        <w:rPr>
          <w:b w:val="0"/>
          <w:bCs/>
        </w:rPr>
      </w:pPr>
      <w:r w:rsidRPr="00AD0AB2">
        <w:rPr>
          <w:b w:val="0"/>
          <w:bCs/>
          <w:i/>
          <w:sz w:val="22"/>
        </w:rPr>
        <w:t>This judgment is final but it may be subject to editorial revision.</w:t>
      </w:r>
    </w:p>
    <w:p w:rsidRPr="00AD0AB2" w:rsidR="00DE7BA7" w:rsidP="00AD0AB2" w:rsidRDefault="00DE7BA7">
      <w:pPr>
        <w:pStyle w:val="JuCase"/>
        <w:sectPr w:rsidRPr="00AD0AB2" w:rsidR="00DE7BA7" w:rsidSect="00DE7BA7">
          <w:headerReference w:type="default" r:id="rId8"/>
          <w:headerReference w:type="first" r:id="rId9"/>
          <w:footerReference w:type="first" r:id="rId10"/>
          <w:footnotePr>
            <w:numRestart w:val="eachSect"/>
          </w:footnotePr>
          <w:pgSz w:w="11906" w:h="16838" w:code="9"/>
          <w:pgMar w:top="2274" w:right="2274" w:bottom="1843" w:left="2274" w:header="1701" w:footer="720" w:gutter="0"/>
          <w:pgNumType w:start="1"/>
          <w:cols w:space="720"/>
          <w:titlePg/>
          <w:docGrid w:linePitch="326"/>
        </w:sectPr>
      </w:pPr>
    </w:p>
    <w:p w:rsidRPr="00AD0AB2" w:rsidR="00DE7BA7" w:rsidP="00AD0AB2" w:rsidRDefault="004E5D2C">
      <w:pPr>
        <w:pStyle w:val="JuCase"/>
        <w:rPr>
          <w:b w:val="0"/>
        </w:rPr>
      </w:pPr>
      <w:r w:rsidRPr="00AD0AB2">
        <w:t xml:space="preserve">In the case of </w:t>
      </w:r>
      <w:proofErr w:type="spellStart"/>
      <w:r w:rsidRPr="00AD0AB2">
        <w:t>Andersone</w:t>
      </w:r>
      <w:proofErr w:type="spellEnd"/>
      <w:r w:rsidRPr="00AD0AB2">
        <w:t xml:space="preserve"> v. Latvia,</w:t>
      </w:r>
    </w:p>
    <w:p w:rsidRPr="00AD0AB2" w:rsidR="004E5D2C" w:rsidP="00AD0AB2" w:rsidRDefault="004E5D2C">
      <w:pPr>
        <w:pStyle w:val="ECHRPara"/>
        <w:rPr>
          <w:b/>
        </w:rPr>
      </w:pPr>
      <w:r w:rsidRPr="00AD0AB2">
        <w:t>The European Court of Human Rights (Fifth Section), sitting as a Committee composed of:</w:t>
      </w:r>
    </w:p>
    <w:p w:rsidRPr="00AD0AB2" w:rsidR="004E5D2C" w:rsidP="00AD0AB2" w:rsidRDefault="00DE7BA7">
      <w:pPr>
        <w:pStyle w:val="ECHRDecisionBody"/>
      </w:pPr>
      <w:r w:rsidRPr="00AD0AB2">
        <w:tab/>
        <w:t xml:space="preserve">André </w:t>
      </w:r>
      <w:proofErr w:type="spellStart"/>
      <w:r w:rsidRPr="00AD0AB2">
        <w:t>Potocki</w:t>
      </w:r>
      <w:proofErr w:type="spellEnd"/>
      <w:r w:rsidRPr="00AD0AB2">
        <w:t>,</w:t>
      </w:r>
      <w:r w:rsidRPr="00AD0AB2">
        <w:rPr>
          <w:i/>
        </w:rPr>
        <w:t xml:space="preserve"> President,</w:t>
      </w:r>
      <w:r w:rsidRPr="00AD0AB2">
        <w:rPr>
          <w:i/>
        </w:rPr>
        <w:br/>
      </w:r>
      <w:r w:rsidRPr="00AD0AB2">
        <w:tab/>
      </w:r>
      <w:proofErr w:type="spellStart"/>
      <w:r w:rsidRPr="00AD0AB2">
        <w:t>Mārtiņš</w:t>
      </w:r>
      <w:proofErr w:type="spellEnd"/>
      <w:r w:rsidRPr="00AD0AB2">
        <w:t xml:space="preserve"> </w:t>
      </w:r>
      <w:proofErr w:type="spellStart"/>
      <w:r w:rsidRPr="00AD0AB2">
        <w:t>Mits</w:t>
      </w:r>
      <w:proofErr w:type="spellEnd"/>
      <w:r w:rsidRPr="00AD0AB2">
        <w:t>,</w:t>
      </w:r>
      <w:r w:rsidRPr="00AD0AB2">
        <w:rPr>
          <w:i/>
        </w:rPr>
        <w:br/>
      </w:r>
      <w:r w:rsidRPr="00AD0AB2">
        <w:tab/>
      </w:r>
      <w:proofErr w:type="spellStart"/>
      <w:r w:rsidRPr="00AD0AB2">
        <w:t>Lәtif</w:t>
      </w:r>
      <w:proofErr w:type="spellEnd"/>
      <w:r w:rsidRPr="00AD0AB2">
        <w:t xml:space="preserve"> </w:t>
      </w:r>
      <w:proofErr w:type="spellStart"/>
      <w:r w:rsidRPr="00AD0AB2">
        <w:t>Hüseynov</w:t>
      </w:r>
      <w:proofErr w:type="spellEnd"/>
      <w:r w:rsidRPr="00AD0AB2">
        <w:t>,</w:t>
      </w:r>
      <w:r w:rsidRPr="00AD0AB2">
        <w:rPr>
          <w:i/>
        </w:rPr>
        <w:t xml:space="preserve"> judges,</w:t>
      </w:r>
    </w:p>
    <w:p w:rsidRPr="00AD0AB2" w:rsidR="004E5D2C" w:rsidP="00AD0AB2" w:rsidRDefault="004E5D2C">
      <w:pPr>
        <w:pStyle w:val="ECHRDecisionBody"/>
      </w:pPr>
      <w:proofErr w:type="gramStart"/>
      <w:r w:rsidRPr="00AD0AB2">
        <w:t>and</w:t>
      </w:r>
      <w:proofErr w:type="gramEnd"/>
      <w:r w:rsidRPr="00AD0AB2">
        <w:t xml:space="preserve"> Milan Blaško, </w:t>
      </w:r>
      <w:r w:rsidRPr="00AD0AB2">
        <w:rPr>
          <w:i/>
        </w:rPr>
        <w:t xml:space="preserve">Deputy Section </w:t>
      </w:r>
      <w:r w:rsidRPr="00AD0AB2">
        <w:rPr>
          <w:i/>
          <w:iCs/>
        </w:rPr>
        <w:t>Registrar</w:t>
      </w:r>
      <w:r w:rsidRPr="00AD0AB2">
        <w:rPr>
          <w:i/>
        </w:rPr>
        <w:t>,</w:t>
      </w:r>
    </w:p>
    <w:p w:rsidRPr="00AD0AB2" w:rsidR="004E5D2C" w:rsidP="00AD0AB2" w:rsidRDefault="004E5D2C">
      <w:pPr>
        <w:pStyle w:val="ECHRPara"/>
      </w:pPr>
      <w:r w:rsidRPr="00AD0AB2">
        <w:t xml:space="preserve">Having deliberated in private on </w:t>
      </w:r>
      <w:r w:rsidRPr="00AD0AB2" w:rsidR="00DE7BA7">
        <w:t>9 July 2019</w:t>
      </w:r>
      <w:r w:rsidRPr="00AD0AB2">
        <w:t>,</w:t>
      </w:r>
    </w:p>
    <w:p w:rsidRPr="00AD0AB2" w:rsidR="004E5D2C" w:rsidP="00AD0AB2" w:rsidRDefault="004E5D2C">
      <w:pPr>
        <w:pStyle w:val="ECHRPara"/>
      </w:pPr>
      <w:r w:rsidRPr="00AD0AB2">
        <w:t>Delivers the following judgment, which was adopted on that date:</w:t>
      </w:r>
    </w:p>
    <w:p w:rsidRPr="00AD0AB2" w:rsidR="004E5D2C" w:rsidP="00AD0AB2" w:rsidRDefault="004E5D2C">
      <w:pPr>
        <w:pStyle w:val="ECHRTitle1"/>
      </w:pPr>
      <w:r w:rsidRPr="00AD0AB2">
        <w:t>PROCEDURE</w:t>
      </w:r>
    </w:p>
    <w:p w:rsidRPr="00AD0AB2" w:rsidR="004E5D2C" w:rsidP="00AD0AB2" w:rsidRDefault="004E5D2C">
      <w:pPr>
        <w:pStyle w:val="ECHRPara"/>
      </w:pPr>
      <w:r w:rsidRPr="00AD0AB2">
        <w:fldChar w:fldCharType="begin"/>
      </w:r>
      <w:r w:rsidRPr="00AD0AB2">
        <w:instrText xml:space="preserve"> SEQ level0 \*arabic </w:instrText>
      </w:r>
      <w:r w:rsidRPr="00AD0AB2">
        <w:fldChar w:fldCharType="separate"/>
      </w:r>
      <w:r w:rsidRPr="00AD0AB2" w:rsidR="00AD0AB2">
        <w:rPr>
          <w:noProof/>
        </w:rPr>
        <w:t>1</w:t>
      </w:r>
      <w:r w:rsidRPr="00AD0AB2">
        <w:fldChar w:fldCharType="end"/>
      </w:r>
      <w:r w:rsidRPr="00AD0AB2">
        <w:t>.  The case originated in an application (no. 301/12) against the Republic of Latvia lodged with the Court under Article 34 of the Convention for the Protection of Human Rights and Fundamental Freedoms (“the Convention”) by a Latvian</w:t>
      </w:r>
      <w:r w:rsidRPr="00AD0AB2" w:rsidR="003252C5">
        <w:rPr>
          <w:color w:val="C00000" w:themeColor="accent2"/>
        </w:rPr>
        <w:t xml:space="preserve"> </w:t>
      </w:r>
      <w:r w:rsidRPr="00AD0AB2">
        <w:t xml:space="preserve">national, Ms </w:t>
      </w:r>
      <w:proofErr w:type="spellStart"/>
      <w:r w:rsidRPr="00AD0AB2">
        <w:t>Tatjana</w:t>
      </w:r>
      <w:proofErr w:type="spellEnd"/>
      <w:r w:rsidRPr="00AD0AB2">
        <w:t xml:space="preserve"> </w:t>
      </w:r>
      <w:proofErr w:type="spellStart"/>
      <w:r w:rsidRPr="00AD0AB2">
        <w:t>Andersone</w:t>
      </w:r>
      <w:proofErr w:type="spellEnd"/>
      <w:r w:rsidRPr="00AD0AB2">
        <w:t xml:space="preserve"> (“the</w:t>
      </w:r>
      <w:r w:rsidRPr="00AD0AB2" w:rsidR="00AD0AB2">
        <w:t xml:space="preserve"> applicant”), on 7 </w:t>
      </w:r>
      <w:r w:rsidRPr="00AD0AB2">
        <w:t>December 2011.</w:t>
      </w:r>
    </w:p>
    <w:p w:rsidRPr="00AD0AB2" w:rsidR="004E5D2C" w:rsidP="00AD0AB2" w:rsidRDefault="004E5D2C">
      <w:pPr>
        <w:pStyle w:val="ECHRPara"/>
      </w:pPr>
      <w:r w:rsidRPr="00AD0AB2">
        <w:fldChar w:fldCharType="begin"/>
      </w:r>
      <w:r w:rsidRPr="00AD0AB2">
        <w:instrText xml:space="preserve"> SEQ level0 \*arabic </w:instrText>
      </w:r>
      <w:r w:rsidRPr="00AD0AB2">
        <w:fldChar w:fldCharType="separate"/>
      </w:r>
      <w:r w:rsidRPr="00AD0AB2" w:rsidR="00AD0AB2">
        <w:rPr>
          <w:noProof/>
        </w:rPr>
        <w:t>2</w:t>
      </w:r>
      <w:r w:rsidRPr="00AD0AB2">
        <w:fldChar w:fldCharType="end"/>
      </w:r>
      <w:r w:rsidRPr="00AD0AB2">
        <w:t xml:space="preserve">.  The Latvian Government (“the Government”) were represented by their Agent, Ms </w:t>
      </w:r>
      <w:r w:rsidRPr="00AD0AB2" w:rsidR="003252C5">
        <w:t>K. </w:t>
      </w:r>
      <w:proofErr w:type="spellStart"/>
      <w:r w:rsidRPr="00AD0AB2" w:rsidR="003252C5">
        <w:t>Līce</w:t>
      </w:r>
      <w:proofErr w:type="spellEnd"/>
      <w:r w:rsidRPr="00AD0AB2" w:rsidR="004E5EC4">
        <w:t>.</w:t>
      </w:r>
    </w:p>
    <w:p w:rsidRPr="00AD0AB2" w:rsidR="004E5D2C" w:rsidP="00AD0AB2" w:rsidRDefault="004E5D2C">
      <w:pPr>
        <w:pStyle w:val="ECHRPara"/>
      </w:pPr>
      <w:r w:rsidRPr="00AD0AB2">
        <w:fldChar w:fldCharType="begin"/>
      </w:r>
      <w:r w:rsidRPr="00AD0AB2">
        <w:instrText xml:space="preserve"> SEQ level0 \*arabic </w:instrText>
      </w:r>
      <w:r w:rsidRPr="00AD0AB2">
        <w:fldChar w:fldCharType="separate"/>
      </w:r>
      <w:r w:rsidRPr="00AD0AB2" w:rsidR="00AD0AB2">
        <w:rPr>
          <w:noProof/>
        </w:rPr>
        <w:t>3</w:t>
      </w:r>
      <w:r w:rsidRPr="00AD0AB2">
        <w:fldChar w:fldCharType="end"/>
      </w:r>
      <w:r w:rsidRPr="00AD0AB2">
        <w:t xml:space="preserve">.  On </w:t>
      </w:r>
      <w:r w:rsidRPr="00AD0AB2">
        <w:rPr>
          <w:szCs w:val="24"/>
        </w:rPr>
        <w:t>2 April 2014</w:t>
      </w:r>
      <w:r w:rsidRPr="00AD0AB2">
        <w:t xml:space="preserve"> notice of the complaint concerning the length of proceedings was given to the Government and the remainder of the application was declared inadmissible</w:t>
      </w:r>
      <w:r w:rsidRPr="00AD0AB2">
        <w:rPr>
          <w:szCs w:val="24"/>
        </w:rPr>
        <w:t xml:space="preserve"> </w:t>
      </w:r>
      <w:r w:rsidRPr="00AD0AB2">
        <w:t>pursuant to Rule 54 § 3 of the Rules of Court.</w:t>
      </w:r>
    </w:p>
    <w:p w:rsidRPr="00AD0AB2" w:rsidR="004E5D2C" w:rsidP="00AD0AB2" w:rsidRDefault="004E5D2C">
      <w:pPr>
        <w:pStyle w:val="ECHRTitle1"/>
      </w:pPr>
      <w:r w:rsidRPr="00AD0AB2">
        <w:t>THE FACTS</w:t>
      </w:r>
    </w:p>
    <w:p w:rsidRPr="00AD0AB2" w:rsidR="004E5D2C" w:rsidP="00AD0AB2" w:rsidRDefault="004E5D2C">
      <w:pPr>
        <w:pStyle w:val="ECHRPara"/>
      </w:pPr>
      <w:r w:rsidRPr="00AD0AB2">
        <w:fldChar w:fldCharType="begin"/>
      </w:r>
      <w:r w:rsidRPr="00AD0AB2">
        <w:instrText xml:space="preserve"> SEQ level0 \*arabic </w:instrText>
      </w:r>
      <w:r w:rsidRPr="00AD0AB2">
        <w:fldChar w:fldCharType="separate"/>
      </w:r>
      <w:r w:rsidRPr="00AD0AB2" w:rsidR="00AD0AB2">
        <w:rPr>
          <w:noProof/>
        </w:rPr>
        <w:t>4</w:t>
      </w:r>
      <w:r w:rsidRPr="00AD0AB2">
        <w:fldChar w:fldCharType="end"/>
      </w:r>
      <w:r w:rsidRPr="00AD0AB2">
        <w:t xml:space="preserve">.  The applicant was born in 1978 and lives in </w:t>
      </w:r>
      <w:proofErr w:type="spellStart"/>
      <w:r w:rsidRPr="00AD0AB2">
        <w:t>Kalnciems</w:t>
      </w:r>
      <w:proofErr w:type="spellEnd"/>
      <w:r w:rsidRPr="00AD0AB2">
        <w:t>.</w:t>
      </w:r>
    </w:p>
    <w:p w:rsidRPr="00AD0AB2" w:rsidR="002E4D10" w:rsidP="00AD0AB2" w:rsidRDefault="004E5D2C">
      <w:pPr>
        <w:pStyle w:val="ECHRPara"/>
      </w:pPr>
      <w:r w:rsidRPr="00AD0AB2">
        <w:fldChar w:fldCharType="begin"/>
      </w:r>
      <w:r w:rsidRPr="00AD0AB2">
        <w:instrText xml:space="preserve"> SEQ level0 \*arabic </w:instrText>
      </w:r>
      <w:r w:rsidRPr="00AD0AB2">
        <w:fldChar w:fldCharType="separate"/>
      </w:r>
      <w:r w:rsidRPr="00AD0AB2" w:rsidR="00AD0AB2">
        <w:rPr>
          <w:noProof/>
        </w:rPr>
        <w:t>5</w:t>
      </w:r>
      <w:r w:rsidRPr="00AD0AB2">
        <w:fldChar w:fldCharType="end"/>
      </w:r>
      <w:r w:rsidRPr="00AD0AB2">
        <w:t>.  </w:t>
      </w:r>
      <w:r w:rsidRPr="00AD0AB2" w:rsidR="003252C5">
        <w:t>On 11 October 1999 the applicant lodged a defamation claim against two police officers and the Ministry of Internal Affairs</w:t>
      </w:r>
      <w:r w:rsidRPr="00AD0AB2" w:rsidR="004927B9">
        <w:t xml:space="preserve">. </w:t>
      </w:r>
      <w:r w:rsidRPr="00AD0AB2" w:rsidR="0059674D">
        <w:t>Judges</w:t>
      </w:r>
      <w:r w:rsidRPr="00AD0AB2" w:rsidR="002E4D10">
        <w:t xml:space="preserve"> of two district courts recused themselves </w:t>
      </w:r>
      <w:r w:rsidRPr="00AD0AB2" w:rsidR="0059674D">
        <w:t xml:space="preserve">from the </w:t>
      </w:r>
      <w:r w:rsidRPr="00AD0AB2" w:rsidR="004E5EC4">
        <w:t>case. O</w:t>
      </w:r>
      <w:r w:rsidRPr="00AD0AB2" w:rsidR="002E4D10">
        <w:t xml:space="preserve">n 10 February 2000 </w:t>
      </w:r>
      <w:r w:rsidRPr="00AD0AB2" w:rsidR="00A52E16">
        <w:t xml:space="preserve">the </w:t>
      </w:r>
      <w:r w:rsidRPr="00AD0AB2" w:rsidR="002E4D10">
        <w:t>Bauska District Court received the case and beg</w:t>
      </w:r>
      <w:r w:rsidRPr="00AD0AB2" w:rsidR="00E807D5">
        <w:t>a</w:t>
      </w:r>
      <w:r w:rsidRPr="00AD0AB2" w:rsidR="002E4D10">
        <w:t>n the examination.</w:t>
      </w:r>
    </w:p>
    <w:p w:rsidRPr="00AD0AB2" w:rsidR="0059674D" w:rsidP="00AD0AB2" w:rsidRDefault="00B43FD3">
      <w:pPr>
        <w:pStyle w:val="ECHRPara"/>
      </w:pPr>
      <w:r w:rsidRPr="00AD0AB2">
        <w:fldChar w:fldCharType="begin"/>
      </w:r>
      <w:r w:rsidRPr="00AD0AB2">
        <w:instrText xml:space="preserve"> SEQ level0 \*arabic </w:instrText>
      </w:r>
      <w:r w:rsidRPr="00AD0AB2">
        <w:fldChar w:fldCharType="separate"/>
      </w:r>
      <w:r w:rsidRPr="00AD0AB2" w:rsidR="00AD0AB2">
        <w:rPr>
          <w:noProof/>
        </w:rPr>
        <w:t>6</w:t>
      </w:r>
      <w:r w:rsidRPr="00AD0AB2">
        <w:fldChar w:fldCharType="end"/>
      </w:r>
      <w:r w:rsidRPr="00AD0AB2">
        <w:t>.  </w:t>
      </w:r>
      <w:r w:rsidRPr="00AD0AB2" w:rsidR="000A70D1">
        <w:t xml:space="preserve">On </w:t>
      </w:r>
      <w:r w:rsidRPr="00AD0AB2" w:rsidR="002E4D10">
        <w:t xml:space="preserve">22 November 2001 </w:t>
      </w:r>
      <w:r w:rsidRPr="00AD0AB2" w:rsidR="0059674D">
        <w:t xml:space="preserve">the proceedings were suspended </w:t>
      </w:r>
      <w:r w:rsidRPr="00AD0AB2" w:rsidR="000A70D1">
        <w:t xml:space="preserve">so that </w:t>
      </w:r>
      <w:r w:rsidRPr="00AD0AB2" w:rsidR="0059674D">
        <w:t>the applicant</w:t>
      </w:r>
      <w:r w:rsidRPr="00AD0AB2" w:rsidR="000A70D1">
        <w:t xml:space="preserve"> could</w:t>
      </w:r>
      <w:r w:rsidRPr="00AD0AB2" w:rsidR="0059674D">
        <w:t xml:space="preserve"> obtain an expert opinion. </w:t>
      </w:r>
      <w:r w:rsidRPr="00AD0AB2" w:rsidR="00C668B4">
        <w:t>O</w:t>
      </w:r>
      <w:r w:rsidRPr="00AD0AB2" w:rsidR="004A19DD">
        <w:t xml:space="preserve">n 4 February 2002 </w:t>
      </w:r>
      <w:r w:rsidRPr="00AD0AB2" w:rsidR="004927B9">
        <w:t xml:space="preserve">the Bauska District Court invited the applicant to fulfil her obligation to cover the expenses and submit </w:t>
      </w:r>
      <w:r w:rsidRPr="00AD0AB2" w:rsidR="004E5EC4">
        <w:t>a voice</w:t>
      </w:r>
      <w:r w:rsidRPr="00AD0AB2" w:rsidR="004927B9">
        <w:t xml:space="preserve"> sample</w:t>
      </w:r>
      <w:r w:rsidRPr="00AD0AB2" w:rsidR="00E13326">
        <w:t>, which was needed</w:t>
      </w:r>
      <w:r w:rsidRPr="00AD0AB2" w:rsidR="00E807D5">
        <w:t xml:space="preserve"> </w:t>
      </w:r>
      <w:r w:rsidRPr="00AD0AB2" w:rsidR="004927B9">
        <w:t xml:space="preserve">for the experts to carry out </w:t>
      </w:r>
      <w:r w:rsidRPr="00AD0AB2" w:rsidR="000F2664">
        <w:t xml:space="preserve">an </w:t>
      </w:r>
      <w:r w:rsidRPr="00AD0AB2" w:rsidR="004A19DD">
        <w:t>assessment</w:t>
      </w:r>
      <w:r w:rsidRPr="00AD0AB2" w:rsidR="004927B9">
        <w:t>.</w:t>
      </w:r>
      <w:r w:rsidRPr="00AD0AB2" w:rsidR="0059674D">
        <w:t xml:space="preserve"> </w:t>
      </w:r>
      <w:r w:rsidRPr="00AD0AB2" w:rsidR="004A19DD">
        <w:t xml:space="preserve">On 25 May 2002 the Bauska District Court requested the applicant to </w:t>
      </w:r>
      <w:r w:rsidRPr="00AD0AB2" w:rsidR="00C668B4">
        <w:t xml:space="preserve">provide </w:t>
      </w:r>
      <w:r w:rsidRPr="00AD0AB2" w:rsidR="004A19DD">
        <w:t>inform</w:t>
      </w:r>
      <w:r w:rsidRPr="00AD0AB2" w:rsidR="00C668B4">
        <w:t xml:space="preserve">ation as to </w:t>
      </w:r>
      <w:r w:rsidRPr="00AD0AB2" w:rsidR="004A19DD">
        <w:t xml:space="preserve">whether those duties had been </w:t>
      </w:r>
      <w:r w:rsidRPr="00AD0AB2" w:rsidR="00C668B4">
        <w:t>complied with</w:t>
      </w:r>
      <w:r w:rsidRPr="00AD0AB2" w:rsidR="004A19DD">
        <w:t xml:space="preserve">. It </w:t>
      </w:r>
      <w:r w:rsidRPr="00AD0AB2" w:rsidR="00C668B4">
        <w:t xml:space="preserve">also </w:t>
      </w:r>
      <w:r w:rsidRPr="00AD0AB2" w:rsidR="004A19DD">
        <w:t xml:space="preserve">noted that </w:t>
      </w:r>
      <w:r w:rsidRPr="00AD0AB2" w:rsidR="00C668B4">
        <w:t xml:space="preserve">this </w:t>
      </w:r>
      <w:r w:rsidRPr="00AD0AB2" w:rsidR="004E15DC">
        <w:t>delay</w:t>
      </w:r>
      <w:r w:rsidRPr="00AD0AB2" w:rsidR="00C668B4">
        <w:t xml:space="preserve"> was protracting</w:t>
      </w:r>
      <w:r w:rsidRPr="00AD0AB2" w:rsidR="004E15DC">
        <w:t xml:space="preserve"> the examination of the case</w:t>
      </w:r>
      <w:r w:rsidRPr="00AD0AB2" w:rsidR="004A19DD">
        <w:t xml:space="preserve">. </w:t>
      </w:r>
      <w:r w:rsidRPr="00AD0AB2" w:rsidR="004927B9">
        <w:t>On 1 June 2002 the applicant</w:t>
      </w:r>
      <w:r w:rsidRPr="00AD0AB2" w:rsidR="00C668B4">
        <w:t xml:space="preserve"> </w:t>
      </w:r>
      <w:r w:rsidRPr="00AD0AB2" w:rsidR="004927B9">
        <w:t xml:space="preserve">informed the court about </w:t>
      </w:r>
      <w:r w:rsidRPr="00AD0AB2" w:rsidR="00C668B4">
        <w:t xml:space="preserve">her difficulties </w:t>
      </w:r>
      <w:r w:rsidRPr="00AD0AB2" w:rsidR="00E807D5">
        <w:t xml:space="preserve">in </w:t>
      </w:r>
      <w:r w:rsidRPr="00AD0AB2" w:rsidR="004A19DD">
        <w:t>pay</w:t>
      </w:r>
      <w:r w:rsidRPr="00AD0AB2" w:rsidR="00C668B4">
        <w:t xml:space="preserve">ing </w:t>
      </w:r>
      <w:r w:rsidRPr="00AD0AB2" w:rsidR="004A19DD">
        <w:t xml:space="preserve">approximately </w:t>
      </w:r>
      <w:r w:rsidRPr="00AD0AB2" w:rsidR="003B6BDA">
        <w:t xml:space="preserve">150 Latvian </w:t>
      </w:r>
      <w:proofErr w:type="spellStart"/>
      <w:r w:rsidRPr="00AD0AB2" w:rsidR="003B6BDA">
        <w:t>lati</w:t>
      </w:r>
      <w:proofErr w:type="spellEnd"/>
      <w:r w:rsidRPr="00AD0AB2" w:rsidR="003B6BDA">
        <w:t xml:space="preserve"> (LVL), </w:t>
      </w:r>
      <w:r w:rsidRPr="00AD0AB2" w:rsidR="004A19DD">
        <w:t>(</w:t>
      </w:r>
      <w:r w:rsidRPr="00AD0AB2" w:rsidR="00393FCC">
        <w:t xml:space="preserve">approximately </w:t>
      </w:r>
      <w:r w:rsidRPr="00AD0AB2" w:rsidR="003B6BDA">
        <w:t>213 euros (EUR)</w:t>
      </w:r>
      <w:r w:rsidRPr="00AD0AB2" w:rsidR="004A19DD">
        <w:t>)</w:t>
      </w:r>
      <w:r w:rsidRPr="00AD0AB2" w:rsidR="00E807D5">
        <w:t>,</w:t>
      </w:r>
      <w:r w:rsidRPr="00AD0AB2" w:rsidR="004E15DC">
        <w:t xml:space="preserve"> </w:t>
      </w:r>
      <w:r w:rsidRPr="00AD0AB2" w:rsidR="00C668B4">
        <w:t xml:space="preserve">required </w:t>
      </w:r>
      <w:r w:rsidRPr="00AD0AB2" w:rsidR="004E15DC">
        <w:t xml:space="preserve">for the </w:t>
      </w:r>
      <w:r w:rsidRPr="00AD0AB2" w:rsidR="0018710E">
        <w:t>expert opinion</w:t>
      </w:r>
      <w:r w:rsidRPr="00AD0AB2" w:rsidR="004A19DD">
        <w:t xml:space="preserve"> and explained </w:t>
      </w:r>
      <w:r w:rsidRPr="00AD0AB2" w:rsidR="004927B9">
        <w:t xml:space="preserve">that </w:t>
      </w:r>
      <w:r w:rsidRPr="00AD0AB2" w:rsidR="00C668B4">
        <w:t xml:space="preserve">she </w:t>
      </w:r>
      <w:r w:rsidRPr="00AD0AB2" w:rsidR="004927B9">
        <w:t>need</w:t>
      </w:r>
      <w:r w:rsidRPr="00AD0AB2" w:rsidR="00C305D8">
        <w:t>ed</w:t>
      </w:r>
      <w:r w:rsidRPr="00AD0AB2" w:rsidR="004927B9">
        <w:t xml:space="preserve"> more time</w:t>
      </w:r>
      <w:r w:rsidRPr="00AD0AB2" w:rsidR="004A19DD">
        <w:t xml:space="preserve"> to collect the money</w:t>
      </w:r>
      <w:r w:rsidRPr="00AD0AB2" w:rsidR="004927B9">
        <w:t xml:space="preserve">. </w:t>
      </w:r>
      <w:r w:rsidRPr="00AD0AB2" w:rsidR="0059674D">
        <w:t xml:space="preserve">The </w:t>
      </w:r>
      <w:r w:rsidRPr="00AD0AB2" w:rsidR="004E5EC4">
        <w:t xml:space="preserve">voice </w:t>
      </w:r>
      <w:r w:rsidRPr="00AD0AB2" w:rsidR="0059674D">
        <w:t>sample was submitted on 19 August 2003 and the expert opinion was obtained on 10</w:t>
      </w:r>
      <w:r w:rsidRPr="00AD0AB2" w:rsidR="00E807D5">
        <w:t> </w:t>
      </w:r>
      <w:r w:rsidRPr="00AD0AB2" w:rsidR="0059674D">
        <w:t>September 2003.</w:t>
      </w:r>
      <w:r w:rsidRPr="00AD0AB2" w:rsidR="00C668B4">
        <w:t xml:space="preserve"> On 29 January 2004 </w:t>
      </w:r>
      <w:r w:rsidRPr="00AD0AB2" w:rsidR="00C305D8">
        <w:t xml:space="preserve">the Bauska District Court resumed </w:t>
      </w:r>
      <w:r w:rsidRPr="00AD0AB2" w:rsidR="00C668B4">
        <w:t>the examination of the case</w:t>
      </w:r>
      <w:r w:rsidRPr="00AD0AB2" w:rsidR="00C305D8">
        <w:t>.</w:t>
      </w:r>
    </w:p>
    <w:p w:rsidRPr="00AD0AB2" w:rsidR="00A52E16" w:rsidP="00AD0AB2" w:rsidRDefault="00B43FD3">
      <w:pPr>
        <w:pStyle w:val="ECHRPara"/>
      </w:pPr>
      <w:r w:rsidRPr="00AD0AB2">
        <w:fldChar w:fldCharType="begin"/>
      </w:r>
      <w:r w:rsidRPr="00AD0AB2">
        <w:instrText xml:space="preserve"> SEQ level0 \*arabic </w:instrText>
      </w:r>
      <w:r w:rsidRPr="00AD0AB2">
        <w:fldChar w:fldCharType="separate"/>
      </w:r>
      <w:r w:rsidRPr="00AD0AB2" w:rsidR="00AD0AB2">
        <w:rPr>
          <w:noProof/>
        </w:rPr>
        <w:t>7</w:t>
      </w:r>
      <w:r w:rsidRPr="00AD0AB2">
        <w:fldChar w:fldCharType="end"/>
      </w:r>
      <w:r w:rsidRPr="00AD0AB2">
        <w:t>.  </w:t>
      </w:r>
      <w:r w:rsidRPr="00AD0AB2" w:rsidR="00F46111">
        <w:t>In the meantime, o</w:t>
      </w:r>
      <w:r w:rsidRPr="00AD0AB2" w:rsidR="0008442B">
        <w:t>n</w:t>
      </w:r>
      <w:r w:rsidRPr="00AD0AB2" w:rsidR="003252C5">
        <w:t xml:space="preserve"> </w:t>
      </w:r>
      <w:r w:rsidRPr="00AD0AB2" w:rsidR="0008442B">
        <w:t xml:space="preserve">20 January 2004 </w:t>
      </w:r>
      <w:r w:rsidRPr="00AD0AB2" w:rsidR="003252C5">
        <w:t xml:space="preserve">the applicant amended her initial claim </w:t>
      </w:r>
      <w:r w:rsidRPr="00AD0AB2" w:rsidR="004927B9">
        <w:t xml:space="preserve">by </w:t>
      </w:r>
      <w:r w:rsidRPr="00AD0AB2" w:rsidR="003252C5">
        <w:t xml:space="preserve">increasing the amount of the </w:t>
      </w:r>
      <w:r w:rsidRPr="00AD0AB2" w:rsidR="0008442B">
        <w:t>compensation</w:t>
      </w:r>
      <w:r w:rsidRPr="00AD0AB2" w:rsidR="00C668B4">
        <w:t xml:space="preserve"> requested</w:t>
      </w:r>
      <w:r w:rsidRPr="00AD0AB2" w:rsidR="004927B9">
        <w:t xml:space="preserve">. </w:t>
      </w:r>
      <w:r w:rsidRPr="00AD0AB2" w:rsidR="00D26AA3">
        <w:t>As a result</w:t>
      </w:r>
      <w:r w:rsidRPr="00AD0AB2" w:rsidR="00147206">
        <w:t>,</w:t>
      </w:r>
      <w:r w:rsidRPr="00AD0AB2" w:rsidR="00D26AA3">
        <w:t xml:space="preserve"> </w:t>
      </w:r>
      <w:r w:rsidRPr="00AD0AB2" w:rsidR="00C668B4">
        <w:t xml:space="preserve">the jurisdiction of the dispute changed and </w:t>
      </w:r>
      <w:r w:rsidRPr="00AD0AB2" w:rsidR="00D26AA3">
        <w:t xml:space="preserve">on 29 January 2004 the case </w:t>
      </w:r>
      <w:r w:rsidRPr="00AD0AB2" w:rsidR="00147206">
        <w:t>was</w:t>
      </w:r>
      <w:r w:rsidRPr="00AD0AB2" w:rsidR="00D26AA3">
        <w:t xml:space="preserve"> sent to the Riga Regional Court for </w:t>
      </w:r>
      <w:r w:rsidRPr="00AD0AB2" w:rsidR="00147206">
        <w:t xml:space="preserve">a </w:t>
      </w:r>
      <w:r w:rsidRPr="00AD0AB2" w:rsidR="00D26AA3">
        <w:t xml:space="preserve">fresh examination </w:t>
      </w:r>
      <w:r w:rsidRPr="00AD0AB2" w:rsidR="00C668B4">
        <w:t xml:space="preserve">sitting </w:t>
      </w:r>
      <w:r w:rsidRPr="00AD0AB2" w:rsidR="00D26AA3">
        <w:t>as a first-instance court.</w:t>
      </w:r>
    </w:p>
    <w:p w:rsidRPr="00AD0AB2" w:rsidR="003252C5" w:rsidP="00AD0AB2" w:rsidRDefault="00B43FD3">
      <w:pPr>
        <w:pStyle w:val="ECHRPara"/>
      </w:pPr>
      <w:r w:rsidRPr="00AD0AB2">
        <w:fldChar w:fldCharType="begin"/>
      </w:r>
      <w:r w:rsidRPr="00AD0AB2">
        <w:instrText xml:space="preserve"> SEQ level0 \*arabic </w:instrText>
      </w:r>
      <w:r w:rsidRPr="00AD0AB2">
        <w:fldChar w:fldCharType="separate"/>
      </w:r>
      <w:r w:rsidRPr="00AD0AB2" w:rsidR="00AD0AB2">
        <w:rPr>
          <w:noProof/>
        </w:rPr>
        <w:t>8</w:t>
      </w:r>
      <w:r w:rsidRPr="00AD0AB2">
        <w:fldChar w:fldCharType="end"/>
      </w:r>
      <w:r w:rsidRPr="00AD0AB2">
        <w:t>.  </w:t>
      </w:r>
      <w:r w:rsidRPr="00AD0AB2" w:rsidR="00597D94">
        <w:t xml:space="preserve">By a judgment of </w:t>
      </w:r>
      <w:r w:rsidRPr="00AD0AB2" w:rsidR="003252C5">
        <w:t xml:space="preserve">7 March 2007 </w:t>
      </w:r>
      <w:r w:rsidRPr="00AD0AB2" w:rsidR="00A52E16">
        <w:t>the Riga Regional</w:t>
      </w:r>
      <w:r w:rsidRPr="00AD0AB2" w:rsidR="00597D94">
        <w:t xml:space="preserve"> </w:t>
      </w:r>
      <w:r w:rsidRPr="00AD0AB2" w:rsidR="00C305D8">
        <w:t>C</w:t>
      </w:r>
      <w:r w:rsidRPr="00AD0AB2" w:rsidR="00597D94">
        <w:t>ourt</w:t>
      </w:r>
      <w:r w:rsidRPr="00AD0AB2" w:rsidR="003252C5">
        <w:t xml:space="preserve"> dismissed the applicant</w:t>
      </w:r>
      <w:r w:rsidRPr="00AD0AB2" w:rsidR="00AD0AB2">
        <w:t>’</w:t>
      </w:r>
      <w:r w:rsidRPr="00AD0AB2" w:rsidR="003252C5">
        <w:t>s claim.</w:t>
      </w:r>
      <w:r w:rsidRPr="00AD0AB2" w:rsidR="00A52E16">
        <w:t xml:space="preserve"> That judgment was upheld by the appellate court </w:t>
      </w:r>
      <w:r w:rsidRPr="00AD0AB2" w:rsidR="00250D44">
        <w:t>on</w:t>
      </w:r>
      <w:r w:rsidRPr="00AD0AB2">
        <w:t xml:space="preserve"> 8 </w:t>
      </w:r>
      <w:r w:rsidRPr="00AD0AB2" w:rsidR="00A52E16">
        <w:t xml:space="preserve">April 2010 and </w:t>
      </w:r>
      <w:r w:rsidRPr="00AD0AB2" w:rsidR="00347FCF">
        <w:t xml:space="preserve">by </w:t>
      </w:r>
      <w:r w:rsidRPr="00AD0AB2" w:rsidR="00C668B4">
        <w:t xml:space="preserve">the </w:t>
      </w:r>
      <w:r w:rsidRPr="00AD0AB2" w:rsidR="00BB1EB5">
        <w:t xml:space="preserve">Civil Cases </w:t>
      </w:r>
      <w:r w:rsidRPr="00AD0AB2" w:rsidR="001A3B1E">
        <w:t>Department</w:t>
      </w:r>
      <w:r w:rsidRPr="00AD0AB2" w:rsidR="00147206">
        <w:t xml:space="preserve"> </w:t>
      </w:r>
      <w:r w:rsidRPr="00AD0AB2" w:rsidR="00BB1EB5">
        <w:t>of the Supreme Court</w:t>
      </w:r>
      <w:r w:rsidRPr="00AD0AB2" w:rsidR="00DA7DE0">
        <w:t xml:space="preserve"> on 28</w:t>
      </w:r>
      <w:r w:rsidRPr="00AD0AB2">
        <w:t> </w:t>
      </w:r>
      <w:r w:rsidRPr="00AD0AB2" w:rsidR="00DA7DE0">
        <w:t>September 2011</w:t>
      </w:r>
      <w:r w:rsidRPr="00AD0AB2" w:rsidR="00A52E16">
        <w:t>.</w:t>
      </w:r>
    </w:p>
    <w:p w:rsidRPr="00AD0AB2" w:rsidR="002E4D10" w:rsidP="00AD0AB2" w:rsidRDefault="00B43FD3">
      <w:pPr>
        <w:pStyle w:val="ECHRPara"/>
        <w:rPr>
          <w:lang w:val="en-US"/>
        </w:rPr>
      </w:pPr>
      <w:r w:rsidRPr="00AD0AB2">
        <w:rPr>
          <w:lang w:val="en-US"/>
        </w:rPr>
        <w:fldChar w:fldCharType="begin"/>
      </w:r>
      <w:r w:rsidRPr="00AD0AB2">
        <w:rPr>
          <w:lang w:val="en-US"/>
        </w:rPr>
        <w:instrText xml:space="preserve"> SEQ level0 \*arabic </w:instrText>
      </w:r>
      <w:r w:rsidRPr="00AD0AB2">
        <w:rPr>
          <w:lang w:val="en-US"/>
        </w:rPr>
        <w:fldChar w:fldCharType="separate"/>
      </w:r>
      <w:r w:rsidRPr="00AD0AB2" w:rsidR="00AD0AB2">
        <w:rPr>
          <w:noProof/>
          <w:lang w:val="en-US"/>
        </w:rPr>
        <w:t>9</w:t>
      </w:r>
      <w:r w:rsidRPr="00AD0AB2">
        <w:rPr>
          <w:lang w:val="en-US"/>
        </w:rPr>
        <w:fldChar w:fldCharType="end"/>
      </w:r>
      <w:r w:rsidRPr="00AD0AB2">
        <w:rPr>
          <w:lang w:val="en-US"/>
        </w:rPr>
        <w:t>.  </w:t>
      </w:r>
      <w:r w:rsidRPr="00AD0AB2" w:rsidR="002E4D10">
        <w:rPr>
          <w:lang w:val="en-US"/>
        </w:rPr>
        <w:t xml:space="preserve">Overall, </w:t>
      </w:r>
      <w:r w:rsidRPr="00AD0AB2" w:rsidR="009713B3">
        <w:rPr>
          <w:lang w:val="en-US"/>
        </w:rPr>
        <w:t xml:space="preserve">on three occasions </w:t>
      </w:r>
      <w:r w:rsidRPr="00AD0AB2" w:rsidR="00147206">
        <w:rPr>
          <w:lang w:val="en-US"/>
        </w:rPr>
        <w:t xml:space="preserve">the court hearings were postponed solely because of </w:t>
      </w:r>
      <w:r w:rsidRPr="00AD0AB2" w:rsidR="002E6B8B">
        <w:rPr>
          <w:lang w:val="en-US"/>
        </w:rPr>
        <w:t xml:space="preserve">the </w:t>
      </w:r>
      <w:r w:rsidRPr="00AD0AB2" w:rsidR="0055072E">
        <w:rPr>
          <w:lang w:val="en-US"/>
        </w:rPr>
        <w:t xml:space="preserve">unjustified </w:t>
      </w:r>
      <w:r w:rsidRPr="00AD0AB2" w:rsidR="00147206">
        <w:rPr>
          <w:lang w:val="en-US"/>
        </w:rPr>
        <w:t>absence</w:t>
      </w:r>
      <w:r w:rsidRPr="00AD0AB2" w:rsidR="009713B3">
        <w:rPr>
          <w:lang w:val="en-US"/>
        </w:rPr>
        <w:t>s</w:t>
      </w:r>
      <w:r w:rsidRPr="00AD0AB2" w:rsidR="00147206">
        <w:rPr>
          <w:lang w:val="en-US"/>
        </w:rPr>
        <w:t xml:space="preserve"> of the applicant or her representative</w:t>
      </w:r>
      <w:r w:rsidRPr="00AD0AB2" w:rsidR="009713B3">
        <w:rPr>
          <w:lang w:val="en-US"/>
        </w:rPr>
        <w:t xml:space="preserve">, or </w:t>
      </w:r>
      <w:r w:rsidRPr="00AD0AB2" w:rsidR="003077E8">
        <w:rPr>
          <w:lang w:val="en-US"/>
        </w:rPr>
        <w:t xml:space="preserve">because </w:t>
      </w:r>
      <w:r w:rsidRPr="00AD0AB2" w:rsidR="009713B3">
        <w:rPr>
          <w:lang w:val="en-US"/>
        </w:rPr>
        <w:t xml:space="preserve">of </w:t>
      </w:r>
      <w:r w:rsidRPr="00AD0AB2" w:rsidR="0055072E">
        <w:rPr>
          <w:lang w:val="en-US"/>
        </w:rPr>
        <w:t>the representative</w:t>
      </w:r>
      <w:r w:rsidRPr="00AD0AB2" w:rsidR="00AD0AB2">
        <w:rPr>
          <w:lang w:val="en-US"/>
        </w:rPr>
        <w:t>’</w:t>
      </w:r>
      <w:r w:rsidRPr="00AD0AB2" w:rsidR="009713B3">
        <w:rPr>
          <w:lang w:val="en-US"/>
        </w:rPr>
        <w:t>s inability</w:t>
      </w:r>
      <w:r w:rsidRPr="00AD0AB2" w:rsidR="0055072E">
        <w:rPr>
          <w:lang w:val="en-US"/>
        </w:rPr>
        <w:t xml:space="preserve"> to participate in the hearing</w:t>
      </w:r>
      <w:r w:rsidRPr="00AD0AB2" w:rsidR="004952CB">
        <w:rPr>
          <w:lang w:val="en-US"/>
        </w:rPr>
        <w:t xml:space="preserve"> resulting in a delay of </w:t>
      </w:r>
      <w:r w:rsidRPr="00AD0AB2" w:rsidR="00202626">
        <w:rPr>
          <w:lang w:val="en-US"/>
        </w:rPr>
        <w:t>nearly 10 months</w:t>
      </w:r>
      <w:r w:rsidRPr="00AD0AB2" w:rsidR="00147206">
        <w:rPr>
          <w:lang w:val="en-US"/>
        </w:rPr>
        <w:t>.</w:t>
      </w:r>
      <w:r w:rsidRPr="00AD0AB2" w:rsidR="009713B3">
        <w:rPr>
          <w:lang w:val="en-US"/>
        </w:rPr>
        <w:t xml:space="preserve"> On </w:t>
      </w:r>
      <w:r w:rsidRPr="00AD0AB2" w:rsidR="003077E8">
        <w:rPr>
          <w:lang w:val="en-US"/>
        </w:rPr>
        <w:t>s</w:t>
      </w:r>
      <w:r w:rsidRPr="00AD0AB2" w:rsidR="00FD1B93">
        <w:rPr>
          <w:lang w:val="en-US"/>
        </w:rPr>
        <w:t xml:space="preserve">even </w:t>
      </w:r>
      <w:r w:rsidRPr="00AD0AB2" w:rsidR="009713B3">
        <w:rPr>
          <w:lang w:val="en-US"/>
        </w:rPr>
        <w:t xml:space="preserve">occasions </w:t>
      </w:r>
      <w:r w:rsidRPr="00AD0AB2" w:rsidR="002E4D10">
        <w:rPr>
          <w:lang w:val="en-US"/>
        </w:rPr>
        <w:t xml:space="preserve">the hearings </w:t>
      </w:r>
      <w:r w:rsidRPr="00AD0AB2" w:rsidR="003077E8">
        <w:rPr>
          <w:lang w:val="en-US"/>
        </w:rPr>
        <w:t>were</w:t>
      </w:r>
      <w:r w:rsidRPr="00AD0AB2" w:rsidR="00D26AA3">
        <w:rPr>
          <w:lang w:val="en-US"/>
        </w:rPr>
        <w:t xml:space="preserve"> </w:t>
      </w:r>
      <w:r w:rsidRPr="00AD0AB2" w:rsidR="002E4D10">
        <w:rPr>
          <w:lang w:val="en-US"/>
        </w:rPr>
        <w:t xml:space="preserve">postponed </w:t>
      </w:r>
      <w:r w:rsidRPr="00AD0AB2" w:rsidR="00D26AA3">
        <w:rPr>
          <w:lang w:val="en-US"/>
        </w:rPr>
        <w:t>because of</w:t>
      </w:r>
      <w:r w:rsidRPr="00AD0AB2" w:rsidR="002E4D10">
        <w:rPr>
          <w:lang w:val="en-US"/>
        </w:rPr>
        <w:t xml:space="preserve"> the illness</w:t>
      </w:r>
      <w:r w:rsidRPr="00AD0AB2" w:rsidR="00BD5CB2">
        <w:rPr>
          <w:lang w:val="en-US"/>
        </w:rPr>
        <w:t xml:space="preserve"> or </w:t>
      </w:r>
      <w:r w:rsidRPr="00AD0AB2" w:rsidR="00C10F41">
        <w:rPr>
          <w:lang w:val="en-US"/>
        </w:rPr>
        <w:t>absence for work-related commitments</w:t>
      </w:r>
      <w:r w:rsidRPr="00AD0AB2" w:rsidR="002E4D10">
        <w:rPr>
          <w:lang w:val="en-US"/>
        </w:rPr>
        <w:t xml:space="preserve"> of a judge</w:t>
      </w:r>
      <w:r w:rsidRPr="00AD0AB2" w:rsidR="00610B69">
        <w:rPr>
          <w:lang w:val="en-US"/>
        </w:rPr>
        <w:t xml:space="preserve"> and </w:t>
      </w:r>
      <w:r w:rsidRPr="00AD0AB2" w:rsidR="009713B3">
        <w:rPr>
          <w:lang w:val="en-US"/>
        </w:rPr>
        <w:t xml:space="preserve">on </w:t>
      </w:r>
      <w:r w:rsidRPr="00AD0AB2" w:rsidR="00610B69">
        <w:rPr>
          <w:lang w:val="en-US"/>
        </w:rPr>
        <w:t>t</w:t>
      </w:r>
      <w:r w:rsidRPr="00AD0AB2" w:rsidR="00147206">
        <w:rPr>
          <w:lang w:val="en-US"/>
        </w:rPr>
        <w:t xml:space="preserve">wo </w:t>
      </w:r>
      <w:r w:rsidRPr="00AD0AB2" w:rsidR="009713B3">
        <w:rPr>
          <w:lang w:val="en-US"/>
        </w:rPr>
        <w:t xml:space="preserve">occasions </w:t>
      </w:r>
      <w:r w:rsidRPr="00AD0AB2" w:rsidR="00610B69">
        <w:rPr>
          <w:lang w:val="en-US"/>
        </w:rPr>
        <w:t>because</w:t>
      </w:r>
      <w:r w:rsidRPr="00AD0AB2" w:rsidR="00147206">
        <w:rPr>
          <w:lang w:val="en-US"/>
        </w:rPr>
        <w:t xml:space="preserve"> the domestic courts </w:t>
      </w:r>
      <w:r w:rsidRPr="00AD0AB2" w:rsidR="009713B3">
        <w:rPr>
          <w:lang w:val="en-US"/>
        </w:rPr>
        <w:t xml:space="preserve">had </w:t>
      </w:r>
      <w:r w:rsidRPr="00AD0AB2" w:rsidR="00147206">
        <w:rPr>
          <w:lang w:val="en-US"/>
        </w:rPr>
        <w:t>failed to properly inform the applicant</w:t>
      </w:r>
      <w:r w:rsidRPr="00AD0AB2" w:rsidR="00AD0AB2">
        <w:rPr>
          <w:lang w:val="en-US"/>
        </w:rPr>
        <w:t>’</w:t>
      </w:r>
      <w:r w:rsidRPr="00AD0AB2" w:rsidR="00147206">
        <w:rPr>
          <w:lang w:val="en-US"/>
        </w:rPr>
        <w:t>s representative about the hearings</w:t>
      </w:r>
      <w:r w:rsidRPr="00AD0AB2" w:rsidR="00610B69">
        <w:rPr>
          <w:lang w:val="en-US"/>
        </w:rPr>
        <w:t>, thus</w:t>
      </w:r>
      <w:r w:rsidRPr="00AD0AB2" w:rsidR="003077E8">
        <w:rPr>
          <w:lang w:val="en-US"/>
        </w:rPr>
        <w:t xml:space="preserve"> </w:t>
      </w:r>
      <w:r w:rsidRPr="00AD0AB2" w:rsidR="00610B69">
        <w:rPr>
          <w:lang w:val="en-US"/>
        </w:rPr>
        <w:t xml:space="preserve">resulting in </w:t>
      </w:r>
      <w:r w:rsidRPr="00AD0AB2" w:rsidR="003174FC">
        <w:rPr>
          <w:lang w:val="en-US"/>
        </w:rPr>
        <w:t>a</w:t>
      </w:r>
      <w:r w:rsidRPr="00AD0AB2" w:rsidR="00E627E5">
        <w:rPr>
          <w:lang w:val="en-US"/>
        </w:rPr>
        <w:t>n overall</w:t>
      </w:r>
      <w:r w:rsidRPr="00AD0AB2" w:rsidR="003174FC">
        <w:rPr>
          <w:lang w:val="en-US"/>
        </w:rPr>
        <w:t xml:space="preserve"> </w:t>
      </w:r>
      <w:r w:rsidRPr="00AD0AB2" w:rsidR="00610B69">
        <w:rPr>
          <w:lang w:val="en-US"/>
        </w:rPr>
        <w:t>delay of more than three years.</w:t>
      </w:r>
      <w:r w:rsidRPr="00AD0AB2" w:rsidR="007D362B">
        <w:rPr>
          <w:lang w:val="en-US"/>
        </w:rPr>
        <w:t xml:space="preserve"> </w:t>
      </w:r>
      <w:r w:rsidRPr="00AD0AB2" w:rsidR="00687DB3">
        <w:rPr>
          <w:lang w:val="en-US"/>
        </w:rPr>
        <w:t>Furthermore</w:t>
      </w:r>
      <w:r w:rsidRPr="00AD0AB2" w:rsidR="00C644EA">
        <w:rPr>
          <w:lang w:val="en-US"/>
        </w:rPr>
        <w:t xml:space="preserve">, </w:t>
      </w:r>
      <w:r w:rsidRPr="00AD0AB2" w:rsidR="00C5292D">
        <w:rPr>
          <w:lang w:val="en-US"/>
        </w:rPr>
        <w:t>the applicant</w:t>
      </w:r>
      <w:r w:rsidRPr="00AD0AB2" w:rsidR="00AD0AB2">
        <w:rPr>
          <w:lang w:val="en-US"/>
        </w:rPr>
        <w:t>’</w:t>
      </w:r>
      <w:r w:rsidRPr="00AD0AB2" w:rsidR="00C5292D">
        <w:rPr>
          <w:lang w:val="en-US"/>
        </w:rPr>
        <w:t xml:space="preserve">s appeal against </w:t>
      </w:r>
      <w:r w:rsidRPr="00AD0AB2" w:rsidR="002D14D7">
        <w:rPr>
          <w:lang w:val="en-US"/>
        </w:rPr>
        <w:t>the Riga Regional Court</w:t>
      </w:r>
      <w:r w:rsidRPr="00AD0AB2" w:rsidR="00AD0AB2">
        <w:rPr>
          <w:lang w:val="en-US"/>
        </w:rPr>
        <w:t>’</w:t>
      </w:r>
      <w:r w:rsidRPr="00AD0AB2" w:rsidR="002D14D7">
        <w:rPr>
          <w:lang w:val="en-US"/>
        </w:rPr>
        <w:t>s</w:t>
      </w:r>
      <w:r w:rsidRPr="00AD0AB2" w:rsidR="00C5292D">
        <w:rPr>
          <w:lang w:val="en-US"/>
        </w:rPr>
        <w:t xml:space="preserve"> judgement was received </w:t>
      </w:r>
      <w:r w:rsidRPr="00AD0AB2" w:rsidR="00A8652B">
        <w:rPr>
          <w:lang w:val="en-US"/>
        </w:rPr>
        <w:t xml:space="preserve">on 26 March 2007; the first hearing was scheduled </w:t>
      </w:r>
      <w:r w:rsidRPr="00AD0AB2" w:rsidR="00FA274B">
        <w:rPr>
          <w:lang w:val="en-US"/>
        </w:rPr>
        <w:t xml:space="preserve">one and </w:t>
      </w:r>
      <w:r w:rsidRPr="00AD0AB2" w:rsidR="00A263BA">
        <w:rPr>
          <w:lang w:val="en-US"/>
        </w:rPr>
        <w:t xml:space="preserve">a </w:t>
      </w:r>
      <w:r w:rsidRPr="00AD0AB2" w:rsidR="00FA274B">
        <w:rPr>
          <w:lang w:val="en-US"/>
        </w:rPr>
        <w:t>half year</w:t>
      </w:r>
      <w:r w:rsidRPr="00AD0AB2" w:rsidR="00A8652B">
        <w:rPr>
          <w:lang w:val="en-US"/>
        </w:rPr>
        <w:t xml:space="preserve"> later, on 23 September 2008. As regards the cassation proceedings, t</w:t>
      </w:r>
      <w:r w:rsidRPr="00AD0AB2" w:rsidR="00C5292D">
        <w:rPr>
          <w:lang w:val="en-US"/>
        </w:rPr>
        <w:t xml:space="preserve">he case was sent to the Supreme Court on 24 May 2010 and the judgement was delivered </w:t>
      </w:r>
      <w:r w:rsidRPr="00AD0AB2" w:rsidR="004952CB">
        <w:rPr>
          <w:lang w:val="en-US"/>
        </w:rPr>
        <w:t xml:space="preserve">in written proceedings </w:t>
      </w:r>
      <w:r w:rsidRPr="00AD0AB2" w:rsidR="00C5292D">
        <w:rPr>
          <w:lang w:val="en-US"/>
        </w:rPr>
        <w:t xml:space="preserve">on 28 September 2011, </w:t>
      </w:r>
      <w:r w:rsidRPr="00AD0AB2" w:rsidR="00A8652B">
        <w:rPr>
          <w:lang w:val="en-US"/>
        </w:rPr>
        <w:t xml:space="preserve">it is, </w:t>
      </w:r>
      <w:r w:rsidRPr="00AD0AB2" w:rsidR="00C5292D">
        <w:rPr>
          <w:lang w:val="en-US"/>
        </w:rPr>
        <w:t xml:space="preserve">more than </w:t>
      </w:r>
      <w:r w:rsidRPr="00AD0AB2" w:rsidR="00FA274B">
        <w:rPr>
          <w:lang w:val="en-US"/>
        </w:rPr>
        <w:t>one year and four</w:t>
      </w:r>
      <w:r w:rsidRPr="00AD0AB2" w:rsidR="00C5292D">
        <w:rPr>
          <w:lang w:val="en-US"/>
        </w:rPr>
        <w:t xml:space="preserve"> months later</w:t>
      </w:r>
      <w:r w:rsidRPr="00AD0AB2" w:rsidR="004952CB">
        <w:rPr>
          <w:lang w:val="en-US"/>
        </w:rPr>
        <w:t>.</w:t>
      </w:r>
    </w:p>
    <w:p w:rsidRPr="00AD0AB2" w:rsidR="004E5D2C" w:rsidP="00AD0AB2" w:rsidRDefault="004E5D2C">
      <w:pPr>
        <w:pStyle w:val="ECHRTitle1"/>
      </w:pPr>
      <w:r w:rsidRPr="00AD0AB2">
        <w:t>THE LAW</w:t>
      </w:r>
    </w:p>
    <w:p w:rsidRPr="00AD0AB2" w:rsidR="00255087" w:rsidP="00AD0AB2" w:rsidRDefault="00255087">
      <w:pPr>
        <w:pStyle w:val="ECHRHeading1"/>
      </w:pPr>
      <w:r w:rsidRPr="00AD0AB2">
        <w:t>I.  </w:t>
      </w:r>
      <w:r w:rsidRPr="00AD0AB2" w:rsidR="003958B5">
        <w:t>THE GOVERNMENT</w:t>
      </w:r>
      <w:r w:rsidRPr="00AD0AB2" w:rsidR="00AD0AB2">
        <w:t>’</w:t>
      </w:r>
      <w:r w:rsidRPr="00AD0AB2" w:rsidR="003958B5">
        <w:t>S REQUEST FOR THE APPLICATION TO BE STRUCK OUT UNDER ARTICLE 37 OF THE CONVENTION</w:t>
      </w:r>
    </w:p>
    <w:p w:rsidRPr="00AD0AB2" w:rsidR="00255087" w:rsidP="00AD0AB2" w:rsidRDefault="00B43FD3">
      <w:pPr>
        <w:pStyle w:val="ECHRPara"/>
      </w:pPr>
      <w:r w:rsidRPr="00AD0AB2">
        <w:fldChar w:fldCharType="begin"/>
      </w:r>
      <w:r w:rsidRPr="00AD0AB2">
        <w:instrText xml:space="preserve"> SEQ level0 \*arabic </w:instrText>
      </w:r>
      <w:r w:rsidRPr="00AD0AB2">
        <w:fldChar w:fldCharType="separate"/>
      </w:r>
      <w:r w:rsidRPr="00AD0AB2" w:rsidR="00AD0AB2">
        <w:rPr>
          <w:noProof/>
        </w:rPr>
        <w:t>10</w:t>
      </w:r>
      <w:r w:rsidRPr="00AD0AB2">
        <w:fldChar w:fldCharType="end"/>
      </w:r>
      <w:r w:rsidRPr="00AD0AB2">
        <w:t>.  </w:t>
      </w:r>
      <w:r w:rsidRPr="00AD0AB2" w:rsidR="003958B5">
        <w:t xml:space="preserve">After unsuccessful friendly-settlement negotiations, on </w:t>
      </w:r>
      <w:r w:rsidRPr="00AD0AB2">
        <w:t>10 </w:t>
      </w:r>
      <w:r w:rsidRPr="00AD0AB2" w:rsidR="00255087">
        <w:t>July 2014 the Government submitted a unilateral declaration with a view to resolving the issues rai</w:t>
      </w:r>
      <w:r w:rsidRPr="00AD0AB2" w:rsidR="003958B5">
        <w:t xml:space="preserve">sed by the present application </w:t>
      </w:r>
      <w:r w:rsidRPr="00AD0AB2" w:rsidR="00255087">
        <w:t>in accordance with Article 37 of the Convention.</w:t>
      </w:r>
    </w:p>
    <w:p w:rsidRPr="00AD0AB2" w:rsidR="00255087" w:rsidP="00AD0AB2" w:rsidRDefault="00B43FD3">
      <w:pPr>
        <w:pStyle w:val="ECHRPara"/>
      </w:pPr>
      <w:r w:rsidRPr="00AD0AB2">
        <w:fldChar w:fldCharType="begin"/>
      </w:r>
      <w:r w:rsidRPr="00AD0AB2">
        <w:instrText xml:space="preserve"> SEQ level0 \*arabic </w:instrText>
      </w:r>
      <w:r w:rsidRPr="00AD0AB2">
        <w:fldChar w:fldCharType="separate"/>
      </w:r>
      <w:r w:rsidRPr="00AD0AB2" w:rsidR="00AD0AB2">
        <w:rPr>
          <w:noProof/>
        </w:rPr>
        <w:t>11</w:t>
      </w:r>
      <w:r w:rsidRPr="00AD0AB2">
        <w:fldChar w:fldCharType="end"/>
      </w:r>
      <w:r w:rsidRPr="00AD0AB2">
        <w:t>.  </w:t>
      </w:r>
      <w:r w:rsidRPr="00AD0AB2" w:rsidR="00C644EA">
        <w:t>By a letter of 12 August 2014 t</w:t>
      </w:r>
      <w:r w:rsidRPr="00AD0AB2" w:rsidR="00255087">
        <w:t>he applicant</w:t>
      </w:r>
      <w:r w:rsidRPr="00AD0AB2" w:rsidR="00C644EA">
        <w:t xml:space="preserve"> expressed her disagreement</w:t>
      </w:r>
      <w:r w:rsidRPr="00AD0AB2" w:rsidR="00255087">
        <w:t xml:space="preserve"> with the terms of the unilateral declaration.</w:t>
      </w:r>
    </w:p>
    <w:p w:rsidRPr="00AD0AB2" w:rsidR="0073300C" w:rsidP="00AD0AB2" w:rsidRDefault="00B43FD3">
      <w:pPr>
        <w:pStyle w:val="ECHRPara"/>
      </w:pPr>
      <w:r w:rsidRPr="00AD0AB2">
        <w:fldChar w:fldCharType="begin"/>
      </w:r>
      <w:r w:rsidRPr="00AD0AB2">
        <w:instrText xml:space="preserve"> SEQ level0 \*arabic </w:instrText>
      </w:r>
      <w:r w:rsidRPr="00AD0AB2">
        <w:fldChar w:fldCharType="separate"/>
      </w:r>
      <w:r w:rsidRPr="00AD0AB2" w:rsidR="00AD0AB2">
        <w:rPr>
          <w:noProof/>
        </w:rPr>
        <w:t>12</w:t>
      </w:r>
      <w:r w:rsidRPr="00AD0AB2">
        <w:fldChar w:fldCharType="end"/>
      </w:r>
      <w:r w:rsidRPr="00AD0AB2">
        <w:t>.  </w:t>
      </w:r>
      <w:r w:rsidRPr="00AD0AB2" w:rsidR="0073300C">
        <w:t xml:space="preserve">The Court recalls that it may be appropriate in certain circumstances to strike out an application under Article 37 § 1 on the basis of a unilateral declaration by the respondent Government even where the applicant wishes the examination of the case to be continued. Whether this is appropriate in a particular case depends on whether the unilateral declaration offers a sufficient basis for finding that respect for human rights as defined in the Convention does not require the Court to continue its examination of the case (see </w:t>
      </w:r>
      <w:proofErr w:type="spellStart"/>
      <w:r w:rsidRPr="00AD0AB2" w:rsidR="0073300C">
        <w:rPr>
          <w:i/>
        </w:rPr>
        <w:t>Tahsin</w:t>
      </w:r>
      <w:proofErr w:type="spellEnd"/>
      <w:r w:rsidRPr="00AD0AB2" w:rsidR="0073300C">
        <w:rPr>
          <w:i/>
        </w:rPr>
        <w:t xml:space="preserve"> Acar v. Turkey </w:t>
      </w:r>
      <w:r w:rsidRPr="00AD0AB2" w:rsidR="0073300C">
        <w:t>(preliminary issue) [GC],</w:t>
      </w:r>
      <w:r w:rsidRPr="00AD0AB2" w:rsidR="0073300C">
        <w:rPr>
          <w:i/>
        </w:rPr>
        <w:t xml:space="preserve"> </w:t>
      </w:r>
      <w:r w:rsidRPr="00AD0AB2" w:rsidR="0073300C">
        <w:t>no. 26307/95, §</w:t>
      </w:r>
      <w:r w:rsidRPr="00AD0AB2" w:rsidR="002E6B8B">
        <w:t> </w:t>
      </w:r>
      <w:r w:rsidRPr="00AD0AB2" w:rsidR="0073300C">
        <w:t>75, ECHR 2003</w:t>
      </w:r>
      <w:r w:rsidRPr="00AD0AB2" w:rsidR="0073300C">
        <w:noBreakHyphen/>
        <w:t>VI).</w:t>
      </w:r>
    </w:p>
    <w:p w:rsidRPr="00AD0AB2" w:rsidR="003958B5" w:rsidP="00AD0AB2" w:rsidRDefault="00B43FD3">
      <w:pPr>
        <w:pStyle w:val="ECHRPara"/>
      </w:pPr>
      <w:r w:rsidRPr="00AD0AB2">
        <w:rPr>
          <w:lang w:val="en-US"/>
        </w:rPr>
        <w:fldChar w:fldCharType="begin"/>
      </w:r>
      <w:r w:rsidRPr="00AD0AB2">
        <w:rPr>
          <w:lang w:val="en-US"/>
        </w:rPr>
        <w:instrText xml:space="preserve"> SEQ level0 \*arabic </w:instrText>
      </w:r>
      <w:r w:rsidRPr="00AD0AB2">
        <w:rPr>
          <w:lang w:val="en-US"/>
        </w:rPr>
        <w:fldChar w:fldCharType="separate"/>
      </w:r>
      <w:r w:rsidRPr="00AD0AB2" w:rsidR="00AD0AB2">
        <w:rPr>
          <w:noProof/>
          <w:lang w:val="en-US"/>
        </w:rPr>
        <w:t>13</w:t>
      </w:r>
      <w:r w:rsidRPr="00AD0AB2">
        <w:rPr>
          <w:lang w:val="en-US"/>
        </w:rPr>
        <w:fldChar w:fldCharType="end"/>
      </w:r>
      <w:r w:rsidRPr="00AD0AB2">
        <w:rPr>
          <w:lang w:val="en-US"/>
        </w:rPr>
        <w:t>.  </w:t>
      </w:r>
      <w:r w:rsidRPr="00AD0AB2" w:rsidR="00A33321">
        <w:rPr>
          <w:lang w:val="en-US"/>
        </w:rPr>
        <w:t xml:space="preserve">Considering </w:t>
      </w:r>
      <w:r w:rsidRPr="00AD0AB2" w:rsidR="003958B5">
        <w:t>the particular circumstances of the case and the compensation proposed</w:t>
      </w:r>
      <w:r w:rsidRPr="00AD0AB2" w:rsidR="00A33321">
        <w:t>, the Court finds</w:t>
      </w:r>
      <w:r w:rsidRPr="00AD0AB2" w:rsidR="003958B5">
        <w:t xml:space="preserve"> </w:t>
      </w:r>
      <w:r w:rsidRPr="00AD0AB2" w:rsidR="00A33321">
        <w:t xml:space="preserve">that the Government have failed to provide a sufficient basis for concluding that respect for human rights as defined in the Convention and its Protocols does not require it to continue </w:t>
      </w:r>
      <w:r w:rsidRPr="00AD0AB2" w:rsidR="009713B3">
        <w:t xml:space="preserve">the </w:t>
      </w:r>
      <w:r w:rsidRPr="00AD0AB2" w:rsidR="00A33321">
        <w:t>examination of the case</w:t>
      </w:r>
      <w:r w:rsidRPr="00AD0AB2" w:rsidR="003958B5">
        <w:t xml:space="preserve"> (see</w:t>
      </w:r>
      <w:r w:rsidRPr="00AD0AB2" w:rsidR="00C0471A">
        <w:t>,</w:t>
      </w:r>
      <w:r w:rsidRPr="00AD0AB2" w:rsidR="003958B5">
        <w:t xml:space="preserve"> </w:t>
      </w:r>
      <w:r w:rsidRPr="00AD0AB2" w:rsidR="003958B5">
        <w:rPr>
          <w:i/>
          <w:iCs/>
        </w:rPr>
        <w:t>mutatis mutandis</w:t>
      </w:r>
      <w:r w:rsidRPr="00AD0AB2" w:rsidR="003958B5">
        <w:t xml:space="preserve">, </w:t>
      </w:r>
      <w:proofErr w:type="spellStart"/>
      <w:r w:rsidRPr="00AD0AB2" w:rsidR="003958B5">
        <w:rPr>
          <w:i/>
        </w:rPr>
        <w:t>Magoch</w:t>
      </w:r>
      <w:proofErr w:type="spellEnd"/>
      <w:r w:rsidRPr="00AD0AB2" w:rsidR="003958B5">
        <w:rPr>
          <w:i/>
        </w:rPr>
        <w:t xml:space="preserve"> v. Poland</w:t>
      </w:r>
      <w:r w:rsidRPr="00AD0AB2" w:rsidR="003958B5">
        <w:t>, no.</w:t>
      </w:r>
      <w:r w:rsidRPr="00AD0AB2" w:rsidR="002E6B8B">
        <w:t> </w:t>
      </w:r>
      <w:r w:rsidRPr="00AD0AB2" w:rsidR="003958B5">
        <w:t>29539/07</w:t>
      </w:r>
      <w:r w:rsidRPr="00AD0AB2" w:rsidR="003958B5">
        <w:rPr>
          <w:snapToGrid w:val="0"/>
        </w:rPr>
        <w:t xml:space="preserve">, § 19, 2 February 2010, and </w:t>
      </w:r>
      <w:proofErr w:type="spellStart"/>
      <w:r w:rsidRPr="00AD0AB2" w:rsidR="003958B5">
        <w:rPr>
          <w:i/>
          <w:snapToGrid w:val="0"/>
        </w:rPr>
        <w:t>Kurs</w:t>
      </w:r>
      <w:proofErr w:type="spellEnd"/>
      <w:r w:rsidRPr="00AD0AB2" w:rsidR="003958B5">
        <w:rPr>
          <w:i/>
          <w:snapToGrid w:val="0"/>
        </w:rPr>
        <w:t xml:space="preserve"> v. Ukraine</w:t>
      </w:r>
      <w:r w:rsidRPr="00AD0AB2" w:rsidR="003958B5">
        <w:rPr>
          <w:snapToGrid w:val="0"/>
        </w:rPr>
        <w:t xml:space="preserve"> [Committee], no. 48956/06, § 8, 4 May 2017).</w:t>
      </w:r>
    </w:p>
    <w:p w:rsidRPr="00AD0AB2" w:rsidR="00255087" w:rsidP="00AD0AB2" w:rsidRDefault="00B43FD3">
      <w:pPr>
        <w:pStyle w:val="ECHRPara"/>
        <w:rPr>
          <w:lang w:val="en-US"/>
        </w:rPr>
      </w:pPr>
      <w:r w:rsidRPr="00AD0AB2">
        <w:rPr>
          <w:lang w:val="en-US"/>
        </w:rPr>
        <w:fldChar w:fldCharType="begin"/>
      </w:r>
      <w:r w:rsidRPr="00AD0AB2">
        <w:rPr>
          <w:lang w:val="en-US"/>
        </w:rPr>
        <w:instrText xml:space="preserve"> SEQ level0 \*arabic </w:instrText>
      </w:r>
      <w:r w:rsidRPr="00AD0AB2">
        <w:rPr>
          <w:lang w:val="en-US"/>
        </w:rPr>
        <w:fldChar w:fldCharType="separate"/>
      </w:r>
      <w:r w:rsidRPr="00AD0AB2" w:rsidR="00AD0AB2">
        <w:rPr>
          <w:noProof/>
          <w:lang w:val="en-US"/>
        </w:rPr>
        <w:t>14</w:t>
      </w:r>
      <w:r w:rsidRPr="00AD0AB2">
        <w:rPr>
          <w:lang w:val="en-US"/>
        </w:rPr>
        <w:fldChar w:fldCharType="end"/>
      </w:r>
      <w:r w:rsidRPr="00AD0AB2">
        <w:rPr>
          <w:lang w:val="en-US"/>
        </w:rPr>
        <w:t>.  </w:t>
      </w:r>
      <w:r w:rsidRPr="00AD0AB2" w:rsidR="00255087">
        <w:rPr>
          <w:lang w:val="en-US"/>
        </w:rPr>
        <w:t xml:space="preserve">Therefore, the Court </w:t>
      </w:r>
      <w:r w:rsidRPr="00AD0AB2" w:rsidR="009713B3">
        <w:rPr>
          <w:lang w:val="en-US"/>
        </w:rPr>
        <w:t xml:space="preserve">rejects </w:t>
      </w:r>
      <w:r w:rsidRPr="00AD0AB2" w:rsidR="00255087">
        <w:rPr>
          <w:lang w:val="en-US"/>
        </w:rPr>
        <w:t>the Government</w:t>
      </w:r>
      <w:r w:rsidRPr="00AD0AB2" w:rsidR="00AD0AB2">
        <w:rPr>
          <w:lang w:val="en-US"/>
        </w:rPr>
        <w:t>’</w:t>
      </w:r>
      <w:r w:rsidRPr="00AD0AB2" w:rsidR="00255087">
        <w:rPr>
          <w:lang w:val="en-US"/>
        </w:rPr>
        <w:t>s request to strike the application out of its list of cases under Article 37 of the Convention and will accordingly pursue its examination of the admissibility and merits of the case.</w:t>
      </w:r>
    </w:p>
    <w:p w:rsidRPr="00AD0AB2" w:rsidR="004E5D2C" w:rsidP="00AD0AB2" w:rsidRDefault="004E5D2C">
      <w:pPr>
        <w:pStyle w:val="ECHRHeading1"/>
      </w:pPr>
      <w:r w:rsidRPr="00AD0AB2">
        <w:t>I</w:t>
      </w:r>
      <w:r w:rsidRPr="00AD0AB2" w:rsidR="00255087">
        <w:t>I</w:t>
      </w:r>
      <w:r w:rsidRPr="00AD0AB2">
        <w:t>.</w:t>
      </w:r>
      <w:proofErr w:type="gramStart"/>
      <w:r w:rsidRPr="00AD0AB2">
        <w:t>  ALLEGED</w:t>
      </w:r>
      <w:proofErr w:type="gramEnd"/>
      <w:r w:rsidRPr="00AD0AB2">
        <w:t xml:space="preserve"> VIOLATION OF ARTICLE 6 § 1 OF THE CONVENTION</w:t>
      </w:r>
    </w:p>
    <w:p w:rsidRPr="00AD0AB2" w:rsidR="004E5D2C" w:rsidP="00AD0AB2" w:rsidRDefault="00B43FD3">
      <w:pPr>
        <w:pStyle w:val="ECHRPara"/>
      </w:pPr>
      <w:r w:rsidRPr="00AD0AB2">
        <w:fldChar w:fldCharType="begin"/>
      </w:r>
      <w:r w:rsidRPr="00AD0AB2">
        <w:instrText xml:space="preserve"> SEQ level0 \*arabic </w:instrText>
      </w:r>
      <w:r w:rsidRPr="00AD0AB2">
        <w:fldChar w:fldCharType="separate"/>
      </w:r>
      <w:r w:rsidRPr="00AD0AB2" w:rsidR="00AD0AB2">
        <w:rPr>
          <w:noProof/>
        </w:rPr>
        <w:t>15</w:t>
      </w:r>
      <w:r w:rsidRPr="00AD0AB2">
        <w:fldChar w:fldCharType="end"/>
      </w:r>
      <w:r w:rsidRPr="00AD0AB2">
        <w:t>.  </w:t>
      </w:r>
      <w:r w:rsidRPr="00AD0AB2" w:rsidR="004E5D2C">
        <w:t>The applicant complained that the length of proceedings had been incompatible with the “reasonable time” requirement, laid down in Article 6 § 1 of the Convention, which reads as follows:</w:t>
      </w:r>
    </w:p>
    <w:p w:rsidRPr="00AD0AB2" w:rsidR="004E5D2C" w:rsidP="00AD0AB2" w:rsidRDefault="004E5D2C">
      <w:pPr>
        <w:pStyle w:val="ECHRParaQuote"/>
      </w:pPr>
      <w:r w:rsidRPr="00AD0AB2">
        <w:t>“In the determination of his civil rights and obligations ..., everyone is entitled to a ... hearing within a reasonable time by ... tribunal...”</w:t>
      </w:r>
    </w:p>
    <w:p w:rsidRPr="00AD0AB2" w:rsidR="004E5D2C" w:rsidP="00AD0AB2" w:rsidRDefault="004E5D2C">
      <w:pPr>
        <w:pStyle w:val="ECHRHeading2"/>
      </w:pPr>
      <w:r w:rsidRPr="00AD0AB2">
        <w:t>A.  Admissibility</w:t>
      </w:r>
    </w:p>
    <w:p w:rsidRPr="00AD0AB2" w:rsidR="004E5D2C" w:rsidP="00AD0AB2" w:rsidRDefault="00B43FD3">
      <w:pPr>
        <w:pStyle w:val="ECHRPara"/>
      </w:pPr>
      <w:r w:rsidRPr="00AD0AB2">
        <w:fldChar w:fldCharType="begin"/>
      </w:r>
      <w:r w:rsidRPr="00AD0AB2">
        <w:instrText xml:space="preserve"> SEQ level0 \*arabic </w:instrText>
      </w:r>
      <w:r w:rsidRPr="00AD0AB2">
        <w:fldChar w:fldCharType="separate"/>
      </w:r>
      <w:r w:rsidRPr="00AD0AB2" w:rsidR="00AD0AB2">
        <w:rPr>
          <w:noProof/>
        </w:rPr>
        <w:t>16</w:t>
      </w:r>
      <w:r w:rsidRPr="00AD0AB2">
        <w:fldChar w:fldCharType="end"/>
      </w:r>
      <w:r w:rsidRPr="00AD0AB2">
        <w:t>.  </w:t>
      </w:r>
      <w:r w:rsidRPr="00AD0AB2" w:rsidR="004E5D2C">
        <w:t>The Court notes that this complaint is not manifestly ill-founded within the meaning of Article 35 § 3 (a) of the Convention. It further notes that it is not inadmissible on any other grounds. It must therefore be declared admissible.</w:t>
      </w:r>
    </w:p>
    <w:p w:rsidRPr="00AD0AB2" w:rsidR="004E5D2C" w:rsidP="00AD0AB2" w:rsidRDefault="004E5D2C">
      <w:pPr>
        <w:pStyle w:val="ECHRHeading2"/>
      </w:pPr>
      <w:r w:rsidRPr="00AD0AB2">
        <w:t>B.  Merits</w:t>
      </w:r>
    </w:p>
    <w:p w:rsidRPr="00AD0AB2" w:rsidR="00597D94" w:rsidP="00AD0AB2" w:rsidRDefault="00B43FD3">
      <w:pPr>
        <w:pStyle w:val="ECHRPara"/>
      </w:pPr>
      <w:r w:rsidRPr="00AD0AB2">
        <w:fldChar w:fldCharType="begin"/>
      </w:r>
      <w:r w:rsidRPr="00AD0AB2">
        <w:instrText xml:space="preserve"> SEQ level0 \*arabic </w:instrText>
      </w:r>
      <w:r w:rsidRPr="00AD0AB2">
        <w:fldChar w:fldCharType="separate"/>
      </w:r>
      <w:r w:rsidRPr="00AD0AB2" w:rsidR="00AD0AB2">
        <w:rPr>
          <w:noProof/>
        </w:rPr>
        <w:t>17</w:t>
      </w:r>
      <w:r w:rsidRPr="00AD0AB2">
        <w:fldChar w:fldCharType="end"/>
      </w:r>
      <w:r w:rsidRPr="00AD0AB2">
        <w:t>.  </w:t>
      </w:r>
      <w:r w:rsidRPr="00AD0AB2" w:rsidR="004E5D2C">
        <w:t xml:space="preserve">The Court reiterates that the reasonableness of the length of proceedings must be assessed in the light of the circumstances of the case and with reference to the following criteria: the complexity of the case, the conduct of the applicant and the relevant authorities and what was at stake for the applicant in the dispute (see, among many other authorities, </w:t>
      </w:r>
      <w:proofErr w:type="spellStart"/>
      <w:r w:rsidRPr="00AD0AB2" w:rsidR="004E5D2C">
        <w:rPr>
          <w:i/>
        </w:rPr>
        <w:t>Frydlender</w:t>
      </w:r>
      <w:proofErr w:type="spellEnd"/>
      <w:r w:rsidRPr="00AD0AB2" w:rsidR="004E5D2C">
        <w:rPr>
          <w:i/>
        </w:rPr>
        <w:t xml:space="preserve"> v. France</w:t>
      </w:r>
      <w:r w:rsidRPr="00AD0AB2" w:rsidR="004E5D2C">
        <w:t xml:space="preserve"> [GC], no. 30979/96, § 43, ECHR 2000-VII).</w:t>
      </w:r>
      <w:r w:rsidRPr="00AD0AB2" w:rsidR="00D26AA3">
        <w:t xml:space="preserve"> </w:t>
      </w:r>
      <w:r w:rsidRPr="00AD0AB2" w:rsidR="00E55603">
        <w:t>Only</w:t>
      </w:r>
      <w:r w:rsidRPr="00AD0AB2" w:rsidR="00800C94">
        <w:rPr>
          <w:lang w:val="en-US"/>
        </w:rPr>
        <w:t xml:space="preserve"> delays attributable to the State may justify a finding of failure to comply with the “reasonable time” requirement (see </w:t>
      </w:r>
      <w:proofErr w:type="spellStart"/>
      <w:r w:rsidRPr="00AD0AB2" w:rsidR="00800C94">
        <w:rPr>
          <w:i/>
        </w:rPr>
        <w:t>Humen</w:t>
      </w:r>
      <w:proofErr w:type="spellEnd"/>
      <w:r w:rsidRPr="00AD0AB2" w:rsidR="00800C94">
        <w:rPr>
          <w:i/>
        </w:rPr>
        <w:t xml:space="preserve"> v. Poland</w:t>
      </w:r>
      <w:r w:rsidRPr="00AD0AB2" w:rsidR="00800C94">
        <w:t xml:space="preserve"> [GC], no.</w:t>
      </w:r>
      <w:r w:rsidRPr="00AD0AB2" w:rsidR="002E6B8B">
        <w:t> </w:t>
      </w:r>
      <w:r w:rsidRPr="00AD0AB2" w:rsidR="00800C94">
        <w:t>26614/95, § 66, 15 October 1999).</w:t>
      </w:r>
      <w:r w:rsidRPr="00AD0AB2" w:rsidR="00EE45D6">
        <w:t xml:space="preserve"> With respect to the conduct of the applicant the Court has held that the person concerned is required only to show diligence in carrying out the procedural steps relating to him</w:t>
      </w:r>
      <w:r w:rsidRPr="00AD0AB2" w:rsidR="002E6B8B">
        <w:t>/her</w:t>
      </w:r>
      <w:r w:rsidRPr="00AD0AB2" w:rsidR="00EE45D6">
        <w:t>, to refrain from using delaying tactics and to avail himself</w:t>
      </w:r>
      <w:r w:rsidRPr="00AD0AB2" w:rsidR="002E6B8B">
        <w:t>/herself</w:t>
      </w:r>
      <w:r w:rsidRPr="00AD0AB2" w:rsidR="00EE45D6">
        <w:t xml:space="preserve"> of the scope afforded by domestic law for shortening the proceedings (see </w:t>
      </w:r>
      <w:r w:rsidRPr="00AD0AB2" w:rsidR="00EE45D6">
        <w:rPr>
          <w:i/>
        </w:rPr>
        <w:t xml:space="preserve">Unión </w:t>
      </w:r>
      <w:proofErr w:type="spellStart"/>
      <w:r w:rsidRPr="00AD0AB2" w:rsidR="00EE45D6">
        <w:rPr>
          <w:i/>
        </w:rPr>
        <w:t>Alimentaria</w:t>
      </w:r>
      <w:proofErr w:type="spellEnd"/>
      <w:r w:rsidRPr="00AD0AB2" w:rsidR="00EE45D6">
        <w:rPr>
          <w:i/>
        </w:rPr>
        <w:t xml:space="preserve"> Sanders S.A. v. Spain</w:t>
      </w:r>
      <w:r w:rsidRPr="00AD0AB2" w:rsidR="00EE45D6">
        <w:t>, 7 July 1989, § 35, Series A no. 157).</w:t>
      </w:r>
    </w:p>
    <w:p w:rsidRPr="00AD0AB2" w:rsidR="00C644EA" w:rsidP="00AD0AB2" w:rsidRDefault="00B43FD3">
      <w:pPr>
        <w:pStyle w:val="ECHRPara"/>
      </w:pPr>
      <w:r w:rsidRPr="00AD0AB2">
        <w:fldChar w:fldCharType="begin"/>
      </w:r>
      <w:r w:rsidRPr="00AD0AB2">
        <w:instrText xml:space="preserve"> SEQ level0 \*arabic </w:instrText>
      </w:r>
      <w:r w:rsidRPr="00AD0AB2">
        <w:fldChar w:fldCharType="separate"/>
      </w:r>
      <w:r w:rsidRPr="00AD0AB2" w:rsidR="00AD0AB2">
        <w:rPr>
          <w:noProof/>
        </w:rPr>
        <w:t>18</w:t>
      </w:r>
      <w:r w:rsidRPr="00AD0AB2">
        <w:fldChar w:fldCharType="end"/>
      </w:r>
      <w:r w:rsidRPr="00AD0AB2">
        <w:t>.  </w:t>
      </w:r>
      <w:r w:rsidRPr="00AD0AB2" w:rsidR="00C644EA">
        <w:t xml:space="preserve">The period to be taken into consideration began on </w:t>
      </w:r>
      <w:r w:rsidRPr="00AD0AB2">
        <w:t>11 </w:t>
      </w:r>
      <w:r w:rsidRPr="00AD0AB2" w:rsidR="00C644EA">
        <w:t>October 1999 and ended on 28 September 2011. It thus lasted nearly 12</w:t>
      </w:r>
      <w:r w:rsidRPr="00AD0AB2">
        <w:t> </w:t>
      </w:r>
      <w:r w:rsidRPr="00AD0AB2" w:rsidR="00C644EA">
        <w:t xml:space="preserve">years </w:t>
      </w:r>
      <w:r w:rsidRPr="00AD0AB2" w:rsidR="002E6B8B">
        <w:t xml:space="preserve">at </w:t>
      </w:r>
      <w:r w:rsidRPr="00AD0AB2" w:rsidR="00C644EA">
        <w:t>three levels of jurisdiction.</w:t>
      </w:r>
    </w:p>
    <w:p w:rsidRPr="00AD0AB2" w:rsidR="003B65A4" w:rsidP="00AD0AB2" w:rsidRDefault="00B43FD3">
      <w:pPr>
        <w:pStyle w:val="ECHRPara"/>
      </w:pPr>
      <w:r w:rsidRPr="00AD0AB2">
        <w:fldChar w:fldCharType="begin"/>
      </w:r>
      <w:r w:rsidRPr="00AD0AB2">
        <w:instrText xml:space="preserve"> SEQ level0 \*arabic </w:instrText>
      </w:r>
      <w:r w:rsidRPr="00AD0AB2">
        <w:fldChar w:fldCharType="separate"/>
      </w:r>
      <w:r w:rsidRPr="00AD0AB2" w:rsidR="00AD0AB2">
        <w:rPr>
          <w:noProof/>
        </w:rPr>
        <w:t>19</w:t>
      </w:r>
      <w:r w:rsidRPr="00AD0AB2">
        <w:fldChar w:fldCharType="end"/>
      </w:r>
      <w:r w:rsidRPr="00AD0AB2">
        <w:t>.  </w:t>
      </w:r>
      <w:r w:rsidRPr="00AD0AB2" w:rsidR="00597D94">
        <w:t>The Court observes that the civil case was not complex</w:t>
      </w:r>
      <w:r w:rsidRPr="00AD0AB2" w:rsidR="00EE45D6">
        <w:t xml:space="preserve">. </w:t>
      </w:r>
      <w:r w:rsidRPr="00AD0AB2" w:rsidR="00293896">
        <w:t>T</w:t>
      </w:r>
      <w:r w:rsidRPr="00AD0AB2" w:rsidR="00DC711E">
        <w:t xml:space="preserve">he </w:t>
      </w:r>
      <w:r w:rsidRPr="00AD0AB2" w:rsidR="00293896">
        <w:t xml:space="preserve">postponements caused by the unjustified absences of </w:t>
      </w:r>
      <w:r w:rsidRPr="00AD0AB2" w:rsidR="002E6B8B">
        <w:t xml:space="preserve">the </w:t>
      </w:r>
      <w:r w:rsidRPr="00AD0AB2" w:rsidR="00DC711E">
        <w:t>applicant</w:t>
      </w:r>
      <w:r w:rsidRPr="00AD0AB2" w:rsidR="00800C94">
        <w:t xml:space="preserve"> </w:t>
      </w:r>
      <w:r w:rsidRPr="00AD0AB2" w:rsidR="00293896">
        <w:t xml:space="preserve">or her representative </w:t>
      </w:r>
      <w:r w:rsidRPr="00AD0AB2" w:rsidR="00EE45D6">
        <w:t xml:space="preserve">did </w:t>
      </w:r>
      <w:r w:rsidRPr="00AD0AB2" w:rsidR="00800C94">
        <w:t>not contribute significantly to the length of the proceedings</w:t>
      </w:r>
      <w:r w:rsidRPr="00AD0AB2" w:rsidR="00406B75">
        <w:t xml:space="preserve"> </w:t>
      </w:r>
      <w:r w:rsidRPr="00AD0AB2" w:rsidR="00406B75">
        <w:rPr>
          <w:lang w:val="en-US"/>
        </w:rPr>
        <w:t xml:space="preserve">(see </w:t>
      </w:r>
      <w:r w:rsidRPr="00AD0AB2" w:rsidR="00406B75">
        <w:t>§ 9 above)</w:t>
      </w:r>
      <w:r w:rsidRPr="00AD0AB2" w:rsidR="00AB30B7">
        <w:t>.</w:t>
      </w:r>
      <w:r w:rsidRPr="00AD0AB2" w:rsidR="003168D8">
        <w:t xml:space="preserve"> As regards the amending of the initial claim, </w:t>
      </w:r>
      <w:r w:rsidRPr="00AD0AB2" w:rsidR="00F93C81">
        <w:t xml:space="preserve">the applicant could have foreseen </w:t>
      </w:r>
      <w:r w:rsidRPr="00AD0AB2" w:rsidR="003C160A">
        <w:t xml:space="preserve">and should have </w:t>
      </w:r>
      <w:r w:rsidRPr="00AD0AB2" w:rsidR="003F2C76">
        <w:t>considered</w:t>
      </w:r>
      <w:r w:rsidRPr="00AD0AB2" w:rsidR="003C160A">
        <w:t xml:space="preserve"> </w:t>
      </w:r>
      <w:r w:rsidRPr="00AD0AB2" w:rsidR="00F93C81">
        <w:t xml:space="preserve">that, </w:t>
      </w:r>
      <w:r w:rsidRPr="00AD0AB2" w:rsidR="003168D8">
        <w:t>under the domestic law regulation at the given time, it will trigger a fresh examination of the case.</w:t>
      </w:r>
      <w:r w:rsidRPr="00AD0AB2" w:rsidR="00AB30B7">
        <w:t xml:space="preserve"> </w:t>
      </w:r>
      <w:r w:rsidRPr="00AD0AB2" w:rsidR="00406B75">
        <w:t>Furthermore</w:t>
      </w:r>
      <w:r w:rsidRPr="00AD0AB2" w:rsidR="00DA5508">
        <w:t>, t</w:t>
      </w:r>
      <w:r w:rsidRPr="00AD0AB2" w:rsidR="00AB30B7">
        <w:t xml:space="preserve">he </w:t>
      </w:r>
      <w:r w:rsidRPr="00AD0AB2" w:rsidR="00E55603">
        <w:t xml:space="preserve">Court considers that </w:t>
      </w:r>
      <w:r w:rsidRPr="00AD0AB2" w:rsidR="009F5A79">
        <w:t>the applicant did not show the necessary diligence</w:t>
      </w:r>
      <w:r w:rsidRPr="00AD0AB2" w:rsidR="00E55603">
        <w:t xml:space="preserve"> in carrying out the procedural steps</w:t>
      </w:r>
      <w:r w:rsidRPr="00AD0AB2" w:rsidR="00AC06C5">
        <w:t xml:space="preserve"> </w:t>
      </w:r>
      <w:r w:rsidRPr="00AD0AB2" w:rsidR="00293896">
        <w:t xml:space="preserve">required </w:t>
      </w:r>
      <w:r w:rsidRPr="00AD0AB2" w:rsidR="00AC06C5">
        <w:t>to obtain the expert opinion</w:t>
      </w:r>
      <w:r w:rsidRPr="00AD0AB2" w:rsidR="00406B75">
        <w:t xml:space="preserve"> since </w:t>
      </w:r>
      <w:r w:rsidRPr="00AD0AB2" w:rsidR="00271E0C">
        <w:t xml:space="preserve">she </w:t>
      </w:r>
      <w:r w:rsidRPr="00AD0AB2" w:rsidR="00E55603">
        <w:t xml:space="preserve">failed to submit the </w:t>
      </w:r>
      <w:r w:rsidRPr="00AD0AB2" w:rsidR="00C30AAA">
        <w:t xml:space="preserve">necessary </w:t>
      </w:r>
      <w:r w:rsidRPr="00AD0AB2" w:rsidR="00293896">
        <w:t xml:space="preserve">voice </w:t>
      </w:r>
      <w:r w:rsidRPr="00AD0AB2" w:rsidR="00E55603">
        <w:t>sample in a timely manner.</w:t>
      </w:r>
      <w:r w:rsidRPr="00AD0AB2" w:rsidR="00DC711E">
        <w:t xml:space="preserve"> </w:t>
      </w:r>
      <w:r w:rsidRPr="00AD0AB2" w:rsidR="00406B75">
        <w:t>W</w:t>
      </w:r>
      <w:r w:rsidRPr="00AD0AB2" w:rsidR="00293896">
        <w:t xml:space="preserve">hile the Court does not consider that the applicant could be faulted for her </w:t>
      </w:r>
      <w:r w:rsidRPr="00AD0AB2" w:rsidR="002165CE">
        <w:t>inability to</w:t>
      </w:r>
      <w:r w:rsidRPr="00AD0AB2" w:rsidR="00293896">
        <w:t xml:space="preserve"> cover the expenses for the expert opinion, the delays caused due to this </w:t>
      </w:r>
      <w:r w:rsidRPr="00AD0AB2" w:rsidR="00406B75">
        <w:t xml:space="preserve">and other </w:t>
      </w:r>
      <w:r w:rsidRPr="00AD0AB2" w:rsidR="00293896">
        <w:t>reason</w:t>
      </w:r>
      <w:r w:rsidRPr="00AD0AB2" w:rsidR="00406B75">
        <w:t>s</w:t>
      </w:r>
      <w:r w:rsidRPr="00AD0AB2" w:rsidR="00293896">
        <w:t xml:space="preserve"> </w:t>
      </w:r>
      <w:r w:rsidRPr="00AD0AB2" w:rsidR="00406B75">
        <w:t xml:space="preserve">described above </w:t>
      </w:r>
      <w:r w:rsidRPr="00AD0AB2" w:rsidR="00293896">
        <w:t xml:space="preserve">cannot be </w:t>
      </w:r>
      <w:r w:rsidRPr="00AD0AB2" w:rsidR="00293896">
        <w:rPr>
          <w:lang w:val="en-US"/>
        </w:rPr>
        <w:t>attributable to the State either.</w:t>
      </w:r>
    </w:p>
    <w:p w:rsidRPr="00AD0AB2" w:rsidR="004E5D2C" w:rsidP="00AD0AB2" w:rsidRDefault="00B43FD3">
      <w:pPr>
        <w:pStyle w:val="ECHRPara"/>
      </w:pPr>
      <w:r w:rsidRPr="00AD0AB2">
        <w:fldChar w:fldCharType="begin"/>
      </w:r>
      <w:r w:rsidRPr="00AD0AB2">
        <w:instrText xml:space="preserve"> SEQ level0 \*arabic </w:instrText>
      </w:r>
      <w:r w:rsidRPr="00AD0AB2">
        <w:fldChar w:fldCharType="separate"/>
      </w:r>
      <w:r w:rsidRPr="00AD0AB2" w:rsidR="00AD0AB2">
        <w:rPr>
          <w:noProof/>
        </w:rPr>
        <w:t>20</w:t>
      </w:r>
      <w:r w:rsidRPr="00AD0AB2">
        <w:fldChar w:fldCharType="end"/>
      </w:r>
      <w:r w:rsidRPr="00AD0AB2">
        <w:t>.  </w:t>
      </w:r>
      <w:r w:rsidRPr="00AD0AB2" w:rsidR="00982980">
        <w:t>As to</w:t>
      </w:r>
      <w:r w:rsidRPr="00AD0AB2" w:rsidR="00DA5508">
        <w:t xml:space="preserve"> the</w:t>
      </w:r>
      <w:r w:rsidRPr="00AD0AB2" w:rsidR="00F12B71">
        <w:t xml:space="preserve"> conduct of</w:t>
      </w:r>
      <w:r w:rsidRPr="00AD0AB2" w:rsidR="002D3696">
        <w:t xml:space="preserve"> </w:t>
      </w:r>
      <w:r w:rsidRPr="00AD0AB2" w:rsidR="00D674DE">
        <w:t>the State authorities</w:t>
      </w:r>
      <w:r w:rsidRPr="00AD0AB2" w:rsidR="00982980">
        <w:t xml:space="preserve">, </w:t>
      </w:r>
      <w:r w:rsidRPr="00AD0AB2" w:rsidR="003168D8">
        <w:t xml:space="preserve">they </w:t>
      </w:r>
      <w:r w:rsidRPr="00AD0AB2" w:rsidR="00CA3FAC">
        <w:t xml:space="preserve">were responsible </w:t>
      </w:r>
      <w:r w:rsidRPr="00AD0AB2" w:rsidR="00CE60E2">
        <w:t>for</w:t>
      </w:r>
      <w:r w:rsidRPr="00AD0AB2" w:rsidR="00CA3FAC">
        <w:t xml:space="preserve"> </w:t>
      </w:r>
      <w:r w:rsidRPr="00AD0AB2" w:rsidR="002165CE">
        <w:t xml:space="preserve">the </w:t>
      </w:r>
      <w:r w:rsidRPr="00AD0AB2" w:rsidR="00CA3FAC">
        <w:t xml:space="preserve">postponement of </w:t>
      </w:r>
      <w:r w:rsidRPr="00AD0AB2" w:rsidR="00982980">
        <w:t>nine hearings</w:t>
      </w:r>
      <w:r w:rsidRPr="00AD0AB2" w:rsidR="000D65AD">
        <w:t xml:space="preserve"> amounting to a delay of more than three years</w:t>
      </w:r>
      <w:r w:rsidRPr="00AD0AB2" w:rsidR="006A1096">
        <w:t xml:space="preserve"> and</w:t>
      </w:r>
      <w:r w:rsidRPr="00AD0AB2" w:rsidR="000D65AD">
        <w:t xml:space="preserve"> other nearly three years of</w:t>
      </w:r>
      <w:r w:rsidRPr="00AD0AB2" w:rsidR="00982980">
        <w:t xml:space="preserve"> </w:t>
      </w:r>
      <w:r w:rsidRPr="00AD0AB2" w:rsidR="00550CEE">
        <w:t xml:space="preserve">periods of </w:t>
      </w:r>
      <w:r w:rsidRPr="00AD0AB2" w:rsidR="00982980">
        <w:t>inactivity before the</w:t>
      </w:r>
      <w:r w:rsidRPr="00AD0AB2" w:rsidR="00CA3FAC">
        <w:t xml:space="preserve"> appellate</w:t>
      </w:r>
      <w:r w:rsidRPr="00AD0AB2" w:rsidR="00753A34">
        <w:t xml:space="preserve"> </w:t>
      </w:r>
      <w:r w:rsidRPr="00AD0AB2" w:rsidR="00CA3FAC">
        <w:t>and</w:t>
      </w:r>
      <w:r w:rsidRPr="00AD0AB2" w:rsidR="00982980">
        <w:t xml:space="preserve"> Supreme Court</w:t>
      </w:r>
      <w:r w:rsidRPr="00AD0AB2" w:rsidR="001A2F6F">
        <w:t xml:space="preserve"> that significantly contributed to the overall excessive length of proceedings</w:t>
      </w:r>
      <w:r w:rsidRPr="00AD0AB2" w:rsidR="00982980">
        <w:t xml:space="preserve">. </w:t>
      </w:r>
      <w:r w:rsidRPr="00AD0AB2" w:rsidR="004E5D2C">
        <w:t>The Court has frequently found violations of Article 6</w:t>
      </w:r>
      <w:r w:rsidRPr="00AD0AB2" w:rsidR="00C5169B">
        <w:t> </w:t>
      </w:r>
      <w:r w:rsidRPr="00AD0AB2" w:rsidR="004E5D2C">
        <w:t xml:space="preserve">§ 1 of the Convention in cases raising issues similar to the one in the present case (see </w:t>
      </w:r>
      <w:proofErr w:type="spellStart"/>
      <w:r w:rsidRPr="00AD0AB2" w:rsidR="004E5D2C">
        <w:rPr>
          <w:i/>
        </w:rPr>
        <w:t>Frydlender</w:t>
      </w:r>
      <w:proofErr w:type="spellEnd"/>
      <w:r w:rsidRPr="00AD0AB2" w:rsidR="004E5D2C">
        <w:t>, cited above).</w:t>
      </w:r>
    </w:p>
    <w:p w:rsidRPr="00AD0AB2" w:rsidR="004E5D2C" w:rsidP="00AD0AB2" w:rsidRDefault="00B43FD3">
      <w:pPr>
        <w:pStyle w:val="ECHRPara"/>
      </w:pPr>
      <w:r w:rsidRPr="00AD0AB2">
        <w:fldChar w:fldCharType="begin"/>
      </w:r>
      <w:r w:rsidRPr="00AD0AB2">
        <w:instrText xml:space="preserve"> SEQ level0 \*arabic </w:instrText>
      </w:r>
      <w:r w:rsidRPr="00AD0AB2">
        <w:fldChar w:fldCharType="separate"/>
      </w:r>
      <w:r w:rsidRPr="00AD0AB2" w:rsidR="00AD0AB2">
        <w:rPr>
          <w:noProof/>
        </w:rPr>
        <w:t>21</w:t>
      </w:r>
      <w:r w:rsidRPr="00AD0AB2">
        <w:fldChar w:fldCharType="end"/>
      </w:r>
      <w:r w:rsidRPr="00AD0AB2">
        <w:t>.  </w:t>
      </w:r>
      <w:r w:rsidRPr="00AD0AB2" w:rsidR="004E5D2C">
        <w:t>Having examined all the material submitted to it, the Court considers that the Government have not put forward any fact or argument capable of persuading it to reach a different conclusion in the present case</w:t>
      </w:r>
      <w:r w:rsidRPr="00AD0AB2" w:rsidR="007322C9">
        <w:t xml:space="preserve">. </w:t>
      </w:r>
      <w:r w:rsidRPr="00AD0AB2" w:rsidR="006A1096">
        <w:t>The applicant</w:t>
      </w:r>
      <w:r w:rsidRPr="00AD0AB2" w:rsidR="00AD0AB2">
        <w:t>’</w:t>
      </w:r>
      <w:r w:rsidRPr="00AD0AB2" w:rsidR="006A1096">
        <w:t>s conduct</w:t>
      </w:r>
      <w:r w:rsidRPr="00AD0AB2" w:rsidR="0018710E">
        <w:t>,</w:t>
      </w:r>
      <w:r w:rsidRPr="00AD0AB2" w:rsidR="007322C9">
        <w:t xml:space="preserve"> cannot justify the overall conduct </w:t>
      </w:r>
      <w:r w:rsidRPr="00AD0AB2" w:rsidR="0018710E">
        <w:t>and notable delays in the examination of the case by</w:t>
      </w:r>
      <w:r w:rsidRPr="00AD0AB2" w:rsidR="007322C9">
        <w:t xml:space="preserve"> the State authorities. </w:t>
      </w:r>
      <w:r w:rsidRPr="00AD0AB2" w:rsidR="004E5D2C">
        <w:t>Having regard to its case-law on the subject, the Court considers that in the instant case the length of the proceedings was excessive and failed to meet the “reasonable time” requirement.</w:t>
      </w:r>
    </w:p>
    <w:p w:rsidRPr="00AD0AB2" w:rsidR="004E5D2C" w:rsidP="00AD0AB2" w:rsidRDefault="004E5D2C">
      <w:pPr>
        <w:pStyle w:val="ECHRPara"/>
      </w:pPr>
      <w:r w:rsidRPr="00AD0AB2">
        <w:t>There has accordingly been a breach of Article 6 § 1.</w:t>
      </w:r>
    </w:p>
    <w:p w:rsidRPr="00AD0AB2" w:rsidR="004E5D2C" w:rsidP="00AD0AB2" w:rsidRDefault="004E5D2C">
      <w:pPr>
        <w:pStyle w:val="ECHRHeading1"/>
      </w:pPr>
      <w:r w:rsidRPr="00AD0AB2">
        <w:t>III.</w:t>
      </w:r>
      <w:proofErr w:type="gramStart"/>
      <w:r w:rsidRPr="00AD0AB2">
        <w:t>  APPLICATION</w:t>
      </w:r>
      <w:proofErr w:type="gramEnd"/>
      <w:r w:rsidRPr="00AD0AB2">
        <w:t xml:space="preserve"> OF ARTICLE 41 OF THE CONVENTION</w:t>
      </w:r>
    </w:p>
    <w:p w:rsidRPr="00AD0AB2" w:rsidR="004E5D2C" w:rsidP="00AD0AB2" w:rsidRDefault="00B43FD3">
      <w:pPr>
        <w:pStyle w:val="ECHRPara"/>
      </w:pPr>
      <w:r w:rsidRPr="00AD0AB2">
        <w:fldChar w:fldCharType="begin"/>
      </w:r>
      <w:r w:rsidRPr="00AD0AB2">
        <w:instrText xml:space="preserve"> SEQ level0 \*arabic </w:instrText>
      </w:r>
      <w:r w:rsidRPr="00AD0AB2">
        <w:fldChar w:fldCharType="separate"/>
      </w:r>
      <w:r w:rsidRPr="00AD0AB2" w:rsidR="00AD0AB2">
        <w:rPr>
          <w:noProof/>
        </w:rPr>
        <w:t>22</w:t>
      </w:r>
      <w:r w:rsidRPr="00AD0AB2">
        <w:fldChar w:fldCharType="end"/>
      </w:r>
      <w:r w:rsidRPr="00AD0AB2">
        <w:t>.  </w:t>
      </w:r>
      <w:r w:rsidRPr="00AD0AB2" w:rsidR="004E5D2C">
        <w:t>Article 41 of the Convention provides:</w:t>
      </w:r>
    </w:p>
    <w:p w:rsidRPr="00AD0AB2" w:rsidR="004E5D2C" w:rsidP="00AD0AB2" w:rsidRDefault="004E5D2C">
      <w:pPr>
        <w:pStyle w:val="ECHRParaQuote"/>
        <w:keepNext/>
        <w:keepLines/>
      </w:pPr>
      <w:r w:rsidRPr="00AD0AB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D0AB2" w:rsidR="004E5D2C" w:rsidP="00AD0AB2" w:rsidRDefault="004E5D2C">
      <w:pPr>
        <w:pStyle w:val="ECHRHeading2"/>
      </w:pPr>
      <w:r w:rsidRPr="00AD0AB2">
        <w:t>A.  Damage</w:t>
      </w:r>
      <w:r w:rsidRPr="00AD0AB2" w:rsidR="002C013D">
        <w:t>, costs and expenses</w:t>
      </w:r>
    </w:p>
    <w:p w:rsidRPr="00AD0AB2" w:rsidR="004E5D2C" w:rsidP="00AD0AB2" w:rsidRDefault="00B43FD3">
      <w:pPr>
        <w:pStyle w:val="ECHRPara"/>
      </w:pPr>
      <w:r w:rsidRPr="00AD0AB2">
        <w:fldChar w:fldCharType="begin"/>
      </w:r>
      <w:r w:rsidRPr="00AD0AB2">
        <w:instrText xml:space="preserve"> SEQ level0 \*arabic </w:instrText>
      </w:r>
      <w:r w:rsidRPr="00AD0AB2">
        <w:fldChar w:fldCharType="separate"/>
      </w:r>
      <w:r w:rsidRPr="00AD0AB2" w:rsidR="00AD0AB2">
        <w:rPr>
          <w:noProof/>
        </w:rPr>
        <w:t>23</w:t>
      </w:r>
      <w:r w:rsidRPr="00AD0AB2">
        <w:fldChar w:fldCharType="end"/>
      </w:r>
      <w:r w:rsidRPr="00AD0AB2">
        <w:t>.  </w:t>
      </w:r>
      <w:r w:rsidRPr="00AD0AB2" w:rsidR="004E5D2C">
        <w:t>The applicant claimed</w:t>
      </w:r>
      <w:r w:rsidRPr="00AD0AB2" w:rsidR="002C013D">
        <w:t xml:space="preserve"> </w:t>
      </w:r>
      <w:r w:rsidRPr="00AD0AB2" w:rsidR="001079CD">
        <w:t xml:space="preserve">50,000 </w:t>
      </w:r>
      <w:r w:rsidRPr="00AD0AB2" w:rsidR="00DF38D5">
        <w:t xml:space="preserve">Latvian </w:t>
      </w:r>
      <w:proofErr w:type="spellStart"/>
      <w:r w:rsidRPr="00AD0AB2" w:rsidR="00DF38D5">
        <w:t>lati</w:t>
      </w:r>
      <w:proofErr w:type="spellEnd"/>
      <w:r w:rsidRPr="00AD0AB2" w:rsidR="00DF38D5">
        <w:t xml:space="preserve"> (LVL) </w:t>
      </w:r>
      <w:r w:rsidRPr="00AD0AB2" w:rsidR="001079CD">
        <w:t>(</w:t>
      </w:r>
      <w:r w:rsidRPr="00AD0AB2" w:rsidR="00C305D8">
        <w:t xml:space="preserve">approximately </w:t>
      </w:r>
      <w:r w:rsidRPr="00AD0AB2" w:rsidR="002C013D">
        <w:t>71,14</w:t>
      </w:r>
      <w:r w:rsidRPr="00AD0AB2" w:rsidR="00C305D8">
        <w:t>4</w:t>
      </w:r>
      <w:r w:rsidRPr="00AD0AB2" w:rsidR="00DF38D5">
        <w:t xml:space="preserve"> euros (EUR)</w:t>
      </w:r>
      <w:r w:rsidRPr="00AD0AB2" w:rsidR="001079CD">
        <w:t>)</w:t>
      </w:r>
      <w:r w:rsidRPr="00AD0AB2" w:rsidR="004E5D2C">
        <w:t xml:space="preserve"> in respect of pecuniary and non-pecuniary damage.</w:t>
      </w:r>
      <w:r w:rsidRPr="00AD0AB2" w:rsidR="002C013D">
        <w:t xml:space="preserve"> She did not claim any costs and expenses incurred before the domestic courts or this Court.</w:t>
      </w:r>
    </w:p>
    <w:p w:rsidRPr="00AD0AB2" w:rsidR="004E5D2C" w:rsidP="00AD0AB2" w:rsidRDefault="00B43FD3">
      <w:pPr>
        <w:pStyle w:val="ECHRPara"/>
      </w:pPr>
      <w:r w:rsidRPr="00AD0AB2">
        <w:fldChar w:fldCharType="begin"/>
      </w:r>
      <w:r w:rsidRPr="00AD0AB2">
        <w:instrText xml:space="preserve"> SEQ level0 \*arabic </w:instrText>
      </w:r>
      <w:r w:rsidRPr="00AD0AB2">
        <w:fldChar w:fldCharType="separate"/>
      </w:r>
      <w:r w:rsidRPr="00AD0AB2" w:rsidR="00AD0AB2">
        <w:rPr>
          <w:noProof/>
        </w:rPr>
        <w:t>24</w:t>
      </w:r>
      <w:r w:rsidRPr="00AD0AB2">
        <w:fldChar w:fldCharType="end"/>
      </w:r>
      <w:r w:rsidRPr="00AD0AB2">
        <w:t>.  </w:t>
      </w:r>
      <w:r w:rsidRPr="00AD0AB2" w:rsidR="004E5D2C">
        <w:t>The Government did not express an opinion on the matter.</w:t>
      </w:r>
    </w:p>
    <w:p w:rsidRPr="00AD0AB2" w:rsidR="00E807D5" w:rsidP="00AD0AB2" w:rsidRDefault="00B43FD3">
      <w:pPr>
        <w:pStyle w:val="ECHRPara"/>
      </w:pPr>
      <w:r w:rsidRPr="00AD0AB2">
        <w:fldChar w:fldCharType="begin"/>
      </w:r>
      <w:r w:rsidRPr="00AD0AB2">
        <w:instrText xml:space="preserve"> SEQ level0 \*arabic </w:instrText>
      </w:r>
      <w:r w:rsidRPr="00AD0AB2">
        <w:fldChar w:fldCharType="separate"/>
      </w:r>
      <w:r w:rsidRPr="00AD0AB2" w:rsidR="00AD0AB2">
        <w:rPr>
          <w:noProof/>
        </w:rPr>
        <w:t>25</w:t>
      </w:r>
      <w:r w:rsidRPr="00AD0AB2">
        <w:fldChar w:fldCharType="end"/>
      </w:r>
      <w:r w:rsidRPr="00AD0AB2">
        <w:t>.  </w:t>
      </w:r>
      <w:r w:rsidRPr="00AD0AB2" w:rsidR="004E5D2C">
        <w:t xml:space="preserve">The Court does not discern any causal link between the violation found and the pecuniary damage alleged; it therefore rejects this claim. On the other hand, </w:t>
      </w:r>
      <w:r w:rsidRPr="00AD0AB2" w:rsidR="002C013D">
        <w:t xml:space="preserve">the </w:t>
      </w:r>
      <w:r w:rsidRPr="00AD0AB2" w:rsidR="004E5D2C">
        <w:t xml:space="preserve">Court considers that the applicant must have sustained non-pecuniary damage. Ruling on an equitable basis, </w:t>
      </w:r>
      <w:r w:rsidRPr="00AD0AB2" w:rsidR="00F12B71">
        <w:t xml:space="preserve">and taking into account that </w:t>
      </w:r>
      <w:r w:rsidRPr="00AD0AB2" w:rsidR="00DA5508">
        <w:t>some of delays were not attributable to the State</w:t>
      </w:r>
      <w:r w:rsidRPr="00AD0AB2" w:rsidR="00D517CC">
        <w:t>;</w:t>
      </w:r>
      <w:r w:rsidRPr="00AD0AB2" w:rsidR="00F12B71">
        <w:t xml:space="preserve"> </w:t>
      </w:r>
      <w:r w:rsidRPr="00AD0AB2" w:rsidR="004E5D2C">
        <w:t xml:space="preserve">it awards </w:t>
      </w:r>
      <w:r w:rsidRPr="00AD0AB2" w:rsidR="00E22C7C">
        <w:t xml:space="preserve">the applicant </w:t>
      </w:r>
      <w:r w:rsidRPr="00AD0AB2" w:rsidR="004E5D2C">
        <w:t>EUR</w:t>
      </w:r>
      <w:r w:rsidRPr="00AD0AB2" w:rsidR="000818B4">
        <w:t> </w:t>
      </w:r>
      <w:r w:rsidRPr="00AD0AB2" w:rsidR="00F12B71">
        <w:t>6</w:t>
      </w:r>
      <w:r w:rsidRPr="00AD0AB2" w:rsidR="00DA5508">
        <w:t>,</w:t>
      </w:r>
      <w:r w:rsidRPr="00AD0AB2" w:rsidR="00F46111">
        <w:t xml:space="preserve">000 </w:t>
      </w:r>
      <w:r w:rsidRPr="00AD0AB2" w:rsidR="004E5D2C">
        <w:t>under that head.</w:t>
      </w:r>
    </w:p>
    <w:p w:rsidRPr="00AD0AB2" w:rsidR="004E5D2C" w:rsidP="00AD0AB2" w:rsidRDefault="004E5D2C">
      <w:pPr>
        <w:pStyle w:val="ECHRHeading2"/>
      </w:pPr>
      <w:r w:rsidRPr="00AD0AB2">
        <w:t>B.  Default interest</w:t>
      </w:r>
    </w:p>
    <w:p w:rsidRPr="00AD0AB2" w:rsidR="004E5D2C" w:rsidP="00AD0AB2" w:rsidRDefault="00B43FD3">
      <w:pPr>
        <w:pStyle w:val="ECHRPara"/>
      </w:pPr>
      <w:r w:rsidRPr="00AD0AB2">
        <w:fldChar w:fldCharType="begin"/>
      </w:r>
      <w:r w:rsidRPr="00AD0AB2">
        <w:instrText xml:space="preserve"> SEQ level0 \*arabic </w:instrText>
      </w:r>
      <w:r w:rsidRPr="00AD0AB2">
        <w:fldChar w:fldCharType="separate"/>
      </w:r>
      <w:r w:rsidRPr="00AD0AB2" w:rsidR="00AD0AB2">
        <w:rPr>
          <w:noProof/>
        </w:rPr>
        <w:t>26</w:t>
      </w:r>
      <w:r w:rsidRPr="00AD0AB2">
        <w:fldChar w:fldCharType="end"/>
      </w:r>
      <w:r w:rsidRPr="00AD0AB2">
        <w:t>.  </w:t>
      </w:r>
      <w:r w:rsidRPr="00AD0AB2" w:rsidR="004E5D2C">
        <w:t>The Court considers it appropriate that the default interest rate should be based on the marginal lending rate of the European Central Bank, to which should be added three percentage points.</w:t>
      </w:r>
    </w:p>
    <w:p w:rsidRPr="00AD0AB2" w:rsidR="004E5D2C" w:rsidP="00AD0AB2" w:rsidRDefault="004E5D2C">
      <w:pPr>
        <w:pStyle w:val="ECHRTitle1"/>
      </w:pPr>
      <w:r w:rsidRPr="00AD0AB2">
        <w:t>FOR THESE REASONS, THE COURT, UNANIMOUSLY,</w:t>
      </w:r>
    </w:p>
    <w:p w:rsidRPr="00AD0AB2" w:rsidR="004E5D2C" w:rsidP="00AD0AB2" w:rsidRDefault="004E5D2C">
      <w:pPr>
        <w:pStyle w:val="JuList"/>
        <w:ind w:left="0" w:firstLine="0"/>
      </w:pPr>
      <w:r w:rsidRPr="00AD0AB2">
        <w:t>1.  </w:t>
      </w:r>
      <w:proofErr w:type="gramStart"/>
      <w:r w:rsidRPr="00AD0AB2" w:rsidR="00AB1531">
        <w:rPr>
          <w:i/>
          <w:iCs/>
        </w:rPr>
        <w:t>Rejects</w:t>
      </w:r>
      <w:proofErr w:type="gramEnd"/>
      <w:r w:rsidRPr="00AD0AB2" w:rsidR="00DA5508">
        <w:rPr>
          <w:i/>
        </w:rPr>
        <w:t xml:space="preserve"> </w:t>
      </w:r>
      <w:r w:rsidRPr="00AD0AB2" w:rsidR="00AB1531">
        <w:t>the Government</w:t>
      </w:r>
      <w:r w:rsidRPr="00AD0AB2" w:rsidR="00AD0AB2">
        <w:t>’</w:t>
      </w:r>
      <w:r w:rsidRPr="00AD0AB2" w:rsidR="00AB1531">
        <w:t>s</w:t>
      </w:r>
      <w:r w:rsidRPr="00AD0AB2" w:rsidR="00DA5508">
        <w:t xml:space="preserve"> </w:t>
      </w:r>
      <w:r w:rsidRPr="00AD0AB2" w:rsidR="00AB1531">
        <w:t>unilateral</w:t>
      </w:r>
      <w:r w:rsidRPr="00AD0AB2" w:rsidR="00DA5508">
        <w:t xml:space="preserve"> </w:t>
      </w:r>
      <w:r w:rsidRPr="00AD0AB2" w:rsidR="00AB1531">
        <w:t>declaration</w:t>
      </w:r>
      <w:r w:rsidRPr="00AD0AB2" w:rsidR="00DA5508">
        <w:t xml:space="preserve"> </w:t>
      </w:r>
      <w:r w:rsidRPr="00AD0AB2" w:rsidR="00AB1531">
        <w:t>and their request to strike the application out of the Court</w:t>
      </w:r>
      <w:r w:rsidRPr="00AD0AB2" w:rsidR="00AD0AB2">
        <w:t>’</w:t>
      </w:r>
      <w:r w:rsidRPr="00AD0AB2" w:rsidR="00AB1531">
        <w:t>s list of cases;</w:t>
      </w:r>
    </w:p>
    <w:p w:rsidRPr="00AD0AB2" w:rsidR="00AB1531" w:rsidP="00AD0AB2" w:rsidRDefault="00AB1531">
      <w:pPr>
        <w:pStyle w:val="JuList"/>
      </w:pPr>
    </w:p>
    <w:p w:rsidRPr="00AD0AB2" w:rsidR="004E5D2C" w:rsidP="00AD0AB2" w:rsidRDefault="00AB1531">
      <w:pPr>
        <w:pStyle w:val="JuList"/>
      </w:pPr>
      <w:r w:rsidRPr="00AD0AB2">
        <w:t>2</w:t>
      </w:r>
      <w:r w:rsidRPr="00AD0AB2" w:rsidR="004E5D2C">
        <w:t>.  </w:t>
      </w:r>
      <w:proofErr w:type="gramStart"/>
      <w:r w:rsidRPr="00AD0AB2" w:rsidR="004E5D2C">
        <w:rPr>
          <w:i/>
        </w:rPr>
        <w:t>Declares</w:t>
      </w:r>
      <w:proofErr w:type="gramEnd"/>
      <w:r w:rsidRPr="00AD0AB2">
        <w:t xml:space="preserve"> the complaint</w:t>
      </w:r>
      <w:r w:rsidRPr="00AD0AB2" w:rsidR="004E5D2C">
        <w:t xml:space="preserve"> concerning </w:t>
      </w:r>
      <w:r w:rsidRPr="00AD0AB2">
        <w:t>the length of proceedings admissible;</w:t>
      </w:r>
    </w:p>
    <w:p w:rsidRPr="00AD0AB2" w:rsidR="004E5D2C" w:rsidP="00AD0AB2" w:rsidRDefault="004E5D2C">
      <w:pPr>
        <w:pStyle w:val="JuList"/>
      </w:pPr>
    </w:p>
    <w:p w:rsidRPr="00AD0AB2" w:rsidR="004E5D2C" w:rsidP="00AD0AB2" w:rsidRDefault="00AB1531">
      <w:pPr>
        <w:pStyle w:val="JuList"/>
      </w:pPr>
      <w:r w:rsidRPr="00AD0AB2">
        <w:t>3</w:t>
      </w:r>
      <w:r w:rsidRPr="00AD0AB2" w:rsidR="004E5D2C">
        <w:t>.  </w:t>
      </w:r>
      <w:r w:rsidRPr="00AD0AB2" w:rsidR="004E5D2C">
        <w:rPr>
          <w:i/>
        </w:rPr>
        <w:t>Holds</w:t>
      </w:r>
      <w:r w:rsidRPr="00AD0AB2" w:rsidR="004E5D2C">
        <w:rPr>
          <w:color w:val="000000"/>
        </w:rPr>
        <w:t xml:space="preserve"> </w:t>
      </w:r>
      <w:r w:rsidRPr="00AD0AB2" w:rsidR="004E5D2C">
        <w:t>that there has been a violation of Article 6 § 1 of the Convention;</w:t>
      </w:r>
    </w:p>
    <w:p w:rsidRPr="00AD0AB2" w:rsidR="004E5D2C" w:rsidP="00AD0AB2" w:rsidRDefault="004E5D2C">
      <w:pPr>
        <w:pStyle w:val="JuList"/>
      </w:pPr>
    </w:p>
    <w:p w:rsidRPr="00AD0AB2" w:rsidR="004E5D2C" w:rsidP="00AD0AB2" w:rsidRDefault="004E5D2C">
      <w:pPr>
        <w:pStyle w:val="JuList"/>
      </w:pPr>
      <w:r w:rsidRPr="00AD0AB2">
        <w:t>4.  </w:t>
      </w:r>
      <w:r w:rsidRPr="00AD0AB2">
        <w:rPr>
          <w:i/>
        </w:rPr>
        <w:t>Holds</w:t>
      </w:r>
    </w:p>
    <w:p w:rsidRPr="00AD0AB2" w:rsidR="004E5D2C" w:rsidP="00AD0AB2" w:rsidRDefault="004E5D2C">
      <w:pPr>
        <w:pStyle w:val="JuLista"/>
      </w:pPr>
      <w:r w:rsidRPr="00AD0AB2">
        <w:t>(a)  </w:t>
      </w:r>
      <w:proofErr w:type="gramStart"/>
      <w:r w:rsidRPr="00AD0AB2">
        <w:t>that</w:t>
      </w:r>
      <w:proofErr w:type="gramEnd"/>
      <w:r w:rsidRPr="00AD0AB2">
        <w:t xml:space="preserve"> the respondent State is to pay the applicant, within three months, EUR </w:t>
      </w:r>
      <w:r w:rsidRPr="00AD0AB2" w:rsidR="00AC06C5">
        <w:t>6,</w:t>
      </w:r>
      <w:r w:rsidRPr="00AD0AB2" w:rsidR="00F46111">
        <w:t xml:space="preserve">000 </w:t>
      </w:r>
      <w:r w:rsidRPr="00AD0AB2" w:rsidR="00AC06C5">
        <w:t xml:space="preserve">(six thousand </w:t>
      </w:r>
      <w:r w:rsidRPr="00AD0AB2" w:rsidR="00AB1531">
        <w:t>euros)</w:t>
      </w:r>
      <w:r w:rsidRPr="00AD0AB2">
        <w:t xml:space="preserve">, plus any tax that may be chargeable, in respect of </w:t>
      </w:r>
      <w:r w:rsidRPr="00AD0AB2" w:rsidR="00AB1531">
        <w:t>non-</w:t>
      </w:r>
      <w:r w:rsidRPr="00AD0AB2">
        <w:t>pecuniary damage;</w:t>
      </w:r>
    </w:p>
    <w:p w:rsidRPr="00AD0AB2" w:rsidR="004E5D2C" w:rsidP="00AD0AB2" w:rsidRDefault="004E5D2C">
      <w:pPr>
        <w:pStyle w:val="JuLista"/>
      </w:pPr>
      <w:r w:rsidRPr="00AD0AB2">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AD0AB2" w:rsidR="004E5D2C" w:rsidP="00AD0AB2" w:rsidRDefault="004E5D2C">
      <w:pPr>
        <w:pStyle w:val="JuList"/>
      </w:pPr>
    </w:p>
    <w:p w:rsidRPr="00AD0AB2" w:rsidR="004E5D2C" w:rsidP="00AD0AB2" w:rsidRDefault="004E5D2C">
      <w:pPr>
        <w:pStyle w:val="JuList"/>
      </w:pPr>
      <w:r w:rsidRPr="00AD0AB2">
        <w:t>5.  </w:t>
      </w:r>
      <w:r w:rsidRPr="00AD0AB2">
        <w:rPr>
          <w:i/>
        </w:rPr>
        <w:t>Dismisses</w:t>
      </w:r>
      <w:r w:rsidRPr="00AD0AB2">
        <w:rPr>
          <w:color w:val="000000"/>
        </w:rPr>
        <w:t xml:space="preserve"> </w:t>
      </w:r>
      <w:r w:rsidRPr="00AD0AB2">
        <w:t>the remainder of the applicant</w:t>
      </w:r>
      <w:r w:rsidRPr="00AD0AB2" w:rsidR="00AD0AB2">
        <w:t>’</w:t>
      </w:r>
      <w:r w:rsidRPr="00AD0AB2" w:rsidR="004B2D8D">
        <w:t>s</w:t>
      </w:r>
      <w:r w:rsidRPr="00AD0AB2">
        <w:t xml:space="preserve"> claim for just satisfaction.</w:t>
      </w:r>
    </w:p>
    <w:p w:rsidRPr="00AD0AB2" w:rsidR="004E5D2C" w:rsidP="00AD0AB2" w:rsidRDefault="004E5D2C">
      <w:pPr>
        <w:pStyle w:val="JuParaLast"/>
      </w:pPr>
      <w:r w:rsidRPr="00AD0AB2">
        <w:t xml:space="preserve">Done in English, and notified in writing on </w:t>
      </w:r>
      <w:r w:rsidRPr="00AD0AB2" w:rsidR="00DE7BA7">
        <w:t>5 September 2019</w:t>
      </w:r>
      <w:r w:rsidRPr="00AD0AB2">
        <w:t>, pursuant to Rule 77 §§ 2 and 3 of the Rules of Court.</w:t>
      </w:r>
    </w:p>
    <w:p w:rsidRPr="00AD0AB2" w:rsidR="00740B6A" w:rsidP="00AD0AB2" w:rsidRDefault="004E5D2C">
      <w:pPr>
        <w:pStyle w:val="JuSigned"/>
        <w:rPr>
          <w:lang w:val="de-DE"/>
        </w:rPr>
      </w:pPr>
      <w:r w:rsidRPr="00AD0AB2">
        <w:tab/>
      </w:r>
      <w:r w:rsidRPr="00AD0AB2">
        <w:rPr>
          <w:lang w:val="de-DE"/>
        </w:rPr>
        <w:t xml:space="preserve">Milan </w:t>
      </w:r>
      <w:proofErr w:type="spellStart"/>
      <w:r w:rsidRPr="00AD0AB2">
        <w:rPr>
          <w:lang w:val="de-DE"/>
        </w:rPr>
        <w:t>Blaško</w:t>
      </w:r>
      <w:proofErr w:type="spellEnd"/>
      <w:r w:rsidRPr="00AD0AB2">
        <w:rPr>
          <w:lang w:val="de-DE"/>
        </w:rPr>
        <w:tab/>
      </w:r>
      <w:r w:rsidRPr="00AD0AB2" w:rsidR="00FF08D6">
        <w:t xml:space="preserve">André </w:t>
      </w:r>
      <w:proofErr w:type="spellStart"/>
      <w:r w:rsidRPr="00AD0AB2" w:rsidR="00FF08D6">
        <w:t>Potocki</w:t>
      </w:r>
      <w:proofErr w:type="spellEnd"/>
      <w:r w:rsidRPr="00AD0AB2">
        <w:rPr>
          <w:szCs w:val="24"/>
          <w:lang w:val="de-DE"/>
        </w:rPr>
        <w:br/>
      </w:r>
      <w:r w:rsidRPr="00AD0AB2">
        <w:rPr>
          <w:lang w:val="de-DE"/>
        </w:rPr>
        <w:tab/>
      </w:r>
      <w:proofErr w:type="spellStart"/>
      <w:r w:rsidRPr="00AD0AB2">
        <w:rPr>
          <w:lang w:val="de-DE"/>
        </w:rPr>
        <w:t>Deputy</w:t>
      </w:r>
      <w:proofErr w:type="spellEnd"/>
      <w:r w:rsidRPr="00AD0AB2">
        <w:rPr>
          <w:lang w:val="de-DE"/>
        </w:rPr>
        <w:t xml:space="preserve"> </w:t>
      </w:r>
      <w:proofErr w:type="spellStart"/>
      <w:r w:rsidRPr="00AD0AB2">
        <w:rPr>
          <w:iCs/>
          <w:lang w:val="de-DE"/>
        </w:rPr>
        <w:t>Registrar</w:t>
      </w:r>
      <w:proofErr w:type="spellEnd"/>
      <w:r w:rsidRPr="00AD0AB2">
        <w:rPr>
          <w:iCs/>
          <w:lang w:val="de-DE"/>
        </w:rPr>
        <w:t xml:space="preserve"> </w:t>
      </w:r>
      <w:r w:rsidRPr="00AD0AB2">
        <w:rPr>
          <w:lang w:val="de-DE"/>
        </w:rPr>
        <w:tab/>
      </w:r>
      <w:proofErr w:type="spellStart"/>
      <w:r w:rsidRPr="00AD0AB2">
        <w:rPr>
          <w:lang w:val="de-DE"/>
        </w:rPr>
        <w:t>President</w:t>
      </w:r>
      <w:proofErr w:type="spellEnd"/>
    </w:p>
    <w:sectPr w:rsidRPr="00AD0AB2" w:rsidR="00740B6A" w:rsidSect="00DE7BA7">
      <w:headerReference w:type="even" r:id="rId11"/>
      <w:headerReference w:type="default" r:id="rId12"/>
      <w:footnotePr>
        <w:numRestart w:val="eachSect"/>
      </w:footnotePr>
      <w:pgSz w:w="11906" w:h="16838" w:code="9"/>
      <w:pgMar w:top="2274" w:right="2274" w:bottom="1843"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5D2C" w:rsidRPr="00B35A81" w:rsidRDefault="004E5D2C" w:rsidP="000055E6">
      <w:r w:rsidRPr="00B35A81">
        <w:separator/>
      </w:r>
    </w:p>
  </w:endnote>
  <w:endnote w:type="continuationSeparator" w:id="0">
    <w:p w:rsidR="004E5D2C" w:rsidRPr="00B35A81" w:rsidRDefault="004E5D2C" w:rsidP="000055E6">
      <w:r w:rsidRPr="00B35A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7BA7" w:rsidRPr="00150BFA" w:rsidRDefault="00DE7BA7" w:rsidP="0020718E">
    <w:pPr>
      <w:jc w:val="center"/>
    </w:pPr>
    <w:r>
      <w:rPr>
        <w:noProof/>
        <w:lang w:val="en-US" w:eastAsia="ja-JP"/>
      </w:rPr>
      <w:drawing>
        <wp:inline distT="0" distB="0" distL="0" distR="0" wp14:anchorId="26E67484" wp14:editId="7210B4B5">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DE7BA7" w:rsidRDefault="00DE7B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5D2C" w:rsidRPr="00B35A81" w:rsidRDefault="004E5D2C" w:rsidP="000055E6">
      <w:r w:rsidRPr="00B35A81">
        <w:separator/>
      </w:r>
    </w:p>
  </w:footnote>
  <w:footnote w:type="continuationSeparator" w:id="0">
    <w:p w:rsidR="004E5D2C" w:rsidRPr="00B35A81" w:rsidRDefault="004E5D2C" w:rsidP="000055E6">
      <w:r w:rsidRPr="00B35A81">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6984" w:rsidRPr="00DE7BA7" w:rsidRDefault="004D6984" w:rsidP="00DE7BA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7BA7" w:rsidRPr="00A45145" w:rsidRDefault="00DE7BA7" w:rsidP="00A45145">
    <w:pPr>
      <w:jc w:val="center"/>
    </w:pPr>
    <w:r>
      <w:rPr>
        <w:noProof/>
        <w:lang w:val="en-US" w:eastAsia="ja-JP"/>
      </w:rPr>
      <w:drawing>
        <wp:inline distT="0" distB="0" distL="0" distR="0" wp14:anchorId="614655CC" wp14:editId="6256617A">
          <wp:extent cx="2962275" cy="1219200"/>
          <wp:effectExtent l="0" t="0" r="9525" b="0"/>
          <wp:docPr id="5" name="Picture 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9603B" w:rsidRDefault="0029603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7BA7" w:rsidRPr="00B35A81" w:rsidRDefault="00DE7BA7" w:rsidP="00D0189E">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AD0AB2">
      <w:rPr>
        <w:rStyle w:val="PageNumber"/>
        <w:noProof/>
        <w:szCs w:val="18"/>
      </w:rPr>
      <w:t>6</w:t>
    </w:r>
    <w:r>
      <w:rPr>
        <w:rStyle w:val="PageNumber"/>
        <w:szCs w:val="18"/>
      </w:rPr>
      <w:fldChar w:fldCharType="end"/>
    </w:r>
    <w:r w:rsidRPr="00B35A81">
      <w:tab/>
    </w:r>
    <w:r>
      <w:t>ANDERSONE v. LATVIA</w:t>
    </w:r>
    <w:r w:rsidR="007051BB">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7BA7" w:rsidRPr="00B35A81" w:rsidRDefault="00DE7BA7" w:rsidP="00D0189E">
    <w:pPr>
      <w:pStyle w:val="ECHRHeader"/>
    </w:pPr>
    <w:r w:rsidRPr="00B35A81">
      <w:tab/>
    </w:r>
    <w:r>
      <w:t>ANDERSONE v. LATVIA JUDGMENT</w:t>
    </w:r>
    <w:r w:rsidRPr="00B35A81">
      <w:tab/>
    </w:r>
    <w:r>
      <w:rPr>
        <w:rStyle w:val="PageNumber"/>
      </w:rPr>
      <w:fldChar w:fldCharType="begin"/>
    </w:r>
    <w:r>
      <w:rPr>
        <w:rStyle w:val="PageNumber"/>
      </w:rPr>
      <w:instrText xml:space="preserve"> PAGE </w:instrText>
    </w:r>
    <w:r>
      <w:rPr>
        <w:rStyle w:val="PageNumber"/>
      </w:rPr>
      <w:fldChar w:fldCharType="separate"/>
    </w:r>
    <w:r w:rsidR="00AD0AB2">
      <w:rPr>
        <w:rStyle w:val="PageNumber"/>
        <w:noProof/>
      </w:rPr>
      <w:t>5</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7648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C521F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1E3B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1FA6CF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68685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7F4E0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A341D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45AF4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6542F8A"/>
    <w:lvl w:ilvl="0">
      <w:start w:val="1"/>
      <w:numFmt w:val="decimal"/>
      <w:pStyle w:val="ListNumber"/>
      <w:lvlText w:val="%1."/>
      <w:lvlJc w:val="left"/>
      <w:pPr>
        <w:tabs>
          <w:tab w:val="num" w:pos="360"/>
        </w:tabs>
        <w:ind w:left="360" w:hanging="360"/>
      </w:pPr>
    </w:lvl>
  </w:abstractNum>
  <w:abstractNum w:abstractNumId="9">
    <w:nsid w:val="10165EA3"/>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632A0EF5"/>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48A1952"/>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1"/>
  </w:num>
  <w:num w:numId="2">
    <w:abstractNumId w:val="9"/>
  </w:num>
  <w:num w:numId="3">
    <w:abstractNumId w:val="10"/>
  </w:num>
  <w:num w:numId="4">
    <w:abstractNumId w:val="1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13"/>
  </w:num>
  <w:num w:numId="24">
    <w:abstractNumId w:val="13"/>
  </w:num>
  <w:num w:numId="25">
    <w:abstractNumId w:val="13"/>
  </w:num>
  <w:num w:numId="26">
    <w:abstractNumId w:val="13"/>
  </w:num>
  <w:num w:numId="27">
    <w:abstractNumId w:val="13"/>
  </w:num>
  <w:num w:numId="28">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4E5D2C"/>
    <w:rsid w:val="000041F8"/>
    <w:rsid w:val="000042A8"/>
    <w:rsid w:val="00004308"/>
    <w:rsid w:val="000055E6"/>
    <w:rsid w:val="00005BF0"/>
    <w:rsid w:val="00006FEE"/>
    <w:rsid w:val="00007154"/>
    <w:rsid w:val="000103AE"/>
    <w:rsid w:val="00011D69"/>
    <w:rsid w:val="00012AD3"/>
    <w:rsid w:val="00015C2D"/>
    <w:rsid w:val="00015F00"/>
    <w:rsid w:val="00022C1D"/>
    <w:rsid w:val="000242AC"/>
    <w:rsid w:val="00027F51"/>
    <w:rsid w:val="00030DDF"/>
    <w:rsid w:val="00034987"/>
    <w:rsid w:val="00043AC8"/>
    <w:rsid w:val="000602DF"/>
    <w:rsid w:val="00061B05"/>
    <w:rsid w:val="000632D5"/>
    <w:rsid w:val="000644EE"/>
    <w:rsid w:val="00072C68"/>
    <w:rsid w:val="000818B4"/>
    <w:rsid w:val="0008442B"/>
    <w:rsid w:val="000925AD"/>
    <w:rsid w:val="000A24EB"/>
    <w:rsid w:val="000A70D1"/>
    <w:rsid w:val="000B6923"/>
    <w:rsid w:val="000C2AA3"/>
    <w:rsid w:val="000C5F3C"/>
    <w:rsid w:val="000C6DCC"/>
    <w:rsid w:val="000C7642"/>
    <w:rsid w:val="000D47AA"/>
    <w:rsid w:val="000D65AD"/>
    <w:rsid w:val="000D721F"/>
    <w:rsid w:val="000E069B"/>
    <w:rsid w:val="000E0E82"/>
    <w:rsid w:val="000E1DC5"/>
    <w:rsid w:val="000E223F"/>
    <w:rsid w:val="000E345F"/>
    <w:rsid w:val="000E7D45"/>
    <w:rsid w:val="000F2664"/>
    <w:rsid w:val="000F53FD"/>
    <w:rsid w:val="000F7851"/>
    <w:rsid w:val="00104E23"/>
    <w:rsid w:val="001079CD"/>
    <w:rsid w:val="00111B0C"/>
    <w:rsid w:val="00120D6C"/>
    <w:rsid w:val="00124248"/>
    <w:rsid w:val="001257EC"/>
    <w:rsid w:val="00131F25"/>
    <w:rsid w:val="00133D33"/>
    <w:rsid w:val="00134D64"/>
    <w:rsid w:val="00135A30"/>
    <w:rsid w:val="0013612C"/>
    <w:rsid w:val="00137FF6"/>
    <w:rsid w:val="00141650"/>
    <w:rsid w:val="00147206"/>
    <w:rsid w:val="001545D6"/>
    <w:rsid w:val="0016071E"/>
    <w:rsid w:val="00162A12"/>
    <w:rsid w:val="00164AE8"/>
    <w:rsid w:val="00166530"/>
    <w:rsid w:val="001832BD"/>
    <w:rsid w:val="0018710E"/>
    <w:rsid w:val="00187972"/>
    <w:rsid w:val="001943B5"/>
    <w:rsid w:val="0019512F"/>
    <w:rsid w:val="00195134"/>
    <w:rsid w:val="001A145B"/>
    <w:rsid w:val="001A1FAB"/>
    <w:rsid w:val="001A2F6F"/>
    <w:rsid w:val="001A3B1E"/>
    <w:rsid w:val="001A674C"/>
    <w:rsid w:val="001B3B24"/>
    <w:rsid w:val="001C0F98"/>
    <w:rsid w:val="001C1F3E"/>
    <w:rsid w:val="001C2A42"/>
    <w:rsid w:val="001C41DE"/>
    <w:rsid w:val="001C6731"/>
    <w:rsid w:val="001D5048"/>
    <w:rsid w:val="001D63ED"/>
    <w:rsid w:val="001D7348"/>
    <w:rsid w:val="001E035B"/>
    <w:rsid w:val="001E0961"/>
    <w:rsid w:val="001E3EAE"/>
    <w:rsid w:val="001E6F32"/>
    <w:rsid w:val="001F2145"/>
    <w:rsid w:val="001F3D06"/>
    <w:rsid w:val="001F6262"/>
    <w:rsid w:val="001F66FE"/>
    <w:rsid w:val="001F67B0"/>
    <w:rsid w:val="001F7B3D"/>
    <w:rsid w:val="00202626"/>
    <w:rsid w:val="00205F9F"/>
    <w:rsid w:val="0020655F"/>
    <w:rsid w:val="00206AB2"/>
    <w:rsid w:val="00210338"/>
    <w:rsid w:val="002115FC"/>
    <w:rsid w:val="002126FC"/>
    <w:rsid w:val="0021423C"/>
    <w:rsid w:val="002165CE"/>
    <w:rsid w:val="00227C4B"/>
    <w:rsid w:val="00230D00"/>
    <w:rsid w:val="00231DF7"/>
    <w:rsid w:val="00231FD1"/>
    <w:rsid w:val="002339E0"/>
    <w:rsid w:val="00233CF8"/>
    <w:rsid w:val="0023575D"/>
    <w:rsid w:val="00237148"/>
    <w:rsid w:val="00237855"/>
    <w:rsid w:val="0024222D"/>
    <w:rsid w:val="00244B0E"/>
    <w:rsid w:val="00244F6C"/>
    <w:rsid w:val="00250D44"/>
    <w:rsid w:val="002532C5"/>
    <w:rsid w:val="00255087"/>
    <w:rsid w:val="00260C03"/>
    <w:rsid w:val="00260CFD"/>
    <w:rsid w:val="0026540E"/>
    <w:rsid w:val="00271E0C"/>
    <w:rsid w:val="00275123"/>
    <w:rsid w:val="00282240"/>
    <w:rsid w:val="00293896"/>
    <w:rsid w:val="002948AD"/>
    <w:rsid w:val="0029603B"/>
    <w:rsid w:val="002A01CC"/>
    <w:rsid w:val="002A61B1"/>
    <w:rsid w:val="002A663C"/>
    <w:rsid w:val="002A6989"/>
    <w:rsid w:val="002B444B"/>
    <w:rsid w:val="002B5887"/>
    <w:rsid w:val="002C013D"/>
    <w:rsid w:val="002C0E27"/>
    <w:rsid w:val="002C3040"/>
    <w:rsid w:val="002C53C5"/>
    <w:rsid w:val="002D022D"/>
    <w:rsid w:val="002D14D7"/>
    <w:rsid w:val="002D24BB"/>
    <w:rsid w:val="002D3696"/>
    <w:rsid w:val="002D6181"/>
    <w:rsid w:val="002D721F"/>
    <w:rsid w:val="002E044C"/>
    <w:rsid w:val="002E2EEB"/>
    <w:rsid w:val="002E4D10"/>
    <w:rsid w:val="002E6B8B"/>
    <w:rsid w:val="002F1A45"/>
    <w:rsid w:val="002F2AF7"/>
    <w:rsid w:val="002F7E1C"/>
    <w:rsid w:val="00301A75"/>
    <w:rsid w:val="00302F70"/>
    <w:rsid w:val="0030336F"/>
    <w:rsid w:val="0030375E"/>
    <w:rsid w:val="003077E8"/>
    <w:rsid w:val="00312A30"/>
    <w:rsid w:val="00315BB7"/>
    <w:rsid w:val="003168D8"/>
    <w:rsid w:val="003174FC"/>
    <w:rsid w:val="00320F72"/>
    <w:rsid w:val="0032463E"/>
    <w:rsid w:val="003249B0"/>
    <w:rsid w:val="003252C5"/>
    <w:rsid w:val="0032612F"/>
    <w:rsid w:val="00326224"/>
    <w:rsid w:val="00337EE4"/>
    <w:rsid w:val="00340FFD"/>
    <w:rsid w:val="0034455A"/>
    <w:rsid w:val="003470E0"/>
    <w:rsid w:val="00347B85"/>
    <w:rsid w:val="00347FCF"/>
    <w:rsid w:val="003506B1"/>
    <w:rsid w:val="00356AC7"/>
    <w:rsid w:val="003606A0"/>
    <w:rsid w:val="003609FA"/>
    <w:rsid w:val="00361CB4"/>
    <w:rsid w:val="0036462C"/>
    <w:rsid w:val="003710C8"/>
    <w:rsid w:val="003726D0"/>
    <w:rsid w:val="003750BE"/>
    <w:rsid w:val="003802D6"/>
    <w:rsid w:val="00384952"/>
    <w:rsid w:val="00384A1E"/>
    <w:rsid w:val="003854D3"/>
    <w:rsid w:val="00387B9D"/>
    <w:rsid w:val="0039364F"/>
    <w:rsid w:val="00393FCC"/>
    <w:rsid w:val="00394565"/>
    <w:rsid w:val="003958B5"/>
    <w:rsid w:val="00396686"/>
    <w:rsid w:val="003976BF"/>
    <w:rsid w:val="0039778E"/>
    <w:rsid w:val="003B4941"/>
    <w:rsid w:val="003B65A4"/>
    <w:rsid w:val="003B6BDA"/>
    <w:rsid w:val="003C160A"/>
    <w:rsid w:val="003C3D56"/>
    <w:rsid w:val="003C5714"/>
    <w:rsid w:val="003C6B9F"/>
    <w:rsid w:val="003C6E2A"/>
    <w:rsid w:val="003D0299"/>
    <w:rsid w:val="003D3BCD"/>
    <w:rsid w:val="003E6D80"/>
    <w:rsid w:val="003F05FA"/>
    <w:rsid w:val="003F244A"/>
    <w:rsid w:val="003F2C76"/>
    <w:rsid w:val="003F2CE2"/>
    <w:rsid w:val="003F30B8"/>
    <w:rsid w:val="003F321F"/>
    <w:rsid w:val="003F4C45"/>
    <w:rsid w:val="003F5F7B"/>
    <w:rsid w:val="003F7D64"/>
    <w:rsid w:val="0040012D"/>
    <w:rsid w:val="00406B75"/>
    <w:rsid w:val="00414300"/>
    <w:rsid w:val="004204F2"/>
    <w:rsid w:val="00420969"/>
    <w:rsid w:val="00425C67"/>
    <w:rsid w:val="00427E7A"/>
    <w:rsid w:val="00436C49"/>
    <w:rsid w:val="00445366"/>
    <w:rsid w:val="00447F5B"/>
    <w:rsid w:val="00452109"/>
    <w:rsid w:val="0045568E"/>
    <w:rsid w:val="00461DB0"/>
    <w:rsid w:val="00463926"/>
    <w:rsid w:val="00463A8F"/>
    <w:rsid w:val="00464C9A"/>
    <w:rsid w:val="004721F4"/>
    <w:rsid w:val="00472E8A"/>
    <w:rsid w:val="00474F3D"/>
    <w:rsid w:val="00477E3A"/>
    <w:rsid w:val="00481E69"/>
    <w:rsid w:val="00483E5F"/>
    <w:rsid w:val="00485FF9"/>
    <w:rsid w:val="004907F0"/>
    <w:rsid w:val="0049140B"/>
    <w:rsid w:val="004923A5"/>
    <w:rsid w:val="004927B9"/>
    <w:rsid w:val="004952CB"/>
    <w:rsid w:val="00495D61"/>
    <w:rsid w:val="00496BFB"/>
    <w:rsid w:val="004A11C3"/>
    <w:rsid w:val="004A15C7"/>
    <w:rsid w:val="004A19DD"/>
    <w:rsid w:val="004A5A55"/>
    <w:rsid w:val="004B013B"/>
    <w:rsid w:val="004B112B"/>
    <w:rsid w:val="004B2D8D"/>
    <w:rsid w:val="004C01E4"/>
    <w:rsid w:val="004C086C"/>
    <w:rsid w:val="004C1F56"/>
    <w:rsid w:val="004C27BC"/>
    <w:rsid w:val="004C6C2B"/>
    <w:rsid w:val="004D15F3"/>
    <w:rsid w:val="004D5311"/>
    <w:rsid w:val="004D5DCC"/>
    <w:rsid w:val="004D6984"/>
    <w:rsid w:val="004E15DC"/>
    <w:rsid w:val="004E4BA6"/>
    <w:rsid w:val="004E5D2C"/>
    <w:rsid w:val="004E5EC4"/>
    <w:rsid w:val="004E68F1"/>
    <w:rsid w:val="004F10AF"/>
    <w:rsid w:val="004F11A4"/>
    <w:rsid w:val="004F2389"/>
    <w:rsid w:val="004F304D"/>
    <w:rsid w:val="004F61BE"/>
    <w:rsid w:val="004F66B1"/>
    <w:rsid w:val="0050258B"/>
    <w:rsid w:val="00511C07"/>
    <w:rsid w:val="005173A6"/>
    <w:rsid w:val="00520BAA"/>
    <w:rsid w:val="00525208"/>
    <w:rsid w:val="005257A5"/>
    <w:rsid w:val="005264C0"/>
    <w:rsid w:val="00526A8A"/>
    <w:rsid w:val="00531DF2"/>
    <w:rsid w:val="00531E86"/>
    <w:rsid w:val="005359B5"/>
    <w:rsid w:val="00541F00"/>
    <w:rsid w:val="005442EE"/>
    <w:rsid w:val="00547353"/>
    <w:rsid w:val="005474E7"/>
    <w:rsid w:val="0055072E"/>
    <w:rsid w:val="00550CEE"/>
    <w:rsid w:val="005512A3"/>
    <w:rsid w:val="005578CE"/>
    <w:rsid w:val="00562781"/>
    <w:rsid w:val="005671EE"/>
    <w:rsid w:val="0057271C"/>
    <w:rsid w:val="00572845"/>
    <w:rsid w:val="00584B5A"/>
    <w:rsid w:val="00592772"/>
    <w:rsid w:val="005932A5"/>
    <w:rsid w:val="005946D5"/>
    <w:rsid w:val="00595619"/>
    <w:rsid w:val="0059574A"/>
    <w:rsid w:val="0059674D"/>
    <w:rsid w:val="00596A45"/>
    <w:rsid w:val="00597C22"/>
    <w:rsid w:val="00597D94"/>
    <w:rsid w:val="005A1B9B"/>
    <w:rsid w:val="005A6751"/>
    <w:rsid w:val="005B092E"/>
    <w:rsid w:val="005B152C"/>
    <w:rsid w:val="005B1EE0"/>
    <w:rsid w:val="005B2B24"/>
    <w:rsid w:val="005B4425"/>
    <w:rsid w:val="005B4B94"/>
    <w:rsid w:val="005C078E"/>
    <w:rsid w:val="005C1C5D"/>
    <w:rsid w:val="005C2A21"/>
    <w:rsid w:val="005C3EE8"/>
    <w:rsid w:val="005D0315"/>
    <w:rsid w:val="005D22AC"/>
    <w:rsid w:val="005D34F9"/>
    <w:rsid w:val="005D4190"/>
    <w:rsid w:val="005D67A3"/>
    <w:rsid w:val="005D6FDB"/>
    <w:rsid w:val="005E2988"/>
    <w:rsid w:val="005E3085"/>
    <w:rsid w:val="005F51E1"/>
    <w:rsid w:val="00610B69"/>
    <w:rsid w:val="00611C80"/>
    <w:rsid w:val="006127AD"/>
    <w:rsid w:val="00620692"/>
    <w:rsid w:val="006242CA"/>
    <w:rsid w:val="00627507"/>
    <w:rsid w:val="00633717"/>
    <w:rsid w:val="006344E1"/>
    <w:rsid w:val="00637248"/>
    <w:rsid w:val="00637E60"/>
    <w:rsid w:val="006538BA"/>
    <w:rsid w:val="00653C66"/>
    <w:rsid w:val="006545C4"/>
    <w:rsid w:val="00661971"/>
    <w:rsid w:val="00661CE8"/>
    <w:rsid w:val="006623D9"/>
    <w:rsid w:val="00664DF1"/>
    <w:rsid w:val="0066550C"/>
    <w:rsid w:val="006716F2"/>
    <w:rsid w:val="00671DBA"/>
    <w:rsid w:val="00682BF2"/>
    <w:rsid w:val="006832A2"/>
    <w:rsid w:val="006859CE"/>
    <w:rsid w:val="006859D3"/>
    <w:rsid w:val="00687DB3"/>
    <w:rsid w:val="00691270"/>
    <w:rsid w:val="00694BA8"/>
    <w:rsid w:val="006A037C"/>
    <w:rsid w:val="006A1096"/>
    <w:rsid w:val="006A315E"/>
    <w:rsid w:val="006A36F4"/>
    <w:rsid w:val="006A406F"/>
    <w:rsid w:val="006A5D3A"/>
    <w:rsid w:val="006A79AF"/>
    <w:rsid w:val="006B2773"/>
    <w:rsid w:val="006B54A4"/>
    <w:rsid w:val="006C23D4"/>
    <w:rsid w:val="006C7BB0"/>
    <w:rsid w:val="006D028D"/>
    <w:rsid w:val="006D2E80"/>
    <w:rsid w:val="006D3237"/>
    <w:rsid w:val="006D35B8"/>
    <w:rsid w:val="006D4B81"/>
    <w:rsid w:val="006E2E37"/>
    <w:rsid w:val="006E3CF1"/>
    <w:rsid w:val="006E7E80"/>
    <w:rsid w:val="006F48CA"/>
    <w:rsid w:val="006F64DD"/>
    <w:rsid w:val="0070100D"/>
    <w:rsid w:val="007051BB"/>
    <w:rsid w:val="00710B99"/>
    <w:rsid w:val="00715127"/>
    <w:rsid w:val="00715E8E"/>
    <w:rsid w:val="00723580"/>
    <w:rsid w:val="00723755"/>
    <w:rsid w:val="00724FC2"/>
    <w:rsid w:val="00730906"/>
    <w:rsid w:val="0073136C"/>
    <w:rsid w:val="00731F0F"/>
    <w:rsid w:val="007322C9"/>
    <w:rsid w:val="0073300C"/>
    <w:rsid w:val="00733250"/>
    <w:rsid w:val="007350E0"/>
    <w:rsid w:val="00740B6A"/>
    <w:rsid w:val="00741404"/>
    <w:rsid w:val="007449E5"/>
    <w:rsid w:val="00747FF0"/>
    <w:rsid w:val="00753A34"/>
    <w:rsid w:val="00755B96"/>
    <w:rsid w:val="00764D4E"/>
    <w:rsid w:val="00765A1F"/>
    <w:rsid w:val="007715C2"/>
    <w:rsid w:val="00775B6D"/>
    <w:rsid w:val="00776D68"/>
    <w:rsid w:val="007850EE"/>
    <w:rsid w:val="00785B95"/>
    <w:rsid w:val="00790E96"/>
    <w:rsid w:val="007910FA"/>
    <w:rsid w:val="0079265E"/>
    <w:rsid w:val="00793366"/>
    <w:rsid w:val="007A716F"/>
    <w:rsid w:val="007B270A"/>
    <w:rsid w:val="007B655C"/>
    <w:rsid w:val="007C0695"/>
    <w:rsid w:val="007C419A"/>
    <w:rsid w:val="007C4CC8"/>
    <w:rsid w:val="007C5426"/>
    <w:rsid w:val="007C5798"/>
    <w:rsid w:val="007C7CD3"/>
    <w:rsid w:val="007D362B"/>
    <w:rsid w:val="007D4832"/>
    <w:rsid w:val="007D61D9"/>
    <w:rsid w:val="007E21B2"/>
    <w:rsid w:val="007E2C4E"/>
    <w:rsid w:val="007E5E77"/>
    <w:rsid w:val="007E5E84"/>
    <w:rsid w:val="007F1905"/>
    <w:rsid w:val="00800C94"/>
    <w:rsid w:val="00802C64"/>
    <w:rsid w:val="008047BC"/>
    <w:rsid w:val="00805E52"/>
    <w:rsid w:val="008061D0"/>
    <w:rsid w:val="008062C2"/>
    <w:rsid w:val="00810B38"/>
    <w:rsid w:val="008204C7"/>
    <w:rsid w:val="00820992"/>
    <w:rsid w:val="00823602"/>
    <w:rsid w:val="008255F5"/>
    <w:rsid w:val="0082561B"/>
    <w:rsid w:val="0083014E"/>
    <w:rsid w:val="0083214A"/>
    <w:rsid w:val="00834220"/>
    <w:rsid w:val="008365CC"/>
    <w:rsid w:val="00841B85"/>
    <w:rsid w:val="00845723"/>
    <w:rsid w:val="00845927"/>
    <w:rsid w:val="00851EF9"/>
    <w:rsid w:val="00852FF6"/>
    <w:rsid w:val="008574C4"/>
    <w:rsid w:val="008577FD"/>
    <w:rsid w:val="00860B03"/>
    <w:rsid w:val="0086497A"/>
    <w:rsid w:val="00870CE6"/>
    <w:rsid w:val="008713A1"/>
    <w:rsid w:val="00874F05"/>
    <w:rsid w:val="008754AB"/>
    <w:rsid w:val="0088060C"/>
    <w:rsid w:val="00893576"/>
    <w:rsid w:val="00893E73"/>
    <w:rsid w:val="008A7883"/>
    <w:rsid w:val="008B02DC"/>
    <w:rsid w:val="008B0C19"/>
    <w:rsid w:val="008B57CE"/>
    <w:rsid w:val="008B62C5"/>
    <w:rsid w:val="008C26DE"/>
    <w:rsid w:val="008D2225"/>
    <w:rsid w:val="008D3300"/>
    <w:rsid w:val="008D4752"/>
    <w:rsid w:val="008D78F3"/>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1735B"/>
    <w:rsid w:val="009259AC"/>
    <w:rsid w:val="00926F38"/>
    <w:rsid w:val="00934144"/>
    <w:rsid w:val="00934301"/>
    <w:rsid w:val="00936CD1"/>
    <w:rsid w:val="00936F63"/>
    <w:rsid w:val="00941747"/>
    <w:rsid w:val="00941EFB"/>
    <w:rsid w:val="00943304"/>
    <w:rsid w:val="00946E19"/>
    <w:rsid w:val="00947AFB"/>
    <w:rsid w:val="00951D7D"/>
    <w:rsid w:val="009630C7"/>
    <w:rsid w:val="009713B3"/>
    <w:rsid w:val="00972B55"/>
    <w:rsid w:val="00972CDD"/>
    <w:rsid w:val="00973109"/>
    <w:rsid w:val="009743B7"/>
    <w:rsid w:val="0098228B"/>
    <w:rsid w:val="009828DA"/>
    <w:rsid w:val="00982980"/>
    <w:rsid w:val="00985BAB"/>
    <w:rsid w:val="0098725D"/>
    <w:rsid w:val="0099214B"/>
    <w:rsid w:val="00993008"/>
    <w:rsid w:val="00996017"/>
    <w:rsid w:val="009A4187"/>
    <w:rsid w:val="009B1B5F"/>
    <w:rsid w:val="009B6673"/>
    <w:rsid w:val="009C191B"/>
    <w:rsid w:val="009C2BD6"/>
    <w:rsid w:val="009E1F32"/>
    <w:rsid w:val="009E46E2"/>
    <w:rsid w:val="009E776C"/>
    <w:rsid w:val="009F5A79"/>
    <w:rsid w:val="00A01F8B"/>
    <w:rsid w:val="00A02D3B"/>
    <w:rsid w:val="00A05429"/>
    <w:rsid w:val="00A13F30"/>
    <w:rsid w:val="00A154A6"/>
    <w:rsid w:val="00A1726E"/>
    <w:rsid w:val="00A204CF"/>
    <w:rsid w:val="00A23D49"/>
    <w:rsid w:val="00A26026"/>
    <w:rsid w:val="00A263BA"/>
    <w:rsid w:val="00A27004"/>
    <w:rsid w:val="00A30C29"/>
    <w:rsid w:val="00A33321"/>
    <w:rsid w:val="00A34DD6"/>
    <w:rsid w:val="00A3532B"/>
    <w:rsid w:val="00A36819"/>
    <w:rsid w:val="00A36989"/>
    <w:rsid w:val="00A43628"/>
    <w:rsid w:val="00A52E16"/>
    <w:rsid w:val="00A54192"/>
    <w:rsid w:val="00A54809"/>
    <w:rsid w:val="00A6035E"/>
    <w:rsid w:val="00A6144C"/>
    <w:rsid w:val="00A63CC6"/>
    <w:rsid w:val="00A66617"/>
    <w:rsid w:val="00A671F8"/>
    <w:rsid w:val="00A673A4"/>
    <w:rsid w:val="00A724AE"/>
    <w:rsid w:val="00A731B2"/>
    <w:rsid w:val="00A73329"/>
    <w:rsid w:val="00A82359"/>
    <w:rsid w:val="00A8652B"/>
    <w:rsid w:val="00A865D2"/>
    <w:rsid w:val="00A94C20"/>
    <w:rsid w:val="00AA227F"/>
    <w:rsid w:val="00AA31C8"/>
    <w:rsid w:val="00AA3BC7"/>
    <w:rsid w:val="00AA754A"/>
    <w:rsid w:val="00AB099E"/>
    <w:rsid w:val="00AB1531"/>
    <w:rsid w:val="00AB180F"/>
    <w:rsid w:val="00AB30B7"/>
    <w:rsid w:val="00AB4328"/>
    <w:rsid w:val="00AB4AD3"/>
    <w:rsid w:val="00AB5A70"/>
    <w:rsid w:val="00AC06C5"/>
    <w:rsid w:val="00AC7CC4"/>
    <w:rsid w:val="00AD0AB2"/>
    <w:rsid w:val="00AD289C"/>
    <w:rsid w:val="00AE0A2E"/>
    <w:rsid w:val="00AE354C"/>
    <w:rsid w:val="00AE3905"/>
    <w:rsid w:val="00AF2C8B"/>
    <w:rsid w:val="00AF4B07"/>
    <w:rsid w:val="00AF6186"/>
    <w:rsid w:val="00AF6511"/>
    <w:rsid w:val="00AF7969"/>
    <w:rsid w:val="00AF7A3A"/>
    <w:rsid w:val="00B02A7E"/>
    <w:rsid w:val="00B13592"/>
    <w:rsid w:val="00B160DB"/>
    <w:rsid w:val="00B20836"/>
    <w:rsid w:val="00B22D9A"/>
    <w:rsid w:val="00B235BB"/>
    <w:rsid w:val="00B27A44"/>
    <w:rsid w:val="00B30BBF"/>
    <w:rsid w:val="00B33C03"/>
    <w:rsid w:val="00B35A81"/>
    <w:rsid w:val="00B43FD3"/>
    <w:rsid w:val="00B44E56"/>
    <w:rsid w:val="00B46543"/>
    <w:rsid w:val="00B47D33"/>
    <w:rsid w:val="00B50C7A"/>
    <w:rsid w:val="00B52BE0"/>
    <w:rsid w:val="00B54133"/>
    <w:rsid w:val="00B701ED"/>
    <w:rsid w:val="00B8086C"/>
    <w:rsid w:val="00B861B4"/>
    <w:rsid w:val="00B865E3"/>
    <w:rsid w:val="00B86DFE"/>
    <w:rsid w:val="00B90990"/>
    <w:rsid w:val="00B922FF"/>
    <w:rsid w:val="00B9281E"/>
    <w:rsid w:val="00B93925"/>
    <w:rsid w:val="00B95187"/>
    <w:rsid w:val="00BA2D55"/>
    <w:rsid w:val="00BA71B1"/>
    <w:rsid w:val="00BB0637"/>
    <w:rsid w:val="00BB1EB5"/>
    <w:rsid w:val="00BB345F"/>
    <w:rsid w:val="00BB68EA"/>
    <w:rsid w:val="00BC1C27"/>
    <w:rsid w:val="00BC6BBF"/>
    <w:rsid w:val="00BD1572"/>
    <w:rsid w:val="00BD2C33"/>
    <w:rsid w:val="00BD3880"/>
    <w:rsid w:val="00BD5CB2"/>
    <w:rsid w:val="00BE14E3"/>
    <w:rsid w:val="00BE29DB"/>
    <w:rsid w:val="00BE3774"/>
    <w:rsid w:val="00BE41E5"/>
    <w:rsid w:val="00BF4109"/>
    <w:rsid w:val="00BF4CC3"/>
    <w:rsid w:val="00C0471A"/>
    <w:rsid w:val="00C054C7"/>
    <w:rsid w:val="00C057B5"/>
    <w:rsid w:val="00C10F41"/>
    <w:rsid w:val="00C22687"/>
    <w:rsid w:val="00C305D8"/>
    <w:rsid w:val="00C30AAA"/>
    <w:rsid w:val="00C3194F"/>
    <w:rsid w:val="00C32300"/>
    <w:rsid w:val="00C32E4D"/>
    <w:rsid w:val="00C333A0"/>
    <w:rsid w:val="00C36A81"/>
    <w:rsid w:val="00C41974"/>
    <w:rsid w:val="00C438F3"/>
    <w:rsid w:val="00C472E4"/>
    <w:rsid w:val="00C5169B"/>
    <w:rsid w:val="00C5292D"/>
    <w:rsid w:val="00C53F4A"/>
    <w:rsid w:val="00C54125"/>
    <w:rsid w:val="00C55B54"/>
    <w:rsid w:val="00C6098E"/>
    <w:rsid w:val="00C6152C"/>
    <w:rsid w:val="00C644EA"/>
    <w:rsid w:val="00C65E32"/>
    <w:rsid w:val="00C668B4"/>
    <w:rsid w:val="00C72A42"/>
    <w:rsid w:val="00C74810"/>
    <w:rsid w:val="00C80CFF"/>
    <w:rsid w:val="00C80D18"/>
    <w:rsid w:val="00C85147"/>
    <w:rsid w:val="00C90D68"/>
    <w:rsid w:val="00C939FE"/>
    <w:rsid w:val="00CA3FAC"/>
    <w:rsid w:val="00CA4BDA"/>
    <w:rsid w:val="00CB1F66"/>
    <w:rsid w:val="00CB2951"/>
    <w:rsid w:val="00CB5BD7"/>
    <w:rsid w:val="00CD282B"/>
    <w:rsid w:val="00CD4C35"/>
    <w:rsid w:val="00CD7369"/>
    <w:rsid w:val="00CE0B0E"/>
    <w:rsid w:val="00CE3831"/>
    <w:rsid w:val="00CE60E2"/>
    <w:rsid w:val="00D00ABB"/>
    <w:rsid w:val="00D0189E"/>
    <w:rsid w:val="00D02EEC"/>
    <w:rsid w:val="00D03551"/>
    <w:rsid w:val="00D04EE6"/>
    <w:rsid w:val="00D06A63"/>
    <w:rsid w:val="00D07E0E"/>
    <w:rsid w:val="00D11478"/>
    <w:rsid w:val="00D13328"/>
    <w:rsid w:val="00D15ED0"/>
    <w:rsid w:val="00D21B3E"/>
    <w:rsid w:val="00D21FED"/>
    <w:rsid w:val="00D24251"/>
    <w:rsid w:val="00D26AA3"/>
    <w:rsid w:val="00D343E2"/>
    <w:rsid w:val="00D361A2"/>
    <w:rsid w:val="00D4178A"/>
    <w:rsid w:val="00D44C2E"/>
    <w:rsid w:val="00D45414"/>
    <w:rsid w:val="00D46837"/>
    <w:rsid w:val="00D517CC"/>
    <w:rsid w:val="00D566BD"/>
    <w:rsid w:val="00D57A4D"/>
    <w:rsid w:val="00D60AA7"/>
    <w:rsid w:val="00D6435F"/>
    <w:rsid w:val="00D66777"/>
    <w:rsid w:val="00D674DE"/>
    <w:rsid w:val="00D70D22"/>
    <w:rsid w:val="00D75E28"/>
    <w:rsid w:val="00D772C2"/>
    <w:rsid w:val="00D8008E"/>
    <w:rsid w:val="00D82C45"/>
    <w:rsid w:val="00D8474C"/>
    <w:rsid w:val="00D908A8"/>
    <w:rsid w:val="00D977B6"/>
    <w:rsid w:val="00D97BAE"/>
    <w:rsid w:val="00DA1335"/>
    <w:rsid w:val="00DA4A31"/>
    <w:rsid w:val="00DA5508"/>
    <w:rsid w:val="00DA7B04"/>
    <w:rsid w:val="00DA7B05"/>
    <w:rsid w:val="00DA7DE0"/>
    <w:rsid w:val="00DB36C2"/>
    <w:rsid w:val="00DC169B"/>
    <w:rsid w:val="00DC2AB9"/>
    <w:rsid w:val="00DC48B4"/>
    <w:rsid w:val="00DC63F0"/>
    <w:rsid w:val="00DC711E"/>
    <w:rsid w:val="00DD532D"/>
    <w:rsid w:val="00DD6EE5"/>
    <w:rsid w:val="00DE386C"/>
    <w:rsid w:val="00DE4D35"/>
    <w:rsid w:val="00DE61E0"/>
    <w:rsid w:val="00DE7BA7"/>
    <w:rsid w:val="00DF098B"/>
    <w:rsid w:val="00DF11C4"/>
    <w:rsid w:val="00DF210C"/>
    <w:rsid w:val="00DF38D5"/>
    <w:rsid w:val="00DF4B6A"/>
    <w:rsid w:val="00E01C46"/>
    <w:rsid w:val="00E02C09"/>
    <w:rsid w:val="00E04D59"/>
    <w:rsid w:val="00E060E7"/>
    <w:rsid w:val="00E07DA1"/>
    <w:rsid w:val="00E123CB"/>
    <w:rsid w:val="00E13326"/>
    <w:rsid w:val="00E20E13"/>
    <w:rsid w:val="00E21DBC"/>
    <w:rsid w:val="00E22C7C"/>
    <w:rsid w:val="00E275D7"/>
    <w:rsid w:val="00E27DBE"/>
    <w:rsid w:val="00E32AB1"/>
    <w:rsid w:val="00E36C71"/>
    <w:rsid w:val="00E40404"/>
    <w:rsid w:val="00E459C6"/>
    <w:rsid w:val="00E47589"/>
    <w:rsid w:val="00E53C1B"/>
    <w:rsid w:val="00E55603"/>
    <w:rsid w:val="00E627E5"/>
    <w:rsid w:val="00E64915"/>
    <w:rsid w:val="00E661D4"/>
    <w:rsid w:val="00E6646F"/>
    <w:rsid w:val="00E70091"/>
    <w:rsid w:val="00E720F5"/>
    <w:rsid w:val="00E73EFF"/>
    <w:rsid w:val="00E75400"/>
    <w:rsid w:val="00E760EB"/>
    <w:rsid w:val="00E765F8"/>
    <w:rsid w:val="00E76D47"/>
    <w:rsid w:val="00E807D5"/>
    <w:rsid w:val="00E849F7"/>
    <w:rsid w:val="00E90302"/>
    <w:rsid w:val="00E97396"/>
    <w:rsid w:val="00EA185E"/>
    <w:rsid w:val="00EA2AD1"/>
    <w:rsid w:val="00EA2D86"/>
    <w:rsid w:val="00EA51B0"/>
    <w:rsid w:val="00EA592A"/>
    <w:rsid w:val="00EB14E4"/>
    <w:rsid w:val="00EB32A5"/>
    <w:rsid w:val="00EB34ED"/>
    <w:rsid w:val="00EB447C"/>
    <w:rsid w:val="00EB72A2"/>
    <w:rsid w:val="00EB7BE0"/>
    <w:rsid w:val="00EC09AB"/>
    <w:rsid w:val="00EC315E"/>
    <w:rsid w:val="00ED077C"/>
    <w:rsid w:val="00ED1190"/>
    <w:rsid w:val="00ED6544"/>
    <w:rsid w:val="00EE0277"/>
    <w:rsid w:val="00EE3E00"/>
    <w:rsid w:val="00EE45D6"/>
    <w:rsid w:val="00EE5DD2"/>
    <w:rsid w:val="00F0049F"/>
    <w:rsid w:val="00F00A79"/>
    <w:rsid w:val="00F00E86"/>
    <w:rsid w:val="00F04A5D"/>
    <w:rsid w:val="00F05270"/>
    <w:rsid w:val="00F07C1E"/>
    <w:rsid w:val="00F105DB"/>
    <w:rsid w:val="00F12B71"/>
    <w:rsid w:val="00F132BC"/>
    <w:rsid w:val="00F13D80"/>
    <w:rsid w:val="00F16AAA"/>
    <w:rsid w:val="00F21161"/>
    <w:rsid w:val="00F218EF"/>
    <w:rsid w:val="00F21BC7"/>
    <w:rsid w:val="00F266A2"/>
    <w:rsid w:val="00F32269"/>
    <w:rsid w:val="00F33C4F"/>
    <w:rsid w:val="00F35CA5"/>
    <w:rsid w:val="00F46111"/>
    <w:rsid w:val="00F47654"/>
    <w:rsid w:val="00F56A6F"/>
    <w:rsid w:val="00F56F19"/>
    <w:rsid w:val="00F5709C"/>
    <w:rsid w:val="00F64EF1"/>
    <w:rsid w:val="00F74B33"/>
    <w:rsid w:val="00F8765F"/>
    <w:rsid w:val="00F90767"/>
    <w:rsid w:val="00F91520"/>
    <w:rsid w:val="00F93C81"/>
    <w:rsid w:val="00FA04FB"/>
    <w:rsid w:val="00FA0AEF"/>
    <w:rsid w:val="00FA274B"/>
    <w:rsid w:val="00FA685B"/>
    <w:rsid w:val="00FB0C01"/>
    <w:rsid w:val="00FB0F60"/>
    <w:rsid w:val="00FB2EE0"/>
    <w:rsid w:val="00FB4952"/>
    <w:rsid w:val="00FC11A0"/>
    <w:rsid w:val="00FC18F2"/>
    <w:rsid w:val="00FC39E5"/>
    <w:rsid w:val="00FC3A78"/>
    <w:rsid w:val="00FC54E8"/>
    <w:rsid w:val="00FD1005"/>
    <w:rsid w:val="00FD1B93"/>
    <w:rsid w:val="00FD6C75"/>
    <w:rsid w:val="00FE2699"/>
    <w:rsid w:val="00FE71B3"/>
    <w:rsid w:val="00FF08D6"/>
    <w:rsid w:val="00FF0BF1"/>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B0C19"/>
    <w:pPr>
      <w:jc w:val="both"/>
    </w:pPr>
    <w:rPr>
      <w:rFonts w:eastAsiaTheme="minorEastAsia"/>
      <w:sz w:val="24"/>
      <w:lang w:val="en-GB"/>
    </w:rPr>
  </w:style>
  <w:style w:type="paragraph" w:styleId="Heading1">
    <w:name w:val="heading 1"/>
    <w:basedOn w:val="Normal"/>
    <w:next w:val="Normal"/>
    <w:link w:val="Heading1Char"/>
    <w:uiPriority w:val="99"/>
    <w:semiHidden/>
    <w:rsid w:val="008B0C1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B0C1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B0C19"/>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B0C19"/>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D0AB2"/>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8B0C19"/>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D0AB2"/>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AD0AB2"/>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AD0AB2"/>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B0C19"/>
    <w:rPr>
      <w:rFonts w:ascii="Tahoma" w:hAnsi="Tahoma" w:cs="Tahoma"/>
      <w:sz w:val="16"/>
      <w:szCs w:val="16"/>
    </w:rPr>
  </w:style>
  <w:style w:type="character" w:customStyle="1" w:styleId="BalloonTextChar">
    <w:name w:val="Balloon Text Char"/>
    <w:basedOn w:val="DefaultParagraphFont"/>
    <w:link w:val="BalloonText"/>
    <w:uiPriority w:val="99"/>
    <w:semiHidden/>
    <w:rsid w:val="008B0C19"/>
    <w:rPr>
      <w:rFonts w:ascii="Tahoma" w:eastAsiaTheme="minorEastAsia" w:hAnsi="Tahoma" w:cs="Tahoma"/>
      <w:sz w:val="16"/>
      <w:szCs w:val="16"/>
      <w:lang w:val="en-GB"/>
    </w:rPr>
  </w:style>
  <w:style w:type="character" w:styleId="BookTitle">
    <w:name w:val="Book Title"/>
    <w:uiPriority w:val="99"/>
    <w:semiHidden/>
    <w:qFormat/>
    <w:rsid w:val="00AD0AB2"/>
    <w:rPr>
      <w:i/>
      <w:iCs/>
      <w:smallCaps/>
      <w:spacing w:val="5"/>
    </w:rPr>
  </w:style>
  <w:style w:type="paragraph" w:customStyle="1" w:styleId="ECHRHeader">
    <w:name w:val="ECHR_Header"/>
    <w:aliases w:val="Ju_Header"/>
    <w:basedOn w:val="Header"/>
    <w:uiPriority w:val="4"/>
    <w:qFormat/>
    <w:rsid w:val="00AD0AB2"/>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8B0C19"/>
    <w:pPr>
      <w:jc w:val="left"/>
    </w:pPr>
    <w:rPr>
      <w:sz w:val="8"/>
    </w:rPr>
  </w:style>
  <w:style w:type="character" w:styleId="Strong">
    <w:name w:val="Strong"/>
    <w:uiPriority w:val="99"/>
    <w:semiHidden/>
    <w:qFormat/>
    <w:rsid w:val="00AD0AB2"/>
    <w:rPr>
      <w:b/>
      <w:bCs/>
    </w:rPr>
  </w:style>
  <w:style w:type="paragraph" w:styleId="NoSpacing">
    <w:name w:val="No Spacing"/>
    <w:basedOn w:val="Normal"/>
    <w:link w:val="NoSpacingChar"/>
    <w:semiHidden/>
    <w:qFormat/>
    <w:rsid w:val="00AD0AB2"/>
    <w:rPr>
      <w:sz w:val="22"/>
      <w:lang w:val="en-US"/>
    </w:rPr>
  </w:style>
  <w:style w:type="character" w:customStyle="1" w:styleId="NoSpacingChar">
    <w:name w:val="No Spacing Char"/>
    <w:basedOn w:val="DefaultParagraphFont"/>
    <w:link w:val="NoSpacing"/>
    <w:semiHidden/>
    <w:rsid w:val="00AD0AB2"/>
    <w:rPr>
      <w:rFonts w:eastAsiaTheme="minorEastAsia"/>
    </w:rPr>
  </w:style>
  <w:style w:type="paragraph" w:customStyle="1" w:styleId="ECHRFooterLine">
    <w:name w:val="ECHR_Footer_Line"/>
    <w:aliases w:val="Footer_Line"/>
    <w:basedOn w:val="Normal"/>
    <w:next w:val="ECHRFooter"/>
    <w:uiPriority w:val="57"/>
    <w:semiHidden/>
    <w:rsid w:val="008B0C19"/>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AD0AB2"/>
  </w:style>
  <w:style w:type="paragraph" w:customStyle="1" w:styleId="DecList">
    <w:name w:val="Dec_List"/>
    <w:basedOn w:val="Normal"/>
    <w:uiPriority w:val="9"/>
    <w:semiHidden/>
    <w:qFormat/>
    <w:rsid w:val="00AD0AB2"/>
    <w:pPr>
      <w:spacing w:before="240"/>
      <w:ind w:left="284"/>
    </w:pPr>
  </w:style>
  <w:style w:type="paragraph" w:customStyle="1" w:styleId="OpiPara">
    <w:name w:val="Opi_Para"/>
    <w:basedOn w:val="ECHRPara"/>
    <w:uiPriority w:val="46"/>
    <w:qFormat/>
    <w:rsid w:val="00AD0AB2"/>
  </w:style>
  <w:style w:type="paragraph" w:customStyle="1" w:styleId="ECHRTitleCentre3">
    <w:name w:val="ECHR_Title_Centre_3"/>
    <w:aliases w:val="Ju_H_Article"/>
    <w:basedOn w:val="Normal"/>
    <w:next w:val="ECHRParaQuote"/>
    <w:uiPriority w:val="27"/>
    <w:qFormat/>
    <w:rsid w:val="00AD0AB2"/>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AD0AB2"/>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AD0AB2"/>
    <w:pPr>
      <w:numPr>
        <w:numId w:val="28"/>
      </w:numPr>
      <w:jc w:val="left"/>
    </w:pPr>
    <w:rPr>
      <w:b/>
    </w:rPr>
  </w:style>
  <w:style w:type="paragraph" w:customStyle="1" w:styleId="JuCourt">
    <w:name w:val="Ju_Court"/>
    <w:basedOn w:val="Normal"/>
    <w:next w:val="Normal"/>
    <w:uiPriority w:val="16"/>
    <w:qFormat/>
    <w:rsid w:val="00AD0AB2"/>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AD0AB2"/>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AD0AB2"/>
    <w:pPr>
      <w:spacing w:after="240"/>
      <w:jc w:val="center"/>
      <w:outlineLvl w:val="0"/>
    </w:pPr>
    <w:rPr>
      <w:rFonts w:asciiTheme="majorHAnsi" w:hAnsiTheme="majorHAnsi"/>
    </w:rPr>
  </w:style>
  <w:style w:type="paragraph" w:customStyle="1" w:styleId="JuListi">
    <w:name w:val="Ju_List_i"/>
    <w:basedOn w:val="Normal"/>
    <w:next w:val="JuLista"/>
    <w:uiPriority w:val="28"/>
    <w:qFormat/>
    <w:rsid w:val="00AD0AB2"/>
    <w:pPr>
      <w:ind w:left="794"/>
    </w:pPr>
  </w:style>
  <w:style w:type="paragraph" w:styleId="Title">
    <w:name w:val="Title"/>
    <w:basedOn w:val="Normal"/>
    <w:next w:val="Normal"/>
    <w:link w:val="TitleChar"/>
    <w:uiPriority w:val="99"/>
    <w:semiHidden/>
    <w:qFormat/>
    <w:rsid w:val="00AD0AB2"/>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AD0AB2"/>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AD0AB2"/>
    <w:rPr>
      <w:caps w:val="0"/>
      <w:smallCaps/>
    </w:rPr>
  </w:style>
  <w:style w:type="paragraph" w:customStyle="1" w:styleId="ECHRHeading3">
    <w:name w:val="ECHR_Heading_3"/>
    <w:aliases w:val="Ju_H_1."/>
    <w:basedOn w:val="Heading3"/>
    <w:next w:val="ECHRPara"/>
    <w:uiPriority w:val="21"/>
    <w:qFormat/>
    <w:rsid w:val="00AD0AB2"/>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AD0AB2"/>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AD0AB2"/>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AD0AB2"/>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AD0AB2"/>
    <w:pPr>
      <w:keepNext/>
      <w:keepLines/>
      <w:spacing w:before="240" w:after="120"/>
      <w:ind w:left="1236"/>
    </w:pPr>
    <w:rPr>
      <w:sz w:val="20"/>
      <w:lang w:val="en-GB"/>
    </w:rPr>
  </w:style>
  <w:style w:type="paragraph" w:customStyle="1" w:styleId="JuParaSub">
    <w:name w:val="Ju_Para_Sub"/>
    <w:basedOn w:val="ECHRPara"/>
    <w:uiPriority w:val="13"/>
    <w:qFormat/>
    <w:rsid w:val="00AD0AB2"/>
    <w:pPr>
      <w:ind w:left="284"/>
    </w:pPr>
  </w:style>
  <w:style w:type="paragraph" w:customStyle="1" w:styleId="JuQuotSub">
    <w:name w:val="Ju_Quot_Sub"/>
    <w:basedOn w:val="ECHRParaQuote"/>
    <w:uiPriority w:val="15"/>
    <w:qFormat/>
    <w:rsid w:val="00AD0AB2"/>
    <w:pPr>
      <w:ind w:left="567"/>
    </w:pPr>
  </w:style>
  <w:style w:type="paragraph" w:styleId="Header">
    <w:name w:val="header"/>
    <w:basedOn w:val="Normal"/>
    <w:link w:val="HeaderChar"/>
    <w:uiPriority w:val="57"/>
    <w:semiHidden/>
    <w:rsid w:val="008B0C19"/>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8B0C19"/>
    <w:rPr>
      <w:sz w:val="24"/>
      <w:lang w:val="en-GB"/>
    </w:rPr>
  </w:style>
  <w:style w:type="character" w:customStyle="1" w:styleId="Heading1Char">
    <w:name w:val="Heading 1 Char"/>
    <w:basedOn w:val="DefaultParagraphFont"/>
    <w:link w:val="Heading1"/>
    <w:uiPriority w:val="99"/>
    <w:semiHidden/>
    <w:rsid w:val="008B0C19"/>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AD0AB2"/>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AD0AB2"/>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8B0C19"/>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AD0AB2"/>
    <w:pPr>
      <w:spacing w:before="720" w:after="240"/>
      <w:jc w:val="center"/>
      <w:outlineLvl w:val="0"/>
    </w:pPr>
    <w:rPr>
      <w:rFonts w:asciiTheme="majorHAnsi" w:hAnsiTheme="majorHAnsi"/>
      <w:b/>
      <w:caps/>
    </w:rPr>
  </w:style>
  <w:style w:type="paragraph" w:customStyle="1" w:styleId="OpiParaSub">
    <w:name w:val="Opi_Para_Sub"/>
    <w:basedOn w:val="JuParaSub"/>
    <w:uiPriority w:val="47"/>
    <w:qFormat/>
    <w:rsid w:val="00AD0AB2"/>
  </w:style>
  <w:style w:type="character" w:customStyle="1" w:styleId="Heading3Char">
    <w:name w:val="Heading 3 Char"/>
    <w:basedOn w:val="DefaultParagraphFont"/>
    <w:link w:val="Heading3"/>
    <w:uiPriority w:val="99"/>
    <w:semiHidden/>
    <w:rsid w:val="008B0C19"/>
    <w:rPr>
      <w:rFonts w:asciiTheme="majorHAnsi" w:eastAsiaTheme="majorEastAsia" w:hAnsiTheme="majorHAnsi" w:cstheme="majorBidi"/>
      <w:b/>
      <w:bCs/>
      <w:color w:val="5F5F5F"/>
      <w:sz w:val="24"/>
      <w:lang w:val="en-GB"/>
    </w:rPr>
  </w:style>
  <w:style w:type="paragraph" w:customStyle="1" w:styleId="ECHRDecisionBody">
    <w:name w:val="ECHR_Decision_Body"/>
    <w:aliases w:val="Ju_Judges"/>
    <w:basedOn w:val="Normal"/>
    <w:uiPriority w:val="11"/>
    <w:qFormat/>
    <w:rsid w:val="00AD0AB2"/>
    <w:pPr>
      <w:tabs>
        <w:tab w:val="left" w:pos="567"/>
        <w:tab w:val="left" w:pos="1134"/>
      </w:tabs>
      <w:jc w:val="left"/>
    </w:pPr>
  </w:style>
  <w:style w:type="paragraph" w:customStyle="1" w:styleId="ECHRPara">
    <w:name w:val="ECHR_Para"/>
    <w:aliases w:val="Ju_Para"/>
    <w:basedOn w:val="Normal"/>
    <w:link w:val="ECHRParaChar"/>
    <w:uiPriority w:val="12"/>
    <w:qFormat/>
    <w:rsid w:val="00AD0AB2"/>
    <w:pPr>
      <w:ind w:firstLine="284"/>
    </w:pPr>
  </w:style>
  <w:style w:type="character" w:customStyle="1" w:styleId="Heading4Char">
    <w:name w:val="Heading 4 Char"/>
    <w:basedOn w:val="DefaultParagraphFont"/>
    <w:link w:val="Heading4"/>
    <w:uiPriority w:val="99"/>
    <w:semiHidden/>
    <w:rsid w:val="008B0C19"/>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AD0AB2"/>
    <w:pPr>
      <w:ind w:left="340" w:hanging="340"/>
    </w:pPr>
  </w:style>
  <w:style w:type="character" w:customStyle="1" w:styleId="Heading5Char">
    <w:name w:val="Heading 5 Char"/>
    <w:basedOn w:val="DefaultParagraphFont"/>
    <w:link w:val="Heading5"/>
    <w:uiPriority w:val="99"/>
    <w:semiHidden/>
    <w:rsid w:val="00AD0AB2"/>
    <w:rPr>
      <w:rFonts w:asciiTheme="majorHAnsi" w:eastAsiaTheme="majorEastAsia" w:hAnsiTheme="majorHAnsi" w:cstheme="majorBidi"/>
      <w:b/>
      <w:bCs/>
      <w:color w:val="808080"/>
    </w:rPr>
  </w:style>
  <w:style w:type="paragraph" w:customStyle="1" w:styleId="JuSigned">
    <w:name w:val="Ju_Signed"/>
    <w:basedOn w:val="Normal"/>
    <w:next w:val="JuParaLast"/>
    <w:uiPriority w:val="32"/>
    <w:qFormat/>
    <w:rsid w:val="00AD0AB2"/>
    <w:pPr>
      <w:tabs>
        <w:tab w:val="center" w:pos="851"/>
        <w:tab w:val="center" w:pos="6407"/>
      </w:tabs>
      <w:spacing w:before="720"/>
      <w:jc w:val="left"/>
    </w:pPr>
  </w:style>
  <w:style w:type="paragraph" w:styleId="Revision">
    <w:name w:val="Revision"/>
    <w:hidden/>
    <w:uiPriority w:val="99"/>
    <w:semiHidden/>
    <w:rsid w:val="000055E6"/>
    <w:rPr>
      <w:rFonts w:eastAsiaTheme="minorEastAsia"/>
      <w:sz w:val="24"/>
    </w:rPr>
  </w:style>
  <w:style w:type="character" w:styleId="SubtleEmphasis">
    <w:name w:val="Subtle Emphasis"/>
    <w:uiPriority w:val="99"/>
    <w:semiHidden/>
    <w:qFormat/>
    <w:rsid w:val="00AD0AB2"/>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AD0AB2"/>
    <w:pPr>
      <w:keepNext/>
      <w:keepLines/>
      <w:spacing w:before="720" w:after="240"/>
      <w:outlineLvl w:val="0"/>
    </w:pPr>
    <w:rPr>
      <w:rFonts w:asciiTheme="majorHAnsi" w:hAnsiTheme="majorHAnsi"/>
      <w:sz w:val="28"/>
    </w:rPr>
  </w:style>
  <w:style w:type="character" w:styleId="Emphasis">
    <w:name w:val="Emphasis"/>
    <w:uiPriority w:val="99"/>
    <w:semiHidden/>
    <w:qFormat/>
    <w:rsid w:val="00AD0AB2"/>
    <w:rPr>
      <w:b/>
      <w:bCs/>
      <w:i/>
      <w:iCs/>
      <w:spacing w:val="10"/>
      <w:bdr w:val="none" w:sz="0" w:space="0" w:color="auto"/>
      <w:shd w:val="clear" w:color="auto" w:fill="auto"/>
    </w:rPr>
  </w:style>
  <w:style w:type="paragraph" w:styleId="Footer">
    <w:name w:val="footer"/>
    <w:basedOn w:val="Normal"/>
    <w:link w:val="FooterChar"/>
    <w:uiPriority w:val="57"/>
    <w:semiHidden/>
    <w:rsid w:val="008B0C19"/>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8B0C19"/>
    <w:rPr>
      <w:sz w:val="24"/>
      <w:lang w:val="en-GB"/>
    </w:rPr>
  </w:style>
  <w:style w:type="character" w:styleId="FootnoteReference">
    <w:name w:val="footnote reference"/>
    <w:basedOn w:val="DefaultParagraphFont"/>
    <w:uiPriority w:val="99"/>
    <w:semiHidden/>
    <w:rsid w:val="008B0C19"/>
    <w:rPr>
      <w:vertAlign w:val="superscript"/>
    </w:rPr>
  </w:style>
  <w:style w:type="paragraph" w:styleId="FootnoteText">
    <w:name w:val="footnote text"/>
    <w:basedOn w:val="Normal"/>
    <w:link w:val="FootnoteTextChar"/>
    <w:uiPriority w:val="99"/>
    <w:semiHidden/>
    <w:rsid w:val="008B0C19"/>
    <w:rPr>
      <w:sz w:val="20"/>
      <w:szCs w:val="20"/>
    </w:rPr>
  </w:style>
  <w:style w:type="character" w:customStyle="1" w:styleId="FootnoteTextChar">
    <w:name w:val="Footnote Text Char"/>
    <w:basedOn w:val="DefaultParagraphFont"/>
    <w:link w:val="FootnoteText"/>
    <w:uiPriority w:val="99"/>
    <w:semiHidden/>
    <w:rsid w:val="008B0C19"/>
    <w:rPr>
      <w:rFonts w:eastAsiaTheme="minorEastAsia"/>
      <w:sz w:val="20"/>
      <w:szCs w:val="20"/>
      <w:lang w:val="en-GB"/>
    </w:rPr>
  </w:style>
  <w:style w:type="character" w:customStyle="1" w:styleId="Heading6Char">
    <w:name w:val="Heading 6 Char"/>
    <w:basedOn w:val="DefaultParagraphFont"/>
    <w:link w:val="Heading6"/>
    <w:uiPriority w:val="99"/>
    <w:semiHidden/>
    <w:rsid w:val="008B0C19"/>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AD0AB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D0AB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D0AB2"/>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8B0C19"/>
    <w:rPr>
      <w:color w:val="0072BC" w:themeColor="hyperlink"/>
      <w:u w:val="single"/>
    </w:rPr>
  </w:style>
  <w:style w:type="character" w:styleId="IntenseEmphasis">
    <w:name w:val="Intense Emphasis"/>
    <w:uiPriority w:val="99"/>
    <w:semiHidden/>
    <w:qFormat/>
    <w:rsid w:val="00AD0AB2"/>
    <w:rPr>
      <w:b/>
      <w:bCs/>
    </w:rPr>
  </w:style>
  <w:style w:type="paragraph" w:styleId="IntenseQuote">
    <w:name w:val="Intense Quote"/>
    <w:basedOn w:val="Normal"/>
    <w:next w:val="Normal"/>
    <w:link w:val="IntenseQuoteChar"/>
    <w:uiPriority w:val="99"/>
    <w:semiHidden/>
    <w:qFormat/>
    <w:rsid w:val="00AD0AB2"/>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AD0AB2"/>
    <w:rPr>
      <w:rFonts w:eastAsiaTheme="minorEastAsia"/>
      <w:b/>
      <w:bCs/>
      <w:i/>
      <w:iCs/>
      <w:lang w:bidi="en-US"/>
    </w:rPr>
  </w:style>
  <w:style w:type="character" w:styleId="IntenseReference">
    <w:name w:val="Intense Reference"/>
    <w:uiPriority w:val="99"/>
    <w:semiHidden/>
    <w:qFormat/>
    <w:rsid w:val="00AD0AB2"/>
    <w:rPr>
      <w:smallCaps/>
      <w:spacing w:val="5"/>
      <w:u w:val="single"/>
    </w:rPr>
  </w:style>
  <w:style w:type="paragraph" w:styleId="ListParagraph">
    <w:name w:val="List Paragraph"/>
    <w:basedOn w:val="Normal"/>
    <w:uiPriority w:val="99"/>
    <w:semiHidden/>
    <w:qFormat/>
    <w:rsid w:val="00AD0AB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AD0AB2"/>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AD0AB2"/>
    <w:rPr>
      <w:rFonts w:eastAsiaTheme="minorEastAsia"/>
      <w:i/>
      <w:iCs/>
      <w:lang w:bidi="en-US"/>
    </w:rPr>
  </w:style>
  <w:style w:type="character" w:styleId="SubtleReference">
    <w:name w:val="Subtle Reference"/>
    <w:uiPriority w:val="99"/>
    <w:semiHidden/>
    <w:qFormat/>
    <w:rsid w:val="00AD0AB2"/>
    <w:rPr>
      <w:smallCaps/>
    </w:rPr>
  </w:style>
  <w:style w:type="table" w:styleId="TableGrid">
    <w:name w:val="Table Grid"/>
    <w:basedOn w:val="TableNormal"/>
    <w:uiPriority w:val="59"/>
    <w:semiHidden/>
    <w:rsid w:val="008B0C1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8B0C1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8B0C1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8B0C1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8B0C1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8B0C1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D0AB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8B0C19"/>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AD0AB2"/>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B0C19"/>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ParaLast">
    <w:name w:val="Ju_Para_Last"/>
    <w:basedOn w:val="Normal"/>
    <w:next w:val="ECHRPara"/>
    <w:uiPriority w:val="30"/>
    <w:qFormat/>
    <w:rsid w:val="00AD0AB2"/>
    <w:pPr>
      <w:keepNext/>
      <w:keepLines/>
      <w:spacing w:before="240"/>
      <w:ind w:firstLine="284"/>
    </w:pPr>
  </w:style>
  <w:style w:type="paragraph" w:customStyle="1" w:styleId="JuCase">
    <w:name w:val="Ju_Case"/>
    <w:basedOn w:val="Normal"/>
    <w:next w:val="ECHRPara"/>
    <w:uiPriority w:val="10"/>
    <w:rsid w:val="008B0C19"/>
    <w:pPr>
      <w:ind w:firstLine="284"/>
    </w:pPr>
    <w:rPr>
      <w:b/>
    </w:rPr>
  </w:style>
  <w:style w:type="character" w:styleId="PageNumber">
    <w:name w:val="page number"/>
    <w:uiPriority w:val="99"/>
    <w:semiHidden/>
    <w:rsid w:val="00DE61E0"/>
    <w:rPr>
      <w:sz w:val="18"/>
    </w:rPr>
  </w:style>
  <w:style w:type="paragraph" w:customStyle="1" w:styleId="JuLista">
    <w:name w:val="Ju_List_a"/>
    <w:basedOn w:val="JuList"/>
    <w:uiPriority w:val="28"/>
    <w:qFormat/>
    <w:rsid w:val="00AD0AB2"/>
    <w:pPr>
      <w:ind w:left="346" w:firstLine="0"/>
    </w:pPr>
  </w:style>
  <w:style w:type="paragraph" w:customStyle="1" w:styleId="OpiQuot">
    <w:name w:val="Opi_Quot"/>
    <w:basedOn w:val="ECHRParaQuote"/>
    <w:uiPriority w:val="48"/>
    <w:qFormat/>
    <w:rsid w:val="00AD0AB2"/>
  </w:style>
  <w:style w:type="character" w:styleId="CommentReference">
    <w:name w:val="annotation reference"/>
    <w:uiPriority w:val="99"/>
    <w:semiHidden/>
    <w:rsid w:val="00DE61E0"/>
    <w:rPr>
      <w:sz w:val="16"/>
    </w:rPr>
  </w:style>
  <w:style w:type="paragraph" w:styleId="CommentText">
    <w:name w:val="annotation text"/>
    <w:basedOn w:val="Normal"/>
    <w:link w:val="CommentTextChar"/>
    <w:uiPriority w:val="99"/>
    <w:semiHidden/>
    <w:rsid w:val="00DE61E0"/>
    <w:rPr>
      <w:sz w:val="20"/>
    </w:rPr>
  </w:style>
  <w:style w:type="character" w:customStyle="1" w:styleId="CommentTextChar">
    <w:name w:val="Comment Text Char"/>
    <w:basedOn w:val="DefaultParagraphFont"/>
    <w:link w:val="CommentText"/>
    <w:uiPriority w:val="99"/>
    <w:semiHidden/>
    <w:rsid w:val="00DE61E0"/>
    <w:rPr>
      <w:rFonts w:eastAsiaTheme="minorEastAsia"/>
      <w:sz w:val="20"/>
    </w:rPr>
  </w:style>
  <w:style w:type="paragraph" w:styleId="CommentSubject">
    <w:name w:val="annotation subject"/>
    <w:basedOn w:val="CommentText"/>
    <w:next w:val="CommentText"/>
    <w:link w:val="CommentSubjectChar"/>
    <w:uiPriority w:val="99"/>
    <w:semiHidden/>
    <w:rsid w:val="00DE61E0"/>
    <w:rPr>
      <w:b/>
      <w:bCs/>
    </w:rPr>
  </w:style>
  <w:style w:type="character" w:customStyle="1" w:styleId="CommentSubjectChar">
    <w:name w:val="Comment Subject Char"/>
    <w:basedOn w:val="CommentTextChar"/>
    <w:link w:val="CommentSubject"/>
    <w:uiPriority w:val="99"/>
    <w:semiHidden/>
    <w:rsid w:val="00DE61E0"/>
    <w:rPr>
      <w:rFonts w:eastAsiaTheme="minorEastAsia"/>
      <w:b/>
      <w:bCs/>
      <w:sz w:val="20"/>
    </w:rPr>
  </w:style>
  <w:style w:type="character" w:styleId="EndnoteReference">
    <w:name w:val="endnote reference"/>
    <w:basedOn w:val="DefaultParagraphFont"/>
    <w:uiPriority w:val="99"/>
    <w:semiHidden/>
    <w:rsid w:val="008B0C19"/>
    <w:rPr>
      <w:vertAlign w:val="superscript"/>
    </w:rPr>
  </w:style>
  <w:style w:type="paragraph" w:styleId="EndnoteText">
    <w:name w:val="endnote text"/>
    <w:basedOn w:val="Normal"/>
    <w:link w:val="EndnoteTextChar"/>
    <w:uiPriority w:val="99"/>
    <w:semiHidden/>
    <w:rsid w:val="008B0C19"/>
    <w:rPr>
      <w:sz w:val="20"/>
      <w:szCs w:val="20"/>
    </w:rPr>
  </w:style>
  <w:style w:type="character" w:customStyle="1" w:styleId="EndnoteTextChar">
    <w:name w:val="Endnote Text Char"/>
    <w:basedOn w:val="DefaultParagraphFont"/>
    <w:link w:val="EndnoteText"/>
    <w:uiPriority w:val="99"/>
    <w:semiHidden/>
    <w:rsid w:val="008B0C19"/>
    <w:rPr>
      <w:rFonts w:eastAsiaTheme="minorEastAsia"/>
      <w:sz w:val="20"/>
      <w:szCs w:val="20"/>
      <w:lang w:val="en-GB"/>
    </w:rPr>
  </w:style>
  <w:style w:type="character" w:styleId="FollowedHyperlink">
    <w:name w:val="FollowedHyperlink"/>
    <w:uiPriority w:val="99"/>
    <w:semiHidden/>
    <w:rsid w:val="00DE61E0"/>
    <w:rPr>
      <w:color w:val="800080"/>
      <w:u w:val="single"/>
    </w:rPr>
  </w:style>
  <w:style w:type="paragraph" w:styleId="DocumentMap">
    <w:name w:val="Document Map"/>
    <w:basedOn w:val="Normal"/>
    <w:link w:val="DocumentMapChar"/>
    <w:uiPriority w:val="99"/>
    <w:semiHidden/>
    <w:rsid w:val="00DE61E0"/>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DE61E0"/>
    <w:rPr>
      <w:rFonts w:ascii="Tahoma" w:eastAsiaTheme="minorEastAsia" w:hAnsi="Tahoma" w:cs="Tahoma"/>
      <w:sz w:val="20"/>
      <w:shd w:val="clear" w:color="auto" w:fill="000080"/>
    </w:rPr>
  </w:style>
  <w:style w:type="paragraph" w:styleId="ListBullet">
    <w:name w:val="List Bullet"/>
    <w:basedOn w:val="Normal"/>
    <w:uiPriority w:val="99"/>
    <w:semiHidden/>
    <w:rsid w:val="00DE61E0"/>
    <w:pPr>
      <w:numPr>
        <w:numId w:val="1"/>
      </w:numPr>
    </w:pPr>
  </w:style>
  <w:style w:type="character" w:customStyle="1" w:styleId="JuITMark">
    <w:name w:val="Ju_ITMark"/>
    <w:basedOn w:val="DefaultParagraphFont"/>
    <w:uiPriority w:val="38"/>
    <w:qFormat/>
    <w:rsid w:val="00AD0AB2"/>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AD0AB2"/>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AD0AB2"/>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DE61E0"/>
    <w:pPr>
      <w:numPr>
        <w:numId w:val="2"/>
      </w:numPr>
    </w:pPr>
  </w:style>
  <w:style w:type="numbering" w:styleId="1ai">
    <w:name w:val="Outline List 1"/>
    <w:basedOn w:val="NoList"/>
    <w:uiPriority w:val="99"/>
    <w:semiHidden/>
    <w:rsid w:val="00DE61E0"/>
    <w:pPr>
      <w:numPr>
        <w:numId w:val="3"/>
      </w:numPr>
    </w:pPr>
  </w:style>
  <w:style w:type="numbering" w:styleId="ArticleSection">
    <w:name w:val="Outline List 3"/>
    <w:basedOn w:val="NoList"/>
    <w:uiPriority w:val="99"/>
    <w:semiHidden/>
    <w:rsid w:val="00DE61E0"/>
    <w:pPr>
      <w:numPr>
        <w:numId w:val="4"/>
      </w:numPr>
    </w:pPr>
  </w:style>
  <w:style w:type="paragraph" w:styleId="Bibliography">
    <w:name w:val="Bibliography"/>
    <w:basedOn w:val="Normal"/>
    <w:next w:val="Normal"/>
    <w:uiPriority w:val="99"/>
    <w:semiHidden/>
    <w:unhideWhenUsed/>
    <w:rsid w:val="00DE61E0"/>
  </w:style>
  <w:style w:type="paragraph" w:styleId="BlockText">
    <w:name w:val="Block Text"/>
    <w:basedOn w:val="Normal"/>
    <w:uiPriority w:val="99"/>
    <w:semiHidden/>
    <w:rsid w:val="00DE61E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DE61E0"/>
    <w:pPr>
      <w:spacing w:after="120"/>
    </w:pPr>
  </w:style>
  <w:style w:type="character" w:customStyle="1" w:styleId="BodyTextChar">
    <w:name w:val="Body Text Char"/>
    <w:basedOn w:val="DefaultParagraphFont"/>
    <w:link w:val="BodyText"/>
    <w:uiPriority w:val="99"/>
    <w:semiHidden/>
    <w:rsid w:val="00DE61E0"/>
    <w:rPr>
      <w:rFonts w:eastAsiaTheme="minorEastAsia"/>
      <w:sz w:val="24"/>
    </w:rPr>
  </w:style>
  <w:style w:type="paragraph" w:styleId="BodyText2">
    <w:name w:val="Body Text 2"/>
    <w:basedOn w:val="Normal"/>
    <w:link w:val="BodyText2Char"/>
    <w:uiPriority w:val="99"/>
    <w:semiHidden/>
    <w:rsid w:val="00DE61E0"/>
    <w:pPr>
      <w:spacing w:after="120" w:line="480" w:lineRule="auto"/>
    </w:pPr>
  </w:style>
  <w:style w:type="character" w:customStyle="1" w:styleId="BodyText2Char">
    <w:name w:val="Body Text 2 Char"/>
    <w:basedOn w:val="DefaultParagraphFont"/>
    <w:link w:val="BodyText2"/>
    <w:uiPriority w:val="99"/>
    <w:semiHidden/>
    <w:rsid w:val="00DE61E0"/>
    <w:rPr>
      <w:rFonts w:eastAsiaTheme="minorEastAsia"/>
      <w:sz w:val="24"/>
    </w:rPr>
  </w:style>
  <w:style w:type="paragraph" w:styleId="BodyText3">
    <w:name w:val="Body Text 3"/>
    <w:basedOn w:val="Normal"/>
    <w:link w:val="BodyText3Char"/>
    <w:uiPriority w:val="99"/>
    <w:semiHidden/>
    <w:rsid w:val="00DE61E0"/>
    <w:pPr>
      <w:spacing w:after="120"/>
    </w:pPr>
    <w:rPr>
      <w:sz w:val="16"/>
      <w:szCs w:val="16"/>
    </w:rPr>
  </w:style>
  <w:style w:type="character" w:customStyle="1" w:styleId="BodyText3Char">
    <w:name w:val="Body Text 3 Char"/>
    <w:basedOn w:val="DefaultParagraphFont"/>
    <w:link w:val="BodyText3"/>
    <w:uiPriority w:val="99"/>
    <w:semiHidden/>
    <w:rsid w:val="00DE61E0"/>
    <w:rPr>
      <w:rFonts w:eastAsiaTheme="minorEastAsia"/>
      <w:sz w:val="16"/>
      <w:szCs w:val="16"/>
    </w:rPr>
  </w:style>
  <w:style w:type="paragraph" w:styleId="BodyTextFirstIndent">
    <w:name w:val="Body Text First Indent"/>
    <w:basedOn w:val="BodyText"/>
    <w:link w:val="BodyTextFirstIndentChar"/>
    <w:uiPriority w:val="99"/>
    <w:semiHidden/>
    <w:rsid w:val="00DE61E0"/>
    <w:pPr>
      <w:spacing w:after="0"/>
      <w:ind w:firstLine="360"/>
    </w:pPr>
  </w:style>
  <w:style w:type="character" w:customStyle="1" w:styleId="BodyTextFirstIndentChar">
    <w:name w:val="Body Text First Indent Char"/>
    <w:basedOn w:val="BodyTextChar"/>
    <w:link w:val="BodyTextFirstIndent"/>
    <w:uiPriority w:val="99"/>
    <w:semiHidden/>
    <w:rsid w:val="00DE61E0"/>
    <w:rPr>
      <w:rFonts w:eastAsiaTheme="minorEastAsia"/>
      <w:sz w:val="24"/>
    </w:rPr>
  </w:style>
  <w:style w:type="paragraph" w:styleId="BodyTextIndent">
    <w:name w:val="Body Text Indent"/>
    <w:basedOn w:val="Normal"/>
    <w:link w:val="BodyTextIndentChar"/>
    <w:uiPriority w:val="99"/>
    <w:semiHidden/>
    <w:rsid w:val="00DE61E0"/>
    <w:pPr>
      <w:spacing w:after="120"/>
      <w:ind w:left="283"/>
    </w:pPr>
  </w:style>
  <w:style w:type="character" w:customStyle="1" w:styleId="BodyTextIndentChar">
    <w:name w:val="Body Text Indent Char"/>
    <w:basedOn w:val="DefaultParagraphFont"/>
    <w:link w:val="BodyTextIndent"/>
    <w:uiPriority w:val="99"/>
    <w:semiHidden/>
    <w:rsid w:val="00DE61E0"/>
    <w:rPr>
      <w:rFonts w:eastAsiaTheme="minorEastAsia"/>
      <w:sz w:val="24"/>
    </w:rPr>
  </w:style>
  <w:style w:type="paragraph" w:styleId="BodyTextFirstIndent2">
    <w:name w:val="Body Text First Indent 2"/>
    <w:basedOn w:val="BodyTextIndent"/>
    <w:link w:val="BodyTextFirstIndent2Char"/>
    <w:uiPriority w:val="99"/>
    <w:semiHidden/>
    <w:rsid w:val="00DE61E0"/>
    <w:pPr>
      <w:spacing w:after="0"/>
      <w:ind w:left="360" w:firstLine="360"/>
    </w:pPr>
  </w:style>
  <w:style w:type="character" w:customStyle="1" w:styleId="BodyTextFirstIndent2Char">
    <w:name w:val="Body Text First Indent 2 Char"/>
    <w:basedOn w:val="BodyTextIndentChar"/>
    <w:link w:val="BodyTextFirstIndent2"/>
    <w:uiPriority w:val="99"/>
    <w:semiHidden/>
    <w:rsid w:val="00DE61E0"/>
    <w:rPr>
      <w:rFonts w:eastAsiaTheme="minorEastAsia"/>
      <w:sz w:val="24"/>
    </w:rPr>
  </w:style>
  <w:style w:type="paragraph" w:styleId="BodyTextIndent2">
    <w:name w:val="Body Text Indent 2"/>
    <w:basedOn w:val="Normal"/>
    <w:link w:val="BodyTextIndent2Char"/>
    <w:uiPriority w:val="99"/>
    <w:semiHidden/>
    <w:rsid w:val="00DE61E0"/>
    <w:pPr>
      <w:spacing w:after="120" w:line="480" w:lineRule="auto"/>
      <w:ind w:left="283"/>
    </w:pPr>
  </w:style>
  <w:style w:type="character" w:customStyle="1" w:styleId="BodyTextIndent2Char">
    <w:name w:val="Body Text Indent 2 Char"/>
    <w:basedOn w:val="DefaultParagraphFont"/>
    <w:link w:val="BodyTextIndent2"/>
    <w:uiPriority w:val="99"/>
    <w:semiHidden/>
    <w:rsid w:val="00DE61E0"/>
    <w:rPr>
      <w:rFonts w:eastAsiaTheme="minorEastAsia"/>
      <w:sz w:val="24"/>
    </w:rPr>
  </w:style>
  <w:style w:type="paragraph" w:styleId="BodyTextIndent3">
    <w:name w:val="Body Text Indent 3"/>
    <w:basedOn w:val="Normal"/>
    <w:link w:val="BodyTextIndent3Char"/>
    <w:uiPriority w:val="99"/>
    <w:semiHidden/>
    <w:rsid w:val="00DE61E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E61E0"/>
    <w:rPr>
      <w:rFonts w:eastAsiaTheme="minorEastAsia"/>
      <w:sz w:val="16"/>
      <w:szCs w:val="16"/>
    </w:rPr>
  </w:style>
  <w:style w:type="paragraph" w:styleId="Caption">
    <w:name w:val="caption"/>
    <w:basedOn w:val="Normal"/>
    <w:next w:val="Normal"/>
    <w:uiPriority w:val="99"/>
    <w:semiHidden/>
    <w:qFormat/>
    <w:rsid w:val="00DE61E0"/>
    <w:pPr>
      <w:spacing w:after="200"/>
    </w:pPr>
    <w:rPr>
      <w:b/>
      <w:bCs/>
      <w:color w:val="0072BC" w:themeColor="accent1"/>
      <w:sz w:val="18"/>
      <w:szCs w:val="18"/>
    </w:rPr>
  </w:style>
  <w:style w:type="paragraph" w:styleId="Closing">
    <w:name w:val="Closing"/>
    <w:basedOn w:val="Normal"/>
    <w:link w:val="ClosingChar"/>
    <w:uiPriority w:val="99"/>
    <w:semiHidden/>
    <w:rsid w:val="00DE61E0"/>
    <w:pPr>
      <w:ind w:left="4252"/>
    </w:pPr>
  </w:style>
  <w:style w:type="character" w:customStyle="1" w:styleId="ClosingChar">
    <w:name w:val="Closing Char"/>
    <w:basedOn w:val="DefaultParagraphFont"/>
    <w:link w:val="Closing"/>
    <w:uiPriority w:val="99"/>
    <w:semiHidden/>
    <w:rsid w:val="00DE61E0"/>
    <w:rPr>
      <w:rFonts w:eastAsiaTheme="minorEastAsia"/>
      <w:sz w:val="24"/>
    </w:rPr>
  </w:style>
  <w:style w:type="table" w:styleId="ColorfulGrid">
    <w:name w:val="Colorful Grid"/>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DE61E0"/>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DE61E0"/>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DE61E0"/>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DE61E0"/>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DE61E0"/>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DE61E0"/>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DE61E0"/>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DE61E0"/>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DE61E0"/>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DE61E0"/>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DE61E0"/>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DE61E0"/>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DE61E0"/>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DE61E0"/>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DE61E0"/>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DE61E0"/>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DE61E0"/>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DE61E0"/>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DE61E0"/>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DE61E0"/>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DE61E0"/>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E61E0"/>
  </w:style>
  <w:style w:type="character" w:customStyle="1" w:styleId="DateChar">
    <w:name w:val="Date Char"/>
    <w:basedOn w:val="DefaultParagraphFont"/>
    <w:link w:val="Date"/>
    <w:uiPriority w:val="99"/>
    <w:semiHidden/>
    <w:rsid w:val="00DE61E0"/>
    <w:rPr>
      <w:rFonts w:eastAsiaTheme="minorEastAsia"/>
      <w:sz w:val="24"/>
    </w:rPr>
  </w:style>
  <w:style w:type="paragraph" w:styleId="E-mailSignature">
    <w:name w:val="E-mail Signature"/>
    <w:basedOn w:val="Normal"/>
    <w:link w:val="E-mailSignatureChar"/>
    <w:uiPriority w:val="99"/>
    <w:semiHidden/>
    <w:rsid w:val="00DE61E0"/>
  </w:style>
  <w:style w:type="character" w:customStyle="1" w:styleId="E-mailSignatureChar">
    <w:name w:val="E-mail Signature Char"/>
    <w:basedOn w:val="DefaultParagraphFont"/>
    <w:link w:val="E-mailSignature"/>
    <w:uiPriority w:val="99"/>
    <w:semiHidden/>
    <w:rsid w:val="00DE61E0"/>
    <w:rPr>
      <w:rFonts w:eastAsiaTheme="minorEastAsia"/>
      <w:sz w:val="24"/>
    </w:rPr>
  </w:style>
  <w:style w:type="paragraph" w:styleId="EnvelopeAddress">
    <w:name w:val="envelope address"/>
    <w:basedOn w:val="Normal"/>
    <w:uiPriority w:val="99"/>
    <w:semiHidden/>
    <w:rsid w:val="00DE61E0"/>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E61E0"/>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DE61E0"/>
  </w:style>
  <w:style w:type="paragraph" w:styleId="HTMLAddress">
    <w:name w:val="HTML Address"/>
    <w:basedOn w:val="Normal"/>
    <w:link w:val="HTMLAddressChar"/>
    <w:uiPriority w:val="99"/>
    <w:semiHidden/>
    <w:rsid w:val="00DE61E0"/>
    <w:rPr>
      <w:i/>
      <w:iCs/>
    </w:rPr>
  </w:style>
  <w:style w:type="character" w:customStyle="1" w:styleId="HTMLAddressChar">
    <w:name w:val="HTML Address Char"/>
    <w:basedOn w:val="DefaultParagraphFont"/>
    <w:link w:val="HTMLAddress"/>
    <w:uiPriority w:val="99"/>
    <w:semiHidden/>
    <w:rsid w:val="00DE61E0"/>
    <w:rPr>
      <w:rFonts w:eastAsiaTheme="minorEastAsia"/>
      <w:i/>
      <w:iCs/>
      <w:sz w:val="24"/>
    </w:rPr>
  </w:style>
  <w:style w:type="character" w:styleId="HTMLCite">
    <w:name w:val="HTML Cite"/>
    <w:basedOn w:val="DefaultParagraphFont"/>
    <w:uiPriority w:val="99"/>
    <w:semiHidden/>
    <w:rsid w:val="00DE61E0"/>
    <w:rPr>
      <w:i/>
      <w:iCs/>
    </w:rPr>
  </w:style>
  <w:style w:type="character" w:styleId="HTMLCode">
    <w:name w:val="HTML Code"/>
    <w:basedOn w:val="DefaultParagraphFont"/>
    <w:uiPriority w:val="99"/>
    <w:semiHidden/>
    <w:rsid w:val="00DE61E0"/>
    <w:rPr>
      <w:rFonts w:ascii="Consolas" w:hAnsi="Consolas" w:cs="Consolas"/>
      <w:sz w:val="20"/>
      <w:szCs w:val="20"/>
    </w:rPr>
  </w:style>
  <w:style w:type="character" w:styleId="HTMLDefinition">
    <w:name w:val="HTML Definition"/>
    <w:basedOn w:val="DefaultParagraphFont"/>
    <w:uiPriority w:val="99"/>
    <w:semiHidden/>
    <w:rsid w:val="00DE61E0"/>
    <w:rPr>
      <w:i/>
      <w:iCs/>
    </w:rPr>
  </w:style>
  <w:style w:type="character" w:styleId="HTMLKeyboard">
    <w:name w:val="HTML Keyboard"/>
    <w:basedOn w:val="DefaultParagraphFont"/>
    <w:uiPriority w:val="99"/>
    <w:semiHidden/>
    <w:rsid w:val="00DE61E0"/>
    <w:rPr>
      <w:rFonts w:ascii="Consolas" w:hAnsi="Consolas" w:cs="Consolas"/>
      <w:sz w:val="20"/>
      <w:szCs w:val="20"/>
    </w:rPr>
  </w:style>
  <w:style w:type="paragraph" w:styleId="HTMLPreformatted">
    <w:name w:val="HTML Preformatted"/>
    <w:basedOn w:val="Normal"/>
    <w:link w:val="HTMLPreformattedChar"/>
    <w:uiPriority w:val="99"/>
    <w:semiHidden/>
    <w:rsid w:val="00DE61E0"/>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E61E0"/>
    <w:rPr>
      <w:rFonts w:ascii="Consolas" w:eastAsiaTheme="minorEastAsia" w:hAnsi="Consolas" w:cs="Consolas"/>
      <w:sz w:val="20"/>
      <w:szCs w:val="20"/>
    </w:rPr>
  </w:style>
  <w:style w:type="character" w:styleId="HTMLSample">
    <w:name w:val="HTML Sample"/>
    <w:basedOn w:val="DefaultParagraphFont"/>
    <w:uiPriority w:val="99"/>
    <w:semiHidden/>
    <w:rsid w:val="00DE61E0"/>
    <w:rPr>
      <w:rFonts w:ascii="Consolas" w:hAnsi="Consolas" w:cs="Consolas"/>
      <w:sz w:val="24"/>
      <w:szCs w:val="24"/>
    </w:rPr>
  </w:style>
  <w:style w:type="character" w:styleId="HTMLTypewriter">
    <w:name w:val="HTML Typewriter"/>
    <w:basedOn w:val="DefaultParagraphFont"/>
    <w:uiPriority w:val="99"/>
    <w:semiHidden/>
    <w:rsid w:val="00DE61E0"/>
    <w:rPr>
      <w:rFonts w:ascii="Consolas" w:hAnsi="Consolas" w:cs="Consolas"/>
      <w:sz w:val="20"/>
      <w:szCs w:val="20"/>
    </w:rPr>
  </w:style>
  <w:style w:type="character" w:styleId="HTMLVariable">
    <w:name w:val="HTML Variable"/>
    <w:basedOn w:val="DefaultParagraphFont"/>
    <w:uiPriority w:val="99"/>
    <w:semiHidden/>
    <w:rsid w:val="00DE61E0"/>
    <w:rPr>
      <w:i/>
      <w:iCs/>
    </w:rPr>
  </w:style>
  <w:style w:type="paragraph" w:styleId="Index1">
    <w:name w:val="index 1"/>
    <w:basedOn w:val="Normal"/>
    <w:next w:val="Normal"/>
    <w:autoRedefine/>
    <w:uiPriority w:val="99"/>
    <w:semiHidden/>
    <w:rsid w:val="00DE61E0"/>
    <w:pPr>
      <w:ind w:left="240" w:hanging="240"/>
    </w:pPr>
  </w:style>
  <w:style w:type="paragraph" w:styleId="Index2">
    <w:name w:val="index 2"/>
    <w:basedOn w:val="Normal"/>
    <w:next w:val="Normal"/>
    <w:autoRedefine/>
    <w:uiPriority w:val="99"/>
    <w:semiHidden/>
    <w:rsid w:val="00DE61E0"/>
    <w:pPr>
      <w:ind w:left="480" w:hanging="240"/>
    </w:pPr>
  </w:style>
  <w:style w:type="paragraph" w:styleId="Index3">
    <w:name w:val="index 3"/>
    <w:basedOn w:val="Normal"/>
    <w:next w:val="Normal"/>
    <w:autoRedefine/>
    <w:uiPriority w:val="99"/>
    <w:semiHidden/>
    <w:rsid w:val="00DE61E0"/>
    <w:pPr>
      <w:ind w:left="720" w:hanging="240"/>
    </w:pPr>
  </w:style>
  <w:style w:type="paragraph" w:styleId="Index4">
    <w:name w:val="index 4"/>
    <w:basedOn w:val="Normal"/>
    <w:next w:val="Normal"/>
    <w:autoRedefine/>
    <w:uiPriority w:val="99"/>
    <w:semiHidden/>
    <w:rsid w:val="00DE61E0"/>
    <w:pPr>
      <w:ind w:left="960" w:hanging="240"/>
    </w:pPr>
  </w:style>
  <w:style w:type="paragraph" w:styleId="Index5">
    <w:name w:val="index 5"/>
    <w:basedOn w:val="Normal"/>
    <w:next w:val="Normal"/>
    <w:autoRedefine/>
    <w:uiPriority w:val="99"/>
    <w:semiHidden/>
    <w:rsid w:val="00DE61E0"/>
    <w:pPr>
      <w:ind w:left="1200" w:hanging="240"/>
    </w:pPr>
  </w:style>
  <w:style w:type="paragraph" w:styleId="Index6">
    <w:name w:val="index 6"/>
    <w:basedOn w:val="Normal"/>
    <w:next w:val="Normal"/>
    <w:autoRedefine/>
    <w:uiPriority w:val="99"/>
    <w:semiHidden/>
    <w:rsid w:val="00DE61E0"/>
    <w:pPr>
      <w:ind w:left="1440" w:hanging="240"/>
    </w:pPr>
  </w:style>
  <w:style w:type="paragraph" w:styleId="Index7">
    <w:name w:val="index 7"/>
    <w:basedOn w:val="Normal"/>
    <w:next w:val="Normal"/>
    <w:autoRedefine/>
    <w:uiPriority w:val="99"/>
    <w:semiHidden/>
    <w:rsid w:val="00DE61E0"/>
    <w:pPr>
      <w:ind w:left="1680" w:hanging="240"/>
    </w:pPr>
  </w:style>
  <w:style w:type="paragraph" w:styleId="Index8">
    <w:name w:val="index 8"/>
    <w:basedOn w:val="Normal"/>
    <w:next w:val="Normal"/>
    <w:autoRedefine/>
    <w:uiPriority w:val="99"/>
    <w:semiHidden/>
    <w:rsid w:val="00DE61E0"/>
    <w:pPr>
      <w:ind w:left="1920" w:hanging="240"/>
    </w:pPr>
  </w:style>
  <w:style w:type="paragraph" w:styleId="Index9">
    <w:name w:val="index 9"/>
    <w:basedOn w:val="Normal"/>
    <w:next w:val="Normal"/>
    <w:autoRedefine/>
    <w:uiPriority w:val="99"/>
    <w:semiHidden/>
    <w:rsid w:val="00DE61E0"/>
    <w:pPr>
      <w:ind w:left="2160" w:hanging="240"/>
    </w:pPr>
  </w:style>
  <w:style w:type="paragraph" w:styleId="IndexHeading">
    <w:name w:val="index heading"/>
    <w:basedOn w:val="Normal"/>
    <w:next w:val="Index1"/>
    <w:uiPriority w:val="99"/>
    <w:semiHidden/>
    <w:rsid w:val="00DE61E0"/>
    <w:rPr>
      <w:rFonts w:asciiTheme="majorHAnsi" w:eastAsiaTheme="majorEastAsia" w:hAnsiTheme="majorHAnsi" w:cstheme="majorBidi"/>
      <w:b/>
      <w:bCs/>
    </w:rPr>
  </w:style>
  <w:style w:type="table" w:styleId="LightGrid">
    <w:name w:val="Light Grid"/>
    <w:basedOn w:val="TableNormal"/>
    <w:uiPriority w:val="99"/>
    <w:semiHidden/>
    <w:rsid w:val="00DE61E0"/>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DE61E0"/>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DE61E0"/>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DE61E0"/>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DE61E0"/>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DE61E0"/>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DE61E0"/>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DE61E0"/>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DE61E0"/>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DE61E0"/>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DE61E0"/>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DE61E0"/>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DE61E0"/>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DE61E0"/>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DE61E0"/>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DE61E0"/>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DE61E0"/>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DE61E0"/>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DE61E0"/>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DE61E0"/>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DE61E0"/>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E61E0"/>
  </w:style>
  <w:style w:type="paragraph" w:styleId="List">
    <w:name w:val="List"/>
    <w:basedOn w:val="Normal"/>
    <w:uiPriority w:val="99"/>
    <w:semiHidden/>
    <w:rsid w:val="00DE61E0"/>
    <w:pPr>
      <w:ind w:left="283" w:hanging="283"/>
      <w:contextualSpacing/>
    </w:pPr>
  </w:style>
  <w:style w:type="paragraph" w:styleId="List2">
    <w:name w:val="List 2"/>
    <w:basedOn w:val="Normal"/>
    <w:uiPriority w:val="99"/>
    <w:semiHidden/>
    <w:rsid w:val="00DE61E0"/>
    <w:pPr>
      <w:ind w:left="566" w:hanging="283"/>
      <w:contextualSpacing/>
    </w:pPr>
  </w:style>
  <w:style w:type="paragraph" w:styleId="List3">
    <w:name w:val="List 3"/>
    <w:basedOn w:val="Normal"/>
    <w:uiPriority w:val="99"/>
    <w:semiHidden/>
    <w:rsid w:val="00DE61E0"/>
    <w:pPr>
      <w:ind w:left="849" w:hanging="283"/>
      <w:contextualSpacing/>
    </w:pPr>
  </w:style>
  <w:style w:type="paragraph" w:styleId="List4">
    <w:name w:val="List 4"/>
    <w:basedOn w:val="Normal"/>
    <w:uiPriority w:val="99"/>
    <w:semiHidden/>
    <w:rsid w:val="00DE61E0"/>
    <w:pPr>
      <w:ind w:left="1132" w:hanging="283"/>
      <w:contextualSpacing/>
    </w:pPr>
  </w:style>
  <w:style w:type="paragraph" w:styleId="List5">
    <w:name w:val="List 5"/>
    <w:basedOn w:val="Normal"/>
    <w:uiPriority w:val="99"/>
    <w:semiHidden/>
    <w:rsid w:val="00DE61E0"/>
    <w:pPr>
      <w:ind w:left="1415" w:hanging="283"/>
      <w:contextualSpacing/>
    </w:pPr>
  </w:style>
  <w:style w:type="paragraph" w:styleId="ListBullet2">
    <w:name w:val="List Bullet 2"/>
    <w:basedOn w:val="Normal"/>
    <w:uiPriority w:val="99"/>
    <w:semiHidden/>
    <w:rsid w:val="00DE61E0"/>
    <w:pPr>
      <w:numPr>
        <w:numId w:val="5"/>
      </w:numPr>
      <w:contextualSpacing/>
    </w:pPr>
  </w:style>
  <w:style w:type="paragraph" w:styleId="ListBullet3">
    <w:name w:val="List Bullet 3"/>
    <w:basedOn w:val="Normal"/>
    <w:uiPriority w:val="99"/>
    <w:semiHidden/>
    <w:rsid w:val="00DE61E0"/>
    <w:pPr>
      <w:numPr>
        <w:numId w:val="6"/>
      </w:numPr>
      <w:contextualSpacing/>
    </w:pPr>
  </w:style>
  <w:style w:type="paragraph" w:styleId="ListBullet4">
    <w:name w:val="List Bullet 4"/>
    <w:basedOn w:val="Normal"/>
    <w:uiPriority w:val="99"/>
    <w:semiHidden/>
    <w:rsid w:val="00DE61E0"/>
    <w:pPr>
      <w:numPr>
        <w:numId w:val="7"/>
      </w:numPr>
      <w:contextualSpacing/>
    </w:pPr>
  </w:style>
  <w:style w:type="paragraph" w:styleId="ListBullet5">
    <w:name w:val="List Bullet 5"/>
    <w:basedOn w:val="Normal"/>
    <w:uiPriority w:val="99"/>
    <w:semiHidden/>
    <w:rsid w:val="00DE61E0"/>
    <w:pPr>
      <w:numPr>
        <w:numId w:val="8"/>
      </w:numPr>
      <w:contextualSpacing/>
    </w:pPr>
  </w:style>
  <w:style w:type="paragraph" w:styleId="ListContinue">
    <w:name w:val="List Continue"/>
    <w:basedOn w:val="Normal"/>
    <w:uiPriority w:val="99"/>
    <w:semiHidden/>
    <w:rsid w:val="00DE61E0"/>
    <w:pPr>
      <w:spacing w:after="120"/>
      <w:ind w:left="283"/>
      <w:contextualSpacing/>
    </w:pPr>
  </w:style>
  <w:style w:type="paragraph" w:styleId="ListContinue2">
    <w:name w:val="List Continue 2"/>
    <w:basedOn w:val="Normal"/>
    <w:uiPriority w:val="99"/>
    <w:semiHidden/>
    <w:rsid w:val="00DE61E0"/>
    <w:pPr>
      <w:spacing w:after="120"/>
      <w:ind w:left="566"/>
      <w:contextualSpacing/>
    </w:pPr>
  </w:style>
  <w:style w:type="paragraph" w:styleId="ListContinue3">
    <w:name w:val="List Continue 3"/>
    <w:basedOn w:val="Normal"/>
    <w:uiPriority w:val="99"/>
    <w:semiHidden/>
    <w:rsid w:val="00DE61E0"/>
    <w:pPr>
      <w:spacing w:after="120"/>
      <w:ind w:left="849"/>
      <w:contextualSpacing/>
    </w:pPr>
  </w:style>
  <w:style w:type="paragraph" w:styleId="ListContinue4">
    <w:name w:val="List Continue 4"/>
    <w:basedOn w:val="Normal"/>
    <w:uiPriority w:val="99"/>
    <w:semiHidden/>
    <w:rsid w:val="00DE61E0"/>
    <w:pPr>
      <w:spacing w:after="120"/>
      <w:ind w:left="1132"/>
      <w:contextualSpacing/>
    </w:pPr>
  </w:style>
  <w:style w:type="paragraph" w:styleId="ListContinue5">
    <w:name w:val="List Continue 5"/>
    <w:basedOn w:val="Normal"/>
    <w:uiPriority w:val="99"/>
    <w:semiHidden/>
    <w:rsid w:val="00DE61E0"/>
    <w:pPr>
      <w:spacing w:after="120"/>
      <w:ind w:left="1415"/>
      <w:contextualSpacing/>
    </w:pPr>
  </w:style>
  <w:style w:type="paragraph" w:styleId="ListNumber">
    <w:name w:val="List Number"/>
    <w:basedOn w:val="Normal"/>
    <w:uiPriority w:val="99"/>
    <w:semiHidden/>
    <w:rsid w:val="00DE61E0"/>
    <w:pPr>
      <w:numPr>
        <w:numId w:val="9"/>
      </w:numPr>
      <w:contextualSpacing/>
    </w:pPr>
  </w:style>
  <w:style w:type="paragraph" w:styleId="ListNumber2">
    <w:name w:val="List Number 2"/>
    <w:basedOn w:val="Normal"/>
    <w:uiPriority w:val="99"/>
    <w:semiHidden/>
    <w:rsid w:val="00DE61E0"/>
    <w:pPr>
      <w:numPr>
        <w:numId w:val="10"/>
      </w:numPr>
      <w:contextualSpacing/>
    </w:pPr>
  </w:style>
  <w:style w:type="paragraph" w:styleId="ListNumber3">
    <w:name w:val="List Number 3"/>
    <w:basedOn w:val="Normal"/>
    <w:uiPriority w:val="99"/>
    <w:semiHidden/>
    <w:rsid w:val="00DE61E0"/>
    <w:pPr>
      <w:numPr>
        <w:numId w:val="11"/>
      </w:numPr>
      <w:contextualSpacing/>
    </w:pPr>
  </w:style>
  <w:style w:type="paragraph" w:styleId="ListNumber4">
    <w:name w:val="List Number 4"/>
    <w:basedOn w:val="Normal"/>
    <w:uiPriority w:val="99"/>
    <w:semiHidden/>
    <w:rsid w:val="00DE61E0"/>
    <w:pPr>
      <w:numPr>
        <w:numId w:val="12"/>
      </w:numPr>
      <w:contextualSpacing/>
    </w:pPr>
  </w:style>
  <w:style w:type="paragraph" w:styleId="ListNumber5">
    <w:name w:val="List Number 5"/>
    <w:basedOn w:val="Normal"/>
    <w:uiPriority w:val="99"/>
    <w:semiHidden/>
    <w:rsid w:val="00DE61E0"/>
    <w:pPr>
      <w:numPr>
        <w:numId w:val="13"/>
      </w:numPr>
      <w:contextualSpacing/>
    </w:pPr>
  </w:style>
  <w:style w:type="paragraph" w:styleId="MacroText">
    <w:name w:val="macro"/>
    <w:link w:val="MacroTextChar"/>
    <w:uiPriority w:val="99"/>
    <w:semiHidden/>
    <w:rsid w:val="00DE61E0"/>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DE61E0"/>
    <w:rPr>
      <w:rFonts w:ascii="Consolas" w:hAnsi="Consolas" w:cs="Consolas"/>
      <w:sz w:val="20"/>
      <w:szCs w:val="20"/>
      <w:lang w:val="en-GB" w:eastAsia="fr-FR"/>
    </w:rPr>
  </w:style>
  <w:style w:type="table" w:styleId="MediumGrid1">
    <w:name w:val="Medium Grid 1"/>
    <w:basedOn w:val="TableNormal"/>
    <w:uiPriority w:val="99"/>
    <w:semiHidden/>
    <w:rsid w:val="00DE61E0"/>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DE61E0"/>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DE61E0"/>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DE61E0"/>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DE61E0"/>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DE61E0"/>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DE61E0"/>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DE61E0"/>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DE61E0"/>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DE61E0"/>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DE61E0"/>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DE61E0"/>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DE61E0"/>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DE61E0"/>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DE61E0"/>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DE61E0"/>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DE61E0"/>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DE61E0"/>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DE61E0"/>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DE61E0"/>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DE61E0"/>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E61E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E61E0"/>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DE61E0"/>
    <w:rPr>
      <w:rFonts w:ascii="Times New Roman" w:hAnsi="Times New Roman" w:cs="Times New Roman"/>
      <w:szCs w:val="24"/>
    </w:rPr>
  </w:style>
  <w:style w:type="paragraph" w:styleId="NormalIndent">
    <w:name w:val="Normal Indent"/>
    <w:basedOn w:val="Normal"/>
    <w:uiPriority w:val="99"/>
    <w:semiHidden/>
    <w:rsid w:val="00DE61E0"/>
    <w:pPr>
      <w:ind w:left="720"/>
    </w:pPr>
  </w:style>
  <w:style w:type="paragraph" w:styleId="NoteHeading">
    <w:name w:val="Note Heading"/>
    <w:basedOn w:val="Normal"/>
    <w:next w:val="Normal"/>
    <w:link w:val="NoteHeadingChar"/>
    <w:uiPriority w:val="99"/>
    <w:semiHidden/>
    <w:rsid w:val="00DE61E0"/>
  </w:style>
  <w:style w:type="character" w:customStyle="1" w:styleId="NoteHeadingChar">
    <w:name w:val="Note Heading Char"/>
    <w:basedOn w:val="DefaultParagraphFont"/>
    <w:link w:val="NoteHeading"/>
    <w:uiPriority w:val="99"/>
    <w:semiHidden/>
    <w:rsid w:val="00DE61E0"/>
    <w:rPr>
      <w:rFonts w:eastAsiaTheme="minorEastAsia"/>
      <w:sz w:val="24"/>
    </w:rPr>
  </w:style>
  <w:style w:type="character" w:styleId="PlaceholderText">
    <w:name w:val="Placeholder Text"/>
    <w:basedOn w:val="DefaultParagraphFont"/>
    <w:uiPriority w:val="99"/>
    <w:semiHidden/>
    <w:rsid w:val="008B0C19"/>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E61E0"/>
    <w:rPr>
      <w:rFonts w:ascii="Consolas" w:hAnsi="Consolas" w:cs="Consolas"/>
      <w:sz w:val="21"/>
      <w:szCs w:val="21"/>
    </w:rPr>
  </w:style>
  <w:style w:type="character" w:customStyle="1" w:styleId="PlainTextChar">
    <w:name w:val="Plain Text Char"/>
    <w:basedOn w:val="DefaultParagraphFont"/>
    <w:link w:val="PlainText"/>
    <w:uiPriority w:val="99"/>
    <w:semiHidden/>
    <w:rsid w:val="00DE61E0"/>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DE61E0"/>
  </w:style>
  <w:style w:type="character" w:customStyle="1" w:styleId="SalutationChar">
    <w:name w:val="Salutation Char"/>
    <w:basedOn w:val="DefaultParagraphFont"/>
    <w:link w:val="Salutation"/>
    <w:uiPriority w:val="99"/>
    <w:semiHidden/>
    <w:rsid w:val="00DE61E0"/>
    <w:rPr>
      <w:rFonts w:eastAsiaTheme="minorEastAsia"/>
      <w:sz w:val="24"/>
    </w:rPr>
  </w:style>
  <w:style w:type="paragraph" w:styleId="Signature">
    <w:name w:val="Signature"/>
    <w:basedOn w:val="Normal"/>
    <w:link w:val="SignatureChar"/>
    <w:uiPriority w:val="99"/>
    <w:semiHidden/>
    <w:rsid w:val="00DE61E0"/>
    <w:pPr>
      <w:ind w:left="4252"/>
    </w:pPr>
  </w:style>
  <w:style w:type="character" w:customStyle="1" w:styleId="SignatureChar">
    <w:name w:val="Signature Char"/>
    <w:basedOn w:val="DefaultParagraphFont"/>
    <w:link w:val="Signature"/>
    <w:uiPriority w:val="99"/>
    <w:semiHidden/>
    <w:rsid w:val="00DE61E0"/>
    <w:rPr>
      <w:rFonts w:eastAsiaTheme="minorEastAsia"/>
      <w:sz w:val="24"/>
    </w:rPr>
  </w:style>
  <w:style w:type="table" w:styleId="Table3Deffects1">
    <w:name w:val="Table 3D effects 1"/>
    <w:basedOn w:val="TableNormal"/>
    <w:uiPriority w:val="99"/>
    <w:semiHidden/>
    <w:rsid w:val="00DE61E0"/>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DE61E0"/>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DE61E0"/>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DE61E0"/>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DE61E0"/>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DE61E0"/>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DE61E0"/>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DE61E0"/>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DE61E0"/>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DE61E0"/>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DE61E0"/>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DE61E0"/>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DE61E0"/>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DE61E0"/>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DE61E0"/>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DE61E0"/>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DE61E0"/>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DE61E0"/>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DE61E0"/>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DE61E0"/>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DE61E0"/>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DE61E0"/>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DE61E0"/>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DE61E0"/>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DE61E0"/>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DE61E0"/>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DE61E0"/>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DE61E0"/>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DE61E0"/>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DE61E0"/>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DE61E0"/>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DE61E0"/>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DE61E0"/>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E61E0"/>
    <w:pPr>
      <w:ind w:left="240" w:hanging="240"/>
    </w:pPr>
  </w:style>
  <w:style w:type="paragraph" w:styleId="TableofFigures">
    <w:name w:val="table of figures"/>
    <w:basedOn w:val="Normal"/>
    <w:next w:val="Normal"/>
    <w:uiPriority w:val="99"/>
    <w:semiHidden/>
    <w:rsid w:val="00DE61E0"/>
  </w:style>
  <w:style w:type="table" w:styleId="TableProfessional">
    <w:name w:val="Table Professional"/>
    <w:basedOn w:val="TableNormal"/>
    <w:uiPriority w:val="99"/>
    <w:semiHidden/>
    <w:rsid w:val="00DE61E0"/>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DE61E0"/>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DE61E0"/>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DE61E0"/>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DE61E0"/>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DE61E0"/>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DE61E0"/>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DE61E0"/>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DE61E0"/>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DE61E0"/>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8B0C1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8B0C1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E61E0"/>
    <w:pPr>
      <w:spacing w:after="100"/>
      <w:ind w:left="1680"/>
    </w:pPr>
  </w:style>
  <w:style w:type="paragraph" w:styleId="TOC9">
    <w:name w:val="toc 9"/>
    <w:basedOn w:val="Normal"/>
    <w:next w:val="Normal"/>
    <w:autoRedefine/>
    <w:uiPriority w:val="99"/>
    <w:semiHidden/>
    <w:rsid w:val="00DE61E0"/>
    <w:pPr>
      <w:spacing w:after="100"/>
      <w:ind w:left="1920"/>
    </w:pPr>
  </w:style>
  <w:style w:type="paragraph" w:customStyle="1" w:styleId="OpiQuotSub">
    <w:name w:val="Opi_Quot_Sub"/>
    <w:basedOn w:val="JuQuotSub"/>
    <w:uiPriority w:val="49"/>
    <w:qFormat/>
    <w:rsid w:val="00AD0AB2"/>
  </w:style>
  <w:style w:type="paragraph" w:customStyle="1" w:styleId="OpiHA">
    <w:name w:val="Opi_H_A"/>
    <w:basedOn w:val="ECHRHeading1"/>
    <w:next w:val="OpiPara"/>
    <w:uiPriority w:val="41"/>
    <w:qFormat/>
    <w:rsid w:val="00AD0AB2"/>
    <w:pPr>
      <w:tabs>
        <w:tab w:val="clear" w:pos="357"/>
      </w:tabs>
      <w:outlineLvl w:val="1"/>
    </w:pPr>
    <w:rPr>
      <w:b/>
    </w:rPr>
  </w:style>
  <w:style w:type="paragraph" w:customStyle="1" w:styleId="OpiTranslation">
    <w:name w:val="Opi_Translation"/>
    <w:basedOn w:val="Normal"/>
    <w:next w:val="OpiPara"/>
    <w:uiPriority w:val="40"/>
    <w:qFormat/>
    <w:rsid w:val="00AD0AB2"/>
    <w:pPr>
      <w:jc w:val="center"/>
      <w:outlineLvl w:val="0"/>
    </w:pPr>
    <w:rPr>
      <w:i/>
    </w:rPr>
  </w:style>
  <w:style w:type="paragraph" w:customStyle="1" w:styleId="OpiH1">
    <w:name w:val="Opi_H_1"/>
    <w:basedOn w:val="ECHRHeading2"/>
    <w:uiPriority w:val="42"/>
    <w:qFormat/>
    <w:rsid w:val="00AD0AB2"/>
    <w:pPr>
      <w:ind w:left="635" w:hanging="357"/>
      <w:outlineLvl w:val="2"/>
    </w:pPr>
  </w:style>
  <w:style w:type="paragraph" w:customStyle="1" w:styleId="OpiHa0">
    <w:name w:val="Opi_H_a"/>
    <w:basedOn w:val="ECHRHeading3"/>
    <w:uiPriority w:val="43"/>
    <w:qFormat/>
    <w:rsid w:val="00AD0AB2"/>
    <w:pPr>
      <w:ind w:left="833" w:hanging="357"/>
      <w:outlineLvl w:val="3"/>
    </w:pPr>
    <w:rPr>
      <w:b/>
      <w:i w:val="0"/>
      <w:sz w:val="20"/>
    </w:rPr>
  </w:style>
  <w:style w:type="paragraph" w:customStyle="1" w:styleId="OpiHi">
    <w:name w:val="Opi_H_i"/>
    <w:basedOn w:val="ECHRHeading4"/>
    <w:uiPriority w:val="44"/>
    <w:qFormat/>
    <w:rsid w:val="00AD0AB2"/>
    <w:pPr>
      <w:ind w:left="1037" w:hanging="357"/>
      <w:outlineLvl w:val="4"/>
    </w:pPr>
    <w:rPr>
      <w:b w:val="0"/>
      <w:i/>
    </w:rPr>
  </w:style>
  <w:style w:type="paragraph" w:customStyle="1" w:styleId="DummyStyle">
    <w:name w:val="Dummy_Style"/>
    <w:basedOn w:val="Normal"/>
    <w:semiHidden/>
    <w:qFormat/>
    <w:rsid w:val="00AD0AB2"/>
    <w:rPr>
      <w:color w:val="00B050"/>
    </w:rPr>
  </w:style>
  <w:style w:type="paragraph" w:customStyle="1" w:styleId="JuHeaderLandscape">
    <w:name w:val="Ju_Header_Landscape"/>
    <w:basedOn w:val="ECHRHeader"/>
    <w:uiPriority w:val="4"/>
    <w:qFormat/>
    <w:rsid w:val="00AD0AB2"/>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5359B5"/>
    <w:rPr>
      <w:rFonts w:eastAsiaTheme="minorEastAsia"/>
      <w:sz w:val="24"/>
      <w:lang w:val="en-GB"/>
    </w:rPr>
  </w:style>
  <w:style w:type="paragraph" w:customStyle="1" w:styleId="ECHRHeaderRefIt">
    <w:name w:val="ECHR_Header_Ref_It"/>
    <w:aliases w:val="Ref_Ital"/>
    <w:basedOn w:val="Normal"/>
    <w:next w:val="Normal"/>
    <w:uiPriority w:val="38"/>
    <w:rsid w:val="004E5D2C"/>
    <w:pPr>
      <w:jc w:val="right"/>
    </w:pPr>
    <w:rPr>
      <w:rFonts w:eastAsiaTheme="minorHAnsi"/>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20964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625598D-0435-4EFB-B411-FAD636F7163D}"/>
</file>

<file path=customXml/itemProps2.xml><?xml version="1.0" encoding="utf-8"?>
<ds:datastoreItem xmlns:ds="http://schemas.openxmlformats.org/officeDocument/2006/customXml" ds:itemID="{1644F90B-63C0-4C2E-AB7E-5D7DD3EDF9FA}"/>
</file>

<file path=customXml/itemProps3.xml><?xml version="1.0" encoding="utf-8"?>
<ds:datastoreItem xmlns:ds="http://schemas.openxmlformats.org/officeDocument/2006/customXml" ds:itemID="{3681A82E-560B-4D8B-8ACC-3C540325AC1E}"/>
</file>

<file path=customXml/itemProps4.xml><?xml version="1.0" encoding="utf-8"?>
<ds:datastoreItem xmlns:ds="http://schemas.openxmlformats.org/officeDocument/2006/customXml" ds:itemID="{CC1EAA8D-CA05-499E-949F-76F579BAFDC9}"/>
</file>

<file path=docProps/app.xml><?xml version="1.0" encoding="utf-8"?>
<Properties xmlns="http://schemas.openxmlformats.org/officeDocument/2006/extended-properties" xmlns:vt="http://schemas.openxmlformats.org/officeDocument/2006/docPropsVTypes">
  <Template>Normal.dotm</Template>
  <TotalTime>0</TotalTime>
  <Pages>1</Pages>
  <Words>1890</Words>
  <Characters>10777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12642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2019-09-05T07:50:00Z</dcterms:created>
  <dcterms:modified xsi:type="dcterms:W3CDTF">2019-09-05T07:50:00Z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lpwstr>2057</vt:lpwstr>
  </property>
  <property fmtid="{D5CDD505-2E9C-101B-9397-08002B2CF9AE}" pid="3" name="RegisteredNo">
    <vt:lpwstr>301/12</vt:lpwstr>
  </property>
  <property fmtid="{D5CDD505-2E9C-101B-9397-08002B2CF9AE}" pid="4" name="CASEID">
    <vt:lpwstr>768947</vt:lpwstr>
  </property>
  <property fmtid="{D5CDD505-2E9C-101B-9397-08002B2CF9AE}" pid="5" name="ContentTypeId">
    <vt:lpwstr>0x010100558EB02BDB9E204AB350EDD385B68E10</vt:lpwstr>
  </property>
</Properties>
</file>