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30237" w:rsidR="00E44B72" w:rsidP="00F30237" w:rsidRDefault="00E44B72">
      <w:pPr>
        <w:jc w:val="center"/>
      </w:pPr>
    </w:p>
    <w:p w:rsidRPr="00F30237" w:rsidR="009C392A" w:rsidP="00F30237" w:rsidRDefault="009C392A">
      <w:pPr>
        <w:jc w:val="center"/>
        <w:rPr>
          <w:rFonts w:ascii="Times New Roman" w:hAnsi="Times New Roman" w:cs="Times New Roman"/>
        </w:rPr>
      </w:pPr>
    </w:p>
    <w:p w:rsidRPr="00F30237" w:rsidR="009B64EE" w:rsidP="00F30237" w:rsidRDefault="009B64EE">
      <w:pPr>
        <w:jc w:val="center"/>
        <w:rPr>
          <w:lang w:val="fr-FR"/>
        </w:rPr>
      </w:pPr>
    </w:p>
    <w:p w:rsidRPr="00F30237" w:rsidR="009B64EE" w:rsidP="00F30237" w:rsidRDefault="00E44B72">
      <w:pPr>
        <w:tabs>
          <w:tab w:val="left" w:pos="5529"/>
        </w:tabs>
        <w:jc w:val="center"/>
        <w:rPr>
          <w:lang w:val="fr-FR"/>
        </w:rPr>
      </w:pPr>
      <w:r w:rsidRPr="00F30237">
        <w:rPr>
          <w:lang w:val="fr-FR"/>
        </w:rPr>
        <w:t>PREMIÈRE SECTION</w:t>
      </w:r>
    </w:p>
    <w:p w:rsidRPr="00F30237" w:rsidR="009B64EE" w:rsidP="00F30237" w:rsidRDefault="009B64EE">
      <w:pPr>
        <w:jc w:val="center"/>
        <w:rPr>
          <w:lang w:val="fr-FR"/>
        </w:rPr>
      </w:pPr>
    </w:p>
    <w:p w:rsidRPr="00F30237" w:rsidR="009B64EE" w:rsidP="00F30237" w:rsidRDefault="009B64EE">
      <w:pPr>
        <w:jc w:val="center"/>
        <w:rPr>
          <w:lang w:val="fr-FR"/>
        </w:rPr>
      </w:pPr>
    </w:p>
    <w:p w:rsidRPr="00F30237" w:rsidR="009B64EE" w:rsidP="00F30237" w:rsidRDefault="009B64EE">
      <w:pPr>
        <w:jc w:val="center"/>
        <w:rPr>
          <w:lang w:val="fr-FR"/>
        </w:rPr>
      </w:pPr>
    </w:p>
    <w:p w:rsidRPr="00F30237" w:rsidR="009C392A" w:rsidP="00F30237" w:rsidRDefault="009C392A">
      <w:pPr>
        <w:jc w:val="center"/>
        <w:rPr>
          <w:lang w:val="fr-FR"/>
        </w:rPr>
      </w:pPr>
    </w:p>
    <w:p w:rsidRPr="00F30237" w:rsidR="009C392A" w:rsidP="00F30237" w:rsidRDefault="009C392A">
      <w:pPr>
        <w:jc w:val="center"/>
        <w:rPr>
          <w:lang w:val="fr-FR"/>
        </w:rPr>
      </w:pPr>
    </w:p>
    <w:p w:rsidRPr="00F30237" w:rsidR="009B64EE" w:rsidP="00F30237" w:rsidRDefault="009B64EE">
      <w:pPr>
        <w:jc w:val="center"/>
        <w:rPr>
          <w:lang w:val="fr-FR"/>
        </w:rPr>
      </w:pPr>
    </w:p>
    <w:p w:rsidRPr="00F30237" w:rsidR="009B64EE" w:rsidP="00F30237" w:rsidRDefault="007A534F">
      <w:pPr>
        <w:jc w:val="center"/>
        <w:rPr>
          <w:b/>
          <w:lang w:val="fr-FR"/>
        </w:rPr>
      </w:pPr>
      <w:r w:rsidRPr="00F30237">
        <w:rPr>
          <w:b/>
          <w:lang w:val="fr-FR"/>
        </w:rPr>
        <w:t xml:space="preserve">AFFAIRE </w:t>
      </w:r>
      <w:r w:rsidRPr="00F30237" w:rsidR="00E44B72">
        <w:rPr>
          <w:b/>
          <w:lang w:val="fr-FR"/>
        </w:rPr>
        <w:t xml:space="preserve">RIZZOTTO c. </w:t>
      </w:r>
      <w:r w:rsidRPr="00F30237" w:rsidR="00826EAF">
        <w:rPr>
          <w:b/>
          <w:lang w:val="fr-FR"/>
        </w:rPr>
        <w:t>ITALIE</w:t>
      </w:r>
      <w:r w:rsidRPr="00F30237" w:rsidR="005D2152">
        <w:rPr>
          <w:b/>
          <w:lang w:val="fr-FR"/>
        </w:rPr>
        <w:t xml:space="preserve"> (</w:t>
      </w:r>
      <w:r w:rsidR="00F143B5">
        <w:rPr>
          <w:b/>
          <w:lang w:val="fr-FR"/>
        </w:rPr>
        <w:t xml:space="preserve">N° </w:t>
      </w:r>
      <w:r w:rsidRPr="00F30237" w:rsidR="005D2152">
        <w:rPr>
          <w:b/>
          <w:lang w:val="fr-FR"/>
        </w:rPr>
        <w:t>2)</w:t>
      </w:r>
    </w:p>
    <w:p w:rsidRPr="00F30237" w:rsidR="009B64EE" w:rsidP="00F30237" w:rsidRDefault="009B64EE">
      <w:pPr>
        <w:jc w:val="center"/>
        <w:rPr>
          <w:lang w:val="fr-FR"/>
        </w:rPr>
      </w:pPr>
    </w:p>
    <w:p w:rsidRPr="00F30237" w:rsidR="009B64EE" w:rsidP="00F30237" w:rsidRDefault="007A534F">
      <w:pPr>
        <w:jc w:val="center"/>
        <w:rPr>
          <w:i/>
          <w:lang w:val="it-IT"/>
        </w:rPr>
      </w:pPr>
      <w:r w:rsidRPr="00F30237">
        <w:rPr>
          <w:i/>
          <w:lang w:val="it-IT"/>
        </w:rPr>
        <w:t>(</w:t>
      </w:r>
      <w:proofErr w:type="spellStart"/>
      <w:r w:rsidRPr="00F30237" w:rsidR="00E44B72">
        <w:rPr>
          <w:i/>
          <w:lang w:val="it-IT"/>
        </w:rPr>
        <w:t>Requête</w:t>
      </w:r>
      <w:proofErr w:type="spellEnd"/>
      <w:r w:rsidRPr="00F30237" w:rsidR="00E44B72">
        <w:rPr>
          <w:i/>
          <w:lang w:val="it-IT"/>
        </w:rPr>
        <w:t xml:space="preserve"> n</w:t>
      </w:r>
      <w:r w:rsidRPr="00F30237" w:rsidR="00E44B72">
        <w:rPr>
          <w:i/>
          <w:vertAlign w:val="superscript"/>
          <w:lang w:val="it-IT"/>
        </w:rPr>
        <w:t>o</w:t>
      </w:r>
      <w:r w:rsidRPr="00F30237">
        <w:rPr>
          <w:i/>
          <w:lang w:val="it-IT"/>
        </w:rPr>
        <w:t xml:space="preserve"> </w:t>
      </w:r>
      <w:r w:rsidRPr="00F30237" w:rsidR="00E44B72">
        <w:rPr>
          <w:i/>
          <w:lang w:val="it-IT"/>
        </w:rPr>
        <w:t>20983/12</w:t>
      </w:r>
      <w:r w:rsidRPr="00F30237">
        <w:rPr>
          <w:i/>
          <w:lang w:val="it-IT"/>
        </w:rPr>
        <w:t>)</w:t>
      </w:r>
    </w:p>
    <w:p w:rsidRPr="00F30237" w:rsidR="009B64EE" w:rsidP="00F30237" w:rsidRDefault="009B64EE">
      <w:pPr>
        <w:jc w:val="center"/>
        <w:rPr>
          <w:lang w:val="it-IT"/>
        </w:rPr>
      </w:pPr>
    </w:p>
    <w:p w:rsidRPr="00F30237" w:rsidR="009B64EE" w:rsidP="00F30237" w:rsidRDefault="009B64EE">
      <w:pPr>
        <w:jc w:val="center"/>
        <w:rPr>
          <w:lang w:val="it-IT"/>
        </w:rPr>
      </w:pPr>
    </w:p>
    <w:p w:rsidRPr="00F30237" w:rsidR="009B64EE" w:rsidP="00F30237" w:rsidRDefault="009B64EE">
      <w:pPr>
        <w:jc w:val="center"/>
        <w:rPr>
          <w:lang w:val="it-IT"/>
        </w:rPr>
      </w:pPr>
    </w:p>
    <w:p w:rsidRPr="00F30237" w:rsidR="009B64EE" w:rsidP="00F30237" w:rsidRDefault="009B64EE">
      <w:pPr>
        <w:jc w:val="center"/>
        <w:rPr>
          <w:lang w:val="it-IT"/>
        </w:rPr>
      </w:pPr>
      <w:bookmarkStart w:name="_GoBack" w:id="0"/>
      <w:bookmarkEnd w:id="0"/>
    </w:p>
    <w:p w:rsidRPr="00F30237" w:rsidR="009C392A" w:rsidP="00F30237" w:rsidRDefault="009C392A">
      <w:pPr>
        <w:jc w:val="center"/>
        <w:rPr>
          <w:lang w:val="it-IT"/>
        </w:rPr>
      </w:pPr>
    </w:p>
    <w:p w:rsidRPr="00F30237" w:rsidR="009C392A" w:rsidP="00F30237" w:rsidRDefault="009C392A">
      <w:pPr>
        <w:jc w:val="center"/>
        <w:rPr>
          <w:lang w:val="it-IT"/>
        </w:rPr>
      </w:pPr>
    </w:p>
    <w:p w:rsidRPr="00F30237" w:rsidR="009B64EE" w:rsidP="00F30237" w:rsidRDefault="009B64EE">
      <w:pPr>
        <w:jc w:val="center"/>
        <w:rPr>
          <w:lang w:val="it-IT"/>
        </w:rPr>
      </w:pPr>
    </w:p>
    <w:p w:rsidRPr="00F30237" w:rsidR="009B64EE" w:rsidP="00F30237" w:rsidRDefault="009B64EE">
      <w:pPr>
        <w:jc w:val="center"/>
        <w:rPr>
          <w:lang w:val="it-IT"/>
        </w:rPr>
      </w:pPr>
    </w:p>
    <w:p w:rsidRPr="00F30237" w:rsidR="009B64EE" w:rsidP="00F30237" w:rsidRDefault="007A534F">
      <w:pPr>
        <w:jc w:val="center"/>
        <w:outlineLvl w:val="0"/>
        <w:rPr>
          <w:lang w:val="it-IT"/>
        </w:rPr>
      </w:pPr>
      <w:r w:rsidRPr="00F30237">
        <w:rPr>
          <w:lang w:val="it-IT"/>
        </w:rPr>
        <w:t>ARRÊT</w:t>
      </w:r>
    </w:p>
    <w:p w:rsidRPr="00F30237" w:rsidR="009B64EE" w:rsidP="00F30237" w:rsidRDefault="009B64EE">
      <w:pPr>
        <w:jc w:val="center"/>
        <w:rPr>
          <w:i/>
          <w:lang w:val="it-IT"/>
        </w:rPr>
      </w:pPr>
    </w:p>
    <w:p w:rsidRPr="00F30237" w:rsidR="009C392A" w:rsidP="00F30237" w:rsidRDefault="009C392A">
      <w:pPr>
        <w:jc w:val="center"/>
        <w:rPr>
          <w:i/>
          <w:lang w:val="it-IT"/>
        </w:rPr>
      </w:pPr>
    </w:p>
    <w:p w:rsidRPr="00F30237" w:rsidR="009C392A" w:rsidP="00F30237" w:rsidRDefault="009C392A">
      <w:pPr>
        <w:jc w:val="center"/>
        <w:rPr>
          <w:i/>
          <w:lang w:val="it-IT"/>
        </w:rPr>
      </w:pPr>
    </w:p>
    <w:p w:rsidRPr="00F30237" w:rsidR="009B64EE" w:rsidP="00F30237" w:rsidRDefault="009B64EE">
      <w:pPr>
        <w:jc w:val="center"/>
        <w:rPr>
          <w:lang w:val="it-IT"/>
        </w:rPr>
      </w:pPr>
    </w:p>
    <w:p w:rsidRPr="00F30237" w:rsidR="009B64EE" w:rsidP="00F30237" w:rsidRDefault="007A534F">
      <w:pPr>
        <w:jc w:val="center"/>
        <w:outlineLvl w:val="0"/>
        <w:rPr>
          <w:lang w:val="it-IT"/>
        </w:rPr>
      </w:pPr>
      <w:r w:rsidRPr="00F30237">
        <w:rPr>
          <w:lang w:val="it-IT"/>
        </w:rPr>
        <w:t>STRASBOURG</w:t>
      </w:r>
    </w:p>
    <w:p w:rsidRPr="00F30237" w:rsidR="009B64EE" w:rsidP="00F30237" w:rsidRDefault="009B64EE">
      <w:pPr>
        <w:jc w:val="center"/>
        <w:rPr>
          <w:lang w:val="it-IT"/>
        </w:rPr>
      </w:pPr>
    </w:p>
    <w:p w:rsidRPr="00F30237" w:rsidR="009B64EE" w:rsidP="00F30237" w:rsidRDefault="00E44B72">
      <w:pPr>
        <w:jc w:val="center"/>
        <w:rPr>
          <w:lang w:val="fr-FR"/>
        </w:rPr>
      </w:pPr>
      <w:r w:rsidRPr="00F30237">
        <w:rPr>
          <w:szCs w:val="24"/>
          <w:lang w:val="fr-FR"/>
        </w:rPr>
        <w:t>5 septembre 2019</w:t>
      </w:r>
    </w:p>
    <w:p w:rsidRPr="00F30237" w:rsidR="009B64EE" w:rsidP="00F30237" w:rsidRDefault="009B64EE">
      <w:pPr>
        <w:jc w:val="center"/>
        <w:rPr>
          <w:lang w:val="fr-FR"/>
        </w:rPr>
      </w:pPr>
    </w:p>
    <w:p w:rsidRPr="00F30237" w:rsidR="00EE67B1" w:rsidP="00F30237" w:rsidRDefault="00EE67B1">
      <w:pPr>
        <w:jc w:val="left"/>
        <w:rPr>
          <w:i/>
          <w:sz w:val="22"/>
          <w:lang w:val="fr-FR"/>
        </w:rPr>
      </w:pPr>
    </w:p>
    <w:p w:rsidR="00204889" w:rsidP="00204889" w:rsidRDefault="00204889">
      <w:pPr>
        <w:pStyle w:val="jucase0"/>
        <w:ind w:firstLine="0"/>
        <w:jc w:val="center"/>
        <w:rPr>
          <w:color w:val="FF0000"/>
          <w:sz w:val="28"/>
          <w:szCs w:val="28"/>
          <w:u w:val="single"/>
          <w:lang w:val="fr-FR"/>
        </w:rPr>
      </w:pPr>
      <w:r>
        <w:rPr>
          <w:color w:val="FF0000"/>
          <w:sz w:val="28"/>
          <w:szCs w:val="28"/>
          <w:u w:val="single"/>
          <w:lang w:val="fr-FR"/>
        </w:rPr>
        <w:t>DÉFINITIF</w:t>
      </w:r>
    </w:p>
    <w:p w:rsidR="00204889" w:rsidP="00204889" w:rsidRDefault="00204889">
      <w:pPr>
        <w:pStyle w:val="jupara"/>
        <w:tabs>
          <w:tab w:val="left" w:pos="3450"/>
        </w:tabs>
        <w:ind w:firstLine="0"/>
        <w:jc w:val="center"/>
        <w:rPr>
          <w:color w:val="FF0000"/>
          <w:sz w:val="28"/>
          <w:szCs w:val="28"/>
          <w:lang w:val="fr-FR"/>
        </w:rPr>
      </w:pPr>
    </w:p>
    <w:p w:rsidR="00204889" w:rsidP="00204889" w:rsidRDefault="00204889">
      <w:pPr>
        <w:pStyle w:val="jupara"/>
        <w:ind w:firstLine="0"/>
        <w:jc w:val="center"/>
        <w:rPr>
          <w:color w:val="FF0000"/>
          <w:sz w:val="28"/>
          <w:szCs w:val="28"/>
          <w:lang w:val="fr-FR"/>
        </w:rPr>
      </w:pPr>
      <w:r>
        <w:rPr>
          <w:color w:val="FF0000"/>
          <w:sz w:val="28"/>
          <w:szCs w:val="28"/>
          <w:lang w:val="fr-FR"/>
        </w:rPr>
        <w:t>05/12/2019</w:t>
      </w:r>
    </w:p>
    <w:p w:rsidR="00204889" w:rsidP="00204889" w:rsidRDefault="00204889">
      <w:pPr>
        <w:pStyle w:val="jupara"/>
        <w:ind w:firstLine="0"/>
        <w:jc w:val="center"/>
        <w:rPr>
          <w:u w:val="single"/>
          <w:lang w:val="fr-FR"/>
        </w:rPr>
      </w:pPr>
    </w:p>
    <w:p w:rsidRPr="00F30237" w:rsidR="009B64EE" w:rsidP="00204889" w:rsidRDefault="00204889">
      <w:pPr>
        <w:jc w:val="left"/>
        <w:rPr>
          <w:i/>
          <w:lang w:val="fr-FR"/>
        </w:rPr>
      </w:pPr>
      <w:r>
        <w:rPr>
          <w:i/>
          <w:iCs/>
          <w:sz w:val="22"/>
          <w:lang w:val="fr-FR"/>
        </w:rPr>
        <w:t>Cet arrêt est devenu définitif en vertu de l’article 44 § 2 de la Convention. Il peut subir des retouches de forme.</w:t>
      </w:r>
    </w:p>
    <w:p w:rsidRPr="00F30237" w:rsidR="009B64EE" w:rsidP="00F30237" w:rsidRDefault="009B64EE">
      <w:pPr>
        <w:rPr>
          <w:lang w:val="fr-FR"/>
        </w:rPr>
        <w:sectPr w:rsidRPr="00F30237" w:rsidR="009B64EE" w:rsidSect="009B64EE">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F30237" w:rsidR="009B64EE" w:rsidP="00F30237" w:rsidRDefault="007A534F">
      <w:pPr>
        <w:pStyle w:val="JuCase"/>
        <w:rPr>
          <w:lang w:val="fr-FR"/>
        </w:rPr>
      </w:pPr>
      <w:r w:rsidRPr="00F30237">
        <w:rPr>
          <w:lang w:val="fr-FR"/>
        </w:rPr>
        <w:t>En l</w:t>
      </w:r>
      <w:r w:rsidRPr="00F30237" w:rsidR="00F30237">
        <w:rPr>
          <w:lang w:val="fr-FR"/>
        </w:rPr>
        <w:t>’</w:t>
      </w:r>
      <w:r w:rsidRPr="00F30237">
        <w:rPr>
          <w:lang w:val="fr-FR"/>
        </w:rPr>
        <w:t xml:space="preserve">affaire </w:t>
      </w:r>
      <w:proofErr w:type="spellStart"/>
      <w:r w:rsidRPr="00F30237" w:rsidR="00E44B72">
        <w:rPr>
          <w:lang w:val="fr-FR"/>
        </w:rPr>
        <w:t>Rizzotto</w:t>
      </w:r>
      <w:proofErr w:type="spellEnd"/>
      <w:r w:rsidRPr="00F30237" w:rsidR="00E44B72">
        <w:rPr>
          <w:lang w:val="fr-FR"/>
        </w:rPr>
        <w:t xml:space="preserve"> c. </w:t>
      </w:r>
      <w:r w:rsidRPr="00F30237" w:rsidR="005D2152">
        <w:rPr>
          <w:lang w:val="fr-FR"/>
        </w:rPr>
        <w:t>Italie (</w:t>
      </w:r>
      <w:r w:rsidR="00F143B5">
        <w:rPr>
          <w:lang w:val="fr-FR"/>
        </w:rPr>
        <w:t xml:space="preserve">N° </w:t>
      </w:r>
      <w:r w:rsidRPr="00F30237" w:rsidR="005D2152">
        <w:rPr>
          <w:lang w:val="fr-FR"/>
        </w:rPr>
        <w:t>2)</w:t>
      </w:r>
      <w:r w:rsidRPr="00F30237">
        <w:rPr>
          <w:lang w:val="fr-FR"/>
        </w:rPr>
        <w:t>,</w:t>
      </w:r>
    </w:p>
    <w:p w:rsidRPr="00F30237" w:rsidR="009B64EE" w:rsidP="00F30237" w:rsidRDefault="007A534F">
      <w:pPr>
        <w:pStyle w:val="ECHRPara"/>
        <w:rPr>
          <w:lang w:val="fr-FR"/>
        </w:rPr>
      </w:pPr>
      <w:r w:rsidRPr="00F30237">
        <w:rPr>
          <w:lang w:val="fr-FR"/>
        </w:rPr>
        <w:t>La Cour européenne des droits de l</w:t>
      </w:r>
      <w:r w:rsidRPr="00F30237" w:rsidR="00F30237">
        <w:rPr>
          <w:lang w:val="fr-FR"/>
        </w:rPr>
        <w:t>’</w:t>
      </w:r>
      <w:r w:rsidRPr="00F30237">
        <w:rPr>
          <w:lang w:val="fr-FR"/>
        </w:rPr>
        <w:t>homme (</w:t>
      </w:r>
      <w:r w:rsidRPr="00F30237" w:rsidR="00E44B72">
        <w:rPr>
          <w:lang w:val="fr-FR"/>
        </w:rPr>
        <w:t>première section</w:t>
      </w:r>
      <w:r w:rsidRPr="00F30237">
        <w:rPr>
          <w:lang w:val="fr-FR"/>
        </w:rPr>
        <w:t xml:space="preserve">), siégeant en </w:t>
      </w:r>
      <w:r w:rsidRPr="00F30237" w:rsidR="00E44B72">
        <w:rPr>
          <w:color w:val="000000"/>
          <w:lang w:val="fr-FR"/>
        </w:rPr>
        <w:t>une</w:t>
      </w:r>
      <w:r w:rsidRPr="00F30237" w:rsidR="00E44B72">
        <w:rPr>
          <w:lang w:val="fr-FR"/>
        </w:rPr>
        <w:t xml:space="preserve"> Chambre composée</w:t>
      </w:r>
      <w:r w:rsidRPr="00F30237">
        <w:rPr>
          <w:lang w:val="fr-FR"/>
        </w:rPr>
        <w:t xml:space="preserve"> de :</w:t>
      </w:r>
    </w:p>
    <w:p w:rsidRPr="00F30237" w:rsidR="009B64EE" w:rsidP="00F30237" w:rsidRDefault="0011265B">
      <w:pPr>
        <w:pStyle w:val="ECHRDecisionBody"/>
        <w:rPr>
          <w:lang w:val="fr-FR"/>
        </w:rPr>
      </w:pPr>
      <w:r w:rsidRPr="00F30237">
        <w:rPr>
          <w:lang w:val="fr-FR"/>
        </w:rPr>
        <w:tab/>
      </w:r>
      <w:proofErr w:type="spellStart"/>
      <w:r w:rsidRPr="00F30237">
        <w:rPr>
          <w:lang w:val="fr-FR"/>
        </w:rPr>
        <w:t>Ksenija</w:t>
      </w:r>
      <w:proofErr w:type="spellEnd"/>
      <w:r w:rsidRPr="00F30237">
        <w:rPr>
          <w:lang w:val="fr-FR"/>
        </w:rPr>
        <w:t xml:space="preserve"> </w:t>
      </w:r>
      <w:proofErr w:type="spellStart"/>
      <w:r w:rsidRPr="00F30237">
        <w:rPr>
          <w:lang w:val="fr-FR"/>
        </w:rPr>
        <w:t>Turković</w:t>
      </w:r>
      <w:proofErr w:type="spellEnd"/>
      <w:r w:rsidRPr="00F30237">
        <w:rPr>
          <w:lang w:val="fr-FR"/>
        </w:rPr>
        <w:t>,</w:t>
      </w:r>
      <w:r w:rsidRPr="00F30237">
        <w:rPr>
          <w:i/>
          <w:lang w:val="fr-FR"/>
        </w:rPr>
        <w:t xml:space="preserve"> présidente,</w:t>
      </w:r>
      <w:r w:rsidRPr="00F30237">
        <w:rPr>
          <w:i/>
          <w:lang w:val="fr-FR"/>
        </w:rPr>
        <w:br/>
      </w:r>
      <w:r w:rsidRPr="00F30237">
        <w:rPr>
          <w:lang w:val="fr-FR"/>
        </w:rPr>
        <w:tab/>
      </w:r>
      <w:proofErr w:type="spellStart"/>
      <w:r w:rsidRPr="00F30237">
        <w:rPr>
          <w:lang w:val="fr-FR"/>
        </w:rPr>
        <w:t>Aleš</w:t>
      </w:r>
      <w:proofErr w:type="spellEnd"/>
      <w:r w:rsidRPr="00F30237">
        <w:rPr>
          <w:lang w:val="fr-FR"/>
        </w:rPr>
        <w:t xml:space="preserve"> </w:t>
      </w:r>
      <w:proofErr w:type="spellStart"/>
      <w:r w:rsidRPr="00F30237">
        <w:rPr>
          <w:lang w:val="fr-FR"/>
        </w:rPr>
        <w:t>Pejchal</w:t>
      </w:r>
      <w:proofErr w:type="spellEnd"/>
      <w:r w:rsidRPr="00F30237">
        <w:rPr>
          <w:lang w:val="fr-FR"/>
        </w:rPr>
        <w:t>,</w:t>
      </w:r>
      <w:r w:rsidRPr="00F30237">
        <w:rPr>
          <w:i/>
          <w:lang w:val="fr-FR"/>
        </w:rPr>
        <w:br/>
      </w:r>
      <w:r w:rsidRPr="00F30237">
        <w:rPr>
          <w:lang w:val="fr-FR"/>
        </w:rPr>
        <w:tab/>
      </w:r>
      <w:proofErr w:type="spellStart"/>
      <w:r w:rsidRPr="00F30237">
        <w:rPr>
          <w:lang w:val="fr-FR"/>
        </w:rPr>
        <w:t>Armen</w:t>
      </w:r>
      <w:proofErr w:type="spellEnd"/>
      <w:r w:rsidRPr="00F30237">
        <w:rPr>
          <w:lang w:val="fr-FR"/>
        </w:rPr>
        <w:t xml:space="preserve"> </w:t>
      </w:r>
      <w:proofErr w:type="spellStart"/>
      <w:r w:rsidRPr="00F30237">
        <w:rPr>
          <w:lang w:val="fr-FR"/>
        </w:rPr>
        <w:t>Harutyunyan</w:t>
      </w:r>
      <w:proofErr w:type="spellEnd"/>
      <w:r w:rsidRPr="00F30237">
        <w:rPr>
          <w:lang w:val="fr-FR"/>
        </w:rPr>
        <w:t>,</w:t>
      </w:r>
      <w:r w:rsidRPr="00F30237">
        <w:rPr>
          <w:i/>
          <w:lang w:val="fr-FR"/>
        </w:rPr>
        <w:br/>
      </w:r>
      <w:r w:rsidRPr="00F30237">
        <w:rPr>
          <w:lang w:val="fr-FR"/>
        </w:rPr>
        <w:tab/>
      </w:r>
      <w:proofErr w:type="spellStart"/>
      <w:r w:rsidRPr="00F30237">
        <w:rPr>
          <w:lang w:val="fr-FR"/>
        </w:rPr>
        <w:t>Pere</w:t>
      </w:r>
      <w:proofErr w:type="spellEnd"/>
      <w:r w:rsidRPr="00F30237">
        <w:rPr>
          <w:lang w:val="fr-FR"/>
        </w:rPr>
        <w:t xml:space="preserve"> </w:t>
      </w:r>
      <w:proofErr w:type="spellStart"/>
      <w:r w:rsidRPr="00F30237">
        <w:rPr>
          <w:lang w:val="fr-FR"/>
        </w:rPr>
        <w:t>Pastor</w:t>
      </w:r>
      <w:proofErr w:type="spellEnd"/>
      <w:r w:rsidRPr="00F30237">
        <w:rPr>
          <w:lang w:val="fr-FR"/>
        </w:rPr>
        <w:t xml:space="preserve"> </w:t>
      </w:r>
      <w:proofErr w:type="spellStart"/>
      <w:r w:rsidRPr="00F30237">
        <w:rPr>
          <w:lang w:val="fr-FR"/>
        </w:rPr>
        <w:t>Vilanova</w:t>
      </w:r>
      <w:proofErr w:type="spellEnd"/>
      <w:r w:rsidRPr="00F30237">
        <w:rPr>
          <w:lang w:val="fr-FR"/>
        </w:rPr>
        <w:t>,</w:t>
      </w:r>
      <w:r w:rsidRPr="00F30237">
        <w:rPr>
          <w:i/>
          <w:lang w:val="fr-FR"/>
        </w:rPr>
        <w:br/>
      </w:r>
      <w:r w:rsidRPr="00F30237">
        <w:rPr>
          <w:lang w:val="fr-FR"/>
        </w:rPr>
        <w:tab/>
        <w:t xml:space="preserve">Tim </w:t>
      </w:r>
      <w:proofErr w:type="spellStart"/>
      <w:r w:rsidRPr="00F30237">
        <w:rPr>
          <w:lang w:val="fr-FR"/>
        </w:rPr>
        <w:t>Eicke</w:t>
      </w:r>
      <w:proofErr w:type="spellEnd"/>
      <w:r w:rsidRPr="00F30237">
        <w:rPr>
          <w:lang w:val="fr-FR"/>
        </w:rPr>
        <w:t>,</w:t>
      </w:r>
      <w:r w:rsidRPr="00F30237">
        <w:rPr>
          <w:i/>
          <w:lang w:val="fr-FR"/>
        </w:rPr>
        <w:br/>
      </w:r>
      <w:r w:rsidRPr="00F30237">
        <w:rPr>
          <w:lang w:val="fr-FR"/>
        </w:rPr>
        <w:tab/>
        <w:t xml:space="preserve">Gilberto </w:t>
      </w:r>
      <w:proofErr w:type="spellStart"/>
      <w:r w:rsidRPr="00F30237">
        <w:rPr>
          <w:lang w:val="fr-FR"/>
        </w:rPr>
        <w:t>Felici</w:t>
      </w:r>
      <w:proofErr w:type="spellEnd"/>
      <w:r w:rsidRPr="00F30237">
        <w:rPr>
          <w:lang w:val="fr-FR"/>
        </w:rPr>
        <w:t>,</w:t>
      </w:r>
      <w:r w:rsidRPr="00F30237">
        <w:rPr>
          <w:i/>
          <w:lang w:val="fr-FR"/>
        </w:rPr>
        <w:br/>
      </w:r>
      <w:r w:rsidRPr="00F30237">
        <w:rPr>
          <w:lang w:val="fr-FR"/>
        </w:rPr>
        <w:tab/>
      </w:r>
      <w:proofErr w:type="spellStart"/>
      <w:r w:rsidRPr="00F30237">
        <w:rPr>
          <w:lang w:val="fr-FR"/>
        </w:rPr>
        <w:t>Raffaele</w:t>
      </w:r>
      <w:proofErr w:type="spellEnd"/>
      <w:r w:rsidRPr="00F30237">
        <w:rPr>
          <w:lang w:val="fr-FR"/>
        </w:rPr>
        <w:t xml:space="preserve"> Sabato,</w:t>
      </w:r>
      <w:r w:rsidRPr="00F30237">
        <w:rPr>
          <w:i/>
          <w:lang w:val="fr-FR"/>
        </w:rPr>
        <w:t xml:space="preserve"> juges</w:t>
      </w:r>
      <w:proofErr w:type="gramStart"/>
      <w:r w:rsidRPr="00F30237">
        <w:rPr>
          <w:i/>
          <w:lang w:val="fr-FR"/>
        </w:rPr>
        <w:t>,</w:t>
      </w:r>
      <w:proofErr w:type="gramEnd"/>
      <w:r w:rsidRPr="00F30237">
        <w:rPr>
          <w:i/>
          <w:lang w:val="fr-FR"/>
        </w:rPr>
        <w:br/>
      </w:r>
      <w:r w:rsidRPr="00F30237" w:rsidR="007A534F">
        <w:rPr>
          <w:lang w:val="fr-FR"/>
        </w:rPr>
        <w:t xml:space="preserve">et de </w:t>
      </w:r>
      <w:r w:rsidRPr="00F30237" w:rsidR="00E44B72">
        <w:rPr>
          <w:lang w:val="fr-FR"/>
        </w:rPr>
        <w:t>Abel Campos</w:t>
      </w:r>
      <w:r w:rsidRPr="00F30237" w:rsidR="007A534F">
        <w:rPr>
          <w:lang w:val="fr-FR"/>
        </w:rPr>
        <w:t xml:space="preserve">, </w:t>
      </w:r>
      <w:r w:rsidRPr="00F30237" w:rsidR="00E44B72">
        <w:rPr>
          <w:i/>
          <w:lang w:val="fr-FR"/>
        </w:rPr>
        <w:t>greffier</w:t>
      </w:r>
      <w:r w:rsidRPr="00F30237" w:rsidR="00E44B72">
        <w:rPr>
          <w:iCs/>
          <w:lang w:val="fr-FR"/>
        </w:rPr>
        <w:t xml:space="preserve"> </w:t>
      </w:r>
      <w:r w:rsidRPr="00F30237" w:rsidR="00E44B72">
        <w:rPr>
          <w:i/>
          <w:iCs/>
          <w:lang w:val="fr-FR"/>
        </w:rPr>
        <w:t>d</w:t>
      </w:r>
      <w:r w:rsidRPr="00F30237" w:rsidR="00E44B72">
        <w:rPr>
          <w:i/>
          <w:lang w:val="fr-FR"/>
        </w:rPr>
        <w:t>e section</w:t>
      </w:r>
      <w:r w:rsidRPr="00F30237" w:rsidR="007A534F">
        <w:rPr>
          <w:lang w:val="fr-FR"/>
        </w:rPr>
        <w:t>,</w:t>
      </w:r>
    </w:p>
    <w:p w:rsidRPr="00F30237" w:rsidR="009B64EE" w:rsidP="00F30237" w:rsidRDefault="007A534F">
      <w:pPr>
        <w:pStyle w:val="ECHRPara"/>
        <w:rPr>
          <w:lang w:val="fr-FR"/>
        </w:rPr>
      </w:pPr>
      <w:r w:rsidRPr="00F30237">
        <w:rPr>
          <w:lang w:val="fr-FR"/>
        </w:rPr>
        <w:t xml:space="preserve">Après en avoir délibéré en chambre du conseil le </w:t>
      </w:r>
      <w:r w:rsidRPr="00F30237" w:rsidR="00E44B72">
        <w:rPr>
          <w:szCs w:val="24"/>
          <w:lang w:val="fr-FR"/>
        </w:rPr>
        <w:t>2 juillet 2019</w:t>
      </w:r>
      <w:r w:rsidRPr="00F30237">
        <w:rPr>
          <w:lang w:val="fr-FR"/>
        </w:rPr>
        <w:t>,</w:t>
      </w:r>
    </w:p>
    <w:p w:rsidRPr="00F30237" w:rsidR="009B64EE" w:rsidP="00F30237" w:rsidRDefault="007A534F">
      <w:pPr>
        <w:pStyle w:val="ECHRPara"/>
        <w:rPr>
          <w:lang w:val="fr-FR"/>
        </w:rPr>
      </w:pPr>
      <w:r w:rsidRPr="00F30237">
        <w:rPr>
          <w:lang w:val="fr-FR"/>
        </w:rPr>
        <w:t>Rend l</w:t>
      </w:r>
      <w:r w:rsidRPr="00F30237" w:rsidR="00F30237">
        <w:rPr>
          <w:lang w:val="fr-FR"/>
        </w:rPr>
        <w:t>’</w:t>
      </w:r>
      <w:r w:rsidRPr="00F30237">
        <w:rPr>
          <w:lang w:val="fr-FR"/>
        </w:rPr>
        <w:t>arrêt que voici, adopté à cette date :</w:t>
      </w:r>
    </w:p>
    <w:p w:rsidRPr="00F30237" w:rsidR="00E44B72" w:rsidP="00F30237" w:rsidRDefault="00E44B72">
      <w:pPr>
        <w:pStyle w:val="ECHRTitle1"/>
        <w:rPr>
          <w:lang w:val="fr-FR"/>
        </w:rPr>
      </w:pPr>
      <w:r w:rsidRPr="00F30237">
        <w:rPr>
          <w:lang w:val="fr-FR"/>
        </w:rPr>
        <w:t>PROCÉDURE</w:t>
      </w:r>
    </w:p>
    <w:p w:rsidRPr="00F30237" w:rsidR="00E44B72" w:rsidP="00F30237" w:rsidRDefault="00E44B72">
      <w:pPr>
        <w:pStyle w:val="ECHRPara"/>
        <w:rPr>
          <w:lang w:val="fr-FR"/>
        </w:rPr>
      </w:pPr>
      <w:r w:rsidRPr="00F30237">
        <w:rPr>
          <w:lang w:val="fr-FR"/>
        </w:rPr>
        <w:t>1.  À l</w:t>
      </w:r>
      <w:r w:rsidRPr="00F30237" w:rsidR="00F30237">
        <w:rPr>
          <w:lang w:val="fr-FR"/>
        </w:rPr>
        <w:t>’</w:t>
      </w:r>
      <w:r w:rsidRPr="00F30237">
        <w:rPr>
          <w:lang w:val="fr-FR"/>
        </w:rPr>
        <w:t>origine de l</w:t>
      </w:r>
      <w:r w:rsidRPr="00F30237" w:rsidR="00F30237">
        <w:rPr>
          <w:lang w:val="fr-FR"/>
        </w:rPr>
        <w:t>’</w:t>
      </w:r>
      <w:r w:rsidRPr="00F30237">
        <w:rPr>
          <w:lang w:val="fr-FR"/>
        </w:rPr>
        <w:t>affaire se trouve une requête (n</w:t>
      </w:r>
      <w:r w:rsidRPr="00F30237">
        <w:rPr>
          <w:vertAlign w:val="superscript"/>
          <w:lang w:val="fr-FR"/>
        </w:rPr>
        <w:t>o</w:t>
      </w:r>
      <w:r w:rsidRPr="00F30237">
        <w:rPr>
          <w:lang w:val="fr-FR"/>
        </w:rPr>
        <w:t xml:space="preserve"> 20983/12) dirigée contre la République italienne et dont un ressortissant de cet État, M. Salvatore Stefano </w:t>
      </w:r>
      <w:proofErr w:type="spellStart"/>
      <w:r w:rsidRPr="00F30237">
        <w:rPr>
          <w:lang w:val="fr-FR"/>
        </w:rPr>
        <w:t>Rizzotto</w:t>
      </w:r>
      <w:proofErr w:type="spellEnd"/>
      <w:r w:rsidRPr="00F30237">
        <w:rPr>
          <w:lang w:val="fr-FR"/>
        </w:rPr>
        <w:t xml:space="preserve"> (« le requérant »), a saisi la Cour le</w:t>
      </w:r>
      <w:r w:rsidRPr="00F30237" w:rsidR="009C392A">
        <w:rPr>
          <w:lang w:val="fr-FR"/>
        </w:rPr>
        <w:t xml:space="preserve"> </w:t>
      </w:r>
      <w:r w:rsidRPr="00F30237">
        <w:rPr>
          <w:lang w:val="fr-FR"/>
        </w:rPr>
        <w:t>4</w:t>
      </w:r>
      <w:r w:rsidRPr="00F30237" w:rsidR="009B64EE">
        <w:rPr>
          <w:lang w:val="fr-FR"/>
        </w:rPr>
        <w:t> </w:t>
      </w:r>
      <w:r w:rsidRPr="00F30237">
        <w:rPr>
          <w:lang w:val="fr-FR"/>
        </w:rPr>
        <w:t>avril</w:t>
      </w:r>
      <w:r w:rsidRPr="00F30237" w:rsidR="009C392A">
        <w:rPr>
          <w:lang w:val="fr-FR"/>
        </w:rPr>
        <w:t xml:space="preserve"> </w:t>
      </w:r>
      <w:r w:rsidRPr="00F30237">
        <w:rPr>
          <w:lang w:val="fr-FR"/>
        </w:rPr>
        <w:t>2012 en vertu de l</w:t>
      </w:r>
      <w:r w:rsidRPr="00F30237" w:rsidR="00F30237">
        <w:rPr>
          <w:lang w:val="fr-FR"/>
        </w:rPr>
        <w:t>’</w:t>
      </w:r>
      <w:r w:rsidRPr="00F30237">
        <w:rPr>
          <w:lang w:val="fr-FR"/>
        </w:rPr>
        <w:t>article 34 de la Convention de sauvegarde des droits de l</w:t>
      </w:r>
      <w:r w:rsidRPr="00F30237" w:rsidR="00F30237">
        <w:rPr>
          <w:lang w:val="fr-FR"/>
        </w:rPr>
        <w:t>’</w:t>
      </w:r>
      <w:r w:rsidRPr="00F30237">
        <w:rPr>
          <w:lang w:val="fr-FR"/>
        </w:rPr>
        <w:t>homme et des libertés fondamentales (« la Convention »).</w:t>
      </w:r>
    </w:p>
    <w:p w:rsidRPr="00F30237" w:rsidR="00E44B72" w:rsidP="00F30237" w:rsidRDefault="00E44B72">
      <w:pPr>
        <w:pStyle w:val="ECHRPara"/>
        <w:rPr>
          <w:lang w:val="fr-FR"/>
        </w:rPr>
      </w:pPr>
      <w:r w:rsidRPr="00F30237">
        <w:rPr>
          <w:lang w:val="fr-FR"/>
        </w:rPr>
        <w:t>2.  Le requérant a été représenté par M</w:t>
      </w:r>
      <w:r w:rsidRPr="00F30237">
        <w:rPr>
          <w:vertAlign w:val="superscript"/>
          <w:lang w:val="fr-FR"/>
        </w:rPr>
        <w:t>e</w:t>
      </w:r>
      <w:r w:rsidRPr="00F30237">
        <w:rPr>
          <w:lang w:val="fr-FR"/>
        </w:rPr>
        <w:t xml:space="preserve"> E.P. </w:t>
      </w:r>
      <w:proofErr w:type="spellStart"/>
      <w:r w:rsidRPr="00F30237">
        <w:rPr>
          <w:lang w:val="fr-FR"/>
        </w:rPr>
        <w:t>Reale</w:t>
      </w:r>
      <w:proofErr w:type="spellEnd"/>
      <w:r w:rsidRPr="00F30237">
        <w:rPr>
          <w:lang w:val="fr-FR"/>
        </w:rPr>
        <w:t>, avocat à Syracuse. Le gouvernement italien (« le Gouvernement ») a été représenté par son ancien agent, M</w:t>
      </w:r>
      <w:r w:rsidRPr="00F30237">
        <w:rPr>
          <w:vertAlign w:val="superscript"/>
          <w:lang w:val="fr-FR"/>
        </w:rPr>
        <w:t>me</w:t>
      </w:r>
      <w:r w:rsidRPr="00F30237">
        <w:rPr>
          <w:lang w:val="fr-FR"/>
        </w:rPr>
        <w:t xml:space="preserve"> E. </w:t>
      </w:r>
      <w:proofErr w:type="spellStart"/>
      <w:r w:rsidRPr="00F30237">
        <w:rPr>
          <w:lang w:val="fr-FR"/>
        </w:rPr>
        <w:t>Spatafora</w:t>
      </w:r>
      <w:proofErr w:type="spellEnd"/>
      <w:r w:rsidRPr="00F30237">
        <w:rPr>
          <w:lang w:val="fr-FR"/>
        </w:rPr>
        <w:t>, et par s</w:t>
      </w:r>
      <w:r w:rsidRPr="00F30237" w:rsidR="0046486E">
        <w:rPr>
          <w:lang w:val="fr-FR"/>
        </w:rPr>
        <w:t>on</w:t>
      </w:r>
      <w:r w:rsidRPr="00F30237">
        <w:rPr>
          <w:lang w:val="fr-FR"/>
        </w:rPr>
        <w:t xml:space="preserve"> </w:t>
      </w:r>
      <w:proofErr w:type="spellStart"/>
      <w:r w:rsidRPr="00F30237">
        <w:rPr>
          <w:lang w:val="fr-FR"/>
        </w:rPr>
        <w:t>coagent</w:t>
      </w:r>
      <w:proofErr w:type="spellEnd"/>
      <w:r w:rsidRPr="00F30237">
        <w:rPr>
          <w:lang w:val="fr-FR"/>
        </w:rPr>
        <w:t xml:space="preserve"> M</w:t>
      </w:r>
      <w:r w:rsidRPr="00F30237">
        <w:rPr>
          <w:vertAlign w:val="superscript"/>
          <w:lang w:val="fr-FR"/>
        </w:rPr>
        <w:t>me</w:t>
      </w:r>
      <w:r w:rsidRPr="00F30237">
        <w:rPr>
          <w:lang w:val="fr-FR"/>
        </w:rPr>
        <w:t xml:space="preserve"> M.G. </w:t>
      </w:r>
      <w:proofErr w:type="spellStart"/>
      <w:r w:rsidRPr="00F30237">
        <w:rPr>
          <w:lang w:val="fr-FR"/>
        </w:rPr>
        <w:t>Civinini</w:t>
      </w:r>
      <w:proofErr w:type="spellEnd"/>
      <w:r w:rsidRPr="00F30237">
        <w:rPr>
          <w:lang w:val="fr-FR"/>
        </w:rPr>
        <w:t>.</w:t>
      </w:r>
    </w:p>
    <w:p w:rsidRPr="00F30237" w:rsidR="00E44B72" w:rsidP="00F30237" w:rsidRDefault="00E44B72">
      <w:pPr>
        <w:pStyle w:val="ECHRPara"/>
        <w:rPr>
          <w:lang w:val="fr-FR"/>
        </w:rPr>
      </w:pPr>
      <w:r w:rsidRPr="00F30237">
        <w:rPr>
          <w:lang w:val="fr-FR"/>
        </w:rPr>
        <w:t>3.  Le requérant se plaint en particulier d</w:t>
      </w:r>
      <w:r w:rsidRPr="00F30237" w:rsidR="00F30237">
        <w:rPr>
          <w:lang w:val="fr-FR"/>
        </w:rPr>
        <w:t>’</w:t>
      </w:r>
      <w:r w:rsidRPr="00F30237">
        <w:rPr>
          <w:lang w:val="fr-FR"/>
        </w:rPr>
        <w:t>un défaut de contrôle effectif de la légalité de sa privation de liberté et d</w:t>
      </w:r>
      <w:r w:rsidRPr="00F30237" w:rsidR="00F30237">
        <w:rPr>
          <w:lang w:val="fr-FR"/>
        </w:rPr>
        <w:t>’</w:t>
      </w:r>
      <w:r w:rsidRPr="00F30237">
        <w:rPr>
          <w:lang w:val="fr-FR"/>
        </w:rPr>
        <w:t>un non-respect des garanties de procédure inhérentes à l</w:t>
      </w:r>
      <w:r w:rsidRPr="00F30237" w:rsidR="00F30237">
        <w:rPr>
          <w:lang w:val="fr-FR"/>
        </w:rPr>
        <w:t>’</w:t>
      </w:r>
      <w:r w:rsidRPr="00F30237">
        <w:rPr>
          <w:lang w:val="fr-FR"/>
        </w:rPr>
        <w:t>article 5 § 4 de la Convention.</w:t>
      </w:r>
    </w:p>
    <w:p w:rsidRPr="00F30237" w:rsidR="00E44B72" w:rsidP="00F30237" w:rsidRDefault="00E44B72">
      <w:pPr>
        <w:pStyle w:val="ECHRPara"/>
        <w:rPr>
          <w:szCs w:val="24"/>
          <w:lang w:val="fr-FR" w:eastAsia="en-GB"/>
        </w:rPr>
      </w:pPr>
      <w:r w:rsidRPr="00F30237">
        <w:rPr>
          <w:lang w:val="fr-FR"/>
        </w:rPr>
        <w:t xml:space="preserve">4.  Le </w:t>
      </w:r>
      <w:r w:rsidRPr="00F30237">
        <w:rPr>
          <w:szCs w:val="24"/>
          <w:lang w:val="fr-FR"/>
        </w:rPr>
        <w:t>23 mai 2017</w:t>
      </w:r>
      <w:r w:rsidRPr="00F30237">
        <w:rPr>
          <w:lang w:val="fr-FR"/>
        </w:rPr>
        <w:t>, la requête a été communiquée au Gouvernement.</w:t>
      </w:r>
    </w:p>
    <w:p w:rsidRPr="00F30237" w:rsidR="00E44B72" w:rsidP="00F30237" w:rsidRDefault="00E44B72">
      <w:pPr>
        <w:pStyle w:val="ECHRTitle1"/>
        <w:tabs>
          <w:tab w:val="left" w:pos="5387"/>
        </w:tabs>
        <w:rPr>
          <w:lang w:val="fr-FR"/>
        </w:rPr>
      </w:pPr>
      <w:r w:rsidRPr="00F30237">
        <w:rPr>
          <w:lang w:val="fr-FR"/>
        </w:rPr>
        <w:t>EN FAIT</w:t>
      </w:r>
    </w:p>
    <w:p w:rsidRPr="00F30237" w:rsidR="00E44B72" w:rsidP="00F30237" w:rsidRDefault="00E44B72">
      <w:pPr>
        <w:pStyle w:val="ECHRHeading1"/>
        <w:rPr>
          <w:lang w:val="fr-FR"/>
        </w:rPr>
      </w:pPr>
      <w:r w:rsidRPr="00F30237">
        <w:rPr>
          <w:lang w:val="fr-FR"/>
        </w:rPr>
        <w:t>I.  LES CIRCONSTANCES DE L</w:t>
      </w:r>
      <w:r w:rsidRPr="00F30237" w:rsidR="00F30237">
        <w:rPr>
          <w:lang w:val="fr-FR"/>
        </w:rPr>
        <w:t>’</w:t>
      </w:r>
      <w:r w:rsidRPr="00F30237">
        <w:rPr>
          <w:lang w:val="fr-FR"/>
        </w:rPr>
        <w:t>ESPÈCE</w:t>
      </w:r>
    </w:p>
    <w:p w:rsidRPr="00F30237" w:rsidR="00E44B72" w:rsidP="00F30237" w:rsidRDefault="00E44B72">
      <w:pPr>
        <w:pStyle w:val="ECHRPara"/>
        <w:rPr>
          <w:lang w:val="fr-FR"/>
        </w:rPr>
      </w:pPr>
      <w:r w:rsidRPr="00F30237">
        <w:rPr>
          <w:lang w:val="fr-FR"/>
        </w:rPr>
        <w:t xml:space="preserve">5.  Le requérant est né en 1972 et réside à </w:t>
      </w:r>
      <w:proofErr w:type="spellStart"/>
      <w:r w:rsidRPr="00F30237">
        <w:rPr>
          <w:lang w:val="fr-FR"/>
        </w:rPr>
        <w:t>Floridia</w:t>
      </w:r>
      <w:proofErr w:type="spellEnd"/>
      <w:r w:rsidRPr="00F30237">
        <w:rPr>
          <w:lang w:val="fr-FR"/>
        </w:rPr>
        <w:t>.</w:t>
      </w:r>
    </w:p>
    <w:p w:rsidRPr="00F30237" w:rsidR="00E44B72" w:rsidP="00F30237" w:rsidRDefault="00E44B72">
      <w:pPr>
        <w:pStyle w:val="ECHRPara"/>
        <w:rPr>
          <w:lang w:val="fr-FR"/>
        </w:rPr>
      </w:pPr>
      <w:r w:rsidRPr="00F30237">
        <w:rPr>
          <w:lang w:val="fr-FR"/>
        </w:rPr>
        <w:t>6.  Par une ordonnance du 16 septembre 2010, le juge des investigations préliminaires de Palerme décida de le placer en détention provisoire au motif qu</w:t>
      </w:r>
      <w:r w:rsidRPr="00F30237" w:rsidR="00F30237">
        <w:rPr>
          <w:lang w:val="fr-FR"/>
        </w:rPr>
        <w:t>’</w:t>
      </w:r>
      <w:r w:rsidRPr="00F30237">
        <w:rPr>
          <w:lang w:val="fr-FR"/>
        </w:rPr>
        <w:t>il était impliqué dans une procédure pénale pour trafic de stupéfiants.</w:t>
      </w:r>
    </w:p>
    <w:p w:rsidRPr="00F30237" w:rsidR="00E44B72" w:rsidP="00F30237" w:rsidRDefault="00E44B72">
      <w:pPr>
        <w:pStyle w:val="ECHRPara"/>
        <w:rPr>
          <w:lang w:val="fr-FR"/>
        </w:rPr>
      </w:pPr>
      <w:r w:rsidRPr="00F30237">
        <w:rPr>
          <w:lang w:val="fr-FR"/>
        </w:rPr>
        <w:t>7.  Le requérant étant introuvable, les autorités le déclarèrent en fuite (</w:t>
      </w:r>
      <w:proofErr w:type="spellStart"/>
      <w:r w:rsidRPr="00F30237">
        <w:rPr>
          <w:i/>
          <w:lang w:val="fr-FR"/>
        </w:rPr>
        <w:t>latitante</w:t>
      </w:r>
      <w:proofErr w:type="spellEnd"/>
      <w:r w:rsidRPr="00F30237">
        <w:rPr>
          <w:lang w:val="fr-FR"/>
        </w:rPr>
        <w:t>) et lui désignèrent un avocat d</w:t>
      </w:r>
      <w:r w:rsidRPr="00F30237" w:rsidR="00F30237">
        <w:rPr>
          <w:lang w:val="fr-FR"/>
        </w:rPr>
        <w:t>’</w:t>
      </w:r>
      <w:r w:rsidRPr="00F30237">
        <w:rPr>
          <w:lang w:val="fr-FR"/>
        </w:rPr>
        <w:t>office. Le 13 octobre 2010, ce dernier saisit la chambre du tribunal de Palerme chargée de réexaminer les mesures de précaution (« la chambre spécialisée ») d</w:t>
      </w:r>
      <w:r w:rsidRPr="00F30237" w:rsidR="00F30237">
        <w:rPr>
          <w:lang w:val="fr-FR"/>
        </w:rPr>
        <w:t>’</w:t>
      </w:r>
      <w:r w:rsidRPr="00F30237">
        <w:rPr>
          <w:lang w:val="fr-FR"/>
        </w:rPr>
        <w:t>un recours (</w:t>
      </w:r>
      <w:proofErr w:type="spellStart"/>
      <w:r w:rsidRPr="00F30237">
        <w:rPr>
          <w:i/>
          <w:lang w:val="fr-FR"/>
        </w:rPr>
        <w:t>richiesta</w:t>
      </w:r>
      <w:proofErr w:type="spellEnd"/>
      <w:r w:rsidRPr="00F30237" w:rsidR="009B64EE">
        <w:rPr>
          <w:i/>
          <w:lang w:val="fr-FR"/>
        </w:rPr>
        <w:t> </w:t>
      </w:r>
      <w:r w:rsidRPr="00F30237">
        <w:rPr>
          <w:i/>
          <w:lang w:val="fr-FR"/>
        </w:rPr>
        <w:t xml:space="preserve">di </w:t>
      </w:r>
      <w:proofErr w:type="spellStart"/>
      <w:r w:rsidRPr="00F30237">
        <w:rPr>
          <w:i/>
          <w:lang w:val="fr-FR"/>
        </w:rPr>
        <w:t>riesame</w:t>
      </w:r>
      <w:proofErr w:type="spellEnd"/>
      <w:r w:rsidRPr="00F30237">
        <w:rPr>
          <w:lang w:val="fr-FR"/>
        </w:rPr>
        <w:t>) contre l</w:t>
      </w:r>
      <w:r w:rsidRPr="00F30237" w:rsidR="00F30237">
        <w:rPr>
          <w:lang w:val="fr-FR"/>
        </w:rPr>
        <w:t>’</w:t>
      </w:r>
      <w:r w:rsidRPr="00F30237">
        <w:rPr>
          <w:lang w:val="fr-FR"/>
        </w:rPr>
        <w:t>ordonnance de placement en détention provisoire sur le fondement de l</w:t>
      </w:r>
      <w:r w:rsidRPr="00F30237" w:rsidR="00F30237">
        <w:rPr>
          <w:lang w:val="fr-FR"/>
        </w:rPr>
        <w:t>’</w:t>
      </w:r>
      <w:r w:rsidRPr="00F30237">
        <w:rPr>
          <w:lang w:val="fr-FR"/>
        </w:rPr>
        <w:t>article 309 du code de procédure pénale (CPP) (paragraphe 20 ci-dessous).</w:t>
      </w:r>
    </w:p>
    <w:p w:rsidRPr="00F30237" w:rsidR="00E44B72" w:rsidP="00F30237" w:rsidRDefault="00E44B72">
      <w:pPr>
        <w:pStyle w:val="ECHRPara"/>
        <w:rPr>
          <w:lang w:val="fr-FR"/>
        </w:rPr>
      </w:pPr>
      <w:r w:rsidRPr="00F30237">
        <w:rPr>
          <w:lang w:val="fr-FR"/>
        </w:rPr>
        <w:t>8.  Le 22 octobre 2010, la chambre spécialisée rejeta le recours au motif que les indices de culpabilité qui pesaient sur le requérant, ainsi que sa conduite et sa personnalité, justifiaient la mesure de la détention.</w:t>
      </w:r>
    </w:p>
    <w:p w:rsidRPr="00F30237" w:rsidR="00E44B72" w:rsidP="00F30237" w:rsidRDefault="00E44B72">
      <w:pPr>
        <w:pStyle w:val="ECHRPara"/>
        <w:rPr>
          <w:lang w:val="fr-FR"/>
        </w:rPr>
      </w:pPr>
      <w:r w:rsidRPr="00F30237">
        <w:rPr>
          <w:lang w:val="fr-FR"/>
        </w:rPr>
        <w:t>9.  Le 6 décembre 2010, le requérant fut arrêté à Malte. Il désigna un avocat de son choix, lequel introduisit le 14 décembre 2010, devant la chambre spécialisée de Palerme, un recours (</w:t>
      </w:r>
      <w:proofErr w:type="spellStart"/>
      <w:r w:rsidRPr="00F30237">
        <w:rPr>
          <w:i/>
          <w:lang w:val="fr-FR"/>
        </w:rPr>
        <w:t>richiesta</w:t>
      </w:r>
      <w:proofErr w:type="spellEnd"/>
      <w:r w:rsidRPr="00F30237">
        <w:rPr>
          <w:i/>
          <w:lang w:val="fr-FR"/>
        </w:rPr>
        <w:t xml:space="preserve"> di </w:t>
      </w:r>
      <w:proofErr w:type="spellStart"/>
      <w:r w:rsidRPr="00F30237">
        <w:rPr>
          <w:i/>
          <w:lang w:val="fr-FR"/>
        </w:rPr>
        <w:t>riesame</w:t>
      </w:r>
      <w:proofErr w:type="spellEnd"/>
      <w:r w:rsidRPr="00F30237">
        <w:rPr>
          <w:lang w:val="fr-FR"/>
        </w:rPr>
        <w:t>) contre l</w:t>
      </w:r>
      <w:r w:rsidRPr="00F30237" w:rsidR="00F30237">
        <w:rPr>
          <w:lang w:val="fr-FR"/>
        </w:rPr>
        <w:t>’</w:t>
      </w:r>
      <w:r w:rsidRPr="00F30237">
        <w:rPr>
          <w:lang w:val="fr-FR"/>
        </w:rPr>
        <w:t>ordonnance de placement en détention.</w:t>
      </w:r>
    </w:p>
    <w:p w:rsidRPr="00F30237" w:rsidR="00E44B72" w:rsidP="00F30237" w:rsidRDefault="00E44B72">
      <w:pPr>
        <w:pStyle w:val="ECHRPara"/>
        <w:rPr>
          <w:lang w:val="fr-FR"/>
        </w:rPr>
      </w:pPr>
      <w:r w:rsidRPr="00F30237">
        <w:rPr>
          <w:lang w:val="fr-FR"/>
        </w:rPr>
        <w:t xml:space="preserve">10.  Le 20 décembre 2010, le requérant fut extradé en Italie et placé en détention dans la prison Regina </w:t>
      </w:r>
      <w:proofErr w:type="spellStart"/>
      <w:r w:rsidRPr="00F30237">
        <w:rPr>
          <w:lang w:val="fr-FR"/>
        </w:rPr>
        <w:t>Coeli</w:t>
      </w:r>
      <w:proofErr w:type="spellEnd"/>
      <w:r w:rsidRPr="00F30237">
        <w:rPr>
          <w:lang w:val="fr-FR"/>
        </w:rPr>
        <w:t xml:space="preserve"> de Rome.</w:t>
      </w:r>
    </w:p>
    <w:p w:rsidRPr="00F30237" w:rsidR="00E44B72" w:rsidP="00F30237" w:rsidRDefault="00E44B72">
      <w:pPr>
        <w:pStyle w:val="ECHRPara"/>
        <w:rPr>
          <w:lang w:val="fr-FR"/>
        </w:rPr>
      </w:pPr>
      <w:r w:rsidRPr="00F30237">
        <w:rPr>
          <w:lang w:val="fr-FR"/>
        </w:rPr>
        <w:t>11.  Le 21 décembre 2010, l</w:t>
      </w:r>
      <w:r w:rsidRPr="00F30237" w:rsidR="00F30237">
        <w:rPr>
          <w:lang w:val="fr-FR"/>
        </w:rPr>
        <w:t>’</w:t>
      </w:r>
      <w:r w:rsidRPr="00F30237">
        <w:rPr>
          <w:lang w:val="fr-FR"/>
        </w:rPr>
        <w:t>avocat du requérant reçut une copie de l</w:t>
      </w:r>
      <w:r w:rsidRPr="00F30237" w:rsidR="00F30237">
        <w:rPr>
          <w:lang w:val="fr-FR"/>
        </w:rPr>
        <w:t>’</w:t>
      </w:r>
      <w:r w:rsidRPr="00F30237">
        <w:rPr>
          <w:lang w:val="fr-FR"/>
        </w:rPr>
        <w:t>ordonnance du 16 septembre 2010 ainsi que l</w:t>
      </w:r>
      <w:r w:rsidRPr="00F30237" w:rsidR="00F30237">
        <w:rPr>
          <w:lang w:val="fr-FR"/>
        </w:rPr>
        <w:t>’</w:t>
      </w:r>
      <w:r w:rsidRPr="00F30237">
        <w:rPr>
          <w:lang w:val="fr-FR"/>
        </w:rPr>
        <w:t>avis de la date du premier interrogatoire (</w:t>
      </w:r>
      <w:proofErr w:type="spellStart"/>
      <w:r w:rsidRPr="00F30237">
        <w:rPr>
          <w:i/>
          <w:lang w:val="fr-FR"/>
        </w:rPr>
        <w:t>interrogatorio</w:t>
      </w:r>
      <w:proofErr w:type="spellEnd"/>
      <w:r w:rsidRPr="00F30237">
        <w:rPr>
          <w:i/>
          <w:lang w:val="fr-FR"/>
        </w:rPr>
        <w:t xml:space="preserve"> di </w:t>
      </w:r>
      <w:proofErr w:type="spellStart"/>
      <w:r w:rsidRPr="00F30237">
        <w:rPr>
          <w:i/>
          <w:lang w:val="fr-FR"/>
        </w:rPr>
        <w:t>garanzia</w:t>
      </w:r>
      <w:proofErr w:type="spellEnd"/>
      <w:r w:rsidRPr="00F30237">
        <w:rPr>
          <w:lang w:val="fr-FR"/>
        </w:rPr>
        <w:t>) du requérant, fixée au 23</w:t>
      </w:r>
      <w:r w:rsidRPr="00F30237" w:rsidR="0011265B">
        <w:rPr>
          <w:lang w:val="fr-FR"/>
        </w:rPr>
        <w:t> </w:t>
      </w:r>
      <w:r w:rsidRPr="00F30237">
        <w:rPr>
          <w:lang w:val="fr-FR"/>
        </w:rPr>
        <w:t>décembre 2010.</w:t>
      </w:r>
    </w:p>
    <w:p w:rsidRPr="00F30237" w:rsidR="00E44B72" w:rsidP="00F30237" w:rsidRDefault="00E44B72">
      <w:pPr>
        <w:pStyle w:val="ECHRPara"/>
        <w:rPr>
          <w:lang w:val="fr-FR"/>
        </w:rPr>
      </w:pPr>
      <w:r w:rsidRPr="00F30237">
        <w:rPr>
          <w:lang w:val="fr-FR"/>
        </w:rPr>
        <w:t>12.  Le jour venu, le requérant fut interrogé par le juge des investigations préliminaires de Rome, juge compétent au regard du lieu de détention, en présence d</w:t>
      </w:r>
      <w:r w:rsidRPr="00F30237" w:rsidR="00F30237">
        <w:rPr>
          <w:lang w:val="fr-FR"/>
        </w:rPr>
        <w:t>’</w:t>
      </w:r>
      <w:r w:rsidRPr="00F30237">
        <w:rPr>
          <w:lang w:val="fr-FR"/>
        </w:rPr>
        <w:t>un remplaçant de son avocat.</w:t>
      </w:r>
    </w:p>
    <w:p w:rsidRPr="00F30237" w:rsidR="00E44B72" w:rsidP="00F30237" w:rsidRDefault="00E44B72">
      <w:pPr>
        <w:pStyle w:val="ECHRPara"/>
        <w:rPr>
          <w:lang w:val="fr-FR"/>
        </w:rPr>
      </w:pPr>
      <w:r w:rsidRPr="00F30237">
        <w:rPr>
          <w:lang w:val="fr-FR"/>
        </w:rPr>
        <w:t>13.  Le 3 janvier 2011, une audience se tint devant la chambre spécialisée du tribunal de Palerme. Le requérant, qui était toujours détenu à Rome, n</w:t>
      </w:r>
      <w:r w:rsidRPr="00F30237" w:rsidR="00F30237">
        <w:rPr>
          <w:lang w:val="fr-FR"/>
        </w:rPr>
        <w:t>’</w:t>
      </w:r>
      <w:r w:rsidRPr="00F30237">
        <w:rPr>
          <w:lang w:val="fr-FR"/>
        </w:rPr>
        <w:t>y assista pas et fut représenté par son avocat. Par une décision du même jour, la chambre spécialisée déclara le recours du requérant irrecevable au motif que l</w:t>
      </w:r>
      <w:r w:rsidRPr="00F30237" w:rsidR="00F30237">
        <w:rPr>
          <w:lang w:val="fr-FR"/>
        </w:rPr>
        <w:t>’</w:t>
      </w:r>
      <w:r w:rsidRPr="00F30237">
        <w:rPr>
          <w:lang w:val="fr-FR"/>
        </w:rPr>
        <w:t>intéressé avait déjà fait usage de son droit d</w:t>
      </w:r>
      <w:r w:rsidRPr="00F30237" w:rsidR="00F30237">
        <w:rPr>
          <w:lang w:val="fr-FR"/>
        </w:rPr>
        <w:t>’</w:t>
      </w:r>
      <w:r w:rsidRPr="00F30237">
        <w:rPr>
          <w:lang w:val="fr-FR"/>
        </w:rPr>
        <w:t>appel à l</w:t>
      </w:r>
      <w:r w:rsidRPr="00F30237" w:rsidR="00F30237">
        <w:rPr>
          <w:lang w:val="fr-FR"/>
        </w:rPr>
        <w:t>’</w:t>
      </w:r>
      <w:r w:rsidRPr="00F30237">
        <w:rPr>
          <w:lang w:val="fr-FR"/>
        </w:rPr>
        <w:t>occasion du recours que son avocat commis d</w:t>
      </w:r>
      <w:r w:rsidRPr="00F30237" w:rsidR="00F30237">
        <w:rPr>
          <w:lang w:val="fr-FR"/>
        </w:rPr>
        <w:t>’</w:t>
      </w:r>
      <w:r w:rsidRPr="00F30237">
        <w:rPr>
          <w:lang w:val="fr-FR"/>
        </w:rPr>
        <w:t>office avait intenté à l</w:t>
      </w:r>
      <w:r w:rsidRPr="00F30237" w:rsidR="00F30237">
        <w:rPr>
          <w:lang w:val="fr-FR"/>
        </w:rPr>
        <w:t>’</w:t>
      </w:r>
      <w:r w:rsidRPr="00F30237">
        <w:rPr>
          <w:lang w:val="fr-FR"/>
        </w:rPr>
        <w:t>époque où il était introuvable.</w:t>
      </w:r>
    </w:p>
    <w:p w:rsidRPr="00F30237" w:rsidR="00E44B72" w:rsidP="00F30237" w:rsidRDefault="00E44B72">
      <w:pPr>
        <w:pStyle w:val="ECHRPara"/>
        <w:rPr>
          <w:lang w:val="fr-FR"/>
        </w:rPr>
      </w:pPr>
      <w:r w:rsidRPr="00F30237">
        <w:rPr>
          <w:lang w:val="fr-FR"/>
        </w:rPr>
        <w:t>14.  Le requérant forma un pourvoi en cassation, dans lequel il se plaignait, entre autres, d</w:t>
      </w:r>
      <w:r w:rsidRPr="00F30237" w:rsidR="00F30237">
        <w:rPr>
          <w:lang w:val="fr-FR"/>
        </w:rPr>
        <w:t>’</w:t>
      </w:r>
      <w:r w:rsidRPr="00F30237">
        <w:rPr>
          <w:lang w:val="fr-FR"/>
        </w:rPr>
        <w:t>une violation de l</w:t>
      </w:r>
      <w:r w:rsidRPr="00F30237" w:rsidR="00F30237">
        <w:rPr>
          <w:lang w:val="fr-FR"/>
        </w:rPr>
        <w:t>’</w:t>
      </w:r>
      <w:r w:rsidRPr="00F30237">
        <w:rPr>
          <w:lang w:val="fr-FR"/>
        </w:rPr>
        <w:t>article 5 § 4 de la Convention. Il affirmait n</w:t>
      </w:r>
      <w:r w:rsidRPr="00F30237" w:rsidR="00F30237">
        <w:rPr>
          <w:lang w:val="fr-FR"/>
        </w:rPr>
        <w:t>’</w:t>
      </w:r>
      <w:r w:rsidRPr="00F30237">
        <w:rPr>
          <w:lang w:val="fr-FR"/>
        </w:rPr>
        <w:t>avoir eu connaissance de la procédure qui avait été diligentée à son encontre que le jour de son arrestation à l</w:t>
      </w:r>
      <w:r w:rsidRPr="00F30237" w:rsidR="00F30237">
        <w:rPr>
          <w:lang w:val="fr-FR"/>
        </w:rPr>
        <w:t>’</w:t>
      </w:r>
      <w:r w:rsidRPr="00F30237">
        <w:rPr>
          <w:lang w:val="fr-FR"/>
        </w:rPr>
        <w:t>étranger, où il résidait, et n</w:t>
      </w:r>
      <w:r w:rsidRPr="00F30237" w:rsidR="00F30237">
        <w:rPr>
          <w:lang w:val="fr-FR"/>
        </w:rPr>
        <w:t>’</w:t>
      </w:r>
      <w:r w:rsidRPr="00F30237">
        <w:rPr>
          <w:lang w:val="fr-FR"/>
        </w:rPr>
        <w:t>avoir appris qu</w:t>
      </w:r>
      <w:r w:rsidRPr="00F30237" w:rsidR="00F30237">
        <w:rPr>
          <w:lang w:val="fr-FR"/>
        </w:rPr>
        <w:t>’</w:t>
      </w:r>
      <w:r w:rsidRPr="00F30237">
        <w:rPr>
          <w:lang w:val="fr-FR"/>
        </w:rPr>
        <w:t>il avait été représenté par un avocat d</w:t>
      </w:r>
      <w:r w:rsidRPr="00F30237" w:rsidR="00F30237">
        <w:rPr>
          <w:lang w:val="fr-FR"/>
        </w:rPr>
        <w:t>’</w:t>
      </w:r>
      <w:r w:rsidRPr="00F30237">
        <w:rPr>
          <w:lang w:val="fr-FR"/>
        </w:rPr>
        <w:t>office qu</w:t>
      </w:r>
      <w:r w:rsidRPr="00F30237" w:rsidR="00F30237">
        <w:rPr>
          <w:lang w:val="fr-FR"/>
        </w:rPr>
        <w:t>’</w:t>
      </w:r>
      <w:r w:rsidRPr="00F30237">
        <w:rPr>
          <w:lang w:val="fr-FR"/>
        </w:rPr>
        <w:t>à l</w:t>
      </w:r>
      <w:r w:rsidRPr="00F30237" w:rsidR="00F30237">
        <w:rPr>
          <w:lang w:val="fr-FR"/>
        </w:rPr>
        <w:t>’</w:t>
      </w:r>
      <w:r w:rsidRPr="00F30237">
        <w:rPr>
          <w:lang w:val="fr-FR"/>
        </w:rPr>
        <w:t>occasion de la publication de la décision d</w:t>
      </w:r>
      <w:r w:rsidRPr="00F30237" w:rsidR="00F30237">
        <w:rPr>
          <w:lang w:val="fr-FR"/>
        </w:rPr>
        <w:t>’</w:t>
      </w:r>
      <w:r w:rsidRPr="00F30237">
        <w:rPr>
          <w:lang w:val="fr-FR"/>
        </w:rPr>
        <w:t>irrecevabilité du recours qu</w:t>
      </w:r>
      <w:r w:rsidRPr="00F30237" w:rsidR="00F30237">
        <w:rPr>
          <w:lang w:val="fr-FR"/>
        </w:rPr>
        <w:t>’</w:t>
      </w:r>
      <w:r w:rsidRPr="00F30237">
        <w:rPr>
          <w:lang w:val="fr-FR"/>
        </w:rPr>
        <w:t>il avait intenté contre l</w:t>
      </w:r>
      <w:r w:rsidRPr="00F30237" w:rsidR="00F30237">
        <w:rPr>
          <w:lang w:val="fr-FR"/>
        </w:rPr>
        <w:t>’</w:t>
      </w:r>
      <w:r w:rsidRPr="00F30237">
        <w:rPr>
          <w:lang w:val="fr-FR"/>
        </w:rPr>
        <w:t>ordonnance d</w:t>
      </w:r>
      <w:r w:rsidRPr="00F30237" w:rsidR="00F30237">
        <w:rPr>
          <w:lang w:val="fr-FR"/>
        </w:rPr>
        <w:t>’</w:t>
      </w:r>
      <w:r w:rsidRPr="00F30237">
        <w:rPr>
          <w:lang w:val="fr-FR"/>
        </w:rPr>
        <w:t>application de la mesure de détention. Il soutenait que la chambre spécialisée aurait dû prendre en compte ces circonstances avant de décider de déclarer irrecevable son recours.</w:t>
      </w:r>
    </w:p>
    <w:p w:rsidRPr="00F30237" w:rsidR="00E44B72" w:rsidP="00F30237" w:rsidRDefault="00E44B72">
      <w:pPr>
        <w:pStyle w:val="ECHRPara"/>
        <w:rPr>
          <w:lang w:val="fr-FR"/>
        </w:rPr>
      </w:pPr>
      <w:r w:rsidRPr="00F30237">
        <w:rPr>
          <w:lang w:val="fr-FR"/>
        </w:rPr>
        <w:t>15.  Par un arrêt du 11 octobre 2011, la Cour de cassation le débouta de son pourvoi. Se référant à sa jurisprudence en la matière, elle rappela le principe de l</w:t>
      </w:r>
      <w:r w:rsidRPr="00F30237" w:rsidR="00F30237">
        <w:rPr>
          <w:lang w:val="fr-FR"/>
        </w:rPr>
        <w:t>’</w:t>
      </w:r>
      <w:r w:rsidRPr="00F30237">
        <w:rPr>
          <w:lang w:val="fr-FR"/>
        </w:rPr>
        <w:t>unicité du droit d</w:t>
      </w:r>
      <w:r w:rsidRPr="00F30237" w:rsidR="00F30237">
        <w:rPr>
          <w:lang w:val="fr-FR"/>
        </w:rPr>
        <w:t>’</w:t>
      </w:r>
      <w:r w:rsidRPr="00F30237">
        <w:rPr>
          <w:lang w:val="fr-FR"/>
        </w:rPr>
        <w:t>interjeter appel (</w:t>
      </w:r>
      <w:proofErr w:type="spellStart"/>
      <w:r w:rsidRPr="00F30237">
        <w:rPr>
          <w:i/>
          <w:lang w:val="fr-FR"/>
        </w:rPr>
        <w:t>unicità</w:t>
      </w:r>
      <w:proofErr w:type="spellEnd"/>
      <w:r w:rsidRPr="00F30237">
        <w:rPr>
          <w:i/>
          <w:lang w:val="fr-FR"/>
        </w:rPr>
        <w:t xml:space="preserve"> del </w:t>
      </w:r>
      <w:proofErr w:type="spellStart"/>
      <w:r w:rsidRPr="00F30237">
        <w:rPr>
          <w:i/>
          <w:lang w:val="fr-FR"/>
        </w:rPr>
        <w:t>diritto</w:t>
      </w:r>
      <w:proofErr w:type="spellEnd"/>
      <w:r w:rsidRPr="00F30237">
        <w:rPr>
          <w:i/>
          <w:lang w:val="fr-FR"/>
        </w:rPr>
        <w:t xml:space="preserve"> </w:t>
      </w:r>
      <w:proofErr w:type="spellStart"/>
      <w:r w:rsidRPr="00F30237">
        <w:rPr>
          <w:i/>
          <w:lang w:val="fr-FR"/>
        </w:rPr>
        <w:t>all</w:t>
      </w:r>
      <w:r w:rsidRPr="00F30237" w:rsidR="00F30237">
        <w:rPr>
          <w:i/>
          <w:lang w:val="fr-FR"/>
        </w:rPr>
        <w:t>’</w:t>
      </w:r>
      <w:r w:rsidRPr="00F30237">
        <w:rPr>
          <w:i/>
          <w:lang w:val="fr-FR"/>
        </w:rPr>
        <w:t>impugnazione</w:t>
      </w:r>
      <w:proofErr w:type="spellEnd"/>
      <w:r w:rsidRPr="00F30237">
        <w:rPr>
          <w:lang w:val="fr-FR"/>
        </w:rPr>
        <w:t>), selon lequel l</w:t>
      </w:r>
      <w:r w:rsidRPr="00F30237" w:rsidR="00F30237">
        <w:rPr>
          <w:lang w:val="fr-FR"/>
        </w:rPr>
        <w:t>’</w:t>
      </w:r>
      <w:r w:rsidRPr="00F30237">
        <w:rPr>
          <w:lang w:val="fr-FR"/>
        </w:rPr>
        <w:t>appel formé dans l</w:t>
      </w:r>
      <w:r w:rsidRPr="00F30237" w:rsidR="00F30237">
        <w:rPr>
          <w:lang w:val="fr-FR"/>
        </w:rPr>
        <w:t>’</w:t>
      </w:r>
      <w:r w:rsidRPr="00F30237">
        <w:rPr>
          <w:lang w:val="fr-FR"/>
        </w:rPr>
        <w:t>intérêt d</w:t>
      </w:r>
      <w:r w:rsidRPr="00F30237" w:rsidR="00F30237">
        <w:rPr>
          <w:lang w:val="fr-FR"/>
        </w:rPr>
        <w:t>’</w:t>
      </w:r>
      <w:r w:rsidRPr="00F30237">
        <w:rPr>
          <w:lang w:val="fr-FR"/>
        </w:rPr>
        <w:t>un accusé en fuite par le défenseur de son choix ou par l</w:t>
      </w:r>
      <w:r w:rsidRPr="00F30237" w:rsidR="00F30237">
        <w:rPr>
          <w:lang w:val="fr-FR"/>
        </w:rPr>
        <w:t>’</w:t>
      </w:r>
      <w:r w:rsidRPr="00F30237">
        <w:rPr>
          <w:lang w:val="fr-FR"/>
        </w:rPr>
        <w:t>avocat lui ayant été commis d</w:t>
      </w:r>
      <w:r w:rsidRPr="00F30237" w:rsidR="00F30237">
        <w:rPr>
          <w:lang w:val="fr-FR"/>
        </w:rPr>
        <w:t>’</w:t>
      </w:r>
      <w:r w:rsidRPr="00F30237">
        <w:rPr>
          <w:lang w:val="fr-FR"/>
        </w:rPr>
        <w:t>office fait obstacle à la possibilité pour l</w:t>
      </w:r>
      <w:r w:rsidRPr="00F30237" w:rsidR="00F30237">
        <w:rPr>
          <w:lang w:val="fr-FR"/>
        </w:rPr>
        <w:t>’</w:t>
      </w:r>
      <w:r w:rsidRPr="00F30237">
        <w:rPr>
          <w:lang w:val="fr-FR"/>
        </w:rPr>
        <w:t>intéressé d</w:t>
      </w:r>
      <w:r w:rsidRPr="00F30237" w:rsidR="00F30237">
        <w:rPr>
          <w:lang w:val="fr-FR"/>
        </w:rPr>
        <w:t>’</w:t>
      </w:r>
      <w:r w:rsidRPr="00F30237">
        <w:rPr>
          <w:lang w:val="fr-FR"/>
        </w:rPr>
        <w:t>introduire personnellement un nouvel appel ou de demander la réouverture du délai d</w:t>
      </w:r>
      <w:r w:rsidRPr="00F30237" w:rsidR="00F30237">
        <w:rPr>
          <w:lang w:val="fr-FR"/>
        </w:rPr>
        <w:t>’</w:t>
      </w:r>
      <w:r w:rsidRPr="00F30237">
        <w:rPr>
          <w:lang w:val="fr-FR"/>
        </w:rPr>
        <w:t>appel. Selon la Cour de cassation, ce principe, établi par ses sections réunies dans l</w:t>
      </w:r>
      <w:r w:rsidRPr="00F30237" w:rsidR="00F30237">
        <w:rPr>
          <w:lang w:val="fr-FR"/>
        </w:rPr>
        <w:t>’</w:t>
      </w:r>
      <w:r w:rsidRPr="00F30237">
        <w:rPr>
          <w:lang w:val="fr-FR"/>
        </w:rPr>
        <w:t>arrêt n</w:t>
      </w:r>
      <w:r w:rsidRPr="00F30237">
        <w:rPr>
          <w:vertAlign w:val="superscript"/>
          <w:lang w:val="fr-FR"/>
        </w:rPr>
        <w:t>o</w:t>
      </w:r>
      <w:r w:rsidRPr="00F30237">
        <w:rPr>
          <w:lang w:val="fr-FR"/>
        </w:rPr>
        <w:t xml:space="preserve"> 6026 de 2008, relatif aux arrêts de condamnation par contumace, était d</w:t>
      </w:r>
      <w:r w:rsidRPr="00F30237" w:rsidR="00F30237">
        <w:rPr>
          <w:lang w:val="fr-FR"/>
        </w:rPr>
        <w:t>’</w:t>
      </w:r>
      <w:r w:rsidRPr="00F30237">
        <w:rPr>
          <w:lang w:val="fr-FR"/>
        </w:rPr>
        <w:t>autant plus applicable aux procédures concernant des mesures de précaution, dont la révocation pouvait être demandée par l</w:t>
      </w:r>
      <w:r w:rsidRPr="00F30237" w:rsidR="00F30237">
        <w:rPr>
          <w:lang w:val="fr-FR"/>
        </w:rPr>
        <w:t>’</w:t>
      </w:r>
      <w:r w:rsidRPr="00F30237">
        <w:rPr>
          <w:lang w:val="fr-FR"/>
        </w:rPr>
        <w:t>inculpé à tout moment et sans limitation. De ce fait, selon elle, l</w:t>
      </w:r>
      <w:r w:rsidRPr="00F30237" w:rsidR="00F30237">
        <w:rPr>
          <w:lang w:val="fr-FR"/>
        </w:rPr>
        <w:t>’</w:t>
      </w:r>
      <w:r w:rsidRPr="00F30237">
        <w:rPr>
          <w:lang w:val="fr-FR"/>
        </w:rPr>
        <w:t>impossibilité pour l</w:t>
      </w:r>
      <w:r w:rsidRPr="00F30237" w:rsidR="00F30237">
        <w:rPr>
          <w:lang w:val="fr-FR"/>
        </w:rPr>
        <w:t>’</w:t>
      </w:r>
      <w:r w:rsidRPr="00F30237">
        <w:rPr>
          <w:lang w:val="fr-FR"/>
        </w:rPr>
        <w:t>accusé introuvable de réitérer une demande de réexamen ou d</w:t>
      </w:r>
      <w:r w:rsidRPr="00F30237" w:rsidR="00F30237">
        <w:rPr>
          <w:lang w:val="fr-FR"/>
        </w:rPr>
        <w:t>’</w:t>
      </w:r>
      <w:r w:rsidRPr="00F30237">
        <w:rPr>
          <w:lang w:val="fr-FR"/>
        </w:rPr>
        <w:t>obtenir la réouverture du délai n</w:t>
      </w:r>
      <w:r w:rsidRPr="00F30237" w:rsidR="00F30237">
        <w:rPr>
          <w:lang w:val="fr-FR"/>
        </w:rPr>
        <w:t>’</w:t>
      </w:r>
      <w:r w:rsidRPr="00F30237">
        <w:rPr>
          <w:lang w:val="fr-FR"/>
        </w:rPr>
        <w:t>engendrait pas d</w:t>
      </w:r>
      <w:r w:rsidRPr="00F30237" w:rsidR="00F30237">
        <w:rPr>
          <w:lang w:val="fr-FR"/>
        </w:rPr>
        <w:t>’</w:t>
      </w:r>
      <w:r w:rsidRPr="00F30237">
        <w:rPr>
          <w:lang w:val="fr-FR"/>
        </w:rPr>
        <w:t>entrave aux droits de la défense.</w:t>
      </w:r>
    </w:p>
    <w:p w:rsidRPr="00F30237" w:rsidR="00E44B72" w:rsidP="00F30237" w:rsidRDefault="00E44B72">
      <w:pPr>
        <w:pStyle w:val="ECHRPara"/>
        <w:rPr>
          <w:lang w:val="fr-FR"/>
        </w:rPr>
      </w:pPr>
      <w:r w:rsidRPr="00F30237">
        <w:rPr>
          <w:lang w:val="fr-FR"/>
        </w:rPr>
        <w:t>16.  Entre-temps, le 1</w:t>
      </w:r>
      <w:r w:rsidRPr="00F30237">
        <w:rPr>
          <w:vertAlign w:val="superscript"/>
          <w:lang w:val="fr-FR"/>
        </w:rPr>
        <w:t>er</w:t>
      </w:r>
      <w:r w:rsidRPr="00F30237">
        <w:rPr>
          <w:lang w:val="fr-FR"/>
        </w:rPr>
        <w:t xml:space="preserve"> février 2011, le requérant avait déposé devant le juge des investigations préliminaires de Palerme une demande de révocation de la mesure de détention et, subsidiairement, de remplacement de cette dernière par une mesure moins contraignante, au sens de l</w:t>
      </w:r>
      <w:r w:rsidRPr="00F30237" w:rsidR="00F30237">
        <w:rPr>
          <w:lang w:val="fr-FR"/>
        </w:rPr>
        <w:t>’</w:t>
      </w:r>
      <w:r w:rsidRPr="00F30237">
        <w:rPr>
          <w:lang w:val="fr-FR"/>
        </w:rPr>
        <w:t>article 299 du CPP. Dans son mémoire, il précisait qu</w:t>
      </w:r>
      <w:r w:rsidRPr="00F30237" w:rsidR="00F30237">
        <w:rPr>
          <w:lang w:val="fr-FR"/>
        </w:rPr>
        <w:t>’</w:t>
      </w:r>
      <w:r w:rsidRPr="00F30237">
        <w:rPr>
          <w:lang w:val="fr-FR"/>
        </w:rPr>
        <w:t>il avait été privé de la possibilité de faire valoir ses arguments lors du recours qu</w:t>
      </w:r>
      <w:r w:rsidRPr="00F30237" w:rsidR="00F30237">
        <w:rPr>
          <w:lang w:val="fr-FR"/>
        </w:rPr>
        <w:t>’</w:t>
      </w:r>
      <w:r w:rsidRPr="00F30237">
        <w:rPr>
          <w:lang w:val="fr-FR"/>
        </w:rPr>
        <w:t>il avait introduit sur le fondement de l</w:t>
      </w:r>
      <w:r w:rsidRPr="00F30237" w:rsidR="00F30237">
        <w:rPr>
          <w:lang w:val="fr-FR"/>
        </w:rPr>
        <w:t>’</w:t>
      </w:r>
      <w:r w:rsidRPr="00F30237">
        <w:rPr>
          <w:lang w:val="fr-FR"/>
        </w:rPr>
        <w:t>article 309 du CPP et que sa demande visait donc, notamment, le réexamen de la gravité des indices de culpabilité qui avaient justifié la mesure prononcée à son encontre.</w:t>
      </w:r>
    </w:p>
    <w:p w:rsidRPr="00F30237" w:rsidR="00E44B72" w:rsidP="00F30237" w:rsidRDefault="00E44B72">
      <w:pPr>
        <w:pStyle w:val="ECHRPara"/>
        <w:rPr>
          <w:lang w:val="fr-FR"/>
        </w:rPr>
      </w:pPr>
      <w:r w:rsidRPr="00F30237">
        <w:rPr>
          <w:lang w:val="fr-FR"/>
        </w:rPr>
        <w:t>17.  Par une décision du 9 février 2011, le juge des investigations préliminaires rejeta la demande de révocation. Pour ce faire, il releva que les arguments du requérant concernaient essentiellement les circonstances qui avaient justifié l</w:t>
      </w:r>
      <w:r w:rsidRPr="00F30237" w:rsidR="00F30237">
        <w:rPr>
          <w:lang w:val="fr-FR"/>
        </w:rPr>
        <w:t>’</w:t>
      </w:r>
      <w:r w:rsidRPr="00F30237">
        <w:rPr>
          <w:lang w:val="fr-FR"/>
        </w:rPr>
        <w:t>adoption de la mesure de précaution, lesquelles avaient déjà largement été examinées par la chambre spécialisée du tribunal le</w:t>
      </w:r>
      <w:r w:rsidRPr="00F30237" w:rsidR="0046486E">
        <w:rPr>
          <w:lang w:val="fr-FR"/>
        </w:rPr>
        <w:t> </w:t>
      </w:r>
      <w:r w:rsidRPr="00F30237">
        <w:rPr>
          <w:lang w:val="fr-FR"/>
        </w:rPr>
        <w:t>22</w:t>
      </w:r>
      <w:r w:rsidRPr="00F30237" w:rsidR="0011265B">
        <w:rPr>
          <w:lang w:val="fr-FR"/>
        </w:rPr>
        <w:t> </w:t>
      </w:r>
      <w:r w:rsidRPr="00F30237">
        <w:rPr>
          <w:lang w:val="fr-FR"/>
        </w:rPr>
        <w:t>octobre 2010, et n</w:t>
      </w:r>
      <w:r w:rsidRPr="00F30237" w:rsidR="00F30237">
        <w:rPr>
          <w:lang w:val="fr-FR"/>
        </w:rPr>
        <w:t>’</w:t>
      </w:r>
      <w:r w:rsidRPr="00F30237">
        <w:rPr>
          <w:lang w:val="fr-FR"/>
        </w:rPr>
        <w:t>évoquaient pas de faits nouveaux. Le juge estima par ailleurs que la gravité de la conduite du requérant, compte tenu notamment de la quantité de stupéfiants qu</w:t>
      </w:r>
      <w:r w:rsidRPr="00F30237" w:rsidR="00F30237">
        <w:rPr>
          <w:lang w:val="fr-FR"/>
        </w:rPr>
        <w:t>’</w:t>
      </w:r>
      <w:r w:rsidRPr="00F30237">
        <w:rPr>
          <w:lang w:val="fr-FR"/>
        </w:rPr>
        <w:t>il avait cédée, justifiait la mesure de détention prononcée à son encontre.</w:t>
      </w:r>
    </w:p>
    <w:p w:rsidRPr="00F30237" w:rsidR="00E44B72" w:rsidP="00F30237" w:rsidRDefault="00E44B72">
      <w:pPr>
        <w:pStyle w:val="ECHRPara"/>
        <w:rPr>
          <w:lang w:val="fr-FR"/>
        </w:rPr>
      </w:pPr>
      <w:r w:rsidRPr="00F30237">
        <w:rPr>
          <w:lang w:val="fr-FR"/>
        </w:rPr>
        <w:t>18.  Le requérant n</w:t>
      </w:r>
      <w:r w:rsidRPr="00F30237" w:rsidR="00F30237">
        <w:rPr>
          <w:lang w:val="fr-FR"/>
        </w:rPr>
        <w:t>’</w:t>
      </w:r>
      <w:r w:rsidRPr="00F30237">
        <w:rPr>
          <w:lang w:val="fr-FR"/>
        </w:rPr>
        <w:t>interjeta pas appel de cette décision.</w:t>
      </w:r>
    </w:p>
    <w:p w:rsidRPr="00F30237" w:rsidR="00E44B72" w:rsidP="00F30237" w:rsidRDefault="00E44B72">
      <w:pPr>
        <w:pStyle w:val="ECHRPara"/>
        <w:rPr>
          <w:lang w:val="fr-FR"/>
        </w:rPr>
      </w:pPr>
      <w:r w:rsidRPr="00F30237">
        <w:rPr>
          <w:lang w:val="fr-FR"/>
        </w:rPr>
        <w:t>19.  Par un jugement du 14 septembre 2011, le tribunal de Palerme le condamna à une peine d</w:t>
      </w:r>
      <w:r w:rsidRPr="00F30237" w:rsidR="00F30237">
        <w:rPr>
          <w:lang w:val="fr-FR"/>
        </w:rPr>
        <w:t>’</w:t>
      </w:r>
      <w:r w:rsidRPr="00F30237">
        <w:rPr>
          <w:lang w:val="fr-FR"/>
        </w:rPr>
        <w:t>emprisonnement de deux ans et huit mois et à une amende de 12 000 euros (EUR). Le 20 juillet 2012, l</w:t>
      </w:r>
      <w:r w:rsidRPr="00F30237" w:rsidR="00F30237">
        <w:rPr>
          <w:lang w:val="fr-FR"/>
        </w:rPr>
        <w:t>’</w:t>
      </w:r>
      <w:r w:rsidRPr="00F30237">
        <w:rPr>
          <w:lang w:val="fr-FR"/>
        </w:rPr>
        <w:t>intéressé fut remis en liberté après avoir fini de purger sa peine.</w:t>
      </w:r>
    </w:p>
    <w:p w:rsidRPr="00F30237" w:rsidR="00E44B72" w:rsidP="00F30237" w:rsidRDefault="00E44B72">
      <w:pPr>
        <w:pStyle w:val="ECHRHeading1"/>
        <w:rPr>
          <w:lang w:val="fr-FR"/>
        </w:rPr>
      </w:pPr>
      <w:r w:rsidRPr="00F30237">
        <w:rPr>
          <w:lang w:val="fr-FR"/>
        </w:rPr>
        <w:t>II.  LE DROIT ET LA PRATIQUE INTERNES PERTINENTS</w:t>
      </w:r>
    </w:p>
    <w:p w:rsidRPr="00F30237" w:rsidR="00E44B72" w:rsidP="00F30237" w:rsidRDefault="00E44B72">
      <w:pPr>
        <w:pStyle w:val="ECHRHeading2"/>
        <w:rPr>
          <w:lang w:val="fr-FR"/>
        </w:rPr>
      </w:pPr>
      <w:r w:rsidRPr="00F30237">
        <w:rPr>
          <w:lang w:val="fr-FR"/>
        </w:rPr>
        <w:t>A.  Les voies de recours contre une mesure de précaution</w:t>
      </w:r>
    </w:p>
    <w:p w:rsidRPr="00F30237" w:rsidR="00E44B72" w:rsidP="00F30237" w:rsidRDefault="00E44B72">
      <w:pPr>
        <w:pStyle w:val="ECHRPara"/>
        <w:rPr>
          <w:lang w:val="fr-FR"/>
        </w:rPr>
      </w:pPr>
      <w:r w:rsidRPr="00F30237">
        <w:rPr>
          <w:lang w:val="fr-FR"/>
        </w:rPr>
        <w:t>20.  En vertu de l</w:t>
      </w:r>
      <w:r w:rsidRPr="00F30237" w:rsidR="00F30237">
        <w:rPr>
          <w:lang w:val="fr-FR"/>
        </w:rPr>
        <w:t>’</w:t>
      </w:r>
      <w:r w:rsidRPr="00F30237">
        <w:rPr>
          <w:lang w:val="fr-FR"/>
        </w:rPr>
        <w:t>article 309 du CPP, la décision ordonnant un placement en détention comme mesure de précaution peut faire l</w:t>
      </w:r>
      <w:r w:rsidRPr="00F30237" w:rsidR="00F30237">
        <w:rPr>
          <w:lang w:val="fr-FR"/>
        </w:rPr>
        <w:t>’</w:t>
      </w:r>
      <w:r w:rsidRPr="00F30237">
        <w:rPr>
          <w:lang w:val="fr-FR"/>
        </w:rPr>
        <w:t>objet d</w:t>
      </w:r>
      <w:r w:rsidRPr="00F30237" w:rsidR="00F30237">
        <w:rPr>
          <w:lang w:val="fr-FR"/>
        </w:rPr>
        <w:t>’</w:t>
      </w:r>
      <w:r w:rsidRPr="00F30237">
        <w:rPr>
          <w:lang w:val="fr-FR"/>
        </w:rPr>
        <w:t>une demande de réexamen (</w:t>
      </w:r>
      <w:proofErr w:type="spellStart"/>
      <w:r w:rsidRPr="00F30237">
        <w:rPr>
          <w:i/>
          <w:lang w:val="fr-FR"/>
        </w:rPr>
        <w:t>richiesta</w:t>
      </w:r>
      <w:proofErr w:type="spellEnd"/>
      <w:r w:rsidRPr="00F30237">
        <w:rPr>
          <w:i/>
          <w:lang w:val="fr-FR"/>
        </w:rPr>
        <w:t xml:space="preserve"> di </w:t>
      </w:r>
      <w:proofErr w:type="spellStart"/>
      <w:r w:rsidRPr="00F30237">
        <w:rPr>
          <w:i/>
          <w:lang w:val="fr-FR"/>
        </w:rPr>
        <w:t>riesame</w:t>
      </w:r>
      <w:proofErr w:type="spellEnd"/>
      <w:r w:rsidRPr="00F30237">
        <w:rPr>
          <w:lang w:val="fr-FR"/>
        </w:rPr>
        <w:t>) devant la chambre du tribunal compétent chargée de réexaminer les mesures de précaution. La demande doit être introduite dans un délai de dix jours à compter de la notification de la décision ou de la mise à exécution de la mesure. Pour l</w:t>
      </w:r>
      <w:r w:rsidRPr="00F30237" w:rsidR="00F30237">
        <w:rPr>
          <w:lang w:val="fr-FR"/>
        </w:rPr>
        <w:t>’</w:t>
      </w:r>
      <w:r w:rsidRPr="00F30237">
        <w:rPr>
          <w:lang w:val="fr-FR"/>
        </w:rPr>
        <w:t>accusé en fuite (</w:t>
      </w:r>
      <w:proofErr w:type="spellStart"/>
      <w:r w:rsidRPr="00F30237">
        <w:rPr>
          <w:i/>
          <w:lang w:val="fr-FR"/>
        </w:rPr>
        <w:t>latitante</w:t>
      </w:r>
      <w:proofErr w:type="spellEnd"/>
      <w:r w:rsidRPr="00F30237">
        <w:rPr>
          <w:lang w:val="fr-FR"/>
        </w:rPr>
        <w:t>), le délai court à partir de la notification de la décision à son défenseur ou, s</w:t>
      </w:r>
      <w:r w:rsidRPr="00F30237" w:rsidR="00F30237">
        <w:rPr>
          <w:lang w:val="fr-FR"/>
        </w:rPr>
        <w:t>’</w:t>
      </w:r>
      <w:r w:rsidRPr="00F30237">
        <w:rPr>
          <w:lang w:val="fr-FR"/>
        </w:rPr>
        <w:t>il prouve qu</w:t>
      </w:r>
      <w:r w:rsidRPr="00F30237" w:rsidR="00F30237">
        <w:rPr>
          <w:lang w:val="fr-FR"/>
        </w:rPr>
        <w:t>’</w:t>
      </w:r>
      <w:r w:rsidRPr="00F30237">
        <w:rPr>
          <w:lang w:val="fr-FR"/>
        </w:rPr>
        <w:t>il n</w:t>
      </w:r>
      <w:r w:rsidRPr="00F30237" w:rsidR="00F30237">
        <w:rPr>
          <w:lang w:val="fr-FR"/>
        </w:rPr>
        <w:t>’</w:t>
      </w:r>
      <w:r w:rsidRPr="00F30237">
        <w:rPr>
          <w:lang w:val="fr-FR"/>
        </w:rPr>
        <w:t>a pas eu connaissance de la décision, de l</w:t>
      </w:r>
      <w:r w:rsidRPr="00F30237" w:rsidR="00F30237">
        <w:rPr>
          <w:lang w:val="fr-FR"/>
        </w:rPr>
        <w:t>’</w:t>
      </w:r>
      <w:r w:rsidRPr="00F30237">
        <w:rPr>
          <w:lang w:val="fr-FR"/>
        </w:rPr>
        <w:t>exécution de la mesure (§ 2). En application de l</w:t>
      </w:r>
      <w:r w:rsidRPr="00F30237" w:rsidR="00F30237">
        <w:rPr>
          <w:lang w:val="fr-FR"/>
        </w:rPr>
        <w:t>’</w:t>
      </w:r>
      <w:r w:rsidRPr="00F30237">
        <w:rPr>
          <w:lang w:val="fr-FR"/>
        </w:rPr>
        <w:t>article 127 du CPP, l</w:t>
      </w:r>
      <w:r w:rsidRPr="00F30237" w:rsidR="00F30237">
        <w:rPr>
          <w:lang w:val="fr-FR"/>
        </w:rPr>
        <w:t>’</w:t>
      </w:r>
      <w:r w:rsidRPr="00F30237">
        <w:rPr>
          <w:lang w:val="fr-FR"/>
        </w:rPr>
        <w:t>audience devant la chambre spécialisée se déroule en chambre du conseil. La disposition en cause prévoit que s</w:t>
      </w:r>
      <w:r w:rsidRPr="00F30237" w:rsidR="00F30237">
        <w:rPr>
          <w:lang w:val="fr-FR"/>
        </w:rPr>
        <w:t>’</w:t>
      </w:r>
      <w:r w:rsidRPr="00F30237">
        <w:rPr>
          <w:lang w:val="fr-FR"/>
        </w:rPr>
        <w:t>il est détenu dans un lieu différent de celui qui fonde la compétence de la chambre spécialisée, l</w:t>
      </w:r>
      <w:r w:rsidRPr="00F30237" w:rsidR="00F30237">
        <w:rPr>
          <w:lang w:val="fr-FR"/>
        </w:rPr>
        <w:t>’</w:t>
      </w:r>
      <w:r w:rsidRPr="00F30237">
        <w:rPr>
          <w:lang w:val="fr-FR"/>
        </w:rPr>
        <w:t>accusé doit, s</w:t>
      </w:r>
      <w:r w:rsidRPr="00F30237" w:rsidR="00F30237">
        <w:rPr>
          <w:lang w:val="fr-FR"/>
        </w:rPr>
        <w:t>’</w:t>
      </w:r>
      <w:r w:rsidRPr="00F30237">
        <w:rPr>
          <w:lang w:val="fr-FR"/>
        </w:rPr>
        <w:t>il le demande, être entendu avant l</w:t>
      </w:r>
      <w:r w:rsidRPr="00F30237" w:rsidR="00F30237">
        <w:rPr>
          <w:lang w:val="fr-FR"/>
        </w:rPr>
        <w:t>’</w:t>
      </w:r>
      <w:r w:rsidRPr="00F30237">
        <w:rPr>
          <w:lang w:val="fr-FR"/>
        </w:rPr>
        <w:t>audience par le juge de l</w:t>
      </w:r>
      <w:r w:rsidRPr="00F30237" w:rsidR="00F30237">
        <w:rPr>
          <w:lang w:val="fr-FR"/>
        </w:rPr>
        <w:t>’</w:t>
      </w:r>
      <w:r w:rsidRPr="00F30237">
        <w:rPr>
          <w:lang w:val="fr-FR"/>
        </w:rPr>
        <w:t>application des peines du lieu de détention.</w:t>
      </w:r>
    </w:p>
    <w:p w:rsidRPr="00F30237" w:rsidR="00E44B72" w:rsidP="00F30237" w:rsidRDefault="00E44B72">
      <w:pPr>
        <w:pStyle w:val="ECHRPara"/>
        <w:rPr>
          <w:lang w:val="fr-FR"/>
        </w:rPr>
      </w:pPr>
      <w:r w:rsidRPr="00F30237">
        <w:rPr>
          <w:lang w:val="fr-FR"/>
        </w:rPr>
        <w:t>L</w:t>
      </w:r>
      <w:r w:rsidRPr="00F30237" w:rsidR="00F30237">
        <w:rPr>
          <w:lang w:val="fr-FR"/>
        </w:rPr>
        <w:t>’</w:t>
      </w:r>
      <w:r w:rsidRPr="00F30237">
        <w:rPr>
          <w:lang w:val="fr-FR"/>
        </w:rPr>
        <w:t>intéressé peut former un pourvoi en cassation à l</w:t>
      </w:r>
      <w:r w:rsidRPr="00F30237" w:rsidR="00F30237">
        <w:rPr>
          <w:lang w:val="fr-FR"/>
        </w:rPr>
        <w:t>’</w:t>
      </w:r>
      <w:r w:rsidRPr="00F30237">
        <w:rPr>
          <w:lang w:val="fr-FR"/>
        </w:rPr>
        <w:t>encontre d</w:t>
      </w:r>
      <w:r w:rsidRPr="00F30237" w:rsidR="00F30237">
        <w:rPr>
          <w:lang w:val="fr-FR"/>
        </w:rPr>
        <w:t>’</w:t>
      </w:r>
      <w:r w:rsidRPr="00F30237">
        <w:rPr>
          <w:lang w:val="fr-FR"/>
        </w:rPr>
        <w:t>une décision défavorable de la chambre spécialisée du tribunal (article 311 du CPP).</w:t>
      </w:r>
    </w:p>
    <w:p w:rsidRPr="00F30237" w:rsidR="00E44B72" w:rsidP="00F30237" w:rsidRDefault="00E44B72">
      <w:pPr>
        <w:pStyle w:val="ECHRPara"/>
        <w:rPr>
          <w:lang w:val="fr-FR"/>
        </w:rPr>
      </w:pPr>
      <w:r w:rsidRPr="00F30237">
        <w:rPr>
          <w:lang w:val="fr-FR"/>
        </w:rPr>
        <w:t>21.  Par la suite, il peut à tout moment former une demande de révocation (</w:t>
      </w:r>
      <w:proofErr w:type="spellStart"/>
      <w:r w:rsidRPr="00F30237">
        <w:rPr>
          <w:i/>
          <w:lang w:val="fr-FR"/>
        </w:rPr>
        <w:t>richiesta</w:t>
      </w:r>
      <w:proofErr w:type="spellEnd"/>
      <w:r w:rsidRPr="00F30237">
        <w:rPr>
          <w:i/>
          <w:lang w:val="fr-FR"/>
        </w:rPr>
        <w:t xml:space="preserve"> di </w:t>
      </w:r>
      <w:proofErr w:type="spellStart"/>
      <w:r w:rsidRPr="00F30237">
        <w:rPr>
          <w:i/>
          <w:lang w:val="fr-FR"/>
        </w:rPr>
        <w:t>revoca</w:t>
      </w:r>
      <w:proofErr w:type="spellEnd"/>
      <w:r w:rsidRPr="00F30237">
        <w:rPr>
          <w:lang w:val="fr-FR"/>
        </w:rPr>
        <w:t>) de la mesure de précaution en vertu de l</w:t>
      </w:r>
      <w:r w:rsidRPr="00F30237" w:rsidR="00F30237">
        <w:rPr>
          <w:lang w:val="fr-FR"/>
        </w:rPr>
        <w:t>’</w:t>
      </w:r>
      <w:r w:rsidRPr="00F30237">
        <w:rPr>
          <w:lang w:val="fr-FR"/>
        </w:rPr>
        <w:t>article 299 du CPP. La demande de révocation est adressée au juge qui mène alors la procédure. La décision doit intervenir dans un délai de dix jours à compter de la demande, après audition du parquet. Selon l</w:t>
      </w:r>
      <w:r w:rsidRPr="00F30237" w:rsidR="00F30237">
        <w:rPr>
          <w:lang w:val="fr-FR"/>
        </w:rPr>
        <w:t>’</w:t>
      </w:r>
      <w:r w:rsidRPr="00F30237">
        <w:rPr>
          <w:lang w:val="fr-FR"/>
        </w:rPr>
        <w:t xml:space="preserve">alinéa 3 </w:t>
      </w:r>
      <w:r w:rsidRPr="00F30237">
        <w:rPr>
          <w:i/>
          <w:lang w:val="fr-FR"/>
        </w:rPr>
        <w:t>ter</w:t>
      </w:r>
      <w:r w:rsidRPr="00F30237">
        <w:rPr>
          <w:lang w:val="fr-FR"/>
        </w:rPr>
        <w:t xml:space="preserve"> de l</w:t>
      </w:r>
      <w:r w:rsidRPr="00F30237" w:rsidR="00F30237">
        <w:rPr>
          <w:lang w:val="fr-FR"/>
        </w:rPr>
        <w:t>’</w:t>
      </w:r>
      <w:r w:rsidRPr="00F30237">
        <w:rPr>
          <w:lang w:val="fr-FR"/>
        </w:rPr>
        <w:t>article</w:t>
      </w:r>
      <w:r w:rsidRPr="00F30237" w:rsidR="00E30962">
        <w:rPr>
          <w:lang w:val="fr-FR"/>
        </w:rPr>
        <w:t> </w:t>
      </w:r>
      <w:r w:rsidRPr="00F30237">
        <w:rPr>
          <w:lang w:val="fr-FR"/>
        </w:rPr>
        <w:t>299, le juge peut décider d</w:t>
      </w:r>
      <w:r w:rsidRPr="00F30237" w:rsidR="00F30237">
        <w:rPr>
          <w:lang w:val="fr-FR"/>
        </w:rPr>
        <w:t>’</w:t>
      </w:r>
      <w:r w:rsidRPr="00F30237">
        <w:rPr>
          <w:lang w:val="fr-FR"/>
        </w:rPr>
        <w:t>interroger l</w:t>
      </w:r>
      <w:r w:rsidRPr="00F30237" w:rsidR="00F30237">
        <w:rPr>
          <w:lang w:val="fr-FR"/>
        </w:rPr>
        <w:t>’</w:t>
      </w:r>
      <w:r w:rsidRPr="00F30237">
        <w:rPr>
          <w:lang w:val="fr-FR"/>
        </w:rPr>
        <w:t>accusé. Si la demande de révocation de la mesure est fondée sur des faits nouveaux, le juge est tenu d</w:t>
      </w:r>
      <w:r w:rsidRPr="00F30237" w:rsidR="00F30237">
        <w:rPr>
          <w:lang w:val="fr-FR"/>
        </w:rPr>
        <w:t>’</w:t>
      </w:r>
      <w:r w:rsidRPr="00F30237">
        <w:rPr>
          <w:lang w:val="fr-FR"/>
        </w:rPr>
        <w:t>interroger l</w:t>
      </w:r>
      <w:r w:rsidRPr="00F30237" w:rsidR="00F30237">
        <w:rPr>
          <w:lang w:val="fr-FR"/>
        </w:rPr>
        <w:t>’</w:t>
      </w:r>
      <w:r w:rsidRPr="00F30237">
        <w:rPr>
          <w:lang w:val="fr-FR"/>
        </w:rPr>
        <w:t>accusé lorsque ce dernier le demande.</w:t>
      </w:r>
    </w:p>
    <w:p w:rsidRPr="00F30237" w:rsidR="00E44B72" w:rsidP="00F30237" w:rsidRDefault="00E44B72">
      <w:pPr>
        <w:pStyle w:val="ECHRPara"/>
        <w:rPr>
          <w:lang w:val="fr-FR"/>
        </w:rPr>
      </w:pPr>
      <w:r w:rsidRPr="00F30237">
        <w:rPr>
          <w:lang w:val="fr-FR"/>
        </w:rPr>
        <w:t>22.  L</w:t>
      </w:r>
      <w:r w:rsidRPr="00F30237" w:rsidR="00F30237">
        <w:rPr>
          <w:lang w:val="fr-FR"/>
        </w:rPr>
        <w:t>’</w:t>
      </w:r>
      <w:r w:rsidRPr="00F30237">
        <w:rPr>
          <w:lang w:val="fr-FR"/>
        </w:rPr>
        <w:t>intéressé peut ensuite interjeter appel contre une décision négative du juge, sur le fondement de l</w:t>
      </w:r>
      <w:r w:rsidRPr="00F30237" w:rsidR="00F30237">
        <w:rPr>
          <w:lang w:val="fr-FR"/>
        </w:rPr>
        <w:t>’</w:t>
      </w:r>
      <w:r w:rsidRPr="00F30237">
        <w:rPr>
          <w:lang w:val="fr-FR"/>
        </w:rPr>
        <w:t>article 310 CPP. La décision rendue par le tribunal en appel peut faire l</w:t>
      </w:r>
      <w:r w:rsidRPr="00F30237" w:rsidR="00F30237">
        <w:rPr>
          <w:lang w:val="fr-FR"/>
        </w:rPr>
        <w:t>’</w:t>
      </w:r>
      <w:r w:rsidRPr="00F30237">
        <w:rPr>
          <w:lang w:val="fr-FR"/>
        </w:rPr>
        <w:t>objet d</w:t>
      </w:r>
      <w:r w:rsidRPr="00F30237" w:rsidR="00F30237">
        <w:rPr>
          <w:lang w:val="fr-FR"/>
        </w:rPr>
        <w:t>’</w:t>
      </w:r>
      <w:r w:rsidRPr="00F30237">
        <w:rPr>
          <w:lang w:val="fr-FR"/>
        </w:rPr>
        <w:t>un pourvoi en cassation.</w:t>
      </w:r>
    </w:p>
    <w:p w:rsidRPr="00F30237" w:rsidR="00E44B72" w:rsidP="00F30237" w:rsidRDefault="00E44B72">
      <w:pPr>
        <w:pStyle w:val="ECHRPara"/>
        <w:rPr>
          <w:lang w:val="fr-FR"/>
        </w:rPr>
      </w:pPr>
      <w:r w:rsidRPr="00F30237">
        <w:rPr>
          <w:lang w:val="fr-FR"/>
        </w:rPr>
        <w:t>23.  Aucun contrôle automatique et/ou périodique des conditions justifiant le maintien en détention provisoire n</w:t>
      </w:r>
      <w:r w:rsidRPr="00F30237" w:rsidR="00F30237">
        <w:rPr>
          <w:lang w:val="fr-FR"/>
        </w:rPr>
        <w:t>’</w:t>
      </w:r>
      <w:r w:rsidRPr="00F30237">
        <w:rPr>
          <w:lang w:val="fr-FR"/>
        </w:rPr>
        <w:t>est prévu par la loi italienne ; si elle le souhaite,</w:t>
      </w:r>
      <w:r w:rsidRPr="00F30237" w:rsidDel="000A36BF">
        <w:rPr>
          <w:lang w:val="fr-FR"/>
        </w:rPr>
        <w:t xml:space="preserve"> </w:t>
      </w:r>
      <w:r w:rsidRPr="00F30237">
        <w:rPr>
          <w:lang w:val="fr-FR"/>
        </w:rPr>
        <w:t>la personne privée de liberté peut solliciter le réexamen desdites conditions et la révocation de la mesure.</w:t>
      </w:r>
    </w:p>
    <w:p w:rsidRPr="00F30237" w:rsidR="00E44B72" w:rsidP="00F30237" w:rsidRDefault="00E44B72">
      <w:pPr>
        <w:pStyle w:val="ECHRHeading2"/>
        <w:rPr>
          <w:lang w:val="fr-FR"/>
        </w:rPr>
      </w:pPr>
      <w:r w:rsidRPr="00F30237">
        <w:rPr>
          <w:lang w:val="fr-FR"/>
        </w:rPr>
        <w:t>B.  Le recours en relevé de forclusion</w:t>
      </w:r>
    </w:p>
    <w:p w:rsidRPr="00F30237" w:rsidR="00E44B72" w:rsidP="00F30237" w:rsidRDefault="00E44B72">
      <w:pPr>
        <w:pStyle w:val="ECHRPara"/>
        <w:rPr>
          <w:lang w:val="fr-FR"/>
        </w:rPr>
      </w:pPr>
      <w:r w:rsidRPr="00F30237">
        <w:rPr>
          <w:lang w:val="fr-FR"/>
        </w:rPr>
        <w:t>24.  L</w:t>
      </w:r>
      <w:r w:rsidRPr="00F30237" w:rsidR="00F30237">
        <w:rPr>
          <w:lang w:val="fr-FR"/>
        </w:rPr>
        <w:t>’</w:t>
      </w:r>
      <w:r w:rsidRPr="00F30237">
        <w:rPr>
          <w:lang w:val="fr-FR"/>
        </w:rPr>
        <w:t>article 175 § 1 du CPP est ainsi rédigé :</w:t>
      </w:r>
    </w:p>
    <w:p w:rsidRPr="00F30237" w:rsidR="00E44B72" w:rsidP="00F30237" w:rsidRDefault="00E44B72">
      <w:pPr>
        <w:pStyle w:val="ECHRParaQuote"/>
        <w:rPr>
          <w:lang w:val="fr-FR"/>
        </w:rPr>
      </w:pPr>
      <w:r w:rsidRPr="00F30237">
        <w:rPr>
          <w:lang w:val="fr-FR"/>
        </w:rPr>
        <w:t>« Le procureur, les parties à la procédure et les avocats peuvent obtenir la réouverture d</w:t>
      </w:r>
      <w:r w:rsidRPr="00F30237" w:rsidR="00F30237">
        <w:rPr>
          <w:lang w:val="fr-FR"/>
        </w:rPr>
        <w:t>’</w:t>
      </w:r>
      <w:r w:rsidRPr="00F30237">
        <w:rPr>
          <w:lang w:val="fr-FR"/>
        </w:rPr>
        <w:t>un délai péremptoire s</w:t>
      </w:r>
      <w:r w:rsidRPr="00F30237" w:rsidR="00F30237">
        <w:rPr>
          <w:lang w:val="fr-FR"/>
        </w:rPr>
        <w:t>’</w:t>
      </w:r>
      <w:r w:rsidRPr="00F30237">
        <w:rPr>
          <w:lang w:val="fr-FR"/>
        </w:rPr>
        <w:t>ils prouvent qu</w:t>
      </w:r>
      <w:r w:rsidRPr="00F30237" w:rsidR="00F30237">
        <w:rPr>
          <w:lang w:val="fr-FR"/>
        </w:rPr>
        <w:t>’</w:t>
      </w:r>
      <w:r w:rsidRPr="00F30237">
        <w:rPr>
          <w:lang w:val="fr-FR"/>
        </w:rPr>
        <w:t>en raison de la survenance d</w:t>
      </w:r>
      <w:r w:rsidRPr="00F30237" w:rsidR="00F30237">
        <w:rPr>
          <w:lang w:val="fr-FR"/>
        </w:rPr>
        <w:t>’</w:t>
      </w:r>
      <w:r w:rsidRPr="00F30237">
        <w:rPr>
          <w:lang w:val="fr-FR"/>
        </w:rPr>
        <w:t>un cas fortuit ou d</w:t>
      </w:r>
      <w:r w:rsidRPr="00F30237" w:rsidR="00F30237">
        <w:rPr>
          <w:lang w:val="fr-FR"/>
        </w:rPr>
        <w:t>’</w:t>
      </w:r>
      <w:r w:rsidRPr="00F30237">
        <w:rPr>
          <w:lang w:val="fr-FR"/>
        </w:rPr>
        <w:t>un cas de force majeure ils se sont trouvés dans l</w:t>
      </w:r>
      <w:r w:rsidRPr="00F30237" w:rsidR="00F30237">
        <w:rPr>
          <w:lang w:val="fr-FR"/>
        </w:rPr>
        <w:t>’</w:t>
      </w:r>
      <w:r w:rsidRPr="00F30237">
        <w:rPr>
          <w:lang w:val="fr-FR"/>
        </w:rPr>
        <w:t>impossibilité de le respecter. La demande de réouverture du délai doit être introduite, sous peine d</w:t>
      </w:r>
      <w:r w:rsidRPr="00F30237" w:rsidR="00F30237">
        <w:rPr>
          <w:lang w:val="fr-FR"/>
        </w:rPr>
        <w:t>’</w:t>
      </w:r>
      <w:r w:rsidRPr="00F30237">
        <w:rPr>
          <w:lang w:val="fr-FR"/>
        </w:rPr>
        <w:t>irrecevabilité, dans les dix jours qui suivent la date à laquelle le cas fortuit ou celui de force majeure a cessé. »</w:t>
      </w:r>
    </w:p>
    <w:p w:rsidRPr="00F30237" w:rsidR="00E44B72" w:rsidP="00F30237" w:rsidRDefault="00E44B72">
      <w:pPr>
        <w:pStyle w:val="ECHRPara"/>
        <w:rPr>
          <w:lang w:val="fr-FR"/>
        </w:rPr>
      </w:pPr>
      <w:r w:rsidRPr="00F30237">
        <w:rPr>
          <w:lang w:val="fr-FR"/>
        </w:rPr>
        <w:t>25.  L</w:t>
      </w:r>
      <w:r w:rsidRPr="00F30237" w:rsidR="00F30237">
        <w:rPr>
          <w:lang w:val="fr-FR"/>
        </w:rPr>
        <w:t>’</w:t>
      </w:r>
      <w:r w:rsidRPr="00F30237">
        <w:rPr>
          <w:lang w:val="fr-FR"/>
        </w:rPr>
        <w:t>article 175 § 2 du CPP prévoit la possibilité d</w:t>
      </w:r>
      <w:r w:rsidRPr="00F30237" w:rsidR="00F30237">
        <w:rPr>
          <w:lang w:val="fr-FR"/>
        </w:rPr>
        <w:t>’</w:t>
      </w:r>
      <w:r w:rsidRPr="00F30237">
        <w:rPr>
          <w:lang w:val="fr-FR"/>
        </w:rPr>
        <w:t>introduire une demande en relevé de forclusion dans les cas où une procédure pénale s</w:t>
      </w:r>
      <w:r w:rsidRPr="00F30237" w:rsidR="00F30237">
        <w:rPr>
          <w:lang w:val="fr-FR"/>
        </w:rPr>
        <w:t>’</w:t>
      </w:r>
      <w:r w:rsidRPr="00F30237">
        <w:rPr>
          <w:lang w:val="fr-FR"/>
        </w:rPr>
        <w:t>est déroulée par contumace. Il se lit ainsi :</w:t>
      </w:r>
    </w:p>
    <w:p w:rsidRPr="00F30237" w:rsidR="00E44B72" w:rsidP="00F30237" w:rsidRDefault="00E44B72">
      <w:pPr>
        <w:pStyle w:val="ECHRParaQuote"/>
        <w:rPr>
          <w:lang w:val="fr-FR"/>
        </w:rPr>
      </w:pPr>
      <w:r w:rsidRPr="00F30237">
        <w:rPr>
          <w:lang w:val="fr-FR"/>
        </w:rPr>
        <w:t>« En cas de condamnation par contumace (...), le délai pour attaquer le jugement est rouvert à la demande de l</w:t>
      </w:r>
      <w:r w:rsidRPr="00F30237" w:rsidR="00F30237">
        <w:rPr>
          <w:lang w:val="fr-FR"/>
        </w:rPr>
        <w:t>’</w:t>
      </w:r>
      <w:r w:rsidRPr="00F30237">
        <w:rPr>
          <w:lang w:val="fr-FR"/>
        </w:rPr>
        <w:t>accusé, sauf si ce dernier a eu une connaissance effective de la procédure [diligentée à son encontre] ou du jugement [</w:t>
      </w:r>
      <w:proofErr w:type="spellStart"/>
      <w:r w:rsidRPr="00F30237">
        <w:rPr>
          <w:i/>
          <w:lang w:val="fr-FR"/>
        </w:rPr>
        <w:t>provvedimento</w:t>
      </w:r>
      <w:proofErr w:type="spellEnd"/>
      <w:r w:rsidRPr="00F30237">
        <w:rPr>
          <w:lang w:val="fr-FR"/>
        </w:rPr>
        <w:t>] et a volontairement renoncé à comparaître ou à attaquer le jugement. Les autorités judiciaires accomplissent toute vérification nécessaire à cet égard. »</w:t>
      </w:r>
    </w:p>
    <w:p w:rsidRPr="00F30237" w:rsidR="00E44B72" w:rsidP="00F30237" w:rsidRDefault="00E44B72">
      <w:pPr>
        <w:pStyle w:val="ECHRHeading2"/>
        <w:rPr>
          <w:lang w:val="fr-FR"/>
        </w:rPr>
      </w:pPr>
      <w:r w:rsidRPr="00F30237">
        <w:rPr>
          <w:lang w:val="fr-FR"/>
        </w:rPr>
        <w:t>C.  L</w:t>
      </w:r>
      <w:r w:rsidRPr="00F30237" w:rsidR="00F30237">
        <w:rPr>
          <w:lang w:val="fr-FR"/>
        </w:rPr>
        <w:t>’</w:t>
      </w:r>
      <w:r w:rsidRPr="00F30237">
        <w:rPr>
          <w:lang w:val="fr-FR"/>
        </w:rPr>
        <w:t>arrêt n</w:t>
      </w:r>
      <w:r w:rsidRPr="00F30237">
        <w:rPr>
          <w:vertAlign w:val="superscript"/>
          <w:lang w:val="fr-FR"/>
        </w:rPr>
        <w:t>o</w:t>
      </w:r>
      <w:r w:rsidRPr="00F30237">
        <w:rPr>
          <w:lang w:val="fr-FR"/>
        </w:rPr>
        <w:t xml:space="preserve"> 6026 de 2008 des sections réunies de la Cour de cassation</w:t>
      </w:r>
    </w:p>
    <w:p w:rsidRPr="00F30237" w:rsidR="00E44B72" w:rsidP="00F30237" w:rsidRDefault="00E44B72">
      <w:pPr>
        <w:pStyle w:val="ECHRPara"/>
        <w:rPr>
          <w:lang w:val="fr-FR"/>
        </w:rPr>
      </w:pPr>
      <w:r w:rsidRPr="00F30237">
        <w:rPr>
          <w:lang w:val="fr-FR"/>
        </w:rPr>
        <w:t>26.  Dans l</w:t>
      </w:r>
      <w:r w:rsidRPr="00F30237" w:rsidR="00F30237">
        <w:rPr>
          <w:lang w:val="fr-FR"/>
        </w:rPr>
        <w:t>’</w:t>
      </w:r>
      <w:r w:rsidRPr="00F30237">
        <w:rPr>
          <w:lang w:val="fr-FR"/>
        </w:rPr>
        <w:t>arrêt n</w:t>
      </w:r>
      <w:r w:rsidRPr="00F30237">
        <w:rPr>
          <w:vertAlign w:val="superscript"/>
          <w:lang w:val="fr-FR"/>
        </w:rPr>
        <w:t>o</w:t>
      </w:r>
      <w:r w:rsidRPr="00F30237">
        <w:rPr>
          <w:lang w:val="fr-FR"/>
        </w:rPr>
        <w:t xml:space="preserve"> 6026 du 13 janvier 2008 (arrêt </w:t>
      </w:r>
      <w:proofErr w:type="spellStart"/>
      <w:r w:rsidRPr="00F30237">
        <w:rPr>
          <w:i/>
          <w:lang w:val="fr-FR"/>
        </w:rPr>
        <w:t>Huzuneanu</w:t>
      </w:r>
      <w:proofErr w:type="spellEnd"/>
      <w:r w:rsidRPr="00F30237">
        <w:rPr>
          <w:lang w:val="fr-FR"/>
        </w:rPr>
        <w:t>), les sections réunies de la Cour de cassation précisèrent qu</w:t>
      </w:r>
      <w:r w:rsidRPr="00F30237" w:rsidR="00F30237">
        <w:rPr>
          <w:lang w:val="fr-FR"/>
        </w:rPr>
        <w:t>’</w:t>
      </w:r>
      <w:r w:rsidRPr="00F30237">
        <w:rPr>
          <w:lang w:val="fr-FR"/>
        </w:rPr>
        <w:t>un condamné par contumace perdait son droit à la réouverture du délai d</w:t>
      </w:r>
      <w:r w:rsidRPr="00F30237" w:rsidR="00F30237">
        <w:rPr>
          <w:lang w:val="fr-FR"/>
        </w:rPr>
        <w:t>’</w:t>
      </w:r>
      <w:r w:rsidRPr="00F30237">
        <w:rPr>
          <w:lang w:val="fr-FR"/>
        </w:rPr>
        <w:t>appel dans l</w:t>
      </w:r>
      <w:r w:rsidRPr="00F30237" w:rsidR="00F30237">
        <w:rPr>
          <w:lang w:val="fr-FR"/>
        </w:rPr>
        <w:t>’</w:t>
      </w:r>
      <w:r w:rsidRPr="00F30237">
        <w:rPr>
          <w:lang w:val="fr-FR"/>
        </w:rPr>
        <w:t>hypothèse où le défenseur de son choix ou l</w:t>
      </w:r>
      <w:r w:rsidRPr="00F30237" w:rsidR="00F30237">
        <w:rPr>
          <w:lang w:val="fr-FR"/>
        </w:rPr>
        <w:t>’</w:t>
      </w:r>
      <w:r w:rsidRPr="00F30237">
        <w:rPr>
          <w:lang w:val="fr-FR"/>
        </w:rPr>
        <w:t>avocat lui ayant été commis d</w:t>
      </w:r>
      <w:r w:rsidRPr="00F30237" w:rsidR="00F30237">
        <w:rPr>
          <w:lang w:val="fr-FR"/>
        </w:rPr>
        <w:t>’</w:t>
      </w:r>
      <w:r w:rsidRPr="00F30237">
        <w:rPr>
          <w:lang w:val="fr-FR"/>
        </w:rPr>
        <w:t>office auraient, de manière autonome, voire à son insu, attaqué la décision litigieuse et où la juridiction interne compétente aurait statué sur leur recours. Les sections réunies invoquèrent les principes de l</w:t>
      </w:r>
      <w:r w:rsidRPr="00F30237" w:rsidR="00F30237">
        <w:rPr>
          <w:lang w:val="fr-FR"/>
        </w:rPr>
        <w:t>’</w:t>
      </w:r>
      <w:r w:rsidRPr="00F30237">
        <w:rPr>
          <w:lang w:val="fr-FR"/>
        </w:rPr>
        <w:t>unicité du droit d</w:t>
      </w:r>
      <w:r w:rsidRPr="00F30237" w:rsidR="00F30237">
        <w:rPr>
          <w:lang w:val="fr-FR"/>
        </w:rPr>
        <w:t>’</w:t>
      </w:r>
      <w:r w:rsidRPr="00F30237">
        <w:rPr>
          <w:lang w:val="fr-FR"/>
        </w:rPr>
        <w:t xml:space="preserve">attaquer un jugement et du </w:t>
      </w:r>
      <w:r w:rsidRPr="00F30237">
        <w:rPr>
          <w:i/>
          <w:lang w:val="fr-FR"/>
        </w:rPr>
        <w:t>ne bis in idem.</w:t>
      </w:r>
      <w:r w:rsidRPr="00F30237">
        <w:rPr>
          <w:lang w:val="fr-FR"/>
        </w:rPr>
        <w:t xml:space="preserve"> Elles soulignèrent également que la possibilité d</w:t>
      </w:r>
      <w:r w:rsidRPr="00F30237" w:rsidR="00F30237">
        <w:rPr>
          <w:lang w:val="fr-FR"/>
        </w:rPr>
        <w:t>’</w:t>
      </w:r>
      <w:r w:rsidRPr="00F30237">
        <w:rPr>
          <w:lang w:val="fr-FR"/>
        </w:rPr>
        <w:t>un double appel (l</w:t>
      </w:r>
      <w:r w:rsidRPr="00F30237" w:rsidR="00F30237">
        <w:rPr>
          <w:lang w:val="fr-FR"/>
        </w:rPr>
        <w:t>’</w:t>
      </w:r>
      <w:r w:rsidRPr="00F30237">
        <w:rPr>
          <w:lang w:val="fr-FR"/>
        </w:rPr>
        <w:t>un interjeté par le défenseur, l</w:t>
      </w:r>
      <w:r w:rsidRPr="00F30237" w:rsidR="00F30237">
        <w:rPr>
          <w:lang w:val="fr-FR"/>
        </w:rPr>
        <w:t>’</w:t>
      </w:r>
      <w:r w:rsidRPr="00F30237">
        <w:rPr>
          <w:lang w:val="fr-FR"/>
        </w:rPr>
        <w:t>autre par l</w:t>
      </w:r>
      <w:r w:rsidRPr="00F30237" w:rsidR="00F30237">
        <w:rPr>
          <w:lang w:val="fr-FR"/>
        </w:rPr>
        <w:t>’</w:t>
      </w:r>
      <w:r w:rsidRPr="00F30237">
        <w:rPr>
          <w:lang w:val="fr-FR"/>
        </w:rPr>
        <w:t>accusé) se heurtait à l</w:t>
      </w:r>
      <w:r w:rsidRPr="00F30237" w:rsidR="00F30237">
        <w:rPr>
          <w:lang w:val="fr-FR"/>
        </w:rPr>
        <w:t>’</w:t>
      </w:r>
      <w:r w:rsidRPr="00F30237">
        <w:rPr>
          <w:lang w:val="fr-FR"/>
        </w:rPr>
        <w:t>exigence du respect du « délai raisonnable » dans les cas où le condamné par contumace non informé du procès aurait été représenté par un avocat ; pour les sections réunies, l</w:t>
      </w:r>
      <w:r w:rsidRPr="00F30237" w:rsidR="00F30237">
        <w:rPr>
          <w:lang w:val="fr-FR"/>
        </w:rPr>
        <w:t>’</w:t>
      </w:r>
      <w:r w:rsidRPr="00F30237">
        <w:rPr>
          <w:lang w:val="fr-FR"/>
        </w:rPr>
        <w:t>utilisation par ce dernier des recours existants pour attaquer la décision de condamnation emportait impossibilité pour le condamné d</w:t>
      </w:r>
      <w:r w:rsidRPr="00F30237" w:rsidR="00F30237">
        <w:rPr>
          <w:lang w:val="fr-FR"/>
        </w:rPr>
        <w:t>’</w:t>
      </w:r>
      <w:r w:rsidRPr="00F30237">
        <w:rPr>
          <w:lang w:val="fr-FR"/>
        </w:rPr>
        <w:t>user de ces recours après la découverte de sa condamnation.</w:t>
      </w:r>
    </w:p>
    <w:p w:rsidRPr="00F30237" w:rsidR="00E44B72" w:rsidP="00F30237" w:rsidRDefault="00E44B72">
      <w:pPr>
        <w:pStyle w:val="ECHRHeading2"/>
        <w:rPr>
          <w:lang w:val="fr-FR"/>
        </w:rPr>
      </w:pPr>
      <w:r w:rsidRPr="00F30237">
        <w:rPr>
          <w:lang w:val="fr-FR"/>
        </w:rPr>
        <w:t>D.  L</w:t>
      </w:r>
      <w:r w:rsidRPr="00F30237" w:rsidR="00F30237">
        <w:rPr>
          <w:lang w:val="fr-FR"/>
        </w:rPr>
        <w:t>’</w:t>
      </w:r>
      <w:r w:rsidRPr="00F30237">
        <w:rPr>
          <w:lang w:val="fr-FR"/>
        </w:rPr>
        <w:t>arrêt n</w:t>
      </w:r>
      <w:r w:rsidRPr="00F30237">
        <w:rPr>
          <w:vertAlign w:val="superscript"/>
          <w:lang w:val="fr-FR"/>
        </w:rPr>
        <w:t>o</w:t>
      </w:r>
      <w:r w:rsidRPr="00F30237">
        <w:rPr>
          <w:lang w:val="fr-FR"/>
        </w:rPr>
        <w:t xml:space="preserve"> 317 de 2009 de la Cour constitutionnelle italienne</w:t>
      </w:r>
    </w:p>
    <w:p w:rsidRPr="00F30237" w:rsidR="00E44B72" w:rsidP="00F30237" w:rsidRDefault="00E44B72">
      <w:pPr>
        <w:pStyle w:val="ECHRPara"/>
        <w:rPr>
          <w:lang w:val="fr-FR"/>
        </w:rPr>
      </w:pPr>
      <w:r w:rsidRPr="00F30237">
        <w:rPr>
          <w:lang w:val="fr-FR"/>
        </w:rPr>
        <w:t>27.  Dans son arrêt n</w:t>
      </w:r>
      <w:r w:rsidRPr="00F30237">
        <w:rPr>
          <w:vertAlign w:val="superscript"/>
          <w:lang w:val="fr-FR"/>
        </w:rPr>
        <w:t>o</w:t>
      </w:r>
      <w:r w:rsidRPr="00F30237">
        <w:rPr>
          <w:lang w:val="fr-FR"/>
        </w:rPr>
        <w:t xml:space="preserve"> 317 du 4 décembre 2009, la Cour constitutionnelle a déclaré inconstitutionnel l</w:t>
      </w:r>
      <w:r w:rsidRPr="00F30237" w:rsidR="00F30237">
        <w:rPr>
          <w:lang w:val="fr-FR"/>
        </w:rPr>
        <w:t>’</w:t>
      </w:r>
      <w:r w:rsidRPr="00F30237">
        <w:rPr>
          <w:lang w:val="fr-FR"/>
        </w:rPr>
        <w:t>article 175 § 2 du CPP dans la mesure où son interprétation faisait obstacle à un relevé de forclusion au profit du condamné par contumace non informé des poursuites dont le défenseur commis d</w:t>
      </w:r>
      <w:r w:rsidRPr="00F30237" w:rsidR="00F30237">
        <w:rPr>
          <w:lang w:val="fr-FR"/>
        </w:rPr>
        <w:t>’</w:t>
      </w:r>
      <w:r w:rsidRPr="00F30237">
        <w:rPr>
          <w:lang w:val="fr-FR"/>
        </w:rPr>
        <w:t>office aurait précédemment utilisé les recours disponibles pour attaquer la décision de condamnation. Elle a notamment indiqué dans les motifs de sa décision que les garanties offertes à l</w:t>
      </w:r>
      <w:r w:rsidRPr="00F30237" w:rsidR="00F30237">
        <w:rPr>
          <w:lang w:val="fr-FR"/>
        </w:rPr>
        <w:t>’</w:t>
      </w:r>
      <w:r w:rsidRPr="00F30237">
        <w:rPr>
          <w:lang w:val="fr-FR"/>
        </w:rPr>
        <w:t>accusé par contumace ne pouvaient être « épuisées » par le comportement d</w:t>
      </w:r>
      <w:r w:rsidRPr="00F30237" w:rsidR="00F30237">
        <w:rPr>
          <w:lang w:val="fr-FR"/>
        </w:rPr>
        <w:t>’</w:t>
      </w:r>
      <w:r w:rsidRPr="00F30237">
        <w:rPr>
          <w:lang w:val="fr-FR"/>
        </w:rPr>
        <w:t>un avocat commis d</w:t>
      </w:r>
      <w:r w:rsidRPr="00F30237" w:rsidR="00F30237">
        <w:rPr>
          <w:lang w:val="fr-FR"/>
        </w:rPr>
        <w:t>’</w:t>
      </w:r>
      <w:r w:rsidRPr="00F30237">
        <w:rPr>
          <w:lang w:val="fr-FR"/>
        </w:rPr>
        <w:t>office qui aurait agi de sa propre initiative et sans mandat de la part de l</w:t>
      </w:r>
      <w:r w:rsidRPr="00F30237" w:rsidR="00F30237">
        <w:rPr>
          <w:lang w:val="fr-FR"/>
        </w:rPr>
        <w:t>’</w:t>
      </w:r>
      <w:r w:rsidRPr="00F30237">
        <w:rPr>
          <w:lang w:val="fr-FR"/>
        </w:rPr>
        <w:t>intéressé.</w:t>
      </w:r>
    </w:p>
    <w:p w:rsidRPr="00F30237" w:rsidR="00E44B72" w:rsidP="00F30237" w:rsidRDefault="00E44B72">
      <w:pPr>
        <w:pStyle w:val="ECHRHeading2"/>
        <w:rPr>
          <w:lang w:val="fr-FR"/>
        </w:rPr>
      </w:pPr>
      <w:r w:rsidRPr="00F30237">
        <w:rPr>
          <w:lang w:val="fr-FR"/>
        </w:rPr>
        <w:t>E.  La loi n</w:t>
      </w:r>
      <w:r w:rsidRPr="00F30237">
        <w:rPr>
          <w:vertAlign w:val="superscript"/>
          <w:lang w:val="fr-FR"/>
        </w:rPr>
        <w:t>o</w:t>
      </w:r>
      <w:r w:rsidRPr="00F30237">
        <w:rPr>
          <w:lang w:val="fr-FR"/>
        </w:rPr>
        <w:t xml:space="preserve"> 67 du 28 avril 2014</w:t>
      </w:r>
    </w:p>
    <w:p w:rsidRPr="00F30237" w:rsidR="00E44B72" w:rsidP="00F30237" w:rsidRDefault="00E44B72">
      <w:pPr>
        <w:pStyle w:val="ECHRPara"/>
        <w:rPr>
          <w:lang w:val="fr-FR"/>
        </w:rPr>
      </w:pPr>
      <w:r w:rsidRPr="00F30237">
        <w:rPr>
          <w:lang w:val="fr-FR"/>
        </w:rPr>
        <w:t>28.  La loi n</w:t>
      </w:r>
      <w:r w:rsidRPr="00F30237">
        <w:rPr>
          <w:vertAlign w:val="superscript"/>
          <w:lang w:val="fr-FR"/>
        </w:rPr>
        <w:t>o</w:t>
      </w:r>
      <w:r w:rsidRPr="00F30237">
        <w:rPr>
          <w:lang w:val="fr-FR"/>
        </w:rPr>
        <w:t xml:space="preserve"> 67 du 28 avril 2014 contient des dispositions concernant les procédures menées à l</w:t>
      </w:r>
      <w:r w:rsidRPr="00F30237" w:rsidR="00F30237">
        <w:rPr>
          <w:lang w:val="fr-FR"/>
        </w:rPr>
        <w:t>’</w:t>
      </w:r>
      <w:r w:rsidRPr="00F30237">
        <w:rPr>
          <w:lang w:val="fr-FR"/>
        </w:rPr>
        <w:t>encontre d</w:t>
      </w:r>
      <w:r w:rsidRPr="00F30237" w:rsidR="00F30237">
        <w:rPr>
          <w:lang w:val="fr-FR"/>
        </w:rPr>
        <w:t>’</w:t>
      </w:r>
      <w:r w:rsidRPr="00F30237">
        <w:rPr>
          <w:lang w:val="fr-FR"/>
        </w:rPr>
        <w:t>inculpés introuvables. L</w:t>
      </w:r>
      <w:r w:rsidRPr="00F30237" w:rsidR="00F30237">
        <w:rPr>
          <w:lang w:val="fr-FR"/>
        </w:rPr>
        <w:t>’</w:t>
      </w:r>
      <w:r w:rsidRPr="00F30237">
        <w:rPr>
          <w:lang w:val="fr-FR"/>
        </w:rPr>
        <w:t>article 9 de ladite loi a modifié l</w:t>
      </w:r>
      <w:r w:rsidRPr="00F30237" w:rsidR="00F30237">
        <w:rPr>
          <w:lang w:val="fr-FR"/>
        </w:rPr>
        <w:t>’</w:t>
      </w:r>
      <w:r w:rsidRPr="00F30237">
        <w:rPr>
          <w:lang w:val="fr-FR"/>
        </w:rPr>
        <w:t>article 420</w:t>
      </w:r>
      <w:r w:rsidRPr="00F30237">
        <w:rPr>
          <w:i/>
          <w:lang w:val="fr-FR"/>
        </w:rPr>
        <w:t>bis</w:t>
      </w:r>
      <w:r w:rsidRPr="00F30237">
        <w:rPr>
          <w:lang w:val="fr-FR"/>
        </w:rPr>
        <w:t xml:space="preserve"> du CPP en permettant au juge de procéder </w:t>
      </w:r>
      <w:r w:rsidRPr="00F30237">
        <w:rPr>
          <w:i/>
          <w:lang w:val="fr-FR"/>
        </w:rPr>
        <w:t>in</w:t>
      </w:r>
      <w:r w:rsidRPr="00F30237" w:rsidR="0011265B">
        <w:rPr>
          <w:i/>
          <w:lang w:val="fr-FR"/>
        </w:rPr>
        <w:t> </w:t>
      </w:r>
      <w:r w:rsidRPr="00F30237">
        <w:rPr>
          <w:i/>
          <w:lang w:val="fr-FR"/>
        </w:rPr>
        <w:t>absentia</w:t>
      </w:r>
      <w:r w:rsidRPr="00F30237">
        <w:rPr>
          <w:lang w:val="fr-FR"/>
        </w:rPr>
        <w:t xml:space="preserve"> seulement s</w:t>
      </w:r>
      <w:r w:rsidRPr="00F30237" w:rsidR="00F30237">
        <w:rPr>
          <w:lang w:val="fr-FR"/>
        </w:rPr>
        <w:t>’</w:t>
      </w:r>
      <w:r w:rsidRPr="00F30237">
        <w:rPr>
          <w:lang w:val="fr-FR"/>
        </w:rPr>
        <w:t>il est démontré que l</w:t>
      </w:r>
      <w:r w:rsidRPr="00F30237" w:rsidR="00F30237">
        <w:rPr>
          <w:lang w:val="fr-FR"/>
        </w:rPr>
        <w:t>’</w:t>
      </w:r>
      <w:r w:rsidRPr="00F30237">
        <w:rPr>
          <w:lang w:val="fr-FR"/>
        </w:rPr>
        <w:t>inculpé a eu connaissance de la procédure à son encontre et s</w:t>
      </w:r>
      <w:r w:rsidRPr="00F30237" w:rsidR="00F30237">
        <w:rPr>
          <w:lang w:val="fr-FR"/>
        </w:rPr>
        <w:t>’</w:t>
      </w:r>
      <w:r w:rsidRPr="00F30237">
        <w:rPr>
          <w:lang w:val="fr-FR"/>
        </w:rPr>
        <w:t>il a « expressément renoncé à y participer ».</w:t>
      </w:r>
    </w:p>
    <w:p w:rsidRPr="00F30237" w:rsidR="00E44B72" w:rsidP="00F30237" w:rsidRDefault="00E44B72">
      <w:pPr>
        <w:pStyle w:val="ECHRTitle1"/>
        <w:rPr>
          <w:lang w:val="fr-FR"/>
        </w:rPr>
      </w:pPr>
      <w:r w:rsidRPr="00F30237">
        <w:rPr>
          <w:lang w:val="fr-FR"/>
        </w:rPr>
        <w:t>EN DROIT</w:t>
      </w:r>
    </w:p>
    <w:p w:rsidRPr="00F30237" w:rsidR="00E44B72" w:rsidP="00F30237" w:rsidRDefault="00E44B72">
      <w:pPr>
        <w:pStyle w:val="ECHRHeading1"/>
        <w:rPr>
          <w:lang w:val="fr-FR"/>
        </w:rPr>
      </w:pPr>
      <w:r w:rsidRPr="00F30237">
        <w:rPr>
          <w:lang w:val="fr-FR"/>
        </w:rPr>
        <w:t>I.  SUR LA VIOLATION ALLÉGUÉE DE L</w:t>
      </w:r>
      <w:r w:rsidRPr="00F30237" w:rsidR="00F30237">
        <w:rPr>
          <w:lang w:val="fr-FR"/>
        </w:rPr>
        <w:t>’</w:t>
      </w:r>
      <w:r w:rsidRPr="00F30237">
        <w:rPr>
          <w:lang w:val="fr-FR"/>
        </w:rPr>
        <w:t>ARTICLE 5 § 4 DE LA CONVENTION</w:t>
      </w:r>
    </w:p>
    <w:p w:rsidRPr="00F30237" w:rsidR="00E44B72" w:rsidP="00F30237" w:rsidRDefault="00E44B72">
      <w:pPr>
        <w:pStyle w:val="ECHRPara"/>
        <w:rPr>
          <w:lang w:val="fr-FR"/>
        </w:rPr>
      </w:pPr>
      <w:r w:rsidRPr="00F30237">
        <w:rPr>
          <w:lang w:val="fr-FR"/>
        </w:rPr>
        <w:t>29.  Le requérant se plaint de ne pas avoir bénéficié d</w:t>
      </w:r>
      <w:r w:rsidRPr="00F30237" w:rsidR="00F30237">
        <w:rPr>
          <w:lang w:val="fr-FR"/>
        </w:rPr>
        <w:t>’</w:t>
      </w:r>
      <w:r w:rsidRPr="00F30237">
        <w:rPr>
          <w:lang w:val="fr-FR"/>
        </w:rPr>
        <w:t>un contrôle juridictionnel effectif de la légalité de sa détention provisoire et soutient que la procédure présentait plusieurs insuffisances. Il invoque les</w:t>
      </w:r>
      <w:r w:rsidRPr="00F30237" w:rsidR="009D460D">
        <w:rPr>
          <w:lang w:val="fr-FR"/>
        </w:rPr>
        <w:t xml:space="preserve"> </w:t>
      </w:r>
      <w:r w:rsidRPr="00F30237">
        <w:rPr>
          <w:lang w:val="fr-FR"/>
        </w:rPr>
        <w:t>articles</w:t>
      </w:r>
      <w:r w:rsidRPr="00F30237" w:rsidR="009D460D">
        <w:rPr>
          <w:lang w:val="fr-FR"/>
        </w:rPr>
        <w:t xml:space="preserve"> </w:t>
      </w:r>
      <w:r w:rsidRPr="00F30237">
        <w:rPr>
          <w:lang w:val="fr-FR"/>
        </w:rPr>
        <w:t>5</w:t>
      </w:r>
      <w:r w:rsidRPr="00F30237" w:rsidR="0046486E">
        <w:rPr>
          <w:lang w:val="fr-FR"/>
        </w:rPr>
        <w:t> </w:t>
      </w:r>
      <w:r w:rsidRPr="00F30237">
        <w:rPr>
          <w:lang w:val="fr-FR"/>
        </w:rPr>
        <w:t>§</w:t>
      </w:r>
      <w:r w:rsidRPr="00F30237" w:rsidR="0046486E">
        <w:rPr>
          <w:lang w:val="fr-FR"/>
        </w:rPr>
        <w:t> </w:t>
      </w:r>
      <w:r w:rsidRPr="00F30237">
        <w:rPr>
          <w:lang w:val="fr-FR"/>
        </w:rPr>
        <w:t>3,</w:t>
      </w:r>
      <w:r w:rsidRPr="00F30237" w:rsidR="009D460D">
        <w:rPr>
          <w:lang w:val="fr-FR"/>
        </w:rPr>
        <w:t xml:space="preserve"> </w:t>
      </w:r>
      <w:r w:rsidRPr="00F30237">
        <w:rPr>
          <w:lang w:val="fr-FR"/>
        </w:rPr>
        <w:t>5 § 4, 6 §§ 1 et 3 b) et c) et 13 de la Convention.</w:t>
      </w:r>
    </w:p>
    <w:p w:rsidRPr="00F30237" w:rsidR="00E44B72" w:rsidP="00F30237" w:rsidRDefault="00E44B72">
      <w:pPr>
        <w:pStyle w:val="ECHRPara"/>
        <w:rPr>
          <w:lang w:val="fr-FR"/>
        </w:rPr>
      </w:pPr>
      <w:r w:rsidRPr="00F30237">
        <w:rPr>
          <w:lang w:val="fr-FR"/>
        </w:rPr>
        <w:t>30.  La Cour considère que les griefs du requérant tombent dans le champ d</w:t>
      </w:r>
      <w:r w:rsidRPr="00F30237" w:rsidR="00F30237">
        <w:rPr>
          <w:lang w:val="fr-FR"/>
        </w:rPr>
        <w:t>’</w:t>
      </w:r>
      <w:r w:rsidRPr="00F30237">
        <w:rPr>
          <w:lang w:val="fr-FR"/>
        </w:rPr>
        <w:t>application du paragraphe 4 de l</w:t>
      </w:r>
      <w:r w:rsidRPr="00F30237" w:rsidR="00F30237">
        <w:rPr>
          <w:lang w:val="fr-FR"/>
        </w:rPr>
        <w:t>’</w:t>
      </w:r>
      <w:r w:rsidRPr="00F30237">
        <w:rPr>
          <w:lang w:val="fr-FR"/>
        </w:rPr>
        <w:t>article 5, qui garantit à toute personne arrêtée le droit d</w:t>
      </w:r>
      <w:r w:rsidRPr="00F30237" w:rsidR="00F30237">
        <w:rPr>
          <w:lang w:val="fr-FR"/>
        </w:rPr>
        <w:t>’</w:t>
      </w:r>
      <w:r w:rsidRPr="00F30237">
        <w:rPr>
          <w:lang w:val="fr-FR"/>
        </w:rPr>
        <w:t>introduire un recours devant un tribunal, afin qu</w:t>
      </w:r>
      <w:r w:rsidRPr="00F30237" w:rsidR="00F30237">
        <w:rPr>
          <w:lang w:val="fr-FR"/>
        </w:rPr>
        <w:t>’</w:t>
      </w:r>
      <w:r w:rsidRPr="00F30237">
        <w:rPr>
          <w:lang w:val="fr-FR"/>
        </w:rPr>
        <w:t>il statue sur la légalité de sa détention. Selon sa jurisprudence, en effet, une procédure concernant la légalité d</w:t>
      </w:r>
      <w:r w:rsidRPr="00F30237" w:rsidR="00F30237">
        <w:rPr>
          <w:lang w:val="fr-FR"/>
        </w:rPr>
        <w:t>’</w:t>
      </w:r>
      <w:r w:rsidRPr="00F30237">
        <w:rPr>
          <w:lang w:val="fr-FR"/>
        </w:rPr>
        <w:t>une détention provisoire ne porte pas sur le « bien-fondé » d</w:t>
      </w:r>
      <w:r w:rsidRPr="00F30237" w:rsidR="00F30237">
        <w:rPr>
          <w:lang w:val="fr-FR"/>
        </w:rPr>
        <w:t>’</w:t>
      </w:r>
      <w:r w:rsidRPr="00F30237">
        <w:rPr>
          <w:lang w:val="fr-FR"/>
        </w:rPr>
        <w:t>une « accusation en matière pénale », et l</w:t>
      </w:r>
      <w:r w:rsidRPr="00F30237" w:rsidR="00F30237">
        <w:rPr>
          <w:lang w:val="fr-FR"/>
        </w:rPr>
        <w:t>’</w:t>
      </w:r>
      <w:r w:rsidRPr="00F30237" w:rsidR="00E30962">
        <w:rPr>
          <w:lang w:val="fr-FR"/>
        </w:rPr>
        <w:t>article </w:t>
      </w:r>
      <w:r w:rsidRPr="00F30237">
        <w:rPr>
          <w:lang w:val="fr-FR"/>
        </w:rPr>
        <w:t>5</w:t>
      </w:r>
      <w:r w:rsidRPr="00F30237" w:rsidR="0011265B">
        <w:rPr>
          <w:lang w:val="fr-FR"/>
        </w:rPr>
        <w:t> </w:t>
      </w:r>
      <w:r w:rsidRPr="00F30237">
        <w:rPr>
          <w:lang w:val="fr-FR"/>
        </w:rPr>
        <w:t>§</w:t>
      </w:r>
      <w:r w:rsidRPr="00F30237" w:rsidR="0011265B">
        <w:rPr>
          <w:lang w:val="fr-FR"/>
        </w:rPr>
        <w:t> </w:t>
      </w:r>
      <w:r w:rsidRPr="00F30237">
        <w:rPr>
          <w:lang w:val="fr-FR"/>
        </w:rPr>
        <w:t xml:space="preserve">4 constitue une </w:t>
      </w:r>
      <w:proofErr w:type="spellStart"/>
      <w:r w:rsidRPr="00F30237">
        <w:rPr>
          <w:i/>
          <w:lang w:val="fr-FR"/>
        </w:rPr>
        <w:t>lex</w:t>
      </w:r>
      <w:proofErr w:type="spellEnd"/>
      <w:r w:rsidRPr="00F30237">
        <w:rPr>
          <w:i/>
          <w:lang w:val="fr-FR"/>
        </w:rPr>
        <w:t xml:space="preserve"> </w:t>
      </w:r>
      <w:proofErr w:type="spellStart"/>
      <w:r w:rsidRPr="00F30237">
        <w:rPr>
          <w:i/>
          <w:lang w:val="fr-FR"/>
        </w:rPr>
        <w:t>specialis</w:t>
      </w:r>
      <w:proofErr w:type="spellEnd"/>
      <w:r w:rsidRPr="00F30237">
        <w:rPr>
          <w:lang w:val="fr-FR"/>
        </w:rPr>
        <w:t xml:space="preserve"> en matière de détention par rapport aux exigences plus générales de l</w:t>
      </w:r>
      <w:r w:rsidRPr="00F30237" w:rsidR="00F30237">
        <w:rPr>
          <w:lang w:val="fr-FR"/>
        </w:rPr>
        <w:t>’</w:t>
      </w:r>
      <w:r w:rsidRPr="00F30237">
        <w:rPr>
          <w:lang w:val="fr-FR"/>
        </w:rPr>
        <w:t>article 13 de la Convention et du volet civil de l</w:t>
      </w:r>
      <w:r w:rsidRPr="00F30237" w:rsidR="00F30237">
        <w:rPr>
          <w:lang w:val="fr-FR"/>
        </w:rPr>
        <w:t>’</w:t>
      </w:r>
      <w:r w:rsidRPr="00F30237">
        <w:rPr>
          <w:lang w:val="fr-FR"/>
        </w:rPr>
        <w:t>article 6 (</w:t>
      </w:r>
      <w:proofErr w:type="spellStart"/>
      <w:r w:rsidRPr="00F30237">
        <w:rPr>
          <w:i/>
          <w:lang w:val="fr-FR"/>
        </w:rPr>
        <w:t>Fodale</w:t>
      </w:r>
      <w:proofErr w:type="spellEnd"/>
      <w:r w:rsidRPr="00F30237">
        <w:rPr>
          <w:i/>
          <w:lang w:val="fr-FR"/>
        </w:rPr>
        <w:t xml:space="preserve"> c. Italie</w:t>
      </w:r>
      <w:r w:rsidRPr="00F30237">
        <w:rPr>
          <w:lang w:val="fr-FR"/>
        </w:rPr>
        <w:t>, n</w:t>
      </w:r>
      <w:r w:rsidRPr="00F30237">
        <w:rPr>
          <w:vertAlign w:val="superscript"/>
          <w:lang w:val="fr-FR"/>
        </w:rPr>
        <w:t>o</w:t>
      </w:r>
      <w:r w:rsidRPr="00F30237">
        <w:rPr>
          <w:lang w:val="fr-FR"/>
        </w:rPr>
        <w:t xml:space="preserve"> 70148/01, §§ 27 et 28, CEDH</w:t>
      </w:r>
      <w:r w:rsidRPr="00F30237" w:rsidR="0046486E">
        <w:rPr>
          <w:lang w:val="fr-FR"/>
        </w:rPr>
        <w:t> </w:t>
      </w:r>
      <w:r w:rsidRPr="00F30237">
        <w:rPr>
          <w:lang w:val="fr-FR"/>
        </w:rPr>
        <w:t>2006</w:t>
      </w:r>
      <w:r w:rsidRPr="00F30237">
        <w:rPr>
          <w:lang w:val="fr-FR"/>
        </w:rPr>
        <w:noBreakHyphen/>
        <w:t>VII).</w:t>
      </w:r>
    </w:p>
    <w:p w:rsidRPr="00F30237" w:rsidR="00E44B72" w:rsidP="00F30237" w:rsidRDefault="00E44B72">
      <w:pPr>
        <w:pStyle w:val="ECHRPara"/>
        <w:rPr>
          <w:lang w:val="fr-FR"/>
        </w:rPr>
      </w:pPr>
      <w:r w:rsidRPr="00F30237">
        <w:rPr>
          <w:lang w:val="fr-FR"/>
        </w:rPr>
        <w:t>31.  Il y a donc lieu d</w:t>
      </w:r>
      <w:r w:rsidRPr="00F30237" w:rsidR="00F30237">
        <w:rPr>
          <w:lang w:val="fr-FR"/>
        </w:rPr>
        <w:t>’</w:t>
      </w:r>
      <w:r w:rsidRPr="00F30237">
        <w:rPr>
          <w:lang w:val="fr-FR"/>
        </w:rPr>
        <w:t>examiner la présente requête exclusivement sous l</w:t>
      </w:r>
      <w:r w:rsidRPr="00F30237" w:rsidR="00F30237">
        <w:rPr>
          <w:lang w:val="fr-FR"/>
        </w:rPr>
        <w:t>’</w:t>
      </w:r>
      <w:r w:rsidRPr="00F30237">
        <w:rPr>
          <w:lang w:val="fr-FR"/>
        </w:rPr>
        <w:t>angle de l</w:t>
      </w:r>
      <w:r w:rsidRPr="00F30237" w:rsidR="00F30237">
        <w:rPr>
          <w:lang w:val="fr-FR"/>
        </w:rPr>
        <w:t>’</w:t>
      </w:r>
      <w:r w:rsidRPr="00F30237">
        <w:rPr>
          <w:lang w:val="fr-FR"/>
        </w:rPr>
        <w:t>article 5 § 4, ainsi libellé :</w:t>
      </w:r>
    </w:p>
    <w:p w:rsidRPr="00F30237" w:rsidR="00E44B72" w:rsidP="00F30237" w:rsidRDefault="00E44B72">
      <w:pPr>
        <w:pStyle w:val="ECHRParaQuote"/>
        <w:rPr>
          <w:lang w:val="fr-FR"/>
        </w:rPr>
      </w:pPr>
      <w:r w:rsidRPr="00F30237">
        <w:rPr>
          <w:lang w:val="fr-FR"/>
        </w:rPr>
        <w:t>« Toute personne privée de sa liberté par arrestation ou détention a le droit d</w:t>
      </w:r>
      <w:r w:rsidRPr="00F30237" w:rsidR="00F30237">
        <w:rPr>
          <w:lang w:val="fr-FR"/>
        </w:rPr>
        <w:t>’</w:t>
      </w:r>
      <w:r w:rsidRPr="00F30237">
        <w:rPr>
          <w:lang w:val="fr-FR"/>
        </w:rPr>
        <w:t>introduire un recours devant un tribunal, afin qu</w:t>
      </w:r>
      <w:r w:rsidRPr="00F30237" w:rsidR="00F30237">
        <w:rPr>
          <w:lang w:val="fr-FR"/>
        </w:rPr>
        <w:t>’</w:t>
      </w:r>
      <w:r w:rsidRPr="00F30237">
        <w:rPr>
          <w:lang w:val="fr-FR"/>
        </w:rPr>
        <w:t>il statue à bref délai sur la légalité de sa détention et ordonne sa libération si la détention est illégale. »</w:t>
      </w:r>
    </w:p>
    <w:p w:rsidRPr="00F30237" w:rsidR="00E44B72" w:rsidP="00F30237" w:rsidRDefault="00E44B72">
      <w:pPr>
        <w:pStyle w:val="ECHRHeading2"/>
        <w:rPr>
          <w:lang w:val="fr-FR"/>
        </w:rPr>
      </w:pPr>
      <w:r w:rsidRPr="00F30237">
        <w:rPr>
          <w:lang w:val="fr-FR"/>
        </w:rPr>
        <w:t>A.  Sur la recevabilité</w:t>
      </w:r>
    </w:p>
    <w:p w:rsidRPr="00F30237" w:rsidR="00E44B72" w:rsidP="00F30237" w:rsidRDefault="00E44B72">
      <w:pPr>
        <w:pStyle w:val="ECHRPara"/>
        <w:rPr>
          <w:lang w:val="fr-FR"/>
        </w:rPr>
      </w:pPr>
      <w:r w:rsidRPr="00F30237">
        <w:rPr>
          <w:lang w:val="fr-FR"/>
        </w:rPr>
        <w:t>32.  Le Gouvernement observe tout d</w:t>
      </w:r>
      <w:r w:rsidRPr="00F30237" w:rsidR="00F30237">
        <w:rPr>
          <w:lang w:val="fr-FR"/>
        </w:rPr>
        <w:t>’</w:t>
      </w:r>
      <w:r w:rsidRPr="00F30237">
        <w:rPr>
          <w:lang w:val="fr-FR"/>
        </w:rPr>
        <w:t>abord que le requérant n</w:t>
      </w:r>
      <w:r w:rsidRPr="00F30237" w:rsidR="00F30237">
        <w:rPr>
          <w:lang w:val="fr-FR"/>
        </w:rPr>
        <w:t>’</w:t>
      </w:r>
      <w:r w:rsidRPr="00F30237">
        <w:rPr>
          <w:lang w:val="fr-FR"/>
        </w:rPr>
        <w:t>a pas interjeté appel contre la décision du 9 février 2011, par laquelle le juge des investigations préliminaires de Palerme avait rejeté la demande de révocation de la mesure de précaution présentée sur le fondement de l</w:t>
      </w:r>
      <w:r w:rsidRPr="00F30237" w:rsidR="00F30237">
        <w:rPr>
          <w:lang w:val="fr-FR"/>
        </w:rPr>
        <w:t>’</w:t>
      </w:r>
      <w:r w:rsidRPr="00F30237">
        <w:rPr>
          <w:lang w:val="fr-FR"/>
        </w:rPr>
        <w:t>article 299 du CPP. De ce fait, le requérant n</w:t>
      </w:r>
      <w:r w:rsidRPr="00F30237" w:rsidR="00F30237">
        <w:rPr>
          <w:lang w:val="fr-FR"/>
        </w:rPr>
        <w:t>’</w:t>
      </w:r>
      <w:r w:rsidRPr="00F30237">
        <w:rPr>
          <w:lang w:val="fr-FR"/>
        </w:rPr>
        <w:t>aurait pas épuisé les recours effectifs dont il aurait disposé pour obtenir un contrôle de la régularité de sa détention et son élargissement. À cet égard, le Gouvernement expose que le juge compétent pour ordonner la révocation de la mesure de précaution peut à tout moment considérer que le maintien en détention provisoire n</w:t>
      </w:r>
      <w:r w:rsidRPr="00F30237" w:rsidR="00F30237">
        <w:rPr>
          <w:lang w:val="fr-FR"/>
        </w:rPr>
        <w:t>’</w:t>
      </w:r>
      <w:r w:rsidRPr="00F30237">
        <w:rPr>
          <w:lang w:val="fr-FR"/>
        </w:rPr>
        <w:t>est pas justifié et ordonner l</w:t>
      </w:r>
      <w:r w:rsidRPr="00F30237" w:rsidR="00F30237">
        <w:rPr>
          <w:lang w:val="fr-FR"/>
        </w:rPr>
        <w:t>’</w:t>
      </w:r>
      <w:r w:rsidRPr="00F30237">
        <w:rPr>
          <w:lang w:val="fr-FR"/>
        </w:rPr>
        <w:t>élargissement de l</w:t>
      </w:r>
      <w:r w:rsidRPr="00F30237" w:rsidR="00F30237">
        <w:rPr>
          <w:lang w:val="fr-FR"/>
        </w:rPr>
        <w:t>’</w:t>
      </w:r>
      <w:r w:rsidRPr="00F30237">
        <w:rPr>
          <w:lang w:val="fr-FR"/>
        </w:rPr>
        <w:t>intéressé, même si l</w:t>
      </w:r>
      <w:r w:rsidRPr="00F30237" w:rsidR="00F30237">
        <w:rPr>
          <w:lang w:val="fr-FR"/>
        </w:rPr>
        <w:t>’</w:t>
      </w:r>
      <w:r w:rsidRPr="00F30237">
        <w:rPr>
          <w:lang w:val="fr-FR"/>
        </w:rPr>
        <w:t>ordonnance de placement en détention n</w:t>
      </w:r>
      <w:r w:rsidRPr="00F30237" w:rsidR="00F30237">
        <w:rPr>
          <w:lang w:val="fr-FR"/>
        </w:rPr>
        <w:t>’</w:t>
      </w:r>
      <w:r w:rsidRPr="00F30237">
        <w:rPr>
          <w:lang w:val="fr-FR"/>
        </w:rPr>
        <w:t>a pas fait l</w:t>
      </w:r>
      <w:r w:rsidRPr="00F30237" w:rsidR="00F30237">
        <w:rPr>
          <w:lang w:val="fr-FR"/>
        </w:rPr>
        <w:t>’</w:t>
      </w:r>
      <w:r w:rsidRPr="00F30237">
        <w:rPr>
          <w:lang w:val="fr-FR"/>
        </w:rPr>
        <w:t>objet d</w:t>
      </w:r>
      <w:r w:rsidRPr="00F30237" w:rsidR="00F30237">
        <w:rPr>
          <w:lang w:val="fr-FR"/>
        </w:rPr>
        <w:t>’</w:t>
      </w:r>
      <w:r w:rsidRPr="00F30237">
        <w:rPr>
          <w:lang w:val="fr-FR"/>
        </w:rPr>
        <w:t>un appel au préalable.</w:t>
      </w:r>
    </w:p>
    <w:p w:rsidRPr="00F30237" w:rsidR="00E44B72" w:rsidP="00F30237" w:rsidRDefault="00E44B72">
      <w:pPr>
        <w:pStyle w:val="ECHRPara"/>
        <w:rPr>
          <w:lang w:val="fr-FR"/>
        </w:rPr>
      </w:pPr>
      <w:r w:rsidRPr="00F30237">
        <w:rPr>
          <w:lang w:val="fr-FR"/>
        </w:rPr>
        <w:t>33.  Le Gouvernement ajoute que le requérant avait la possibilité d</w:t>
      </w:r>
      <w:r w:rsidRPr="00F30237" w:rsidR="00F30237">
        <w:rPr>
          <w:lang w:val="fr-FR"/>
        </w:rPr>
        <w:t>’</w:t>
      </w:r>
      <w:r w:rsidRPr="00F30237">
        <w:rPr>
          <w:lang w:val="fr-FR"/>
        </w:rPr>
        <w:t>introduire une demande en relevé de forclusion sur le fondement de l</w:t>
      </w:r>
      <w:r w:rsidRPr="00F30237" w:rsidR="00F30237">
        <w:rPr>
          <w:lang w:val="fr-FR"/>
        </w:rPr>
        <w:t>’</w:t>
      </w:r>
      <w:r w:rsidRPr="00F30237">
        <w:rPr>
          <w:lang w:val="fr-FR"/>
        </w:rPr>
        <w:t>article 175 § 1 du CPP, qui serait la disposition interne de droit commun en matière de réouverture des délais. Il soutient que cette disposition offrait au requérant la faculté de prouver qu</w:t>
      </w:r>
      <w:r w:rsidRPr="00F30237" w:rsidR="00F30237">
        <w:rPr>
          <w:lang w:val="fr-FR"/>
        </w:rPr>
        <w:t>’</w:t>
      </w:r>
      <w:r w:rsidRPr="00F30237">
        <w:rPr>
          <w:lang w:val="fr-FR"/>
        </w:rPr>
        <w:t>il ne se serait pas volontairement soustrait à la justice, et donc d</w:t>
      </w:r>
      <w:r w:rsidRPr="00F30237" w:rsidR="00F30237">
        <w:rPr>
          <w:lang w:val="fr-FR"/>
        </w:rPr>
        <w:t>’</w:t>
      </w:r>
      <w:r w:rsidRPr="00F30237">
        <w:rPr>
          <w:lang w:val="fr-FR"/>
        </w:rPr>
        <w:t>obtenir la réouverture du délai aux fins d</w:t>
      </w:r>
      <w:r w:rsidRPr="00F30237" w:rsidR="00F30237">
        <w:rPr>
          <w:lang w:val="fr-FR"/>
        </w:rPr>
        <w:t>’</w:t>
      </w:r>
      <w:r w:rsidRPr="00F30237">
        <w:rPr>
          <w:lang w:val="fr-FR"/>
        </w:rPr>
        <w:t>introduction d</w:t>
      </w:r>
      <w:r w:rsidRPr="00F30237" w:rsidR="00F30237">
        <w:rPr>
          <w:lang w:val="fr-FR"/>
        </w:rPr>
        <w:t>’</w:t>
      </w:r>
      <w:r w:rsidRPr="00F30237">
        <w:rPr>
          <w:lang w:val="fr-FR"/>
        </w:rPr>
        <w:t>un nouvel appel à l</w:t>
      </w:r>
      <w:r w:rsidRPr="00F30237" w:rsidR="00F30237">
        <w:rPr>
          <w:lang w:val="fr-FR"/>
        </w:rPr>
        <w:t>’</w:t>
      </w:r>
      <w:r w:rsidRPr="00F30237">
        <w:rPr>
          <w:lang w:val="fr-FR"/>
        </w:rPr>
        <w:t>encontre de la décision de mise en détention provisoire.</w:t>
      </w:r>
    </w:p>
    <w:p w:rsidRPr="00F30237" w:rsidR="00E44B72" w:rsidP="00F30237" w:rsidRDefault="00E44B72">
      <w:pPr>
        <w:pStyle w:val="ECHRPara"/>
        <w:rPr>
          <w:lang w:val="fr-FR"/>
        </w:rPr>
      </w:pPr>
      <w:r w:rsidRPr="00F30237">
        <w:rPr>
          <w:lang w:val="fr-FR"/>
        </w:rPr>
        <w:t>34.  Le requérant conteste les arguments du Gouvernement et indique que le droit national offre une seule voie de recours permettant de faire examiner la légalité d</w:t>
      </w:r>
      <w:r w:rsidRPr="00F30237" w:rsidR="00F30237">
        <w:rPr>
          <w:lang w:val="fr-FR"/>
        </w:rPr>
        <w:t>’</w:t>
      </w:r>
      <w:r w:rsidRPr="00F30237">
        <w:rPr>
          <w:lang w:val="fr-FR"/>
        </w:rPr>
        <w:t>une détention provisoire, à savoir la saisine, au titre de l</w:t>
      </w:r>
      <w:r w:rsidRPr="00F30237" w:rsidR="00F30237">
        <w:rPr>
          <w:lang w:val="fr-FR"/>
        </w:rPr>
        <w:t>’</w:t>
      </w:r>
      <w:r w:rsidRPr="00F30237">
        <w:rPr>
          <w:lang w:val="fr-FR"/>
        </w:rPr>
        <w:t>article 309 du CPP, de la chambre chargée de réexaminer les mesures de précaution. Les juridictions compétentes feraient toutefois du principe de l</w:t>
      </w:r>
      <w:r w:rsidRPr="00F30237" w:rsidR="00F30237">
        <w:rPr>
          <w:lang w:val="fr-FR"/>
        </w:rPr>
        <w:t>’</w:t>
      </w:r>
      <w:r w:rsidRPr="00F30237">
        <w:rPr>
          <w:lang w:val="fr-FR"/>
        </w:rPr>
        <w:t> « unicité du droit d</w:t>
      </w:r>
      <w:r w:rsidRPr="00F30237" w:rsidR="00F30237">
        <w:rPr>
          <w:lang w:val="fr-FR"/>
        </w:rPr>
        <w:t>’</w:t>
      </w:r>
      <w:r w:rsidRPr="00F30237">
        <w:rPr>
          <w:lang w:val="fr-FR"/>
        </w:rPr>
        <w:t>appel » une application restrictive qui l</w:t>
      </w:r>
      <w:r w:rsidRPr="00F30237" w:rsidR="00F30237">
        <w:rPr>
          <w:lang w:val="fr-FR"/>
        </w:rPr>
        <w:t>’</w:t>
      </w:r>
      <w:r w:rsidRPr="00F30237">
        <w:rPr>
          <w:lang w:val="fr-FR"/>
        </w:rPr>
        <w:t>aurait empêché d</w:t>
      </w:r>
      <w:r w:rsidRPr="00F30237" w:rsidR="00F30237">
        <w:rPr>
          <w:lang w:val="fr-FR"/>
        </w:rPr>
        <w:t>’</w:t>
      </w:r>
      <w:r w:rsidRPr="00F30237">
        <w:rPr>
          <w:lang w:val="fr-FR"/>
        </w:rPr>
        <w:t>avoir une véritable occasion d</w:t>
      </w:r>
      <w:r w:rsidRPr="00F30237" w:rsidR="00F30237">
        <w:rPr>
          <w:lang w:val="fr-FR"/>
        </w:rPr>
        <w:t>’</w:t>
      </w:r>
      <w:r w:rsidRPr="00F30237">
        <w:rPr>
          <w:lang w:val="fr-FR"/>
        </w:rPr>
        <w:t>exercer cette voie de recours.</w:t>
      </w:r>
    </w:p>
    <w:p w:rsidRPr="00F30237" w:rsidR="00E44B72" w:rsidP="00F30237" w:rsidRDefault="00E44B72">
      <w:pPr>
        <w:pStyle w:val="ECHRPara"/>
        <w:rPr>
          <w:lang w:val="fr-FR"/>
        </w:rPr>
      </w:pPr>
      <w:r w:rsidRPr="00F30237">
        <w:rPr>
          <w:lang w:val="fr-FR"/>
        </w:rPr>
        <w:t>35.  Quant au recours prévu à l</w:t>
      </w:r>
      <w:r w:rsidRPr="00F30237" w:rsidR="00F30237">
        <w:rPr>
          <w:lang w:val="fr-FR"/>
        </w:rPr>
        <w:t>’</w:t>
      </w:r>
      <w:r w:rsidRPr="00F30237">
        <w:rPr>
          <w:lang w:val="fr-FR"/>
        </w:rPr>
        <w:t>article 299 du CPP, il ne satisferait pas aux caractéristiques requises par l</w:t>
      </w:r>
      <w:r w:rsidRPr="00F30237" w:rsidR="00F30237">
        <w:rPr>
          <w:lang w:val="fr-FR"/>
        </w:rPr>
        <w:t>’</w:t>
      </w:r>
      <w:r w:rsidRPr="00F30237">
        <w:rPr>
          <w:lang w:val="fr-FR"/>
        </w:rPr>
        <w:t>article 5 § 4 de la Convention et n</w:t>
      </w:r>
      <w:r w:rsidRPr="00F30237" w:rsidR="00F30237">
        <w:rPr>
          <w:lang w:val="fr-FR"/>
        </w:rPr>
        <w:t>’</w:t>
      </w:r>
      <w:r w:rsidRPr="00F30237">
        <w:rPr>
          <w:lang w:val="fr-FR"/>
        </w:rPr>
        <w:t>entrerait pas en ligne de compte aux fins de la condition d</w:t>
      </w:r>
      <w:r w:rsidRPr="00F30237" w:rsidR="00F30237">
        <w:rPr>
          <w:lang w:val="fr-FR"/>
        </w:rPr>
        <w:t>’</w:t>
      </w:r>
      <w:r w:rsidRPr="00F30237">
        <w:rPr>
          <w:lang w:val="fr-FR"/>
        </w:rPr>
        <w:t>épuisement. On pourrait l</w:t>
      </w:r>
      <w:r w:rsidRPr="00F30237" w:rsidR="00F30237">
        <w:rPr>
          <w:lang w:val="fr-FR"/>
        </w:rPr>
        <w:t>’</w:t>
      </w:r>
      <w:r w:rsidRPr="00F30237">
        <w:rPr>
          <w:lang w:val="fr-FR"/>
        </w:rPr>
        <w:t>introduire uniquement pour faire valoir des faits nouveaux aptes à justifier la révocation d</w:t>
      </w:r>
      <w:r w:rsidRPr="00F30237" w:rsidR="00F30237">
        <w:rPr>
          <w:lang w:val="fr-FR"/>
        </w:rPr>
        <w:t>’</w:t>
      </w:r>
      <w:r w:rsidRPr="00F30237">
        <w:rPr>
          <w:lang w:val="fr-FR"/>
        </w:rPr>
        <w:t>une mesure privative de liberté. Il permettrait donc de faire « réexaminer la régularité de la détention à des intervalles raisonnables », mais pas d</w:t>
      </w:r>
      <w:r w:rsidRPr="00F30237" w:rsidR="00F30237">
        <w:rPr>
          <w:lang w:val="fr-FR"/>
        </w:rPr>
        <w:t>’</w:t>
      </w:r>
      <w:r w:rsidRPr="00F30237">
        <w:rPr>
          <w:lang w:val="fr-FR"/>
        </w:rPr>
        <w:t xml:space="preserve">obtenir un contrôle </w:t>
      </w:r>
      <w:r w:rsidRPr="00F30237">
        <w:rPr>
          <w:i/>
          <w:lang w:val="fr-FR"/>
        </w:rPr>
        <w:t xml:space="preserve">ab origine </w:t>
      </w:r>
      <w:r w:rsidRPr="00F30237">
        <w:rPr>
          <w:lang w:val="fr-FR"/>
        </w:rPr>
        <w:t>de la légalité de la détention. En outre, la révocation ne serait pas décidée par un collège de juges mais par un juge unique, qui de surcroît serait le juge ayant ordonné la mesure litigieuse, à savoir le juge des investigations préliminaires.</w:t>
      </w:r>
    </w:p>
    <w:p w:rsidRPr="00F30237" w:rsidR="00E44B72" w:rsidP="00F30237" w:rsidRDefault="00E44B72">
      <w:pPr>
        <w:pStyle w:val="ECHRPara"/>
        <w:rPr>
          <w:lang w:val="fr-FR"/>
        </w:rPr>
      </w:pPr>
      <w:r w:rsidRPr="00F30237">
        <w:rPr>
          <w:lang w:val="fr-FR"/>
        </w:rPr>
        <w:t>36.  Enfin, le requérant ajoute que l</w:t>
      </w:r>
      <w:r w:rsidRPr="00F30237" w:rsidR="00F30237">
        <w:rPr>
          <w:lang w:val="fr-FR"/>
        </w:rPr>
        <w:t>’</w:t>
      </w:r>
      <w:r w:rsidRPr="00F30237">
        <w:rPr>
          <w:lang w:val="fr-FR"/>
        </w:rPr>
        <w:t>article 175 § 1 du CPP permet la réouverture d</w:t>
      </w:r>
      <w:r w:rsidRPr="00F30237" w:rsidR="00F30237">
        <w:rPr>
          <w:lang w:val="fr-FR"/>
        </w:rPr>
        <w:t>’</w:t>
      </w:r>
      <w:r w:rsidRPr="00F30237">
        <w:rPr>
          <w:lang w:val="fr-FR"/>
        </w:rPr>
        <w:t>un délai dont un cas fortuit ou un cas de force majeure aurait empêché le respect. Il indique que son appel contre l</w:t>
      </w:r>
      <w:r w:rsidRPr="00F30237" w:rsidR="00F30237">
        <w:rPr>
          <w:lang w:val="fr-FR"/>
        </w:rPr>
        <w:t>’</w:t>
      </w:r>
      <w:r w:rsidRPr="00F30237">
        <w:rPr>
          <w:lang w:val="fr-FR"/>
        </w:rPr>
        <w:t>ordonnance d</w:t>
      </w:r>
      <w:r w:rsidRPr="00F30237" w:rsidR="00F30237">
        <w:rPr>
          <w:lang w:val="fr-FR"/>
        </w:rPr>
        <w:t>’</w:t>
      </w:r>
      <w:r w:rsidRPr="00F30237">
        <w:rPr>
          <w:lang w:val="fr-FR"/>
        </w:rPr>
        <w:t>application de la mesure de précaution a été introduit dans le délai fixé par l</w:t>
      </w:r>
      <w:r w:rsidRPr="00F30237" w:rsidR="00F30237">
        <w:rPr>
          <w:lang w:val="fr-FR"/>
        </w:rPr>
        <w:t>’</w:t>
      </w:r>
      <w:r w:rsidRPr="00F30237">
        <w:rPr>
          <w:lang w:val="fr-FR"/>
        </w:rPr>
        <w:t>article 309 § 2 du CPP et soutient que cette disposition n</w:t>
      </w:r>
      <w:r w:rsidRPr="00F30237" w:rsidR="00F30237">
        <w:rPr>
          <w:lang w:val="fr-FR"/>
        </w:rPr>
        <w:t>’</w:t>
      </w:r>
      <w:r w:rsidRPr="00F30237">
        <w:rPr>
          <w:lang w:val="fr-FR"/>
        </w:rPr>
        <w:t>est donc pas pertinente dans son cas.</w:t>
      </w:r>
    </w:p>
    <w:p w:rsidRPr="00F30237" w:rsidR="00E44B72" w:rsidP="00F30237" w:rsidRDefault="00E44B72">
      <w:pPr>
        <w:pStyle w:val="ECHRPara"/>
        <w:rPr>
          <w:lang w:val="fr-FR"/>
        </w:rPr>
      </w:pPr>
      <w:r w:rsidRPr="00F30237">
        <w:rPr>
          <w:lang w:val="fr-FR"/>
        </w:rPr>
        <w:t>37.  La Cour considère que les arguments du Gouvernement soulèvent en substance des exceptions de non-épuisement des voies de recours internes. Elle estime par ailleurs que, dans les circonstances de la cause, les exceptions sont étroitement liées à la substance des griefs du requérant tirés de l</w:t>
      </w:r>
      <w:r w:rsidRPr="00F30237" w:rsidR="00F30237">
        <w:rPr>
          <w:lang w:val="fr-FR"/>
        </w:rPr>
        <w:t>’</w:t>
      </w:r>
      <w:r w:rsidRPr="00F30237" w:rsidR="009D460D">
        <w:rPr>
          <w:lang w:val="fr-FR"/>
        </w:rPr>
        <w:t xml:space="preserve">article 5 </w:t>
      </w:r>
      <w:r w:rsidRPr="00F30237">
        <w:rPr>
          <w:lang w:val="fr-FR"/>
        </w:rPr>
        <w:t>§ 4 de la Convention et qu</w:t>
      </w:r>
      <w:r w:rsidRPr="00F30237" w:rsidR="00F30237">
        <w:rPr>
          <w:lang w:val="fr-FR"/>
        </w:rPr>
        <w:t>’</w:t>
      </w:r>
      <w:r w:rsidRPr="00F30237">
        <w:rPr>
          <w:lang w:val="fr-FR"/>
        </w:rPr>
        <w:t>elles doivent donc être jointes au fond. Constatant que la requête ne se heurte par ailleurs à aucun autre motif d</w:t>
      </w:r>
      <w:r w:rsidRPr="00F30237" w:rsidR="00F30237">
        <w:rPr>
          <w:lang w:val="fr-FR"/>
        </w:rPr>
        <w:t>’</w:t>
      </w:r>
      <w:r w:rsidRPr="00F30237">
        <w:rPr>
          <w:lang w:val="fr-FR"/>
        </w:rPr>
        <w:t>irrecevabilité, la Cour la déclare recevable.</w:t>
      </w:r>
    </w:p>
    <w:p w:rsidRPr="00F30237" w:rsidR="00E44B72" w:rsidP="00F30237" w:rsidRDefault="00E44B72">
      <w:pPr>
        <w:pStyle w:val="ECHRHeading2"/>
        <w:rPr>
          <w:lang w:val="fr-FR"/>
        </w:rPr>
      </w:pPr>
      <w:r w:rsidRPr="00F30237">
        <w:rPr>
          <w:lang w:val="fr-FR"/>
        </w:rPr>
        <w:t>B.  Sur le fond</w:t>
      </w:r>
    </w:p>
    <w:p w:rsidRPr="00F30237" w:rsidR="00E44B72" w:rsidP="00F30237" w:rsidRDefault="00E44B72">
      <w:pPr>
        <w:pStyle w:val="ECHRHeading3"/>
        <w:rPr>
          <w:lang w:val="fr-FR"/>
        </w:rPr>
      </w:pPr>
      <w:r w:rsidRPr="00F30237">
        <w:rPr>
          <w:lang w:val="fr-FR"/>
        </w:rPr>
        <w:t>1.  Les arguments des parties</w:t>
      </w:r>
    </w:p>
    <w:p w:rsidRPr="00F30237" w:rsidR="00E44B72" w:rsidP="00F30237" w:rsidRDefault="00E44B72">
      <w:pPr>
        <w:pStyle w:val="ECHRPara"/>
        <w:rPr>
          <w:lang w:val="fr-FR"/>
        </w:rPr>
      </w:pPr>
      <w:r w:rsidRPr="00F30237">
        <w:rPr>
          <w:lang w:val="fr-FR"/>
        </w:rPr>
        <w:t>38.  Le requérant soutient que l</w:t>
      </w:r>
      <w:r w:rsidRPr="00F30237" w:rsidR="00F30237">
        <w:rPr>
          <w:lang w:val="fr-FR"/>
        </w:rPr>
        <w:t>’</w:t>
      </w:r>
      <w:r w:rsidRPr="00F30237">
        <w:rPr>
          <w:lang w:val="fr-FR"/>
        </w:rPr>
        <w:t>interprétation faite par les juridictions nationales de l</w:t>
      </w:r>
      <w:r w:rsidRPr="00F30237" w:rsidR="00F30237">
        <w:rPr>
          <w:lang w:val="fr-FR"/>
        </w:rPr>
        <w:t>’</w:t>
      </w:r>
      <w:r w:rsidRPr="00F30237">
        <w:rPr>
          <w:lang w:val="fr-FR"/>
        </w:rPr>
        <w:t>article 309 du CPP l</w:t>
      </w:r>
      <w:r w:rsidRPr="00F30237" w:rsidR="00F30237">
        <w:rPr>
          <w:lang w:val="fr-FR"/>
        </w:rPr>
        <w:t>’</w:t>
      </w:r>
      <w:r w:rsidRPr="00F30237">
        <w:rPr>
          <w:lang w:val="fr-FR"/>
        </w:rPr>
        <w:t>a empêché de bénéficier d</w:t>
      </w:r>
      <w:r w:rsidRPr="00F30237" w:rsidR="00F30237">
        <w:rPr>
          <w:lang w:val="fr-FR"/>
        </w:rPr>
        <w:t>’</w:t>
      </w:r>
      <w:r w:rsidRPr="00F30237">
        <w:rPr>
          <w:lang w:val="fr-FR"/>
        </w:rPr>
        <w:t>un contrôle effectif de la légalité de sa détention. Le remède prévu par le système italien, qui d</w:t>
      </w:r>
      <w:r w:rsidRPr="00F30237" w:rsidR="00F30237">
        <w:rPr>
          <w:lang w:val="fr-FR"/>
        </w:rPr>
        <w:t>’</w:t>
      </w:r>
      <w:r w:rsidRPr="00F30237">
        <w:rPr>
          <w:lang w:val="fr-FR"/>
        </w:rPr>
        <w:t>une manière générale respecterait les conditions requises par l</w:t>
      </w:r>
      <w:r w:rsidRPr="00F30237" w:rsidR="00F30237">
        <w:rPr>
          <w:lang w:val="fr-FR"/>
        </w:rPr>
        <w:t>’</w:t>
      </w:r>
      <w:r w:rsidRPr="00F30237" w:rsidR="009D460D">
        <w:rPr>
          <w:lang w:val="fr-FR"/>
        </w:rPr>
        <w:t xml:space="preserve">article 5 </w:t>
      </w:r>
      <w:r w:rsidRPr="00F30237">
        <w:rPr>
          <w:lang w:val="fr-FR"/>
        </w:rPr>
        <w:t>§ 4 de la Convention, aurait été défaillant dans son cas, comme dans tous ceux où un avocat commis d</w:t>
      </w:r>
      <w:r w:rsidRPr="00F30237" w:rsidR="00F30237">
        <w:rPr>
          <w:lang w:val="fr-FR"/>
        </w:rPr>
        <w:t>’</w:t>
      </w:r>
      <w:r w:rsidRPr="00F30237">
        <w:rPr>
          <w:lang w:val="fr-FR"/>
        </w:rPr>
        <w:t>office aurait déjà introduit un recours en réexamen à l</w:t>
      </w:r>
      <w:r w:rsidRPr="00F30237" w:rsidR="00F30237">
        <w:rPr>
          <w:lang w:val="fr-FR"/>
        </w:rPr>
        <w:t>’</w:t>
      </w:r>
      <w:r w:rsidRPr="00F30237">
        <w:rPr>
          <w:lang w:val="fr-FR"/>
        </w:rPr>
        <w:t>insu d</w:t>
      </w:r>
      <w:r w:rsidRPr="00F30237" w:rsidR="00F30237">
        <w:rPr>
          <w:lang w:val="fr-FR"/>
        </w:rPr>
        <w:t>’</w:t>
      </w:r>
      <w:r w:rsidRPr="00F30237">
        <w:rPr>
          <w:lang w:val="fr-FR"/>
        </w:rPr>
        <w:t>un accusé introuvable.</w:t>
      </w:r>
    </w:p>
    <w:p w:rsidRPr="00F30237" w:rsidR="00E44B72" w:rsidP="00F30237" w:rsidRDefault="00E44B72">
      <w:pPr>
        <w:pStyle w:val="ECHRPara"/>
        <w:rPr>
          <w:lang w:val="fr-FR"/>
        </w:rPr>
      </w:pPr>
      <w:r w:rsidRPr="00F30237">
        <w:rPr>
          <w:lang w:val="fr-FR"/>
        </w:rPr>
        <w:t>39.  Le requérant expose qu</w:t>
      </w:r>
      <w:r w:rsidRPr="00F30237" w:rsidR="00F30237">
        <w:rPr>
          <w:lang w:val="fr-FR"/>
        </w:rPr>
        <w:t>’</w:t>
      </w:r>
      <w:r w:rsidRPr="00F30237">
        <w:rPr>
          <w:lang w:val="fr-FR"/>
        </w:rPr>
        <w:t>il n</w:t>
      </w:r>
      <w:r w:rsidRPr="00F30237" w:rsidR="00F30237">
        <w:rPr>
          <w:lang w:val="fr-FR"/>
        </w:rPr>
        <w:t>’</w:t>
      </w:r>
      <w:r w:rsidRPr="00F30237">
        <w:rPr>
          <w:lang w:val="fr-FR"/>
        </w:rPr>
        <w:t>a jamais eu de contacts avec l</w:t>
      </w:r>
      <w:r w:rsidRPr="00F30237" w:rsidR="00F30237">
        <w:rPr>
          <w:lang w:val="fr-FR"/>
        </w:rPr>
        <w:t>’</w:t>
      </w:r>
      <w:r w:rsidRPr="00F30237">
        <w:rPr>
          <w:lang w:val="fr-FR"/>
        </w:rPr>
        <w:t>avocat qui lui fut commis d</w:t>
      </w:r>
      <w:r w:rsidRPr="00F30237" w:rsidR="00F30237">
        <w:rPr>
          <w:lang w:val="fr-FR"/>
        </w:rPr>
        <w:t>’</w:t>
      </w:r>
      <w:r w:rsidRPr="00F30237">
        <w:rPr>
          <w:lang w:val="fr-FR"/>
        </w:rPr>
        <w:t>office, dont il aurait même ignoré l</w:t>
      </w:r>
      <w:r w:rsidRPr="00F30237" w:rsidR="00F30237">
        <w:rPr>
          <w:lang w:val="fr-FR"/>
        </w:rPr>
        <w:t>’</w:t>
      </w:r>
      <w:r w:rsidRPr="00F30237">
        <w:rPr>
          <w:lang w:val="fr-FR"/>
        </w:rPr>
        <w:t>existence jusqu</w:t>
      </w:r>
      <w:r w:rsidRPr="00F30237" w:rsidR="00F30237">
        <w:rPr>
          <w:lang w:val="fr-FR"/>
        </w:rPr>
        <w:t>’</w:t>
      </w:r>
      <w:r w:rsidRPr="00F30237">
        <w:rPr>
          <w:lang w:val="fr-FR"/>
        </w:rPr>
        <w:t>au moment du rejet de son propre recours, et il considère qu</w:t>
      </w:r>
      <w:r w:rsidRPr="00F30237" w:rsidR="00F30237">
        <w:rPr>
          <w:lang w:val="fr-FR"/>
        </w:rPr>
        <w:t>’</w:t>
      </w:r>
      <w:r w:rsidRPr="00F30237">
        <w:rPr>
          <w:lang w:val="fr-FR"/>
        </w:rPr>
        <w:t>il n</w:t>
      </w:r>
      <w:r w:rsidRPr="00F30237" w:rsidR="00F30237">
        <w:rPr>
          <w:lang w:val="fr-FR"/>
        </w:rPr>
        <w:t>’</w:t>
      </w:r>
      <w:r w:rsidRPr="00F30237">
        <w:rPr>
          <w:lang w:val="fr-FR"/>
        </w:rPr>
        <w:t>a pas pu faire valoir ses propres arguments à l</w:t>
      </w:r>
      <w:r w:rsidRPr="00F30237" w:rsidR="00F30237">
        <w:rPr>
          <w:lang w:val="fr-FR"/>
        </w:rPr>
        <w:t>’</w:t>
      </w:r>
      <w:r w:rsidRPr="00F30237">
        <w:rPr>
          <w:lang w:val="fr-FR"/>
        </w:rPr>
        <w:t>encontre de la décision privative de liberté.</w:t>
      </w:r>
    </w:p>
    <w:p w:rsidRPr="00F30237" w:rsidR="00E44B72" w:rsidP="00F30237" w:rsidRDefault="00E44B72">
      <w:pPr>
        <w:pStyle w:val="ECHRPara"/>
        <w:rPr>
          <w:lang w:val="fr-FR"/>
        </w:rPr>
      </w:pPr>
      <w:r w:rsidRPr="00F30237">
        <w:rPr>
          <w:lang w:val="fr-FR"/>
        </w:rPr>
        <w:t>40.  Il plaide que les juridictions compétentes auraient dû examiner son recours au fond après avoir pris en compte sa situation spécifique. À cet égard, il se réfère à l</w:t>
      </w:r>
      <w:r w:rsidRPr="00F30237" w:rsidR="00F30237">
        <w:rPr>
          <w:lang w:val="fr-FR"/>
        </w:rPr>
        <w:t>’</w:t>
      </w:r>
      <w:r w:rsidRPr="00F30237">
        <w:rPr>
          <w:lang w:val="fr-FR"/>
        </w:rPr>
        <w:t>arrêt n</w:t>
      </w:r>
      <w:r w:rsidRPr="00F30237">
        <w:rPr>
          <w:vertAlign w:val="superscript"/>
          <w:lang w:val="fr-FR"/>
        </w:rPr>
        <w:t>o</w:t>
      </w:r>
      <w:r w:rsidRPr="00F30237">
        <w:rPr>
          <w:lang w:val="fr-FR"/>
        </w:rPr>
        <w:t xml:space="preserve"> 317 de 2009, par lequel la Cour constitutionnelle italienne aurait déclaré inconstitutionnelle l</w:t>
      </w:r>
      <w:r w:rsidRPr="00F30237" w:rsidR="00F30237">
        <w:rPr>
          <w:lang w:val="fr-FR"/>
        </w:rPr>
        <w:t>’</w:t>
      </w:r>
      <w:r w:rsidRPr="00F30237">
        <w:rPr>
          <w:lang w:val="fr-FR"/>
        </w:rPr>
        <w:t>impossibilité pour une personne condamnée par contumace</w:t>
      </w:r>
      <w:r w:rsidRPr="00F30237">
        <w:rPr>
          <w:i/>
          <w:lang w:val="fr-FR"/>
        </w:rPr>
        <w:t xml:space="preserve"> </w:t>
      </w:r>
      <w:r w:rsidRPr="00F30237">
        <w:rPr>
          <w:lang w:val="fr-FR"/>
        </w:rPr>
        <w:t>d</w:t>
      </w:r>
      <w:r w:rsidRPr="00F30237" w:rsidR="00F30237">
        <w:rPr>
          <w:lang w:val="fr-FR"/>
        </w:rPr>
        <w:t>’</w:t>
      </w:r>
      <w:r w:rsidRPr="00F30237">
        <w:rPr>
          <w:lang w:val="fr-FR"/>
        </w:rPr>
        <w:t>interjeter appel de sa condamnation dans les cas où le défenseur commis d</w:t>
      </w:r>
      <w:r w:rsidRPr="00F30237" w:rsidR="00F30237">
        <w:rPr>
          <w:lang w:val="fr-FR"/>
        </w:rPr>
        <w:t>’</w:t>
      </w:r>
      <w:r w:rsidRPr="00F30237">
        <w:rPr>
          <w:lang w:val="fr-FR"/>
        </w:rPr>
        <w:t>office aurait déjà usé de ce droit à son insu. Il estime que dans son cas les juridictions nationales auraient dû s</w:t>
      </w:r>
      <w:r w:rsidRPr="00F30237" w:rsidR="00F30237">
        <w:rPr>
          <w:lang w:val="fr-FR"/>
        </w:rPr>
        <w:t>’</w:t>
      </w:r>
      <w:r w:rsidRPr="00F30237">
        <w:rPr>
          <w:lang w:val="fr-FR"/>
        </w:rPr>
        <w:t>inspirer des principes établis par la Cour constitutionnelle.</w:t>
      </w:r>
    </w:p>
    <w:p w:rsidRPr="00F30237" w:rsidR="00E44B72" w:rsidP="00F30237" w:rsidRDefault="00E44B72">
      <w:pPr>
        <w:pStyle w:val="ECHRPara"/>
        <w:rPr>
          <w:lang w:val="fr-FR"/>
        </w:rPr>
      </w:pPr>
      <w:r w:rsidRPr="00F30237">
        <w:rPr>
          <w:lang w:val="fr-FR"/>
        </w:rPr>
        <w:t>41.  Il ajoute que la procédure relative au contrôle de la légalité de sa détention n</w:t>
      </w:r>
      <w:r w:rsidRPr="00F30237" w:rsidR="00F30237">
        <w:rPr>
          <w:lang w:val="fr-FR"/>
        </w:rPr>
        <w:t>’</w:t>
      </w:r>
      <w:r w:rsidRPr="00F30237">
        <w:rPr>
          <w:lang w:val="fr-FR"/>
        </w:rPr>
        <w:t>a pas été contradictoire et soutient qu</w:t>
      </w:r>
      <w:r w:rsidRPr="00F30237" w:rsidR="00F30237">
        <w:rPr>
          <w:lang w:val="fr-FR"/>
        </w:rPr>
        <w:t>’</w:t>
      </w:r>
      <w:r w:rsidRPr="00F30237">
        <w:rPr>
          <w:lang w:val="fr-FR"/>
        </w:rPr>
        <w:t>elle n</w:t>
      </w:r>
      <w:r w:rsidRPr="00F30237" w:rsidR="00F30237">
        <w:rPr>
          <w:lang w:val="fr-FR"/>
        </w:rPr>
        <w:t>’</w:t>
      </w:r>
      <w:r w:rsidRPr="00F30237">
        <w:rPr>
          <w:lang w:val="fr-FR"/>
        </w:rPr>
        <w:t>a pas respecté le principe de l</w:t>
      </w:r>
      <w:r w:rsidRPr="00F30237" w:rsidR="00F30237">
        <w:rPr>
          <w:lang w:val="fr-FR"/>
        </w:rPr>
        <w:t>’</w:t>
      </w:r>
      <w:r w:rsidRPr="00F30237">
        <w:rPr>
          <w:lang w:val="fr-FR"/>
        </w:rPr>
        <w:t>égalité des armes. Il considère par ailleurs que du fait de son placement en détention dans une prison de Rome, ville située à 1 200 km de Palerme, il a été interrogé par un juge incompétent, à savoir le juge des investigations préliminaires de Rome. Il argue enfin qu</w:t>
      </w:r>
      <w:r w:rsidRPr="00F30237" w:rsidR="00F30237">
        <w:rPr>
          <w:lang w:val="fr-FR"/>
        </w:rPr>
        <w:t>’</w:t>
      </w:r>
      <w:r w:rsidRPr="00F30237">
        <w:rPr>
          <w:lang w:val="fr-FR"/>
        </w:rPr>
        <w:t>il n</w:t>
      </w:r>
      <w:r w:rsidRPr="00F30237" w:rsidR="00F30237">
        <w:rPr>
          <w:lang w:val="fr-FR"/>
        </w:rPr>
        <w:t>’</w:t>
      </w:r>
      <w:r w:rsidRPr="00F30237">
        <w:rPr>
          <w:lang w:val="fr-FR"/>
        </w:rPr>
        <w:t>a pas disposé du temps et des facilités nécessaires pour préparer sa défense et qu</w:t>
      </w:r>
      <w:r w:rsidRPr="00F30237" w:rsidR="00F30237">
        <w:rPr>
          <w:lang w:val="fr-FR"/>
        </w:rPr>
        <w:t>’</w:t>
      </w:r>
      <w:r w:rsidRPr="00F30237">
        <w:rPr>
          <w:lang w:val="fr-FR"/>
        </w:rPr>
        <w:t>il n</w:t>
      </w:r>
      <w:r w:rsidRPr="00F30237" w:rsidR="00F30237">
        <w:rPr>
          <w:lang w:val="fr-FR"/>
        </w:rPr>
        <w:t>’</w:t>
      </w:r>
      <w:r w:rsidRPr="00F30237">
        <w:rPr>
          <w:lang w:val="fr-FR"/>
        </w:rPr>
        <w:t>a pas eu la possibilité d</w:t>
      </w:r>
      <w:r w:rsidRPr="00F30237" w:rsidR="00F30237">
        <w:rPr>
          <w:lang w:val="fr-FR"/>
        </w:rPr>
        <w:t>’</w:t>
      </w:r>
      <w:r w:rsidRPr="00F30237">
        <w:rPr>
          <w:lang w:val="fr-FR"/>
        </w:rPr>
        <w:t>assister à l</w:t>
      </w:r>
      <w:r w:rsidRPr="00F30237" w:rsidR="00F30237">
        <w:rPr>
          <w:lang w:val="fr-FR"/>
        </w:rPr>
        <w:t>’</w:t>
      </w:r>
      <w:r w:rsidRPr="00F30237">
        <w:rPr>
          <w:lang w:val="fr-FR"/>
        </w:rPr>
        <w:t>audience tenue devant la chambre spécialisée de Palerme.</w:t>
      </w:r>
    </w:p>
    <w:p w:rsidRPr="00F30237" w:rsidR="00E44B72" w:rsidP="00F30237" w:rsidRDefault="00E44B72">
      <w:pPr>
        <w:pStyle w:val="ECHRPara"/>
        <w:rPr>
          <w:lang w:val="fr-FR"/>
        </w:rPr>
      </w:pPr>
      <w:r w:rsidRPr="00F30237">
        <w:rPr>
          <w:lang w:val="fr-FR"/>
        </w:rPr>
        <w:t>42.  Le Gouvernement soutient que le droit italien offre un recours apte à permettre un contrôle effectif de la légalité d</w:t>
      </w:r>
      <w:r w:rsidRPr="00F30237" w:rsidR="00F30237">
        <w:rPr>
          <w:lang w:val="fr-FR"/>
        </w:rPr>
        <w:t>’</w:t>
      </w:r>
      <w:r w:rsidRPr="00F30237">
        <w:rPr>
          <w:lang w:val="fr-FR"/>
        </w:rPr>
        <w:t>une détention provisoire, à savoir la demande de réexamen prévue à l</w:t>
      </w:r>
      <w:r w:rsidRPr="00F30237" w:rsidR="00F30237">
        <w:rPr>
          <w:lang w:val="fr-FR"/>
        </w:rPr>
        <w:t>’</w:t>
      </w:r>
      <w:r w:rsidRPr="00F30237">
        <w:rPr>
          <w:lang w:val="fr-FR"/>
        </w:rPr>
        <w:t>article 309 du CPP, laquelle répondrait à tous les critères fixés par la jurisprudence de la Cour. Le</w:t>
      </w:r>
      <w:r w:rsidRPr="00F30237" w:rsidR="009D460D">
        <w:rPr>
          <w:lang w:val="fr-FR"/>
        </w:rPr>
        <w:t xml:space="preserve"> </w:t>
      </w:r>
      <w:r w:rsidRPr="00F30237">
        <w:rPr>
          <w:lang w:val="fr-FR"/>
        </w:rPr>
        <w:t>requérant aurait été représenté par un avocat commis d</w:t>
      </w:r>
      <w:r w:rsidRPr="00F30237" w:rsidR="00F30237">
        <w:rPr>
          <w:lang w:val="fr-FR"/>
        </w:rPr>
        <w:t>’</w:t>
      </w:r>
      <w:r w:rsidRPr="00F30237">
        <w:rPr>
          <w:lang w:val="fr-FR"/>
        </w:rPr>
        <w:t>office, qui aurait agi dans l</w:t>
      </w:r>
      <w:r w:rsidRPr="00F30237" w:rsidR="00F30237">
        <w:rPr>
          <w:lang w:val="fr-FR"/>
        </w:rPr>
        <w:t>’</w:t>
      </w:r>
      <w:r w:rsidRPr="00F30237">
        <w:rPr>
          <w:lang w:val="fr-FR"/>
        </w:rPr>
        <w:t>intérêt de l</w:t>
      </w:r>
      <w:r w:rsidRPr="00F30237" w:rsidR="00F30237">
        <w:rPr>
          <w:lang w:val="fr-FR"/>
        </w:rPr>
        <w:t>’</w:t>
      </w:r>
      <w:r w:rsidRPr="00F30237">
        <w:rPr>
          <w:lang w:val="fr-FR"/>
        </w:rPr>
        <w:t>intéressé, et il aurait bénéficié dudit contrôle dans un délai raisonnable et dans le plein respect du droit à un procès équitable. La</w:t>
      </w:r>
      <w:r w:rsidRPr="00F30237" w:rsidR="009D460D">
        <w:rPr>
          <w:lang w:val="fr-FR"/>
        </w:rPr>
        <w:t xml:space="preserve"> </w:t>
      </w:r>
      <w:r w:rsidRPr="00F30237">
        <w:rPr>
          <w:lang w:val="fr-FR"/>
        </w:rPr>
        <w:t>chambre spécialisée du tribunal de Palerme aurait fourni une décision amplement motivée sur les raisons ayant justifié la privation de liberté.</w:t>
      </w:r>
    </w:p>
    <w:p w:rsidRPr="00F30237" w:rsidR="00E44B72" w:rsidP="00F30237" w:rsidRDefault="00E44B72">
      <w:pPr>
        <w:pStyle w:val="ECHRPara"/>
        <w:rPr>
          <w:lang w:val="fr-FR"/>
        </w:rPr>
      </w:pPr>
      <w:r w:rsidRPr="00F30237">
        <w:rPr>
          <w:lang w:val="fr-FR"/>
        </w:rPr>
        <w:t>43.  Par la suite, les juridictions n</w:t>
      </w:r>
      <w:r w:rsidRPr="00F30237" w:rsidR="00F30237">
        <w:rPr>
          <w:lang w:val="fr-FR"/>
        </w:rPr>
        <w:t>’</w:t>
      </w:r>
      <w:r w:rsidRPr="00F30237">
        <w:rPr>
          <w:lang w:val="fr-FR"/>
        </w:rPr>
        <w:t>auraient fait qu</w:t>
      </w:r>
      <w:r w:rsidRPr="00F30237" w:rsidR="00F30237">
        <w:rPr>
          <w:lang w:val="fr-FR"/>
        </w:rPr>
        <w:t>’</w:t>
      </w:r>
      <w:r w:rsidRPr="00F30237">
        <w:rPr>
          <w:lang w:val="fr-FR"/>
        </w:rPr>
        <w:t>appliquer le principe de l</w:t>
      </w:r>
      <w:r w:rsidRPr="00F30237" w:rsidR="00F30237">
        <w:rPr>
          <w:lang w:val="fr-FR"/>
        </w:rPr>
        <w:t>’</w:t>
      </w:r>
      <w:r w:rsidRPr="00F30237">
        <w:rPr>
          <w:lang w:val="fr-FR"/>
        </w:rPr>
        <w:t>unicité du droit d</w:t>
      </w:r>
      <w:r w:rsidRPr="00F30237" w:rsidR="00F30237">
        <w:rPr>
          <w:lang w:val="fr-FR"/>
        </w:rPr>
        <w:t>’</w:t>
      </w:r>
      <w:r w:rsidRPr="00F30237">
        <w:rPr>
          <w:lang w:val="fr-FR"/>
        </w:rPr>
        <w:t>appel, règle générale du procès en vertu de laquelle le droit d</w:t>
      </w:r>
      <w:r w:rsidRPr="00F30237" w:rsidR="00F30237">
        <w:rPr>
          <w:lang w:val="fr-FR"/>
        </w:rPr>
        <w:t>’</w:t>
      </w:r>
      <w:r w:rsidRPr="00F30237">
        <w:rPr>
          <w:lang w:val="fr-FR"/>
        </w:rPr>
        <w:t>interjeter appel serait épuisé dès lors qu</w:t>
      </w:r>
      <w:r w:rsidRPr="00F30237" w:rsidR="00F30237">
        <w:rPr>
          <w:lang w:val="fr-FR"/>
        </w:rPr>
        <w:t>’</w:t>
      </w:r>
      <w:r w:rsidRPr="00F30237">
        <w:rPr>
          <w:lang w:val="fr-FR"/>
        </w:rPr>
        <w:t>il aurait déjà été exercé par l</w:t>
      </w:r>
      <w:r w:rsidRPr="00F30237" w:rsidR="00F30237">
        <w:rPr>
          <w:lang w:val="fr-FR"/>
        </w:rPr>
        <w:t>’</w:t>
      </w:r>
      <w:r w:rsidRPr="00F30237">
        <w:rPr>
          <w:lang w:val="fr-FR"/>
        </w:rPr>
        <w:t>un de ses titulaires.</w:t>
      </w:r>
    </w:p>
    <w:p w:rsidRPr="00F30237" w:rsidR="00E44B72" w:rsidP="00F30237" w:rsidRDefault="00E44B72">
      <w:pPr>
        <w:pStyle w:val="ECHRPara"/>
        <w:rPr>
          <w:lang w:val="fr-FR"/>
        </w:rPr>
      </w:pPr>
      <w:r w:rsidRPr="00F30237">
        <w:rPr>
          <w:lang w:val="fr-FR"/>
        </w:rPr>
        <w:t>44.  Le Gouvernement expose que l</w:t>
      </w:r>
      <w:r w:rsidRPr="00F30237" w:rsidR="00F30237">
        <w:rPr>
          <w:lang w:val="fr-FR"/>
        </w:rPr>
        <w:t>’</w:t>
      </w:r>
      <w:r w:rsidRPr="00F30237">
        <w:rPr>
          <w:lang w:val="fr-FR"/>
        </w:rPr>
        <w:t>avocat choisi par le requérant aurait pu éviter le rejet de son recours s</w:t>
      </w:r>
      <w:r w:rsidRPr="00F30237" w:rsidR="00F30237">
        <w:rPr>
          <w:lang w:val="fr-FR"/>
        </w:rPr>
        <w:t>’</w:t>
      </w:r>
      <w:r w:rsidRPr="00F30237">
        <w:rPr>
          <w:lang w:val="fr-FR"/>
        </w:rPr>
        <w:t>il avait pris connaissance de tous les actes de la procédure et s</w:t>
      </w:r>
      <w:r w:rsidRPr="00F30237" w:rsidR="00F30237">
        <w:rPr>
          <w:lang w:val="fr-FR"/>
        </w:rPr>
        <w:t>’</w:t>
      </w:r>
      <w:r w:rsidRPr="00F30237">
        <w:rPr>
          <w:lang w:val="fr-FR"/>
        </w:rPr>
        <w:t>il avait vérifié si une demande similaire n</w:t>
      </w:r>
      <w:r w:rsidRPr="00F30237" w:rsidR="00F30237">
        <w:rPr>
          <w:lang w:val="fr-FR"/>
        </w:rPr>
        <w:t>’</w:t>
      </w:r>
      <w:r w:rsidRPr="00F30237">
        <w:rPr>
          <w:lang w:val="fr-FR"/>
        </w:rPr>
        <w:t>avait pas été introduite auparavant par l</w:t>
      </w:r>
      <w:r w:rsidRPr="00F30237" w:rsidR="00F30237">
        <w:rPr>
          <w:lang w:val="fr-FR"/>
        </w:rPr>
        <w:t>’</w:t>
      </w:r>
      <w:r w:rsidRPr="00F30237">
        <w:rPr>
          <w:lang w:val="fr-FR"/>
        </w:rPr>
        <w:t>avocat commis d</w:t>
      </w:r>
      <w:r w:rsidRPr="00F30237" w:rsidR="00F30237">
        <w:rPr>
          <w:lang w:val="fr-FR"/>
        </w:rPr>
        <w:t>’</w:t>
      </w:r>
      <w:r w:rsidRPr="00F30237">
        <w:rPr>
          <w:lang w:val="fr-FR"/>
        </w:rPr>
        <w:t>office.</w:t>
      </w:r>
    </w:p>
    <w:p w:rsidRPr="00F30237" w:rsidR="00E44B72" w:rsidP="00F30237" w:rsidRDefault="00E44B72">
      <w:pPr>
        <w:pStyle w:val="ECHRPara"/>
        <w:rPr>
          <w:lang w:val="fr-FR"/>
        </w:rPr>
      </w:pPr>
      <w:r w:rsidRPr="00F30237">
        <w:rPr>
          <w:lang w:val="fr-FR"/>
        </w:rPr>
        <w:t>45.  L</w:t>
      </w:r>
      <w:r w:rsidRPr="00F30237" w:rsidR="00F30237">
        <w:rPr>
          <w:lang w:val="fr-FR"/>
        </w:rPr>
        <w:t>’</w:t>
      </w:r>
      <w:r w:rsidRPr="00F30237">
        <w:rPr>
          <w:lang w:val="fr-FR"/>
        </w:rPr>
        <w:t>arrêt n</w:t>
      </w:r>
      <w:r w:rsidRPr="00F30237">
        <w:rPr>
          <w:vertAlign w:val="superscript"/>
          <w:lang w:val="fr-FR"/>
        </w:rPr>
        <w:t>o</w:t>
      </w:r>
      <w:r w:rsidRPr="00F30237">
        <w:rPr>
          <w:lang w:val="fr-FR"/>
        </w:rPr>
        <w:t xml:space="preserve"> 317 rendu par la Cour constitutionnelle en 2009 aurait effectivement remis en cause l</w:t>
      </w:r>
      <w:r w:rsidRPr="00F30237" w:rsidR="00F30237">
        <w:rPr>
          <w:lang w:val="fr-FR"/>
        </w:rPr>
        <w:t>’</w:t>
      </w:r>
      <w:r w:rsidRPr="00F30237">
        <w:rPr>
          <w:lang w:val="fr-FR"/>
        </w:rPr>
        <w:t>application dudit principe dans les affaires de condamnation par contumace</w:t>
      </w:r>
      <w:r w:rsidRPr="00F30237">
        <w:rPr>
          <w:i/>
          <w:lang w:val="fr-FR"/>
        </w:rPr>
        <w:t xml:space="preserve"> </w:t>
      </w:r>
      <w:r w:rsidRPr="00F30237">
        <w:rPr>
          <w:lang w:val="fr-FR"/>
        </w:rPr>
        <w:t>et ainsi ouvert aux condamnés ne s</w:t>
      </w:r>
      <w:r w:rsidRPr="00F30237" w:rsidR="00F30237">
        <w:rPr>
          <w:lang w:val="fr-FR"/>
        </w:rPr>
        <w:t>’</w:t>
      </w:r>
      <w:r w:rsidRPr="00F30237">
        <w:rPr>
          <w:lang w:val="fr-FR"/>
        </w:rPr>
        <w:t>étant pas volontairement soustraits à la justice la possibilité d</w:t>
      </w:r>
      <w:r w:rsidRPr="00F30237" w:rsidR="00F30237">
        <w:rPr>
          <w:lang w:val="fr-FR"/>
        </w:rPr>
        <w:t>’</w:t>
      </w:r>
      <w:r w:rsidRPr="00F30237">
        <w:rPr>
          <w:lang w:val="fr-FR"/>
        </w:rPr>
        <w:t>interjeter appel du jugement de condamnation quand bien même un avocat commis d</w:t>
      </w:r>
      <w:r w:rsidRPr="00F30237" w:rsidR="00F30237">
        <w:rPr>
          <w:lang w:val="fr-FR"/>
        </w:rPr>
        <w:t>’</w:t>
      </w:r>
      <w:r w:rsidRPr="00F30237">
        <w:rPr>
          <w:lang w:val="fr-FR"/>
        </w:rPr>
        <w:t>office aurait déjà formé pareil recours.</w:t>
      </w:r>
    </w:p>
    <w:p w:rsidRPr="00F30237" w:rsidR="00E44B72" w:rsidP="00F30237" w:rsidRDefault="00E44B72">
      <w:pPr>
        <w:pStyle w:val="ECHRPara"/>
        <w:rPr>
          <w:lang w:val="fr-FR"/>
        </w:rPr>
      </w:pPr>
      <w:r w:rsidRPr="00F30237">
        <w:rPr>
          <w:lang w:val="fr-FR"/>
        </w:rPr>
        <w:t>Le Gouvernement ajoute que la jurisprudence nationale pourrait aussi évoluer dans ce sens pour les procédures relatives aux mesures privatives de liberté.</w:t>
      </w:r>
    </w:p>
    <w:p w:rsidRPr="00F30237" w:rsidR="00E44B72" w:rsidP="00F30237" w:rsidRDefault="00E44B72">
      <w:pPr>
        <w:pStyle w:val="ECHRHeading3"/>
        <w:rPr>
          <w:lang w:val="fr-FR"/>
        </w:rPr>
      </w:pPr>
      <w:r w:rsidRPr="00F30237">
        <w:rPr>
          <w:lang w:val="fr-FR"/>
        </w:rPr>
        <w:t>2.  Les principes généraux établis par la jurisprudence de la Cour</w:t>
      </w:r>
    </w:p>
    <w:p w:rsidRPr="00F30237" w:rsidR="00E44B72" w:rsidP="00F30237" w:rsidRDefault="00E44B72">
      <w:pPr>
        <w:pStyle w:val="ECHRPara"/>
        <w:rPr>
          <w:lang w:val="fr-FR"/>
        </w:rPr>
      </w:pPr>
      <w:r w:rsidRPr="00F30237">
        <w:rPr>
          <w:lang w:val="fr-FR"/>
        </w:rPr>
        <w:t>46.  La Cour rappelle les principes établis par sa jurisprudence constante en matière d</w:t>
      </w:r>
      <w:r w:rsidRPr="00F30237" w:rsidR="00F30237">
        <w:rPr>
          <w:lang w:val="fr-FR"/>
        </w:rPr>
        <w:t>’</w:t>
      </w:r>
      <w:r w:rsidRPr="00F30237">
        <w:rPr>
          <w:lang w:val="fr-FR"/>
        </w:rPr>
        <w:t>interprétation de l</w:t>
      </w:r>
      <w:r w:rsidRPr="00F30237" w:rsidR="00F30237">
        <w:rPr>
          <w:lang w:val="fr-FR"/>
        </w:rPr>
        <w:t>’</w:t>
      </w:r>
      <w:r w:rsidRPr="00F30237">
        <w:rPr>
          <w:lang w:val="fr-FR"/>
        </w:rPr>
        <w:t>article 5 § 4 de la Convention.</w:t>
      </w:r>
    </w:p>
    <w:p w:rsidRPr="00F30237" w:rsidR="00E44B72" w:rsidP="00F30237" w:rsidRDefault="00E44B72">
      <w:pPr>
        <w:pStyle w:val="ECHRPara"/>
        <w:rPr>
          <w:lang w:val="fr-FR"/>
        </w:rPr>
      </w:pPr>
      <w:r w:rsidRPr="00F30237">
        <w:rPr>
          <w:lang w:val="fr-FR"/>
        </w:rPr>
        <w:t>a)  En vertu de cette disposition, les personnes arrêtées ou détenues ont droit à un examen du respect des exigences de procédure et de fond nécessaires à la « régularité » et à la « légalité », au sens de l</w:t>
      </w:r>
      <w:r w:rsidRPr="00F30237" w:rsidR="00F30237">
        <w:rPr>
          <w:lang w:val="fr-FR"/>
        </w:rPr>
        <w:t>’</w:t>
      </w:r>
      <w:r w:rsidRPr="00F30237">
        <w:rPr>
          <w:lang w:val="fr-FR"/>
        </w:rPr>
        <w:t>article 5 § 1, de leur privation de liberté (voir, parmi beaucoup d</w:t>
      </w:r>
      <w:r w:rsidRPr="00F30237" w:rsidR="00F30237">
        <w:rPr>
          <w:lang w:val="fr-FR"/>
        </w:rPr>
        <w:t>’</w:t>
      </w:r>
      <w:r w:rsidRPr="00F30237">
        <w:rPr>
          <w:lang w:val="fr-FR"/>
        </w:rPr>
        <w:t xml:space="preserve">autres, </w:t>
      </w:r>
      <w:proofErr w:type="spellStart"/>
      <w:r w:rsidRPr="00F30237">
        <w:rPr>
          <w:i/>
          <w:lang w:val="fr-FR"/>
        </w:rPr>
        <w:t>Brogan</w:t>
      </w:r>
      <w:proofErr w:type="spellEnd"/>
      <w:r w:rsidRPr="00F30237" w:rsidR="0046486E">
        <w:rPr>
          <w:i/>
          <w:lang w:val="fr-FR"/>
        </w:rPr>
        <w:t> </w:t>
      </w:r>
      <w:r w:rsidRPr="00F30237">
        <w:rPr>
          <w:i/>
          <w:lang w:val="fr-FR"/>
        </w:rPr>
        <w:t>et</w:t>
      </w:r>
      <w:r w:rsidRPr="00F30237" w:rsidR="0046486E">
        <w:rPr>
          <w:i/>
          <w:lang w:val="fr-FR"/>
        </w:rPr>
        <w:t> </w:t>
      </w:r>
      <w:r w:rsidRPr="00F30237">
        <w:rPr>
          <w:i/>
          <w:lang w:val="fr-FR"/>
        </w:rPr>
        <w:t>autres</w:t>
      </w:r>
      <w:r w:rsidRPr="00F30237" w:rsidR="0046486E">
        <w:rPr>
          <w:i/>
          <w:lang w:val="fr-FR"/>
        </w:rPr>
        <w:t> </w:t>
      </w:r>
      <w:r w:rsidRPr="00F30237">
        <w:rPr>
          <w:i/>
          <w:lang w:val="fr-FR"/>
        </w:rPr>
        <w:t>c. Royaume-Uni</w:t>
      </w:r>
      <w:r w:rsidRPr="00F30237">
        <w:rPr>
          <w:lang w:val="fr-FR"/>
        </w:rPr>
        <w:t>, 29 novembre 1988, § 65, série</w:t>
      </w:r>
      <w:r w:rsidRPr="00F30237" w:rsidR="0046486E">
        <w:rPr>
          <w:lang w:val="fr-FR"/>
        </w:rPr>
        <w:t> </w:t>
      </w:r>
      <w:r w:rsidRPr="00F30237">
        <w:rPr>
          <w:lang w:val="fr-FR"/>
        </w:rPr>
        <w:t xml:space="preserve"> A</w:t>
      </w:r>
      <w:r w:rsidRPr="00F30237" w:rsidR="0046486E">
        <w:rPr>
          <w:lang w:val="fr-FR"/>
        </w:rPr>
        <w:t> </w:t>
      </w:r>
      <w:r w:rsidRPr="00F30237">
        <w:rPr>
          <w:lang w:val="fr-FR"/>
        </w:rPr>
        <w:t>n</w:t>
      </w:r>
      <w:r w:rsidRPr="00F30237">
        <w:rPr>
          <w:vertAlign w:val="superscript"/>
          <w:lang w:val="fr-FR"/>
        </w:rPr>
        <w:t>o</w:t>
      </w:r>
      <w:r w:rsidRPr="00F30237" w:rsidR="0046486E">
        <w:rPr>
          <w:vertAlign w:val="superscript"/>
          <w:lang w:val="fr-FR"/>
        </w:rPr>
        <w:t> </w:t>
      </w:r>
      <w:r w:rsidRPr="00F30237">
        <w:rPr>
          <w:lang w:val="fr-FR"/>
        </w:rPr>
        <w:t>145</w:t>
      </w:r>
      <w:r w:rsidRPr="00F30237" w:rsidR="0046486E">
        <w:rPr>
          <w:lang w:val="fr-FR"/>
        </w:rPr>
        <w:noBreakHyphen/>
      </w:r>
      <w:r w:rsidRPr="00F30237">
        <w:rPr>
          <w:lang w:val="fr-FR"/>
        </w:rPr>
        <w:t>B). Cet examen doit pouvoir aboutir, à bref délai, à une décision judiciaire mettant fin à la détention si celle-ci se révèle illégale (</w:t>
      </w:r>
      <w:proofErr w:type="spellStart"/>
      <w:r w:rsidRPr="00F30237">
        <w:rPr>
          <w:i/>
          <w:lang w:val="fr-FR"/>
        </w:rPr>
        <w:t>Baranowski</w:t>
      </w:r>
      <w:proofErr w:type="spellEnd"/>
      <w:r w:rsidRPr="00F30237">
        <w:rPr>
          <w:lang w:val="fr-FR"/>
        </w:rPr>
        <w:t>, précité, § 68).</w:t>
      </w:r>
    </w:p>
    <w:p w:rsidRPr="00F30237" w:rsidR="00E44B72" w:rsidP="00F30237" w:rsidRDefault="00E44B72">
      <w:pPr>
        <w:pStyle w:val="ECHRPara"/>
        <w:rPr>
          <w:lang w:val="fr-FR"/>
        </w:rPr>
      </w:pPr>
      <w:r w:rsidRPr="00F30237">
        <w:rPr>
          <w:lang w:val="fr-FR"/>
        </w:rPr>
        <w:t>b)  De même que toute autre disposition de la Convention et de ses Protocoles, l</w:t>
      </w:r>
      <w:r w:rsidRPr="00F30237" w:rsidR="00F30237">
        <w:rPr>
          <w:lang w:val="fr-FR"/>
        </w:rPr>
        <w:t>’</w:t>
      </w:r>
      <w:r w:rsidRPr="00F30237">
        <w:rPr>
          <w:lang w:val="fr-FR"/>
        </w:rPr>
        <w:t>article 5 § 4 doit s</w:t>
      </w:r>
      <w:r w:rsidRPr="00F30237" w:rsidR="00F30237">
        <w:rPr>
          <w:lang w:val="fr-FR"/>
        </w:rPr>
        <w:t>’</w:t>
      </w:r>
      <w:r w:rsidRPr="00F30237">
        <w:rPr>
          <w:lang w:val="fr-FR"/>
        </w:rPr>
        <w:t>interpréter de telle manière que les droits qui s</w:t>
      </w:r>
      <w:r w:rsidRPr="00F30237" w:rsidR="00F30237">
        <w:rPr>
          <w:lang w:val="fr-FR"/>
        </w:rPr>
        <w:t>’</w:t>
      </w:r>
      <w:r w:rsidRPr="00F30237">
        <w:rPr>
          <w:lang w:val="fr-FR"/>
        </w:rPr>
        <w:t>y trouvent consacrés ne soient pas théoriques et illusoires, mais concrets et effectifs (voir, parmi d</w:t>
      </w:r>
      <w:r w:rsidRPr="00F30237" w:rsidR="00F30237">
        <w:rPr>
          <w:lang w:val="fr-FR"/>
        </w:rPr>
        <w:t>’</w:t>
      </w:r>
      <w:r w:rsidRPr="00F30237">
        <w:rPr>
          <w:lang w:val="fr-FR"/>
        </w:rPr>
        <w:t xml:space="preserve">autres, </w:t>
      </w:r>
      <w:proofErr w:type="spellStart"/>
      <w:r w:rsidRPr="00F30237">
        <w:rPr>
          <w:i/>
          <w:lang w:val="fr-FR"/>
        </w:rPr>
        <w:t>Artico</w:t>
      </w:r>
      <w:proofErr w:type="spellEnd"/>
      <w:r w:rsidRPr="00F30237">
        <w:rPr>
          <w:i/>
          <w:lang w:val="fr-FR"/>
        </w:rPr>
        <w:t xml:space="preserve"> c. Italie</w:t>
      </w:r>
      <w:r w:rsidRPr="00F30237">
        <w:rPr>
          <w:lang w:val="fr-FR"/>
        </w:rPr>
        <w:t>, 13 mai 1980, § 33, série A n</w:t>
      </w:r>
      <w:r w:rsidRPr="00F30237">
        <w:rPr>
          <w:vertAlign w:val="superscript"/>
          <w:lang w:val="fr-FR"/>
        </w:rPr>
        <w:t>o</w:t>
      </w:r>
      <w:r w:rsidRPr="00F30237" w:rsidR="009D460D">
        <w:rPr>
          <w:lang w:val="fr-FR"/>
        </w:rPr>
        <w:t xml:space="preserve"> </w:t>
      </w:r>
      <w:r w:rsidRPr="00F30237">
        <w:rPr>
          <w:lang w:val="fr-FR"/>
        </w:rPr>
        <w:t xml:space="preserve">37, et </w:t>
      </w:r>
      <w:proofErr w:type="spellStart"/>
      <w:r w:rsidRPr="00F30237">
        <w:rPr>
          <w:i/>
          <w:lang w:val="fr-FR"/>
        </w:rPr>
        <w:t>Schöps</w:t>
      </w:r>
      <w:proofErr w:type="spellEnd"/>
      <w:r w:rsidRPr="00F30237">
        <w:rPr>
          <w:i/>
          <w:lang w:val="fr-FR"/>
        </w:rPr>
        <w:t xml:space="preserve"> c. Allemagne</w:t>
      </w:r>
      <w:r w:rsidRPr="00F30237">
        <w:rPr>
          <w:lang w:val="fr-FR"/>
        </w:rPr>
        <w:t>, n</w:t>
      </w:r>
      <w:r w:rsidRPr="00F30237">
        <w:rPr>
          <w:vertAlign w:val="superscript"/>
          <w:lang w:val="fr-FR"/>
        </w:rPr>
        <w:t>o</w:t>
      </w:r>
      <w:r w:rsidRPr="00F30237">
        <w:rPr>
          <w:lang w:val="fr-FR"/>
        </w:rPr>
        <w:t xml:space="preserve"> 25116/94, § 47, CEDH 2001-I).</w:t>
      </w:r>
    </w:p>
    <w:p w:rsidRPr="00F30237" w:rsidR="00E44B72" w:rsidP="00F30237" w:rsidRDefault="00E44B72">
      <w:pPr>
        <w:pStyle w:val="ECHRPara"/>
        <w:rPr>
          <w:lang w:val="fr-FR"/>
        </w:rPr>
      </w:pPr>
      <w:r w:rsidRPr="00F30237">
        <w:rPr>
          <w:lang w:val="fr-FR"/>
        </w:rPr>
        <w:t>c)  Une voie de recours, au sens de l</w:t>
      </w:r>
      <w:r w:rsidRPr="00F30237" w:rsidR="00F30237">
        <w:rPr>
          <w:lang w:val="fr-FR"/>
        </w:rPr>
        <w:t>’</w:t>
      </w:r>
      <w:r w:rsidRPr="00F30237">
        <w:rPr>
          <w:lang w:val="fr-FR"/>
        </w:rPr>
        <w:t>article 5 § 4 de la Convention, doit toujours exister à un degré suffisant de certitude, sans quoi lui manquent l</w:t>
      </w:r>
      <w:r w:rsidRPr="00F30237" w:rsidR="00F30237">
        <w:rPr>
          <w:lang w:val="fr-FR"/>
        </w:rPr>
        <w:t>’</w:t>
      </w:r>
      <w:r w:rsidRPr="00F30237">
        <w:rPr>
          <w:lang w:val="fr-FR"/>
        </w:rPr>
        <w:t>accessibilité et l</w:t>
      </w:r>
      <w:r w:rsidRPr="00F30237" w:rsidR="00F30237">
        <w:rPr>
          <w:lang w:val="fr-FR"/>
        </w:rPr>
        <w:t>’</w:t>
      </w:r>
      <w:r w:rsidRPr="00F30237">
        <w:rPr>
          <w:lang w:val="fr-FR"/>
        </w:rPr>
        <w:t>effectivité requises par cette disposition (</w:t>
      </w:r>
      <w:r w:rsidRPr="00F30237">
        <w:rPr>
          <w:i/>
          <w:lang w:val="fr-FR"/>
        </w:rPr>
        <w:t>E. c. Norvège</w:t>
      </w:r>
      <w:r w:rsidRPr="00F30237">
        <w:rPr>
          <w:lang w:val="fr-FR"/>
        </w:rPr>
        <w:t>, 29 août 1990, § 60, série A n</w:t>
      </w:r>
      <w:r w:rsidRPr="00F30237">
        <w:rPr>
          <w:vertAlign w:val="superscript"/>
          <w:lang w:val="fr-FR"/>
        </w:rPr>
        <w:t>o</w:t>
      </w:r>
      <w:r w:rsidRPr="00F30237">
        <w:rPr>
          <w:lang w:val="fr-FR"/>
        </w:rPr>
        <w:t xml:space="preserve"> 181-A, et </w:t>
      </w:r>
      <w:proofErr w:type="spellStart"/>
      <w:r w:rsidRPr="00F30237">
        <w:rPr>
          <w:lang w:val="fr-FR"/>
        </w:rPr>
        <w:t>S</w:t>
      </w:r>
      <w:r w:rsidRPr="00F30237">
        <w:rPr>
          <w:i/>
          <w:lang w:val="fr-FR"/>
        </w:rPr>
        <w:t>akık</w:t>
      </w:r>
      <w:proofErr w:type="spellEnd"/>
      <w:r w:rsidRPr="00F30237">
        <w:rPr>
          <w:i/>
          <w:lang w:val="fr-FR"/>
        </w:rPr>
        <w:t xml:space="preserve"> et autres c. Turquie</w:t>
      </w:r>
      <w:r w:rsidRPr="00F30237">
        <w:rPr>
          <w:lang w:val="fr-FR"/>
        </w:rPr>
        <w:t>, 26</w:t>
      </w:r>
      <w:r w:rsidRPr="00F30237" w:rsidR="0011265B">
        <w:rPr>
          <w:lang w:val="fr-FR"/>
        </w:rPr>
        <w:t> </w:t>
      </w:r>
      <w:r w:rsidRPr="00F30237">
        <w:rPr>
          <w:lang w:val="fr-FR"/>
        </w:rPr>
        <w:t xml:space="preserve">novembre 1997, </w:t>
      </w:r>
      <w:r w:rsidRPr="00F30237">
        <w:rPr>
          <w:rFonts w:ascii="Times New Roman" w:hAnsi="Times New Roman" w:cs="Times New Roman"/>
          <w:lang w:val="fr-FR"/>
        </w:rPr>
        <w:t>§</w:t>
      </w:r>
      <w:r w:rsidRPr="00F30237">
        <w:rPr>
          <w:lang w:val="fr-FR"/>
        </w:rPr>
        <w:t xml:space="preserve"> 53, </w:t>
      </w:r>
      <w:r w:rsidRPr="00F30237">
        <w:rPr>
          <w:i/>
          <w:lang w:val="fr-FR"/>
        </w:rPr>
        <w:t>Recueil des arrêts et décisions</w:t>
      </w:r>
      <w:r w:rsidRPr="00F30237">
        <w:rPr>
          <w:lang w:val="fr-FR"/>
        </w:rPr>
        <w:t xml:space="preserve"> 1997</w:t>
      </w:r>
      <w:r w:rsidRPr="00F30237">
        <w:rPr>
          <w:rFonts w:hint="eastAsia" w:ascii="MS Mincho" w:hAnsi="MS Mincho" w:eastAsia="MS Mincho" w:cs="MS Mincho"/>
          <w:lang w:val="fr-FR"/>
        </w:rPr>
        <w:t>‑</w:t>
      </w:r>
      <w:r w:rsidRPr="00F30237">
        <w:rPr>
          <w:lang w:val="fr-FR"/>
        </w:rPr>
        <w:t>VII).</w:t>
      </w:r>
    </w:p>
    <w:p w:rsidRPr="00F30237" w:rsidR="00E44B72" w:rsidP="00F30237" w:rsidRDefault="00E44B72">
      <w:pPr>
        <w:pStyle w:val="ECHRPara"/>
        <w:rPr>
          <w:lang w:val="fr-FR"/>
        </w:rPr>
      </w:pPr>
      <w:r w:rsidRPr="00F30237">
        <w:rPr>
          <w:lang w:val="fr-FR"/>
        </w:rPr>
        <w:t>d)  L</w:t>
      </w:r>
      <w:r w:rsidRPr="00F30237" w:rsidR="00F30237">
        <w:rPr>
          <w:lang w:val="fr-FR"/>
        </w:rPr>
        <w:t>’</w:t>
      </w:r>
      <w:r w:rsidRPr="00F30237">
        <w:rPr>
          <w:lang w:val="fr-FR"/>
        </w:rPr>
        <w:t>article 5 § 4 n</w:t>
      </w:r>
      <w:r w:rsidRPr="00F30237" w:rsidR="00F30237">
        <w:rPr>
          <w:lang w:val="fr-FR"/>
        </w:rPr>
        <w:t>’</w:t>
      </w:r>
      <w:r w:rsidRPr="00F30237">
        <w:rPr>
          <w:lang w:val="fr-FR"/>
        </w:rPr>
        <w:t>astreint pas les États contractants à instaurer un double degré de juridiction pour l</w:t>
      </w:r>
      <w:r w:rsidRPr="00F30237" w:rsidR="00F30237">
        <w:rPr>
          <w:lang w:val="fr-FR"/>
        </w:rPr>
        <w:t>’</w:t>
      </w:r>
      <w:r w:rsidRPr="00F30237">
        <w:rPr>
          <w:lang w:val="fr-FR"/>
        </w:rPr>
        <w:t>examen de demandes d</w:t>
      </w:r>
      <w:r w:rsidRPr="00F30237" w:rsidR="00F30237">
        <w:rPr>
          <w:lang w:val="fr-FR"/>
        </w:rPr>
        <w:t>’</w:t>
      </w:r>
      <w:r w:rsidRPr="00F30237">
        <w:rPr>
          <w:lang w:val="fr-FR"/>
        </w:rPr>
        <w:t>élargissement. Néanmoins, un État qui se dote d</w:t>
      </w:r>
      <w:r w:rsidRPr="00F30237" w:rsidR="00F30237">
        <w:rPr>
          <w:lang w:val="fr-FR"/>
        </w:rPr>
        <w:t>’</w:t>
      </w:r>
      <w:r w:rsidRPr="00F30237">
        <w:rPr>
          <w:lang w:val="fr-FR"/>
        </w:rPr>
        <w:t>un tel système doit en principe accorder aux détenus les mêmes garanties en appel qu</w:t>
      </w:r>
      <w:r w:rsidRPr="00F30237" w:rsidR="00F30237">
        <w:rPr>
          <w:lang w:val="fr-FR"/>
        </w:rPr>
        <w:t>’</w:t>
      </w:r>
      <w:r w:rsidRPr="00F30237">
        <w:rPr>
          <w:lang w:val="fr-FR"/>
        </w:rPr>
        <w:t>en première instance (</w:t>
      </w:r>
      <w:r w:rsidRPr="00F30237">
        <w:rPr>
          <w:i/>
          <w:lang w:val="fr-FR"/>
        </w:rPr>
        <w:t>Toth</w:t>
      </w:r>
      <w:r w:rsidRPr="00F30237" w:rsidR="009D460D">
        <w:rPr>
          <w:i/>
          <w:lang w:val="fr-FR"/>
        </w:rPr>
        <w:t xml:space="preserve"> </w:t>
      </w:r>
      <w:r w:rsidRPr="00F30237">
        <w:rPr>
          <w:i/>
          <w:lang w:val="fr-FR"/>
        </w:rPr>
        <w:t>c.</w:t>
      </w:r>
      <w:r w:rsidRPr="00F30237" w:rsidR="0011265B">
        <w:rPr>
          <w:i/>
          <w:lang w:val="fr-FR"/>
        </w:rPr>
        <w:t> </w:t>
      </w:r>
      <w:r w:rsidRPr="00F30237">
        <w:rPr>
          <w:i/>
          <w:lang w:val="fr-FR"/>
        </w:rPr>
        <w:t>Autriche</w:t>
      </w:r>
      <w:r w:rsidRPr="00F30237">
        <w:rPr>
          <w:lang w:val="fr-FR"/>
        </w:rPr>
        <w:t>, 12 décembre 1991, § 84, série A n</w:t>
      </w:r>
      <w:r w:rsidRPr="00F30237">
        <w:rPr>
          <w:vertAlign w:val="superscript"/>
          <w:lang w:val="fr-FR"/>
        </w:rPr>
        <w:t>o</w:t>
      </w:r>
      <w:r w:rsidRPr="00F30237">
        <w:rPr>
          <w:lang w:val="fr-FR"/>
        </w:rPr>
        <w:t xml:space="preserve"> 224, ainsi que </w:t>
      </w:r>
      <w:proofErr w:type="spellStart"/>
      <w:r w:rsidRPr="00F30237">
        <w:rPr>
          <w:i/>
          <w:lang w:val="fr-FR"/>
        </w:rPr>
        <w:t>Rutten</w:t>
      </w:r>
      <w:proofErr w:type="spellEnd"/>
      <w:r w:rsidRPr="00F30237" w:rsidR="009D460D">
        <w:rPr>
          <w:i/>
          <w:lang w:val="fr-FR"/>
        </w:rPr>
        <w:t xml:space="preserve"> c. </w:t>
      </w:r>
      <w:r w:rsidRPr="00F30237">
        <w:rPr>
          <w:i/>
          <w:lang w:val="fr-FR"/>
        </w:rPr>
        <w:t>Pays-Bas</w:t>
      </w:r>
      <w:r w:rsidRPr="00F30237">
        <w:rPr>
          <w:lang w:val="fr-FR"/>
        </w:rPr>
        <w:t>, n</w:t>
      </w:r>
      <w:r w:rsidRPr="00F30237">
        <w:rPr>
          <w:vertAlign w:val="superscript"/>
          <w:lang w:val="fr-FR"/>
        </w:rPr>
        <w:t>o</w:t>
      </w:r>
      <w:r w:rsidRPr="00F30237">
        <w:rPr>
          <w:lang w:val="fr-FR"/>
        </w:rPr>
        <w:t xml:space="preserve"> 32605/96, § 53, 24 juillet 2001, et </w:t>
      </w:r>
      <w:r w:rsidRPr="00F30237">
        <w:rPr>
          <w:i/>
          <w:lang w:val="fr-FR"/>
        </w:rPr>
        <w:t>Lanz c. Autriche</w:t>
      </w:r>
      <w:r w:rsidRPr="00F30237">
        <w:rPr>
          <w:lang w:val="fr-FR"/>
        </w:rPr>
        <w:t>, n</w:t>
      </w:r>
      <w:r w:rsidRPr="00F30237">
        <w:rPr>
          <w:vertAlign w:val="superscript"/>
          <w:lang w:val="fr-FR"/>
        </w:rPr>
        <w:t>o</w:t>
      </w:r>
      <w:r w:rsidRPr="00F30237" w:rsidR="009D460D">
        <w:rPr>
          <w:lang w:val="fr-FR"/>
        </w:rPr>
        <w:t> </w:t>
      </w:r>
      <w:r w:rsidRPr="00F30237">
        <w:rPr>
          <w:lang w:val="fr-FR"/>
        </w:rPr>
        <w:t>24430/94, § 42, 31 janvier 2002).</w:t>
      </w:r>
    </w:p>
    <w:p w:rsidRPr="00F30237" w:rsidR="00E44B72" w:rsidP="00F30237" w:rsidRDefault="00E44B72">
      <w:pPr>
        <w:pStyle w:val="ECHRPara"/>
        <w:rPr>
          <w:lang w:val="fr-FR"/>
        </w:rPr>
      </w:pPr>
      <w:r w:rsidRPr="00F30237">
        <w:rPr>
          <w:lang w:val="fr-FR"/>
        </w:rPr>
        <w:t>e)  La procédure relevant de l</w:t>
      </w:r>
      <w:r w:rsidRPr="00F30237" w:rsidR="00F30237">
        <w:rPr>
          <w:lang w:val="fr-FR"/>
        </w:rPr>
        <w:t>’</w:t>
      </w:r>
      <w:r w:rsidRPr="00F30237">
        <w:rPr>
          <w:lang w:val="fr-FR"/>
        </w:rPr>
        <w:t>article 5 § 4 ne doit pas toujours s</w:t>
      </w:r>
      <w:r w:rsidRPr="00F30237" w:rsidR="00F30237">
        <w:rPr>
          <w:lang w:val="fr-FR"/>
        </w:rPr>
        <w:t>’</w:t>
      </w:r>
      <w:r w:rsidRPr="00F30237">
        <w:rPr>
          <w:lang w:val="fr-FR"/>
        </w:rPr>
        <w:t>accompagner de garanties identiques à celles que l</w:t>
      </w:r>
      <w:r w:rsidRPr="00F30237" w:rsidR="00F30237">
        <w:rPr>
          <w:lang w:val="fr-FR"/>
        </w:rPr>
        <w:t>’</w:t>
      </w:r>
      <w:r w:rsidRPr="00F30237">
        <w:rPr>
          <w:lang w:val="fr-FR"/>
        </w:rPr>
        <w:t>article 6 § 1 prescrit pour les litiges civils ou pénaux, les deux dispositions poursuivant des buts différents (</w:t>
      </w:r>
      <w:proofErr w:type="spellStart"/>
      <w:r w:rsidRPr="00F30237">
        <w:rPr>
          <w:i/>
          <w:lang w:val="fr-FR"/>
        </w:rPr>
        <w:t>Reinprecht</w:t>
      </w:r>
      <w:proofErr w:type="spellEnd"/>
      <w:r w:rsidRPr="00F30237">
        <w:rPr>
          <w:i/>
          <w:lang w:val="fr-FR"/>
        </w:rPr>
        <w:t xml:space="preserve"> c. Autriche</w:t>
      </w:r>
      <w:r w:rsidRPr="00F30237">
        <w:rPr>
          <w:lang w:val="fr-FR"/>
        </w:rPr>
        <w:t>, n</w:t>
      </w:r>
      <w:r w:rsidRPr="00F30237">
        <w:rPr>
          <w:vertAlign w:val="superscript"/>
          <w:lang w:val="fr-FR"/>
        </w:rPr>
        <w:t>o</w:t>
      </w:r>
      <w:r w:rsidRPr="00F30237">
        <w:rPr>
          <w:lang w:val="fr-FR"/>
        </w:rPr>
        <w:t xml:space="preserve"> 67175/01, § 39, CEDH 2005</w:t>
      </w:r>
      <w:r w:rsidRPr="00F30237">
        <w:rPr>
          <w:rFonts w:hint="eastAsia" w:ascii="MS Mincho" w:hAnsi="MS Mincho" w:eastAsia="MS Mincho" w:cs="MS Mincho"/>
          <w:lang w:val="fr-FR"/>
        </w:rPr>
        <w:t>‑</w:t>
      </w:r>
      <w:r w:rsidRPr="00F30237">
        <w:rPr>
          <w:lang w:val="fr-FR"/>
        </w:rPr>
        <w:t>XII). Cependant, elle doit toujours rev</w:t>
      </w:r>
      <w:r w:rsidRPr="00F30237">
        <w:rPr>
          <w:rFonts w:ascii="Times New Roman" w:hAnsi="Times New Roman" w:cs="Times New Roman"/>
          <w:lang w:val="fr-FR"/>
        </w:rPr>
        <w:t>ê</w:t>
      </w:r>
      <w:r w:rsidRPr="00F30237">
        <w:rPr>
          <w:lang w:val="fr-FR"/>
        </w:rPr>
        <w:t>tir un caract</w:t>
      </w:r>
      <w:r w:rsidRPr="00F30237">
        <w:rPr>
          <w:rFonts w:ascii="Times New Roman" w:hAnsi="Times New Roman" w:cs="Times New Roman"/>
          <w:lang w:val="fr-FR"/>
        </w:rPr>
        <w:t>è</w:t>
      </w:r>
      <w:r w:rsidRPr="00F30237">
        <w:rPr>
          <w:lang w:val="fr-FR"/>
        </w:rPr>
        <w:t xml:space="preserve">re judiciaire et offrir </w:t>
      </w:r>
      <w:r w:rsidRPr="00F30237">
        <w:rPr>
          <w:rFonts w:ascii="Times New Roman" w:hAnsi="Times New Roman" w:cs="Times New Roman"/>
          <w:lang w:val="fr-FR"/>
        </w:rPr>
        <w:t>à</w:t>
      </w:r>
      <w:r w:rsidRPr="00F30237">
        <w:rPr>
          <w:lang w:val="fr-FR"/>
        </w:rPr>
        <w:t xml:space="preserve"> l</w:t>
      </w:r>
      <w:r w:rsidRPr="00F30237" w:rsidR="00F30237">
        <w:rPr>
          <w:lang w:val="fr-FR"/>
        </w:rPr>
        <w:t>’</w:t>
      </w:r>
      <w:r w:rsidRPr="00F30237">
        <w:rPr>
          <w:lang w:val="fr-FR"/>
        </w:rPr>
        <w:t>individu mis en cause des garanties adapt</w:t>
      </w:r>
      <w:r w:rsidRPr="00F30237">
        <w:rPr>
          <w:rFonts w:ascii="Times New Roman" w:hAnsi="Times New Roman" w:cs="Times New Roman"/>
          <w:lang w:val="fr-FR"/>
        </w:rPr>
        <w:t>é</w:t>
      </w:r>
      <w:r w:rsidRPr="00F30237">
        <w:rPr>
          <w:lang w:val="fr-FR"/>
        </w:rPr>
        <w:t xml:space="preserve">es à la nature de la privation de liberté dont il se plaint (voir, entre autres, </w:t>
      </w:r>
      <w:r w:rsidRPr="00F30237">
        <w:rPr>
          <w:i/>
          <w:lang w:val="fr-FR"/>
        </w:rPr>
        <w:t>D.N. c. Suisse</w:t>
      </w:r>
      <w:r w:rsidRPr="00F30237">
        <w:rPr>
          <w:lang w:val="fr-FR"/>
        </w:rPr>
        <w:t xml:space="preserve"> [GC], n</w:t>
      </w:r>
      <w:r w:rsidRPr="00F30237">
        <w:rPr>
          <w:vertAlign w:val="superscript"/>
          <w:lang w:val="fr-FR"/>
        </w:rPr>
        <w:t>o</w:t>
      </w:r>
      <w:r w:rsidRPr="00F30237" w:rsidR="0046486E">
        <w:rPr>
          <w:vertAlign w:val="superscript"/>
          <w:lang w:val="fr-FR"/>
        </w:rPr>
        <w:t> </w:t>
      </w:r>
      <w:r w:rsidRPr="00F30237">
        <w:rPr>
          <w:lang w:val="fr-FR"/>
        </w:rPr>
        <w:t>27154/95,</w:t>
      </w:r>
      <w:r w:rsidRPr="00F30237" w:rsidR="0046486E">
        <w:rPr>
          <w:lang w:val="fr-FR"/>
        </w:rPr>
        <w:t> </w:t>
      </w:r>
      <w:r w:rsidRPr="00F30237">
        <w:rPr>
          <w:lang w:val="fr-FR"/>
        </w:rPr>
        <w:t xml:space="preserve">§ 41, CEDH 2001-III). Pour déterminer si une procédure offre de telles garanties, il faut avoir égard à la nature particulière des circonstances dans lesquelles elle se déroule (voir, par exemple, </w:t>
      </w:r>
      <w:proofErr w:type="spellStart"/>
      <w:r w:rsidRPr="00F30237">
        <w:rPr>
          <w:i/>
          <w:lang w:val="fr-FR"/>
        </w:rPr>
        <w:t>Megyeri</w:t>
      </w:r>
      <w:proofErr w:type="spellEnd"/>
      <w:r w:rsidRPr="00F30237" w:rsidR="009D460D">
        <w:rPr>
          <w:i/>
          <w:lang w:val="fr-FR"/>
        </w:rPr>
        <w:t xml:space="preserve"> </w:t>
      </w:r>
      <w:r w:rsidRPr="00F30237">
        <w:rPr>
          <w:i/>
          <w:lang w:val="fr-FR"/>
        </w:rPr>
        <w:t>c.</w:t>
      </w:r>
      <w:r w:rsidRPr="00F30237" w:rsidR="0046486E">
        <w:rPr>
          <w:i/>
          <w:lang w:val="fr-FR"/>
        </w:rPr>
        <w:t> </w:t>
      </w:r>
      <w:r w:rsidRPr="00F30237">
        <w:rPr>
          <w:i/>
          <w:lang w:val="fr-FR"/>
        </w:rPr>
        <w:t>Allemagne</w:t>
      </w:r>
      <w:r w:rsidRPr="00F30237">
        <w:rPr>
          <w:lang w:val="fr-FR"/>
        </w:rPr>
        <w:t>, 12</w:t>
      </w:r>
      <w:r w:rsidRPr="00F30237" w:rsidR="004D6E1E">
        <w:rPr>
          <w:lang w:val="fr-FR"/>
        </w:rPr>
        <w:t> </w:t>
      </w:r>
      <w:r w:rsidRPr="00F30237">
        <w:rPr>
          <w:lang w:val="fr-FR"/>
        </w:rPr>
        <w:t>mai</w:t>
      </w:r>
      <w:r w:rsidRPr="00F30237" w:rsidR="009D460D">
        <w:rPr>
          <w:lang w:val="fr-FR"/>
        </w:rPr>
        <w:t xml:space="preserve"> </w:t>
      </w:r>
      <w:r w:rsidRPr="00F30237">
        <w:rPr>
          <w:lang w:val="fr-FR"/>
        </w:rPr>
        <w:t>1992, § 22, série A n</w:t>
      </w:r>
      <w:r w:rsidRPr="00F30237">
        <w:rPr>
          <w:vertAlign w:val="superscript"/>
          <w:lang w:val="fr-FR"/>
        </w:rPr>
        <w:t>o</w:t>
      </w:r>
      <w:r w:rsidRPr="00F30237">
        <w:rPr>
          <w:lang w:val="fr-FR"/>
        </w:rPr>
        <w:t xml:space="preserve"> 237-A). En tout état de cause, cette procédure doit respecter, autant que possible, les exigences fondamentales d</w:t>
      </w:r>
      <w:r w:rsidRPr="00F30237" w:rsidR="00F30237">
        <w:rPr>
          <w:lang w:val="fr-FR"/>
        </w:rPr>
        <w:t>’</w:t>
      </w:r>
      <w:r w:rsidRPr="00F30237">
        <w:rPr>
          <w:lang w:val="fr-FR"/>
        </w:rPr>
        <w:t>un procès équitable (</w:t>
      </w:r>
      <w:proofErr w:type="spellStart"/>
      <w:r w:rsidRPr="00F30237">
        <w:rPr>
          <w:i/>
          <w:lang w:val="fr-FR"/>
        </w:rPr>
        <w:t>Lietzow</w:t>
      </w:r>
      <w:proofErr w:type="spellEnd"/>
      <w:r w:rsidRPr="00F30237">
        <w:rPr>
          <w:i/>
          <w:lang w:val="fr-FR"/>
        </w:rPr>
        <w:t xml:space="preserve"> c. Allemagne</w:t>
      </w:r>
      <w:r w:rsidRPr="00F30237">
        <w:rPr>
          <w:lang w:val="fr-FR"/>
        </w:rPr>
        <w:t>, n</w:t>
      </w:r>
      <w:r w:rsidRPr="00F30237">
        <w:rPr>
          <w:vertAlign w:val="superscript"/>
          <w:lang w:val="fr-FR"/>
        </w:rPr>
        <w:t>o</w:t>
      </w:r>
      <w:r w:rsidRPr="00F30237" w:rsidR="0046486E">
        <w:rPr>
          <w:vertAlign w:val="superscript"/>
          <w:lang w:val="fr-FR"/>
        </w:rPr>
        <w:t> </w:t>
      </w:r>
      <w:r w:rsidRPr="00F30237">
        <w:rPr>
          <w:lang w:val="fr-FR"/>
        </w:rPr>
        <w:t>24479/94,</w:t>
      </w:r>
      <w:r w:rsidRPr="00F30237" w:rsidR="0046486E">
        <w:rPr>
          <w:lang w:val="fr-FR"/>
        </w:rPr>
        <w:t> </w:t>
      </w:r>
      <w:r w:rsidRPr="00F30237">
        <w:rPr>
          <w:lang w:val="fr-FR"/>
        </w:rPr>
        <w:t>§</w:t>
      </w:r>
      <w:r w:rsidRPr="00F30237" w:rsidR="0046486E">
        <w:rPr>
          <w:lang w:val="fr-FR"/>
        </w:rPr>
        <w:t> </w:t>
      </w:r>
      <w:r w:rsidRPr="00F30237">
        <w:rPr>
          <w:lang w:val="fr-FR"/>
        </w:rPr>
        <w:t xml:space="preserve">44, CEDH 2001-I, et </w:t>
      </w:r>
      <w:proofErr w:type="spellStart"/>
      <w:r w:rsidRPr="00F30237">
        <w:rPr>
          <w:i/>
          <w:lang w:val="fr-FR"/>
        </w:rPr>
        <w:t>Schöps</w:t>
      </w:r>
      <w:proofErr w:type="spellEnd"/>
      <w:r w:rsidRPr="00F30237">
        <w:rPr>
          <w:lang w:val="fr-FR"/>
        </w:rPr>
        <w:t>, précité, § 44).</w:t>
      </w:r>
    </w:p>
    <w:p w:rsidRPr="00F30237" w:rsidR="00E44B72" w:rsidP="00F30237" w:rsidRDefault="00E44B72">
      <w:pPr>
        <w:pStyle w:val="ECHRPara"/>
        <w:rPr>
          <w:lang w:val="fr-FR"/>
        </w:rPr>
      </w:pPr>
      <w:r w:rsidRPr="00F30237">
        <w:rPr>
          <w:lang w:val="fr-FR"/>
        </w:rPr>
        <w:t>f)  La première garantie fondamentale découlant naturellement de l</w:t>
      </w:r>
      <w:r w:rsidRPr="00F30237" w:rsidR="00F30237">
        <w:rPr>
          <w:lang w:val="fr-FR"/>
        </w:rPr>
        <w:t>’</w:t>
      </w:r>
      <w:r w:rsidRPr="00F30237">
        <w:rPr>
          <w:lang w:val="fr-FR"/>
        </w:rPr>
        <w:t>article 5 § 4 de la Convention est le droit d</w:t>
      </w:r>
      <w:r w:rsidRPr="00F30237" w:rsidR="00F30237">
        <w:rPr>
          <w:lang w:val="fr-FR"/>
        </w:rPr>
        <w:t>’</w:t>
      </w:r>
      <w:r w:rsidRPr="00F30237">
        <w:rPr>
          <w:lang w:val="fr-FR"/>
        </w:rPr>
        <w:t>être effectivement entendu par le juge saisi d</w:t>
      </w:r>
      <w:r w:rsidRPr="00F30237" w:rsidR="00F30237">
        <w:rPr>
          <w:lang w:val="fr-FR"/>
        </w:rPr>
        <w:t>’</w:t>
      </w:r>
      <w:r w:rsidRPr="00F30237">
        <w:rPr>
          <w:lang w:val="fr-FR"/>
        </w:rPr>
        <w:t>un recours contre une détention (</w:t>
      </w:r>
      <w:proofErr w:type="spellStart"/>
      <w:r w:rsidRPr="00F30237">
        <w:rPr>
          <w:i/>
          <w:lang w:val="fr-FR"/>
        </w:rPr>
        <w:t>Svipsta</w:t>
      </w:r>
      <w:proofErr w:type="spellEnd"/>
      <w:r w:rsidRPr="00F30237">
        <w:rPr>
          <w:i/>
          <w:lang w:val="fr-FR"/>
        </w:rPr>
        <w:t xml:space="preserve"> c. Lettonie</w:t>
      </w:r>
      <w:r w:rsidRPr="00F30237">
        <w:rPr>
          <w:lang w:val="fr-FR"/>
        </w:rPr>
        <w:t>, n</w:t>
      </w:r>
      <w:r w:rsidRPr="00F30237">
        <w:rPr>
          <w:szCs w:val="24"/>
          <w:vertAlign w:val="superscript"/>
          <w:lang w:val="fr-FR"/>
        </w:rPr>
        <w:t>o </w:t>
      </w:r>
      <w:r w:rsidRPr="00F30237">
        <w:rPr>
          <w:lang w:val="fr-FR"/>
        </w:rPr>
        <w:t>66820/01, § 128, CEDH 2006</w:t>
      </w:r>
      <w:r w:rsidRPr="00F30237">
        <w:rPr>
          <w:lang w:val="fr-FR"/>
        </w:rPr>
        <w:noBreakHyphen/>
        <w:t xml:space="preserve">III (extraits), et </w:t>
      </w:r>
      <w:proofErr w:type="spellStart"/>
      <w:r w:rsidRPr="00F30237">
        <w:rPr>
          <w:i/>
          <w:lang w:val="fr-FR"/>
        </w:rPr>
        <w:t>Knebl</w:t>
      </w:r>
      <w:proofErr w:type="spellEnd"/>
      <w:r w:rsidRPr="00F30237">
        <w:rPr>
          <w:i/>
          <w:lang w:val="fr-FR"/>
        </w:rPr>
        <w:t xml:space="preserve"> c. République tchèque</w:t>
      </w:r>
      <w:r w:rsidRPr="00F30237">
        <w:rPr>
          <w:lang w:val="fr-FR"/>
        </w:rPr>
        <w:t>, n</w:t>
      </w:r>
      <w:r w:rsidRPr="00F30237">
        <w:rPr>
          <w:vertAlign w:val="superscript"/>
          <w:lang w:val="fr-FR"/>
        </w:rPr>
        <w:t>o</w:t>
      </w:r>
      <w:r w:rsidRPr="00F30237">
        <w:rPr>
          <w:lang w:val="fr-FR"/>
        </w:rPr>
        <w:t> 20157/05, § 81, 28 octobre 2010). Pour les personnes détenues dans les conditions énoncées à l</w:t>
      </w:r>
      <w:r w:rsidRPr="00F30237" w:rsidR="00F30237">
        <w:rPr>
          <w:lang w:val="fr-FR"/>
        </w:rPr>
        <w:t>’</w:t>
      </w:r>
      <w:r w:rsidRPr="00F30237">
        <w:rPr>
          <w:lang w:val="fr-FR"/>
        </w:rPr>
        <w:t>article 5 § 1 c) de la Convention, l</w:t>
      </w:r>
      <w:r w:rsidRPr="00F30237" w:rsidR="00F30237">
        <w:rPr>
          <w:lang w:val="fr-FR"/>
        </w:rPr>
        <w:t>’</w:t>
      </w:r>
      <w:r w:rsidRPr="00F30237">
        <w:rPr>
          <w:lang w:val="fr-FR"/>
        </w:rPr>
        <w:t>article</w:t>
      </w:r>
      <w:r w:rsidRPr="00F30237" w:rsidR="0011265B">
        <w:rPr>
          <w:lang w:val="fr-FR"/>
        </w:rPr>
        <w:t> </w:t>
      </w:r>
      <w:r w:rsidRPr="00F30237">
        <w:rPr>
          <w:lang w:val="fr-FR"/>
        </w:rPr>
        <w:t>5</w:t>
      </w:r>
      <w:r w:rsidRPr="00F30237" w:rsidR="009D460D">
        <w:rPr>
          <w:lang w:val="fr-FR"/>
        </w:rPr>
        <w:t xml:space="preserve"> </w:t>
      </w:r>
      <w:r w:rsidRPr="00F30237">
        <w:rPr>
          <w:lang w:val="fr-FR"/>
        </w:rPr>
        <w:t>§ 4 exige la tenue d</w:t>
      </w:r>
      <w:r w:rsidRPr="00F30237" w:rsidR="00F30237">
        <w:rPr>
          <w:lang w:val="fr-FR"/>
        </w:rPr>
        <w:t>’</w:t>
      </w:r>
      <w:r w:rsidRPr="00F30237">
        <w:rPr>
          <w:lang w:val="fr-FR"/>
        </w:rPr>
        <w:t>une audience (</w:t>
      </w:r>
      <w:proofErr w:type="spellStart"/>
      <w:r w:rsidRPr="00F30237">
        <w:rPr>
          <w:i/>
          <w:lang w:val="fr-FR"/>
        </w:rPr>
        <w:t>Kampanis</w:t>
      </w:r>
      <w:proofErr w:type="spellEnd"/>
      <w:r w:rsidRPr="00F30237">
        <w:rPr>
          <w:i/>
          <w:lang w:val="fr-FR"/>
        </w:rPr>
        <w:t xml:space="preserve"> c. Grèce</w:t>
      </w:r>
      <w:r w:rsidRPr="00F30237">
        <w:rPr>
          <w:lang w:val="fr-FR"/>
        </w:rPr>
        <w:t>, 13</w:t>
      </w:r>
      <w:r w:rsidRPr="00F30237" w:rsidR="00F94A74">
        <w:rPr>
          <w:lang w:val="fr-FR"/>
        </w:rPr>
        <w:t> </w:t>
      </w:r>
      <w:r w:rsidRPr="00F30237">
        <w:rPr>
          <w:lang w:val="fr-FR"/>
        </w:rPr>
        <w:t>juillet</w:t>
      </w:r>
      <w:r w:rsidRPr="00F30237" w:rsidR="00F94A74">
        <w:rPr>
          <w:lang w:val="fr-FR"/>
        </w:rPr>
        <w:t> </w:t>
      </w:r>
      <w:r w:rsidRPr="00F30237">
        <w:rPr>
          <w:lang w:val="fr-FR"/>
        </w:rPr>
        <w:t>1995, § 47, série A n</w:t>
      </w:r>
      <w:r w:rsidRPr="00F30237">
        <w:rPr>
          <w:vertAlign w:val="superscript"/>
          <w:lang w:val="fr-FR"/>
        </w:rPr>
        <w:t>o</w:t>
      </w:r>
      <w:r w:rsidRPr="00F30237">
        <w:rPr>
          <w:lang w:val="fr-FR"/>
        </w:rPr>
        <w:t xml:space="preserve"> 318-B, et </w:t>
      </w:r>
      <w:proofErr w:type="spellStart"/>
      <w:r w:rsidRPr="00F30237">
        <w:rPr>
          <w:i/>
          <w:lang w:val="fr-FR"/>
        </w:rPr>
        <w:t>Włoch</w:t>
      </w:r>
      <w:proofErr w:type="spellEnd"/>
      <w:r w:rsidRPr="00F30237">
        <w:rPr>
          <w:i/>
          <w:lang w:val="fr-FR"/>
        </w:rPr>
        <w:t xml:space="preserve"> c. Pologne</w:t>
      </w:r>
      <w:r w:rsidRPr="00F30237">
        <w:rPr>
          <w:lang w:val="fr-FR"/>
        </w:rPr>
        <w:t>, n</w:t>
      </w:r>
      <w:r w:rsidRPr="00F30237">
        <w:rPr>
          <w:vertAlign w:val="superscript"/>
          <w:lang w:val="fr-FR"/>
        </w:rPr>
        <w:t>o</w:t>
      </w:r>
      <w:r w:rsidRPr="00F30237">
        <w:rPr>
          <w:lang w:val="fr-FR"/>
        </w:rPr>
        <w:t xml:space="preserve"> 27785/95, §</w:t>
      </w:r>
      <w:r w:rsidRPr="00F30237" w:rsidR="00F94A74">
        <w:rPr>
          <w:lang w:val="fr-FR"/>
        </w:rPr>
        <w:t> </w:t>
      </w:r>
      <w:r w:rsidRPr="00F30237" w:rsidR="009D460D">
        <w:rPr>
          <w:lang w:val="fr-FR"/>
        </w:rPr>
        <w:t>126, CEDH 2000</w:t>
      </w:r>
      <w:r w:rsidRPr="00F30237" w:rsidR="009D460D">
        <w:rPr>
          <w:lang w:val="fr-FR"/>
        </w:rPr>
        <w:noBreakHyphen/>
      </w:r>
      <w:r w:rsidRPr="00F30237">
        <w:rPr>
          <w:lang w:val="fr-FR"/>
        </w:rPr>
        <w:t>XI). Cette audience doit être contradictoire, ce qui suppose normalement la représentation par un défenseur et la possibilité, le cas échéant, de citer et d</w:t>
      </w:r>
      <w:r w:rsidRPr="00F30237" w:rsidR="00F30237">
        <w:rPr>
          <w:lang w:val="fr-FR"/>
        </w:rPr>
        <w:t>’</w:t>
      </w:r>
      <w:r w:rsidRPr="00F30237">
        <w:rPr>
          <w:lang w:val="fr-FR"/>
        </w:rPr>
        <w:t>interroger des témoins (</w:t>
      </w:r>
      <w:r w:rsidRPr="00F30237">
        <w:rPr>
          <w:i/>
          <w:lang w:val="fr-FR"/>
        </w:rPr>
        <w:t xml:space="preserve">Hussain c. Royaume-Uni </w:t>
      </w:r>
      <w:r w:rsidRPr="00F30237">
        <w:rPr>
          <w:lang w:val="fr-FR"/>
        </w:rPr>
        <w:t>et</w:t>
      </w:r>
      <w:r w:rsidRPr="00F30237" w:rsidR="009D460D">
        <w:rPr>
          <w:i/>
          <w:lang w:val="fr-FR"/>
        </w:rPr>
        <w:t> </w:t>
      </w:r>
      <w:r w:rsidRPr="00F30237">
        <w:rPr>
          <w:i/>
          <w:lang w:val="fr-FR"/>
        </w:rPr>
        <w:t>Singh c. Royaume-Uni</w:t>
      </w:r>
      <w:r w:rsidRPr="00F30237">
        <w:rPr>
          <w:lang w:val="fr-FR"/>
        </w:rPr>
        <w:t xml:space="preserve">, arrêts du 21 février 1996, </w:t>
      </w:r>
      <w:r w:rsidRPr="00F30237">
        <w:rPr>
          <w:i/>
          <w:lang w:val="fr-FR"/>
        </w:rPr>
        <w:t>Recueil des arrêts et décisions</w:t>
      </w:r>
      <w:r w:rsidRPr="00F30237">
        <w:rPr>
          <w:lang w:val="fr-FR"/>
        </w:rPr>
        <w:t xml:space="preserve"> 1996-I, § 60 et § 68 respectivement).</w:t>
      </w:r>
    </w:p>
    <w:p w:rsidRPr="00F30237" w:rsidR="00E44B72" w:rsidP="00F30237" w:rsidRDefault="00E44B72">
      <w:pPr>
        <w:pStyle w:val="ECHRHeading3"/>
        <w:rPr>
          <w:lang w:val="fr-FR"/>
        </w:rPr>
      </w:pPr>
      <w:r w:rsidRPr="00F30237">
        <w:rPr>
          <w:lang w:val="fr-FR"/>
        </w:rPr>
        <w:t>3.  Application desdits principes au cas d</w:t>
      </w:r>
      <w:r w:rsidRPr="00F30237" w:rsidR="00F30237">
        <w:rPr>
          <w:lang w:val="fr-FR"/>
        </w:rPr>
        <w:t>’</w:t>
      </w:r>
      <w:r w:rsidRPr="00F30237">
        <w:rPr>
          <w:lang w:val="fr-FR"/>
        </w:rPr>
        <w:t>espèce</w:t>
      </w:r>
    </w:p>
    <w:p w:rsidRPr="00F30237" w:rsidR="00E44B72" w:rsidP="00F30237" w:rsidRDefault="00E44B72">
      <w:pPr>
        <w:pStyle w:val="ECHRPara"/>
        <w:rPr>
          <w:lang w:val="fr-FR"/>
        </w:rPr>
      </w:pPr>
      <w:r w:rsidRPr="00F30237">
        <w:rPr>
          <w:lang w:val="fr-FR"/>
        </w:rPr>
        <w:t>47.  La Cour observe que la question se pose de savoir si l</w:t>
      </w:r>
      <w:r w:rsidRPr="00F30237" w:rsidR="00F30237">
        <w:rPr>
          <w:lang w:val="fr-FR"/>
        </w:rPr>
        <w:t>’</w:t>
      </w:r>
      <w:r w:rsidRPr="00F30237">
        <w:rPr>
          <w:lang w:val="fr-FR"/>
        </w:rPr>
        <w:t>ordre juridique interne offrait au requérant des garanties procédurales à même de respecter l</w:t>
      </w:r>
      <w:r w:rsidRPr="00F30237" w:rsidR="00F30237">
        <w:rPr>
          <w:lang w:val="fr-FR"/>
        </w:rPr>
        <w:t>’</w:t>
      </w:r>
      <w:r w:rsidRPr="00F30237">
        <w:rPr>
          <w:lang w:val="fr-FR"/>
        </w:rPr>
        <w:t>article 5 § 4.</w:t>
      </w:r>
    </w:p>
    <w:p w:rsidRPr="00F30237" w:rsidR="00E44B72" w:rsidP="00F30237" w:rsidRDefault="00E44B72">
      <w:pPr>
        <w:pStyle w:val="ECHRHeading4"/>
        <w:rPr>
          <w:lang w:val="fr-FR"/>
        </w:rPr>
      </w:pPr>
      <w:r w:rsidRPr="00F30237">
        <w:rPr>
          <w:lang w:val="fr-FR"/>
        </w:rPr>
        <w:t>a)  Sur le recours prévu par l</w:t>
      </w:r>
      <w:r w:rsidRPr="00F30237" w:rsidR="00F30237">
        <w:rPr>
          <w:lang w:val="fr-FR"/>
        </w:rPr>
        <w:t>’</w:t>
      </w:r>
      <w:r w:rsidRPr="00F30237">
        <w:rPr>
          <w:lang w:val="fr-FR"/>
        </w:rPr>
        <w:t>article 309 du CPP</w:t>
      </w:r>
    </w:p>
    <w:p w:rsidRPr="00F30237" w:rsidR="00E44B72" w:rsidP="00F30237" w:rsidRDefault="00E44B72">
      <w:pPr>
        <w:pStyle w:val="ECHRPara"/>
        <w:rPr>
          <w:lang w:val="fr-FR"/>
        </w:rPr>
      </w:pPr>
      <w:r w:rsidRPr="00F30237">
        <w:rPr>
          <w:lang w:val="fr-FR"/>
        </w:rPr>
        <w:t>48.  La Cour relève avec les parties que le droit italien offre aux justiciables la possibilité de contester la motivation d</w:t>
      </w:r>
      <w:r w:rsidRPr="00F30237" w:rsidR="00F30237">
        <w:rPr>
          <w:lang w:val="fr-FR"/>
        </w:rPr>
        <w:t>’</w:t>
      </w:r>
      <w:r w:rsidRPr="00F30237">
        <w:rPr>
          <w:lang w:val="fr-FR"/>
        </w:rPr>
        <w:t>une décision ordonnant une mesure privative de liberté par le biais d</w:t>
      </w:r>
      <w:r w:rsidRPr="00F30237" w:rsidR="00F30237">
        <w:rPr>
          <w:lang w:val="fr-FR"/>
        </w:rPr>
        <w:t>’</w:t>
      </w:r>
      <w:r w:rsidRPr="00F30237">
        <w:rPr>
          <w:lang w:val="fr-FR"/>
        </w:rPr>
        <w:t>un recours (</w:t>
      </w:r>
      <w:proofErr w:type="spellStart"/>
      <w:r w:rsidRPr="00F30237">
        <w:rPr>
          <w:i/>
          <w:lang w:val="fr-FR"/>
        </w:rPr>
        <w:t>richiesta</w:t>
      </w:r>
      <w:proofErr w:type="spellEnd"/>
      <w:r w:rsidRPr="00F30237">
        <w:rPr>
          <w:i/>
          <w:lang w:val="fr-FR"/>
        </w:rPr>
        <w:t xml:space="preserve"> di </w:t>
      </w:r>
      <w:proofErr w:type="spellStart"/>
      <w:r w:rsidRPr="00F30237">
        <w:rPr>
          <w:i/>
          <w:lang w:val="fr-FR"/>
        </w:rPr>
        <w:t>riesame</w:t>
      </w:r>
      <w:proofErr w:type="spellEnd"/>
      <w:r w:rsidRPr="00F30237">
        <w:rPr>
          <w:lang w:val="fr-FR"/>
        </w:rPr>
        <w:t>) introduit sur le fondement de l</w:t>
      </w:r>
      <w:r w:rsidRPr="00F30237" w:rsidR="00F30237">
        <w:rPr>
          <w:lang w:val="fr-FR"/>
        </w:rPr>
        <w:t>’</w:t>
      </w:r>
      <w:r w:rsidRPr="00F30237">
        <w:rPr>
          <w:lang w:val="fr-FR"/>
        </w:rPr>
        <w:t>article 309 du CPP.</w:t>
      </w:r>
    </w:p>
    <w:p w:rsidRPr="00F30237" w:rsidR="00E44B72" w:rsidP="00F30237" w:rsidRDefault="00E44B72">
      <w:pPr>
        <w:pStyle w:val="ECHRPara"/>
        <w:rPr>
          <w:lang w:val="fr-FR"/>
        </w:rPr>
      </w:pPr>
      <w:r w:rsidRPr="00F30237">
        <w:rPr>
          <w:lang w:val="fr-FR"/>
        </w:rPr>
        <w:t>49.  Examinant le grief du requérant, consistant à dire que dans son cas la procédure n</w:t>
      </w:r>
      <w:r w:rsidRPr="00F30237" w:rsidR="00F30237">
        <w:rPr>
          <w:lang w:val="fr-FR"/>
        </w:rPr>
        <w:t>’</w:t>
      </w:r>
      <w:r w:rsidRPr="00F30237">
        <w:rPr>
          <w:lang w:val="fr-FR"/>
        </w:rPr>
        <w:t>a pas respecté les garanties fondamentales du procès équitable, la Cour constate que le recours introduit par l</w:t>
      </w:r>
      <w:r w:rsidRPr="00F30237" w:rsidR="00F30237">
        <w:rPr>
          <w:lang w:val="fr-FR"/>
        </w:rPr>
        <w:t>’</w:t>
      </w:r>
      <w:r w:rsidRPr="00F30237">
        <w:rPr>
          <w:lang w:val="fr-FR"/>
        </w:rPr>
        <w:t>avocat choisi par l</w:t>
      </w:r>
      <w:r w:rsidRPr="00F30237" w:rsidR="00F30237">
        <w:rPr>
          <w:lang w:val="fr-FR"/>
        </w:rPr>
        <w:t>’</w:t>
      </w:r>
      <w:r w:rsidRPr="00F30237">
        <w:rPr>
          <w:lang w:val="fr-FR"/>
        </w:rPr>
        <w:t>intéressé contre l</w:t>
      </w:r>
      <w:r w:rsidRPr="00F30237" w:rsidR="00F30237">
        <w:rPr>
          <w:lang w:val="fr-FR"/>
        </w:rPr>
        <w:t>’</w:t>
      </w:r>
      <w:r w:rsidRPr="00F30237">
        <w:rPr>
          <w:lang w:val="fr-FR"/>
        </w:rPr>
        <w:t>ordonnance du juge de l</w:t>
      </w:r>
      <w:r w:rsidRPr="00F30237" w:rsidR="00F30237">
        <w:rPr>
          <w:lang w:val="fr-FR"/>
        </w:rPr>
        <w:t>’</w:t>
      </w:r>
      <w:r w:rsidRPr="00F30237">
        <w:rPr>
          <w:lang w:val="fr-FR"/>
        </w:rPr>
        <w:t>application des peines a été déclaré irrecevable par la chambre spécialisée du tribunal de Palerme au motif qu</w:t>
      </w:r>
      <w:r w:rsidRPr="00F30237" w:rsidR="00F30237">
        <w:rPr>
          <w:lang w:val="fr-FR"/>
        </w:rPr>
        <w:t>’</w:t>
      </w:r>
      <w:r w:rsidRPr="00F30237">
        <w:rPr>
          <w:lang w:val="fr-FR"/>
        </w:rPr>
        <w:t>une demande similaire avait déjà été présentée par un avocat commis d</w:t>
      </w:r>
      <w:r w:rsidRPr="00F30237" w:rsidR="00F30237">
        <w:rPr>
          <w:lang w:val="fr-FR"/>
        </w:rPr>
        <w:t>’</w:t>
      </w:r>
      <w:r w:rsidRPr="00F30237">
        <w:rPr>
          <w:lang w:val="fr-FR"/>
        </w:rPr>
        <w:t>office à l</w:t>
      </w:r>
      <w:r w:rsidRPr="00F30237" w:rsidR="00F30237">
        <w:rPr>
          <w:lang w:val="fr-FR"/>
        </w:rPr>
        <w:t>’</w:t>
      </w:r>
      <w:r w:rsidRPr="00F30237">
        <w:rPr>
          <w:lang w:val="fr-FR"/>
        </w:rPr>
        <w:t>époque où le requérant était en fuite. La Cour de cassation confirma par la suite cette analyse, invoquant le principe de l</w:t>
      </w:r>
      <w:r w:rsidRPr="00F30237" w:rsidR="00F30237">
        <w:rPr>
          <w:lang w:val="fr-FR"/>
        </w:rPr>
        <w:t>’</w:t>
      </w:r>
      <w:r w:rsidRPr="00F30237">
        <w:rPr>
          <w:lang w:val="fr-FR"/>
        </w:rPr>
        <w:t> « unicité du droit d</w:t>
      </w:r>
      <w:r w:rsidRPr="00F30237" w:rsidR="00F30237">
        <w:rPr>
          <w:lang w:val="fr-FR"/>
        </w:rPr>
        <w:t>’</w:t>
      </w:r>
      <w:r w:rsidRPr="00F30237">
        <w:rPr>
          <w:lang w:val="fr-FR"/>
        </w:rPr>
        <w:t>appel » tel qu</w:t>
      </w:r>
      <w:r w:rsidRPr="00F30237" w:rsidR="00F30237">
        <w:rPr>
          <w:lang w:val="fr-FR"/>
        </w:rPr>
        <w:t>’</w:t>
      </w:r>
      <w:r w:rsidRPr="00F30237">
        <w:rPr>
          <w:lang w:val="fr-FR"/>
        </w:rPr>
        <w:t>interprété par ses sections réunies, qui faisait obstacle à la réitération du même recours par l</w:t>
      </w:r>
      <w:r w:rsidRPr="00F30237" w:rsidR="00F30237">
        <w:rPr>
          <w:lang w:val="fr-FR"/>
        </w:rPr>
        <w:t>’</w:t>
      </w:r>
      <w:r w:rsidRPr="00F30237">
        <w:rPr>
          <w:lang w:val="fr-FR"/>
        </w:rPr>
        <w:t>une quelconque des différentes personnes titulaires du droit de l</w:t>
      </w:r>
      <w:r w:rsidRPr="00F30237" w:rsidR="00F30237">
        <w:rPr>
          <w:lang w:val="fr-FR"/>
        </w:rPr>
        <w:t>’</w:t>
      </w:r>
      <w:r w:rsidRPr="00F30237">
        <w:rPr>
          <w:lang w:val="fr-FR"/>
        </w:rPr>
        <w:t>exercer.</w:t>
      </w:r>
    </w:p>
    <w:p w:rsidRPr="00F30237" w:rsidR="00E44B72" w:rsidP="00F30237" w:rsidRDefault="00E44B72">
      <w:pPr>
        <w:pStyle w:val="ECHRPara"/>
        <w:rPr>
          <w:lang w:val="fr-FR"/>
        </w:rPr>
      </w:pPr>
      <w:r w:rsidRPr="00F30237">
        <w:rPr>
          <w:lang w:val="fr-FR"/>
        </w:rPr>
        <w:t>50.  Or il n</w:t>
      </w:r>
      <w:r w:rsidRPr="00F30237" w:rsidR="00F30237">
        <w:rPr>
          <w:lang w:val="fr-FR"/>
        </w:rPr>
        <w:t>’</w:t>
      </w:r>
      <w:r w:rsidRPr="00F30237">
        <w:rPr>
          <w:lang w:val="fr-FR"/>
        </w:rPr>
        <w:t>est pas contesté que l</w:t>
      </w:r>
      <w:r w:rsidRPr="00F30237" w:rsidR="00F30237">
        <w:rPr>
          <w:lang w:val="fr-FR"/>
        </w:rPr>
        <w:t>’</w:t>
      </w:r>
      <w:r w:rsidRPr="00F30237">
        <w:rPr>
          <w:lang w:val="fr-FR"/>
        </w:rPr>
        <w:t>avocat qui fut désigné d</w:t>
      </w:r>
      <w:r w:rsidRPr="00F30237" w:rsidR="00F30237">
        <w:rPr>
          <w:lang w:val="fr-FR"/>
        </w:rPr>
        <w:t>’</w:t>
      </w:r>
      <w:r w:rsidRPr="00F30237">
        <w:rPr>
          <w:lang w:val="fr-FR"/>
        </w:rPr>
        <w:t>office par les autorités pour représenter le requérant dans la procédure décida d</w:t>
      </w:r>
      <w:r w:rsidRPr="00F30237" w:rsidR="00F30237">
        <w:rPr>
          <w:lang w:val="fr-FR"/>
        </w:rPr>
        <w:t>’</w:t>
      </w:r>
      <w:r w:rsidRPr="00F30237">
        <w:rPr>
          <w:lang w:val="fr-FR"/>
        </w:rPr>
        <w:t>attaquer l</w:t>
      </w:r>
      <w:r w:rsidRPr="00F30237" w:rsidR="00F30237">
        <w:rPr>
          <w:lang w:val="fr-FR"/>
        </w:rPr>
        <w:t>’</w:t>
      </w:r>
      <w:r w:rsidRPr="00F30237">
        <w:rPr>
          <w:lang w:val="fr-FR"/>
        </w:rPr>
        <w:t>ordonnance de détention provisoire à l</w:t>
      </w:r>
      <w:r w:rsidRPr="00F30237" w:rsidR="00F30237">
        <w:rPr>
          <w:lang w:val="fr-FR"/>
        </w:rPr>
        <w:t>’</w:t>
      </w:r>
      <w:r w:rsidRPr="00F30237">
        <w:rPr>
          <w:lang w:val="fr-FR"/>
        </w:rPr>
        <w:t>insu de son client, lequel était introuvable à ce moment-là. Il est donc hors de doute que le requérant n</w:t>
      </w:r>
      <w:r w:rsidRPr="00F30237" w:rsidR="00F30237">
        <w:rPr>
          <w:lang w:val="fr-FR"/>
        </w:rPr>
        <w:t>’</w:t>
      </w:r>
      <w:r w:rsidRPr="00F30237">
        <w:rPr>
          <w:lang w:val="fr-FR"/>
        </w:rPr>
        <w:t>eut pas l</w:t>
      </w:r>
      <w:r w:rsidRPr="00F30237" w:rsidR="00F30237">
        <w:rPr>
          <w:lang w:val="fr-FR"/>
        </w:rPr>
        <w:t>’</w:t>
      </w:r>
      <w:r w:rsidRPr="00F30237">
        <w:rPr>
          <w:lang w:val="fr-FR"/>
        </w:rPr>
        <w:t>occasion de communiquer avec ledit avocat et d</w:t>
      </w:r>
      <w:r w:rsidRPr="00F30237" w:rsidR="00F30237">
        <w:rPr>
          <w:lang w:val="fr-FR"/>
        </w:rPr>
        <w:t>’</w:t>
      </w:r>
      <w:r w:rsidRPr="00F30237">
        <w:rPr>
          <w:lang w:val="fr-FR"/>
        </w:rPr>
        <w:t>avancer ses propres arguments à l</w:t>
      </w:r>
      <w:r w:rsidRPr="00F30237" w:rsidR="00F30237">
        <w:rPr>
          <w:lang w:val="fr-FR"/>
        </w:rPr>
        <w:t>’</w:t>
      </w:r>
      <w:r w:rsidRPr="00F30237">
        <w:rPr>
          <w:lang w:val="fr-FR"/>
        </w:rPr>
        <w:t>appui de la demande de mise en liberté. Par ailleurs, force est de constater qu</w:t>
      </w:r>
      <w:r w:rsidRPr="00F30237" w:rsidR="00F30237">
        <w:rPr>
          <w:lang w:val="fr-FR"/>
        </w:rPr>
        <w:t>’</w:t>
      </w:r>
      <w:r w:rsidRPr="00F30237">
        <w:rPr>
          <w:lang w:val="fr-FR"/>
        </w:rPr>
        <w:t>il n</w:t>
      </w:r>
      <w:r w:rsidRPr="00F30237" w:rsidR="00F30237">
        <w:rPr>
          <w:lang w:val="fr-FR"/>
        </w:rPr>
        <w:t>’</w:t>
      </w:r>
      <w:r w:rsidRPr="00F30237">
        <w:rPr>
          <w:lang w:val="fr-FR"/>
        </w:rPr>
        <w:t>a jamais été entendu par la chambre spécialisée du tribunal de Palerme qui a statué sur la légalité de sa détention.</w:t>
      </w:r>
    </w:p>
    <w:p w:rsidRPr="00F30237" w:rsidR="00E44B72" w:rsidP="00F30237" w:rsidRDefault="00E44B72">
      <w:pPr>
        <w:pStyle w:val="ECHRPara"/>
        <w:rPr>
          <w:lang w:val="fr-FR"/>
        </w:rPr>
      </w:pPr>
      <w:r w:rsidRPr="00F30237">
        <w:rPr>
          <w:lang w:val="fr-FR"/>
        </w:rPr>
        <w:t>51.  Au vu de ces circonstances, on ne peut donc dire que le requérant ait été en mesure de soutenir personnellement à un moment ou à un autre la demande tendant à sa mise en liberté qui avait été introduite devant la chambre spécialisée du tribunal, juridiction qui était compétente pour examiner la décision de placement en détention provisoire. La Cour rappelle ici que la première garantie fondamentale découlant naturellement de l</w:t>
      </w:r>
      <w:r w:rsidRPr="00F30237" w:rsidR="00F30237">
        <w:rPr>
          <w:lang w:val="fr-FR"/>
        </w:rPr>
        <w:t>’</w:t>
      </w:r>
      <w:r w:rsidRPr="00F30237">
        <w:rPr>
          <w:lang w:val="fr-FR"/>
        </w:rPr>
        <w:t>article 5 § 4 de la Convention est le droit d</w:t>
      </w:r>
      <w:r w:rsidRPr="00F30237" w:rsidR="00F30237">
        <w:rPr>
          <w:lang w:val="fr-FR"/>
        </w:rPr>
        <w:t>’</w:t>
      </w:r>
      <w:r w:rsidRPr="00F30237">
        <w:rPr>
          <w:lang w:val="fr-FR"/>
        </w:rPr>
        <w:t>être effectivement entendu par le juge saisi d</w:t>
      </w:r>
      <w:r w:rsidRPr="00F30237" w:rsidR="00F30237">
        <w:rPr>
          <w:lang w:val="fr-FR"/>
        </w:rPr>
        <w:t>’</w:t>
      </w:r>
      <w:r w:rsidRPr="00F30237">
        <w:rPr>
          <w:lang w:val="fr-FR"/>
        </w:rPr>
        <w:t>un recours contre une détention (</w:t>
      </w:r>
      <w:proofErr w:type="spellStart"/>
      <w:r w:rsidRPr="00F30237">
        <w:rPr>
          <w:i/>
          <w:lang w:val="fr-FR"/>
        </w:rPr>
        <w:t>Svipsta</w:t>
      </w:r>
      <w:proofErr w:type="spellEnd"/>
      <w:r w:rsidRPr="00F30237">
        <w:rPr>
          <w:lang w:val="fr-FR"/>
        </w:rPr>
        <w:t xml:space="preserve">, précité, § 128 et </w:t>
      </w:r>
      <w:proofErr w:type="spellStart"/>
      <w:r w:rsidRPr="00F30237">
        <w:rPr>
          <w:i/>
          <w:lang w:val="fr-FR"/>
        </w:rPr>
        <w:t>Knebl</w:t>
      </w:r>
      <w:proofErr w:type="spellEnd"/>
      <w:r w:rsidRPr="00F30237">
        <w:rPr>
          <w:lang w:val="fr-FR"/>
        </w:rPr>
        <w:t>, précité, § 81).</w:t>
      </w:r>
    </w:p>
    <w:p w:rsidRPr="00F30237" w:rsidR="00E44B72" w:rsidP="00F30237" w:rsidRDefault="00E44B72">
      <w:pPr>
        <w:pStyle w:val="ECHRPara"/>
        <w:rPr>
          <w:lang w:val="fr-FR"/>
        </w:rPr>
      </w:pPr>
      <w:r w:rsidRPr="00F30237">
        <w:rPr>
          <w:lang w:val="fr-FR"/>
        </w:rPr>
        <w:t>52.  La Cour réaffirme en outre que la Convention a pour but de «protéger des droits non pas théoriques ou illusoires, mais concrets et effectifs », et que la nomination d</w:t>
      </w:r>
      <w:r w:rsidRPr="00F30237" w:rsidR="00F30237">
        <w:rPr>
          <w:lang w:val="fr-FR"/>
        </w:rPr>
        <w:t>’</w:t>
      </w:r>
      <w:r w:rsidRPr="00F30237">
        <w:rPr>
          <w:lang w:val="fr-FR"/>
        </w:rPr>
        <w:t>un conseil n</w:t>
      </w:r>
      <w:r w:rsidRPr="00F30237" w:rsidR="00F30237">
        <w:rPr>
          <w:lang w:val="fr-FR"/>
        </w:rPr>
        <w:t>’</w:t>
      </w:r>
      <w:r w:rsidRPr="00F30237">
        <w:rPr>
          <w:lang w:val="fr-FR"/>
        </w:rPr>
        <w:t>assure pas à elle seule l</w:t>
      </w:r>
      <w:r w:rsidRPr="00F30237" w:rsidR="00F30237">
        <w:rPr>
          <w:lang w:val="fr-FR"/>
        </w:rPr>
        <w:t>’</w:t>
      </w:r>
      <w:r w:rsidRPr="00F30237">
        <w:rPr>
          <w:lang w:val="fr-FR"/>
        </w:rPr>
        <w:t>effectivité de l</w:t>
      </w:r>
      <w:r w:rsidRPr="00F30237" w:rsidR="00F30237">
        <w:rPr>
          <w:lang w:val="fr-FR"/>
        </w:rPr>
        <w:t>’</w:t>
      </w:r>
      <w:r w:rsidRPr="00F30237">
        <w:rPr>
          <w:lang w:val="fr-FR"/>
        </w:rPr>
        <w:t>assistance qu</w:t>
      </w:r>
      <w:r w:rsidRPr="00F30237" w:rsidR="00F30237">
        <w:rPr>
          <w:lang w:val="fr-FR"/>
        </w:rPr>
        <w:t>’</w:t>
      </w:r>
      <w:r w:rsidRPr="00F30237">
        <w:rPr>
          <w:lang w:val="fr-FR"/>
        </w:rPr>
        <w:t>il peut procurer à l</w:t>
      </w:r>
      <w:r w:rsidRPr="00F30237" w:rsidR="00F30237">
        <w:rPr>
          <w:lang w:val="fr-FR"/>
        </w:rPr>
        <w:t>’</w:t>
      </w:r>
      <w:r w:rsidRPr="00F30237">
        <w:rPr>
          <w:lang w:val="fr-FR"/>
        </w:rPr>
        <w:t>accusé (</w:t>
      </w:r>
      <w:proofErr w:type="spellStart"/>
      <w:r w:rsidRPr="00F30237">
        <w:rPr>
          <w:i/>
          <w:lang w:val="fr-FR"/>
        </w:rPr>
        <w:t>Imbrioscia</w:t>
      </w:r>
      <w:proofErr w:type="spellEnd"/>
      <w:r w:rsidRPr="00F30237" w:rsidR="009D460D">
        <w:rPr>
          <w:i/>
          <w:lang w:val="fr-FR"/>
        </w:rPr>
        <w:t xml:space="preserve"> </w:t>
      </w:r>
      <w:r w:rsidRPr="00F30237">
        <w:rPr>
          <w:i/>
          <w:lang w:val="fr-FR"/>
        </w:rPr>
        <w:t>c.</w:t>
      </w:r>
      <w:r w:rsidRPr="00F30237" w:rsidR="0011265B">
        <w:rPr>
          <w:i/>
          <w:lang w:val="fr-FR"/>
        </w:rPr>
        <w:t> </w:t>
      </w:r>
      <w:r w:rsidRPr="00F30237">
        <w:rPr>
          <w:i/>
          <w:lang w:val="fr-FR"/>
        </w:rPr>
        <w:t>Suisse</w:t>
      </w:r>
      <w:r w:rsidRPr="00F30237">
        <w:rPr>
          <w:lang w:val="fr-FR"/>
        </w:rPr>
        <w:t>, 24 novembre 1993, § 38, série A n</w:t>
      </w:r>
      <w:r w:rsidRPr="00F30237">
        <w:rPr>
          <w:vertAlign w:val="superscript"/>
          <w:lang w:val="fr-FR"/>
        </w:rPr>
        <w:t>o</w:t>
      </w:r>
      <w:r w:rsidRPr="00F30237">
        <w:rPr>
          <w:lang w:val="fr-FR"/>
        </w:rPr>
        <w:t xml:space="preserve"> 275, et </w:t>
      </w:r>
      <w:proofErr w:type="spellStart"/>
      <w:r w:rsidRPr="00F30237">
        <w:rPr>
          <w:i/>
          <w:lang w:val="fr-FR"/>
        </w:rPr>
        <w:t>Artico</w:t>
      </w:r>
      <w:proofErr w:type="spellEnd"/>
      <w:r w:rsidRPr="00F30237" w:rsidR="009D460D">
        <w:rPr>
          <w:i/>
          <w:lang w:val="fr-FR"/>
        </w:rPr>
        <w:t xml:space="preserve"> </w:t>
      </w:r>
      <w:r w:rsidRPr="00F30237">
        <w:rPr>
          <w:i/>
          <w:lang w:val="fr-FR"/>
        </w:rPr>
        <w:t>c.</w:t>
      </w:r>
      <w:r w:rsidRPr="00F30237" w:rsidR="0011265B">
        <w:rPr>
          <w:i/>
          <w:lang w:val="fr-FR"/>
        </w:rPr>
        <w:t> </w:t>
      </w:r>
      <w:r w:rsidRPr="00F30237">
        <w:rPr>
          <w:i/>
          <w:lang w:val="fr-FR"/>
        </w:rPr>
        <w:t>Italie</w:t>
      </w:r>
      <w:r w:rsidRPr="00F30237">
        <w:rPr>
          <w:lang w:val="fr-FR"/>
        </w:rPr>
        <w:t>, 13 mai 1980, § 33, série A n</w:t>
      </w:r>
      <w:r w:rsidRPr="00F30237">
        <w:rPr>
          <w:vertAlign w:val="superscript"/>
          <w:lang w:val="fr-FR"/>
        </w:rPr>
        <w:t>o</w:t>
      </w:r>
      <w:r w:rsidRPr="00F30237">
        <w:rPr>
          <w:lang w:val="fr-FR"/>
        </w:rPr>
        <w:t xml:space="preserve"> 37 et </w:t>
      </w:r>
      <w:proofErr w:type="spellStart"/>
      <w:r w:rsidRPr="00F30237">
        <w:rPr>
          <w:i/>
          <w:lang w:val="fr-FR"/>
        </w:rPr>
        <w:t>Sakhnovski</w:t>
      </w:r>
      <w:proofErr w:type="spellEnd"/>
      <w:r w:rsidRPr="00F30237">
        <w:rPr>
          <w:i/>
          <w:lang w:val="fr-FR"/>
        </w:rPr>
        <w:t xml:space="preserve"> c. Russie</w:t>
      </w:r>
      <w:r w:rsidRPr="00F30237">
        <w:rPr>
          <w:lang w:val="fr-FR"/>
        </w:rPr>
        <w:t xml:space="preserve"> [GC], n</w:t>
      </w:r>
      <w:r w:rsidRPr="00F30237">
        <w:rPr>
          <w:vertAlign w:val="superscript"/>
          <w:lang w:val="fr-FR"/>
        </w:rPr>
        <w:t>o</w:t>
      </w:r>
      <w:r w:rsidRPr="00F30237">
        <w:rPr>
          <w:lang w:val="fr-FR"/>
        </w:rPr>
        <w:t xml:space="preserve"> 212</w:t>
      </w:r>
      <w:r w:rsidRPr="00F30237" w:rsidR="009D460D">
        <w:rPr>
          <w:lang w:val="fr-FR"/>
        </w:rPr>
        <w:t>72/03, § 95, 2 </w:t>
      </w:r>
      <w:r w:rsidRPr="00F30237">
        <w:rPr>
          <w:lang w:val="fr-FR"/>
        </w:rPr>
        <w:t>novembre 2010). Encore faut-il que l</w:t>
      </w:r>
      <w:r w:rsidRPr="00F30237" w:rsidR="00F30237">
        <w:rPr>
          <w:lang w:val="fr-FR"/>
        </w:rPr>
        <w:t>’</w:t>
      </w:r>
      <w:r w:rsidRPr="00F30237">
        <w:rPr>
          <w:lang w:val="fr-FR"/>
        </w:rPr>
        <w:t>intéressé, auquel le système italien accorde la garantie - supplémentaire à celles prévues par la Convention - d</w:t>
      </w:r>
      <w:r w:rsidRPr="00F30237" w:rsidR="00F30237">
        <w:rPr>
          <w:lang w:val="fr-FR"/>
        </w:rPr>
        <w:t>’</w:t>
      </w:r>
      <w:r w:rsidRPr="00F30237">
        <w:rPr>
          <w:lang w:val="fr-FR"/>
        </w:rPr>
        <w:t>être représenté par un défenseur nommé d</w:t>
      </w:r>
      <w:r w:rsidRPr="00F30237" w:rsidR="00F30237">
        <w:rPr>
          <w:lang w:val="fr-FR"/>
        </w:rPr>
        <w:t>’</w:t>
      </w:r>
      <w:r w:rsidRPr="00F30237">
        <w:rPr>
          <w:lang w:val="fr-FR"/>
        </w:rPr>
        <w:t>office avant même l</w:t>
      </w:r>
      <w:r w:rsidRPr="00F30237" w:rsidR="00F30237">
        <w:rPr>
          <w:lang w:val="fr-FR"/>
        </w:rPr>
        <w:t>’</w:t>
      </w:r>
      <w:r w:rsidRPr="00F30237">
        <w:rPr>
          <w:lang w:val="fr-FR"/>
        </w:rPr>
        <w:t>exécution de la mesure provisoire, ait pu effectivement communiquer, de manière libre et confidentielle, avec son conseil afin de discuter de l</w:t>
      </w:r>
      <w:r w:rsidRPr="00F30237" w:rsidR="00F30237">
        <w:rPr>
          <w:lang w:val="fr-FR"/>
        </w:rPr>
        <w:t>’</w:t>
      </w:r>
      <w:r w:rsidRPr="00F30237">
        <w:rPr>
          <w:lang w:val="fr-FR"/>
        </w:rPr>
        <w:t>affaire et organiser la défense.</w:t>
      </w:r>
    </w:p>
    <w:p w:rsidRPr="00F30237" w:rsidR="00E44B72" w:rsidP="00F30237" w:rsidRDefault="00E44B72">
      <w:pPr>
        <w:pStyle w:val="ECHRPara"/>
        <w:rPr>
          <w:lang w:val="fr-FR"/>
        </w:rPr>
      </w:pPr>
      <w:r w:rsidRPr="00F30237">
        <w:rPr>
          <w:lang w:val="fr-FR"/>
        </w:rPr>
        <w:t xml:space="preserve">53.  De plus, la Cour rappelle que la renonciation à se défendre ne peut pas être inférée de la simple qualité de « </w:t>
      </w:r>
      <w:proofErr w:type="spellStart"/>
      <w:r w:rsidRPr="00F30237">
        <w:rPr>
          <w:i/>
          <w:lang w:val="fr-FR"/>
        </w:rPr>
        <w:t>latitante</w:t>
      </w:r>
      <w:proofErr w:type="spellEnd"/>
      <w:r w:rsidRPr="00F30237">
        <w:rPr>
          <w:lang w:val="fr-FR"/>
        </w:rPr>
        <w:t xml:space="preserve"> », fondée sur une présomption dépourvue de base factuelle suffisante (</w:t>
      </w:r>
      <w:proofErr w:type="spellStart"/>
      <w:r w:rsidRPr="00F30237">
        <w:rPr>
          <w:i/>
          <w:lang w:val="fr-FR"/>
        </w:rPr>
        <w:t>Colozza</w:t>
      </w:r>
      <w:proofErr w:type="spellEnd"/>
      <w:r w:rsidRPr="00F30237">
        <w:rPr>
          <w:i/>
          <w:lang w:val="fr-FR"/>
        </w:rPr>
        <w:t xml:space="preserve"> c. Italie</w:t>
      </w:r>
      <w:r w:rsidRPr="00F30237">
        <w:rPr>
          <w:lang w:val="fr-FR"/>
        </w:rPr>
        <w:t>, 12</w:t>
      </w:r>
      <w:r w:rsidRPr="00F30237" w:rsidR="0011265B">
        <w:rPr>
          <w:lang w:val="fr-FR"/>
        </w:rPr>
        <w:t> </w:t>
      </w:r>
      <w:r w:rsidRPr="00F30237">
        <w:rPr>
          <w:lang w:val="fr-FR"/>
        </w:rPr>
        <w:t>février 1985, § 28, série A n</w:t>
      </w:r>
      <w:r w:rsidRPr="00F30237">
        <w:rPr>
          <w:vertAlign w:val="superscript"/>
          <w:lang w:val="fr-FR"/>
        </w:rPr>
        <w:t>o</w:t>
      </w:r>
      <w:r w:rsidRPr="00F30237">
        <w:rPr>
          <w:lang w:val="fr-FR"/>
        </w:rPr>
        <w:t xml:space="preserve"> 89 ; </w:t>
      </w:r>
      <w:proofErr w:type="spellStart"/>
      <w:r w:rsidRPr="00F30237">
        <w:rPr>
          <w:i/>
          <w:lang w:val="fr-FR"/>
        </w:rPr>
        <w:t>Sejdovic</w:t>
      </w:r>
      <w:proofErr w:type="spellEnd"/>
      <w:r w:rsidRPr="00F30237">
        <w:rPr>
          <w:i/>
          <w:lang w:val="fr-FR"/>
        </w:rPr>
        <w:t xml:space="preserve"> c. Italie</w:t>
      </w:r>
      <w:r w:rsidRPr="00F30237">
        <w:rPr>
          <w:lang w:val="fr-FR"/>
        </w:rPr>
        <w:t xml:space="preserve"> [GC], n</w:t>
      </w:r>
      <w:r w:rsidRPr="00F30237">
        <w:rPr>
          <w:vertAlign w:val="superscript"/>
          <w:lang w:val="fr-FR"/>
        </w:rPr>
        <w:t>o</w:t>
      </w:r>
      <w:r w:rsidRPr="00F30237">
        <w:rPr>
          <w:lang w:val="fr-FR"/>
        </w:rPr>
        <w:t xml:space="preserve"> 56581/00, §</w:t>
      </w:r>
      <w:r w:rsidRPr="00F30237" w:rsidR="0011265B">
        <w:rPr>
          <w:lang w:val="fr-FR"/>
        </w:rPr>
        <w:t> </w:t>
      </w:r>
      <w:r w:rsidRPr="00F30237">
        <w:rPr>
          <w:lang w:val="fr-FR"/>
        </w:rPr>
        <w:t>87, CEDH 2006 II). En outre, avant qu</w:t>
      </w:r>
      <w:r w:rsidRPr="00F30237" w:rsidR="00F30237">
        <w:rPr>
          <w:lang w:val="fr-FR"/>
        </w:rPr>
        <w:t>’</w:t>
      </w:r>
      <w:r w:rsidRPr="00F30237">
        <w:rPr>
          <w:lang w:val="fr-FR"/>
        </w:rPr>
        <w:t>un accusé puisse être considéré comme ayant implicitement renoncé, par son comportement, à un droit important sous l</w:t>
      </w:r>
      <w:r w:rsidRPr="00F30237" w:rsidR="00F30237">
        <w:rPr>
          <w:lang w:val="fr-FR"/>
        </w:rPr>
        <w:t>’</w:t>
      </w:r>
      <w:r w:rsidRPr="00F30237">
        <w:rPr>
          <w:lang w:val="fr-FR"/>
        </w:rPr>
        <w:t>angle de l</w:t>
      </w:r>
      <w:r w:rsidRPr="00F30237" w:rsidR="00F30237">
        <w:rPr>
          <w:lang w:val="fr-FR"/>
        </w:rPr>
        <w:t>’</w:t>
      </w:r>
      <w:r w:rsidRPr="00F30237">
        <w:rPr>
          <w:lang w:val="fr-FR"/>
        </w:rPr>
        <w:t>article 6 de la Convention, il doit être établi qu</w:t>
      </w:r>
      <w:r w:rsidRPr="00F30237" w:rsidR="00F30237">
        <w:rPr>
          <w:lang w:val="fr-FR"/>
        </w:rPr>
        <w:t>’</w:t>
      </w:r>
      <w:r w:rsidRPr="00F30237">
        <w:rPr>
          <w:lang w:val="fr-FR"/>
        </w:rPr>
        <w:t>il aurait pu raisonnablement prévoir les conséquences du comportement en question. Il faut par ailleurs qu</w:t>
      </w:r>
      <w:r w:rsidRPr="00F30237" w:rsidR="00F30237">
        <w:rPr>
          <w:lang w:val="fr-FR"/>
        </w:rPr>
        <w:t>’</w:t>
      </w:r>
      <w:r w:rsidRPr="00F30237">
        <w:rPr>
          <w:lang w:val="fr-FR"/>
        </w:rPr>
        <w:t>il n</w:t>
      </w:r>
      <w:r w:rsidRPr="00F30237" w:rsidR="00F30237">
        <w:rPr>
          <w:lang w:val="fr-FR"/>
        </w:rPr>
        <w:t>’</w:t>
      </w:r>
      <w:r w:rsidRPr="00F30237">
        <w:rPr>
          <w:lang w:val="fr-FR"/>
        </w:rPr>
        <w:t>incombe pas à l</w:t>
      </w:r>
      <w:r w:rsidRPr="00F30237" w:rsidR="00F30237">
        <w:rPr>
          <w:lang w:val="fr-FR"/>
        </w:rPr>
        <w:t>’</w:t>
      </w:r>
      <w:r w:rsidRPr="00F30237">
        <w:rPr>
          <w:lang w:val="fr-FR"/>
        </w:rPr>
        <w:t>accusé de prouver qu</w:t>
      </w:r>
      <w:r w:rsidRPr="00F30237" w:rsidR="00F30237">
        <w:rPr>
          <w:lang w:val="fr-FR"/>
        </w:rPr>
        <w:t>’</w:t>
      </w:r>
      <w:r w:rsidRPr="00F30237">
        <w:rPr>
          <w:lang w:val="fr-FR"/>
        </w:rPr>
        <w:t>il n</w:t>
      </w:r>
      <w:r w:rsidRPr="00F30237" w:rsidR="00F30237">
        <w:rPr>
          <w:lang w:val="fr-FR"/>
        </w:rPr>
        <w:t>’</w:t>
      </w:r>
      <w:r w:rsidRPr="00F30237">
        <w:rPr>
          <w:lang w:val="fr-FR"/>
        </w:rPr>
        <w:t>entendait pas se dérober à la justice, ni que son absence s</w:t>
      </w:r>
      <w:r w:rsidRPr="00F30237" w:rsidR="00F30237">
        <w:rPr>
          <w:lang w:val="fr-FR"/>
        </w:rPr>
        <w:t>’</w:t>
      </w:r>
      <w:r w:rsidRPr="00F30237">
        <w:rPr>
          <w:lang w:val="fr-FR"/>
        </w:rPr>
        <w:t>expliquait par un cas de force majeure (</w:t>
      </w:r>
      <w:proofErr w:type="spellStart"/>
      <w:r w:rsidRPr="00F30237">
        <w:rPr>
          <w:i/>
          <w:lang w:val="fr-FR"/>
        </w:rPr>
        <w:t>Sejdovic</w:t>
      </w:r>
      <w:proofErr w:type="spellEnd"/>
      <w:r w:rsidRPr="00F30237">
        <w:rPr>
          <w:lang w:val="fr-FR"/>
        </w:rPr>
        <w:t>, précité, § 88). Or, en l</w:t>
      </w:r>
      <w:r w:rsidRPr="00F30237" w:rsidR="00F30237">
        <w:rPr>
          <w:lang w:val="fr-FR"/>
        </w:rPr>
        <w:t>’</w:t>
      </w:r>
      <w:r w:rsidRPr="00F30237">
        <w:rPr>
          <w:lang w:val="fr-FR"/>
        </w:rPr>
        <w:t>espèce rien dans le dossier ne permet de conclure que le requérant avait essayé de se dérober à la justice ou qu</w:t>
      </w:r>
      <w:r w:rsidRPr="00F30237" w:rsidR="00F30237">
        <w:rPr>
          <w:lang w:val="fr-FR"/>
        </w:rPr>
        <w:t>’</w:t>
      </w:r>
      <w:r w:rsidRPr="00F30237">
        <w:rPr>
          <w:lang w:val="fr-FR"/>
        </w:rPr>
        <w:t>il avait renoncé de manière non équivoque à son droit de défense.</w:t>
      </w:r>
    </w:p>
    <w:p w:rsidRPr="00F30237" w:rsidR="00E44B72" w:rsidP="00F30237" w:rsidRDefault="00E44B72">
      <w:pPr>
        <w:pStyle w:val="ECHRPara"/>
        <w:rPr>
          <w:lang w:val="fr-FR"/>
        </w:rPr>
      </w:pPr>
      <w:r w:rsidRPr="00F30237">
        <w:rPr>
          <w:lang w:val="fr-FR"/>
        </w:rPr>
        <w:t>54.  La Cour rappelle avoir déjà eu l</w:t>
      </w:r>
      <w:r w:rsidRPr="00F30237" w:rsidR="00F30237">
        <w:rPr>
          <w:lang w:val="fr-FR"/>
        </w:rPr>
        <w:t>’</w:t>
      </w:r>
      <w:r w:rsidRPr="00F30237">
        <w:rPr>
          <w:lang w:val="fr-FR"/>
        </w:rPr>
        <w:t>occasion d</w:t>
      </w:r>
      <w:r w:rsidRPr="00F30237" w:rsidR="00F30237">
        <w:rPr>
          <w:lang w:val="fr-FR"/>
        </w:rPr>
        <w:t>’</w:t>
      </w:r>
      <w:r w:rsidRPr="00F30237">
        <w:rPr>
          <w:lang w:val="fr-FR"/>
        </w:rPr>
        <w:t>affirmer dans le contexte des condamnations par contumace que l</w:t>
      </w:r>
      <w:r w:rsidRPr="00F30237" w:rsidR="00F30237">
        <w:rPr>
          <w:lang w:val="fr-FR"/>
        </w:rPr>
        <w:t>’</w:t>
      </w:r>
      <w:r w:rsidRPr="00F30237">
        <w:rPr>
          <w:lang w:val="fr-FR"/>
        </w:rPr>
        <w:t>on ne peut, sous prétexte de garantir d</w:t>
      </w:r>
      <w:r w:rsidRPr="00F30237" w:rsidR="00F30237">
        <w:rPr>
          <w:lang w:val="fr-FR"/>
        </w:rPr>
        <w:t>’</w:t>
      </w:r>
      <w:r w:rsidRPr="00F30237">
        <w:rPr>
          <w:lang w:val="fr-FR"/>
        </w:rPr>
        <w:t>autres droits fondamentaux du procès, comme le droit au « délai raisonnable » ou celui du « </w:t>
      </w:r>
      <w:r w:rsidRPr="00F30237">
        <w:rPr>
          <w:i/>
          <w:lang w:val="fr-FR"/>
        </w:rPr>
        <w:t>ne bis in idem </w:t>
      </w:r>
      <w:r w:rsidRPr="00F30237">
        <w:rPr>
          <w:lang w:val="fr-FR"/>
        </w:rPr>
        <w:t xml:space="preserve">», ou, </w:t>
      </w:r>
      <w:r w:rsidRPr="00F30237">
        <w:rPr>
          <w:i/>
          <w:lang w:val="fr-FR"/>
        </w:rPr>
        <w:t>a fortiori</w:t>
      </w:r>
      <w:r w:rsidRPr="00F30237">
        <w:rPr>
          <w:lang w:val="fr-FR"/>
        </w:rPr>
        <w:t>, pour des préoccupations liées à la charge de travail des tribunaux (</w:t>
      </w:r>
      <w:proofErr w:type="spellStart"/>
      <w:r w:rsidRPr="00F30237">
        <w:rPr>
          <w:i/>
          <w:lang w:val="fr-FR"/>
        </w:rPr>
        <w:t>Huzuneanu</w:t>
      </w:r>
      <w:proofErr w:type="spellEnd"/>
      <w:r w:rsidRPr="00F30237" w:rsidR="009D460D">
        <w:rPr>
          <w:i/>
          <w:lang w:val="fr-FR"/>
        </w:rPr>
        <w:t xml:space="preserve"> </w:t>
      </w:r>
      <w:r w:rsidRPr="00F30237">
        <w:rPr>
          <w:i/>
          <w:lang w:val="fr-FR"/>
        </w:rPr>
        <w:t>c.</w:t>
      </w:r>
      <w:r w:rsidRPr="00F30237" w:rsidR="0011265B">
        <w:rPr>
          <w:i/>
          <w:lang w:val="fr-FR"/>
        </w:rPr>
        <w:t> </w:t>
      </w:r>
      <w:r w:rsidRPr="00F30237">
        <w:rPr>
          <w:i/>
          <w:lang w:val="fr-FR"/>
        </w:rPr>
        <w:t>Italie</w:t>
      </w:r>
      <w:r w:rsidRPr="00F30237">
        <w:rPr>
          <w:lang w:val="fr-FR"/>
        </w:rPr>
        <w:t>, n</w:t>
      </w:r>
      <w:r w:rsidRPr="00F30237">
        <w:rPr>
          <w:vertAlign w:val="superscript"/>
          <w:lang w:val="fr-FR"/>
        </w:rPr>
        <w:t>o</w:t>
      </w:r>
      <w:r w:rsidRPr="00F30237">
        <w:rPr>
          <w:lang w:val="fr-FR"/>
        </w:rPr>
        <w:t> 36043/08</w:t>
      </w:r>
      <w:r w:rsidRPr="00F30237">
        <w:rPr>
          <w:snapToGrid w:val="0"/>
          <w:lang w:val="fr-FR"/>
        </w:rPr>
        <w:t>, §§ 22 et 48, 1</w:t>
      </w:r>
      <w:r w:rsidRPr="00F30237">
        <w:rPr>
          <w:snapToGrid w:val="0"/>
          <w:vertAlign w:val="superscript"/>
          <w:lang w:val="fr-FR"/>
        </w:rPr>
        <w:t>er</w:t>
      </w:r>
      <w:r w:rsidRPr="00F30237">
        <w:rPr>
          <w:snapToGrid w:val="0"/>
          <w:lang w:val="fr-FR"/>
        </w:rPr>
        <w:t xml:space="preserve"> </w:t>
      </w:r>
      <w:r w:rsidRPr="00F30237">
        <w:rPr>
          <w:lang w:val="fr-FR"/>
        </w:rPr>
        <w:t>septembre</w:t>
      </w:r>
      <w:r w:rsidRPr="00F30237">
        <w:rPr>
          <w:snapToGrid w:val="0"/>
          <w:lang w:val="fr-FR"/>
        </w:rPr>
        <w:t xml:space="preserve"> 2016</w:t>
      </w:r>
      <w:r w:rsidRPr="00F30237">
        <w:rPr>
          <w:lang w:val="fr-FR"/>
        </w:rPr>
        <w:t>), réduire au point de les rendre inopérants les droits de la défense d</w:t>
      </w:r>
      <w:r w:rsidRPr="00F30237" w:rsidR="00F30237">
        <w:rPr>
          <w:lang w:val="fr-FR"/>
        </w:rPr>
        <w:t>’</w:t>
      </w:r>
      <w:r w:rsidRPr="00F30237">
        <w:rPr>
          <w:lang w:val="fr-FR"/>
        </w:rPr>
        <w:t>un accusé ne s</w:t>
      </w:r>
      <w:r w:rsidRPr="00F30237" w:rsidR="00F30237">
        <w:rPr>
          <w:lang w:val="fr-FR"/>
        </w:rPr>
        <w:t>’</w:t>
      </w:r>
      <w:r w:rsidRPr="00F30237">
        <w:rPr>
          <w:lang w:val="fr-FR"/>
        </w:rPr>
        <w:t>étant pas soustrait à la justice et n</w:t>
      </w:r>
      <w:r w:rsidRPr="00F30237" w:rsidR="00F30237">
        <w:rPr>
          <w:lang w:val="fr-FR"/>
        </w:rPr>
        <w:t>’</w:t>
      </w:r>
      <w:r w:rsidRPr="00F30237">
        <w:rPr>
          <w:lang w:val="fr-FR"/>
        </w:rPr>
        <w:t>ayant pas renoncé sans équivoque à ses garanties procédurales. Ce principe avait d</w:t>
      </w:r>
      <w:r w:rsidRPr="00F30237" w:rsidR="00F30237">
        <w:rPr>
          <w:lang w:val="fr-FR"/>
        </w:rPr>
        <w:t>’</w:t>
      </w:r>
      <w:r w:rsidRPr="00F30237">
        <w:rPr>
          <w:lang w:val="fr-FR"/>
        </w:rPr>
        <w:t xml:space="preserve">ailleurs été proclamé par la Cour constitutionnelle italienne dans un arrêt auquel tant le requérant que le Gouvernement se réfèrent dans leurs </w:t>
      </w:r>
      <w:r w:rsidRPr="00F30237" w:rsidR="009D460D">
        <w:rPr>
          <w:lang w:val="fr-FR"/>
        </w:rPr>
        <w:t>observations (paragraphes 39 et </w:t>
      </w:r>
      <w:r w:rsidRPr="00F30237">
        <w:rPr>
          <w:lang w:val="fr-FR"/>
        </w:rPr>
        <w:t>44</w:t>
      </w:r>
      <w:r w:rsidRPr="00F30237" w:rsidR="004D6E1E">
        <w:rPr>
          <w:lang w:val="fr-FR"/>
        </w:rPr>
        <w:t> </w:t>
      </w:r>
      <w:r w:rsidRPr="00F30237">
        <w:rPr>
          <w:lang w:val="fr-FR"/>
        </w:rPr>
        <w:t>ci</w:t>
      </w:r>
      <w:r w:rsidRPr="00F30237" w:rsidR="0011265B">
        <w:rPr>
          <w:lang w:val="fr-FR"/>
        </w:rPr>
        <w:noBreakHyphen/>
      </w:r>
      <w:r w:rsidRPr="00F30237">
        <w:rPr>
          <w:lang w:val="fr-FR"/>
        </w:rPr>
        <w:t xml:space="preserve">dessus ; </w:t>
      </w:r>
      <w:proofErr w:type="spellStart"/>
      <w:r w:rsidRPr="00F30237">
        <w:rPr>
          <w:i/>
          <w:lang w:val="fr-FR"/>
        </w:rPr>
        <w:t>Huzuneanu</w:t>
      </w:r>
      <w:proofErr w:type="spellEnd"/>
      <w:r w:rsidRPr="00F30237">
        <w:rPr>
          <w:lang w:val="fr-FR"/>
        </w:rPr>
        <w:t>, précité, § 47).</w:t>
      </w:r>
    </w:p>
    <w:p w:rsidRPr="00F30237" w:rsidR="00E44B72" w:rsidP="00F30237" w:rsidRDefault="00E44B72">
      <w:pPr>
        <w:pStyle w:val="ECHRPara"/>
        <w:rPr>
          <w:lang w:val="fr-FR"/>
        </w:rPr>
      </w:pPr>
      <w:r w:rsidRPr="00F30237">
        <w:rPr>
          <w:lang w:val="fr-FR"/>
        </w:rPr>
        <w:t>55.  Eu égard aux conséquences de la privation de liberté sur les droits fondamentaux de la personne concernée, la Cour estime que toute procédure relevant de l</w:t>
      </w:r>
      <w:r w:rsidRPr="00F30237" w:rsidR="00F30237">
        <w:rPr>
          <w:lang w:val="fr-FR"/>
        </w:rPr>
        <w:t>’</w:t>
      </w:r>
      <w:r w:rsidRPr="00F30237">
        <w:rPr>
          <w:lang w:val="fr-FR"/>
        </w:rPr>
        <w:t>article 5 § 4 doit être menée dans le respect de ce principe et garantir pleinement les droits de la défense. Elle observe à cet égard que le Gouvernement n</w:t>
      </w:r>
      <w:r w:rsidRPr="00F30237" w:rsidR="00F30237">
        <w:rPr>
          <w:lang w:val="fr-FR"/>
        </w:rPr>
        <w:t>’</w:t>
      </w:r>
      <w:r w:rsidRPr="00F30237">
        <w:rPr>
          <w:lang w:val="fr-FR"/>
        </w:rPr>
        <w:t>a pas exclu que la jurisprudence nationale puisse évoluer et permettre aux accusés en fuite frappés d</w:t>
      </w:r>
      <w:r w:rsidRPr="00F30237" w:rsidR="00F30237">
        <w:rPr>
          <w:lang w:val="fr-FR"/>
        </w:rPr>
        <w:t>’</w:t>
      </w:r>
      <w:r w:rsidRPr="00F30237">
        <w:rPr>
          <w:lang w:val="fr-FR"/>
        </w:rPr>
        <w:t>une mesure de privation de liberté d</w:t>
      </w:r>
      <w:r w:rsidRPr="00F30237" w:rsidR="00F30237">
        <w:rPr>
          <w:lang w:val="fr-FR"/>
        </w:rPr>
        <w:t>’</w:t>
      </w:r>
      <w:r w:rsidRPr="00F30237">
        <w:rPr>
          <w:lang w:val="fr-FR"/>
        </w:rPr>
        <w:t>aussi interjeter appel dans l</w:t>
      </w:r>
      <w:r w:rsidRPr="00F30237" w:rsidR="00F30237">
        <w:rPr>
          <w:lang w:val="fr-FR"/>
        </w:rPr>
        <w:t>’</w:t>
      </w:r>
      <w:r w:rsidRPr="00F30237">
        <w:rPr>
          <w:lang w:val="fr-FR"/>
        </w:rPr>
        <w:t>hypothèse où un recours aurait préalablement été présenté, à leur insu, par un avocat commis d</w:t>
      </w:r>
      <w:r w:rsidRPr="00F30237" w:rsidR="00F30237">
        <w:rPr>
          <w:lang w:val="fr-FR"/>
        </w:rPr>
        <w:t>’</w:t>
      </w:r>
      <w:r w:rsidRPr="00F30237">
        <w:rPr>
          <w:lang w:val="fr-FR"/>
        </w:rPr>
        <w:t>office (paragraphe 44 ci-dessus). La Cour note au demeurant que le législateur italien a reconnu que le droit de la défense l</w:t>
      </w:r>
      <w:r w:rsidRPr="00F30237" w:rsidR="00F30237">
        <w:rPr>
          <w:lang w:val="fr-FR"/>
        </w:rPr>
        <w:t>’</w:t>
      </w:r>
      <w:r w:rsidRPr="00F30237">
        <w:rPr>
          <w:lang w:val="fr-FR"/>
        </w:rPr>
        <w:t>emporte sur les besoins de l</w:t>
      </w:r>
      <w:r w:rsidRPr="00F30237" w:rsidR="00F30237">
        <w:rPr>
          <w:lang w:val="fr-FR"/>
        </w:rPr>
        <w:t>’</w:t>
      </w:r>
      <w:r w:rsidRPr="00F30237">
        <w:rPr>
          <w:lang w:val="fr-FR"/>
        </w:rPr>
        <w:t>administration de la justice en réformant les dispositions procédurales qui règlent le procès à l</w:t>
      </w:r>
      <w:r w:rsidRPr="00F30237" w:rsidR="00F30237">
        <w:rPr>
          <w:lang w:val="fr-FR"/>
        </w:rPr>
        <w:t>’</w:t>
      </w:r>
      <w:r w:rsidRPr="00F30237">
        <w:rPr>
          <w:lang w:val="fr-FR"/>
        </w:rPr>
        <w:t>encontre des personne</w:t>
      </w:r>
      <w:r w:rsidRPr="00F30237" w:rsidR="00E30962">
        <w:rPr>
          <w:lang w:val="fr-FR"/>
        </w:rPr>
        <w:t>s introuvables (voir</w:t>
      </w:r>
      <w:r w:rsidRPr="00F30237" w:rsidR="009D460D">
        <w:rPr>
          <w:lang w:val="fr-FR"/>
        </w:rPr>
        <w:t xml:space="preserve"> </w:t>
      </w:r>
      <w:r w:rsidRPr="00F30237" w:rsidR="00E30962">
        <w:rPr>
          <w:lang w:val="fr-FR"/>
        </w:rPr>
        <w:t>paragraphe </w:t>
      </w:r>
      <w:r w:rsidRPr="00F30237">
        <w:rPr>
          <w:lang w:val="fr-FR"/>
        </w:rPr>
        <w:t>28 ci-dessus).</w:t>
      </w:r>
    </w:p>
    <w:p w:rsidRPr="00F30237" w:rsidR="00E44B72" w:rsidP="00F30237" w:rsidRDefault="00E44B72">
      <w:pPr>
        <w:pStyle w:val="ECHRPara"/>
        <w:rPr>
          <w:lang w:val="fr-FR"/>
        </w:rPr>
      </w:pPr>
      <w:r w:rsidRPr="00F30237">
        <w:rPr>
          <w:lang w:val="fr-FR"/>
        </w:rPr>
        <w:t>56.  Au vu de ce qui précède, la Cour considère que le remède prévu par l</w:t>
      </w:r>
      <w:r w:rsidRPr="00F30237" w:rsidR="00F30237">
        <w:rPr>
          <w:lang w:val="fr-FR"/>
        </w:rPr>
        <w:t>’</w:t>
      </w:r>
      <w:r w:rsidRPr="00F30237">
        <w:rPr>
          <w:lang w:val="fr-FR"/>
        </w:rPr>
        <w:t>article 309 du CPP n</w:t>
      </w:r>
      <w:r w:rsidRPr="00F30237" w:rsidR="00F30237">
        <w:rPr>
          <w:lang w:val="fr-FR"/>
        </w:rPr>
        <w:t>’</w:t>
      </w:r>
      <w:r w:rsidRPr="00F30237">
        <w:rPr>
          <w:lang w:val="fr-FR"/>
        </w:rPr>
        <w:t>a pas offert au requérant des garanties adéquates. Il reste à examiner si les autres recours évoqués par le Gouvernement remplissaient les conditions de l</w:t>
      </w:r>
      <w:r w:rsidRPr="00F30237" w:rsidR="00F30237">
        <w:rPr>
          <w:lang w:val="fr-FR"/>
        </w:rPr>
        <w:t>’</w:t>
      </w:r>
      <w:r w:rsidRPr="00F30237">
        <w:rPr>
          <w:lang w:val="fr-FR"/>
        </w:rPr>
        <w:t>article 5 § 4 de la Convention.</w:t>
      </w:r>
    </w:p>
    <w:p w:rsidRPr="00F30237" w:rsidR="00E44B72" w:rsidP="00F30237" w:rsidRDefault="00E44B72">
      <w:pPr>
        <w:pStyle w:val="ECHRHeading4"/>
        <w:rPr>
          <w:lang w:val="fr-FR"/>
        </w:rPr>
      </w:pPr>
      <w:r w:rsidRPr="00F30237">
        <w:rPr>
          <w:lang w:val="fr-FR"/>
        </w:rPr>
        <w:t>b)  Sur le recours prévu par l</w:t>
      </w:r>
      <w:r w:rsidRPr="00F30237" w:rsidR="00F30237">
        <w:rPr>
          <w:lang w:val="fr-FR"/>
        </w:rPr>
        <w:t>’</w:t>
      </w:r>
      <w:r w:rsidRPr="00F30237">
        <w:rPr>
          <w:lang w:val="fr-FR"/>
        </w:rPr>
        <w:t>article 299 du CPP</w:t>
      </w:r>
    </w:p>
    <w:p w:rsidRPr="00F30237" w:rsidR="00E44B72" w:rsidP="00F30237" w:rsidRDefault="00E44B72">
      <w:pPr>
        <w:pStyle w:val="ECHRPara"/>
        <w:rPr>
          <w:lang w:val="fr-FR"/>
        </w:rPr>
      </w:pPr>
      <w:r w:rsidRPr="00F30237">
        <w:rPr>
          <w:lang w:val="fr-FR"/>
        </w:rPr>
        <w:t>57.  En ce qui concerne le recours prévu par l</w:t>
      </w:r>
      <w:r w:rsidRPr="00F30237" w:rsidR="00F30237">
        <w:rPr>
          <w:lang w:val="fr-FR"/>
        </w:rPr>
        <w:t>’</w:t>
      </w:r>
      <w:r w:rsidRPr="00F30237">
        <w:rPr>
          <w:lang w:val="fr-FR"/>
        </w:rPr>
        <w:t>article 299 du CPP, qui vise à permettre un réexamen de la régularité de la détention en cours et, le cas échéant, la révocation de la mesure de précaution et la mise en liberté, la Cour observe qu</w:t>
      </w:r>
      <w:r w:rsidRPr="00F30237" w:rsidR="00F30237">
        <w:rPr>
          <w:lang w:val="fr-FR"/>
        </w:rPr>
        <w:t>’</w:t>
      </w:r>
      <w:r w:rsidRPr="00F30237">
        <w:rPr>
          <w:lang w:val="fr-FR"/>
        </w:rPr>
        <w:t>il peut à tout moment être présenté devant le juge qui mène alors la procédure.</w:t>
      </w:r>
    </w:p>
    <w:p w:rsidRPr="00F30237" w:rsidR="00E44B72" w:rsidP="00F30237" w:rsidRDefault="00E44B72">
      <w:pPr>
        <w:pStyle w:val="ECHRPara"/>
        <w:rPr>
          <w:lang w:val="fr-FR"/>
        </w:rPr>
      </w:pPr>
      <w:r w:rsidRPr="00F30237">
        <w:rPr>
          <w:lang w:val="fr-FR"/>
        </w:rPr>
        <w:t>58.  En l</w:t>
      </w:r>
      <w:r w:rsidRPr="00F30237" w:rsidR="00F30237">
        <w:rPr>
          <w:lang w:val="fr-FR"/>
        </w:rPr>
        <w:t>’</w:t>
      </w:r>
      <w:r w:rsidRPr="00F30237">
        <w:rPr>
          <w:lang w:val="fr-FR"/>
        </w:rPr>
        <w:t>espèce, le requérant fit usage de ce recours à la suite du rejet de son appel par la chambre spécialisée, demandant la révocation de la mesure de précaution au juge des investigations préliminaires de Palerme. La Cour observe que ce dernier débouta l</w:t>
      </w:r>
      <w:r w:rsidRPr="00F30237" w:rsidR="00F30237">
        <w:rPr>
          <w:lang w:val="fr-FR"/>
        </w:rPr>
        <w:t>’</w:t>
      </w:r>
      <w:r w:rsidRPr="00F30237">
        <w:rPr>
          <w:lang w:val="fr-FR"/>
        </w:rPr>
        <w:t>intéressé de sa demande sans l</w:t>
      </w:r>
      <w:r w:rsidRPr="00F30237" w:rsidR="00F30237">
        <w:rPr>
          <w:lang w:val="fr-FR"/>
        </w:rPr>
        <w:t>’</w:t>
      </w:r>
      <w:r w:rsidRPr="00F30237">
        <w:rPr>
          <w:lang w:val="fr-FR"/>
        </w:rPr>
        <w:t>avoir entendu. L</w:t>
      </w:r>
      <w:r w:rsidRPr="00F30237" w:rsidR="00F30237">
        <w:rPr>
          <w:lang w:val="fr-FR"/>
        </w:rPr>
        <w:t>’</w:t>
      </w:r>
      <w:r w:rsidRPr="00F30237">
        <w:rPr>
          <w:lang w:val="fr-FR"/>
        </w:rPr>
        <w:t>article 299 du CPP ne prévoit en effet pas la tenue d</w:t>
      </w:r>
      <w:r w:rsidRPr="00F30237" w:rsidR="00F30237">
        <w:rPr>
          <w:lang w:val="fr-FR"/>
        </w:rPr>
        <w:t>’</w:t>
      </w:r>
      <w:r w:rsidRPr="00F30237">
        <w:rPr>
          <w:lang w:val="fr-FR"/>
        </w:rPr>
        <w:t>une audience et le juge n</w:t>
      </w:r>
      <w:r w:rsidRPr="00F30237" w:rsidR="00F30237">
        <w:rPr>
          <w:lang w:val="fr-FR"/>
        </w:rPr>
        <w:t>’</w:t>
      </w:r>
      <w:r w:rsidRPr="00F30237">
        <w:rPr>
          <w:lang w:val="fr-FR"/>
        </w:rPr>
        <w:t>est obligé d</w:t>
      </w:r>
      <w:r w:rsidRPr="00F30237" w:rsidR="00F30237">
        <w:rPr>
          <w:lang w:val="fr-FR"/>
        </w:rPr>
        <w:t>’</w:t>
      </w:r>
      <w:r w:rsidRPr="00F30237">
        <w:rPr>
          <w:lang w:val="fr-FR"/>
        </w:rPr>
        <w:t>interroger l</w:t>
      </w:r>
      <w:r w:rsidRPr="00F30237" w:rsidR="00F30237">
        <w:rPr>
          <w:lang w:val="fr-FR"/>
        </w:rPr>
        <w:t>’</w:t>
      </w:r>
      <w:r w:rsidRPr="00F30237">
        <w:rPr>
          <w:lang w:val="fr-FR"/>
        </w:rPr>
        <w:t>accusé que si celui-ci sollicite son audition et seulement s</w:t>
      </w:r>
      <w:r w:rsidRPr="00F30237" w:rsidR="00F30237">
        <w:rPr>
          <w:lang w:val="fr-FR"/>
        </w:rPr>
        <w:t>’</w:t>
      </w:r>
      <w:r w:rsidRPr="00F30237">
        <w:rPr>
          <w:lang w:val="fr-FR"/>
        </w:rPr>
        <w:t>il avance des faits nouveaux à l</w:t>
      </w:r>
      <w:r w:rsidRPr="00F30237" w:rsidR="00F30237">
        <w:rPr>
          <w:lang w:val="fr-FR"/>
        </w:rPr>
        <w:t>’</w:t>
      </w:r>
      <w:r w:rsidRPr="00F30237">
        <w:rPr>
          <w:lang w:val="fr-FR"/>
        </w:rPr>
        <w:t>appui de sa demande (paragraphe 21 ci-dessus).</w:t>
      </w:r>
    </w:p>
    <w:p w:rsidRPr="00F30237" w:rsidR="00E44B72" w:rsidP="00F30237" w:rsidRDefault="00E44B72">
      <w:pPr>
        <w:pStyle w:val="ECHRPara"/>
        <w:rPr>
          <w:lang w:val="fr-FR"/>
        </w:rPr>
      </w:pPr>
      <w:r w:rsidRPr="00F30237">
        <w:rPr>
          <w:lang w:val="fr-FR"/>
        </w:rPr>
        <w:t>59.  La Cour rappelle que dès lors que le droit du détenu d</w:t>
      </w:r>
      <w:r w:rsidRPr="00F30237" w:rsidR="00F30237">
        <w:rPr>
          <w:lang w:val="fr-FR"/>
        </w:rPr>
        <w:t>’</w:t>
      </w:r>
      <w:r w:rsidRPr="00F30237">
        <w:rPr>
          <w:lang w:val="fr-FR"/>
        </w:rPr>
        <w:t>être entendu découle directement de l</w:t>
      </w:r>
      <w:r w:rsidRPr="00F30237" w:rsidR="00F30237">
        <w:rPr>
          <w:lang w:val="fr-FR"/>
        </w:rPr>
        <w:t>’</w:t>
      </w:r>
      <w:r w:rsidRPr="00F30237">
        <w:rPr>
          <w:lang w:val="fr-FR"/>
        </w:rPr>
        <w:t>article 5 § 4 de la Convention en ce qu</w:t>
      </w:r>
      <w:r w:rsidRPr="00F30237" w:rsidR="00F30237">
        <w:rPr>
          <w:lang w:val="fr-FR"/>
        </w:rPr>
        <w:t>’</w:t>
      </w:r>
      <w:r w:rsidRPr="00F30237">
        <w:rPr>
          <w:lang w:val="fr-FR"/>
        </w:rPr>
        <w:t>il fait partie des garanties de procédure appliquées en matière de privation de liberté, on ne saurait faire dépendre son existence ou sa mise en œuvre d</w:t>
      </w:r>
      <w:r w:rsidRPr="00F30237" w:rsidR="00F30237">
        <w:rPr>
          <w:lang w:val="fr-FR"/>
        </w:rPr>
        <w:t>’</w:t>
      </w:r>
      <w:r w:rsidRPr="00F30237">
        <w:rPr>
          <w:lang w:val="fr-FR"/>
        </w:rPr>
        <w:t>une demande expresse de l</w:t>
      </w:r>
      <w:r w:rsidRPr="00F30237" w:rsidR="00F30237">
        <w:rPr>
          <w:lang w:val="fr-FR"/>
        </w:rPr>
        <w:t>’</w:t>
      </w:r>
      <w:r w:rsidRPr="00F30237">
        <w:rPr>
          <w:lang w:val="fr-FR"/>
        </w:rPr>
        <w:t>intéressé (</w:t>
      </w:r>
      <w:proofErr w:type="spellStart"/>
      <w:r w:rsidRPr="00F30237">
        <w:rPr>
          <w:i/>
          <w:lang w:val="fr-FR"/>
        </w:rPr>
        <w:t>Vecek</w:t>
      </w:r>
      <w:proofErr w:type="spellEnd"/>
      <w:r w:rsidRPr="00F30237">
        <w:rPr>
          <w:i/>
          <w:lang w:val="fr-FR"/>
        </w:rPr>
        <w:t xml:space="preserve"> c. République tchèque</w:t>
      </w:r>
      <w:r w:rsidRPr="00F30237">
        <w:rPr>
          <w:lang w:val="fr-FR"/>
        </w:rPr>
        <w:t>, n</w:t>
      </w:r>
      <w:r w:rsidRPr="00F30237">
        <w:rPr>
          <w:vertAlign w:val="superscript"/>
          <w:lang w:val="fr-FR"/>
        </w:rPr>
        <w:t>o</w:t>
      </w:r>
      <w:r w:rsidRPr="00F30237">
        <w:rPr>
          <w:lang w:val="fr-FR"/>
        </w:rPr>
        <w:t xml:space="preserve"> 3252/09, § 78, 21</w:t>
      </w:r>
      <w:r w:rsidRPr="00F30237" w:rsidR="0011265B">
        <w:rPr>
          <w:lang w:val="fr-FR"/>
        </w:rPr>
        <w:t> </w:t>
      </w:r>
      <w:r w:rsidRPr="00F30237">
        <w:rPr>
          <w:lang w:val="fr-FR"/>
        </w:rPr>
        <w:t>février 2013). Au surplus, compte tenu de ce qu</w:t>
      </w:r>
      <w:r w:rsidRPr="00F30237" w:rsidR="00F30237">
        <w:rPr>
          <w:lang w:val="fr-FR"/>
        </w:rPr>
        <w:t>’</w:t>
      </w:r>
      <w:r w:rsidRPr="00F30237">
        <w:rPr>
          <w:lang w:val="fr-FR"/>
        </w:rPr>
        <w:t>au travers de son recours le requérant cherchait à obtenir pour la première fois un contrôle de la légalité de sa détention, aucun fait nouveau n</w:t>
      </w:r>
      <w:r w:rsidRPr="00F30237" w:rsidR="00F30237">
        <w:rPr>
          <w:lang w:val="fr-FR"/>
        </w:rPr>
        <w:t>’</w:t>
      </w:r>
      <w:r w:rsidRPr="00F30237">
        <w:rPr>
          <w:lang w:val="fr-FR"/>
        </w:rPr>
        <w:t>était soumis à l</w:t>
      </w:r>
      <w:r w:rsidRPr="00F30237" w:rsidR="00F30237">
        <w:rPr>
          <w:lang w:val="fr-FR"/>
        </w:rPr>
        <w:t>’</w:t>
      </w:r>
      <w:r w:rsidRPr="00F30237">
        <w:rPr>
          <w:lang w:val="fr-FR"/>
        </w:rPr>
        <w:t>examen du juge des investigations préliminaires, si bien qu</w:t>
      </w:r>
      <w:r w:rsidRPr="00F30237" w:rsidR="00F30237">
        <w:rPr>
          <w:lang w:val="fr-FR"/>
        </w:rPr>
        <w:t>’</w:t>
      </w:r>
      <w:r w:rsidRPr="00F30237">
        <w:rPr>
          <w:lang w:val="fr-FR"/>
        </w:rPr>
        <w:t>une demande d</w:t>
      </w:r>
      <w:r w:rsidRPr="00F30237" w:rsidR="00F30237">
        <w:rPr>
          <w:lang w:val="fr-FR"/>
        </w:rPr>
        <w:t>’</w:t>
      </w:r>
      <w:r w:rsidRPr="00F30237">
        <w:rPr>
          <w:lang w:val="fr-FR"/>
        </w:rPr>
        <w:t>audition du requérant n</w:t>
      </w:r>
      <w:r w:rsidRPr="00F30237" w:rsidR="00F30237">
        <w:rPr>
          <w:lang w:val="fr-FR"/>
        </w:rPr>
        <w:t>’</w:t>
      </w:r>
      <w:r w:rsidRPr="00F30237">
        <w:rPr>
          <w:lang w:val="fr-FR"/>
        </w:rPr>
        <w:t>était pas recevable aux termes de la disposition pertinente (voir</w:t>
      </w:r>
      <w:r w:rsidRPr="00F30237" w:rsidR="009D460D">
        <w:rPr>
          <w:lang w:val="fr-FR"/>
        </w:rPr>
        <w:t xml:space="preserve"> </w:t>
      </w:r>
      <w:r w:rsidRPr="00F30237">
        <w:rPr>
          <w:lang w:val="fr-FR"/>
        </w:rPr>
        <w:t>paragraphes 17 et 21 ci-dessus).</w:t>
      </w:r>
    </w:p>
    <w:p w:rsidRPr="00F30237" w:rsidR="00E44B72" w:rsidP="00F30237" w:rsidRDefault="00E44B72">
      <w:pPr>
        <w:pStyle w:val="ECHRPara"/>
        <w:rPr>
          <w:lang w:val="fr-FR"/>
        </w:rPr>
      </w:pPr>
      <w:r w:rsidRPr="00F30237">
        <w:rPr>
          <w:lang w:val="fr-FR"/>
        </w:rPr>
        <w:t>60.  Dans ces conditions, la Cour estime qu</w:t>
      </w:r>
      <w:r w:rsidRPr="00F30237" w:rsidR="00F30237">
        <w:rPr>
          <w:lang w:val="fr-FR"/>
        </w:rPr>
        <w:t>’</w:t>
      </w:r>
      <w:r w:rsidRPr="00F30237">
        <w:rPr>
          <w:lang w:val="fr-FR"/>
        </w:rPr>
        <w:t>un appel interjeté contre la</w:t>
      </w:r>
      <w:r w:rsidRPr="00F30237" w:rsidR="009D460D">
        <w:rPr>
          <w:lang w:val="fr-FR"/>
        </w:rPr>
        <w:t xml:space="preserve"> </w:t>
      </w:r>
      <w:r w:rsidRPr="00F30237">
        <w:rPr>
          <w:lang w:val="fr-FR"/>
        </w:rPr>
        <w:t>décision du 9 février 2011 n</w:t>
      </w:r>
      <w:r w:rsidRPr="00F30237" w:rsidR="00F30237">
        <w:rPr>
          <w:lang w:val="fr-FR"/>
        </w:rPr>
        <w:t>’</w:t>
      </w:r>
      <w:r w:rsidRPr="00F30237">
        <w:rPr>
          <w:lang w:val="fr-FR"/>
        </w:rPr>
        <w:t>aurait pas permis au requérant d</w:t>
      </w:r>
      <w:r w:rsidRPr="00F30237" w:rsidR="00F30237">
        <w:rPr>
          <w:lang w:val="fr-FR"/>
        </w:rPr>
        <w:t>’</w:t>
      </w:r>
      <w:r w:rsidRPr="00F30237">
        <w:rPr>
          <w:lang w:val="fr-FR"/>
        </w:rPr>
        <w:t>être entendu sur les motifs invoqués par lui au soutien de sa demande de révocation de la mesure qui avait ordonné son placement en détention. Il s</w:t>
      </w:r>
      <w:r w:rsidRPr="00F30237" w:rsidR="00F30237">
        <w:rPr>
          <w:lang w:val="fr-FR"/>
        </w:rPr>
        <w:t>’</w:t>
      </w:r>
      <w:r w:rsidRPr="00F30237">
        <w:rPr>
          <w:lang w:val="fr-FR"/>
        </w:rPr>
        <w:t>ensuit que le recours en révocation de la mesure de précaution prévu par l</w:t>
      </w:r>
      <w:r w:rsidRPr="00F30237" w:rsidR="00F30237">
        <w:rPr>
          <w:lang w:val="fr-FR"/>
        </w:rPr>
        <w:t>’</w:t>
      </w:r>
      <w:r w:rsidRPr="00F30237">
        <w:rPr>
          <w:lang w:val="fr-FR"/>
        </w:rPr>
        <w:t>article 299 du CPP n</w:t>
      </w:r>
      <w:r w:rsidRPr="00F30237" w:rsidR="00F30237">
        <w:rPr>
          <w:lang w:val="fr-FR"/>
        </w:rPr>
        <w:t>’</w:t>
      </w:r>
      <w:r w:rsidRPr="00F30237">
        <w:rPr>
          <w:lang w:val="fr-FR"/>
        </w:rPr>
        <w:t>a pas constitué, dans les circonstances de l</w:t>
      </w:r>
      <w:r w:rsidRPr="00F30237" w:rsidR="00F30237">
        <w:rPr>
          <w:lang w:val="fr-FR"/>
        </w:rPr>
        <w:t>’</w:t>
      </w:r>
      <w:r w:rsidRPr="00F30237">
        <w:rPr>
          <w:lang w:val="fr-FR"/>
        </w:rPr>
        <w:t>espèce, un remède conforme à l</w:t>
      </w:r>
      <w:r w:rsidRPr="00F30237" w:rsidR="00F30237">
        <w:rPr>
          <w:lang w:val="fr-FR"/>
        </w:rPr>
        <w:t>’</w:t>
      </w:r>
      <w:r w:rsidRPr="00F30237">
        <w:rPr>
          <w:lang w:val="fr-FR"/>
        </w:rPr>
        <w:t>article 5 § 4 de la Convention</w:t>
      </w:r>
    </w:p>
    <w:p w:rsidRPr="00F30237" w:rsidR="00E44B72" w:rsidP="00F30237" w:rsidRDefault="00E44B72">
      <w:pPr>
        <w:pStyle w:val="ECHRHeading4"/>
        <w:rPr>
          <w:lang w:val="fr-FR"/>
        </w:rPr>
      </w:pPr>
      <w:r w:rsidRPr="00F30237">
        <w:rPr>
          <w:lang w:val="fr-FR"/>
        </w:rPr>
        <w:t>c)  Sur le recours en relevé de forclusion prévu par l</w:t>
      </w:r>
      <w:r w:rsidRPr="00F30237" w:rsidR="00F30237">
        <w:rPr>
          <w:lang w:val="fr-FR"/>
        </w:rPr>
        <w:t>’</w:t>
      </w:r>
      <w:r w:rsidRPr="00F30237">
        <w:rPr>
          <w:lang w:val="fr-FR"/>
        </w:rPr>
        <w:t>article 175 § 1 du CPP</w:t>
      </w:r>
    </w:p>
    <w:p w:rsidRPr="00F30237" w:rsidR="00E44B72" w:rsidP="00F30237" w:rsidRDefault="00E44B72">
      <w:pPr>
        <w:pStyle w:val="ECHRPara"/>
        <w:rPr>
          <w:lang w:val="fr-FR"/>
        </w:rPr>
      </w:pPr>
      <w:r w:rsidRPr="00F30237">
        <w:rPr>
          <w:lang w:val="fr-FR"/>
        </w:rPr>
        <w:t>61.  Concernant la possibilité pour le requérant de se prévaloir de l</w:t>
      </w:r>
      <w:r w:rsidRPr="00F30237" w:rsidR="00F30237">
        <w:rPr>
          <w:lang w:val="fr-FR"/>
        </w:rPr>
        <w:t>’</w:t>
      </w:r>
      <w:r w:rsidRPr="00F30237" w:rsidR="00E30962">
        <w:rPr>
          <w:lang w:val="fr-FR"/>
        </w:rPr>
        <w:t>article </w:t>
      </w:r>
      <w:r w:rsidRPr="00F30237">
        <w:rPr>
          <w:lang w:val="fr-FR"/>
        </w:rPr>
        <w:t>175 § 1 du CPP afin de prouver qu</w:t>
      </w:r>
      <w:r w:rsidRPr="00F30237" w:rsidR="00F30237">
        <w:rPr>
          <w:lang w:val="fr-FR"/>
        </w:rPr>
        <w:t>’</w:t>
      </w:r>
      <w:r w:rsidRPr="00F30237">
        <w:rPr>
          <w:lang w:val="fr-FR"/>
        </w:rPr>
        <w:t>il ne s</w:t>
      </w:r>
      <w:r w:rsidRPr="00F30237" w:rsidR="00F30237">
        <w:rPr>
          <w:lang w:val="fr-FR"/>
        </w:rPr>
        <w:t>’</w:t>
      </w:r>
      <w:r w:rsidRPr="00F30237">
        <w:rPr>
          <w:lang w:val="fr-FR"/>
        </w:rPr>
        <w:t>était pas volontairement soustrait à la justice et d</w:t>
      </w:r>
      <w:r w:rsidRPr="00F30237" w:rsidR="00F30237">
        <w:rPr>
          <w:lang w:val="fr-FR"/>
        </w:rPr>
        <w:t>’</w:t>
      </w:r>
      <w:r w:rsidRPr="00F30237">
        <w:rPr>
          <w:lang w:val="fr-FR"/>
        </w:rPr>
        <w:t>obtenir ainsi la réouverture du délai d</w:t>
      </w:r>
      <w:r w:rsidRPr="00F30237" w:rsidR="00F30237">
        <w:rPr>
          <w:lang w:val="fr-FR"/>
        </w:rPr>
        <w:t>’</w:t>
      </w:r>
      <w:r w:rsidRPr="00F30237">
        <w:rPr>
          <w:lang w:val="fr-FR"/>
        </w:rPr>
        <w:t>appel contre la décision de mise en détention (paragraphe 32 ci-dessus), la Cour vient de constater que la jurisprudence constante de la Cour de cassation qui a été appliquée au cas du requérant empêche précisément la réouverture du délai d</w:t>
      </w:r>
      <w:r w:rsidRPr="00F30237" w:rsidR="00F30237">
        <w:rPr>
          <w:lang w:val="fr-FR"/>
        </w:rPr>
        <w:t>’</w:t>
      </w:r>
      <w:r w:rsidRPr="00F30237">
        <w:rPr>
          <w:lang w:val="fr-FR"/>
        </w:rPr>
        <w:t>introduction d</w:t>
      </w:r>
      <w:r w:rsidRPr="00F30237" w:rsidR="00F30237">
        <w:rPr>
          <w:lang w:val="fr-FR"/>
        </w:rPr>
        <w:t>’</w:t>
      </w:r>
      <w:r w:rsidRPr="00F30237">
        <w:rPr>
          <w:lang w:val="fr-FR"/>
        </w:rPr>
        <w:t>un recours contre une mesure de précaution dans les cas où un avocat commis d</w:t>
      </w:r>
      <w:r w:rsidRPr="00F30237" w:rsidR="00F30237">
        <w:rPr>
          <w:lang w:val="fr-FR"/>
        </w:rPr>
        <w:t>’</w:t>
      </w:r>
      <w:r w:rsidRPr="00F30237">
        <w:rPr>
          <w:lang w:val="fr-FR"/>
        </w:rPr>
        <w:t>office a déjà fait usage du recours offert par l</w:t>
      </w:r>
      <w:r w:rsidRPr="00F30237" w:rsidR="00F30237">
        <w:rPr>
          <w:lang w:val="fr-FR"/>
        </w:rPr>
        <w:t xml:space="preserve">’article 309 </w:t>
      </w:r>
      <w:r w:rsidRPr="00F30237">
        <w:rPr>
          <w:lang w:val="fr-FR"/>
        </w:rPr>
        <w:t>du CPP (paragraphes 15 et 48 ci-dessus). Par ailleurs, il n</w:t>
      </w:r>
      <w:r w:rsidRPr="00F30237" w:rsidR="00F30237">
        <w:rPr>
          <w:lang w:val="fr-FR"/>
        </w:rPr>
        <w:t>’</w:t>
      </w:r>
      <w:r w:rsidRPr="00F30237">
        <w:rPr>
          <w:lang w:val="fr-FR"/>
        </w:rPr>
        <w:t>apparaît pas que l</w:t>
      </w:r>
      <w:r w:rsidRPr="00F30237" w:rsidR="00F30237">
        <w:rPr>
          <w:lang w:val="fr-FR"/>
        </w:rPr>
        <w:t>’</w:t>
      </w:r>
      <w:r w:rsidRPr="00F30237">
        <w:rPr>
          <w:lang w:val="fr-FR"/>
        </w:rPr>
        <w:t>impossibilité dans laquelle le requérant s</w:t>
      </w:r>
      <w:r w:rsidRPr="00F30237" w:rsidR="00F30237">
        <w:rPr>
          <w:lang w:val="fr-FR"/>
        </w:rPr>
        <w:t>’</w:t>
      </w:r>
      <w:r w:rsidRPr="00F30237">
        <w:rPr>
          <w:lang w:val="fr-FR"/>
        </w:rPr>
        <w:t>est trouvé de faire examiner son appel à l</w:t>
      </w:r>
      <w:r w:rsidRPr="00F30237" w:rsidR="00F30237">
        <w:rPr>
          <w:lang w:val="fr-FR"/>
        </w:rPr>
        <w:t>’</w:t>
      </w:r>
      <w:r w:rsidRPr="00F30237">
        <w:rPr>
          <w:lang w:val="fr-FR"/>
        </w:rPr>
        <w:t>encontre de l</w:t>
      </w:r>
      <w:r w:rsidRPr="00F30237" w:rsidR="00F30237">
        <w:rPr>
          <w:lang w:val="fr-FR"/>
        </w:rPr>
        <w:t>’</w:t>
      </w:r>
      <w:r w:rsidRPr="00F30237">
        <w:rPr>
          <w:lang w:val="fr-FR"/>
        </w:rPr>
        <w:t>ordonnance de mise en détention procédât de ce qu</w:t>
      </w:r>
      <w:r w:rsidRPr="00F30237" w:rsidR="00F30237">
        <w:rPr>
          <w:lang w:val="fr-FR"/>
        </w:rPr>
        <w:t>’</w:t>
      </w:r>
      <w:r w:rsidRPr="00F30237">
        <w:rPr>
          <w:lang w:val="fr-FR"/>
        </w:rPr>
        <w:t>il aurait été réputé s</w:t>
      </w:r>
      <w:r w:rsidRPr="00F30237" w:rsidR="00F30237">
        <w:rPr>
          <w:lang w:val="fr-FR"/>
        </w:rPr>
        <w:t>’</w:t>
      </w:r>
      <w:r w:rsidRPr="00F30237">
        <w:rPr>
          <w:lang w:val="fr-FR"/>
        </w:rPr>
        <w:t>être volontairement soustrait à la justice.</w:t>
      </w:r>
    </w:p>
    <w:p w:rsidRPr="00F30237" w:rsidR="00E44B72" w:rsidP="00F30237" w:rsidRDefault="00E44B72">
      <w:pPr>
        <w:pStyle w:val="ECHRPara"/>
        <w:rPr>
          <w:lang w:val="fr-FR"/>
        </w:rPr>
      </w:pPr>
      <w:r w:rsidRPr="00F30237">
        <w:rPr>
          <w:lang w:val="fr-FR"/>
        </w:rPr>
        <w:t>62.  Au vu de ce qui précède, la Cour considère qu</w:t>
      </w:r>
      <w:r w:rsidRPr="00F30237" w:rsidR="00F30237">
        <w:rPr>
          <w:lang w:val="fr-FR"/>
        </w:rPr>
        <w:t>’</w:t>
      </w:r>
      <w:r w:rsidRPr="00F30237">
        <w:rPr>
          <w:lang w:val="fr-FR"/>
        </w:rPr>
        <w:t>il appartenait au Gouvernement de démontrer que, nonobstant la jurisprudence pertinente dans le domaine spécifique des mesures de précaution, le remède général prévu par le système italien en matière de relevé de forclusion aurait permis au requérant dans les circonstances de l</w:t>
      </w:r>
      <w:r w:rsidRPr="00F30237" w:rsidR="00F30237">
        <w:rPr>
          <w:lang w:val="fr-FR"/>
        </w:rPr>
        <w:t>’</w:t>
      </w:r>
      <w:r w:rsidRPr="00F30237">
        <w:rPr>
          <w:lang w:val="fr-FR"/>
        </w:rPr>
        <w:t>espèce de présenter et soutenir une demande de mise en liberté devant la chambre spécialisée chargée de réexaminer les mesures de précaution. Elle rappelle qu</w:t>
      </w:r>
      <w:r w:rsidRPr="00F30237" w:rsidR="00F30237">
        <w:rPr>
          <w:lang w:val="fr-FR"/>
        </w:rPr>
        <w:t>’</w:t>
      </w:r>
      <w:r w:rsidRPr="00F30237">
        <w:rPr>
          <w:lang w:val="fr-FR"/>
        </w:rPr>
        <w:t>il incombe au Gouvernement plaidant le non-épuisement de la convaincre que le recours était effectif et disponible tant en théorie qu</w:t>
      </w:r>
      <w:r w:rsidRPr="00F30237" w:rsidR="00F30237">
        <w:rPr>
          <w:lang w:val="fr-FR"/>
        </w:rPr>
        <w:t>’</w:t>
      </w:r>
      <w:r w:rsidRPr="00F30237">
        <w:rPr>
          <w:lang w:val="fr-FR"/>
        </w:rPr>
        <w:t>en pratique à l</w:t>
      </w:r>
      <w:r w:rsidRPr="00F30237" w:rsidR="00F30237">
        <w:rPr>
          <w:lang w:val="fr-FR"/>
        </w:rPr>
        <w:t>’</w:t>
      </w:r>
      <w:r w:rsidRPr="00F30237">
        <w:rPr>
          <w:lang w:val="fr-FR"/>
        </w:rPr>
        <w:t>époque des faits (</w:t>
      </w:r>
      <w:proofErr w:type="spellStart"/>
      <w:r w:rsidRPr="00F30237">
        <w:rPr>
          <w:i/>
          <w:lang w:val="fr-FR"/>
        </w:rPr>
        <w:t>Vučković</w:t>
      </w:r>
      <w:proofErr w:type="spellEnd"/>
      <w:r w:rsidRPr="00F30237">
        <w:rPr>
          <w:i/>
          <w:lang w:val="fr-FR"/>
        </w:rPr>
        <w:t xml:space="preserve"> et autres c. Serbie </w:t>
      </w:r>
      <w:r w:rsidRPr="00F30237">
        <w:rPr>
          <w:lang w:val="fr-FR"/>
        </w:rPr>
        <w:t>(exception préliminaire) [GC], n</w:t>
      </w:r>
      <w:r w:rsidRPr="00F30237">
        <w:rPr>
          <w:rFonts w:cs="Times New Roman"/>
          <w:vertAlign w:val="superscript"/>
          <w:lang w:val="fr-FR"/>
        </w:rPr>
        <w:t>os</w:t>
      </w:r>
      <w:r w:rsidRPr="00F30237">
        <w:rPr>
          <w:lang w:val="fr-FR"/>
        </w:rPr>
        <w:t xml:space="preserve"> 17153/11 et 29 autres, § 77, 25 mars 2014). À cet égard, elle note qu</w:t>
      </w:r>
      <w:r w:rsidRPr="00F30237" w:rsidR="00F30237">
        <w:rPr>
          <w:lang w:val="fr-FR"/>
        </w:rPr>
        <w:t>’</w:t>
      </w:r>
      <w:r w:rsidRPr="00F30237">
        <w:rPr>
          <w:lang w:val="fr-FR"/>
        </w:rPr>
        <w:t>en l</w:t>
      </w:r>
      <w:r w:rsidRPr="00F30237" w:rsidR="00F30237">
        <w:rPr>
          <w:lang w:val="fr-FR"/>
        </w:rPr>
        <w:t>’</w:t>
      </w:r>
      <w:r w:rsidRPr="00F30237">
        <w:rPr>
          <w:lang w:val="fr-FR"/>
        </w:rPr>
        <w:t>espèce le Gouvernement n</w:t>
      </w:r>
      <w:r w:rsidRPr="00F30237" w:rsidR="00F30237">
        <w:rPr>
          <w:lang w:val="fr-FR"/>
        </w:rPr>
        <w:t>’</w:t>
      </w:r>
      <w:r w:rsidRPr="00F30237">
        <w:rPr>
          <w:lang w:val="fr-FR"/>
        </w:rPr>
        <w:t>a produit aucun exemple démontrant qu</w:t>
      </w:r>
      <w:r w:rsidRPr="00F30237" w:rsidR="00F30237">
        <w:rPr>
          <w:lang w:val="fr-FR"/>
        </w:rPr>
        <w:t>’</w:t>
      </w:r>
      <w:r w:rsidRPr="00F30237">
        <w:rPr>
          <w:lang w:val="fr-FR"/>
        </w:rPr>
        <w:t>une telle action eût été intentée avec succès dans des circonstances similaires à celles de l</w:t>
      </w:r>
      <w:r w:rsidRPr="00F30237" w:rsidR="00F30237">
        <w:rPr>
          <w:lang w:val="fr-FR"/>
        </w:rPr>
        <w:t>’</w:t>
      </w:r>
      <w:r w:rsidRPr="00F30237">
        <w:rPr>
          <w:lang w:val="fr-FR"/>
        </w:rPr>
        <w:t xml:space="preserve">affaire du requérant (voir, </w:t>
      </w:r>
      <w:r w:rsidRPr="00F30237">
        <w:rPr>
          <w:i/>
          <w:lang w:val="fr-FR"/>
        </w:rPr>
        <w:t>mutatis mutandis</w:t>
      </w:r>
      <w:r w:rsidRPr="00F30237">
        <w:rPr>
          <w:lang w:val="fr-FR"/>
        </w:rPr>
        <w:t xml:space="preserve">, </w:t>
      </w:r>
      <w:r w:rsidRPr="00F30237">
        <w:rPr>
          <w:i/>
          <w:lang w:val="fr-FR"/>
        </w:rPr>
        <w:t xml:space="preserve">Sardinas </w:t>
      </w:r>
      <w:proofErr w:type="spellStart"/>
      <w:r w:rsidRPr="00F30237">
        <w:rPr>
          <w:i/>
          <w:lang w:val="fr-FR"/>
        </w:rPr>
        <w:t>Albo</w:t>
      </w:r>
      <w:proofErr w:type="spellEnd"/>
      <w:r w:rsidRPr="00F30237">
        <w:rPr>
          <w:i/>
          <w:lang w:val="fr-FR"/>
        </w:rPr>
        <w:t xml:space="preserve"> c. Italie</w:t>
      </w:r>
      <w:r w:rsidRPr="00F30237">
        <w:rPr>
          <w:lang w:val="fr-FR"/>
        </w:rPr>
        <w:t xml:space="preserve"> (déc.), n</w:t>
      </w:r>
      <w:r w:rsidRPr="00F30237">
        <w:rPr>
          <w:vertAlign w:val="superscript"/>
          <w:lang w:val="fr-FR"/>
        </w:rPr>
        <w:t>o</w:t>
      </w:r>
      <w:r w:rsidRPr="00F30237">
        <w:rPr>
          <w:lang w:val="fr-FR"/>
        </w:rPr>
        <w:t xml:space="preserve"> 56271/00, 8 janvier 2004).</w:t>
      </w:r>
    </w:p>
    <w:p w:rsidRPr="00F30237" w:rsidR="00E44B72" w:rsidP="00F30237" w:rsidRDefault="00E44B72">
      <w:pPr>
        <w:pStyle w:val="ECHRHeading4"/>
        <w:rPr>
          <w:lang w:val="fr-FR"/>
        </w:rPr>
      </w:pPr>
      <w:r w:rsidRPr="00F30237">
        <w:rPr>
          <w:lang w:val="fr-FR"/>
        </w:rPr>
        <w:t>d)  Conclusion</w:t>
      </w:r>
    </w:p>
    <w:p w:rsidRPr="00F30237" w:rsidR="00E44B72" w:rsidP="00F30237" w:rsidRDefault="00E44B72">
      <w:pPr>
        <w:pStyle w:val="ECHRPara"/>
        <w:rPr>
          <w:lang w:val="fr-FR"/>
        </w:rPr>
      </w:pPr>
      <w:r w:rsidRPr="00F30237">
        <w:rPr>
          <w:lang w:val="fr-FR"/>
        </w:rPr>
        <w:t>63.  En conséquence, la Cour rejette les exceptions préliminaires de non</w:t>
      </w:r>
      <w:r w:rsidRPr="00F30237" w:rsidR="0011265B">
        <w:rPr>
          <w:lang w:val="fr-FR"/>
        </w:rPr>
        <w:noBreakHyphen/>
      </w:r>
      <w:r w:rsidRPr="00F30237">
        <w:rPr>
          <w:lang w:val="fr-FR"/>
        </w:rPr>
        <w:t>épuisement des voies de recours internes soulevées par le Gouvernement et conclut à la violation de l</w:t>
      </w:r>
      <w:r w:rsidRPr="00F30237" w:rsidR="00F30237">
        <w:rPr>
          <w:lang w:val="fr-FR"/>
        </w:rPr>
        <w:t>’</w:t>
      </w:r>
      <w:r w:rsidRPr="00F30237">
        <w:rPr>
          <w:lang w:val="fr-FR"/>
        </w:rPr>
        <w:t>article 5 § 4 de la Convention à raison de l</w:t>
      </w:r>
      <w:r w:rsidRPr="00F30237" w:rsidR="00F30237">
        <w:rPr>
          <w:lang w:val="fr-FR"/>
        </w:rPr>
        <w:t>’</w:t>
      </w:r>
      <w:r w:rsidRPr="00F30237">
        <w:rPr>
          <w:lang w:val="fr-FR"/>
        </w:rPr>
        <w:t>impossibilité dans laquelle le requérant s</w:t>
      </w:r>
      <w:r w:rsidRPr="00F30237" w:rsidR="00F30237">
        <w:rPr>
          <w:lang w:val="fr-FR"/>
        </w:rPr>
        <w:t>’</w:t>
      </w:r>
      <w:r w:rsidRPr="00F30237">
        <w:rPr>
          <w:lang w:val="fr-FR"/>
        </w:rPr>
        <w:t>est trouvé d</w:t>
      </w:r>
      <w:r w:rsidRPr="00F30237" w:rsidR="00F30237">
        <w:rPr>
          <w:lang w:val="fr-FR"/>
        </w:rPr>
        <w:t>’</w:t>
      </w:r>
      <w:r w:rsidRPr="00F30237">
        <w:rPr>
          <w:lang w:val="fr-FR"/>
        </w:rPr>
        <w:t>être effectivement entendu par les juridictions compétentes pour contrôler la légalité de sa détention.</w:t>
      </w:r>
    </w:p>
    <w:p w:rsidRPr="00F30237" w:rsidR="00E44B72" w:rsidP="00F30237" w:rsidRDefault="00E44B72">
      <w:pPr>
        <w:pStyle w:val="ECHRHeading1"/>
        <w:rPr>
          <w:lang w:val="fr-FR"/>
        </w:rPr>
      </w:pPr>
      <w:r w:rsidRPr="00F30237">
        <w:rPr>
          <w:lang w:val="fr-FR"/>
        </w:rPr>
        <w:t>II.  SUR L</w:t>
      </w:r>
      <w:r w:rsidRPr="00F30237" w:rsidR="00F30237">
        <w:rPr>
          <w:lang w:val="fr-FR"/>
        </w:rPr>
        <w:t>’</w:t>
      </w:r>
      <w:r w:rsidRPr="00F30237">
        <w:rPr>
          <w:lang w:val="fr-FR"/>
        </w:rPr>
        <w:t>APPLICATION DE L</w:t>
      </w:r>
      <w:r w:rsidRPr="00F30237" w:rsidR="00F30237">
        <w:rPr>
          <w:lang w:val="fr-FR"/>
        </w:rPr>
        <w:t>’</w:t>
      </w:r>
      <w:r w:rsidRPr="00F30237">
        <w:rPr>
          <w:lang w:val="fr-FR"/>
        </w:rPr>
        <w:t>ARTICLE 41 DE LA CONVENTION</w:t>
      </w:r>
    </w:p>
    <w:p w:rsidRPr="00F30237" w:rsidR="00E44B72" w:rsidP="00F30237" w:rsidRDefault="00E44B72">
      <w:pPr>
        <w:pStyle w:val="ECHRPara"/>
        <w:rPr>
          <w:lang w:val="fr-FR"/>
        </w:rPr>
      </w:pPr>
      <w:r w:rsidRPr="00F30237">
        <w:rPr>
          <w:lang w:val="fr-FR"/>
        </w:rPr>
        <w:t>64.  Aux termes de l</w:t>
      </w:r>
      <w:r w:rsidRPr="00F30237" w:rsidR="00F30237">
        <w:rPr>
          <w:lang w:val="fr-FR"/>
        </w:rPr>
        <w:t>’</w:t>
      </w:r>
      <w:r w:rsidRPr="00F30237">
        <w:rPr>
          <w:lang w:val="fr-FR"/>
        </w:rPr>
        <w:t>article 41 de la Convention,</w:t>
      </w:r>
    </w:p>
    <w:p w:rsidRPr="00F30237" w:rsidR="00E44B72" w:rsidP="00F30237" w:rsidRDefault="00E44B72">
      <w:pPr>
        <w:pStyle w:val="ECHRParaQuote"/>
        <w:keepNext/>
        <w:keepLines/>
        <w:rPr>
          <w:lang w:val="fr-FR"/>
        </w:rPr>
      </w:pPr>
      <w:r w:rsidRPr="00F30237">
        <w:rPr>
          <w:lang w:val="fr-FR"/>
        </w:rPr>
        <w:t>« Si la Cour déclare qu</w:t>
      </w:r>
      <w:r w:rsidRPr="00F30237" w:rsidR="00F30237">
        <w:rPr>
          <w:lang w:val="fr-FR"/>
        </w:rPr>
        <w:t>’</w:t>
      </w:r>
      <w:r w:rsidRPr="00F30237">
        <w:rPr>
          <w:lang w:val="fr-FR"/>
        </w:rPr>
        <w:t>il y a eu violation de la Convention ou de ses Protocoles, et si le droit interne de la Haute Partie contractante ne permet d</w:t>
      </w:r>
      <w:r w:rsidRPr="00F30237" w:rsidR="00F30237">
        <w:rPr>
          <w:lang w:val="fr-FR"/>
        </w:rPr>
        <w:t>’</w:t>
      </w:r>
      <w:r w:rsidRPr="00F30237">
        <w:rPr>
          <w:lang w:val="fr-FR"/>
        </w:rPr>
        <w:t>effacer qu</w:t>
      </w:r>
      <w:r w:rsidRPr="00F30237" w:rsidR="00F30237">
        <w:rPr>
          <w:lang w:val="fr-FR"/>
        </w:rPr>
        <w:t>’</w:t>
      </w:r>
      <w:r w:rsidRPr="00F30237">
        <w:rPr>
          <w:lang w:val="fr-FR"/>
        </w:rPr>
        <w:t>imparfaitement les conséquences de cette violation, la Cour accorde à la partie lésée, s</w:t>
      </w:r>
      <w:r w:rsidRPr="00F30237" w:rsidR="00F30237">
        <w:rPr>
          <w:lang w:val="fr-FR"/>
        </w:rPr>
        <w:t>’</w:t>
      </w:r>
      <w:r w:rsidRPr="00F30237">
        <w:rPr>
          <w:lang w:val="fr-FR"/>
        </w:rPr>
        <w:t>il y a lieu, une satisfaction équitable. »</w:t>
      </w:r>
    </w:p>
    <w:p w:rsidRPr="00F30237" w:rsidR="00E44B72" w:rsidP="00F30237" w:rsidRDefault="00E44B72">
      <w:pPr>
        <w:pStyle w:val="ECHRHeading2"/>
        <w:rPr>
          <w:lang w:val="fr-FR"/>
        </w:rPr>
      </w:pPr>
      <w:r w:rsidRPr="00F30237">
        <w:rPr>
          <w:lang w:val="fr-FR"/>
        </w:rPr>
        <w:t>A.  Dommage</w:t>
      </w:r>
    </w:p>
    <w:p w:rsidRPr="00F30237" w:rsidR="00E44B72" w:rsidP="00F30237" w:rsidRDefault="00E44B72">
      <w:pPr>
        <w:pStyle w:val="ECHRPara"/>
        <w:rPr>
          <w:lang w:val="fr-FR"/>
        </w:rPr>
      </w:pPr>
      <w:r w:rsidRPr="00F30237">
        <w:rPr>
          <w:lang w:val="fr-FR"/>
        </w:rPr>
        <w:t>65.  Le requérant réclame 5 000 EUR au titre du préjudice moral qu</w:t>
      </w:r>
      <w:r w:rsidRPr="00F30237" w:rsidR="00F30237">
        <w:rPr>
          <w:lang w:val="fr-FR"/>
        </w:rPr>
        <w:t>’</w:t>
      </w:r>
      <w:r w:rsidRPr="00F30237">
        <w:rPr>
          <w:lang w:val="fr-FR"/>
        </w:rPr>
        <w:t>il estime avoir subi.</w:t>
      </w:r>
    </w:p>
    <w:p w:rsidRPr="00F30237" w:rsidR="00E44B72" w:rsidP="00F30237" w:rsidRDefault="00E44B72">
      <w:pPr>
        <w:pStyle w:val="ECHRPara"/>
        <w:rPr>
          <w:lang w:val="fr-FR"/>
        </w:rPr>
      </w:pPr>
      <w:r w:rsidRPr="00F30237">
        <w:rPr>
          <w:lang w:val="fr-FR"/>
        </w:rPr>
        <w:t>66.  Le Gouvernement ne s</w:t>
      </w:r>
      <w:r w:rsidRPr="00F30237" w:rsidR="00F30237">
        <w:rPr>
          <w:lang w:val="fr-FR"/>
        </w:rPr>
        <w:t>’</w:t>
      </w:r>
      <w:r w:rsidRPr="00F30237">
        <w:rPr>
          <w:lang w:val="fr-FR"/>
        </w:rPr>
        <w:t>est pas exprimé sur ce point.</w:t>
      </w:r>
    </w:p>
    <w:p w:rsidRPr="00F30237" w:rsidR="00E44B72" w:rsidP="00F30237" w:rsidRDefault="00E44B72">
      <w:pPr>
        <w:pStyle w:val="ECHRPara"/>
        <w:rPr>
          <w:lang w:val="fr-FR"/>
        </w:rPr>
      </w:pPr>
      <w:r w:rsidRPr="00F30237">
        <w:rPr>
          <w:lang w:val="fr-FR"/>
        </w:rPr>
        <w:t>67.  La Cour considère que le requérant a subi un préjudice moral certain que le seul constat de violation ne saurait compenser. Cependant, ce constat de violation de l</w:t>
      </w:r>
      <w:r w:rsidRPr="00F30237" w:rsidR="00F30237">
        <w:rPr>
          <w:lang w:val="fr-FR"/>
        </w:rPr>
        <w:t>’</w:t>
      </w:r>
      <w:r w:rsidRPr="00F30237">
        <w:rPr>
          <w:lang w:val="fr-FR"/>
        </w:rPr>
        <w:t>article 5 § 4 n</w:t>
      </w:r>
      <w:r w:rsidRPr="00F30237" w:rsidR="00F30237">
        <w:rPr>
          <w:lang w:val="fr-FR"/>
        </w:rPr>
        <w:t>’</w:t>
      </w:r>
      <w:r w:rsidRPr="00F30237">
        <w:rPr>
          <w:lang w:val="fr-FR"/>
        </w:rPr>
        <w:t>implique pas nécessairement que la détention du requérant ait été illégale ou autrement contraire à la Convention. À la lumière de ce qui précède, et statuant en équité comme le veut l</w:t>
      </w:r>
      <w:r w:rsidRPr="00F30237" w:rsidR="00F30237">
        <w:rPr>
          <w:lang w:val="fr-FR"/>
        </w:rPr>
        <w:t>’</w:t>
      </w:r>
      <w:r w:rsidRPr="00F30237">
        <w:rPr>
          <w:lang w:val="fr-FR"/>
        </w:rPr>
        <w:t>article 41 de la Convention, la Cour accorde à l</w:t>
      </w:r>
      <w:r w:rsidRPr="00F30237" w:rsidR="00F30237">
        <w:rPr>
          <w:lang w:val="fr-FR"/>
        </w:rPr>
        <w:t>’</w:t>
      </w:r>
      <w:r w:rsidRPr="00F30237">
        <w:rPr>
          <w:lang w:val="fr-FR"/>
        </w:rPr>
        <w:t>intéressé la somme de 4 000 EUR.</w:t>
      </w:r>
    </w:p>
    <w:p w:rsidRPr="00F30237" w:rsidR="00E44B72" w:rsidP="00F30237" w:rsidRDefault="00E44B72">
      <w:pPr>
        <w:pStyle w:val="ECHRHeading2"/>
        <w:rPr>
          <w:lang w:val="fr-FR"/>
        </w:rPr>
      </w:pPr>
      <w:r w:rsidRPr="00F30237">
        <w:rPr>
          <w:lang w:val="fr-FR"/>
        </w:rPr>
        <w:t>B.  Frais et dépens</w:t>
      </w:r>
    </w:p>
    <w:p w:rsidRPr="00F30237" w:rsidR="00E44B72" w:rsidP="00F30237" w:rsidRDefault="00E44B72">
      <w:pPr>
        <w:pStyle w:val="ECHRPara"/>
        <w:rPr>
          <w:lang w:val="fr-FR"/>
        </w:rPr>
      </w:pPr>
      <w:r w:rsidRPr="00F30237">
        <w:rPr>
          <w:lang w:val="fr-FR"/>
        </w:rPr>
        <w:t>68.  Le requérant demande également 21 886,80 EUR pour les frais et dépens engagés devant les juridictions internes et pour ceux engagés devant la Cour.</w:t>
      </w:r>
    </w:p>
    <w:p w:rsidRPr="00F30237" w:rsidR="00E44B72" w:rsidP="00F30237" w:rsidRDefault="00E44B72">
      <w:pPr>
        <w:pStyle w:val="ECHRPara"/>
        <w:rPr>
          <w:lang w:val="fr-FR"/>
        </w:rPr>
      </w:pPr>
      <w:r w:rsidRPr="00F30237">
        <w:rPr>
          <w:lang w:val="fr-FR"/>
        </w:rPr>
        <w:t>69.  Le Gouvernement n</w:t>
      </w:r>
      <w:r w:rsidRPr="00F30237" w:rsidR="00F30237">
        <w:rPr>
          <w:lang w:val="fr-FR"/>
        </w:rPr>
        <w:t>’</w:t>
      </w:r>
      <w:r w:rsidRPr="00F30237">
        <w:rPr>
          <w:lang w:val="fr-FR"/>
        </w:rPr>
        <w:t>a pas présenté de commentaires à ce sujet.</w:t>
      </w:r>
    </w:p>
    <w:p w:rsidRPr="00F30237" w:rsidR="00E44B72" w:rsidP="00F30237" w:rsidRDefault="00E44B72">
      <w:pPr>
        <w:pStyle w:val="ECHRPara"/>
        <w:rPr>
          <w:lang w:val="fr-FR"/>
        </w:rPr>
      </w:pPr>
      <w:r w:rsidRPr="00F30237">
        <w:rPr>
          <w:lang w:val="fr-FR"/>
        </w:rPr>
        <w:t>70.  Selon la jurisprudence de la Cour, un requérant ne peut obtenir le remboursement de ses frais et dépens que dans la mesure où se trouvent établis leur réalité, leur nécessité et le caractère raisonnable de leur taux. En l</w:t>
      </w:r>
      <w:r w:rsidRPr="00F30237" w:rsidR="00F30237">
        <w:rPr>
          <w:lang w:val="fr-FR"/>
        </w:rPr>
        <w:t>’</w:t>
      </w:r>
      <w:r w:rsidRPr="00F30237">
        <w:rPr>
          <w:lang w:val="fr-FR"/>
        </w:rPr>
        <w:t>espèce, compte tenu des documents dont elle dispose et de sa jurisprudence, la Cour estime raisonnable d</w:t>
      </w:r>
      <w:r w:rsidRPr="00F30237" w:rsidR="00F30237">
        <w:rPr>
          <w:lang w:val="fr-FR"/>
        </w:rPr>
        <w:t>’</w:t>
      </w:r>
      <w:r w:rsidRPr="00F30237">
        <w:rPr>
          <w:lang w:val="fr-FR"/>
        </w:rPr>
        <w:t>accorder au requérant, tous frais confondus, la somme de 7 000 EUR.</w:t>
      </w:r>
    </w:p>
    <w:p w:rsidRPr="00F30237" w:rsidR="00E44B72" w:rsidP="00F30237" w:rsidRDefault="00E44B72">
      <w:pPr>
        <w:pStyle w:val="ECHRHeading2"/>
        <w:rPr>
          <w:lang w:val="fr-FR"/>
        </w:rPr>
      </w:pPr>
      <w:r w:rsidRPr="00F30237">
        <w:rPr>
          <w:lang w:val="fr-FR"/>
        </w:rPr>
        <w:t>C.  Intérêts moratoires</w:t>
      </w:r>
    </w:p>
    <w:p w:rsidRPr="00F30237" w:rsidR="00E44B72" w:rsidP="00F30237" w:rsidRDefault="00E44B72">
      <w:pPr>
        <w:pStyle w:val="ECHRPara"/>
        <w:rPr>
          <w:lang w:val="fr-FR"/>
        </w:rPr>
      </w:pPr>
      <w:r w:rsidRPr="00F30237">
        <w:rPr>
          <w:lang w:val="fr-FR"/>
        </w:rPr>
        <w:t>71.  La Cour juge approprié de calquer le taux des intérêts moratoires sur le taux d</w:t>
      </w:r>
      <w:r w:rsidRPr="00F30237" w:rsidR="00F30237">
        <w:rPr>
          <w:lang w:val="fr-FR"/>
        </w:rPr>
        <w:t>’</w:t>
      </w:r>
      <w:r w:rsidRPr="00F30237">
        <w:rPr>
          <w:lang w:val="fr-FR"/>
        </w:rPr>
        <w:t>intérêt de la facilité de prêt marginal de la Banque centrale européenne majoré de trois points de pourcentage.</w:t>
      </w:r>
    </w:p>
    <w:p w:rsidRPr="00F30237" w:rsidR="00E44B72" w:rsidP="00F30237" w:rsidRDefault="00E44B72">
      <w:pPr>
        <w:pStyle w:val="ECHRTitle1"/>
        <w:rPr>
          <w:lang w:val="fr-FR"/>
        </w:rPr>
      </w:pPr>
      <w:r w:rsidRPr="00F30237">
        <w:rPr>
          <w:lang w:val="fr-FR"/>
        </w:rPr>
        <w:t>PAR CES MOTIFS, LA COUR, À L</w:t>
      </w:r>
      <w:r w:rsidRPr="00F30237" w:rsidR="00F30237">
        <w:rPr>
          <w:lang w:val="fr-FR"/>
        </w:rPr>
        <w:t>’</w:t>
      </w:r>
      <w:r w:rsidRPr="00F30237">
        <w:rPr>
          <w:lang w:val="fr-FR"/>
        </w:rPr>
        <w:t>UNANIMITÉ,</w:t>
      </w:r>
    </w:p>
    <w:p w:rsidRPr="00F30237" w:rsidR="00E44B72" w:rsidP="00F30237" w:rsidRDefault="00E44B72">
      <w:pPr>
        <w:pStyle w:val="JuList"/>
        <w:rPr>
          <w:lang w:val="fr-FR"/>
        </w:rPr>
      </w:pPr>
      <w:r w:rsidRPr="00F30237">
        <w:rPr>
          <w:lang w:val="fr-FR"/>
        </w:rPr>
        <w:t>1.  </w:t>
      </w:r>
      <w:r w:rsidRPr="00F30237">
        <w:rPr>
          <w:i/>
          <w:lang w:val="fr-FR"/>
        </w:rPr>
        <w:t>Joint au fond</w:t>
      </w:r>
      <w:r w:rsidRPr="00F30237">
        <w:rPr>
          <w:lang w:val="fr-FR"/>
        </w:rPr>
        <w:t xml:space="preserve"> les exceptions de non-épuisement des voies de recours internes soulevées par le Gouvernement et les </w:t>
      </w:r>
      <w:r w:rsidRPr="00F30237">
        <w:rPr>
          <w:i/>
          <w:lang w:val="fr-FR"/>
        </w:rPr>
        <w:t>rejette</w:t>
      </w:r>
      <w:r w:rsidRPr="00F30237">
        <w:rPr>
          <w:lang w:val="fr-FR"/>
        </w:rPr>
        <w:t xml:space="preserve"> ;</w:t>
      </w:r>
    </w:p>
    <w:p w:rsidRPr="00F30237" w:rsidR="00E44B72" w:rsidP="00F30237" w:rsidRDefault="00E44B72">
      <w:pPr>
        <w:pStyle w:val="JuList"/>
        <w:rPr>
          <w:lang w:val="fr-FR"/>
        </w:rPr>
      </w:pPr>
    </w:p>
    <w:p w:rsidRPr="00F30237" w:rsidR="00E44B72" w:rsidP="00F30237" w:rsidRDefault="00E44B72">
      <w:pPr>
        <w:pStyle w:val="JuList"/>
        <w:rPr>
          <w:lang w:val="fr-FR"/>
        </w:rPr>
      </w:pPr>
      <w:r w:rsidRPr="00F30237">
        <w:rPr>
          <w:lang w:val="fr-FR"/>
        </w:rPr>
        <w:t>2.  </w:t>
      </w:r>
      <w:r w:rsidRPr="00F30237">
        <w:rPr>
          <w:i/>
          <w:lang w:val="fr-FR"/>
        </w:rPr>
        <w:t>Déclare</w:t>
      </w:r>
      <w:r w:rsidRPr="00F30237">
        <w:rPr>
          <w:lang w:val="fr-FR"/>
        </w:rPr>
        <w:t xml:space="preserve"> la requête recevable ;</w:t>
      </w:r>
    </w:p>
    <w:p w:rsidRPr="00F30237" w:rsidR="00E44B72" w:rsidP="00F30237" w:rsidRDefault="00E44B72">
      <w:pPr>
        <w:pStyle w:val="JuList"/>
        <w:rPr>
          <w:lang w:val="fr-FR"/>
        </w:rPr>
      </w:pPr>
    </w:p>
    <w:p w:rsidRPr="00F30237" w:rsidR="00E44B72" w:rsidP="00F30237" w:rsidRDefault="00E44B72">
      <w:pPr>
        <w:pStyle w:val="JuList"/>
        <w:rPr>
          <w:lang w:val="fr-FR"/>
        </w:rPr>
      </w:pPr>
      <w:r w:rsidRPr="00F30237">
        <w:rPr>
          <w:lang w:val="fr-FR"/>
        </w:rPr>
        <w:t>3.  </w:t>
      </w:r>
      <w:r w:rsidRPr="00F30237">
        <w:rPr>
          <w:i/>
          <w:lang w:val="fr-FR"/>
        </w:rPr>
        <w:t>Dit</w:t>
      </w:r>
      <w:r w:rsidRPr="00F30237">
        <w:rPr>
          <w:lang w:val="fr-FR"/>
        </w:rPr>
        <w:t xml:space="preserve"> qu</w:t>
      </w:r>
      <w:r w:rsidRPr="00F30237" w:rsidR="00F30237">
        <w:rPr>
          <w:lang w:val="fr-FR"/>
        </w:rPr>
        <w:t>’</w:t>
      </w:r>
      <w:r w:rsidRPr="00F30237">
        <w:rPr>
          <w:lang w:val="fr-FR"/>
        </w:rPr>
        <w:t>il y a eu violation de l</w:t>
      </w:r>
      <w:r w:rsidRPr="00F30237" w:rsidR="00F30237">
        <w:rPr>
          <w:lang w:val="fr-FR"/>
        </w:rPr>
        <w:t>’</w:t>
      </w:r>
      <w:r w:rsidRPr="00F30237">
        <w:rPr>
          <w:lang w:val="fr-FR"/>
        </w:rPr>
        <w:t>article 5 § 4 de la Convention ;</w:t>
      </w:r>
    </w:p>
    <w:p w:rsidRPr="00F30237" w:rsidR="00E44B72" w:rsidP="00F30237" w:rsidRDefault="00E44B72">
      <w:pPr>
        <w:pStyle w:val="JuList"/>
        <w:ind w:left="0" w:firstLine="0"/>
        <w:rPr>
          <w:lang w:val="fr-FR"/>
        </w:rPr>
      </w:pPr>
    </w:p>
    <w:p w:rsidRPr="00F30237" w:rsidR="009B64EE" w:rsidP="00F30237" w:rsidRDefault="00E44B72">
      <w:pPr>
        <w:pStyle w:val="JuList"/>
        <w:rPr>
          <w:lang w:val="fr-FR"/>
        </w:rPr>
      </w:pPr>
      <w:r w:rsidRPr="00F30237">
        <w:rPr>
          <w:lang w:val="fr-FR"/>
        </w:rPr>
        <w:t>4.  </w:t>
      </w:r>
      <w:r w:rsidRPr="00F30237">
        <w:rPr>
          <w:i/>
          <w:lang w:val="fr-FR"/>
        </w:rPr>
        <w:t>Dit</w:t>
      </w:r>
      <w:r w:rsidRPr="00F30237">
        <w:rPr>
          <w:lang w:val="fr-FR"/>
        </w:rPr>
        <w:t>,</w:t>
      </w:r>
    </w:p>
    <w:p w:rsidRPr="00F30237" w:rsidR="00E44B72" w:rsidP="00F30237" w:rsidRDefault="00E44B72">
      <w:pPr>
        <w:pStyle w:val="JuLista"/>
        <w:rPr>
          <w:lang w:val="fr-FR"/>
        </w:rPr>
      </w:pPr>
      <w:r w:rsidRPr="00F30237">
        <w:rPr>
          <w:lang w:val="fr-FR"/>
        </w:rPr>
        <w:t>a)  que l</w:t>
      </w:r>
      <w:r w:rsidRPr="00F30237" w:rsidR="00F30237">
        <w:rPr>
          <w:lang w:val="fr-FR"/>
        </w:rPr>
        <w:t>’</w:t>
      </w:r>
      <w:r w:rsidRPr="00F30237">
        <w:rPr>
          <w:lang w:val="fr-FR"/>
        </w:rPr>
        <w:t>État défendeur doit verser au requérant, dans les trois mois à compter du jour où l</w:t>
      </w:r>
      <w:r w:rsidRPr="00F30237" w:rsidR="00F30237">
        <w:rPr>
          <w:lang w:val="fr-FR"/>
        </w:rPr>
        <w:t>’</w:t>
      </w:r>
      <w:r w:rsidRPr="00F30237">
        <w:rPr>
          <w:lang w:val="fr-FR"/>
        </w:rPr>
        <w:t>arrêt sera devenu définitif conformément à l</w:t>
      </w:r>
      <w:r w:rsidRPr="00F30237" w:rsidR="00F30237">
        <w:rPr>
          <w:lang w:val="fr-FR"/>
        </w:rPr>
        <w:t>’</w:t>
      </w:r>
      <w:r w:rsidRPr="00F30237">
        <w:rPr>
          <w:lang w:val="fr-FR"/>
        </w:rPr>
        <w:t>article 44 § 2 de la Convention, les sommes suivantes :</w:t>
      </w:r>
    </w:p>
    <w:p w:rsidRPr="00F30237" w:rsidR="00E44B72" w:rsidP="00F30237" w:rsidRDefault="00E44B72">
      <w:pPr>
        <w:pStyle w:val="JuListi"/>
        <w:rPr>
          <w:lang w:val="fr-FR" w:eastAsia="en-GB"/>
        </w:rPr>
      </w:pPr>
      <w:r w:rsidRPr="00F30237">
        <w:rPr>
          <w:lang w:val="fr-FR" w:eastAsia="en-GB"/>
        </w:rPr>
        <w:t>i.  </w:t>
      </w:r>
      <w:r w:rsidRPr="00F30237">
        <w:rPr>
          <w:lang w:val="fr-FR"/>
        </w:rPr>
        <w:t>4 000</w:t>
      </w:r>
      <w:r w:rsidRPr="00F30237">
        <w:rPr>
          <w:lang w:val="fr-FR" w:eastAsia="en-GB"/>
        </w:rPr>
        <w:t xml:space="preserve"> EUR (quatre mille euros), plus tout montant pouvant être dû à titre d</w:t>
      </w:r>
      <w:r w:rsidRPr="00F30237" w:rsidR="00F30237">
        <w:rPr>
          <w:lang w:val="fr-FR" w:eastAsia="en-GB"/>
        </w:rPr>
        <w:t>’</w:t>
      </w:r>
      <w:r w:rsidRPr="00F30237">
        <w:rPr>
          <w:lang w:val="fr-FR" w:eastAsia="en-GB"/>
        </w:rPr>
        <w:t>impôt, pour dommage moral ;</w:t>
      </w:r>
    </w:p>
    <w:p w:rsidRPr="00F30237" w:rsidR="00E44B72" w:rsidP="00F30237" w:rsidRDefault="00E44B72">
      <w:pPr>
        <w:pStyle w:val="JuListi"/>
        <w:rPr>
          <w:lang w:val="fr-FR" w:eastAsia="en-GB"/>
        </w:rPr>
      </w:pPr>
      <w:r w:rsidRPr="00F30237">
        <w:rPr>
          <w:lang w:val="fr-FR"/>
        </w:rPr>
        <w:t>ii.  </w:t>
      </w:r>
      <w:r w:rsidRPr="00F30237">
        <w:rPr>
          <w:lang w:val="fr-FR" w:eastAsia="en-GB"/>
        </w:rPr>
        <w:t>7 000 EUR (sept mille euros), plus tout montant pouvant être dû à titre d</w:t>
      </w:r>
      <w:r w:rsidRPr="00F30237" w:rsidR="00F30237">
        <w:rPr>
          <w:lang w:val="fr-FR" w:eastAsia="en-GB"/>
        </w:rPr>
        <w:t>’</w:t>
      </w:r>
      <w:r w:rsidRPr="00F30237">
        <w:rPr>
          <w:lang w:val="fr-FR" w:eastAsia="en-GB"/>
        </w:rPr>
        <w:t>impôt par le requérant, pour frais et dépens ;</w:t>
      </w:r>
    </w:p>
    <w:p w:rsidRPr="00F30237" w:rsidR="00E44B72" w:rsidP="00F30237" w:rsidRDefault="00E44B72">
      <w:pPr>
        <w:pStyle w:val="JuLista"/>
        <w:rPr>
          <w:lang w:val="fr-FR"/>
        </w:rPr>
      </w:pPr>
      <w:r w:rsidRPr="00F30237">
        <w:rPr>
          <w:lang w:val="fr-FR"/>
        </w:rPr>
        <w:t>b)  qu</w:t>
      </w:r>
      <w:r w:rsidRPr="00F30237" w:rsidR="00F30237">
        <w:rPr>
          <w:lang w:val="fr-FR"/>
        </w:rPr>
        <w:t>’</w:t>
      </w:r>
      <w:r w:rsidRPr="00F30237">
        <w:rPr>
          <w:lang w:val="fr-FR"/>
        </w:rPr>
        <w:t>à compter de l</w:t>
      </w:r>
      <w:r w:rsidRPr="00F30237" w:rsidR="00F30237">
        <w:rPr>
          <w:lang w:val="fr-FR"/>
        </w:rPr>
        <w:t>’</w:t>
      </w:r>
      <w:r w:rsidRPr="00F30237">
        <w:rPr>
          <w:lang w:val="fr-FR"/>
        </w:rPr>
        <w:t>expiration dudit délai et jusqu</w:t>
      </w:r>
      <w:r w:rsidRPr="00F30237" w:rsidR="00F30237">
        <w:rPr>
          <w:lang w:val="fr-FR"/>
        </w:rPr>
        <w:t>’</w:t>
      </w:r>
      <w:r w:rsidRPr="00F30237">
        <w:rPr>
          <w:lang w:val="fr-FR"/>
        </w:rPr>
        <w:t>au versement, ce</w:t>
      </w:r>
      <w:r w:rsidRPr="00F30237" w:rsidR="00973469">
        <w:rPr>
          <w:lang w:val="fr-FR"/>
        </w:rPr>
        <w:t>s</w:t>
      </w:r>
      <w:r w:rsidRPr="00F30237">
        <w:rPr>
          <w:lang w:val="fr-FR"/>
        </w:rPr>
        <w:t xml:space="preserve"> montant</w:t>
      </w:r>
      <w:r w:rsidRPr="00F30237" w:rsidR="00973469">
        <w:rPr>
          <w:lang w:val="fr-FR"/>
        </w:rPr>
        <w:t>s</w:t>
      </w:r>
      <w:r w:rsidRPr="00F30237">
        <w:rPr>
          <w:lang w:val="fr-FR"/>
        </w:rPr>
        <w:t xml:space="preserve"> ser</w:t>
      </w:r>
      <w:r w:rsidRPr="00F30237" w:rsidR="00973469">
        <w:rPr>
          <w:lang w:val="fr-FR"/>
        </w:rPr>
        <w:t>ont</w:t>
      </w:r>
      <w:r w:rsidRPr="00F30237">
        <w:rPr>
          <w:lang w:val="fr-FR"/>
        </w:rPr>
        <w:t xml:space="preserve"> à majorer d</w:t>
      </w:r>
      <w:r w:rsidRPr="00F30237" w:rsidR="00F30237">
        <w:rPr>
          <w:lang w:val="fr-FR"/>
        </w:rPr>
        <w:t>’</w:t>
      </w:r>
      <w:r w:rsidRPr="00F30237">
        <w:rPr>
          <w:lang w:val="fr-FR"/>
        </w:rPr>
        <w:t>un intérêt simple à un taux égal à celui de la facilité de prêt marginal de la Banque centrale européenne applicable pendant cette période, augmenté de trois points de pourcentage ;</w:t>
      </w:r>
    </w:p>
    <w:p w:rsidRPr="00F30237" w:rsidR="00E44B72" w:rsidP="00F30237" w:rsidRDefault="00E44B72">
      <w:pPr>
        <w:pStyle w:val="JuLista"/>
        <w:rPr>
          <w:lang w:val="fr-FR"/>
        </w:rPr>
      </w:pPr>
    </w:p>
    <w:p w:rsidRPr="00F30237" w:rsidR="009B64EE" w:rsidP="00F30237" w:rsidRDefault="00E44B72">
      <w:pPr>
        <w:pStyle w:val="JuList"/>
        <w:rPr>
          <w:lang w:val="fr-FR"/>
        </w:rPr>
      </w:pPr>
      <w:r w:rsidRPr="00F30237">
        <w:rPr>
          <w:lang w:val="fr-FR"/>
        </w:rPr>
        <w:t>5.  </w:t>
      </w:r>
      <w:r w:rsidRPr="00F30237">
        <w:rPr>
          <w:i/>
          <w:lang w:val="fr-FR"/>
        </w:rPr>
        <w:t>Rejette</w:t>
      </w:r>
      <w:r w:rsidRPr="00F30237">
        <w:rPr>
          <w:lang w:val="fr-FR"/>
        </w:rPr>
        <w:t xml:space="preserve"> la demande de </w:t>
      </w:r>
      <w:r w:rsidRPr="00F143B5">
        <w:rPr>
          <w:lang w:val="fr-FR"/>
        </w:rPr>
        <w:t>satisfaction</w:t>
      </w:r>
      <w:r w:rsidRPr="00F30237">
        <w:rPr>
          <w:lang w:val="fr-FR"/>
        </w:rPr>
        <w:t xml:space="preserve"> équitable pour le surplus.</w:t>
      </w:r>
    </w:p>
    <w:p w:rsidRPr="00F30237" w:rsidR="009B64EE" w:rsidP="00F30237" w:rsidRDefault="007A534F">
      <w:pPr>
        <w:pStyle w:val="JuParaLast"/>
        <w:keepNext w:val="0"/>
        <w:keepLines w:val="0"/>
        <w:rPr>
          <w:lang w:val="fr-FR"/>
        </w:rPr>
      </w:pPr>
      <w:r w:rsidRPr="00F30237">
        <w:rPr>
          <w:lang w:val="fr-FR"/>
        </w:rPr>
        <w:t xml:space="preserve">Fait en français, puis communiqué par écrit le </w:t>
      </w:r>
      <w:r w:rsidRPr="00F30237" w:rsidR="00E44B72">
        <w:rPr>
          <w:rFonts w:ascii="Times New Roman" w:hAnsi="Times New Roman" w:cs="Times New Roman"/>
          <w:lang w:val="fr-FR"/>
        </w:rPr>
        <w:t>5 septembre 2019</w:t>
      </w:r>
      <w:r w:rsidRPr="00F30237">
        <w:rPr>
          <w:lang w:val="fr-FR"/>
        </w:rPr>
        <w:t>, en application de l</w:t>
      </w:r>
      <w:r w:rsidRPr="00F30237" w:rsidR="00F30237">
        <w:rPr>
          <w:lang w:val="fr-FR"/>
        </w:rPr>
        <w:t>’</w:t>
      </w:r>
      <w:r w:rsidRPr="00F30237">
        <w:rPr>
          <w:lang w:val="fr-FR"/>
        </w:rPr>
        <w:t>article 77 §§ 2 et 3 du règlement de la Cour.</w:t>
      </w:r>
    </w:p>
    <w:p w:rsidRPr="00F30237" w:rsidR="009B64EE" w:rsidP="00F30237" w:rsidRDefault="00E44B72">
      <w:pPr>
        <w:pStyle w:val="JuSigned"/>
        <w:rPr>
          <w:lang w:val="fr-FR"/>
        </w:rPr>
      </w:pPr>
      <w:r w:rsidRPr="00F30237">
        <w:rPr>
          <w:lang w:val="fr-FR"/>
        </w:rPr>
        <w:tab/>
        <w:t>Abel Campos</w:t>
      </w:r>
      <w:r w:rsidRPr="00F30237" w:rsidR="007A534F">
        <w:rPr>
          <w:lang w:val="fr-FR"/>
        </w:rPr>
        <w:tab/>
      </w:r>
      <w:proofErr w:type="spellStart"/>
      <w:r w:rsidRPr="00F30237">
        <w:rPr>
          <w:szCs w:val="24"/>
          <w:lang w:val="fr-FR"/>
        </w:rPr>
        <w:t>Ksenija</w:t>
      </w:r>
      <w:proofErr w:type="spellEnd"/>
      <w:r w:rsidRPr="00F30237">
        <w:rPr>
          <w:szCs w:val="24"/>
          <w:lang w:val="fr-FR"/>
        </w:rPr>
        <w:t xml:space="preserve"> </w:t>
      </w:r>
      <w:proofErr w:type="spellStart"/>
      <w:r w:rsidRPr="00F30237">
        <w:rPr>
          <w:szCs w:val="24"/>
          <w:lang w:val="fr-FR"/>
        </w:rPr>
        <w:t>Turković</w:t>
      </w:r>
      <w:proofErr w:type="spellEnd"/>
      <w:r w:rsidRPr="00F30237" w:rsidR="007A534F">
        <w:rPr>
          <w:lang w:val="fr-FR"/>
        </w:rPr>
        <w:br/>
      </w:r>
      <w:r w:rsidRPr="00F30237" w:rsidR="007A534F">
        <w:rPr>
          <w:lang w:val="fr-FR"/>
        </w:rPr>
        <w:tab/>
      </w:r>
      <w:r w:rsidRPr="00F30237">
        <w:rPr>
          <w:lang w:val="fr-FR"/>
        </w:rPr>
        <w:t>Greffier</w:t>
      </w:r>
      <w:r w:rsidRPr="00F30237" w:rsidR="007A534F">
        <w:rPr>
          <w:lang w:val="fr-FR"/>
        </w:rPr>
        <w:tab/>
      </w:r>
      <w:r w:rsidRPr="00F30237">
        <w:rPr>
          <w:lang w:val="fr-FR"/>
        </w:rPr>
        <w:t>Présidente</w:t>
      </w:r>
    </w:p>
    <w:sectPr w:rsidRPr="00F30237" w:rsidR="009B64EE" w:rsidSect="00DE5F50">
      <w:headerReference w:type="even" r:id="rId10"/>
      <w:headerReference w:type="default" r:id="rId11"/>
      <w:footerReference w:type="even" r:id="rId12"/>
      <w:footerReference w:type="default" r:id="rId13"/>
      <w:footnotePr>
        <w:numRestart w:val="eachSect"/>
      </w:footnotePr>
      <w:type w:val="oddPage"/>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64EE" w:rsidRDefault="009B64EE">
      <w:r>
        <w:separator/>
      </w:r>
    </w:p>
  </w:endnote>
  <w:endnote w:type="continuationSeparator" w:id="0">
    <w:p w:rsidR="009B64EE" w:rsidRDefault="009B6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4EE" w:rsidRPr="00150BFA" w:rsidRDefault="009B64EE" w:rsidP="009B64EE">
    <w:pPr>
      <w:jc w:val="center"/>
    </w:pPr>
    <w:r>
      <w:rPr>
        <w:noProof/>
        <w:lang w:val="en-US" w:eastAsia="ja-JP"/>
      </w:rPr>
      <w:drawing>
        <wp:inline distT="0" distB="0" distL="0" distR="0" wp14:anchorId="15A59C57" wp14:editId="0D6B6CF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B64EE" w:rsidRPr="00EA4BD7" w:rsidRDefault="009B64EE" w:rsidP="009B64EE">
    <w:pP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4EE" w:rsidRDefault="009B64EE" w:rsidP="009B64E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4EE" w:rsidRDefault="009B64EE" w:rsidP="009B64E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64EE" w:rsidRPr="00EA4BD7" w:rsidRDefault="009B64EE" w:rsidP="009B64EE">
      <w:pPr>
        <w:rPr>
          <w:lang w:val="fr-FR"/>
        </w:rPr>
      </w:pPr>
      <w:r w:rsidRPr="00EA4BD7">
        <w:rPr>
          <w:lang w:val="fr-FR"/>
        </w:rPr>
        <w:separator/>
      </w:r>
    </w:p>
  </w:footnote>
  <w:footnote w:type="continuationSeparator" w:id="0">
    <w:p w:rsidR="009B64EE" w:rsidRPr="00EA4BD7" w:rsidRDefault="009B64EE" w:rsidP="009B64EE">
      <w:pPr>
        <w:rPr>
          <w:lang w:val="fr-FR"/>
        </w:rPr>
      </w:pPr>
      <w:r w:rsidRPr="00EA4BD7">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4EE" w:rsidRPr="00A45145" w:rsidRDefault="009B64EE" w:rsidP="009B64EE">
    <w:pPr>
      <w:jc w:val="center"/>
    </w:pPr>
    <w:r>
      <w:rPr>
        <w:noProof/>
        <w:lang w:val="en-US" w:eastAsia="ja-JP"/>
      </w:rPr>
      <w:drawing>
        <wp:inline distT="0" distB="0" distL="0" distR="0" wp14:anchorId="688C7960" wp14:editId="70194CD6">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B64EE" w:rsidRPr="00EA4BD7" w:rsidRDefault="009B64EE" w:rsidP="009B64EE">
    <w:pPr>
      <w:jc w:val="cent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4EE" w:rsidRPr="005D2152" w:rsidRDefault="009B64EE" w:rsidP="009B64EE">
    <w:pPr>
      <w:pStyle w:val="ECHRHeader"/>
      <w:rPr>
        <w:lang w:val="fr-FR"/>
      </w:rPr>
    </w:pPr>
    <w:r>
      <w:rPr>
        <w:rStyle w:val="PageNumber"/>
      </w:rPr>
      <w:fldChar w:fldCharType="begin"/>
    </w:r>
    <w:r w:rsidRPr="005D2152">
      <w:rPr>
        <w:rStyle w:val="PageNumber"/>
        <w:lang w:val="fr-FR"/>
      </w:rPr>
      <w:instrText xml:space="preserve"> PAGE </w:instrText>
    </w:r>
    <w:r>
      <w:rPr>
        <w:rStyle w:val="PageNumber"/>
      </w:rPr>
      <w:fldChar w:fldCharType="separate"/>
    </w:r>
    <w:r w:rsidR="00204889">
      <w:rPr>
        <w:rStyle w:val="PageNumber"/>
        <w:noProof/>
        <w:lang w:val="fr-FR"/>
      </w:rPr>
      <w:t>14</w:t>
    </w:r>
    <w:r>
      <w:rPr>
        <w:rStyle w:val="PageNumber"/>
      </w:rPr>
      <w:fldChar w:fldCharType="end"/>
    </w:r>
    <w:r w:rsidRPr="005D2152">
      <w:rPr>
        <w:lang w:val="fr-FR"/>
      </w:rPr>
      <w:tab/>
      <w:t xml:space="preserve">ARRÊT RIZZOTTO c. ITALIE </w:t>
    </w:r>
    <w:r w:rsidR="005D2152" w:rsidRPr="005D2152">
      <w:rPr>
        <w:lang w:val="fr-FR"/>
      </w:rPr>
      <w:t>(n°2)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4EE" w:rsidRPr="007100AD" w:rsidRDefault="009B64EE" w:rsidP="009B64EE">
    <w:pPr>
      <w:pStyle w:val="ECHRHeader"/>
    </w:pPr>
    <w:r>
      <w:tab/>
    </w:r>
    <w:r w:rsidRPr="00A7574A">
      <w:t xml:space="preserve">ARRÊT </w:t>
    </w:r>
    <w:r>
      <w:t>RIZZOTTO c. ITALIE</w:t>
    </w:r>
    <w:r w:rsidR="005D2152">
      <w:t xml:space="preserve"> (n°2)</w:t>
    </w:r>
    <w:r w:rsidRPr="007100AD">
      <w:tab/>
    </w:r>
    <w:r>
      <w:rPr>
        <w:rStyle w:val="PageNumber"/>
      </w:rPr>
      <w:fldChar w:fldCharType="begin"/>
    </w:r>
    <w:r>
      <w:rPr>
        <w:rStyle w:val="PageNumber"/>
      </w:rPr>
      <w:instrText xml:space="preserve"> PAGE </w:instrText>
    </w:r>
    <w:r>
      <w:rPr>
        <w:rStyle w:val="PageNumber"/>
      </w:rPr>
      <w:fldChar w:fldCharType="separate"/>
    </w:r>
    <w:r w:rsidR="00204889">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A08B0C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Number3"/>
      <w:lvlText w:val="%1."/>
      <w:lvlJc w:val="left"/>
      <w:pPr>
        <w:tabs>
          <w:tab w:val="num" w:pos="926"/>
        </w:tabs>
        <w:ind w:left="926" w:hanging="360"/>
      </w:pPr>
    </w:lvl>
  </w:abstractNum>
  <w:abstractNum w:abstractNumId="3">
    <w:nsid w:val="FFFFFF7F"/>
    <w:multiLevelType w:val="singleLevel"/>
    <w:tmpl w:val="C1E60D70"/>
    <w:lvl w:ilvl="0">
      <w:start w:val="1"/>
      <w:numFmt w:val="decimal"/>
      <w:pStyle w:val="ListNumber2"/>
      <w:lvlText w:val="%1."/>
      <w:lvlJc w:val="left"/>
      <w:pPr>
        <w:tabs>
          <w:tab w:val="num" w:pos="643"/>
        </w:tabs>
        <w:ind w:left="643" w:hanging="360"/>
      </w:pPr>
    </w:lvl>
  </w:abstractNum>
  <w:abstractNum w:abstractNumId="4">
    <w:nsid w:val="FFFFFF80"/>
    <w:multiLevelType w:val="singleLevel"/>
    <w:tmpl w:val="D2AA4F5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9E2214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DDCF24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2A84908"/>
    <w:lvl w:ilvl="0">
      <w:start w:val="1"/>
      <w:numFmt w:val="decimal"/>
      <w:pStyle w:val="ListNumber"/>
      <w:lvlText w:val="%1."/>
      <w:lvlJc w:val="left"/>
      <w:pPr>
        <w:tabs>
          <w:tab w:val="num" w:pos="360"/>
        </w:tabs>
        <w:ind w:left="360" w:hanging="360"/>
      </w:pPr>
    </w:lvl>
  </w:abstractNum>
  <w:abstractNum w:abstractNumId="9">
    <w:nsid w:val="FFFFFF89"/>
    <w:multiLevelType w:val="singleLevel"/>
    <w:tmpl w:val="88CC5F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363396"/>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7"/>
  </w:num>
  <w:num w:numId="9">
    <w:abstractNumId w:val="15"/>
  </w:num>
  <w:num w:numId="10">
    <w:abstractNumId w:val="14"/>
  </w:num>
  <w:num w:numId="11">
    <w:abstractNumId w:val="10"/>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E44B72"/>
    <w:rsid w:val="0011265B"/>
    <w:rsid w:val="00154643"/>
    <w:rsid w:val="00204889"/>
    <w:rsid w:val="0046486E"/>
    <w:rsid w:val="004D105D"/>
    <w:rsid w:val="004D6E1E"/>
    <w:rsid w:val="005D2152"/>
    <w:rsid w:val="007A534F"/>
    <w:rsid w:val="00826EAF"/>
    <w:rsid w:val="00892127"/>
    <w:rsid w:val="00936539"/>
    <w:rsid w:val="00973469"/>
    <w:rsid w:val="009B64EE"/>
    <w:rsid w:val="009C392A"/>
    <w:rsid w:val="009D460D"/>
    <w:rsid w:val="00AB52B0"/>
    <w:rsid w:val="00BB3ABA"/>
    <w:rsid w:val="00DE07F3"/>
    <w:rsid w:val="00DE5F50"/>
    <w:rsid w:val="00E30962"/>
    <w:rsid w:val="00E44B72"/>
    <w:rsid w:val="00EE67B1"/>
    <w:rsid w:val="00F143B5"/>
    <w:rsid w:val="00F30237"/>
    <w:rsid w:val="00F54F39"/>
    <w:rsid w:val="00F94A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30237"/>
    <w:pPr>
      <w:jc w:val="both"/>
    </w:pPr>
    <w:rPr>
      <w:rFonts w:eastAsiaTheme="minorEastAsia"/>
      <w:sz w:val="24"/>
      <w:lang w:val="en-GB"/>
    </w:rPr>
  </w:style>
  <w:style w:type="paragraph" w:styleId="Heading1">
    <w:name w:val="heading 1"/>
    <w:basedOn w:val="Normal"/>
    <w:next w:val="Normal"/>
    <w:link w:val="Heading1Char"/>
    <w:uiPriority w:val="99"/>
    <w:semiHidden/>
    <w:rsid w:val="009C39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C39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C392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C392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C392A"/>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9C392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C392A"/>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9C392A"/>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9C392A"/>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C392A"/>
    <w:rPr>
      <w:rFonts w:ascii="Tahoma" w:hAnsi="Tahoma" w:cs="Tahoma"/>
      <w:sz w:val="16"/>
      <w:szCs w:val="16"/>
    </w:rPr>
  </w:style>
  <w:style w:type="character" w:customStyle="1" w:styleId="BalloonTextChar">
    <w:name w:val="Balloon Text Char"/>
    <w:basedOn w:val="DefaultParagraphFont"/>
    <w:link w:val="BalloonText"/>
    <w:uiPriority w:val="99"/>
    <w:semiHidden/>
    <w:rsid w:val="009C392A"/>
    <w:rPr>
      <w:rFonts w:ascii="Tahoma" w:eastAsiaTheme="minorEastAsia" w:hAnsi="Tahoma" w:cs="Tahoma"/>
      <w:sz w:val="16"/>
      <w:szCs w:val="16"/>
      <w:lang w:val="en-GB"/>
    </w:rPr>
  </w:style>
  <w:style w:type="character" w:styleId="BookTitle">
    <w:name w:val="Book Title"/>
    <w:uiPriority w:val="99"/>
    <w:semiHidden/>
    <w:qFormat/>
    <w:rsid w:val="009C392A"/>
    <w:rPr>
      <w:i/>
      <w:iCs/>
      <w:smallCaps/>
      <w:spacing w:val="5"/>
    </w:rPr>
  </w:style>
  <w:style w:type="paragraph" w:customStyle="1" w:styleId="ECHRHeader">
    <w:name w:val="ECHR_Header"/>
    <w:aliases w:val="Ju_Header"/>
    <w:basedOn w:val="Header"/>
    <w:uiPriority w:val="4"/>
    <w:qFormat/>
    <w:rsid w:val="009C392A"/>
    <w:pPr>
      <w:tabs>
        <w:tab w:val="clear" w:pos="4536"/>
        <w:tab w:val="clear" w:pos="9072"/>
        <w:tab w:val="center" w:pos="3686"/>
        <w:tab w:val="right" w:pos="7371"/>
      </w:tabs>
      <w:jc w:val="left"/>
    </w:pPr>
    <w:rPr>
      <w:sz w:val="18"/>
    </w:rPr>
  </w:style>
  <w:style w:type="paragraph" w:customStyle="1" w:styleId="DummyStyle">
    <w:name w:val="Dummy_Style"/>
    <w:basedOn w:val="Normal"/>
    <w:semiHidden/>
    <w:qFormat/>
    <w:rsid w:val="009C392A"/>
    <w:rPr>
      <w:color w:val="00B050"/>
    </w:rPr>
  </w:style>
  <w:style w:type="character" w:styleId="Strong">
    <w:name w:val="Strong"/>
    <w:uiPriority w:val="99"/>
    <w:semiHidden/>
    <w:qFormat/>
    <w:rsid w:val="009C392A"/>
    <w:rPr>
      <w:b/>
      <w:bCs/>
    </w:rPr>
  </w:style>
  <w:style w:type="paragraph" w:styleId="NoSpacing">
    <w:name w:val="No Spacing"/>
    <w:basedOn w:val="Normal"/>
    <w:link w:val="NoSpacingChar"/>
    <w:semiHidden/>
    <w:qFormat/>
    <w:rsid w:val="009C392A"/>
    <w:rPr>
      <w:sz w:val="22"/>
      <w:lang w:val="en-US"/>
    </w:rPr>
  </w:style>
  <w:style w:type="character" w:customStyle="1" w:styleId="NoSpacingChar">
    <w:name w:val="No Spacing Char"/>
    <w:basedOn w:val="DefaultParagraphFont"/>
    <w:link w:val="NoSpacing"/>
    <w:semiHidden/>
    <w:rsid w:val="009C392A"/>
    <w:rPr>
      <w:rFonts w:eastAsiaTheme="minorEastAsia"/>
    </w:rPr>
  </w:style>
  <w:style w:type="paragraph" w:customStyle="1" w:styleId="ECHRParaQuote">
    <w:name w:val="ECHR_Para_Quote"/>
    <w:aliases w:val="Ju_Quot"/>
    <w:basedOn w:val="Normal"/>
    <w:uiPriority w:val="14"/>
    <w:qFormat/>
    <w:rsid w:val="009C392A"/>
    <w:pPr>
      <w:spacing w:before="120" w:after="120"/>
      <w:ind w:left="425" w:firstLine="142"/>
    </w:pPr>
    <w:rPr>
      <w:sz w:val="20"/>
    </w:rPr>
  </w:style>
  <w:style w:type="paragraph" w:customStyle="1" w:styleId="JuParaSub">
    <w:name w:val="Ju_Para_Sub"/>
    <w:basedOn w:val="ECHRPara"/>
    <w:uiPriority w:val="13"/>
    <w:qFormat/>
    <w:rsid w:val="009C392A"/>
    <w:pPr>
      <w:ind w:left="284"/>
    </w:pPr>
  </w:style>
  <w:style w:type="paragraph" w:customStyle="1" w:styleId="OpiH1">
    <w:name w:val="Opi_H_1"/>
    <w:basedOn w:val="ECHRHeading2"/>
    <w:uiPriority w:val="42"/>
    <w:qFormat/>
    <w:rsid w:val="009C392A"/>
    <w:pPr>
      <w:ind w:left="635" w:hanging="357"/>
      <w:outlineLvl w:val="2"/>
    </w:pPr>
  </w:style>
  <w:style w:type="paragraph" w:customStyle="1" w:styleId="OpiHa">
    <w:name w:val="Opi_H_a"/>
    <w:basedOn w:val="ECHRHeading3"/>
    <w:uiPriority w:val="43"/>
    <w:qFormat/>
    <w:rsid w:val="009C392A"/>
    <w:pPr>
      <w:ind w:left="833" w:hanging="357"/>
      <w:outlineLvl w:val="3"/>
    </w:pPr>
    <w:rPr>
      <w:b/>
      <w:i w:val="0"/>
      <w:sz w:val="20"/>
    </w:rPr>
  </w:style>
  <w:style w:type="paragraph" w:customStyle="1" w:styleId="OpiHA0">
    <w:name w:val="Opi_H_A"/>
    <w:basedOn w:val="ECHRHeading1"/>
    <w:next w:val="OpiPara"/>
    <w:uiPriority w:val="41"/>
    <w:qFormat/>
    <w:rsid w:val="009C392A"/>
    <w:pPr>
      <w:tabs>
        <w:tab w:val="clear" w:pos="357"/>
      </w:tabs>
      <w:outlineLvl w:val="1"/>
    </w:pPr>
    <w:rPr>
      <w:b/>
    </w:rPr>
  </w:style>
  <w:style w:type="paragraph" w:customStyle="1" w:styleId="ECHRTitleCentre3">
    <w:name w:val="ECHR_Title_Centre_3"/>
    <w:aliases w:val="Ju_H_Article"/>
    <w:basedOn w:val="Normal"/>
    <w:next w:val="ECHRParaQuote"/>
    <w:uiPriority w:val="27"/>
    <w:qFormat/>
    <w:rsid w:val="009C392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C392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C392A"/>
    <w:pPr>
      <w:ind w:left="567"/>
    </w:pPr>
  </w:style>
  <w:style w:type="paragraph" w:customStyle="1" w:styleId="ECHRTitle1">
    <w:name w:val="ECHR_Title_1"/>
    <w:aliases w:val="Ju_H_Head"/>
    <w:basedOn w:val="Normal"/>
    <w:next w:val="ECHRPara"/>
    <w:uiPriority w:val="18"/>
    <w:qFormat/>
    <w:rsid w:val="009C392A"/>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9C392A"/>
    <w:pPr>
      <w:tabs>
        <w:tab w:val="center" w:pos="6407"/>
      </w:tabs>
      <w:spacing w:before="720"/>
      <w:jc w:val="right"/>
    </w:pPr>
  </w:style>
  <w:style w:type="paragraph" w:customStyle="1" w:styleId="JuSigned">
    <w:name w:val="Ju_Signed"/>
    <w:basedOn w:val="Normal"/>
    <w:next w:val="JuParaLast"/>
    <w:uiPriority w:val="32"/>
    <w:qFormat/>
    <w:rsid w:val="009C392A"/>
    <w:pPr>
      <w:tabs>
        <w:tab w:val="center" w:pos="851"/>
        <w:tab w:val="center" w:pos="6407"/>
      </w:tabs>
      <w:spacing w:before="720"/>
      <w:jc w:val="left"/>
    </w:pPr>
  </w:style>
  <w:style w:type="paragraph" w:styleId="Title">
    <w:name w:val="Title"/>
    <w:basedOn w:val="Normal"/>
    <w:next w:val="Normal"/>
    <w:link w:val="TitleChar"/>
    <w:uiPriority w:val="99"/>
    <w:semiHidden/>
    <w:qFormat/>
    <w:rsid w:val="009C392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9C392A"/>
    <w:rPr>
      <w:rFonts w:asciiTheme="majorHAnsi" w:eastAsiaTheme="majorEastAsia" w:hAnsiTheme="majorHAnsi" w:cstheme="majorBidi"/>
      <w:spacing w:val="5"/>
      <w:sz w:val="52"/>
      <w:szCs w:val="52"/>
      <w:lang w:bidi="en-US"/>
    </w:rPr>
  </w:style>
  <w:style w:type="paragraph" w:customStyle="1" w:styleId="OpiHi">
    <w:name w:val="Opi_H_i"/>
    <w:basedOn w:val="ECHRHeading4"/>
    <w:uiPriority w:val="44"/>
    <w:qFormat/>
    <w:rsid w:val="009C392A"/>
    <w:pPr>
      <w:ind w:left="1037" w:hanging="357"/>
      <w:outlineLvl w:val="4"/>
    </w:pPr>
    <w:rPr>
      <w:b w:val="0"/>
      <w:i/>
    </w:rPr>
  </w:style>
  <w:style w:type="character" w:customStyle="1" w:styleId="JUNAMES">
    <w:name w:val="JU_NAMES"/>
    <w:uiPriority w:val="17"/>
    <w:qFormat/>
    <w:rsid w:val="009C392A"/>
    <w:rPr>
      <w:caps w:val="0"/>
      <w:smallCaps/>
    </w:rPr>
  </w:style>
  <w:style w:type="character" w:customStyle="1" w:styleId="JuITMark">
    <w:name w:val="Ju_ITMark"/>
    <w:basedOn w:val="DefaultParagraphFont"/>
    <w:uiPriority w:val="38"/>
    <w:qFormat/>
    <w:rsid w:val="009C392A"/>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9C392A"/>
  </w:style>
  <w:style w:type="paragraph" w:customStyle="1" w:styleId="JuCourt">
    <w:name w:val="Ju_Court"/>
    <w:basedOn w:val="Normal"/>
    <w:next w:val="Normal"/>
    <w:uiPriority w:val="16"/>
    <w:qFormat/>
    <w:rsid w:val="009C392A"/>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9C392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9C392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9C392A"/>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9C392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9C392A"/>
    <w:rPr>
      <w:sz w:val="24"/>
      <w:lang w:val="en-GB"/>
    </w:rPr>
  </w:style>
  <w:style w:type="character" w:customStyle="1" w:styleId="Heading1Char">
    <w:name w:val="Heading 1 Char"/>
    <w:basedOn w:val="DefaultParagraphFont"/>
    <w:link w:val="Heading1"/>
    <w:uiPriority w:val="99"/>
    <w:semiHidden/>
    <w:rsid w:val="009C392A"/>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9C392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9C392A"/>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9C392A"/>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9C392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9C392A"/>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9C392A"/>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9C392A"/>
    <w:pPr>
      <w:keepNext/>
      <w:keepLines/>
      <w:spacing w:before="240"/>
      <w:ind w:firstLine="284"/>
    </w:pPr>
  </w:style>
  <w:style w:type="paragraph" w:customStyle="1" w:styleId="JuList">
    <w:name w:val="Ju_List"/>
    <w:basedOn w:val="Normal"/>
    <w:uiPriority w:val="28"/>
    <w:qFormat/>
    <w:rsid w:val="009C392A"/>
    <w:pPr>
      <w:ind w:left="340" w:hanging="340"/>
    </w:pPr>
  </w:style>
  <w:style w:type="character" w:customStyle="1" w:styleId="Heading4Char">
    <w:name w:val="Heading 4 Char"/>
    <w:basedOn w:val="DefaultParagraphFont"/>
    <w:link w:val="Heading4"/>
    <w:uiPriority w:val="99"/>
    <w:semiHidden/>
    <w:rsid w:val="009C392A"/>
    <w:rPr>
      <w:rFonts w:asciiTheme="majorHAnsi" w:eastAsiaTheme="majorEastAsia" w:hAnsiTheme="majorHAnsi" w:cstheme="majorBidi"/>
      <w:b/>
      <w:bCs/>
      <w:i/>
      <w:iCs/>
      <w:color w:val="777777"/>
      <w:sz w:val="24"/>
      <w:lang w:val="en-GB"/>
    </w:rPr>
  </w:style>
  <w:style w:type="paragraph" w:customStyle="1" w:styleId="JuLista">
    <w:name w:val="Ju_List_a"/>
    <w:basedOn w:val="JuList"/>
    <w:uiPriority w:val="28"/>
    <w:qFormat/>
    <w:rsid w:val="009C392A"/>
    <w:pPr>
      <w:ind w:left="346" w:firstLine="0"/>
    </w:pPr>
  </w:style>
  <w:style w:type="character" w:customStyle="1" w:styleId="Heading5Char">
    <w:name w:val="Heading 5 Char"/>
    <w:basedOn w:val="DefaultParagraphFont"/>
    <w:link w:val="Heading5"/>
    <w:uiPriority w:val="99"/>
    <w:semiHidden/>
    <w:rsid w:val="009C392A"/>
    <w:rPr>
      <w:rFonts w:asciiTheme="majorHAnsi" w:eastAsiaTheme="majorEastAsia" w:hAnsiTheme="majorHAnsi" w:cstheme="majorBidi"/>
      <w:b/>
      <w:bCs/>
      <w:color w:val="808080"/>
    </w:rPr>
  </w:style>
  <w:style w:type="paragraph" w:customStyle="1" w:styleId="JuListi">
    <w:name w:val="Ju_List_i"/>
    <w:basedOn w:val="Normal"/>
    <w:next w:val="JuLista"/>
    <w:uiPriority w:val="28"/>
    <w:qFormat/>
    <w:rsid w:val="009C392A"/>
    <w:pPr>
      <w:ind w:left="794"/>
    </w:pPr>
  </w:style>
  <w:style w:type="paragraph" w:customStyle="1" w:styleId="OpiParaSub">
    <w:name w:val="Opi_Para_Sub"/>
    <w:basedOn w:val="JuParaSub"/>
    <w:uiPriority w:val="47"/>
    <w:qFormat/>
    <w:rsid w:val="009C392A"/>
  </w:style>
  <w:style w:type="character" w:styleId="SubtleEmphasis">
    <w:name w:val="Subtle Emphasis"/>
    <w:uiPriority w:val="99"/>
    <w:semiHidden/>
    <w:qFormat/>
    <w:rsid w:val="009C392A"/>
    <w:rPr>
      <w:i/>
      <w:iCs/>
    </w:rPr>
  </w:style>
  <w:style w:type="paragraph" w:customStyle="1" w:styleId="OpiQuot">
    <w:name w:val="Opi_Quot"/>
    <w:basedOn w:val="ECHRParaQuote"/>
    <w:uiPriority w:val="48"/>
    <w:qFormat/>
    <w:rsid w:val="009C392A"/>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Sub">
    <w:name w:val="Opi_Quot_Sub"/>
    <w:basedOn w:val="JuQuotSub"/>
    <w:uiPriority w:val="49"/>
    <w:qFormat/>
    <w:rsid w:val="009C392A"/>
  </w:style>
  <w:style w:type="paragraph" w:customStyle="1" w:styleId="OpiTranslation">
    <w:name w:val="Opi_Translation"/>
    <w:basedOn w:val="Normal"/>
    <w:next w:val="OpiPara"/>
    <w:uiPriority w:val="40"/>
    <w:qFormat/>
    <w:rsid w:val="009C392A"/>
    <w:pPr>
      <w:jc w:val="center"/>
      <w:outlineLvl w:val="0"/>
    </w:pPr>
    <w:rPr>
      <w:i/>
    </w:rPr>
  </w:style>
  <w:style w:type="paragraph" w:styleId="Subtitle">
    <w:name w:val="Subtitle"/>
    <w:basedOn w:val="Normal"/>
    <w:next w:val="Normal"/>
    <w:link w:val="SubtitleChar"/>
    <w:uiPriority w:val="99"/>
    <w:semiHidden/>
    <w:qFormat/>
    <w:rsid w:val="009C392A"/>
    <w:pPr>
      <w:spacing w:after="600"/>
    </w:pPr>
    <w:rPr>
      <w:rFonts w:asciiTheme="majorHAnsi" w:eastAsiaTheme="majorEastAsia" w:hAnsiTheme="majorHAnsi" w:cstheme="majorBidi"/>
      <w:i/>
      <w:iCs/>
      <w:spacing w:val="13"/>
      <w:szCs w:val="24"/>
      <w:lang w:val="en-US" w:bidi="en-US"/>
    </w:rPr>
  </w:style>
  <w:style w:type="character" w:styleId="Emphasis">
    <w:name w:val="Emphasis"/>
    <w:uiPriority w:val="99"/>
    <w:semiHidden/>
    <w:qFormat/>
    <w:rsid w:val="009C392A"/>
    <w:rPr>
      <w:b/>
      <w:bCs/>
      <w:i/>
      <w:iCs/>
      <w:spacing w:val="10"/>
      <w:bdr w:val="none" w:sz="0" w:space="0" w:color="auto"/>
      <w:shd w:val="clear" w:color="auto" w:fill="auto"/>
    </w:rPr>
  </w:style>
  <w:style w:type="paragraph" w:styleId="Footer">
    <w:name w:val="footer"/>
    <w:basedOn w:val="Normal"/>
    <w:link w:val="FooterChar"/>
    <w:uiPriority w:val="57"/>
    <w:semiHidden/>
    <w:rsid w:val="009C392A"/>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C392A"/>
    <w:rPr>
      <w:sz w:val="24"/>
      <w:lang w:val="en-GB"/>
    </w:rPr>
  </w:style>
  <w:style w:type="character" w:styleId="FootnoteReference">
    <w:name w:val="footnote reference"/>
    <w:basedOn w:val="DefaultParagraphFont"/>
    <w:uiPriority w:val="99"/>
    <w:semiHidden/>
    <w:rsid w:val="009C392A"/>
    <w:rPr>
      <w:vertAlign w:val="superscript"/>
    </w:rPr>
  </w:style>
  <w:style w:type="paragraph" w:styleId="FootnoteText">
    <w:name w:val="footnote text"/>
    <w:basedOn w:val="Normal"/>
    <w:link w:val="FootnoteTextChar"/>
    <w:uiPriority w:val="99"/>
    <w:semiHidden/>
    <w:rsid w:val="009C392A"/>
    <w:rPr>
      <w:sz w:val="20"/>
      <w:szCs w:val="20"/>
    </w:rPr>
  </w:style>
  <w:style w:type="character" w:customStyle="1" w:styleId="FootnoteTextChar">
    <w:name w:val="Footnote Text Char"/>
    <w:basedOn w:val="DefaultParagraphFont"/>
    <w:link w:val="FootnoteText"/>
    <w:uiPriority w:val="99"/>
    <w:semiHidden/>
    <w:rsid w:val="009C392A"/>
    <w:rPr>
      <w:rFonts w:eastAsiaTheme="minorEastAsia"/>
      <w:sz w:val="20"/>
      <w:szCs w:val="20"/>
      <w:lang w:val="en-GB"/>
    </w:rPr>
  </w:style>
  <w:style w:type="character" w:customStyle="1" w:styleId="Heading6Char">
    <w:name w:val="Heading 6 Char"/>
    <w:basedOn w:val="DefaultParagraphFont"/>
    <w:link w:val="Heading6"/>
    <w:uiPriority w:val="99"/>
    <w:semiHidden/>
    <w:rsid w:val="009C392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9C392A"/>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9C392A"/>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C392A"/>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9C392A"/>
    <w:rPr>
      <w:color w:val="0072BC" w:themeColor="hyperlink"/>
      <w:u w:val="single"/>
    </w:rPr>
  </w:style>
  <w:style w:type="character" w:styleId="IntenseEmphasis">
    <w:name w:val="Intense Emphasis"/>
    <w:uiPriority w:val="99"/>
    <w:semiHidden/>
    <w:qFormat/>
    <w:rsid w:val="009C392A"/>
    <w:rPr>
      <w:b/>
      <w:bCs/>
    </w:rPr>
  </w:style>
  <w:style w:type="paragraph" w:styleId="IntenseQuote">
    <w:name w:val="Intense Quote"/>
    <w:basedOn w:val="Normal"/>
    <w:next w:val="Normal"/>
    <w:link w:val="IntenseQuoteChar"/>
    <w:uiPriority w:val="99"/>
    <w:semiHidden/>
    <w:qFormat/>
    <w:rsid w:val="009C392A"/>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9C392A"/>
    <w:rPr>
      <w:rFonts w:eastAsiaTheme="minorEastAsia"/>
      <w:b/>
      <w:bCs/>
      <w:i/>
      <w:iCs/>
      <w:lang w:bidi="en-US"/>
    </w:rPr>
  </w:style>
  <w:style w:type="character" w:styleId="IntenseReference">
    <w:name w:val="Intense Reference"/>
    <w:uiPriority w:val="99"/>
    <w:semiHidden/>
    <w:qFormat/>
    <w:rsid w:val="009C392A"/>
    <w:rPr>
      <w:smallCaps/>
      <w:spacing w:val="5"/>
      <w:u w:val="single"/>
    </w:rPr>
  </w:style>
  <w:style w:type="paragraph" w:styleId="ListParagraph">
    <w:name w:val="List Paragraph"/>
    <w:basedOn w:val="Normal"/>
    <w:uiPriority w:val="99"/>
    <w:semiHidden/>
    <w:qFormat/>
    <w:rsid w:val="009C392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9C392A"/>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9C392A"/>
    <w:rPr>
      <w:rFonts w:eastAsiaTheme="minorEastAsia"/>
      <w:i/>
      <w:iCs/>
      <w:lang w:bidi="en-US"/>
    </w:rPr>
  </w:style>
  <w:style w:type="character" w:styleId="SubtleReference">
    <w:name w:val="Subtle Reference"/>
    <w:uiPriority w:val="99"/>
    <w:semiHidden/>
    <w:qFormat/>
    <w:rsid w:val="009C392A"/>
    <w:rPr>
      <w:smallCaps/>
    </w:rPr>
  </w:style>
  <w:style w:type="table" w:styleId="TableGrid">
    <w:name w:val="Table Grid"/>
    <w:basedOn w:val="TableNormal"/>
    <w:uiPriority w:val="59"/>
    <w:semiHidden/>
    <w:rsid w:val="009C392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9C39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C39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C39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C392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C39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9C392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9C392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SubtitleChar">
    <w:name w:val="Subtitle Char"/>
    <w:basedOn w:val="DefaultParagraphFont"/>
    <w:link w:val="Subtitle"/>
    <w:uiPriority w:val="99"/>
    <w:semiHidden/>
    <w:rsid w:val="009C392A"/>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2D2C99"/>
    <w:pPr>
      <w:numPr>
        <w:numId w:val="9"/>
      </w:numPr>
    </w:pPr>
  </w:style>
  <w:style w:type="numbering" w:styleId="1ai">
    <w:name w:val="Outline List 1"/>
    <w:basedOn w:val="NoList"/>
    <w:uiPriority w:val="99"/>
    <w:semiHidden/>
    <w:unhideWhenUsed/>
    <w:rsid w:val="002D2C99"/>
    <w:pPr>
      <w:numPr>
        <w:numId w:val="10"/>
      </w:numPr>
    </w:pPr>
  </w:style>
  <w:style w:type="paragraph" w:customStyle="1" w:styleId="ECHRPara">
    <w:name w:val="ECHR_Para"/>
    <w:aliases w:val="Ju_Para"/>
    <w:basedOn w:val="Normal"/>
    <w:uiPriority w:val="12"/>
    <w:qFormat/>
    <w:rsid w:val="009C392A"/>
    <w:pPr>
      <w:ind w:firstLine="284"/>
    </w:pPr>
  </w:style>
  <w:style w:type="numbering" w:styleId="ArticleSection">
    <w:name w:val="Outline List 3"/>
    <w:basedOn w:val="NoList"/>
    <w:uiPriority w:val="99"/>
    <w:semiHidden/>
    <w:unhideWhenUsed/>
    <w:rsid w:val="002D2C99"/>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2D2C99"/>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C392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BodyText">
    <w:name w:val="Body Text"/>
    <w:basedOn w:val="Normal"/>
    <w:link w:val="BodyTextChar"/>
    <w:uiPriority w:val="99"/>
    <w:semiHidden/>
    <w:rsid w:val="002D2C99"/>
    <w:pPr>
      <w:spacing w:after="120"/>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2D2C99"/>
    <w:rPr>
      <w:rFonts w:eastAsiaTheme="minorEastAsia"/>
      <w:sz w:val="24"/>
    </w:rPr>
  </w:style>
  <w:style w:type="paragraph" w:styleId="BodyText2">
    <w:name w:val="Body Text 2"/>
    <w:basedOn w:val="Normal"/>
    <w:link w:val="BodyText2Char"/>
    <w:uiPriority w:val="99"/>
    <w:semiHidden/>
    <w:rsid w:val="002D2C99"/>
    <w:pPr>
      <w:spacing w:after="120" w:line="480" w:lineRule="auto"/>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9C392A"/>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9C392A"/>
    <w:pPr>
      <w:ind w:firstLine="284"/>
    </w:pPr>
    <w:rPr>
      <w:b/>
    </w:rPr>
  </w:style>
  <w:style w:type="character" w:styleId="PageNumber">
    <w:name w:val="page number"/>
    <w:uiPriority w:val="99"/>
    <w:semiHidden/>
    <w:rsid w:val="002D2C99"/>
    <w:rPr>
      <w:rFonts w:ascii="Times New Roman" w:hAnsi="Times New Roman" w:cs="Times New Roman"/>
      <w:sz w:val="18"/>
    </w:rPr>
  </w:style>
  <w:style w:type="paragraph" w:styleId="ListBullet2">
    <w:name w:val="List Bullet 2"/>
    <w:basedOn w:val="Normal"/>
    <w:uiPriority w:val="99"/>
    <w:semiHidden/>
    <w:rsid w:val="002D2C99"/>
    <w:pPr>
      <w:numPr>
        <w:numId w:val="8"/>
      </w:numPr>
      <w:contextualSpacing/>
    </w:pPr>
  </w:style>
  <w:style w:type="character" w:customStyle="1" w:styleId="BodyText2Char">
    <w:name w:val="Body Text 2 Char"/>
    <w:basedOn w:val="DefaultParagraphFont"/>
    <w:link w:val="BodyText2"/>
    <w:uiPriority w:val="99"/>
    <w:semiHidden/>
    <w:rsid w:val="002D2C99"/>
    <w:rPr>
      <w:rFonts w:eastAsiaTheme="minorEastAsia"/>
      <w:sz w:val="24"/>
    </w:rPr>
  </w:style>
  <w:style w:type="paragraph" w:styleId="BodyText3">
    <w:name w:val="Body Text 3"/>
    <w:basedOn w:val="Normal"/>
    <w:link w:val="BodyText3Char"/>
    <w:uiPriority w:val="99"/>
    <w:semiHidden/>
    <w:rsid w:val="002D2C99"/>
    <w:pPr>
      <w:spacing w:after="120"/>
    </w:pPr>
    <w:rPr>
      <w:sz w:val="16"/>
      <w:szCs w:val="16"/>
    </w:rPr>
  </w:style>
  <w:style w:type="character" w:customStyle="1" w:styleId="BodyText3Char">
    <w:name w:val="Body Text 3 Char"/>
    <w:basedOn w:val="DefaultParagraphFont"/>
    <w:link w:val="BodyText3"/>
    <w:uiPriority w:val="99"/>
    <w:semiHidden/>
    <w:rsid w:val="002D2C99"/>
    <w:rPr>
      <w:rFonts w:eastAsiaTheme="minorEastAsia"/>
      <w:sz w:val="16"/>
      <w:szCs w:val="16"/>
    </w:rPr>
  </w:style>
  <w:style w:type="paragraph" w:styleId="BodyTextFirstIndent">
    <w:name w:val="Body Text First Indent"/>
    <w:basedOn w:val="BodyText"/>
    <w:link w:val="BodyTextFirstIndentChar"/>
    <w:uiPriority w:val="99"/>
    <w:semiHidden/>
    <w:rsid w:val="002D2C99"/>
    <w:pPr>
      <w:spacing w:after="0"/>
      <w:ind w:firstLine="360"/>
    </w:pPr>
  </w:style>
  <w:style w:type="character" w:customStyle="1" w:styleId="BodyTextFirstIndentChar">
    <w:name w:val="Body Text First Indent Char"/>
    <w:basedOn w:val="BodyTextChar"/>
    <w:link w:val="BodyTextFirstIndent"/>
    <w:uiPriority w:val="99"/>
    <w:semiHidden/>
    <w:rsid w:val="002D2C99"/>
    <w:rPr>
      <w:rFonts w:eastAsiaTheme="minorEastAsia"/>
      <w:sz w:val="24"/>
    </w:rPr>
  </w:style>
  <w:style w:type="paragraph" w:styleId="BodyTextIndent">
    <w:name w:val="Body Text Indent"/>
    <w:basedOn w:val="Normal"/>
    <w:link w:val="BodyTextIndentChar"/>
    <w:uiPriority w:val="99"/>
    <w:semiHidden/>
    <w:rsid w:val="002D2C99"/>
    <w:pPr>
      <w:spacing w:after="120"/>
      <w:ind w:left="283"/>
    </w:pPr>
  </w:style>
  <w:style w:type="character" w:customStyle="1" w:styleId="BodyTextIndentChar">
    <w:name w:val="Body Text Indent Char"/>
    <w:basedOn w:val="DefaultParagraphFont"/>
    <w:link w:val="BodyTextIndent"/>
    <w:uiPriority w:val="99"/>
    <w:semiHidden/>
    <w:rsid w:val="002D2C99"/>
    <w:rPr>
      <w:rFonts w:eastAsiaTheme="minorEastAsia"/>
      <w:sz w:val="24"/>
    </w:rPr>
  </w:style>
  <w:style w:type="paragraph" w:styleId="BodyTextFirstIndent2">
    <w:name w:val="Body Text First Indent 2"/>
    <w:basedOn w:val="BodyTextIndent"/>
    <w:link w:val="BodyTextFirstIndent2Char"/>
    <w:uiPriority w:val="99"/>
    <w:semiHidden/>
    <w:rsid w:val="002D2C99"/>
    <w:pPr>
      <w:spacing w:after="0"/>
      <w:ind w:left="360" w:firstLine="360"/>
    </w:pPr>
  </w:style>
  <w:style w:type="character" w:customStyle="1" w:styleId="BodyTextFirstIndent2Char">
    <w:name w:val="Body Text First Indent 2 Char"/>
    <w:basedOn w:val="BodyTextIndentChar"/>
    <w:link w:val="BodyTextFirstIndent2"/>
    <w:uiPriority w:val="99"/>
    <w:semiHidden/>
    <w:rsid w:val="002D2C99"/>
    <w:rPr>
      <w:rFonts w:eastAsiaTheme="minorEastAsia"/>
      <w:sz w:val="24"/>
    </w:rPr>
  </w:style>
  <w:style w:type="paragraph" w:styleId="BodyTextIndent2">
    <w:name w:val="Body Text Indent 2"/>
    <w:basedOn w:val="Normal"/>
    <w:link w:val="BodyTextIndent2Char"/>
    <w:uiPriority w:val="99"/>
    <w:semiHidden/>
    <w:rsid w:val="002D2C99"/>
    <w:pPr>
      <w:spacing w:after="120" w:line="480" w:lineRule="auto"/>
      <w:ind w:left="283"/>
    </w:pPr>
  </w:style>
  <w:style w:type="character" w:customStyle="1" w:styleId="BodyTextIndent2Char">
    <w:name w:val="Body Text Indent 2 Char"/>
    <w:basedOn w:val="DefaultParagraphFont"/>
    <w:link w:val="BodyTextIndent2"/>
    <w:uiPriority w:val="99"/>
    <w:semiHidden/>
    <w:rsid w:val="002D2C99"/>
    <w:rPr>
      <w:rFonts w:eastAsiaTheme="minorEastAsia"/>
      <w:sz w:val="24"/>
    </w:rPr>
  </w:style>
  <w:style w:type="paragraph" w:styleId="BodyTextIndent3">
    <w:name w:val="Body Text Indent 3"/>
    <w:basedOn w:val="Normal"/>
    <w:link w:val="BodyTextIndent3Char"/>
    <w:uiPriority w:val="99"/>
    <w:semiHidden/>
    <w:rsid w:val="002D2C9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D2C99"/>
    <w:rPr>
      <w:rFonts w:eastAsiaTheme="minorEastAsia"/>
      <w:sz w:val="16"/>
      <w:szCs w:val="16"/>
    </w:rPr>
  </w:style>
  <w:style w:type="paragraph" w:styleId="Caption">
    <w:name w:val="caption"/>
    <w:basedOn w:val="Normal"/>
    <w:next w:val="Normal"/>
    <w:uiPriority w:val="99"/>
    <w:semiHidden/>
    <w:qFormat/>
    <w:rsid w:val="002D2C99"/>
    <w:pPr>
      <w:spacing w:after="200"/>
    </w:pPr>
    <w:rPr>
      <w:b/>
      <w:bCs/>
      <w:color w:val="0072BC" w:themeColor="accent1"/>
      <w:sz w:val="18"/>
      <w:szCs w:val="18"/>
    </w:rPr>
  </w:style>
  <w:style w:type="paragraph" w:styleId="Closing">
    <w:name w:val="Closing"/>
    <w:basedOn w:val="Normal"/>
    <w:link w:val="ClosingChar"/>
    <w:uiPriority w:val="99"/>
    <w:semiHidden/>
    <w:rsid w:val="002D2C99"/>
    <w:pPr>
      <w:ind w:left="4252"/>
    </w:pPr>
  </w:style>
  <w:style w:type="character" w:customStyle="1" w:styleId="ClosingChar">
    <w:name w:val="Closing Char"/>
    <w:basedOn w:val="DefaultParagraphFont"/>
    <w:link w:val="Closing"/>
    <w:uiPriority w:val="99"/>
    <w:semiHidden/>
    <w:rsid w:val="002D2C99"/>
    <w:rPr>
      <w:rFonts w:eastAsiaTheme="minorEastAsia"/>
      <w:sz w:val="24"/>
    </w:rPr>
  </w:style>
  <w:style w:type="table" w:styleId="ColorfulGrid">
    <w:name w:val="Colorful Grid"/>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2D2C99"/>
    <w:rPr>
      <w:sz w:val="16"/>
      <w:szCs w:val="16"/>
    </w:rPr>
  </w:style>
  <w:style w:type="paragraph" w:styleId="CommentText">
    <w:name w:val="annotation text"/>
    <w:basedOn w:val="Normal"/>
    <w:link w:val="CommentTextChar"/>
    <w:uiPriority w:val="99"/>
    <w:semiHidden/>
    <w:rsid w:val="002D2C99"/>
    <w:rPr>
      <w:sz w:val="20"/>
      <w:szCs w:val="20"/>
    </w:rPr>
  </w:style>
  <w:style w:type="character" w:customStyle="1" w:styleId="CommentTextChar">
    <w:name w:val="Comment Text Char"/>
    <w:basedOn w:val="DefaultParagraphFont"/>
    <w:link w:val="CommentText"/>
    <w:uiPriority w:val="99"/>
    <w:semiHidden/>
    <w:rsid w:val="002D2C99"/>
    <w:rPr>
      <w:rFonts w:eastAsiaTheme="minorEastAsia"/>
      <w:sz w:val="20"/>
      <w:szCs w:val="20"/>
    </w:rPr>
  </w:style>
  <w:style w:type="paragraph" w:styleId="CommentSubject">
    <w:name w:val="annotation subject"/>
    <w:basedOn w:val="CommentText"/>
    <w:next w:val="CommentText"/>
    <w:link w:val="CommentSubjectChar"/>
    <w:uiPriority w:val="99"/>
    <w:semiHidden/>
    <w:rsid w:val="002D2C99"/>
    <w:rPr>
      <w:b/>
      <w:bCs/>
    </w:rPr>
  </w:style>
  <w:style w:type="character" w:customStyle="1" w:styleId="CommentSubjectChar">
    <w:name w:val="Comment Subject Char"/>
    <w:basedOn w:val="CommentTextChar"/>
    <w:link w:val="CommentSubject"/>
    <w:uiPriority w:val="99"/>
    <w:semiHidden/>
    <w:rsid w:val="002D2C99"/>
    <w:rPr>
      <w:rFonts w:eastAsiaTheme="minorEastAsia"/>
      <w:b/>
      <w:bCs/>
      <w:sz w:val="20"/>
      <w:szCs w:val="20"/>
    </w:rPr>
  </w:style>
  <w:style w:type="table" w:styleId="DarkList">
    <w:name w:val="Dark List"/>
    <w:basedOn w:val="TableNormal"/>
    <w:uiPriority w:val="99"/>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2D2C99"/>
  </w:style>
  <w:style w:type="character" w:customStyle="1" w:styleId="DateChar">
    <w:name w:val="Date Char"/>
    <w:basedOn w:val="DefaultParagraphFont"/>
    <w:link w:val="Date"/>
    <w:uiPriority w:val="99"/>
    <w:semiHidden/>
    <w:rsid w:val="002D2C99"/>
    <w:rPr>
      <w:rFonts w:eastAsiaTheme="minorEastAsia"/>
      <w:sz w:val="24"/>
    </w:rPr>
  </w:style>
  <w:style w:type="paragraph" w:styleId="DocumentMap">
    <w:name w:val="Document Map"/>
    <w:basedOn w:val="Normal"/>
    <w:link w:val="DocumentMapChar"/>
    <w:uiPriority w:val="99"/>
    <w:semiHidden/>
    <w:rsid w:val="002D2C99"/>
    <w:rPr>
      <w:rFonts w:ascii="Tahoma" w:hAnsi="Tahoma" w:cs="Tahoma"/>
      <w:sz w:val="16"/>
      <w:szCs w:val="16"/>
    </w:rPr>
  </w:style>
  <w:style w:type="character" w:customStyle="1" w:styleId="DocumentMapChar">
    <w:name w:val="Document Map Char"/>
    <w:basedOn w:val="DefaultParagraphFont"/>
    <w:link w:val="DocumentMap"/>
    <w:uiPriority w:val="99"/>
    <w:semiHidden/>
    <w:rsid w:val="002D2C99"/>
    <w:rPr>
      <w:rFonts w:ascii="Tahoma" w:eastAsiaTheme="minorEastAsia" w:hAnsi="Tahoma" w:cs="Tahoma"/>
      <w:sz w:val="16"/>
      <w:szCs w:val="16"/>
    </w:rPr>
  </w:style>
  <w:style w:type="paragraph" w:styleId="E-mailSignature">
    <w:name w:val="E-mail Signature"/>
    <w:basedOn w:val="Normal"/>
    <w:link w:val="E-mailSignatureChar"/>
    <w:uiPriority w:val="99"/>
    <w:semiHidden/>
    <w:rsid w:val="002D2C99"/>
  </w:style>
  <w:style w:type="character" w:customStyle="1" w:styleId="E-mailSignatureChar">
    <w:name w:val="E-mail Signature Char"/>
    <w:basedOn w:val="DefaultParagraphFont"/>
    <w:link w:val="E-mailSignature"/>
    <w:uiPriority w:val="99"/>
    <w:semiHidden/>
    <w:rsid w:val="002D2C99"/>
    <w:rPr>
      <w:rFonts w:eastAsiaTheme="minorEastAsia"/>
      <w:sz w:val="24"/>
    </w:rPr>
  </w:style>
  <w:style w:type="character" w:styleId="EndnoteReference">
    <w:name w:val="endnote reference"/>
    <w:basedOn w:val="DefaultParagraphFont"/>
    <w:uiPriority w:val="99"/>
    <w:semiHidden/>
    <w:rsid w:val="009C392A"/>
    <w:rPr>
      <w:vertAlign w:val="superscript"/>
    </w:rPr>
  </w:style>
  <w:style w:type="paragraph" w:styleId="EndnoteText">
    <w:name w:val="endnote text"/>
    <w:basedOn w:val="Normal"/>
    <w:link w:val="EndnoteTextChar"/>
    <w:uiPriority w:val="99"/>
    <w:semiHidden/>
    <w:rsid w:val="009C392A"/>
    <w:rPr>
      <w:sz w:val="20"/>
      <w:szCs w:val="20"/>
    </w:rPr>
  </w:style>
  <w:style w:type="character" w:customStyle="1" w:styleId="EndnoteTextChar">
    <w:name w:val="Endnote Text Char"/>
    <w:basedOn w:val="DefaultParagraphFont"/>
    <w:link w:val="EndnoteText"/>
    <w:uiPriority w:val="99"/>
    <w:semiHidden/>
    <w:rsid w:val="009C392A"/>
    <w:rPr>
      <w:rFonts w:eastAsiaTheme="minorEastAsia"/>
      <w:sz w:val="20"/>
      <w:szCs w:val="20"/>
      <w:lang w:val="en-GB"/>
    </w:rPr>
  </w:style>
  <w:style w:type="paragraph" w:styleId="EnvelopeAddress">
    <w:name w:val="envelope address"/>
    <w:basedOn w:val="Normal"/>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2D2C99"/>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2D2C99"/>
    <w:rPr>
      <w:color w:val="7030A0" w:themeColor="followedHyperlink"/>
      <w:u w:val="single"/>
    </w:rPr>
  </w:style>
  <w:style w:type="character" w:styleId="HTMLAcronym">
    <w:name w:val="HTML Acronym"/>
    <w:basedOn w:val="DefaultParagraphFont"/>
    <w:uiPriority w:val="99"/>
    <w:semiHidden/>
    <w:rsid w:val="002D2C99"/>
  </w:style>
  <w:style w:type="paragraph" w:styleId="HTMLAddress">
    <w:name w:val="HTML Address"/>
    <w:basedOn w:val="Normal"/>
    <w:link w:val="HTMLAddressChar"/>
    <w:uiPriority w:val="99"/>
    <w:semiHidden/>
    <w:rsid w:val="002D2C99"/>
    <w:rPr>
      <w:i/>
      <w:iCs/>
    </w:rPr>
  </w:style>
  <w:style w:type="character" w:customStyle="1" w:styleId="HTMLAddressChar">
    <w:name w:val="HTML Address Char"/>
    <w:basedOn w:val="DefaultParagraphFont"/>
    <w:link w:val="HTMLAddress"/>
    <w:uiPriority w:val="99"/>
    <w:semiHidden/>
    <w:rsid w:val="002D2C99"/>
    <w:rPr>
      <w:rFonts w:eastAsiaTheme="minorEastAsia"/>
      <w:i/>
      <w:iCs/>
      <w:sz w:val="24"/>
    </w:rPr>
  </w:style>
  <w:style w:type="character" w:styleId="HTMLCite">
    <w:name w:val="HTML Cite"/>
    <w:basedOn w:val="DefaultParagraphFont"/>
    <w:uiPriority w:val="99"/>
    <w:semiHidden/>
    <w:rsid w:val="002D2C99"/>
    <w:rPr>
      <w:i/>
      <w:iCs/>
    </w:rPr>
  </w:style>
  <w:style w:type="character" w:styleId="HTMLCode">
    <w:name w:val="HTML Code"/>
    <w:basedOn w:val="DefaultParagraphFont"/>
    <w:uiPriority w:val="99"/>
    <w:semiHidden/>
    <w:rsid w:val="002D2C99"/>
    <w:rPr>
      <w:rFonts w:ascii="Consolas" w:hAnsi="Consolas" w:cs="Consolas"/>
      <w:sz w:val="20"/>
      <w:szCs w:val="20"/>
    </w:rPr>
  </w:style>
  <w:style w:type="character" w:styleId="HTMLDefinition">
    <w:name w:val="HTML Definition"/>
    <w:basedOn w:val="DefaultParagraphFont"/>
    <w:uiPriority w:val="99"/>
    <w:semiHidden/>
    <w:rsid w:val="002D2C99"/>
    <w:rPr>
      <w:i/>
      <w:iCs/>
    </w:rPr>
  </w:style>
  <w:style w:type="character" w:styleId="HTMLKeyboard">
    <w:name w:val="HTML Keyboard"/>
    <w:basedOn w:val="DefaultParagraphFont"/>
    <w:uiPriority w:val="99"/>
    <w:semiHidden/>
    <w:rsid w:val="002D2C99"/>
    <w:rPr>
      <w:rFonts w:ascii="Consolas" w:hAnsi="Consolas" w:cs="Consolas"/>
      <w:sz w:val="20"/>
      <w:szCs w:val="20"/>
    </w:rPr>
  </w:style>
  <w:style w:type="paragraph" w:styleId="HTMLPreformatted">
    <w:name w:val="HTML Preformatted"/>
    <w:basedOn w:val="Normal"/>
    <w:link w:val="HTMLPreformattedChar"/>
    <w:uiPriority w:val="99"/>
    <w:semiHidden/>
    <w:rsid w:val="002D2C99"/>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D2C99"/>
    <w:rPr>
      <w:rFonts w:ascii="Consolas" w:eastAsiaTheme="minorEastAsia" w:hAnsi="Consolas" w:cs="Consolas"/>
      <w:sz w:val="20"/>
      <w:szCs w:val="20"/>
    </w:rPr>
  </w:style>
  <w:style w:type="character" w:styleId="HTMLSample">
    <w:name w:val="HTML Sample"/>
    <w:basedOn w:val="DefaultParagraphFont"/>
    <w:uiPriority w:val="99"/>
    <w:semiHidden/>
    <w:rsid w:val="002D2C99"/>
    <w:rPr>
      <w:rFonts w:ascii="Consolas" w:hAnsi="Consolas" w:cs="Consolas"/>
      <w:sz w:val="24"/>
      <w:szCs w:val="24"/>
    </w:rPr>
  </w:style>
  <w:style w:type="character" w:styleId="HTMLTypewriter">
    <w:name w:val="HTML Typewriter"/>
    <w:basedOn w:val="DefaultParagraphFont"/>
    <w:uiPriority w:val="99"/>
    <w:semiHidden/>
    <w:rsid w:val="002D2C99"/>
    <w:rPr>
      <w:rFonts w:ascii="Consolas" w:hAnsi="Consolas" w:cs="Consolas"/>
      <w:sz w:val="20"/>
      <w:szCs w:val="20"/>
    </w:rPr>
  </w:style>
  <w:style w:type="character" w:styleId="HTMLVariable">
    <w:name w:val="HTML Variable"/>
    <w:basedOn w:val="DefaultParagraphFont"/>
    <w:uiPriority w:val="99"/>
    <w:semiHidden/>
    <w:rsid w:val="002D2C99"/>
    <w:rPr>
      <w:i/>
      <w:iCs/>
    </w:rPr>
  </w:style>
  <w:style w:type="paragraph" w:styleId="Index1">
    <w:name w:val="index 1"/>
    <w:basedOn w:val="Normal"/>
    <w:next w:val="Normal"/>
    <w:autoRedefine/>
    <w:uiPriority w:val="99"/>
    <w:semiHidden/>
    <w:rsid w:val="002D2C99"/>
    <w:pPr>
      <w:ind w:left="240" w:hanging="240"/>
    </w:pPr>
  </w:style>
  <w:style w:type="paragraph" w:styleId="Index2">
    <w:name w:val="index 2"/>
    <w:basedOn w:val="Normal"/>
    <w:next w:val="Normal"/>
    <w:autoRedefine/>
    <w:uiPriority w:val="99"/>
    <w:semiHidden/>
    <w:rsid w:val="002D2C99"/>
    <w:pPr>
      <w:ind w:left="480" w:hanging="240"/>
    </w:pPr>
  </w:style>
  <w:style w:type="paragraph" w:styleId="Index3">
    <w:name w:val="index 3"/>
    <w:basedOn w:val="Normal"/>
    <w:next w:val="Normal"/>
    <w:autoRedefine/>
    <w:uiPriority w:val="99"/>
    <w:semiHidden/>
    <w:rsid w:val="002D2C99"/>
    <w:pPr>
      <w:ind w:left="720" w:hanging="240"/>
    </w:pPr>
  </w:style>
  <w:style w:type="paragraph" w:styleId="Index4">
    <w:name w:val="index 4"/>
    <w:basedOn w:val="Normal"/>
    <w:next w:val="Normal"/>
    <w:autoRedefine/>
    <w:uiPriority w:val="99"/>
    <w:semiHidden/>
    <w:rsid w:val="002D2C99"/>
    <w:pPr>
      <w:ind w:left="960" w:hanging="240"/>
    </w:pPr>
  </w:style>
  <w:style w:type="paragraph" w:styleId="Index5">
    <w:name w:val="index 5"/>
    <w:basedOn w:val="Normal"/>
    <w:next w:val="Normal"/>
    <w:autoRedefine/>
    <w:uiPriority w:val="99"/>
    <w:semiHidden/>
    <w:rsid w:val="002D2C99"/>
    <w:pPr>
      <w:ind w:left="1200" w:hanging="240"/>
    </w:pPr>
  </w:style>
  <w:style w:type="paragraph" w:styleId="Index6">
    <w:name w:val="index 6"/>
    <w:basedOn w:val="Normal"/>
    <w:next w:val="Normal"/>
    <w:autoRedefine/>
    <w:uiPriority w:val="99"/>
    <w:semiHidden/>
    <w:rsid w:val="002D2C99"/>
    <w:pPr>
      <w:ind w:left="1440" w:hanging="240"/>
    </w:pPr>
  </w:style>
  <w:style w:type="paragraph" w:styleId="Index7">
    <w:name w:val="index 7"/>
    <w:basedOn w:val="Normal"/>
    <w:next w:val="Normal"/>
    <w:autoRedefine/>
    <w:uiPriority w:val="99"/>
    <w:semiHidden/>
    <w:rsid w:val="002D2C99"/>
    <w:pPr>
      <w:ind w:left="1680" w:hanging="240"/>
    </w:pPr>
  </w:style>
  <w:style w:type="paragraph" w:styleId="Index8">
    <w:name w:val="index 8"/>
    <w:basedOn w:val="Normal"/>
    <w:next w:val="Normal"/>
    <w:autoRedefine/>
    <w:uiPriority w:val="99"/>
    <w:semiHidden/>
    <w:rsid w:val="002D2C99"/>
    <w:pPr>
      <w:ind w:left="1920" w:hanging="240"/>
    </w:pPr>
  </w:style>
  <w:style w:type="paragraph" w:styleId="Index9">
    <w:name w:val="index 9"/>
    <w:basedOn w:val="Normal"/>
    <w:next w:val="Normal"/>
    <w:autoRedefine/>
    <w:uiPriority w:val="99"/>
    <w:semiHidden/>
    <w:rsid w:val="002D2C99"/>
    <w:pPr>
      <w:ind w:left="2160" w:hanging="240"/>
    </w:pPr>
  </w:style>
  <w:style w:type="paragraph" w:styleId="IndexHeading">
    <w:name w:val="index heading"/>
    <w:basedOn w:val="Normal"/>
    <w:next w:val="Index1"/>
    <w:uiPriority w:val="99"/>
    <w:semiHidden/>
    <w:rsid w:val="002D2C99"/>
    <w:rPr>
      <w:rFonts w:asciiTheme="majorHAnsi" w:eastAsiaTheme="majorEastAsia" w:hAnsiTheme="majorHAnsi" w:cstheme="majorBidi"/>
      <w:b/>
      <w:bCs/>
    </w:rPr>
  </w:style>
  <w:style w:type="table" w:styleId="LightGrid">
    <w:name w:val="Light Grid"/>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2D2C99"/>
  </w:style>
  <w:style w:type="paragraph" w:styleId="List">
    <w:name w:val="List"/>
    <w:basedOn w:val="Normal"/>
    <w:uiPriority w:val="99"/>
    <w:semiHidden/>
    <w:rsid w:val="002D2C99"/>
    <w:pPr>
      <w:ind w:left="283" w:hanging="283"/>
      <w:contextualSpacing/>
    </w:pPr>
  </w:style>
  <w:style w:type="paragraph" w:styleId="List2">
    <w:name w:val="List 2"/>
    <w:basedOn w:val="Normal"/>
    <w:uiPriority w:val="99"/>
    <w:semiHidden/>
    <w:rsid w:val="002D2C99"/>
    <w:pPr>
      <w:ind w:left="566" w:hanging="283"/>
      <w:contextualSpacing/>
    </w:pPr>
  </w:style>
  <w:style w:type="paragraph" w:styleId="List3">
    <w:name w:val="List 3"/>
    <w:basedOn w:val="Normal"/>
    <w:uiPriority w:val="99"/>
    <w:semiHidden/>
    <w:rsid w:val="002D2C99"/>
    <w:pPr>
      <w:ind w:left="849" w:hanging="283"/>
      <w:contextualSpacing/>
    </w:pPr>
  </w:style>
  <w:style w:type="paragraph" w:styleId="List4">
    <w:name w:val="List 4"/>
    <w:basedOn w:val="Normal"/>
    <w:uiPriority w:val="99"/>
    <w:semiHidden/>
    <w:rsid w:val="002D2C99"/>
    <w:pPr>
      <w:ind w:left="1132" w:hanging="283"/>
      <w:contextualSpacing/>
    </w:pPr>
  </w:style>
  <w:style w:type="paragraph" w:styleId="List5">
    <w:name w:val="List 5"/>
    <w:basedOn w:val="Normal"/>
    <w:uiPriority w:val="99"/>
    <w:semiHidden/>
    <w:rsid w:val="002D2C99"/>
    <w:pPr>
      <w:ind w:left="1415" w:hanging="283"/>
      <w:contextualSpacing/>
    </w:pPr>
  </w:style>
  <w:style w:type="paragraph" w:styleId="ListBullet">
    <w:name w:val="List Bullet"/>
    <w:basedOn w:val="Normal"/>
    <w:uiPriority w:val="99"/>
    <w:semiHidden/>
    <w:rsid w:val="002D2C99"/>
    <w:pPr>
      <w:numPr>
        <w:numId w:val="12"/>
      </w:numPr>
      <w:contextualSpacing/>
    </w:pPr>
  </w:style>
  <w:style w:type="paragraph" w:styleId="ListBullet3">
    <w:name w:val="List Bullet 3"/>
    <w:basedOn w:val="Normal"/>
    <w:uiPriority w:val="99"/>
    <w:semiHidden/>
    <w:rsid w:val="002D2C99"/>
    <w:pPr>
      <w:numPr>
        <w:numId w:val="13"/>
      </w:numPr>
      <w:contextualSpacing/>
    </w:pPr>
  </w:style>
  <w:style w:type="paragraph" w:styleId="ListBullet4">
    <w:name w:val="List Bullet 4"/>
    <w:basedOn w:val="Normal"/>
    <w:uiPriority w:val="99"/>
    <w:semiHidden/>
    <w:rsid w:val="002D2C99"/>
    <w:pPr>
      <w:numPr>
        <w:numId w:val="14"/>
      </w:numPr>
      <w:contextualSpacing/>
    </w:pPr>
  </w:style>
  <w:style w:type="paragraph" w:styleId="ListBullet5">
    <w:name w:val="List Bullet 5"/>
    <w:basedOn w:val="Normal"/>
    <w:uiPriority w:val="99"/>
    <w:semiHidden/>
    <w:rsid w:val="002D2C99"/>
    <w:pPr>
      <w:numPr>
        <w:numId w:val="15"/>
      </w:numPr>
      <w:contextualSpacing/>
    </w:pPr>
  </w:style>
  <w:style w:type="paragraph" w:styleId="ListContinue">
    <w:name w:val="List Continue"/>
    <w:basedOn w:val="Normal"/>
    <w:uiPriority w:val="99"/>
    <w:semiHidden/>
    <w:rsid w:val="002D2C99"/>
    <w:pPr>
      <w:spacing w:after="120"/>
      <w:ind w:left="283"/>
      <w:contextualSpacing/>
    </w:pPr>
  </w:style>
  <w:style w:type="paragraph" w:styleId="ListContinue2">
    <w:name w:val="List Continue 2"/>
    <w:basedOn w:val="Normal"/>
    <w:uiPriority w:val="99"/>
    <w:semiHidden/>
    <w:rsid w:val="002D2C99"/>
    <w:pPr>
      <w:spacing w:after="120"/>
      <w:ind w:left="566"/>
      <w:contextualSpacing/>
    </w:pPr>
  </w:style>
  <w:style w:type="paragraph" w:styleId="ListContinue3">
    <w:name w:val="List Continue 3"/>
    <w:basedOn w:val="Normal"/>
    <w:uiPriority w:val="99"/>
    <w:semiHidden/>
    <w:rsid w:val="002D2C99"/>
    <w:pPr>
      <w:spacing w:after="120"/>
      <w:ind w:left="849"/>
      <w:contextualSpacing/>
    </w:pPr>
  </w:style>
  <w:style w:type="paragraph" w:styleId="ListContinue4">
    <w:name w:val="List Continue 4"/>
    <w:basedOn w:val="Normal"/>
    <w:uiPriority w:val="99"/>
    <w:semiHidden/>
    <w:rsid w:val="002D2C99"/>
    <w:pPr>
      <w:spacing w:after="120"/>
      <w:ind w:left="1132"/>
      <w:contextualSpacing/>
    </w:pPr>
  </w:style>
  <w:style w:type="paragraph" w:styleId="ListContinue5">
    <w:name w:val="List Continue 5"/>
    <w:basedOn w:val="Normal"/>
    <w:uiPriority w:val="99"/>
    <w:semiHidden/>
    <w:rsid w:val="002D2C99"/>
    <w:pPr>
      <w:spacing w:after="120"/>
      <w:ind w:left="1415"/>
      <w:contextualSpacing/>
    </w:pPr>
  </w:style>
  <w:style w:type="paragraph" w:styleId="ListNumber">
    <w:name w:val="List Number"/>
    <w:basedOn w:val="Normal"/>
    <w:uiPriority w:val="99"/>
    <w:semiHidden/>
    <w:rsid w:val="002D2C99"/>
    <w:pPr>
      <w:numPr>
        <w:numId w:val="16"/>
      </w:numPr>
      <w:contextualSpacing/>
    </w:pPr>
  </w:style>
  <w:style w:type="paragraph" w:styleId="ListNumber2">
    <w:name w:val="List Number 2"/>
    <w:basedOn w:val="Normal"/>
    <w:uiPriority w:val="99"/>
    <w:semiHidden/>
    <w:rsid w:val="002D2C99"/>
    <w:pPr>
      <w:numPr>
        <w:numId w:val="17"/>
      </w:numPr>
      <w:contextualSpacing/>
    </w:pPr>
  </w:style>
  <w:style w:type="paragraph" w:styleId="ListNumber3">
    <w:name w:val="List Number 3"/>
    <w:basedOn w:val="Normal"/>
    <w:uiPriority w:val="99"/>
    <w:semiHidden/>
    <w:rsid w:val="002D2C99"/>
    <w:pPr>
      <w:numPr>
        <w:numId w:val="18"/>
      </w:numPr>
      <w:contextualSpacing/>
    </w:pPr>
  </w:style>
  <w:style w:type="paragraph" w:styleId="ListNumber4">
    <w:name w:val="List Number 4"/>
    <w:basedOn w:val="Normal"/>
    <w:uiPriority w:val="99"/>
    <w:semiHidden/>
    <w:rsid w:val="002D2C99"/>
    <w:pPr>
      <w:numPr>
        <w:numId w:val="19"/>
      </w:numPr>
      <w:contextualSpacing/>
    </w:pPr>
  </w:style>
  <w:style w:type="paragraph" w:styleId="ListNumber5">
    <w:name w:val="List Number 5"/>
    <w:basedOn w:val="Normal"/>
    <w:uiPriority w:val="99"/>
    <w:semiHidden/>
    <w:rsid w:val="002D2C99"/>
    <w:pPr>
      <w:numPr>
        <w:numId w:val="20"/>
      </w:numPr>
      <w:contextualSpacing/>
    </w:pPr>
  </w:style>
  <w:style w:type="paragraph" w:styleId="MacroText">
    <w:name w:val="macro"/>
    <w:link w:val="MacroTextChar"/>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D2C99"/>
    <w:rPr>
      <w:rFonts w:ascii="Consolas" w:eastAsiaTheme="minorEastAsia" w:hAnsi="Consolas" w:cs="Consolas"/>
      <w:sz w:val="20"/>
      <w:szCs w:val="20"/>
    </w:rPr>
  </w:style>
  <w:style w:type="table" w:styleId="MediumGrid1">
    <w:name w:val="Medium Grid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D2C99"/>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2D2C99"/>
    <w:rPr>
      <w:rFonts w:ascii="Times New Roman" w:hAnsi="Times New Roman" w:cs="Times New Roman"/>
      <w:szCs w:val="24"/>
    </w:rPr>
  </w:style>
  <w:style w:type="paragraph" w:styleId="NormalIndent">
    <w:name w:val="Normal Indent"/>
    <w:basedOn w:val="Normal"/>
    <w:uiPriority w:val="99"/>
    <w:semiHidden/>
    <w:rsid w:val="002D2C99"/>
    <w:pPr>
      <w:ind w:left="720"/>
    </w:pPr>
  </w:style>
  <w:style w:type="character" w:styleId="PlaceholderText">
    <w:name w:val="Placeholder Text"/>
    <w:basedOn w:val="DefaultParagraphFont"/>
    <w:uiPriority w:val="99"/>
    <w:semiHidden/>
    <w:rsid w:val="009C392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2D2C99"/>
    <w:rPr>
      <w:rFonts w:ascii="Consolas" w:hAnsi="Consolas" w:cs="Consolas"/>
      <w:sz w:val="21"/>
      <w:szCs w:val="21"/>
    </w:rPr>
  </w:style>
  <w:style w:type="character" w:customStyle="1" w:styleId="PlainTextChar">
    <w:name w:val="Plain Text Char"/>
    <w:basedOn w:val="DefaultParagraphFont"/>
    <w:link w:val="PlainText"/>
    <w:uiPriority w:val="99"/>
    <w:semiHidden/>
    <w:rsid w:val="002D2C99"/>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2D2C99"/>
  </w:style>
  <w:style w:type="character" w:customStyle="1" w:styleId="SalutationChar">
    <w:name w:val="Salutation Char"/>
    <w:basedOn w:val="DefaultParagraphFont"/>
    <w:link w:val="Salutation"/>
    <w:uiPriority w:val="99"/>
    <w:semiHidden/>
    <w:rsid w:val="002D2C99"/>
    <w:rPr>
      <w:rFonts w:eastAsiaTheme="minorEastAsia"/>
      <w:sz w:val="24"/>
    </w:rPr>
  </w:style>
  <w:style w:type="paragraph" w:styleId="Signature">
    <w:name w:val="Signature"/>
    <w:basedOn w:val="Normal"/>
    <w:link w:val="SignatureChar"/>
    <w:uiPriority w:val="99"/>
    <w:semiHidden/>
    <w:rsid w:val="002D2C99"/>
    <w:pPr>
      <w:ind w:left="4252"/>
    </w:pPr>
  </w:style>
  <w:style w:type="character" w:customStyle="1" w:styleId="SignatureChar">
    <w:name w:val="Signature Char"/>
    <w:basedOn w:val="DefaultParagraphFont"/>
    <w:link w:val="Signature"/>
    <w:uiPriority w:val="99"/>
    <w:semiHidden/>
    <w:rsid w:val="002D2C99"/>
    <w:rPr>
      <w:rFonts w:eastAsiaTheme="minorEastAsia"/>
      <w:sz w:val="24"/>
    </w:rPr>
  </w:style>
  <w:style w:type="table" w:styleId="Table3Deffects1">
    <w:name w:val="Table 3D effects 1"/>
    <w:basedOn w:val="TableNormal"/>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2D2C99"/>
    <w:pPr>
      <w:ind w:left="240" w:hanging="240"/>
    </w:pPr>
  </w:style>
  <w:style w:type="paragraph" w:styleId="TableofFigures">
    <w:name w:val="table of figures"/>
    <w:basedOn w:val="Normal"/>
    <w:next w:val="Normal"/>
    <w:uiPriority w:val="99"/>
    <w:semiHidden/>
    <w:rsid w:val="002D2C99"/>
  </w:style>
  <w:style w:type="table" w:styleId="TableProfessional">
    <w:name w:val="Table Professional"/>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9C39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C39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2D2C99"/>
    <w:pPr>
      <w:spacing w:after="100"/>
      <w:ind w:left="1680"/>
    </w:pPr>
  </w:style>
  <w:style w:type="paragraph" w:styleId="TOC9">
    <w:name w:val="toc 9"/>
    <w:basedOn w:val="Normal"/>
    <w:next w:val="Normal"/>
    <w:autoRedefine/>
    <w:uiPriority w:val="99"/>
    <w:semiHidden/>
    <w:rsid w:val="002D2C99"/>
    <w:pPr>
      <w:spacing w:after="100"/>
      <w:ind w:left="1920"/>
    </w:pPr>
  </w:style>
  <w:style w:type="paragraph" w:customStyle="1" w:styleId="DecHTitle">
    <w:name w:val="Dec_H_Title"/>
    <w:basedOn w:val="ECHRTitleCentre1"/>
    <w:uiPriority w:val="7"/>
    <w:qFormat/>
    <w:rsid w:val="009C392A"/>
  </w:style>
  <w:style w:type="paragraph" w:customStyle="1" w:styleId="DecList">
    <w:name w:val="Dec_List"/>
    <w:basedOn w:val="Normal"/>
    <w:uiPriority w:val="9"/>
    <w:qFormat/>
    <w:rsid w:val="009C392A"/>
    <w:pPr>
      <w:spacing w:before="240"/>
      <w:ind w:left="284"/>
    </w:pPr>
  </w:style>
  <w:style w:type="paragraph" w:customStyle="1" w:styleId="ECHRFooter">
    <w:name w:val="ECHR_Footer"/>
    <w:aliases w:val="Footer_ECHR"/>
    <w:basedOn w:val="Footer"/>
    <w:uiPriority w:val="57"/>
    <w:semiHidden/>
    <w:rsid w:val="009C392A"/>
    <w:pPr>
      <w:jc w:val="left"/>
    </w:pPr>
    <w:rPr>
      <w:sz w:val="8"/>
    </w:rPr>
  </w:style>
  <w:style w:type="paragraph" w:customStyle="1" w:styleId="ECHRFooterLine">
    <w:name w:val="ECHR_Footer_Line"/>
    <w:aliases w:val="Footer_Line"/>
    <w:basedOn w:val="Normal"/>
    <w:next w:val="ECHRFooter"/>
    <w:uiPriority w:val="57"/>
    <w:semiHidden/>
    <w:rsid w:val="009C392A"/>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9C392A"/>
    <w:pPr>
      <w:spacing w:after="240"/>
      <w:jc w:val="center"/>
      <w:outlineLvl w:val="0"/>
    </w:pPr>
    <w:rPr>
      <w:rFonts w:asciiTheme="majorHAnsi" w:hAnsiTheme="majorHAnsi"/>
    </w:rPr>
  </w:style>
  <w:style w:type="paragraph" w:customStyle="1" w:styleId="JuAppQuestion">
    <w:name w:val="Ju_App_Question"/>
    <w:basedOn w:val="Normal"/>
    <w:uiPriority w:val="5"/>
    <w:qFormat/>
    <w:rsid w:val="009C392A"/>
    <w:pPr>
      <w:numPr>
        <w:numId w:val="28"/>
      </w:numPr>
      <w:jc w:val="left"/>
    </w:pPr>
    <w:rPr>
      <w:b/>
    </w:rPr>
  </w:style>
  <w:style w:type="paragraph" w:customStyle="1" w:styleId="JuHeaderLandscape">
    <w:name w:val="Ju_Header_Landscape"/>
    <w:basedOn w:val="ECHRHeader"/>
    <w:uiPriority w:val="4"/>
    <w:qFormat/>
    <w:rsid w:val="009C392A"/>
    <w:pPr>
      <w:tabs>
        <w:tab w:val="clear" w:pos="3686"/>
        <w:tab w:val="clear" w:pos="7371"/>
        <w:tab w:val="center" w:pos="6146"/>
        <w:tab w:val="right" w:pos="12293"/>
      </w:tabs>
    </w:pPr>
  </w:style>
  <w:style w:type="paragraph" w:customStyle="1" w:styleId="JuTitle">
    <w:name w:val="Ju_Title"/>
    <w:basedOn w:val="Normal"/>
    <w:next w:val="ECHRPara"/>
    <w:uiPriority w:val="3"/>
    <w:qFormat/>
    <w:rsid w:val="009C392A"/>
    <w:pPr>
      <w:spacing w:before="720" w:after="240"/>
      <w:jc w:val="center"/>
      <w:outlineLvl w:val="0"/>
    </w:pPr>
    <w:rPr>
      <w:rFonts w:asciiTheme="majorHAnsi" w:hAnsiTheme="majorHAnsi"/>
      <w:b/>
      <w:caps/>
    </w:rPr>
  </w:style>
  <w:style w:type="character" w:customStyle="1" w:styleId="JuNames0">
    <w:name w:val="Ju_Names"/>
    <w:rsid w:val="00E44B72"/>
    <w:rPr>
      <w:rFonts w:ascii="Times New Roman" w:hAnsi="Times New Roman" w:cs="Times New Roman"/>
      <w:smallCaps/>
    </w:rPr>
  </w:style>
  <w:style w:type="paragraph" w:styleId="NoteHeading">
    <w:name w:val="Note Heading"/>
    <w:basedOn w:val="Normal"/>
    <w:next w:val="Normal"/>
    <w:uiPriority w:val="99"/>
    <w:semiHidden/>
    <w:rsid w:val="00E44B72"/>
  </w:style>
  <w:style w:type="paragraph" w:customStyle="1" w:styleId="ECHRSpacer">
    <w:name w:val="ECHR_Spacer"/>
    <w:basedOn w:val="Normal"/>
    <w:uiPriority w:val="45"/>
    <w:rsid w:val="00E44B72"/>
    <w:pPr>
      <w:jc w:val="left"/>
    </w:pPr>
    <w:rPr>
      <w:rFonts w:eastAsiaTheme="minorHAnsi"/>
      <w:sz w:val="4"/>
    </w:rPr>
  </w:style>
  <w:style w:type="paragraph" w:styleId="Revision">
    <w:name w:val="Revision"/>
    <w:hidden/>
    <w:uiPriority w:val="99"/>
    <w:semiHidden/>
    <w:rsid w:val="00E44B72"/>
    <w:rPr>
      <w:rFonts w:eastAsiaTheme="minorEastAsia"/>
      <w:sz w:val="24"/>
      <w:lang w:val="en-GB"/>
    </w:rPr>
  </w:style>
  <w:style w:type="paragraph" w:customStyle="1" w:styleId="jupara">
    <w:name w:val="jupara"/>
    <w:basedOn w:val="Normal"/>
    <w:rsid w:val="00204889"/>
    <w:pPr>
      <w:ind w:firstLine="284"/>
    </w:pPr>
    <w:rPr>
      <w:rFonts w:ascii="Times New Roman" w:eastAsia="Times New Roman" w:hAnsi="Times New Roman" w:cs="Times New Roman"/>
      <w:szCs w:val="24"/>
      <w:lang w:eastAsia="en-GB"/>
    </w:rPr>
  </w:style>
  <w:style w:type="paragraph" w:customStyle="1" w:styleId="jucase0">
    <w:name w:val="jucase"/>
    <w:basedOn w:val="Normal"/>
    <w:rsid w:val="00204889"/>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06CA07-9527-42F3-BFEB-27835A8F5AB0}"/>
</file>

<file path=customXml/itemProps2.xml><?xml version="1.0" encoding="utf-8"?>
<ds:datastoreItem xmlns:ds="http://schemas.openxmlformats.org/officeDocument/2006/customXml" ds:itemID="{C7104B7D-E00D-4CD4-B528-B1F15D7739C7}"/>
</file>

<file path=customXml/itemProps3.xml><?xml version="1.0" encoding="utf-8"?>
<ds:datastoreItem xmlns:ds="http://schemas.openxmlformats.org/officeDocument/2006/customXml" ds:itemID="{08627211-8BC2-4BA3-B7E8-71BAA51A588C}"/>
</file>

<file path=customXml/itemProps4.xml><?xml version="1.0" encoding="utf-8"?>
<ds:datastoreItem xmlns:ds="http://schemas.openxmlformats.org/officeDocument/2006/customXml" ds:itemID="{B9E0FE42-7708-44EA-9C4C-24D521BFA963}"/>
</file>

<file path=docProps/app.xml><?xml version="1.0" encoding="utf-8"?>
<Properties xmlns="http://schemas.openxmlformats.org/officeDocument/2006/extended-properties" xmlns:vt="http://schemas.openxmlformats.org/officeDocument/2006/docPropsVTypes">
  <Template>Normal.dotm</Template>
  <TotalTime>0</TotalTime>
  <Pages>1</Pages>
  <Words>5896</Words>
  <Characters>33613</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39431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2019-12-13T10:45:00Z</dcterms:created>
  <dcterms:modified xsi:type="dcterms:W3CDTF">2019-12-13T10:45:00Z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20983/12</vt:lpwstr>
  </property>
  <property fmtid="{D5CDD505-2E9C-101B-9397-08002B2CF9AE}" pid="4" name="CASEID">
    <vt:lpwstr>789604</vt:lpwstr>
  </property>
  <property fmtid="{D5CDD505-2E9C-101B-9397-08002B2CF9AE}" pid="5" name="ContentTypeId">
    <vt:lpwstr>0x010100558EB02BDB9E204AB350EDD385B68E10</vt:lpwstr>
  </property>
</Properties>
</file>