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D7F46" w:rsidR="00401FE9" w:rsidP="002D7F46" w:rsidRDefault="00401FE9">
      <w:pPr>
        <w:jc w:val="center"/>
      </w:pPr>
    </w:p>
    <w:p w:rsidRPr="002D7F46" w:rsidR="00E9333B" w:rsidP="002D7F46" w:rsidRDefault="00E9333B">
      <w:pPr>
        <w:jc w:val="center"/>
      </w:pPr>
    </w:p>
    <w:p w:rsidRPr="002D7F46" w:rsidR="00E9333B" w:rsidP="002D7F46" w:rsidRDefault="00E9333B">
      <w:pPr>
        <w:jc w:val="center"/>
      </w:pPr>
    </w:p>
    <w:p w:rsidRPr="002D7F46" w:rsidR="00C548D3" w:rsidP="002D7F46" w:rsidRDefault="00C548D3">
      <w:pPr>
        <w:pStyle w:val="DecHCase"/>
      </w:pPr>
      <w:r w:rsidRPr="002D7F46">
        <w:t>SECOND SECTION</w:t>
      </w:r>
    </w:p>
    <w:p w:rsidRPr="002D7F46" w:rsidR="00E9333B" w:rsidP="002D7F46" w:rsidRDefault="00E9333B">
      <w:pPr>
        <w:pStyle w:val="JuPara"/>
      </w:pPr>
    </w:p>
    <w:p w:rsidRPr="002D7F46" w:rsidR="00C548D3" w:rsidP="002D7F46" w:rsidRDefault="00C548D3">
      <w:pPr>
        <w:pStyle w:val="JuTitle"/>
      </w:pPr>
      <w:r w:rsidRPr="002D7F46">
        <w:t>CASE OF MUHINA v. THE REPUBLIC OF MOLDOVA</w:t>
      </w:r>
    </w:p>
    <w:p w:rsidRPr="002D7F46" w:rsidR="00C548D3" w:rsidP="002D7F46" w:rsidRDefault="00C548D3">
      <w:pPr>
        <w:pStyle w:val="Title4"/>
      </w:pPr>
      <w:r w:rsidRPr="002D7F46">
        <w:t>(Application no. 342/09)</w:t>
      </w:r>
    </w:p>
    <w:p w:rsidRPr="002D7F46" w:rsidR="00C548D3" w:rsidP="002D7F46" w:rsidRDefault="00C548D3">
      <w:pPr>
        <w:pStyle w:val="DecHCase"/>
      </w:pPr>
    </w:p>
    <w:p w:rsidRPr="002D7F46" w:rsidR="00014566" w:rsidP="002D7F46" w:rsidRDefault="00014566">
      <w:pPr>
        <w:pStyle w:val="DecHCase"/>
      </w:pPr>
    </w:p>
    <w:p w:rsidRPr="002D7F46" w:rsidR="00401FE9" w:rsidP="002D7F46" w:rsidRDefault="00401FE9">
      <w:pPr>
        <w:pStyle w:val="DecHCase"/>
        <w:jc w:val="left"/>
      </w:pPr>
    </w:p>
    <w:p w:rsidRPr="002D7F46" w:rsidR="00014566" w:rsidP="002D7F46" w:rsidRDefault="00401FE9">
      <w:pPr>
        <w:pStyle w:val="DecHCase"/>
        <w:rPr>
          <w:szCs w:val="24"/>
        </w:rPr>
      </w:pPr>
      <w:r w:rsidRPr="002D7F46">
        <w:rPr>
          <w:szCs w:val="24"/>
        </w:rPr>
        <w:t>JUDGMENT</w:t>
      </w:r>
    </w:p>
    <w:p w:rsidRPr="002D7F46" w:rsidR="00E9333B" w:rsidP="002D7F46" w:rsidRDefault="00E9333B">
      <w:pPr>
        <w:pStyle w:val="JuPara"/>
      </w:pPr>
    </w:p>
    <w:p w:rsidRPr="002D7F46" w:rsidR="00E9333B" w:rsidP="002D7F46" w:rsidRDefault="00E9333B">
      <w:pPr>
        <w:pStyle w:val="JuPara"/>
      </w:pPr>
    </w:p>
    <w:p w:rsidRPr="002D7F46" w:rsidR="00E9333B" w:rsidP="002D7F46" w:rsidRDefault="00E9333B">
      <w:pPr>
        <w:pStyle w:val="JuPara"/>
      </w:pPr>
    </w:p>
    <w:p w:rsidRPr="002D7F46" w:rsidR="00E9333B" w:rsidP="002D7F46" w:rsidRDefault="00E9333B">
      <w:pPr>
        <w:pStyle w:val="JuPara"/>
      </w:pPr>
    </w:p>
    <w:p w:rsidRPr="002D7F46" w:rsidR="00E9333B" w:rsidP="002D7F46" w:rsidRDefault="00E9333B">
      <w:pPr>
        <w:pStyle w:val="JuPara"/>
      </w:pPr>
    </w:p>
    <w:p w:rsidRPr="002D7F46" w:rsidR="00401FE9" w:rsidP="002D7F46" w:rsidRDefault="00401FE9">
      <w:pPr>
        <w:pStyle w:val="DecHCase"/>
      </w:pPr>
      <w:r w:rsidRPr="002D7F46">
        <w:t>STRASBOURG</w:t>
      </w:r>
    </w:p>
    <w:p w:rsidRPr="002D7F46" w:rsidR="00401FE9" w:rsidP="002D7F46" w:rsidRDefault="00522478">
      <w:pPr>
        <w:pStyle w:val="DecHCase"/>
      </w:pPr>
      <w:r w:rsidRPr="002D7F46">
        <w:t>3 September 2019</w:t>
      </w:r>
    </w:p>
    <w:p w:rsidRPr="002D7F46" w:rsidR="00605ED8" w:rsidP="002D7F46" w:rsidRDefault="00605ED8">
      <w:pPr>
        <w:pStyle w:val="JuPara"/>
      </w:pPr>
    </w:p>
    <w:p w:rsidRPr="002D7F46" w:rsidR="00605ED8" w:rsidP="002D7F46" w:rsidRDefault="00605ED8">
      <w:pPr>
        <w:pStyle w:val="JuPara"/>
      </w:pPr>
    </w:p>
    <w:p w:rsidRPr="002D7F46" w:rsidR="00605ED8" w:rsidP="002D7F46" w:rsidRDefault="00605ED8">
      <w:pPr>
        <w:pStyle w:val="JuPara"/>
      </w:pPr>
    </w:p>
    <w:p w:rsidRPr="002D7F46" w:rsidR="00401FE9" w:rsidP="002D7F46" w:rsidRDefault="00401FE9">
      <w:pPr>
        <w:pStyle w:val="JuCase"/>
        <w:ind w:firstLine="0"/>
        <w:rPr>
          <w:b w:val="0"/>
        </w:rPr>
        <w:sectPr w:rsidRPr="002D7F46" w:rsidR="00401FE9" w:rsidSect="00401FE9">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r w:rsidRPr="002D7F46">
        <w:rPr>
          <w:b w:val="0"/>
          <w:i/>
          <w:sz w:val="22"/>
        </w:rPr>
        <w:t xml:space="preserve">This judgment is final but it may be subject to editorial revision. </w:t>
      </w:r>
    </w:p>
    <w:p w:rsidRPr="002D7F46" w:rsidR="00014566" w:rsidP="002D7F46" w:rsidRDefault="00014566">
      <w:pPr>
        <w:pStyle w:val="JuCase"/>
        <w:rPr>
          <w:bCs/>
        </w:rPr>
      </w:pPr>
      <w:r w:rsidRPr="002D7F46">
        <w:t xml:space="preserve">In the case of </w:t>
      </w:r>
      <w:proofErr w:type="spellStart"/>
      <w:r w:rsidRPr="002D7F46" w:rsidR="00B1090E">
        <w:t>Muhin</w:t>
      </w:r>
      <w:r w:rsidRPr="002D7F46" w:rsidR="002F6C49">
        <w:t>a</w:t>
      </w:r>
      <w:proofErr w:type="spellEnd"/>
      <w:r w:rsidRPr="002D7F46" w:rsidR="00B1090E">
        <w:t xml:space="preserve"> v. the Republic of Moldova</w:t>
      </w:r>
      <w:r w:rsidRPr="002D7F46">
        <w:t>,</w:t>
      </w:r>
    </w:p>
    <w:p w:rsidRPr="002D7F46" w:rsidR="00014566" w:rsidP="002D7F46" w:rsidRDefault="00014566">
      <w:pPr>
        <w:pStyle w:val="JuPara"/>
      </w:pPr>
      <w:r w:rsidRPr="002D7F46">
        <w:t>The European Court of Human Rights (</w:t>
      </w:r>
      <w:r w:rsidRPr="002D7F46" w:rsidR="001463D6">
        <w:t xml:space="preserve">Second </w:t>
      </w:r>
      <w:r w:rsidRPr="002D7F46" w:rsidR="00B1090E">
        <w:t>Section</w:t>
      </w:r>
      <w:r w:rsidRPr="002D7F46">
        <w:t xml:space="preserve">), sitting as a </w:t>
      </w:r>
      <w:r w:rsidRPr="002D7F46" w:rsidR="002A0110">
        <w:t xml:space="preserve">Committee </w:t>
      </w:r>
      <w:r w:rsidRPr="002D7F46">
        <w:t>composed of:</w:t>
      </w:r>
    </w:p>
    <w:p w:rsidRPr="002D7F46" w:rsidR="00014566" w:rsidP="002D7F46" w:rsidRDefault="00522478">
      <w:pPr>
        <w:pStyle w:val="JuJudges"/>
      </w:pPr>
      <w:r w:rsidRPr="002D7F46">
        <w:tab/>
        <w:t xml:space="preserve">Egidijus </w:t>
      </w:r>
      <w:proofErr w:type="spellStart"/>
      <w:r w:rsidRPr="002D7F46">
        <w:t>Kūris</w:t>
      </w:r>
      <w:proofErr w:type="spellEnd"/>
      <w:r w:rsidRPr="002D7F46">
        <w:t>,</w:t>
      </w:r>
      <w:r w:rsidRPr="002D7F46">
        <w:rPr>
          <w:i/>
        </w:rPr>
        <w:t xml:space="preserve"> President,</w:t>
      </w:r>
      <w:r w:rsidRPr="002D7F46">
        <w:rPr>
          <w:i/>
        </w:rPr>
        <w:br/>
      </w:r>
      <w:r w:rsidRPr="002D7F46">
        <w:tab/>
      </w:r>
      <w:proofErr w:type="spellStart"/>
      <w:r w:rsidRPr="002D7F46">
        <w:t>Valeriu</w:t>
      </w:r>
      <w:proofErr w:type="spellEnd"/>
      <w:r w:rsidRPr="002D7F46">
        <w:t xml:space="preserve"> </w:t>
      </w:r>
      <w:proofErr w:type="spellStart"/>
      <w:r w:rsidRPr="002D7F46">
        <w:t>Griţco</w:t>
      </w:r>
      <w:proofErr w:type="spellEnd"/>
      <w:r w:rsidRPr="002D7F46">
        <w:t>,</w:t>
      </w:r>
      <w:r w:rsidRPr="002D7F46">
        <w:rPr>
          <w:i/>
        </w:rPr>
        <w:br/>
      </w:r>
      <w:r w:rsidRPr="002D7F46">
        <w:tab/>
        <w:t>Darian Pavli,</w:t>
      </w:r>
      <w:r w:rsidRPr="002D7F46">
        <w:rPr>
          <w:i/>
        </w:rPr>
        <w:t xml:space="preserve"> judges,</w:t>
      </w:r>
      <w:r w:rsidRPr="002D7F46" w:rsidR="00014566">
        <w:rPr>
          <w:szCs w:val="24"/>
        </w:rPr>
        <w:br/>
      </w:r>
      <w:r w:rsidRPr="002D7F46" w:rsidR="00014566">
        <w:t xml:space="preserve">and </w:t>
      </w:r>
      <w:r w:rsidRPr="002D7F46" w:rsidR="002A0110">
        <w:t xml:space="preserve">Hasan Bakırcı, </w:t>
      </w:r>
      <w:r w:rsidRPr="002D7F46" w:rsidR="002A0110">
        <w:rPr>
          <w:i/>
        </w:rPr>
        <w:t xml:space="preserve">Deputy Section </w:t>
      </w:r>
      <w:r w:rsidRPr="002D7F46" w:rsidR="002A0110">
        <w:rPr>
          <w:i/>
          <w:iCs/>
        </w:rPr>
        <w:t>Registrar</w:t>
      </w:r>
      <w:r w:rsidRPr="002D7F46" w:rsidR="002A0110">
        <w:rPr>
          <w:i/>
        </w:rPr>
        <w:t>,</w:t>
      </w:r>
    </w:p>
    <w:p w:rsidRPr="002D7F46" w:rsidR="00014566" w:rsidP="002D7F46" w:rsidRDefault="00014566">
      <w:pPr>
        <w:pStyle w:val="JuPara"/>
      </w:pPr>
      <w:r w:rsidRPr="002D7F46">
        <w:t xml:space="preserve">Having deliberated in private on </w:t>
      </w:r>
      <w:r w:rsidRPr="002D7F46" w:rsidR="00522478">
        <w:t>2 July 2019</w:t>
      </w:r>
      <w:r w:rsidRPr="002D7F46">
        <w:t>,</w:t>
      </w:r>
    </w:p>
    <w:p w:rsidRPr="002D7F46" w:rsidR="00014566" w:rsidP="002D7F46" w:rsidRDefault="00014566">
      <w:pPr>
        <w:pStyle w:val="JuPara"/>
      </w:pPr>
      <w:r w:rsidRPr="002D7F46">
        <w:t>Delivers the following judgment, which was adopted on that date:</w:t>
      </w:r>
    </w:p>
    <w:p w:rsidRPr="002D7F46" w:rsidR="00014566" w:rsidP="002D7F46" w:rsidRDefault="00014566">
      <w:pPr>
        <w:pStyle w:val="JuHHead"/>
      </w:pPr>
      <w:r w:rsidRPr="002D7F46">
        <w:t>PROCEDURE</w:t>
      </w:r>
    </w:p>
    <w:p w:rsidRPr="002D7F46" w:rsidR="00B1090E" w:rsidP="002D7F46" w:rsidRDefault="0078208D">
      <w:pPr>
        <w:pStyle w:val="JuPara"/>
      </w:pPr>
      <w:r w:rsidRPr="002D7F46">
        <w:fldChar w:fldCharType="begin"/>
      </w:r>
      <w:r w:rsidRPr="002D7F46">
        <w:instrText xml:space="preserve"> SEQ level0 \*arabic </w:instrText>
      </w:r>
      <w:r w:rsidRPr="002D7F46">
        <w:fldChar w:fldCharType="separate"/>
      </w:r>
      <w:r w:rsidRPr="002D7F46" w:rsidR="002D7F46">
        <w:rPr>
          <w:noProof/>
        </w:rPr>
        <w:t>1</w:t>
      </w:r>
      <w:r w:rsidRPr="002D7F46">
        <w:fldChar w:fldCharType="end"/>
      </w:r>
      <w:r w:rsidRPr="002D7F46">
        <w:t>.  </w:t>
      </w:r>
      <w:r w:rsidRPr="002D7F46" w:rsidR="00014566">
        <w:t xml:space="preserve">The case originated in </w:t>
      </w:r>
      <w:r w:rsidRPr="002D7F46" w:rsidR="00B1090E">
        <w:t>an application (no. 342/09)</w:t>
      </w:r>
      <w:r w:rsidRPr="002D7F46" w:rsidR="00014566">
        <w:t xml:space="preserve"> against </w:t>
      </w:r>
      <w:r w:rsidRPr="002D7F46" w:rsidR="00B1090E">
        <w:t>the Republic of Moldova</w:t>
      </w:r>
      <w:r w:rsidRPr="002D7F46" w:rsidR="00014566">
        <w:t xml:space="preserve"> lodged with the </w:t>
      </w:r>
      <w:r w:rsidRPr="002D7F46" w:rsidR="00B1090E">
        <w:t>Court under Article 34</w:t>
      </w:r>
      <w:r w:rsidRPr="002D7F46" w:rsidR="00014566">
        <w:t xml:space="preserve"> of the Convention for the Protection of Human Rights and Fundamental Freedoms (“the Convention”) by </w:t>
      </w:r>
      <w:r w:rsidRPr="002D7F46" w:rsidR="00B1090E">
        <w:t xml:space="preserve">a Moldovan national, Ms Larisa </w:t>
      </w:r>
      <w:proofErr w:type="spellStart"/>
      <w:r w:rsidRPr="002D7F46" w:rsidR="00B1090E">
        <w:t>Muhina</w:t>
      </w:r>
      <w:proofErr w:type="spellEnd"/>
      <w:r w:rsidRPr="002D7F46" w:rsidR="00B1090E">
        <w:t xml:space="preserve"> (“the applicant”), on 27 November 2008</w:t>
      </w:r>
      <w:r w:rsidRPr="002D7F46" w:rsidR="00014566">
        <w:t>.</w:t>
      </w:r>
    </w:p>
    <w:p w:rsidRPr="002D7F46" w:rsidR="00B1090E" w:rsidP="002D7F46" w:rsidRDefault="00B1090E">
      <w:pPr>
        <w:pStyle w:val="JuPara"/>
      </w:pPr>
      <w:r w:rsidRPr="002D7F46">
        <w:rPr>
          <w:lang w:val="pt-BR"/>
        </w:rPr>
        <w:fldChar w:fldCharType="begin"/>
      </w:r>
      <w:r w:rsidRPr="002D7F46">
        <w:rPr>
          <w:lang w:val="pt-BR"/>
        </w:rPr>
        <w:instrText xml:space="preserve"> SEQ level0 \*arabic </w:instrText>
      </w:r>
      <w:r w:rsidRPr="002D7F46">
        <w:rPr>
          <w:lang w:val="pt-BR"/>
        </w:rPr>
        <w:fldChar w:fldCharType="separate"/>
      </w:r>
      <w:r w:rsidRPr="002D7F46" w:rsidR="002D7F46">
        <w:rPr>
          <w:noProof/>
          <w:lang w:val="pt-BR"/>
        </w:rPr>
        <w:t>2</w:t>
      </w:r>
      <w:r w:rsidRPr="002D7F46">
        <w:rPr>
          <w:lang w:val="pt-BR"/>
        </w:rPr>
        <w:fldChar w:fldCharType="end"/>
      </w:r>
      <w:r w:rsidRPr="002D7F46" w:rsidR="00014566">
        <w:rPr>
          <w:lang w:val="pt-BR"/>
        </w:rPr>
        <w:t>.  </w:t>
      </w:r>
      <w:r w:rsidRPr="002D7F46">
        <w:rPr>
          <w:lang w:val="pt-BR"/>
        </w:rPr>
        <w:t xml:space="preserve">The applicant was represented by Mr I. Doicov, a lawyer practising in </w:t>
      </w:r>
      <w:proofErr w:type="spellStart"/>
      <w:r w:rsidRPr="002D7F46">
        <w:t>Chișinău</w:t>
      </w:r>
      <w:proofErr w:type="spellEnd"/>
      <w:r w:rsidRPr="002D7F46">
        <w:t xml:space="preserve">. The Moldovan Government (“the Government”) </w:t>
      </w:r>
      <w:proofErr w:type="gramStart"/>
      <w:r w:rsidRPr="002D7F46">
        <w:t>were</w:t>
      </w:r>
      <w:proofErr w:type="gramEnd"/>
      <w:r w:rsidRPr="002D7F46">
        <w:t xml:space="preserve"> represented by their Agent, Mr L. Apostol.</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3</w:t>
      </w:r>
      <w:r w:rsidRPr="002D7F46">
        <w:fldChar w:fldCharType="end"/>
      </w:r>
      <w:r w:rsidRPr="002D7F46">
        <w:t xml:space="preserve">.  The applicant alleged, in particular, </w:t>
      </w:r>
      <w:r w:rsidRPr="002D7F46" w:rsidR="002C3539">
        <w:t xml:space="preserve">that </w:t>
      </w:r>
      <w:r w:rsidRPr="002D7F46" w:rsidR="00F04130">
        <w:t xml:space="preserve">the domestic courts </w:t>
      </w:r>
      <w:r w:rsidRPr="002D7F46" w:rsidR="001708F2">
        <w:t xml:space="preserve">had </w:t>
      </w:r>
      <w:r w:rsidRPr="002D7F46" w:rsidR="00F04130">
        <w:t>examined a court action against her despite the expiry of the limitation period established by law</w:t>
      </w:r>
      <w:r w:rsidRPr="002D7F46">
        <w:t>.</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4</w:t>
      </w:r>
      <w:r w:rsidRPr="002D7F46">
        <w:fldChar w:fldCharType="end"/>
      </w:r>
      <w:r w:rsidRPr="002D7F46" w:rsidR="00014566">
        <w:t>.  </w:t>
      </w:r>
      <w:r w:rsidRPr="002D7F46">
        <w:t xml:space="preserve">On </w:t>
      </w:r>
      <w:r w:rsidRPr="002D7F46">
        <w:rPr>
          <w:szCs w:val="24"/>
        </w:rPr>
        <w:t>25 January 2011</w:t>
      </w:r>
      <w:r w:rsidRPr="002D7F46" w:rsidR="00014566">
        <w:t xml:space="preserve"> the </w:t>
      </w:r>
      <w:r w:rsidRPr="002D7F46">
        <w:t>application was communicated to the Government</w:t>
      </w:r>
      <w:r w:rsidRPr="002D7F46" w:rsidR="00014566">
        <w:t>.</w:t>
      </w:r>
    </w:p>
    <w:p w:rsidRPr="002D7F46" w:rsidR="00014566" w:rsidP="002D7F46" w:rsidRDefault="00014566">
      <w:pPr>
        <w:pStyle w:val="JuHHead"/>
      </w:pPr>
      <w:r w:rsidRPr="002D7F46">
        <w:t>THE FACTS</w:t>
      </w:r>
    </w:p>
    <w:p w:rsidRPr="002D7F46" w:rsidR="00014566" w:rsidP="002D7F46" w:rsidRDefault="00014566">
      <w:pPr>
        <w:pStyle w:val="JuHIRoman"/>
      </w:pPr>
      <w:r w:rsidRPr="002D7F46">
        <w:t>THE CIRCUMSTANCES OF THE CASE</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5</w:t>
      </w:r>
      <w:r w:rsidRPr="002D7F46">
        <w:fldChar w:fldCharType="end"/>
      </w:r>
      <w:r w:rsidRPr="002D7F46" w:rsidR="00014566">
        <w:t xml:space="preserve">.  The </w:t>
      </w:r>
      <w:r w:rsidRPr="002D7F46">
        <w:t>applicant was born in 1957 and lives</w:t>
      </w:r>
      <w:r w:rsidRPr="002D7F46" w:rsidR="00014566">
        <w:t xml:space="preserve"> in </w:t>
      </w:r>
      <w:proofErr w:type="spellStart"/>
      <w:r w:rsidRPr="002D7F46" w:rsidR="00F04130">
        <w:t>Chișinău</w:t>
      </w:r>
      <w:proofErr w:type="spellEnd"/>
      <w:r w:rsidRPr="002D7F46" w:rsidR="00014566">
        <w:t>.</w:t>
      </w:r>
    </w:p>
    <w:bookmarkStart w:name="p_6_apartment_is_state_owned" w:id="0"/>
    <w:p w:rsidRPr="002D7F46" w:rsidR="00822A6F"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6</w:t>
      </w:r>
      <w:r w:rsidRPr="002D7F46">
        <w:fldChar w:fldCharType="end"/>
      </w:r>
      <w:bookmarkEnd w:id="0"/>
      <w:r w:rsidRPr="002D7F46" w:rsidR="00014566">
        <w:t>.  </w:t>
      </w:r>
      <w:r w:rsidRPr="002D7F46" w:rsidR="00822A6F">
        <w:t xml:space="preserve">Since 1989 the applicant has </w:t>
      </w:r>
      <w:r w:rsidRPr="002D7F46" w:rsidR="006F33CB">
        <w:t>rented an apartment</w:t>
      </w:r>
      <w:r w:rsidRPr="002D7F46" w:rsidR="00822A6F">
        <w:t xml:space="preserve"> </w:t>
      </w:r>
      <w:r w:rsidRPr="002D7F46" w:rsidR="006F33CB">
        <w:t>from the State (</w:t>
      </w:r>
      <w:r w:rsidRPr="002D7F46" w:rsidR="00822A6F">
        <w:t>social housing</w:t>
      </w:r>
      <w:r w:rsidRPr="002D7F46" w:rsidR="006F33CB">
        <w:t>)</w:t>
      </w:r>
      <w:r w:rsidRPr="002D7F46" w:rsidR="00822A6F">
        <w:t xml:space="preserve">. In 1996 her apartment was seriously damaged and was found to be </w:t>
      </w:r>
      <w:r w:rsidRPr="002D7F46" w:rsidR="007F12EB">
        <w:t>un</w:t>
      </w:r>
      <w:r w:rsidRPr="002D7F46" w:rsidR="00822A6F">
        <w:t>suitable for living purposes. On an unknown date she lodged a court actio</w:t>
      </w:r>
      <w:r w:rsidRPr="002D7F46" w:rsidR="00DE74E8">
        <w:t xml:space="preserve">n against the State authorities, </w:t>
      </w:r>
      <w:r w:rsidRPr="002D7F46" w:rsidR="007F12EB">
        <w:t>requesting</w:t>
      </w:r>
      <w:r w:rsidRPr="002D7F46" w:rsidR="00822A6F">
        <w:t xml:space="preserve"> allocat</w:t>
      </w:r>
      <w:r w:rsidRPr="002D7F46" w:rsidR="007F12EB">
        <w:t>ion o</w:t>
      </w:r>
      <w:r w:rsidRPr="002D7F46" w:rsidR="0023071E">
        <w:t>f</w:t>
      </w:r>
      <w:r w:rsidRPr="002D7F46" w:rsidR="00822A6F">
        <w:t xml:space="preserve"> an alternative apartment. </w:t>
      </w:r>
      <w:r w:rsidRPr="002D7F46" w:rsidR="00DE74E8">
        <w:t xml:space="preserve">She explained that the apartment which she rented was the property of the State. </w:t>
      </w:r>
      <w:r w:rsidRPr="002D7F46" w:rsidR="00822A6F">
        <w:t xml:space="preserve">On 25 April 2000 the Botanica District Court accepted her claims and ordered the </w:t>
      </w:r>
      <w:proofErr w:type="spellStart"/>
      <w:r w:rsidRPr="002D7F46" w:rsidR="00822A6F">
        <w:t>Chişinău</w:t>
      </w:r>
      <w:proofErr w:type="spellEnd"/>
      <w:r w:rsidRPr="002D7F46" w:rsidR="00822A6F">
        <w:t xml:space="preserve"> municipality to allocate her another apartment. </w:t>
      </w:r>
      <w:r w:rsidRPr="002D7F46" w:rsidR="001D5002">
        <w:t>It found that the applicant was rent</w:t>
      </w:r>
      <w:r w:rsidRPr="002D7F46" w:rsidR="007F12EB">
        <w:t>ing</w:t>
      </w:r>
      <w:r w:rsidRPr="002D7F46" w:rsidR="001D5002">
        <w:t xml:space="preserve"> her apartment</w:t>
      </w:r>
      <w:r w:rsidRPr="002D7F46" w:rsidR="007F12EB">
        <w:t xml:space="preserve"> and that it</w:t>
      </w:r>
      <w:r w:rsidRPr="002D7F46" w:rsidR="0038064C">
        <w:t xml:space="preserve"> was owned by the </w:t>
      </w:r>
      <w:proofErr w:type="spellStart"/>
      <w:r w:rsidRPr="002D7F46" w:rsidR="0038064C">
        <w:t>Chișinău</w:t>
      </w:r>
      <w:proofErr w:type="spellEnd"/>
      <w:r w:rsidRPr="002D7F46" w:rsidR="0038064C">
        <w:t xml:space="preserve"> municipality</w:t>
      </w:r>
      <w:r w:rsidRPr="002D7F46" w:rsidR="001D5002">
        <w:t xml:space="preserve">. </w:t>
      </w:r>
      <w:r w:rsidRPr="002D7F46" w:rsidR="00822A6F">
        <w:t>However, that judgment was not enforced for many years.</w:t>
      </w:r>
    </w:p>
    <w:p w:rsidRPr="002D7F46" w:rsidR="00822A6F"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7</w:t>
      </w:r>
      <w:r w:rsidRPr="002D7F46">
        <w:fldChar w:fldCharType="end"/>
      </w:r>
      <w:r w:rsidRPr="002D7F46">
        <w:t>.  </w:t>
      </w:r>
      <w:r w:rsidRPr="002D7F46" w:rsidR="007F12EB">
        <w:t>After</w:t>
      </w:r>
      <w:r w:rsidRPr="002D7F46">
        <w:t xml:space="preserve"> 25 April 2000 the applicant </w:t>
      </w:r>
      <w:r w:rsidRPr="002D7F46" w:rsidR="007F12EB">
        <w:t>stopped</w:t>
      </w:r>
      <w:r w:rsidRPr="002D7F46">
        <w:t xml:space="preserve"> pa</w:t>
      </w:r>
      <w:r w:rsidRPr="002D7F46" w:rsidR="007F12EB">
        <w:t>y</w:t>
      </w:r>
      <w:r w:rsidRPr="002D7F46">
        <w:t>i</w:t>
      </w:r>
      <w:r w:rsidRPr="002D7F46" w:rsidR="007F12EB">
        <w:t>ng</w:t>
      </w:r>
      <w:r w:rsidRPr="002D7F46">
        <w:t xml:space="preserve"> any bills for the apartment, considering that since it was officially no longer habitable</w:t>
      </w:r>
      <w:r w:rsidRPr="002D7F46" w:rsidR="007F12EB">
        <w:t>,</w:t>
      </w:r>
      <w:r w:rsidRPr="002D7F46">
        <w:t xml:space="preserve"> she could not incur expenses in relation to it. Moreover, she claimed that most of the services (heating, hot water, building repairs, etc.) were no longer </w:t>
      </w:r>
      <w:r w:rsidRPr="002D7F46" w:rsidR="007F12EB">
        <w:t xml:space="preserve">being </w:t>
      </w:r>
      <w:r w:rsidRPr="002D7F46">
        <w:t>provided.</w:t>
      </w:r>
    </w:p>
    <w:p w:rsidRPr="002D7F46" w:rsidR="000739C4"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8</w:t>
      </w:r>
      <w:r w:rsidRPr="002D7F46">
        <w:fldChar w:fldCharType="end"/>
      </w:r>
      <w:r w:rsidRPr="002D7F46">
        <w:t xml:space="preserve">.  On 11 January 2007 the Municipal Company for Administering the </w:t>
      </w:r>
      <w:r w:rsidRPr="002D7F46" w:rsidR="0064705B">
        <w:t xml:space="preserve">Housing </w:t>
      </w:r>
      <w:r w:rsidRPr="002D7F46">
        <w:t xml:space="preserve">Fund </w:t>
      </w:r>
      <w:r w:rsidRPr="002D7F46" w:rsidR="008A2E9A">
        <w:t xml:space="preserve">no. 14 </w:t>
      </w:r>
      <w:r w:rsidRPr="002D7F46">
        <w:t>(“the MCA</w:t>
      </w:r>
      <w:r w:rsidRPr="002D7F46" w:rsidR="00525D83">
        <w:t>H</w:t>
      </w:r>
      <w:r w:rsidRPr="002D7F46">
        <w:t>F</w:t>
      </w:r>
      <w:r w:rsidRPr="002D7F46" w:rsidR="008A2E9A">
        <w:t>-14</w:t>
      </w:r>
      <w:r w:rsidRPr="002D7F46">
        <w:t>”) lodged a court action against the applicant, claiming that she had failed to pay for the services provided to her</w:t>
      </w:r>
      <w:r w:rsidRPr="002D7F46" w:rsidR="007F12EB">
        <w:t>,</w:t>
      </w:r>
      <w:r w:rsidRPr="002D7F46">
        <w:t xml:space="preserve"> </w:t>
      </w:r>
      <w:r w:rsidRPr="002D7F46" w:rsidR="007F12EB">
        <w:t xml:space="preserve">thereby </w:t>
      </w:r>
      <w:r w:rsidRPr="002D7F46">
        <w:t>accumulat</w:t>
      </w:r>
      <w:r w:rsidRPr="002D7F46" w:rsidR="007F12EB">
        <w:t>ing</w:t>
      </w:r>
      <w:r w:rsidRPr="002D7F46">
        <w:t xml:space="preserve"> a debt of 9,606 Moldovan lei (MDL</w:t>
      </w:r>
      <w:r w:rsidRPr="002D7F46" w:rsidR="00CC6348">
        <w:t>, the equivalent of 568 euros (EUR) at the time</w:t>
      </w:r>
      <w:r w:rsidRPr="002D7F46">
        <w:t xml:space="preserve">). It subsequently increased the sum claimed to MDL 11,954 after discovering that two </w:t>
      </w:r>
      <w:r w:rsidRPr="002D7F46" w:rsidR="007F12EB">
        <w:t xml:space="preserve">people </w:t>
      </w:r>
      <w:r w:rsidRPr="002D7F46">
        <w:t>were living in the apartment and not just the applicant.</w:t>
      </w:r>
    </w:p>
    <w:bookmarkStart w:name="p_9_TA_rasises_limitation_issue" w:id="1"/>
    <w:p w:rsidRPr="002D7F46" w:rsidR="007F12EB" w:rsidP="002D7F46" w:rsidRDefault="00DE1533">
      <w:pPr>
        <w:pStyle w:val="JuPara"/>
      </w:pPr>
      <w:r w:rsidRPr="002D7F46">
        <w:fldChar w:fldCharType="begin"/>
      </w:r>
      <w:r w:rsidRPr="002D7F46">
        <w:instrText xml:space="preserve"> SEQ level0 \*arabic </w:instrText>
      </w:r>
      <w:r w:rsidRPr="002D7F46">
        <w:fldChar w:fldCharType="separate"/>
      </w:r>
      <w:r w:rsidRPr="002D7F46" w:rsidR="002D7F46">
        <w:rPr>
          <w:noProof/>
        </w:rPr>
        <w:t>9</w:t>
      </w:r>
      <w:r w:rsidRPr="002D7F46">
        <w:fldChar w:fldCharType="end"/>
      </w:r>
      <w:bookmarkEnd w:id="1"/>
      <w:r w:rsidRPr="002D7F46">
        <w:t>.  </w:t>
      </w:r>
      <w:r w:rsidRPr="002D7F46" w:rsidR="007F12EB">
        <w:t xml:space="preserve">The applicant submitted to the court, </w:t>
      </w:r>
      <w:r w:rsidRPr="002D7F46" w:rsidR="007F12EB">
        <w:rPr>
          <w:i/>
        </w:rPr>
        <w:t>inter alia</w:t>
      </w:r>
      <w:r w:rsidRPr="002D7F46" w:rsidR="007F12EB">
        <w:t>, that some of the MCAHF-14</w:t>
      </w:r>
      <w:r w:rsidRPr="002D7F46" w:rsidR="002D7F46">
        <w:t>’</w:t>
      </w:r>
      <w:r w:rsidRPr="002D7F46" w:rsidR="007F12EB">
        <w:t xml:space="preserve">s claims were time-barred on account of the three-year limitation period </w:t>
      </w:r>
      <w:r w:rsidRPr="002D7F46">
        <w:t xml:space="preserve">(see paragraph </w:t>
      </w:r>
      <w:r w:rsidRPr="002D7F46">
        <w:fldChar w:fldCharType="begin"/>
      </w:r>
      <w:r w:rsidRPr="002D7F46">
        <w:instrText xml:space="preserve"> REF p_17_CC \h </w:instrText>
      </w:r>
      <w:r w:rsidRPr="002D7F46">
        <w:fldChar w:fldCharType="separate"/>
      </w:r>
      <w:r w:rsidRPr="002D7F46" w:rsidR="002D7F46">
        <w:rPr>
          <w:noProof/>
        </w:rPr>
        <w:t>17</w:t>
      </w:r>
      <w:r w:rsidRPr="002D7F46">
        <w:fldChar w:fldCharType="end"/>
      </w:r>
      <w:r w:rsidRPr="002D7F46">
        <w:t xml:space="preserve"> below)</w:t>
      </w:r>
      <w:r w:rsidRPr="002D7F46" w:rsidR="007F12EB">
        <w:t>.</w:t>
      </w:r>
    </w:p>
    <w:p w:rsidRPr="002D7F46" w:rsidR="008A2E9A" w:rsidP="002D7F46" w:rsidRDefault="008A2E9A">
      <w:pPr>
        <w:pStyle w:val="JuPara"/>
      </w:pPr>
      <w:r w:rsidRPr="002D7F46">
        <w:fldChar w:fldCharType="begin"/>
      </w:r>
      <w:r w:rsidRPr="002D7F46">
        <w:instrText xml:space="preserve"> SEQ level0 \*arabic </w:instrText>
      </w:r>
      <w:r w:rsidRPr="002D7F46">
        <w:fldChar w:fldCharType="separate"/>
      </w:r>
      <w:r w:rsidRPr="002D7F46" w:rsidR="002D7F46">
        <w:rPr>
          <w:noProof/>
        </w:rPr>
        <w:t>10</w:t>
      </w:r>
      <w:r w:rsidRPr="002D7F46">
        <w:fldChar w:fldCharType="end"/>
      </w:r>
      <w:r w:rsidRPr="002D7F46">
        <w:t xml:space="preserve">.  The MCAAF-14 submitted that it had not missed the limitation period protecting its rights in court </w:t>
      </w:r>
      <w:r w:rsidRPr="002D7F46" w:rsidR="007F12EB">
        <w:t>because</w:t>
      </w:r>
      <w:r w:rsidRPr="002D7F46">
        <w:t xml:space="preserve"> it </w:t>
      </w:r>
      <w:r w:rsidRPr="002D7F46" w:rsidR="007F12EB">
        <w:t xml:space="preserve">had </w:t>
      </w:r>
      <w:r w:rsidRPr="002D7F46">
        <w:t xml:space="preserve">itself </w:t>
      </w:r>
      <w:r w:rsidRPr="002D7F46" w:rsidR="007F12EB">
        <w:t xml:space="preserve">been </w:t>
      </w:r>
      <w:r w:rsidRPr="002D7F46">
        <w:t>faced with court actions initiated by various service providers (heat, electricity, water, etc.) in 2004-2005</w:t>
      </w:r>
      <w:r w:rsidRPr="002D7F46" w:rsidR="00695EF0">
        <w:t>.</w:t>
      </w:r>
      <w:r w:rsidRPr="002D7F46">
        <w:t xml:space="preserve"> </w:t>
      </w:r>
      <w:r w:rsidRPr="002D7F46" w:rsidR="00695EF0">
        <w:t xml:space="preserve">This </w:t>
      </w:r>
      <w:r w:rsidRPr="002D7F46">
        <w:t xml:space="preserve">meant that it had </w:t>
      </w:r>
      <w:r w:rsidRPr="002D7F46" w:rsidR="007F12EB">
        <w:t xml:space="preserve">had </w:t>
      </w:r>
      <w:r w:rsidRPr="002D7F46">
        <w:t xml:space="preserve">to lodge court actions against </w:t>
      </w:r>
      <w:r w:rsidRPr="002D7F46" w:rsidR="007F12EB">
        <w:t xml:space="preserve">individuals </w:t>
      </w:r>
      <w:r w:rsidRPr="002D7F46">
        <w:t xml:space="preserve">who had used the </w:t>
      </w:r>
      <w:r w:rsidRPr="002D7F46" w:rsidR="00B46120">
        <w:t xml:space="preserve">relevant </w:t>
      </w:r>
      <w:r w:rsidRPr="002D7F46">
        <w:t xml:space="preserve">services but had failed to pay the service providers for them through the intermediary of the MCAHF-14. According to </w:t>
      </w:r>
      <w:r w:rsidRPr="002D7F46" w:rsidR="00BD4A61">
        <w:t xml:space="preserve">some of </w:t>
      </w:r>
      <w:r w:rsidRPr="002D7F46" w:rsidR="00695EF0">
        <w:t xml:space="preserve">the </w:t>
      </w:r>
      <w:r w:rsidRPr="002D7F46" w:rsidR="00BD4A61">
        <w:t>judgments</w:t>
      </w:r>
      <w:r w:rsidRPr="002D7F46" w:rsidR="004263EC">
        <w:t xml:space="preserve"> submitted to the file </w:t>
      </w:r>
      <w:r w:rsidRPr="002D7F46" w:rsidR="00BD4A61">
        <w:t>(for instance, th</w:t>
      </w:r>
      <w:r w:rsidRPr="002D7F46" w:rsidR="004263EC">
        <w:t>ose of 22 July 2004,</w:t>
      </w:r>
      <w:r w:rsidRPr="002D7F46" w:rsidR="00BD4A61">
        <w:t xml:space="preserve"> of 25 April 2005</w:t>
      </w:r>
      <w:r w:rsidRPr="002D7F46" w:rsidR="004263EC">
        <w:t xml:space="preserve"> and </w:t>
      </w:r>
      <w:r w:rsidRPr="002D7F46" w:rsidR="007F12EB">
        <w:t xml:space="preserve">of </w:t>
      </w:r>
      <w:r w:rsidRPr="002D7F46" w:rsidR="004263EC">
        <w:t>23 October 2006</w:t>
      </w:r>
      <w:r w:rsidRPr="002D7F46" w:rsidR="00BD4A61">
        <w:t>)</w:t>
      </w:r>
      <w:r w:rsidRPr="002D7F46" w:rsidR="007F12EB">
        <w:t>,</w:t>
      </w:r>
      <w:r w:rsidRPr="002D7F46" w:rsidR="00BD4A61">
        <w:t xml:space="preserve"> it was established that </w:t>
      </w:r>
      <w:r w:rsidRPr="002D7F46" w:rsidR="00FE614A">
        <w:t>contract</w:t>
      </w:r>
      <w:r w:rsidRPr="002D7F46" w:rsidR="005D1DFC">
        <w:t>s</w:t>
      </w:r>
      <w:r w:rsidRPr="002D7F46" w:rsidR="00FE614A">
        <w:t xml:space="preserve"> had been concluded </w:t>
      </w:r>
      <w:r w:rsidRPr="002D7F46" w:rsidR="00916F54">
        <w:t xml:space="preserve">between MCAHF-14 and </w:t>
      </w:r>
      <w:r w:rsidRPr="002D7F46" w:rsidR="005D1DFC">
        <w:t xml:space="preserve">various </w:t>
      </w:r>
      <w:r w:rsidRPr="002D7F46" w:rsidR="00916F54">
        <w:t>service provider</w:t>
      </w:r>
      <w:r w:rsidRPr="002D7F46" w:rsidR="005D1DFC">
        <w:t>s</w:t>
      </w:r>
      <w:r w:rsidRPr="002D7F46" w:rsidR="00916F54">
        <w:t xml:space="preserve"> </w:t>
      </w:r>
      <w:r w:rsidRPr="002D7F46" w:rsidR="00FE614A">
        <w:t xml:space="preserve">for the </w:t>
      </w:r>
      <w:r w:rsidRPr="002D7F46" w:rsidR="005D1DFC">
        <w:t xml:space="preserve">provision of </w:t>
      </w:r>
      <w:r w:rsidRPr="002D7F46" w:rsidR="00FE614A">
        <w:t>heating</w:t>
      </w:r>
      <w:r w:rsidRPr="002D7F46" w:rsidR="005D1DFC">
        <w:t>,</w:t>
      </w:r>
      <w:r w:rsidRPr="002D7F46" w:rsidR="00FE614A">
        <w:t xml:space="preserve"> water </w:t>
      </w:r>
      <w:r w:rsidRPr="002D7F46" w:rsidR="005D1DFC">
        <w:t>and electricity t</w:t>
      </w:r>
      <w:r w:rsidRPr="002D7F46" w:rsidR="00FE614A">
        <w:t>o the apartment blocks administered</w:t>
      </w:r>
      <w:r w:rsidRPr="002D7F46" w:rsidR="00916F54">
        <w:t xml:space="preserve"> by MCAHF-14.</w:t>
      </w:r>
    </w:p>
    <w:bookmarkStart w:name="p_11_1st_inst_court_dec" w:id="2"/>
    <w:p w:rsidRPr="002D7F46" w:rsidR="00822A6F"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11</w:t>
      </w:r>
      <w:r w:rsidRPr="002D7F46">
        <w:fldChar w:fldCharType="end"/>
      </w:r>
      <w:bookmarkEnd w:id="2"/>
      <w:r w:rsidRPr="002D7F46">
        <w:t xml:space="preserve">.  On 17 May 2007 the </w:t>
      </w:r>
      <w:proofErr w:type="spellStart"/>
      <w:r w:rsidRPr="002D7F46">
        <w:t>Buiucani</w:t>
      </w:r>
      <w:proofErr w:type="spellEnd"/>
      <w:r w:rsidRPr="002D7F46">
        <w:t xml:space="preserve"> District Court accepted the MCA</w:t>
      </w:r>
      <w:r w:rsidRPr="002D7F46" w:rsidR="00525D83">
        <w:t>H</w:t>
      </w:r>
      <w:r w:rsidRPr="002D7F46">
        <w:t>F</w:t>
      </w:r>
      <w:r w:rsidRPr="002D7F46" w:rsidR="008A2E9A">
        <w:t>-14</w:t>
      </w:r>
      <w:r w:rsidRPr="002D7F46" w:rsidR="002D7F46">
        <w:t>’</w:t>
      </w:r>
      <w:r w:rsidRPr="002D7F46">
        <w:t xml:space="preserve">s initial claims. </w:t>
      </w:r>
      <w:r w:rsidRPr="002D7F46" w:rsidR="001708F2">
        <w:t>It</w:t>
      </w:r>
      <w:r w:rsidRPr="002D7F46">
        <w:t xml:space="preserve"> found, in respect of the applicant</w:t>
      </w:r>
      <w:r w:rsidRPr="002D7F46" w:rsidR="002D7F46">
        <w:t>’</w:t>
      </w:r>
      <w:r w:rsidRPr="002D7F46">
        <w:t>s submissions about the limitation period, that:</w:t>
      </w:r>
    </w:p>
    <w:p w:rsidRPr="002D7F46" w:rsidR="00822A6F" w:rsidP="002D7F46" w:rsidRDefault="00822A6F">
      <w:pPr>
        <w:pStyle w:val="JuQuot"/>
      </w:pPr>
      <w:r w:rsidRPr="002D7F46">
        <w:t xml:space="preserve"> “[The court] cannot accept [the applicant</w:t>
      </w:r>
      <w:r w:rsidRPr="002D7F46" w:rsidR="002D7F46">
        <w:t>’</w:t>
      </w:r>
      <w:r w:rsidRPr="002D7F46">
        <w:t xml:space="preserve">s] argument concerning the limitation period, since </w:t>
      </w:r>
      <w:r w:rsidRPr="002D7F46" w:rsidR="007F12EB">
        <w:t>pursuant to</w:t>
      </w:r>
      <w:r w:rsidRPr="002D7F46">
        <w:t xml:space="preserve"> Article 276 of the Civil Code, </w:t>
      </w:r>
      <w:r w:rsidRPr="002D7F46" w:rsidR="00A000E1">
        <w:t xml:space="preserve">no </w:t>
      </w:r>
      <w:r w:rsidRPr="002D7F46">
        <w:t xml:space="preserve">limitation period </w:t>
      </w:r>
      <w:r w:rsidRPr="002D7F46" w:rsidR="00A000E1">
        <w:t>s</w:t>
      </w:r>
      <w:r w:rsidRPr="002D7F46" w:rsidR="0023071E">
        <w:t>tarts</w:t>
      </w:r>
      <w:r w:rsidRPr="002D7F46" w:rsidR="00A000E1">
        <w:t xml:space="preserve"> </w:t>
      </w:r>
      <w:r w:rsidRPr="002D7F46">
        <w:t>t</w:t>
      </w:r>
      <w:r w:rsidRPr="002D7F46" w:rsidR="0023071E">
        <w:t>o</w:t>
      </w:r>
      <w:r w:rsidRPr="002D7F46">
        <w:t xml:space="preserve"> run</w:t>
      </w:r>
      <w:r w:rsidRPr="002D7F46" w:rsidR="0023071E">
        <w:t xml:space="preserve"> </w:t>
      </w:r>
      <w:r w:rsidRPr="002D7F46" w:rsidR="007F12EB">
        <w:rPr>
          <w:rFonts w:cstheme="minorHAnsi"/>
        </w:rPr>
        <w:t>‒</w:t>
      </w:r>
      <w:r w:rsidRPr="002D7F46">
        <w:t xml:space="preserve"> and if </w:t>
      </w:r>
      <w:r w:rsidRPr="002D7F46" w:rsidR="00A000E1">
        <w:t>one</w:t>
      </w:r>
      <w:r w:rsidRPr="002D7F46">
        <w:t xml:space="preserve"> </w:t>
      </w:r>
      <w:r w:rsidRPr="002D7F46" w:rsidR="00A000E1">
        <w:t xml:space="preserve">has </w:t>
      </w:r>
      <w:r w:rsidRPr="002D7F46">
        <w:t xml:space="preserve">started </w:t>
      </w:r>
      <w:r w:rsidRPr="002D7F46" w:rsidR="0023071E">
        <w:t xml:space="preserve">to </w:t>
      </w:r>
      <w:r w:rsidRPr="002D7F46">
        <w:t>run</w:t>
      </w:r>
      <w:r w:rsidRPr="002D7F46" w:rsidR="000739C4">
        <w:t xml:space="preserve"> </w:t>
      </w:r>
      <w:r w:rsidRPr="002D7F46">
        <w:t xml:space="preserve">it </w:t>
      </w:r>
      <w:r w:rsidRPr="002D7F46" w:rsidR="007F12EB">
        <w:t xml:space="preserve">must </w:t>
      </w:r>
      <w:r w:rsidRPr="002D7F46">
        <w:t>be suspended</w:t>
      </w:r>
      <w:r w:rsidRPr="002D7F46" w:rsidR="007F12EB">
        <w:t xml:space="preserve"> </w:t>
      </w:r>
      <w:r w:rsidRPr="002D7F46" w:rsidR="007F12EB">
        <w:rPr>
          <w:rFonts w:cstheme="minorHAnsi"/>
        </w:rPr>
        <w:t>‒</w:t>
      </w:r>
      <w:r w:rsidRPr="002D7F46">
        <w:t xml:space="preserve"> between </w:t>
      </w:r>
      <w:r w:rsidRPr="002D7F46" w:rsidR="007F12EB">
        <w:t xml:space="preserve">a </w:t>
      </w:r>
      <w:r w:rsidRPr="002D7F46">
        <w:t xml:space="preserve">person who, by virtue of a law, a court judgment or a legal act, </w:t>
      </w:r>
      <w:r w:rsidRPr="002D7F46" w:rsidR="007F12EB">
        <w:t xml:space="preserve">is </w:t>
      </w:r>
      <w:r w:rsidRPr="002D7F46">
        <w:t>administer</w:t>
      </w:r>
      <w:r w:rsidRPr="002D7F46" w:rsidR="007F12EB">
        <w:t>ing</w:t>
      </w:r>
      <w:r w:rsidRPr="002D7F46">
        <w:t xml:space="preserve"> the property of another person and the person whose property is </w:t>
      </w:r>
      <w:r w:rsidRPr="002D7F46" w:rsidR="001708F2">
        <w:t xml:space="preserve">being thus </w:t>
      </w:r>
      <w:r w:rsidRPr="002D7F46">
        <w:t xml:space="preserve">administered, </w:t>
      </w:r>
      <w:r w:rsidRPr="002D7F46" w:rsidR="007B7C28">
        <w:t>provided that</w:t>
      </w:r>
      <w:r w:rsidRPr="002D7F46">
        <w:t xml:space="preserve"> the administration </w:t>
      </w:r>
      <w:r w:rsidRPr="002D7F46" w:rsidR="007B7C28">
        <w:t xml:space="preserve">has </w:t>
      </w:r>
      <w:r w:rsidRPr="002D7F46">
        <w:t xml:space="preserve">not </w:t>
      </w:r>
      <w:r w:rsidRPr="002D7F46" w:rsidR="007B7C28">
        <w:t>c</w:t>
      </w:r>
      <w:r w:rsidRPr="002D7F46">
        <w:t>e</w:t>
      </w:r>
      <w:r w:rsidRPr="002D7F46" w:rsidR="007B7C28">
        <w:t>ased</w:t>
      </w:r>
      <w:r w:rsidRPr="002D7F46">
        <w:t xml:space="preserve"> and the </w:t>
      </w:r>
      <w:r w:rsidRPr="002D7F46" w:rsidR="00DC4120">
        <w:t xml:space="preserve">final </w:t>
      </w:r>
      <w:r w:rsidRPr="002D7F46">
        <w:t xml:space="preserve">calculations </w:t>
      </w:r>
      <w:r w:rsidRPr="002D7F46" w:rsidR="007B7C28">
        <w:t xml:space="preserve">have </w:t>
      </w:r>
      <w:r w:rsidRPr="002D7F46">
        <w:t xml:space="preserve">not </w:t>
      </w:r>
      <w:r w:rsidRPr="002D7F46" w:rsidR="007B7C28">
        <w:t xml:space="preserve">been </w:t>
      </w:r>
      <w:r w:rsidRPr="002D7F46">
        <w:t>made and approved.”</w:t>
      </w:r>
    </w:p>
    <w:p w:rsidRPr="002D7F46" w:rsidR="00822A6F"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12</w:t>
      </w:r>
      <w:r w:rsidRPr="002D7F46">
        <w:fldChar w:fldCharType="end"/>
      </w:r>
      <w:r w:rsidRPr="002D7F46">
        <w:t xml:space="preserve">.  The applicant appealed. In respect of the limitation period she noted that the lower court had applied a legal provision which could not apply to situations such as hers. She added that the first-instance court had failed to deal with most of her arguments, such as the </w:t>
      </w:r>
      <w:r w:rsidRPr="002D7F46">
        <w:rPr>
          <w:i/>
        </w:rPr>
        <w:t>de facto</w:t>
      </w:r>
      <w:r w:rsidRPr="002D7F46">
        <w:t xml:space="preserve"> failure to provide her with the services for which she was </w:t>
      </w:r>
      <w:r w:rsidRPr="002D7F46" w:rsidR="001708F2">
        <w:t xml:space="preserve">being </w:t>
      </w:r>
      <w:r w:rsidRPr="002D7F46">
        <w:t>asked to pay.</w:t>
      </w:r>
    </w:p>
    <w:p w:rsidRPr="002D7F46" w:rsidR="00822A6F"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13</w:t>
      </w:r>
      <w:r w:rsidRPr="002D7F46">
        <w:fldChar w:fldCharType="end"/>
      </w:r>
      <w:r w:rsidRPr="002D7F46">
        <w:t xml:space="preserve">.  On 28 November 2007 the </w:t>
      </w:r>
      <w:proofErr w:type="spellStart"/>
      <w:r w:rsidRPr="002D7F46">
        <w:t>Chişinău</w:t>
      </w:r>
      <w:proofErr w:type="spellEnd"/>
      <w:r w:rsidRPr="002D7F46">
        <w:t xml:space="preserve"> Court of Appeal upheld the lower court</w:t>
      </w:r>
      <w:r w:rsidRPr="002D7F46" w:rsidR="002D7F46">
        <w:t>’</w:t>
      </w:r>
      <w:r w:rsidRPr="002D7F46">
        <w:t xml:space="preserve">s judgment. The court found that the applicant had failed to submit any evidence in support of her contention that she had not been provided with the relevant services. It did not deal with the issue of </w:t>
      </w:r>
      <w:r w:rsidRPr="002D7F46" w:rsidR="001708F2">
        <w:t xml:space="preserve">the </w:t>
      </w:r>
      <w:r w:rsidRPr="002D7F46">
        <w:t>expiry of the limitation period.</w:t>
      </w:r>
    </w:p>
    <w:p w:rsidRPr="002D7F46" w:rsidR="00822A6F"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14</w:t>
      </w:r>
      <w:r w:rsidRPr="002D7F46">
        <w:fldChar w:fldCharType="end"/>
      </w:r>
      <w:r w:rsidRPr="002D7F46">
        <w:t xml:space="preserve">.  The applicant lodged an appeal </w:t>
      </w:r>
      <w:r w:rsidRPr="002D7F46" w:rsidR="007B7C28">
        <w:t>on points of law</w:t>
      </w:r>
      <w:r w:rsidRPr="002D7F46">
        <w:t xml:space="preserve">, relying on the same arguments as earlier, including the expiry of the limitation period and the failure of the </w:t>
      </w:r>
      <w:proofErr w:type="spellStart"/>
      <w:r w:rsidRPr="002D7F46">
        <w:t>Chişinău</w:t>
      </w:r>
      <w:proofErr w:type="spellEnd"/>
      <w:r w:rsidRPr="002D7F46">
        <w:t xml:space="preserve"> Court of Appeal to deal with that argument.</w:t>
      </w:r>
    </w:p>
    <w:bookmarkStart w:name="p_15_SCJ_dec" w:id="3"/>
    <w:p w:rsidRPr="002D7F46" w:rsidR="00822A6F"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15</w:t>
      </w:r>
      <w:r w:rsidRPr="002D7F46">
        <w:fldChar w:fldCharType="end"/>
      </w:r>
      <w:bookmarkEnd w:id="3"/>
      <w:r w:rsidRPr="002D7F46">
        <w:t>.  By its final judgment of 7 May 2008 the Supreme Court of Justice upheld the lower courts</w:t>
      </w:r>
      <w:r w:rsidRPr="002D7F46" w:rsidR="002D7F46">
        <w:t>’</w:t>
      </w:r>
      <w:r w:rsidRPr="002D7F46">
        <w:t xml:space="preserve"> judgments, finding that they had been </w:t>
      </w:r>
      <w:r w:rsidRPr="002D7F46" w:rsidR="007B7C28">
        <w:t>proper</w:t>
      </w:r>
      <w:r w:rsidRPr="002D7F46">
        <w:t xml:space="preserve">ly reasoned and based on the evidence in the file. </w:t>
      </w:r>
      <w:r w:rsidRPr="002D7F46" w:rsidR="00E74B53">
        <w:t>The court relied on Article</w:t>
      </w:r>
      <w:r w:rsidRPr="002D7F46" w:rsidR="0078208D">
        <w:t> </w:t>
      </w:r>
      <w:r w:rsidRPr="002D7F46" w:rsidR="00E74B53">
        <w:t xml:space="preserve">17 of the “Regulation concerning the manner of offering housing services, </w:t>
      </w:r>
      <w:r w:rsidRPr="002D7F46" w:rsidR="007B7C28">
        <w:t>utility-related</w:t>
      </w:r>
      <w:r w:rsidRPr="002D7F46" w:rsidR="00E74B53">
        <w:t xml:space="preserve"> services and non-utilit</w:t>
      </w:r>
      <w:r w:rsidRPr="002D7F46" w:rsidR="007B7C28">
        <w:t>y-related</w:t>
      </w:r>
      <w:r w:rsidRPr="002D7F46" w:rsidR="00E74B53">
        <w:t xml:space="preserve"> services to the housing fund</w:t>
      </w:r>
      <w:r w:rsidRPr="002D7F46" w:rsidR="000739C4">
        <w:t>...</w:t>
      </w:r>
      <w:r w:rsidRPr="002D7F46" w:rsidR="00E74B53">
        <w:t>” (</w:t>
      </w:r>
      <w:proofErr w:type="gramStart"/>
      <w:r w:rsidRPr="002D7F46" w:rsidR="00E74B53">
        <w:t>see</w:t>
      </w:r>
      <w:proofErr w:type="gramEnd"/>
      <w:r w:rsidRPr="002D7F46" w:rsidR="00E74B53">
        <w:t xml:space="preserve"> paragraph </w:t>
      </w:r>
      <w:r w:rsidRPr="002D7F46" w:rsidR="00E74B53">
        <w:fldChar w:fldCharType="begin"/>
      </w:r>
      <w:r w:rsidRPr="002D7F46" w:rsidR="00E74B53">
        <w:instrText xml:space="preserve"> REF p_18_Regulation_housing_fund \h </w:instrText>
      </w:r>
      <w:r w:rsidRPr="002D7F46" w:rsidR="007F12EB">
        <w:instrText xml:space="preserve"> \* MERGEFORMAT </w:instrText>
      </w:r>
      <w:r w:rsidRPr="002D7F46" w:rsidR="00E74B53">
        <w:fldChar w:fldCharType="separate"/>
      </w:r>
      <w:r w:rsidRPr="002D7F46" w:rsidR="002D7F46">
        <w:rPr>
          <w:noProof/>
        </w:rPr>
        <w:t>18</w:t>
      </w:r>
      <w:r w:rsidRPr="002D7F46" w:rsidR="00E74B53">
        <w:fldChar w:fldCharType="end"/>
      </w:r>
      <w:r w:rsidRPr="002D7F46" w:rsidR="00E74B53">
        <w:t xml:space="preserve"> below). It </w:t>
      </w:r>
      <w:r w:rsidRPr="002D7F46">
        <w:t>did not respond to the applicant</w:t>
      </w:r>
      <w:r w:rsidRPr="002D7F46" w:rsidR="002D7F46">
        <w:t>’</w:t>
      </w:r>
      <w:r w:rsidRPr="002D7F46">
        <w:t>s submission concerning the expiry of the limitation period.</w:t>
      </w:r>
    </w:p>
    <w:p w:rsidRPr="002D7F46" w:rsidR="00014566" w:rsidP="002D7F46" w:rsidRDefault="00822A6F">
      <w:pPr>
        <w:pStyle w:val="JuPara"/>
      </w:pPr>
      <w:r w:rsidRPr="002D7F46">
        <w:fldChar w:fldCharType="begin"/>
      </w:r>
      <w:r w:rsidRPr="002D7F46">
        <w:instrText xml:space="preserve"> SEQ level0 \*arabic </w:instrText>
      </w:r>
      <w:r w:rsidRPr="002D7F46">
        <w:fldChar w:fldCharType="separate"/>
      </w:r>
      <w:r w:rsidRPr="002D7F46" w:rsidR="002D7F46">
        <w:rPr>
          <w:noProof/>
        </w:rPr>
        <w:t>16</w:t>
      </w:r>
      <w:r w:rsidRPr="002D7F46">
        <w:fldChar w:fldCharType="end"/>
      </w:r>
      <w:r w:rsidRPr="002D7F46">
        <w:t xml:space="preserve">.  According to the applicant, </w:t>
      </w:r>
      <w:r w:rsidRPr="002D7F46" w:rsidR="0064705B">
        <w:t xml:space="preserve">she challenged Judge S.M., who </w:t>
      </w:r>
      <w:r w:rsidRPr="002D7F46" w:rsidR="0023071E">
        <w:t xml:space="preserve">had </w:t>
      </w:r>
      <w:r w:rsidRPr="002D7F46" w:rsidR="0064705B">
        <w:t xml:space="preserve">sat </w:t>
      </w:r>
      <w:r w:rsidRPr="002D7F46" w:rsidR="007B7C28">
        <w:t xml:space="preserve">on </w:t>
      </w:r>
      <w:r w:rsidRPr="002D7F46" w:rsidR="0064705B">
        <w:t>the three-judge panel of the Supreme Court of Justice when her previous case had been examined in 2000</w:t>
      </w:r>
      <w:r w:rsidRPr="002D7F46">
        <w:t xml:space="preserve">. Her challenge had been accepted </w:t>
      </w:r>
      <w:r w:rsidRPr="002D7F46" w:rsidR="001708F2">
        <w:t xml:space="preserve">at the time </w:t>
      </w:r>
      <w:r w:rsidRPr="002D7F46">
        <w:t xml:space="preserve">and another judge </w:t>
      </w:r>
      <w:r w:rsidRPr="002D7F46" w:rsidR="007B7C28">
        <w:t xml:space="preserve">had </w:t>
      </w:r>
      <w:r w:rsidRPr="002D7F46">
        <w:t>examined the case.</w:t>
      </w:r>
    </w:p>
    <w:p w:rsidRPr="002D7F46" w:rsidR="00014566" w:rsidP="002D7F46" w:rsidRDefault="00014566">
      <w:pPr>
        <w:pStyle w:val="JuHIRoman"/>
      </w:pPr>
      <w:r w:rsidRPr="002D7F46">
        <w:t>RELEVANT DOMESTIC LAW AND PRACTICE</w:t>
      </w:r>
    </w:p>
    <w:bookmarkStart w:name="p_17_CC" w:id="4"/>
    <w:p w:rsidRPr="002D7F46" w:rsidR="001A7F8F"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17</w:t>
      </w:r>
      <w:r w:rsidRPr="002D7F46">
        <w:fldChar w:fldCharType="end"/>
      </w:r>
      <w:bookmarkEnd w:id="4"/>
      <w:r w:rsidRPr="002D7F46" w:rsidR="00014566">
        <w:t>.  </w:t>
      </w:r>
      <w:r w:rsidRPr="002D7F46" w:rsidR="001A7F8F">
        <w:t>The relevant provisions of the Civil Code</w:t>
      </w:r>
      <w:r w:rsidRPr="002D7F46" w:rsidR="008604D9">
        <w:t>, as in force at the relevant time,</w:t>
      </w:r>
      <w:r w:rsidRPr="002D7F46" w:rsidR="001A7F8F">
        <w:t xml:space="preserve"> read:</w:t>
      </w:r>
    </w:p>
    <w:p w:rsidRPr="002D7F46" w:rsidR="000739C4" w:rsidP="002D7F46" w:rsidRDefault="00B608E9">
      <w:pPr>
        <w:pStyle w:val="JuHArticle"/>
      </w:pPr>
      <w:r w:rsidRPr="002D7F46">
        <w:t>Article 267</w:t>
      </w:r>
    </w:p>
    <w:p w:rsidRPr="002D7F46" w:rsidR="000739C4" w:rsidP="002D7F46" w:rsidRDefault="007B7C28">
      <w:pPr>
        <w:pStyle w:val="JuQuot"/>
      </w:pPr>
      <w:r w:rsidRPr="002D7F46">
        <w:t>“</w:t>
      </w:r>
      <w:r w:rsidRPr="002D7F46" w:rsidR="001A7F8F">
        <w:t>The general limitation period for protection through a court action of a person</w:t>
      </w:r>
      <w:r w:rsidRPr="002D7F46" w:rsidR="002D7F46">
        <w:t>’</w:t>
      </w:r>
      <w:r w:rsidRPr="002D7F46" w:rsidR="00652BE9">
        <w:t>s</w:t>
      </w:r>
      <w:r w:rsidRPr="002D7F46" w:rsidR="001A7F8F">
        <w:t xml:space="preserve"> </w:t>
      </w:r>
      <w:r w:rsidRPr="002D7F46" w:rsidR="00652BE9">
        <w:t xml:space="preserve">rights </w:t>
      </w:r>
      <w:r w:rsidRPr="002D7F46" w:rsidR="001A7F8F">
        <w:t>is three years.</w:t>
      </w:r>
    </w:p>
    <w:p w:rsidRPr="002D7F46" w:rsidR="001A7F8F" w:rsidP="002D7F46" w:rsidRDefault="000739C4">
      <w:pPr>
        <w:pStyle w:val="JuQuot"/>
      </w:pPr>
      <w:r w:rsidRPr="002D7F46">
        <w:t>...</w:t>
      </w:r>
      <w:r w:rsidRPr="002D7F46" w:rsidR="001A7F8F">
        <w:t>”</w:t>
      </w:r>
    </w:p>
    <w:p w:rsidRPr="002D7F46" w:rsidR="001C74DC" w:rsidP="002D7F46" w:rsidRDefault="00B608E9">
      <w:pPr>
        <w:pStyle w:val="JuHArticle"/>
      </w:pPr>
      <w:r w:rsidRPr="002D7F46">
        <w:t>Article 271</w:t>
      </w:r>
    </w:p>
    <w:p w:rsidRPr="002D7F46" w:rsidR="001C74DC" w:rsidP="002D7F46" w:rsidRDefault="007B7C28">
      <w:pPr>
        <w:pStyle w:val="JuQuot"/>
      </w:pPr>
      <w:r w:rsidRPr="002D7F46">
        <w:t>“</w:t>
      </w:r>
      <w:r w:rsidRPr="002D7F46" w:rsidR="00F604B8">
        <w:t xml:space="preserve">A court action for the protection of a right </w:t>
      </w:r>
      <w:r w:rsidRPr="002D7F46" w:rsidR="00652BE9">
        <w:t xml:space="preserve">may </w:t>
      </w:r>
      <w:r w:rsidRPr="002D7F46" w:rsidR="00F604B8">
        <w:t xml:space="preserve">be rejected on the basis of expiry of the limitation period only </w:t>
      </w:r>
      <w:r w:rsidRPr="002D7F46" w:rsidR="00652BE9">
        <w:t xml:space="preserve">where </w:t>
      </w:r>
      <w:r w:rsidRPr="002D7F46" w:rsidR="00F604B8">
        <w:t>the</w:t>
      </w:r>
      <w:r w:rsidRPr="002D7F46" w:rsidR="00652BE9">
        <w:t>re has been a</w:t>
      </w:r>
      <w:r w:rsidRPr="002D7F46" w:rsidR="00F604B8">
        <w:t xml:space="preserve"> request </w:t>
      </w:r>
      <w:r w:rsidRPr="002D7F46" w:rsidR="00652BE9">
        <w:t xml:space="preserve">from </w:t>
      </w:r>
      <w:r w:rsidRPr="002D7F46" w:rsidR="00F604B8">
        <w:t>the party in whose favour the prescription runs</w:t>
      </w:r>
      <w:r w:rsidRPr="002D7F46" w:rsidR="00125786">
        <w:t xml:space="preserve">, submitted before the end of the </w:t>
      </w:r>
      <w:r w:rsidRPr="002D7F46" w:rsidR="00F4780E">
        <w:t xml:space="preserve">hearing concerning </w:t>
      </w:r>
      <w:r w:rsidRPr="002D7F46" w:rsidR="000103DA">
        <w:t>the merits of the case</w:t>
      </w:r>
      <w:r w:rsidRPr="002D7F46" w:rsidR="00125786">
        <w:t>.</w:t>
      </w:r>
      <w:r w:rsidRPr="002D7F46" w:rsidR="001C74DC">
        <w:t>”</w:t>
      </w:r>
    </w:p>
    <w:p w:rsidRPr="002D7F46" w:rsidR="001A7F8F" w:rsidP="002D7F46" w:rsidRDefault="00B608E9">
      <w:pPr>
        <w:pStyle w:val="JuHArticle"/>
      </w:pPr>
      <w:r w:rsidRPr="002D7F46">
        <w:t>Article 276</w:t>
      </w:r>
    </w:p>
    <w:p w:rsidRPr="002D7F46" w:rsidR="001A7F8F" w:rsidP="002D7F46" w:rsidRDefault="00652BE9">
      <w:pPr>
        <w:pStyle w:val="JuQuot"/>
      </w:pPr>
      <w:r w:rsidRPr="002D7F46">
        <w:t>“</w:t>
      </w:r>
      <w:r w:rsidRPr="002D7F46" w:rsidR="00A000E1">
        <w:t xml:space="preserve">No </w:t>
      </w:r>
      <w:r w:rsidRPr="002D7F46" w:rsidR="001A7F8F">
        <w:t>limitation period st</w:t>
      </w:r>
      <w:r w:rsidRPr="002D7F46" w:rsidR="0023071E">
        <w:t>arts</w:t>
      </w:r>
      <w:r w:rsidRPr="002D7F46" w:rsidR="001A7F8F">
        <w:t xml:space="preserve"> </w:t>
      </w:r>
      <w:r w:rsidRPr="002D7F46" w:rsidR="0023071E">
        <w:t xml:space="preserve">to </w:t>
      </w:r>
      <w:r w:rsidRPr="002D7F46" w:rsidR="001A7F8F">
        <w:t>run</w:t>
      </w:r>
      <w:r w:rsidRPr="002D7F46" w:rsidR="00D61CE7">
        <w:t xml:space="preserve"> </w:t>
      </w:r>
      <w:r w:rsidRPr="002D7F46">
        <w:rPr>
          <w:rFonts w:cstheme="minorHAnsi"/>
        </w:rPr>
        <w:t>‒</w:t>
      </w:r>
      <w:r w:rsidRPr="002D7F46" w:rsidR="001A7F8F">
        <w:t xml:space="preserve"> and if </w:t>
      </w:r>
      <w:r w:rsidRPr="002D7F46" w:rsidR="00A000E1">
        <w:t>one</w:t>
      </w:r>
      <w:r w:rsidRPr="002D7F46" w:rsidR="001A7F8F">
        <w:t xml:space="preserve"> </w:t>
      </w:r>
      <w:r w:rsidRPr="002D7F46" w:rsidR="00A000E1">
        <w:t xml:space="preserve">has </w:t>
      </w:r>
      <w:r w:rsidRPr="002D7F46" w:rsidR="001A7F8F">
        <w:t xml:space="preserve">started </w:t>
      </w:r>
      <w:r w:rsidRPr="002D7F46" w:rsidR="0023071E">
        <w:t xml:space="preserve">to </w:t>
      </w:r>
      <w:r w:rsidRPr="002D7F46" w:rsidR="001A7F8F">
        <w:t>run it shall be suspended</w:t>
      </w:r>
      <w:r w:rsidRPr="002D7F46">
        <w:t xml:space="preserve"> </w:t>
      </w:r>
      <w:r w:rsidRPr="002D7F46">
        <w:rPr>
          <w:rFonts w:cstheme="minorHAnsi"/>
        </w:rPr>
        <w:t>‒</w:t>
      </w:r>
      <w:r w:rsidRPr="002D7F46" w:rsidR="001A7F8F">
        <w:t xml:space="preserve"> between </w:t>
      </w:r>
      <w:r w:rsidRPr="002D7F46">
        <w:t xml:space="preserve">a </w:t>
      </w:r>
      <w:r w:rsidRPr="002D7F46" w:rsidR="001A7F8F">
        <w:t>person who, by virtue of a law, a court judgment or a legal act,</w:t>
      </w:r>
      <w:r w:rsidRPr="002D7F46">
        <w:t xml:space="preserve"> is</w:t>
      </w:r>
      <w:r w:rsidRPr="002D7F46" w:rsidR="001A7F8F">
        <w:t xml:space="preserve"> administer</w:t>
      </w:r>
      <w:r w:rsidRPr="002D7F46">
        <w:t>ing</w:t>
      </w:r>
      <w:r w:rsidRPr="002D7F46" w:rsidR="001A7F8F">
        <w:t xml:space="preserve"> the property of another person and the person whose property is </w:t>
      </w:r>
      <w:r w:rsidRPr="002D7F46" w:rsidR="001708F2">
        <w:t xml:space="preserve">being thus </w:t>
      </w:r>
      <w:r w:rsidRPr="002D7F46" w:rsidR="001A7F8F">
        <w:t xml:space="preserve">administered, </w:t>
      </w:r>
      <w:r w:rsidRPr="002D7F46" w:rsidR="00DC4120">
        <w:t>provided that</w:t>
      </w:r>
      <w:r w:rsidRPr="002D7F46" w:rsidR="001A7F8F">
        <w:t xml:space="preserve"> the administration </w:t>
      </w:r>
      <w:r w:rsidRPr="002D7F46" w:rsidR="00DC4120">
        <w:t xml:space="preserve">has </w:t>
      </w:r>
      <w:r w:rsidRPr="002D7F46" w:rsidR="001A7F8F">
        <w:t xml:space="preserve">not </w:t>
      </w:r>
      <w:r w:rsidRPr="002D7F46" w:rsidR="00DC4120">
        <w:t xml:space="preserve">ceased </w:t>
      </w:r>
      <w:r w:rsidRPr="002D7F46" w:rsidR="001A7F8F">
        <w:t xml:space="preserve">and the </w:t>
      </w:r>
      <w:r w:rsidRPr="002D7F46" w:rsidR="00DC4120">
        <w:t xml:space="preserve">final </w:t>
      </w:r>
      <w:r w:rsidRPr="002D7F46" w:rsidR="001A7F8F">
        <w:t xml:space="preserve">calculations </w:t>
      </w:r>
      <w:r w:rsidRPr="002D7F46" w:rsidR="00DC4120">
        <w:t xml:space="preserve">have </w:t>
      </w:r>
      <w:r w:rsidRPr="002D7F46" w:rsidR="001A7F8F">
        <w:t xml:space="preserve">not </w:t>
      </w:r>
      <w:r w:rsidRPr="002D7F46" w:rsidR="00DC4120">
        <w:t xml:space="preserve">been </w:t>
      </w:r>
      <w:r w:rsidRPr="002D7F46" w:rsidR="001A7F8F">
        <w:t>made and approved”.</w:t>
      </w:r>
    </w:p>
    <w:bookmarkStart w:name="p_18_Regulation_housing_fund" w:id="5"/>
    <w:p w:rsidRPr="002D7F46" w:rsidR="00260D4C" w:rsidP="002D7F46" w:rsidRDefault="00B34CF2">
      <w:pPr>
        <w:pStyle w:val="JuPara"/>
      </w:pPr>
      <w:r w:rsidRPr="002D7F46">
        <w:fldChar w:fldCharType="begin"/>
      </w:r>
      <w:r w:rsidRPr="002D7F46">
        <w:instrText xml:space="preserve"> SEQ level0 \*arabic </w:instrText>
      </w:r>
      <w:r w:rsidRPr="002D7F46">
        <w:fldChar w:fldCharType="separate"/>
      </w:r>
      <w:r w:rsidRPr="002D7F46" w:rsidR="002D7F46">
        <w:rPr>
          <w:noProof/>
        </w:rPr>
        <w:t>18</w:t>
      </w:r>
      <w:r w:rsidRPr="002D7F46">
        <w:fldChar w:fldCharType="end"/>
      </w:r>
      <w:bookmarkEnd w:id="5"/>
      <w:r w:rsidRPr="002D7F46">
        <w:t xml:space="preserve">.  The relevant provisions of the </w:t>
      </w:r>
      <w:r w:rsidRPr="002D7F46" w:rsidR="00FB1F2C">
        <w:t>“</w:t>
      </w:r>
      <w:r w:rsidRPr="002D7F46">
        <w:t xml:space="preserve">Regulation </w:t>
      </w:r>
      <w:r w:rsidRPr="002D7F46" w:rsidR="00260D4C">
        <w:t>concerning the manner of offering housing services, utilit</w:t>
      </w:r>
      <w:r w:rsidRPr="002D7F46" w:rsidR="00652BE9">
        <w:t>y-related</w:t>
      </w:r>
      <w:r w:rsidRPr="002D7F46" w:rsidR="00260D4C">
        <w:t xml:space="preserve"> services and non-utilit</w:t>
      </w:r>
      <w:r w:rsidRPr="002D7F46" w:rsidR="00652BE9">
        <w:t>y-related</w:t>
      </w:r>
      <w:r w:rsidRPr="002D7F46" w:rsidR="00260D4C">
        <w:t xml:space="preserve"> services to the </w:t>
      </w:r>
      <w:r w:rsidRPr="002D7F46" w:rsidR="0064705B">
        <w:t xml:space="preserve">housing </w:t>
      </w:r>
      <w:r w:rsidRPr="002D7F46" w:rsidR="00260D4C">
        <w:t>fund</w:t>
      </w:r>
      <w:r w:rsidRPr="002D7F46" w:rsidR="00EB3162">
        <w:t>, installing metering equipment in apartments and the conditions for disconnecting them from, and reconnecting them to, the heating and water systems</w:t>
      </w:r>
      <w:r w:rsidRPr="002D7F46" w:rsidR="00FB1F2C">
        <w:t>”, adopted by Government Decision no. 191 of 19 February 2002</w:t>
      </w:r>
      <w:r w:rsidRPr="002D7F46" w:rsidR="00EB3162">
        <w:t xml:space="preserve"> read:</w:t>
      </w:r>
    </w:p>
    <w:p w:rsidRPr="002D7F46" w:rsidR="00CA2A78" w:rsidP="002D7F46" w:rsidRDefault="00522478">
      <w:pPr>
        <w:pStyle w:val="JuQuot"/>
      </w:pPr>
      <w:r w:rsidRPr="002D7F46">
        <w:t>“2.</w:t>
      </w:r>
      <w:proofErr w:type="gramStart"/>
      <w:r w:rsidRPr="002D7F46">
        <w:t>  </w:t>
      </w:r>
      <w:r w:rsidRPr="002D7F46" w:rsidR="00FB1F2C">
        <w:t>In</w:t>
      </w:r>
      <w:proofErr w:type="gramEnd"/>
      <w:r w:rsidRPr="002D7F46" w:rsidR="00FB1F2C">
        <w:t xml:space="preserve"> the present Regulation</w:t>
      </w:r>
      <w:r w:rsidRPr="002D7F46" w:rsidR="00CA2A78">
        <w:t xml:space="preserve">, the </w:t>
      </w:r>
      <w:r w:rsidRPr="002D7F46" w:rsidR="00652BE9">
        <w:t xml:space="preserve">terms </w:t>
      </w:r>
      <w:r w:rsidRPr="002D7F46" w:rsidR="00CA2A78">
        <w:t>used</w:t>
      </w:r>
      <w:r w:rsidRPr="002D7F46" w:rsidR="00652BE9">
        <w:t xml:space="preserve"> have the following meaning</w:t>
      </w:r>
      <w:r w:rsidRPr="002D7F46" w:rsidR="00CA2A78">
        <w:t>:</w:t>
      </w:r>
    </w:p>
    <w:p w:rsidRPr="002D7F46" w:rsidR="00EE0C63" w:rsidP="002D7F46" w:rsidRDefault="00EE0C63">
      <w:pPr>
        <w:pStyle w:val="JuQuot"/>
      </w:pPr>
      <w:r w:rsidRPr="002D7F46">
        <w:rPr>
          <w:i/>
        </w:rPr>
        <w:t>owner</w:t>
      </w:r>
      <w:r w:rsidRPr="002D7F46">
        <w:t xml:space="preserve"> – a natural or legal person or group of persons possess</w:t>
      </w:r>
      <w:r w:rsidRPr="002D7F46" w:rsidR="00652BE9">
        <w:t>ing</w:t>
      </w:r>
      <w:r w:rsidRPr="002D7F46">
        <w:t>, us</w:t>
      </w:r>
      <w:r w:rsidRPr="002D7F46" w:rsidR="00652BE9">
        <w:t>ing</w:t>
      </w:r>
      <w:r w:rsidRPr="002D7F46">
        <w:t xml:space="preserve"> and dispos</w:t>
      </w:r>
      <w:r w:rsidRPr="002D7F46" w:rsidR="00652BE9">
        <w:t>ing</w:t>
      </w:r>
      <w:r w:rsidRPr="002D7F46">
        <w:t xml:space="preserve"> of property (an apartment in an apartment block, a habitable room in a dormitory, </w:t>
      </w:r>
      <w:r w:rsidRPr="002D7F46" w:rsidR="000739C4">
        <w:t>...</w:t>
      </w:r>
      <w:r w:rsidRPr="002D7F46">
        <w:t>) in accordance with the law in force</w:t>
      </w:r>
      <w:r w:rsidRPr="002D7F46" w:rsidR="00356E0F">
        <w:t>;</w:t>
      </w:r>
    </w:p>
    <w:p w:rsidRPr="002D7F46" w:rsidR="001A714D" w:rsidP="002D7F46" w:rsidRDefault="00EE0C63">
      <w:pPr>
        <w:pStyle w:val="JuQuot"/>
      </w:pPr>
      <w:proofErr w:type="gramStart"/>
      <w:r w:rsidRPr="002D7F46">
        <w:rPr>
          <w:i/>
        </w:rPr>
        <w:t>renter</w:t>
      </w:r>
      <w:proofErr w:type="gramEnd"/>
      <w:r w:rsidRPr="002D7F46">
        <w:t xml:space="preserve"> – a natural person who rents accommodation on the basis of a rental agreement </w:t>
      </w:r>
      <w:r w:rsidRPr="002D7F46" w:rsidR="003C0CBE">
        <w:t xml:space="preserve">concluded with the administrator of the housing </w:t>
      </w:r>
      <w:r w:rsidRPr="002D7F46" w:rsidR="001A714D">
        <w:t>fund for a determin</w:t>
      </w:r>
      <w:r w:rsidRPr="002D7F46" w:rsidR="00652BE9">
        <w:t>at</w:t>
      </w:r>
      <w:r w:rsidRPr="002D7F46" w:rsidR="001A714D">
        <w:t xml:space="preserve">e or </w:t>
      </w:r>
      <w:r w:rsidRPr="002D7F46" w:rsidR="00652BE9">
        <w:t>i</w:t>
      </w:r>
      <w:r w:rsidRPr="002D7F46" w:rsidR="001A714D">
        <w:t>ndetermin</w:t>
      </w:r>
      <w:r w:rsidRPr="002D7F46" w:rsidR="00652BE9">
        <w:t>at</w:t>
      </w:r>
      <w:r w:rsidRPr="002D7F46" w:rsidR="001A714D">
        <w:t xml:space="preserve">e period </w:t>
      </w:r>
      <w:r w:rsidRPr="002D7F46" w:rsidR="00652BE9">
        <w:t>in return for</w:t>
      </w:r>
      <w:r w:rsidRPr="002D7F46" w:rsidR="001A714D">
        <w:t xml:space="preserve"> a fee, in accordance with the law in force</w:t>
      </w:r>
      <w:r w:rsidRPr="002D7F46" w:rsidR="00356E0F">
        <w:t>;</w:t>
      </w:r>
    </w:p>
    <w:p w:rsidRPr="002D7F46" w:rsidR="00E55B10" w:rsidP="002D7F46" w:rsidRDefault="00356E0F">
      <w:pPr>
        <w:pStyle w:val="JuQuot"/>
      </w:pPr>
      <w:proofErr w:type="gramStart"/>
      <w:r w:rsidRPr="002D7F46">
        <w:rPr>
          <w:i/>
        </w:rPr>
        <w:t>housing</w:t>
      </w:r>
      <w:proofErr w:type="gramEnd"/>
      <w:r w:rsidRPr="002D7F46">
        <w:rPr>
          <w:i/>
        </w:rPr>
        <w:t xml:space="preserve"> fund administrator</w:t>
      </w:r>
      <w:r w:rsidRPr="002D7F46">
        <w:t xml:space="preserve"> </w:t>
      </w:r>
      <w:r w:rsidRPr="002D7F46" w:rsidR="00A812F9">
        <w:t>–</w:t>
      </w:r>
      <w:r w:rsidRPr="002D7F46">
        <w:t xml:space="preserve"> </w:t>
      </w:r>
      <w:r w:rsidRPr="002D7F46" w:rsidR="00A812F9">
        <w:t>a municipal company for administering the housing fund</w:t>
      </w:r>
      <w:r w:rsidRPr="002D7F46" w:rsidR="00851732">
        <w:t xml:space="preserve"> [</w:t>
      </w:r>
      <w:r w:rsidRPr="002D7F46" w:rsidR="00652BE9">
        <w:t xml:space="preserve">or </w:t>
      </w:r>
      <w:r w:rsidRPr="002D7F46" w:rsidR="00851732">
        <w:t xml:space="preserve">other associations or business agents] </w:t>
      </w:r>
      <w:r w:rsidRPr="002D7F46" w:rsidR="00652BE9">
        <w:t>o</w:t>
      </w:r>
      <w:r w:rsidRPr="002D7F46" w:rsidR="00851732">
        <w:t xml:space="preserve">n the balance sheets or </w:t>
      </w:r>
      <w:r w:rsidRPr="002D7F46" w:rsidR="00652BE9">
        <w:t xml:space="preserve">in the </w:t>
      </w:r>
      <w:r w:rsidRPr="002D7F46" w:rsidR="00851732">
        <w:t xml:space="preserve">administration of which </w:t>
      </w:r>
      <w:r w:rsidRPr="002D7F46" w:rsidR="00652BE9">
        <w:t xml:space="preserve">there </w:t>
      </w:r>
      <w:r w:rsidRPr="002D7F46" w:rsidR="00851732">
        <w:t>is a housing fund</w:t>
      </w:r>
      <w:r w:rsidRPr="002D7F46" w:rsidR="00ED639E">
        <w:t>;</w:t>
      </w:r>
    </w:p>
    <w:p w:rsidRPr="002D7F46" w:rsidR="00EB3162" w:rsidP="002D7F46" w:rsidRDefault="00522478">
      <w:pPr>
        <w:pStyle w:val="JuQuot"/>
      </w:pPr>
      <w:r w:rsidRPr="002D7F46">
        <w:t>17.</w:t>
      </w:r>
      <w:proofErr w:type="gramStart"/>
      <w:r w:rsidRPr="002D7F46">
        <w:t>  </w:t>
      </w:r>
      <w:r w:rsidRPr="002D7F46" w:rsidR="00E55B10">
        <w:t>The</w:t>
      </w:r>
      <w:proofErr w:type="gramEnd"/>
      <w:r w:rsidRPr="002D7F46" w:rsidR="00E55B10">
        <w:t xml:space="preserve"> payment for </w:t>
      </w:r>
      <w:r w:rsidRPr="002D7F46" w:rsidR="00636441">
        <w:t>housing services, utilit</w:t>
      </w:r>
      <w:r w:rsidRPr="002D7F46" w:rsidR="00652BE9">
        <w:t>y-related</w:t>
      </w:r>
      <w:r w:rsidRPr="002D7F46" w:rsidR="00636441">
        <w:t xml:space="preserve"> services and non-utilit</w:t>
      </w:r>
      <w:r w:rsidRPr="002D7F46" w:rsidR="00652BE9">
        <w:t>y-related</w:t>
      </w:r>
      <w:r w:rsidRPr="002D7F46" w:rsidR="00636441">
        <w:t xml:space="preserve"> services shall be </w:t>
      </w:r>
      <w:r w:rsidRPr="002D7F46" w:rsidR="003F5D14">
        <w:t>r</w:t>
      </w:r>
      <w:r w:rsidRPr="002D7F46" w:rsidR="00652BE9">
        <w:t>e</w:t>
      </w:r>
      <w:r w:rsidRPr="002D7F46" w:rsidR="003F5D14">
        <w:t xml:space="preserve">ceived from the owners, renters, </w:t>
      </w:r>
      <w:r w:rsidRPr="002D7F46" w:rsidR="000739C4">
        <w:t>...</w:t>
      </w:r>
      <w:r w:rsidRPr="002D7F46" w:rsidR="003F5D14">
        <w:t xml:space="preserve"> of apartments </w:t>
      </w:r>
      <w:r w:rsidRPr="002D7F46" w:rsidR="000739C4">
        <w:t>...</w:t>
      </w:r>
      <w:r w:rsidRPr="002D7F46" w:rsidR="003F5D14">
        <w:t xml:space="preserve"> i</w:t>
      </w:r>
      <w:r w:rsidRPr="002D7F46" w:rsidR="006860EE">
        <w:t xml:space="preserve">n accordance with the contracts, on the basis of monthly </w:t>
      </w:r>
      <w:r w:rsidRPr="002D7F46" w:rsidR="000B1B25">
        <w:t xml:space="preserve">calculations for each service issued by the administrating </w:t>
      </w:r>
      <w:r w:rsidRPr="002D7F46" w:rsidR="00DD7CDA">
        <w:t xml:space="preserve">providers or service </w:t>
      </w:r>
      <w:r w:rsidRPr="002D7F46" w:rsidR="000C7756">
        <w:t>providers</w:t>
      </w:r>
      <w:r w:rsidRPr="002D7F46" w:rsidR="0023071E">
        <w:t>.</w:t>
      </w:r>
      <w:r w:rsidRPr="002D7F46" w:rsidR="00FB1F2C">
        <w:t>”</w:t>
      </w:r>
    </w:p>
    <w:bookmarkStart w:name="p_19_MCAHF_debt_reduced_limitation" w:id="6"/>
    <w:p w:rsidRPr="002D7F46" w:rsidR="00014566" w:rsidP="002D7F46" w:rsidRDefault="00DC1E2B">
      <w:pPr>
        <w:pStyle w:val="JuPara"/>
      </w:pPr>
      <w:r w:rsidRPr="002D7F46">
        <w:fldChar w:fldCharType="begin"/>
      </w:r>
      <w:r w:rsidRPr="002D7F46">
        <w:instrText xml:space="preserve"> SEQ level0 \*arabic </w:instrText>
      </w:r>
      <w:r w:rsidRPr="002D7F46">
        <w:fldChar w:fldCharType="separate"/>
      </w:r>
      <w:r w:rsidRPr="002D7F46" w:rsidR="002D7F46">
        <w:rPr>
          <w:noProof/>
        </w:rPr>
        <w:t>19</w:t>
      </w:r>
      <w:r w:rsidRPr="002D7F46">
        <w:rPr>
          <w:noProof/>
        </w:rPr>
        <w:fldChar w:fldCharType="end"/>
      </w:r>
      <w:bookmarkEnd w:id="6"/>
      <w:r w:rsidRPr="002D7F46" w:rsidR="001A7F8F">
        <w:t>.  </w:t>
      </w:r>
      <w:r w:rsidRPr="002D7F46" w:rsidR="00652BE9">
        <w:t xml:space="preserve">By </w:t>
      </w:r>
      <w:r w:rsidRPr="002D7F46" w:rsidR="006C2F26">
        <w:t xml:space="preserve">a judgment of </w:t>
      </w:r>
      <w:r w:rsidRPr="002D7F46" w:rsidR="001A7F8F">
        <w:t xml:space="preserve">the </w:t>
      </w:r>
      <w:r w:rsidRPr="002D7F46" w:rsidR="00AC1FA0">
        <w:t>Economic</w:t>
      </w:r>
      <w:r w:rsidRPr="002D7F46" w:rsidR="00652BE9">
        <w:t xml:space="preserve"> </w:t>
      </w:r>
      <w:r w:rsidRPr="002D7F46" w:rsidR="00484E2E">
        <w:t>Court of Appeal on 25 April 200</w:t>
      </w:r>
      <w:r w:rsidRPr="002D7F46" w:rsidR="00EC58CC">
        <w:t>5</w:t>
      </w:r>
      <w:r w:rsidRPr="002D7F46" w:rsidR="00652BE9">
        <w:t>,</w:t>
      </w:r>
      <w:r w:rsidRPr="002D7F46" w:rsidR="00C10E05">
        <w:t xml:space="preserve"> the MCAH</w:t>
      </w:r>
      <w:r w:rsidRPr="002D7F46" w:rsidR="001A7F8F">
        <w:t>F</w:t>
      </w:r>
      <w:r w:rsidRPr="002D7F46" w:rsidR="006C2F26">
        <w:t>-14</w:t>
      </w:r>
      <w:r w:rsidRPr="002D7F46" w:rsidR="001A7F8F">
        <w:t xml:space="preserve"> was </w:t>
      </w:r>
      <w:r w:rsidRPr="002D7F46" w:rsidR="001708F2">
        <w:t xml:space="preserve">ordered </w:t>
      </w:r>
      <w:r w:rsidRPr="002D7F46" w:rsidR="001A7F8F">
        <w:t xml:space="preserve">to </w:t>
      </w:r>
      <w:r w:rsidRPr="002D7F46" w:rsidR="00652BE9">
        <w:t xml:space="preserve">settle </w:t>
      </w:r>
      <w:r w:rsidRPr="002D7F46" w:rsidR="001A7F8F">
        <w:t xml:space="preserve">its debt </w:t>
      </w:r>
      <w:r w:rsidRPr="002D7F46" w:rsidR="00652BE9">
        <w:t>with</w:t>
      </w:r>
      <w:r w:rsidRPr="002D7F46" w:rsidR="001A7F8F">
        <w:t xml:space="preserve"> a </w:t>
      </w:r>
      <w:r w:rsidRPr="002D7F46" w:rsidR="003F1172">
        <w:t xml:space="preserve">heating </w:t>
      </w:r>
      <w:r w:rsidRPr="002D7F46" w:rsidR="00C10E05">
        <w:t>provider. The MCAH</w:t>
      </w:r>
      <w:r w:rsidRPr="002D7F46" w:rsidR="001A7F8F">
        <w:t>F</w:t>
      </w:r>
      <w:r w:rsidRPr="002D7F46" w:rsidR="006C2F26">
        <w:t>-14</w:t>
      </w:r>
      <w:r w:rsidRPr="002D7F46" w:rsidR="002D7F46">
        <w:t>’</w:t>
      </w:r>
      <w:r w:rsidRPr="002D7F46" w:rsidR="001A7F8F">
        <w:t xml:space="preserve">s argument that </w:t>
      </w:r>
      <w:r w:rsidRPr="002D7F46" w:rsidR="00652BE9">
        <w:t xml:space="preserve">part of its debt </w:t>
      </w:r>
      <w:r w:rsidRPr="002D7F46" w:rsidR="001A7F8F">
        <w:t xml:space="preserve">did not have to </w:t>
      </w:r>
      <w:r w:rsidRPr="002D7F46" w:rsidR="003B0F9A">
        <w:t>be settled</w:t>
      </w:r>
      <w:r w:rsidRPr="002D7F46" w:rsidR="001A7F8F">
        <w:t xml:space="preserve"> due to the applica</w:t>
      </w:r>
      <w:r w:rsidRPr="002D7F46" w:rsidR="003B0F9A">
        <w:t>bility</w:t>
      </w:r>
      <w:r w:rsidRPr="002D7F46" w:rsidR="001A7F8F">
        <w:t xml:space="preserve"> of the</w:t>
      </w:r>
      <w:r w:rsidRPr="002D7F46" w:rsidR="000263FA">
        <w:t xml:space="preserve"> three-year</w:t>
      </w:r>
      <w:r w:rsidRPr="002D7F46" w:rsidR="001A7F8F">
        <w:t xml:space="preserve"> limitation period was accepted. Its debt was accordingly reduced from MDL</w:t>
      </w:r>
      <w:r w:rsidRPr="002D7F46" w:rsidR="00E71D4F">
        <w:t> </w:t>
      </w:r>
      <w:r w:rsidRPr="002D7F46" w:rsidR="001A7F8F">
        <w:t>9.8 million to MDL 6.2 million.</w:t>
      </w:r>
    </w:p>
    <w:p w:rsidRPr="002D7F46" w:rsidR="00014566" w:rsidP="002D7F46" w:rsidRDefault="00014566">
      <w:pPr>
        <w:pStyle w:val="JuHHead"/>
      </w:pPr>
      <w:r w:rsidRPr="002D7F46">
        <w:t>THE LAW</w:t>
      </w:r>
    </w:p>
    <w:p w:rsidRPr="002D7F46" w:rsidR="00014566" w:rsidP="002D7F46" w:rsidRDefault="00014566">
      <w:pPr>
        <w:pStyle w:val="JuHIRoman"/>
      </w:pPr>
      <w:r w:rsidRPr="002D7F46">
        <w:t xml:space="preserve">ALLEGED VIOLATION OF ARTICLE </w:t>
      </w:r>
      <w:r w:rsidRPr="002D7F46" w:rsidR="00A02105">
        <w:t>6 § 1</w:t>
      </w:r>
      <w:r w:rsidRPr="002D7F46">
        <w:t xml:space="preserve"> OF THE CONVENTION</w:t>
      </w:r>
    </w:p>
    <w:p w:rsidRPr="002D7F46" w:rsidR="00A02105"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20</w:t>
      </w:r>
      <w:r w:rsidRPr="002D7F46">
        <w:fldChar w:fldCharType="end"/>
      </w:r>
      <w:r w:rsidRPr="002D7F46" w:rsidR="00014566">
        <w:t xml:space="preserve">.  The applicant complained that </w:t>
      </w:r>
      <w:r w:rsidRPr="002D7F46" w:rsidR="00A02105">
        <w:t>the domestic courts had breached her rights under Article 6 § 1 of the Convention by a</w:t>
      </w:r>
      <w:r w:rsidRPr="002D7F46" w:rsidR="003B0F9A">
        <w:t>gre</w:t>
      </w:r>
      <w:r w:rsidRPr="002D7F46" w:rsidR="00A02105">
        <w:t>eing to examine a part of the court action against her despite the expiry of the limitation period.</w:t>
      </w:r>
    </w:p>
    <w:p w:rsidRPr="002D7F46" w:rsidR="00014566" w:rsidP="002D7F46" w:rsidRDefault="00A02105">
      <w:pPr>
        <w:pStyle w:val="JuPara"/>
      </w:pPr>
      <w:r w:rsidRPr="002D7F46">
        <w:t xml:space="preserve">The relevant part of Article 6 § 1 </w:t>
      </w:r>
      <w:r w:rsidRPr="002D7F46" w:rsidR="00014566">
        <w:t>reads:</w:t>
      </w:r>
    </w:p>
    <w:p w:rsidRPr="002D7F46" w:rsidR="00014566" w:rsidP="002D7F46" w:rsidRDefault="00A02105">
      <w:pPr>
        <w:pStyle w:val="JuQuot"/>
      </w:pPr>
      <w:r w:rsidRPr="002D7F46">
        <w:t>“In the determination of his civil rights and obligations ... everyone is entitled to a fair ... hearing ... by [a] ... tribunal ...”</w:t>
      </w:r>
    </w:p>
    <w:p w:rsidRPr="002D7F46" w:rsidR="00014566" w:rsidP="002D7F46" w:rsidRDefault="00014566">
      <w:pPr>
        <w:pStyle w:val="JuHA"/>
      </w:pPr>
      <w:r w:rsidRPr="002D7F46">
        <w:t>Admissibility</w:t>
      </w:r>
    </w:p>
    <w:p w:rsidRPr="002D7F46" w:rsidR="00014566" w:rsidP="002D7F46" w:rsidRDefault="00A02105">
      <w:pPr>
        <w:pStyle w:val="JuPara"/>
      </w:pPr>
      <w:r w:rsidRPr="002D7F46">
        <w:fldChar w:fldCharType="begin"/>
      </w:r>
      <w:r w:rsidRPr="002D7F46">
        <w:instrText xml:space="preserve"> SEQ level0 \*arabic </w:instrText>
      </w:r>
      <w:r w:rsidRPr="002D7F46">
        <w:fldChar w:fldCharType="separate"/>
      </w:r>
      <w:r w:rsidRPr="002D7F46" w:rsidR="002D7F46">
        <w:rPr>
          <w:noProof/>
        </w:rPr>
        <w:t>21</w:t>
      </w:r>
      <w:r w:rsidRPr="002D7F46">
        <w:fldChar w:fldCharType="end"/>
      </w:r>
      <w:r w:rsidRPr="002D7F46">
        <w:t>.  </w:t>
      </w:r>
      <w:r w:rsidRPr="002D7F46" w:rsidR="00014566">
        <w:t>The Court notes that this complaint is not manifestly ill-founded within the meaning of Article 35 § 3 (a) of the Convention. It further notes that it is not inadmissible on any other grounds. It must therefore be declared admissible.</w:t>
      </w:r>
    </w:p>
    <w:p w:rsidRPr="002D7F46" w:rsidR="00014566" w:rsidP="002D7F46" w:rsidRDefault="00014566">
      <w:pPr>
        <w:pStyle w:val="JuHA"/>
      </w:pPr>
      <w:r w:rsidRPr="002D7F46">
        <w:t>Merits</w:t>
      </w:r>
    </w:p>
    <w:p w:rsidRPr="002D7F46" w:rsidR="00014566" w:rsidP="002D7F46" w:rsidRDefault="00B1090E">
      <w:pPr>
        <w:pStyle w:val="JuPara"/>
        <w:rPr>
          <w:lang w:val="it-IT"/>
        </w:rPr>
      </w:pPr>
      <w:r w:rsidRPr="002D7F46">
        <w:fldChar w:fldCharType="begin"/>
      </w:r>
      <w:r w:rsidRPr="002D7F46">
        <w:instrText xml:space="preserve"> SEQ level0 \*arabic </w:instrText>
      </w:r>
      <w:r w:rsidRPr="002D7F46">
        <w:fldChar w:fldCharType="separate"/>
      </w:r>
      <w:r w:rsidRPr="002D7F46" w:rsidR="002D7F46">
        <w:rPr>
          <w:noProof/>
        </w:rPr>
        <w:t>22</w:t>
      </w:r>
      <w:r w:rsidRPr="002D7F46">
        <w:fldChar w:fldCharType="end"/>
      </w:r>
      <w:r w:rsidRPr="002D7F46" w:rsidR="00014566">
        <w:t xml:space="preserve">.  The applicant </w:t>
      </w:r>
      <w:r w:rsidRPr="002D7F46" w:rsidR="007F637B">
        <w:t>submitted that</w:t>
      </w:r>
      <w:r w:rsidRPr="002D7F46" w:rsidR="006C2F26">
        <w:t xml:space="preserve"> she had asked the first-instance court to reject </w:t>
      </w:r>
      <w:r w:rsidRPr="002D7F46" w:rsidR="0079487D">
        <w:t>some</w:t>
      </w:r>
      <w:r w:rsidRPr="002D7F46" w:rsidR="006C2F26">
        <w:t xml:space="preserve"> of </w:t>
      </w:r>
      <w:r w:rsidRPr="002D7F46" w:rsidR="001C74DC">
        <w:t>the MCAHF-14</w:t>
      </w:r>
      <w:r w:rsidRPr="002D7F46" w:rsidR="002D7F46">
        <w:t>’</w:t>
      </w:r>
      <w:r w:rsidRPr="002D7F46" w:rsidR="001C74DC">
        <w:t>s claims against her as time-barred</w:t>
      </w:r>
      <w:r w:rsidRPr="002D7F46" w:rsidR="0079487D">
        <w:t xml:space="preserve"> due</w:t>
      </w:r>
      <w:r w:rsidRPr="002D7F46" w:rsidR="001C74DC">
        <w:t xml:space="preserve"> to the expiry of the three-year limitation period provided by Article 271 of the Civil Code (“the CC”, see paragraph </w:t>
      </w:r>
      <w:r w:rsidRPr="002D7F46" w:rsidR="000C7756">
        <w:fldChar w:fldCharType="begin"/>
      </w:r>
      <w:r w:rsidRPr="002D7F46" w:rsidR="000C7756">
        <w:instrText xml:space="preserve"> REF p_17_CC \h </w:instrText>
      </w:r>
      <w:r w:rsidRPr="002D7F46" w:rsidR="007F12EB">
        <w:instrText xml:space="preserve"> \* MERGEFORMAT </w:instrText>
      </w:r>
      <w:r w:rsidRPr="002D7F46" w:rsidR="000C7756">
        <w:fldChar w:fldCharType="separate"/>
      </w:r>
      <w:r w:rsidRPr="002D7F46" w:rsidR="002D7F46">
        <w:rPr>
          <w:noProof/>
        </w:rPr>
        <w:t>17</w:t>
      </w:r>
      <w:r w:rsidRPr="002D7F46" w:rsidR="000C7756">
        <w:fldChar w:fldCharType="end"/>
      </w:r>
      <w:r w:rsidRPr="002D7F46" w:rsidR="001C74DC">
        <w:t xml:space="preserve"> above).</w:t>
      </w:r>
      <w:r w:rsidRPr="002D7F46" w:rsidR="00FB5BB9">
        <w:t xml:space="preserve"> She relied on the Court</w:t>
      </w:r>
      <w:r w:rsidRPr="002D7F46" w:rsidR="002D7F46">
        <w:t>’</w:t>
      </w:r>
      <w:r w:rsidRPr="002D7F46" w:rsidR="00FB5BB9">
        <w:t xml:space="preserve">s </w:t>
      </w:r>
      <w:r w:rsidRPr="002D7F46" w:rsidR="001708F2">
        <w:t xml:space="preserve">case-law </w:t>
      </w:r>
      <w:r w:rsidRPr="002D7F46" w:rsidR="00FB5BB9">
        <w:t xml:space="preserve">in respect of </w:t>
      </w:r>
      <w:r w:rsidRPr="002D7F46" w:rsidR="00DC4120">
        <w:t xml:space="preserve">the </w:t>
      </w:r>
      <w:r w:rsidRPr="002D7F46" w:rsidR="00FB5BB9">
        <w:t>examination of procedural acts</w:t>
      </w:r>
      <w:r w:rsidRPr="002D7F46" w:rsidR="00DC4120">
        <w:t xml:space="preserve"> executed out of time</w:t>
      </w:r>
      <w:r w:rsidRPr="002D7F46" w:rsidR="00FB5BB9">
        <w:t xml:space="preserve">, </w:t>
      </w:r>
      <w:r w:rsidRPr="002D7F46" w:rsidR="0079487D">
        <w:t xml:space="preserve">in particular </w:t>
      </w:r>
      <w:r w:rsidRPr="002D7F46" w:rsidR="00FB5BB9">
        <w:t xml:space="preserve">on </w:t>
      </w:r>
      <w:r w:rsidRPr="002D7F46" w:rsidR="00FB5BB9">
        <w:rPr>
          <w:i/>
          <w:lang w:val="it-IT"/>
        </w:rPr>
        <w:t>Dacia S.R.L. v. Moldova</w:t>
      </w:r>
      <w:r w:rsidRPr="002D7F46" w:rsidR="00FB5BB9">
        <w:rPr>
          <w:lang w:val="it-IT"/>
        </w:rPr>
        <w:t xml:space="preserve"> (no. 3052/04, §§ 72-78, 18</w:t>
      </w:r>
      <w:r w:rsidRPr="002D7F46" w:rsidR="00706D78">
        <w:rPr>
          <w:lang w:val="it-IT"/>
        </w:rPr>
        <w:t> </w:t>
      </w:r>
      <w:r w:rsidRPr="002D7F46" w:rsidR="00FB5BB9">
        <w:rPr>
          <w:lang w:val="it-IT"/>
        </w:rPr>
        <w:t>March 2008).</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23</w:t>
      </w:r>
      <w:r w:rsidRPr="002D7F46">
        <w:fldChar w:fldCharType="end"/>
      </w:r>
      <w:r w:rsidRPr="002D7F46" w:rsidR="00014566">
        <w:t xml:space="preserve">.  The Government </w:t>
      </w:r>
      <w:r w:rsidRPr="002D7F46" w:rsidR="00102072">
        <w:t xml:space="preserve">submitted that the applicant had incorrectly interpreted the law. Article 276 CC (see paragraph </w:t>
      </w:r>
      <w:r w:rsidRPr="002D7F46" w:rsidR="00102072">
        <w:fldChar w:fldCharType="begin"/>
      </w:r>
      <w:r w:rsidRPr="002D7F46" w:rsidR="00102072">
        <w:instrText xml:space="preserve"> REF p_17_CC \h </w:instrText>
      </w:r>
      <w:r w:rsidRPr="002D7F46" w:rsidR="007F12EB">
        <w:instrText xml:space="preserve"> \* MERGEFORMAT </w:instrText>
      </w:r>
      <w:r w:rsidRPr="002D7F46" w:rsidR="00102072">
        <w:fldChar w:fldCharType="separate"/>
      </w:r>
      <w:r w:rsidRPr="002D7F46" w:rsidR="002D7F46">
        <w:rPr>
          <w:noProof/>
        </w:rPr>
        <w:t>17</w:t>
      </w:r>
      <w:r w:rsidRPr="002D7F46" w:rsidR="00102072">
        <w:fldChar w:fldCharType="end"/>
      </w:r>
      <w:r w:rsidRPr="002D7F46" w:rsidR="00102072">
        <w:t xml:space="preserve"> above), on which the first-instance court</w:t>
      </w:r>
      <w:r w:rsidRPr="002D7F46" w:rsidR="0079487D">
        <w:t xml:space="preserve"> had</w:t>
      </w:r>
      <w:r w:rsidRPr="002D7F46" w:rsidR="00102072">
        <w:t xml:space="preserve"> relied, expressly provided that </w:t>
      </w:r>
      <w:r w:rsidRPr="002D7F46" w:rsidR="00A000E1">
        <w:t xml:space="preserve">no </w:t>
      </w:r>
      <w:r w:rsidRPr="002D7F46" w:rsidR="00102072">
        <w:t xml:space="preserve">limitation period </w:t>
      </w:r>
      <w:r w:rsidRPr="002D7F46" w:rsidR="00A000E1">
        <w:t xml:space="preserve">was </w:t>
      </w:r>
      <w:r w:rsidRPr="002D7F46" w:rsidR="001708F2">
        <w:t xml:space="preserve">to </w:t>
      </w:r>
      <w:r w:rsidRPr="002D7F46" w:rsidR="00A000E1">
        <w:t>st</w:t>
      </w:r>
      <w:r w:rsidRPr="002D7F46" w:rsidR="0023071E">
        <w:t>art</w:t>
      </w:r>
      <w:r w:rsidRPr="002D7F46" w:rsidR="00A000E1">
        <w:t xml:space="preserve"> </w:t>
      </w:r>
      <w:r w:rsidRPr="002D7F46" w:rsidR="00102072">
        <w:t>run</w:t>
      </w:r>
      <w:r w:rsidRPr="002D7F46" w:rsidR="00A000E1">
        <w:t>ning</w:t>
      </w:r>
      <w:r w:rsidRPr="002D7F46" w:rsidR="00102072">
        <w:t xml:space="preserve"> in relations</w:t>
      </w:r>
      <w:r w:rsidRPr="002D7F46" w:rsidR="0079487D">
        <w:t>hips</w:t>
      </w:r>
      <w:r w:rsidRPr="002D7F46" w:rsidR="00102072">
        <w:t xml:space="preserve"> between </w:t>
      </w:r>
      <w:r w:rsidRPr="002D7F46" w:rsidR="0079487D">
        <w:t xml:space="preserve">a </w:t>
      </w:r>
      <w:r w:rsidRPr="002D7F46" w:rsidR="00A66831">
        <w:t xml:space="preserve">person who </w:t>
      </w:r>
      <w:r w:rsidRPr="002D7F46" w:rsidR="0079487D">
        <w:t xml:space="preserve">is </w:t>
      </w:r>
      <w:r w:rsidRPr="002D7F46" w:rsidR="00A66831">
        <w:t>administer</w:t>
      </w:r>
      <w:r w:rsidRPr="002D7F46" w:rsidR="0079487D">
        <w:t>ing</w:t>
      </w:r>
      <w:r w:rsidRPr="002D7F46" w:rsidR="00A66831">
        <w:t xml:space="preserve"> the property of another person and the person whose property is </w:t>
      </w:r>
      <w:r w:rsidRPr="002D7F46" w:rsidR="0079487D">
        <w:t xml:space="preserve">being </w:t>
      </w:r>
      <w:r w:rsidRPr="002D7F46" w:rsidR="001708F2">
        <w:t xml:space="preserve">thus </w:t>
      </w:r>
      <w:r w:rsidRPr="002D7F46" w:rsidR="00A66831">
        <w:t xml:space="preserve">administered, </w:t>
      </w:r>
      <w:r w:rsidRPr="002D7F46" w:rsidR="00DC4120">
        <w:t>provided that</w:t>
      </w:r>
      <w:r w:rsidRPr="002D7F46" w:rsidR="00A66831">
        <w:t xml:space="preserve"> the administration </w:t>
      </w:r>
      <w:r w:rsidRPr="002D7F46" w:rsidR="00DC4120">
        <w:t xml:space="preserve">has </w:t>
      </w:r>
      <w:r w:rsidRPr="002D7F46" w:rsidR="00A66831">
        <w:t xml:space="preserve">not </w:t>
      </w:r>
      <w:r w:rsidRPr="002D7F46" w:rsidR="00DC4120">
        <w:t xml:space="preserve">ceased </w:t>
      </w:r>
      <w:r w:rsidRPr="002D7F46" w:rsidR="00A66831">
        <w:t xml:space="preserve">and the </w:t>
      </w:r>
      <w:r w:rsidRPr="002D7F46" w:rsidR="00DC4120">
        <w:t xml:space="preserve">final </w:t>
      </w:r>
      <w:r w:rsidRPr="002D7F46" w:rsidR="00A66831">
        <w:t xml:space="preserve">calculations </w:t>
      </w:r>
      <w:r w:rsidRPr="002D7F46" w:rsidR="00DC4120">
        <w:t>have</w:t>
      </w:r>
      <w:r w:rsidRPr="002D7F46" w:rsidR="00A66831">
        <w:t xml:space="preserve"> not </w:t>
      </w:r>
      <w:r w:rsidRPr="002D7F46" w:rsidR="00DC4120">
        <w:t xml:space="preserve">been </w:t>
      </w:r>
      <w:r w:rsidRPr="002D7F46" w:rsidR="00A66831">
        <w:t>made and approved.</w:t>
      </w:r>
      <w:r w:rsidRPr="002D7F46" w:rsidR="00F07545">
        <w:t xml:space="preserve"> The applicant was not the owner of the apartment which she rented from the municipality. The latter administered it and</w:t>
      </w:r>
      <w:r w:rsidRPr="002D7F46" w:rsidR="001708F2">
        <w:t>,</w:t>
      </w:r>
      <w:r w:rsidRPr="002D7F46" w:rsidR="00F07545">
        <w:t xml:space="preserve"> as long as the applicant continued to rent it from the municipality</w:t>
      </w:r>
      <w:r w:rsidRPr="002D7F46" w:rsidR="001708F2">
        <w:t>,</w:t>
      </w:r>
      <w:r w:rsidRPr="002D7F46" w:rsidR="00F07545">
        <w:t xml:space="preserve"> her relations with the administrator could not fall </w:t>
      </w:r>
      <w:r w:rsidRPr="002D7F46" w:rsidR="001708F2">
        <w:t xml:space="preserve">within </w:t>
      </w:r>
      <w:r w:rsidRPr="002D7F46" w:rsidR="00F07545">
        <w:t>the</w:t>
      </w:r>
      <w:r w:rsidRPr="002D7F46" w:rsidR="001708F2">
        <w:t xml:space="preserve"> sphere of</w:t>
      </w:r>
      <w:r w:rsidRPr="002D7F46" w:rsidR="00F07545">
        <w:t xml:space="preserve"> application of the limitation period.</w:t>
      </w:r>
    </w:p>
    <w:p w:rsidRPr="002D7F46" w:rsidR="00E11494" w:rsidP="002D7F46" w:rsidRDefault="00E11494">
      <w:pPr>
        <w:pStyle w:val="JuPara"/>
      </w:pPr>
      <w:r w:rsidRPr="002D7F46">
        <w:fldChar w:fldCharType="begin"/>
      </w:r>
      <w:r w:rsidRPr="002D7F46">
        <w:instrText xml:space="preserve"> SEQ level0 \*arabic </w:instrText>
      </w:r>
      <w:r w:rsidRPr="002D7F46">
        <w:fldChar w:fldCharType="separate"/>
      </w:r>
      <w:r w:rsidRPr="002D7F46" w:rsidR="002D7F46">
        <w:rPr>
          <w:noProof/>
        </w:rPr>
        <w:t>24</w:t>
      </w:r>
      <w:r w:rsidRPr="002D7F46">
        <w:fldChar w:fldCharType="end"/>
      </w:r>
      <w:r w:rsidRPr="002D7F46">
        <w:t>.  Moreover, Article 272(6) CC provided for another exception from the general limitation period in respect of actions</w:t>
      </w:r>
      <w:r w:rsidRPr="002D7F46" w:rsidR="00DC4120">
        <w:t xml:space="preserve"> for recovery</w:t>
      </w:r>
      <w:r w:rsidRPr="002D7F46">
        <w:t>. This applied to a part of the claims that MCAHF-14 had against the applicant.</w:t>
      </w:r>
    </w:p>
    <w:p w:rsidRPr="002D7F46" w:rsidR="00014566" w:rsidP="002D7F46" w:rsidRDefault="00B1090E">
      <w:pPr>
        <w:pStyle w:val="JuPara"/>
        <w:rPr>
          <w:lang w:val="it-IT"/>
        </w:rPr>
      </w:pPr>
      <w:r w:rsidRPr="002D7F46">
        <w:fldChar w:fldCharType="begin"/>
      </w:r>
      <w:r w:rsidRPr="002D7F46">
        <w:instrText xml:space="preserve"> SEQ level0 \*arabic </w:instrText>
      </w:r>
      <w:r w:rsidRPr="002D7F46">
        <w:fldChar w:fldCharType="separate"/>
      </w:r>
      <w:r w:rsidRPr="002D7F46" w:rsidR="002D7F46">
        <w:rPr>
          <w:noProof/>
        </w:rPr>
        <w:t>25</w:t>
      </w:r>
      <w:r w:rsidRPr="002D7F46">
        <w:fldChar w:fldCharType="end"/>
      </w:r>
      <w:r w:rsidRPr="002D7F46" w:rsidR="00014566">
        <w:t>.  </w:t>
      </w:r>
      <w:r w:rsidRPr="002D7F46" w:rsidR="007A6F66">
        <w:t xml:space="preserve">The Court reiterates that Article 6 § 1 of the Convention obliges the courts to give reasons for their judgments. In </w:t>
      </w:r>
      <w:r w:rsidRPr="002D7F46" w:rsidR="007A6F66">
        <w:rPr>
          <w:i/>
        </w:rPr>
        <w:t xml:space="preserve">Ruiz </w:t>
      </w:r>
      <w:proofErr w:type="spellStart"/>
      <w:r w:rsidRPr="002D7F46" w:rsidR="007A6F66">
        <w:rPr>
          <w:i/>
        </w:rPr>
        <w:t>Torija</w:t>
      </w:r>
      <w:proofErr w:type="spellEnd"/>
      <w:r w:rsidRPr="002D7F46" w:rsidR="007A6F66">
        <w:rPr>
          <w:i/>
        </w:rPr>
        <w:t xml:space="preserve"> v. Spain</w:t>
      </w:r>
      <w:r w:rsidRPr="002D7F46" w:rsidR="007A6F66">
        <w:t>, (judgment of 9 December 1994, Series A no. 303</w:t>
      </w:r>
      <w:r w:rsidRPr="002D7F46" w:rsidR="007A6F66">
        <w:noBreakHyphen/>
        <w:t xml:space="preserve">A), the Court found that the failure of a domestic court to give reasons for not accepting an objection that the action was time-barred amounted to a violation of that provision. </w:t>
      </w:r>
      <w:r w:rsidRPr="002D7F46" w:rsidR="00FC191C">
        <w:t xml:space="preserve">The Court also found a breach of Article 6 § 1 when the Moldovan courts examined a late appeal without giving compelling reasons for extending the time-limit for lodging the appeal (see </w:t>
      </w:r>
      <w:proofErr w:type="spellStart"/>
      <w:r w:rsidRPr="002D7F46" w:rsidR="00FC191C">
        <w:rPr>
          <w:i/>
          <w:szCs w:val="24"/>
        </w:rPr>
        <w:t>Melnic</w:t>
      </w:r>
      <w:proofErr w:type="spellEnd"/>
      <w:r w:rsidRPr="002D7F46" w:rsidR="00FC191C">
        <w:rPr>
          <w:i/>
          <w:szCs w:val="24"/>
        </w:rPr>
        <w:t xml:space="preserve"> v. Moldova</w:t>
      </w:r>
      <w:r w:rsidRPr="002D7F46" w:rsidR="00E9333B">
        <w:rPr>
          <w:szCs w:val="24"/>
        </w:rPr>
        <w:t>, no. 6923/03, §§ 35-44, 14 </w:t>
      </w:r>
      <w:r w:rsidRPr="002D7F46" w:rsidR="00FC191C">
        <w:rPr>
          <w:szCs w:val="24"/>
        </w:rPr>
        <w:t>November 2006</w:t>
      </w:r>
      <w:r w:rsidRPr="002D7F46" w:rsidR="00FC191C">
        <w:t>).</w:t>
      </w:r>
      <w:r w:rsidRPr="002D7F46" w:rsidR="00BC331C">
        <w:t xml:space="preserve"> It also found in </w:t>
      </w:r>
      <w:r w:rsidRPr="002D7F46" w:rsidR="00BC331C">
        <w:rPr>
          <w:i/>
          <w:lang w:val="it-IT"/>
        </w:rPr>
        <w:t>Dacia S.R.L. v. Moldova</w:t>
      </w:r>
      <w:r w:rsidRPr="002D7F46" w:rsidR="00E9333B">
        <w:rPr>
          <w:lang w:val="it-IT"/>
        </w:rPr>
        <w:t xml:space="preserve"> (no. 3052/04, § </w:t>
      </w:r>
      <w:r w:rsidRPr="002D7F46" w:rsidR="00BC331C">
        <w:rPr>
          <w:lang w:val="it-IT"/>
        </w:rPr>
        <w:t xml:space="preserve">77, 18 March 2008) </w:t>
      </w:r>
      <w:r w:rsidRPr="002D7F46" w:rsidR="00BC331C">
        <w:t xml:space="preserve">that “the altering of a legal situation which has become final due to the application of a limitation period </w:t>
      </w:r>
      <w:r w:rsidRPr="002D7F46" w:rsidR="000739C4">
        <w:t>...</w:t>
      </w:r>
      <w:r w:rsidRPr="002D7F46" w:rsidR="00BC331C">
        <w:t xml:space="preserve"> is incompatible with the principle of legal certainty (see, </w:t>
      </w:r>
      <w:r w:rsidRPr="002D7F46" w:rsidR="00BC331C">
        <w:rPr>
          <w:i/>
        </w:rPr>
        <w:t>mutatis mutandis</w:t>
      </w:r>
      <w:r w:rsidRPr="002D7F46" w:rsidR="00BC331C">
        <w:t xml:space="preserve">, </w:t>
      </w:r>
      <w:r w:rsidRPr="002D7F46" w:rsidR="00BC331C">
        <w:rPr>
          <w:i/>
        </w:rPr>
        <w:t>Popov v. Moldova (no. 2)</w:t>
      </w:r>
      <w:r w:rsidRPr="002D7F46" w:rsidR="00BC331C">
        <w:t xml:space="preserve">, no. </w:t>
      </w:r>
      <w:r w:rsidRPr="002D7F46" w:rsidR="00B034F3">
        <w:t>19960/04</w:t>
      </w:r>
      <w:r w:rsidRPr="002D7F46" w:rsidR="00BC331C">
        <w:t>, § 53, 6 December 2005).”</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26</w:t>
      </w:r>
      <w:r w:rsidRPr="002D7F46">
        <w:fldChar w:fldCharType="end"/>
      </w:r>
      <w:r w:rsidRPr="002D7F46" w:rsidR="00014566">
        <w:t>.  </w:t>
      </w:r>
      <w:r w:rsidRPr="002D7F46" w:rsidR="00E31014">
        <w:t>Turning to the facts of the present case, t</w:t>
      </w:r>
      <w:r w:rsidRPr="002D7F46" w:rsidR="00014566">
        <w:t xml:space="preserve">he Court </w:t>
      </w:r>
      <w:r w:rsidRPr="002D7F46" w:rsidR="00E31014">
        <w:t xml:space="preserve">notes that </w:t>
      </w:r>
      <w:r w:rsidRPr="002D7F46" w:rsidR="00C70F3F">
        <w:t>the domestic courts examined a court action against the applicant in respect of some claims which w</w:t>
      </w:r>
      <w:r w:rsidRPr="002D7F46" w:rsidR="0079487D">
        <w:t>ould</w:t>
      </w:r>
      <w:r w:rsidRPr="002D7F46" w:rsidR="00C70F3F">
        <w:t xml:space="preserve"> normally </w:t>
      </w:r>
      <w:r w:rsidRPr="002D7F46" w:rsidR="0079487D">
        <w:t xml:space="preserve">have been </w:t>
      </w:r>
      <w:r w:rsidRPr="002D7F46" w:rsidR="00C70F3F">
        <w:t xml:space="preserve">time-barred owing to the expiry of the three-year limitation period (see paragraph </w:t>
      </w:r>
      <w:r w:rsidRPr="002D7F46" w:rsidR="00C70F3F">
        <w:fldChar w:fldCharType="begin"/>
      </w:r>
      <w:r w:rsidRPr="002D7F46" w:rsidR="00C70F3F">
        <w:instrText xml:space="preserve"> REF p_17_CC \h </w:instrText>
      </w:r>
      <w:r w:rsidRPr="002D7F46" w:rsidR="007F12EB">
        <w:instrText xml:space="preserve"> \* MERGEFORMAT </w:instrText>
      </w:r>
      <w:r w:rsidRPr="002D7F46" w:rsidR="00C70F3F">
        <w:fldChar w:fldCharType="separate"/>
      </w:r>
      <w:r w:rsidRPr="002D7F46" w:rsidR="002D7F46">
        <w:rPr>
          <w:noProof/>
        </w:rPr>
        <w:t>17</w:t>
      </w:r>
      <w:r w:rsidRPr="002D7F46" w:rsidR="00C70F3F">
        <w:fldChar w:fldCharType="end"/>
      </w:r>
      <w:r w:rsidRPr="002D7F46" w:rsidR="00C70F3F">
        <w:t xml:space="preserve"> above). The first-instance court, which was the only one to respond to the applicant</w:t>
      </w:r>
      <w:r w:rsidRPr="002D7F46" w:rsidR="002D7F46">
        <w:t>’</w:t>
      </w:r>
      <w:r w:rsidRPr="002D7F46" w:rsidR="00C70F3F">
        <w:t xml:space="preserve">s submission about the limitation period, </w:t>
      </w:r>
      <w:r w:rsidRPr="002D7F46" w:rsidR="0079487D">
        <w:t xml:space="preserve">found </w:t>
      </w:r>
      <w:r w:rsidRPr="002D7F46" w:rsidR="00C70F3F">
        <w:t>that the limitation period did not apply to the applicant</w:t>
      </w:r>
      <w:r w:rsidRPr="002D7F46" w:rsidR="002D7F46">
        <w:t>’</w:t>
      </w:r>
      <w:r w:rsidRPr="002D7F46" w:rsidR="00C70F3F">
        <w:t>s case by virtue of Article 276 CC (see paragraphs</w:t>
      </w:r>
      <w:r w:rsidRPr="002D7F46" w:rsidR="00A359E9">
        <w:t> </w:t>
      </w:r>
      <w:r w:rsidRPr="002D7F46" w:rsidR="00E82025">
        <w:fldChar w:fldCharType="begin"/>
      </w:r>
      <w:r w:rsidRPr="002D7F46" w:rsidR="00E82025">
        <w:instrText xml:space="preserve"> REF p_11_1st_inst_court_dec \h </w:instrText>
      </w:r>
      <w:r w:rsidRPr="002D7F46" w:rsidR="007F12EB">
        <w:instrText xml:space="preserve"> \* MERGEFORMAT </w:instrText>
      </w:r>
      <w:r w:rsidRPr="002D7F46" w:rsidR="00E82025">
        <w:fldChar w:fldCharType="separate"/>
      </w:r>
      <w:r w:rsidRPr="002D7F46" w:rsidR="002D7F46">
        <w:rPr>
          <w:noProof/>
        </w:rPr>
        <w:t>11</w:t>
      </w:r>
      <w:r w:rsidRPr="002D7F46" w:rsidR="00E82025">
        <w:fldChar w:fldCharType="end"/>
      </w:r>
      <w:r w:rsidRPr="002D7F46" w:rsidR="00E82025">
        <w:t xml:space="preserve"> and</w:t>
      </w:r>
      <w:r w:rsidRPr="002D7F46" w:rsidR="00C70F3F">
        <w:t xml:space="preserve"> </w:t>
      </w:r>
      <w:r w:rsidRPr="002D7F46" w:rsidR="00C70F3F">
        <w:fldChar w:fldCharType="begin"/>
      </w:r>
      <w:r w:rsidRPr="002D7F46" w:rsidR="00C70F3F">
        <w:instrText xml:space="preserve"> REF p_17_CC \h </w:instrText>
      </w:r>
      <w:r w:rsidRPr="002D7F46" w:rsidR="007F12EB">
        <w:instrText xml:space="preserve"> \* MERGEFORMAT </w:instrText>
      </w:r>
      <w:r w:rsidRPr="002D7F46" w:rsidR="00C70F3F">
        <w:fldChar w:fldCharType="separate"/>
      </w:r>
      <w:r w:rsidRPr="002D7F46" w:rsidR="002D7F46">
        <w:rPr>
          <w:noProof/>
        </w:rPr>
        <w:t>17</w:t>
      </w:r>
      <w:r w:rsidRPr="002D7F46" w:rsidR="00C70F3F">
        <w:fldChar w:fldCharType="end"/>
      </w:r>
      <w:r w:rsidRPr="002D7F46" w:rsidR="00C70F3F">
        <w:t xml:space="preserve"> above).</w:t>
      </w:r>
      <w:r w:rsidRPr="002D7F46" w:rsidR="00711C18">
        <w:t xml:space="preserve"> The Government were of the same view.</w:t>
      </w:r>
    </w:p>
    <w:p w:rsidRPr="002D7F46" w:rsidR="007F3B2C" w:rsidP="002D7F46" w:rsidRDefault="00711C18">
      <w:pPr>
        <w:pStyle w:val="JuPara"/>
      </w:pPr>
      <w:r w:rsidRPr="002D7F46">
        <w:fldChar w:fldCharType="begin"/>
      </w:r>
      <w:r w:rsidRPr="002D7F46">
        <w:instrText xml:space="preserve"> SEQ level0 \*arabic </w:instrText>
      </w:r>
      <w:r w:rsidRPr="002D7F46">
        <w:fldChar w:fldCharType="separate"/>
      </w:r>
      <w:r w:rsidRPr="002D7F46" w:rsidR="002D7F46">
        <w:rPr>
          <w:noProof/>
        </w:rPr>
        <w:t>27</w:t>
      </w:r>
      <w:r w:rsidRPr="002D7F46">
        <w:fldChar w:fldCharType="end"/>
      </w:r>
      <w:r w:rsidRPr="002D7F46">
        <w:t>. </w:t>
      </w:r>
      <w:r w:rsidRPr="002D7F46" w:rsidR="00522478">
        <w:t> </w:t>
      </w:r>
      <w:r w:rsidRPr="002D7F46">
        <w:t xml:space="preserve">The Court </w:t>
      </w:r>
      <w:r w:rsidRPr="002D7F46" w:rsidR="00117976">
        <w:t>notes that Article 276 CC refers to the relationship between a person administering the property of another person</w:t>
      </w:r>
      <w:r w:rsidRPr="002D7F46" w:rsidR="0079487D">
        <w:t xml:space="preserve"> </w:t>
      </w:r>
      <w:r w:rsidRPr="002D7F46" w:rsidR="001708F2">
        <w:t xml:space="preserve">and </w:t>
      </w:r>
      <w:r w:rsidRPr="002D7F46" w:rsidR="0079487D">
        <w:t xml:space="preserve">the person whose property is being </w:t>
      </w:r>
      <w:r w:rsidRPr="002D7F46" w:rsidR="001708F2">
        <w:t xml:space="preserve">thus </w:t>
      </w:r>
      <w:r w:rsidRPr="002D7F46" w:rsidR="0079487D">
        <w:t>administered</w:t>
      </w:r>
      <w:r w:rsidRPr="002D7F46" w:rsidR="00117976">
        <w:t xml:space="preserve">. During </w:t>
      </w:r>
      <w:r w:rsidRPr="002D7F46" w:rsidR="0079487D">
        <w:t xml:space="preserve">an </w:t>
      </w:r>
      <w:r w:rsidRPr="002D7F46" w:rsidR="00117976">
        <w:t xml:space="preserve">administration </w:t>
      </w:r>
      <w:r w:rsidRPr="002D7F46" w:rsidR="0079487D">
        <w:t xml:space="preserve">relationship of this kind, </w:t>
      </w:r>
      <w:r w:rsidRPr="002D7F46" w:rsidR="00117976">
        <w:t xml:space="preserve">the </w:t>
      </w:r>
      <w:r w:rsidRPr="002D7F46" w:rsidR="001708F2">
        <w:t xml:space="preserve">limitation period </w:t>
      </w:r>
      <w:r w:rsidRPr="002D7F46" w:rsidR="00117976">
        <w:t>does not apply in re</w:t>
      </w:r>
      <w:r w:rsidRPr="002D7F46" w:rsidR="0079487D">
        <w:t>spect of</w:t>
      </w:r>
      <w:r w:rsidRPr="002D7F46" w:rsidR="00117976">
        <w:t xml:space="preserve"> the administered property. In the present case it was undisputed that the applicant was not the owner of the apartment which she rented and that the real owner was the </w:t>
      </w:r>
      <w:proofErr w:type="spellStart"/>
      <w:r w:rsidRPr="002D7F46" w:rsidR="00117976">
        <w:t>Chișinău</w:t>
      </w:r>
      <w:proofErr w:type="spellEnd"/>
      <w:r w:rsidRPr="002D7F46" w:rsidR="00117976">
        <w:t xml:space="preserve"> municipality (see paragraph </w:t>
      </w:r>
      <w:r w:rsidRPr="002D7F46" w:rsidR="00117976">
        <w:fldChar w:fldCharType="begin"/>
      </w:r>
      <w:r w:rsidRPr="002D7F46" w:rsidR="00117976">
        <w:instrText xml:space="preserve"> REF p_6_apartment_is_state_owned \h </w:instrText>
      </w:r>
      <w:r w:rsidRPr="002D7F46" w:rsidR="007F12EB">
        <w:instrText xml:space="preserve"> \* MERGEFORMAT </w:instrText>
      </w:r>
      <w:r w:rsidRPr="002D7F46" w:rsidR="00117976">
        <w:fldChar w:fldCharType="separate"/>
      </w:r>
      <w:r w:rsidRPr="002D7F46" w:rsidR="002D7F46">
        <w:rPr>
          <w:noProof/>
        </w:rPr>
        <w:t>6</w:t>
      </w:r>
      <w:r w:rsidRPr="002D7F46" w:rsidR="00117976">
        <w:fldChar w:fldCharType="end"/>
      </w:r>
      <w:r w:rsidRPr="002D7F46" w:rsidR="00117976">
        <w:t xml:space="preserve"> above). </w:t>
      </w:r>
      <w:r w:rsidRPr="002D7F46" w:rsidR="00C10E05">
        <w:t xml:space="preserve">The plaintiff in the court action against the applicant was the Municipal Company for Administering the Housing Fund no. 14 (“the MCAHF-14”). As its name suggests, this was a company created </w:t>
      </w:r>
      <w:r w:rsidRPr="002D7F46" w:rsidR="00950882">
        <w:t>by the municipali</w:t>
      </w:r>
      <w:r w:rsidRPr="002D7F46" w:rsidR="00C10E05">
        <w:t xml:space="preserve">ty in order to administer </w:t>
      </w:r>
      <w:r w:rsidRPr="002D7F46" w:rsidR="0067126D">
        <w:t xml:space="preserve">its </w:t>
      </w:r>
      <w:r w:rsidRPr="002D7F46" w:rsidR="00C10E05">
        <w:t>housing fund.</w:t>
      </w:r>
      <w:r w:rsidRPr="002D7F46" w:rsidR="00BC0575">
        <w:t xml:space="preserve"> </w:t>
      </w:r>
      <w:r w:rsidRPr="002D7F46" w:rsidR="0002678F">
        <w:t xml:space="preserve">This </w:t>
      </w:r>
      <w:r w:rsidRPr="002D7F46" w:rsidR="00EA436E">
        <w:t xml:space="preserve">is confirmed by </w:t>
      </w:r>
      <w:r w:rsidRPr="002D7F46" w:rsidR="007F3B2C">
        <w:t xml:space="preserve">the applicable Regulation (see paragraph </w:t>
      </w:r>
      <w:r w:rsidRPr="002D7F46" w:rsidR="007F3B2C">
        <w:fldChar w:fldCharType="begin"/>
      </w:r>
      <w:r w:rsidRPr="002D7F46" w:rsidR="007F3B2C">
        <w:instrText xml:space="preserve"> REF p_18_Regulation_housing_fund \h </w:instrText>
      </w:r>
      <w:r w:rsidRPr="002D7F46" w:rsidR="007F12EB">
        <w:instrText xml:space="preserve"> \* MERGEFORMAT </w:instrText>
      </w:r>
      <w:r w:rsidRPr="002D7F46" w:rsidR="007F3B2C">
        <w:fldChar w:fldCharType="separate"/>
      </w:r>
      <w:r w:rsidRPr="002D7F46" w:rsidR="002D7F46">
        <w:rPr>
          <w:noProof/>
        </w:rPr>
        <w:t>18</w:t>
      </w:r>
      <w:r w:rsidRPr="002D7F46" w:rsidR="007F3B2C">
        <w:fldChar w:fldCharType="end"/>
      </w:r>
      <w:r w:rsidRPr="002D7F46" w:rsidR="007F3B2C">
        <w:t xml:space="preserve"> above), relied on in the decision of the Supreme Court of Justice.</w:t>
      </w:r>
    </w:p>
    <w:p w:rsidRPr="002D7F46" w:rsidR="00711C18" w:rsidP="002D7F46" w:rsidRDefault="007F3B2C">
      <w:pPr>
        <w:pStyle w:val="JuPara"/>
      </w:pPr>
      <w:r w:rsidRPr="002D7F46">
        <w:fldChar w:fldCharType="begin"/>
      </w:r>
      <w:r w:rsidRPr="002D7F46">
        <w:instrText xml:space="preserve"> SEQ level0 \*arabic </w:instrText>
      </w:r>
      <w:r w:rsidRPr="002D7F46">
        <w:fldChar w:fldCharType="separate"/>
      </w:r>
      <w:r w:rsidRPr="002D7F46" w:rsidR="002D7F46">
        <w:rPr>
          <w:noProof/>
        </w:rPr>
        <w:t>28</w:t>
      </w:r>
      <w:r w:rsidRPr="002D7F46">
        <w:fldChar w:fldCharType="end"/>
      </w:r>
      <w:r w:rsidRPr="002D7F46">
        <w:t>.  </w:t>
      </w:r>
      <w:r w:rsidRPr="002D7F46" w:rsidR="008F44B3">
        <w:t xml:space="preserve">It is obvious that Article 276 would be directly applicable in the relationship between the municipality, as the owner of the housing fund, and </w:t>
      </w:r>
      <w:r w:rsidRPr="002D7F46" w:rsidR="0079487D">
        <w:t xml:space="preserve">the </w:t>
      </w:r>
      <w:r w:rsidRPr="002D7F46" w:rsidR="008F44B3">
        <w:t>MCAHF</w:t>
      </w:r>
      <w:r w:rsidRPr="002D7F46" w:rsidR="003A3232">
        <w:t>-14</w:t>
      </w:r>
      <w:r w:rsidRPr="002D7F46" w:rsidR="008F44B3">
        <w:t xml:space="preserve"> manag</w:t>
      </w:r>
      <w:r w:rsidRPr="002D7F46" w:rsidR="0079487D">
        <w:t>ing</w:t>
      </w:r>
      <w:r w:rsidRPr="002D7F46" w:rsidR="008F44B3">
        <w:t xml:space="preserve"> a part of that fund. However, the </w:t>
      </w:r>
      <w:r w:rsidRPr="002D7F46" w:rsidR="0097323B">
        <w:t xml:space="preserve">Court does not see </w:t>
      </w:r>
      <w:r w:rsidRPr="002D7F46" w:rsidR="00971E80">
        <w:t xml:space="preserve">how </w:t>
      </w:r>
      <w:r w:rsidRPr="002D7F46" w:rsidR="008F44B3">
        <w:t xml:space="preserve">that provision </w:t>
      </w:r>
      <w:r w:rsidRPr="002D7F46" w:rsidR="00971E80">
        <w:t xml:space="preserve">was </w:t>
      </w:r>
      <w:r w:rsidRPr="002D7F46" w:rsidR="00A939F1">
        <w:t xml:space="preserve">relevant </w:t>
      </w:r>
      <w:r w:rsidRPr="002D7F46" w:rsidR="008F44B3">
        <w:t>in the relation</w:t>
      </w:r>
      <w:r w:rsidRPr="002D7F46" w:rsidR="00A939F1">
        <w:t>ship</w:t>
      </w:r>
      <w:r w:rsidRPr="002D7F46" w:rsidR="008F44B3">
        <w:t xml:space="preserve"> between MCAHF</w:t>
      </w:r>
      <w:r w:rsidRPr="002D7F46" w:rsidR="000A3491">
        <w:t>-14</w:t>
      </w:r>
      <w:r w:rsidRPr="002D7F46" w:rsidR="008F44B3">
        <w:t xml:space="preserve"> and the renter of an apartment administered by that entity in the interests of the municipality. The applicant is a renter of her apartment. She is </w:t>
      </w:r>
      <w:r w:rsidRPr="002D7F46" w:rsidR="006E38F1">
        <w:t xml:space="preserve">not its </w:t>
      </w:r>
      <w:r w:rsidRPr="002D7F46" w:rsidR="008F44B3">
        <w:t xml:space="preserve">owner </w:t>
      </w:r>
      <w:r w:rsidRPr="002D7F46" w:rsidR="006E38F1">
        <w:t xml:space="preserve">and </w:t>
      </w:r>
      <w:r w:rsidRPr="002D7F46" w:rsidR="000F3D39">
        <w:t xml:space="preserve">thus could not </w:t>
      </w:r>
      <w:r w:rsidRPr="002D7F46" w:rsidR="008F44B3">
        <w:t xml:space="preserve">mandate MCAHF-14 to manage </w:t>
      </w:r>
      <w:r w:rsidRPr="002D7F46" w:rsidR="000F3D39">
        <w:t xml:space="preserve">the </w:t>
      </w:r>
      <w:r w:rsidRPr="002D7F46" w:rsidR="008F44B3">
        <w:t xml:space="preserve">apartment, nor </w:t>
      </w:r>
      <w:r w:rsidRPr="002D7F46" w:rsidR="00A939F1">
        <w:t>is she the</w:t>
      </w:r>
      <w:r w:rsidRPr="002D7F46" w:rsidR="008F44B3">
        <w:t xml:space="preserve"> administrator herself</w:t>
      </w:r>
      <w:r w:rsidRPr="002D7F46" w:rsidR="00A939F1">
        <w:t>,</w:t>
      </w:r>
      <w:r w:rsidRPr="002D7F46" w:rsidR="008F44B3">
        <w:t xml:space="preserve"> since she has no mandate from the </w:t>
      </w:r>
      <w:r w:rsidRPr="002D7F46" w:rsidR="00E2180A">
        <w:t xml:space="preserve">owner (the </w:t>
      </w:r>
      <w:proofErr w:type="spellStart"/>
      <w:r w:rsidRPr="002D7F46" w:rsidR="008F44B3">
        <w:t>Chișinău</w:t>
      </w:r>
      <w:proofErr w:type="spellEnd"/>
      <w:r w:rsidRPr="002D7F46" w:rsidR="008F44B3">
        <w:t xml:space="preserve"> municipality</w:t>
      </w:r>
      <w:r w:rsidRPr="002D7F46" w:rsidR="00E2180A">
        <w:t>)</w:t>
      </w:r>
      <w:r w:rsidRPr="002D7F46" w:rsidR="008F44B3">
        <w:t xml:space="preserve"> to administe</w:t>
      </w:r>
      <w:r w:rsidRPr="002D7F46" w:rsidR="00A939F1">
        <w:t>r</w:t>
      </w:r>
      <w:r w:rsidRPr="002D7F46" w:rsidR="008F44B3">
        <w:t xml:space="preserve"> the apartment.</w:t>
      </w:r>
      <w:r w:rsidRPr="002D7F46" w:rsidR="00D61CE7">
        <w:t xml:space="preserve"> There is nothing to suggest that MCAHF-14 and the applicant concluded any kind of agreement for the administration of the apartment.</w:t>
      </w:r>
    </w:p>
    <w:p w:rsidRPr="002D7F46" w:rsidR="008F44B3"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29</w:t>
      </w:r>
      <w:r w:rsidRPr="002D7F46">
        <w:fldChar w:fldCharType="end"/>
      </w:r>
      <w:r w:rsidRPr="002D7F46" w:rsidR="00014566">
        <w:t>.  </w:t>
      </w:r>
      <w:r w:rsidRPr="002D7F46" w:rsidR="001A577E">
        <w:t xml:space="preserve">The Court also notes that the first-instance court did not </w:t>
      </w:r>
      <w:r w:rsidRPr="002D7F46" w:rsidR="00A939F1">
        <w:t xml:space="preserve">provide </w:t>
      </w:r>
      <w:r w:rsidRPr="002D7F46" w:rsidR="001A577E">
        <w:t xml:space="preserve">any </w:t>
      </w:r>
      <w:r w:rsidRPr="002D7F46" w:rsidR="001708F2">
        <w:t xml:space="preserve">reasons </w:t>
      </w:r>
      <w:r w:rsidRPr="002D7F46" w:rsidR="001A577E">
        <w:t xml:space="preserve">as to why it considered that Article 276 CC </w:t>
      </w:r>
      <w:r w:rsidRPr="002D7F46" w:rsidR="00A939F1">
        <w:t xml:space="preserve">was </w:t>
      </w:r>
      <w:r w:rsidRPr="002D7F46" w:rsidR="001A577E">
        <w:t>appli</w:t>
      </w:r>
      <w:r w:rsidRPr="002D7F46" w:rsidR="00A939F1">
        <w:t>cable</w:t>
      </w:r>
      <w:r w:rsidRPr="002D7F46" w:rsidR="001A577E">
        <w:t xml:space="preserve"> to the present situation. When</w:t>
      </w:r>
      <w:r w:rsidRPr="002D7F46" w:rsidR="00A939F1">
        <w:t xml:space="preserve">, in her appeals, </w:t>
      </w:r>
      <w:r w:rsidRPr="002D7F46" w:rsidR="001A577E">
        <w:t>the applicant asked the higher courts to verify the applicability of Article 276 CC to her situation</w:t>
      </w:r>
      <w:r w:rsidRPr="002D7F46" w:rsidR="00A939F1">
        <w:t>,</w:t>
      </w:r>
      <w:r w:rsidRPr="002D7F46" w:rsidR="001A577E">
        <w:t xml:space="preserve"> they did not respond in any manner.</w:t>
      </w:r>
    </w:p>
    <w:p w:rsidRPr="002D7F46" w:rsidR="00E11494" w:rsidP="002D7F46" w:rsidRDefault="00DC1E2B">
      <w:pPr>
        <w:pStyle w:val="JuPara"/>
      </w:pPr>
      <w:r w:rsidRPr="002D7F46">
        <w:fldChar w:fldCharType="begin"/>
      </w:r>
      <w:r w:rsidRPr="002D7F46">
        <w:instrText xml:space="preserve"> SEQ level0 \*arabic </w:instrText>
      </w:r>
      <w:r w:rsidRPr="002D7F46">
        <w:fldChar w:fldCharType="separate"/>
      </w:r>
      <w:r w:rsidRPr="002D7F46" w:rsidR="002D7F46">
        <w:rPr>
          <w:noProof/>
        </w:rPr>
        <w:t>30</w:t>
      </w:r>
      <w:r w:rsidRPr="002D7F46">
        <w:fldChar w:fldCharType="end"/>
      </w:r>
      <w:r w:rsidRPr="002D7F46">
        <w:t>.  </w:t>
      </w:r>
      <w:r w:rsidRPr="002D7F46" w:rsidR="002F369E">
        <w:t>As for the Government</w:t>
      </w:r>
      <w:r w:rsidRPr="002D7F46" w:rsidR="002D7F46">
        <w:t>’</w:t>
      </w:r>
      <w:r w:rsidRPr="002D7F46" w:rsidR="002F369E">
        <w:t xml:space="preserve">s argument that another </w:t>
      </w:r>
      <w:r w:rsidRPr="002D7F46" w:rsidR="00A939F1">
        <w:t xml:space="preserve">legal </w:t>
      </w:r>
      <w:r w:rsidRPr="002D7F46" w:rsidR="002F369E">
        <w:t xml:space="preserve">provision provided </w:t>
      </w:r>
      <w:r w:rsidRPr="002D7F46" w:rsidR="00A939F1">
        <w:t xml:space="preserve">for </w:t>
      </w:r>
      <w:r w:rsidRPr="002D7F46" w:rsidR="002F369E">
        <w:t>an exception from the general limitation period and was applicable to some of the applicant</w:t>
      </w:r>
      <w:r w:rsidRPr="002D7F46" w:rsidR="002D7F46">
        <w:t>’</w:t>
      </w:r>
      <w:r w:rsidRPr="002D7F46" w:rsidR="002F369E">
        <w:t xml:space="preserve">s claims, the Court notes that the domestic courts never referred to any other exception, which was thus not part of the decisions taken in respect of the applicant. In such circumstances, the Court does not need to examine any such additional </w:t>
      </w:r>
      <w:r w:rsidRPr="002D7F46" w:rsidR="00CE6ED6">
        <w:t>argument now raised by the Government.</w:t>
      </w:r>
    </w:p>
    <w:p w:rsidRPr="002D7F46" w:rsidR="007C7BF3" w:rsidP="002D7F46" w:rsidRDefault="007C7BF3">
      <w:pPr>
        <w:pStyle w:val="JuPara"/>
      </w:pPr>
      <w:r w:rsidRPr="002D7F46">
        <w:fldChar w:fldCharType="begin"/>
      </w:r>
      <w:r w:rsidRPr="002D7F46">
        <w:instrText xml:space="preserve"> SEQ level0 \*arabic </w:instrText>
      </w:r>
      <w:r w:rsidRPr="002D7F46">
        <w:fldChar w:fldCharType="separate"/>
      </w:r>
      <w:r w:rsidRPr="002D7F46" w:rsidR="002D7F46">
        <w:rPr>
          <w:noProof/>
        </w:rPr>
        <w:t>31</w:t>
      </w:r>
      <w:r w:rsidRPr="002D7F46">
        <w:fldChar w:fldCharType="end"/>
      </w:r>
      <w:r w:rsidRPr="002D7F46">
        <w:t xml:space="preserve">.  The applicant raised her objection about the expiry of the limitation period </w:t>
      </w:r>
      <w:r w:rsidRPr="002D7F46" w:rsidR="00A939F1">
        <w:t>before</w:t>
      </w:r>
      <w:r w:rsidRPr="002D7F46">
        <w:t xml:space="preserve"> the first-instance court, as required under Article 271 CC (see paragraphs</w:t>
      </w:r>
      <w:r w:rsidRPr="002D7F46" w:rsidR="00FC0F5A">
        <w:t xml:space="preserve"> </w:t>
      </w:r>
      <w:r w:rsidRPr="002D7F46" w:rsidR="00FC0F5A">
        <w:fldChar w:fldCharType="begin"/>
      </w:r>
      <w:r w:rsidRPr="002D7F46" w:rsidR="00FC0F5A">
        <w:instrText xml:space="preserve"> REF p_9_TA_rasises_limitation_issue \h </w:instrText>
      </w:r>
      <w:r w:rsidRPr="002D7F46" w:rsidR="00FC0F5A">
        <w:fldChar w:fldCharType="separate"/>
      </w:r>
      <w:r w:rsidRPr="002D7F46" w:rsidR="002D7F46">
        <w:rPr>
          <w:noProof/>
        </w:rPr>
        <w:t>9</w:t>
      </w:r>
      <w:r w:rsidRPr="002D7F46" w:rsidR="00FC0F5A">
        <w:fldChar w:fldCharType="end"/>
      </w:r>
      <w:r w:rsidRPr="002D7F46" w:rsidR="00FC0F5A">
        <w:t xml:space="preserve"> </w:t>
      </w:r>
      <w:r w:rsidRPr="002D7F46">
        <w:t xml:space="preserve">and </w:t>
      </w:r>
      <w:r w:rsidRPr="002D7F46">
        <w:fldChar w:fldCharType="begin"/>
      </w:r>
      <w:r w:rsidRPr="002D7F46">
        <w:instrText xml:space="preserve"> REF p_17_CC \h </w:instrText>
      </w:r>
      <w:r w:rsidRPr="002D7F46" w:rsidR="007F12EB">
        <w:instrText xml:space="preserve"> \* MERGEFORMAT </w:instrText>
      </w:r>
      <w:r w:rsidRPr="002D7F46">
        <w:fldChar w:fldCharType="separate"/>
      </w:r>
      <w:r w:rsidRPr="002D7F46" w:rsidR="002D7F46">
        <w:rPr>
          <w:noProof/>
        </w:rPr>
        <w:t>17</w:t>
      </w:r>
      <w:r w:rsidRPr="002D7F46">
        <w:fldChar w:fldCharType="end"/>
      </w:r>
      <w:r w:rsidRPr="002D7F46">
        <w:t xml:space="preserve"> above). </w:t>
      </w:r>
      <w:r w:rsidRPr="002D7F46" w:rsidR="00A939F1">
        <w:t xml:space="preserve">Pursuant to </w:t>
      </w:r>
      <w:r w:rsidRPr="002D7F46">
        <w:t xml:space="preserve">Article 271, </w:t>
      </w:r>
      <w:r w:rsidRPr="002D7F46" w:rsidR="00A939F1">
        <w:t xml:space="preserve">the part of </w:t>
      </w:r>
      <w:r w:rsidRPr="002D7F46">
        <w:t>the court action against the applicant</w:t>
      </w:r>
      <w:r w:rsidRPr="002D7F46" w:rsidR="00A939F1">
        <w:t xml:space="preserve"> concerning</w:t>
      </w:r>
      <w:r w:rsidRPr="002D7F46">
        <w:t xml:space="preserve"> claims </w:t>
      </w:r>
      <w:r w:rsidRPr="002D7F46" w:rsidR="0007051C">
        <w:t>relat</w:t>
      </w:r>
      <w:r w:rsidRPr="002D7F46">
        <w:t>ing</w:t>
      </w:r>
      <w:r w:rsidRPr="002D7F46" w:rsidR="0007051C">
        <w:t xml:space="preserve"> to</w:t>
      </w:r>
      <w:r w:rsidRPr="002D7F46">
        <w:t xml:space="preserve"> debts</w:t>
      </w:r>
      <w:r w:rsidRPr="002D7F46" w:rsidR="00A939F1">
        <w:t xml:space="preserve"> that were more </w:t>
      </w:r>
      <w:r w:rsidRPr="002D7F46">
        <w:t xml:space="preserve">than three years </w:t>
      </w:r>
      <w:r w:rsidRPr="002D7F46" w:rsidR="00A939F1">
        <w:t xml:space="preserve">old </w:t>
      </w:r>
      <w:r w:rsidRPr="002D7F46">
        <w:t xml:space="preserve">at the time the court action </w:t>
      </w:r>
      <w:r w:rsidRPr="002D7F46" w:rsidR="00264D32">
        <w:t xml:space="preserve">was lodged </w:t>
      </w:r>
      <w:r w:rsidRPr="002D7F46">
        <w:t xml:space="preserve">against her should have been </w:t>
      </w:r>
      <w:r w:rsidRPr="002D7F46" w:rsidR="00264D32">
        <w:t xml:space="preserve">dismissed </w:t>
      </w:r>
      <w:r w:rsidRPr="002D7F46">
        <w:t xml:space="preserve">by the </w:t>
      </w:r>
      <w:r w:rsidRPr="002D7F46" w:rsidR="003A51AF">
        <w:t xml:space="preserve">domestic </w:t>
      </w:r>
      <w:r w:rsidRPr="002D7F46">
        <w:t>court</w:t>
      </w:r>
      <w:r w:rsidRPr="002D7F46" w:rsidR="003A51AF">
        <w:t>s</w:t>
      </w:r>
      <w:r w:rsidRPr="002D7F46" w:rsidR="007600EF">
        <w:t>, as was done in respect of MCAHF-14</w:t>
      </w:r>
      <w:r w:rsidRPr="002D7F46" w:rsidR="002D7F46">
        <w:t>’</w:t>
      </w:r>
      <w:r w:rsidRPr="002D7F46" w:rsidR="00010CA6">
        <w:t>s own debt</w:t>
      </w:r>
      <w:r w:rsidRPr="002D7F46" w:rsidR="007600EF">
        <w:t xml:space="preserve"> in another case (see paragraph </w:t>
      </w:r>
      <w:r w:rsidRPr="002D7F46" w:rsidR="007600EF">
        <w:fldChar w:fldCharType="begin"/>
      </w:r>
      <w:r w:rsidRPr="002D7F46" w:rsidR="007600EF">
        <w:instrText xml:space="preserve"> REF p_19_MCAHF_debt_reduced_limitation \h </w:instrText>
      </w:r>
      <w:r w:rsidRPr="002D7F46" w:rsidR="007600EF">
        <w:fldChar w:fldCharType="separate"/>
      </w:r>
      <w:r w:rsidRPr="002D7F46" w:rsidR="002D7F46">
        <w:rPr>
          <w:noProof/>
        </w:rPr>
        <w:t>19</w:t>
      </w:r>
      <w:r w:rsidRPr="002D7F46" w:rsidR="007600EF">
        <w:fldChar w:fldCharType="end"/>
      </w:r>
      <w:r w:rsidRPr="002D7F46" w:rsidR="007600EF">
        <w:t xml:space="preserve"> above)</w:t>
      </w:r>
      <w:r w:rsidRPr="002D7F46">
        <w:t>.</w:t>
      </w:r>
      <w:r w:rsidRPr="002D7F46" w:rsidR="004F0356">
        <w:t xml:space="preserve"> However, the</w:t>
      </w:r>
      <w:r w:rsidRPr="002D7F46" w:rsidR="006F3DDC">
        <w:t xml:space="preserve"> courts</w:t>
      </w:r>
      <w:r w:rsidRPr="002D7F46" w:rsidR="004F0356">
        <w:t xml:space="preserve"> accepted </w:t>
      </w:r>
      <w:r w:rsidRPr="002D7F46" w:rsidR="00264D32">
        <w:t xml:space="preserve">the claims </w:t>
      </w:r>
      <w:r w:rsidRPr="002D7F46" w:rsidR="004F0356">
        <w:t>in full.</w:t>
      </w:r>
    </w:p>
    <w:p w:rsidRPr="002D7F46" w:rsidR="00014566" w:rsidP="002D7F46" w:rsidRDefault="000267DC">
      <w:pPr>
        <w:pStyle w:val="JuPara"/>
      </w:pPr>
      <w:r w:rsidRPr="002D7F46">
        <w:fldChar w:fldCharType="begin"/>
      </w:r>
      <w:r w:rsidRPr="002D7F46">
        <w:instrText xml:space="preserve"> SEQ level0 \*arabic </w:instrText>
      </w:r>
      <w:r w:rsidRPr="002D7F46">
        <w:fldChar w:fldCharType="separate"/>
      </w:r>
      <w:r w:rsidRPr="002D7F46" w:rsidR="002D7F46">
        <w:rPr>
          <w:noProof/>
        </w:rPr>
        <w:t>32</w:t>
      </w:r>
      <w:r w:rsidRPr="002D7F46">
        <w:fldChar w:fldCharType="end"/>
      </w:r>
      <w:r w:rsidRPr="002D7F46">
        <w:t>.  </w:t>
      </w:r>
      <w:r w:rsidRPr="002D7F46" w:rsidR="00014566">
        <w:t xml:space="preserve">The foregoing considerations are sufficient to enable the Court to conclude that </w:t>
      </w:r>
      <w:r w:rsidRPr="002D7F46" w:rsidR="00410E51">
        <w:t xml:space="preserve">by accepting claims against the applicant which were lodged after the expiry of the </w:t>
      </w:r>
      <w:r w:rsidRPr="002D7F46" w:rsidR="00DC1E2B">
        <w:t xml:space="preserve">general </w:t>
      </w:r>
      <w:r w:rsidRPr="002D7F46" w:rsidR="00410E51">
        <w:t xml:space="preserve">limitation period </w:t>
      </w:r>
      <w:r w:rsidRPr="002D7F46" w:rsidR="00DC1E2B">
        <w:t xml:space="preserve">and by failing to give a convincing explanation as to why the exception in Article 276 CC applied, </w:t>
      </w:r>
      <w:r w:rsidRPr="002D7F46" w:rsidR="00410E51">
        <w:t>the domestic courts breached the applicant</w:t>
      </w:r>
      <w:r w:rsidRPr="002D7F46" w:rsidR="002D7F46">
        <w:t>’</w:t>
      </w:r>
      <w:r w:rsidRPr="002D7F46" w:rsidR="00410E51">
        <w:t>s right to a fair hearing</w:t>
      </w:r>
      <w:r w:rsidRPr="002D7F46" w:rsidR="00C7467B">
        <w:t xml:space="preserve"> (see, </w:t>
      </w:r>
      <w:r w:rsidRPr="002D7F46" w:rsidR="00C7467B">
        <w:rPr>
          <w:i/>
        </w:rPr>
        <w:t>mutatis mutandis</w:t>
      </w:r>
      <w:r w:rsidRPr="002D7F46" w:rsidR="00C7467B">
        <w:t xml:space="preserve">, </w:t>
      </w:r>
      <w:r w:rsidRPr="002D7F46" w:rsidR="00E32F9D">
        <w:rPr>
          <w:i/>
        </w:rPr>
        <w:t xml:space="preserve">Ruiz </w:t>
      </w:r>
      <w:proofErr w:type="spellStart"/>
      <w:r w:rsidRPr="002D7F46" w:rsidR="00E32F9D">
        <w:rPr>
          <w:i/>
        </w:rPr>
        <w:t>Torija</w:t>
      </w:r>
      <w:proofErr w:type="spellEnd"/>
      <w:r w:rsidRPr="002D7F46" w:rsidR="00023745">
        <w:rPr>
          <w:i/>
        </w:rPr>
        <w:t xml:space="preserve">, </w:t>
      </w:r>
      <w:r w:rsidRPr="002D7F46" w:rsidR="00023745">
        <w:t>cited above</w:t>
      </w:r>
      <w:r w:rsidRPr="002D7F46" w:rsidR="00E32F9D">
        <w:t>, § 30</w:t>
      </w:r>
      <w:r w:rsidRPr="002D7F46" w:rsidR="00C7467B">
        <w:t>)</w:t>
      </w:r>
      <w:r w:rsidRPr="002D7F46" w:rsidR="00410E51">
        <w:t>.</w:t>
      </w:r>
    </w:p>
    <w:p w:rsidRPr="002D7F46" w:rsidR="00014566" w:rsidP="002D7F46" w:rsidRDefault="00410E51">
      <w:pPr>
        <w:pStyle w:val="JuPara"/>
      </w:pPr>
      <w:r w:rsidRPr="002D7F46">
        <w:fldChar w:fldCharType="begin"/>
      </w:r>
      <w:r w:rsidRPr="002D7F46">
        <w:instrText xml:space="preserve"> SEQ level0 \*arabic </w:instrText>
      </w:r>
      <w:r w:rsidRPr="002D7F46">
        <w:fldChar w:fldCharType="separate"/>
      </w:r>
      <w:r w:rsidRPr="002D7F46" w:rsidR="002D7F46">
        <w:rPr>
          <w:noProof/>
        </w:rPr>
        <w:t>33</w:t>
      </w:r>
      <w:r w:rsidRPr="002D7F46">
        <w:fldChar w:fldCharType="end"/>
      </w:r>
      <w:r w:rsidRPr="002D7F46">
        <w:t>.  </w:t>
      </w:r>
      <w:r w:rsidRPr="002D7F46" w:rsidR="00014566">
        <w:t xml:space="preserve">There has accordingly been a violation of Article </w:t>
      </w:r>
      <w:r w:rsidRPr="002D7F46">
        <w:t>6 § 1</w:t>
      </w:r>
      <w:r w:rsidRPr="002D7F46" w:rsidR="00014566">
        <w:t xml:space="preserve"> of the Convention.</w:t>
      </w:r>
    </w:p>
    <w:p w:rsidRPr="002D7F46" w:rsidR="00014566" w:rsidP="002D7F46" w:rsidRDefault="00014566">
      <w:pPr>
        <w:pStyle w:val="JuHIRoman"/>
      </w:pPr>
      <w:r w:rsidRPr="002D7F46">
        <w:t>OTHER ALLEGED VIOLATIONS OF THE CONVENTION</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34</w:t>
      </w:r>
      <w:r w:rsidRPr="002D7F46">
        <w:fldChar w:fldCharType="end"/>
      </w:r>
      <w:r w:rsidRPr="002D7F46" w:rsidR="00014566">
        <w:t>.  </w:t>
      </w:r>
      <w:r w:rsidRPr="002D7F46" w:rsidR="00D06B48">
        <w:t>T</w:t>
      </w:r>
      <w:r w:rsidRPr="002D7F46" w:rsidR="00014566">
        <w:t xml:space="preserve">he applicant </w:t>
      </w:r>
      <w:r w:rsidRPr="002D7F46" w:rsidR="00D06B48">
        <w:t xml:space="preserve">also </w:t>
      </w:r>
      <w:r w:rsidRPr="002D7F46" w:rsidR="00014566">
        <w:t xml:space="preserve">complained </w:t>
      </w:r>
      <w:r w:rsidRPr="002D7F46" w:rsidR="002E1499">
        <w:t>under Article 6 § 1 of the Convention that the courts</w:t>
      </w:r>
      <w:r w:rsidRPr="002D7F46" w:rsidR="004454AA">
        <w:t xml:space="preserve"> had</w:t>
      </w:r>
      <w:r w:rsidRPr="002D7F46" w:rsidR="002E1499">
        <w:t xml:space="preserve"> </w:t>
      </w:r>
      <w:r w:rsidRPr="002D7F46" w:rsidR="00A67F5F">
        <w:t xml:space="preserve">incorrectly accepted the claims against her, given the damaged </w:t>
      </w:r>
      <w:r w:rsidRPr="002D7F46" w:rsidR="004454AA">
        <w:t xml:space="preserve">condition </w:t>
      </w:r>
      <w:r w:rsidRPr="002D7F46" w:rsidR="00A67F5F">
        <w:t>of her apartment and the failure to provide her with good quality services.</w:t>
      </w:r>
    </w:p>
    <w:p w:rsidRPr="002D7F46" w:rsidR="00A67F5F" w:rsidP="002D7F46" w:rsidRDefault="00A67F5F">
      <w:pPr>
        <w:pStyle w:val="JuPara"/>
      </w:pPr>
      <w:r w:rsidRPr="002D7F46">
        <w:fldChar w:fldCharType="begin"/>
      </w:r>
      <w:r w:rsidRPr="002D7F46">
        <w:instrText xml:space="preserve"> SEQ level0 \*arabic </w:instrText>
      </w:r>
      <w:r w:rsidRPr="002D7F46">
        <w:fldChar w:fldCharType="separate"/>
      </w:r>
      <w:r w:rsidRPr="002D7F46" w:rsidR="002D7F46">
        <w:rPr>
          <w:noProof/>
        </w:rPr>
        <w:t>35</w:t>
      </w:r>
      <w:r w:rsidRPr="002D7F46">
        <w:fldChar w:fldCharType="end"/>
      </w:r>
      <w:r w:rsidRPr="002D7F46">
        <w:t xml:space="preserve">.  She also complained, under the same provision, that </w:t>
      </w:r>
      <w:r w:rsidRPr="002D7F46" w:rsidR="002A4ECD">
        <w:t>one of the judges of the Supreme Court of Justice (S.M.) should not have examined her case</w:t>
      </w:r>
      <w:r w:rsidRPr="002D7F46" w:rsidR="004454AA">
        <w:t>,</w:t>
      </w:r>
      <w:r w:rsidRPr="002D7F46" w:rsidR="002A4ECD">
        <w:t xml:space="preserve"> since in the year 2000 she had challenged him for showing a biased attitude towards </w:t>
      </w:r>
      <w:r w:rsidRPr="002D7F46" w:rsidR="004454AA">
        <w:t xml:space="preserve">her </w:t>
      </w:r>
      <w:r w:rsidRPr="002D7F46" w:rsidR="002A4ECD">
        <w:t xml:space="preserve">and he was </w:t>
      </w:r>
      <w:r w:rsidRPr="002D7F46" w:rsidR="004454AA">
        <w:t xml:space="preserve">subsequently </w:t>
      </w:r>
      <w:r w:rsidRPr="002D7F46" w:rsidR="002A4ECD">
        <w:t>replaced by another judge.</w:t>
      </w:r>
    </w:p>
    <w:p w:rsidRPr="002D7F46" w:rsidR="000739C4" w:rsidP="002D7F46" w:rsidRDefault="002A4ECD">
      <w:pPr>
        <w:pStyle w:val="JuPara"/>
        <w:rPr>
          <w:color w:val="000000"/>
          <w:szCs w:val="24"/>
          <w:lang w:eastAsia="en-GB"/>
        </w:rPr>
      </w:pPr>
      <w:r w:rsidRPr="002D7F46">
        <w:fldChar w:fldCharType="begin"/>
      </w:r>
      <w:r w:rsidRPr="002D7F46">
        <w:instrText xml:space="preserve"> SEQ level0 \*arabic </w:instrText>
      </w:r>
      <w:r w:rsidRPr="002D7F46">
        <w:fldChar w:fldCharType="separate"/>
      </w:r>
      <w:r w:rsidRPr="002D7F46" w:rsidR="002D7F46">
        <w:rPr>
          <w:noProof/>
        </w:rPr>
        <w:t>36</w:t>
      </w:r>
      <w:r w:rsidRPr="002D7F46">
        <w:fldChar w:fldCharType="end"/>
      </w:r>
      <w:r w:rsidRPr="002D7F46">
        <w:t xml:space="preserve">.  Having </w:t>
      </w:r>
      <w:r w:rsidRPr="002D7F46">
        <w:rPr>
          <w:color w:val="000000"/>
          <w:szCs w:val="24"/>
          <w:lang w:eastAsia="en-GB"/>
        </w:rPr>
        <w:t xml:space="preserve">regard to all the material in its possession, </w:t>
      </w:r>
      <w:r w:rsidRPr="002D7F46">
        <w:t>t</w:t>
      </w:r>
      <w:r w:rsidRPr="002D7F46">
        <w:rPr>
          <w:color w:val="000000"/>
          <w:szCs w:val="24"/>
          <w:lang w:eastAsia="en-GB"/>
        </w:rPr>
        <w:t>he Court finds that these complaints do not disclose any appearance of a violation of the rights and freedoms set out in the Convention.</w:t>
      </w:r>
    </w:p>
    <w:p w:rsidRPr="002D7F46" w:rsidR="002A4ECD" w:rsidP="002D7F46" w:rsidRDefault="002A4ECD">
      <w:pPr>
        <w:pStyle w:val="JuPara"/>
      </w:pPr>
      <w:r w:rsidRPr="002D7F46">
        <w:rPr>
          <w:color w:val="000000"/>
          <w:szCs w:val="24"/>
          <w:lang w:eastAsia="en-GB"/>
        </w:rPr>
        <w:t>It follows that this part of the application must be rejected as being manifestly ill-founded, pursuant to Article 35 §§ 3 (a) and 4 of the Convention.</w:t>
      </w:r>
    </w:p>
    <w:p w:rsidRPr="002D7F46" w:rsidR="00014566" w:rsidP="002D7F46" w:rsidRDefault="00014566">
      <w:pPr>
        <w:pStyle w:val="JuHIRoman"/>
      </w:pPr>
      <w:r w:rsidRPr="002D7F46">
        <w:t>APPLICATION OF ARTICLE 41 OF THE CONVENTION</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37</w:t>
      </w:r>
      <w:r w:rsidRPr="002D7F46">
        <w:fldChar w:fldCharType="end"/>
      </w:r>
      <w:r w:rsidRPr="002D7F46" w:rsidR="00014566">
        <w:t>.  Article 41 of the Convention provides:</w:t>
      </w:r>
    </w:p>
    <w:p w:rsidRPr="002D7F46" w:rsidR="00014566" w:rsidP="002D7F46" w:rsidRDefault="00014566">
      <w:pPr>
        <w:pStyle w:val="JuQuot"/>
        <w:keepNext/>
        <w:keepLines/>
      </w:pPr>
      <w:r w:rsidRPr="002D7F4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D7F46" w:rsidR="00014566" w:rsidP="002D7F46" w:rsidRDefault="00613FB2">
      <w:pPr>
        <w:pStyle w:val="JuHA"/>
      </w:pPr>
      <w:r w:rsidRPr="002D7F46">
        <w:t>D</w:t>
      </w:r>
      <w:r w:rsidRPr="002D7F46" w:rsidR="00014566">
        <w:t>amage</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38</w:t>
      </w:r>
      <w:r w:rsidRPr="002D7F46">
        <w:fldChar w:fldCharType="end"/>
      </w:r>
      <w:r w:rsidRPr="002D7F46" w:rsidR="00014566">
        <w:t>.  </w:t>
      </w:r>
      <w:proofErr w:type="spellStart"/>
      <w:r w:rsidRPr="002D7F46" w:rsidR="00014566">
        <w:t>Theapplicant</w:t>
      </w:r>
      <w:proofErr w:type="spellEnd"/>
      <w:r w:rsidRPr="002D7F46" w:rsidR="00014566">
        <w:t xml:space="preserve"> claimed </w:t>
      </w:r>
      <w:r w:rsidRPr="002D7F46" w:rsidR="00450928">
        <w:t>6,000</w:t>
      </w:r>
      <w:r w:rsidRPr="002D7F46" w:rsidR="00014566">
        <w:t xml:space="preserve"> euros (EUR) in respect of non-pecuniary damage.</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39</w:t>
      </w:r>
      <w:r w:rsidRPr="002D7F46">
        <w:fldChar w:fldCharType="end"/>
      </w:r>
      <w:r w:rsidRPr="002D7F46" w:rsidR="00014566">
        <w:t xml:space="preserve">.  The Government </w:t>
      </w:r>
      <w:r w:rsidRPr="002D7F46" w:rsidR="00450928">
        <w:t>considered that in the absence of a violation of any Convention right</w:t>
      </w:r>
      <w:r w:rsidRPr="002D7F46" w:rsidR="004454AA">
        <w:t>,</w:t>
      </w:r>
      <w:r w:rsidRPr="002D7F46" w:rsidR="00450928">
        <w:t xml:space="preserve"> no compensation was </w:t>
      </w:r>
      <w:r w:rsidRPr="002D7F46" w:rsidR="004454AA">
        <w:t>payable</w:t>
      </w:r>
      <w:r w:rsidRPr="002D7F46" w:rsidR="00450928">
        <w:t>. In any event, the sum claimed was excessive.</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40</w:t>
      </w:r>
      <w:r w:rsidRPr="002D7F46">
        <w:fldChar w:fldCharType="end"/>
      </w:r>
      <w:r w:rsidRPr="002D7F46" w:rsidR="00014566">
        <w:t>.  </w:t>
      </w:r>
      <w:r w:rsidRPr="002D7F46" w:rsidR="00D00EBA">
        <w:t xml:space="preserve">The Court considers that the applicant must have been caused a certain amount of frustration as a result of the violation of </w:t>
      </w:r>
      <w:r w:rsidRPr="002D7F46" w:rsidR="004454AA">
        <w:t>her</w:t>
      </w:r>
      <w:r w:rsidRPr="002D7F46" w:rsidR="000577D5">
        <w:t xml:space="preserve"> </w:t>
      </w:r>
      <w:r w:rsidRPr="002D7F46" w:rsidR="00D00EBA">
        <w:t>rights under Article 6 § 1 of the Convention. Deciding on an equitable basis, it awards the applicant EUR </w:t>
      </w:r>
      <w:r w:rsidRPr="002D7F46" w:rsidR="00ED2CC6">
        <w:t>1</w:t>
      </w:r>
      <w:r w:rsidRPr="002D7F46" w:rsidR="00613FB2">
        <w:t>,</w:t>
      </w:r>
      <w:r w:rsidRPr="002D7F46" w:rsidR="005478F5">
        <w:t>5</w:t>
      </w:r>
      <w:r w:rsidRPr="002D7F46" w:rsidR="00E74F22">
        <w:t>00</w:t>
      </w:r>
      <w:r w:rsidRPr="002D7F46" w:rsidR="00D00EBA">
        <w:t xml:space="preserve"> </w:t>
      </w:r>
      <w:r w:rsidRPr="002D7F46" w:rsidR="00014566">
        <w:t>in respect of non-pecuniary damage.</w:t>
      </w:r>
    </w:p>
    <w:p w:rsidRPr="002D7F46" w:rsidR="00014566" w:rsidP="002D7F46" w:rsidRDefault="00014566">
      <w:pPr>
        <w:pStyle w:val="JuHA"/>
      </w:pPr>
      <w:r w:rsidRPr="002D7F46">
        <w:t>Costs and expenses</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41</w:t>
      </w:r>
      <w:r w:rsidRPr="002D7F46">
        <w:fldChar w:fldCharType="end"/>
      </w:r>
      <w:r w:rsidRPr="002D7F46" w:rsidR="00014566">
        <w:t xml:space="preserve">.  The applicant </w:t>
      </w:r>
      <w:r w:rsidRPr="002D7F46" w:rsidR="00613FB2">
        <w:t>did not make any claim in this respect</w:t>
      </w:r>
      <w:r w:rsidRPr="002D7F46" w:rsidR="00014566">
        <w:t>.</w:t>
      </w:r>
    </w:p>
    <w:p w:rsidRPr="002D7F46" w:rsidR="00014566" w:rsidP="002D7F46" w:rsidRDefault="00014566">
      <w:pPr>
        <w:pStyle w:val="JuHA"/>
      </w:pPr>
      <w:r w:rsidRPr="002D7F46">
        <w:t>Default interest</w:t>
      </w:r>
    </w:p>
    <w:p w:rsidRPr="002D7F46" w:rsidR="00014566" w:rsidP="002D7F46" w:rsidRDefault="00B1090E">
      <w:pPr>
        <w:pStyle w:val="JuPara"/>
      </w:pPr>
      <w:r w:rsidRPr="002D7F46">
        <w:fldChar w:fldCharType="begin"/>
      </w:r>
      <w:r w:rsidRPr="002D7F46">
        <w:instrText xml:space="preserve"> SEQ level0 \*arabic </w:instrText>
      </w:r>
      <w:r w:rsidRPr="002D7F46">
        <w:fldChar w:fldCharType="separate"/>
      </w:r>
      <w:r w:rsidRPr="002D7F46" w:rsidR="002D7F46">
        <w:rPr>
          <w:noProof/>
        </w:rPr>
        <w:t>42</w:t>
      </w:r>
      <w:r w:rsidRPr="002D7F46">
        <w:fldChar w:fldCharType="end"/>
      </w:r>
      <w:r w:rsidRPr="002D7F46" w:rsidR="00014566">
        <w:t>.  The Court considers it appropriate that the default interest rate should be based on the marginal lending rate of the European Central Bank, to which should be added three percentage points.</w:t>
      </w:r>
    </w:p>
    <w:p w:rsidRPr="002D7F46" w:rsidR="00014566" w:rsidP="002D7F46" w:rsidRDefault="00BB5883">
      <w:pPr>
        <w:pStyle w:val="JuHHead"/>
      </w:pPr>
      <w:r w:rsidRPr="002D7F46">
        <w:t>FOR THESE REASONS, THE COURT</w:t>
      </w:r>
      <w:r w:rsidRPr="002D7F46" w:rsidR="00B1090E">
        <w:t>, UNANIMOUSLY,</w:t>
      </w:r>
    </w:p>
    <w:p w:rsidRPr="002D7F46" w:rsidR="00014566" w:rsidP="002D7F46" w:rsidRDefault="00014566">
      <w:pPr>
        <w:pStyle w:val="JuList"/>
      </w:pPr>
      <w:r w:rsidRPr="002D7F46">
        <w:rPr>
          <w:i/>
        </w:rPr>
        <w:t>Declares</w:t>
      </w:r>
      <w:r w:rsidRPr="002D7F46" w:rsidR="00B1090E">
        <w:t xml:space="preserve"> </w:t>
      </w:r>
      <w:r w:rsidRPr="002D7F46">
        <w:t>the</w:t>
      </w:r>
      <w:r w:rsidRPr="002D7F46" w:rsidR="00613FB2">
        <w:t xml:space="preserve"> complaint under Article 6 § 1 concerning the failure to apply the limitation period </w:t>
      </w:r>
      <w:r w:rsidRPr="002D7F46">
        <w:t>admissible</w:t>
      </w:r>
      <w:r w:rsidRPr="002D7F46" w:rsidR="00613FB2">
        <w:t xml:space="preserve"> and the remainder of the application inadmissible</w:t>
      </w:r>
      <w:r w:rsidRPr="002D7F46">
        <w:t>;</w:t>
      </w:r>
    </w:p>
    <w:p w:rsidRPr="002D7F46" w:rsidR="00014566" w:rsidP="002D7F46" w:rsidRDefault="00014566">
      <w:pPr>
        <w:pStyle w:val="JuList"/>
      </w:pPr>
      <w:r w:rsidRPr="002D7F46">
        <w:rPr>
          <w:i/>
        </w:rPr>
        <w:t>Holds</w:t>
      </w:r>
      <w:r w:rsidRPr="002D7F46" w:rsidR="00B1090E">
        <w:t xml:space="preserve"> </w:t>
      </w:r>
      <w:r w:rsidRPr="002D7F46">
        <w:t xml:space="preserve">that there has been a violation of Article </w:t>
      </w:r>
      <w:r w:rsidRPr="002D7F46" w:rsidR="00613FB2">
        <w:t>6 § 1</w:t>
      </w:r>
      <w:r w:rsidRPr="002D7F46">
        <w:t xml:space="preserve"> of the Convention;</w:t>
      </w:r>
    </w:p>
    <w:p w:rsidRPr="002D7F46" w:rsidR="00014566" w:rsidP="002D7F46" w:rsidRDefault="00014566">
      <w:pPr>
        <w:pStyle w:val="JuList"/>
      </w:pPr>
      <w:r w:rsidRPr="002D7F46">
        <w:rPr>
          <w:i/>
        </w:rPr>
        <w:t>Holds</w:t>
      </w:r>
    </w:p>
    <w:p w:rsidRPr="002D7F46" w:rsidR="00014566" w:rsidP="002D7F46" w:rsidRDefault="00014566">
      <w:pPr>
        <w:pStyle w:val="JuLista"/>
      </w:pPr>
      <w:r w:rsidRPr="002D7F46">
        <w:t>that the respondent State is to pay the applicant, within three months</w:t>
      </w:r>
      <w:r w:rsidRPr="002D7F46" w:rsidR="00B1090E">
        <w:t xml:space="preserve"> from the date on which the judgment becomes final in accordance with Article 44 § 2 of the Convention,</w:t>
      </w:r>
      <w:r w:rsidRPr="002D7F46">
        <w:t xml:space="preserve"> </w:t>
      </w:r>
      <w:r w:rsidRPr="002D7F46" w:rsidR="00613FB2">
        <w:t xml:space="preserve">EUR </w:t>
      </w:r>
      <w:r w:rsidRPr="002D7F46" w:rsidR="00ED2CC6">
        <w:t>1</w:t>
      </w:r>
      <w:r w:rsidRPr="002D7F46" w:rsidR="00613FB2">
        <w:t>,</w:t>
      </w:r>
      <w:r w:rsidRPr="002D7F46" w:rsidR="00CF5648">
        <w:t>5</w:t>
      </w:r>
      <w:r w:rsidRPr="002D7F46" w:rsidR="00613FB2">
        <w:t xml:space="preserve">00 </w:t>
      </w:r>
      <w:r w:rsidRPr="002D7F46" w:rsidR="005419F2">
        <w:t>(o</w:t>
      </w:r>
      <w:r w:rsidRPr="002D7F46" w:rsidR="00ED2CC6">
        <w:t>ne</w:t>
      </w:r>
      <w:r w:rsidRPr="002D7F46" w:rsidR="005419F2">
        <w:t xml:space="preserve"> thousand </w:t>
      </w:r>
      <w:r w:rsidRPr="002D7F46" w:rsidR="00CF5648">
        <w:t xml:space="preserve">five hundred </w:t>
      </w:r>
      <w:r w:rsidRPr="002D7F46" w:rsidR="005419F2">
        <w:t xml:space="preserve">euros), plus any tax that may be chargeable, in respect of non-pecuniary damage, </w:t>
      </w:r>
      <w:r w:rsidRPr="002D7F46">
        <w:t xml:space="preserve">to be converted into </w:t>
      </w:r>
      <w:r w:rsidRPr="002D7F46" w:rsidR="005419F2">
        <w:t>Moldovan lei</w:t>
      </w:r>
      <w:r w:rsidRPr="002D7F46" w:rsidR="005419F2">
        <w:rPr>
          <w:b/>
        </w:rPr>
        <w:t xml:space="preserve"> </w:t>
      </w:r>
      <w:r w:rsidRPr="002D7F46">
        <w:t>at the rate applicable at the date of settlement</w:t>
      </w:r>
      <w:r w:rsidRPr="002D7F46" w:rsidR="005419F2">
        <w:t>;</w:t>
      </w:r>
    </w:p>
    <w:p w:rsidRPr="002D7F46" w:rsidR="00014566" w:rsidP="002D7F46" w:rsidRDefault="00014566">
      <w:pPr>
        <w:pStyle w:val="JuLista"/>
      </w:pPr>
      <w:r w:rsidRPr="002D7F4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D7F46" w:rsidR="00014566" w:rsidP="002D7F46" w:rsidRDefault="00014566">
      <w:pPr>
        <w:pStyle w:val="JuList"/>
      </w:pPr>
      <w:r w:rsidRPr="002D7F46">
        <w:rPr>
          <w:i/>
        </w:rPr>
        <w:t>Dismisses</w:t>
      </w:r>
      <w:r w:rsidRPr="002D7F46" w:rsidR="00B1090E">
        <w:t xml:space="preserve"> </w:t>
      </w:r>
      <w:r w:rsidRPr="002D7F46">
        <w:t>the remainder of the applicant</w:t>
      </w:r>
      <w:r w:rsidRPr="002D7F46" w:rsidR="002D7F46">
        <w:t>’</w:t>
      </w:r>
      <w:r w:rsidRPr="002D7F46" w:rsidR="00B1090E">
        <w:t>s</w:t>
      </w:r>
      <w:r w:rsidRPr="002D7F46">
        <w:t xml:space="preserve"> claim for just satisfaction.</w:t>
      </w:r>
    </w:p>
    <w:p w:rsidRPr="002D7F46" w:rsidR="00014566" w:rsidP="002D7F46" w:rsidRDefault="00014566">
      <w:pPr>
        <w:pStyle w:val="JuParaLast"/>
      </w:pPr>
      <w:r w:rsidRPr="002D7F46">
        <w:t xml:space="preserve">Done in English, and notified in writing on </w:t>
      </w:r>
      <w:r w:rsidRPr="002D7F46" w:rsidR="001F7438">
        <w:t>3 September 2019</w:t>
      </w:r>
      <w:r w:rsidRPr="002D7F46">
        <w:t>, pursuant to Rule 77 §§ 2 and 3 of the Rules of Court.</w:t>
      </w:r>
    </w:p>
    <w:p w:rsidRPr="002D7F46" w:rsidR="004D15F3" w:rsidP="003F5B7B" w:rsidRDefault="00014566">
      <w:pPr>
        <w:pStyle w:val="JuSigned"/>
      </w:pPr>
      <w:r w:rsidRPr="002D7F46">
        <w:tab/>
      </w:r>
      <w:r w:rsidRPr="002D7F46" w:rsidR="00ED2CC6">
        <w:t>Hasan Bakırcı</w:t>
      </w:r>
      <w:r w:rsidRPr="002D7F46">
        <w:tab/>
      </w:r>
      <w:r w:rsidRPr="002D7F46" w:rsidR="001F7438">
        <w:t xml:space="preserve">Egidijus </w:t>
      </w:r>
      <w:proofErr w:type="spellStart"/>
      <w:r w:rsidRPr="002D7F46" w:rsidR="001F7438">
        <w:t>Kūris</w:t>
      </w:r>
      <w:proofErr w:type="spellEnd"/>
      <w:r w:rsidR="003F5B7B">
        <w:br/>
      </w:r>
      <w:bookmarkStart w:name="_GoBack" w:id="7"/>
      <w:bookmarkEnd w:id="7"/>
      <w:r w:rsidRPr="002D7F46" w:rsidR="00ED2CC6">
        <w:tab/>
        <w:t xml:space="preserve">Deputy </w:t>
      </w:r>
      <w:r w:rsidRPr="002D7F46" w:rsidR="00B1090E">
        <w:rPr>
          <w:iCs/>
        </w:rPr>
        <w:t>Registrar</w:t>
      </w:r>
      <w:r w:rsidRPr="002D7F46">
        <w:tab/>
        <w:t>President</w:t>
      </w:r>
    </w:p>
    <w:sectPr w:rsidRPr="002D7F46" w:rsidR="004D15F3" w:rsidSect="00401FE9">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9F1" w:rsidRDefault="00A939F1" w:rsidP="00014566">
      <w:r>
        <w:separator/>
      </w:r>
    </w:p>
  </w:endnote>
  <w:endnote w:type="continuationSeparator" w:id="0">
    <w:p w:rsidR="00A939F1" w:rsidRDefault="00A939F1"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FE9" w:rsidRPr="00150BFA" w:rsidRDefault="00401FE9" w:rsidP="0020718E">
    <w:pPr>
      <w:jc w:val="center"/>
    </w:pPr>
    <w:r>
      <w:rPr>
        <w:noProof/>
        <w:lang w:val="en-US" w:eastAsia="ja-JP"/>
      </w:rPr>
      <w:drawing>
        <wp:inline distT="0" distB="0" distL="0" distR="0" wp14:anchorId="6569FAE2" wp14:editId="2DCAA092">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01FE9" w:rsidRDefault="00401FE9">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9F1" w:rsidRDefault="00A939F1" w:rsidP="00014566">
      <w:r>
        <w:separator/>
      </w:r>
    </w:p>
  </w:footnote>
  <w:footnote w:type="continuationSeparator" w:id="0">
    <w:p w:rsidR="00A939F1" w:rsidRDefault="00A939F1"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9F1" w:rsidRPr="00401FE9" w:rsidRDefault="00A939F1" w:rsidP="00401FE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FE9" w:rsidRPr="00A45145" w:rsidRDefault="00401FE9" w:rsidP="00A45145">
    <w:pPr>
      <w:jc w:val="center"/>
    </w:pPr>
    <w:r>
      <w:rPr>
        <w:noProof/>
        <w:lang w:val="en-US" w:eastAsia="ja-JP"/>
      </w:rPr>
      <w:drawing>
        <wp:inline distT="0" distB="0" distL="0" distR="0" wp14:anchorId="62F65F03" wp14:editId="20A7EE34">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739C4" w:rsidRDefault="000739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FE9" w:rsidRPr="00FF2306" w:rsidRDefault="00401FE9" w:rsidP="00EE1DA9">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F5B7B">
      <w:rPr>
        <w:rStyle w:val="PageNumber"/>
        <w:noProof/>
        <w:szCs w:val="18"/>
      </w:rPr>
      <w:t>8</w:t>
    </w:r>
    <w:r>
      <w:rPr>
        <w:rStyle w:val="PageNumber"/>
        <w:szCs w:val="18"/>
      </w:rPr>
      <w:fldChar w:fldCharType="end"/>
    </w:r>
    <w:r w:rsidRPr="00FF2306">
      <w:tab/>
    </w:r>
    <w:r>
      <w:t>MUHINA v. THE REPUBLIC OF MOLDOVA</w:t>
    </w:r>
    <w:r w:rsidR="0052247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FE9" w:rsidRPr="00D60D87" w:rsidRDefault="00401FE9" w:rsidP="00D60D87">
    <w:pPr>
      <w:pStyle w:val="JuHeader"/>
    </w:pPr>
    <w:r w:rsidRPr="00D60D87">
      <w:tab/>
    </w:r>
    <w:r>
      <w:t>MUHINA v. THE REPUBLIC OF MOLDOVA</w:t>
    </w:r>
    <w:r w:rsidRPr="00D60D87">
      <w:t xml:space="preserve"> </w:t>
    </w:r>
    <w:r w:rsidR="00522478">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3F5B7B">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18"/>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5"/>
  </w:num>
  <w:num w:numId="6">
    <w:abstractNumId w:val="18"/>
  </w:num>
  <w:num w:numId="7">
    <w:abstractNumId w:val="15"/>
  </w:num>
  <w:num w:numId="8">
    <w:abstractNumId w:val="22"/>
  </w:num>
  <w:num w:numId="9">
    <w:abstractNumId w:val="10"/>
  </w:num>
  <w:num w:numId="10">
    <w:abstractNumId w:val="9"/>
  </w:num>
  <w:num w:numId="11">
    <w:abstractNumId w:val="24"/>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3"/>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4"/>
  </w:num>
  <w:num w:numId="31">
    <w:abstractNumId w:val="14"/>
  </w:num>
  <w:num w:numId="32">
    <w:abstractNumId w:val="14"/>
  </w:num>
  <w:num w:numId="33">
    <w:abstractNumId w:val="17"/>
  </w:num>
  <w:num w:numId="34">
    <w:abstractNumId w:val="12"/>
  </w:num>
  <w:num w:numId="35">
    <w:abstractNumId w:val="11"/>
  </w:num>
  <w:num w:numId="36">
    <w:abstractNumId w:val="19"/>
  </w:num>
  <w:num w:numId="37">
    <w:abstractNumId w:val="13"/>
  </w:num>
  <w:num w:numId="38">
    <w:abstractNumId w:val="20"/>
  </w:num>
  <w:num w:numId="39">
    <w:abstractNumId w:val="22"/>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B1090E"/>
    <w:rsid w:val="000041F8"/>
    <w:rsid w:val="000042A8"/>
    <w:rsid w:val="00004308"/>
    <w:rsid w:val="00005BF0"/>
    <w:rsid w:val="00007154"/>
    <w:rsid w:val="000103AE"/>
    <w:rsid w:val="000103DA"/>
    <w:rsid w:val="00010CA6"/>
    <w:rsid w:val="00011D69"/>
    <w:rsid w:val="00012AD3"/>
    <w:rsid w:val="00014566"/>
    <w:rsid w:val="00015C2D"/>
    <w:rsid w:val="00015F00"/>
    <w:rsid w:val="00022C1D"/>
    <w:rsid w:val="00023745"/>
    <w:rsid w:val="000263FA"/>
    <w:rsid w:val="00026563"/>
    <w:rsid w:val="0002678F"/>
    <w:rsid w:val="000267DC"/>
    <w:rsid w:val="00034987"/>
    <w:rsid w:val="000577D5"/>
    <w:rsid w:val="000602DF"/>
    <w:rsid w:val="00061B05"/>
    <w:rsid w:val="00062973"/>
    <w:rsid w:val="00062D5D"/>
    <w:rsid w:val="000632D5"/>
    <w:rsid w:val="000644EE"/>
    <w:rsid w:val="0007051C"/>
    <w:rsid w:val="000739C4"/>
    <w:rsid w:val="000925AD"/>
    <w:rsid w:val="000A24EB"/>
    <w:rsid w:val="000A3491"/>
    <w:rsid w:val="000B1B25"/>
    <w:rsid w:val="000B6923"/>
    <w:rsid w:val="000C033C"/>
    <w:rsid w:val="000C5F3C"/>
    <w:rsid w:val="000C6DCC"/>
    <w:rsid w:val="000C7756"/>
    <w:rsid w:val="000D47AA"/>
    <w:rsid w:val="000D721F"/>
    <w:rsid w:val="000E069B"/>
    <w:rsid w:val="000E0E82"/>
    <w:rsid w:val="000E1DC5"/>
    <w:rsid w:val="000E223F"/>
    <w:rsid w:val="000E7D45"/>
    <w:rsid w:val="000F3D39"/>
    <w:rsid w:val="000F7851"/>
    <w:rsid w:val="00102072"/>
    <w:rsid w:val="00104E23"/>
    <w:rsid w:val="00104F71"/>
    <w:rsid w:val="00111B0C"/>
    <w:rsid w:val="00117976"/>
    <w:rsid w:val="00120D6C"/>
    <w:rsid w:val="001216C1"/>
    <w:rsid w:val="00125786"/>
    <w:rsid w:val="001257EC"/>
    <w:rsid w:val="00132C6A"/>
    <w:rsid w:val="00133D33"/>
    <w:rsid w:val="00134D64"/>
    <w:rsid w:val="00135A30"/>
    <w:rsid w:val="0013612C"/>
    <w:rsid w:val="00137FF6"/>
    <w:rsid w:val="00141650"/>
    <w:rsid w:val="001463D6"/>
    <w:rsid w:val="00162A12"/>
    <w:rsid w:val="00164BF9"/>
    <w:rsid w:val="00166530"/>
    <w:rsid w:val="001708F2"/>
    <w:rsid w:val="001832BD"/>
    <w:rsid w:val="001943B5"/>
    <w:rsid w:val="00195134"/>
    <w:rsid w:val="001A145B"/>
    <w:rsid w:val="001A577E"/>
    <w:rsid w:val="001A5882"/>
    <w:rsid w:val="001A674C"/>
    <w:rsid w:val="001A714D"/>
    <w:rsid w:val="001A7F8F"/>
    <w:rsid w:val="001B3B24"/>
    <w:rsid w:val="001C0F98"/>
    <w:rsid w:val="001C2A42"/>
    <w:rsid w:val="001C74DC"/>
    <w:rsid w:val="001D5002"/>
    <w:rsid w:val="001D63ED"/>
    <w:rsid w:val="001D7348"/>
    <w:rsid w:val="001E035B"/>
    <w:rsid w:val="001E0961"/>
    <w:rsid w:val="001E3EAE"/>
    <w:rsid w:val="001E6F32"/>
    <w:rsid w:val="001F2145"/>
    <w:rsid w:val="001F6262"/>
    <w:rsid w:val="001F67B0"/>
    <w:rsid w:val="001F7438"/>
    <w:rsid w:val="001F7B3D"/>
    <w:rsid w:val="00205F9F"/>
    <w:rsid w:val="00210338"/>
    <w:rsid w:val="002115FC"/>
    <w:rsid w:val="0021423C"/>
    <w:rsid w:val="0022485B"/>
    <w:rsid w:val="0023071E"/>
    <w:rsid w:val="00230D00"/>
    <w:rsid w:val="00231DF7"/>
    <w:rsid w:val="00231FD1"/>
    <w:rsid w:val="002339E0"/>
    <w:rsid w:val="00233CF8"/>
    <w:rsid w:val="0023575D"/>
    <w:rsid w:val="00237148"/>
    <w:rsid w:val="0024222D"/>
    <w:rsid w:val="00244B0E"/>
    <w:rsid w:val="00244F6C"/>
    <w:rsid w:val="002532C5"/>
    <w:rsid w:val="00260C03"/>
    <w:rsid w:val="00260D4C"/>
    <w:rsid w:val="00264D32"/>
    <w:rsid w:val="0026540E"/>
    <w:rsid w:val="00275123"/>
    <w:rsid w:val="00282240"/>
    <w:rsid w:val="0028572A"/>
    <w:rsid w:val="002948AD"/>
    <w:rsid w:val="00294C92"/>
    <w:rsid w:val="002955BF"/>
    <w:rsid w:val="002A0110"/>
    <w:rsid w:val="002A01CC"/>
    <w:rsid w:val="002A4ECD"/>
    <w:rsid w:val="002A61B1"/>
    <w:rsid w:val="002A663C"/>
    <w:rsid w:val="002B444B"/>
    <w:rsid w:val="002B5887"/>
    <w:rsid w:val="002C0692"/>
    <w:rsid w:val="002C0E27"/>
    <w:rsid w:val="002C3040"/>
    <w:rsid w:val="002C3539"/>
    <w:rsid w:val="002D022D"/>
    <w:rsid w:val="002D0C58"/>
    <w:rsid w:val="002D24BB"/>
    <w:rsid w:val="002D7F46"/>
    <w:rsid w:val="002E1499"/>
    <w:rsid w:val="002F2AF7"/>
    <w:rsid w:val="002F369E"/>
    <w:rsid w:val="002F6C49"/>
    <w:rsid w:val="002F7E1C"/>
    <w:rsid w:val="00301A75"/>
    <w:rsid w:val="00302F70"/>
    <w:rsid w:val="0030336F"/>
    <w:rsid w:val="0030375E"/>
    <w:rsid w:val="00312A30"/>
    <w:rsid w:val="00320F72"/>
    <w:rsid w:val="0032463E"/>
    <w:rsid w:val="00326224"/>
    <w:rsid w:val="00326D84"/>
    <w:rsid w:val="00330848"/>
    <w:rsid w:val="00333359"/>
    <w:rsid w:val="00337EE4"/>
    <w:rsid w:val="00340FFD"/>
    <w:rsid w:val="003506B1"/>
    <w:rsid w:val="00356AC7"/>
    <w:rsid w:val="00356E0F"/>
    <w:rsid w:val="003609FA"/>
    <w:rsid w:val="003710C8"/>
    <w:rsid w:val="003750BE"/>
    <w:rsid w:val="0038064C"/>
    <w:rsid w:val="00387B9D"/>
    <w:rsid w:val="0039364F"/>
    <w:rsid w:val="00396686"/>
    <w:rsid w:val="0039778E"/>
    <w:rsid w:val="003A3232"/>
    <w:rsid w:val="003A51AF"/>
    <w:rsid w:val="003B0B05"/>
    <w:rsid w:val="003B0F9A"/>
    <w:rsid w:val="003B4941"/>
    <w:rsid w:val="003B5C32"/>
    <w:rsid w:val="003C0CBE"/>
    <w:rsid w:val="003C5714"/>
    <w:rsid w:val="003C6B9F"/>
    <w:rsid w:val="003C6E2A"/>
    <w:rsid w:val="003D0299"/>
    <w:rsid w:val="003E6D80"/>
    <w:rsid w:val="003F05FA"/>
    <w:rsid w:val="003F1172"/>
    <w:rsid w:val="003F244A"/>
    <w:rsid w:val="003F30B8"/>
    <w:rsid w:val="003F4C45"/>
    <w:rsid w:val="003F5B7B"/>
    <w:rsid w:val="003F5D14"/>
    <w:rsid w:val="003F5F7B"/>
    <w:rsid w:val="003F7D64"/>
    <w:rsid w:val="00401FE9"/>
    <w:rsid w:val="00410E51"/>
    <w:rsid w:val="00414300"/>
    <w:rsid w:val="00425C67"/>
    <w:rsid w:val="004263EC"/>
    <w:rsid w:val="00427E7A"/>
    <w:rsid w:val="00436307"/>
    <w:rsid w:val="00436C49"/>
    <w:rsid w:val="00445366"/>
    <w:rsid w:val="004454AA"/>
    <w:rsid w:val="00446717"/>
    <w:rsid w:val="00447F5B"/>
    <w:rsid w:val="00450928"/>
    <w:rsid w:val="00457BFB"/>
    <w:rsid w:val="00461DB0"/>
    <w:rsid w:val="00463926"/>
    <w:rsid w:val="004646E0"/>
    <w:rsid w:val="00464C9A"/>
    <w:rsid w:val="00474F3D"/>
    <w:rsid w:val="00477E3A"/>
    <w:rsid w:val="00483E5F"/>
    <w:rsid w:val="00484E2E"/>
    <w:rsid w:val="00485FF9"/>
    <w:rsid w:val="004907F0"/>
    <w:rsid w:val="0049140B"/>
    <w:rsid w:val="004923A5"/>
    <w:rsid w:val="00496BFB"/>
    <w:rsid w:val="004A15C7"/>
    <w:rsid w:val="004A1FE4"/>
    <w:rsid w:val="004B013B"/>
    <w:rsid w:val="004B112B"/>
    <w:rsid w:val="004C01E4"/>
    <w:rsid w:val="004C086C"/>
    <w:rsid w:val="004C0D3F"/>
    <w:rsid w:val="004C1F56"/>
    <w:rsid w:val="004C27BC"/>
    <w:rsid w:val="004D15F3"/>
    <w:rsid w:val="004D1D23"/>
    <w:rsid w:val="004D5311"/>
    <w:rsid w:val="004D5DCC"/>
    <w:rsid w:val="004F0356"/>
    <w:rsid w:val="004F10AF"/>
    <w:rsid w:val="004F11A4"/>
    <w:rsid w:val="004F2389"/>
    <w:rsid w:val="004F304D"/>
    <w:rsid w:val="004F61BE"/>
    <w:rsid w:val="004F66B1"/>
    <w:rsid w:val="00511C07"/>
    <w:rsid w:val="005173A6"/>
    <w:rsid w:val="00520BAA"/>
    <w:rsid w:val="00522478"/>
    <w:rsid w:val="00525208"/>
    <w:rsid w:val="005257A5"/>
    <w:rsid w:val="00525CB8"/>
    <w:rsid w:val="00525D83"/>
    <w:rsid w:val="005264C0"/>
    <w:rsid w:val="00526A8A"/>
    <w:rsid w:val="00531DF2"/>
    <w:rsid w:val="005419F2"/>
    <w:rsid w:val="005442EE"/>
    <w:rsid w:val="00547353"/>
    <w:rsid w:val="005474E7"/>
    <w:rsid w:val="005478F5"/>
    <w:rsid w:val="005512A3"/>
    <w:rsid w:val="0055634E"/>
    <w:rsid w:val="005578CE"/>
    <w:rsid w:val="00562781"/>
    <w:rsid w:val="00563E83"/>
    <w:rsid w:val="0057271C"/>
    <w:rsid w:val="00572845"/>
    <w:rsid w:val="00592772"/>
    <w:rsid w:val="0059574A"/>
    <w:rsid w:val="005A1B9B"/>
    <w:rsid w:val="005A6751"/>
    <w:rsid w:val="005B092E"/>
    <w:rsid w:val="005B152C"/>
    <w:rsid w:val="005B1EE0"/>
    <w:rsid w:val="005B2B24"/>
    <w:rsid w:val="005B4425"/>
    <w:rsid w:val="005B4B94"/>
    <w:rsid w:val="005C3EE8"/>
    <w:rsid w:val="005D1DFC"/>
    <w:rsid w:val="005D34F9"/>
    <w:rsid w:val="005D4190"/>
    <w:rsid w:val="005D67A3"/>
    <w:rsid w:val="005D7320"/>
    <w:rsid w:val="005E2988"/>
    <w:rsid w:val="005E2A43"/>
    <w:rsid w:val="005E3085"/>
    <w:rsid w:val="005F51E1"/>
    <w:rsid w:val="006025F8"/>
    <w:rsid w:val="00605ED8"/>
    <w:rsid w:val="006107FB"/>
    <w:rsid w:val="00611C80"/>
    <w:rsid w:val="00613FB2"/>
    <w:rsid w:val="00620692"/>
    <w:rsid w:val="006242CA"/>
    <w:rsid w:val="00627507"/>
    <w:rsid w:val="00633717"/>
    <w:rsid w:val="006344E1"/>
    <w:rsid w:val="00636441"/>
    <w:rsid w:val="0064705B"/>
    <w:rsid w:val="00652BE9"/>
    <w:rsid w:val="006545C4"/>
    <w:rsid w:val="00661971"/>
    <w:rsid w:val="00661CE8"/>
    <w:rsid w:val="006623D9"/>
    <w:rsid w:val="0066550C"/>
    <w:rsid w:val="0067126D"/>
    <w:rsid w:val="006716F2"/>
    <w:rsid w:val="00682BF2"/>
    <w:rsid w:val="006859CE"/>
    <w:rsid w:val="006860EE"/>
    <w:rsid w:val="00691270"/>
    <w:rsid w:val="00694BA8"/>
    <w:rsid w:val="00695EF0"/>
    <w:rsid w:val="006A037C"/>
    <w:rsid w:val="006A36F4"/>
    <w:rsid w:val="006A406F"/>
    <w:rsid w:val="006A5D3A"/>
    <w:rsid w:val="006B439F"/>
    <w:rsid w:val="006B605C"/>
    <w:rsid w:val="006C23D4"/>
    <w:rsid w:val="006C2F26"/>
    <w:rsid w:val="006C7BB0"/>
    <w:rsid w:val="006D3237"/>
    <w:rsid w:val="006E2E37"/>
    <w:rsid w:val="006E38F1"/>
    <w:rsid w:val="006E3CF1"/>
    <w:rsid w:val="006E7E80"/>
    <w:rsid w:val="006F1DF9"/>
    <w:rsid w:val="006F33CB"/>
    <w:rsid w:val="006F3DDC"/>
    <w:rsid w:val="006F48CA"/>
    <w:rsid w:val="006F64DD"/>
    <w:rsid w:val="00706D78"/>
    <w:rsid w:val="00711C18"/>
    <w:rsid w:val="00715127"/>
    <w:rsid w:val="00715E8E"/>
    <w:rsid w:val="00717D3A"/>
    <w:rsid w:val="00723580"/>
    <w:rsid w:val="00723755"/>
    <w:rsid w:val="0073136C"/>
    <w:rsid w:val="00731F0F"/>
    <w:rsid w:val="00733250"/>
    <w:rsid w:val="00741404"/>
    <w:rsid w:val="007449E5"/>
    <w:rsid w:val="00746C5A"/>
    <w:rsid w:val="00747FF0"/>
    <w:rsid w:val="007600EF"/>
    <w:rsid w:val="00764D4E"/>
    <w:rsid w:val="00765A1F"/>
    <w:rsid w:val="00775B6D"/>
    <w:rsid w:val="00776D68"/>
    <w:rsid w:val="0078208D"/>
    <w:rsid w:val="007850EE"/>
    <w:rsid w:val="00785B95"/>
    <w:rsid w:val="00790E96"/>
    <w:rsid w:val="00793366"/>
    <w:rsid w:val="0079487D"/>
    <w:rsid w:val="007A6F66"/>
    <w:rsid w:val="007A716F"/>
    <w:rsid w:val="007B270A"/>
    <w:rsid w:val="007B7C28"/>
    <w:rsid w:val="007C0695"/>
    <w:rsid w:val="007C419A"/>
    <w:rsid w:val="007C4CC8"/>
    <w:rsid w:val="007C5426"/>
    <w:rsid w:val="007C5798"/>
    <w:rsid w:val="007C7BF3"/>
    <w:rsid w:val="007D4832"/>
    <w:rsid w:val="007E21B2"/>
    <w:rsid w:val="007E2C4E"/>
    <w:rsid w:val="007F12EB"/>
    <w:rsid w:val="007F1905"/>
    <w:rsid w:val="007F3B2C"/>
    <w:rsid w:val="007F637B"/>
    <w:rsid w:val="00801300"/>
    <w:rsid w:val="00802C64"/>
    <w:rsid w:val="00805E52"/>
    <w:rsid w:val="008061D0"/>
    <w:rsid w:val="00810B38"/>
    <w:rsid w:val="008204C7"/>
    <w:rsid w:val="00820992"/>
    <w:rsid w:val="00822A6F"/>
    <w:rsid w:val="00823602"/>
    <w:rsid w:val="008255F5"/>
    <w:rsid w:val="008263BE"/>
    <w:rsid w:val="0083014E"/>
    <w:rsid w:val="0083083C"/>
    <w:rsid w:val="008314D2"/>
    <w:rsid w:val="0083214A"/>
    <w:rsid w:val="00834220"/>
    <w:rsid w:val="00845723"/>
    <w:rsid w:val="00851732"/>
    <w:rsid w:val="00851EF9"/>
    <w:rsid w:val="008577FD"/>
    <w:rsid w:val="008604D9"/>
    <w:rsid w:val="00860B03"/>
    <w:rsid w:val="0086497A"/>
    <w:rsid w:val="008713A1"/>
    <w:rsid w:val="008745F0"/>
    <w:rsid w:val="008754AB"/>
    <w:rsid w:val="0088060C"/>
    <w:rsid w:val="00893576"/>
    <w:rsid w:val="00893B21"/>
    <w:rsid w:val="00893E73"/>
    <w:rsid w:val="008A2E9A"/>
    <w:rsid w:val="008A43C4"/>
    <w:rsid w:val="008B02DC"/>
    <w:rsid w:val="008B57CE"/>
    <w:rsid w:val="008B659F"/>
    <w:rsid w:val="008C26DE"/>
    <w:rsid w:val="008D2225"/>
    <w:rsid w:val="008D4752"/>
    <w:rsid w:val="008E271C"/>
    <w:rsid w:val="008E418E"/>
    <w:rsid w:val="008E5BC6"/>
    <w:rsid w:val="008E6A25"/>
    <w:rsid w:val="008F44B3"/>
    <w:rsid w:val="008F5193"/>
    <w:rsid w:val="009013A7"/>
    <w:rsid w:val="009017FB"/>
    <w:rsid w:val="009017FC"/>
    <w:rsid w:val="00903B43"/>
    <w:rsid w:val="0090506B"/>
    <w:rsid w:val="009050C9"/>
    <w:rsid w:val="009066FC"/>
    <w:rsid w:val="009140A3"/>
    <w:rsid w:val="009144A2"/>
    <w:rsid w:val="0091510C"/>
    <w:rsid w:val="00916F54"/>
    <w:rsid w:val="009259AC"/>
    <w:rsid w:val="00926F38"/>
    <w:rsid w:val="00934301"/>
    <w:rsid w:val="00936CD1"/>
    <w:rsid w:val="00941747"/>
    <w:rsid w:val="00941EFB"/>
    <w:rsid w:val="00947AFB"/>
    <w:rsid w:val="00950882"/>
    <w:rsid w:val="00951D7D"/>
    <w:rsid w:val="009630C7"/>
    <w:rsid w:val="00971E80"/>
    <w:rsid w:val="00972B55"/>
    <w:rsid w:val="0097323B"/>
    <w:rsid w:val="009743B7"/>
    <w:rsid w:val="0098228B"/>
    <w:rsid w:val="009828DA"/>
    <w:rsid w:val="00985BAB"/>
    <w:rsid w:val="009B1B5F"/>
    <w:rsid w:val="009B2EC2"/>
    <w:rsid w:val="009B6673"/>
    <w:rsid w:val="009C191B"/>
    <w:rsid w:val="009C2BD6"/>
    <w:rsid w:val="009E1F32"/>
    <w:rsid w:val="009E57AE"/>
    <w:rsid w:val="009E5829"/>
    <w:rsid w:val="009E776C"/>
    <w:rsid w:val="00A000E1"/>
    <w:rsid w:val="00A02105"/>
    <w:rsid w:val="00A1726E"/>
    <w:rsid w:val="00A204CF"/>
    <w:rsid w:val="00A23D49"/>
    <w:rsid w:val="00A27004"/>
    <w:rsid w:val="00A30C29"/>
    <w:rsid w:val="00A34DD6"/>
    <w:rsid w:val="00A359E9"/>
    <w:rsid w:val="00A36819"/>
    <w:rsid w:val="00A36989"/>
    <w:rsid w:val="00A43628"/>
    <w:rsid w:val="00A530B1"/>
    <w:rsid w:val="00A54192"/>
    <w:rsid w:val="00A6035E"/>
    <w:rsid w:val="00A6144C"/>
    <w:rsid w:val="00A66617"/>
    <w:rsid w:val="00A66831"/>
    <w:rsid w:val="00A668E0"/>
    <w:rsid w:val="00A671F8"/>
    <w:rsid w:val="00A673A4"/>
    <w:rsid w:val="00A67F5F"/>
    <w:rsid w:val="00A724AE"/>
    <w:rsid w:val="00A73329"/>
    <w:rsid w:val="00A812F9"/>
    <w:rsid w:val="00A82359"/>
    <w:rsid w:val="00A865D2"/>
    <w:rsid w:val="00A939F1"/>
    <w:rsid w:val="00A94C20"/>
    <w:rsid w:val="00AA227F"/>
    <w:rsid w:val="00AA3BC7"/>
    <w:rsid w:val="00AA754A"/>
    <w:rsid w:val="00AB099E"/>
    <w:rsid w:val="00AB4328"/>
    <w:rsid w:val="00AC1FA0"/>
    <w:rsid w:val="00AD72D5"/>
    <w:rsid w:val="00AE0A2E"/>
    <w:rsid w:val="00AE354C"/>
    <w:rsid w:val="00AF4B07"/>
    <w:rsid w:val="00AF6186"/>
    <w:rsid w:val="00AF7A3A"/>
    <w:rsid w:val="00B034F3"/>
    <w:rsid w:val="00B1090E"/>
    <w:rsid w:val="00B160DB"/>
    <w:rsid w:val="00B20836"/>
    <w:rsid w:val="00B235BB"/>
    <w:rsid w:val="00B27A44"/>
    <w:rsid w:val="00B30BBF"/>
    <w:rsid w:val="00B33C03"/>
    <w:rsid w:val="00B34CF2"/>
    <w:rsid w:val="00B44E56"/>
    <w:rsid w:val="00B46120"/>
    <w:rsid w:val="00B46543"/>
    <w:rsid w:val="00B47D33"/>
    <w:rsid w:val="00B52BE0"/>
    <w:rsid w:val="00B54133"/>
    <w:rsid w:val="00B608E9"/>
    <w:rsid w:val="00B60B6E"/>
    <w:rsid w:val="00B66B4A"/>
    <w:rsid w:val="00B701ED"/>
    <w:rsid w:val="00B8086C"/>
    <w:rsid w:val="00B861B4"/>
    <w:rsid w:val="00B86DFE"/>
    <w:rsid w:val="00B90990"/>
    <w:rsid w:val="00B922FF"/>
    <w:rsid w:val="00B9281E"/>
    <w:rsid w:val="00B93925"/>
    <w:rsid w:val="00B95187"/>
    <w:rsid w:val="00BA2D55"/>
    <w:rsid w:val="00BA71B1"/>
    <w:rsid w:val="00BB0637"/>
    <w:rsid w:val="00BB345F"/>
    <w:rsid w:val="00BB5883"/>
    <w:rsid w:val="00BB68EA"/>
    <w:rsid w:val="00BC0575"/>
    <w:rsid w:val="00BC1C27"/>
    <w:rsid w:val="00BC331C"/>
    <w:rsid w:val="00BC6BBF"/>
    <w:rsid w:val="00BD1572"/>
    <w:rsid w:val="00BD4A61"/>
    <w:rsid w:val="00BE14E3"/>
    <w:rsid w:val="00BE3774"/>
    <w:rsid w:val="00BE41E5"/>
    <w:rsid w:val="00BF4109"/>
    <w:rsid w:val="00BF4CC3"/>
    <w:rsid w:val="00C054C7"/>
    <w:rsid w:val="00C057B5"/>
    <w:rsid w:val="00C10E05"/>
    <w:rsid w:val="00C22687"/>
    <w:rsid w:val="00C32E4D"/>
    <w:rsid w:val="00C333A0"/>
    <w:rsid w:val="00C36A81"/>
    <w:rsid w:val="00C41974"/>
    <w:rsid w:val="00C447AD"/>
    <w:rsid w:val="00C53F4A"/>
    <w:rsid w:val="00C54125"/>
    <w:rsid w:val="00C548D3"/>
    <w:rsid w:val="00C55B54"/>
    <w:rsid w:val="00C6098E"/>
    <w:rsid w:val="00C6152C"/>
    <w:rsid w:val="00C621C2"/>
    <w:rsid w:val="00C70F3F"/>
    <w:rsid w:val="00C7467B"/>
    <w:rsid w:val="00C74810"/>
    <w:rsid w:val="00C90D68"/>
    <w:rsid w:val="00C939FE"/>
    <w:rsid w:val="00CA2A78"/>
    <w:rsid w:val="00CA4BDA"/>
    <w:rsid w:val="00CB1F66"/>
    <w:rsid w:val="00CB2951"/>
    <w:rsid w:val="00CC6348"/>
    <w:rsid w:val="00CD282B"/>
    <w:rsid w:val="00CD4C35"/>
    <w:rsid w:val="00CD7369"/>
    <w:rsid w:val="00CE0B0E"/>
    <w:rsid w:val="00CE3831"/>
    <w:rsid w:val="00CE6ED6"/>
    <w:rsid w:val="00CF5648"/>
    <w:rsid w:val="00D00ABB"/>
    <w:rsid w:val="00D00EBA"/>
    <w:rsid w:val="00D02EEC"/>
    <w:rsid w:val="00D03551"/>
    <w:rsid w:val="00D06A63"/>
    <w:rsid w:val="00D06B48"/>
    <w:rsid w:val="00D07E0E"/>
    <w:rsid w:val="00D11478"/>
    <w:rsid w:val="00D15ED0"/>
    <w:rsid w:val="00D21B3E"/>
    <w:rsid w:val="00D21FED"/>
    <w:rsid w:val="00D24251"/>
    <w:rsid w:val="00D343E2"/>
    <w:rsid w:val="00D361A2"/>
    <w:rsid w:val="00D44C2E"/>
    <w:rsid w:val="00D45414"/>
    <w:rsid w:val="00D566BD"/>
    <w:rsid w:val="00D57A4D"/>
    <w:rsid w:val="00D60AA7"/>
    <w:rsid w:val="00D60D87"/>
    <w:rsid w:val="00D61CE7"/>
    <w:rsid w:val="00D6435F"/>
    <w:rsid w:val="00D75E28"/>
    <w:rsid w:val="00D772C2"/>
    <w:rsid w:val="00D8008E"/>
    <w:rsid w:val="00D82C45"/>
    <w:rsid w:val="00D908A8"/>
    <w:rsid w:val="00D977B6"/>
    <w:rsid w:val="00DA4A31"/>
    <w:rsid w:val="00DA7B04"/>
    <w:rsid w:val="00DB36C2"/>
    <w:rsid w:val="00DC169B"/>
    <w:rsid w:val="00DC1E2B"/>
    <w:rsid w:val="00DC2AB9"/>
    <w:rsid w:val="00DC4120"/>
    <w:rsid w:val="00DC63F0"/>
    <w:rsid w:val="00DD6EE5"/>
    <w:rsid w:val="00DD7CDA"/>
    <w:rsid w:val="00DE1533"/>
    <w:rsid w:val="00DE386C"/>
    <w:rsid w:val="00DE4D35"/>
    <w:rsid w:val="00DE74E8"/>
    <w:rsid w:val="00DF0549"/>
    <w:rsid w:val="00DF098B"/>
    <w:rsid w:val="00DF11C4"/>
    <w:rsid w:val="00DF210C"/>
    <w:rsid w:val="00DF4B6A"/>
    <w:rsid w:val="00E02C09"/>
    <w:rsid w:val="00E04D59"/>
    <w:rsid w:val="00E07DA1"/>
    <w:rsid w:val="00E11494"/>
    <w:rsid w:val="00E123CB"/>
    <w:rsid w:val="00E20E13"/>
    <w:rsid w:val="00E2180A"/>
    <w:rsid w:val="00E21DBC"/>
    <w:rsid w:val="00E275D7"/>
    <w:rsid w:val="00E27DBE"/>
    <w:rsid w:val="00E3034C"/>
    <w:rsid w:val="00E31014"/>
    <w:rsid w:val="00E32AB1"/>
    <w:rsid w:val="00E32F9D"/>
    <w:rsid w:val="00E36C71"/>
    <w:rsid w:val="00E40404"/>
    <w:rsid w:val="00E44573"/>
    <w:rsid w:val="00E459C6"/>
    <w:rsid w:val="00E47589"/>
    <w:rsid w:val="00E55B10"/>
    <w:rsid w:val="00E64915"/>
    <w:rsid w:val="00E661D4"/>
    <w:rsid w:val="00E70091"/>
    <w:rsid w:val="00E71D4F"/>
    <w:rsid w:val="00E720F5"/>
    <w:rsid w:val="00E74B53"/>
    <w:rsid w:val="00E74F22"/>
    <w:rsid w:val="00E76D47"/>
    <w:rsid w:val="00E82025"/>
    <w:rsid w:val="00E849F7"/>
    <w:rsid w:val="00E90302"/>
    <w:rsid w:val="00E9333B"/>
    <w:rsid w:val="00E9597F"/>
    <w:rsid w:val="00E97396"/>
    <w:rsid w:val="00EA185E"/>
    <w:rsid w:val="00EA436E"/>
    <w:rsid w:val="00EA592A"/>
    <w:rsid w:val="00EB14E4"/>
    <w:rsid w:val="00EB3162"/>
    <w:rsid w:val="00EB32A5"/>
    <w:rsid w:val="00EB34ED"/>
    <w:rsid w:val="00EB7BE0"/>
    <w:rsid w:val="00EC315E"/>
    <w:rsid w:val="00EC58CC"/>
    <w:rsid w:val="00ED077C"/>
    <w:rsid w:val="00ED1190"/>
    <w:rsid w:val="00ED2CC6"/>
    <w:rsid w:val="00ED639E"/>
    <w:rsid w:val="00ED6544"/>
    <w:rsid w:val="00EE0277"/>
    <w:rsid w:val="00EE0C63"/>
    <w:rsid w:val="00EE1DA9"/>
    <w:rsid w:val="00EE3E00"/>
    <w:rsid w:val="00EE5DD2"/>
    <w:rsid w:val="00EF41F1"/>
    <w:rsid w:val="00EF4F08"/>
    <w:rsid w:val="00F00A79"/>
    <w:rsid w:val="00F00E86"/>
    <w:rsid w:val="00F034AF"/>
    <w:rsid w:val="00F04130"/>
    <w:rsid w:val="00F0714C"/>
    <w:rsid w:val="00F07545"/>
    <w:rsid w:val="00F07C1E"/>
    <w:rsid w:val="00F105DB"/>
    <w:rsid w:val="00F132BC"/>
    <w:rsid w:val="00F13D80"/>
    <w:rsid w:val="00F16AAA"/>
    <w:rsid w:val="00F21161"/>
    <w:rsid w:val="00F218EF"/>
    <w:rsid w:val="00F21BC7"/>
    <w:rsid w:val="00F266A2"/>
    <w:rsid w:val="00F32269"/>
    <w:rsid w:val="00F37ACA"/>
    <w:rsid w:val="00F4780E"/>
    <w:rsid w:val="00F56A6F"/>
    <w:rsid w:val="00F5709C"/>
    <w:rsid w:val="00F604B8"/>
    <w:rsid w:val="00F64EF1"/>
    <w:rsid w:val="00F8765F"/>
    <w:rsid w:val="00F90767"/>
    <w:rsid w:val="00FA113D"/>
    <w:rsid w:val="00FA685B"/>
    <w:rsid w:val="00FB0C01"/>
    <w:rsid w:val="00FB1F2C"/>
    <w:rsid w:val="00FB5BB9"/>
    <w:rsid w:val="00FC0F5A"/>
    <w:rsid w:val="00FC18F2"/>
    <w:rsid w:val="00FC191C"/>
    <w:rsid w:val="00FC39E5"/>
    <w:rsid w:val="00FC3A78"/>
    <w:rsid w:val="00FD1005"/>
    <w:rsid w:val="00FD3180"/>
    <w:rsid w:val="00FD3ED6"/>
    <w:rsid w:val="00FD6C75"/>
    <w:rsid w:val="00FE614A"/>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01FE9"/>
    <w:rPr>
      <w:rFonts w:eastAsiaTheme="minorEastAsia"/>
      <w:sz w:val="24"/>
      <w:lang w:val="en-GB"/>
    </w:rPr>
  </w:style>
  <w:style w:type="paragraph" w:styleId="Heading1">
    <w:name w:val="heading 1"/>
    <w:basedOn w:val="Normal"/>
    <w:next w:val="Normal"/>
    <w:link w:val="Heading1Char"/>
    <w:uiPriority w:val="99"/>
    <w:semiHidden/>
    <w:rsid w:val="00401FE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01FE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01FE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01FE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01FE9"/>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401FE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01FE9"/>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401FE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01FE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01FE9"/>
    <w:rPr>
      <w:rFonts w:ascii="Tahoma" w:hAnsi="Tahoma" w:cs="Tahoma"/>
      <w:sz w:val="16"/>
      <w:szCs w:val="16"/>
    </w:rPr>
  </w:style>
  <w:style w:type="character" w:customStyle="1" w:styleId="BalloonTextChar">
    <w:name w:val="Balloon Text Char"/>
    <w:basedOn w:val="DefaultParagraphFont"/>
    <w:link w:val="BalloonText"/>
    <w:uiPriority w:val="99"/>
    <w:semiHidden/>
    <w:rsid w:val="00401FE9"/>
    <w:rPr>
      <w:rFonts w:ascii="Tahoma" w:eastAsiaTheme="minorEastAsia" w:hAnsi="Tahoma" w:cs="Tahoma"/>
      <w:sz w:val="16"/>
      <w:szCs w:val="16"/>
      <w:lang w:val="en-GB"/>
    </w:rPr>
  </w:style>
  <w:style w:type="character" w:styleId="BookTitle">
    <w:name w:val="Book Title"/>
    <w:uiPriority w:val="99"/>
    <w:semiHidden/>
    <w:qFormat/>
    <w:rsid w:val="00401FE9"/>
    <w:rPr>
      <w:i/>
      <w:iCs/>
      <w:smallCaps/>
      <w:spacing w:val="5"/>
    </w:rPr>
  </w:style>
  <w:style w:type="paragraph" w:customStyle="1" w:styleId="JuHeader">
    <w:name w:val="Ju_Header"/>
    <w:aliases w:val="_Header"/>
    <w:basedOn w:val="Header"/>
    <w:uiPriority w:val="29"/>
    <w:qFormat/>
    <w:rsid w:val="00401FE9"/>
    <w:pPr>
      <w:tabs>
        <w:tab w:val="clear" w:pos="4536"/>
        <w:tab w:val="center" w:pos="3686"/>
        <w:tab w:val="right" w:pos="7371"/>
      </w:tabs>
    </w:pPr>
    <w:rPr>
      <w:sz w:val="18"/>
    </w:rPr>
  </w:style>
  <w:style w:type="paragraph" w:customStyle="1" w:styleId="NormalJustified">
    <w:name w:val="Normal_Justified"/>
    <w:basedOn w:val="Normal"/>
    <w:semiHidden/>
    <w:rsid w:val="00401FE9"/>
    <w:pPr>
      <w:jc w:val="both"/>
    </w:pPr>
  </w:style>
  <w:style w:type="character" w:styleId="Strong">
    <w:name w:val="Strong"/>
    <w:uiPriority w:val="99"/>
    <w:semiHidden/>
    <w:qFormat/>
    <w:rsid w:val="00401FE9"/>
    <w:rPr>
      <w:b/>
      <w:bCs/>
    </w:rPr>
  </w:style>
  <w:style w:type="paragraph" w:styleId="NoSpacing">
    <w:name w:val="No Spacing"/>
    <w:basedOn w:val="Normal"/>
    <w:link w:val="NoSpacingChar"/>
    <w:semiHidden/>
    <w:qFormat/>
    <w:rsid w:val="00401FE9"/>
  </w:style>
  <w:style w:type="character" w:customStyle="1" w:styleId="NoSpacingChar">
    <w:name w:val="No Spacing Char"/>
    <w:basedOn w:val="DefaultParagraphFont"/>
    <w:link w:val="NoSpacing"/>
    <w:semiHidden/>
    <w:rsid w:val="00401FE9"/>
    <w:rPr>
      <w:rFonts w:eastAsiaTheme="minorEastAsia"/>
      <w:sz w:val="24"/>
      <w:lang w:val="en-GB"/>
    </w:rPr>
  </w:style>
  <w:style w:type="paragraph" w:customStyle="1" w:styleId="JuHeaderLandscape">
    <w:name w:val="Ju_Header_Landscape"/>
    <w:aliases w:val="_Header_Landscape"/>
    <w:basedOn w:val="JuHeader"/>
    <w:uiPriority w:val="30"/>
    <w:qFormat/>
    <w:rsid w:val="00401FE9"/>
    <w:pPr>
      <w:tabs>
        <w:tab w:val="clear" w:pos="3686"/>
        <w:tab w:val="clear" w:pos="7371"/>
        <w:tab w:val="center" w:pos="6146"/>
        <w:tab w:val="right" w:pos="12293"/>
      </w:tabs>
    </w:pPr>
  </w:style>
  <w:style w:type="paragraph" w:customStyle="1" w:styleId="DecList">
    <w:name w:val="Dec_List"/>
    <w:aliases w:val="_List"/>
    <w:basedOn w:val="Normal"/>
    <w:uiPriority w:val="22"/>
    <w:rsid w:val="00401FE9"/>
    <w:pPr>
      <w:spacing w:before="280" w:after="60"/>
      <w:ind w:left="340"/>
    </w:pPr>
    <w:rPr>
      <w:rFonts w:eastAsiaTheme="minorHAnsi"/>
    </w:rPr>
  </w:style>
  <w:style w:type="paragraph" w:customStyle="1" w:styleId="DecHTitle">
    <w:name w:val="Dec_H_Title"/>
    <w:aliases w:val="_Title_1"/>
    <w:basedOn w:val="JuPara"/>
    <w:next w:val="JuPara"/>
    <w:uiPriority w:val="35"/>
    <w:qFormat/>
    <w:rsid w:val="00401FE9"/>
    <w:pPr>
      <w:keepNext/>
      <w:keepLines/>
      <w:spacing w:after="240"/>
      <w:ind w:firstLine="0"/>
      <w:jc w:val="center"/>
      <w:outlineLvl w:val="0"/>
    </w:pPr>
    <w:rPr>
      <w:rFonts w:asciiTheme="majorHAnsi" w:hAnsiTheme="majorHAnsi"/>
      <w:sz w:val="28"/>
    </w:rPr>
  </w:style>
  <w:style w:type="paragraph" w:customStyle="1" w:styleId="JuTitle">
    <w:name w:val="Ju_Title"/>
    <w:aliases w:val="_Title_2"/>
    <w:basedOn w:val="Normal"/>
    <w:next w:val="JuPara"/>
    <w:uiPriority w:val="35"/>
    <w:qFormat/>
    <w:rsid w:val="00401FE9"/>
    <w:pPr>
      <w:keepNext/>
      <w:keepLines/>
      <w:spacing w:before="1320" w:after="280"/>
      <w:contextualSpacing/>
      <w:jc w:val="center"/>
    </w:pPr>
    <w:rPr>
      <w:rFonts w:eastAsiaTheme="minorHAnsi"/>
      <w:b/>
    </w:rPr>
  </w:style>
  <w:style w:type="paragraph" w:customStyle="1" w:styleId="JuHArticle">
    <w:name w:val="Ju_H_Article"/>
    <w:aliases w:val="_Title_Quote"/>
    <w:basedOn w:val="Normal"/>
    <w:next w:val="JuQuot"/>
    <w:uiPriority w:val="20"/>
    <w:qFormat/>
    <w:rsid w:val="00401FE9"/>
    <w:pPr>
      <w:keepNext/>
      <w:spacing w:before="100" w:beforeAutospacing="1" w:after="120"/>
      <w:contextualSpacing/>
      <w:jc w:val="center"/>
    </w:pPr>
    <w:rPr>
      <w:rFonts w:eastAsiaTheme="minorHAnsi"/>
      <w:b/>
      <w:sz w:val="20"/>
    </w:rPr>
  </w:style>
  <w:style w:type="paragraph" w:customStyle="1" w:styleId="DecHCase">
    <w:name w:val="Dec_H_Case"/>
    <w:aliases w:val="_Title_3"/>
    <w:basedOn w:val="JuPara"/>
    <w:next w:val="JuPara"/>
    <w:uiPriority w:val="35"/>
    <w:qFormat/>
    <w:rsid w:val="00401FE9"/>
    <w:pPr>
      <w:keepNext/>
      <w:keepLines/>
      <w:spacing w:after="280"/>
      <w:ind w:firstLine="0"/>
      <w:jc w:val="center"/>
    </w:pPr>
    <w:rPr>
      <w:rFonts w:asciiTheme="majorHAnsi" w:hAnsiTheme="majorHAnsi"/>
    </w:rPr>
  </w:style>
  <w:style w:type="paragraph" w:customStyle="1" w:styleId="Title4">
    <w:name w:val="_Title_4"/>
    <w:basedOn w:val="JuPara"/>
    <w:next w:val="JuPara"/>
    <w:uiPriority w:val="35"/>
    <w:qFormat/>
    <w:rsid w:val="00401FE9"/>
    <w:pPr>
      <w:keepNext/>
      <w:keepLines/>
      <w:tabs>
        <w:tab w:val="right" w:pos="7938"/>
      </w:tabs>
      <w:ind w:firstLine="0"/>
      <w:jc w:val="center"/>
    </w:pPr>
    <w:rPr>
      <w:rFonts w:eastAsiaTheme="minorHAnsi"/>
      <w:i/>
    </w:rPr>
  </w:style>
  <w:style w:type="paragraph" w:customStyle="1" w:styleId="JuInitialled">
    <w:name w:val="Ju_Initialled"/>
    <w:aliases w:val="_Right"/>
    <w:basedOn w:val="Normal"/>
    <w:uiPriority w:val="30"/>
    <w:qFormat/>
    <w:rsid w:val="00401FE9"/>
    <w:pPr>
      <w:tabs>
        <w:tab w:val="center" w:pos="6407"/>
      </w:tabs>
      <w:spacing w:before="720"/>
      <w:jc w:val="right"/>
    </w:pPr>
  </w:style>
  <w:style w:type="numbering" w:customStyle="1" w:styleId="ECHRA1StyleBulletedSquare">
    <w:name w:val="ECHR_A1_Style_Bulleted_Square"/>
    <w:basedOn w:val="NoList"/>
    <w:rsid w:val="00401FE9"/>
    <w:pPr>
      <w:numPr>
        <w:numId w:val="36"/>
      </w:numPr>
    </w:pPr>
  </w:style>
  <w:style w:type="character" w:customStyle="1" w:styleId="JUNAMES">
    <w:name w:val="JU_NAMES"/>
    <w:uiPriority w:val="34"/>
    <w:qFormat/>
    <w:rsid w:val="00401FE9"/>
    <w:rPr>
      <w:caps w:val="0"/>
      <w:smallCaps/>
    </w:rPr>
  </w:style>
  <w:style w:type="numbering" w:customStyle="1" w:styleId="ECHRA1StyleList">
    <w:name w:val="ECHR_A1_Style_List"/>
    <w:basedOn w:val="NoList"/>
    <w:uiPriority w:val="99"/>
    <w:rsid w:val="00401FE9"/>
    <w:pPr>
      <w:numPr>
        <w:numId w:val="37"/>
      </w:numPr>
    </w:pPr>
  </w:style>
  <w:style w:type="paragraph" w:styleId="Title">
    <w:name w:val="Title"/>
    <w:basedOn w:val="Normal"/>
    <w:next w:val="Normal"/>
    <w:link w:val="TitleChar"/>
    <w:uiPriority w:val="99"/>
    <w:semiHidden/>
    <w:qFormat/>
    <w:rsid w:val="00401FE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01FE9"/>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401FE9"/>
    <w:pPr>
      <w:keepNext/>
      <w:keepLines/>
      <w:numPr>
        <w:ilvl w:val="3"/>
        <w:numId w:val="29"/>
      </w:numPr>
      <w:spacing w:before="100" w:beforeAutospacing="1" w:after="120"/>
      <w:jc w:val="both"/>
      <w:outlineLvl w:val="3"/>
    </w:pPr>
    <w:rPr>
      <w:i/>
    </w:rPr>
  </w:style>
  <w:style w:type="paragraph" w:customStyle="1" w:styleId="JuHa0">
    <w:name w:val="Ju_H_a"/>
    <w:aliases w:val="_Head_5"/>
    <w:basedOn w:val="Normal"/>
    <w:next w:val="JuPara"/>
    <w:uiPriority w:val="19"/>
    <w:rsid w:val="00401FE9"/>
    <w:pPr>
      <w:keepNext/>
      <w:keepLines/>
      <w:numPr>
        <w:ilvl w:val="4"/>
        <w:numId w:val="29"/>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401FE9"/>
    <w:pPr>
      <w:keepNext/>
      <w:keepLines/>
      <w:numPr>
        <w:ilvl w:val="5"/>
        <w:numId w:val="29"/>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401FE9"/>
    <w:pPr>
      <w:keepNext/>
      <w:keepLines/>
      <w:numPr>
        <w:ilvl w:val="6"/>
        <w:numId w:val="29"/>
      </w:numPr>
      <w:spacing w:before="100" w:beforeAutospacing="1" w:after="120"/>
      <w:jc w:val="both"/>
      <w:outlineLvl w:val="6"/>
    </w:pPr>
    <w:rPr>
      <w:sz w:val="20"/>
    </w:rPr>
  </w:style>
  <w:style w:type="paragraph" w:customStyle="1" w:styleId="JuH">
    <w:name w:val="Ju_H_–"/>
    <w:aliases w:val="_Head_8"/>
    <w:basedOn w:val="Normal"/>
    <w:next w:val="JuPara"/>
    <w:uiPriority w:val="19"/>
    <w:rsid w:val="00401FE9"/>
    <w:pPr>
      <w:keepNext/>
      <w:keepLines/>
      <w:numPr>
        <w:ilvl w:val="7"/>
        <w:numId w:val="29"/>
      </w:numPr>
      <w:spacing w:before="100" w:beforeAutospacing="1" w:after="120"/>
      <w:outlineLvl w:val="7"/>
    </w:pPr>
    <w:rPr>
      <w:i/>
      <w:sz w:val="20"/>
    </w:rPr>
  </w:style>
  <w:style w:type="numbering" w:customStyle="1" w:styleId="ECHRA1StyleNumberedList">
    <w:name w:val="ECHR_A1_Style_Numbered_List"/>
    <w:basedOn w:val="NoList"/>
    <w:rsid w:val="00401FE9"/>
    <w:pPr>
      <w:numPr>
        <w:numId w:val="38"/>
      </w:numPr>
    </w:pPr>
  </w:style>
  <w:style w:type="table" w:customStyle="1" w:styleId="ECHRTable2019">
    <w:name w:val="ECHR_Table_2019"/>
    <w:basedOn w:val="TableNormal"/>
    <w:uiPriority w:val="99"/>
    <w:rsid w:val="00401FE9"/>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401FE9"/>
    <w:rPr>
      <w:sz w:val="8"/>
    </w:rPr>
  </w:style>
  <w:style w:type="paragraph" w:styleId="Header">
    <w:name w:val="header"/>
    <w:basedOn w:val="Normal"/>
    <w:link w:val="HeaderChar"/>
    <w:uiPriority w:val="57"/>
    <w:semiHidden/>
    <w:rsid w:val="00401FE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01FE9"/>
    <w:rPr>
      <w:sz w:val="24"/>
      <w:lang w:val="en-GB"/>
    </w:rPr>
  </w:style>
  <w:style w:type="character" w:customStyle="1" w:styleId="Heading1Char">
    <w:name w:val="Heading 1 Char"/>
    <w:basedOn w:val="DefaultParagraphFont"/>
    <w:link w:val="Heading1"/>
    <w:uiPriority w:val="99"/>
    <w:semiHidden/>
    <w:rsid w:val="00401FE9"/>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401FE9"/>
    <w:pPr>
      <w:keepNext/>
      <w:keepLines/>
      <w:numPr>
        <w:ilvl w:val="1"/>
        <w:numId w:val="29"/>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401FE9"/>
    <w:pPr>
      <w:keepNext/>
      <w:keepLines/>
      <w:numPr>
        <w:ilvl w:val="2"/>
        <w:numId w:val="29"/>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401FE9"/>
    <w:rPr>
      <w:rFonts w:asciiTheme="majorHAnsi" w:eastAsiaTheme="majorEastAsia" w:hAnsiTheme="majorHAnsi" w:cstheme="majorBidi"/>
      <w:b/>
      <w:bCs/>
      <w:color w:val="4D4D4D"/>
      <w:sz w:val="26"/>
      <w:szCs w:val="26"/>
      <w:lang w:val="en-GB"/>
    </w:rPr>
  </w:style>
  <w:style w:type="paragraph" w:customStyle="1" w:styleId="FooterLine">
    <w:name w:val="_Footer_Line"/>
    <w:aliases w:val="Footer_Line"/>
    <w:basedOn w:val="Normal"/>
    <w:next w:val="Footer"/>
    <w:uiPriority w:val="57"/>
    <w:semiHidden/>
    <w:rsid w:val="00401FE9"/>
    <w:pPr>
      <w:pBdr>
        <w:top w:val="single" w:sz="6" w:space="1" w:color="5F5F5F"/>
      </w:pBdr>
      <w:tabs>
        <w:tab w:val="center" w:pos="4536"/>
        <w:tab w:val="right" w:pos="9696"/>
      </w:tabs>
      <w:ind w:left="-680" w:right="-680"/>
    </w:pPr>
    <w:rPr>
      <w:color w:val="5F5F5F"/>
    </w:rPr>
  </w:style>
  <w:style w:type="paragraph" w:customStyle="1" w:styleId="JuCase">
    <w:name w:val="Ju_Case"/>
    <w:basedOn w:val="Normal"/>
    <w:next w:val="JuPara"/>
    <w:uiPriority w:val="31"/>
    <w:rsid w:val="00401FE9"/>
    <w:pPr>
      <w:ind w:firstLine="284"/>
    </w:pPr>
    <w:rPr>
      <w:b/>
    </w:rPr>
  </w:style>
  <w:style w:type="character" w:customStyle="1" w:styleId="Heading3Char">
    <w:name w:val="Heading 3 Char"/>
    <w:basedOn w:val="DefaultParagraphFont"/>
    <w:link w:val="Heading3"/>
    <w:uiPriority w:val="99"/>
    <w:semiHidden/>
    <w:rsid w:val="00401FE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01FE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01FE9"/>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401FE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01FE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401FE9"/>
    <w:pPr>
      <w:keepNext/>
      <w:keepLines/>
      <w:numPr>
        <w:numId w:val="29"/>
      </w:numPr>
      <w:spacing w:before="100" w:beforeAutospacing="1" w:after="240"/>
      <w:jc w:val="both"/>
      <w:outlineLvl w:val="0"/>
    </w:pPr>
    <w:rPr>
      <w:caps/>
      <w:sz w:val="28"/>
    </w:rPr>
  </w:style>
  <w:style w:type="character" w:styleId="Emphasis">
    <w:name w:val="Emphasis"/>
    <w:uiPriority w:val="99"/>
    <w:semiHidden/>
    <w:qFormat/>
    <w:rsid w:val="00401FE9"/>
    <w:rPr>
      <w:b/>
      <w:bCs/>
      <w:i/>
      <w:iCs/>
      <w:spacing w:val="10"/>
      <w:bdr w:val="none" w:sz="0" w:space="0" w:color="auto"/>
      <w:shd w:val="clear" w:color="auto" w:fill="auto"/>
    </w:rPr>
  </w:style>
  <w:style w:type="paragraph" w:styleId="Footer0">
    <w:name w:val="footer"/>
    <w:basedOn w:val="Normal"/>
    <w:link w:val="FooterChar"/>
    <w:uiPriority w:val="57"/>
    <w:semiHidden/>
    <w:rsid w:val="00401FE9"/>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401FE9"/>
    <w:rPr>
      <w:sz w:val="24"/>
      <w:lang w:val="en-GB"/>
    </w:rPr>
  </w:style>
  <w:style w:type="character" w:styleId="FootnoteReference">
    <w:name w:val="footnote reference"/>
    <w:basedOn w:val="DefaultParagraphFont"/>
    <w:uiPriority w:val="99"/>
    <w:semiHidden/>
    <w:rsid w:val="00401FE9"/>
    <w:rPr>
      <w:vertAlign w:val="superscript"/>
    </w:rPr>
  </w:style>
  <w:style w:type="paragraph" w:styleId="FootnoteText">
    <w:name w:val="footnote text"/>
    <w:basedOn w:val="Normal"/>
    <w:link w:val="FootnoteTextChar"/>
    <w:uiPriority w:val="99"/>
    <w:semiHidden/>
    <w:rsid w:val="00401FE9"/>
    <w:rPr>
      <w:sz w:val="20"/>
      <w:szCs w:val="20"/>
    </w:rPr>
  </w:style>
  <w:style w:type="character" w:customStyle="1" w:styleId="FootnoteTextChar">
    <w:name w:val="Footnote Text Char"/>
    <w:basedOn w:val="DefaultParagraphFont"/>
    <w:link w:val="FootnoteText"/>
    <w:uiPriority w:val="99"/>
    <w:semiHidden/>
    <w:rsid w:val="00401FE9"/>
    <w:rPr>
      <w:rFonts w:eastAsiaTheme="minorEastAsia"/>
      <w:sz w:val="20"/>
      <w:szCs w:val="20"/>
      <w:lang w:val="en-GB"/>
    </w:rPr>
  </w:style>
  <w:style w:type="character" w:customStyle="1" w:styleId="Heading6Char">
    <w:name w:val="Heading 6 Char"/>
    <w:basedOn w:val="DefaultParagraphFont"/>
    <w:link w:val="Heading6"/>
    <w:uiPriority w:val="99"/>
    <w:semiHidden/>
    <w:rsid w:val="00401FE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01FE9"/>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401FE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401FE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401FE9"/>
    <w:rPr>
      <w:color w:val="0072BC" w:themeColor="hyperlink"/>
      <w:u w:val="single"/>
    </w:rPr>
  </w:style>
  <w:style w:type="character" w:styleId="IntenseEmphasis">
    <w:name w:val="Intense Emphasis"/>
    <w:uiPriority w:val="99"/>
    <w:semiHidden/>
    <w:qFormat/>
    <w:rsid w:val="00401FE9"/>
    <w:rPr>
      <w:b/>
      <w:bCs/>
    </w:rPr>
  </w:style>
  <w:style w:type="paragraph" w:styleId="IntenseQuote">
    <w:name w:val="Intense Quote"/>
    <w:basedOn w:val="Normal"/>
    <w:next w:val="Normal"/>
    <w:link w:val="IntenseQuoteChar"/>
    <w:uiPriority w:val="99"/>
    <w:semiHidden/>
    <w:qFormat/>
    <w:rsid w:val="00401FE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401FE9"/>
    <w:rPr>
      <w:rFonts w:eastAsiaTheme="minorEastAsia"/>
      <w:b/>
      <w:bCs/>
      <w:i/>
      <w:iCs/>
      <w:sz w:val="24"/>
      <w:lang w:val="en-GB" w:bidi="en-US"/>
    </w:rPr>
  </w:style>
  <w:style w:type="character" w:styleId="IntenseReference">
    <w:name w:val="Intense Reference"/>
    <w:uiPriority w:val="99"/>
    <w:semiHidden/>
    <w:qFormat/>
    <w:rsid w:val="00401FE9"/>
    <w:rPr>
      <w:smallCaps/>
      <w:spacing w:val="5"/>
      <w:u w:val="single"/>
    </w:rPr>
  </w:style>
  <w:style w:type="paragraph" w:styleId="ListParagraph">
    <w:name w:val="List Paragraph"/>
    <w:basedOn w:val="Normal"/>
    <w:uiPriority w:val="99"/>
    <w:semiHidden/>
    <w:qFormat/>
    <w:rsid w:val="00401FE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01FE9"/>
    <w:pPr>
      <w:spacing w:before="200"/>
      <w:ind w:left="360" w:right="360"/>
    </w:pPr>
    <w:rPr>
      <w:i/>
      <w:iCs/>
      <w:lang w:bidi="en-US"/>
    </w:rPr>
  </w:style>
  <w:style w:type="character" w:customStyle="1" w:styleId="QuoteChar">
    <w:name w:val="Quote Char"/>
    <w:basedOn w:val="DefaultParagraphFont"/>
    <w:link w:val="Quote"/>
    <w:uiPriority w:val="99"/>
    <w:semiHidden/>
    <w:rsid w:val="00401FE9"/>
    <w:rPr>
      <w:rFonts w:eastAsiaTheme="minorEastAsia"/>
      <w:i/>
      <w:iCs/>
      <w:sz w:val="24"/>
      <w:lang w:val="en-GB" w:bidi="en-US"/>
    </w:rPr>
  </w:style>
  <w:style w:type="character" w:styleId="SubtleReference">
    <w:name w:val="Subtle Reference"/>
    <w:uiPriority w:val="99"/>
    <w:semiHidden/>
    <w:qFormat/>
    <w:rsid w:val="00401FE9"/>
    <w:rPr>
      <w:smallCaps/>
    </w:rPr>
  </w:style>
  <w:style w:type="table" w:styleId="TableGrid">
    <w:name w:val="Table Grid"/>
    <w:basedOn w:val="TableNormal"/>
    <w:uiPriority w:val="59"/>
    <w:semiHidden/>
    <w:rsid w:val="00401F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01F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01F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01F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01FE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01F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01FE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01FE9"/>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01FE9"/>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401FE9"/>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01FE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401FE9"/>
    <w:pPr>
      <w:spacing w:before="120" w:after="120"/>
      <w:ind w:left="425" w:firstLine="142"/>
    </w:pPr>
    <w:rPr>
      <w:sz w:val="20"/>
    </w:rPr>
  </w:style>
  <w:style w:type="paragraph" w:customStyle="1" w:styleId="JuPara">
    <w:name w:val="Ju_Para"/>
    <w:aliases w:val="_Para"/>
    <w:basedOn w:val="NormalJustified"/>
    <w:link w:val="JuParaChar"/>
    <w:uiPriority w:val="8"/>
    <w:qFormat/>
    <w:rsid w:val="00401FE9"/>
    <w:pPr>
      <w:ind w:firstLine="284"/>
    </w:pPr>
  </w:style>
  <w:style w:type="table" w:customStyle="1" w:styleId="ECHRTableSimpleBox">
    <w:name w:val="ECHR_Table_Simple_Box"/>
    <w:basedOn w:val="TableNormal"/>
    <w:uiPriority w:val="99"/>
    <w:rsid w:val="00401FE9"/>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01FE9"/>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401FE9"/>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401FE9"/>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401FE9"/>
    <w:pPr>
      <w:tabs>
        <w:tab w:val="left" w:pos="567"/>
        <w:tab w:val="left" w:pos="1134"/>
      </w:tabs>
    </w:pPr>
  </w:style>
  <w:style w:type="table" w:customStyle="1" w:styleId="ECHRHeaderTableReduced">
    <w:name w:val="ECHR_Header_Table_Reduced"/>
    <w:basedOn w:val="TableNormal"/>
    <w:uiPriority w:val="99"/>
    <w:rsid w:val="00401FE9"/>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401FE9"/>
    <w:pPr>
      <w:numPr>
        <w:numId w:val="32"/>
      </w:numPr>
      <w:spacing w:before="280" w:after="60"/>
    </w:pPr>
    <w:rPr>
      <w:rFonts w:eastAsiaTheme="minorHAnsi"/>
    </w:rPr>
  </w:style>
  <w:style w:type="paragraph" w:customStyle="1" w:styleId="JuSigned">
    <w:name w:val="Ju_Signed"/>
    <w:aliases w:val="_Signature"/>
    <w:basedOn w:val="Normal"/>
    <w:next w:val="JuPara"/>
    <w:uiPriority w:val="30"/>
    <w:qFormat/>
    <w:rsid w:val="00401FE9"/>
    <w:pPr>
      <w:tabs>
        <w:tab w:val="center" w:pos="851"/>
        <w:tab w:val="center" w:pos="6407"/>
      </w:tabs>
      <w:spacing w:before="720"/>
    </w:pPr>
  </w:style>
  <w:style w:type="paragraph" w:customStyle="1" w:styleId="JuParaLast">
    <w:name w:val="Ju_Para_Last"/>
    <w:aliases w:val="_Para_Spaced"/>
    <w:basedOn w:val="NormalJustified"/>
    <w:uiPriority w:val="9"/>
    <w:qFormat/>
    <w:rsid w:val="00401FE9"/>
    <w:pPr>
      <w:keepNext/>
      <w:keepLines/>
      <w:spacing w:before="240" w:after="240"/>
      <w:ind w:firstLine="284"/>
    </w:pPr>
    <w:rPr>
      <w:rFonts w:eastAsiaTheme="minorHAnsi"/>
    </w:rPr>
  </w:style>
  <w:style w:type="paragraph" w:customStyle="1" w:styleId="JuCourt">
    <w:name w:val="Ju_Court"/>
    <w:basedOn w:val="Normal"/>
    <w:next w:val="Normal"/>
    <w:uiPriority w:val="31"/>
    <w:qFormat/>
    <w:rsid w:val="00401FE9"/>
    <w:pPr>
      <w:tabs>
        <w:tab w:val="left" w:pos="907"/>
        <w:tab w:val="left" w:pos="1701"/>
        <w:tab w:val="right" w:pos="7371"/>
      </w:tabs>
      <w:spacing w:before="240"/>
      <w:ind w:left="397" w:hanging="397"/>
    </w:pPr>
    <w:rPr>
      <w:lang w:bidi="en-US"/>
    </w:rPr>
  </w:style>
  <w:style w:type="character" w:styleId="PageNumber">
    <w:name w:val="page number"/>
    <w:uiPriority w:val="99"/>
    <w:semiHidden/>
    <w:rsid w:val="00401FE9"/>
    <w:rPr>
      <w:sz w:val="18"/>
    </w:rPr>
  </w:style>
  <w:style w:type="paragraph" w:customStyle="1" w:styleId="JuLista">
    <w:name w:val="Ju_List_a"/>
    <w:aliases w:val="_List_2"/>
    <w:basedOn w:val="NormalJustified"/>
    <w:uiPriority w:val="23"/>
    <w:rsid w:val="00401FE9"/>
    <w:pPr>
      <w:numPr>
        <w:ilvl w:val="1"/>
        <w:numId w:val="32"/>
      </w:numPr>
    </w:pPr>
  </w:style>
  <w:style w:type="paragraph" w:customStyle="1" w:styleId="JuListi">
    <w:name w:val="Ju_List_i"/>
    <w:aliases w:val="_List_3"/>
    <w:basedOn w:val="NormalJustified"/>
    <w:uiPriority w:val="23"/>
    <w:rsid w:val="00401FE9"/>
    <w:pPr>
      <w:numPr>
        <w:ilvl w:val="2"/>
        <w:numId w:val="32"/>
      </w:numPr>
    </w:pPr>
  </w:style>
  <w:style w:type="character" w:styleId="CommentReference">
    <w:name w:val="annotation reference"/>
    <w:basedOn w:val="DefaultParagraphFont"/>
    <w:uiPriority w:val="99"/>
    <w:semiHidden/>
    <w:rsid w:val="00401FE9"/>
    <w:rPr>
      <w:sz w:val="16"/>
      <w:szCs w:val="16"/>
    </w:rPr>
  </w:style>
  <w:style w:type="paragraph" w:styleId="CommentText">
    <w:name w:val="annotation text"/>
    <w:basedOn w:val="Normal"/>
    <w:link w:val="CommentTextChar"/>
    <w:semiHidden/>
    <w:rsid w:val="00401FE9"/>
    <w:rPr>
      <w:sz w:val="20"/>
      <w:szCs w:val="20"/>
    </w:rPr>
  </w:style>
  <w:style w:type="character" w:customStyle="1" w:styleId="CommentTextChar">
    <w:name w:val="Comment Text Char"/>
    <w:basedOn w:val="DefaultParagraphFont"/>
    <w:link w:val="CommentText"/>
    <w:semiHidden/>
    <w:rsid w:val="00401FE9"/>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401FE9"/>
    <w:rPr>
      <w:b/>
      <w:bCs/>
    </w:rPr>
  </w:style>
  <w:style w:type="character" w:customStyle="1" w:styleId="CommentSubjectChar">
    <w:name w:val="Comment Subject Char"/>
    <w:basedOn w:val="CommentTextChar"/>
    <w:link w:val="CommentSubject"/>
    <w:uiPriority w:val="99"/>
    <w:semiHidden/>
    <w:rsid w:val="00401FE9"/>
    <w:rPr>
      <w:rFonts w:eastAsiaTheme="minorEastAsia"/>
      <w:b/>
      <w:bCs/>
      <w:sz w:val="20"/>
      <w:szCs w:val="20"/>
      <w:lang w:val="en-GB"/>
    </w:rPr>
  </w:style>
  <w:style w:type="character" w:styleId="EndnoteReference">
    <w:name w:val="endnote reference"/>
    <w:basedOn w:val="DefaultParagraphFont"/>
    <w:uiPriority w:val="99"/>
    <w:semiHidden/>
    <w:rsid w:val="00401FE9"/>
    <w:rPr>
      <w:vertAlign w:val="superscript"/>
    </w:rPr>
  </w:style>
  <w:style w:type="paragraph" w:styleId="EndnoteText">
    <w:name w:val="endnote text"/>
    <w:basedOn w:val="Normal"/>
    <w:link w:val="EndnoteTextChar"/>
    <w:uiPriority w:val="99"/>
    <w:semiHidden/>
    <w:rsid w:val="00401FE9"/>
    <w:rPr>
      <w:sz w:val="20"/>
      <w:szCs w:val="20"/>
    </w:rPr>
  </w:style>
  <w:style w:type="character" w:customStyle="1" w:styleId="EndnoteTextChar">
    <w:name w:val="Endnote Text Char"/>
    <w:basedOn w:val="DefaultParagraphFont"/>
    <w:link w:val="EndnoteText"/>
    <w:uiPriority w:val="99"/>
    <w:semiHidden/>
    <w:rsid w:val="00401FE9"/>
    <w:rPr>
      <w:rFonts w:eastAsiaTheme="minorEastAsia"/>
      <w:sz w:val="20"/>
      <w:szCs w:val="20"/>
      <w:lang w:val="en-GB"/>
    </w:rPr>
  </w:style>
  <w:style w:type="character" w:styleId="FollowedHyperlink">
    <w:name w:val="FollowedHyperlink"/>
    <w:basedOn w:val="DefaultParagraphFont"/>
    <w:uiPriority w:val="99"/>
    <w:semiHidden/>
    <w:rsid w:val="00401FE9"/>
    <w:rPr>
      <w:color w:val="7030A0" w:themeColor="followedHyperlink"/>
      <w:u w:val="single"/>
    </w:rPr>
  </w:style>
  <w:style w:type="paragraph" w:styleId="DocumentMap">
    <w:name w:val="Document Map"/>
    <w:basedOn w:val="Normal"/>
    <w:link w:val="DocumentMapChar"/>
    <w:uiPriority w:val="99"/>
    <w:semiHidden/>
    <w:rsid w:val="00401FE9"/>
    <w:rPr>
      <w:rFonts w:ascii="Tahoma" w:hAnsi="Tahoma" w:cs="Tahoma"/>
      <w:sz w:val="16"/>
      <w:szCs w:val="16"/>
    </w:rPr>
  </w:style>
  <w:style w:type="character" w:customStyle="1" w:styleId="DocumentMapChar">
    <w:name w:val="Document Map Char"/>
    <w:basedOn w:val="DefaultParagraphFont"/>
    <w:link w:val="DocumentMap"/>
    <w:uiPriority w:val="99"/>
    <w:semiHidden/>
    <w:rsid w:val="00401FE9"/>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401FE9"/>
    <w:pPr>
      <w:numPr>
        <w:numId w:val="39"/>
      </w:numPr>
    </w:pPr>
  </w:style>
  <w:style w:type="character" w:customStyle="1" w:styleId="JuITMark">
    <w:name w:val="Ju_ITMark"/>
    <w:basedOn w:val="DefaultParagraphFont"/>
    <w:uiPriority w:val="38"/>
    <w:qFormat/>
    <w:rsid w:val="00401FE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01FE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01FE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01FE9"/>
    <w:pPr>
      <w:numPr>
        <w:numId w:val="33"/>
      </w:numPr>
    </w:pPr>
  </w:style>
  <w:style w:type="numbering" w:styleId="1ai">
    <w:name w:val="Outline List 1"/>
    <w:basedOn w:val="NoList"/>
    <w:uiPriority w:val="99"/>
    <w:semiHidden/>
    <w:unhideWhenUsed/>
    <w:rsid w:val="00401FE9"/>
    <w:pPr>
      <w:numPr>
        <w:numId w:val="34"/>
      </w:numPr>
    </w:pPr>
  </w:style>
  <w:style w:type="numbering" w:styleId="ArticleSection">
    <w:name w:val="Outline List 3"/>
    <w:basedOn w:val="NoList"/>
    <w:uiPriority w:val="99"/>
    <w:semiHidden/>
    <w:unhideWhenUsed/>
    <w:rsid w:val="00401FE9"/>
    <w:pPr>
      <w:numPr>
        <w:numId w:val="11"/>
      </w:numPr>
    </w:pPr>
  </w:style>
  <w:style w:type="paragraph" w:styleId="Bibliography">
    <w:name w:val="Bibliography"/>
    <w:basedOn w:val="Normal"/>
    <w:next w:val="Normal"/>
    <w:uiPriority w:val="99"/>
    <w:semiHidden/>
    <w:rsid w:val="00401FE9"/>
  </w:style>
  <w:style w:type="paragraph" w:styleId="BlockText">
    <w:name w:val="Block Text"/>
    <w:basedOn w:val="Normal"/>
    <w:uiPriority w:val="99"/>
    <w:semiHidden/>
    <w:rsid w:val="00401FE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01FE9"/>
    <w:pPr>
      <w:spacing w:after="120"/>
    </w:pPr>
  </w:style>
  <w:style w:type="character" w:customStyle="1" w:styleId="BodyTextChar">
    <w:name w:val="Body Text Char"/>
    <w:basedOn w:val="DefaultParagraphFont"/>
    <w:link w:val="BodyText"/>
    <w:uiPriority w:val="99"/>
    <w:semiHidden/>
    <w:rsid w:val="00401FE9"/>
    <w:rPr>
      <w:rFonts w:eastAsiaTheme="minorEastAsia"/>
      <w:sz w:val="24"/>
      <w:lang w:val="en-GB"/>
    </w:rPr>
  </w:style>
  <w:style w:type="paragraph" w:styleId="BodyText2">
    <w:name w:val="Body Text 2"/>
    <w:basedOn w:val="Normal"/>
    <w:link w:val="BodyText2Char"/>
    <w:uiPriority w:val="99"/>
    <w:semiHidden/>
    <w:rsid w:val="00401FE9"/>
    <w:pPr>
      <w:spacing w:after="120" w:line="480" w:lineRule="auto"/>
    </w:pPr>
  </w:style>
  <w:style w:type="character" w:customStyle="1" w:styleId="BodyText2Char">
    <w:name w:val="Body Text 2 Char"/>
    <w:basedOn w:val="DefaultParagraphFont"/>
    <w:link w:val="BodyText2"/>
    <w:uiPriority w:val="99"/>
    <w:semiHidden/>
    <w:rsid w:val="00401FE9"/>
    <w:rPr>
      <w:rFonts w:eastAsiaTheme="minorEastAsia"/>
      <w:sz w:val="24"/>
      <w:lang w:val="en-GB"/>
    </w:rPr>
  </w:style>
  <w:style w:type="paragraph" w:styleId="BodyText3">
    <w:name w:val="Body Text 3"/>
    <w:basedOn w:val="Normal"/>
    <w:link w:val="BodyText3Char"/>
    <w:uiPriority w:val="99"/>
    <w:semiHidden/>
    <w:rsid w:val="00401FE9"/>
    <w:pPr>
      <w:spacing w:after="120"/>
    </w:pPr>
    <w:rPr>
      <w:sz w:val="16"/>
      <w:szCs w:val="16"/>
    </w:rPr>
  </w:style>
  <w:style w:type="character" w:customStyle="1" w:styleId="BodyText3Char">
    <w:name w:val="Body Text 3 Char"/>
    <w:basedOn w:val="DefaultParagraphFont"/>
    <w:link w:val="BodyText3"/>
    <w:uiPriority w:val="99"/>
    <w:semiHidden/>
    <w:rsid w:val="00401FE9"/>
    <w:rPr>
      <w:rFonts w:eastAsiaTheme="minorEastAsia"/>
      <w:sz w:val="16"/>
      <w:szCs w:val="16"/>
      <w:lang w:val="en-GB"/>
    </w:rPr>
  </w:style>
  <w:style w:type="paragraph" w:styleId="BodyTextFirstIndent">
    <w:name w:val="Body Text First Indent"/>
    <w:basedOn w:val="BodyText"/>
    <w:link w:val="BodyTextFirstIndentChar"/>
    <w:uiPriority w:val="99"/>
    <w:semiHidden/>
    <w:rsid w:val="00401FE9"/>
    <w:pPr>
      <w:spacing w:after="0"/>
      <w:ind w:firstLine="360"/>
    </w:pPr>
  </w:style>
  <w:style w:type="character" w:customStyle="1" w:styleId="BodyTextFirstIndentChar">
    <w:name w:val="Body Text First Indent Char"/>
    <w:basedOn w:val="BodyTextChar"/>
    <w:link w:val="BodyTextFirstIndent"/>
    <w:uiPriority w:val="99"/>
    <w:semiHidden/>
    <w:rsid w:val="00401FE9"/>
    <w:rPr>
      <w:rFonts w:eastAsiaTheme="minorEastAsia"/>
      <w:sz w:val="24"/>
      <w:lang w:val="en-GB"/>
    </w:rPr>
  </w:style>
  <w:style w:type="paragraph" w:styleId="BodyTextIndent">
    <w:name w:val="Body Text Indent"/>
    <w:basedOn w:val="Normal"/>
    <w:link w:val="BodyTextIndentChar"/>
    <w:uiPriority w:val="99"/>
    <w:semiHidden/>
    <w:rsid w:val="00401FE9"/>
    <w:pPr>
      <w:spacing w:after="120"/>
      <w:ind w:left="283"/>
    </w:pPr>
  </w:style>
  <w:style w:type="character" w:customStyle="1" w:styleId="BodyTextIndentChar">
    <w:name w:val="Body Text Indent Char"/>
    <w:basedOn w:val="DefaultParagraphFont"/>
    <w:link w:val="BodyTextIndent"/>
    <w:uiPriority w:val="99"/>
    <w:semiHidden/>
    <w:rsid w:val="00401FE9"/>
    <w:rPr>
      <w:rFonts w:eastAsiaTheme="minorEastAsia"/>
      <w:sz w:val="24"/>
      <w:lang w:val="en-GB"/>
    </w:rPr>
  </w:style>
  <w:style w:type="paragraph" w:styleId="BodyTextFirstIndent2">
    <w:name w:val="Body Text First Indent 2"/>
    <w:basedOn w:val="BodyTextIndent"/>
    <w:link w:val="BodyTextFirstIndent2Char"/>
    <w:uiPriority w:val="99"/>
    <w:semiHidden/>
    <w:rsid w:val="00401FE9"/>
    <w:pPr>
      <w:spacing w:after="0"/>
      <w:ind w:left="360" w:firstLine="360"/>
    </w:pPr>
  </w:style>
  <w:style w:type="character" w:customStyle="1" w:styleId="BodyTextFirstIndent2Char">
    <w:name w:val="Body Text First Indent 2 Char"/>
    <w:basedOn w:val="BodyTextIndentChar"/>
    <w:link w:val="BodyTextFirstIndent2"/>
    <w:uiPriority w:val="99"/>
    <w:semiHidden/>
    <w:rsid w:val="00401FE9"/>
    <w:rPr>
      <w:rFonts w:eastAsiaTheme="minorEastAsia"/>
      <w:sz w:val="24"/>
      <w:lang w:val="en-GB"/>
    </w:rPr>
  </w:style>
  <w:style w:type="paragraph" w:styleId="BodyTextIndent2">
    <w:name w:val="Body Text Indent 2"/>
    <w:basedOn w:val="Normal"/>
    <w:link w:val="BodyTextIndent2Char"/>
    <w:uiPriority w:val="99"/>
    <w:semiHidden/>
    <w:rsid w:val="00401FE9"/>
    <w:pPr>
      <w:spacing w:after="120" w:line="480" w:lineRule="auto"/>
      <w:ind w:left="283"/>
    </w:pPr>
  </w:style>
  <w:style w:type="character" w:customStyle="1" w:styleId="BodyTextIndent2Char">
    <w:name w:val="Body Text Indent 2 Char"/>
    <w:basedOn w:val="DefaultParagraphFont"/>
    <w:link w:val="BodyTextIndent2"/>
    <w:uiPriority w:val="99"/>
    <w:semiHidden/>
    <w:rsid w:val="00401FE9"/>
    <w:rPr>
      <w:rFonts w:eastAsiaTheme="minorEastAsia"/>
      <w:sz w:val="24"/>
      <w:lang w:val="en-GB"/>
    </w:rPr>
  </w:style>
  <w:style w:type="paragraph" w:styleId="BodyTextIndent3">
    <w:name w:val="Body Text Indent 3"/>
    <w:basedOn w:val="Normal"/>
    <w:link w:val="BodyTextIndent3Char"/>
    <w:uiPriority w:val="99"/>
    <w:semiHidden/>
    <w:rsid w:val="00401FE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01FE9"/>
    <w:rPr>
      <w:rFonts w:eastAsiaTheme="minorEastAsia"/>
      <w:sz w:val="16"/>
      <w:szCs w:val="16"/>
      <w:lang w:val="en-GB"/>
    </w:rPr>
  </w:style>
  <w:style w:type="paragraph" w:styleId="Caption">
    <w:name w:val="caption"/>
    <w:basedOn w:val="Normal"/>
    <w:next w:val="Normal"/>
    <w:uiPriority w:val="99"/>
    <w:semiHidden/>
    <w:qFormat/>
    <w:rsid w:val="00401FE9"/>
    <w:pPr>
      <w:spacing w:after="200"/>
    </w:pPr>
    <w:rPr>
      <w:b/>
      <w:bCs/>
      <w:color w:val="0072BC" w:themeColor="accent1"/>
      <w:sz w:val="18"/>
      <w:szCs w:val="18"/>
    </w:rPr>
  </w:style>
  <w:style w:type="paragraph" w:styleId="Closing">
    <w:name w:val="Closing"/>
    <w:basedOn w:val="Normal"/>
    <w:link w:val="ClosingChar"/>
    <w:uiPriority w:val="99"/>
    <w:semiHidden/>
    <w:rsid w:val="00401FE9"/>
    <w:pPr>
      <w:ind w:left="4252"/>
    </w:pPr>
  </w:style>
  <w:style w:type="character" w:customStyle="1" w:styleId="ClosingChar">
    <w:name w:val="Closing Char"/>
    <w:basedOn w:val="DefaultParagraphFont"/>
    <w:link w:val="Closing"/>
    <w:uiPriority w:val="99"/>
    <w:semiHidden/>
    <w:rsid w:val="00401FE9"/>
    <w:rPr>
      <w:rFonts w:eastAsiaTheme="minorEastAsia"/>
      <w:sz w:val="24"/>
      <w:lang w:val="en-GB"/>
    </w:rPr>
  </w:style>
  <w:style w:type="table" w:styleId="ColorfulGrid">
    <w:name w:val="Colorful Grid"/>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01FE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01FE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01FE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01FE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01FE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01FE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01FE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01FE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01FE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01FE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01FE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01FE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01FE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01FE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01FE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401FE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01FE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01FE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01FE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01FE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01FE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01FE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01FE9"/>
  </w:style>
  <w:style w:type="character" w:customStyle="1" w:styleId="DateChar">
    <w:name w:val="Date Char"/>
    <w:basedOn w:val="DefaultParagraphFont"/>
    <w:link w:val="Date"/>
    <w:uiPriority w:val="99"/>
    <w:semiHidden/>
    <w:rsid w:val="00401FE9"/>
    <w:rPr>
      <w:rFonts w:eastAsiaTheme="minorEastAsia"/>
      <w:sz w:val="24"/>
      <w:lang w:val="en-GB"/>
    </w:rPr>
  </w:style>
  <w:style w:type="paragraph" w:styleId="E-mailSignature">
    <w:name w:val="E-mail Signature"/>
    <w:basedOn w:val="Normal"/>
    <w:link w:val="E-mailSignatureChar"/>
    <w:uiPriority w:val="99"/>
    <w:semiHidden/>
    <w:rsid w:val="00401FE9"/>
  </w:style>
  <w:style w:type="character" w:customStyle="1" w:styleId="E-mailSignatureChar">
    <w:name w:val="E-mail Signature Char"/>
    <w:basedOn w:val="DefaultParagraphFont"/>
    <w:link w:val="E-mailSignature"/>
    <w:uiPriority w:val="99"/>
    <w:semiHidden/>
    <w:rsid w:val="00401FE9"/>
    <w:rPr>
      <w:rFonts w:eastAsiaTheme="minorEastAsia"/>
      <w:sz w:val="24"/>
      <w:lang w:val="en-GB"/>
    </w:rPr>
  </w:style>
  <w:style w:type="paragraph" w:styleId="EnvelopeAddress">
    <w:name w:val="envelope address"/>
    <w:basedOn w:val="Normal"/>
    <w:uiPriority w:val="99"/>
    <w:semiHidden/>
    <w:rsid w:val="00401FE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01FE9"/>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01FE9"/>
  </w:style>
  <w:style w:type="paragraph" w:styleId="HTMLAddress">
    <w:name w:val="HTML Address"/>
    <w:basedOn w:val="Normal"/>
    <w:link w:val="HTMLAddressChar"/>
    <w:uiPriority w:val="99"/>
    <w:semiHidden/>
    <w:rsid w:val="00401FE9"/>
    <w:rPr>
      <w:i/>
      <w:iCs/>
    </w:rPr>
  </w:style>
  <w:style w:type="character" w:customStyle="1" w:styleId="HTMLAddressChar">
    <w:name w:val="HTML Address Char"/>
    <w:basedOn w:val="DefaultParagraphFont"/>
    <w:link w:val="HTMLAddress"/>
    <w:uiPriority w:val="99"/>
    <w:semiHidden/>
    <w:rsid w:val="00401FE9"/>
    <w:rPr>
      <w:rFonts w:eastAsiaTheme="minorEastAsia"/>
      <w:i/>
      <w:iCs/>
      <w:sz w:val="24"/>
      <w:lang w:val="en-GB"/>
    </w:rPr>
  </w:style>
  <w:style w:type="character" w:styleId="HTMLCite">
    <w:name w:val="HTML Cite"/>
    <w:basedOn w:val="DefaultParagraphFont"/>
    <w:uiPriority w:val="99"/>
    <w:semiHidden/>
    <w:rsid w:val="00401FE9"/>
    <w:rPr>
      <w:i/>
      <w:iCs/>
    </w:rPr>
  </w:style>
  <w:style w:type="character" w:styleId="HTMLCode">
    <w:name w:val="HTML Code"/>
    <w:basedOn w:val="DefaultParagraphFont"/>
    <w:uiPriority w:val="99"/>
    <w:semiHidden/>
    <w:rsid w:val="00401FE9"/>
    <w:rPr>
      <w:rFonts w:ascii="Consolas" w:hAnsi="Consolas" w:cs="Consolas"/>
      <w:sz w:val="20"/>
      <w:szCs w:val="20"/>
    </w:rPr>
  </w:style>
  <w:style w:type="character" w:styleId="HTMLDefinition">
    <w:name w:val="HTML Definition"/>
    <w:basedOn w:val="DefaultParagraphFont"/>
    <w:uiPriority w:val="99"/>
    <w:semiHidden/>
    <w:rsid w:val="00401FE9"/>
    <w:rPr>
      <w:i/>
      <w:iCs/>
    </w:rPr>
  </w:style>
  <w:style w:type="character" w:styleId="HTMLKeyboard">
    <w:name w:val="HTML Keyboard"/>
    <w:basedOn w:val="DefaultParagraphFont"/>
    <w:uiPriority w:val="99"/>
    <w:semiHidden/>
    <w:rsid w:val="00401FE9"/>
    <w:rPr>
      <w:rFonts w:ascii="Consolas" w:hAnsi="Consolas" w:cs="Consolas"/>
      <w:sz w:val="20"/>
      <w:szCs w:val="20"/>
    </w:rPr>
  </w:style>
  <w:style w:type="paragraph" w:styleId="HTMLPreformatted">
    <w:name w:val="HTML Preformatted"/>
    <w:basedOn w:val="Normal"/>
    <w:link w:val="HTMLPreformattedChar"/>
    <w:uiPriority w:val="99"/>
    <w:semiHidden/>
    <w:rsid w:val="00401FE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01FE9"/>
    <w:rPr>
      <w:rFonts w:ascii="Consolas" w:eastAsiaTheme="minorEastAsia" w:hAnsi="Consolas" w:cs="Consolas"/>
      <w:sz w:val="20"/>
      <w:szCs w:val="20"/>
      <w:lang w:val="en-GB"/>
    </w:rPr>
  </w:style>
  <w:style w:type="character" w:styleId="HTMLSample">
    <w:name w:val="HTML Sample"/>
    <w:basedOn w:val="DefaultParagraphFont"/>
    <w:uiPriority w:val="99"/>
    <w:semiHidden/>
    <w:rsid w:val="00401FE9"/>
    <w:rPr>
      <w:rFonts w:ascii="Consolas" w:hAnsi="Consolas" w:cs="Consolas"/>
      <w:sz w:val="24"/>
      <w:szCs w:val="24"/>
    </w:rPr>
  </w:style>
  <w:style w:type="character" w:styleId="HTMLTypewriter">
    <w:name w:val="HTML Typewriter"/>
    <w:basedOn w:val="DefaultParagraphFont"/>
    <w:uiPriority w:val="99"/>
    <w:semiHidden/>
    <w:rsid w:val="00401FE9"/>
    <w:rPr>
      <w:rFonts w:ascii="Consolas" w:hAnsi="Consolas" w:cs="Consolas"/>
      <w:sz w:val="20"/>
      <w:szCs w:val="20"/>
    </w:rPr>
  </w:style>
  <w:style w:type="character" w:styleId="HTMLVariable">
    <w:name w:val="HTML Variable"/>
    <w:basedOn w:val="DefaultParagraphFont"/>
    <w:uiPriority w:val="99"/>
    <w:semiHidden/>
    <w:rsid w:val="00401FE9"/>
    <w:rPr>
      <w:i/>
      <w:iCs/>
    </w:rPr>
  </w:style>
  <w:style w:type="paragraph" w:styleId="Index1">
    <w:name w:val="index 1"/>
    <w:basedOn w:val="Normal"/>
    <w:next w:val="Normal"/>
    <w:autoRedefine/>
    <w:uiPriority w:val="99"/>
    <w:semiHidden/>
    <w:rsid w:val="00401FE9"/>
    <w:pPr>
      <w:ind w:left="240" w:hanging="240"/>
    </w:pPr>
  </w:style>
  <w:style w:type="paragraph" w:styleId="Index2">
    <w:name w:val="index 2"/>
    <w:basedOn w:val="Normal"/>
    <w:next w:val="Normal"/>
    <w:autoRedefine/>
    <w:uiPriority w:val="99"/>
    <w:semiHidden/>
    <w:rsid w:val="00401FE9"/>
    <w:pPr>
      <w:ind w:left="480" w:hanging="240"/>
    </w:pPr>
  </w:style>
  <w:style w:type="paragraph" w:styleId="Index3">
    <w:name w:val="index 3"/>
    <w:basedOn w:val="Normal"/>
    <w:next w:val="Normal"/>
    <w:autoRedefine/>
    <w:uiPriority w:val="99"/>
    <w:semiHidden/>
    <w:rsid w:val="00401FE9"/>
    <w:pPr>
      <w:ind w:left="720" w:hanging="240"/>
    </w:pPr>
  </w:style>
  <w:style w:type="paragraph" w:styleId="Index4">
    <w:name w:val="index 4"/>
    <w:basedOn w:val="Normal"/>
    <w:next w:val="Normal"/>
    <w:autoRedefine/>
    <w:uiPriority w:val="99"/>
    <w:semiHidden/>
    <w:rsid w:val="00401FE9"/>
    <w:pPr>
      <w:ind w:left="960" w:hanging="240"/>
    </w:pPr>
  </w:style>
  <w:style w:type="paragraph" w:styleId="Index5">
    <w:name w:val="index 5"/>
    <w:basedOn w:val="Normal"/>
    <w:next w:val="Normal"/>
    <w:autoRedefine/>
    <w:uiPriority w:val="99"/>
    <w:semiHidden/>
    <w:rsid w:val="00401FE9"/>
    <w:pPr>
      <w:ind w:left="1200" w:hanging="240"/>
    </w:pPr>
  </w:style>
  <w:style w:type="paragraph" w:styleId="Index6">
    <w:name w:val="index 6"/>
    <w:basedOn w:val="Normal"/>
    <w:next w:val="Normal"/>
    <w:autoRedefine/>
    <w:uiPriority w:val="99"/>
    <w:semiHidden/>
    <w:rsid w:val="00401FE9"/>
    <w:pPr>
      <w:ind w:left="1440" w:hanging="240"/>
    </w:pPr>
  </w:style>
  <w:style w:type="paragraph" w:styleId="Index7">
    <w:name w:val="index 7"/>
    <w:basedOn w:val="Normal"/>
    <w:next w:val="Normal"/>
    <w:autoRedefine/>
    <w:uiPriority w:val="99"/>
    <w:semiHidden/>
    <w:rsid w:val="00401FE9"/>
    <w:pPr>
      <w:ind w:left="1680" w:hanging="240"/>
    </w:pPr>
  </w:style>
  <w:style w:type="paragraph" w:styleId="Index8">
    <w:name w:val="index 8"/>
    <w:basedOn w:val="Normal"/>
    <w:next w:val="Normal"/>
    <w:autoRedefine/>
    <w:uiPriority w:val="99"/>
    <w:semiHidden/>
    <w:rsid w:val="00401FE9"/>
    <w:pPr>
      <w:ind w:left="1920" w:hanging="240"/>
    </w:pPr>
  </w:style>
  <w:style w:type="paragraph" w:styleId="Index9">
    <w:name w:val="index 9"/>
    <w:basedOn w:val="Normal"/>
    <w:next w:val="Normal"/>
    <w:autoRedefine/>
    <w:uiPriority w:val="99"/>
    <w:semiHidden/>
    <w:rsid w:val="00401FE9"/>
    <w:pPr>
      <w:ind w:left="2160" w:hanging="240"/>
    </w:pPr>
  </w:style>
  <w:style w:type="paragraph" w:styleId="IndexHeading">
    <w:name w:val="index heading"/>
    <w:basedOn w:val="Normal"/>
    <w:next w:val="Index1"/>
    <w:uiPriority w:val="99"/>
    <w:semiHidden/>
    <w:rsid w:val="00401FE9"/>
    <w:rPr>
      <w:rFonts w:asciiTheme="majorHAnsi" w:eastAsiaTheme="majorEastAsia" w:hAnsiTheme="majorHAnsi" w:cstheme="majorBidi"/>
      <w:b/>
      <w:bCs/>
    </w:rPr>
  </w:style>
  <w:style w:type="table" w:styleId="LightGrid">
    <w:name w:val="Light Grid"/>
    <w:basedOn w:val="TableNormal"/>
    <w:uiPriority w:val="62"/>
    <w:semiHidden/>
    <w:rsid w:val="00401F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01FE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01FE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01FE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01FE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01FE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01FE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01F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01FE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01FE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01FE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01FE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01FE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01FE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01F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01FE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01FE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01FE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01FE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01FE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01FE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01FE9"/>
  </w:style>
  <w:style w:type="paragraph" w:styleId="List">
    <w:name w:val="List"/>
    <w:basedOn w:val="Normal"/>
    <w:uiPriority w:val="99"/>
    <w:semiHidden/>
    <w:rsid w:val="00401FE9"/>
    <w:pPr>
      <w:ind w:left="283" w:hanging="283"/>
      <w:contextualSpacing/>
    </w:pPr>
  </w:style>
  <w:style w:type="paragraph" w:styleId="List2">
    <w:name w:val="List 2"/>
    <w:basedOn w:val="Normal"/>
    <w:uiPriority w:val="99"/>
    <w:semiHidden/>
    <w:rsid w:val="00401FE9"/>
    <w:pPr>
      <w:ind w:left="566" w:hanging="283"/>
      <w:contextualSpacing/>
    </w:pPr>
  </w:style>
  <w:style w:type="paragraph" w:styleId="List3">
    <w:name w:val="List 3"/>
    <w:basedOn w:val="Normal"/>
    <w:uiPriority w:val="99"/>
    <w:semiHidden/>
    <w:rsid w:val="00401FE9"/>
    <w:pPr>
      <w:ind w:left="849" w:hanging="283"/>
      <w:contextualSpacing/>
    </w:pPr>
  </w:style>
  <w:style w:type="paragraph" w:styleId="List4">
    <w:name w:val="List 4"/>
    <w:basedOn w:val="Normal"/>
    <w:uiPriority w:val="99"/>
    <w:semiHidden/>
    <w:rsid w:val="00401FE9"/>
    <w:pPr>
      <w:ind w:left="1132" w:hanging="283"/>
      <w:contextualSpacing/>
    </w:pPr>
  </w:style>
  <w:style w:type="paragraph" w:styleId="List5">
    <w:name w:val="List 5"/>
    <w:basedOn w:val="Normal"/>
    <w:uiPriority w:val="99"/>
    <w:semiHidden/>
    <w:rsid w:val="00401FE9"/>
    <w:pPr>
      <w:ind w:left="1415" w:hanging="283"/>
      <w:contextualSpacing/>
    </w:pPr>
  </w:style>
  <w:style w:type="paragraph" w:styleId="ListBullet2">
    <w:name w:val="List Bullet 2"/>
    <w:basedOn w:val="Normal"/>
    <w:uiPriority w:val="99"/>
    <w:semiHidden/>
    <w:rsid w:val="00401FE9"/>
    <w:pPr>
      <w:numPr>
        <w:numId w:val="40"/>
      </w:numPr>
      <w:contextualSpacing/>
    </w:pPr>
  </w:style>
  <w:style w:type="paragraph" w:styleId="ListBullet3">
    <w:name w:val="List Bullet 3"/>
    <w:basedOn w:val="Normal"/>
    <w:uiPriority w:val="99"/>
    <w:semiHidden/>
    <w:rsid w:val="00401FE9"/>
    <w:pPr>
      <w:numPr>
        <w:numId w:val="41"/>
      </w:numPr>
      <w:contextualSpacing/>
    </w:pPr>
  </w:style>
  <w:style w:type="paragraph" w:styleId="ListBullet4">
    <w:name w:val="List Bullet 4"/>
    <w:basedOn w:val="Normal"/>
    <w:uiPriority w:val="99"/>
    <w:semiHidden/>
    <w:rsid w:val="00401FE9"/>
    <w:pPr>
      <w:numPr>
        <w:numId w:val="42"/>
      </w:numPr>
      <w:contextualSpacing/>
    </w:pPr>
  </w:style>
  <w:style w:type="paragraph" w:styleId="ListBullet5">
    <w:name w:val="List Bullet 5"/>
    <w:basedOn w:val="Normal"/>
    <w:uiPriority w:val="99"/>
    <w:semiHidden/>
    <w:rsid w:val="00401FE9"/>
    <w:pPr>
      <w:numPr>
        <w:numId w:val="43"/>
      </w:numPr>
      <w:contextualSpacing/>
    </w:pPr>
  </w:style>
  <w:style w:type="paragraph" w:styleId="ListContinue">
    <w:name w:val="List Continue"/>
    <w:basedOn w:val="Normal"/>
    <w:uiPriority w:val="99"/>
    <w:semiHidden/>
    <w:rsid w:val="00401FE9"/>
    <w:pPr>
      <w:spacing w:after="120"/>
      <w:ind w:left="283"/>
      <w:contextualSpacing/>
    </w:pPr>
  </w:style>
  <w:style w:type="paragraph" w:styleId="ListContinue2">
    <w:name w:val="List Continue 2"/>
    <w:basedOn w:val="Normal"/>
    <w:uiPriority w:val="99"/>
    <w:semiHidden/>
    <w:rsid w:val="00401FE9"/>
    <w:pPr>
      <w:spacing w:after="120"/>
      <w:ind w:left="566"/>
      <w:contextualSpacing/>
    </w:pPr>
  </w:style>
  <w:style w:type="paragraph" w:styleId="ListContinue3">
    <w:name w:val="List Continue 3"/>
    <w:basedOn w:val="Normal"/>
    <w:uiPriority w:val="99"/>
    <w:semiHidden/>
    <w:rsid w:val="00401FE9"/>
    <w:pPr>
      <w:spacing w:after="120"/>
      <w:ind w:left="849"/>
      <w:contextualSpacing/>
    </w:pPr>
  </w:style>
  <w:style w:type="paragraph" w:styleId="ListContinue4">
    <w:name w:val="List Continue 4"/>
    <w:basedOn w:val="Normal"/>
    <w:uiPriority w:val="99"/>
    <w:semiHidden/>
    <w:rsid w:val="00401FE9"/>
    <w:pPr>
      <w:spacing w:after="120"/>
      <w:ind w:left="1132"/>
      <w:contextualSpacing/>
    </w:pPr>
  </w:style>
  <w:style w:type="paragraph" w:styleId="ListContinue5">
    <w:name w:val="List Continue 5"/>
    <w:basedOn w:val="Normal"/>
    <w:uiPriority w:val="99"/>
    <w:semiHidden/>
    <w:rsid w:val="00401FE9"/>
    <w:pPr>
      <w:spacing w:after="120"/>
      <w:ind w:left="1415"/>
      <w:contextualSpacing/>
    </w:pPr>
  </w:style>
  <w:style w:type="paragraph" w:styleId="ListNumber">
    <w:name w:val="List Number"/>
    <w:basedOn w:val="Normal"/>
    <w:uiPriority w:val="99"/>
    <w:semiHidden/>
    <w:rsid w:val="00401FE9"/>
    <w:pPr>
      <w:numPr>
        <w:numId w:val="44"/>
      </w:numPr>
      <w:contextualSpacing/>
    </w:pPr>
  </w:style>
  <w:style w:type="paragraph" w:styleId="ListNumber2">
    <w:name w:val="List Number 2"/>
    <w:basedOn w:val="Normal"/>
    <w:uiPriority w:val="99"/>
    <w:semiHidden/>
    <w:rsid w:val="00401FE9"/>
    <w:pPr>
      <w:numPr>
        <w:numId w:val="45"/>
      </w:numPr>
      <w:contextualSpacing/>
    </w:pPr>
  </w:style>
  <w:style w:type="paragraph" w:styleId="ListNumber3">
    <w:name w:val="List Number 3"/>
    <w:basedOn w:val="Normal"/>
    <w:uiPriority w:val="99"/>
    <w:semiHidden/>
    <w:rsid w:val="00401FE9"/>
    <w:pPr>
      <w:numPr>
        <w:numId w:val="46"/>
      </w:numPr>
      <w:contextualSpacing/>
    </w:pPr>
  </w:style>
  <w:style w:type="paragraph" w:styleId="ListNumber4">
    <w:name w:val="List Number 4"/>
    <w:basedOn w:val="Normal"/>
    <w:uiPriority w:val="99"/>
    <w:semiHidden/>
    <w:rsid w:val="00401FE9"/>
    <w:pPr>
      <w:numPr>
        <w:numId w:val="47"/>
      </w:numPr>
      <w:contextualSpacing/>
    </w:pPr>
  </w:style>
  <w:style w:type="paragraph" w:styleId="ListNumber5">
    <w:name w:val="List Number 5"/>
    <w:basedOn w:val="Normal"/>
    <w:uiPriority w:val="99"/>
    <w:semiHidden/>
    <w:rsid w:val="00401FE9"/>
    <w:pPr>
      <w:numPr>
        <w:numId w:val="48"/>
      </w:numPr>
      <w:contextualSpacing/>
    </w:pPr>
  </w:style>
  <w:style w:type="paragraph" w:styleId="MacroText">
    <w:name w:val="macro"/>
    <w:link w:val="MacroTextChar"/>
    <w:uiPriority w:val="99"/>
    <w:semiHidden/>
    <w:rsid w:val="00401FE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401FE9"/>
    <w:rPr>
      <w:rFonts w:ascii="Consolas" w:eastAsiaTheme="minorEastAsia" w:hAnsi="Consolas" w:cs="Consolas"/>
      <w:sz w:val="20"/>
      <w:szCs w:val="20"/>
    </w:rPr>
  </w:style>
  <w:style w:type="table" w:styleId="MediumGrid1">
    <w:name w:val="Medium Grid 1"/>
    <w:basedOn w:val="TableNormal"/>
    <w:uiPriority w:val="67"/>
    <w:semiHidden/>
    <w:rsid w:val="00401F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01FE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01FE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01FE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01FE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01FE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01FE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01FE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01F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01FE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01FE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01FE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01FE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01FE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01FE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01FE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01F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01FE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01FE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01FE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01FE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01FE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01FE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01F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01F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01FE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401FE9"/>
    <w:rPr>
      <w:rFonts w:ascii="Times New Roman" w:hAnsi="Times New Roman" w:cs="Times New Roman"/>
      <w:szCs w:val="24"/>
    </w:rPr>
  </w:style>
  <w:style w:type="paragraph" w:styleId="NormalIndent">
    <w:name w:val="Normal Indent"/>
    <w:basedOn w:val="Normal"/>
    <w:uiPriority w:val="99"/>
    <w:semiHidden/>
    <w:rsid w:val="00401FE9"/>
    <w:pPr>
      <w:ind w:left="720"/>
    </w:pPr>
  </w:style>
  <w:style w:type="paragraph" w:styleId="NoteHeading">
    <w:name w:val="Note Heading"/>
    <w:basedOn w:val="Normal"/>
    <w:next w:val="Normal"/>
    <w:link w:val="NoteHeadingChar"/>
    <w:uiPriority w:val="99"/>
    <w:semiHidden/>
    <w:rsid w:val="00401FE9"/>
  </w:style>
  <w:style w:type="character" w:customStyle="1" w:styleId="NoteHeadingChar">
    <w:name w:val="Note Heading Char"/>
    <w:basedOn w:val="DefaultParagraphFont"/>
    <w:link w:val="NoteHeading"/>
    <w:uiPriority w:val="99"/>
    <w:semiHidden/>
    <w:rsid w:val="00401FE9"/>
    <w:rPr>
      <w:rFonts w:eastAsiaTheme="minorEastAsia"/>
      <w:sz w:val="24"/>
      <w:lang w:val="en-GB"/>
    </w:rPr>
  </w:style>
  <w:style w:type="character" w:styleId="PlaceholderText">
    <w:name w:val="Placeholder Text"/>
    <w:basedOn w:val="DefaultParagraphFont"/>
    <w:uiPriority w:val="99"/>
    <w:semiHidden/>
    <w:rsid w:val="00401FE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01FE9"/>
    <w:rPr>
      <w:rFonts w:ascii="Consolas" w:hAnsi="Consolas" w:cs="Consolas"/>
      <w:sz w:val="21"/>
      <w:szCs w:val="21"/>
    </w:rPr>
  </w:style>
  <w:style w:type="character" w:customStyle="1" w:styleId="PlainTextChar">
    <w:name w:val="Plain Text Char"/>
    <w:basedOn w:val="DefaultParagraphFont"/>
    <w:link w:val="PlainText"/>
    <w:uiPriority w:val="99"/>
    <w:semiHidden/>
    <w:rsid w:val="00401FE9"/>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401FE9"/>
  </w:style>
  <w:style w:type="character" w:customStyle="1" w:styleId="SalutationChar">
    <w:name w:val="Salutation Char"/>
    <w:basedOn w:val="DefaultParagraphFont"/>
    <w:link w:val="Salutation"/>
    <w:uiPriority w:val="99"/>
    <w:semiHidden/>
    <w:rsid w:val="00401FE9"/>
    <w:rPr>
      <w:rFonts w:eastAsiaTheme="minorEastAsia"/>
      <w:sz w:val="24"/>
      <w:lang w:val="en-GB"/>
    </w:rPr>
  </w:style>
  <w:style w:type="paragraph" w:styleId="Signature">
    <w:name w:val="Signature"/>
    <w:basedOn w:val="Normal"/>
    <w:link w:val="SignatureChar"/>
    <w:uiPriority w:val="99"/>
    <w:semiHidden/>
    <w:rsid w:val="00401FE9"/>
    <w:pPr>
      <w:ind w:left="4252"/>
    </w:pPr>
  </w:style>
  <w:style w:type="character" w:customStyle="1" w:styleId="SignatureChar">
    <w:name w:val="Signature Char"/>
    <w:basedOn w:val="DefaultParagraphFont"/>
    <w:link w:val="Signature"/>
    <w:uiPriority w:val="99"/>
    <w:semiHidden/>
    <w:rsid w:val="00401FE9"/>
    <w:rPr>
      <w:rFonts w:eastAsiaTheme="minorEastAsia"/>
      <w:sz w:val="24"/>
      <w:lang w:val="en-GB"/>
    </w:rPr>
  </w:style>
  <w:style w:type="table" w:styleId="Table3Deffects1">
    <w:name w:val="Table 3D effects 1"/>
    <w:basedOn w:val="TableNormal"/>
    <w:uiPriority w:val="99"/>
    <w:semiHidden/>
    <w:unhideWhenUsed/>
    <w:rsid w:val="00401FE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01FE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01FE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01FE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01FE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01FE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01FE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01FE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01FE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01FE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01FE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01FE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01FE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01FE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01FE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01FE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01FE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01F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01FE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01FE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01FE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01FE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01FE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01FE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01FE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01FE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01FE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01FE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01FE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01FE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01FE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01FE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01FE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01FE9"/>
    <w:pPr>
      <w:ind w:left="240" w:hanging="240"/>
    </w:pPr>
  </w:style>
  <w:style w:type="paragraph" w:styleId="TableofFigures">
    <w:name w:val="table of figures"/>
    <w:basedOn w:val="Normal"/>
    <w:next w:val="Normal"/>
    <w:uiPriority w:val="99"/>
    <w:semiHidden/>
    <w:rsid w:val="00401FE9"/>
  </w:style>
  <w:style w:type="table" w:styleId="TableProfessional">
    <w:name w:val="Table Professional"/>
    <w:basedOn w:val="TableNormal"/>
    <w:uiPriority w:val="99"/>
    <w:semiHidden/>
    <w:unhideWhenUsed/>
    <w:rsid w:val="00401F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01FE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01FE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01FE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01FE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01FE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01F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01FE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01FE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01FE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01F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01F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01FE9"/>
    <w:pPr>
      <w:spacing w:after="100"/>
      <w:ind w:left="1680"/>
    </w:pPr>
  </w:style>
  <w:style w:type="paragraph" w:styleId="TOC9">
    <w:name w:val="toc 9"/>
    <w:basedOn w:val="Normal"/>
    <w:next w:val="Normal"/>
    <w:autoRedefine/>
    <w:uiPriority w:val="99"/>
    <w:semiHidden/>
    <w:rsid w:val="00401FE9"/>
    <w:pPr>
      <w:spacing w:after="100"/>
      <w:ind w:left="1920"/>
    </w:pPr>
  </w:style>
  <w:style w:type="character" w:customStyle="1" w:styleId="JuParaChar">
    <w:name w:val="Ju_Para Char"/>
    <w:aliases w:val="_Para Char"/>
    <w:basedOn w:val="DefaultParagraphFont"/>
    <w:link w:val="JuPara"/>
    <w:uiPriority w:val="8"/>
    <w:rsid w:val="001A7F8F"/>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ED6C54-58E2-46ED-BBE6-F5933BBC50F7}"/>
</file>

<file path=customXml/itemProps2.xml><?xml version="1.0" encoding="utf-8"?>
<ds:datastoreItem xmlns:ds="http://schemas.openxmlformats.org/officeDocument/2006/customXml" ds:itemID="{F32E5B8D-32F0-42E4-8D4C-D08AA27A6998}"/>
</file>

<file path=customXml/itemProps3.xml><?xml version="1.0" encoding="utf-8"?>
<ds:datastoreItem xmlns:ds="http://schemas.openxmlformats.org/officeDocument/2006/customXml" ds:itemID="{BA379D1C-8E90-4D66-BFFD-55B4729A7972}"/>
</file>

<file path=customXml/itemProps4.xml><?xml version="1.0" encoding="utf-8"?>
<ds:datastoreItem xmlns:ds="http://schemas.openxmlformats.org/officeDocument/2006/customXml" ds:itemID="{CCDCE43E-DAF4-4006-BB16-DBE81CA04DF2}"/>
</file>

<file path=docProps/app.xml><?xml version="1.0" encoding="utf-8"?>
<Properties xmlns="http://schemas.openxmlformats.org/officeDocument/2006/extended-properties" xmlns:vt="http://schemas.openxmlformats.org/officeDocument/2006/docPropsVTypes">
  <Template>Normal.dotm</Template>
  <TotalTime>0</TotalTime>
  <Pages>1</Pages>
  <Words>3127</Words>
  <Characters>17824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2019-09-03T12:43:00Z</dcterms:created>
  <dcterms:modified xsi:type="dcterms:W3CDTF">2019-09-03T12:43:00Z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342/09</vt:lpwstr>
  </property>
  <property fmtid="{D5CDD505-2E9C-101B-9397-08002B2CF9AE}" pid="4" name="CASEID">
    <vt:lpwstr>546579</vt:lpwstr>
  </property>
  <property fmtid="{D5CDD505-2E9C-101B-9397-08002B2CF9AE}" pid="5" name="ContentTypeId">
    <vt:lpwstr>0x010100558EB02BDB9E204AB350EDD385B68E10</vt:lpwstr>
  </property>
</Properties>
</file>