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5.2.0 -->
  <w:body>
    <w:p w:rsidRPr="00D16BDF" w:rsidR="00470981" w:rsidP="00D16BDF">
      <w:pPr>
        <w:jc w:val="center"/>
      </w:pPr>
    </w:p>
    <w:p w:rsidRPr="00D16BDF" w:rsidR="00890B6E" w:rsidP="00D16BDF">
      <w:pPr>
        <w:jc w:val="center"/>
      </w:pPr>
    </w:p>
    <w:p w:rsidRPr="00D16BDF" w:rsidR="00890B6E" w:rsidP="00D16BDF">
      <w:pPr>
        <w:jc w:val="center"/>
      </w:pPr>
    </w:p>
    <w:p w:rsidRPr="00D16BDF" w:rsidR="00470981" w:rsidP="00D16BDF">
      <w:pPr>
        <w:jc w:val="center"/>
      </w:pPr>
      <w:r w:rsidRPr="00D16BDF">
        <w:t>FOURTH SECTION</w:t>
      </w:r>
    </w:p>
    <w:p w:rsidRPr="00D16BDF" w:rsidR="00470981" w:rsidP="00D16BDF">
      <w:pPr>
        <w:jc w:val="center"/>
      </w:pPr>
    </w:p>
    <w:p w:rsidRPr="00D16BDF" w:rsidR="00890B6E" w:rsidP="00D16BDF">
      <w:pPr>
        <w:jc w:val="center"/>
      </w:pPr>
    </w:p>
    <w:p w:rsidRPr="00D16BDF" w:rsidR="00D16BDF" w:rsidP="00D16BDF">
      <w:pPr>
        <w:jc w:val="center"/>
      </w:pPr>
    </w:p>
    <w:p w:rsidRPr="00D16BDF" w:rsidR="00890B6E" w:rsidP="00D16BDF">
      <w:pPr>
        <w:jc w:val="center"/>
      </w:pPr>
    </w:p>
    <w:p w:rsidRPr="00D16BDF" w:rsidR="00890B6E" w:rsidP="00D16BDF">
      <w:pPr>
        <w:jc w:val="center"/>
      </w:pPr>
    </w:p>
    <w:p w:rsidRPr="00D16BDF" w:rsidR="00470981" w:rsidP="00D16BDF">
      <w:pPr>
        <w:jc w:val="center"/>
        <w:rPr>
          <w:b/>
        </w:rPr>
      </w:pPr>
      <w:bookmarkStart w:name="To" w:id="0"/>
      <w:r w:rsidRPr="00D16BDF">
        <w:rPr>
          <w:b/>
        </w:rPr>
        <w:t xml:space="preserve">CASE OF </w:t>
      </w:r>
      <w:bookmarkEnd w:id="0"/>
      <w:r w:rsidRPr="00D16BDF" w:rsidR="00690611">
        <w:rPr>
          <w:b/>
        </w:rPr>
        <w:t>BEINAROVIČ AND OTHERS v. LITHUANIA</w:t>
      </w:r>
    </w:p>
    <w:p w:rsidRPr="00D16BDF" w:rsidR="00470981" w:rsidP="00D16BDF">
      <w:pPr>
        <w:jc w:val="center"/>
      </w:pPr>
    </w:p>
    <w:p w:rsidRPr="00D16BDF" w:rsidR="00470981" w:rsidP="00D16BDF">
      <w:pPr>
        <w:jc w:val="center"/>
        <w:rPr>
          <w:i/>
        </w:rPr>
      </w:pPr>
      <w:r w:rsidRPr="00D16BDF">
        <w:rPr>
          <w:i/>
        </w:rPr>
        <w:t>(</w:t>
      </w:r>
      <w:r w:rsidRPr="00D16BDF" w:rsidR="00690611">
        <w:rPr>
          <w:i/>
        </w:rPr>
        <w:t>Applications nos. 70520/10</w:t>
      </w:r>
      <w:r w:rsidRPr="00D16BDF" w:rsidR="006D13B0">
        <w:rPr>
          <w:i/>
        </w:rPr>
        <w:t xml:space="preserve"> and 2 others</w:t>
      </w:r>
      <w:r w:rsidRPr="00D16BDF">
        <w:rPr>
          <w:i/>
        </w:rPr>
        <w:t>)</w:t>
      </w:r>
    </w:p>
    <w:p w:rsidRPr="00D16BDF" w:rsidR="00470981" w:rsidP="00D16BDF">
      <w:pPr>
        <w:jc w:val="center"/>
      </w:pPr>
    </w:p>
    <w:p w:rsidRPr="00D16BDF" w:rsidR="00D16BDF" w:rsidP="00D16BDF">
      <w:pPr>
        <w:jc w:val="center"/>
      </w:pPr>
    </w:p>
    <w:p w:rsidRPr="00D16BDF" w:rsidR="00470981" w:rsidP="00D16BDF">
      <w:pPr>
        <w:jc w:val="center"/>
      </w:pPr>
    </w:p>
    <w:p w:rsidRPr="00D16BDF" w:rsidR="00470981" w:rsidP="00D16BDF">
      <w:pPr>
        <w:jc w:val="center"/>
      </w:pPr>
    </w:p>
    <w:p w:rsidRPr="00D16BDF" w:rsidR="00470981" w:rsidP="00D16BDF">
      <w:pPr>
        <w:jc w:val="center"/>
      </w:pPr>
    </w:p>
    <w:p w:rsidRPr="00D16BDF" w:rsidR="00470981" w:rsidP="00D16BDF">
      <w:pPr>
        <w:jc w:val="center"/>
        <w:rPr>
          <w:szCs w:val="24"/>
        </w:rPr>
      </w:pPr>
    </w:p>
    <w:p w:rsidRPr="00D16BDF" w:rsidR="00E770EA" w:rsidP="00D16BDF">
      <w:pPr>
        <w:ind w:firstLine="284"/>
        <w:jc w:val="center"/>
      </w:pPr>
      <w:r w:rsidRPr="00D16BDF">
        <w:t>JUDGMENT</w:t>
      </w:r>
    </w:p>
    <w:p w:rsidRPr="00D16BDF" w:rsidR="00D16BDF" w:rsidP="00D16BDF">
      <w:pPr>
        <w:ind w:firstLine="284"/>
        <w:jc w:val="center"/>
      </w:pPr>
    </w:p>
    <w:p w:rsidRPr="00D16BDF" w:rsidR="004A278B" w:rsidP="00D16BDF">
      <w:pPr>
        <w:ind w:firstLine="284"/>
        <w:jc w:val="center"/>
      </w:pPr>
      <w:r w:rsidRPr="00D16BDF">
        <w:t>(</w:t>
      </w:r>
      <w:r w:rsidRPr="00D16BDF">
        <w:rPr>
          <w:i/>
        </w:rPr>
        <w:t xml:space="preserve">Just </w:t>
      </w:r>
      <w:r w:rsidRPr="00D16BDF" w:rsidR="004E40B5">
        <w:rPr>
          <w:i/>
        </w:rPr>
        <w:t>s</w:t>
      </w:r>
      <w:r w:rsidRPr="00D16BDF">
        <w:rPr>
          <w:i/>
        </w:rPr>
        <w:t>atisfaction</w:t>
      </w:r>
      <w:r w:rsidRPr="00D16BDF">
        <w:t>)</w:t>
      </w:r>
    </w:p>
    <w:p w:rsidRPr="00D16BDF" w:rsidR="00F83DE4" w:rsidP="00D16BDF">
      <w:pPr>
        <w:jc w:val="center"/>
      </w:pPr>
    </w:p>
    <w:p w:rsidRPr="00D16BDF" w:rsidR="00D16BDF" w:rsidP="00D16BDF">
      <w:pPr>
        <w:jc w:val="center"/>
      </w:pPr>
    </w:p>
    <w:p w:rsidRPr="00D16BDF" w:rsidR="00D16BDF" w:rsidP="00D16BDF">
      <w:pPr>
        <w:jc w:val="center"/>
      </w:pPr>
    </w:p>
    <w:p w:rsidRPr="00D16BDF" w:rsidR="00D16BDF" w:rsidP="00D16BDF">
      <w:pPr>
        <w:jc w:val="center"/>
      </w:pPr>
    </w:p>
    <w:p w:rsidRPr="00D16BDF" w:rsidR="00890B6E" w:rsidP="00D16BDF">
      <w:pPr>
        <w:jc w:val="center"/>
        <w:rPr>
          <w:szCs w:val="24"/>
        </w:rPr>
      </w:pPr>
    </w:p>
    <w:p w:rsidRPr="00D16BDF" w:rsidR="00890B6E" w:rsidP="00D16BDF">
      <w:pPr>
        <w:jc w:val="center"/>
        <w:rPr>
          <w:szCs w:val="24"/>
        </w:rPr>
      </w:pPr>
    </w:p>
    <w:p w:rsidRPr="00D16BDF" w:rsidR="00890B6E" w:rsidP="00D16BDF">
      <w:pPr>
        <w:jc w:val="center"/>
        <w:rPr>
          <w:szCs w:val="24"/>
        </w:rPr>
      </w:pPr>
      <w:r w:rsidRPr="00D16BDF">
        <w:rPr>
          <w:szCs w:val="24"/>
        </w:rPr>
        <w:t>STRASBOURG</w:t>
      </w:r>
    </w:p>
    <w:p w:rsidRPr="00D16BDF" w:rsidR="00890B6E" w:rsidP="00D16BDF">
      <w:pPr>
        <w:jc w:val="center"/>
        <w:rPr>
          <w:szCs w:val="24"/>
        </w:rPr>
      </w:pPr>
    </w:p>
    <w:p w:rsidRPr="00D16BDF" w:rsidR="00890B6E" w:rsidP="00D16BDF">
      <w:pPr>
        <w:jc w:val="center"/>
        <w:rPr>
          <w:szCs w:val="24"/>
        </w:rPr>
      </w:pPr>
      <w:r w:rsidRPr="00D16BDF">
        <w:rPr>
          <w:szCs w:val="24"/>
        </w:rPr>
        <w:t>25 June 2019</w:t>
      </w:r>
    </w:p>
    <w:p w:rsidRPr="00D16BDF" w:rsidR="00890B6E" w:rsidP="00D16BDF">
      <w:pPr>
        <w:jc w:val="center"/>
        <w:rPr>
          <w:szCs w:val="24"/>
        </w:rPr>
      </w:pPr>
    </w:p>
    <w:p w:rsidRPr="00D16BDF" w:rsidR="00890B6E" w:rsidP="00D16BDF">
      <w:pPr>
        <w:jc w:val="center"/>
        <w:rPr>
          <w:szCs w:val="24"/>
        </w:rPr>
      </w:pPr>
    </w:p>
    <w:p w:rsidR="000426B4" w:rsidP="000426B4">
      <w:pPr>
        <w:pStyle w:val="jucase0"/>
        <w:ind w:firstLine="0"/>
        <w:jc w:val="center"/>
        <w:rPr>
          <w:color w:val="FF0000"/>
          <w:sz w:val="28"/>
          <w:szCs w:val="28"/>
          <w:u w:val="single"/>
        </w:rPr>
      </w:pPr>
      <w:r>
        <w:rPr>
          <w:color w:val="FF0000"/>
          <w:sz w:val="28"/>
          <w:szCs w:val="28"/>
          <w:u w:val="single"/>
        </w:rPr>
        <w:t>FINAL</w:t>
      </w:r>
    </w:p>
    <w:p w:rsidR="000426B4" w:rsidP="000426B4">
      <w:pPr>
        <w:pStyle w:val="jucase0"/>
        <w:ind w:firstLine="0"/>
        <w:jc w:val="center"/>
        <w:rPr>
          <w:color w:val="FF0000"/>
          <w:sz w:val="28"/>
          <w:szCs w:val="28"/>
          <w:u w:val="single"/>
        </w:rPr>
      </w:pPr>
    </w:p>
    <w:p w:rsidR="000426B4" w:rsidP="000426B4">
      <w:pPr>
        <w:pStyle w:val="jupara0"/>
        <w:ind w:firstLine="0"/>
        <w:jc w:val="center"/>
        <w:rPr>
          <w:color w:val="FF0000"/>
          <w:sz w:val="28"/>
          <w:szCs w:val="28"/>
        </w:rPr>
      </w:pPr>
      <w:r>
        <w:rPr>
          <w:color w:val="FF0000"/>
          <w:sz w:val="28"/>
          <w:szCs w:val="28"/>
        </w:rPr>
        <w:t>25/09/2019</w:t>
      </w:r>
    </w:p>
    <w:p w:rsidR="000426B4" w:rsidP="000426B4">
      <w:pPr>
        <w:pStyle w:val="jupara0"/>
        <w:ind w:firstLine="0"/>
        <w:jc w:val="center"/>
      </w:pPr>
    </w:p>
    <w:p w:rsidRPr="00D16BDF" w:rsidR="008630DD" w:rsidP="000426B4">
      <w:pPr>
        <w:jc w:val="center"/>
        <w:rPr>
          <w:szCs w:val="24"/>
        </w:rPr>
      </w:pPr>
      <w:r>
        <w:rPr>
          <w:i/>
          <w:iCs/>
          <w:sz w:val="22"/>
        </w:rPr>
        <w:t>This judgment has become final under Article 44 § 2 of the Convention. It may be sub</w:t>
      </w:r>
      <w:bookmarkStart w:name="_GoBack" w:id="1"/>
      <w:bookmarkEnd w:id="1"/>
      <w:r>
        <w:rPr>
          <w:i/>
          <w:iCs/>
          <w:sz w:val="22"/>
        </w:rPr>
        <w:t>ject to editorial revision.</w:t>
      </w:r>
    </w:p>
    <w:p w:rsidRPr="00D16BDF" w:rsidR="00890B6E" w:rsidP="00D16BDF">
      <w:pPr>
        <w:pStyle w:val="JuCase"/>
        <w:sectPr w:rsidSect="00890B6E">
          <w:headerReference w:type="default" r:id="rId5"/>
          <w:headerReference w:type="first" r:id="rId6"/>
          <w:footerReference w:type="first" r:id="rId7"/>
          <w:footnotePr>
            <w:numRestart w:val="eachSect"/>
          </w:footnotePr>
          <w:pgSz w:w="11906" w:h="16838" w:code="9"/>
          <w:pgMar w:top="2274" w:right="2274" w:bottom="2274" w:left="2274" w:header="1701" w:footer="720" w:gutter="0"/>
          <w:pgNumType w:start="1"/>
          <w:cols w:space="720"/>
          <w:titlePg/>
          <w:docGrid w:linePitch="326"/>
        </w:sectPr>
      </w:pPr>
    </w:p>
    <w:p w:rsidRPr="00D16BDF" w:rsidR="00470981" w:rsidP="00D16BDF">
      <w:pPr>
        <w:pStyle w:val="JuCase"/>
        <w:rPr>
          <w:b w:val="0"/>
          <w:bCs/>
        </w:rPr>
      </w:pPr>
      <w:r w:rsidRPr="00D16BDF">
        <w:t xml:space="preserve">In the case of </w:t>
      </w:r>
      <w:r w:rsidRPr="00D16BDF" w:rsidR="00690611">
        <w:t>Beinarovič</w:t>
      </w:r>
      <w:r w:rsidRPr="00D16BDF" w:rsidR="00690611">
        <w:t xml:space="preserve"> and Others v. Lithuania</w:t>
      </w:r>
      <w:r w:rsidRPr="00D16BDF">
        <w:t>,</w:t>
      </w:r>
    </w:p>
    <w:p w:rsidRPr="00D16BDF" w:rsidR="00470981" w:rsidP="00D16BDF">
      <w:pPr>
        <w:pStyle w:val="ECHRPara"/>
        <w:rPr>
          <w:b/>
        </w:rPr>
      </w:pPr>
      <w:r w:rsidRPr="00D16BDF">
        <w:t>The European Court of Human Rights</w:t>
      </w:r>
      <w:r w:rsidRPr="00D16BDF" w:rsidR="00690611">
        <w:t xml:space="preserve"> (Fourth Section)</w:t>
      </w:r>
      <w:r w:rsidRPr="00D16BDF">
        <w:t xml:space="preserve">, sitting as a </w:t>
      </w:r>
      <w:r w:rsidRPr="00D16BDF" w:rsidR="00690611">
        <w:t>Chamber</w:t>
      </w:r>
      <w:r w:rsidRPr="00D16BDF">
        <w:t xml:space="preserve"> composed of:</w:t>
      </w:r>
    </w:p>
    <w:p w:rsidRPr="00D16BDF" w:rsidR="00470981" w:rsidP="00D16BDF">
      <w:pPr>
        <w:pStyle w:val="ECHRDecisionBody"/>
      </w:pPr>
      <w:r w:rsidRPr="00D16BDF">
        <w:tab/>
        <w:t xml:space="preserve">Jon </w:t>
      </w:r>
      <w:r w:rsidRPr="00D16BDF">
        <w:t>Fridrik</w:t>
      </w:r>
      <w:r w:rsidRPr="00D16BDF">
        <w:t xml:space="preserve"> </w:t>
      </w:r>
      <w:r w:rsidRPr="00D16BDF">
        <w:t>Kjølbro</w:t>
      </w:r>
      <w:r w:rsidRPr="00D16BDF">
        <w:t>,</w:t>
      </w:r>
      <w:r w:rsidRPr="00D16BDF">
        <w:rPr>
          <w:i/>
        </w:rPr>
        <w:t xml:space="preserve"> President,</w:t>
      </w:r>
      <w:r w:rsidRPr="00D16BDF">
        <w:rPr>
          <w:i/>
        </w:rPr>
        <w:br/>
      </w:r>
      <w:r w:rsidRPr="00D16BDF">
        <w:tab/>
        <w:t>Paulo Pinto de Albuquerque,</w:t>
      </w:r>
      <w:r w:rsidRPr="00D16BDF">
        <w:rPr>
          <w:i/>
        </w:rPr>
        <w:br/>
      </w:r>
      <w:r w:rsidRPr="00D16BDF">
        <w:tab/>
      </w:r>
      <w:r w:rsidRPr="00D16BDF">
        <w:t>Faris</w:t>
      </w:r>
      <w:r w:rsidRPr="00D16BDF">
        <w:t xml:space="preserve"> </w:t>
      </w:r>
      <w:r w:rsidRPr="00D16BDF">
        <w:t>Vehabović</w:t>
      </w:r>
      <w:r w:rsidRPr="00D16BDF">
        <w:t>,</w:t>
      </w:r>
      <w:r w:rsidRPr="00D16BDF">
        <w:rPr>
          <w:i/>
        </w:rPr>
        <w:br/>
      </w:r>
      <w:r w:rsidRPr="00D16BDF">
        <w:tab/>
        <w:t xml:space="preserve">Egidijus </w:t>
      </w:r>
      <w:r w:rsidRPr="00D16BDF">
        <w:t>Kūris</w:t>
      </w:r>
      <w:r w:rsidRPr="00D16BDF">
        <w:t>,</w:t>
      </w:r>
      <w:r w:rsidRPr="00D16BDF">
        <w:rPr>
          <w:i/>
        </w:rPr>
        <w:br/>
      </w:r>
      <w:r w:rsidRPr="00D16BDF">
        <w:tab/>
        <w:t>Carlo Ranzoni,</w:t>
      </w:r>
      <w:r w:rsidRPr="00D16BDF">
        <w:rPr>
          <w:i/>
        </w:rPr>
        <w:br/>
      </w:r>
      <w:r w:rsidRPr="00D16BDF">
        <w:tab/>
        <w:t xml:space="preserve">Georges </w:t>
      </w:r>
      <w:r w:rsidRPr="00D16BDF">
        <w:t>Ravarani</w:t>
      </w:r>
      <w:r w:rsidRPr="00D16BDF">
        <w:t>,</w:t>
      </w:r>
      <w:r w:rsidRPr="00D16BDF">
        <w:rPr>
          <w:i/>
        </w:rPr>
        <w:br/>
      </w:r>
      <w:r w:rsidRPr="00D16BDF">
        <w:tab/>
      </w:r>
      <w:r w:rsidRPr="00D16BDF">
        <w:t>Péter</w:t>
      </w:r>
      <w:r w:rsidRPr="00D16BDF">
        <w:t xml:space="preserve"> </w:t>
      </w:r>
      <w:r w:rsidRPr="00D16BDF">
        <w:t>Paczolay</w:t>
      </w:r>
      <w:r w:rsidRPr="00D16BDF">
        <w:t>,</w:t>
      </w:r>
      <w:r w:rsidRPr="00D16BDF">
        <w:rPr>
          <w:i/>
        </w:rPr>
        <w:t xml:space="preserve"> judges,</w:t>
      </w:r>
      <w:r w:rsidRPr="00D16BDF">
        <w:br/>
        <w:t xml:space="preserve">and </w:t>
      </w:r>
      <w:r w:rsidRPr="00D16BDF" w:rsidR="00690611">
        <w:t xml:space="preserve">Marialena </w:t>
      </w:r>
      <w:r w:rsidRPr="00D16BDF" w:rsidR="00A34E31">
        <w:t>Tsirli</w:t>
      </w:r>
      <w:r w:rsidRPr="00D16BDF">
        <w:t xml:space="preserve">, </w:t>
      </w:r>
      <w:r w:rsidRPr="00D16BDF" w:rsidR="00690611">
        <w:rPr>
          <w:i/>
        </w:rPr>
        <w:t xml:space="preserve">Section </w:t>
      </w:r>
      <w:r w:rsidRPr="00D16BDF" w:rsidR="00690611">
        <w:rPr>
          <w:i/>
          <w:iCs/>
        </w:rPr>
        <w:t>Registrar</w:t>
      </w:r>
      <w:r w:rsidRPr="00D16BDF">
        <w:t>,</w:t>
      </w:r>
    </w:p>
    <w:p w:rsidRPr="00D16BDF" w:rsidR="00470981" w:rsidP="00D16BDF">
      <w:pPr>
        <w:pStyle w:val="ECHRPara"/>
      </w:pPr>
      <w:r w:rsidRPr="00D16BDF">
        <w:t xml:space="preserve">Having deliberated in private on </w:t>
      </w:r>
      <w:r w:rsidRPr="00D16BDF" w:rsidR="007A45F5">
        <w:t>23 April 2019 and 14 May 2019</w:t>
      </w:r>
      <w:r w:rsidRPr="00D16BDF">
        <w:t>,</w:t>
      </w:r>
    </w:p>
    <w:p w:rsidRPr="00D16BDF" w:rsidR="00470981" w:rsidP="00D16BDF">
      <w:pPr>
        <w:pStyle w:val="ECHRPara"/>
      </w:pPr>
      <w:r w:rsidRPr="00D16BDF">
        <w:t>Delivers the following jud</w:t>
      </w:r>
      <w:r w:rsidRPr="00D16BDF" w:rsidR="007A45F5">
        <w:t>gment, which was adopted on the last-mentioned</w:t>
      </w:r>
      <w:r w:rsidRPr="00D16BDF">
        <w:t xml:space="preserve"> date:</w:t>
      </w:r>
    </w:p>
    <w:p w:rsidRPr="00D16BDF" w:rsidR="00470981" w:rsidP="00D16BDF">
      <w:pPr>
        <w:pStyle w:val="ECHRTitle1"/>
      </w:pPr>
      <w:r w:rsidRPr="00D16BDF">
        <w:t>PROCEDURE</w:t>
      </w:r>
    </w:p>
    <w:p w:rsidRPr="00D16BDF" w:rsidR="00884F2C" w:rsidP="00D16BDF">
      <w:pPr>
        <w:pStyle w:val="ECHRPara"/>
      </w:pPr>
      <w:r w:rsidRPr="00D16BDF">
        <w:fldChar w:fldCharType="begin"/>
      </w:r>
      <w:r w:rsidRPr="00D16BDF">
        <w:instrText xml:space="preserve"> SEQ level0 \*arabic </w:instrText>
      </w:r>
      <w:r w:rsidRPr="00D16BDF">
        <w:fldChar w:fldCharType="separate"/>
      </w:r>
      <w:r w:rsidR="00B417A8">
        <w:rPr>
          <w:noProof/>
        </w:rPr>
        <w:t>1</w:t>
      </w:r>
      <w:r w:rsidRPr="00D16BDF">
        <w:fldChar w:fldCharType="end"/>
      </w:r>
      <w:r w:rsidRPr="00D16BDF" w:rsidR="00470981">
        <w:t>.  </w:t>
      </w:r>
      <w:r w:rsidRPr="00D16BDF" w:rsidR="00B0587D">
        <w:t xml:space="preserve">The case originated in three applications (nos. 70520/10, 21920/10 and 41876/11) against the Republic of Lithuania lodged with the Court under Article 34 of the Convention for the Protection of Human Rights and Fundamental Freedoms (“the Convention”) by four Lithuanian nationals, Ms </w:t>
      </w:r>
      <w:r w:rsidRPr="00D16BDF" w:rsidR="00B0587D">
        <w:t>Bronislava</w:t>
      </w:r>
      <w:r w:rsidRPr="00D16BDF" w:rsidR="00B0587D">
        <w:t xml:space="preserve"> </w:t>
      </w:r>
      <w:r w:rsidRPr="00D16BDF" w:rsidR="00B0587D">
        <w:t>Beinarovič</w:t>
      </w:r>
      <w:r w:rsidRPr="00D16BDF" w:rsidR="00B0587D">
        <w:t xml:space="preserve"> (“the first applicant”), Ms Janina </w:t>
      </w:r>
      <w:r w:rsidRPr="00D16BDF" w:rsidR="00B0587D">
        <w:t>Kšivanskienė</w:t>
      </w:r>
      <w:r w:rsidRPr="00D16BDF" w:rsidR="00B0587D">
        <w:t xml:space="preserve"> (“the second applicant”), Ms Monika </w:t>
      </w:r>
      <w:r w:rsidRPr="00D16BDF" w:rsidR="00B0587D">
        <w:t>Korkuc</w:t>
      </w:r>
      <w:r w:rsidRPr="00D16BDF" w:rsidR="00B0587D">
        <w:t xml:space="preserve"> (“the third applicant”) and Ms Sabina </w:t>
      </w:r>
      <w:r w:rsidRPr="00D16BDF" w:rsidR="00B0587D">
        <w:t>Dviliova</w:t>
      </w:r>
      <w:r w:rsidRPr="00D16BDF" w:rsidR="00B0587D">
        <w:t xml:space="preserve"> (“the fourth applicant”), on 15 November 2010 (the first two applicants), 2 April 2010 (the third applicant) and 30 May 2011 (the fourth applicant).</w:t>
      </w:r>
      <w:r w:rsidRPr="00D16BDF" w:rsidR="000209D7">
        <w:t xml:space="preserve"> </w:t>
      </w:r>
      <w:r w:rsidRPr="00D16BDF">
        <w:t>On 7 October 2015 the first applicant die</w:t>
      </w:r>
      <w:r w:rsidRPr="00D16BDF" w:rsidR="002E2A88">
        <w:t>d and</w:t>
      </w:r>
      <w:r w:rsidRPr="00D16BDF">
        <w:t xml:space="preserve"> </w:t>
      </w:r>
      <w:r w:rsidRPr="00D16BDF" w:rsidR="002E2A88">
        <w:t>t</w:t>
      </w:r>
      <w:r w:rsidRPr="00D16BDF">
        <w:t>he second applicant, her daughter and legal heir, expressed the wish to pursue the proceedings on her behalf.</w:t>
      </w:r>
    </w:p>
    <w:p w:rsidRPr="00D16BDF" w:rsidR="00470981" w:rsidP="00D16BDF">
      <w:pPr>
        <w:pStyle w:val="ECHRPara"/>
      </w:pPr>
      <w:r w:rsidRPr="00D16BDF">
        <w:fldChar w:fldCharType="begin"/>
      </w:r>
      <w:r w:rsidRPr="00D16BDF">
        <w:instrText xml:space="preserve"> SEQ level0 \*arabic </w:instrText>
      </w:r>
      <w:r w:rsidRPr="00D16BDF">
        <w:fldChar w:fldCharType="separate"/>
      </w:r>
      <w:r w:rsidR="00B417A8">
        <w:rPr>
          <w:noProof/>
        </w:rPr>
        <w:t>2</w:t>
      </w:r>
      <w:r w:rsidRPr="00D16BDF">
        <w:fldChar w:fldCharType="end"/>
      </w:r>
      <w:r w:rsidRPr="00D16BDF">
        <w:t xml:space="preserve">.  In a judgment delivered on </w:t>
      </w:r>
      <w:r w:rsidRPr="00D16BDF" w:rsidR="00B0587D">
        <w:t>12 June 2018</w:t>
      </w:r>
      <w:r w:rsidRPr="00D16BDF">
        <w:t xml:space="preserve"> (“the principal judgment”), </w:t>
      </w:r>
      <w:r w:rsidRPr="00D16BDF" w:rsidR="00884F2C">
        <w:t>the Court declared that the second applicant had standing to continue the proceedings in the first applicant</w:t>
      </w:r>
      <w:r w:rsidRPr="00D16BDF" w:rsidR="00D16BDF">
        <w:t>’</w:t>
      </w:r>
      <w:r w:rsidRPr="00D16BDF" w:rsidR="00884F2C">
        <w:t>s stead (</w:t>
      </w:r>
      <w:r w:rsidRPr="00D16BDF" w:rsidR="00884F2C">
        <w:rPr>
          <w:i/>
          <w:iCs/>
        </w:rPr>
        <w:t>Beinarovič</w:t>
      </w:r>
      <w:r w:rsidRPr="00D16BDF" w:rsidR="00884F2C">
        <w:rPr>
          <w:i/>
          <w:iCs/>
        </w:rPr>
        <w:t xml:space="preserve"> and Others v. Lithuania</w:t>
      </w:r>
      <w:r w:rsidRPr="00D16BDF" w:rsidR="00884F2C">
        <w:rPr>
          <w:lang w:eastAsia="en-GB"/>
        </w:rPr>
        <w:t xml:space="preserve">, </w:t>
      </w:r>
      <w:r w:rsidRPr="00D16BDF" w:rsidR="00884F2C">
        <w:rPr>
          <w:snapToGrid w:val="0"/>
          <w:lang w:eastAsia="en-GB"/>
        </w:rPr>
        <w:t>nos. </w:t>
      </w:r>
      <w:r w:rsidRPr="00D16BDF" w:rsidR="00884F2C">
        <w:t>70520/10 and 2 others</w:t>
      </w:r>
      <w:r w:rsidRPr="00D16BDF" w:rsidR="00884F2C">
        <w:rPr>
          <w:lang w:eastAsia="en-GB"/>
        </w:rPr>
        <w:t xml:space="preserve">, </w:t>
      </w:r>
      <w:r w:rsidRPr="00D16BDF" w:rsidR="00884F2C">
        <w:t>§ 105 and point 2 of the operative provisions, 12 June 2018). I</w:t>
      </w:r>
      <w:r w:rsidRPr="00D16BDF">
        <w:t xml:space="preserve">t held </w:t>
      </w:r>
      <w:r w:rsidRPr="00D16BDF" w:rsidR="00B60944">
        <w:t xml:space="preserve">that there had been a </w:t>
      </w:r>
      <w:r w:rsidRPr="00D16BDF" w:rsidR="00880218">
        <w:t>violation</w:t>
      </w:r>
      <w:r w:rsidRPr="00D16BDF" w:rsidR="00D16BDF">
        <w:t xml:space="preserve"> of Article </w:t>
      </w:r>
      <w:r w:rsidRPr="00D16BDF" w:rsidR="00B60944">
        <w:t xml:space="preserve">1 of Protocol No. 1 to the Convention in respect of the first, second and third applicants, in view of the excessive length of </w:t>
      </w:r>
      <w:r w:rsidRPr="00D16BDF" w:rsidR="002B13BB">
        <w:t xml:space="preserve">the </w:t>
      </w:r>
      <w:r w:rsidRPr="00D16BDF" w:rsidR="00B60944">
        <w:t>restitution process and the fact that their property rights had still not been fully restored. The Court also concluded that there had been no violation of Article 1 of Protocol</w:t>
      </w:r>
      <w:r w:rsidRPr="00D16BDF" w:rsidR="00A77680">
        <w:t> </w:t>
      </w:r>
      <w:r w:rsidRPr="00D16BDF" w:rsidR="00B60944">
        <w:t>No.</w:t>
      </w:r>
      <w:r w:rsidRPr="00D16BDF" w:rsidR="00A77680">
        <w:t> </w:t>
      </w:r>
      <w:r w:rsidRPr="00D16BDF" w:rsidR="00B60944">
        <w:t>1 to the Convention in respect of the fourth applicant</w:t>
      </w:r>
      <w:r w:rsidRPr="00D16BDF" w:rsidR="00B0587D">
        <w:t xml:space="preserve"> (</w:t>
      </w:r>
      <w:r w:rsidRPr="00D16BDF" w:rsidR="00884F2C">
        <w:rPr>
          <w:iCs/>
        </w:rPr>
        <w:t>ibid.</w:t>
      </w:r>
      <w:r w:rsidRPr="00D16BDF" w:rsidR="00B0587D">
        <w:rPr>
          <w:lang w:eastAsia="en-GB"/>
        </w:rPr>
        <w:t>,</w:t>
      </w:r>
      <w:r w:rsidRPr="00D16BDF" w:rsidR="00B0587D">
        <w:rPr>
          <w:lang w:eastAsia="en-GB"/>
        </w:rPr>
        <w:t xml:space="preserve"> </w:t>
      </w:r>
      <w:r w:rsidRPr="00D16BDF" w:rsidR="00B0587D">
        <w:t>§</w:t>
      </w:r>
      <w:r w:rsidRPr="00D16BDF" w:rsidR="00A77680">
        <w:t> </w:t>
      </w:r>
      <w:r w:rsidRPr="00D16BDF" w:rsidR="00B60944">
        <w:t>164</w:t>
      </w:r>
      <w:r w:rsidRPr="00D16BDF" w:rsidR="00631BC5">
        <w:t xml:space="preserve"> and point</w:t>
      </w:r>
      <w:r w:rsidRPr="00D16BDF" w:rsidR="00D16BDF">
        <w:t>s </w:t>
      </w:r>
      <w:r w:rsidRPr="00D16BDF" w:rsidR="00631BC5">
        <w:t>4 and 5 of the operative provisions</w:t>
      </w:r>
      <w:r w:rsidRPr="00D16BDF">
        <w:t>).</w:t>
      </w:r>
    </w:p>
    <w:p w:rsidRPr="00D16BDF" w:rsidR="00BC2DD9" w:rsidP="00D16BDF">
      <w:pPr>
        <w:pStyle w:val="ECHRPara"/>
      </w:pPr>
      <w:r w:rsidRPr="00D16BDF">
        <w:fldChar w:fldCharType="begin"/>
      </w:r>
      <w:r w:rsidRPr="00D16BDF">
        <w:instrText xml:space="preserve"> SEQ level0 \*arabic </w:instrText>
      </w:r>
      <w:r w:rsidRPr="00D16BDF">
        <w:fldChar w:fldCharType="separate"/>
      </w:r>
      <w:r w:rsidR="00B417A8">
        <w:rPr>
          <w:noProof/>
        </w:rPr>
        <w:t>3</w:t>
      </w:r>
      <w:r w:rsidRPr="00D16BDF">
        <w:fldChar w:fldCharType="end"/>
      </w:r>
      <w:r w:rsidRPr="00D16BDF">
        <w:t xml:space="preserve">.  Under Article 41 of the Convention, the applicants sought </w:t>
      </w:r>
      <w:r w:rsidRPr="00D16BDF" w:rsidR="00955746">
        <w:t>just satisfaction</w:t>
      </w:r>
      <w:r w:rsidRPr="00D16BDF">
        <w:t>. The Court awarded the second applicant</w:t>
      </w:r>
      <w:r w:rsidRPr="00D16BDF" w:rsidR="000209D7">
        <w:t>, who wa</w:t>
      </w:r>
      <w:r w:rsidRPr="00D16BDF">
        <w:t>s also the first applicant</w:t>
      </w:r>
      <w:r w:rsidRPr="00D16BDF" w:rsidR="00D16BDF">
        <w:t>’</w:t>
      </w:r>
      <w:r w:rsidRPr="00D16BDF">
        <w:t xml:space="preserve">s heir, 7,000 euros (EUR), plus any tax chargeable, in respect of </w:t>
      </w:r>
      <w:r w:rsidRPr="00D16BDF">
        <w:t>non-pecuniary damage</w:t>
      </w:r>
      <w:r w:rsidRPr="00D16BDF" w:rsidR="002B13BB">
        <w:t>,</w:t>
      </w:r>
      <w:r w:rsidRPr="00D16BDF">
        <w:t xml:space="preserve"> and EUR 894, plus any tax chargeable, in respect of costs and expenses. It </w:t>
      </w:r>
      <w:r w:rsidRPr="00D16BDF" w:rsidR="00955746">
        <w:t xml:space="preserve">also </w:t>
      </w:r>
      <w:r w:rsidRPr="00D16BDF">
        <w:t xml:space="preserve">awarded the third applicant EUR 3,000, plus any tax chargeable, in respect of non-pecuniary damage. </w:t>
      </w:r>
      <w:r w:rsidRPr="00D16BDF" w:rsidR="000209D7">
        <w:t>The Court</w:t>
      </w:r>
      <w:r w:rsidRPr="00D16BDF">
        <w:t xml:space="preserve"> dismissed the remainder of the applicants</w:t>
      </w:r>
      <w:r w:rsidRPr="00D16BDF" w:rsidR="00D16BDF">
        <w:t>’</w:t>
      </w:r>
      <w:r w:rsidRPr="00D16BDF">
        <w:t xml:space="preserve"> claim as regards non-pecuniary damage.</w:t>
      </w:r>
    </w:p>
    <w:p w:rsidRPr="00D16BDF" w:rsidR="00470981" w:rsidP="00D16BDF">
      <w:pPr>
        <w:pStyle w:val="ECHRPara"/>
      </w:pPr>
      <w:r w:rsidRPr="00D16BDF">
        <w:fldChar w:fldCharType="begin"/>
      </w:r>
      <w:r w:rsidRPr="00D16BDF">
        <w:instrText xml:space="preserve"> SEQ level0 \*arabic </w:instrText>
      </w:r>
      <w:r w:rsidRPr="00D16BDF">
        <w:fldChar w:fldCharType="separate"/>
      </w:r>
      <w:r w:rsidR="00B417A8">
        <w:rPr>
          <w:noProof/>
        </w:rPr>
        <w:t>4</w:t>
      </w:r>
      <w:r w:rsidRPr="00D16BDF">
        <w:fldChar w:fldCharType="end"/>
      </w:r>
      <w:r w:rsidRPr="00D16BDF">
        <w:t>.  </w:t>
      </w:r>
      <w:r w:rsidRPr="00D16BDF" w:rsidR="000209D7">
        <w:t xml:space="preserve">The Court considered that </w:t>
      </w:r>
      <w:r w:rsidRPr="00D16BDF">
        <w:t>the question of the application of Article</w:t>
      </w:r>
      <w:r w:rsidRPr="00D16BDF" w:rsidR="007A1E4C">
        <w:t> </w:t>
      </w:r>
      <w:r w:rsidRPr="00D16BDF">
        <w:t>41 of the Convention was not ready for decision as regards pecuniary damage</w:t>
      </w:r>
      <w:r w:rsidRPr="00D16BDF" w:rsidR="000209D7">
        <w:t>. It therefore</w:t>
      </w:r>
      <w:r w:rsidRPr="00D16BDF">
        <w:t xml:space="preserve"> reserved </w:t>
      </w:r>
      <w:r w:rsidRPr="00D16BDF" w:rsidR="002B13BB">
        <w:t xml:space="preserve">that </w:t>
      </w:r>
      <w:r w:rsidRPr="00D16BDF" w:rsidR="000209D7">
        <w:t>question</w:t>
      </w:r>
      <w:r w:rsidRPr="00D16BDF">
        <w:t xml:space="preserve"> and invited the Government and the </w:t>
      </w:r>
      <w:r w:rsidRPr="00D16BDF">
        <w:t>applicants</w:t>
      </w:r>
      <w:r w:rsidRPr="00D16BDF">
        <w:t xml:space="preserve"> to submit, within </w:t>
      </w:r>
      <w:r w:rsidRPr="00D16BDF" w:rsidR="00B0587D">
        <w:t>three</w:t>
      </w:r>
      <w:r w:rsidRPr="00D16BDF">
        <w:t xml:space="preserve"> months</w:t>
      </w:r>
      <w:r w:rsidRPr="00D16BDF" w:rsidR="00B0587D">
        <w:t xml:space="preserve"> from the date on which the judgment became final in accordance with Article 44 § 2 of the Convention</w:t>
      </w:r>
      <w:r w:rsidRPr="00D16BDF">
        <w:t xml:space="preserve">, their written observations on that issue and, in particular, to notify the Court of any agreement they might reach (ibid., § </w:t>
      </w:r>
      <w:r w:rsidRPr="00D16BDF" w:rsidR="00B0587D">
        <w:t>171</w:t>
      </w:r>
      <w:r w:rsidRPr="00D16BDF">
        <w:t xml:space="preserve"> and point </w:t>
      </w:r>
      <w:r w:rsidRPr="00D16BDF" w:rsidR="00B0587D">
        <w:t>7</w:t>
      </w:r>
      <w:r w:rsidRPr="00D16BDF">
        <w:t xml:space="preserve"> of the operative provisions).</w:t>
      </w:r>
    </w:p>
    <w:p w:rsidRPr="00D16BDF" w:rsidR="00470981" w:rsidP="00D16BDF">
      <w:pPr>
        <w:pStyle w:val="ECHRPara"/>
      </w:pPr>
      <w:r w:rsidRPr="00D16BDF">
        <w:fldChar w:fldCharType="begin"/>
      </w:r>
      <w:r w:rsidRPr="00D16BDF">
        <w:instrText xml:space="preserve"> SEQ level0 \*arabic </w:instrText>
      </w:r>
      <w:r w:rsidRPr="00D16BDF">
        <w:fldChar w:fldCharType="separate"/>
      </w:r>
      <w:r w:rsidR="00B417A8">
        <w:rPr>
          <w:noProof/>
        </w:rPr>
        <w:t>5</w:t>
      </w:r>
      <w:r w:rsidRPr="00D16BDF">
        <w:fldChar w:fldCharType="end"/>
      </w:r>
      <w:r w:rsidRPr="00D16BDF">
        <w:t xml:space="preserve">.  The </w:t>
      </w:r>
      <w:r w:rsidRPr="00D16BDF">
        <w:t>applicants</w:t>
      </w:r>
      <w:r w:rsidRPr="00D16BDF">
        <w:t xml:space="preserve"> and the Government</w:t>
      </w:r>
      <w:r w:rsidRPr="00D16BDF" w:rsidR="000209D7">
        <w:t xml:space="preserve"> failed to reach an agreement and filed observations concerning the question of pecuniary damage.</w:t>
      </w:r>
    </w:p>
    <w:p w:rsidRPr="00D16BDF" w:rsidR="00470981" w:rsidP="00D16BDF">
      <w:pPr>
        <w:pStyle w:val="ECHRTitle1"/>
      </w:pPr>
      <w:r w:rsidRPr="00D16BDF">
        <w:t>THE LAW</w:t>
      </w:r>
    </w:p>
    <w:p w:rsidRPr="00D16BDF" w:rsidR="00C02A51" w:rsidP="00D16BDF">
      <w:pPr>
        <w:pStyle w:val="ECHRHeading1"/>
      </w:pPr>
      <w:r w:rsidRPr="00D16BDF">
        <w:t>I.</w:t>
      </w:r>
      <w:r w:rsidRPr="00D16BDF">
        <w:t>  </w:t>
      </w:r>
      <w:r w:rsidRPr="00D16BDF" w:rsidR="002C316C">
        <w:t>AS CONCERNS THE FIRST AND SECOND APPLICANTS</w:t>
      </w:r>
    </w:p>
    <w:bookmarkStart w:name="Subm_Gov_12app" w:id="2"/>
    <w:p w:rsidRPr="00D16BDF" w:rsidR="002C316C" w:rsidP="00D16BDF">
      <w:pPr>
        <w:pStyle w:val="ECHRPara"/>
      </w:pPr>
      <w:r w:rsidRPr="00D16BDF">
        <w:fldChar w:fldCharType="begin"/>
      </w:r>
      <w:r w:rsidRPr="00D16BDF">
        <w:instrText xml:space="preserve"> SEQ level0 \*arabic </w:instrText>
      </w:r>
      <w:r w:rsidRPr="00D16BDF">
        <w:fldChar w:fldCharType="separate"/>
      </w:r>
      <w:r w:rsidR="00B417A8">
        <w:rPr>
          <w:noProof/>
        </w:rPr>
        <w:t>6</w:t>
      </w:r>
      <w:r w:rsidRPr="00D16BDF">
        <w:fldChar w:fldCharType="end"/>
      </w:r>
      <w:bookmarkEnd w:id="2"/>
      <w:r w:rsidRPr="00D16BDF">
        <w:t>.  </w:t>
      </w:r>
      <w:r w:rsidRPr="00D16BDF" w:rsidR="00911B60">
        <w:t>T</w:t>
      </w:r>
      <w:r w:rsidRPr="00D16BDF">
        <w:t>he Government submitted that even though the first and second applicants</w:t>
      </w:r>
      <w:r w:rsidRPr="00D16BDF" w:rsidR="00D16BDF">
        <w:t>’</w:t>
      </w:r>
      <w:r w:rsidRPr="00D16BDF">
        <w:t xml:space="preserve"> property rights had not been fully restored to date, the value of the land which had already been provided to them was higher than the value of the land which had been taken from them</w:t>
      </w:r>
      <w:r w:rsidRPr="00D16BDF" w:rsidR="00E15A0F">
        <w:t xml:space="preserve"> previously</w:t>
      </w:r>
      <w:r w:rsidRPr="00D16BDF">
        <w:t xml:space="preserve">. The Government therefore </w:t>
      </w:r>
      <w:r w:rsidRPr="00D16BDF" w:rsidR="00911B60">
        <w:t>argued</w:t>
      </w:r>
      <w:r w:rsidRPr="00D16BDF">
        <w:t xml:space="preserve"> that the first and second applicants had been fully compe</w:t>
      </w:r>
      <w:r w:rsidRPr="00D16BDF" w:rsidR="003C2D1A">
        <w:t>nsated for any pecuniary damage which they might have sustained.</w:t>
      </w:r>
    </w:p>
    <w:bookmarkStart w:name="Subm_app12" w:id="3"/>
    <w:p w:rsidRPr="00D16BDF" w:rsidR="002C316C" w:rsidP="00D16BDF">
      <w:pPr>
        <w:pStyle w:val="ECHRPara"/>
      </w:pPr>
      <w:r w:rsidRPr="00D16BDF">
        <w:fldChar w:fldCharType="begin"/>
      </w:r>
      <w:r w:rsidRPr="00D16BDF">
        <w:instrText xml:space="preserve"> SEQ level0 \*arabic </w:instrText>
      </w:r>
      <w:r w:rsidRPr="00D16BDF">
        <w:fldChar w:fldCharType="separate"/>
      </w:r>
      <w:r w:rsidR="00B417A8">
        <w:rPr>
          <w:noProof/>
        </w:rPr>
        <w:t>7</w:t>
      </w:r>
      <w:r w:rsidRPr="00D16BDF">
        <w:fldChar w:fldCharType="end"/>
      </w:r>
      <w:bookmarkEnd w:id="3"/>
      <w:r w:rsidRPr="00D16BDF">
        <w:t>.  On 3 January 2019 the Court received a letter from the secon</w:t>
      </w:r>
      <w:r w:rsidRPr="00D16BDF" w:rsidR="00EB233A">
        <w:t>d applicant</w:t>
      </w:r>
      <w:r w:rsidRPr="00D16BDF">
        <w:t xml:space="preserve"> stating that she </w:t>
      </w:r>
      <w:r w:rsidRPr="00D16BDF" w:rsidR="00ED0083">
        <w:t>was</w:t>
      </w:r>
      <w:r w:rsidRPr="00D16BDF">
        <w:t xml:space="preserve"> withdraw</w:t>
      </w:r>
      <w:r w:rsidRPr="00D16BDF" w:rsidR="00ED0083">
        <w:t>ing</w:t>
      </w:r>
      <w:r w:rsidRPr="00D16BDF">
        <w:t xml:space="preserve"> her claim in respect of pecuniary damage.</w:t>
      </w:r>
    </w:p>
    <w:p w:rsidRPr="00D16BDF" w:rsidR="002C316C" w:rsidP="00D16BDF">
      <w:pPr>
        <w:pStyle w:val="ECHRPara"/>
      </w:pPr>
      <w:r w:rsidRPr="00D16BDF">
        <w:fldChar w:fldCharType="begin"/>
      </w:r>
      <w:r w:rsidRPr="00D16BDF">
        <w:instrText xml:space="preserve"> SEQ level0 \*arabic </w:instrText>
      </w:r>
      <w:r w:rsidRPr="00D16BDF">
        <w:fldChar w:fldCharType="separate"/>
      </w:r>
      <w:r w:rsidR="00B417A8">
        <w:rPr>
          <w:noProof/>
        </w:rPr>
        <w:t>8</w:t>
      </w:r>
      <w:r w:rsidRPr="00D16BDF">
        <w:fldChar w:fldCharType="end"/>
      </w:r>
      <w:r w:rsidRPr="00D16BDF">
        <w:t>.  Article 37 of the Convention provides:</w:t>
      </w:r>
    </w:p>
    <w:p w:rsidRPr="00D16BDF" w:rsidR="0066346A" w:rsidP="00D16BDF">
      <w:pPr>
        <w:pStyle w:val="ECHRParaQuote"/>
      </w:pPr>
      <w:r w:rsidRPr="00D16BDF">
        <w:t xml:space="preserve"> “1.</w:t>
      </w:r>
      <w:r w:rsidRPr="00D16BDF">
        <w:t>  The</w:t>
      </w:r>
      <w:r w:rsidRPr="00D16BDF">
        <w:t xml:space="preserve"> Court may at any stage of the proceedings decide to strike an application out of its list of cases where the circumstances lead to the conclusion that</w:t>
      </w:r>
    </w:p>
    <w:p w:rsidRPr="00D16BDF" w:rsidR="0066346A" w:rsidP="00D16BDF">
      <w:pPr>
        <w:pStyle w:val="ECHRParaQuote"/>
      </w:pPr>
      <w:r w:rsidRPr="00D16BDF">
        <w:t>(a)  </w:t>
      </w:r>
      <w:r w:rsidRPr="00D16BDF">
        <w:t>the</w:t>
      </w:r>
      <w:r w:rsidRPr="00D16BDF">
        <w:t xml:space="preserve"> applicant does not intend to pursue his application; or</w:t>
      </w:r>
    </w:p>
    <w:p w:rsidRPr="00D16BDF" w:rsidR="0066346A" w:rsidP="00D16BDF">
      <w:pPr>
        <w:pStyle w:val="ECHRParaQuote"/>
      </w:pPr>
      <w:r w:rsidRPr="00D16BDF">
        <w:t>(b)  </w:t>
      </w:r>
      <w:r w:rsidRPr="00D16BDF">
        <w:t>the</w:t>
      </w:r>
      <w:r w:rsidRPr="00D16BDF">
        <w:t xml:space="preserve"> matter has been resolved; or</w:t>
      </w:r>
    </w:p>
    <w:p w:rsidRPr="00D16BDF" w:rsidR="0066346A" w:rsidP="00D16BDF">
      <w:pPr>
        <w:pStyle w:val="ECHRParaQuote"/>
      </w:pPr>
      <w:r w:rsidRPr="00D16BDF">
        <w:t>(c)  </w:t>
      </w:r>
      <w:r w:rsidRPr="00D16BDF">
        <w:t>for</w:t>
      </w:r>
      <w:r w:rsidRPr="00D16BDF">
        <w:t xml:space="preserve"> any other reason established by the Court, it is no longer justified to continue the examination of the application.</w:t>
      </w:r>
    </w:p>
    <w:p w:rsidRPr="00D16BDF" w:rsidR="0066346A" w:rsidP="00D16BDF">
      <w:pPr>
        <w:pStyle w:val="ECHRParaQuote"/>
      </w:pPr>
      <w:r w:rsidRPr="00D16BDF">
        <w:t>However, the Court shall continue the examination of the application if respect for human rights as defined in the Convention and the Protocols thereto so requires.</w:t>
      </w:r>
    </w:p>
    <w:p w:rsidRPr="00D16BDF" w:rsidR="0066346A" w:rsidP="00D16BDF">
      <w:pPr>
        <w:pStyle w:val="ECHRParaQuote"/>
      </w:pPr>
      <w:r w:rsidRPr="00D16BDF">
        <w:t>2.</w:t>
      </w:r>
      <w:r w:rsidRPr="00D16BDF">
        <w:t>  The</w:t>
      </w:r>
      <w:r w:rsidRPr="00D16BDF">
        <w:t xml:space="preserve"> Court may decide to restore an application to its list of cases if it considers that the circumstances justify such a course.”</w:t>
      </w:r>
    </w:p>
    <w:p w:rsidRPr="00D16BDF" w:rsidR="002C316C" w:rsidP="00D16BDF">
      <w:pPr>
        <w:pStyle w:val="ECHRPara"/>
      </w:pPr>
      <w:r w:rsidRPr="00D16BDF">
        <w:fldChar w:fldCharType="begin"/>
      </w:r>
      <w:r w:rsidRPr="00D16BDF">
        <w:instrText xml:space="preserve"> SEQ level0 \*arabic </w:instrText>
      </w:r>
      <w:r w:rsidRPr="00D16BDF">
        <w:fldChar w:fldCharType="separate"/>
      </w:r>
      <w:r w:rsidR="00B417A8">
        <w:rPr>
          <w:noProof/>
        </w:rPr>
        <w:t>9</w:t>
      </w:r>
      <w:r w:rsidRPr="00D16BDF">
        <w:fldChar w:fldCharType="end"/>
      </w:r>
      <w:r w:rsidRPr="00D16BDF">
        <w:t>.  </w:t>
      </w:r>
      <w:r w:rsidRPr="00D16BDF" w:rsidR="00414AE7">
        <w:t>In view of the letter</w:t>
      </w:r>
      <w:r w:rsidRPr="00D16BDF" w:rsidR="00920AA3">
        <w:t xml:space="preserve"> sent by the second applicant</w:t>
      </w:r>
      <w:r w:rsidRPr="00D16BDF" w:rsidR="00EF165D">
        <w:t xml:space="preserve"> –</w:t>
      </w:r>
      <w:r w:rsidRPr="00D16BDF" w:rsidR="00920AA3">
        <w:t xml:space="preserve"> who is also the first applicant</w:t>
      </w:r>
      <w:r w:rsidRPr="00D16BDF" w:rsidR="00D16BDF">
        <w:t>’</w:t>
      </w:r>
      <w:r w:rsidRPr="00D16BDF" w:rsidR="00920AA3">
        <w:t>s heir</w:t>
      </w:r>
      <w:r w:rsidRPr="00D16BDF" w:rsidR="00EF165D">
        <w:t xml:space="preserve"> –</w:t>
      </w:r>
      <w:r w:rsidRPr="00D16BDF" w:rsidR="00414AE7">
        <w:t xml:space="preserve"> withdrawing her claim in respect of pecuniary </w:t>
      </w:r>
      <w:r w:rsidRPr="00D16BDF" w:rsidR="00414AE7">
        <w:t xml:space="preserve">damage (see paragraph </w:t>
      </w:r>
      <w:r w:rsidRPr="00D16BDF" w:rsidR="00414AE7">
        <w:fldChar w:fldCharType="begin"/>
      </w:r>
      <w:r w:rsidRPr="00D16BDF" w:rsidR="00414AE7">
        <w:instrText xml:space="preserve"> REF Subm_app12 \h </w:instrText>
      </w:r>
      <w:r w:rsidRPr="00D16BDF" w:rsidR="002B13BB">
        <w:instrText xml:space="preserve"> \* MERGEFORMAT </w:instrText>
      </w:r>
      <w:r w:rsidRPr="00D16BDF" w:rsidR="00414AE7">
        <w:fldChar w:fldCharType="separate"/>
      </w:r>
      <w:r w:rsidR="00B417A8">
        <w:rPr>
          <w:noProof/>
        </w:rPr>
        <w:t>7</w:t>
      </w:r>
      <w:r w:rsidRPr="00D16BDF" w:rsidR="00414AE7">
        <w:fldChar w:fldCharType="end"/>
      </w:r>
      <w:r w:rsidRPr="00D16BDF" w:rsidR="00414AE7">
        <w:t xml:space="preserve"> above), the Court considers that </w:t>
      </w:r>
      <w:r w:rsidRPr="00D16BDF" w:rsidR="0066346A">
        <w:t>the applicant does not intend to pursue her application (Article 37 § 1 (a</w:t>
      </w:r>
      <w:r w:rsidRPr="00D16BDF" w:rsidR="007F3A68">
        <w:t>))</w:t>
      </w:r>
      <w:r w:rsidRPr="00D16BDF" w:rsidR="00414AE7">
        <w:t xml:space="preserve">. </w:t>
      </w:r>
      <w:r w:rsidRPr="00D16BDF" w:rsidR="00920AA3">
        <w:t>Moreover</w:t>
      </w:r>
      <w:r w:rsidRPr="00D16BDF" w:rsidR="00414AE7">
        <w:t xml:space="preserve">, </w:t>
      </w:r>
      <w:r w:rsidRPr="00D16BDF" w:rsidR="0066346A">
        <w:t>taking note of the Government</w:t>
      </w:r>
      <w:r w:rsidRPr="00D16BDF" w:rsidR="00D16BDF">
        <w:t>’</w:t>
      </w:r>
      <w:r w:rsidRPr="00D16BDF" w:rsidR="0066346A">
        <w:t xml:space="preserve">s submissions (see paragraph </w:t>
      </w:r>
      <w:r w:rsidRPr="00D16BDF" w:rsidR="0066346A">
        <w:fldChar w:fldCharType="begin"/>
      </w:r>
      <w:r w:rsidRPr="00D16BDF" w:rsidR="0066346A">
        <w:instrText xml:space="preserve"> REF Subm_Gov_12app \h  \* MERGEFORMAT </w:instrText>
      </w:r>
      <w:r w:rsidRPr="00D16BDF" w:rsidR="0066346A">
        <w:fldChar w:fldCharType="separate"/>
      </w:r>
      <w:r w:rsidR="00B417A8">
        <w:rPr>
          <w:noProof/>
        </w:rPr>
        <w:t>6</w:t>
      </w:r>
      <w:r w:rsidRPr="00D16BDF" w:rsidR="0066346A">
        <w:fldChar w:fldCharType="end"/>
      </w:r>
      <w:r w:rsidRPr="00D16BDF" w:rsidR="0066346A">
        <w:t xml:space="preserve"> above), </w:t>
      </w:r>
      <w:r w:rsidRPr="00D16BDF" w:rsidR="00920AA3">
        <w:t>it</w:t>
      </w:r>
      <w:r w:rsidRPr="00D16BDF" w:rsidR="00414AE7">
        <w:t xml:space="preserve"> is satisfied that respect for human rights as defined in the Convention and the Protocols thereto does not require it to continue the</w:t>
      </w:r>
      <w:r w:rsidRPr="00D16BDF" w:rsidR="00E6114F">
        <w:t xml:space="preserve"> examination of the </w:t>
      </w:r>
      <w:r w:rsidRPr="00D16BDF" w:rsidR="00955746">
        <w:t>case as regards the reserved Article 41 procedure</w:t>
      </w:r>
      <w:r w:rsidRPr="00D16BDF" w:rsidR="007F3A68">
        <w:t xml:space="preserve"> (Article 37 § 1 </w:t>
      </w:r>
      <w:r w:rsidRPr="00D16BDF" w:rsidR="007F3A68">
        <w:rPr>
          <w:i/>
        </w:rPr>
        <w:t>in fine</w:t>
      </w:r>
      <w:r w:rsidRPr="00D16BDF" w:rsidR="007F3A68">
        <w:t>)</w:t>
      </w:r>
      <w:r w:rsidRPr="00D16BDF" w:rsidR="00E6114F">
        <w:t>.</w:t>
      </w:r>
    </w:p>
    <w:p w:rsidRPr="00D16BDF" w:rsidR="00E6114F" w:rsidP="00D16BDF">
      <w:pPr>
        <w:pStyle w:val="ECHRPara"/>
      </w:pPr>
      <w:r w:rsidRPr="00D16BDF">
        <w:fldChar w:fldCharType="begin"/>
      </w:r>
      <w:r w:rsidRPr="00D16BDF">
        <w:instrText xml:space="preserve"> SEQ level0 \*arabic </w:instrText>
      </w:r>
      <w:r w:rsidRPr="00D16BDF">
        <w:fldChar w:fldCharType="separate"/>
      </w:r>
      <w:r w:rsidR="00B417A8">
        <w:rPr>
          <w:noProof/>
        </w:rPr>
        <w:t>10</w:t>
      </w:r>
      <w:r w:rsidRPr="00D16BDF">
        <w:fldChar w:fldCharType="end"/>
      </w:r>
      <w:r w:rsidRPr="00D16BDF">
        <w:t xml:space="preserve">.  Accordingly, the Court considers it appropriate to strike the </w:t>
      </w:r>
      <w:r w:rsidRPr="00D16BDF" w:rsidR="00955746">
        <w:t xml:space="preserve">remainder of the </w:t>
      </w:r>
      <w:r w:rsidRPr="00D16BDF">
        <w:t>case concerning the first and second applicants out of the list.</w:t>
      </w:r>
    </w:p>
    <w:p w:rsidRPr="00D16BDF" w:rsidR="002C316C" w:rsidP="00D16BDF">
      <w:pPr>
        <w:pStyle w:val="ECHRHeading1"/>
      </w:pPr>
      <w:r w:rsidRPr="00D16BDF">
        <w:t>II.</w:t>
      </w:r>
      <w:r w:rsidRPr="00D16BDF">
        <w:t>  AS</w:t>
      </w:r>
      <w:r w:rsidRPr="00D16BDF">
        <w:t xml:space="preserve"> CONCERNS THE THIRD APPLICANT</w:t>
      </w:r>
    </w:p>
    <w:p w:rsidRPr="00D16BDF" w:rsidR="00690611" w:rsidP="00D16BDF">
      <w:pPr>
        <w:pStyle w:val="ECHRPara"/>
      </w:pPr>
      <w:r w:rsidRPr="00D16BDF">
        <w:fldChar w:fldCharType="begin"/>
      </w:r>
      <w:r w:rsidRPr="00D16BDF">
        <w:instrText xml:space="preserve"> SEQ level0 \*arabic </w:instrText>
      </w:r>
      <w:r w:rsidRPr="00D16BDF">
        <w:fldChar w:fldCharType="separate"/>
      </w:r>
      <w:r w:rsidR="00B417A8">
        <w:rPr>
          <w:noProof/>
        </w:rPr>
        <w:t>11</w:t>
      </w:r>
      <w:r w:rsidRPr="00D16BDF">
        <w:fldChar w:fldCharType="end"/>
      </w:r>
      <w:r w:rsidRPr="00D16BDF" w:rsidR="00661FC0">
        <w:t xml:space="preserve">.  Article </w:t>
      </w:r>
      <w:r w:rsidRPr="00D16BDF">
        <w:t>41 of the Convention provides:</w:t>
      </w:r>
    </w:p>
    <w:p w:rsidRPr="00D16BDF" w:rsidR="00690611" w:rsidP="00D16BDF">
      <w:pPr>
        <w:pStyle w:val="ECHRParaQuote"/>
      </w:pPr>
      <w:r w:rsidRPr="00D16BDF">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D16BDF" w:rsidR="00EE1D01" w:rsidP="00D16BDF">
      <w:pPr>
        <w:pStyle w:val="ECHRHeading2"/>
      </w:pPr>
      <w:r w:rsidRPr="00D16BDF">
        <w:t>A.  Damage</w:t>
      </w:r>
    </w:p>
    <w:p w:rsidRPr="00D16BDF" w:rsidR="00690611" w:rsidP="00D16BDF">
      <w:pPr>
        <w:pStyle w:val="ECHRHeading3"/>
      </w:pPr>
      <w:r w:rsidRPr="00D16BDF">
        <w:t>1</w:t>
      </w:r>
      <w:r w:rsidRPr="00D16BDF">
        <w:t>.  </w:t>
      </w:r>
      <w:r w:rsidRPr="00D16BDF" w:rsidR="00DD0AE5">
        <w:t>The parties</w:t>
      </w:r>
      <w:r w:rsidRPr="00D16BDF" w:rsidR="00D16BDF">
        <w:t>’</w:t>
      </w:r>
      <w:r w:rsidRPr="00D16BDF" w:rsidR="00DD0AE5">
        <w:t xml:space="preserve"> submissions</w:t>
      </w:r>
    </w:p>
    <w:p w:rsidRPr="00D16BDF" w:rsidR="00A54941" w:rsidP="00D16BDF">
      <w:pPr>
        <w:pStyle w:val="ECHRHeading4"/>
      </w:pPr>
      <w:r w:rsidRPr="00D16BDF">
        <w:t>(a)  The Government</w:t>
      </w:r>
    </w:p>
    <w:bookmarkStart w:name="Subm_Gov_3app1" w:id="4"/>
    <w:p w:rsidRPr="00D16BDF" w:rsidR="00840F54" w:rsidP="00D16BDF">
      <w:pPr>
        <w:pStyle w:val="ECHRPara"/>
      </w:pPr>
      <w:r w:rsidRPr="00D16BDF">
        <w:fldChar w:fldCharType="begin"/>
      </w:r>
      <w:r w:rsidRPr="00D16BDF">
        <w:instrText xml:space="preserve"> SEQ level0 \*arabic </w:instrText>
      </w:r>
      <w:r w:rsidRPr="00D16BDF">
        <w:fldChar w:fldCharType="separate"/>
      </w:r>
      <w:r w:rsidR="00B417A8">
        <w:rPr>
          <w:noProof/>
        </w:rPr>
        <w:t>12</w:t>
      </w:r>
      <w:r w:rsidRPr="00D16BDF">
        <w:fldChar w:fldCharType="end"/>
      </w:r>
      <w:bookmarkEnd w:id="4"/>
      <w:r w:rsidRPr="00D16BDF">
        <w:t>.  </w:t>
      </w:r>
      <w:r w:rsidRPr="00D16BDF" w:rsidR="00F77E7C">
        <w:t xml:space="preserve">The Government </w:t>
      </w:r>
      <w:r w:rsidRPr="00D16BDF" w:rsidR="0096021B">
        <w:t>informed the Court</w:t>
      </w:r>
      <w:r w:rsidRPr="00D16BDF" w:rsidR="00F77E7C">
        <w:t xml:space="preserve"> that on 15 November 2018 the </w:t>
      </w:r>
      <w:r w:rsidRPr="00D16BDF" w:rsidR="0096021B">
        <w:t xml:space="preserve">relevant domestic </w:t>
      </w:r>
      <w:r w:rsidRPr="00D16BDF" w:rsidR="00F77E7C">
        <w:t xml:space="preserve">authorities had asked </w:t>
      </w:r>
      <w:r w:rsidRPr="00D16BDF" w:rsidR="0096021B">
        <w:t>the third applicant</w:t>
      </w:r>
      <w:r w:rsidRPr="00D16BDF" w:rsidR="00F77E7C">
        <w:t xml:space="preserve"> to indicate her preferred form of restitution. </w:t>
      </w:r>
      <w:r w:rsidRPr="00D16BDF">
        <w:t xml:space="preserve">She had been given the following options: (1) she could be assigned one hectare of land in the area of </w:t>
      </w:r>
      <w:r w:rsidRPr="00D16BDF">
        <w:t>Vaidotai</w:t>
      </w:r>
      <w:r w:rsidRPr="00D16BDF">
        <w:t xml:space="preserve">; (2) she could be assigned a plot of land or forest in a rural area equal in value to the land held previously; (3) she could be provided with monetary compensation. She had been informed that if she chose to receive a plot of land or forest equal in value to the land held previously, she would need to inform the authorities of the area in which she wished to receive it, and a plot in that area would be allocated to her when the land plan was prepared. </w:t>
      </w:r>
      <w:r w:rsidRPr="00D16BDF" w:rsidR="00F77E7C">
        <w:t xml:space="preserve">She </w:t>
      </w:r>
      <w:r w:rsidRPr="00D16BDF" w:rsidR="00E935E9">
        <w:t xml:space="preserve">had </w:t>
      </w:r>
      <w:r w:rsidRPr="00D16BDF">
        <w:t xml:space="preserve">also </w:t>
      </w:r>
      <w:r w:rsidRPr="00D16BDF" w:rsidR="00E935E9">
        <w:t xml:space="preserve">been </w:t>
      </w:r>
      <w:r w:rsidRPr="00D16BDF" w:rsidR="00F77E7C">
        <w:t xml:space="preserve">informed that if she chose to </w:t>
      </w:r>
      <w:r w:rsidRPr="00D16BDF" w:rsidR="00E935E9">
        <w:t xml:space="preserve">have </w:t>
      </w:r>
      <w:r w:rsidRPr="00D16BDF" w:rsidR="00F77E7C">
        <w:t xml:space="preserve">her property rights </w:t>
      </w:r>
      <w:r w:rsidRPr="00D16BDF" w:rsidR="00E935E9">
        <w:t xml:space="preserve">restored </w:t>
      </w:r>
      <w:r w:rsidRPr="00D16BDF" w:rsidR="00F77E7C">
        <w:t xml:space="preserve">by monetary compensation, she would be entitled to compensation of approximately </w:t>
      </w:r>
      <w:r w:rsidRPr="00D16BDF" w:rsidR="00EB233A">
        <w:t xml:space="preserve">EUR </w:t>
      </w:r>
      <w:r w:rsidRPr="00D16BDF" w:rsidR="00F77E7C">
        <w:t>1,157 for one hectare of land which had not been returned to her</w:t>
      </w:r>
      <w:r w:rsidRPr="00D16BDF" w:rsidR="0096021B">
        <w:t xml:space="preserve"> (see § 61 of the principal judgment)</w:t>
      </w:r>
      <w:r w:rsidRPr="00D16BDF">
        <w:t>.</w:t>
      </w:r>
      <w:r w:rsidRPr="00D16BDF" w:rsidR="00964DBD">
        <w:t xml:space="preserve"> </w:t>
      </w:r>
      <w:r w:rsidRPr="00D16BDF">
        <w:t>On 3</w:t>
      </w:r>
      <w:r w:rsidRPr="00D16BDF" w:rsidR="00964DBD">
        <w:t> </w:t>
      </w:r>
      <w:r w:rsidRPr="00D16BDF">
        <w:t xml:space="preserve">December 2018 the third applicant </w:t>
      </w:r>
      <w:r w:rsidRPr="00D16BDF" w:rsidR="00964DBD">
        <w:t xml:space="preserve">sent a reply to the authorities. She observed that there was no vacant land in the area of </w:t>
      </w:r>
      <w:r w:rsidRPr="00D16BDF" w:rsidR="00964DBD">
        <w:t>Vaidotai</w:t>
      </w:r>
      <w:r w:rsidRPr="00D16BDF" w:rsidR="00964DBD">
        <w:t xml:space="preserve">. She further stated that it was unlikely that she would be allocated a new plot in the Vilnius Region because of the large number of </w:t>
      </w:r>
      <w:r w:rsidRPr="00D16BDF" w:rsidR="00964DBD">
        <w:t>candidates</w:t>
      </w:r>
      <w:r w:rsidRPr="00D16BDF" w:rsidR="00964DBD">
        <w:t xml:space="preserve"> </w:t>
      </w:r>
      <w:r w:rsidRPr="00D16BDF" w:rsidR="00CB7AA7">
        <w:t xml:space="preserve">who were </w:t>
      </w:r>
      <w:r w:rsidRPr="00D16BDF" w:rsidR="00964DBD">
        <w:t xml:space="preserve">to receive land there, and it was not clear how long such allocation would take </w:t>
      </w:r>
      <w:r w:rsidRPr="00D16BDF" w:rsidR="00CB7AA7">
        <w:t xml:space="preserve">or </w:t>
      </w:r>
      <w:r w:rsidRPr="00D16BDF" w:rsidR="00964DBD">
        <w:t>what the location and actual value of any new plot would be. She therefore wished for her property rights to be restored by monetary compensation.</w:t>
      </w:r>
    </w:p>
    <w:bookmarkStart w:name="Subm_Gov_3app2" w:id="5"/>
    <w:p w:rsidRPr="00D16BDF" w:rsidR="00690611" w:rsidP="00D16BDF">
      <w:pPr>
        <w:pStyle w:val="ECHRPara"/>
      </w:pPr>
      <w:r w:rsidRPr="00D16BDF">
        <w:fldChar w:fldCharType="begin"/>
      </w:r>
      <w:r w:rsidRPr="00D16BDF">
        <w:instrText xml:space="preserve"> SEQ level0 \*arabic </w:instrText>
      </w:r>
      <w:r w:rsidRPr="00D16BDF">
        <w:fldChar w:fldCharType="separate"/>
      </w:r>
      <w:r w:rsidR="00B417A8">
        <w:rPr>
          <w:noProof/>
        </w:rPr>
        <w:t>13</w:t>
      </w:r>
      <w:r w:rsidRPr="00D16BDF">
        <w:fldChar w:fldCharType="end"/>
      </w:r>
      <w:bookmarkEnd w:id="5"/>
      <w:r w:rsidRPr="00D16BDF">
        <w:t>.  </w:t>
      </w:r>
      <w:r w:rsidRPr="00D16BDF" w:rsidR="00751EC4">
        <w:t>The Government submitt</w:t>
      </w:r>
      <w:r w:rsidRPr="00D16BDF" w:rsidR="00106153">
        <w:t>ed that</w:t>
      </w:r>
      <w:r w:rsidRPr="00D16BDF" w:rsidR="00471CAB">
        <w:t>, according to data provided by the Centre of Registers,</w:t>
      </w:r>
      <w:r w:rsidRPr="00D16BDF" w:rsidR="00106153">
        <w:t xml:space="preserve"> the indexed value of </w:t>
      </w:r>
      <w:r w:rsidRPr="00D16BDF" w:rsidR="0096021B">
        <w:t>one hectare of</w:t>
      </w:r>
      <w:r w:rsidRPr="00D16BDF" w:rsidR="00751EC4">
        <w:t xml:space="preserve"> land</w:t>
      </w:r>
      <w:r w:rsidRPr="00D16BDF" w:rsidR="0096021B">
        <w:t xml:space="preserve"> in the area of </w:t>
      </w:r>
      <w:r w:rsidRPr="00D16BDF" w:rsidR="0096021B">
        <w:t>Vaidotai</w:t>
      </w:r>
      <w:r w:rsidRPr="00D16BDF" w:rsidR="0096021B">
        <w:t xml:space="preserve">, where the third applicant had the right to have her property rights restored </w:t>
      </w:r>
      <w:r w:rsidRPr="00D16BDF" w:rsidR="0096021B">
        <w:rPr>
          <w:snapToGrid w:val="0"/>
        </w:rPr>
        <w:t>(see §§ 11 and 41 of the principal judgment)</w:t>
      </w:r>
      <w:r w:rsidRPr="00D16BDF" w:rsidR="00106153">
        <w:t xml:space="preserve">, </w:t>
      </w:r>
      <w:r w:rsidRPr="00D16BDF" w:rsidR="00471CAB">
        <w:t>had been</w:t>
      </w:r>
      <w:r w:rsidRPr="00D16BDF" w:rsidR="00751EC4">
        <w:t xml:space="preserve"> EUR</w:t>
      </w:r>
      <w:r w:rsidRPr="00D16BDF" w:rsidR="00471CAB">
        <w:t> </w:t>
      </w:r>
      <w:r w:rsidRPr="00D16BDF" w:rsidR="00751EC4">
        <w:t>1,282</w:t>
      </w:r>
      <w:r w:rsidRPr="00D16BDF" w:rsidR="00471CAB">
        <w:t xml:space="preserve"> </w:t>
      </w:r>
      <w:r w:rsidRPr="00D16BDF" w:rsidR="00471CAB">
        <w:rPr>
          <w:snapToGrid w:val="0"/>
        </w:rPr>
        <w:t xml:space="preserve">in 2009, that is to say at the time when the proceedings concerning the annulment of her property rights </w:t>
      </w:r>
      <w:r w:rsidRPr="00D16BDF" w:rsidR="0046321B">
        <w:rPr>
          <w:snapToGrid w:val="0"/>
        </w:rPr>
        <w:t xml:space="preserve">had begun </w:t>
      </w:r>
      <w:r w:rsidRPr="00D16BDF" w:rsidR="00471CAB">
        <w:rPr>
          <w:snapToGrid w:val="0"/>
        </w:rPr>
        <w:t>(see § 42 of the principal judgment).</w:t>
      </w:r>
      <w:r w:rsidRPr="00D16BDF" w:rsidR="00751EC4">
        <w:t xml:space="preserve"> </w:t>
      </w:r>
      <w:r w:rsidRPr="00D16BDF" w:rsidR="00D14DA1">
        <w:t>They</w:t>
      </w:r>
      <w:r w:rsidRPr="00D16BDF" w:rsidR="00751EC4">
        <w:t xml:space="preserve"> contended that the compensation of EUR</w:t>
      </w:r>
      <w:r w:rsidRPr="00D16BDF" w:rsidR="00661FC0">
        <w:t xml:space="preserve"> </w:t>
      </w:r>
      <w:r w:rsidRPr="00D16BDF" w:rsidR="00761C0D">
        <w:t>1,157</w:t>
      </w:r>
      <w:r w:rsidRPr="00D16BDF" w:rsidR="00751EC4">
        <w:t xml:space="preserve"> which</w:t>
      </w:r>
      <w:r w:rsidRPr="00D16BDF" w:rsidR="00EE4358">
        <w:t xml:space="preserve"> had been offered to</w:t>
      </w:r>
      <w:r w:rsidRPr="00D16BDF" w:rsidR="00751EC4">
        <w:t xml:space="preserve"> the third applicant was “very close to the sustained damage” and that the “slight difference of the value should be considered as compensated by the non-pecuniary damage award”.</w:t>
      </w:r>
    </w:p>
    <w:p w:rsidRPr="00D16BDF" w:rsidR="00A54941" w:rsidP="00D16BDF">
      <w:pPr>
        <w:pStyle w:val="ECHRHeading4"/>
      </w:pPr>
      <w:r w:rsidRPr="00D16BDF">
        <w:t>(b)  The applicant</w:t>
      </w:r>
    </w:p>
    <w:bookmarkStart w:name="Subm_app3" w:id="6"/>
    <w:p w:rsidRPr="00D16BDF" w:rsidR="00751EC4" w:rsidP="00D16BDF">
      <w:pPr>
        <w:pStyle w:val="ECHRPara"/>
      </w:pPr>
      <w:r w:rsidRPr="00D16BDF">
        <w:fldChar w:fldCharType="begin"/>
      </w:r>
      <w:r w:rsidRPr="00D16BDF">
        <w:instrText xml:space="preserve"> SEQ level0 \*arabic </w:instrText>
      </w:r>
      <w:r w:rsidRPr="00D16BDF">
        <w:fldChar w:fldCharType="separate"/>
      </w:r>
      <w:r w:rsidR="00B417A8">
        <w:rPr>
          <w:noProof/>
        </w:rPr>
        <w:t>14</w:t>
      </w:r>
      <w:r w:rsidRPr="00D16BDF">
        <w:fldChar w:fldCharType="end"/>
      </w:r>
      <w:bookmarkEnd w:id="6"/>
      <w:r w:rsidRPr="00D16BDF">
        <w:t>.  </w:t>
      </w:r>
      <w:r w:rsidRPr="00D16BDF" w:rsidR="00BA6216">
        <w:t xml:space="preserve">The third applicant submitted that she had chosen to have her property rights restored by monetary compensation because there had been no vacant plots of land which could have covered the pecuniary damage which she had sustained. She had been offered plots of land in protected areas or forests, </w:t>
      </w:r>
      <w:r w:rsidRPr="00D16BDF" w:rsidR="005C4153">
        <w:t xml:space="preserve">where </w:t>
      </w:r>
      <w:r w:rsidRPr="00D16BDF" w:rsidR="00BA6216">
        <w:t>the use of land was restricted, and she did not wish to receive such land. She further</w:t>
      </w:r>
      <w:r w:rsidRPr="00D16BDF" w:rsidR="00D14DA1">
        <w:t xml:space="preserve"> submitted</w:t>
      </w:r>
      <w:r w:rsidRPr="00D16BDF" w:rsidR="00761C0D">
        <w:t xml:space="preserve"> that the amount of EUR 1,157</w:t>
      </w:r>
      <w:r w:rsidRPr="00D16BDF" w:rsidR="00EE4358">
        <w:t xml:space="preserve"> to which she was entitled under the domestic law</w:t>
      </w:r>
      <w:r w:rsidRPr="00D16BDF" w:rsidR="00D14DA1">
        <w:t xml:space="preserve"> was manifestly insufficient to compensate </w:t>
      </w:r>
      <w:r w:rsidRPr="00D16BDF" w:rsidR="0096021B">
        <w:t xml:space="preserve">her </w:t>
      </w:r>
      <w:r w:rsidRPr="00D16BDF" w:rsidR="00D14DA1">
        <w:t xml:space="preserve">for the </w:t>
      </w:r>
      <w:r w:rsidRPr="00D16BDF" w:rsidR="00EE4358">
        <w:t>actual</w:t>
      </w:r>
      <w:r w:rsidRPr="00D16BDF" w:rsidR="00D14DA1">
        <w:t xml:space="preserve"> damage which she had sustained. She submitted that the market value of </w:t>
      </w:r>
      <w:r w:rsidRPr="00D16BDF" w:rsidR="0096021B">
        <w:t>the</w:t>
      </w:r>
      <w:r w:rsidRPr="00D16BDF" w:rsidR="00D14DA1">
        <w:t xml:space="preserve"> land was EUR</w:t>
      </w:r>
      <w:r w:rsidRPr="00D16BDF" w:rsidR="0096021B">
        <w:t> </w:t>
      </w:r>
      <w:r w:rsidRPr="00D16BDF" w:rsidR="00EB233A">
        <w:t xml:space="preserve">22,011 (see </w:t>
      </w:r>
      <w:r w:rsidRPr="00D16BDF" w:rsidR="00955746">
        <w:t>§</w:t>
      </w:r>
      <w:r w:rsidRPr="00D16BDF" w:rsidR="00EE4358">
        <w:t> </w:t>
      </w:r>
      <w:r w:rsidRPr="00D16BDF" w:rsidR="00955746">
        <w:t>169 of the principal judgment</w:t>
      </w:r>
      <w:r w:rsidRPr="00D16BDF" w:rsidR="00EB233A">
        <w:t>)</w:t>
      </w:r>
      <w:r w:rsidRPr="00D16BDF" w:rsidR="0046321B">
        <w:t>,</w:t>
      </w:r>
      <w:r w:rsidRPr="00D16BDF" w:rsidR="00EB233A">
        <w:t xml:space="preserve"> and</w:t>
      </w:r>
      <w:r w:rsidRPr="00D16BDF" w:rsidR="00D14DA1">
        <w:t xml:space="preserve"> </w:t>
      </w:r>
      <w:r w:rsidRPr="00D16BDF" w:rsidR="00661FC0">
        <w:t xml:space="preserve">therefore </w:t>
      </w:r>
      <w:r w:rsidRPr="00D16BDF" w:rsidR="0046321B">
        <w:t xml:space="preserve">she </w:t>
      </w:r>
      <w:r w:rsidRPr="00D16BDF" w:rsidR="00661FC0">
        <w:t>claimed EUR </w:t>
      </w:r>
      <w:r w:rsidRPr="00D16BDF" w:rsidR="00761C0D">
        <w:t>20,854</w:t>
      </w:r>
      <w:r w:rsidRPr="00D16BDF" w:rsidR="00D14DA1">
        <w:t xml:space="preserve"> in respect of pecuniary damage, </w:t>
      </w:r>
      <w:r w:rsidRPr="00D16BDF" w:rsidR="0046321B">
        <w:t xml:space="preserve">an amount </w:t>
      </w:r>
      <w:r w:rsidRPr="00D16BDF" w:rsidR="001E0AD0">
        <w:t>correspond</w:t>
      </w:r>
      <w:r w:rsidRPr="00D16BDF" w:rsidR="0096021B">
        <w:t>ing</w:t>
      </w:r>
      <w:r w:rsidRPr="00D16BDF" w:rsidR="00D14DA1">
        <w:t xml:space="preserve"> to the market value</w:t>
      </w:r>
      <w:r w:rsidRPr="00D16BDF" w:rsidR="00955746">
        <w:t xml:space="preserve"> </w:t>
      </w:r>
      <w:r w:rsidRPr="00D16BDF" w:rsidR="00D14DA1">
        <w:t xml:space="preserve">of the land after subtracting the compensation </w:t>
      </w:r>
      <w:r w:rsidRPr="00D16BDF" w:rsidR="00EE4358">
        <w:t>offered</w:t>
      </w:r>
      <w:r w:rsidRPr="00D16BDF" w:rsidR="00D14DA1">
        <w:t xml:space="preserve"> to her by the domestic authorities.</w:t>
      </w:r>
    </w:p>
    <w:p w:rsidRPr="00D16BDF" w:rsidR="00690611" w:rsidP="00D16BDF">
      <w:pPr>
        <w:pStyle w:val="ECHRHeading3"/>
      </w:pPr>
      <w:r w:rsidRPr="00D16BDF">
        <w:t>2</w:t>
      </w:r>
      <w:r w:rsidRPr="00D16BDF">
        <w:t>.  </w:t>
      </w:r>
      <w:r w:rsidRPr="00D16BDF" w:rsidR="00DD0AE5">
        <w:t>The Court</w:t>
      </w:r>
      <w:r w:rsidRPr="00D16BDF" w:rsidR="00D16BDF">
        <w:t>’</w:t>
      </w:r>
      <w:r w:rsidRPr="00D16BDF" w:rsidR="00DD0AE5">
        <w:t>s assessment</w:t>
      </w:r>
    </w:p>
    <w:p w:rsidRPr="00D16BDF" w:rsidR="001C4C81" w:rsidP="00D16BDF">
      <w:pPr>
        <w:pStyle w:val="ECHRPara"/>
        <w:rPr>
          <w:snapToGrid w:val="0"/>
        </w:rPr>
      </w:pPr>
      <w:r w:rsidRPr="00D16BDF">
        <w:rPr>
          <w:snapToGrid w:val="0"/>
        </w:rPr>
        <w:fldChar w:fldCharType="begin"/>
      </w:r>
      <w:r w:rsidRPr="00D16BDF">
        <w:rPr>
          <w:snapToGrid w:val="0"/>
        </w:rPr>
        <w:instrText xml:space="preserve"> SEQ level0 \*arabic </w:instrText>
      </w:r>
      <w:r w:rsidRPr="00D16BDF">
        <w:rPr>
          <w:snapToGrid w:val="0"/>
        </w:rPr>
        <w:fldChar w:fldCharType="separate"/>
      </w:r>
      <w:r w:rsidR="00B417A8">
        <w:rPr>
          <w:noProof/>
          <w:snapToGrid w:val="0"/>
        </w:rPr>
        <w:t>15</w:t>
      </w:r>
      <w:r w:rsidRPr="00D16BDF">
        <w:rPr>
          <w:snapToGrid w:val="0"/>
        </w:rPr>
        <w:fldChar w:fldCharType="end"/>
      </w:r>
      <w:r w:rsidRPr="00D16BDF">
        <w:rPr>
          <w:snapToGrid w:val="0"/>
        </w:rPr>
        <w:t>.  </w:t>
      </w:r>
      <w:r w:rsidRPr="00D16BDF">
        <w:rPr>
          <w:snapToGrid w:val="0"/>
        </w:rPr>
        <w:t xml:space="preserve">The Court observes that after the adoption of the principal judgment the domestic authorities </w:t>
      </w:r>
      <w:r w:rsidRPr="00D16BDF">
        <w:rPr>
          <w:snapToGrid w:val="0"/>
        </w:rPr>
        <w:t xml:space="preserve">asked </w:t>
      </w:r>
      <w:r w:rsidRPr="00D16BDF">
        <w:rPr>
          <w:snapToGrid w:val="0"/>
        </w:rPr>
        <w:t xml:space="preserve">the applicant to choose her preferred form of restitution from several options provided </w:t>
      </w:r>
      <w:r w:rsidRPr="00D16BDF" w:rsidR="00846D9E">
        <w:rPr>
          <w:snapToGrid w:val="0"/>
        </w:rPr>
        <w:t xml:space="preserve">for </w:t>
      </w:r>
      <w:r w:rsidRPr="00D16BDF">
        <w:rPr>
          <w:snapToGrid w:val="0"/>
        </w:rPr>
        <w:t xml:space="preserve">by the domestic law (see paragraph </w:t>
      </w:r>
      <w:r w:rsidRPr="00D16BDF">
        <w:rPr>
          <w:snapToGrid w:val="0"/>
        </w:rPr>
        <w:fldChar w:fldCharType="begin"/>
      </w:r>
      <w:r w:rsidRPr="00D16BDF">
        <w:rPr>
          <w:snapToGrid w:val="0"/>
        </w:rPr>
        <w:instrText xml:space="preserve"> REF Subm_Gov_3app1 \h </w:instrText>
      </w:r>
      <w:r w:rsidRPr="00D16BDF" w:rsidR="001B6BFB">
        <w:rPr>
          <w:snapToGrid w:val="0"/>
        </w:rPr>
        <w:instrText xml:space="preserve"> \* MERGEFORMAT </w:instrText>
      </w:r>
      <w:r w:rsidRPr="00D16BDF">
        <w:rPr>
          <w:snapToGrid w:val="0"/>
        </w:rPr>
        <w:fldChar w:fldCharType="separate"/>
      </w:r>
      <w:r w:rsidR="00B417A8">
        <w:rPr>
          <w:noProof/>
        </w:rPr>
        <w:t>12</w:t>
      </w:r>
      <w:r w:rsidRPr="00D16BDF">
        <w:rPr>
          <w:snapToGrid w:val="0"/>
        </w:rPr>
        <w:fldChar w:fldCharType="end"/>
      </w:r>
      <w:r w:rsidRPr="00D16BDF">
        <w:rPr>
          <w:snapToGrid w:val="0"/>
        </w:rPr>
        <w:t xml:space="preserve"> above). </w:t>
      </w:r>
      <w:r w:rsidRPr="00D16BDF" w:rsidR="009F1731">
        <w:rPr>
          <w:snapToGrid w:val="0"/>
        </w:rPr>
        <w:t>It is of the view that</w:t>
      </w:r>
      <w:r w:rsidRPr="00D16BDF">
        <w:rPr>
          <w:snapToGrid w:val="0"/>
        </w:rPr>
        <w:t xml:space="preserve"> the third applicant was </w:t>
      </w:r>
      <w:r w:rsidRPr="00D16BDF" w:rsidR="0085563F">
        <w:rPr>
          <w:snapToGrid w:val="0"/>
        </w:rPr>
        <w:t>expect</w:t>
      </w:r>
      <w:r w:rsidRPr="00D16BDF">
        <w:rPr>
          <w:snapToGrid w:val="0"/>
        </w:rPr>
        <w:t xml:space="preserve">ed to </w:t>
      </w:r>
      <w:r w:rsidRPr="00D16BDF" w:rsidR="009F1731">
        <w:rPr>
          <w:snapToGrid w:val="0"/>
        </w:rPr>
        <w:t>cooperate with the authorities and make a choice</w:t>
      </w:r>
      <w:r w:rsidRPr="00D16BDF" w:rsidR="008B2711">
        <w:rPr>
          <w:snapToGrid w:val="0"/>
        </w:rPr>
        <w:t xml:space="preserve"> –</w:t>
      </w:r>
      <w:r w:rsidRPr="00D16BDF">
        <w:rPr>
          <w:snapToGrid w:val="0"/>
        </w:rPr>
        <w:t xml:space="preserve"> </w:t>
      </w:r>
      <w:r w:rsidRPr="00D16BDF" w:rsidR="008B2711">
        <w:rPr>
          <w:snapToGrid w:val="0"/>
        </w:rPr>
        <w:t>i</w:t>
      </w:r>
      <w:r w:rsidRPr="00D16BDF">
        <w:rPr>
          <w:snapToGrid w:val="0"/>
        </w:rPr>
        <w:t xml:space="preserve">ndeed, </w:t>
      </w:r>
      <w:r w:rsidRPr="00D16BDF" w:rsidR="00846D9E">
        <w:rPr>
          <w:snapToGrid w:val="0"/>
        </w:rPr>
        <w:t>the Court</w:t>
      </w:r>
      <w:r w:rsidRPr="00D16BDF">
        <w:rPr>
          <w:snapToGrid w:val="0"/>
        </w:rPr>
        <w:t xml:space="preserve"> previously found that where the applicants had refused to participate in the restitution process in accordance with domestic law, the delay in the restoration of their property rights could not be considered the responsibility of the authorities (see §§ 162-63 of the principal judgment</w:t>
      </w:r>
      <w:r w:rsidRPr="00D16BDF" w:rsidR="00110805">
        <w:rPr>
          <w:snapToGrid w:val="0"/>
        </w:rPr>
        <w:t>,</w:t>
      </w:r>
      <w:r w:rsidRPr="00D16BDF">
        <w:rPr>
          <w:snapToGrid w:val="0"/>
        </w:rPr>
        <w:t xml:space="preserve"> and </w:t>
      </w:r>
      <w:r w:rsidRPr="00D16BDF">
        <w:rPr>
          <w:i/>
          <w:snapToGrid w:val="0"/>
          <w:lang w:val="lt-LT"/>
        </w:rPr>
        <w:t>Černiak</w:t>
      </w:r>
      <w:r w:rsidRPr="00D16BDF">
        <w:rPr>
          <w:i/>
          <w:snapToGrid w:val="0"/>
          <w:lang w:val="lt-LT"/>
        </w:rPr>
        <w:t xml:space="preserve"> </w:t>
      </w:r>
      <w:r w:rsidRPr="00D16BDF">
        <w:rPr>
          <w:i/>
          <w:snapToGrid w:val="0"/>
        </w:rPr>
        <w:t xml:space="preserve">v. Lithuania </w:t>
      </w:r>
      <w:r w:rsidRPr="00D16BDF">
        <w:rPr>
          <w:snapToGrid w:val="0"/>
        </w:rPr>
        <w:t>[Committee], no. 37723/11, §§ 34-35, 18 December 2018).</w:t>
      </w:r>
      <w:r w:rsidRPr="00D16BDF" w:rsidR="00551F57">
        <w:rPr>
          <w:snapToGrid w:val="0"/>
        </w:rPr>
        <w:t xml:space="preserve"> </w:t>
      </w:r>
      <w:r w:rsidRPr="00D16BDF" w:rsidR="00A93E5F">
        <w:rPr>
          <w:snapToGrid w:val="0"/>
        </w:rPr>
        <w:t xml:space="preserve">It </w:t>
      </w:r>
      <w:r w:rsidRPr="00D16BDF" w:rsidR="003809E4">
        <w:rPr>
          <w:snapToGrid w:val="0"/>
        </w:rPr>
        <w:t xml:space="preserve">also </w:t>
      </w:r>
      <w:r w:rsidRPr="00D16BDF" w:rsidR="00A93E5F">
        <w:rPr>
          <w:snapToGrid w:val="0"/>
        </w:rPr>
        <w:t>takes note of the third applicant</w:t>
      </w:r>
      <w:r w:rsidRPr="00D16BDF" w:rsidR="00D16BDF">
        <w:rPr>
          <w:snapToGrid w:val="0"/>
        </w:rPr>
        <w:t>’</w:t>
      </w:r>
      <w:r w:rsidRPr="00D16BDF" w:rsidR="00A93E5F">
        <w:rPr>
          <w:snapToGrid w:val="0"/>
        </w:rPr>
        <w:t xml:space="preserve">s letter to the authorities in which she provided her reasons for choosing to have her property rights restored </w:t>
      </w:r>
      <w:r w:rsidRPr="00D16BDF" w:rsidR="008B1528">
        <w:rPr>
          <w:snapToGrid w:val="0"/>
        </w:rPr>
        <w:t xml:space="preserve">by monetary compensation rather than </w:t>
      </w:r>
      <w:r w:rsidRPr="00D16BDF" w:rsidR="00A93E5F">
        <w:rPr>
          <w:snapToGrid w:val="0"/>
        </w:rPr>
        <w:t xml:space="preserve">by receiving a plot of land; although she had been informed that the amount of compensation for one hectare of land would be EUR 1,157, in that letter she did not explicitly agree to any specific amount (see paragraph </w:t>
      </w:r>
      <w:r w:rsidRPr="00D16BDF" w:rsidR="00A93E5F">
        <w:rPr>
          <w:snapToGrid w:val="0"/>
        </w:rPr>
        <w:fldChar w:fldCharType="begin"/>
      </w:r>
      <w:r w:rsidRPr="00D16BDF" w:rsidR="00A93E5F">
        <w:rPr>
          <w:snapToGrid w:val="0"/>
        </w:rPr>
        <w:instrText xml:space="preserve"> REF Subm_Gov_3app1 \h  \* MERGEFORMAT </w:instrText>
      </w:r>
      <w:r w:rsidRPr="00D16BDF" w:rsidR="00A93E5F">
        <w:rPr>
          <w:snapToGrid w:val="0"/>
        </w:rPr>
        <w:fldChar w:fldCharType="separate"/>
      </w:r>
      <w:r w:rsidR="00B417A8">
        <w:rPr>
          <w:noProof/>
        </w:rPr>
        <w:t>12</w:t>
      </w:r>
      <w:r w:rsidRPr="00D16BDF" w:rsidR="00A93E5F">
        <w:rPr>
          <w:snapToGrid w:val="0"/>
        </w:rPr>
        <w:fldChar w:fldCharType="end"/>
      </w:r>
      <w:r w:rsidRPr="00D16BDF" w:rsidR="00A93E5F">
        <w:rPr>
          <w:snapToGrid w:val="0"/>
        </w:rPr>
        <w:t xml:space="preserve"> above). </w:t>
      </w:r>
      <w:r w:rsidRPr="00D16BDF" w:rsidR="000D5304">
        <w:rPr>
          <w:snapToGrid w:val="0"/>
        </w:rPr>
        <w:t>The Court therefore considers that</w:t>
      </w:r>
      <w:r w:rsidRPr="00D16BDF" w:rsidR="000870DB">
        <w:rPr>
          <w:snapToGrid w:val="0"/>
        </w:rPr>
        <w:t>, in</w:t>
      </w:r>
      <w:r w:rsidRPr="00D16BDF" w:rsidR="000D5304">
        <w:rPr>
          <w:snapToGrid w:val="0"/>
        </w:rPr>
        <w:t xml:space="preserve"> the present situation</w:t>
      </w:r>
      <w:r w:rsidRPr="00D16BDF" w:rsidR="000870DB">
        <w:rPr>
          <w:snapToGrid w:val="0"/>
        </w:rPr>
        <w:t>, it</w:t>
      </w:r>
      <w:r w:rsidRPr="00D16BDF" w:rsidR="000D5304">
        <w:rPr>
          <w:snapToGrid w:val="0"/>
        </w:rPr>
        <w:t xml:space="preserve"> cannot be </w:t>
      </w:r>
      <w:r w:rsidRPr="00D16BDF" w:rsidR="000870DB">
        <w:rPr>
          <w:snapToGrid w:val="0"/>
        </w:rPr>
        <w:t>stated that the third applicant</w:t>
      </w:r>
      <w:r w:rsidRPr="00D16BDF" w:rsidR="000D5304">
        <w:rPr>
          <w:snapToGrid w:val="0"/>
        </w:rPr>
        <w:t xml:space="preserve"> </w:t>
      </w:r>
      <w:r w:rsidRPr="00D16BDF" w:rsidR="000D5304">
        <w:rPr>
          <w:snapToGrid w:val="0"/>
        </w:rPr>
        <w:t>accept</w:t>
      </w:r>
      <w:r w:rsidRPr="00D16BDF" w:rsidR="000870DB">
        <w:rPr>
          <w:snapToGrid w:val="0"/>
        </w:rPr>
        <w:t>ed</w:t>
      </w:r>
      <w:r w:rsidRPr="00D16BDF" w:rsidR="000D5304">
        <w:rPr>
          <w:snapToGrid w:val="0"/>
        </w:rPr>
        <w:t xml:space="preserve"> </w:t>
      </w:r>
      <w:r w:rsidRPr="00D16BDF" w:rsidR="000870DB">
        <w:rPr>
          <w:snapToGrid w:val="0"/>
        </w:rPr>
        <w:t>a</w:t>
      </w:r>
      <w:r w:rsidRPr="00D16BDF" w:rsidR="000D5304">
        <w:rPr>
          <w:snapToGrid w:val="0"/>
        </w:rPr>
        <w:t xml:space="preserve"> sum of compensation offered in settlement of a civil claim and renounce</w:t>
      </w:r>
      <w:r w:rsidRPr="00D16BDF" w:rsidR="000870DB">
        <w:rPr>
          <w:snapToGrid w:val="0"/>
        </w:rPr>
        <w:t>d</w:t>
      </w:r>
      <w:r w:rsidRPr="00D16BDF" w:rsidR="000D5304">
        <w:rPr>
          <w:snapToGrid w:val="0"/>
        </w:rPr>
        <w:t xml:space="preserve"> </w:t>
      </w:r>
      <w:r w:rsidRPr="00D16BDF" w:rsidR="008B1528">
        <w:rPr>
          <w:snapToGrid w:val="0"/>
        </w:rPr>
        <w:t xml:space="preserve">the </w:t>
      </w:r>
      <w:r w:rsidRPr="00D16BDF" w:rsidR="000D5304">
        <w:rPr>
          <w:snapToGrid w:val="0"/>
        </w:rPr>
        <w:t xml:space="preserve">further use of local remedies (compare and contrast </w:t>
      </w:r>
      <w:r w:rsidRPr="00D16BDF" w:rsidR="005D6B72">
        <w:rPr>
          <w:i/>
          <w:snapToGrid w:val="0"/>
        </w:rPr>
        <w:t>A.F. v.</w:t>
      </w:r>
      <w:r w:rsidRPr="00D16BDF" w:rsidR="00510909">
        <w:rPr>
          <w:i/>
          <w:snapToGrid w:val="0"/>
        </w:rPr>
        <w:t> </w:t>
      </w:r>
      <w:r w:rsidRPr="00D16BDF" w:rsidR="005D6B72">
        <w:rPr>
          <w:i/>
          <w:snapToGrid w:val="0"/>
        </w:rPr>
        <w:t>the United Kingdom</w:t>
      </w:r>
      <w:r w:rsidRPr="00D16BDF" w:rsidR="005D6B72">
        <w:rPr>
          <w:snapToGrid w:val="0"/>
        </w:rPr>
        <w:t xml:space="preserve"> (</w:t>
      </w:r>
      <w:r w:rsidRPr="00D16BDF" w:rsidR="005D6B72">
        <w:rPr>
          <w:snapToGrid w:val="0"/>
        </w:rPr>
        <w:t>dec.</w:t>
      </w:r>
      <w:r w:rsidRPr="00D16BDF" w:rsidR="005D6B72">
        <w:rPr>
          <w:snapToGrid w:val="0"/>
        </w:rPr>
        <w:t xml:space="preserve">), no. </w:t>
      </w:r>
      <w:r w:rsidRPr="00D16BDF" w:rsidR="00727EEA">
        <w:rPr>
          <w:snapToGrid w:val="0"/>
        </w:rPr>
        <w:t xml:space="preserve">7674/08, § 21, 20 May 2014, and the case-law cited therein). </w:t>
      </w:r>
      <w:r w:rsidRPr="00D16BDF" w:rsidR="003809E4">
        <w:rPr>
          <w:snapToGrid w:val="0"/>
        </w:rPr>
        <w:t>Furthermore, the</w:t>
      </w:r>
      <w:r w:rsidRPr="00D16BDF" w:rsidR="00946487">
        <w:rPr>
          <w:snapToGrid w:val="0"/>
        </w:rPr>
        <w:t xml:space="preserve"> Court reiterates that an applicant</w:t>
      </w:r>
      <w:r w:rsidRPr="00D16BDF" w:rsidR="00D16BDF">
        <w:rPr>
          <w:snapToGrid w:val="0"/>
        </w:rPr>
        <w:t>’</w:t>
      </w:r>
      <w:r w:rsidRPr="00D16BDF" w:rsidR="00946487">
        <w:rPr>
          <w:snapToGrid w:val="0"/>
        </w:rPr>
        <w:t xml:space="preserve">s victim status may depend on the level of compensation awarded at domestic level on the basis of the facts about which he or she complains before the Court (see </w:t>
      </w:r>
      <w:r w:rsidRPr="00D16BDF" w:rsidR="00946487">
        <w:rPr>
          <w:i/>
        </w:rPr>
        <w:t>Scordino</w:t>
      </w:r>
      <w:r w:rsidRPr="00D16BDF" w:rsidR="00946487">
        <w:rPr>
          <w:i/>
        </w:rPr>
        <w:t xml:space="preserve"> v. Italy (no. 1) </w:t>
      </w:r>
      <w:r w:rsidRPr="00D16BDF" w:rsidR="00946487">
        <w:t>[GC], no.</w:t>
      </w:r>
      <w:r w:rsidRPr="00D16BDF" w:rsidR="005C4EA8">
        <w:t> </w:t>
      </w:r>
      <w:r w:rsidRPr="00D16BDF" w:rsidR="007A1E4C">
        <w:t>36813/97, § </w:t>
      </w:r>
      <w:r w:rsidRPr="00D16BDF" w:rsidR="00946487">
        <w:t>202, ECHR</w:t>
      </w:r>
      <w:r w:rsidRPr="00D16BDF" w:rsidR="00510909">
        <w:t> </w:t>
      </w:r>
      <w:r w:rsidRPr="00D16BDF" w:rsidR="00946487">
        <w:t>2006</w:t>
      </w:r>
      <w:r w:rsidRPr="00D16BDF" w:rsidR="00946487">
        <w:noBreakHyphen/>
        <w:t>V</w:t>
      </w:r>
      <w:r w:rsidRPr="00D16BDF" w:rsidR="00514A87">
        <w:t xml:space="preserve">, and </w:t>
      </w:r>
      <w:r w:rsidRPr="00D16BDF" w:rsidR="00117E8C">
        <w:rPr>
          <w:i/>
        </w:rPr>
        <w:t>Paplauskienė</w:t>
      </w:r>
      <w:r w:rsidRPr="00D16BDF" w:rsidR="00117E8C">
        <w:rPr>
          <w:i/>
        </w:rPr>
        <w:t xml:space="preserve"> v. Lithuania</w:t>
      </w:r>
      <w:r w:rsidRPr="00D16BDF" w:rsidR="00117E8C">
        <w:t>, no. 31102/06</w:t>
      </w:r>
      <w:r w:rsidRPr="00D16BDF" w:rsidR="007A1E4C">
        <w:rPr>
          <w:snapToGrid w:val="0"/>
        </w:rPr>
        <w:t>, § </w:t>
      </w:r>
      <w:r w:rsidRPr="00D16BDF" w:rsidR="00117E8C">
        <w:rPr>
          <w:snapToGrid w:val="0"/>
        </w:rPr>
        <w:t>28, 14</w:t>
      </w:r>
      <w:r w:rsidRPr="00D16BDF" w:rsidR="00510909">
        <w:rPr>
          <w:snapToGrid w:val="0"/>
        </w:rPr>
        <w:t> </w:t>
      </w:r>
      <w:r w:rsidRPr="00D16BDF" w:rsidR="00117E8C">
        <w:rPr>
          <w:snapToGrid w:val="0"/>
        </w:rPr>
        <w:t>October 2014</w:t>
      </w:r>
      <w:r w:rsidRPr="00D16BDF" w:rsidR="00946487">
        <w:rPr>
          <w:snapToGrid w:val="0"/>
        </w:rPr>
        <w:t>).</w:t>
      </w:r>
      <w:r w:rsidRPr="00D16BDF" w:rsidR="000C5B2B">
        <w:rPr>
          <w:snapToGrid w:val="0"/>
        </w:rPr>
        <w:t xml:space="preserve"> Taking note of the amount of compensation which the applicant was entitled to receive at domestic level (EUR 1,157) and the fact that that amount was below </w:t>
      </w:r>
      <w:r w:rsidRPr="00D16BDF" w:rsidR="00126C55">
        <w:t xml:space="preserve">the indexed value of one hectare of land in the area where </w:t>
      </w:r>
      <w:r w:rsidRPr="00D16BDF" w:rsidR="000C5B2B">
        <w:t>she</w:t>
      </w:r>
      <w:r w:rsidRPr="00D16BDF" w:rsidR="00126C55">
        <w:t xml:space="preserve"> had the right to have her property rights restored</w:t>
      </w:r>
      <w:r w:rsidRPr="00D16BDF" w:rsidR="000D5304">
        <w:rPr>
          <w:snapToGrid w:val="0"/>
        </w:rPr>
        <w:t xml:space="preserve"> (see paragraph </w:t>
      </w:r>
      <w:r w:rsidRPr="00D16BDF" w:rsidR="000D5304">
        <w:rPr>
          <w:snapToGrid w:val="0"/>
        </w:rPr>
        <w:fldChar w:fldCharType="begin"/>
      </w:r>
      <w:r w:rsidRPr="00D16BDF" w:rsidR="000D5304">
        <w:rPr>
          <w:snapToGrid w:val="0"/>
        </w:rPr>
        <w:instrText xml:space="preserve"> REF Subm_Gov_3app2 \h </w:instrText>
      </w:r>
      <w:r w:rsidRPr="00D16BDF" w:rsidR="001B6BFB">
        <w:rPr>
          <w:snapToGrid w:val="0"/>
        </w:rPr>
        <w:instrText xml:space="preserve"> \* MERGEFORMAT </w:instrText>
      </w:r>
      <w:r w:rsidRPr="00D16BDF" w:rsidR="000D5304">
        <w:rPr>
          <w:snapToGrid w:val="0"/>
        </w:rPr>
        <w:fldChar w:fldCharType="separate"/>
      </w:r>
      <w:r w:rsidR="00B417A8">
        <w:rPr>
          <w:noProof/>
        </w:rPr>
        <w:t>13</w:t>
      </w:r>
      <w:r w:rsidRPr="00D16BDF" w:rsidR="000D5304">
        <w:rPr>
          <w:snapToGrid w:val="0"/>
        </w:rPr>
        <w:fldChar w:fldCharType="end"/>
      </w:r>
      <w:r w:rsidRPr="00D16BDF" w:rsidR="000D5304">
        <w:rPr>
          <w:snapToGrid w:val="0"/>
        </w:rPr>
        <w:t xml:space="preserve"> above), the Court considers that </w:t>
      </w:r>
      <w:r w:rsidRPr="00D16BDF" w:rsidR="00126C55">
        <w:rPr>
          <w:snapToGrid w:val="0"/>
        </w:rPr>
        <w:t>it</w:t>
      </w:r>
      <w:r w:rsidRPr="00D16BDF" w:rsidR="000D5304">
        <w:rPr>
          <w:snapToGrid w:val="0"/>
        </w:rPr>
        <w:t xml:space="preserve"> was not sufficient to deprive </w:t>
      </w:r>
      <w:r w:rsidRPr="00D16BDF" w:rsidR="00126C55">
        <w:rPr>
          <w:snapToGrid w:val="0"/>
        </w:rPr>
        <w:t>the third applicant</w:t>
      </w:r>
      <w:r w:rsidRPr="00D16BDF" w:rsidR="000D5304">
        <w:rPr>
          <w:snapToGrid w:val="0"/>
        </w:rPr>
        <w:t xml:space="preserve"> of </w:t>
      </w:r>
      <w:r w:rsidRPr="00D16BDF" w:rsidR="00126C55">
        <w:rPr>
          <w:snapToGrid w:val="0"/>
        </w:rPr>
        <w:t>her victim status</w:t>
      </w:r>
      <w:r w:rsidRPr="00D16BDF" w:rsidR="0021346C">
        <w:rPr>
          <w:snapToGrid w:val="0"/>
        </w:rPr>
        <w:t xml:space="preserve"> (see</w:t>
      </w:r>
      <w:r w:rsidRPr="00D16BDF" w:rsidR="0085563F">
        <w:rPr>
          <w:snapToGrid w:val="0"/>
        </w:rPr>
        <w:t xml:space="preserve">, </w:t>
      </w:r>
      <w:r w:rsidRPr="00D16BDF" w:rsidR="0085563F">
        <w:rPr>
          <w:i/>
          <w:snapToGrid w:val="0"/>
        </w:rPr>
        <w:t>mutatis mutandis</w:t>
      </w:r>
      <w:r w:rsidRPr="00D16BDF" w:rsidR="0085563F">
        <w:rPr>
          <w:snapToGrid w:val="0"/>
        </w:rPr>
        <w:t>,</w:t>
      </w:r>
      <w:r w:rsidRPr="00D16BDF" w:rsidR="0021346C">
        <w:rPr>
          <w:snapToGrid w:val="0"/>
        </w:rPr>
        <w:t xml:space="preserve"> </w:t>
      </w:r>
      <w:r w:rsidRPr="00D16BDF" w:rsidR="0021346C">
        <w:rPr>
          <w:i/>
        </w:rPr>
        <w:t xml:space="preserve">Bykova and Others v. Lithuania </w:t>
      </w:r>
      <w:r w:rsidRPr="00D16BDF" w:rsidR="0021346C">
        <w:t xml:space="preserve">[Committee], no. 66042/10, §§ </w:t>
      </w:r>
      <w:r w:rsidRPr="00D16BDF" w:rsidR="00CA30DA">
        <w:t xml:space="preserve">32 and </w:t>
      </w:r>
      <w:r w:rsidRPr="00D16BDF" w:rsidR="007A1E4C">
        <w:t>57</w:t>
      </w:r>
      <w:r w:rsidRPr="00D16BDF" w:rsidR="007A1E4C">
        <w:noBreakHyphen/>
      </w:r>
      <w:r w:rsidRPr="00D16BDF" w:rsidR="0021346C">
        <w:t>59, 18 December 2018)</w:t>
      </w:r>
      <w:r w:rsidRPr="00D16BDF" w:rsidR="00126C55">
        <w:rPr>
          <w:snapToGrid w:val="0"/>
        </w:rPr>
        <w:t>.</w:t>
      </w:r>
    </w:p>
    <w:p w:rsidRPr="00D16BDF" w:rsidR="00690611" w:rsidP="00D16BDF">
      <w:pPr>
        <w:pStyle w:val="ECHRPara"/>
      </w:pPr>
      <w:r w:rsidRPr="00D16BDF">
        <w:fldChar w:fldCharType="begin"/>
      </w:r>
      <w:r w:rsidRPr="00D16BDF">
        <w:instrText xml:space="preserve"> SEQ level0 \*arabic </w:instrText>
      </w:r>
      <w:r w:rsidRPr="00D16BDF">
        <w:fldChar w:fldCharType="separate"/>
      </w:r>
      <w:r w:rsidR="00B417A8">
        <w:rPr>
          <w:noProof/>
        </w:rPr>
        <w:t>16</w:t>
      </w:r>
      <w:r w:rsidRPr="00D16BDF">
        <w:fldChar w:fldCharType="end"/>
      </w:r>
      <w:r w:rsidRPr="00D16BDF">
        <w:t>.  </w:t>
      </w:r>
      <w:r w:rsidRPr="00D16BDF" w:rsidR="001E0AD0">
        <w:t xml:space="preserve">The Court reiterates that a judgment in which it finds a breach imposes on the respondent State a legal obligation to put an end to the breach and make reparation for its consequences in such a way as to restore as far as possible the situation existing before the breach (see </w:t>
      </w:r>
      <w:r w:rsidRPr="00D16BDF" w:rsidR="001E0AD0">
        <w:rPr>
          <w:i/>
        </w:rPr>
        <w:t>Brumărescu</w:t>
      </w:r>
      <w:r w:rsidRPr="00D16BDF" w:rsidR="001E0AD0">
        <w:rPr>
          <w:i/>
        </w:rPr>
        <w:t xml:space="preserve"> v. Romania</w:t>
      </w:r>
      <w:r w:rsidRPr="00D16BDF" w:rsidR="001E0AD0">
        <w:t xml:space="preserve"> (just satisfaction) [GC], no. 28342/95, § 19, ECHR 2001-I).</w:t>
      </w:r>
    </w:p>
    <w:p w:rsidRPr="00D16BDF" w:rsidR="005842CD" w:rsidP="00D16BDF">
      <w:pPr>
        <w:pStyle w:val="ECHRPara"/>
      </w:pPr>
      <w:r w:rsidRPr="00D16BDF">
        <w:fldChar w:fldCharType="begin"/>
      </w:r>
      <w:r w:rsidRPr="00D16BDF">
        <w:instrText xml:space="preserve"> SEQ level0 \*arabic </w:instrText>
      </w:r>
      <w:r w:rsidRPr="00D16BDF">
        <w:fldChar w:fldCharType="separate"/>
      </w:r>
      <w:r w:rsidR="00B417A8">
        <w:rPr>
          <w:noProof/>
        </w:rPr>
        <w:t>17</w:t>
      </w:r>
      <w:r w:rsidRPr="00D16BDF">
        <w:fldChar w:fldCharType="end"/>
      </w:r>
      <w:r w:rsidRPr="00D16BDF">
        <w:t xml:space="preserve">.  The Court has previously accepted that the principle of partial restitution to rectify old wrongs conformed to the Convention, and that, consequently, the amount of compensation for long-extinguished property rights could be assessed in accordance with calculation methods established in relevant legislation rather than with the full market value of such property (see § 142 of the principal judgment and the cases cited therein). In a number of cases against Lithuania, the Court accepted that the payment of compensation corresponding to the indexed value of property, established by competent public authorities, was in line with the requirement to strike a fair balance under Article 1 of Protocol No. 1 to the Convention (see </w:t>
      </w:r>
      <w:r w:rsidRPr="00D16BDF">
        <w:rPr>
          <w:i/>
        </w:rPr>
        <w:t>Paukštis</w:t>
      </w:r>
      <w:r w:rsidRPr="00D16BDF">
        <w:rPr>
          <w:i/>
        </w:rPr>
        <w:t xml:space="preserve"> v. Lithuania</w:t>
      </w:r>
      <w:r w:rsidRPr="00D16BDF">
        <w:t xml:space="preserve">, no. 17467/07, § 81, 24 November 2015; </w:t>
      </w:r>
      <w:r w:rsidRPr="00D16BDF" w:rsidR="00D16BDF">
        <w:rPr>
          <w:i/>
        </w:rPr>
        <w:t>Valančienė</w:t>
      </w:r>
      <w:r w:rsidRPr="00D16BDF" w:rsidR="00D16BDF">
        <w:rPr>
          <w:i/>
        </w:rPr>
        <w:t xml:space="preserve"> v. </w:t>
      </w:r>
      <w:r w:rsidRPr="00D16BDF">
        <w:rPr>
          <w:i/>
        </w:rPr>
        <w:t>Lithuania</w:t>
      </w:r>
      <w:r w:rsidRPr="00D16BDF">
        <w:t xml:space="preserve">, no. 2657/10, § 67, 18 April 2017; and </w:t>
      </w:r>
      <w:r w:rsidRPr="00D16BDF">
        <w:rPr>
          <w:i/>
        </w:rPr>
        <w:t>Bartulienė</w:t>
      </w:r>
      <w:r w:rsidRPr="00D16BDF">
        <w:rPr>
          <w:i/>
        </w:rPr>
        <w:t xml:space="preserve"> v. Lithuania</w:t>
      </w:r>
      <w:r w:rsidRPr="00D16BDF">
        <w:t xml:space="preserve"> [Committee], no. 67544/13, § 71, 24 April 2018).</w:t>
      </w:r>
    </w:p>
    <w:p w:rsidRPr="00D16BDF" w:rsidR="001E0AD0" w:rsidP="00D16BDF">
      <w:pPr>
        <w:pStyle w:val="ECHRPara"/>
        <w:rPr>
          <w:snapToGrid w:val="0"/>
        </w:rPr>
      </w:pPr>
      <w:r w:rsidRPr="00D16BDF">
        <w:fldChar w:fldCharType="begin"/>
      </w:r>
      <w:r w:rsidRPr="00D16BDF">
        <w:instrText xml:space="preserve"> SEQ level0 \*arabic </w:instrText>
      </w:r>
      <w:r w:rsidRPr="00D16BDF">
        <w:fldChar w:fldCharType="separate"/>
      </w:r>
      <w:r w:rsidR="00B417A8">
        <w:rPr>
          <w:noProof/>
        </w:rPr>
        <w:t>18</w:t>
      </w:r>
      <w:r w:rsidRPr="00D16BDF">
        <w:fldChar w:fldCharType="end"/>
      </w:r>
      <w:r w:rsidRPr="00D16BDF">
        <w:t>.  </w:t>
      </w:r>
      <w:r w:rsidRPr="00D16BDF" w:rsidR="000F2683">
        <w:t>Accordingly,</w:t>
      </w:r>
      <w:r w:rsidRPr="00D16BDF">
        <w:t xml:space="preserve"> the Court </w:t>
      </w:r>
      <w:r w:rsidRPr="00D16BDF" w:rsidR="004C5D26">
        <w:t>cannot accept</w:t>
      </w:r>
      <w:r w:rsidRPr="00D16BDF">
        <w:t xml:space="preserve"> the </w:t>
      </w:r>
      <w:r w:rsidRPr="00D16BDF" w:rsidR="00661FC0">
        <w:t xml:space="preserve">third </w:t>
      </w:r>
      <w:r w:rsidRPr="00D16BDF">
        <w:t>applicant</w:t>
      </w:r>
      <w:r w:rsidRPr="00D16BDF" w:rsidR="00D16BDF">
        <w:t>’</w:t>
      </w:r>
      <w:r w:rsidRPr="00D16BDF">
        <w:t xml:space="preserve">s </w:t>
      </w:r>
      <w:r w:rsidRPr="00D16BDF" w:rsidR="004C5D26">
        <w:t>claim</w:t>
      </w:r>
      <w:r w:rsidRPr="00D16BDF">
        <w:t xml:space="preserve"> that </w:t>
      </w:r>
      <w:r w:rsidRPr="00D16BDF">
        <w:t>s</w:t>
      </w:r>
      <w:r w:rsidRPr="00D16BDF">
        <w:t>he should be compensated for the ful</w:t>
      </w:r>
      <w:r w:rsidRPr="00D16BDF" w:rsidR="000F2683">
        <w:t xml:space="preserve">l market value of the </w:t>
      </w:r>
      <w:r w:rsidRPr="00D16BDF" w:rsidR="0096021B">
        <w:t>land which ha</w:t>
      </w:r>
      <w:r w:rsidRPr="00D16BDF" w:rsidR="00B660A0">
        <w:t>s</w:t>
      </w:r>
      <w:r w:rsidRPr="00D16BDF" w:rsidR="0096021B">
        <w:t xml:space="preserve"> not been </w:t>
      </w:r>
      <w:r w:rsidRPr="00D16BDF" w:rsidR="00C42B71">
        <w:t xml:space="preserve">returned </w:t>
      </w:r>
      <w:r w:rsidRPr="00D16BDF" w:rsidR="0096021B">
        <w:t>to her</w:t>
      </w:r>
      <w:r w:rsidRPr="00D16BDF" w:rsidR="000F2683">
        <w:t xml:space="preserve"> (for similar situations, </w:t>
      </w:r>
      <w:r w:rsidRPr="00D16BDF" w:rsidR="00B660A0">
        <w:t>see</w:t>
      </w:r>
      <w:r w:rsidRPr="00D16BDF" w:rsidR="00B660A0">
        <w:rPr>
          <w:i/>
        </w:rPr>
        <w:t xml:space="preserve"> </w:t>
      </w:r>
      <w:r w:rsidRPr="00D16BDF" w:rsidR="000F2683">
        <w:rPr>
          <w:i/>
        </w:rPr>
        <w:t>Nekvedavičius</w:t>
      </w:r>
      <w:r w:rsidRPr="00D16BDF" w:rsidR="000F2683">
        <w:rPr>
          <w:i/>
        </w:rPr>
        <w:t xml:space="preserve"> v.</w:t>
      </w:r>
      <w:r w:rsidRPr="00D16BDF" w:rsidR="0096021B">
        <w:rPr>
          <w:i/>
        </w:rPr>
        <w:t> </w:t>
      </w:r>
      <w:r w:rsidRPr="00D16BDF" w:rsidR="000F2683">
        <w:rPr>
          <w:i/>
        </w:rPr>
        <w:t xml:space="preserve">Lithuania </w:t>
      </w:r>
      <w:r w:rsidRPr="00D16BDF" w:rsidR="000F2683">
        <w:t>(just satisfaction), no. 1471/05,</w:t>
      </w:r>
      <w:r w:rsidRPr="00D16BDF" w:rsidR="000F2683">
        <w:rPr>
          <w:snapToGrid w:val="0"/>
        </w:rPr>
        <w:t xml:space="preserve"> § 20, 17 November 2015, and </w:t>
      </w:r>
      <w:r w:rsidRPr="00D16BDF" w:rsidR="000F2683">
        <w:rPr>
          <w:i/>
          <w:snapToGrid w:val="0"/>
        </w:rPr>
        <w:t xml:space="preserve">Bykova and </w:t>
      </w:r>
      <w:r w:rsidRPr="00D16BDF" w:rsidR="000F2683">
        <w:rPr>
          <w:i/>
          <w:snapToGrid w:val="0"/>
        </w:rPr>
        <w:t>Others</w:t>
      </w:r>
      <w:r w:rsidRPr="00D16BDF" w:rsidR="000F2683">
        <w:rPr>
          <w:snapToGrid w:val="0"/>
        </w:rPr>
        <w:t xml:space="preserve">, </w:t>
      </w:r>
      <w:r w:rsidRPr="00D16BDF" w:rsidR="00E036C8">
        <w:rPr>
          <w:snapToGrid w:val="0"/>
        </w:rPr>
        <w:t>cited above, § 59</w:t>
      </w:r>
      <w:r w:rsidRPr="00D16BDF" w:rsidR="000F2683">
        <w:rPr>
          <w:snapToGrid w:val="0"/>
        </w:rPr>
        <w:t>).</w:t>
      </w:r>
      <w:r w:rsidRPr="00D16BDF" w:rsidR="00471CAB">
        <w:rPr>
          <w:snapToGrid w:val="0"/>
        </w:rPr>
        <w:t xml:space="preserve"> It </w:t>
      </w:r>
      <w:r w:rsidRPr="00D16BDF" w:rsidR="004C5D26">
        <w:rPr>
          <w:snapToGrid w:val="0"/>
        </w:rPr>
        <w:t>takes note of</w:t>
      </w:r>
      <w:r w:rsidRPr="00D16BDF" w:rsidR="00471CAB">
        <w:rPr>
          <w:snapToGrid w:val="0"/>
        </w:rPr>
        <w:t xml:space="preserve"> the Government</w:t>
      </w:r>
      <w:r w:rsidRPr="00D16BDF" w:rsidR="00D16BDF">
        <w:rPr>
          <w:snapToGrid w:val="0"/>
        </w:rPr>
        <w:t>’</w:t>
      </w:r>
      <w:r w:rsidRPr="00D16BDF" w:rsidR="00471CAB">
        <w:rPr>
          <w:snapToGrid w:val="0"/>
        </w:rPr>
        <w:t xml:space="preserve">s submission that the indexed value of that land, </w:t>
      </w:r>
      <w:r w:rsidRPr="00D16BDF" w:rsidR="00B660A0">
        <w:rPr>
          <w:snapToGrid w:val="0"/>
        </w:rPr>
        <w:t xml:space="preserve">as </w:t>
      </w:r>
      <w:r w:rsidRPr="00D16BDF" w:rsidR="00471CAB">
        <w:rPr>
          <w:snapToGrid w:val="0"/>
        </w:rPr>
        <w:t xml:space="preserve">established by the </w:t>
      </w:r>
      <w:r w:rsidRPr="00D16BDF" w:rsidR="00B13A5F">
        <w:rPr>
          <w:snapToGrid w:val="0"/>
        </w:rPr>
        <w:t>Centre of Registers</w:t>
      </w:r>
      <w:r w:rsidRPr="00D16BDF" w:rsidR="00471CAB">
        <w:rPr>
          <w:snapToGrid w:val="0"/>
        </w:rPr>
        <w:t>, was EUR</w:t>
      </w:r>
      <w:r w:rsidRPr="00D16BDF" w:rsidR="002C7447">
        <w:rPr>
          <w:snapToGrid w:val="0"/>
        </w:rPr>
        <w:t> </w:t>
      </w:r>
      <w:r w:rsidRPr="00D16BDF" w:rsidR="00471CAB">
        <w:rPr>
          <w:snapToGrid w:val="0"/>
        </w:rPr>
        <w:t xml:space="preserve">1,282 (see paragraph </w:t>
      </w:r>
      <w:r w:rsidRPr="00D16BDF" w:rsidR="0027337E">
        <w:rPr>
          <w:snapToGrid w:val="0"/>
        </w:rPr>
        <w:fldChar w:fldCharType="begin"/>
      </w:r>
      <w:r w:rsidRPr="00D16BDF" w:rsidR="0027337E">
        <w:rPr>
          <w:snapToGrid w:val="0"/>
        </w:rPr>
        <w:instrText xml:space="preserve"> REF Subm_Gov_3app2 \h </w:instrText>
      </w:r>
      <w:r w:rsidRPr="00D16BDF" w:rsidR="002B13BB">
        <w:rPr>
          <w:snapToGrid w:val="0"/>
        </w:rPr>
        <w:instrText xml:space="preserve"> \* MERGEFORMAT </w:instrText>
      </w:r>
      <w:r w:rsidRPr="00D16BDF" w:rsidR="0027337E">
        <w:rPr>
          <w:snapToGrid w:val="0"/>
        </w:rPr>
        <w:fldChar w:fldCharType="separate"/>
      </w:r>
      <w:r w:rsidR="00B417A8">
        <w:rPr>
          <w:noProof/>
        </w:rPr>
        <w:t>13</w:t>
      </w:r>
      <w:r w:rsidRPr="00D16BDF" w:rsidR="0027337E">
        <w:rPr>
          <w:snapToGrid w:val="0"/>
        </w:rPr>
        <w:fldChar w:fldCharType="end"/>
      </w:r>
      <w:r w:rsidRPr="00D16BDF" w:rsidR="00B13A5F">
        <w:rPr>
          <w:snapToGrid w:val="0"/>
        </w:rPr>
        <w:t xml:space="preserve"> above).</w:t>
      </w:r>
    </w:p>
    <w:p w:rsidRPr="00D16BDF" w:rsidR="00B13A5F" w:rsidP="00D16BDF">
      <w:pPr>
        <w:pStyle w:val="ECHRPara"/>
        <w:rPr>
          <w:snapToGrid w:val="0"/>
        </w:rPr>
      </w:pPr>
      <w:r w:rsidRPr="00D16BDF">
        <w:rPr>
          <w:snapToGrid w:val="0"/>
        </w:rPr>
        <w:fldChar w:fldCharType="begin"/>
      </w:r>
      <w:r w:rsidRPr="00D16BDF">
        <w:rPr>
          <w:snapToGrid w:val="0"/>
        </w:rPr>
        <w:instrText xml:space="preserve"> SEQ level0 \*arabic </w:instrText>
      </w:r>
      <w:r w:rsidRPr="00D16BDF">
        <w:rPr>
          <w:snapToGrid w:val="0"/>
        </w:rPr>
        <w:fldChar w:fldCharType="separate"/>
      </w:r>
      <w:r w:rsidR="00B417A8">
        <w:rPr>
          <w:noProof/>
          <w:snapToGrid w:val="0"/>
        </w:rPr>
        <w:t>19</w:t>
      </w:r>
      <w:r w:rsidRPr="00D16BDF">
        <w:rPr>
          <w:snapToGrid w:val="0"/>
        </w:rPr>
        <w:fldChar w:fldCharType="end"/>
      </w:r>
      <w:r w:rsidRPr="00D16BDF">
        <w:rPr>
          <w:snapToGrid w:val="0"/>
        </w:rPr>
        <w:t xml:space="preserve">.  At the same time, the Court observes that the amount of compensation </w:t>
      </w:r>
      <w:r w:rsidRPr="00D16BDF" w:rsidR="002C7447">
        <w:rPr>
          <w:snapToGrid w:val="0"/>
        </w:rPr>
        <w:t>offer</w:t>
      </w:r>
      <w:r w:rsidRPr="00D16BDF">
        <w:rPr>
          <w:snapToGrid w:val="0"/>
        </w:rPr>
        <w:t xml:space="preserve">ed to the third applicant by the domestic authorities (EUR 1,157) fell below the amount established by the Centre of Registers. </w:t>
      </w:r>
      <w:r w:rsidRPr="00D16BDF">
        <w:rPr>
          <w:snapToGrid w:val="0"/>
        </w:rPr>
        <w:t xml:space="preserve">The Government did not provide any explanation </w:t>
      </w:r>
      <w:r w:rsidRPr="00D16BDF" w:rsidR="00B660A0">
        <w:rPr>
          <w:snapToGrid w:val="0"/>
        </w:rPr>
        <w:t xml:space="preserve">as to </w:t>
      </w:r>
      <w:r w:rsidRPr="00D16BDF">
        <w:rPr>
          <w:snapToGrid w:val="0"/>
        </w:rPr>
        <w:t xml:space="preserve">how the amount of EUR 1,157 had been </w:t>
      </w:r>
      <w:r w:rsidRPr="00D16BDF" w:rsidR="002C7447">
        <w:rPr>
          <w:snapToGrid w:val="0"/>
        </w:rPr>
        <w:t>calculat</w:t>
      </w:r>
      <w:r w:rsidRPr="00D16BDF">
        <w:rPr>
          <w:snapToGrid w:val="0"/>
        </w:rPr>
        <w:t xml:space="preserve">ed or what had been the legal basis for awarding the applicant less than the full indexed value of the land which she had been entitled to receive (see paragraph </w:t>
      </w:r>
      <w:r w:rsidRPr="00D16BDF">
        <w:rPr>
          <w:snapToGrid w:val="0"/>
        </w:rPr>
        <w:fldChar w:fldCharType="begin"/>
      </w:r>
      <w:r w:rsidRPr="00D16BDF">
        <w:rPr>
          <w:snapToGrid w:val="0"/>
        </w:rPr>
        <w:instrText xml:space="preserve"> REF Subm_Gov_3app2 \h </w:instrText>
      </w:r>
      <w:r w:rsidRPr="00D16BDF" w:rsidR="002B13BB">
        <w:rPr>
          <w:snapToGrid w:val="0"/>
        </w:rPr>
        <w:instrText xml:space="preserve"> \* MERGEFORMAT </w:instrText>
      </w:r>
      <w:r w:rsidRPr="00D16BDF">
        <w:rPr>
          <w:snapToGrid w:val="0"/>
        </w:rPr>
        <w:fldChar w:fldCharType="separate"/>
      </w:r>
      <w:r w:rsidR="00B417A8">
        <w:rPr>
          <w:noProof/>
        </w:rPr>
        <w:t>13</w:t>
      </w:r>
      <w:r w:rsidRPr="00D16BDF">
        <w:rPr>
          <w:snapToGrid w:val="0"/>
        </w:rPr>
        <w:fldChar w:fldCharType="end"/>
      </w:r>
      <w:r w:rsidRPr="00D16BDF">
        <w:rPr>
          <w:snapToGrid w:val="0"/>
        </w:rPr>
        <w:t xml:space="preserve"> above; see</w:t>
      </w:r>
      <w:r w:rsidRPr="00D16BDF" w:rsidR="0083789B">
        <w:rPr>
          <w:snapToGrid w:val="0"/>
        </w:rPr>
        <w:t xml:space="preserve"> also</w:t>
      </w:r>
      <w:r w:rsidRPr="00D16BDF">
        <w:rPr>
          <w:snapToGrid w:val="0"/>
        </w:rPr>
        <w:t xml:space="preserve">, </w:t>
      </w:r>
      <w:r w:rsidRPr="00D16BDF">
        <w:rPr>
          <w:i/>
          <w:snapToGrid w:val="0"/>
        </w:rPr>
        <w:t>mutatis mutandis</w:t>
      </w:r>
      <w:r w:rsidRPr="00D16BDF">
        <w:rPr>
          <w:snapToGrid w:val="0"/>
        </w:rPr>
        <w:t xml:space="preserve">, </w:t>
      </w:r>
      <w:r w:rsidRPr="00D16BDF">
        <w:rPr>
          <w:i/>
          <w:snapToGrid w:val="0"/>
        </w:rPr>
        <w:t>Bykova and Others</w:t>
      </w:r>
      <w:r w:rsidRPr="00D16BDF">
        <w:rPr>
          <w:snapToGrid w:val="0"/>
        </w:rPr>
        <w:t xml:space="preserve">, cited above, §§ 57-58). In the absence of any such explanation, the Court is unable to </w:t>
      </w:r>
      <w:r w:rsidRPr="00D16BDF" w:rsidR="007F70D5">
        <w:rPr>
          <w:snapToGrid w:val="0"/>
        </w:rPr>
        <w:t>share the Government</w:t>
      </w:r>
      <w:r w:rsidRPr="00D16BDF" w:rsidR="00D16BDF">
        <w:rPr>
          <w:snapToGrid w:val="0"/>
        </w:rPr>
        <w:t>’</w:t>
      </w:r>
      <w:r w:rsidRPr="00D16BDF" w:rsidR="007F70D5">
        <w:rPr>
          <w:snapToGrid w:val="0"/>
        </w:rPr>
        <w:t xml:space="preserve">s view that the applicant has already been compensated for the pecuniary damage which she has sustained. </w:t>
      </w:r>
      <w:r w:rsidRPr="00D16BDF" w:rsidR="00B55586">
        <w:rPr>
          <w:snapToGrid w:val="0"/>
        </w:rPr>
        <w:t>Nor can it accept the Government</w:t>
      </w:r>
      <w:r w:rsidRPr="00D16BDF" w:rsidR="00D16BDF">
        <w:rPr>
          <w:snapToGrid w:val="0"/>
        </w:rPr>
        <w:t>’</w:t>
      </w:r>
      <w:r w:rsidRPr="00D16BDF" w:rsidR="00B55586">
        <w:rPr>
          <w:snapToGrid w:val="0"/>
        </w:rPr>
        <w:t xml:space="preserve">s submission that the award in respect of non-pecuniary damage could have compensated the pecuniary damage sustained by the applicant (see paragraph </w:t>
      </w:r>
      <w:r w:rsidRPr="00D16BDF" w:rsidR="00B55586">
        <w:rPr>
          <w:snapToGrid w:val="0"/>
        </w:rPr>
        <w:fldChar w:fldCharType="begin"/>
      </w:r>
      <w:r w:rsidRPr="00D16BDF" w:rsidR="00B55586">
        <w:rPr>
          <w:snapToGrid w:val="0"/>
        </w:rPr>
        <w:instrText xml:space="preserve"> REF Subm_Gov_3app2 \h </w:instrText>
      </w:r>
      <w:r w:rsidRPr="00D16BDF" w:rsidR="00B55586">
        <w:rPr>
          <w:snapToGrid w:val="0"/>
        </w:rPr>
        <w:fldChar w:fldCharType="separate"/>
      </w:r>
      <w:r w:rsidR="00B417A8">
        <w:rPr>
          <w:noProof/>
        </w:rPr>
        <w:t>13</w:t>
      </w:r>
      <w:r w:rsidRPr="00D16BDF" w:rsidR="00B55586">
        <w:rPr>
          <w:snapToGrid w:val="0"/>
        </w:rPr>
        <w:fldChar w:fldCharType="end"/>
      </w:r>
      <w:r w:rsidRPr="00D16BDF" w:rsidR="00B55586">
        <w:rPr>
          <w:snapToGrid w:val="0"/>
        </w:rPr>
        <w:t xml:space="preserve"> above), </w:t>
      </w:r>
      <w:r w:rsidRPr="00D16BDF" w:rsidR="001456DC">
        <w:rPr>
          <w:snapToGrid w:val="0"/>
        </w:rPr>
        <w:t xml:space="preserve">as awards made in respect of pecuniary and non-pecuniary damage serve distinct purposes and are intended to compensate for different types of </w:t>
      </w:r>
      <w:r w:rsidRPr="00D16BDF" w:rsidR="00720E1E">
        <w:rPr>
          <w:snapToGrid w:val="0"/>
        </w:rPr>
        <w:t>loss</w:t>
      </w:r>
      <w:r w:rsidRPr="00D16BDF" w:rsidR="001456DC">
        <w:rPr>
          <w:snapToGrid w:val="0"/>
        </w:rPr>
        <w:t xml:space="preserve">. </w:t>
      </w:r>
      <w:r w:rsidRPr="00D16BDF" w:rsidR="00B55586">
        <w:rPr>
          <w:snapToGrid w:val="0"/>
        </w:rPr>
        <w:t>The Court</w:t>
      </w:r>
      <w:r w:rsidRPr="00D16BDF" w:rsidR="007F70D5">
        <w:rPr>
          <w:snapToGrid w:val="0"/>
        </w:rPr>
        <w:t xml:space="preserve"> therefore considers that the circumstances of the third applicant</w:t>
      </w:r>
      <w:r w:rsidRPr="00D16BDF" w:rsidR="00D16BDF">
        <w:rPr>
          <w:snapToGrid w:val="0"/>
        </w:rPr>
        <w:t>’</w:t>
      </w:r>
      <w:r w:rsidRPr="00D16BDF" w:rsidR="007F70D5">
        <w:rPr>
          <w:snapToGrid w:val="0"/>
        </w:rPr>
        <w:t>s case warrant making an award in respect of pecuniary damage.</w:t>
      </w:r>
    </w:p>
    <w:p w:rsidRPr="00D16BDF" w:rsidR="00F73040" w:rsidP="00D16BDF">
      <w:pPr>
        <w:pStyle w:val="ECHRPara"/>
        <w:rPr>
          <w:i/>
          <w:iCs/>
        </w:rPr>
      </w:pPr>
      <w:r w:rsidRPr="00D16BDF">
        <w:rPr>
          <w:snapToGrid w:val="0"/>
        </w:rPr>
        <w:fldChar w:fldCharType="begin"/>
      </w:r>
      <w:r w:rsidRPr="00D16BDF">
        <w:rPr>
          <w:snapToGrid w:val="0"/>
        </w:rPr>
        <w:instrText xml:space="preserve"> SEQ level0 \*arabic </w:instrText>
      </w:r>
      <w:r w:rsidRPr="00D16BDF">
        <w:rPr>
          <w:snapToGrid w:val="0"/>
        </w:rPr>
        <w:fldChar w:fldCharType="separate"/>
      </w:r>
      <w:r w:rsidR="00B417A8">
        <w:rPr>
          <w:noProof/>
          <w:snapToGrid w:val="0"/>
        </w:rPr>
        <w:t>20</w:t>
      </w:r>
      <w:r w:rsidRPr="00D16BDF">
        <w:rPr>
          <w:snapToGrid w:val="0"/>
        </w:rPr>
        <w:fldChar w:fldCharType="end"/>
      </w:r>
      <w:r w:rsidRPr="00D16BDF">
        <w:rPr>
          <w:snapToGrid w:val="0"/>
        </w:rPr>
        <w:t>.  The Court further observes that while the indexed value of the</w:t>
      </w:r>
      <w:r w:rsidRPr="00D16BDF" w:rsidR="007F70D5">
        <w:rPr>
          <w:snapToGrid w:val="0"/>
        </w:rPr>
        <w:t xml:space="preserve"> applicant</w:t>
      </w:r>
      <w:r w:rsidRPr="00D16BDF" w:rsidR="00D16BDF">
        <w:rPr>
          <w:snapToGrid w:val="0"/>
        </w:rPr>
        <w:t>’</w:t>
      </w:r>
      <w:r w:rsidRPr="00D16BDF" w:rsidR="007F70D5">
        <w:rPr>
          <w:snapToGrid w:val="0"/>
        </w:rPr>
        <w:t>s</w:t>
      </w:r>
      <w:r w:rsidRPr="00D16BDF">
        <w:rPr>
          <w:snapToGrid w:val="0"/>
        </w:rPr>
        <w:t xml:space="preserve"> land was determined in 2009 (see paragraph </w:t>
      </w:r>
      <w:r w:rsidRPr="00D16BDF">
        <w:rPr>
          <w:snapToGrid w:val="0"/>
        </w:rPr>
        <w:fldChar w:fldCharType="begin"/>
      </w:r>
      <w:r w:rsidRPr="00D16BDF">
        <w:rPr>
          <w:snapToGrid w:val="0"/>
        </w:rPr>
        <w:instrText xml:space="preserve"> REF Subm_Gov_3app2 \h </w:instrText>
      </w:r>
      <w:r w:rsidRPr="00D16BDF" w:rsidR="002B13BB">
        <w:rPr>
          <w:snapToGrid w:val="0"/>
        </w:rPr>
        <w:instrText xml:space="preserve"> \* MERGEFORMAT </w:instrText>
      </w:r>
      <w:r w:rsidRPr="00D16BDF">
        <w:rPr>
          <w:snapToGrid w:val="0"/>
        </w:rPr>
        <w:fldChar w:fldCharType="separate"/>
      </w:r>
      <w:r w:rsidR="00B417A8">
        <w:rPr>
          <w:noProof/>
        </w:rPr>
        <w:t>13</w:t>
      </w:r>
      <w:r w:rsidRPr="00D16BDF">
        <w:rPr>
          <w:snapToGrid w:val="0"/>
        </w:rPr>
        <w:fldChar w:fldCharType="end"/>
      </w:r>
      <w:r w:rsidRPr="00D16BDF">
        <w:rPr>
          <w:snapToGrid w:val="0"/>
        </w:rPr>
        <w:t xml:space="preserve"> above), the compensation was </w:t>
      </w:r>
      <w:r w:rsidRPr="00D16BDF" w:rsidR="007F70D5">
        <w:rPr>
          <w:snapToGrid w:val="0"/>
        </w:rPr>
        <w:t>offered to her</w:t>
      </w:r>
      <w:r w:rsidRPr="00D16BDF">
        <w:rPr>
          <w:snapToGrid w:val="0"/>
        </w:rPr>
        <w:t xml:space="preserve"> only in 2018 (see paragraph </w:t>
      </w:r>
      <w:r w:rsidRPr="00D16BDF">
        <w:rPr>
          <w:snapToGrid w:val="0"/>
        </w:rPr>
        <w:fldChar w:fldCharType="begin"/>
      </w:r>
      <w:r w:rsidRPr="00D16BDF">
        <w:rPr>
          <w:snapToGrid w:val="0"/>
        </w:rPr>
        <w:instrText xml:space="preserve"> REF Subm_Gov_3app1 \h </w:instrText>
      </w:r>
      <w:r w:rsidRPr="00D16BDF" w:rsidR="002B13BB">
        <w:rPr>
          <w:snapToGrid w:val="0"/>
        </w:rPr>
        <w:instrText xml:space="preserve"> \* MERGEFORMAT </w:instrText>
      </w:r>
      <w:r w:rsidRPr="00D16BDF">
        <w:rPr>
          <w:snapToGrid w:val="0"/>
        </w:rPr>
        <w:fldChar w:fldCharType="separate"/>
      </w:r>
      <w:r w:rsidR="00B417A8">
        <w:rPr>
          <w:noProof/>
        </w:rPr>
        <w:t>12</w:t>
      </w:r>
      <w:r w:rsidRPr="00D16BDF">
        <w:rPr>
          <w:snapToGrid w:val="0"/>
        </w:rPr>
        <w:fldChar w:fldCharType="end"/>
      </w:r>
      <w:r w:rsidRPr="00D16BDF">
        <w:rPr>
          <w:snapToGrid w:val="0"/>
        </w:rPr>
        <w:t xml:space="preserve"> above), and according to the latest information submitted to </w:t>
      </w:r>
      <w:r w:rsidRPr="00D16BDF" w:rsidR="0083789B">
        <w:rPr>
          <w:snapToGrid w:val="0"/>
        </w:rPr>
        <w:t>the Court</w:t>
      </w:r>
      <w:r w:rsidRPr="00D16BDF">
        <w:rPr>
          <w:snapToGrid w:val="0"/>
        </w:rPr>
        <w:t xml:space="preserve"> by the parties (</w:t>
      </w:r>
      <w:r w:rsidRPr="00D16BDF" w:rsidR="00C42B71">
        <w:rPr>
          <w:snapToGrid w:val="0"/>
        </w:rPr>
        <w:t xml:space="preserve">submitted on </w:t>
      </w:r>
      <w:r w:rsidRPr="00D16BDF">
        <w:rPr>
          <w:snapToGrid w:val="0"/>
        </w:rPr>
        <w:t xml:space="preserve">5 February 2019 by the Government and </w:t>
      </w:r>
      <w:r w:rsidRPr="00D16BDF" w:rsidR="003F5ECA">
        <w:rPr>
          <w:snapToGrid w:val="0"/>
        </w:rPr>
        <w:t xml:space="preserve">on </w:t>
      </w:r>
      <w:r w:rsidRPr="00D16BDF">
        <w:rPr>
          <w:snapToGrid w:val="0"/>
        </w:rPr>
        <w:t>7 February 2019 by the applicant), it is not clear whether that compensation has already been paid to the applicant. In such circumstances, the Court considers it appropriate to take into account the long time that it took the Government to compensate the applicant</w:t>
      </w:r>
      <w:r w:rsidRPr="00D16BDF" w:rsidR="0083789B">
        <w:rPr>
          <w:snapToGrid w:val="0"/>
        </w:rPr>
        <w:t>,</w:t>
      </w:r>
      <w:r w:rsidRPr="00D16BDF">
        <w:rPr>
          <w:snapToGrid w:val="0"/>
        </w:rPr>
        <w:t xml:space="preserve"> and </w:t>
      </w:r>
      <w:r w:rsidRPr="00D16BDF" w:rsidR="0083789B">
        <w:rPr>
          <w:snapToGrid w:val="0"/>
        </w:rPr>
        <w:t>that award</w:t>
      </w:r>
      <w:r w:rsidRPr="00D16BDF" w:rsidR="00D16BDF">
        <w:rPr>
          <w:snapToGrid w:val="0"/>
        </w:rPr>
        <w:t>’</w:t>
      </w:r>
      <w:r w:rsidRPr="00D16BDF" w:rsidR="0083789B">
        <w:rPr>
          <w:snapToGrid w:val="0"/>
        </w:rPr>
        <w:t xml:space="preserve">s </w:t>
      </w:r>
      <w:r w:rsidRPr="00D16BDF" w:rsidR="00506D3A">
        <w:rPr>
          <w:snapToGrid w:val="0"/>
        </w:rPr>
        <w:t>loss of</w:t>
      </w:r>
      <w:r w:rsidRPr="00D16BDF">
        <w:rPr>
          <w:snapToGrid w:val="0"/>
        </w:rPr>
        <w:t xml:space="preserve"> value </w:t>
      </w:r>
      <w:r w:rsidRPr="00D16BDF" w:rsidR="00506D3A">
        <w:rPr>
          <w:snapToGrid w:val="0"/>
        </w:rPr>
        <w:t>over time</w:t>
      </w:r>
      <w:r w:rsidRPr="00D16BDF">
        <w:rPr>
          <w:snapToGrid w:val="0"/>
        </w:rPr>
        <w:t xml:space="preserve"> (see, </w:t>
      </w:r>
      <w:r w:rsidRPr="00D16BDF">
        <w:rPr>
          <w:i/>
          <w:snapToGrid w:val="0"/>
        </w:rPr>
        <w:t>mutatis mutandis</w:t>
      </w:r>
      <w:r w:rsidRPr="00D16BDF">
        <w:rPr>
          <w:snapToGrid w:val="0"/>
        </w:rPr>
        <w:t xml:space="preserve">, </w:t>
      </w:r>
      <w:r w:rsidRPr="00D16BDF" w:rsidR="00506D3A">
        <w:rPr>
          <w:i/>
        </w:rPr>
        <w:t>Kirilova</w:t>
      </w:r>
      <w:r w:rsidRPr="00D16BDF" w:rsidR="00506D3A">
        <w:rPr>
          <w:i/>
        </w:rPr>
        <w:t xml:space="preserve"> and Others v. Bulgaria</w:t>
      </w:r>
      <w:r w:rsidRPr="00D16BDF" w:rsidR="00506D3A">
        <w:t>, nos. 42908/98 and 3</w:t>
      </w:r>
      <w:r w:rsidRPr="00D16BDF" w:rsidR="00A77680">
        <w:t> </w:t>
      </w:r>
      <w:r w:rsidRPr="00D16BDF" w:rsidR="00506D3A">
        <w:t>others, § 108, 9 June 2005;</w:t>
      </w:r>
      <w:r w:rsidRPr="00D16BDF" w:rsidR="00CE2DB2">
        <w:t xml:space="preserve"> </w:t>
      </w:r>
      <w:r w:rsidRPr="00D16BDF" w:rsidR="00CE2DB2">
        <w:rPr>
          <w:i/>
        </w:rPr>
        <w:t>Paplauskienė</w:t>
      </w:r>
      <w:r w:rsidRPr="00D16BDF" w:rsidR="00CE2DB2">
        <w:t xml:space="preserve">, </w:t>
      </w:r>
      <w:r w:rsidRPr="00D16BDF" w:rsidR="00117E8C">
        <w:t>cited above</w:t>
      </w:r>
      <w:r w:rsidRPr="00D16BDF" w:rsidR="00CE2DB2">
        <w:rPr>
          <w:snapToGrid w:val="0"/>
        </w:rPr>
        <w:t>, § 69; and</w:t>
      </w:r>
      <w:r w:rsidRPr="00D16BDF" w:rsidR="00506D3A">
        <w:rPr>
          <w:snapToGrid w:val="0"/>
        </w:rPr>
        <w:t xml:space="preserve"> </w:t>
      </w:r>
      <w:r w:rsidRPr="00D16BDF" w:rsidR="00506D3A">
        <w:rPr>
          <w:i/>
          <w:iCs/>
        </w:rPr>
        <w:t>Bradshaw and Others v. Malta</w:t>
      </w:r>
      <w:r w:rsidRPr="00D16BDF" w:rsidR="00506D3A">
        <w:rPr>
          <w:lang w:eastAsia="en-GB"/>
        </w:rPr>
        <w:t>, no. </w:t>
      </w:r>
      <w:r w:rsidRPr="00D16BDF" w:rsidR="00506D3A">
        <w:t>37121/15</w:t>
      </w:r>
      <w:r w:rsidRPr="00D16BDF" w:rsidR="00506D3A">
        <w:rPr>
          <w:lang w:eastAsia="en-GB"/>
        </w:rPr>
        <w:t xml:space="preserve">, </w:t>
      </w:r>
      <w:r w:rsidRPr="00D16BDF" w:rsidR="00506D3A">
        <w:t>§ 94, 23 October 2018</w:t>
      </w:r>
      <w:r w:rsidRPr="00D16BDF">
        <w:rPr>
          <w:snapToGrid w:val="0"/>
        </w:rPr>
        <w:t>).</w:t>
      </w:r>
    </w:p>
    <w:p w:rsidRPr="00D16BDF" w:rsidR="00F73040" w:rsidP="00D16BDF">
      <w:pPr>
        <w:pStyle w:val="ECHRPara"/>
        <w:rPr>
          <w:snapToGrid w:val="0"/>
        </w:rPr>
      </w:pPr>
      <w:r w:rsidRPr="00D16BDF">
        <w:rPr>
          <w:snapToGrid w:val="0"/>
        </w:rPr>
        <w:fldChar w:fldCharType="begin"/>
      </w:r>
      <w:r w:rsidRPr="00D16BDF">
        <w:rPr>
          <w:snapToGrid w:val="0"/>
        </w:rPr>
        <w:instrText xml:space="preserve"> SEQ level0 \*arabic </w:instrText>
      </w:r>
      <w:r w:rsidRPr="00D16BDF">
        <w:rPr>
          <w:snapToGrid w:val="0"/>
        </w:rPr>
        <w:fldChar w:fldCharType="separate"/>
      </w:r>
      <w:r w:rsidR="00B417A8">
        <w:rPr>
          <w:noProof/>
          <w:snapToGrid w:val="0"/>
        </w:rPr>
        <w:t>21</w:t>
      </w:r>
      <w:r w:rsidRPr="00D16BDF">
        <w:rPr>
          <w:snapToGrid w:val="0"/>
        </w:rPr>
        <w:fldChar w:fldCharType="end"/>
      </w:r>
      <w:r w:rsidRPr="00D16BDF">
        <w:rPr>
          <w:snapToGrid w:val="0"/>
        </w:rPr>
        <w:t>.  In the light of the a</w:t>
      </w:r>
      <w:r w:rsidRPr="00D16BDF" w:rsidR="0083789B">
        <w:rPr>
          <w:snapToGrid w:val="0"/>
        </w:rPr>
        <w:t>b</w:t>
      </w:r>
      <w:r w:rsidRPr="00D16BDF">
        <w:rPr>
          <w:snapToGrid w:val="0"/>
        </w:rPr>
        <w:t>o</w:t>
      </w:r>
      <w:r w:rsidRPr="00D16BDF" w:rsidR="0083789B">
        <w:rPr>
          <w:snapToGrid w:val="0"/>
        </w:rPr>
        <w:t>v</w:t>
      </w:r>
      <w:r w:rsidRPr="00D16BDF">
        <w:rPr>
          <w:snapToGrid w:val="0"/>
        </w:rPr>
        <w:t>e</w:t>
      </w:r>
      <w:r w:rsidRPr="00D16BDF" w:rsidR="0083789B">
        <w:rPr>
          <w:snapToGrid w:val="0"/>
        </w:rPr>
        <w:t>-</w:t>
      </w:r>
      <w:r w:rsidRPr="00D16BDF">
        <w:rPr>
          <w:snapToGrid w:val="0"/>
        </w:rPr>
        <w:t>mentioned circumstances</w:t>
      </w:r>
      <w:r w:rsidRPr="00D16BDF" w:rsidR="0083789B">
        <w:rPr>
          <w:snapToGrid w:val="0"/>
        </w:rPr>
        <w:t>,</w:t>
      </w:r>
      <w:r w:rsidRPr="00D16BDF">
        <w:rPr>
          <w:snapToGrid w:val="0"/>
        </w:rPr>
        <w:t xml:space="preserve"> and making its award on an equitable basis, the Court aw</w:t>
      </w:r>
      <w:r w:rsidRPr="00D16BDF" w:rsidR="007F70D5">
        <w:rPr>
          <w:snapToGrid w:val="0"/>
        </w:rPr>
        <w:t>ards the third applicant EUR 1</w:t>
      </w:r>
      <w:r w:rsidRPr="00D16BDF" w:rsidR="002A7DB5">
        <w:rPr>
          <w:snapToGrid w:val="0"/>
        </w:rPr>
        <w:t>,5</w:t>
      </w:r>
      <w:r w:rsidRPr="00D16BDF">
        <w:rPr>
          <w:snapToGrid w:val="0"/>
        </w:rPr>
        <w:t>00 in respect of pecuniary damage.</w:t>
      </w:r>
    </w:p>
    <w:p w:rsidRPr="00D16BDF" w:rsidR="00EE1D01" w:rsidP="00D16BDF">
      <w:pPr>
        <w:pStyle w:val="ECHRHeading2"/>
      </w:pPr>
      <w:r w:rsidRPr="00D16BDF">
        <w:t>B.  Default interest</w:t>
      </w:r>
    </w:p>
    <w:p w:rsidRPr="00D16BDF" w:rsidR="00470981" w:rsidP="00D16BDF">
      <w:pPr>
        <w:pStyle w:val="ECHRPara"/>
      </w:pPr>
      <w:r w:rsidRPr="00D16BDF">
        <w:fldChar w:fldCharType="begin"/>
      </w:r>
      <w:r w:rsidRPr="00D16BDF">
        <w:instrText xml:space="preserve"> SEQ level0 \*arabic </w:instrText>
      </w:r>
      <w:r w:rsidRPr="00D16BDF">
        <w:fldChar w:fldCharType="separate"/>
      </w:r>
      <w:r w:rsidR="00B417A8">
        <w:rPr>
          <w:noProof/>
        </w:rPr>
        <w:t>22</w:t>
      </w:r>
      <w:r w:rsidRPr="00D16BDF">
        <w:fldChar w:fldCharType="end"/>
      </w:r>
      <w:r w:rsidRPr="00D16BDF">
        <w:t>.  The Court considers it appropriate that the default interest rate should be based on the marginal lending rate of the European Central Bank, to which should be added three percentage points.</w:t>
      </w:r>
    </w:p>
    <w:p w:rsidRPr="00D16BDF" w:rsidR="00470981" w:rsidP="00D16BDF">
      <w:pPr>
        <w:pStyle w:val="ECHRTitle1"/>
      </w:pPr>
      <w:r w:rsidRPr="00D16BDF">
        <w:t>FOR THESE REASONS, THE COURT</w:t>
      </w:r>
    </w:p>
    <w:p w:rsidRPr="00D16BDF" w:rsidR="00690611" w:rsidP="00D16BDF">
      <w:pPr>
        <w:pStyle w:val="JuList"/>
      </w:pPr>
      <w:r w:rsidRPr="00D16BDF">
        <w:t>1.  </w:t>
      </w:r>
      <w:r w:rsidRPr="00D16BDF" w:rsidR="007A45F5">
        <w:rPr>
          <w:i/>
        </w:rPr>
        <w:t>Decides</w:t>
      </w:r>
      <w:r w:rsidRPr="00D16BDF" w:rsidR="00624F9E">
        <w:t xml:space="preserve">, unanimously, </w:t>
      </w:r>
      <w:r w:rsidRPr="00D16BDF">
        <w:t xml:space="preserve">to </w:t>
      </w:r>
      <w:r w:rsidRPr="00D16BDF" w:rsidR="00624F9E">
        <w:t xml:space="preserve">strike </w:t>
      </w:r>
      <w:r w:rsidRPr="00D16BDF" w:rsidR="00955746">
        <w:t xml:space="preserve">the remainder of </w:t>
      </w:r>
      <w:r w:rsidRPr="00D16BDF" w:rsidR="00624F9E">
        <w:t>application no.</w:t>
      </w:r>
      <w:r w:rsidRPr="00D16BDF" w:rsidR="00FD7A0F">
        <w:t> </w:t>
      </w:r>
      <w:r w:rsidRPr="00D16BDF" w:rsidR="00624F9E">
        <w:t xml:space="preserve">70520/10, </w:t>
      </w:r>
      <w:r w:rsidRPr="00D16BDF" w:rsidR="00955746">
        <w:t>regarding the reserved Article 41 procedure in respect of</w:t>
      </w:r>
      <w:r w:rsidRPr="00D16BDF" w:rsidR="00624F9E">
        <w:t xml:space="preserve"> the first and second applicants, out of its list of cases in accordance with Article 37 § 1 (</w:t>
      </w:r>
      <w:r w:rsidRPr="00D16BDF" w:rsidR="0066346A">
        <w:t>a</w:t>
      </w:r>
      <w:r w:rsidRPr="00D16BDF" w:rsidR="00624F9E">
        <w:t>) of the Convention;</w:t>
      </w:r>
    </w:p>
    <w:p w:rsidRPr="00D16BDF" w:rsidR="00690611" w:rsidP="00D16BDF">
      <w:pPr>
        <w:pStyle w:val="JuList"/>
      </w:pPr>
    </w:p>
    <w:p w:rsidRPr="00D16BDF" w:rsidR="00690611" w:rsidP="00D16BDF">
      <w:pPr>
        <w:pStyle w:val="JuList"/>
      </w:pPr>
      <w:r w:rsidRPr="00D16BDF">
        <w:t>2</w:t>
      </w:r>
      <w:r w:rsidRPr="00D16BDF">
        <w:t>.  </w:t>
      </w:r>
      <w:r w:rsidRPr="00D16BDF">
        <w:rPr>
          <w:i/>
        </w:rPr>
        <w:t>Holds</w:t>
      </w:r>
      <w:r w:rsidRPr="00D16BDF">
        <w:t xml:space="preserve">, by </w:t>
      </w:r>
      <w:r w:rsidRPr="00D16BDF" w:rsidR="007A45F5">
        <w:t>six</w:t>
      </w:r>
      <w:r w:rsidRPr="00D16BDF">
        <w:t xml:space="preserve"> votes to </w:t>
      </w:r>
      <w:r w:rsidRPr="00D16BDF" w:rsidR="007A45F5">
        <w:t>one</w:t>
      </w:r>
      <w:r w:rsidRPr="00D16BDF">
        <w:t>,</w:t>
      </w:r>
    </w:p>
    <w:p w:rsidRPr="00D16BDF" w:rsidR="00690611" w:rsidP="00D16BDF">
      <w:pPr>
        <w:pStyle w:val="JuLista"/>
      </w:pPr>
      <w:r w:rsidRPr="00D16BDF">
        <w:t xml:space="preserve">(a)  that the respondent State is to pay the </w:t>
      </w:r>
      <w:r w:rsidRPr="00D16BDF" w:rsidR="00414AE7">
        <w:t>third applicant</w:t>
      </w:r>
      <w:r w:rsidRPr="00D16BDF">
        <w:t xml:space="preserve">, within three months from the date on which the judgment becomes final in accordance with Article 44 § 2 of the Convention, EUR </w:t>
      </w:r>
      <w:r w:rsidRPr="00D16BDF" w:rsidR="007F70D5">
        <w:t>1</w:t>
      </w:r>
      <w:r w:rsidRPr="00D16BDF" w:rsidR="002A7DB5">
        <w:t>,5</w:t>
      </w:r>
      <w:r w:rsidRPr="00D16BDF" w:rsidR="00590213">
        <w:t>00</w:t>
      </w:r>
      <w:r w:rsidRPr="00D16BDF">
        <w:t xml:space="preserve"> (</w:t>
      </w:r>
      <w:r w:rsidRPr="00D16BDF" w:rsidR="007F70D5">
        <w:t>one</w:t>
      </w:r>
      <w:r w:rsidRPr="00D16BDF" w:rsidR="00590213">
        <w:t xml:space="preserve"> thousand</w:t>
      </w:r>
      <w:r w:rsidRPr="00D16BDF">
        <w:t xml:space="preserve"> </w:t>
      </w:r>
      <w:r w:rsidRPr="00D16BDF" w:rsidR="002A7DB5">
        <w:t xml:space="preserve">five hundred </w:t>
      </w:r>
      <w:r w:rsidRPr="00D16BDF">
        <w:t>euros) in respect of pecuniary damage,</w:t>
      </w:r>
      <w:r w:rsidRPr="00D16BDF" w:rsidR="00FD7A0F">
        <w:t xml:space="preserve"> </w:t>
      </w:r>
      <w:r w:rsidRPr="00D16BDF">
        <w:t>plus any tax that may be chargeable;</w:t>
      </w:r>
    </w:p>
    <w:p w:rsidRPr="00D16BDF" w:rsidR="00690611" w:rsidP="00D16BDF">
      <w:pPr>
        <w:pStyle w:val="JuLista"/>
      </w:pPr>
      <w:r w:rsidRPr="00D16BDF">
        <w:t>(b)  that from the expiry of the above-mentioned three months until settlement simple interest shall be payable on the above amount at a rate equal to the marginal lending rate of the European Central Bank during the default period plus three percentage points;</w:t>
      </w:r>
    </w:p>
    <w:p w:rsidRPr="00D16BDF" w:rsidR="00690611" w:rsidP="00D16BDF">
      <w:pPr>
        <w:pStyle w:val="JuList"/>
      </w:pPr>
    </w:p>
    <w:p w:rsidRPr="00D16BDF" w:rsidR="00470981" w:rsidP="00D16BDF">
      <w:pPr>
        <w:pStyle w:val="JuList"/>
      </w:pPr>
      <w:r w:rsidRPr="00D16BDF">
        <w:t>3</w:t>
      </w:r>
      <w:r w:rsidRPr="00D16BDF" w:rsidR="00690611">
        <w:t>.  </w:t>
      </w:r>
      <w:r w:rsidRPr="00D16BDF" w:rsidR="00690611">
        <w:rPr>
          <w:i/>
        </w:rPr>
        <w:t>Dismisses</w:t>
      </w:r>
      <w:r w:rsidRPr="00D16BDF" w:rsidR="00690611">
        <w:t xml:space="preserve">, unanimously, the remainder of the </w:t>
      </w:r>
      <w:r w:rsidRPr="00D16BDF">
        <w:t xml:space="preserve">third </w:t>
      </w:r>
      <w:r w:rsidRPr="00D16BDF" w:rsidR="00690611">
        <w:t>applicant</w:t>
      </w:r>
      <w:r w:rsidRPr="00D16BDF" w:rsidR="00D16BDF">
        <w:t>’</w:t>
      </w:r>
      <w:r w:rsidRPr="00D16BDF" w:rsidR="00690611">
        <w:t>s claim for just satisfaction.</w:t>
      </w:r>
    </w:p>
    <w:p w:rsidRPr="00D16BDF" w:rsidR="00661C0E" w:rsidP="00D16BDF">
      <w:pPr>
        <w:pStyle w:val="JuParaLast"/>
      </w:pPr>
      <w:r w:rsidRPr="00D16BDF">
        <w:t xml:space="preserve">Done in English, and notified in writing on </w:t>
      </w:r>
      <w:r w:rsidRPr="00D16BDF" w:rsidR="002B0825">
        <w:t>25 June 2019</w:t>
      </w:r>
      <w:r w:rsidRPr="00D16BDF" w:rsidR="0065447F">
        <w:t>, pursuant to Rule </w:t>
      </w:r>
      <w:r w:rsidRPr="00D16BDF">
        <w:t>77</w:t>
      </w:r>
      <w:r w:rsidRPr="00D16BDF" w:rsidR="0065447F">
        <w:t> </w:t>
      </w:r>
      <w:r w:rsidRPr="00D16BDF">
        <w:t>§§</w:t>
      </w:r>
      <w:r w:rsidRPr="00D16BDF" w:rsidR="0065447F">
        <w:t> </w:t>
      </w:r>
      <w:r w:rsidRPr="00D16BDF">
        <w:t>2 and 3 of the Rules of Court.</w:t>
      </w:r>
    </w:p>
    <w:p w:rsidRPr="00D16BDF" w:rsidR="00EB447C" w:rsidP="00D16BDF">
      <w:pPr>
        <w:pStyle w:val="JuSigned"/>
        <w:rPr>
          <w:lang w:val="it-IT"/>
        </w:rPr>
      </w:pPr>
      <w:r w:rsidRPr="00D16BDF">
        <w:tab/>
      </w:r>
      <w:r w:rsidRPr="00D16BDF" w:rsidR="00690611">
        <w:rPr>
          <w:lang w:val="it-IT"/>
        </w:rPr>
        <w:t>Marialena</w:t>
      </w:r>
      <w:r w:rsidRPr="00D16BDF" w:rsidR="00690611">
        <w:rPr>
          <w:lang w:val="it-IT"/>
        </w:rPr>
        <w:t xml:space="preserve"> Tsirli</w:t>
      </w:r>
      <w:r w:rsidRPr="00D16BDF">
        <w:rPr>
          <w:lang w:val="it-IT"/>
        </w:rPr>
        <w:tab/>
      </w:r>
      <w:r w:rsidRPr="00D16BDF" w:rsidR="00955746">
        <w:rPr>
          <w:lang w:val="it-IT"/>
        </w:rPr>
        <w:t>Jon</w:t>
      </w:r>
      <w:r w:rsidRPr="00D16BDF" w:rsidR="00955746">
        <w:rPr>
          <w:lang w:val="it-IT"/>
        </w:rPr>
        <w:t xml:space="preserve"> </w:t>
      </w:r>
      <w:r w:rsidRPr="00D16BDF" w:rsidR="00955746">
        <w:rPr>
          <w:lang w:val="it-IT"/>
        </w:rPr>
        <w:t>Fridrik</w:t>
      </w:r>
      <w:r w:rsidRPr="00D16BDF" w:rsidR="00955746">
        <w:rPr>
          <w:lang w:val="it-IT"/>
        </w:rPr>
        <w:t xml:space="preserve"> </w:t>
      </w:r>
      <w:r w:rsidRPr="00D16BDF" w:rsidR="00955746">
        <w:rPr>
          <w:lang w:val="it-IT"/>
        </w:rPr>
        <w:t>Kj</w:t>
      </w:r>
      <w:r w:rsidRPr="00D16BDF" w:rsidR="00955746">
        <w:rPr>
          <w:rFonts w:cstheme="minorHAnsi"/>
          <w:lang w:val="it-IT"/>
        </w:rPr>
        <w:t>ø</w:t>
      </w:r>
      <w:r w:rsidRPr="00D16BDF" w:rsidR="00955746">
        <w:rPr>
          <w:lang w:val="it-IT"/>
        </w:rPr>
        <w:t>lbro</w:t>
      </w:r>
      <w:r w:rsidRPr="00D16BDF" w:rsidR="00BC51AA">
        <w:rPr>
          <w:lang w:val="it-IT"/>
        </w:rPr>
        <w:br/>
      </w:r>
      <w:r w:rsidRPr="00D16BDF">
        <w:rPr>
          <w:lang w:val="it-IT"/>
        </w:rPr>
        <w:tab/>
      </w:r>
      <w:r w:rsidRPr="00D16BDF" w:rsidR="00690611">
        <w:rPr>
          <w:szCs w:val="24"/>
          <w:lang w:val="it-IT"/>
        </w:rPr>
        <w:t>Registrar</w:t>
      </w:r>
      <w:r w:rsidRPr="00D16BDF">
        <w:rPr>
          <w:lang w:val="it-IT"/>
        </w:rPr>
        <w:tab/>
      </w:r>
      <w:r w:rsidRPr="00D16BDF">
        <w:rPr>
          <w:lang w:val="it-IT"/>
        </w:rPr>
        <w:t>President</w:t>
      </w:r>
    </w:p>
    <w:p w:rsidRPr="00D16BDF" w:rsidR="007A1E4C" w:rsidP="00D16BDF">
      <w:pPr>
        <w:pStyle w:val="JuParaLast"/>
      </w:pPr>
      <w:r w:rsidRPr="00D16BDF">
        <w:t>In accordance with Article 45 § 2 of the Convention and Rule 74 § 2 of the Rules of Court, the separate opinion of Judge Ranzoni is annexed to this judgment.</w:t>
      </w:r>
    </w:p>
    <w:p w:rsidRPr="00D16BDF" w:rsidR="007A1E4C" w:rsidP="00D16BDF">
      <w:pPr>
        <w:pStyle w:val="JuInitialled"/>
      </w:pPr>
      <w:r w:rsidRPr="00D16BDF">
        <w:t>J.F.K</w:t>
      </w:r>
      <w:r w:rsidRPr="00D16BDF">
        <w:t>.</w:t>
      </w:r>
      <w:r w:rsidRPr="00D16BDF">
        <w:br/>
        <w:t>M.T.</w:t>
      </w:r>
    </w:p>
    <w:p w:rsidRPr="00D16BDF" w:rsidR="00741EAA" w:rsidP="00D16BDF">
      <w:pPr>
        <w:pStyle w:val="JuParaLast"/>
        <w:rPr>
          <w:lang w:val="it-IT"/>
        </w:rPr>
        <w:sectPr w:rsidSect="00890B6E">
          <w:headerReference w:type="even" r:id="rId8"/>
          <w:headerReference w:type="default" r:id="rId9"/>
          <w:footnotePr>
            <w:numRestart w:val="eachSect"/>
          </w:footnotePr>
          <w:pgSz w:w="11906" w:h="16838" w:code="9"/>
          <w:pgMar w:top="2274" w:right="2274" w:bottom="2274" w:left="2274" w:header="1701" w:footer="720" w:gutter="0"/>
          <w:pgNumType w:start="1"/>
          <w:cols w:space="720"/>
          <w:docGrid w:linePitch="326"/>
        </w:sectPr>
      </w:pPr>
    </w:p>
    <w:p w:rsidRPr="00D16BDF" w:rsidR="00741EAA" w:rsidP="00D16BDF">
      <w:pPr>
        <w:pStyle w:val="ECHRTitleCentre1"/>
        <w:rPr>
          <w:rFonts w:eastAsia="Times New Roman"/>
        </w:rPr>
      </w:pPr>
      <w:r w:rsidRPr="00D16BDF">
        <w:rPr>
          <w:rFonts w:eastAsia="Times New Roman"/>
        </w:rPr>
        <w:t>PARTLY DISSENTING OPINION OF JUDGE RANZONI</w:t>
      </w:r>
    </w:p>
    <w:p w:rsidRPr="002B34F3" w:rsidR="00B417A8" w:rsidP="00B417A8">
      <w:pPr>
        <w:pStyle w:val="OpiPara"/>
      </w:pPr>
      <w:r>
        <w:t>1</w:t>
      </w:r>
      <w:r w:rsidRPr="00543F01">
        <w:t>.</w:t>
      </w:r>
      <w:r w:rsidRPr="002B34F3">
        <w:t>  </w:t>
      </w:r>
      <w:r>
        <w:t>In a</w:t>
      </w:r>
      <w:r w:rsidRPr="002B34F3">
        <w:t>ccord</w:t>
      </w:r>
      <w:r>
        <w:t>ance with</w:t>
      </w:r>
      <w:r w:rsidRPr="002B34F3">
        <w:t xml:space="preserve"> Article 37 § 1 (b) of the Convention</w:t>
      </w:r>
      <w:r>
        <w:t>,</w:t>
      </w:r>
      <w:r w:rsidRPr="002B34F3">
        <w:t xml:space="preserve"> the Court may at any stage of the proceedings decide to strike an application out of its list of cases where the circumstances lead to the conclusion that the matter has been resolved. To my mind, this provision should have been applied to the third applicant </w:t>
      </w:r>
      <w:r>
        <w:t>in</w:t>
      </w:r>
      <w:r w:rsidRPr="002B34F3">
        <w:t xml:space="preserve"> the present case.</w:t>
      </w:r>
    </w:p>
    <w:p w:rsidRPr="002B34F3" w:rsidR="00B417A8" w:rsidP="00B417A8">
      <w:pPr>
        <w:pStyle w:val="OpiPara"/>
      </w:pPr>
      <w:r>
        <w:t>2</w:t>
      </w:r>
      <w:r w:rsidRPr="00543F01">
        <w:t>.</w:t>
      </w:r>
      <w:r w:rsidRPr="002B34F3">
        <w:t>  In its principal judgment (</w:t>
      </w:r>
      <w:r w:rsidRPr="002B34F3">
        <w:rPr>
          <w:i/>
          <w:iCs/>
        </w:rPr>
        <w:t>Beinarovič</w:t>
      </w:r>
      <w:r w:rsidRPr="002B34F3">
        <w:rPr>
          <w:i/>
          <w:iCs/>
        </w:rPr>
        <w:t xml:space="preserve"> and Others v. Lithuania</w:t>
      </w:r>
      <w:r w:rsidRPr="002B34F3">
        <w:t>, nos. 70520/10 and 2 others, 12 June 2018) the Court held</w:t>
      </w:r>
      <w:r>
        <w:t>,</w:t>
      </w:r>
      <w:r w:rsidRPr="002B34F3">
        <w:t xml:space="preserve"> </w:t>
      </w:r>
      <w:r w:rsidRPr="002B34F3">
        <w:rPr>
          <w:i/>
        </w:rPr>
        <w:t>inter alia</w:t>
      </w:r>
      <w:r>
        <w:t>,</w:t>
      </w:r>
      <w:r w:rsidRPr="002B34F3">
        <w:t xml:space="preserve"> that there had been a violation of Article 1 of Protocol No. 1 to the Convention in respect of the third applicant in view of the fact that her property rights had still not been fully restored. It considered that the question of the application of Article 41 of the Convention was not ready for decision as regards pecuniary damage and therefore reserved that question (see paragraphs 2 and 4 of the present judgment).</w:t>
      </w:r>
    </w:p>
    <w:p w:rsidRPr="002B34F3" w:rsidR="00B417A8" w:rsidP="00B417A8">
      <w:pPr>
        <w:pStyle w:val="OpiPara"/>
      </w:pPr>
      <w:r>
        <w:t>3</w:t>
      </w:r>
      <w:r w:rsidRPr="00543F01">
        <w:t>.</w:t>
      </w:r>
      <w:r w:rsidRPr="002B34F3">
        <w:t xml:space="preserve">  Subsequently, the relevant domestic authorities asked the third applicant to indicate her preferred form of restitution. She had been given three options: (1) she could be assigned one hectare of land in the area of </w:t>
      </w:r>
      <w:r w:rsidRPr="002B34F3">
        <w:t>Vaidotai</w:t>
      </w:r>
      <w:r w:rsidRPr="002B34F3">
        <w:t xml:space="preserve">; (2) she could be assigned a plot of land or forest in a rural area equal in value to the land held previously; </w:t>
      </w:r>
      <w:r>
        <w:t xml:space="preserve">or </w:t>
      </w:r>
      <w:r w:rsidRPr="002B34F3">
        <w:t>(3) she could be provided with monetary compensation in the amount of 1,157</w:t>
      </w:r>
      <w:r>
        <w:t xml:space="preserve"> euros (EUR)</w:t>
      </w:r>
      <w:r w:rsidRPr="002B34F3">
        <w:t xml:space="preserve">. In her reply, she observed that there was no vacant land in the area of </w:t>
      </w:r>
      <w:r w:rsidRPr="002B34F3">
        <w:t>Vaidotai</w:t>
      </w:r>
      <w:r w:rsidRPr="002B34F3">
        <w:t xml:space="preserve"> and that it was unlikely that she would be allocated a new plot in the Vilnius Region. Therefore, she wished for her property rights to be restored by</w:t>
      </w:r>
      <w:r>
        <w:t xml:space="preserve"> means of</w:t>
      </w:r>
      <w:r w:rsidRPr="002B34F3">
        <w:t xml:space="preserve"> monetary compensation (see paragraph 12 of the present judgment).</w:t>
      </w:r>
    </w:p>
    <w:p w:rsidRPr="002B34F3" w:rsidR="00B417A8" w:rsidP="00B417A8">
      <w:pPr>
        <w:pStyle w:val="OpiPara"/>
      </w:pPr>
      <w:r>
        <w:t>4</w:t>
      </w:r>
      <w:r w:rsidRPr="00543F01">
        <w:t>.</w:t>
      </w:r>
      <w:r w:rsidRPr="002B34F3">
        <w:t xml:space="preserve">  The authorities made an offer for compensation </w:t>
      </w:r>
      <w:r>
        <w:t>amounting to</w:t>
      </w:r>
      <w:r w:rsidRPr="002B34F3">
        <w:t xml:space="preserve"> EUR</w:t>
      </w:r>
      <w:r>
        <w:t> </w:t>
      </w:r>
      <w:r w:rsidRPr="002B34F3">
        <w:t>1,157, which the third applicant accepted without any indication that she disputed the specifi</w:t>
      </w:r>
      <w:r>
        <w:t>ed</w:t>
      </w:r>
      <w:r w:rsidRPr="002B34F3">
        <w:t xml:space="preserve"> amount or that her acceptance only referred to the question of compensation</w:t>
      </w:r>
      <w:r>
        <w:t xml:space="preserve"> in principle</w:t>
      </w:r>
      <w:r w:rsidRPr="002B34F3">
        <w:t>, but not to the amount offered. She neither requested</w:t>
      </w:r>
      <w:r>
        <w:t>,</w:t>
      </w:r>
      <w:r w:rsidRPr="002B34F3">
        <w:t xml:space="preserve"> nor tried to negotiate</w:t>
      </w:r>
      <w:r>
        <w:t>,</w:t>
      </w:r>
      <w:r w:rsidRPr="002B34F3">
        <w:t xml:space="preserve"> a higher amount. </w:t>
      </w:r>
    </w:p>
    <w:p w:rsidRPr="002B34F3" w:rsidR="00B417A8" w:rsidP="00B417A8">
      <w:pPr>
        <w:pStyle w:val="OpiPara"/>
      </w:pPr>
      <w:r>
        <w:t>5</w:t>
      </w:r>
      <w:r w:rsidRPr="002B34F3">
        <w:t>.  Against this background, I cannot help but notice that the third applicant at domestic level accepted the authorities’ offer of compensation in the amount of EUR 1,157 and that the matter has thus been resolved.</w:t>
      </w:r>
    </w:p>
    <w:p w:rsidRPr="002B34F3" w:rsidR="00B417A8" w:rsidP="00B417A8">
      <w:pPr>
        <w:pStyle w:val="OpiPara"/>
      </w:pPr>
      <w:r>
        <w:t>6</w:t>
      </w:r>
      <w:r w:rsidRPr="002B34F3">
        <w:t xml:space="preserve">.  The majority, in holding that the third applicant had not been deprived of her victim status, first referred to and distinguished the case of </w:t>
      </w:r>
      <w:r w:rsidRPr="000453C5">
        <w:rPr>
          <w:i/>
        </w:rPr>
        <w:t>A.F. v. the United Kingdom</w:t>
      </w:r>
      <w:r w:rsidRPr="002B34F3">
        <w:t xml:space="preserve"> (</w:t>
      </w:r>
      <w:r>
        <w:t>(</w:t>
      </w:r>
      <w:r w:rsidRPr="002B34F3">
        <w:t>dec.</w:t>
      </w:r>
      <w:r w:rsidRPr="002B34F3">
        <w:t xml:space="preserve">), no. 7674/08, § 21, 20 May 2014 </w:t>
      </w:r>
      <w:r>
        <w:t xml:space="preserve">– </w:t>
      </w:r>
      <w:r w:rsidRPr="002B34F3">
        <w:t xml:space="preserve">see paragraph 15 of the judgment). However, I fail to see the relevance of that decision, taken in a different context, </w:t>
      </w:r>
      <w:r>
        <w:t>to</w:t>
      </w:r>
      <w:r w:rsidRPr="002B34F3">
        <w:t xml:space="preserve"> the situation </w:t>
      </w:r>
      <w:r>
        <w:t>in</w:t>
      </w:r>
      <w:r w:rsidRPr="002B34F3">
        <w:t xml:space="preserve"> the present case.</w:t>
      </w:r>
    </w:p>
    <w:p w:rsidRPr="002B34F3" w:rsidR="00B417A8" w:rsidP="00B417A8">
      <w:pPr>
        <w:pStyle w:val="OpiPara"/>
      </w:pPr>
      <w:r>
        <w:t>7</w:t>
      </w:r>
      <w:r w:rsidRPr="00543F01">
        <w:t>.</w:t>
      </w:r>
      <w:r w:rsidRPr="002B34F3">
        <w:t>  Secondly, the majority refer</w:t>
      </w:r>
      <w:r>
        <w:t>red</w:t>
      </w:r>
      <w:r w:rsidRPr="002B34F3">
        <w:t xml:space="preserve"> to case-law stating that an applicant’s victim status may depend on the level of compensation awarded (see paragraph 15). While I agree with this case-law, it is not applicable to the present context. None of the cases of </w:t>
      </w:r>
      <w:r w:rsidRPr="002B34F3">
        <w:rPr>
          <w:i/>
        </w:rPr>
        <w:t>Scordino</w:t>
      </w:r>
      <w:r w:rsidRPr="002B34F3">
        <w:rPr>
          <w:i/>
        </w:rPr>
        <w:t xml:space="preserve"> v. Italy</w:t>
      </w:r>
      <w:r>
        <w:rPr>
          <w:i/>
        </w:rPr>
        <w:t xml:space="preserve"> </w:t>
      </w:r>
      <w:r w:rsidRPr="007A45F5">
        <w:rPr>
          <w:i/>
        </w:rPr>
        <w:t xml:space="preserve">(no. 1) </w:t>
      </w:r>
      <w:r>
        <w:t>(</w:t>
      </w:r>
      <w:r w:rsidRPr="007A45F5">
        <w:t>[GC], no. </w:t>
      </w:r>
      <w:r>
        <w:t xml:space="preserve">36813/97, </w:t>
      </w:r>
      <w:r w:rsidRPr="007A45F5">
        <w:t>ECHR 2006</w:t>
      </w:r>
      <w:r w:rsidRPr="007A45F5">
        <w:noBreakHyphen/>
        <w:t>V</w:t>
      </w:r>
      <w:r>
        <w:t>)</w:t>
      </w:r>
      <w:r w:rsidRPr="002B34F3">
        <w:t xml:space="preserve">, </w:t>
      </w:r>
      <w:r w:rsidRPr="002B34F3">
        <w:rPr>
          <w:i/>
        </w:rPr>
        <w:t>Paplauskienė</w:t>
      </w:r>
      <w:r w:rsidRPr="002B34F3">
        <w:rPr>
          <w:i/>
        </w:rPr>
        <w:t xml:space="preserve"> v. Lithuania</w:t>
      </w:r>
      <w:r w:rsidRPr="002B34F3">
        <w:t xml:space="preserve"> </w:t>
      </w:r>
      <w:r>
        <w:t>(no. </w:t>
      </w:r>
      <w:r w:rsidRPr="007A45F5">
        <w:t>31102/06</w:t>
      </w:r>
      <w:r>
        <w:rPr>
          <w:snapToGrid w:val="0"/>
        </w:rPr>
        <w:t xml:space="preserve">, </w:t>
      </w:r>
      <w:r w:rsidRPr="007A45F5">
        <w:rPr>
          <w:snapToGrid w:val="0"/>
        </w:rPr>
        <w:t>14 October 2014</w:t>
      </w:r>
      <w:r>
        <w:rPr>
          <w:snapToGrid w:val="0"/>
        </w:rPr>
        <w:t xml:space="preserve">) </w:t>
      </w:r>
      <w:r>
        <w:t>or</w:t>
      </w:r>
      <w:r w:rsidRPr="002B34F3">
        <w:t xml:space="preserve"> </w:t>
      </w:r>
      <w:r w:rsidRPr="002B34F3">
        <w:rPr>
          <w:i/>
        </w:rPr>
        <w:t>Bykova</w:t>
      </w:r>
      <w:r w:rsidRPr="002B34F3">
        <w:rPr>
          <w:i/>
        </w:rPr>
        <w:t xml:space="preserve"> and Others v. Lithuania</w:t>
      </w:r>
      <w:r w:rsidRPr="002B34F3">
        <w:t xml:space="preserve"> </w:t>
      </w:r>
      <w:r>
        <w:t xml:space="preserve">([Committee], </w:t>
      </w:r>
      <w:r>
        <w:t>no. </w:t>
      </w:r>
      <w:r w:rsidRPr="007A45F5">
        <w:t>66042/10, 18 December 2018</w:t>
      </w:r>
      <w:r>
        <w:t xml:space="preserve">) </w:t>
      </w:r>
      <w:r w:rsidRPr="002B34F3">
        <w:t xml:space="preserve">concerned applicants who had accepted the compensation offered. </w:t>
      </w:r>
      <w:r>
        <w:t>Instead, t</w:t>
      </w:r>
      <w:r w:rsidRPr="002B34F3">
        <w:t>hey relate</w:t>
      </w:r>
      <w:r>
        <w:t>d</w:t>
      </w:r>
      <w:r w:rsidRPr="002B34F3">
        <w:t xml:space="preserve"> to situations where amounts of compensation had been awarded in domestic decisions with which the applicants had clearly disagreed by using domestic remedies. In contrast, the third applicant in the instant case did accept the compensation offered.</w:t>
      </w:r>
    </w:p>
    <w:p w:rsidRPr="002B34F3" w:rsidR="00B417A8" w:rsidP="00B417A8">
      <w:pPr>
        <w:pStyle w:val="OpiPara"/>
      </w:pPr>
      <w:r>
        <w:t>8</w:t>
      </w:r>
      <w:r w:rsidRPr="002B34F3">
        <w:t>.  What is more, in the above</w:t>
      </w:r>
      <w:r>
        <w:t>-</w:t>
      </w:r>
      <w:r w:rsidRPr="002B34F3">
        <w:t xml:space="preserve">mentioned cases the Court held that the </w:t>
      </w:r>
      <w:r>
        <w:t xml:space="preserve">amounts of </w:t>
      </w:r>
      <w:r w:rsidRPr="002B34F3">
        <w:t xml:space="preserve">compensation awarded had been “manifestly unreasonable” or “manifestly insufficient”. For example, in </w:t>
      </w:r>
      <w:r w:rsidRPr="002B34F3">
        <w:rPr>
          <w:i/>
        </w:rPr>
        <w:t>Scordino</w:t>
      </w:r>
      <w:r w:rsidRPr="002B34F3">
        <w:t xml:space="preserve"> the award amounted to only 10% of the sum usually awarded by the Court, and in </w:t>
      </w:r>
      <w:r w:rsidRPr="002B34F3">
        <w:rPr>
          <w:i/>
        </w:rPr>
        <w:t>Bykova</w:t>
      </w:r>
      <w:r w:rsidRPr="002B34F3">
        <w:rPr>
          <w:i/>
        </w:rPr>
        <w:t xml:space="preserve"> and Others</w:t>
      </w:r>
      <w:r w:rsidRPr="002B34F3">
        <w:t xml:space="preserve"> the compensation was more than four times lower than its indexed value. In the present case, however, the award offered (EUR 1,157) amounted to 90% of the indexed value (EUR 1,282), which cannot be </w:t>
      </w:r>
      <w:r>
        <w:t>regarded</w:t>
      </w:r>
      <w:r w:rsidRPr="002B34F3">
        <w:t xml:space="preserve"> as “manifestly” unreasonable </w:t>
      </w:r>
      <w:r>
        <w:t>with</w:t>
      </w:r>
      <w:r w:rsidRPr="002B34F3">
        <w:t>in the meaning of the Court’s case-law.</w:t>
      </w:r>
    </w:p>
    <w:p w:rsidRPr="00D16BDF" w:rsidR="00D16BDF" w:rsidP="00D16BDF">
      <w:pPr>
        <w:pStyle w:val="OpiPara"/>
        <w:rPr>
          <w:rFonts w:eastAsia="Times New Roman"/>
        </w:rPr>
      </w:pPr>
      <w:r>
        <w:t>9</w:t>
      </w:r>
      <w:r w:rsidRPr="00543F01" w:rsidR="00B417A8">
        <w:t>.</w:t>
      </w:r>
      <w:r w:rsidRPr="002B34F3" w:rsidR="00B417A8">
        <w:t>  Consequently, to my mind, the third applicant’s acceptance of the compensation offered should have been validated. The matter would thus have been resolved, and her application should have been struck out of the list pursuant to Article 37 § 1 (b) of the Convention.</w:t>
      </w:r>
    </w:p>
    <w:sectPr w:rsidSect="00741EAA">
      <w:headerReference w:type="even" r:id="rId10"/>
      <w:headerReference w:type="default" r:id="rId11"/>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B6E" w:rsidRPr="00150BFA" w:rsidP="0020718E">
    <w:pPr>
      <w:jc w:val="center"/>
    </w:pPr>
    <w:r>
      <w:rPr>
        <w:noProof/>
        <w:lang w:val="fr-FR" w:eastAsia="fr-FR"/>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890B6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E7C" w:rsidRPr="00890B6E" w:rsidP="00890B6E">
    <w:pPr>
      <w:pStyle w:val="Header"/>
      <w:jc w:val="center"/>
      <w:rPr>
        <w:rStyle w:val="PageNumber"/>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B6E" w:rsidRPr="00A45145" w:rsidP="00A45145">
    <w:pPr>
      <w:jc w:val="center"/>
    </w:pPr>
    <w:r>
      <w:rPr>
        <w:noProof/>
        <w:lang w:val="fr-FR" w:eastAsia="fr-FR"/>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F77E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B6E" w:rsidRPr="00B17171" w:rsidP="00660DC0">
    <w:pPr>
      <w:pStyle w:val="ECHRHeader"/>
    </w:pPr>
    <w:r>
      <w:rPr>
        <w:rStyle w:val="PageNumber"/>
      </w:rPr>
      <w:fldChar w:fldCharType="begin"/>
    </w:r>
    <w:r>
      <w:rPr>
        <w:rStyle w:val="PageNumber"/>
      </w:rPr>
      <w:instrText xml:space="preserve"> PAGE </w:instrText>
    </w:r>
    <w:r>
      <w:rPr>
        <w:rStyle w:val="PageNumber"/>
      </w:rPr>
      <w:fldChar w:fldCharType="separate"/>
    </w:r>
    <w:r w:rsidR="000426B4">
      <w:rPr>
        <w:rStyle w:val="PageNumber"/>
        <w:noProof/>
      </w:rPr>
      <w:t>6</w:t>
    </w:r>
    <w:r>
      <w:rPr>
        <w:rStyle w:val="PageNumber"/>
      </w:rPr>
      <w:fldChar w:fldCharType="end"/>
    </w:r>
    <w:r w:rsidRPr="00B17171">
      <w:tab/>
    </w:r>
    <w:r>
      <w:t>BEINAROVIČ AND OTHERS v. LITHUANIA</w:t>
    </w:r>
    <w:r w:rsidR="006D13B0">
      <w:t xml:space="preserve"> (JUST SATISFACTION)</w:t>
    </w:r>
    <w:r w:rsidR="00B82DB9">
      <w:t xml:space="preserve"> - 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B6E" w:rsidRPr="00B17171" w:rsidP="00874819">
    <w:pPr>
      <w:pStyle w:val="ECHRHeader"/>
      <w:rPr>
        <w:rStyle w:val="PageNumber"/>
      </w:rPr>
    </w:pPr>
    <w:r w:rsidRPr="00B17171">
      <w:tab/>
    </w:r>
    <w:r>
      <w:t>BEINAROVIČ AND OTHERS v. LITHUANIA</w:t>
    </w:r>
    <w:r w:rsidRPr="00B17171">
      <w:t xml:space="preserve"> (JUST SATISFACTION)</w:t>
    </w:r>
    <w:r w:rsidR="006D13B0">
      <w:t xml:space="preserve"> - JUDGMENT</w:t>
    </w:r>
    <w:r w:rsidRPr="00B17171">
      <w:tab/>
    </w:r>
    <w:r>
      <w:rPr>
        <w:rStyle w:val="PageNumber"/>
      </w:rPr>
      <w:fldChar w:fldCharType="begin"/>
    </w:r>
    <w:r>
      <w:rPr>
        <w:rStyle w:val="PageNumber"/>
      </w:rPr>
      <w:instrText xml:space="preserve"> PAGE </w:instrText>
    </w:r>
    <w:r>
      <w:rPr>
        <w:rStyle w:val="PageNumber"/>
      </w:rPr>
      <w:fldChar w:fldCharType="separate"/>
    </w:r>
    <w:r w:rsidR="000426B4">
      <w:rPr>
        <w:rStyle w:val="PageNumber"/>
        <w:noProof/>
      </w:rPr>
      <w:t>1</w:t>
    </w:r>
    <w:r>
      <w:rPr>
        <w:rStyle w:val="PageNumber"/>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EAA" w:rsidRPr="00B17171" w:rsidP="006160BD">
    <w:pPr>
      <w:pStyle w:val="ECHRHeader"/>
      <w:tabs>
        <w:tab w:val="center" w:pos="3685"/>
        <w:tab w:val="clear" w:pos="3686"/>
        <w:tab w:val="clear" w:pos="7371"/>
      </w:tabs>
      <w:jc w:val="center"/>
    </w:pPr>
    <w:r>
      <w:rPr>
        <w:rStyle w:val="PageNumber"/>
      </w:rPr>
      <w:fldChar w:fldCharType="begin"/>
    </w:r>
    <w:r>
      <w:rPr>
        <w:rStyle w:val="PageNumber"/>
      </w:rPr>
      <w:instrText xml:space="preserve"> PAGE </w:instrText>
    </w:r>
    <w:r>
      <w:rPr>
        <w:rStyle w:val="PageNumber"/>
      </w:rPr>
      <w:fldChar w:fldCharType="separate"/>
    </w:r>
    <w:r w:rsidR="000426B4">
      <w:rPr>
        <w:rStyle w:val="PageNumber"/>
        <w:noProof/>
      </w:rPr>
      <w:t>8</w:t>
    </w:r>
    <w:r>
      <w:rPr>
        <w:rStyle w:val="PageNumber"/>
      </w:rPr>
      <w:fldChar w:fldCharType="end"/>
    </w:r>
    <w:r w:rsidRPr="00B17171">
      <w:tab/>
    </w:r>
    <w:r>
      <w:t>BEINAROVIČ AND OTHERS v. LITHUANIA (JUST SATISFACTION) - JUDGMENT - SEPARATE OPINION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60BD" w:rsidP="006160BD">
    <w:pPr>
      <w:pStyle w:val="ECHRHeader"/>
      <w:tabs>
        <w:tab w:val="center" w:pos="3685"/>
        <w:tab w:val="clear" w:pos="3686"/>
        <w:tab w:val="left" w:pos="7358"/>
        <w:tab w:val="clear" w:pos="7371"/>
      </w:tabs>
      <w:jc w:val="center"/>
    </w:pPr>
    <w:r>
      <w:t>BEINAROVIČ AND OTHERS v. LITHUANIA</w:t>
    </w:r>
    <w:r w:rsidRPr="00B17171">
      <w:t xml:space="preserve"> (JUST SATISFACTION)</w:t>
    </w:r>
    <w:r>
      <w:t xml:space="preserve"> </w:t>
    </w:r>
    <w:r>
      <w:t>–</w:t>
    </w:r>
    <w:r>
      <w:t xml:space="preserve"> JUDGMENT</w:t>
    </w:r>
    <w:r>
      <w:t xml:space="preserve"> -</w:t>
    </w:r>
    <w:r>
      <w:t xml:space="preserve"> </w:t>
    </w:r>
    <w:r>
      <w:tab/>
    </w:r>
    <w:r>
      <w:rPr>
        <w:rStyle w:val="PageNumber"/>
      </w:rPr>
      <w:fldChar w:fldCharType="begin"/>
    </w:r>
    <w:r>
      <w:rPr>
        <w:rStyle w:val="PageNumber"/>
      </w:rPr>
      <w:instrText xml:space="preserve"> PAGE </w:instrText>
    </w:r>
    <w:r>
      <w:rPr>
        <w:rStyle w:val="PageNumber"/>
      </w:rPr>
      <w:fldChar w:fldCharType="separate"/>
    </w:r>
    <w:r w:rsidR="000426B4">
      <w:rPr>
        <w:rStyle w:val="PageNumber"/>
        <w:noProof/>
      </w:rPr>
      <w:t>9</w:t>
    </w:r>
    <w:r>
      <w:rPr>
        <w:rStyle w:val="PageNumber"/>
      </w:rPr>
      <w:fldChar w:fldCharType="end"/>
    </w:r>
  </w:p>
  <w:p w:rsidR="00741EAA" w:rsidRPr="00B17171" w:rsidP="006160BD">
    <w:pPr>
      <w:pStyle w:val="ECHRHeader"/>
      <w:tabs>
        <w:tab w:val="center" w:pos="3685"/>
        <w:tab w:val="clear" w:pos="3686"/>
        <w:tab w:val="left" w:pos="7358"/>
        <w:tab w:val="clear" w:pos="7371"/>
      </w:tabs>
      <w:jc w:val="center"/>
      <w:rPr>
        <w:rStyle w:val="PageNumber"/>
      </w:rPr>
    </w:pPr>
    <w:r>
      <w:tab/>
    </w:r>
    <w:r>
      <w:t>SEPARATE OPINION</w: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00A2985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FA25CD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11E2A3A"/>
    <w:lvl w:ilvl="0">
      <w:start w:val="1"/>
      <w:numFmt w:val="decimal"/>
      <w:pStyle w:val="ListNumber3"/>
      <w:lvlText w:val="%1."/>
      <w:lvlJc w:val="left"/>
      <w:pPr>
        <w:tabs>
          <w:tab w:val="num" w:pos="926"/>
        </w:tabs>
        <w:ind w:left="926" w:hanging="360"/>
      </w:pPr>
    </w:lvl>
  </w:abstractNum>
  <w:abstractNum w:abstractNumId="3">
    <w:nsid w:val="FFFFFF7F"/>
    <w:multiLevelType w:val="singleLevel"/>
    <w:tmpl w:val="D9A66C96"/>
    <w:lvl w:ilvl="0">
      <w:start w:val="1"/>
      <w:numFmt w:val="decimal"/>
      <w:pStyle w:val="ListNumber2"/>
      <w:lvlText w:val="%1."/>
      <w:lvlJc w:val="left"/>
      <w:pPr>
        <w:tabs>
          <w:tab w:val="num" w:pos="643"/>
        </w:tabs>
        <w:ind w:left="643" w:hanging="360"/>
      </w:pPr>
    </w:lvl>
  </w:abstractNum>
  <w:abstractNum w:abstractNumId="4">
    <w:nsid w:val="FFFFFF80"/>
    <w:multiLevelType w:val="singleLevel"/>
    <w:tmpl w:val="56B2442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D7AB45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EE701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0D61EB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0E133365"/>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9">
    <w:nsid w:val="262D3F51"/>
    <w:multiLevelType w:val="hybridMultilevel"/>
    <w:tmpl w:val="B1886526"/>
    <w:lvl w:ilvl="0">
      <w:start w:val="1"/>
      <w:numFmt w:val="decimal"/>
      <w:lvlText w:val="%1."/>
      <w:lvlJc w:val="left"/>
      <w:pPr>
        <w:ind w:left="360" w:hanging="360"/>
      </w:pPr>
      <w:rPr>
        <w:b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0">
    <w:nsid w:val="3A5D4721"/>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58580374"/>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3">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7"/>
  </w:num>
  <w:num w:numId="2">
    <w:abstractNumId w:val="6"/>
  </w:num>
  <w:num w:numId="3">
    <w:abstractNumId w:val="4"/>
  </w:num>
  <w:num w:numId="4">
    <w:abstractNumId w:val="12"/>
  </w:num>
  <w:num w:numId="5">
    <w:abstractNumId w:val="11"/>
  </w:num>
  <w:num w:numId="6">
    <w:abstractNumId w:val="10"/>
  </w:num>
  <w:num w:numId="7">
    <w:abstractNumId w:val="8"/>
  </w:num>
  <w:num w:numId="8">
    <w:abstractNumId w:val="5"/>
  </w:num>
  <w:num w:numId="9">
    <w:abstractNumId w:val="3"/>
  </w:num>
  <w:num w:numId="10">
    <w:abstractNumId w:val="2"/>
  </w:num>
  <w:num w:numId="11">
    <w:abstractNumId w:val="1"/>
  </w:num>
  <w:num w:numId="12">
    <w:abstractNumId w:val="0"/>
  </w:num>
  <w:num w:numId="13">
    <w:abstractNumId w:val="13"/>
  </w:num>
  <w:num w:numId="14">
    <w:abstractNumId w:val="13"/>
  </w:num>
  <w:num w:numId="15">
    <w:abstractNumId w:val="13"/>
  </w:num>
  <w:num w:numId="16">
    <w:abstractNumId w:val="13"/>
  </w:num>
  <w:num w:numId="17">
    <w:abstractNumId w:val="13"/>
  </w:num>
  <w:num w:numId="18">
    <w:abstractNumId w:val="13"/>
  </w:num>
  <w:num w:numId="19">
    <w:abstractNumId w:val="13"/>
  </w:num>
  <w:num w:numId="20">
    <w:abstractNumId w:val="13"/>
  </w:num>
  <w:num w:numId="21">
    <w:abstractNumId w:val="13"/>
  </w:num>
  <w:num w:numId="22">
    <w:abstractNumId w:val="9"/>
  </w:num>
  <w:num w:numId="23">
    <w:abstractNumId w:val="13"/>
  </w:num>
  <w:num w:numId="24">
    <w:abstractNumId w:val="1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0611"/>
    <w:rsid w:val="000041F8"/>
    <w:rsid w:val="000042A8"/>
    <w:rsid w:val="00004308"/>
    <w:rsid w:val="00005BF0"/>
    <w:rsid w:val="00007154"/>
    <w:rsid w:val="000103AE"/>
    <w:rsid w:val="00011D69"/>
    <w:rsid w:val="00012AD3"/>
    <w:rsid w:val="00015C2D"/>
    <w:rsid w:val="00015F00"/>
    <w:rsid w:val="000209D7"/>
    <w:rsid w:val="00022C1D"/>
    <w:rsid w:val="00024CB0"/>
    <w:rsid w:val="00025BE3"/>
    <w:rsid w:val="00034987"/>
    <w:rsid w:val="00035E59"/>
    <w:rsid w:val="000426B4"/>
    <w:rsid w:val="000453C5"/>
    <w:rsid w:val="0005251B"/>
    <w:rsid w:val="000551A8"/>
    <w:rsid w:val="000602DF"/>
    <w:rsid w:val="00061B05"/>
    <w:rsid w:val="000632D5"/>
    <w:rsid w:val="000644EE"/>
    <w:rsid w:val="000870DB"/>
    <w:rsid w:val="000925AD"/>
    <w:rsid w:val="00096A0C"/>
    <w:rsid w:val="000A24EB"/>
    <w:rsid w:val="000A50D5"/>
    <w:rsid w:val="000B2A55"/>
    <w:rsid w:val="000B6923"/>
    <w:rsid w:val="000C5505"/>
    <w:rsid w:val="000C5B2B"/>
    <w:rsid w:val="000C5F3C"/>
    <w:rsid w:val="000C6DCC"/>
    <w:rsid w:val="000D0465"/>
    <w:rsid w:val="000D47AA"/>
    <w:rsid w:val="000D5304"/>
    <w:rsid w:val="000D721F"/>
    <w:rsid w:val="000E069B"/>
    <w:rsid w:val="000E0E82"/>
    <w:rsid w:val="000E1DC5"/>
    <w:rsid w:val="000E223F"/>
    <w:rsid w:val="000E7D45"/>
    <w:rsid w:val="000F2683"/>
    <w:rsid w:val="000F7851"/>
    <w:rsid w:val="00104E23"/>
    <w:rsid w:val="00106153"/>
    <w:rsid w:val="00110805"/>
    <w:rsid w:val="00111B0C"/>
    <w:rsid w:val="001178A9"/>
    <w:rsid w:val="00117E8C"/>
    <w:rsid w:val="00120D6C"/>
    <w:rsid w:val="001257EC"/>
    <w:rsid w:val="00126C55"/>
    <w:rsid w:val="00133D33"/>
    <w:rsid w:val="00134D64"/>
    <w:rsid w:val="00135A30"/>
    <w:rsid w:val="0013612C"/>
    <w:rsid w:val="00137FF6"/>
    <w:rsid w:val="00141650"/>
    <w:rsid w:val="001456DC"/>
    <w:rsid w:val="001466D5"/>
    <w:rsid w:val="00150BFA"/>
    <w:rsid w:val="00151D19"/>
    <w:rsid w:val="00162A12"/>
    <w:rsid w:val="00165972"/>
    <w:rsid w:val="00166530"/>
    <w:rsid w:val="001708CD"/>
    <w:rsid w:val="001772E8"/>
    <w:rsid w:val="00182E68"/>
    <w:rsid w:val="001832BD"/>
    <w:rsid w:val="00190EA5"/>
    <w:rsid w:val="001943B5"/>
    <w:rsid w:val="00195134"/>
    <w:rsid w:val="001A145B"/>
    <w:rsid w:val="001A674C"/>
    <w:rsid w:val="001B1BA6"/>
    <w:rsid w:val="001B3B24"/>
    <w:rsid w:val="001B6BFB"/>
    <w:rsid w:val="001C0F98"/>
    <w:rsid w:val="001C2A42"/>
    <w:rsid w:val="001C4C81"/>
    <w:rsid w:val="001D63ED"/>
    <w:rsid w:val="001D7348"/>
    <w:rsid w:val="001E035B"/>
    <w:rsid w:val="001E0961"/>
    <w:rsid w:val="001E0AD0"/>
    <w:rsid w:val="001E3EAE"/>
    <w:rsid w:val="001E6F32"/>
    <w:rsid w:val="001E7CB0"/>
    <w:rsid w:val="001F2145"/>
    <w:rsid w:val="001F6262"/>
    <w:rsid w:val="001F67B0"/>
    <w:rsid w:val="001F7B3D"/>
    <w:rsid w:val="00205F9F"/>
    <w:rsid w:val="0020718E"/>
    <w:rsid w:val="002074BE"/>
    <w:rsid w:val="00210338"/>
    <w:rsid w:val="002115FC"/>
    <w:rsid w:val="0021279B"/>
    <w:rsid w:val="0021346C"/>
    <w:rsid w:val="0021423C"/>
    <w:rsid w:val="00230D00"/>
    <w:rsid w:val="00231DF7"/>
    <w:rsid w:val="00231FD1"/>
    <w:rsid w:val="002339E0"/>
    <w:rsid w:val="00233CF8"/>
    <w:rsid w:val="0023575D"/>
    <w:rsid w:val="00237148"/>
    <w:rsid w:val="0024222D"/>
    <w:rsid w:val="00244B0E"/>
    <w:rsid w:val="00244F6C"/>
    <w:rsid w:val="002532C5"/>
    <w:rsid w:val="00260C03"/>
    <w:rsid w:val="0026540E"/>
    <w:rsid w:val="0027337E"/>
    <w:rsid w:val="00275123"/>
    <w:rsid w:val="00277C9A"/>
    <w:rsid w:val="00282240"/>
    <w:rsid w:val="00283A45"/>
    <w:rsid w:val="002910F3"/>
    <w:rsid w:val="002948AD"/>
    <w:rsid w:val="00296414"/>
    <w:rsid w:val="002A01CC"/>
    <w:rsid w:val="002A2744"/>
    <w:rsid w:val="002A61B1"/>
    <w:rsid w:val="002A663C"/>
    <w:rsid w:val="002A7DB5"/>
    <w:rsid w:val="002A7DBA"/>
    <w:rsid w:val="002B0825"/>
    <w:rsid w:val="002B13BB"/>
    <w:rsid w:val="002B34F3"/>
    <w:rsid w:val="002B444B"/>
    <w:rsid w:val="002B5887"/>
    <w:rsid w:val="002C0E27"/>
    <w:rsid w:val="002C3040"/>
    <w:rsid w:val="002C316C"/>
    <w:rsid w:val="002C7447"/>
    <w:rsid w:val="002D022D"/>
    <w:rsid w:val="002D24BB"/>
    <w:rsid w:val="002D3EFF"/>
    <w:rsid w:val="002D4F1E"/>
    <w:rsid w:val="002E2A88"/>
    <w:rsid w:val="002F2AF7"/>
    <w:rsid w:val="002F7E1C"/>
    <w:rsid w:val="00301A75"/>
    <w:rsid w:val="00302F70"/>
    <w:rsid w:val="0030336F"/>
    <w:rsid w:val="0030375E"/>
    <w:rsid w:val="00312A30"/>
    <w:rsid w:val="0031772C"/>
    <w:rsid w:val="00320F72"/>
    <w:rsid w:val="00323CB9"/>
    <w:rsid w:val="0032463E"/>
    <w:rsid w:val="00326224"/>
    <w:rsid w:val="00337EE4"/>
    <w:rsid w:val="00340FFD"/>
    <w:rsid w:val="003506B1"/>
    <w:rsid w:val="003531C8"/>
    <w:rsid w:val="00356AC7"/>
    <w:rsid w:val="003609FA"/>
    <w:rsid w:val="003710C8"/>
    <w:rsid w:val="003750BE"/>
    <w:rsid w:val="003800CA"/>
    <w:rsid w:val="003809E4"/>
    <w:rsid w:val="00387B9D"/>
    <w:rsid w:val="0039364F"/>
    <w:rsid w:val="00393F89"/>
    <w:rsid w:val="00395193"/>
    <w:rsid w:val="00396134"/>
    <w:rsid w:val="00396686"/>
    <w:rsid w:val="0039778E"/>
    <w:rsid w:val="003A7B02"/>
    <w:rsid w:val="003B4281"/>
    <w:rsid w:val="003B4941"/>
    <w:rsid w:val="003C2D1A"/>
    <w:rsid w:val="003C5714"/>
    <w:rsid w:val="003C6B9F"/>
    <w:rsid w:val="003C6E2A"/>
    <w:rsid w:val="003D0299"/>
    <w:rsid w:val="003D3CFB"/>
    <w:rsid w:val="003E6D80"/>
    <w:rsid w:val="003F05FA"/>
    <w:rsid w:val="003F0A38"/>
    <w:rsid w:val="003F244A"/>
    <w:rsid w:val="003F30B8"/>
    <w:rsid w:val="003F4C45"/>
    <w:rsid w:val="003F5ECA"/>
    <w:rsid w:val="003F5F7B"/>
    <w:rsid w:val="003F6D21"/>
    <w:rsid w:val="003F7D64"/>
    <w:rsid w:val="00411FF8"/>
    <w:rsid w:val="00414300"/>
    <w:rsid w:val="00414AE7"/>
    <w:rsid w:val="00415FB1"/>
    <w:rsid w:val="004160FF"/>
    <w:rsid w:val="0041740D"/>
    <w:rsid w:val="00425C67"/>
    <w:rsid w:val="00426EF7"/>
    <w:rsid w:val="00427E7A"/>
    <w:rsid w:val="00432C6F"/>
    <w:rsid w:val="00436C49"/>
    <w:rsid w:val="00445366"/>
    <w:rsid w:val="00447F5B"/>
    <w:rsid w:val="00450E83"/>
    <w:rsid w:val="00461DB0"/>
    <w:rsid w:val="0046321B"/>
    <w:rsid w:val="00463926"/>
    <w:rsid w:val="00464C9A"/>
    <w:rsid w:val="00465244"/>
    <w:rsid w:val="00470981"/>
    <w:rsid w:val="00471CAB"/>
    <w:rsid w:val="00474F3D"/>
    <w:rsid w:val="00477E3A"/>
    <w:rsid w:val="00483E5F"/>
    <w:rsid w:val="00484D30"/>
    <w:rsid w:val="00485FF9"/>
    <w:rsid w:val="004907F0"/>
    <w:rsid w:val="0049140B"/>
    <w:rsid w:val="004923A5"/>
    <w:rsid w:val="00496BFB"/>
    <w:rsid w:val="004A15C7"/>
    <w:rsid w:val="004A180C"/>
    <w:rsid w:val="004A278B"/>
    <w:rsid w:val="004B013B"/>
    <w:rsid w:val="004B06C3"/>
    <w:rsid w:val="004B112B"/>
    <w:rsid w:val="004B724B"/>
    <w:rsid w:val="004C01E4"/>
    <w:rsid w:val="004C086C"/>
    <w:rsid w:val="004C1F56"/>
    <w:rsid w:val="004C27BC"/>
    <w:rsid w:val="004C27D1"/>
    <w:rsid w:val="004C5D26"/>
    <w:rsid w:val="004C6977"/>
    <w:rsid w:val="004D09D9"/>
    <w:rsid w:val="004D15F3"/>
    <w:rsid w:val="004D5311"/>
    <w:rsid w:val="004D5DCC"/>
    <w:rsid w:val="004E09EE"/>
    <w:rsid w:val="004E40B5"/>
    <w:rsid w:val="004F10AF"/>
    <w:rsid w:val="004F11A4"/>
    <w:rsid w:val="004F2389"/>
    <w:rsid w:val="004F304D"/>
    <w:rsid w:val="004F61BE"/>
    <w:rsid w:val="004F66B1"/>
    <w:rsid w:val="00500079"/>
    <w:rsid w:val="00503E4E"/>
    <w:rsid w:val="00505F99"/>
    <w:rsid w:val="00506D3A"/>
    <w:rsid w:val="00510909"/>
    <w:rsid w:val="00511C07"/>
    <w:rsid w:val="00514A87"/>
    <w:rsid w:val="005173A6"/>
    <w:rsid w:val="00520BAA"/>
    <w:rsid w:val="00525208"/>
    <w:rsid w:val="005257A5"/>
    <w:rsid w:val="005264C0"/>
    <w:rsid w:val="00526A8A"/>
    <w:rsid w:val="00531DF2"/>
    <w:rsid w:val="00543F01"/>
    <w:rsid w:val="005442EE"/>
    <w:rsid w:val="00547353"/>
    <w:rsid w:val="005474E7"/>
    <w:rsid w:val="005512A3"/>
    <w:rsid w:val="00551F57"/>
    <w:rsid w:val="005578CE"/>
    <w:rsid w:val="00562781"/>
    <w:rsid w:val="0057271C"/>
    <w:rsid w:val="00572845"/>
    <w:rsid w:val="005842CD"/>
    <w:rsid w:val="00590213"/>
    <w:rsid w:val="00592772"/>
    <w:rsid w:val="0059574A"/>
    <w:rsid w:val="005A1B9B"/>
    <w:rsid w:val="005A34F3"/>
    <w:rsid w:val="005A3EA1"/>
    <w:rsid w:val="005A6751"/>
    <w:rsid w:val="005B092E"/>
    <w:rsid w:val="005B152C"/>
    <w:rsid w:val="005B1EE0"/>
    <w:rsid w:val="005B2B24"/>
    <w:rsid w:val="005B4425"/>
    <w:rsid w:val="005B4B94"/>
    <w:rsid w:val="005C1828"/>
    <w:rsid w:val="005C3EE8"/>
    <w:rsid w:val="005C4153"/>
    <w:rsid w:val="005C4EA8"/>
    <w:rsid w:val="005D34F9"/>
    <w:rsid w:val="005D3F14"/>
    <w:rsid w:val="005D4190"/>
    <w:rsid w:val="005D67A3"/>
    <w:rsid w:val="005D6B72"/>
    <w:rsid w:val="005E2988"/>
    <w:rsid w:val="005E3085"/>
    <w:rsid w:val="005F51E1"/>
    <w:rsid w:val="00611C80"/>
    <w:rsid w:val="006160BD"/>
    <w:rsid w:val="00616468"/>
    <w:rsid w:val="00620692"/>
    <w:rsid w:val="0062381B"/>
    <w:rsid w:val="006242CA"/>
    <w:rsid w:val="00624F9E"/>
    <w:rsid w:val="00627507"/>
    <w:rsid w:val="00631BC5"/>
    <w:rsid w:val="00633717"/>
    <w:rsid w:val="006344E1"/>
    <w:rsid w:val="0065447F"/>
    <w:rsid w:val="006545C4"/>
    <w:rsid w:val="00660DC0"/>
    <w:rsid w:val="00661971"/>
    <w:rsid w:val="00661C0E"/>
    <w:rsid w:val="00661CE8"/>
    <w:rsid w:val="00661FC0"/>
    <w:rsid w:val="006623D9"/>
    <w:rsid w:val="0066346A"/>
    <w:rsid w:val="0066550C"/>
    <w:rsid w:val="006716F2"/>
    <w:rsid w:val="00675064"/>
    <w:rsid w:val="0067770E"/>
    <w:rsid w:val="00682BF2"/>
    <w:rsid w:val="006859CE"/>
    <w:rsid w:val="00690611"/>
    <w:rsid w:val="00691270"/>
    <w:rsid w:val="00694BA8"/>
    <w:rsid w:val="006A037C"/>
    <w:rsid w:val="006A36F4"/>
    <w:rsid w:val="006A406F"/>
    <w:rsid w:val="006A5D3A"/>
    <w:rsid w:val="006C23D4"/>
    <w:rsid w:val="006C2BC8"/>
    <w:rsid w:val="006C7BB0"/>
    <w:rsid w:val="006D13B0"/>
    <w:rsid w:val="006D3237"/>
    <w:rsid w:val="006D754A"/>
    <w:rsid w:val="006E1FC3"/>
    <w:rsid w:val="006E2E37"/>
    <w:rsid w:val="006E3CF1"/>
    <w:rsid w:val="006E64D0"/>
    <w:rsid w:val="006E7E80"/>
    <w:rsid w:val="006F07D3"/>
    <w:rsid w:val="006F48CA"/>
    <w:rsid w:val="006F64DD"/>
    <w:rsid w:val="00715127"/>
    <w:rsid w:val="00715E8E"/>
    <w:rsid w:val="00720E1E"/>
    <w:rsid w:val="00723580"/>
    <w:rsid w:val="00723755"/>
    <w:rsid w:val="00727EEA"/>
    <w:rsid w:val="0073136C"/>
    <w:rsid w:val="00731F0F"/>
    <w:rsid w:val="00733250"/>
    <w:rsid w:val="007377C2"/>
    <w:rsid w:val="00741404"/>
    <w:rsid w:val="00741EAA"/>
    <w:rsid w:val="007449E5"/>
    <w:rsid w:val="00747FF0"/>
    <w:rsid w:val="00751EC4"/>
    <w:rsid w:val="007611CC"/>
    <w:rsid w:val="00761C0D"/>
    <w:rsid w:val="00764D4E"/>
    <w:rsid w:val="00765A1F"/>
    <w:rsid w:val="00775B6D"/>
    <w:rsid w:val="00776D68"/>
    <w:rsid w:val="007850EE"/>
    <w:rsid w:val="00785B95"/>
    <w:rsid w:val="00790E96"/>
    <w:rsid w:val="00793366"/>
    <w:rsid w:val="007A1E4C"/>
    <w:rsid w:val="007A26F7"/>
    <w:rsid w:val="007A45F5"/>
    <w:rsid w:val="007A716F"/>
    <w:rsid w:val="007B19F4"/>
    <w:rsid w:val="007B270A"/>
    <w:rsid w:val="007C0695"/>
    <w:rsid w:val="007C419A"/>
    <w:rsid w:val="007C4CC8"/>
    <w:rsid w:val="007C5426"/>
    <w:rsid w:val="007C5798"/>
    <w:rsid w:val="007D4832"/>
    <w:rsid w:val="007E21B2"/>
    <w:rsid w:val="007E2495"/>
    <w:rsid w:val="007E2C4E"/>
    <w:rsid w:val="007F1905"/>
    <w:rsid w:val="007F3A68"/>
    <w:rsid w:val="007F4C42"/>
    <w:rsid w:val="007F70D5"/>
    <w:rsid w:val="00802C64"/>
    <w:rsid w:val="00805E52"/>
    <w:rsid w:val="008061D0"/>
    <w:rsid w:val="00810B38"/>
    <w:rsid w:val="00812086"/>
    <w:rsid w:val="008204C7"/>
    <w:rsid w:val="00820992"/>
    <w:rsid w:val="00823602"/>
    <w:rsid w:val="008255F5"/>
    <w:rsid w:val="0083014E"/>
    <w:rsid w:val="0083214A"/>
    <w:rsid w:val="00834220"/>
    <w:rsid w:val="0083789B"/>
    <w:rsid w:val="00840F54"/>
    <w:rsid w:val="00845723"/>
    <w:rsid w:val="00846D9E"/>
    <w:rsid w:val="00851B7B"/>
    <w:rsid w:val="00851EF9"/>
    <w:rsid w:val="0085563F"/>
    <w:rsid w:val="008577FD"/>
    <w:rsid w:val="00860B03"/>
    <w:rsid w:val="008630DD"/>
    <w:rsid w:val="0086497A"/>
    <w:rsid w:val="008713A1"/>
    <w:rsid w:val="00874819"/>
    <w:rsid w:val="008754AB"/>
    <w:rsid w:val="00880218"/>
    <w:rsid w:val="0088060C"/>
    <w:rsid w:val="00884F2C"/>
    <w:rsid w:val="00890B6E"/>
    <w:rsid w:val="00893576"/>
    <w:rsid w:val="00893E73"/>
    <w:rsid w:val="008A3EAD"/>
    <w:rsid w:val="008B02DC"/>
    <w:rsid w:val="008B1528"/>
    <w:rsid w:val="008B2711"/>
    <w:rsid w:val="008B57CE"/>
    <w:rsid w:val="008B6F63"/>
    <w:rsid w:val="008C26DE"/>
    <w:rsid w:val="008D2225"/>
    <w:rsid w:val="008D4752"/>
    <w:rsid w:val="008D5F69"/>
    <w:rsid w:val="008E271C"/>
    <w:rsid w:val="008E418E"/>
    <w:rsid w:val="008E5BC6"/>
    <w:rsid w:val="008E6A25"/>
    <w:rsid w:val="008F5193"/>
    <w:rsid w:val="009013A7"/>
    <w:rsid w:val="009017FB"/>
    <w:rsid w:val="009017FC"/>
    <w:rsid w:val="0090506B"/>
    <w:rsid w:val="009050C9"/>
    <w:rsid w:val="009066FC"/>
    <w:rsid w:val="00911B60"/>
    <w:rsid w:val="009140A3"/>
    <w:rsid w:val="009144A2"/>
    <w:rsid w:val="0091510C"/>
    <w:rsid w:val="00920AA3"/>
    <w:rsid w:val="00924286"/>
    <w:rsid w:val="009259AC"/>
    <w:rsid w:val="00926F38"/>
    <w:rsid w:val="00934301"/>
    <w:rsid w:val="00936CD1"/>
    <w:rsid w:val="00941747"/>
    <w:rsid w:val="00941EFB"/>
    <w:rsid w:val="00942EF2"/>
    <w:rsid w:val="00946487"/>
    <w:rsid w:val="00947AFB"/>
    <w:rsid w:val="00951D7D"/>
    <w:rsid w:val="00955746"/>
    <w:rsid w:val="0096021B"/>
    <w:rsid w:val="009630C7"/>
    <w:rsid w:val="00964DBD"/>
    <w:rsid w:val="00972B55"/>
    <w:rsid w:val="009743B7"/>
    <w:rsid w:val="00975D2B"/>
    <w:rsid w:val="0098228B"/>
    <w:rsid w:val="009828DA"/>
    <w:rsid w:val="00985BAB"/>
    <w:rsid w:val="00990961"/>
    <w:rsid w:val="00990DA2"/>
    <w:rsid w:val="00993913"/>
    <w:rsid w:val="009B1B5F"/>
    <w:rsid w:val="009B6673"/>
    <w:rsid w:val="009C191B"/>
    <w:rsid w:val="009C2BD6"/>
    <w:rsid w:val="009C30DA"/>
    <w:rsid w:val="009C32DB"/>
    <w:rsid w:val="009C40C2"/>
    <w:rsid w:val="009D41AA"/>
    <w:rsid w:val="009E1F32"/>
    <w:rsid w:val="009E776C"/>
    <w:rsid w:val="009F1731"/>
    <w:rsid w:val="00A0399B"/>
    <w:rsid w:val="00A1726E"/>
    <w:rsid w:val="00A204CF"/>
    <w:rsid w:val="00A22A01"/>
    <w:rsid w:val="00A23D49"/>
    <w:rsid w:val="00A26EB1"/>
    <w:rsid w:val="00A27004"/>
    <w:rsid w:val="00A27E1B"/>
    <w:rsid w:val="00A30C29"/>
    <w:rsid w:val="00A34DD6"/>
    <w:rsid w:val="00A34E31"/>
    <w:rsid w:val="00A36819"/>
    <w:rsid w:val="00A36989"/>
    <w:rsid w:val="00A43628"/>
    <w:rsid w:val="00A45145"/>
    <w:rsid w:val="00A54192"/>
    <w:rsid w:val="00A54941"/>
    <w:rsid w:val="00A6035E"/>
    <w:rsid w:val="00A6144C"/>
    <w:rsid w:val="00A66617"/>
    <w:rsid w:val="00A671F8"/>
    <w:rsid w:val="00A673A4"/>
    <w:rsid w:val="00A724AE"/>
    <w:rsid w:val="00A73329"/>
    <w:rsid w:val="00A751C2"/>
    <w:rsid w:val="00A77680"/>
    <w:rsid w:val="00A82359"/>
    <w:rsid w:val="00A8269D"/>
    <w:rsid w:val="00A86085"/>
    <w:rsid w:val="00A865D2"/>
    <w:rsid w:val="00A93E5F"/>
    <w:rsid w:val="00A94C20"/>
    <w:rsid w:val="00AA227F"/>
    <w:rsid w:val="00AA3BC7"/>
    <w:rsid w:val="00AA754A"/>
    <w:rsid w:val="00AB07C7"/>
    <w:rsid w:val="00AB099E"/>
    <w:rsid w:val="00AB4328"/>
    <w:rsid w:val="00AC377E"/>
    <w:rsid w:val="00AE0A2E"/>
    <w:rsid w:val="00AE354C"/>
    <w:rsid w:val="00AF4B07"/>
    <w:rsid w:val="00AF6186"/>
    <w:rsid w:val="00AF7A3A"/>
    <w:rsid w:val="00B0587D"/>
    <w:rsid w:val="00B13A5F"/>
    <w:rsid w:val="00B160DB"/>
    <w:rsid w:val="00B17171"/>
    <w:rsid w:val="00B20836"/>
    <w:rsid w:val="00B235BB"/>
    <w:rsid w:val="00B27A44"/>
    <w:rsid w:val="00B30AE3"/>
    <w:rsid w:val="00B30BBF"/>
    <w:rsid w:val="00B33C03"/>
    <w:rsid w:val="00B417A8"/>
    <w:rsid w:val="00B41F84"/>
    <w:rsid w:val="00B44A56"/>
    <w:rsid w:val="00B44E56"/>
    <w:rsid w:val="00B45294"/>
    <w:rsid w:val="00B46543"/>
    <w:rsid w:val="00B470F2"/>
    <w:rsid w:val="00B47D33"/>
    <w:rsid w:val="00B52BE0"/>
    <w:rsid w:val="00B54133"/>
    <w:rsid w:val="00B55586"/>
    <w:rsid w:val="00B575C6"/>
    <w:rsid w:val="00B60944"/>
    <w:rsid w:val="00B63A2C"/>
    <w:rsid w:val="00B660A0"/>
    <w:rsid w:val="00B701ED"/>
    <w:rsid w:val="00B7509A"/>
    <w:rsid w:val="00B771A0"/>
    <w:rsid w:val="00B8086C"/>
    <w:rsid w:val="00B82DB9"/>
    <w:rsid w:val="00B861B4"/>
    <w:rsid w:val="00B86DFE"/>
    <w:rsid w:val="00B90990"/>
    <w:rsid w:val="00B910D0"/>
    <w:rsid w:val="00B922FF"/>
    <w:rsid w:val="00B9281E"/>
    <w:rsid w:val="00B93925"/>
    <w:rsid w:val="00B95187"/>
    <w:rsid w:val="00BA2904"/>
    <w:rsid w:val="00BA2D55"/>
    <w:rsid w:val="00BA6216"/>
    <w:rsid w:val="00BA71B1"/>
    <w:rsid w:val="00BB0637"/>
    <w:rsid w:val="00BB345F"/>
    <w:rsid w:val="00BB68EA"/>
    <w:rsid w:val="00BC1C27"/>
    <w:rsid w:val="00BC2DD9"/>
    <w:rsid w:val="00BC3B35"/>
    <w:rsid w:val="00BC3F68"/>
    <w:rsid w:val="00BC51AA"/>
    <w:rsid w:val="00BC6BBF"/>
    <w:rsid w:val="00BD0D24"/>
    <w:rsid w:val="00BD1572"/>
    <w:rsid w:val="00BD3754"/>
    <w:rsid w:val="00BE14E3"/>
    <w:rsid w:val="00BE1959"/>
    <w:rsid w:val="00BE3774"/>
    <w:rsid w:val="00BE41E5"/>
    <w:rsid w:val="00BF4109"/>
    <w:rsid w:val="00BF4CC3"/>
    <w:rsid w:val="00BF59E6"/>
    <w:rsid w:val="00C02A51"/>
    <w:rsid w:val="00C054C7"/>
    <w:rsid w:val="00C057B5"/>
    <w:rsid w:val="00C12505"/>
    <w:rsid w:val="00C1540C"/>
    <w:rsid w:val="00C213EF"/>
    <w:rsid w:val="00C22687"/>
    <w:rsid w:val="00C23F8A"/>
    <w:rsid w:val="00C32E4D"/>
    <w:rsid w:val="00C333A0"/>
    <w:rsid w:val="00C36A81"/>
    <w:rsid w:val="00C373E7"/>
    <w:rsid w:val="00C41974"/>
    <w:rsid w:val="00C42B71"/>
    <w:rsid w:val="00C46B51"/>
    <w:rsid w:val="00C53F4A"/>
    <w:rsid w:val="00C54125"/>
    <w:rsid w:val="00C55B54"/>
    <w:rsid w:val="00C6098E"/>
    <w:rsid w:val="00C6152C"/>
    <w:rsid w:val="00C6735C"/>
    <w:rsid w:val="00C7285F"/>
    <w:rsid w:val="00C74810"/>
    <w:rsid w:val="00C7595B"/>
    <w:rsid w:val="00C90D68"/>
    <w:rsid w:val="00C939FE"/>
    <w:rsid w:val="00C97101"/>
    <w:rsid w:val="00C97557"/>
    <w:rsid w:val="00CA30DA"/>
    <w:rsid w:val="00CA353F"/>
    <w:rsid w:val="00CA4BDA"/>
    <w:rsid w:val="00CB1F66"/>
    <w:rsid w:val="00CB2951"/>
    <w:rsid w:val="00CB7AA7"/>
    <w:rsid w:val="00CD282B"/>
    <w:rsid w:val="00CD4C35"/>
    <w:rsid w:val="00CD7369"/>
    <w:rsid w:val="00CE0B0E"/>
    <w:rsid w:val="00CE2DB2"/>
    <w:rsid w:val="00CE3831"/>
    <w:rsid w:val="00CF0317"/>
    <w:rsid w:val="00D00ABB"/>
    <w:rsid w:val="00D02EEC"/>
    <w:rsid w:val="00D03551"/>
    <w:rsid w:val="00D06A63"/>
    <w:rsid w:val="00D07E0E"/>
    <w:rsid w:val="00D11478"/>
    <w:rsid w:val="00D14DA1"/>
    <w:rsid w:val="00D15ED0"/>
    <w:rsid w:val="00D16BDF"/>
    <w:rsid w:val="00D2058E"/>
    <w:rsid w:val="00D21B3E"/>
    <w:rsid w:val="00D21FED"/>
    <w:rsid w:val="00D24251"/>
    <w:rsid w:val="00D343E2"/>
    <w:rsid w:val="00D361A2"/>
    <w:rsid w:val="00D3746A"/>
    <w:rsid w:val="00D44C2E"/>
    <w:rsid w:val="00D45414"/>
    <w:rsid w:val="00D566BD"/>
    <w:rsid w:val="00D57A4D"/>
    <w:rsid w:val="00D605D0"/>
    <w:rsid w:val="00D60AA7"/>
    <w:rsid w:val="00D6435F"/>
    <w:rsid w:val="00D75E28"/>
    <w:rsid w:val="00D772C2"/>
    <w:rsid w:val="00D8008E"/>
    <w:rsid w:val="00D82C45"/>
    <w:rsid w:val="00D908A8"/>
    <w:rsid w:val="00D977B6"/>
    <w:rsid w:val="00DA4A31"/>
    <w:rsid w:val="00DA7B04"/>
    <w:rsid w:val="00DA7CA9"/>
    <w:rsid w:val="00DB36C2"/>
    <w:rsid w:val="00DC169B"/>
    <w:rsid w:val="00DC299E"/>
    <w:rsid w:val="00DC2AB9"/>
    <w:rsid w:val="00DC63F0"/>
    <w:rsid w:val="00DD0AE5"/>
    <w:rsid w:val="00DD6EE5"/>
    <w:rsid w:val="00DE386C"/>
    <w:rsid w:val="00DE4D35"/>
    <w:rsid w:val="00DE5F8E"/>
    <w:rsid w:val="00DF098B"/>
    <w:rsid w:val="00DF11C4"/>
    <w:rsid w:val="00DF20A6"/>
    <w:rsid w:val="00DF210C"/>
    <w:rsid w:val="00DF4B6A"/>
    <w:rsid w:val="00E02C09"/>
    <w:rsid w:val="00E036C8"/>
    <w:rsid w:val="00E04D59"/>
    <w:rsid w:val="00E0568F"/>
    <w:rsid w:val="00E07DA1"/>
    <w:rsid w:val="00E10E35"/>
    <w:rsid w:val="00E123CB"/>
    <w:rsid w:val="00E15A0F"/>
    <w:rsid w:val="00E20E13"/>
    <w:rsid w:val="00E21DBC"/>
    <w:rsid w:val="00E25EF9"/>
    <w:rsid w:val="00E275D7"/>
    <w:rsid w:val="00E27DBE"/>
    <w:rsid w:val="00E300E3"/>
    <w:rsid w:val="00E32AB1"/>
    <w:rsid w:val="00E32BC0"/>
    <w:rsid w:val="00E36C71"/>
    <w:rsid w:val="00E40404"/>
    <w:rsid w:val="00E44816"/>
    <w:rsid w:val="00E459C6"/>
    <w:rsid w:val="00E47589"/>
    <w:rsid w:val="00E53321"/>
    <w:rsid w:val="00E567E7"/>
    <w:rsid w:val="00E6114F"/>
    <w:rsid w:val="00E64915"/>
    <w:rsid w:val="00E661D4"/>
    <w:rsid w:val="00E70091"/>
    <w:rsid w:val="00E720F5"/>
    <w:rsid w:val="00E752EC"/>
    <w:rsid w:val="00E76D47"/>
    <w:rsid w:val="00E770EA"/>
    <w:rsid w:val="00E849F7"/>
    <w:rsid w:val="00E84DDF"/>
    <w:rsid w:val="00E85166"/>
    <w:rsid w:val="00E90302"/>
    <w:rsid w:val="00E935E9"/>
    <w:rsid w:val="00E97396"/>
    <w:rsid w:val="00EA185E"/>
    <w:rsid w:val="00EA5433"/>
    <w:rsid w:val="00EA592A"/>
    <w:rsid w:val="00EB14E4"/>
    <w:rsid w:val="00EB233A"/>
    <w:rsid w:val="00EB32A5"/>
    <w:rsid w:val="00EB34ED"/>
    <w:rsid w:val="00EB447C"/>
    <w:rsid w:val="00EB72E2"/>
    <w:rsid w:val="00EB7BE0"/>
    <w:rsid w:val="00EC315E"/>
    <w:rsid w:val="00ED0083"/>
    <w:rsid w:val="00ED077C"/>
    <w:rsid w:val="00ED1190"/>
    <w:rsid w:val="00ED6544"/>
    <w:rsid w:val="00EE0277"/>
    <w:rsid w:val="00EE0C6B"/>
    <w:rsid w:val="00EE109E"/>
    <w:rsid w:val="00EE1D01"/>
    <w:rsid w:val="00EE3E00"/>
    <w:rsid w:val="00EE4358"/>
    <w:rsid w:val="00EE5DD2"/>
    <w:rsid w:val="00EF165D"/>
    <w:rsid w:val="00EF7900"/>
    <w:rsid w:val="00F00468"/>
    <w:rsid w:val="00F00A79"/>
    <w:rsid w:val="00F00E86"/>
    <w:rsid w:val="00F07C1E"/>
    <w:rsid w:val="00F105DB"/>
    <w:rsid w:val="00F132BC"/>
    <w:rsid w:val="00F13D80"/>
    <w:rsid w:val="00F16AAA"/>
    <w:rsid w:val="00F21161"/>
    <w:rsid w:val="00F218EF"/>
    <w:rsid w:val="00F21BC7"/>
    <w:rsid w:val="00F266A2"/>
    <w:rsid w:val="00F32269"/>
    <w:rsid w:val="00F56025"/>
    <w:rsid w:val="00F56A6F"/>
    <w:rsid w:val="00F5709C"/>
    <w:rsid w:val="00F6181E"/>
    <w:rsid w:val="00F64EF1"/>
    <w:rsid w:val="00F73040"/>
    <w:rsid w:val="00F77E7C"/>
    <w:rsid w:val="00F83DE4"/>
    <w:rsid w:val="00F8765F"/>
    <w:rsid w:val="00F90767"/>
    <w:rsid w:val="00F925B4"/>
    <w:rsid w:val="00FA4ECC"/>
    <w:rsid w:val="00FA5CE8"/>
    <w:rsid w:val="00FA685B"/>
    <w:rsid w:val="00FB0C01"/>
    <w:rsid w:val="00FB4C2B"/>
    <w:rsid w:val="00FC18F2"/>
    <w:rsid w:val="00FC237A"/>
    <w:rsid w:val="00FC39E5"/>
    <w:rsid w:val="00FC3A78"/>
    <w:rsid w:val="00FC5FCB"/>
    <w:rsid w:val="00FD1005"/>
    <w:rsid w:val="00FD6C75"/>
    <w:rsid w:val="00FD7A0F"/>
    <w:rsid w:val="00FE71B3"/>
    <w:rsid w:val="00FF42C5"/>
  </w:rsids>
  <w:docVars>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0" w:defQFormat="0" w:count="267">
    <w:lsdException w:name="Normal" w:semiHidden="0" w:uiPriority="0"/>
    <w:lsdException w:name="heading 1" w:semiHidden="0"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toc 1" w:unhideWhenUsed="1"/>
    <w:lsdException w:name="toc 2" w:unhideWhenUsed="1"/>
    <w:lsdException w:name="toc 3" w:unhideWhenUsed="1"/>
    <w:lsdException w:name="toc 4" w:unhideWhenUsed="1"/>
    <w:lsdException w:name="toc 5" w:unhideWhenUsed="1"/>
    <w:lsdException w:name="footnote text" w:unhideWhenUsed="1"/>
    <w:lsdException w:name="annotation text" w:uiPriority="0"/>
    <w:lsdException w:name="header" w:uiPriority="57" w:unhideWhenUsed="1"/>
    <w:lsdException w:name="footer" w:uiPriority="57" w:unhideWhenUsed="1"/>
    <w:lsdException w:name="caption" w:qFormat="1"/>
    <w:lsdException w:name="footnote reference" w:unhideWhenUsed="1"/>
    <w:lsdException w:name="Title" w:semiHidden="0" w:qFormat="1"/>
    <w:lsdException w:name="Default Paragraph Font" w:uiPriority="1" w:unhideWhenUsed="1"/>
    <w:lsdException w:name="Subtitle" w:qFormat="1"/>
    <w:lsdException w:name="Hyperlink" w:unhideWhenUsed="1"/>
    <w:lsdException w:name="Strong" w:semiHidden="0" w:qFormat="1"/>
    <w:lsdException w:name="Emphasis" w:semiHidden="0" w:qFormat="1"/>
    <w:lsdException w:name="HTML Top of Form" w:unhideWhenUsed="1"/>
    <w:lsdException w:name="HTML Bottom of Form"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0" w:qFormat="1"/>
    <w:lsdException w:name="Light Shading" w:semiHidden="0"/>
    <w:lsdException w:name="Light List" w:semiHidden="0"/>
    <w:lsdException w:name="Light Grid" w:semiHidden="0"/>
    <w:lsdException w:name="Medium Shading 1" w:semiHidden="0"/>
    <w:lsdException w:name="Medium Shading 2" w:semiHidden="0"/>
    <w:lsdException w:name="Medium List 1" w:semiHidden="0"/>
    <w:lsdException w:name="Medium List 2" w:semiHidden="0"/>
    <w:lsdException w:name="Medium Grid 1" w:semiHidden="0"/>
    <w:lsdException w:name="Medium Grid 2" w:semiHidden="0"/>
    <w:lsdException w:name="Medium Grid 3" w:semiHidden="0"/>
    <w:lsdException w:name="Dark List" w:semiHidden="0"/>
    <w:lsdException w:name="Colorful Shading" w:semiHidden="0"/>
    <w:lsdException w:name="Colorful List" w:semiHidden="0"/>
    <w:lsdException w:name="Colorful Grid" w:semiHidden="0"/>
    <w:lsdException w:name="Light Shading Accent 1" w:semiHidden="0"/>
    <w:lsdException w:name="Light List Accent 1" w:semiHidden="0"/>
    <w:lsdException w:name="Light Grid Accent 1" w:semiHidden="0"/>
    <w:lsdException w:name="Medium Shading 1 Accent 1" w:semiHidden="0"/>
    <w:lsdException w:name="Medium Shading 2 Accent 1" w:semiHidden="0"/>
    <w:lsdException w:name="Medium List 1 Accent 1" w:semiHidden="0"/>
    <w:lsdException w:name="List Paragraph" w:semiHidden="0" w:qFormat="1"/>
    <w:lsdException w:name="Quote" w:semiHidden="0" w:qFormat="1"/>
    <w:lsdException w:name="Intense Quote" w:semiHidden="0" w:qFormat="1"/>
    <w:lsdException w:name="Medium List 2 Accent 1" w:semiHidden="0"/>
    <w:lsdException w:name="Medium Grid 1 Accent 1" w:semiHidden="0"/>
    <w:lsdException w:name="Medium Grid 2 Accent 1" w:semiHidden="0"/>
    <w:lsdException w:name="Medium Grid 3 Accent 1" w:semiHidden="0"/>
    <w:lsdException w:name="Dark List Accent 1" w:semiHidden="0"/>
    <w:lsdException w:name="Colorful Shading Accent 1" w:semiHidden="0"/>
    <w:lsdException w:name="Colorful List Accent 1" w:semiHidden="0"/>
    <w:lsdException w:name="Colorful Grid Accent 1" w:semiHidden="0"/>
    <w:lsdException w:name="Light Shading Accent 2" w:semiHidden="0"/>
    <w:lsdException w:name="Light List Accent 2" w:semiHidden="0"/>
    <w:lsdException w:name="Light Grid Accent 2" w:semiHidden="0"/>
    <w:lsdException w:name="Medium Shading 1 Accent 2" w:semiHidden="0"/>
    <w:lsdException w:name="Medium Shading 2 Accent 2" w:semiHidden="0"/>
    <w:lsdException w:name="Medium List 1 Accent 2" w:semiHidden="0"/>
    <w:lsdException w:name="Medium List 2 Accent 2" w:semiHidden="0"/>
    <w:lsdException w:name="Medium Grid 1 Accent 2" w:semiHidden="0"/>
    <w:lsdException w:name="Medium Grid 2 Accent 2" w:semiHidden="0"/>
    <w:lsdException w:name="Medium Grid 3 Accent 2" w:semiHidden="0"/>
    <w:lsdException w:name="Dark List Accent 2" w:semiHidden="0"/>
    <w:lsdException w:name="Colorful Shading Accent 2" w:semiHidden="0"/>
    <w:lsdException w:name="Colorful List Accent 2" w:semiHidden="0"/>
    <w:lsdException w:name="Colorful Grid Accent 2" w:semiHidden="0"/>
    <w:lsdException w:name="Light Shading Accent 3" w:semiHidden="0"/>
    <w:lsdException w:name="Light List Accent 3" w:semiHidden="0"/>
    <w:lsdException w:name="Light Grid Accent 3" w:semiHidden="0"/>
    <w:lsdException w:name="Medium Shading 1 Accent 3" w:semiHidden="0"/>
    <w:lsdException w:name="Medium Shading 2 Accent 3" w:semiHidden="0"/>
    <w:lsdException w:name="Medium List 1 Accent 3" w:semiHidden="0"/>
    <w:lsdException w:name="Medium List 2 Accent 3" w:semiHidden="0"/>
    <w:lsdException w:name="Medium Grid 1 Accent 3" w:semiHidden="0"/>
    <w:lsdException w:name="Medium Grid 2 Accent 3" w:semiHidden="0"/>
    <w:lsdException w:name="Medium Grid 3 Accent 3" w:semiHidden="0"/>
    <w:lsdException w:name="Dark List Accent 3" w:semiHidden="0"/>
    <w:lsdException w:name="Colorful Shading Accent 3" w:semiHidden="0"/>
    <w:lsdException w:name="Colorful List Accent 3" w:semiHidden="0"/>
    <w:lsdException w:name="Colorful Grid Accent 3" w:semiHidden="0"/>
    <w:lsdException w:name="Light Shading Accent 4" w:semiHidden="0"/>
    <w:lsdException w:name="Light List Accent 4" w:semiHidden="0"/>
    <w:lsdException w:name="Light Grid Accent 4" w:semiHidden="0"/>
    <w:lsdException w:name="Medium Shading 1 Accent 4" w:semiHidden="0"/>
    <w:lsdException w:name="Medium Shading 2 Accent 4" w:semiHidden="0"/>
    <w:lsdException w:name="Medium List 1 Accent 4" w:semiHidden="0"/>
    <w:lsdException w:name="Medium List 2 Accent 4" w:semiHidden="0"/>
    <w:lsdException w:name="Medium Grid 1 Accent 4" w:semiHidden="0"/>
    <w:lsdException w:name="Medium Grid 2 Accent 4" w:semiHidden="0"/>
    <w:lsdException w:name="Medium Grid 3 Accent 4" w:semiHidden="0"/>
    <w:lsdException w:name="Dark List Accent 4" w:semiHidden="0"/>
    <w:lsdException w:name="Colorful Shading Accent 4" w:semiHidden="0"/>
    <w:lsdException w:name="Colorful List Accent 4" w:semiHidden="0"/>
    <w:lsdException w:name="Colorful Grid Accent 4" w:semiHidden="0"/>
    <w:lsdException w:name="Light Shading Accent 5" w:semiHidden="0"/>
    <w:lsdException w:name="Light List Accent 5" w:semiHidden="0"/>
    <w:lsdException w:name="Light Grid Accent 5" w:semiHidden="0"/>
    <w:lsdException w:name="Medium Shading 1 Accent 5" w:semiHidden="0"/>
    <w:lsdException w:name="Medium Shading 2 Accent 5" w:semiHidden="0"/>
    <w:lsdException w:name="Medium List 1 Accent 5" w:semiHidden="0"/>
    <w:lsdException w:name="Medium List 2 Accent 5" w:semiHidden="0"/>
    <w:lsdException w:name="Medium Grid 1 Accent 5" w:semiHidden="0"/>
    <w:lsdException w:name="Medium Grid 2 Accent 5" w:semiHidden="0"/>
    <w:lsdException w:name="Medium Grid 3 Accent 5" w:semiHidden="0"/>
    <w:lsdException w:name="Dark List Accent 5" w:semiHidden="0"/>
    <w:lsdException w:name="Colorful Shading Accent 5" w:semiHidden="0"/>
    <w:lsdException w:name="Colorful List Accent 5" w:semiHidden="0"/>
    <w:lsdException w:name="Colorful Grid Accent 5" w:semiHidden="0"/>
    <w:lsdException w:name="Light Shading Accent 6" w:semiHidden="0"/>
    <w:lsdException w:name="Light List Accent 6" w:semiHidden="0"/>
    <w:lsdException w:name="Light Grid Accent 6" w:semiHidden="0"/>
    <w:lsdException w:name="Medium Shading 1 Accent 6" w:semiHidden="0"/>
    <w:lsdException w:name="Medium Shading 2 Accent 6" w:semiHidden="0"/>
    <w:lsdException w:name="Medium List 1 Accent 6" w:semiHidden="0"/>
    <w:lsdException w:name="Medium List 2 Accent 6" w:semiHidden="0"/>
    <w:lsdException w:name="Medium Grid 1 Accent 6" w:semiHidden="0"/>
    <w:lsdException w:name="Medium Grid 2 Accent 6" w:semiHidden="0"/>
    <w:lsdException w:name="Medium Grid 3 Accent 6" w:semiHidden="0"/>
    <w:lsdException w:name="Dark List Accent 6" w:semiHidden="0"/>
    <w:lsdException w:name="Colorful Shading Accent 6" w:semiHidden="0"/>
    <w:lsdException w:name="Colorful List Accent 6" w:semiHidden="0"/>
    <w:lsdException w:name="Colorful Grid Accent 6" w:semiHidden="0"/>
    <w:lsdException w:name="Subtle Emphasis" w:semiHidden="0" w:qFormat="1"/>
    <w:lsdException w:name="Intense Emphasis" w:semiHidden="0" w:qFormat="1"/>
    <w:lsdException w:name="Subtle Reference" w:semiHidden="0" w:qFormat="1"/>
    <w:lsdException w:name="Intense Reference" w:semiHidden="0" w:qFormat="1"/>
    <w:lsdException w:name="Book Title" w:semiHidden="0" w:qFormat="1"/>
    <w:lsdException w:name="TOC Heading" w:unhideWhenUsed="1" w:qFormat="1"/>
  </w:latentStyles>
  <w:style w:type="paragraph" w:default="1" w:styleId="Normal">
    <w:name w:val="Normal"/>
    <w:semiHidden/>
    <w:rsid w:val="00D16BDF"/>
    <w:pPr>
      <w:jc w:val="both"/>
    </w:pPr>
    <w:rPr>
      <w:rFonts w:eastAsiaTheme="minorEastAsia"/>
      <w:sz w:val="24"/>
      <w:lang w:val="en-GB"/>
    </w:rPr>
  </w:style>
  <w:style w:type="paragraph" w:styleId="Heading1">
    <w:name w:val="heading 1"/>
    <w:basedOn w:val="Normal"/>
    <w:next w:val="Normal"/>
    <w:link w:val="Heading1Char"/>
    <w:uiPriority w:val="99"/>
    <w:semiHidden/>
    <w:rsid w:val="00D16BDF"/>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D16BDF"/>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D16BDF"/>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D16BDF"/>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D16BDF"/>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D16BDF"/>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D16BDF"/>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D16BDF"/>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D16BDF"/>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D16BDF"/>
    <w:rPr>
      <w:rFonts w:ascii="Tahoma" w:hAnsi="Tahoma" w:cs="Tahoma"/>
      <w:sz w:val="16"/>
      <w:szCs w:val="16"/>
    </w:rPr>
  </w:style>
  <w:style w:type="character" w:customStyle="1" w:styleId="BalloonTextChar">
    <w:name w:val="Balloon Text Char"/>
    <w:basedOn w:val="DefaultParagraphFont"/>
    <w:link w:val="BalloonText"/>
    <w:uiPriority w:val="99"/>
    <w:semiHidden/>
    <w:rsid w:val="00D16BDF"/>
    <w:rPr>
      <w:rFonts w:ascii="Tahoma" w:hAnsi="Tahoma" w:eastAsiaTheme="minorEastAsia" w:cs="Tahoma"/>
      <w:sz w:val="16"/>
      <w:szCs w:val="16"/>
      <w:lang w:val="en-GB"/>
    </w:rPr>
  </w:style>
  <w:style w:type="character" w:styleId="BookTitle">
    <w:name w:val="Book Title"/>
    <w:uiPriority w:val="99"/>
    <w:semiHidden/>
    <w:qFormat/>
    <w:rsid w:val="00D16BDF"/>
    <w:rPr>
      <w:i/>
      <w:iCs/>
      <w:smallCaps/>
      <w:spacing w:val="5"/>
    </w:rPr>
  </w:style>
  <w:style w:type="paragraph" w:customStyle="1" w:styleId="ECHRHeader">
    <w:name w:val="ECHR_Header"/>
    <w:aliases w:val="Ju_Header"/>
    <w:basedOn w:val="Header"/>
    <w:uiPriority w:val="4"/>
    <w:qFormat/>
    <w:rsid w:val="00D16BDF"/>
    <w:pPr>
      <w:tabs>
        <w:tab w:val="center" w:pos="3686"/>
        <w:tab w:val="clear" w:pos="4536"/>
        <w:tab w:val="right" w:pos="7371"/>
        <w:tab w:val="clear" w:pos="9072"/>
      </w:tabs>
      <w:jc w:val="left"/>
    </w:pPr>
    <w:rPr>
      <w:sz w:val="18"/>
    </w:rPr>
  </w:style>
  <w:style w:type="paragraph" w:customStyle="1" w:styleId="ECHRFooter">
    <w:name w:val="ECHR_Footer"/>
    <w:aliases w:val="Footer_ECHR"/>
    <w:basedOn w:val="Footer"/>
    <w:uiPriority w:val="57"/>
    <w:semiHidden/>
    <w:rsid w:val="00D16BDF"/>
    <w:pPr>
      <w:jc w:val="left"/>
    </w:pPr>
    <w:rPr>
      <w:sz w:val="8"/>
    </w:rPr>
  </w:style>
  <w:style w:type="character" w:styleId="Strong">
    <w:name w:val="Strong"/>
    <w:uiPriority w:val="99"/>
    <w:semiHidden/>
    <w:qFormat/>
    <w:rsid w:val="00D16BDF"/>
    <w:rPr>
      <w:b/>
      <w:bCs/>
    </w:rPr>
  </w:style>
  <w:style w:type="paragraph" w:styleId="NoSpacing">
    <w:name w:val="No Spacing"/>
    <w:basedOn w:val="Normal"/>
    <w:link w:val="NoSpacingChar"/>
    <w:semiHidden/>
    <w:qFormat/>
    <w:rsid w:val="00D16BDF"/>
    <w:rPr>
      <w:sz w:val="22"/>
      <w:lang w:val="en-US"/>
    </w:rPr>
  </w:style>
  <w:style w:type="character" w:customStyle="1" w:styleId="NoSpacingChar">
    <w:name w:val="No Spacing Char"/>
    <w:basedOn w:val="DefaultParagraphFont"/>
    <w:link w:val="NoSpacing"/>
    <w:semiHidden/>
    <w:rsid w:val="00D16BDF"/>
    <w:rPr>
      <w:rFonts w:eastAsiaTheme="minorEastAsia"/>
    </w:rPr>
  </w:style>
  <w:style w:type="paragraph" w:customStyle="1" w:styleId="ECHRFooterLine">
    <w:name w:val="ECHR_Footer_Line"/>
    <w:aliases w:val="Footer_Line"/>
    <w:basedOn w:val="Normal"/>
    <w:next w:val="ECHRFooter"/>
    <w:uiPriority w:val="57"/>
    <w:semiHidden/>
    <w:rsid w:val="00D16BDF"/>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D16BDF"/>
  </w:style>
  <w:style w:type="paragraph" w:customStyle="1" w:styleId="DecList">
    <w:name w:val="Dec_List"/>
    <w:basedOn w:val="Normal"/>
    <w:uiPriority w:val="9"/>
    <w:semiHidden/>
    <w:qFormat/>
    <w:rsid w:val="00D16BDF"/>
    <w:pPr>
      <w:spacing w:before="240"/>
      <w:ind w:left="284"/>
    </w:pPr>
  </w:style>
  <w:style w:type="paragraph" w:customStyle="1" w:styleId="DummyStyle">
    <w:name w:val="Dummy_Style"/>
    <w:basedOn w:val="Normal"/>
    <w:semiHidden/>
    <w:qFormat/>
    <w:rsid w:val="00D16BDF"/>
    <w:rPr>
      <w:color w:val="00B050"/>
    </w:rPr>
  </w:style>
  <w:style w:type="paragraph" w:customStyle="1" w:styleId="ECHRTitleCentre3">
    <w:name w:val="ECHR_Title_Centre_3"/>
    <w:aliases w:val="Ju_H_Article"/>
    <w:basedOn w:val="Normal"/>
    <w:next w:val="ECHRParaQuote"/>
    <w:uiPriority w:val="27"/>
    <w:qFormat/>
    <w:rsid w:val="00D16BDF"/>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D16BDF"/>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D16BDF"/>
    <w:pPr>
      <w:numPr>
        <w:numId w:val="24"/>
      </w:numPr>
      <w:jc w:val="left"/>
    </w:pPr>
    <w:rPr>
      <w:b/>
    </w:rPr>
  </w:style>
  <w:style w:type="paragraph" w:customStyle="1" w:styleId="JuCourt">
    <w:name w:val="Ju_Court"/>
    <w:basedOn w:val="Normal"/>
    <w:next w:val="Normal"/>
    <w:uiPriority w:val="16"/>
    <w:qFormat/>
    <w:rsid w:val="00D16BDF"/>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D16BDF"/>
    <w:pPr>
      <w:tabs>
        <w:tab w:val="center" w:pos="6407"/>
      </w:tabs>
      <w:spacing w:before="720"/>
      <w:jc w:val="right"/>
    </w:pPr>
  </w:style>
  <w:style w:type="paragraph" w:customStyle="1" w:styleId="ECHRTitleCentre2">
    <w:name w:val="ECHR_Title_Centre_2"/>
    <w:aliases w:val="Dec_H_Case"/>
    <w:basedOn w:val="Normal"/>
    <w:next w:val="ECHRPara"/>
    <w:uiPriority w:val="8"/>
    <w:qFormat/>
    <w:rsid w:val="00D16BDF"/>
    <w:pPr>
      <w:spacing w:after="240"/>
      <w:jc w:val="center"/>
      <w:outlineLvl w:val="0"/>
    </w:pPr>
    <w:rPr>
      <w:rFonts w:asciiTheme="majorHAnsi" w:hAnsiTheme="majorHAnsi"/>
    </w:rPr>
  </w:style>
  <w:style w:type="paragraph" w:customStyle="1" w:styleId="JuListi">
    <w:name w:val="Ju_List_i"/>
    <w:basedOn w:val="Normal"/>
    <w:next w:val="JuLista"/>
    <w:uiPriority w:val="28"/>
    <w:qFormat/>
    <w:rsid w:val="00D16BDF"/>
    <w:pPr>
      <w:ind w:left="794"/>
    </w:pPr>
  </w:style>
  <w:style w:type="paragraph" w:styleId="Title">
    <w:name w:val="Title"/>
    <w:basedOn w:val="Normal"/>
    <w:next w:val="Normal"/>
    <w:link w:val="TitleChar"/>
    <w:uiPriority w:val="99"/>
    <w:semiHidden/>
    <w:qFormat/>
    <w:rsid w:val="00D16BDF"/>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D16BDF"/>
    <w:rPr>
      <w:rFonts w:asciiTheme="majorHAnsi" w:eastAsiaTheme="majorEastAsia" w:hAnsiTheme="majorHAnsi" w:cstheme="majorBidi"/>
      <w:spacing w:val="5"/>
      <w:sz w:val="52"/>
      <w:szCs w:val="52"/>
      <w:lang w:bidi="en-US"/>
    </w:rPr>
  </w:style>
  <w:style w:type="character" w:customStyle="1" w:styleId="JUNAMES">
    <w:name w:val="JU_NAMES"/>
    <w:uiPriority w:val="17"/>
    <w:qFormat/>
    <w:rsid w:val="00D16BDF"/>
    <w:rPr>
      <w:caps w:val="0"/>
      <w:smallCaps/>
    </w:rPr>
  </w:style>
  <w:style w:type="paragraph" w:customStyle="1" w:styleId="JuParaSub">
    <w:name w:val="Ju_Para_Sub"/>
    <w:basedOn w:val="ECHRPara"/>
    <w:uiPriority w:val="13"/>
    <w:qFormat/>
    <w:rsid w:val="00D16BDF"/>
    <w:pPr>
      <w:ind w:left="284"/>
    </w:pPr>
  </w:style>
  <w:style w:type="paragraph" w:customStyle="1" w:styleId="ECHRHeading1">
    <w:name w:val="ECHR_Heading_1"/>
    <w:aliases w:val="Ju_H_I_Roman"/>
    <w:basedOn w:val="Heading1"/>
    <w:next w:val="ECHRPara"/>
    <w:uiPriority w:val="19"/>
    <w:qFormat/>
    <w:rsid w:val="00D16BDF"/>
    <w:pPr>
      <w:keepNext/>
      <w:keepLines/>
      <w:tabs>
        <w:tab w:val="left" w:pos="357"/>
      </w:tabs>
      <w:spacing w:before="360" w:after="240"/>
      <w:ind w:left="357" w:hanging="357"/>
      <w:contextualSpacing w:val="0"/>
    </w:pPr>
    <w:rPr>
      <w:b w:val="0"/>
      <w:color w:val="auto"/>
      <w:sz w:val="24"/>
    </w:rPr>
  </w:style>
  <w:style w:type="paragraph" w:customStyle="1" w:styleId="ECHRHeading3">
    <w:name w:val="ECHR_Heading_3"/>
    <w:aliases w:val="Ju_H_1."/>
    <w:basedOn w:val="Heading3"/>
    <w:next w:val="ECHRPara"/>
    <w:uiPriority w:val="21"/>
    <w:qFormat/>
    <w:rsid w:val="00D16BDF"/>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D16BDF"/>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D16BDF"/>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D16BDF"/>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D16BDF"/>
    <w:pPr>
      <w:keepNext/>
      <w:keepLines/>
      <w:spacing w:before="240" w:after="120"/>
      <w:ind w:left="1236"/>
    </w:pPr>
    <w:rPr>
      <w:sz w:val="20"/>
      <w:lang w:val="en-GB"/>
    </w:rPr>
  </w:style>
  <w:style w:type="paragraph" w:styleId="Header">
    <w:name w:val="header"/>
    <w:basedOn w:val="Normal"/>
    <w:link w:val="HeaderChar"/>
    <w:uiPriority w:val="57"/>
    <w:semiHidden/>
    <w:rsid w:val="00D16BDF"/>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D16BDF"/>
    <w:rPr>
      <w:sz w:val="24"/>
      <w:lang w:val="en-GB"/>
    </w:rPr>
  </w:style>
  <w:style w:type="character" w:customStyle="1" w:styleId="Heading1Char">
    <w:name w:val="Heading 1 Char"/>
    <w:basedOn w:val="DefaultParagraphFont"/>
    <w:link w:val="Heading1"/>
    <w:uiPriority w:val="99"/>
    <w:semiHidden/>
    <w:rsid w:val="00D16BDF"/>
    <w:rPr>
      <w:rFonts w:asciiTheme="majorHAnsi" w:eastAsiaTheme="majorEastAsia" w:hAnsiTheme="majorHAnsi" w:cstheme="majorBidi"/>
      <w:b/>
      <w:bCs/>
      <w:color w:val="333333"/>
      <w:sz w:val="28"/>
      <w:szCs w:val="28"/>
      <w:lang w:val="en-GB"/>
    </w:rPr>
  </w:style>
  <w:style w:type="paragraph" w:customStyle="1" w:styleId="JuQuotSub">
    <w:name w:val="Ju_Quot_Sub"/>
    <w:basedOn w:val="ECHRParaQuote"/>
    <w:uiPriority w:val="15"/>
    <w:qFormat/>
    <w:rsid w:val="00D16BDF"/>
    <w:pPr>
      <w:ind w:left="567"/>
    </w:pPr>
  </w:style>
  <w:style w:type="paragraph" w:customStyle="1" w:styleId="ECHRHeading2">
    <w:name w:val="ECHR_Heading_2"/>
    <w:aliases w:val="Ju_H_A"/>
    <w:basedOn w:val="Heading2"/>
    <w:next w:val="ECHRPara"/>
    <w:uiPriority w:val="20"/>
    <w:qFormat/>
    <w:rsid w:val="00D16BDF"/>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D16BDF"/>
    <w:rPr>
      <w:rFonts w:asciiTheme="majorHAnsi" w:eastAsiaTheme="majorEastAsia" w:hAnsiTheme="majorHAnsi" w:cstheme="majorBidi"/>
      <w:b/>
      <w:bCs/>
      <w:color w:val="4D4D4D"/>
      <w:sz w:val="26"/>
      <w:szCs w:val="26"/>
      <w:lang w:val="en-GB"/>
    </w:rPr>
  </w:style>
  <w:style w:type="paragraph" w:customStyle="1" w:styleId="JuTitle">
    <w:name w:val="Ju_Title"/>
    <w:basedOn w:val="Normal"/>
    <w:next w:val="ECHRPara"/>
    <w:uiPriority w:val="3"/>
    <w:semiHidden/>
    <w:qFormat/>
    <w:rsid w:val="00D16BDF"/>
    <w:pPr>
      <w:spacing w:before="720" w:after="240"/>
      <w:jc w:val="center"/>
      <w:outlineLvl w:val="0"/>
    </w:pPr>
    <w:rPr>
      <w:rFonts w:asciiTheme="majorHAnsi" w:hAnsiTheme="majorHAnsi"/>
      <w:b/>
      <w:caps/>
    </w:rPr>
  </w:style>
  <w:style w:type="character" w:customStyle="1" w:styleId="JuITMark">
    <w:name w:val="Ju_ITMark"/>
    <w:basedOn w:val="DefaultParagraphFont"/>
    <w:uiPriority w:val="38"/>
    <w:qFormat/>
    <w:rsid w:val="00D16BDF"/>
    <w:rPr>
      <w:vanish w:val="0"/>
      <w:color w:val="auto"/>
      <w:sz w:val="14"/>
      <w:bdr w:val="none" w:sz="0" w:space="0" w:color="auto"/>
      <w:shd w:val="clear" w:color="auto" w:fill="BEE5FF" w:themeFill="background1" w:themeFillTint="33"/>
    </w:rPr>
  </w:style>
  <w:style w:type="character" w:customStyle="1" w:styleId="Heading3Char">
    <w:name w:val="Heading 3 Char"/>
    <w:basedOn w:val="DefaultParagraphFont"/>
    <w:link w:val="Heading3"/>
    <w:uiPriority w:val="99"/>
    <w:semiHidden/>
    <w:rsid w:val="00D16BDF"/>
    <w:rPr>
      <w:rFonts w:asciiTheme="majorHAnsi" w:eastAsiaTheme="majorEastAsia" w:hAnsiTheme="majorHAnsi" w:cstheme="majorBidi"/>
      <w:b/>
      <w:bCs/>
      <w:color w:val="5F5F5F"/>
      <w:sz w:val="24"/>
      <w:lang w:val="en-GB"/>
    </w:rPr>
  </w:style>
  <w:style w:type="paragraph" w:customStyle="1" w:styleId="OpiH1">
    <w:name w:val="Opi_H_1"/>
    <w:basedOn w:val="ECHRHeading2"/>
    <w:uiPriority w:val="42"/>
    <w:qFormat/>
    <w:rsid w:val="00D16BDF"/>
    <w:pPr>
      <w:ind w:left="635" w:hanging="357"/>
      <w:outlineLvl w:val="2"/>
    </w:pPr>
  </w:style>
  <w:style w:type="paragraph" w:customStyle="1" w:styleId="ECHRDecisionBody">
    <w:name w:val="ECHR_Decision_Body"/>
    <w:aliases w:val="Ju_Judges"/>
    <w:basedOn w:val="Normal"/>
    <w:uiPriority w:val="11"/>
    <w:qFormat/>
    <w:rsid w:val="00D16BDF"/>
    <w:pPr>
      <w:tabs>
        <w:tab w:val="left" w:pos="567"/>
        <w:tab w:val="left" w:pos="1134"/>
      </w:tabs>
      <w:jc w:val="left"/>
    </w:pPr>
  </w:style>
  <w:style w:type="character" w:customStyle="1" w:styleId="Heading4Char">
    <w:name w:val="Heading 4 Char"/>
    <w:basedOn w:val="DefaultParagraphFont"/>
    <w:link w:val="Heading4"/>
    <w:uiPriority w:val="99"/>
    <w:semiHidden/>
    <w:rsid w:val="00D16BDF"/>
    <w:rPr>
      <w:rFonts w:asciiTheme="majorHAnsi" w:eastAsiaTheme="majorEastAsia" w:hAnsiTheme="majorHAnsi" w:cstheme="majorBidi"/>
      <w:b/>
      <w:bCs/>
      <w:i/>
      <w:iCs/>
      <w:color w:val="777777"/>
      <w:sz w:val="24"/>
      <w:lang w:val="en-GB"/>
    </w:rPr>
  </w:style>
  <w:style w:type="paragraph" w:customStyle="1" w:styleId="ECHRPara">
    <w:name w:val="ECHR_Para"/>
    <w:aliases w:val="Ju_Para"/>
    <w:basedOn w:val="Normal"/>
    <w:link w:val="ECHRParaChar"/>
    <w:uiPriority w:val="12"/>
    <w:qFormat/>
    <w:rsid w:val="00D16BDF"/>
    <w:pPr>
      <w:ind w:firstLine="284"/>
    </w:pPr>
  </w:style>
  <w:style w:type="character" w:customStyle="1" w:styleId="Heading5Char">
    <w:name w:val="Heading 5 Char"/>
    <w:basedOn w:val="DefaultParagraphFont"/>
    <w:link w:val="Heading5"/>
    <w:uiPriority w:val="99"/>
    <w:semiHidden/>
    <w:rsid w:val="00D16BDF"/>
    <w:rPr>
      <w:rFonts w:asciiTheme="majorHAnsi" w:eastAsiaTheme="majorEastAsia" w:hAnsiTheme="majorHAnsi" w:cstheme="majorBidi"/>
      <w:b/>
      <w:bCs/>
      <w:color w:val="808080"/>
    </w:rPr>
  </w:style>
  <w:style w:type="paragraph" w:customStyle="1" w:styleId="JuList">
    <w:name w:val="Ju_List"/>
    <w:basedOn w:val="Normal"/>
    <w:uiPriority w:val="28"/>
    <w:qFormat/>
    <w:rsid w:val="00D16BDF"/>
    <w:pPr>
      <w:ind w:left="340" w:hanging="340"/>
    </w:pPr>
  </w:style>
  <w:style w:type="paragraph" w:customStyle="1" w:styleId="JuSigned">
    <w:name w:val="Ju_Signed"/>
    <w:basedOn w:val="Normal"/>
    <w:next w:val="JuParaLast"/>
    <w:uiPriority w:val="32"/>
    <w:qFormat/>
    <w:rsid w:val="00D16BDF"/>
    <w:pPr>
      <w:tabs>
        <w:tab w:val="center" w:pos="851"/>
        <w:tab w:val="center" w:pos="6407"/>
      </w:tabs>
      <w:spacing w:before="720"/>
      <w:jc w:val="left"/>
    </w:pPr>
  </w:style>
  <w:style w:type="character" w:styleId="SubtleEmphasis">
    <w:name w:val="Subtle Emphasis"/>
    <w:uiPriority w:val="99"/>
    <w:semiHidden/>
    <w:qFormat/>
    <w:rsid w:val="00D16BDF"/>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D16BDF"/>
    <w:pPr>
      <w:keepNext/>
      <w:keepLines/>
      <w:spacing w:before="720" w:after="240"/>
      <w:outlineLvl w:val="0"/>
    </w:pPr>
    <w:rPr>
      <w:rFonts w:asciiTheme="majorHAnsi" w:hAnsiTheme="majorHAnsi"/>
      <w:sz w:val="28"/>
    </w:rPr>
  </w:style>
  <w:style w:type="character" w:styleId="Emphasis">
    <w:name w:val="Emphasis"/>
    <w:uiPriority w:val="99"/>
    <w:semiHidden/>
    <w:qFormat/>
    <w:rsid w:val="00D16BDF"/>
    <w:rPr>
      <w:b/>
      <w:bCs/>
      <w:i/>
      <w:iCs/>
      <w:spacing w:val="10"/>
      <w:bdr w:val="none" w:sz="0" w:space="0" w:color="auto"/>
      <w:shd w:val="clear" w:color="auto" w:fill="auto"/>
    </w:rPr>
  </w:style>
  <w:style w:type="paragraph" w:styleId="Footer">
    <w:name w:val="footer"/>
    <w:basedOn w:val="Normal"/>
    <w:link w:val="FooterChar"/>
    <w:uiPriority w:val="57"/>
    <w:semiHidden/>
    <w:rsid w:val="00D16BDF"/>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D16BDF"/>
    <w:rPr>
      <w:sz w:val="24"/>
      <w:lang w:val="en-GB"/>
    </w:rPr>
  </w:style>
  <w:style w:type="character" w:styleId="FootnoteReference">
    <w:name w:val="footnote reference"/>
    <w:basedOn w:val="DefaultParagraphFont"/>
    <w:uiPriority w:val="99"/>
    <w:semiHidden/>
    <w:rsid w:val="00D16BDF"/>
    <w:rPr>
      <w:vertAlign w:val="superscript"/>
    </w:rPr>
  </w:style>
  <w:style w:type="paragraph" w:styleId="FootnoteText">
    <w:name w:val="footnote text"/>
    <w:basedOn w:val="Normal"/>
    <w:link w:val="FootnoteTextChar"/>
    <w:uiPriority w:val="99"/>
    <w:semiHidden/>
    <w:rsid w:val="00D16BDF"/>
    <w:rPr>
      <w:sz w:val="20"/>
      <w:szCs w:val="20"/>
    </w:rPr>
  </w:style>
  <w:style w:type="character" w:customStyle="1" w:styleId="FootnoteTextChar">
    <w:name w:val="Footnote Text Char"/>
    <w:basedOn w:val="DefaultParagraphFont"/>
    <w:link w:val="FootnoteText"/>
    <w:uiPriority w:val="99"/>
    <w:semiHidden/>
    <w:rsid w:val="00D16BDF"/>
    <w:rPr>
      <w:rFonts w:eastAsiaTheme="minorEastAsia"/>
      <w:sz w:val="20"/>
      <w:szCs w:val="20"/>
      <w:lang w:val="en-GB"/>
    </w:rPr>
  </w:style>
  <w:style w:type="character" w:customStyle="1" w:styleId="Heading6Char">
    <w:name w:val="Heading 6 Char"/>
    <w:basedOn w:val="DefaultParagraphFont"/>
    <w:link w:val="Heading6"/>
    <w:uiPriority w:val="99"/>
    <w:semiHidden/>
    <w:rsid w:val="00D16BDF"/>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D16BDF"/>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D16BDF"/>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D16BDF"/>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D16BDF"/>
    <w:rPr>
      <w:color w:val="0072BC" w:themeColor="hyperlink"/>
      <w:u w:val="single"/>
    </w:rPr>
  </w:style>
  <w:style w:type="character" w:styleId="IntenseEmphasis">
    <w:name w:val="Intense Emphasis"/>
    <w:uiPriority w:val="99"/>
    <w:semiHidden/>
    <w:qFormat/>
    <w:rsid w:val="00D16BDF"/>
    <w:rPr>
      <w:b/>
      <w:bCs/>
    </w:rPr>
  </w:style>
  <w:style w:type="paragraph" w:styleId="IntenseQuote">
    <w:name w:val="Intense Quote"/>
    <w:basedOn w:val="Normal"/>
    <w:next w:val="Normal"/>
    <w:link w:val="IntenseQuoteChar"/>
    <w:uiPriority w:val="99"/>
    <w:semiHidden/>
    <w:qFormat/>
    <w:rsid w:val="00D16BDF"/>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D16BDF"/>
    <w:rPr>
      <w:rFonts w:eastAsiaTheme="minorEastAsia"/>
      <w:b/>
      <w:bCs/>
      <w:i/>
      <w:iCs/>
      <w:lang w:bidi="en-US"/>
    </w:rPr>
  </w:style>
  <w:style w:type="character" w:styleId="IntenseReference">
    <w:name w:val="Intense Reference"/>
    <w:uiPriority w:val="99"/>
    <w:semiHidden/>
    <w:qFormat/>
    <w:rsid w:val="00D16BDF"/>
    <w:rPr>
      <w:smallCaps/>
      <w:spacing w:val="5"/>
      <w:u w:val="single"/>
    </w:rPr>
  </w:style>
  <w:style w:type="paragraph" w:styleId="ListParagraph">
    <w:name w:val="List Paragraph"/>
    <w:basedOn w:val="Normal"/>
    <w:uiPriority w:val="99"/>
    <w:semiHidden/>
    <w:qFormat/>
    <w:rsid w:val="00D16BDF"/>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D16BDF"/>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D16BDF"/>
    <w:rPr>
      <w:rFonts w:eastAsiaTheme="minorEastAsia"/>
      <w:i/>
      <w:iCs/>
      <w:lang w:bidi="en-US"/>
    </w:rPr>
  </w:style>
  <w:style w:type="character" w:styleId="SubtleReference">
    <w:name w:val="Subtle Reference"/>
    <w:uiPriority w:val="99"/>
    <w:semiHidden/>
    <w:qFormat/>
    <w:rsid w:val="00D16BDF"/>
    <w:rPr>
      <w:smallCaps/>
    </w:rPr>
  </w:style>
  <w:style w:type="table" w:styleId="TableGrid">
    <w:name w:val="Table Grid"/>
    <w:basedOn w:val="TableNormal"/>
    <w:uiPriority w:val="59"/>
    <w:semiHidden/>
    <w:rsid w:val="00D16BDF"/>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D16BDF"/>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D16BDF"/>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D16BDF"/>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D16BDF"/>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D16BDF"/>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D16BDF"/>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D16BDF"/>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D16BDF"/>
    <w:pPr>
      <w:spacing w:before="120" w:after="120"/>
      <w:ind w:left="425" w:firstLine="142"/>
    </w:pPr>
    <w:rPr>
      <w:sz w:val="20"/>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D16BDF"/>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ParaLast">
    <w:name w:val="Ju_Para_Last"/>
    <w:basedOn w:val="Normal"/>
    <w:next w:val="ECHRPara"/>
    <w:uiPriority w:val="30"/>
    <w:qFormat/>
    <w:rsid w:val="00D16BDF"/>
    <w:pPr>
      <w:keepNext/>
      <w:keepLines/>
      <w:spacing w:before="240"/>
      <w:ind w:firstLine="284"/>
    </w:pPr>
  </w:style>
  <w:style w:type="paragraph" w:customStyle="1" w:styleId="JuCase">
    <w:name w:val="Ju_Case"/>
    <w:basedOn w:val="Normal"/>
    <w:next w:val="ECHRPara"/>
    <w:uiPriority w:val="10"/>
    <w:rsid w:val="00D16BDF"/>
    <w:pPr>
      <w:ind w:firstLine="284"/>
    </w:pPr>
    <w:rPr>
      <w:b/>
    </w:rPr>
  </w:style>
  <w:style w:type="paragraph" w:styleId="CommentText">
    <w:name w:val="annotation text"/>
    <w:basedOn w:val="Normal"/>
    <w:link w:val="CommentTextChar"/>
    <w:semiHidden/>
    <w:rsid w:val="00470981"/>
    <w:rPr>
      <w:sz w:val="20"/>
      <w:szCs w:val="20"/>
    </w:rPr>
  </w:style>
  <w:style w:type="character" w:customStyle="1" w:styleId="CommentTextChar">
    <w:name w:val="Comment Text Char"/>
    <w:basedOn w:val="DefaultParagraphFont"/>
    <w:link w:val="CommentText"/>
    <w:semiHidden/>
    <w:rsid w:val="00470981"/>
    <w:rPr>
      <w:rFonts w:eastAsiaTheme="minorEastAsia"/>
      <w:sz w:val="20"/>
      <w:szCs w:val="20"/>
    </w:rPr>
  </w:style>
  <w:style w:type="paragraph" w:styleId="CommentSubject">
    <w:name w:val="annotation subject"/>
    <w:basedOn w:val="CommentText"/>
    <w:next w:val="CommentText"/>
    <w:link w:val="CommentSubjectChar"/>
    <w:uiPriority w:val="99"/>
    <w:semiHidden/>
    <w:rsid w:val="00470981"/>
    <w:rPr>
      <w:b/>
      <w:bCs/>
      <w:szCs w:val="22"/>
    </w:rPr>
  </w:style>
  <w:style w:type="character" w:customStyle="1" w:styleId="CommentSubjectChar">
    <w:name w:val="Comment Subject Char"/>
    <w:basedOn w:val="CommentTextChar"/>
    <w:link w:val="CommentSubject"/>
    <w:uiPriority w:val="99"/>
    <w:semiHidden/>
    <w:rsid w:val="00470981"/>
    <w:rPr>
      <w:rFonts w:eastAsiaTheme="minorEastAsia"/>
      <w:b/>
      <w:bCs/>
      <w:sz w:val="20"/>
      <w:szCs w:val="20"/>
    </w:rPr>
  </w:style>
  <w:style w:type="character" w:styleId="PageNumber">
    <w:name w:val="page number"/>
    <w:uiPriority w:val="99"/>
    <w:semiHidden/>
    <w:rsid w:val="00470981"/>
    <w:rPr>
      <w:sz w:val="18"/>
    </w:rPr>
  </w:style>
  <w:style w:type="paragraph" w:customStyle="1" w:styleId="JuLista">
    <w:name w:val="Ju_List_a"/>
    <w:basedOn w:val="JuList"/>
    <w:uiPriority w:val="28"/>
    <w:qFormat/>
    <w:rsid w:val="00D16BDF"/>
    <w:pPr>
      <w:ind w:left="346" w:firstLine="0"/>
    </w:pPr>
  </w:style>
  <w:style w:type="paragraph" w:customStyle="1" w:styleId="OpiHa">
    <w:name w:val="Opi_H_a"/>
    <w:basedOn w:val="ECHRHeading3"/>
    <w:uiPriority w:val="43"/>
    <w:qFormat/>
    <w:rsid w:val="00D16BDF"/>
    <w:pPr>
      <w:ind w:left="833" w:hanging="357"/>
      <w:outlineLvl w:val="3"/>
    </w:pPr>
    <w:rPr>
      <w:b/>
      <w:i w:val="0"/>
      <w:sz w:val="20"/>
    </w:rPr>
  </w:style>
  <w:style w:type="character" w:styleId="CommentReference">
    <w:name w:val="annotation reference"/>
    <w:uiPriority w:val="99"/>
    <w:semiHidden/>
    <w:rsid w:val="00470981"/>
    <w:rPr>
      <w:sz w:val="16"/>
    </w:rPr>
  </w:style>
  <w:style w:type="character" w:styleId="EndnoteReference">
    <w:name w:val="endnote reference"/>
    <w:basedOn w:val="DefaultParagraphFont"/>
    <w:uiPriority w:val="99"/>
    <w:semiHidden/>
    <w:rsid w:val="00D16BDF"/>
    <w:rPr>
      <w:vertAlign w:val="superscript"/>
    </w:rPr>
  </w:style>
  <w:style w:type="paragraph" w:styleId="EndnoteText">
    <w:name w:val="endnote text"/>
    <w:basedOn w:val="Normal"/>
    <w:link w:val="EndnoteTextChar"/>
    <w:uiPriority w:val="99"/>
    <w:semiHidden/>
    <w:rsid w:val="00D16BDF"/>
    <w:rPr>
      <w:sz w:val="20"/>
      <w:szCs w:val="20"/>
    </w:rPr>
  </w:style>
  <w:style w:type="character" w:customStyle="1" w:styleId="EndnoteTextChar">
    <w:name w:val="Endnote Text Char"/>
    <w:basedOn w:val="DefaultParagraphFont"/>
    <w:link w:val="EndnoteText"/>
    <w:uiPriority w:val="99"/>
    <w:semiHidden/>
    <w:rsid w:val="00D16BDF"/>
    <w:rPr>
      <w:rFonts w:eastAsiaTheme="minorEastAsia"/>
      <w:sz w:val="20"/>
      <w:szCs w:val="20"/>
      <w:lang w:val="en-GB"/>
    </w:rPr>
  </w:style>
  <w:style w:type="character" w:styleId="FollowedHyperlink">
    <w:name w:val="FollowedHyperlink"/>
    <w:uiPriority w:val="99"/>
    <w:semiHidden/>
    <w:rsid w:val="00470981"/>
    <w:rPr>
      <w:color w:val="800080"/>
      <w:u w:val="single"/>
    </w:rPr>
  </w:style>
  <w:style w:type="paragraph" w:styleId="DocumentMap">
    <w:name w:val="Document Map"/>
    <w:basedOn w:val="Normal"/>
    <w:link w:val="DocumentMapChar"/>
    <w:uiPriority w:val="99"/>
    <w:semiHidden/>
    <w:rsid w:val="00470981"/>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470981"/>
    <w:rPr>
      <w:rFonts w:ascii="Tahoma" w:hAnsi="Tahoma" w:eastAsiaTheme="minorEastAsia" w:cs="Tahoma"/>
      <w:sz w:val="20"/>
      <w:shd w:val="clear" w:color="auto" w:fill="000080"/>
    </w:rPr>
  </w:style>
  <w:style w:type="paragraph" w:styleId="ListBullet">
    <w:name w:val="List Bullet"/>
    <w:basedOn w:val="Normal"/>
    <w:uiPriority w:val="99"/>
    <w:semiHidden/>
    <w:rsid w:val="00470981"/>
    <w:pPr>
      <w:numPr>
        <w:numId w:val="4"/>
      </w:numPr>
    </w:pPr>
  </w:style>
  <w:style w:type="paragraph" w:styleId="Subtitle">
    <w:name w:val="Subtitle"/>
    <w:basedOn w:val="Normal"/>
    <w:next w:val="Normal"/>
    <w:link w:val="SubtitleChar"/>
    <w:uiPriority w:val="99"/>
    <w:semiHidden/>
    <w:qFormat/>
    <w:rsid w:val="00D16BDF"/>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D16BDF"/>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470981"/>
    <w:pPr>
      <w:numPr>
        <w:numId w:val="5"/>
      </w:numPr>
    </w:pPr>
  </w:style>
  <w:style w:type="numbering" w:styleId="1ai">
    <w:name w:val="Outline List 1"/>
    <w:basedOn w:val="NoList"/>
    <w:uiPriority w:val="99"/>
    <w:semiHidden/>
    <w:rsid w:val="00470981"/>
    <w:pPr>
      <w:numPr>
        <w:numId w:val="6"/>
      </w:numPr>
    </w:pPr>
  </w:style>
  <w:style w:type="numbering" w:styleId="ArticleSection">
    <w:name w:val="Outline List 3"/>
    <w:basedOn w:val="NoList"/>
    <w:uiPriority w:val="99"/>
    <w:semiHidden/>
    <w:rsid w:val="00470981"/>
    <w:pPr>
      <w:numPr>
        <w:numId w:val="7"/>
      </w:numPr>
    </w:pPr>
  </w:style>
  <w:style w:type="paragraph" w:styleId="Bibliography">
    <w:name w:val="Bibliography"/>
    <w:basedOn w:val="Normal"/>
    <w:next w:val="Normal"/>
    <w:uiPriority w:val="99"/>
    <w:semiHidden/>
    <w:unhideWhenUsed/>
    <w:rsid w:val="00470981"/>
  </w:style>
  <w:style w:type="paragraph" w:styleId="BlockText">
    <w:name w:val="Block Text"/>
    <w:basedOn w:val="Normal"/>
    <w:uiPriority w:val="99"/>
    <w:semiHidden/>
    <w:rsid w:val="0047098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470981"/>
    <w:pPr>
      <w:spacing w:after="120"/>
    </w:pPr>
  </w:style>
  <w:style w:type="character" w:customStyle="1" w:styleId="BodyTextChar">
    <w:name w:val="Body Text Char"/>
    <w:basedOn w:val="DefaultParagraphFont"/>
    <w:link w:val="BodyText"/>
    <w:uiPriority w:val="99"/>
    <w:semiHidden/>
    <w:rsid w:val="00470981"/>
    <w:rPr>
      <w:rFonts w:eastAsiaTheme="minorEastAsia"/>
      <w:sz w:val="24"/>
    </w:rPr>
  </w:style>
  <w:style w:type="paragraph" w:styleId="BodyText2">
    <w:name w:val="Body Text 2"/>
    <w:basedOn w:val="Normal"/>
    <w:link w:val="BodyText2Char"/>
    <w:uiPriority w:val="99"/>
    <w:semiHidden/>
    <w:rsid w:val="00470981"/>
    <w:pPr>
      <w:spacing w:after="120" w:line="480" w:lineRule="auto"/>
    </w:pPr>
  </w:style>
  <w:style w:type="character" w:customStyle="1" w:styleId="BodyText2Char">
    <w:name w:val="Body Text 2 Char"/>
    <w:basedOn w:val="DefaultParagraphFont"/>
    <w:link w:val="BodyText2"/>
    <w:uiPriority w:val="99"/>
    <w:semiHidden/>
    <w:rsid w:val="00470981"/>
    <w:rPr>
      <w:rFonts w:eastAsiaTheme="minorEastAsia"/>
      <w:sz w:val="24"/>
    </w:rPr>
  </w:style>
  <w:style w:type="paragraph" w:styleId="BodyText3">
    <w:name w:val="Body Text 3"/>
    <w:basedOn w:val="Normal"/>
    <w:link w:val="BodyText3Char"/>
    <w:uiPriority w:val="99"/>
    <w:semiHidden/>
    <w:rsid w:val="00470981"/>
    <w:pPr>
      <w:spacing w:after="120"/>
    </w:pPr>
    <w:rPr>
      <w:sz w:val="16"/>
      <w:szCs w:val="16"/>
    </w:rPr>
  </w:style>
  <w:style w:type="character" w:customStyle="1" w:styleId="BodyText3Char">
    <w:name w:val="Body Text 3 Char"/>
    <w:basedOn w:val="DefaultParagraphFont"/>
    <w:link w:val="BodyText3"/>
    <w:uiPriority w:val="99"/>
    <w:semiHidden/>
    <w:rsid w:val="00470981"/>
    <w:rPr>
      <w:rFonts w:eastAsiaTheme="minorEastAsia"/>
      <w:sz w:val="16"/>
      <w:szCs w:val="16"/>
    </w:rPr>
  </w:style>
  <w:style w:type="paragraph" w:styleId="BodyTextFirstIndent">
    <w:name w:val="Body Text First Indent"/>
    <w:basedOn w:val="BodyText"/>
    <w:link w:val="BodyTextFirstIndentChar"/>
    <w:uiPriority w:val="99"/>
    <w:semiHidden/>
    <w:rsid w:val="00470981"/>
    <w:pPr>
      <w:spacing w:after="0"/>
      <w:ind w:firstLine="360"/>
    </w:pPr>
  </w:style>
  <w:style w:type="character" w:customStyle="1" w:styleId="BodyTextFirstIndentChar">
    <w:name w:val="Body Text First Indent Char"/>
    <w:basedOn w:val="BodyTextChar"/>
    <w:link w:val="BodyTextFirstIndent"/>
    <w:uiPriority w:val="99"/>
    <w:semiHidden/>
    <w:rsid w:val="00470981"/>
    <w:rPr>
      <w:rFonts w:eastAsiaTheme="minorEastAsia"/>
      <w:sz w:val="24"/>
    </w:rPr>
  </w:style>
  <w:style w:type="paragraph" w:styleId="BodyTextIndent">
    <w:name w:val="Body Text Indent"/>
    <w:basedOn w:val="Normal"/>
    <w:link w:val="BodyTextIndentChar"/>
    <w:uiPriority w:val="99"/>
    <w:semiHidden/>
    <w:rsid w:val="00470981"/>
    <w:pPr>
      <w:spacing w:after="120"/>
      <w:ind w:left="283"/>
    </w:pPr>
  </w:style>
  <w:style w:type="character" w:customStyle="1" w:styleId="BodyTextIndentChar">
    <w:name w:val="Body Text Indent Char"/>
    <w:basedOn w:val="DefaultParagraphFont"/>
    <w:link w:val="BodyTextIndent"/>
    <w:uiPriority w:val="99"/>
    <w:semiHidden/>
    <w:rsid w:val="00470981"/>
    <w:rPr>
      <w:rFonts w:eastAsiaTheme="minorEastAsia"/>
      <w:sz w:val="24"/>
    </w:rPr>
  </w:style>
  <w:style w:type="paragraph" w:styleId="BodyTextFirstIndent2">
    <w:name w:val="Body Text First Indent 2"/>
    <w:basedOn w:val="BodyTextIndent"/>
    <w:link w:val="BodyTextFirstIndent2Char"/>
    <w:uiPriority w:val="99"/>
    <w:semiHidden/>
    <w:rsid w:val="00470981"/>
    <w:pPr>
      <w:spacing w:after="0"/>
      <w:ind w:left="360" w:firstLine="360"/>
    </w:pPr>
  </w:style>
  <w:style w:type="character" w:customStyle="1" w:styleId="BodyTextFirstIndent2Char">
    <w:name w:val="Body Text First Indent 2 Char"/>
    <w:basedOn w:val="BodyTextIndentChar"/>
    <w:link w:val="BodyTextFirstIndent2"/>
    <w:uiPriority w:val="99"/>
    <w:semiHidden/>
    <w:rsid w:val="00470981"/>
    <w:rPr>
      <w:rFonts w:eastAsiaTheme="minorEastAsia"/>
      <w:sz w:val="24"/>
    </w:rPr>
  </w:style>
  <w:style w:type="paragraph" w:styleId="BodyTextIndent2">
    <w:name w:val="Body Text Indent 2"/>
    <w:basedOn w:val="Normal"/>
    <w:link w:val="BodyTextIndent2Char"/>
    <w:uiPriority w:val="99"/>
    <w:semiHidden/>
    <w:rsid w:val="00470981"/>
    <w:pPr>
      <w:spacing w:after="120" w:line="480" w:lineRule="auto"/>
      <w:ind w:left="283"/>
    </w:pPr>
  </w:style>
  <w:style w:type="character" w:customStyle="1" w:styleId="BodyTextIndent2Char">
    <w:name w:val="Body Text Indent 2 Char"/>
    <w:basedOn w:val="DefaultParagraphFont"/>
    <w:link w:val="BodyTextIndent2"/>
    <w:uiPriority w:val="99"/>
    <w:semiHidden/>
    <w:rsid w:val="00470981"/>
    <w:rPr>
      <w:rFonts w:eastAsiaTheme="minorEastAsia"/>
      <w:sz w:val="24"/>
    </w:rPr>
  </w:style>
  <w:style w:type="paragraph" w:styleId="BodyTextIndent3">
    <w:name w:val="Body Text Indent 3"/>
    <w:basedOn w:val="Normal"/>
    <w:link w:val="BodyTextIndent3Char"/>
    <w:uiPriority w:val="99"/>
    <w:semiHidden/>
    <w:rsid w:val="0047098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70981"/>
    <w:rPr>
      <w:rFonts w:eastAsiaTheme="minorEastAsia"/>
      <w:sz w:val="16"/>
      <w:szCs w:val="16"/>
    </w:rPr>
  </w:style>
  <w:style w:type="paragraph" w:styleId="Caption">
    <w:name w:val="caption"/>
    <w:basedOn w:val="Normal"/>
    <w:next w:val="Normal"/>
    <w:uiPriority w:val="99"/>
    <w:semiHidden/>
    <w:qFormat/>
    <w:rsid w:val="00470981"/>
    <w:pPr>
      <w:spacing w:after="200"/>
    </w:pPr>
    <w:rPr>
      <w:b/>
      <w:bCs/>
      <w:color w:val="0072BC" w:themeColor="accent1"/>
      <w:sz w:val="18"/>
      <w:szCs w:val="18"/>
    </w:rPr>
  </w:style>
  <w:style w:type="paragraph" w:styleId="Closing">
    <w:name w:val="Closing"/>
    <w:basedOn w:val="Normal"/>
    <w:link w:val="ClosingChar"/>
    <w:uiPriority w:val="99"/>
    <w:semiHidden/>
    <w:rsid w:val="00470981"/>
    <w:pPr>
      <w:ind w:left="4252"/>
    </w:pPr>
  </w:style>
  <w:style w:type="character" w:customStyle="1" w:styleId="ClosingChar">
    <w:name w:val="Closing Char"/>
    <w:basedOn w:val="DefaultParagraphFont"/>
    <w:link w:val="Closing"/>
    <w:uiPriority w:val="99"/>
    <w:semiHidden/>
    <w:rsid w:val="00470981"/>
    <w:rPr>
      <w:rFonts w:eastAsiaTheme="minorEastAsia"/>
      <w:sz w:val="24"/>
    </w:rPr>
  </w:style>
  <w:style w:type="table" w:styleId="ColorfulGrid">
    <w:name w:val="Colorful Grid"/>
    <w:basedOn w:val="TableNormal"/>
    <w:uiPriority w:val="99"/>
    <w:semiHidden/>
    <w:rsid w:val="00470981"/>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470981"/>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470981"/>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470981"/>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470981"/>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470981"/>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470981"/>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470981"/>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470981"/>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470981"/>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470981"/>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470981"/>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470981"/>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470981"/>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470981"/>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470981"/>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470981"/>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470981"/>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470981"/>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470981"/>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470981"/>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470981"/>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470981"/>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470981"/>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470981"/>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470981"/>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470981"/>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470981"/>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470981"/>
  </w:style>
  <w:style w:type="character" w:customStyle="1" w:styleId="DateChar">
    <w:name w:val="Date Char"/>
    <w:basedOn w:val="DefaultParagraphFont"/>
    <w:link w:val="Date"/>
    <w:uiPriority w:val="99"/>
    <w:semiHidden/>
    <w:rsid w:val="00470981"/>
    <w:rPr>
      <w:rFonts w:eastAsiaTheme="minorEastAsia"/>
      <w:sz w:val="24"/>
    </w:rPr>
  </w:style>
  <w:style w:type="paragraph" w:styleId="E-mailSignature">
    <w:name w:val="E-mail Signature"/>
    <w:basedOn w:val="Normal"/>
    <w:link w:val="E-mailSignatureChar"/>
    <w:uiPriority w:val="99"/>
    <w:semiHidden/>
    <w:rsid w:val="00470981"/>
  </w:style>
  <w:style w:type="character" w:customStyle="1" w:styleId="E-mailSignatureChar">
    <w:name w:val="E-mail Signature Char"/>
    <w:basedOn w:val="DefaultParagraphFont"/>
    <w:link w:val="E-mailSignature"/>
    <w:uiPriority w:val="99"/>
    <w:semiHidden/>
    <w:rsid w:val="00470981"/>
    <w:rPr>
      <w:rFonts w:eastAsiaTheme="minorEastAsia"/>
      <w:sz w:val="24"/>
    </w:rPr>
  </w:style>
  <w:style w:type="paragraph" w:styleId="EnvelopeAddress">
    <w:name w:val="envelope address"/>
    <w:basedOn w:val="Normal"/>
    <w:uiPriority w:val="99"/>
    <w:semiHidden/>
    <w:rsid w:val="00470981"/>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470981"/>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470981"/>
  </w:style>
  <w:style w:type="paragraph" w:styleId="HTMLAddress">
    <w:name w:val="HTML Address"/>
    <w:basedOn w:val="Normal"/>
    <w:link w:val="HTMLAddressChar"/>
    <w:uiPriority w:val="99"/>
    <w:semiHidden/>
    <w:rsid w:val="00470981"/>
    <w:rPr>
      <w:i/>
      <w:iCs/>
    </w:rPr>
  </w:style>
  <w:style w:type="character" w:customStyle="1" w:styleId="HTMLAddressChar">
    <w:name w:val="HTML Address Char"/>
    <w:basedOn w:val="DefaultParagraphFont"/>
    <w:link w:val="HTMLAddress"/>
    <w:uiPriority w:val="99"/>
    <w:semiHidden/>
    <w:rsid w:val="00470981"/>
    <w:rPr>
      <w:rFonts w:eastAsiaTheme="minorEastAsia"/>
      <w:i/>
      <w:iCs/>
      <w:sz w:val="24"/>
    </w:rPr>
  </w:style>
  <w:style w:type="character" w:styleId="HTMLCite">
    <w:name w:val="HTML Cite"/>
    <w:basedOn w:val="DefaultParagraphFont"/>
    <w:uiPriority w:val="99"/>
    <w:semiHidden/>
    <w:rsid w:val="00470981"/>
    <w:rPr>
      <w:i/>
      <w:iCs/>
    </w:rPr>
  </w:style>
  <w:style w:type="character" w:styleId="HTMLCode">
    <w:name w:val="HTML Code"/>
    <w:basedOn w:val="DefaultParagraphFont"/>
    <w:uiPriority w:val="99"/>
    <w:semiHidden/>
    <w:rsid w:val="00470981"/>
    <w:rPr>
      <w:rFonts w:ascii="Consolas" w:hAnsi="Consolas" w:cs="Consolas"/>
      <w:sz w:val="20"/>
      <w:szCs w:val="20"/>
    </w:rPr>
  </w:style>
  <w:style w:type="character" w:styleId="HTMLDefinition">
    <w:name w:val="HTML Definition"/>
    <w:basedOn w:val="DefaultParagraphFont"/>
    <w:uiPriority w:val="99"/>
    <w:semiHidden/>
    <w:rsid w:val="00470981"/>
    <w:rPr>
      <w:i/>
      <w:iCs/>
    </w:rPr>
  </w:style>
  <w:style w:type="character" w:styleId="HTMLKeyboard">
    <w:name w:val="HTML Keyboard"/>
    <w:basedOn w:val="DefaultParagraphFont"/>
    <w:uiPriority w:val="99"/>
    <w:semiHidden/>
    <w:rsid w:val="00470981"/>
    <w:rPr>
      <w:rFonts w:ascii="Consolas" w:hAnsi="Consolas" w:cs="Consolas"/>
      <w:sz w:val="20"/>
      <w:szCs w:val="20"/>
    </w:rPr>
  </w:style>
  <w:style w:type="paragraph" w:styleId="HTMLPreformatted">
    <w:name w:val="HTML Preformatted"/>
    <w:basedOn w:val="Normal"/>
    <w:link w:val="HTMLPreformattedChar"/>
    <w:uiPriority w:val="99"/>
    <w:semiHidden/>
    <w:rsid w:val="00470981"/>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470981"/>
    <w:rPr>
      <w:rFonts w:ascii="Consolas" w:hAnsi="Consolas" w:eastAsiaTheme="minorEastAsia" w:cs="Consolas"/>
      <w:sz w:val="20"/>
      <w:szCs w:val="20"/>
    </w:rPr>
  </w:style>
  <w:style w:type="character" w:styleId="HTMLSample">
    <w:name w:val="HTML Sample"/>
    <w:basedOn w:val="DefaultParagraphFont"/>
    <w:uiPriority w:val="99"/>
    <w:semiHidden/>
    <w:rsid w:val="00470981"/>
    <w:rPr>
      <w:rFonts w:ascii="Consolas" w:hAnsi="Consolas" w:cs="Consolas"/>
      <w:sz w:val="24"/>
      <w:szCs w:val="24"/>
    </w:rPr>
  </w:style>
  <w:style w:type="character" w:styleId="HTMLTypewriter">
    <w:name w:val="HTML Typewriter"/>
    <w:basedOn w:val="DefaultParagraphFont"/>
    <w:uiPriority w:val="99"/>
    <w:semiHidden/>
    <w:rsid w:val="00470981"/>
    <w:rPr>
      <w:rFonts w:ascii="Consolas" w:hAnsi="Consolas" w:cs="Consolas"/>
      <w:sz w:val="20"/>
      <w:szCs w:val="20"/>
    </w:rPr>
  </w:style>
  <w:style w:type="character" w:styleId="HTMLVariable">
    <w:name w:val="HTML Variable"/>
    <w:basedOn w:val="DefaultParagraphFont"/>
    <w:uiPriority w:val="99"/>
    <w:semiHidden/>
    <w:rsid w:val="00470981"/>
    <w:rPr>
      <w:i/>
      <w:iCs/>
    </w:rPr>
  </w:style>
  <w:style w:type="paragraph" w:styleId="Index1">
    <w:name w:val="index 1"/>
    <w:basedOn w:val="Normal"/>
    <w:next w:val="Normal"/>
    <w:autoRedefine/>
    <w:uiPriority w:val="99"/>
    <w:semiHidden/>
    <w:rsid w:val="00470981"/>
    <w:pPr>
      <w:ind w:left="240" w:hanging="240"/>
    </w:pPr>
  </w:style>
  <w:style w:type="paragraph" w:styleId="Index2">
    <w:name w:val="index 2"/>
    <w:basedOn w:val="Normal"/>
    <w:next w:val="Normal"/>
    <w:autoRedefine/>
    <w:uiPriority w:val="99"/>
    <w:semiHidden/>
    <w:rsid w:val="00470981"/>
    <w:pPr>
      <w:ind w:left="480" w:hanging="240"/>
    </w:pPr>
  </w:style>
  <w:style w:type="paragraph" w:styleId="Index3">
    <w:name w:val="index 3"/>
    <w:basedOn w:val="Normal"/>
    <w:next w:val="Normal"/>
    <w:autoRedefine/>
    <w:uiPriority w:val="99"/>
    <w:semiHidden/>
    <w:rsid w:val="00470981"/>
    <w:pPr>
      <w:ind w:left="720" w:hanging="240"/>
    </w:pPr>
  </w:style>
  <w:style w:type="paragraph" w:styleId="Index4">
    <w:name w:val="index 4"/>
    <w:basedOn w:val="Normal"/>
    <w:next w:val="Normal"/>
    <w:autoRedefine/>
    <w:uiPriority w:val="99"/>
    <w:semiHidden/>
    <w:rsid w:val="00470981"/>
    <w:pPr>
      <w:ind w:left="960" w:hanging="240"/>
    </w:pPr>
  </w:style>
  <w:style w:type="paragraph" w:styleId="Index5">
    <w:name w:val="index 5"/>
    <w:basedOn w:val="Normal"/>
    <w:next w:val="Normal"/>
    <w:autoRedefine/>
    <w:uiPriority w:val="99"/>
    <w:semiHidden/>
    <w:rsid w:val="00470981"/>
    <w:pPr>
      <w:ind w:left="1200" w:hanging="240"/>
    </w:pPr>
  </w:style>
  <w:style w:type="paragraph" w:styleId="Index6">
    <w:name w:val="index 6"/>
    <w:basedOn w:val="Normal"/>
    <w:next w:val="Normal"/>
    <w:autoRedefine/>
    <w:uiPriority w:val="99"/>
    <w:semiHidden/>
    <w:rsid w:val="00470981"/>
    <w:pPr>
      <w:ind w:left="1440" w:hanging="240"/>
    </w:pPr>
  </w:style>
  <w:style w:type="paragraph" w:styleId="Index7">
    <w:name w:val="index 7"/>
    <w:basedOn w:val="Normal"/>
    <w:next w:val="Normal"/>
    <w:autoRedefine/>
    <w:uiPriority w:val="99"/>
    <w:semiHidden/>
    <w:rsid w:val="00470981"/>
    <w:pPr>
      <w:ind w:left="1680" w:hanging="240"/>
    </w:pPr>
  </w:style>
  <w:style w:type="paragraph" w:styleId="Index8">
    <w:name w:val="index 8"/>
    <w:basedOn w:val="Normal"/>
    <w:next w:val="Normal"/>
    <w:autoRedefine/>
    <w:uiPriority w:val="99"/>
    <w:semiHidden/>
    <w:rsid w:val="00470981"/>
    <w:pPr>
      <w:ind w:left="1920" w:hanging="240"/>
    </w:pPr>
  </w:style>
  <w:style w:type="paragraph" w:styleId="Index9">
    <w:name w:val="index 9"/>
    <w:basedOn w:val="Normal"/>
    <w:next w:val="Normal"/>
    <w:autoRedefine/>
    <w:uiPriority w:val="99"/>
    <w:semiHidden/>
    <w:rsid w:val="00470981"/>
    <w:pPr>
      <w:ind w:left="2160" w:hanging="240"/>
    </w:pPr>
  </w:style>
  <w:style w:type="paragraph" w:styleId="IndexHeading">
    <w:name w:val="index heading"/>
    <w:basedOn w:val="Normal"/>
    <w:next w:val="Index1"/>
    <w:uiPriority w:val="99"/>
    <w:semiHidden/>
    <w:rsid w:val="00470981"/>
    <w:rPr>
      <w:rFonts w:asciiTheme="majorHAnsi" w:eastAsiaTheme="majorEastAsia" w:hAnsiTheme="majorHAnsi" w:cstheme="majorBidi"/>
      <w:b/>
      <w:bCs/>
    </w:rPr>
  </w:style>
  <w:style w:type="table" w:styleId="LightGrid">
    <w:name w:val="Light Grid"/>
    <w:basedOn w:val="TableNormal"/>
    <w:uiPriority w:val="99"/>
    <w:semiHidden/>
    <w:rsid w:val="00470981"/>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470981"/>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470981"/>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470981"/>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470981"/>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470981"/>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470981"/>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470981"/>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470981"/>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470981"/>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470981"/>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470981"/>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470981"/>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470981"/>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470981"/>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470981"/>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470981"/>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470981"/>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470981"/>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470981"/>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470981"/>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470981"/>
  </w:style>
  <w:style w:type="paragraph" w:styleId="List">
    <w:name w:val="List"/>
    <w:basedOn w:val="Normal"/>
    <w:uiPriority w:val="99"/>
    <w:semiHidden/>
    <w:rsid w:val="00470981"/>
    <w:pPr>
      <w:ind w:left="283" w:hanging="283"/>
      <w:contextualSpacing/>
    </w:pPr>
  </w:style>
  <w:style w:type="paragraph" w:styleId="List2">
    <w:name w:val="List 2"/>
    <w:basedOn w:val="Normal"/>
    <w:uiPriority w:val="99"/>
    <w:semiHidden/>
    <w:rsid w:val="00470981"/>
    <w:pPr>
      <w:ind w:left="566" w:hanging="283"/>
      <w:contextualSpacing/>
    </w:pPr>
  </w:style>
  <w:style w:type="paragraph" w:styleId="List3">
    <w:name w:val="List 3"/>
    <w:basedOn w:val="Normal"/>
    <w:uiPriority w:val="99"/>
    <w:semiHidden/>
    <w:rsid w:val="00470981"/>
    <w:pPr>
      <w:ind w:left="849" w:hanging="283"/>
      <w:contextualSpacing/>
    </w:pPr>
  </w:style>
  <w:style w:type="paragraph" w:styleId="List4">
    <w:name w:val="List 4"/>
    <w:basedOn w:val="Normal"/>
    <w:uiPriority w:val="99"/>
    <w:semiHidden/>
    <w:rsid w:val="00470981"/>
    <w:pPr>
      <w:ind w:left="1132" w:hanging="283"/>
      <w:contextualSpacing/>
    </w:pPr>
  </w:style>
  <w:style w:type="paragraph" w:styleId="List5">
    <w:name w:val="List 5"/>
    <w:basedOn w:val="Normal"/>
    <w:uiPriority w:val="99"/>
    <w:semiHidden/>
    <w:rsid w:val="00470981"/>
    <w:pPr>
      <w:ind w:left="1415" w:hanging="283"/>
      <w:contextualSpacing/>
    </w:pPr>
  </w:style>
  <w:style w:type="paragraph" w:styleId="ListBullet2">
    <w:name w:val="List Bullet 2"/>
    <w:basedOn w:val="Normal"/>
    <w:uiPriority w:val="99"/>
    <w:semiHidden/>
    <w:rsid w:val="00470981"/>
    <w:pPr>
      <w:numPr>
        <w:numId w:val="1"/>
      </w:numPr>
      <w:contextualSpacing/>
    </w:pPr>
  </w:style>
  <w:style w:type="paragraph" w:styleId="ListBullet3">
    <w:name w:val="List Bullet 3"/>
    <w:basedOn w:val="Normal"/>
    <w:uiPriority w:val="99"/>
    <w:semiHidden/>
    <w:rsid w:val="00470981"/>
    <w:pPr>
      <w:numPr>
        <w:numId w:val="2"/>
      </w:numPr>
      <w:contextualSpacing/>
    </w:pPr>
  </w:style>
  <w:style w:type="paragraph" w:styleId="ListBullet4">
    <w:name w:val="List Bullet 4"/>
    <w:basedOn w:val="Normal"/>
    <w:uiPriority w:val="99"/>
    <w:semiHidden/>
    <w:rsid w:val="00470981"/>
    <w:pPr>
      <w:numPr>
        <w:numId w:val="8"/>
      </w:numPr>
      <w:contextualSpacing/>
    </w:pPr>
  </w:style>
  <w:style w:type="paragraph" w:styleId="ListBullet5">
    <w:name w:val="List Bullet 5"/>
    <w:basedOn w:val="Normal"/>
    <w:uiPriority w:val="99"/>
    <w:semiHidden/>
    <w:rsid w:val="00470981"/>
    <w:pPr>
      <w:numPr>
        <w:numId w:val="3"/>
      </w:numPr>
      <w:contextualSpacing/>
    </w:pPr>
  </w:style>
  <w:style w:type="paragraph" w:styleId="ListContinue">
    <w:name w:val="List Continue"/>
    <w:basedOn w:val="Normal"/>
    <w:uiPriority w:val="99"/>
    <w:semiHidden/>
    <w:rsid w:val="00470981"/>
    <w:pPr>
      <w:spacing w:after="120"/>
      <w:ind w:left="283"/>
      <w:contextualSpacing/>
    </w:pPr>
  </w:style>
  <w:style w:type="paragraph" w:styleId="ListContinue2">
    <w:name w:val="List Continue 2"/>
    <w:basedOn w:val="Normal"/>
    <w:uiPriority w:val="99"/>
    <w:semiHidden/>
    <w:rsid w:val="00470981"/>
    <w:pPr>
      <w:spacing w:after="120"/>
      <w:ind w:left="566"/>
      <w:contextualSpacing/>
    </w:pPr>
  </w:style>
  <w:style w:type="paragraph" w:styleId="ListContinue3">
    <w:name w:val="List Continue 3"/>
    <w:basedOn w:val="Normal"/>
    <w:uiPriority w:val="99"/>
    <w:semiHidden/>
    <w:rsid w:val="00470981"/>
    <w:pPr>
      <w:spacing w:after="120"/>
      <w:ind w:left="849"/>
      <w:contextualSpacing/>
    </w:pPr>
  </w:style>
  <w:style w:type="paragraph" w:styleId="ListContinue4">
    <w:name w:val="List Continue 4"/>
    <w:basedOn w:val="Normal"/>
    <w:uiPriority w:val="99"/>
    <w:semiHidden/>
    <w:rsid w:val="00470981"/>
    <w:pPr>
      <w:spacing w:after="120"/>
      <w:ind w:left="1132"/>
      <w:contextualSpacing/>
    </w:pPr>
  </w:style>
  <w:style w:type="paragraph" w:styleId="ListContinue5">
    <w:name w:val="List Continue 5"/>
    <w:basedOn w:val="Normal"/>
    <w:uiPriority w:val="99"/>
    <w:semiHidden/>
    <w:rsid w:val="00470981"/>
    <w:pPr>
      <w:spacing w:after="120"/>
      <w:ind w:left="1415"/>
      <w:contextualSpacing/>
    </w:pPr>
  </w:style>
  <w:style w:type="paragraph" w:styleId="ListNumber">
    <w:name w:val="List Number"/>
    <w:basedOn w:val="Normal"/>
    <w:uiPriority w:val="99"/>
    <w:semiHidden/>
    <w:rsid w:val="00470981"/>
    <w:pPr>
      <w:tabs>
        <w:tab w:val="num" w:pos="360"/>
      </w:tabs>
      <w:ind w:left="360" w:hanging="360"/>
      <w:contextualSpacing/>
    </w:pPr>
  </w:style>
  <w:style w:type="paragraph" w:styleId="ListNumber2">
    <w:name w:val="List Number 2"/>
    <w:basedOn w:val="Normal"/>
    <w:uiPriority w:val="99"/>
    <w:semiHidden/>
    <w:rsid w:val="00470981"/>
    <w:pPr>
      <w:numPr>
        <w:numId w:val="9"/>
      </w:numPr>
      <w:contextualSpacing/>
    </w:pPr>
  </w:style>
  <w:style w:type="paragraph" w:styleId="ListNumber3">
    <w:name w:val="List Number 3"/>
    <w:basedOn w:val="Normal"/>
    <w:uiPriority w:val="99"/>
    <w:semiHidden/>
    <w:rsid w:val="00470981"/>
    <w:pPr>
      <w:numPr>
        <w:numId w:val="10"/>
      </w:numPr>
      <w:contextualSpacing/>
    </w:pPr>
  </w:style>
  <w:style w:type="paragraph" w:styleId="ListNumber4">
    <w:name w:val="List Number 4"/>
    <w:basedOn w:val="Normal"/>
    <w:uiPriority w:val="99"/>
    <w:semiHidden/>
    <w:rsid w:val="00470981"/>
    <w:pPr>
      <w:numPr>
        <w:numId w:val="11"/>
      </w:numPr>
      <w:contextualSpacing/>
    </w:pPr>
  </w:style>
  <w:style w:type="paragraph" w:styleId="ListNumber5">
    <w:name w:val="List Number 5"/>
    <w:basedOn w:val="Normal"/>
    <w:uiPriority w:val="99"/>
    <w:semiHidden/>
    <w:rsid w:val="00470981"/>
    <w:pPr>
      <w:numPr>
        <w:numId w:val="12"/>
      </w:numPr>
      <w:contextualSpacing/>
    </w:pPr>
  </w:style>
  <w:style w:type="paragraph" w:styleId="Macro">
    <w:name w:val="macro"/>
    <w:link w:val="MacroTextChar"/>
    <w:uiPriority w:val="99"/>
    <w:semiHidden/>
    <w:rsid w:val="00470981"/>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
    <w:uiPriority w:val="99"/>
    <w:semiHidden/>
    <w:rsid w:val="00470981"/>
    <w:rPr>
      <w:rFonts w:ascii="Consolas" w:hAnsi="Consolas" w:cs="Consolas"/>
      <w:sz w:val="20"/>
      <w:szCs w:val="20"/>
      <w:lang w:val="en-GB" w:eastAsia="fr-FR"/>
    </w:rPr>
  </w:style>
  <w:style w:type="table" w:styleId="MediumGrid1">
    <w:name w:val="Medium Grid 1"/>
    <w:basedOn w:val="TableNormal"/>
    <w:uiPriority w:val="99"/>
    <w:semiHidden/>
    <w:rsid w:val="00470981"/>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470981"/>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470981"/>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470981"/>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470981"/>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470981"/>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470981"/>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470981"/>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470981"/>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470981"/>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470981"/>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470981"/>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470981"/>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470981"/>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470981"/>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470981"/>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470981"/>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470981"/>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470981"/>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470981"/>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470981"/>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470981"/>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470981"/>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470981"/>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470981"/>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470981"/>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470981"/>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470981"/>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470981"/>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470981"/>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470981"/>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470981"/>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470981"/>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470981"/>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470981"/>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470981"/>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470981"/>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470981"/>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470981"/>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470981"/>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470981"/>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470981"/>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470981"/>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470981"/>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470981"/>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470981"/>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470981"/>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470981"/>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470981"/>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47098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470981"/>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470981"/>
    <w:rPr>
      <w:rFonts w:ascii="Times New Roman" w:hAnsi="Times New Roman" w:cs="Times New Roman"/>
      <w:szCs w:val="24"/>
    </w:rPr>
  </w:style>
  <w:style w:type="paragraph" w:styleId="NormalIndent">
    <w:name w:val="Normal Indent"/>
    <w:basedOn w:val="Normal"/>
    <w:uiPriority w:val="99"/>
    <w:semiHidden/>
    <w:rsid w:val="00470981"/>
    <w:pPr>
      <w:ind w:left="720"/>
    </w:pPr>
  </w:style>
  <w:style w:type="paragraph" w:styleId="NoteHeading">
    <w:name w:val="Note Heading"/>
    <w:basedOn w:val="Normal"/>
    <w:next w:val="Normal"/>
    <w:link w:val="NoteHeadingChar"/>
    <w:uiPriority w:val="99"/>
    <w:semiHidden/>
    <w:rsid w:val="00470981"/>
  </w:style>
  <w:style w:type="character" w:customStyle="1" w:styleId="NoteHeadingChar">
    <w:name w:val="Note Heading Char"/>
    <w:basedOn w:val="DefaultParagraphFont"/>
    <w:link w:val="NoteHeading"/>
    <w:uiPriority w:val="99"/>
    <w:semiHidden/>
    <w:rsid w:val="00470981"/>
    <w:rPr>
      <w:rFonts w:eastAsiaTheme="minorEastAsia"/>
      <w:sz w:val="24"/>
    </w:rPr>
  </w:style>
  <w:style w:type="character" w:styleId="PlaceholderText">
    <w:name w:val="Placeholder Text"/>
    <w:basedOn w:val="DefaultParagraphFont"/>
    <w:uiPriority w:val="99"/>
    <w:semiHidden/>
    <w:rsid w:val="00D16BDF"/>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470981"/>
    <w:rPr>
      <w:rFonts w:ascii="Consolas" w:hAnsi="Consolas" w:cs="Consolas"/>
      <w:sz w:val="21"/>
      <w:szCs w:val="21"/>
    </w:rPr>
  </w:style>
  <w:style w:type="character" w:customStyle="1" w:styleId="PlainTextChar">
    <w:name w:val="Plain Text Char"/>
    <w:basedOn w:val="DefaultParagraphFont"/>
    <w:link w:val="PlainText"/>
    <w:uiPriority w:val="99"/>
    <w:semiHidden/>
    <w:rsid w:val="00470981"/>
    <w:rPr>
      <w:rFonts w:ascii="Consolas" w:hAnsi="Consolas" w:eastAsiaTheme="minorEastAsia" w:cs="Consolas"/>
      <w:sz w:val="21"/>
      <w:szCs w:val="21"/>
    </w:rPr>
  </w:style>
  <w:style w:type="paragraph" w:styleId="Salutation">
    <w:name w:val="Salutation"/>
    <w:basedOn w:val="Normal"/>
    <w:next w:val="Normal"/>
    <w:link w:val="SalutationChar"/>
    <w:uiPriority w:val="99"/>
    <w:semiHidden/>
    <w:rsid w:val="00470981"/>
  </w:style>
  <w:style w:type="character" w:customStyle="1" w:styleId="SalutationChar">
    <w:name w:val="Salutation Char"/>
    <w:basedOn w:val="DefaultParagraphFont"/>
    <w:link w:val="Salutation"/>
    <w:uiPriority w:val="99"/>
    <w:semiHidden/>
    <w:rsid w:val="00470981"/>
    <w:rPr>
      <w:rFonts w:eastAsiaTheme="minorEastAsia"/>
      <w:sz w:val="24"/>
    </w:rPr>
  </w:style>
  <w:style w:type="paragraph" w:styleId="Signature">
    <w:name w:val="Signature"/>
    <w:basedOn w:val="Normal"/>
    <w:link w:val="SignatureChar"/>
    <w:uiPriority w:val="99"/>
    <w:semiHidden/>
    <w:rsid w:val="00470981"/>
    <w:pPr>
      <w:ind w:left="4252"/>
    </w:pPr>
  </w:style>
  <w:style w:type="character" w:customStyle="1" w:styleId="SignatureChar">
    <w:name w:val="Signature Char"/>
    <w:basedOn w:val="DefaultParagraphFont"/>
    <w:link w:val="Signature"/>
    <w:uiPriority w:val="99"/>
    <w:semiHidden/>
    <w:rsid w:val="00470981"/>
    <w:rPr>
      <w:rFonts w:eastAsiaTheme="minorEastAsia"/>
      <w:sz w:val="24"/>
    </w:rPr>
  </w:style>
  <w:style w:type="table" w:styleId="Table3Deffects1">
    <w:name w:val="Table 3D effects 1"/>
    <w:basedOn w:val="TableNormal"/>
    <w:uiPriority w:val="99"/>
    <w:semiHidden/>
    <w:rsid w:val="00470981"/>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70981"/>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70981"/>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70981"/>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70981"/>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70981"/>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70981"/>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70981"/>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70981"/>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70981"/>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70981"/>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70981"/>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70981"/>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70981"/>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70981"/>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70981"/>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70981"/>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470981"/>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70981"/>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70981"/>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70981"/>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70981"/>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70981"/>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70981"/>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70981"/>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70981"/>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70981"/>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70981"/>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70981"/>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70981"/>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70981"/>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70981"/>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70981"/>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470981"/>
    <w:pPr>
      <w:ind w:left="240" w:hanging="240"/>
    </w:pPr>
  </w:style>
  <w:style w:type="paragraph" w:styleId="TableofFigures">
    <w:name w:val="table of figures"/>
    <w:basedOn w:val="Normal"/>
    <w:next w:val="Normal"/>
    <w:uiPriority w:val="99"/>
    <w:semiHidden/>
    <w:rsid w:val="00470981"/>
  </w:style>
  <w:style w:type="table" w:styleId="TableProfessional">
    <w:name w:val="Table Professional"/>
    <w:basedOn w:val="TableNormal"/>
    <w:uiPriority w:val="99"/>
    <w:semiHidden/>
    <w:rsid w:val="00470981"/>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70981"/>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70981"/>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70981"/>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70981"/>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70981"/>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70981"/>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70981"/>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70981"/>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70981"/>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D16BDF"/>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D16BDF"/>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470981"/>
    <w:pPr>
      <w:spacing w:after="100"/>
      <w:ind w:left="1680"/>
    </w:pPr>
  </w:style>
  <w:style w:type="paragraph" w:styleId="TOC9">
    <w:name w:val="toc 9"/>
    <w:basedOn w:val="Normal"/>
    <w:next w:val="Normal"/>
    <w:autoRedefine/>
    <w:uiPriority w:val="99"/>
    <w:semiHidden/>
    <w:rsid w:val="00470981"/>
    <w:pPr>
      <w:spacing w:after="100"/>
      <w:ind w:left="1920"/>
    </w:pPr>
  </w:style>
  <w:style w:type="paragraph" w:customStyle="1" w:styleId="OpiHA0">
    <w:name w:val="Opi_H_A"/>
    <w:basedOn w:val="ECHRHeading1"/>
    <w:next w:val="OpiPara"/>
    <w:uiPriority w:val="41"/>
    <w:qFormat/>
    <w:rsid w:val="00D16BDF"/>
    <w:pPr>
      <w:tabs>
        <w:tab w:val="clear" w:pos="357"/>
      </w:tabs>
      <w:outlineLvl w:val="1"/>
    </w:pPr>
    <w:rPr>
      <w:b/>
    </w:rPr>
  </w:style>
  <w:style w:type="paragraph" w:customStyle="1" w:styleId="OpiHi">
    <w:name w:val="Opi_H_i"/>
    <w:basedOn w:val="ECHRHeading4"/>
    <w:uiPriority w:val="44"/>
    <w:qFormat/>
    <w:rsid w:val="00D16BDF"/>
    <w:pPr>
      <w:ind w:left="1037" w:hanging="357"/>
      <w:outlineLvl w:val="4"/>
    </w:pPr>
    <w:rPr>
      <w:b w:val="0"/>
      <w:i/>
    </w:rPr>
  </w:style>
  <w:style w:type="paragraph" w:customStyle="1" w:styleId="OpiPara">
    <w:name w:val="Opi_Para"/>
    <w:basedOn w:val="ECHRPara"/>
    <w:uiPriority w:val="46"/>
    <w:qFormat/>
    <w:rsid w:val="00D16BDF"/>
  </w:style>
  <w:style w:type="paragraph" w:customStyle="1" w:styleId="OpiParaSub">
    <w:name w:val="Opi_Para_Sub"/>
    <w:basedOn w:val="JuParaSub"/>
    <w:uiPriority w:val="47"/>
    <w:qFormat/>
    <w:rsid w:val="00D16BDF"/>
  </w:style>
  <w:style w:type="paragraph" w:customStyle="1" w:styleId="OpiQuot">
    <w:name w:val="Opi_Quot"/>
    <w:basedOn w:val="ECHRParaQuote"/>
    <w:uiPriority w:val="48"/>
    <w:qFormat/>
    <w:rsid w:val="00D16BDF"/>
  </w:style>
  <w:style w:type="paragraph" w:customStyle="1" w:styleId="OpiQuotSub">
    <w:name w:val="Opi_Quot_Sub"/>
    <w:basedOn w:val="JuQuotSub"/>
    <w:uiPriority w:val="49"/>
    <w:qFormat/>
    <w:rsid w:val="00D16BDF"/>
  </w:style>
  <w:style w:type="paragraph" w:customStyle="1" w:styleId="OpiTranslation">
    <w:name w:val="Opi_Translation"/>
    <w:basedOn w:val="Normal"/>
    <w:next w:val="OpiPara"/>
    <w:uiPriority w:val="40"/>
    <w:qFormat/>
    <w:rsid w:val="00D16BDF"/>
    <w:pPr>
      <w:jc w:val="center"/>
      <w:outlineLvl w:val="0"/>
    </w:pPr>
    <w:rPr>
      <w:i/>
    </w:rPr>
  </w:style>
  <w:style w:type="character" w:customStyle="1" w:styleId="ECHRParaChar">
    <w:name w:val="ECHR_Para Char"/>
    <w:aliases w:val="Ju_Para Char"/>
    <w:link w:val="ECHRPara"/>
    <w:uiPriority w:val="12"/>
    <w:rsid w:val="004E09EE"/>
    <w:rPr>
      <w:rFonts w:eastAsiaTheme="minorEastAsia"/>
      <w:sz w:val="24"/>
      <w:lang w:val="en-GB"/>
    </w:rPr>
  </w:style>
  <w:style w:type="paragraph" w:customStyle="1" w:styleId="JuHeaderLandscape">
    <w:name w:val="Ju_Header_Landscape"/>
    <w:basedOn w:val="ECHRHeader"/>
    <w:uiPriority w:val="4"/>
    <w:qFormat/>
    <w:rsid w:val="00D16BDF"/>
    <w:pPr>
      <w:tabs>
        <w:tab w:val="clear" w:pos="3686"/>
        <w:tab w:val="center" w:pos="6146"/>
        <w:tab w:val="clear" w:pos="7371"/>
        <w:tab w:val="right" w:pos="12293"/>
      </w:tabs>
    </w:pPr>
  </w:style>
  <w:style w:type="paragraph" w:customStyle="1" w:styleId="jupara0">
    <w:name w:val="jupara"/>
    <w:basedOn w:val="Normal"/>
    <w:rsid w:val="000426B4"/>
    <w:pPr>
      <w:ind w:firstLine="284"/>
    </w:pPr>
    <w:rPr>
      <w:rFonts w:ascii="Times New Roman" w:eastAsia="Times New Roman" w:hAnsi="Times New Roman" w:cs="Times New Roman"/>
      <w:szCs w:val="24"/>
      <w:lang w:eastAsia="en-GB"/>
    </w:rPr>
  </w:style>
  <w:style w:type="paragraph" w:customStyle="1" w:styleId="jucase0">
    <w:name w:val="jucase"/>
    <w:basedOn w:val="Normal"/>
    <w:rsid w:val="000426B4"/>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5.xml" /><Relationship Id="rId11" Type="http://schemas.openxmlformats.org/officeDocument/2006/relationships/header" Target="header6.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header" Target="header3.xml" /><Relationship Id="rId9" Type="http://schemas.openxmlformats.org/officeDocument/2006/relationships/header" Target="header4.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4D7DEA-7CE0-4D4A-BA4B-C1D6EA69A7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3780</Words>
  <Characters>18599</Characters>
  <Application>Microsoft Office Word</Application>
  <DocSecurity>0</DocSecurity>
  <Lines>395</Lines>
  <Paragraphs>110</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22269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cp:revision>1</cp:revision>
  <cp:lastPrinted>2019-04-26T09:57:00Z</cp:lastPrinted>
  <dcterms:created xsi:type="dcterms:W3CDTF">2019-06-25T16:07:00Z</dcterms:created>
  <dcterms:modified xsi:type="dcterms:W3CDTF">2019-10-04T09:45:00Z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684570</vt:lpwstr>
  </property>
  <property fmtid="{D5CDD505-2E9C-101B-9397-08002B2CF9AE}" pid="3" name="cstLanguage">
    <vt:i4>2057</vt:i4>
  </property>
  <property fmtid="{D5CDD505-2E9C-101B-9397-08002B2CF9AE}" pid="4" name="RegisteredNo">
    <vt:lpwstr>70520/10</vt:lpwstr>
  </property>
</Properties>
</file>