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16664" w:rsidR="00B82DCC" w:rsidP="00916664" w:rsidRDefault="00B82DCC">
      <w:pPr>
        <w:pStyle w:val="ECHRDecisionBody"/>
        <w:jc w:val="center"/>
        <w:rPr>
          <w:rFonts w:ascii="Times New Roman" w:hAnsi="Times New Roman" w:cs="Times New Roman"/>
        </w:rPr>
      </w:pPr>
    </w:p>
    <w:p w:rsidRPr="00916664" w:rsidR="00023970" w:rsidP="00916664" w:rsidRDefault="00023970">
      <w:pPr>
        <w:jc w:val="center"/>
      </w:pPr>
    </w:p>
    <w:p w:rsidRPr="00916664" w:rsidR="0028276C" w:rsidP="00916664" w:rsidRDefault="0028276C">
      <w:pPr>
        <w:jc w:val="center"/>
      </w:pPr>
    </w:p>
    <w:p w:rsidRPr="00916664" w:rsidR="00023970" w:rsidP="00916664" w:rsidRDefault="00B82DCC">
      <w:pPr>
        <w:pStyle w:val="DecHTitle"/>
        <w:rPr>
          <w:lang w:val="fr-FR"/>
        </w:rPr>
      </w:pPr>
      <w:r w:rsidRPr="00916664">
        <w:rPr>
          <w:lang w:val="fr-FR"/>
        </w:rPr>
        <w:t>DEUXIÈME SECTION</w:t>
      </w:r>
    </w:p>
    <w:p w:rsidRPr="00916664" w:rsidR="00023970" w:rsidP="00916664" w:rsidRDefault="00023970">
      <w:pPr>
        <w:jc w:val="center"/>
      </w:pPr>
    </w:p>
    <w:p w:rsidRPr="00916664" w:rsidR="00023970" w:rsidP="00916664" w:rsidRDefault="00023970">
      <w:pPr>
        <w:jc w:val="center"/>
      </w:pPr>
    </w:p>
    <w:p w:rsidRPr="00916664" w:rsidR="0028276C" w:rsidP="00916664" w:rsidRDefault="0028276C">
      <w:pPr>
        <w:jc w:val="center"/>
      </w:pPr>
    </w:p>
    <w:p w:rsidRPr="00916664" w:rsidR="0028276C" w:rsidP="00916664" w:rsidRDefault="0028276C">
      <w:pPr>
        <w:jc w:val="center"/>
      </w:pPr>
    </w:p>
    <w:p w:rsidRPr="00916664" w:rsidR="0028276C" w:rsidP="00916664" w:rsidRDefault="0028276C">
      <w:pPr>
        <w:jc w:val="center"/>
      </w:pPr>
      <w:bookmarkStart w:name="_GoBack" w:id="0"/>
      <w:bookmarkEnd w:id="0"/>
    </w:p>
    <w:p w:rsidRPr="00916664" w:rsidR="00023970" w:rsidP="00916664" w:rsidRDefault="00023970">
      <w:pPr>
        <w:jc w:val="center"/>
      </w:pPr>
    </w:p>
    <w:p w:rsidRPr="00916664" w:rsidR="00023970" w:rsidP="00916664" w:rsidRDefault="007A534F">
      <w:pPr>
        <w:pStyle w:val="JuPara"/>
        <w:ind w:firstLine="0"/>
        <w:jc w:val="center"/>
        <w:rPr>
          <w:b/>
          <w:lang w:val="fr-FR"/>
        </w:rPr>
      </w:pPr>
      <w:r w:rsidRPr="00916664">
        <w:rPr>
          <w:b/>
          <w:lang w:val="fr-FR"/>
        </w:rPr>
        <w:t xml:space="preserve">AFFAIRE </w:t>
      </w:r>
      <w:r w:rsidRPr="00916664" w:rsidR="0028276C">
        <w:rPr>
          <w:b/>
          <w:lang w:val="fr-FR"/>
        </w:rPr>
        <w:t>ÖNAL c. TURQUIE (N</w:t>
      </w:r>
      <w:r w:rsidRPr="00916664" w:rsidR="0028276C">
        <w:rPr>
          <w:b/>
          <w:vertAlign w:val="superscript"/>
          <w:lang w:val="fr-FR"/>
        </w:rPr>
        <w:t>o</w:t>
      </w:r>
      <w:r w:rsidRPr="00916664" w:rsidR="0028276C">
        <w:rPr>
          <w:b/>
          <w:lang w:val="fr-FR"/>
        </w:rPr>
        <w:t xml:space="preserve"> 2)</w:t>
      </w:r>
    </w:p>
    <w:p w:rsidRPr="00916664" w:rsidR="00023970" w:rsidP="00916664" w:rsidRDefault="00023970">
      <w:pPr>
        <w:jc w:val="center"/>
      </w:pPr>
    </w:p>
    <w:p w:rsidRPr="00916664" w:rsidR="00023970" w:rsidP="00916664" w:rsidRDefault="007A534F">
      <w:pPr>
        <w:pStyle w:val="Title4"/>
        <w:rPr>
          <w:lang w:val="fr-FR"/>
        </w:rPr>
      </w:pPr>
      <w:r w:rsidRPr="00916664">
        <w:rPr>
          <w:lang w:val="fr-FR"/>
        </w:rPr>
        <w:t>(</w:t>
      </w:r>
      <w:r w:rsidRPr="00916664" w:rsidR="00B82DCC">
        <w:rPr>
          <w:lang w:val="fr-FR"/>
        </w:rPr>
        <w:t>Requête n</w:t>
      </w:r>
      <w:r w:rsidRPr="00916664" w:rsidR="00B82DCC">
        <w:rPr>
          <w:vertAlign w:val="superscript"/>
          <w:lang w:val="fr-FR"/>
        </w:rPr>
        <w:t>o</w:t>
      </w:r>
      <w:r w:rsidRPr="00916664">
        <w:rPr>
          <w:lang w:val="fr-FR"/>
        </w:rPr>
        <w:t xml:space="preserve"> </w:t>
      </w:r>
      <w:r w:rsidRPr="00916664" w:rsidR="00B82DCC">
        <w:rPr>
          <w:lang w:val="fr-FR"/>
        </w:rPr>
        <w:t>44982/07</w:t>
      </w:r>
      <w:r w:rsidRPr="00916664">
        <w:rPr>
          <w:lang w:val="fr-FR"/>
        </w:rPr>
        <w:t>)</w:t>
      </w:r>
    </w:p>
    <w:p w:rsidRPr="00916664" w:rsidR="00023970" w:rsidP="00916664" w:rsidRDefault="00023970">
      <w:pPr>
        <w:jc w:val="center"/>
      </w:pPr>
    </w:p>
    <w:p w:rsidRPr="00916664" w:rsidR="00023970" w:rsidP="00916664" w:rsidRDefault="00023970">
      <w:pPr>
        <w:jc w:val="center"/>
      </w:pPr>
    </w:p>
    <w:p w:rsidRPr="00916664" w:rsidR="00023970" w:rsidP="00916664" w:rsidRDefault="00023970">
      <w:pPr>
        <w:jc w:val="center"/>
      </w:pPr>
    </w:p>
    <w:p w:rsidRPr="00916664" w:rsidR="00023970" w:rsidP="00916664" w:rsidRDefault="00023970">
      <w:pPr>
        <w:jc w:val="center"/>
      </w:pPr>
    </w:p>
    <w:p w:rsidRPr="00916664" w:rsidR="00023970" w:rsidP="00916664" w:rsidRDefault="00023970">
      <w:pPr>
        <w:jc w:val="center"/>
      </w:pPr>
    </w:p>
    <w:p w:rsidRPr="00916664" w:rsidR="00023970" w:rsidP="00916664" w:rsidRDefault="007A534F">
      <w:pPr>
        <w:pStyle w:val="ECHRTitleCentre2"/>
        <w:rPr>
          <w:lang w:val="fr-FR"/>
        </w:rPr>
      </w:pPr>
      <w:r w:rsidRPr="00916664">
        <w:rPr>
          <w:lang w:val="fr-FR"/>
        </w:rPr>
        <w:t>ARRÊT</w:t>
      </w:r>
    </w:p>
    <w:p w:rsidRPr="00916664" w:rsidR="0028276C" w:rsidP="00916664" w:rsidRDefault="0028276C">
      <w:pPr>
        <w:jc w:val="center"/>
        <w:rPr>
          <w:i/>
        </w:rPr>
      </w:pPr>
    </w:p>
    <w:p w:rsidRPr="00916664" w:rsidR="0028276C" w:rsidP="00916664" w:rsidRDefault="0028276C">
      <w:pPr>
        <w:jc w:val="center"/>
        <w:rPr>
          <w:i/>
        </w:rPr>
      </w:pPr>
    </w:p>
    <w:p w:rsidRPr="00916664" w:rsidR="0028276C" w:rsidP="00916664" w:rsidRDefault="0028276C">
      <w:pPr>
        <w:jc w:val="center"/>
        <w:rPr>
          <w:i/>
        </w:rPr>
      </w:pPr>
    </w:p>
    <w:p w:rsidRPr="00916664" w:rsidR="0028276C" w:rsidP="00916664" w:rsidRDefault="0028276C">
      <w:pPr>
        <w:jc w:val="center"/>
        <w:rPr>
          <w:i/>
        </w:rPr>
      </w:pPr>
    </w:p>
    <w:p w:rsidRPr="00916664" w:rsidR="00023970" w:rsidP="00916664" w:rsidRDefault="00023970">
      <w:pPr>
        <w:jc w:val="center"/>
      </w:pPr>
    </w:p>
    <w:p w:rsidRPr="00916664" w:rsidR="00023970" w:rsidP="00916664" w:rsidRDefault="007A534F">
      <w:pPr>
        <w:pStyle w:val="ECHRTitleCentre2"/>
        <w:rPr>
          <w:lang w:val="fr-FR"/>
        </w:rPr>
      </w:pPr>
      <w:r w:rsidRPr="00916664">
        <w:rPr>
          <w:lang w:val="fr-FR"/>
        </w:rPr>
        <w:t>STRASBOURG</w:t>
      </w:r>
    </w:p>
    <w:p w:rsidRPr="00916664" w:rsidR="00023970" w:rsidP="00916664" w:rsidRDefault="00023970">
      <w:pPr>
        <w:jc w:val="center"/>
      </w:pPr>
    </w:p>
    <w:p w:rsidRPr="00916664" w:rsidR="00023970" w:rsidP="00916664" w:rsidRDefault="00B82DCC">
      <w:pPr>
        <w:pStyle w:val="ECHRTitleCentre2"/>
        <w:rPr>
          <w:lang w:val="fr-FR"/>
        </w:rPr>
      </w:pPr>
      <w:r w:rsidRPr="00916664">
        <w:rPr>
          <w:lang w:val="fr-FR"/>
        </w:rPr>
        <w:t>2 juillet 2019</w:t>
      </w:r>
    </w:p>
    <w:p w:rsidR="00AD0D26" w:rsidP="00AD0D26" w:rsidRDefault="00AD0D26">
      <w:pPr>
        <w:pStyle w:val="jucase0"/>
        <w:ind w:firstLine="0"/>
        <w:jc w:val="center"/>
        <w:rPr>
          <w:color w:val="FF0000"/>
          <w:sz w:val="28"/>
          <w:szCs w:val="28"/>
          <w:u w:val="single"/>
          <w:lang w:val="fr-FR"/>
        </w:rPr>
      </w:pPr>
      <w:r>
        <w:rPr>
          <w:color w:val="FF0000"/>
          <w:sz w:val="28"/>
          <w:szCs w:val="28"/>
          <w:u w:val="single"/>
          <w:lang w:val="fr-FR"/>
        </w:rPr>
        <w:t>DÉFINITIF</w:t>
      </w:r>
    </w:p>
    <w:p w:rsidR="00AD0D26" w:rsidP="00AD0D26" w:rsidRDefault="00AD0D26">
      <w:pPr>
        <w:pStyle w:val="jupara0"/>
        <w:tabs>
          <w:tab w:val="left" w:pos="3450"/>
        </w:tabs>
        <w:ind w:firstLine="0"/>
        <w:jc w:val="center"/>
        <w:rPr>
          <w:color w:val="FF0000"/>
          <w:sz w:val="28"/>
          <w:szCs w:val="28"/>
          <w:lang w:val="fr-FR"/>
        </w:rPr>
      </w:pPr>
    </w:p>
    <w:p w:rsidR="00AD0D26" w:rsidP="00AD0D26" w:rsidRDefault="00AD0D26">
      <w:pPr>
        <w:pStyle w:val="jupara0"/>
        <w:ind w:firstLine="0"/>
        <w:jc w:val="center"/>
        <w:rPr>
          <w:color w:val="FF0000"/>
          <w:sz w:val="28"/>
          <w:szCs w:val="28"/>
          <w:lang w:val="fr-FR"/>
        </w:rPr>
      </w:pPr>
      <w:r>
        <w:rPr>
          <w:color w:val="FF0000"/>
          <w:sz w:val="28"/>
          <w:szCs w:val="28"/>
          <w:lang w:val="fr-FR"/>
        </w:rPr>
        <w:t>02/10/2019</w:t>
      </w:r>
    </w:p>
    <w:p w:rsidR="00AD0D26" w:rsidP="00AD0D26" w:rsidRDefault="00AD0D26">
      <w:pPr>
        <w:pStyle w:val="jupara0"/>
        <w:ind w:firstLine="0"/>
        <w:jc w:val="center"/>
        <w:rPr>
          <w:u w:val="single"/>
          <w:lang w:val="fr-FR"/>
        </w:rPr>
      </w:pPr>
    </w:p>
    <w:p w:rsidRPr="00916664" w:rsidR="00023970" w:rsidP="00AD0D26" w:rsidRDefault="00AD0D26">
      <w:pPr>
        <w:sectPr w:rsidRPr="00916664" w:rsidR="00023970" w:rsidSect="00023970">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r>
        <w:rPr>
          <w:i/>
          <w:iCs/>
          <w:sz w:val="22"/>
        </w:rPr>
        <w:t>Cet arrêt est devenu définitif en vertu de l’article 44 § 2 de la Convention. Il peut subir des retouches de forme.</w:t>
      </w:r>
    </w:p>
    <w:p w:rsidRPr="00916664" w:rsidR="00023970" w:rsidP="00916664" w:rsidRDefault="007A534F">
      <w:pPr>
        <w:pStyle w:val="JuCase"/>
      </w:pPr>
      <w:r w:rsidRPr="00916664">
        <w:t>En l</w:t>
      </w:r>
      <w:r w:rsidRPr="00916664" w:rsidR="00916664">
        <w:t>’</w:t>
      </w:r>
      <w:r w:rsidRPr="00916664">
        <w:t xml:space="preserve">affaire </w:t>
      </w:r>
      <w:proofErr w:type="spellStart"/>
      <w:r w:rsidRPr="00916664" w:rsidR="00B82DCC">
        <w:t>Önal</w:t>
      </w:r>
      <w:proofErr w:type="spellEnd"/>
      <w:r w:rsidRPr="00916664" w:rsidR="00B82DCC">
        <w:t xml:space="preserve"> c. Turquie</w:t>
      </w:r>
      <w:r w:rsidRPr="00916664" w:rsidR="0028276C">
        <w:t xml:space="preserve"> (N</w:t>
      </w:r>
      <w:r w:rsidRPr="00916664" w:rsidR="0028276C">
        <w:rPr>
          <w:vertAlign w:val="superscript"/>
        </w:rPr>
        <w:t>o</w:t>
      </w:r>
      <w:r w:rsidRPr="00916664" w:rsidR="0028276C">
        <w:t xml:space="preserve"> 2)</w:t>
      </w:r>
      <w:r w:rsidRPr="00916664">
        <w:t>,</w:t>
      </w:r>
    </w:p>
    <w:p w:rsidRPr="00916664" w:rsidR="00023970" w:rsidP="00916664" w:rsidRDefault="007A534F">
      <w:pPr>
        <w:pStyle w:val="JuPara"/>
        <w:rPr>
          <w:lang w:val="fr-FR"/>
        </w:rPr>
      </w:pPr>
      <w:r w:rsidRPr="00916664">
        <w:rPr>
          <w:lang w:val="fr-FR"/>
        </w:rPr>
        <w:t>La Cour européenne des droits de l</w:t>
      </w:r>
      <w:r w:rsidRPr="00916664" w:rsidR="00916664">
        <w:rPr>
          <w:lang w:val="fr-FR"/>
        </w:rPr>
        <w:t>’</w:t>
      </w:r>
      <w:r w:rsidRPr="00916664">
        <w:rPr>
          <w:lang w:val="fr-FR"/>
        </w:rPr>
        <w:t>homme (</w:t>
      </w:r>
      <w:r w:rsidRPr="00916664" w:rsidR="00B82DCC">
        <w:rPr>
          <w:lang w:val="fr-FR"/>
        </w:rPr>
        <w:t>deuxième section</w:t>
      </w:r>
      <w:r w:rsidRPr="00916664">
        <w:rPr>
          <w:lang w:val="fr-FR"/>
        </w:rPr>
        <w:t xml:space="preserve">), siégeant en </w:t>
      </w:r>
      <w:r w:rsidRPr="00916664" w:rsidR="00B82DCC">
        <w:rPr>
          <w:color w:val="000000"/>
          <w:lang w:val="fr-FR"/>
        </w:rPr>
        <w:t>une</w:t>
      </w:r>
      <w:r w:rsidRPr="00916664" w:rsidR="00B82DCC">
        <w:rPr>
          <w:lang w:val="fr-FR"/>
        </w:rPr>
        <w:t xml:space="preserve"> Chambre composée</w:t>
      </w:r>
      <w:r w:rsidRPr="00916664">
        <w:rPr>
          <w:lang w:val="fr-FR"/>
        </w:rPr>
        <w:t xml:space="preserve"> de :</w:t>
      </w:r>
    </w:p>
    <w:p w:rsidRPr="00916664" w:rsidR="00023970" w:rsidP="00916664" w:rsidRDefault="0070349B">
      <w:pPr>
        <w:pStyle w:val="ECHRDecisionBody"/>
        <w:rPr>
          <w:lang w:val="fr-FR"/>
        </w:rPr>
      </w:pPr>
      <w:r w:rsidRPr="00916664">
        <w:rPr>
          <w:lang w:val="fr-FR"/>
        </w:rPr>
        <w:tab/>
        <w:t>Robert Spano,</w:t>
      </w:r>
      <w:r w:rsidRPr="00916664">
        <w:rPr>
          <w:i/>
          <w:lang w:val="fr-FR"/>
        </w:rPr>
        <w:t xml:space="preserve"> président,</w:t>
      </w:r>
      <w:r w:rsidRPr="00916664">
        <w:rPr>
          <w:i/>
          <w:lang w:val="fr-FR"/>
        </w:rPr>
        <w:br/>
      </w:r>
      <w:r w:rsidRPr="00916664">
        <w:rPr>
          <w:lang w:val="fr-FR"/>
        </w:rPr>
        <w:tab/>
        <w:t xml:space="preserve">Marko </w:t>
      </w:r>
      <w:proofErr w:type="spellStart"/>
      <w:r w:rsidRPr="00916664">
        <w:rPr>
          <w:lang w:val="fr-FR"/>
        </w:rPr>
        <w:t>Bošnjak</w:t>
      </w:r>
      <w:proofErr w:type="spellEnd"/>
      <w:r w:rsidRPr="00916664">
        <w:rPr>
          <w:lang w:val="fr-FR"/>
        </w:rPr>
        <w:t>,</w:t>
      </w:r>
      <w:r w:rsidRPr="00916664">
        <w:rPr>
          <w:i/>
          <w:lang w:val="fr-FR"/>
        </w:rPr>
        <w:br/>
      </w:r>
      <w:r w:rsidRPr="00916664">
        <w:rPr>
          <w:lang w:val="fr-FR"/>
        </w:rPr>
        <w:tab/>
      </w:r>
      <w:proofErr w:type="spellStart"/>
      <w:r w:rsidRPr="00916664">
        <w:rPr>
          <w:lang w:val="fr-FR"/>
        </w:rPr>
        <w:t>Işıl</w:t>
      </w:r>
      <w:proofErr w:type="spellEnd"/>
      <w:r w:rsidRPr="00916664">
        <w:rPr>
          <w:lang w:val="fr-FR"/>
        </w:rPr>
        <w:t xml:space="preserve"> </w:t>
      </w:r>
      <w:proofErr w:type="spellStart"/>
      <w:r w:rsidRPr="00916664">
        <w:rPr>
          <w:lang w:val="fr-FR"/>
        </w:rPr>
        <w:t>Karakaş</w:t>
      </w:r>
      <w:proofErr w:type="spellEnd"/>
      <w:r w:rsidRPr="00916664">
        <w:rPr>
          <w:lang w:val="fr-FR"/>
        </w:rPr>
        <w:t>,</w:t>
      </w:r>
      <w:r w:rsidRPr="00916664">
        <w:rPr>
          <w:i/>
          <w:lang w:val="fr-FR"/>
        </w:rPr>
        <w:br/>
      </w:r>
      <w:r w:rsidRPr="00916664">
        <w:rPr>
          <w:lang w:val="fr-FR"/>
        </w:rPr>
        <w:tab/>
        <w:t>Julia Laffranque,</w:t>
      </w:r>
      <w:r w:rsidRPr="00916664">
        <w:rPr>
          <w:i/>
          <w:lang w:val="fr-FR"/>
        </w:rPr>
        <w:br/>
      </w:r>
      <w:r w:rsidRPr="00916664">
        <w:rPr>
          <w:lang w:val="fr-FR"/>
        </w:rPr>
        <w:tab/>
      </w:r>
      <w:proofErr w:type="spellStart"/>
      <w:r w:rsidRPr="00916664">
        <w:rPr>
          <w:lang w:val="fr-FR"/>
        </w:rPr>
        <w:t>Valeriu</w:t>
      </w:r>
      <w:proofErr w:type="spellEnd"/>
      <w:r w:rsidRPr="00916664">
        <w:rPr>
          <w:lang w:val="fr-FR"/>
        </w:rPr>
        <w:t xml:space="preserve"> </w:t>
      </w:r>
      <w:proofErr w:type="spellStart"/>
      <w:r w:rsidRPr="00916664">
        <w:rPr>
          <w:lang w:val="fr-FR"/>
        </w:rPr>
        <w:t>Griţco</w:t>
      </w:r>
      <w:proofErr w:type="spellEnd"/>
      <w:r w:rsidRPr="00916664">
        <w:rPr>
          <w:lang w:val="fr-FR"/>
        </w:rPr>
        <w:t>,</w:t>
      </w:r>
      <w:r w:rsidRPr="00916664">
        <w:rPr>
          <w:i/>
          <w:lang w:val="fr-FR"/>
        </w:rPr>
        <w:br/>
      </w:r>
      <w:r w:rsidRPr="00916664">
        <w:rPr>
          <w:lang w:val="fr-FR"/>
        </w:rPr>
        <w:tab/>
      </w:r>
      <w:proofErr w:type="spellStart"/>
      <w:r w:rsidRPr="00916664">
        <w:rPr>
          <w:lang w:val="fr-FR"/>
        </w:rPr>
        <w:t>Arnfinn</w:t>
      </w:r>
      <w:proofErr w:type="spellEnd"/>
      <w:r w:rsidRPr="00916664">
        <w:rPr>
          <w:lang w:val="fr-FR"/>
        </w:rPr>
        <w:t xml:space="preserve"> </w:t>
      </w:r>
      <w:proofErr w:type="spellStart"/>
      <w:r w:rsidRPr="00916664">
        <w:rPr>
          <w:lang w:val="fr-FR"/>
        </w:rPr>
        <w:t>Bårdsen</w:t>
      </w:r>
      <w:proofErr w:type="spellEnd"/>
      <w:r w:rsidRPr="00916664">
        <w:rPr>
          <w:lang w:val="fr-FR"/>
        </w:rPr>
        <w:t>,</w:t>
      </w:r>
      <w:r w:rsidRPr="00916664">
        <w:rPr>
          <w:i/>
          <w:lang w:val="fr-FR"/>
        </w:rPr>
        <w:br/>
      </w:r>
      <w:r w:rsidRPr="00916664">
        <w:rPr>
          <w:lang w:val="fr-FR"/>
        </w:rPr>
        <w:tab/>
        <w:t>Darian Pavli,</w:t>
      </w:r>
      <w:r w:rsidRPr="00916664">
        <w:rPr>
          <w:i/>
          <w:lang w:val="fr-FR"/>
        </w:rPr>
        <w:t xml:space="preserve"> juges,</w:t>
      </w:r>
      <w:r w:rsidRPr="00916664">
        <w:rPr>
          <w:i/>
          <w:lang w:val="fr-FR"/>
        </w:rPr>
        <w:br/>
      </w:r>
      <w:r w:rsidRPr="00916664" w:rsidR="007A534F">
        <w:rPr>
          <w:lang w:val="fr-FR"/>
        </w:rPr>
        <w:t xml:space="preserve">et de </w:t>
      </w:r>
      <w:r w:rsidRPr="00916664">
        <w:rPr>
          <w:rStyle w:val="JuJudgesChar"/>
          <w:szCs w:val="24"/>
          <w:lang w:val="fr-FR"/>
        </w:rPr>
        <w:t xml:space="preserve">Hasan Bakırcı, </w:t>
      </w:r>
      <w:r w:rsidRPr="00916664">
        <w:rPr>
          <w:i/>
          <w:szCs w:val="24"/>
          <w:lang w:val="fr-FR"/>
        </w:rPr>
        <w:t>greffier adjoint de section</w:t>
      </w:r>
      <w:r w:rsidRPr="00916664" w:rsidR="007A534F">
        <w:rPr>
          <w:lang w:val="fr-FR"/>
        </w:rPr>
        <w:t>,</w:t>
      </w:r>
    </w:p>
    <w:p w:rsidRPr="00916664" w:rsidR="00023970" w:rsidP="00916664" w:rsidRDefault="007A534F">
      <w:pPr>
        <w:pStyle w:val="JuPara"/>
        <w:rPr>
          <w:lang w:val="fr-FR"/>
        </w:rPr>
      </w:pPr>
      <w:r w:rsidRPr="00916664">
        <w:rPr>
          <w:lang w:val="fr-FR"/>
        </w:rPr>
        <w:t xml:space="preserve">Après en avoir délibéré en chambre du conseil le </w:t>
      </w:r>
      <w:r w:rsidRPr="00916664" w:rsidR="00B82DCC">
        <w:rPr>
          <w:szCs w:val="24"/>
          <w:lang w:val="fr-FR"/>
        </w:rPr>
        <w:t>4 juin 2019</w:t>
      </w:r>
      <w:r w:rsidRPr="00916664">
        <w:rPr>
          <w:lang w:val="fr-FR"/>
        </w:rPr>
        <w:t>,</w:t>
      </w:r>
    </w:p>
    <w:p w:rsidRPr="00916664" w:rsidR="00023970" w:rsidP="00916664" w:rsidRDefault="007A534F">
      <w:pPr>
        <w:pStyle w:val="JuPara"/>
        <w:rPr>
          <w:lang w:val="fr-FR"/>
        </w:rPr>
      </w:pPr>
      <w:r w:rsidRPr="00916664">
        <w:rPr>
          <w:lang w:val="fr-FR"/>
        </w:rPr>
        <w:t>Rend l</w:t>
      </w:r>
      <w:r w:rsidRPr="00916664" w:rsidR="00916664">
        <w:rPr>
          <w:lang w:val="fr-FR"/>
        </w:rPr>
        <w:t>’</w:t>
      </w:r>
      <w:r w:rsidRPr="00916664">
        <w:rPr>
          <w:lang w:val="fr-FR"/>
        </w:rPr>
        <w:t>arrêt que voici, adopté à cette date :</w:t>
      </w:r>
    </w:p>
    <w:p w:rsidRPr="00916664" w:rsidR="00B82DCC" w:rsidP="00916664" w:rsidRDefault="00B82DCC">
      <w:pPr>
        <w:pStyle w:val="ECHRTitle1"/>
        <w:rPr>
          <w:lang w:val="fr-FR"/>
        </w:rPr>
      </w:pPr>
      <w:r w:rsidRPr="00916664">
        <w:rPr>
          <w:lang w:val="fr-FR"/>
        </w:rPr>
        <w:t>PROCÉDURE</w:t>
      </w:r>
    </w:p>
    <w:p w:rsidRPr="00916664" w:rsidR="00B82DCC" w:rsidP="00916664" w:rsidRDefault="00B82DCC">
      <w:pPr>
        <w:pStyle w:val="JuPara"/>
        <w:rPr>
          <w:lang w:val="fr-FR"/>
        </w:rPr>
      </w:pPr>
      <w:r w:rsidRPr="00916664">
        <w:rPr>
          <w:lang w:val="fr-FR"/>
        </w:rPr>
        <w:t>1.  À l</w:t>
      </w:r>
      <w:r w:rsidRPr="00916664" w:rsidR="00916664">
        <w:rPr>
          <w:lang w:val="fr-FR"/>
        </w:rPr>
        <w:t>’</w:t>
      </w:r>
      <w:r w:rsidRPr="00916664">
        <w:rPr>
          <w:lang w:val="fr-FR"/>
        </w:rPr>
        <w:t>origine de l</w:t>
      </w:r>
      <w:r w:rsidRPr="00916664" w:rsidR="00916664">
        <w:rPr>
          <w:lang w:val="fr-FR"/>
        </w:rPr>
        <w:t>’</w:t>
      </w:r>
      <w:r w:rsidRPr="00916664">
        <w:rPr>
          <w:lang w:val="fr-FR"/>
        </w:rPr>
        <w:t>affaire se trouve une requête (n</w:t>
      </w:r>
      <w:r w:rsidRPr="00916664">
        <w:rPr>
          <w:vertAlign w:val="superscript"/>
          <w:lang w:val="fr-FR"/>
        </w:rPr>
        <w:t>o</w:t>
      </w:r>
      <w:r w:rsidRPr="00916664">
        <w:rPr>
          <w:lang w:val="fr-FR"/>
        </w:rPr>
        <w:t xml:space="preserve"> 44982/07) dirigée contre la République de Turquie et dont un ressortissant de cet État, M. Ahmet </w:t>
      </w:r>
      <w:proofErr w:type="spellStart"/>
      <w:r w:rsidRPr="00916664">
        <w:rPr>
          <w:lang w:val="fr-FR"/>
        </w:rPr>
        <w:t>Önal</w:t>
      </w:r>
      <w:proofErr w:type="spellEnd"/>
      <w:r w:rsidRPr="00916664">
        <w:rPr>
          <w:lang w:val="fr-FR"/>
        </w:rPr>
        <w:t xml:space="preserve"> (« le requérant »), a saisi la Cour le 28 septembre 2007 en vertu de l</w:t>
      </w:r>
      <w:r w:rsidRPr="00916664" w:rsidR="00916664">
        <w:rPr>
          <w:lang w:val="fr-FR"/>
        </w:rPr>
        <w:t>’</w:t>
      </w:r>
      <w:r w:rsidRPr="00916664">
        <w:rPr>
          <w:lang w:val="fr-FR"/>
        </w:rPr>
        <w:t>article 34 de la Convention de sauvegarde des droits de l</w:t>
      </w:r>
      <w:r w:rsidRPr="00916664" w:rsidR="00916664">
        <w:rPr>
          <w:lang w:val="fr-FR"/>
        </w:rPr>
        <w:t>’</w:t>
      </w:r>
      <w:r w:rsidRPr="00916664">
        <w:rPr>
          <w:lang w:val="fr-FR"/>
        </w:rPr>
        <w:t>homme et des libertés fondamentales (« la Convention »).</w:t>
      </w:r>
    </w:p>
    <w:p w:rsidRPr="00916664" w:rsidR="00B82DCC" w:rsidP="00916664" w:rsidRDefault="00B82DCC">
      <w:pPr>
        <w:pStyle w:val="JuPara"/>
        <w:rPr>
          <w:lang w:val="fr-FR"/>
        </w:rPr>
      </w:pPr>
      <w:r w:rsidRPr="00916664">
        <w:rPr>
          <w:lang w:val="fr-FR"/>
        </w:rPr>
        <w:t>2.  Le requérant a été représenté par M</w:t>
      </w:r>
      <w:r w:rsidRPr="00916664">
        <w:rPr>
          <w:vertAlign w:val="superscript"/>
          <w:lang w:val="fr-FR"/>
        </w:rPr>
        <w:t>e</w:t>
      </w:r>
      <w:r w:rsidRPr="00916664">
        <w:rPr>
          <w:lang w:val="fr-FR"/>
        </w:rPr>
        <w:t xml:space="preserve"> E. </w:t>
      </w:r>
      <w:proofErr w:type="spellStart"/>
      <w:r w:rsidRPr="00916664">
        <w:rPr>
          <w:lang w:val="fr-FR"/>
        </w:rPr>
        <w:t>Aslaner</w:t>
      </w:r>
      <w:proofErr w:type="spellEnd"/>
      <w:r w:rsidRPr="00916664">
        <w:rPr>
          <w:lang w:val="fr-FR"/>
        </w:rPr>
        <w:t>, avocat à Istanbul. Le gouvernement turc (« le Gouvernement ») a été représenté par son agent.</w:t>
      </w:r>
    </w:p>
    <w:p w:rsidRPr="00916664" w:rsidR="00B82DCC" w:rsidP="00916664" w:rsidRDefault="00B82DCC">
      <w:pPr>
        <w:pStyle w:val="JuPara"/>
        <w:rPr>
          <w:lang w:val="fr-FR"/>
        </w:rPr>
      </w:pPr>
      <w:r w:rsidRPr="00916664">
        <w:rPr>
          <w:lang w:val="fr-FR"/>
        </w:rPr>
        <w:t>3.  Le requérant alléguait une atteinte à son droit à la liberté d</w:t>
      </w:r>
      <w:r w:rsidRPr="00916664" w:rsidR="00916664">
        <w:rPr>
          <w:lang w:val="fr-FR"/>
        </w:rPr>
        <w:t>’</w:t>
      </w:r>
      <w:r w:rsidRPr="00916664">
        <w:rPr>
          <w:lang w:val="fr-FR"/>
        </w:rPr>
        <w:t>expression en raison de sa condamnation pénale</w:t>
      </w:r>
      <w:r w:rsidRPr="00916664">
        <w:rPr>
          <w:rFonts w:cstheme="minorHAnsi"/>
          <w:snapToGrid w:val="0"/>
          <w:lang w:val="fr-FR"/>
        </w:rPr>
        <w:t xml:space="preserve"> des chefs d</w:t>
      </w:r>
      <w:r w:rsidRPr="00916664" w:rsidR="00916664">
        <w:rPr>
          <w:rFonts w:cstheme="minorHAnsi"/>
          <w:snapToGrid w:val="0"/>
          <w:lang w:val="fr-FR"/>
        </w:rPr>
        <w:t>’</w:t>
      </w:r>
      <w:r w:rsidRPr="00916664">
        <w:rPr>
          <w:rFonts w:cstheme="minorHAnsi"/>
          <w:snapToGrid w:val="0"/>
          <w:lang w:val="fr-FR"/>
        </w:rPr>
        <w:t>insulte au président de la République, de dénigrement de la République et de dénigrement des forces de sûreté de l</w:t>
      </w:r>
      <w:r w:rsidRPr="00916664" w:rsidR="00916664">
        <w:rPr>
          <w:rFonts w:cstheme="minorHAnsi"/>
          <w:snapToGrid w:val="0"/>
          <w:lang w:val="fr-FR"/>
        </w:rPr>
        <w:t>’</w:t>
      </w:r>
      <w:r w:rsidRPr="00916664">
        <w:rPr>
          <w:rFonts w:cstheme="minorHAnsi"/>
          <w:snapToGrid w:val="0"/>
          <w:lang w:val="fr-FR"/>
        </w:rPr>
        <w:t>État</w:t>
      </w:r>
      <w:r w:rsidRPr="00916664">
        <w:rPr>
          <w:lang w:val="fr-FR"/>
        </w:rPr>
        <w:t>.</w:t>
      </w:r>
    </w:p>
    <w:p w:rsidRPr="00916664" w:rsidR="00B82DCC" w:rsidP="00916664" w:rsidRDefault="00B82DCC">
      <w:pPr>
        <w:pStyle w:val="JuPara"/>
        <w:rPr>
          <w:szCs w:val="24"/>
          <w:lang w:val="fr-FR" w:eastAsia="en-GB"/>
        </w:rPr>
      </w:pPr>
      <w:r w:rsidRPr="00916664">
        <w:rPr>
          <w:lang w:val="fr-FR"/>
        </w:rPr>
        <w:t xml:space="preserve">4.  Par une décision du 8 avril 2014, le grief relatif à la durée de la procédure a été déclaré irrecevable. Le </w:t>
      </w:r>
      <w:r w:rsidRPr="00916664">
        <w:rPr>
          <w:szCs w:val="24"/>
          <w:lang w:val="fr-FR"/>
        </w:rPr>
        <w:t>30 mai 2018</w:t>
      </w:r>
      <w:r w:rsidRPr="00916664">
        <w:rPr>
          <w:lang w:val="fr-FR"/>
        </w:rPr>
        <w:t>, le grief concernant l</w:t>
      </w:r>
      <w:r w:rsidRPr="00916664" w:rsidR="00916664">
        <w:rPr>
          <w:lang w:val="fr-FR"/>
        </w:rPr>
        <w:t>’</w:t>
      </w:r>
      <w:r w:rsidRPr="00916664">
        <w:rPr>
          <w:lang w:val="fr-FR"/>
        </w:rPr>
        <w:t>atteinte alléguée portée au droit du requérant à la liberté d</w:t>
      </w:r>
      <w:r w:rsidRPr="00916664" w:rsidR="00916664">
        <w:rPr>
          <w:lang w:val="fr-FR"/>
        </w:rPr>
        <w:t>’</w:t>
      </w:r>
      <w:r w:rsidRPr="00916664">
        <w:rPr>
          <w:lang w:val="fr-FR"/>
        </w:rPr>
        <w:t>expression a été communiqué au Gouvernement et la requête a été déclarée irrecevable pour le surplus conformément à l</w:t>
      </w:r>
      <w:r w:rsidRPr="00916664" w:rsidR="00916664">
        <w:rPr>
          <w:lang w:val="fr-FR"/>
        </w:rPr>
        <w:t>’</w:t>
      </w:r>
      <w:r w:rsidRPr="00916664">
        <w:rPr>
          <w:lang w:val="fr-FR"/>
        </w:rPr>
        <w:t>article 54 § 3 du règlement de la Cour.</w:t>
      </w:r>
    </w:p>
    <w:p w:rsidRPr="00916664" w:rsidR="00B82DCC" w:rsidP="00916664" w:rsidRDefault="00B82DCC">
      <w:pPr>
        <w:pStyle w:val="ECHRTitle1"/>
        <w:tabs>
          <w:tab w:val="left" w:pos="5387"/>
        </w:tabs>
        <w:rPr>
          <w:lang w:val="fr-FR"/>
        </w:rPr>
      </w:pPr>
      <w:r w:rsidRPr="00916664">
        <w:rPr>
          <w:lang w:val="fr-FR"/>
        </w:rPr>
        <w:t>EN FAIT</w:t>
      </w:r>
    </w:p>
    <w:p w:rsidRPr="00916664" w:rsidR="00B82DCC" w:rsidP="00916664" w:rsidRDefault="00B82DCC">
      <w:pPr>
        <w:pStyle w:val="ECHRHeading1"/>
        <w:ind w:firstLine="0"/>
        <w:rPr>
          <w:lang w:val="fr-FR"/>
        </w:rPr>
      </w:pPr>
      <w:r w:rsidRPr="00916664">
        <w:rPr>
          <w:lang w:val="fr-FR"/>
        </w:rPr>
        <w:t>I.  LES CIRCONSTANCES DE L</w:t>
      </w:r>
      <w:r w:rsidRPr="00916664" w:rsidR="00916664">
        <w:rPr>
          <w:lang w:val="fr-FR"/>
        </w:rPr>
        <w:t>’</w:t>
      </w:r>
      <w:r w:rsidRPr="00916664">
        <w:rPr>
          <w:lang w:val="fr-FR"/>
        </w:rPr>
        <w:t>ESPÈCE</w:t>
      </w:r>
    </w:p>
    <w:p w:rsidRPr="00916664" w:rsidR="00B82DCC" w:rsidP="00916664" w:rsidRDefault="00B82DCC">
      <w:pPr>
        <w:pStyle w:val="JuPara"/>
        <w:rPr>
          <w:lang w:val="fr-FR"/>
        </w:rPr>
      </w:pPr>
      <w:r w:rsidRPr="00916664">
        <w:rPr>
          <w:lang w:val="fr-FR"/>
        </w:rPr>
        <w:t>5.  Le requérant est né en 1956 et réside à Istanbul.</w:t>
      </w:r>
    </w:p>
    <w:p w:rsidRPr="00916664" w:rsidR="00B82DCC" w:rsidP="00916664" w:rsidRDefault="00B82DCC">
      <w:pPr>
        <w:pStyle w:val="JuPara"/>
        <w:rPr>
          <w:snapToGrid w:val="0"/>
          <w:lang w:val="fr-FR"/>
        </w:rPr>
      </w:pPr>
      <w:r w:rsidRPr="00916664">
        <w:rPr>
          <w:lang w:val="fr-FR"/>
        </w:rPr>
        <w:t>6.  En décembre 1999, la maison d</w:t>
      </w:r>
      <w:r w:rsidRPr="00916664" w:rsidR="00916664">
        <w:rPr>
          <w:lang w:val="fr-FR"/>
        </w:rPr>
        <w:t>’</w:t>
      </w:r>
      <w:r w:rsidRPr="00916664">
        <w:rPr>
          <w:lang w:val="fr-FR"/>
        </w:rPr>
        <w:t xml:space="preserve">édition </w:t>
      </w:r>
      <w:proofErr w:type="spellStart"/>
      <w:r w:rsidRPr="00916664">
        <w:rPr>
          <w:lang w:val="fr-FR"/>
        </w:rPr>
        <w:t>Pêrî</w:t>
      </w:r>
      <w:proofErr w:type="spellEnd"/>
      <w:r w:rsidRPr="00916664">
        <w:rPr>
          <w:lang w:val="fr-FR"/>
        </w:rPr>
        <w:t>, dont le requérant était le propriétaire à l</w:t>
      </w:r>
      <w:r w:rsidRPr="00916664" w:rsidR="00916664">
        <w:rPr>
          <w:lang w:val="fr-FR"/>
        </w:rPr>
        <w:t>’</w:t>
      </w:r>
      <w:r w:rsidRPr="00916664">
        <w:rPr>
          <w:lang w:val="fr-FR"/>
        </w:rPr>
        <w:t xml:space="preserve">époque des faits, publia un livre intitulé « </w:t>
      </w:r>
      <w:proofErr w:type="spellStart"/>
      <w:r w:rsidRPr="00916664">
        <w:rPr>
          <w:lang w:val="fr-FR"/>
        </w:rPr>
        <w:t>Teyrê</w:t>
      </w:r>
      <w:proofErr w:type="spellEnd"/>
      <w:r w:rsidRPr="00916664">
        <w:rPr>
          <w:lang w:val="fr-FR"/>
        </w:rPr>
        <w:t xml:space="preserve"> </w:t>
      </w:r>
      <w:proofErr w:type="spellStart"/>
      <w:r w:rsidRPr="00916664">
        <w:rPr>
          <w:lang w:val="fr-FR"/>
        </w:rPr>
        <w:t>Baz</w:t>
      </w:r>
      <w:proofErr w:type="spellEnd"/>
      <w:r w:rsidRPr="00916664">
        <w:rPr>
          <w:lang w:val="fr-FR"/>
        </w:rPr>
        <w:t xml:space="preserve"> [l</w:t>
      </w:r>
      <w:r w:rsidRPr="00916664" w:rsidR="00916664">
        <w:rPr>
          <w:lang w:val="fr-FR"/>
        </w:rPr>
        <w:t>’</w:t>
      </w:r>
      <w:r w:rsidRPr="00916664">
        <w:rPr>
          <w:lang w:val="fr-FR"/>
        </w:rPr>
        <w:t>aigle] ou un homme d</w:t>
      </w:r>
      <w:r w:rsidRPr="00916664" w:rsidR="00916664">
        <w:rPr>
          <w:lang w:val="fr-FR"/>
        </w:rPr>
        <w:t>’</w:t>
      </w:r>
      <w:r w:rsidRPr="00916664">
        <w:rPr>
          <w:lang w:val="fr-FR"/>
        </w:rPr>
        <w:t xml:space="preserve">affaires kurde : </w:t>
      </w:r>
      <w:proofErr w:type="spellStart"/>
      <w:r w:rsidRPr="00916664">
        <w:rPr>
          <w:lang w:val="fr-FR"/>
        </w:rPr>
        <w:t>Hüseyin</w:t>
      </w:r>
      <w:proofErr w:type="spellEnd"/>
      <w:r w:rsidRPr="00916664">
        <w:rPr>
          <w:lang w:val="fr-FR"/>
        </w:rPr>
        <w:t xml:space="preserve"> </w:t>
      </w:r>
      <w:proofErr w:type="spellStart"/>
      <w:r w:rsidRPr="00916664">
        <w:rPr>
          <w:lang w:val="fr-FR"/>
        </w:rPr>
        <w:t>Baybaşin</w:t>
      </w:r>
      <w:proofErr w:type="spellEnd"/>
      <w:r w:rsidRPr="00916664">
        <w:rPr>
          <w:lang w:val="fr-FR"/>
        </w:rPr>
        <w:t xml:space="preserve"> ». Il s</w:t>
      </w:r>
      <w:r w:rsidRPr="00916664" w:rsidR="00916664">
        <w:rPr>
          <w:lang w:val="fr-FR"/>
        </w:rPr>
        <w:t>’</w:t>
      </w:r>
      <w:r w:rsidRPr="00916664">
        <w:rPr>
          <w:lang w:val="fr-FR"/>
        </w:rPr>
        <w:t>agissait de la biographie d</w:t>
      </w:r>
      <w:r w:rsidRPr="00916664" w:rsidR="00916664">
        <w:rPr>
          <w:lang w:val="fr-FR"/>
        </w:rPr>
        <w:t>’</w:t>
      </w:r>
      <w:r w:rsidRPr="00916664">
        <w:rPr>
          <w:lang w:val="fr-FR"/>
        </w:rPr>
        <w:t>un homme d</w:t>
      </w:r>
      <w:r w:rsidRPr="00916664" w:rsidR="00916664">
        <w:rPr>
          <w:lang w:val="fr-FR"/>
        </w:rPr>
        <w:t>’</w:t>
      </w:r>
      <w:r w:rsidRPr="00916664">
        <w:rPr>
          <w:lang w:val="fr-FR"/>
        </w:rPr>
        <w:t>affaires d</w:t>
      </w:r>
      <w:r w:rsidRPr="00916664" w:rsidR="00916664">
        <w:rPr>
          <w:lang w:val="fr-FR"/>
        </w:rPr>
        <w:t>’</w:t>
      </w:r>
      <w:r w:rsidRPr="00916664">
        <w:rPr>
          <w:lang w:val="fr-FR"/>
        </w:rPr>
        <w:t xml:space="preserve">origine kurde, </w:t>
      </w:r>
      <w:proofErr w:type="spellStart"/>
      <w:r w:rsidRPr="00916664">
        <w:rPr>
          <w:lang w:val="fr-FR"/>
        </w:rPr>
        <w:t>Hüseyin</w:t>
      </w:r>
      <w:proofErr w:type="spellEnd"/>
      <w:r w:rsidRPr="00916664">
        <w:rPr>
          <w:lang w:val="fr-FR"/>
        </w:rPr>
        <w:t xml:space="preserve"> </w:t>
      </w:r>
      <w:proofErr w:type="spellStart"/>
      <w:r w:rsidRPr="00916664">
        <w:rPr>
          <w:lang w:val="fr-FR"/>
        </w:rPr>
        <w:t>Baybaşin</w:t>
      </w:r>
      <w:proofErr w:type="spellEnd"/>
      <w:r w:rsidRPr="00916664">
        <w:rPr>
          <w:lang w:val="fr-FR"/>
        </w:rPr>
        <w:t>, accusé de trafic de stupéfiants et d</w:t>
      </w:r>
      <w:r w:rsidRPr="00916664" w:rsidR="00916664">
        <w:rPr>
          <w:lang w:val="fr-FR"/>
        </w:rPr>
        <w:t>’</w:t>
      </w:r>
      <w:r w:rsidRPr="00916664">
        <w:rPr>
          <w:lang w:val="fr-FR"/>
        </w:rPr>
        <w:t>appartenance au PKK (Parti des travailleurs du Kurdistan, une organisation illégale armée). On pouvait y lire, notamment, les péripéties vécues par cette personnalité connue dans les années 1990. L</w:t>
      </w:r>
      <w:r w:rsidRPr="00916664" w:rsidR="00916664">
        <w:rPr>
          <w:lang w:val="fr-FR"/>
        </w:rPr>
        <w:t>’</w:t>
      </w:r>
      <w:r w:rsidRPr="00916664">
        <w:rPr>
          <w:lang w:val="fr-FR"/>
        </w:rPr>
        <w:t xml:space="preserve">ensemble du livre était imprégné des sentiments de mépris de </w:t>
      </w:r>
      <w:proofErr w:type="spellStart"/>
      <w:r w:rsidRPr="00916664">
        <w:rPr>
          <w:lang w:val="fr-FR"/>
        </w:rPr>
        <w:t>Hüseyin</w:t>
      </w:r>
      <w:proofErr w:type="spellEnd"/>
      <w:r w:rsidRPr="00916664">
        <w:rPr>
          <w:lang w:val="fr-FR"/>
        </w:rPr>
        <w:t xml:space="preserve"> </w:t>
      </w:r>
      <w:proofErr w:type="spellStart"/>
      <w:r w:rsidRPr="00916664">
        <w:rPr>
          <w:lang w:val="fr-FR"/>
        </w:rPr>
        <w:t>Baybaşin</w:t>
      </w:r>
      <w:proofErr w:type="spellEnd"/>
      <w:r w:rsidRPr="00916664">
        <w:rPr>
          <w:lang w:val="fr-FR"/>
        </w:rPr>
        <w:t xml:space="preserve"> envers l</w:t>
      </w:r>
      <w:r w:rsidRPr="00916664" w:rsidR="00916664">
        <w:rPr>
          <w:lang w:val="fr-FR"/>
        </w:rPr>
        <w:t>’</w:t>
      </w:r>
      <w:r w:rsidRPr="00916664">
        <w:rPr>
          <w:lang w:val="fr-FR"/>
        </w:rPr>
        <w:t xml:space="preserve">État turc et de sa sympathie pour la cause kurde en Turquie (voir, pour plus de détails sur le contenu du livre, </w:t>
      </w:r>
      <w:proofErr w:type="spellStart"/>
      <w:r w:rsidRPr="00916664">
        <w:rPr>
          <w:i/>
          <w:lang w:val="fr-FR"/>
        </w:rPr>
        <w:t>Önal</w:t>
      </w:r>
      <w:proofErr w:type="spellEnd"/>
      <w:r w:rsidRPr="00916664">
        <w:rPr>
          <w:i/>
          <w:lang w:val="fr-FR"/>
        </w:rPr>
        <w:t xml:space="preserve"> c. Turquie</w:t>
      </w:r>
      <w:r w:rsidRPr="00916664">
        <w:rPr>
          <w:lang w:val="fr-FR"/>
        </w:rPr>
        <w:t>, n</w:t>
      </w:r>
      <w:r w:rsidRPr="00916664">
        <w:rPr>
          <w:rFonts w:cs="Times New Roman"/>
          <w:vertAlign w:val="superscript"/>
          <w:lang w:val="fr-FR"/>
        </w:rPr>
        <w:t>os</w:t>
      </w:r>
      <w:r w:rsidRPr="00916664">
        <w:rPr>
          <w:lang w:val="fr-FR"/>
        </w:rPr>
        <w:t xml:space="preserve"> 41445/04 et 41453/04</w:t>
      </w:r>
      <w:r w:rsidRPr="00916664">
        <w:rPr>
          <w:snapToGrid w:val="0"/>
          <w:lang w:val="fr-FR"/>
        </w:rPr>
        <w:t xml:space="preserve">, § 6, 2 </w:t>
      </w:r>
      <w:r w:rsidRPr="00916664">
        <w:rPr>
          <w:lang w:val="fr-FR"/>
        </w:rPr>
        <w:t>octobre</w:t>
      </w:r>
      <w:r w:rsidRPr="00916664">
        <w:rPr>
          <w:snapToGrid w:val="0"/>
          <w:lang w:val="fr-FR"/>
        </w:rPr>
        <w:t xml:space="preserve"> 2012)</w:t>
      </w:r>
    </w:p>
    <w:p w:rsidRPr="00916664" w:rsidR="00B82DCC" w:rsidP="00916664" w:rsidRDefault="00B82DCC">
      <w:pPr>
        <w:pStyle w:val="JuPara"/>
        <w:rPr>
          <w:rFonts w:cstheme="minorHAnsi"/>
          <w:snapToGrid w:val="0"/>
          <w:lang w:val="fr-FR"/>
        </w:rPr>
      </w:pPr>
      <w:r w:rsidRPr="00916664">
        <w:rPr>
          <w:snapToGrid w:val="0"/>
          <w:lang w:val="fr-FR"/>
        </w:rPr>
        <w:t>7.  Par un acte d</w:t>
      </w:r>
      <w:r w:rsidRPr="00916664" w:rsidR="00916664">
        <w:rPr>
          <w:snapToGrid w:val="0"/>
          <w:lang w:val="fr-FR"/>
        </w:rPr>
        <w:t>’</w:t>
      </w:r>
      <w:r w:rsidRPr="00916664">
        <w:rPr>
          <w:snapToGrid w:val="0"/>
          <w:lang w:val="fr-FR"/>
        </w:rPr>
        <w:t xml:space="preserve">accusation du 22 mars 2000, le procureur de la République de </w:t>
      </w:r>
      <w:proofErr w:type="spellStart"/>
      <w:r w:rsidRPr="00916664">
        <w:rPr>
          <w:snapToGrid w:val="0"/>
          <w:lang w:val="fr-FR"/>
        </w:rPr>
        <w:t>Beyo</w:t>
      </w:r>
      <w:r w:rsidRPr="00916664">
        <w:rPr>
          <w:rFonts w:cstheme="minorHAnsi"/>
          <w:snapToGrid w:val="0"/>
          <w:lang w:val="fr-FR"/>
        </w:rPr>
        <w:t>ğlu</w:t>
      </w:r>
      <w:proofErr w:type="spellEnd"/>
      <w:r w:rsidRPr="00916664">
        <w:rPr>
          <w:rFonts w:cstheme="minorHAnsi"/>
          <w:snapToGrid w:val="0"/>
          <w:lang w:val="fr-FR"/>
        </w:rPr>
        <w:t xml:space="preserve"> inculpa le requérant des chefs d</w:t>
      </w:r>
      <w:r w:rsidRPr="00916664" w:rsidR="00916664">
        <w:rPr>
          <w:rFonts w:cstheme="minorHAnsi"/>
          <w:snapToGrid w:val="0"/>
          <w:lang w:val="fr-FR"/>
        </w:rPr>
        <w:t>’</w:t>
      </w:r>
      <w:r w:rsidRPr="00916664">
        <w:rPr>
          <w:rFonts w:cstheme="minorHAnsi"/>
          <w:snapToGrid w:val="0"/>
          <w:lang w:val="fr-FR"/>
        </w:rPr>
        <w:t>insulte au président de la République, de dénigrement de la République et de dénigrement des forces de sûreté de l</w:t>
      </w:r>
      <w:r w:rsidRPr="00916664" w:rsidR="00916664">
        <w:rPr>
          <w:rFonts w:cstheme="minorHAnsi"/>
          <w:snapToGrid w:val="0"/>
          <w:lang w:val="fr-FR"/>
        </w:rPr>
        <w:t>’</w:t>
      </w:r>
      <w:r w:rsidRPr="00916664">
        <w:rPr>
          <w:rFonts w:cstheme="minorHAnsi"/>
          <w:snapToGrid w:val="0"/>
          <w:lang w:val="fr-FR"/>
        </w:rPr>
        <w:t>État en raison du contenu du livre en question. Il requit la condamnation de l</w:t>
      </w:r>
      <w:r w:rsidRPr="00916664" w:rsidR="00916664">
        <w:rPr>
          <w:rFonts w:cstheme="minorHAnsi"/>
          <w:snapToGrid w:val="0"/>
          <w:lang w:val="fr-FR"/>
        </w:rPr>
        <w:t>’</w:t>
      </w:r>
      <w:r w:rsidRPr="00916664">
        <w:rPr>
          <w:rFonts w:cstheme="minorHAnsi"/>
          <w:snapToGrid w:val="0"/>
          <w:lang w:val="fr-FR"/>
        </w:rPr>
        <w:t>intéressé en application des articles 158 § 1 et 159 § 1 de l</w:t>
      </w:r>
      <w:r w:rsidRPr="00916664" w:rsidR="00916664">
        <w:rPr>
          <w:rFonts w:cstheme="minorHAnsi"/>
          <w:snapToGrid w:val="0"/>
          <w:lang w:val="fr-FR"/>
        </w:rPr>
        <w:t>’</w:t>
      </w:r>
      <w:r w:rsidRPr="00916664">
        <w:rPr>
          <w:rFonts w:cstheme="minorHAnsi"/>
          <w:snapToGrid w:val="0"/>
          <w:lang w:val="fr-FR"/>
        </w:rPr>
        <w:t>ancien code pénal (CP), qui était en vigueur à l</w:t>
      </w:r>
      <w:r w:rsidRPr="00916664" w:rsidR="00916664">
        <w:rPr>
          <w:rFonts w:cstheme="minorHAnsi"/>
          <w:snapToGrid w:val="0"/>
          <w:lang w:val="fr-FR"/>
        </w:rPr>
        <w:t>’</w:t>
      </w:r>
      <w:r w:rsidRPr="00916664">
        <w:rPr>
          <w:rFonts w:cstheme="minorHAnsi"/>
          <w:snapToGrid w:val="0"/>
          <w:lang w:val="fr-FR"/>
        </w:rPr>
        <w:t>époque des faits.</w:t>
      </w:r>
    </w:p>
    <w:p w:rsidRPr="00916664" w:rsidR="00B82DCC" w:rsidP="00916664" w:rsidRDefault="00B82DCC">
      <w:pPr>
        <w:pStyle w:val="JuPara"/>
        <w:rPr>
          <w:rFonts w:cstheme="minorHAnsi"/>
          <w:snapToGrid w:val="0"/>
          <w:lang w:val="fr-FR"/>
        </w:rPr>
      </w:pPr>
      <w:r w:rsidRPr="00916664">
        <w:rPr>
          <w:rFonts w:cstheme="minorHAnsi"/>
          <w:snapToGrid w:val="0"/>
          <w:lang w:val="fr-FR"/>
        </w:rPr>
        <w:t>8.  Par un arrêt du 7 février 2006, la cour d</w:t>
      </w:r>
      <w:r w:rsidRPr="00916664" w:rsidR="00916664">
        <w:rPr>
          <w:rFonts w:cstheme="minorHAnsi"/>
          <w:snapToGrid w:val="0"/>
          <w:lang w:val="fr-FR"/>
        </w:rPr>
        <w:t>’</w:t>
      </w:r>
      <w:r w:rsidRPr="00916664">
        <w:rPr>
          <w:rFonts w:cstheme="minorHAnsi"/>
          <w:snapToGrid w:val="0"/>
          <w:lang w:val="fr-FR"/>
        </w:rPr>
        <w:t>assises de</w:t>
      </w:r>
      <w:r w:rsidRPr="00916664">
        <w:rPr>
          <w:snapToGrid w:val="0"/>
          <w:lang w:val="fr-FR"/>
        </w:rPr>
        <w:t xml:space="preserve"> </w:t>
      </w:r>
      <w:proofErr w:type="spellStart"/>
      <w:r w:rsidRPr="00916664">
        <w:rPr>
          <w:snapToGrid w:val="0"/>
          <w:lang w:val="fr-FR"/>
        </w:rPr>
        <w:t>Beyo</w:t>
      </w:r>
      <w:r w:rsidRPr="00916664">
        <w:rPr>
          <w:rFonts w:cstheme="minorHAnsi"/>
          <w:snapToGrid w:val="0"/>
          <w:lang w:val="fr-FR"/>
        </w:rPr>
        <w:t>ğlu</w:t>
      </w:r>
      <w:proofErr w:type="spellEnd"/>
      <w:r w:rsidRPr="00916664">
        <w:rPr>
          <w:rFonts w:cstheme="minorHAnsi"/>
          <w:snapToGrid w:val="0"/>
          <w:lang w:val="fr-FR"/>
        </w:rPr>
        <w:t xml:space="preserve"> (« la cour d</w:t>
      </w:r>
      <w:r w:rsidRPr="00916664" w:rsidR="00916664">
        <w:rPr>
          <w:rFonts w:cstheme="minorHAnsi"/>
          <w:snapToGrid w:val="0"/>
          <w:lang w:val="fr-FR"/>
        </w:rPr>
        <w:t>’</w:t>
      </w:r>
      <w:r w:rsidRPr="00916664">
        <w:rPr>
          <w:rFonts w:cstheme="minorHAnsi"/>
          <w:snapToGrid w:val="0"/>
          <w:lang w:val="fr-FR"/>
        </w:rPr>
        <w:t>assises ») reconnut le requérant coupable des infractions reprochées et le condamna au total à une amende judiciaire de 1 690 livres turques (soit 1 065,51 euros à l</w:t>
      </w:r>
      <w:r w:rsidRPr="00916664" w:rsidR="00916664">
        <w:rPr>
          <w:rFonts w:cstheme="minorHAnsi"/>
          <w:snapToGrid w:val="0"/>
          <w:lang w:val="fr-FR"/>
        </w:rPr>
        <w:t>’</w:t>
      </w:r>
      <w:r w:rsidRPr="00916664">
        <w:rPr>
          <w:rFonts w:cstheme="minorHAnsi"/>
          <w:snapToGrid w:val="0"/>
          <w:lang w:val="fr-FR"/>
        </w:rPr>
        <w:t>époque des faits) en application des articles 158 § 1 et 159 § 1 du CP, jugés plus favorables à l</w:t>
      </w:r>
      <w:r w:rsidRPr="00916664" w:rsidR="00916664">
        <w:rPr>
          <w:rFonts w:cstheme="minorHAnsi"/>
          <w:snapToGrid w:val="0"/>
          <w:lang w:val="fr-FR"/>
        </w:rPr>
        <w:t>’</w:t>
      </w:r>
      <w:r w:rsidRPr="00916664">
        <w:rPr>
          <w:rFonts w:cstheme="minorHAnsi"/>
          <w:snapToGrid w:val="0"/>
          <w:lang w:val="fr-FR"/>
        </w:rPr>
        <w:t>intéressé que les dispositions du nouveau code pénal (NCP), qui était entré en vigueur le 1</w:t>
      </w:r>
      <w:r w:rsidRPr="00916664">
        <w:rPr>
          <w:rFonts w:cstheme="minorHAnsi"/>
          <w:snapToGrid w:val="0"/>
          <w:vertAlign w:val="superscript"/>
          <w:lang w:val="fr-FR"/>
        </w:rPr>
        <w:t>er</w:t>
      </w:r>
      <w:r w:rsidRPr="00916664">
        <w:rPr>
          <w:rFonts w:cstheme="minorHAnsi"/>
          <w:snapToGrid w:val="0"/>
          <w:lang w:val="fr-FR"/>
        </w:rPr>
        <w:t xml:space="preserve"> juin 2005.</w:t>
      </w:r>
    </w:p>
    <w:p w:rsidRPr="00916664" w:rsidR="00B82DCC" w:rsidP="00916664" w:rsidRDefault="00B82DCC">
      <w:pPr>
        <w:pStyle w:val="JuPara"/>
        <w:rPr>
          <w:rFonts w:cstheme="minorHAnsi"/>
          <w:snapToGrid w:val="0"/>
          <w:lang w:val="fr-FR"/>
        </w:rPr>
      </w:pPr>
      <w:r w:rsidRPr="00916664">
        <w:rPr>
          <w:rFonts w:cstheme="minorHAnsi"/>
          <w:snapToGrid w:val="0"/>
          <w:lang w:val="fr-FR"/>
        </w:rPr>
        <w:t>Dans la motivation de sa décision, la cour d</w:t>
      </w:r>
      <w:r w:rsidRPr="00916664" w:rsidR="00916664">
        <w:rPr>
          <w:rFonts w:cstheme="minorHAnsi"/>
          <w:snapToGrid w:val="0"/>
          <w:lang w:val="fr-FR"/>
        </w:rPr>
        <w:t>’</w:t>
      </w:r>
      <w:r w:rsidRPr="00916664">
        <w:rPr>
          <w:rFonts w:cstheme="minorHAnsi"/>
          <w:snapToGrid w:val="0"/>
          <w:lang w:val="fr-FR"/>
        </w:rPr>
        <w:t>assises considéra que certains passages du livre dépassaient les limites de la critique, dénigraient l</w:t>
      </w:r>
      <w:r w:rsidRPr="00916664" w:rsidR="00916664">
        <w:rPr>
          <w:rFonts w:cstheme="minorHAnsi"/>
          <w:snapToGrid w:val="0"/>
          <w:lang w:val="fr-FR"/>
        </w:rPr>
        <w:t>’</w:t>
      </w:r>
      <w:r w:rsidRPr="00916664">
        <w:rPr>
          <w:rFonts w:cstheme="minorHAnsi"/>
          <w:snapToGrid w:val="0"/>
          <w:lang w:val="fr-FR"/>
        </w:rPr>
        <w:t>État – qui, présenté comme agissant comme une mafia et comme dirigeant des groupes mafieux, était qualifié de mafieux – et constituaient ainsi l</w:t>
      </w:r>
      <w:r w:rsidRPr="00916664" w:rsidR="00916664">
        <w:rPr>
          <w:rFonts w:cstheme="minorHAnsi"/>
          <w:snapToGrid w:val="0"/>
          <w:lang w:val="fr-FR"/>
        </w:rPr>
        <w:t>’</w:t>
      </w:r>
      <w:r w:rsidRPr="00916664">
        <w:rPr>
          <w:rFonts w:cstheme="minorHAnsi"/>
          <w:snapToGrid w:val="0"/>
          <w:lang w:val="fr-FR"/>
        </w:rPr>
        <w:t>infraction de dénigrement de la République. Elle retint les passages suivants à l</w:t>
      </w:r>
      <w:r w:rsidRPr="00916664" w:rsidR="00916664">
        <w:rPr>
          <w:rFonts w:cstheme="minorHAnsi"/>
          <w:snapToGrid w:val="0"/>
          <w:lang w:val="fr-FR"/>
        </w:rPr>
        <w:t>’</w:t>
      </w:r>
      <w:r w:rsidRPr="00916664">
        <w:rPr>
          <w:rFonts w:cstheme="minorHAnsi"/>
          <w:snapToGrid w:val="0"/>
          <w:lang w:val="fr-FR"/>
        </w:rPr>
        <w:t>appui de cette conclusion :</w:t>
      </w:r>
    </w:p>
    <w:p w:rsidRPr="00916664" w:rsidR="00B82DCC" w:rsidP="00916664" w:rsidRDefault="00B82DCC">
      <w:pPr>
        <w:pStyle w:val="ECHRParaQuote"/>
        <w:rPr>
          <w:snapToGrid w:val="0"/>
          <w:lang w:val="fr-FR"/>
        </w:rPr>
      </w:pPr>
      <w:r w:rsidRPr="00916664">
        <w:rPr>
          <w:snapToGrid w:val="0"/>
          <w:lang w:val="fr-FR"/>
        </w:rPr>
        <w:t>« Ne savais-je pas de quelle cruauté était l</w:t>
      </w:r>
      <w:r w:rsidRPr="00916664" w:rsidR="00916664">
        <w:rPr>
          <w:snapToGrid w:val="0"/>
          <w:lang w:val="fr-FR"/>
        </w:rPr>
        <w:t>’</w:t>
      </w:r>
      <w:r w:rsidRPr="00916664">
        <w:rPr>
          <w:snapToGrid w:val="0"/>
          <w:lang w:val="fr-FR"/>
        </w:rPr>
        <w:t>État, comment ils massacraient les Kurdes qu</w:t>
      </w:r>
      <w:r w:rsidRPr="00916664" w:rsidR="00916664">
        <w:rPr>
          <w:snapToGrid w:val="0"/>
          <w:lang w:val="fr-FR"/>
        </w:rPr>
        <w:t>’</w:t>
      </w:r>
      <w:r w:rsidRPr="00916664">
        <w:rPr>
          <w:snapToGrid w:val="0"/>
          <w:lang w:val="fr-FR"/>
        </w:rPr>
        <w:t>ils croisaient et ensuite fuyaient en laissant les corps sur les chemins ? »</w:t>
      </w:r>
    </w:p>
    <w:p w:rsidRPr="00916664" w:rsidR="00B82DCC" w:rsidP="00916664" w:rsidRDefault="00B82DCC">
      <w:pPr>
        <w:pStyle w:val="ECHRParaQuote"/>
        <w:rPr>
          <w:snapToGrid w:val="0"/>
          <w:lang w:val="fr-FR"/>
        </w:rPr>
      </w:pPr>
      <w:r w:rsidRPr="00916664">
        <w:rPr>
          <w:snapToGrid w:val="0"/>
          <w:lang w:val="fr-FR"/>
        </w:rPr>
        <w:t>«  Aujourd</w:t>
      </w:r>
      <w:r w:rsidRPr="00916664" w:rsidR="00916664">
        <w:rPr>
          <w:snapToGrid w:val="0"/>
          <w:lang w:val="fr-FR"/>
        </w:rPr>
        <w:t>’</w:t>
      </w:r>
      <w:r w:rsidRPr="00916664">
        <w:rPr>
          <w:snapToGrid w:val="0"/>
          <w:lang w:val="fr-FR"/>
        </w:rPr>
        <w:t>hui, ceux qui commettent des crimes pour l</w:t>
      </w:r>
      <w:r w:rsidRPr="00916664" w:rsidR="00916664">
        <w:rPr>
          <w:snapToGrid w:val="0"/>
          <w:lang w:val="fr-FR"/>
        </w:rPr>
        <w:t>’</w:t>
      </w:r>
      <w:r w:rsidRPr="00916664">
        <w:rPr>
          <w:snapToGrid w:val="0"/>
          <w:lang w:val="fr-FR"/>
        </w:rPr>
        <w:t>argent servent l</w:t>
      </w:r>
      <w:r w:rsidRPr="00916664" w:rsidR="00916664">
        <w:rPr>
          <w:snapToGrid w:val="0"/>
          <w:lang w:val="fr-FR"/>
        </w:rPr>
        <w:t>’</w:t>
      </w:r>
      <w:r w:rsidRPr="00916664">
        <w:rPr>
          <w:snapToGrid w:val="0"/>
          <w:lang w:val="fr-FR"/>
        </w:rPr>
        <w:t>État turc »</w:t>
      </w:r>
    </w:p>
    <w:p w:rsidRPr="00916664" w:rsidR="00B82DCC" w:rsidP="00916664" w:rsidRDefault="00B82DCC">
      <w:pPr>
        <w:pStyle w:val="ECHRParaQuote"/>
        <w:rPr>
          <w:snapToGrid w:val="0"/>
          <w:lang w:val="fr-FR"/>
        </w:rPr>
      </w:pPr>
      <w:r w:rsidRPr="00916664">
        <w:rPr>
          <w:snapToGrid w:val="0"/>
          <w:lang w:val="fr-FR"/>
        </w:rPr>
        <w:t>« La civilisation [minable] a fermé les yeux sur l</w:t>
      </w:r>
      <w:r w:rsidRPr="00916664" w:rsidR="00916664">
        <w:rPr>
          <w:snapToGrid w:val="0"/>
          <w:lang w:val="fr-FR"/>
        </w:rPr>
        <w:t>’</w:t>
      </w:r>
      <w:r w:rsidRPr="00916664">
        <w:rPr>
          <w:snapToGrid w:val="0"/>
          <w:lang w:val="fr-FR"/>
        </w:rPr>
        <w:t>État turc, qui nous agressait et commettait des crimes contre l</w:t>
      </w:r>
      <w:r w:rsidRPr="00916664" w:rsidR="00916664">
        <w:rPr>
          <w:snapToGrid w:val="0"/>
          <w:lang w:val="fr-FR"/>
        </w:rPr>
        <w:t>’</w:t>
      </w:r>
      <w:r w:rsidRPr="00916664">
        <w:rPr>
          <w:snapToGrid w:val="0"/>
          <w:lang w:val="fr-FR"/>
        </w:rPr>
        <w:t>humanité »</w:t>
      </w:r>
    </w:p>
    <w:p w:rsidRPr="00916664" w:rsidR="00B82DCC" w:rsidP="00916664" w:rsidRDefault="00B82DCC">
      <w:pPr>
        <w:pStyle w:val="ECHRParaQuote"/>
        <w:rPr>
          <w:snapToGrid w:val="0"/>
          <w:lang w:val="fr-FR"/>
        </w:rPr>
      </w:pPr>
      <w:r w:rsidRPr="00916664">
        <w:rPr>
          <w:snapToGrid w:val="0"/>
          <w:lang w:val="fr-FR"/>
        </w:rPr>
        <w:t>« L</w:t>
      </w:r>
      <w:r w:rsidRPr="00916664" w:rsidR="00916664">
        <w:rPr>
          <w:snapToGrid w:val="0"/>
          <w:lang w:val="fr-FR"/>
        </w:rPr>
        <w:t>’</w:t>
      </w:r>
      <w:r w:rsidRPr="00916664">
        <w:rPr>
          <w:snapToGrid w:val="0"/>
          <w:lang w:val="fr-FR"/>
        </w:rPr>
        <w:t>État turc mafieux et ses collaborateurs »</w:t>
      </w:r>
    </w:p>
    <w:p w:rsidRPr="00916664" w:rsidR="00B82DCC" w:rsidP="00916664" w:rsidRDefault="00B82DCC">
      <w:pPr>
        <w:pStyle w:val="ECHRParaQuote"/>
        <w:rPr>
          <w:snapToGrid w:val="0"/>
          <w:lang w:val="fr-FR"/>
        </w:rPr>
      </w:pPr>
      <w:r w:rsidRPr="00916664">
        <w:rPr>
          <w:snapToGrid w:val="0"/>
          <w:lang w:val="fr-FR"/>
        </w:rPr>
        <w:t>« En Turquie, l</w:t>
      </w:r>
      <w:r w:rsidRPr="00916664" w:rsidR="00916664">
        <w:rPr>
          <w:snapToGrid w:val="0"/>
          <w:lang w:val="fr-FR"/>
        </w:rPr>
        <w:t>’</w:t>
      </w:r>
      <w:r w:rsidRPr="00916664">
        <w:rPr>
          <w:snapToGrid w:val="0"/>
          <w:lang w:val="fr-FR"/>
        </w:rPr>
        <w:t>État n</w:t>
      </w:r>
      <w:r w:rsidRPr="00916664" w:rsidR="00916664">
        <w:rPr>
          <w:snapToGrid w:val="0"/>
          <w:lang w:val="fr-FR"/>
        </w:rPr>
        <w:t>’</w:t>
      </w:r>
      <w:r w:rsidRPr="00916664">
        <w:rPr>
          <w:snapToGrid w:val="0"/>
          <w:lang w:val="fr-FR"/>
        </w:rPr>
        <w:t>est qu</w:t>
      </w:r>
      <w:r w:rsidRPr="00916664" w:rsidR="00916664">
        <w:rPr>
          <w:snapToGrid w:val="0"/>
          <w:lang w:val="fr-FR"/>
        </w:rPr>
        <w:t>’</w:t>
      </w:r>
      <w:r w:rsidRPr="00916664">
        <w:rPr>
          <w:snapToGrid w:val="0"/>
          <w:lang w:val="fr-FR"/>
        </w:rPr>
        <w:t xml:space="preserve">une mafia. </w:t>
      </w:r>
      <w:r w:rsidRPr="00916664">
        <w:rPr>
          <w:lang w:val="fr-FR"/>
        </w:rPr>
        <w:t>À</w:t>
      </w:r>
      <w:r w:rsidRPr="00916664">
        <w:rPr>
          <w:snapToGrid w:val="0"/>
          <w:lang w:val="fr-FR"/>
        </w:rPr>
        <w:t xml:space="preserve"> la tête de cette mafia se trouvait Süleyman Demirel »</w:t>
      </w:r>
    </w:p>
    <w:p w:rsidRPr="00916664" w:rsidR="00B82DCC" w:rsidP="00916664" w:rsidRDefault="00B82DCC">
      <w:pPr>
        <w:pStyle w:val="ECHRParaQuote"/>
        <w:rPr>
          <w:snapToGrid w:val="0"/>
          <w:lang w:val="fr-FR"/>
        </w:rPr>
      </w:pPr>
      <w:r w:rsidRPr="00916664">
        <w:rPr>
          <w:snapToGrid w:val="0"/>
          <w:lang w:val="fr-FR"/>
        </w:rPr>
        <w:t>« Il y a des groupes mafieux en Turquie, mais celui qui compose ces groupes et les dirige est l</w:t>
      </w:r>
      <w:r w:rsidRPr="00916664" w:rsidR="00916664">
        <w:rPr>
          <w:snapToGrid w:val="0"/>
          <w:lang w:val="fr-FR"/>
        </w:rPr>
        <w:t>’</w:t>
      </w:r>
      <w:r w:rsidRPr="00916664">
        <w:rPr>
          <w:snapToGrid w:val="0"/>
          <w:lang w:val="fr-FR"/>
        </w:rPr>
        <w:t>État turc. Ils éliminent des individus ou des groupes agissant à l</w:t>
      </w:r>
      <w:r w:rsidRPr="00916664" w:rsidR="00916664">
        <w:rPr>
          <w:snapToGrid w:val="0"/>
          <w:lang w:val="fr-FR"/>
        </w:rPr>
        <w:t>’</w:t>
      </w:r>
      <w:r w:rsidRPr="00916664">
        <w:rPr>
          <w:snapToGrid w:val="0"/>
          <w:lang w:val="fr-FR"/>
        </w:rPr>
        <w:t>encontre de leurs politiques »</w:t>
      </w:r>
    </w:p>
    <w:p w:rsidRPr="00916664" w:rsidR="00B82DCC" w:rsidP="00916664" w:rsidRDefault="00B82DCC">
      <w:pPr>
        <w:pStyle w:val="ECHRParaQuote"/>
        <w:rPr>
          <w:snapToGrid w:val="0"/>
          <w:lang w:val="fr-FR"/>
        </w:rPr>
      </w:pPr>
      <w:r w:rsidRPr="00916664">
        <w:rPr>
          <w:snapToGrid w:val="0"/>
          <w:lang w:val="fr-FR"/>
        </w:rPr>
        <w:t>« Tous les jours, des dizaines de personnes étaient massacrées par l</w:t>
      </w:r>
      <w:r w:rsidRPr="00916664" w:rsidR="00916664">
        <w:rPr>
          <w:snapToGrid w:val="0"/>
          <w:lang w:val="fr-FR"/>
        </w:rPr>
        <w:t>’</w:t>
      </w:r>
      <w:r w:rsidRPr="00916664">
        <w:rPr>
          <w:snapToGrid w:val="0"/>
          <w:lang w:val="fr-FR"/>
        </w:rPr>
        <w:t>État en Turquie »</w:t>
      </w:r>
    </w:p>
    <w:p w:rsidRPr="00916664" w:rsidR="00B82DCC" w:rsidP="00916664" w:rsidRDefault="00B82DCC">
      <w:pPr>
        <w:pStyle w:val="ECHRParaQuote"/>
        <w:rPr>
          <w:snapToGrid w:val="0"/>
          <w:lang w:val="fr-FR"/>
        </w:rPr>
      </w:pPr>
      <w:r w:rsidRPr="00916664">
        <w:rPr>
          <w:snapToGrid w:val="0"/>
          <w:lang w:val="fr-FR"/>
        </w:rPr>
        <w:t>« La mafia de l</w:t>
      </w:r>
      <w:r w:rsidRPr="00916664" w:rsidR="00916664">
        <w:rPr>
          <w:snapToGrid w:val="0"/>
          <w:lang w:val="fr-FR"/>
        </w:rPr>
        <w:t>’</w:t>
      </w:r>
      <w:r w:rsidRPr="00916664">
        <w:rPr>
          <w:snapToGrid w:val="0"/>
          <w:lang w:val="fr-FR"/>
        </w:rPr>
        <w:t>État turc a continué à envoyer des centaines de militants fanatiques religieux dans des régions comme la Bosnie-Herzégovine et le Kosovo jusqu</w:t>
      </w:r>
      <w:r w:rsidRPr="00916664" w:rsidR="00916664">
        <w:rPr>
          <w:snapToGrid w:val="0"/>
          <w:lang w:val="fr-FR"/>
        </w:rPr>
        <w:t>’</w:t>
      </w:r>
      <w:r w:rsidRPr="00916664">
        <w:rPr>
          <w:snapToGrid w:val="0"/>
          <w:lang w:val="fr-FR"/>
        </w:rPr>
        <w:t>à la création d</w:t>
      </w:r>
      <w:r w:rsidRPr="00916664" w:rsidR="00916664">
        <w:rPr>
          <w:snapToGrid w:val="0"/>
          <w:lang w:val="fr-FR"/>
        </w:rPr>
        <w:t>’</w:t>
      </w:r>
      <w:r w:rsidRPr="00916664">
        <w:rPr>
          <w:snapToGrid w:val="0"/>
          <w:lang w:val="fr-FR"/>
        </w:rPr>
        <w:t>un état de guerre »</w:t>
      </w:r>
    </w:p>
    <w:p w:rsidRPr="00916664" w:rsidR="00B82DCC" w:rsidP="00916664" w:rsidRDefault="00B82DCC">
      <w:pPr>
        <w:pStyle w:val="ECHRParaQuote"/>
        <w:rPr>
          <w:snapToGrid w:val="0"/>
          <w:lang w:val="fr-FR"/>
        </w:rPr>
      </w:pPr>
      <w:r w:rsidRPr="00916664">
        <w:rPr>
          <w:snapToGrid w:val="0"/>
          <w:lang w:val="fr-FR"/>
        </w:rPr>
        <w:t>« L</w:t>
      </w:r>
      <w:r w:rsidRPr="00916664" w:rsidR="00916664">
        <w:rPr>
          <w:snapToGrid w:val="0"/>
          <w:lang w:val="fr-FR"/>
        </w:rPr>
        <w:t>’</w:t>
      </w:r>
      <w:r w:rsidRPr="00916664">
        <w:rPr>
          <w:snapToGrid w:val="0"/>
          <w:lang w:val="fr-FR"/>
        </w:rPr>
        <w:t>État turc était enragé et voulait restaurer son prestige ébranlé par cet incident »</w:t>
      </w:r>
    </w:p>
    <w:p w:rsidRPr="00916664" w:rsidR="00B82DCC" w:rsidP="00916664" w:rsidRDefault="00B82DCC">
      <w:pPr>
        <w:pStyle w:val="ECHRParaQuote"/>
        <w:rPr>
          <w:snapToGrid w:val="0"/>
          <w:lang w:val="fr-FR"/>
        </w:rPr>
      </w:pPr>
      <w:r w:rsidRPr="00916664">
        <w:rPr>
          <w:snapToGrid w:val="0"/>
          <w:lang w:val="fr-FR"/>
        </w:rPr>
        <w:t>« L</w:t>
      </w:r>
      <w:r w:rsidRPr="00916664" w:rsidR="00916664">
        <w:rPr>
          <w:snapToGrid w:val="0"/>
          <w:lang w:val="fr-FR"/>
        </w:rPr>
        <w:t>’</w:t>
      </w:r>
      <w:r w:rsidRPr="00916664">
        <w:rPr>
          <w:snapToGrid w:val="0"/>
          <w:lang w:val="fr-FR"/>
        </w:rPr>
        <w:t>État turc a brulé les habitations, y compris les villages et villes kurdes, dans la zone placée sous son contrôle, sous les yeux du monde (...), a mitraillé les gens [sans procès] »</w:t>
      </w:r>
    </w:p>
    <w:p w:rsidRPr="00916664" w:rsidR="00B82DCC" w:rsidP="00916664" w:rsidRDefault="00B82DCC">
      <w:pPr>
        <w:pStyle w:val="ECHRParaQuote"/>
        <w:rPr>
          <w:snapToGrid w:val="0"/>
          <w:lang w:val="fr-FR"/>
        </w:rPr>
      </w:pPr>
      <w:r w:rsidRPr="00916664">
        <w:rPr>
          <w:snapToGrid w:val="0"/>
          <w:lang w:val="fr-FR"/>
        </w:rPr>
        <w:t>« C</w:t>
      </w:r>
      <w:r w:rsidRPr="00916664" w:rsidR="00916664">
        <w:rPr>
          <w:snapToGrid w:val="0"/>
          <w:lang w:val="fr-FR"/>
        </w:rPr>
        <w:t>’</w:t>
      </w:r>
      <w:r w:rsidRPr="00916664">
        <w:rPr>
          <w:snapToGrid w:val="0"/>
          <w:lang w:val="fr-FR"/>
        </w:rPr>
        <w:t>est parce que [l</w:t>
      </w:r>
      <w:r w:rsidRPr="00916664" w:rsidR="00916664">
        <w:rPr>
          <w:snapToGrid w:val="0"/>
          <w:lang w:val="fr-FR"/>
        </w:rPr>
        <w:t>’</w:t>
      </w:r>
      <w:r w:rsidRPr="00916664">
        <w:rPr>
          <w:snapToGrid w:val="0"/>
          <w:lang w:val="fr-FR"/>
        </w:rPr>
        <w:t>identité] kurde et la langue kurde sont interdites en Turquie que notre peuple fait la guerre contre l</w:t>
      </w:r>
      <w:r w:rsidRPr="00916664" w:rsidR="00916664">
        <w:rPr>
          <w:snapToGrid w:val="0"/>
          <w:lang w:val="fr-FR"/>
        </w:rPr>
        <w:t>’</w:t>
      </w:r>
      <w:r w:rsidRPr="00916664">
        <w:rPr>
          <w:snapToGrid w:val="0"/>
          <w:lang w:val="fr-FR"/>
        </w:rPr>
        <w:t>État »</w:t>
      </w:r>
    </w:p>
    <w:p w:rsidRPr="00916664" w:rsidR="00B82DCC" w:rsidP="00916664" w:rsidRDefault="00B82DCC">
      <w:pPr>
        <w:pStyle w:val="ECHRParaQuote"/>
        <w:rPr>
          <w:snapToGrid w:val="0"/>
          <w:lang w:val="fr-FR"/>
        </w:rPr>
      </w:pPr>
      <w:r w:rsidRPr="00916664">
        <w:rPr>
          <w:snapToGrid w:val="0"/>
          <w:lang w:val="fr-FR"/>
        </w:rPr>
        <w:t>« La Turquie ne fait qu</w:t>
      </w:r>
      <w:r w:rsidRPr="00916664" w:rsidR="00916664">
        <w:rPr>
          <w:snapToGrid w:val="0"/>
          <w:lang w:val="fr-FR"/>
        </w:rPr>
        <w:t>’</w:t>
      </w:r>
      <w:r w:rsidRPr="00916664">
        <w:rPr>
          <w:snapToGrid w:val="0"/>
          <w:lang w:val="fr-FR"/>
        </w:rPr>
        <w:t>aboyer comme un chien (...) Je connais mon chien »</w:t>
      </w:r>
    </w:p>
    <w:p w:rsidRPr="00916664" w:rsidR="00B82DCC" w:rsidP="00916664" w:rsidRDefault="00B82DCC">
      <w:pPr>
        <w:pStyle w:val="ECHRParaQuote"/>
        <w:rPr>
          <w:snapToGrid w:val="0"/>
          <w:lang w:val="fr-FR"/>
        </w:rPr>
      </w:pPr>
      <w:r w:rsidRPr="00916664">
        <w:rPr>
          <w:snapToGrid w:val="0"/>
          <w:lang w:val="fr-FR"/>
        </w:rPr>
        <w:t>« La sauvagerie de l</w:t>
      </w:r>
      <w:r w:rsidRPr="00916664" w:rsidR="00916664">
        <w:rPr>
          <w:snapToGrid w:val="0"/>
          <w:lang w:val="fr-FR"/>
        </w:rPr>
        <w:t>’</w:t>
      </w:r>
      <w:r w:rsidRPr="00916664">
        <w:rPr>
          <w:snapToGrid w:val="0"/>
          <w:lang w:val="fr-FR"/>
        </w:rPr>
        <w:t>État turc est exposée [par le biais des] photos prises les pieds sur les corps kurdes démembrés par la torture »</w:t>
      </w:r>
    </w:p>
    <w:p w:rsidRPr="00916664" w:rsidR="00B82DCC" w:rsidP="00916664" w:rsidRDefault="00B82DCC">
      <w:pPr>
        <w:pStyle w:val="JuPara"/>
        <w:rPr>
          <w:rFonts w:cstheme="minorHAnsi"/>
          <w:snapToGrid w:val="0"/>
          <w:lang w:val="fr-FR"/>
        </w:rPr>
      </w:pPr>
      <w:r w:rsidRPr="00916664">
        <w:rPr>
          <w:rFonts w:cstheme="minorHAnsi"/>
          <w:snapToGrid w:val="0"/>
          <w:lang w:val="fr-FR"/>
        </w:rPr>
        <w:t>La cour d</w:t>
      </w:r>
      <w:r w:rsidRPr="00916664" w:rsidR="00916664">
        <w:rPr>
          <w:rFonts w:cstheme="minorHAnsi"/>
          <w:snapToGrid w:val="0"/>
          <w:lang w:val="fr-FR"/>
        </w:rPr>
        <w:t>’</w:t>
      </w:r>
      <w:r w:rsidRPr="00916664">
        <w:rPr>
          <w:rFonts w:cstheme="minorHAnsi"/>
          <w:snapToGrid w:val="0"/>
          <w:lang w:val="fr-FR"/>
        </w:rPr>
        <w:t>assises considéra en outre que les passages suivants du livre dépassaient les limites de la critique et insultaient le président de la République de l</w:t>
      </w:r>
      <w:r w:rsidRPr="00916664" w:rsidR="00916664">
        <w:rPr>
          <w:rFonts w:cstheme="minorHAnsi"/>
          <w:snapToGrid w:val="0"/>
          <w:lang w:val="fr-FR"/>
        </w:rPr>
        <w:t>’</w:t>
      </w:r>
      <w:r w:rsidRPr="00916664">
        <w:rPr>
          <w:rFonts w:cstheme="minorHAnsi"/>
          <w:snapToGrid w:val="0"/>
          <w:lang w:val="fr-FR"/>
        </w:rPr>
        <w:t>époque, Süleyman Demirel :</w:t>
      </w:r>
    </w:p>
    <w:p w:rsidRPr="00916664" w:rsidR="00B82DCC" w:rsidP="00916664" w:rsidRDefault="00B82DCC">
      <w:pPr>
        <w:pStyle w:val="ECHRParaQuote"/>
        <w:rPr>
          <w:snapToGrid w:val="0"/>
          <w:lang w:val="fr-FR"/>
        </w:rPr>
      </w:pPr>
      <w:r w:rsidRPr="00916664">
        <w:rPr>
          <w:snapToGrid w:val="0"/>
          <w:lang w:val="fr-FR"/>
        </w:rPr>
        <w:t>« L</w:t>
      </w:r>
      <w:r w:rsidRPr="00916664" w:rsidR="00916664">
        <w:rPr>
          <w:snapToGrid w:val="0"/>
          <w:lang w:val="fr-FR"/>
        </w:rPr>
        <w:t>’</w:t>
      </w:r>
      <w:r w:rsidRPr="00916664">
        <w:rPr>
          <w:snapToGrid w:val="0"/>
          <w:lang w:val="fr-FR"/>
        </w:rPr>
        <w:t>état-major, Süleyman Demirel (...) Il était expliqué, preuves [à l</w:t>
      </w:r>
      <w:r w:rsidRPr="00916664" w:rsidR="00916664">
        <w:rPr>
          <w:snapToGrid w:val="0"/>
          <w:lang w:val="fr-FR"/>
        </w:rPr>
        <w:t>’</w:t>
      </w:r>
      <w:r w:rsidRPr="00916664">
        <w:rPr>
          <w:snapToGrid w:val="0"/>
          <w:lang w:val="fr-FR"/>
        </w:rPr>
        <w:t>appui], comment ils étaient impliqués dans le [trafic] de stupéfiants avec plusieurs hauts fonctionnaires »</w:t>
      </w:r>
    </w:p>
    <w:p w:rsidRPr="00916664" w:rsidR="00B82DCC" w:rsidP="00916664" w:rsidRDefault="00B82DCC">
      <w:pPr>
        <w:pStyle w:val="ECHRParaQuote"/>
        <w:rPr>
          <w:snapToGrid w:val="0"/>
          <w:lang w:val="fr-FR"/>
        </w:rPr>
      </w:pPr>
      <w:r w:rsidRPr="00916664">
        <w:rPr>
          <w:snapToGrid w:val="0"/>
          <w:lang w:val="fr-FR"/>
        </w:rPr>
        <w:t>« En Turquie, l</w:t>
      </w:r>
      <w:r w:rsidRPr="00916664" w:rsidR="00916664">
        <w:rPr>
          <w:snapToGrid w:val="0"/>
          <w:lang w:val="fr-FR"/>
        </w:rPr>
        <w:t>’</w:t>
      </w:r>
      <w:r w:rsidRPr="00916664">
        <w:rPr>
          <w:snapToGrid w:val="0"/>
          <w:lang w:val="fr-FR"/>
        </w:rPr>
        <w:t>État n</w:t>
      </w:r>
      <w:r w:rsidRPr="00916664" w:rsidR="00916664">
        <w:rPr>
          <w:snapToGrid w:val="0"/>
          <w:lang w:val="fr-FR"/>
        </w:rPr>
        <w:t>’</w:t>
      </w:r>
      <w:r w:rsidRPr="00916664">
        <w:rPr>
          <w:snapToGrid w:val="0"/>
          <w:lang w:val="fr-FR"/>
        </w:rPr>
        <w:t>est qu</w:t>
      </w:r>
      <w:r w:rsidRPr="00916664" w:rsidR="00916664">
        <w:rPr>
          <w:snapToGrid w:val="0"/>
          <w:lang w:val="fr-FR"/>
        </w:rPr>
        <w:t>’</w:t>
      </w:r>
      <w:r w:rsidRPr="00916664">
        <w:rPr>
          <w:snapToGrid w:val="0"/>
          <w:lang w:val="fr-FR"/>
        </w:rPr>
        <w:t xml:space="preserve">une mafia. </w:t>
      </w:r>
      <w:r w:rsidRPr="00916664">
        <w:rPr>
          <w:lang w:val="fr-FR"/>
        </w:rPr>
        <w:t>À</w:t>
      </w:r>
      <w:r w:rsidRPr="00916664">
        <w:rPr>
          <w:snapToGrid w:val="0"/>
          <w:lang w:val="fr-FR"/>
        </w:rPr>
        <w:t xml:space="preserve"> la tête de cette mafia se trouvait Süleyman Demirel »</w:t>
      </w:r>
    </w:p>
    <w:p w:rsidRPr="00916664" w:rsidR="00B82DCC" w:rsidP="00916664" w:rsidRDefault="00B82DCC">
      <w:pPr>
        <w:pStyle w:val="ECHRParaQuote"/>
        <w:rPr>
          <w:snapToGrid w:val="0"/>
          <w:lang w:val="fr-FR"/>
        </w:rPr>
      </w:pPr>
      <w:r w:rsidRPr="00916664">
        <w:rPr>
          <w:snapToGrid w:val="0"/>
          <w:lang w:val="fr-FR"/>
        </w:rPr>
        <w:t> « Tout le monde était pour la résolution [du problème kurde], sauf la mafia menée par Demirel, qui tirait profit de la guerre contre les Kurdes »</w:t>
      </w:r>
    </w:p>
    <w:p w:rsidRPr="00916664" w:rsidR="00B82DCC" w:rsidP="00916664" w:rsidRDefault="00B82DCC">
      <w:pPr>
        <w:pStyle w:val="ECHRParaQuote"/>
        <w:rPr>
          <w:snapToGrid w:val="0"/>
          <w:lang w:val="fr-FR"/>
        </w:rPr>
      </w:pPr>
      <w:r w:rsidRPr="00916664">
        <w:rPr>
          <w:snapToGrid w:val="0"/>
          <w:lang w:val="fr-FR"/>
        </w:rPr>
        <w:t>« Demirel a utilisé tout son pouvoir pour éliminer Özal. Ils ont tiré sur Özal. Il s</w:t>
      </w:r>
      <w:r w:rsidRPr="00916664" w:rsidR="00916664">
        <w:rPr>
          <w:snapToGrid w:val="0"/>
          <w:lang w:val="fr-FR"/>
        </w:rPr>
        <w:t>’</w:t>
      </w:r>
      <w:r w:rsidRPr="00916664">
        <w:rPr>
          <w:snapToGrid w:val="0"/>
          <w:lang w:val="fr-FR"/>
        </w:rPr>
        <w:t>en est sorti (...) Demirel a encore totalement dominé l</w:t>
      </w:r>
      <w:r w:rsidRPr="00916664" w:rsidR="00916664">
        <w:rPr>
          <w:snapToGrid w:val="0"/>
          <w:lang w:val="fr-FR"/>
        </w:rPr>
        <w:t>’</w:t>
      </w:r>
      <w:r w:rsidRPr="00916664">
        <w:rPr>
          <w:snapToGrid w:val="0"/>
          <w:lang w:val="fr-FR"/>
        </w:rPr>
        <w:t>État avec sa mafia »</w:t>
      </w:r>
    </w:p>
    <w:p w:rsidRPr="00916664" w:rsidR="00B82DCC" w:rsidP="00916664" w:rsidRDefault="00B82DCC">
      <w:pPr>
        <w:pStyle w:val="ECHRParaQuote"/>
        <w:rPr>
          <w:snapToGrid w:val="0"/>
          <w:lang w:val="fr-FR"/>
        </w:rPr>
      </w:pPr>
      <w:r w:rsidRPr="00916664">
        <w:rPr>
          <w:snapToGrid w:val="0"/>
          <w:lang w:val="fr-FR"/>
        </w:rPr>
        <w:t>« La mafia a légitimé à cette époque les meurtres [commis] par l</w:t>
      </w:r>
      <w:r w:rsidRPr="00916664" w:rsidR="00916664">
        <w:rPr>
          <w:snapToGrid w:val="0"/>
          <w:lang w:val="fr-FR"/>
        </w:rPr>
        <w:t>’</w:t>
      </w:r>
      <w:r w:rsidRPr="00916664">
        <w:rPr>
          <w:snapToGrid w:val="0"/>
          <w:lang w:val="fr-FR"/>
        </w:rPr>
        <w:t>État »</w:t>
      </w:r>
    </w:p>
    <w:p w:rsidRPr="00916664" w:rsidR="00B82DCC" w:rsidP="00916664" w:rsidRDefault="00B82DCC">
      <w:pPr>
        <w:pStyle w:val="JuPara"/>
        <w:rPr>
          <w:rFonts w:cstheme="minorHAnsi"/>
          <w:snapToGrid w:val="0"/>
          <w:lang w:val="fr-FR"/>
        </w:rPr>
      </w:pPr>
      <w:r w:rsidRPr="00916664">
        <w:rPr>
          <w:rFonts w:cstheme="minorHAnsi"/>
          <w:snapToGrid w:val="0"/>
          <w:lang w:val="fr-FR"/>
        </w:rPr>
        <w:t>Elle estima enfin que les passages suivants du livre ne pouvaient pas être considérés comme de simples critiques et qu</w:t>
      </w:r>
      <w:r w:rsidRPr="00916664" w:rsidR="00916664">
        <w:rPr>
          <w:rFonts w:cstheme="minorHAnsi"/>
          <w:snapToGrid w:val="0"/>
          <w:lang w:val="fr-FR"/>
        </w:rPr>
        <w:t>’</w:t>
      </w:r>
      <w:r w:rsidRPr="00916664">
        <w:rPr>
          <w:rFonts w:cstheme="minorHAnsi"/>
          <w:snapToGrid w:val="0"/>
          <w:lang w:val="fr-FR"/>
        </w:rPr>
        <w:t>ils étaient de nature à dénigrer les forces de sûreté de l</w:t>
      </w:r>
      <w:r w:rsidRPr="00916664" w:rsidR="00916664">
        <w:rPr>
          <w:rFonts w:cstheme="minorHAnsi"/>
          <w:snapToGrid w:val="0"/>
          <w:lang w:val="fr-FR"/>
        </w:rPr>
        <w:t>’</w:t>
      </w:r>
      <w:r w:rsidRPr="00916664">
        <w:rPr>
          <w:rFonts w:cstheme="minorHAnsi"/>
          <w:snapToGrid w:val="0"/>
          <w:lang w:val="fr-FR"/>
        </w:rPr>
        <w:t>État :</w:t>
      </w:r>
    </w:p>
    <w:p w:rsidRPr="00916664" w:rsidR="00B82DCC" w:rsidP="00916664" w:rsidRDefault="00B82DCC">
      <w:pPr>
        <w:pStyle w:val="ECHRParaQuote"/>
        <w:rPr>
          <w:snapToGrid w:val="0"/>
          <w:lang w:val="fr-FR"/>
        </w:rPr>
      </w:pPr>
      <w:r w:rsidRPr="00916664">
        <w:rPr>
          <w:snapToGrid w:val="0"/>
          <w:lang w:val="fr-FR"/>
        </w:rPr>
        <w:t>« Il était expliqué comment l</w:t>
      </w:r>
      <w:r w:rsidRPr="00916664" w:rsidR="00916664">
        <w:rPr>
          <w:snapToGrid w:val="0"/>
          <w:lang w:val="fr-FR"/>
        </w:rPr>
        <w:t>’</w:t>
      </w:r>
      <w:r w:rsidRPr="00916664">
        <w:rPr>
          <w:snapToGrid w:val="0"/>
          <w:lang w:val="fr-FR"/>
        </w:rPr>
        <w:t>état-major [des armées], les commandants, les dirigeants de la MİT (Organisation nationale des renseignements), les fonctionnaires de haut rang de la direction de la sûreté et plusieurs hauts fonctionnaires étaient impliqués dans le [trafic] de stupéfiants »</w:t>
      </w:r>
    </w:p>
    <w:p w:rsidRPr="00916664" w:rsidR="00B82DCC" w:rsidP="00916664" w:rsidRDefault="00B82DCC">
      <w:pPr>
        <w:pStyle w:val="ECHRParaQuote"/>
        <w:rPr>
          <w:snapToGrid w:val="0"/>
          <w:lang w:val="fr-FR"/>
        </w:rPr>
      </w:pPr>
      <w:r w:rsidRPr="00916664">
        <w:rPr>
          <w:snapToGrid w:val="0"/>
          <w:lang w:val="fr-FR"/>
        </w:rPr>
        <w:t>« [Les] renseignements nationaux sont en mille morceaux, l</w:t>
      </w:r>
      <w:r w:rsidRPr="00916664" w:rsidR="00916664">
        <w:rPr>
          <w:snapToGrid w:val="0"/>
          <w:lang w:val="fr-FR"/>
        </w:rPr>
        <w:t>’</w:t>
      </w:r>
      <w:r w:rsidRPr="00916664">
        <w:rPr>
          <w:snapToGrid w:val="0"/>
          <w:lang w:val="fr-FR"/>
        </w:rPr>
        <w:t>organisation de la police pareil (...) L</w:t>
      </w:r>
      <w:r w:rsidRPr="00916664" w:rsidR="00916664">
        <w:rPr>
          <w:snapToGrid w:val="0"/>
          <w:lang w:val="fr-FR"/>
        </w:rPr>
        <w:t>’</w:t>
      </w:r>
      <w:r w:rsidRPr="00916664">
        <w:rPr>
          <w:snapToGrid w:val="0"/>
          <w:lang w:val="fr-FR"/>
        </w:rPr>
        <w:t>armée était sous le contrôle de la mafia de Demirel, même si [le contrôle n</w:t>
      </w:r>
      <w:r w:rsidRPr="00916664" w:rsidR="00916664">
        <w:rPr>
          <w:snapToGrid w:val="0"/>
          <w:lang w:val="fr-FR"/>
        </w:rPr>
        <w:t>’</w:t>
      </w:r>
      <w:r w:rsidRPr="00916664">
        <w:rPr>
          <w:snapToGrid w:val="0"/>
          <w:lang w:val="fr-FR"/>
        </w:rPr>
        <w:t>était pas total] (...) L</w:t>
      </w:r>
      <w:r w:rsidRPr="00916664" w:rsidR="00916664">
        <w:rPr>
          <w:snapToGrid w:val="0"/>
          <w:lang w:val="fr-FR"/>
        </w:rPr>
        <w:t>’</w:t>
      </w:r>
      <w:r w:rsidRPr="00916664">
        <w:rPr>
          <w:snapToGrid w:val="0"/>
          <w:lang w:val="fr-FR"/>
        </w:rPr>
        <w:t>armée recevait de l</w:t>
      </w:r>
      <w:r w:rsidRPr="00916664" w:rsidR="00916664">
        <w:rPr>
          <w:snapToGrid w:val="0"/>
          <w:lang w:val="fr-FR"/>
        </w:rPr>
        <w:t>’</w:t>
      </w:r>
      <w:r w:rsidRPr="00916664">
        <w:rPr>
          <w:snapToGrid w:val="0"/>
          <w:lang w:val="fr-FR"/>
        </w:rPr>
        <w:t xml:space="preserve">argent de </w:t>
      </w:r>
      <w:proofErr w:type="spellStart"/>
      <w:r w:rsidRPr="00916664">
        <w:rPr>
          <w:snapToGrid w:val="0"/>
          <w:lang w:val="fr-FR"/>
        </w:rPr>
        <w:t>Rabıta</w:t>
      </w:r>
      <w:proofErr w:type="spellEnd"/>
      <w:r w:rsidRPr="00916664">
        <w:rPr>
          <w:snapToGrid w:val="0"/>
          <w:lang w:val="fr-FR"/>
        </w:rPr>
        <w:t xml:space="preserve"> (Ligue islamique mondiale, une organisation non gouvernementale visant à promouvoir le panislamisme). Lorsque le PKK a bouleversé leurs plans après 1984, ils ont créé une contre-organisation, </w:t>
      </w:r>
      <w:proofErr w:type="spellStart"/>
      <w:r w:rsidRPr="00916664">
        <w:rPr>
          <w:snapToGrid w:val="0"/>
          <w:lang w:val="fr-FR"/>
        </w:rPr>
        <w:t>Hizbullah</w:t>
      </w:r>
      <w:proofErr w:type="spellEnd"/>
      <w:r w:rsidRPr="00916664">
        <w:rPr>
          <w:snapToGrid w:val="0"/>
          <w:lang w:val="fr-FR"/>
        </w:rPr>
        <w:t> »</w:t>
      </w:r>
    </w:p>
    <w:p w:rsidRPr="00916664" w:rsidR="00B82DCC" w:rsidP="00916664" w:rsidRDefault="00B82DCC">
      <w:pPr>
        <w:pStyle w:val="ECHRParaQuote"/>
        <w:rPr>
          <w:snapToGrid w:val="0"/>
          <w:lang w:val="fr-FR"/>
        </w:rPr>
      </w:pPr>
      <w:r w:rsidRPr="00916664">
        <w:rPr>
          <w:snapToGrid w:val="0"/>
          <w:lang w:val="fr-FR"/>
        </w:rPr>
        <w:t>« Les organes de l</w:t>
      </w:r>
      <w:r w:rsidRPr="00916664" w:rsidR="00916664">
        <w:rPr>
          <w:snapToGrid w:val="0"/>
          <w:lang w:val="fr-FR"/>
        </w:rPr>
        <w:t>’</w:t>
      </w:r>
      <w:r w:rsidRPr="00916664">
        <w:rPr>
          <w:snapToGrid w:val="0"/>
          <w:lang w:val="fr-FR"/>
        </w:rPr>
        <w:t>État comme les militaires, la police, la MİT, les forces spéciales et les gardes de villages avaient constitué des mafias entre eux »</w:t>
      </w:r>
    </w:p>
    <w:p w:rsidRPr="00916664" w:rsidR="00B82DCC" w:rsidP="00916664" w:rsidRDefault="00B82DCC">
      <w:pPr>
        <w:pStyle w:val="JuPara"/>
        <w:rPr>
          <w:rFonts w:cstheme="minorHAnsi"/>
          <w:snapToGrid w:val="0"/>
          <w:lang w:val="fr-FR"/>
        </w:rPr>
      </w:pPr>
      <w:r w:rsidRPr="00916664">
        <w:rPr>
          <w:rFonts w:cstheme="minorHAnsi"/>
          <w:snapToGrid w:val="0"/>
          <w:lang w:val="fr-FR"/>
        </w:rPr>
        <w:t>9.  Le 3 avril 2007, la Cour de cassation, saisie d</w:t>
      </w:r>
      <w:r w:rsidRPr="00916664" w:rsidR="00916664">
        <w:rPr>
          <w:rFonts w:cstheme="minorHAnsi"/>
          <w:snapToGrid w:val="0"/>
          <w:lang w:val="fr-FR"/>
        </w:rPr>
        <w:t>’</w:t>
      </w:r>
      <w:r w:rsidRPr="00916664">
        <w:rPr>
          <w:rFonts w:cstheme="minorHAnsi"/>
          <w:snapToGrid w:val="0"/>
          <w:lang w:val="fr-FR"/>
        </w:rPr>
        <w:t>un pourvoi en cassation formé par le requérant, confirma l</w:t>
      </w:r>
      <w:r w:rsidRPr="00916664" w:rsidR="00916664">
        <w:rPr>
          <w:rFonts w:cstheme="minorHAnsi"/>
          <w:snapToGrid w:val="0"/>
          <w:lang w:val="fr-FR"/>
        </w:rPr>
        <w:t>’</w:t>
      </w:r>
      <w:r w:rsidRPr="00916664">
        <w:rPr>
          <w:rFonts w:cstheme="minorHAnsi"/>
          <w:snapToGrid w:val="0"/>
          <w:lang w:val="fr-FR"/>
        </w:rPr>
        <w:t>arrêt de la cour d</w:t>
      </w:r>
      <w:r w:rsidRPr="00916664" w:rsidR="00916664">
        <w:rPr>
          <w:rFonts w:cstheme="minorHAnsi"/>
          <w:snapToGrid w:val="0"/>
          <w:lang w:val="fr-FR"/>
        </w:rPr>
        <w:t>’</w:t>
      </w:r>
      <w:r w:rsidRPr="00916664">
        <w:rPr>
          <w:rFonts w:cstheme="minorHAnsi"/>
          <w:snapToGrid w:val="0"/>
          <w:lang w:val="fr-FR"/>
        </w:rPr>
        <w:t>assises.</w:t>
      </w:r>
    </w:p>
    <w:p w:rsidRPr="00916664" w:rsidR="00B82DCC" w:rsidP="00916664" w:rsidRDefault="00B82DCC">
      <w:pPr>
        <w:pStyle w:val="ECHRHeading1"/>
        <w:ind w:firstLine="0"/>
        <w:rPr>
          <w:lang w:val="fr-FR"/>
        </w:rPr>
      </w:pPr>
      <w:r w:rsidRPr="00916664">
        <w:rPr>
          <w:lang w:val="fr-FR"/>
        </w:rPr>
        <w:t>II.  LE DROIT INTERNE ET INTERNATIONAL PERTINENT</w:t>
      </w:r>
    </w:p>
    <w:p w:rsidRPr="00916664" w:rsidR="00B82DCC" w:rsidP="00916664" w:rsidRDefault="00B82DCC">
      <w:pPr>
        <w:pStyle w:val="ECHRHeading2"/>
        <w:ind w:firstLine="0"/>
        <w:rPr>
          <w:lang w:val="fr-FR"/>
        </w:rPr>
      </w:pPr>
      <w:r w:rsidRPr="00916664">
        <w:rPr>
          <w:lang w:val="fr-FR"/>
        </w:rPr>
        <w:t>A.  La législation nationale</w:t>
      </w:r>
    </w:p>
    <w:p w:rsidRPr="00916664" w:rsidR="00B82DCC" w:rsidP="00916664" w:rsidRDefault="00B82DCC">
      <w:pPr>
        <w:pStyle w:val="ECHRHeading3"/>
        <w:ind w:left="731" w:firstLine="0"/>
        <w:rPr>
          <w:lang w:val="fr-FR"/>
        </w:rPr>
      </w:pPr>
      <w:r w:rsidRPr="00916664">
        <w:rPr>
          <w:lang w:val="fr-FR"/>
        </w:rPr>
        <w:t>1.  Les dispositions pertinentes du CP</w:t>
      </w:r>
    </w:p>
    <w:p w:rsidRPr="00916664" w:rsidR="00B82DCC" w:rsidP="00916664" w:rsidRDefault="00B82DCC">
      <w:pPr>
        <w:pStyle w:val="JuPara"/>
        <w:rPr>
          <w:lang w:val="fr-FR"/>
        </w:rPr>
      </w:pPr>
      <w:r w:rsidRPr="00916664">
        <w:rPr>
          <w:lang w:val="fr-FR"/>
        </w:rPr>
        <w:t>10.  L</w:t>
      </w:r>
      <w:r w:rsidRPr="00916664" w:rsidR="00916664">
        <w:rPr>
          <w:lang w:val="fr-FR"/>
        </w:rPr>
        <w:t>’</w:t>
      </w:r>
      <w:r w:rsidRPr="00916664">
        <w:rPr>
          <w:lang w:val="fr-FR"/>
        </w:rPr>
        <w:t>article 158 du CP (loi n</w:t>
      </w:r>
      <w:r w:rsidRPr="00916664">
        <w:rPr>
          <w:vertAlign w:val="superscript"/>
          <w:lang w:val="fr-FR"/>
        </w:rPr>
        <w:t>o</w:t>
      </w:r>
      <w:r w:rsidRPr="00916664">
        <w:rPr>
          <w:lang w:val="fr-FR"/>
        </w:rPr>
        <w:t xml:space="preserve"> 765 du 1</w:t>
      </w:r>
      <w:r w:rsidRPr="00916664">
        <w:rPr>
          <w:vertAlign w:val="superscript"/>
          <w:lang w:val="fr-FR"/>
        </w:rPr>
        <w:t>er</w:t>
      </w:r>
      <w:r w:rsidRPr="00916664">
        <w:rPr>
          <w:lang w:val="fr-FR"/>
        </w:rPr>
        <w:t xml:space="preserve"> mars 1926, qui était en vigueur jusqu</w:t>
      </w:r>
      <w:r w:rsidRPr="00916664" w:rsidR="00916664">
        <w:rPr>
          <w:lang w:val="fr-FR"/>
        </w:rPr>
        <w:t>’</w:t>
      </w:r>
      <w:r w:rsidRPr="00916664">
        <w:rPr>
          <w:lang w:val="fr-FR"/>
        </w:rPr>
        <w:t>au 1</w:t>
      </w:r>
      <w:r w:rsidRPr="00916664">
        <w:rPr>
          <w:vertAlign w:val="superscript"/>
          <w:lang w:val="fr-FR"/>
        </w:rPr>
        <w:t>er</w:t>
      </w:r>
      <w:r w:rsidRPr="00916664">
        <w:rPr>
          <w:lang w:val="fr-FR"/>
        </w:rPr>
        <w:t xml:space="preserve"> juin 2005) se lisait ainsi :</w:t>
      </w:r>
    </w:p>
    <w:p w:rsidRPr="00916664" w:rsidR="00B82DCC" w:rsidP="00916664" w:rsidRDefault="00B82DCC">
      <w:pPr>
        <w:pStyle w:val="ECHRParaQuote"/>
        <w:rPr>
          <w:lang w:val="fr-FR"/>
        </w:rPr>
      </w:pPr>
      <w:r w:rsidRPr="00916664">
        <w:rPr>
          <w:lang w:val="fr-FR"/>
        </w:rPr>
        <w:t>« Quiconque profère des insultes et des injures à l</w:t>
      </w:r>
      <w:r w:rsidRPr="00916664" w:rsidR="00916664">
        <w:rPr>
          <w:lang w:val="fr-FR"/>
        </w:rPr>
        <w:t>’</w:t>
      </w:r>
      <w:r w:rsidRPr="00916664">
        <w:rPr>
          <w:lang w:val="fr-FR"/>
        </w:rPr>
        <w:t>égard du président de la République en sa présence sera puni de trois ans de réclusion au moins.</w:t>
      </w:r>
    </w:p>
    <w:p w:rsidRPr="00916664" w:rsidR="00B82DCC" w:rsidP="00916664" w:rsidRDefault="00B82DCC">
      <w:pPr>
        <w:pStyle w:val="ECHRParaQuote"/>
        <w:rPr>
          <w:lang w:val="fr-FR"/>
        </w:rPr>
      </w:pPr>
      <w:r w:rsidRPr="00916664">
        <w:rPr>
          <w:lang w:val="fr-FR"/>
        </w:rPr>
        <w:t>Si l</w:t>
      </w:r>
      <w:r w:rsidRPr="00916664" w:rsidR="00916664">
        <w:rPr>
          <w:lang w:val="fr-FR"/>
        </w:rPr>
        <w:t>’</w:t>
      </w:r>
      <w:r w:rsidRPr="00916664">
        <w:rPr>
          <w:lang w:val="fr-FR"/>
        </w:rPr>
        <w:t>insulte et l</w:t>
      </w:r>
      <w:r w:rsidRPr="00916664" w:rsidR="00916664">
        <w:rPr>
          <w:lang w:val="fr-FR"/>
        </w:rPr>
        <w:t>’</w:t>
      </w:r>
      <w:r w:rsidRPr="00916664">
        <w:rPr>
          <w:lang w:val="fr-FR"/>
        </w:rPr>
        <w:t>injure sont commises hors la présence du président de la République, l</w:t>
      </w:r>
      <w:r w:rsidRPr="00916664" w:rsidR="00916664">
        <w:rPr>
          <w:lang w:val="fr-FR"/>
        </w:rPr>
        <w:t>’</w:t>
      </w:r>
      <w:r w:rsidRPr="00916664">
        <w:rPr>
          <w:lang w:val="fr-FR"/>
        </w:rPr>
        <w:t>auteur sera puni d</w:t>
      </w:r>
      <w:r w:rsidRPr="00916664" w:rsidR="00916664">
        <w:rPr>
          <w:lang w:val="fr-FR"/>
        </w:rPr>
        <w:t>’</w:t>
      </w:r>
      <w:r w:rsidRPr="00916664">
        <w:rPr>
          <w:lang w:val="fr-FR"/>
        </w:rPr>
        <w:t>un à trois ans d</w:t>
      </w:r>
      <w:r w:rsidRPr="00916664" w:rsidR="00916664">
        <w:rPr>
          <w:lang w:val="fr-FR"/>
        </w:rPr>
        <w:t>’</w:t>
      </w:r>
      <w:r w:rsidRPr="00916664">
        <w:rPr>
          <w:lang w:val="fr-FR"/>
        </w:rPr>
        <w:t>emprisonnement, même si l</w:t>
      </w:r>
      <w:r w:rsidRPr="00916664" w:rsidR="00916664">
        <w:rPr>
          <w:lang w:val="fr-FR"/>
        </w:rPr>
        <w:t>’</w:t>
      </w:r>
      <w:r w:rsidRPr="00916664">
        <w:rPr>
          <w:lang w:val="fr-FR"/>
        </w:rPr>
        <w:t>outrage est fait à mots couverts ou par allusion, sans que soit clairement mentionné le nom du président de la République, et, s</w:t>
      </w:r>
      <w:r w:rsidRPr="00916664" w:rsidR="00916664">
        <w:rPr>
          <w:lang w:val="fr-FR"/>
        </w:rPr>
        <w:t>’</w:t>
      </w:r>
      <w:r w:rsidRPr="00916664">
        <w:rPr>
          <w:lang w:val="fr-FR"/>
        </w:rPr>
        <w:t>il existe des présomptions ne laissant aucun doute sur le fait que l</w:t>
      </w:r>
      <w:r w:rsidRPr="00916664" w:rsidR="00916664">
        <w:rPr>
          <w:lang w:val="fr-FR"/>
        </w:rPr>
        <w:t>’</w:t>
      </w:r>
      <w:r w:rsidRPr="00916664">
        <w:rPr>
          <w:lang w:val="fr-FR"/>
        </w:rPr>
        <w:t>outrage est dirigé contre la personne du président de la République, il sera considéré comme ayant été expressément fait.</w:t>
      </w:r>
    </w:p>
    <w:p w:rsidRPr="00916664" w:rsidR="00B82DCC" w:rsidP="00916664" w:rsidRDefault="00B82DCC">
      <w:pPr>
        <w:pStyle w:val="ECHRParaQuote"/>
        <w:rPr>
          <w:lang w:val="fr-FR"/>
        </w:rPr>
      </w:pPr>
      <w:r w:rsidRPr="00916664">
        <w:rPr>
          <w:lang w:val="fr-FR"/>
        </w:rPr>
        <w:t>Si l</w:t>
      </w:r>
      <w:r w:rsidRPr="00916664" w:rsidR="00916664">
        <w:rPr>
          <w:lang w:val="fr-FR"/>
        </w:rPr>
        <w:t>’</w:t>
      </w:r>
      <w:r w:rsidRPr="00916664">
        <w:rPr>
          <w:lang w:val="fr-FR"/>
        </w:rPr>
        <w:t>infraction est causée par voie de presse, la peine est augmentée du tiers jusqu</w:t>
      </w:r>
      <w:r w:rsidRPr="00916664" w:rsidR="00916664">
        <w:rPr>
          <w:lang w:val="fr-FR"/>
        </w:rPr>
        <w:t>’</w:t>
      </w:r>
      <w:r w:rsidRPr="00916664">
        <w:rPr>
          <w:lang w:val="fr-FR"/>
        </w:rPr>
        <w:t>à la moitié. »</w:t>
      </w:r>
    </w:p>
    <w:p w:rsidRPr="00916664" w:rsidR="00B82DCC" w:rsidP="00916664" w:rsidRDefault="00B82DCC">
      <w:pPr>
        <w:pStyle w:val="JuPara"/>
        <w:rPr>
          <w:lang w:val="fr-FR"/>
        </w:rPr>
      </w:pPr>
      <w:r w:rsidRPr="00916664">
        <w:rPr>
          <w:lang w:val="fr-FR"/>
        </w:rPr>
        <w:t>11.  L</w:t>
      </w:r>
      <w:r w:rsidRPr="00916664" w:rsidR="00916664">
        <w:rPr>
          <w:lang w:val="fr-FR"/>
        </w:rPr>
        <w:t>’</w:t>
      </w:r>
      <w:r w:rsidRPr="00916664">
        <w:rPr>
          <w:lang w:val="fr-FR"/>
        </w:rPr>
        <w:t>article 159 du CP disposait ce qui suit en ses parties pertinentes en l</w:t>
      </w:r>
      <w:r w:rsidRPr="00916664" w:rsidR="00916664">
        <w:rPr>
          <w:lang w:val="fr-FR"/>
        </w:rPr>
        <w:t>’</w:t>
      </w:r>
      <w:r w:rsidRPr="00916664">
        <w:rPr>
          <w:lang w:val="fr-FR"/>
        </w:rPr>
        <w:t>espèce :</w:t>
      </w:r>
    </w:p>
    <w:p w:rsidRPr="00916664" w:rsidR="00B82DCC" w:rsidP="00916664" w:rsidRDefault="00B82DCC">
      <w:pPr>
        <w:pStyle w:val="ECHRParaQuote"/>
        <w:rPr>
          <w:lang w:val="fr-FR"/>
        </w:rPr>
      </w:pPr>
      <w:r w:rsidRPr="00916664">
        <w:rPr>
          <w:lang w:val="fr-FR"/>
        </w:rPr>
        <w:t>« Est passible d</w:t>
      </w:r>
      <w:r w:rsidRPr="00916664" w:rsidR="00916664">
        <w:rPr>
          <w:lang w:val="fr-FR"/>
        </w:rPr>
        <w:t>’</w:t>
      </w:r>
      <w:r w:rsidRPr="00916664">
        <w:rPr>
          <w:lang w:val="fr-FR"/>
        </w:rPr>
        <w:t>une peine de six mois à trois ans d</w:t>
      </w:r>
      <w:r w:rsidRPr="00916664" w:rsidR="00916664">
        <w:rPr>
          <w:lang w:val="fr-FR"/>
        </w:rPr>
        <w:t>’</w:t>
      </w:r>
      <w:r w:rsidRPr="00916664">
        <w:rPr>
          <w:lang w:val="fr-FR"/>
        </w:rPr>
        <w:t>emprisonnement toute personne qui, publiquement, dénigre ou présente comme dénigrés (</w:t>
      </w:r>
      <w:proofErr w:type="spellStart"/>
      <w:r w:rsidRPr="00916664">
        <w:rPr>
          <w:i/>
          <w:lang w:val="fr-FR"/>
        </w:rPr>
        <w:t>tahkir</w:t>
      </w:r>
      <w:proofErr w:type="spellEnd"/>
      <w:r w:rsidRPr="00916664">
        <w:rPr>
          <w:i/>
          <w:lang w:val="fr-FR"/>
        </w:rPr>
        <w:t xml:space="preserve"> </w:t>
      </w:r>
      <w:proofErr w:type="spellStart"/>
      <w:r w:rsidRPr="00916664">
        <w:rPr>
          <w:i/>
          <w:lang w:val="fr-FR"/>
        </w:rPr>
        <w:t>ve</w:t>
      </w:r>
      <w:proofErr w:type="spellEnd"/>
      <w:r w:rsidRPr="00916664">
        <w:rPr>
          <w:i/>
          <w:lang w:val="fr-FR"/>
        </w:rPr>
        <w:t xml:space="preserve"> </w:t>
      </w:r>
      <w:proofErr w:type="spellStart"/>
      <w:r w:rsidRPr="00916664">
        <w:rPr>
          <w:i/>
          <w:lang w:val="fr-FR"/>
        </w:rPr>
        <w:t>tezyif</w:t>
      </w:r>
      <w:proofErr w:type="spellEnd"/>
      <w:r w:rsidRPr="00916664">
        <w:rPr>
          <w:i/>
          <w:lang w:val="fr-FR"/>
        </w:rPr>
        <w:t xml:space="preserve"> </w:t>
      </w:r>
      <w:proofErr w:type="spellStart"/>
      <w:r w:rsidRPr="00916664">
        <w:rPr>
          <w:i/>
          <w:lang w:val="fr-FR"/>
        </w:rPr>
        <w:t>edenler</w:t>
      </w:r>
      <w:proofErr w:type="spellEnd"/>
      <w:r w:rsidRPr="00916664">
        <w:rPr>
          <w:lang w:val="fr-FR"/>
        </w:rPr>
        <w:t xml:space="preserve">) la </w:t>
      </w:r>
      <w:proofErr w:type="spellStart"/>
      <w:r w:rsidRPr="00916664">
        <w:rPr>
          <w:lang w:val="fr-FR"/>
        </w:rPr>
        <w:t>turcité</w:t>
      </w:r>
      <w:proofErr w:type="spellEnd"/>
      <w:r w:rsidRPr="00916664">
        <w:rPr>
          <w:lang w:val="fr-FR"/>
        </w:rPr>
        <w:t>, la République, la Grande Assemblée nationale de Turquie, le gouvernement de la République de Turquie, les organes judiciaires, les forces armées ou la sûreté de l</w:t>
      </w:r>
      <w:r w:rsidRPr="00916664" w:rsidR="00916664">
        <w:rPr>
          <w:lang w:val="fr-FR"/>
        </w:rPr>
        <w:t>’</w:t>
      </w:r>
      <w:r w:rsidRPr="00916664">
        <w:rPr>
          <w:lang w:val="fr-FR"/>
        </w:rPr>
        <w:t>État (</w:t>
      </w:r>
      <w:proofErr w:type="spellStart"/>
      <w:r w:rsidRPr="00916664">
        <w:rPr>
          <w:i/>
          <w:lang w:val="fr-FR"/>
        </w:rPr>
        <w:t>Devletin</w:t>
      </w:r>
      <w:proofErr w:type="spellEnd"/>
      <w:r w:rsidRPr="00916664">
        <w:rPr>
          <w:i/>
          <w:lang w:val="fr-FR"/>
        </w:rPr>
        <w:t xml:space="preserve"> </w:t>
      </w:r>
      <w:proofErr w:type="spellStart"/>
      <w:r w:rsidRPr="00916664">
        <w:rPr>
          <w:i/>
          <w:lang w:val="fr-FR"/>
        </w:rPr>
        <w:t>askeri</w:t>
      </w:r>
      <w:proofErr w:type="spellEnd"/>
      <w:r w:rsidRPr="00916664">
        <w:rPr>
          <w:i/>
          <w:lang w:val="fr-FR"/>
        </w:rPr>
        <w:t xml:space="preserve"> </w:t>
      </w:r>
      <w:proofErr w:type="spellStart"/>
      <w:r w:rsidRPr="00916664">
        <w:rPr>
          <w:i/>
          <w:lang w:val="fr-FR"/>
        </w:rPr>
        <w:t>veya</w:t>
      </w:r>
      <w:proofErr w:type="spellEnd"/>
      <w:r w:rsidRPr="00916664">
        <w:rPr>
          <w:i/>
          <w:lang w:val="fr-FR"/>
        </w:rPr>
        <w:t xml:space="preserve"> </w:t>
      </w:r>
      <w:proofErr w:type="spellStart"/>
      <w:r w:rsidRPr="00916664">
        <w:rPr>
          <w:i/>
          <w:lang w:val="fr-FR"/>
        </w:rPr>
        <w:t>emniyet</w:t>
      </w:r>
      <w:proofErr w:type="spellEnd"/>
      <w:r w:rsidRPr="00916664">
        <w:rPr>
          <w:i/>
          <w:lang w:val="fr-FR"/>
        </w:rPr>
        <w:t xml:space="preserve"> </w:t>
      </w:r>
      <w:proofErr w:type="spellStart"/>
      <w:r w:rsidRPr="00916664">
        <w:rPr>
          <w:i/>
          <w:lang w:val="fr-FR"/>
        </w:rPr>
        <w:t>muhafaza</w:t>
      </w:r>
      <w:proofErr w:type="spellEnd"/>
      <w:r w:rsidRPr="00916664">
        <w:rPr>
          <w:i/>
          <w:lang w:val="fr-FR"/>
        </w:rPr>
        <w:t xml:space="preserve"> </w:t>
      </w:r>
      <w:proofErr w:type="spellStart"/>
      <w:r w:rsidRPr="00916664">
        <w:rPr>
          <w:i/>
          <w:lang w:val="fr-FR"/>
        </w:rPr>
        <w:t>kuvvetleri</w:t>
      </w:r>
      <w:proofErr w:type="spellEnd"/>
      <w:r w:rsidRPr="00916664">
        <w:rPr>
          <w:lang w:val="fr-FR"/>
        </w:rPr>
        <w:t>).</w:t>
      </w:r>
    </w:p>
    <w:p w:rsidRPr="00916664" w:rsidR="00B82DCC" w:rsidP="00916664" w:rsidRDefault="00B82DCC">
      <w:pPr>
        <w:pStyle w:val="ECHRParaQuote"/>
        <w:rPr>
          <w:lang w:val="fr-FR"/>
        </w:rPr>
      </w:pPr>
      <w:r w:rsidRPr="00916664">
        <w:rPr>
          <w:lang w:val="fr-FR"/>
        </w:rPr>
        <w:t>(...)</w:t>
      </w:r>
    </w:p>
    <w:p w:rsidRPr="00916664" w:rsidR="00B82DCC" w:rsidP="00916664" w:rsidRDefault="00B82DCC">
      <w:pPr>
        <w:pStyle w:val="ECHRParaQuote"/>
        <w:rPr>
          <w:lang w:val="fr-FR"/>
        </w:rPr>
      </w:pPr>
      <w:r w:rsidRPr="00916664">
        <w:rPr>
          <w:lang w:val="fr-FR"/>
        </w:rPr>
        <w:t>L</w:t>
      </w:r>
      <w:r w:rsidRPr="00916664" w:rsidR="00916664">
        <w:rPr>
          <w:lang w:val="fr-FR"/>
        </w:rPr>
        <w:t>’</w:t>
      </w:r>
      <w:r w:rsidRPr="00916664">
        <w:rPr>
          <w:lang w:val="fr-FR"/>
        </w:rPr>
        <w:t>expression d</w:t>
      </w:r>
      <w:r w:rsidRPr="00916664" w:rsidR="00916664">
        <w:rPr>
          <w:lang w:val="fr-FR"/>
        </w:rPr>
        <w:t>’</w:t>
      </w:r>
      <w:r w:rsidRPr="00916664">
        <w:rPr>
          <w:lang w:val="fr-FR"/>
        </w:rPr>
        <w:t>opinions critiques, en l</w:t>
      </w:r>
      <w:r w:rsidRPr="00916664" w:rsidR="00916664">
        <w:rPr>
          <w:lang w:val="fr-FR"/>
        </w:rPr>
        <w:t>’</w:t>
      </w:r>
      <w:r w:rsidRPr="00916664">
        <w:rPr>
          <w:lang w:val="fr-FR"/>
        </w:rPr>
        <w:t>absence d</w:t>
      </w:r>
      <w:r w:rsidRPr="00916664" w:rsidR="00916664">
        <w:rPr>
          <w:lang w:val="fr-FR"/>
        </w:rPr>
        <w:t>’</w:t>
      </w:r>
      <w:r w:rsidRPr="00916664">
        <w:rPr>
          <w:lang w:val="fr-FR"/>
        </w:rPr>
        <w:t>intention de dénigrer, de présenter comme dénigré ou d</w:t>
      </w:r>
      <w:r w:rsidRPr="00916664" w:rsidR="00916664">
        <w:rPr>
          <w:lang w:val="fr-FR"/>
        </w:rPr>
        <w:t>’</w:t>
      </w:r>
      <w:r w:rsidRPr="00916664">
        <w:rPr>
          <w:lang w:val="fr-FR"/>
        </w:rPr>
        <w:t>insulter, ne constitue pas un délit. »</w:t>
      </w:r>
    </w:p>
    <w:p w:rsidRPr="00916664" w:rsidR="00B82DCC" w:rsidP="00916664" w:rsidRDefault="00B82DCC">
      <w:pPr>
        <w:pStyle w:val="JuPara"/>
        <w:rPr>
          <w:lang w:val="fr-FR"/>
        </w:rPr>
      </w:pPr>
      <w:r w:rsidRPr="00916664">
        <w:rPr>
          <w:lang w:val="fr-FR"/>
        </w:rPr>
        <w:t>12.  L</w:t>
      </w:r>
      <w:r w:rsidRPr="00916664" w:rsidR="00916664">
        <w:rPr>
          <w:lang w:val="fr-FR"/>
        </w:rPr>
        <w:t>’</w:t>
      </w:r>
      <w:r w:rsidRPr="00916664">
        <w:rPr>
          <w:lang w:val="fr-FR"/>
        </w:rPr>
        <w:t>article 480 du CP était libellé comme suit :</w:t>
      </w:r>
    </w:p>
    <w:p w:rsidRPr="00916664" w:rsidR="00B82DCC" w:rsidP="00916664" w:rsidRDefault="00B82DCC">
      <w:pPr>
        <w:pStyle w:val="ECHRParaQuote"/>
        <w:rPr>
          <w:lang w:val="fr-FR"/>
        </w:rPr>
      </w:pPr>
      <w:r w:rsidRPr="00916664">
        <w:rPr>
          <w:lang w:val="fr-FR"/>
        </w:rPr>
        <w:t>« Quiconque attribue, (...) en présence de plus de deux personnes, un fait concret (...) à autrui de manière à le soumettre au mépris et à l</w:t>
      </w:r>
      <w:r w:rsidRPr="00916664" w:rsidR="00916664">
        <w:rPr>
          <w:lang w:val="fr-FR"/>
        </w:rPr>
        <w:t>’</w:t>
      </w:r>
      <w:r w:rsidRPr="00916664">
        <w:rPr>
          <w:lang w:val="fr-FR"/>
        </w:rPr>
        <w:t>hostilité du public ou à porter atteinte à son honneur et à sa réputation sera puni d</w:t>
      </w:r>
      <w:r w:rsidRPr="00916664" w:rsidR="00916664">
        <w:rPr>
          <w:lang w:val="fr-FR"/>
        </w:rPr>
        <w:t>’</w:t>
      </w:r>
      <w:r w:rsidRPr="00916664">
        <w:rPr>
          <w:lang w:val="fr-FR"/>
        </w:rPr>
        <w:t>une peine d</w:t>
      </w:r>
      <w:r w:rsidRPr="00916664" w:rsidR="00916664">
        <w:rPr>
          <w:lang w:val="fr-FR"/>
        </w:rPr>
        <w:t>’</w:t>
      </w:r>
      <w:r w:rsidRPr="00916664">
        <w:rPr>
          <w:lang w:val="fr-FR"/>
        </w:rPr>
        <w:t>emprisonnement allant de trois mois à trois ans ou d</w:t>
      </w:r>
      <w:r w:rsidRPr="00916664" w:rsidR="00916664">
        <w:rPr>
          <w:lang w:val="fr-FR"/>
        </w:rPr>
        <w:t>’</w:t>
      </w:r>
      <w:r w:rsidRPr="00916664">
        <w:rPr>
          <w:lang w:val="fr-FR"/>
        </w:rPr>
        <w:t>une amende judiciaire lourde allant de cent mille livres turques à un million de livres turques.</w:t>
      </w:r>
    </w:p>
    <w:p w:rsidRPr="00916664" w:rsidR="00B82DCC" w:rsidP="00916664" w:rsidRDefault="00B82DCC">
      <w:pPr>
        <w:pStyle w:val="ECHRParaQuote"/>
        <w:rPr>
          <w:lang w:val="fr-FR"/>
        </w:rPr>
      </w:pPr>
      <w:r w:rsidRPr="00916664">
        <w:rPr>
          <w:lang w:val="fr-FR"/>
        </w:rPr>
        <w:t>Dans le cas où cet acte est commis en présence de la personne attaquée, même si cette dernière était seule, ou par une lettre, un télégramme, une photographie ou un écrit adressé à son nom, ou par téléphone, il sera infligé une peine d</w:t>
      </w:r>
      <w:r w:rsidRPr="00916664" w:rsidR="00916664">
        <w:rPr>
          <w:lang w:val="fr-FR"/>
        </w:rPr>
        <w:t>’</w:t>
      </w:r>
      <w:r w:rsidRPr="00916664">
        <w:rPr>
          <w:lang w:val="fr-FR"/>
        </w:rPr>
        <w:t>emprisonnement allant de quatre mois à trois ans ou une amende judiciaire lourde allant de cent cinquante mille livres turques à un million cinq cent mille livres turques.</w:t>
      </w:r>
    </w:p>
    <w:p w:rsidRPr="00916664" w:rsidR="00B82DCC" w:rsidP="00916664" w:rsidRDefault="00B82DCC">
      <w:pPr>
        <w:pStyle w:val="ECHRParaQuote"/>
        <w:rPr>
          <w:lang w:val="fr-FR"/>
        </w:rPr>
      </w:pPr>
      <w:r w:rsidRPr="00916664">
        <w:rPr>
          <w:lang w:val="fr-FR"/>
        </w:rPr>
        <w:t>Dans le cas où cet acte est commis publiquement en présence de la personne attaquée, il sera infligé une peine d</w:t>
      </w:r>
      <w:r w:rsidRPr="00916664" w:rsidR="00916664">
        <w:rPr>
          <w:lang w:val="fr-FR"/>
        </w:rPr>
        <w:t>’</w:t>
      </w:r>
      <w:r w:rsidRPr="00916664">
        <w:rPr>
          <w:lang w:val="fr-FR"/>
        </w:rPr>
        <w:t>emprisonnement allant de cinq mois à trois ans ou une amende judiciaire lourde allant de deux cent cinquante mille livres turques à deux millions de livres turques.</w:t>
      </w:r>
    </w:p>
    <w:p w:rsidRPr="00916664" w:rsidR="00B82DCC" w:rsidP="00916664" w:rsidRDefault="00B82DCC">
      <w:pPr>
        <w:pStyle w:val="ECHRParaQuote"/>
        <w:rPr>
          <w:lang w:val="fr-FR"/>
        </w:rPr>
      </w:pPr>
      <w:r w:rsidRPr="00916664">
        <w:rPr>
          <w:lang w:val="fr-FR"/>
        </w:rPr>
        <w:t>Dans le cas où cet acte est commis par le biais d</w:t>
      </w:r>
      <w:r w:rsidRPr="00916664" w:rsidR="00916664">
        <w:rPr>
          <w:lang w:val="fr-FR"/>
        </w:rPr>
        <w:t>’</w:t>
      </w:r>
      <w:r w:rsidRPr="00916664">
        <w:rPr>
          <w:lang w:val="fr-FR"/>
        </w:rPr>
        <w:t>un écrit ou d</w:t>
      </w:r>
      <w:r w:rsidRPr="00916664" w:rsidR="00916664">
        <w:rPr>
          <w:lang w:val="fr-FR"/>
        </w:rPr>
        <w:t>’</w:t>
      </w:r>
      <w:r w:rsidRPr="00916664">
        <w:rPr>
          <w:lang w:val="fr-FR"/>
        </w:rPr>
        <w:t>une photographie rendus publics (...) ou d</w:t>
      </w:r>
      <w:r w:rsidRPr="00916664" w:rsidR="00916664">
        <w:rPr>
          <w:lang w:val="fr-FR"/>
        </w:rPr>
        <w:t>’</w:t>
      </w:r>
      <w:r w:rsidRPr="00916664">
        <w:rPr>
          <w:lang w:val="fr-FR"/>
        </w:rPr>
        <w:t>un autre moyen de publication, il sera infligé une peine d</w:t>
      </w:r>
      <w:r w:rsidRPr="00916664" w:rsidR="00916664">
        <w:rPr>
          <w:lang w:val="fr-FR"/>
        </w:rPr>
        <w:t>’</w:t>
      </w:r>
      <w:r w:rsidRPr="00916664">
        <w:rPr>
          <w:lang w:val="fr-FR"/>
        </w:rPr>
        <w:t>emprisonnement allant de six mois à trois ans ou une amende judiciaire lourde allant de trois millions de livres turques à vingt-cinq millions de livres turques. »</w:t>
      </w:r>
    </w:p>
    <w:p w:rsidRPr="00916664" w:rsidR="00B82DCC" w:rsidP="00916664" w:rsidRDefault="00B82DCC">
      <w:pPr>
        <w:pStyle w:val="ECHRHeading3"/>
        <w:ind w:left="731" w:firstLine="0"/>
        <w:rPr>
          <w:lang w:val="fr-FR"/>
        </w:rPr>
      </w:pPr>
      <w:r w:rsidRPr="00916664">
        <w:rPr>
          <w:lang w:val="fr-FR"/>
        </w:rPr>
        <w:t>2.  Les dispositions pertinentes du NCP</w:t>
      </w:r>
    </w:p>
    <w:p w:rsidRPr="00916664" w:rsidR="00B82DCC" w:rsidP="00916664" w:rsidRDefault="00B82DCC">
      <w:pPr>
        <w:pStyle w:val="JuPara"/>
        <w:rPr>
          <w:lang w:val="fr-FR"/>
        </w:rPr>
      </w:pPr>
      <w:r w:rsidRPr="00916664">
        <w:rPr>
          <w:lang w:val="fr-FR"/>
        </w:rPr>
        <w:t>13.  L</w:t>
      </w:r>
      <w:r w:rsidRPr="00916664" w:rsidR="00916664">
        <w:rPr>
          <w:lang w:val="fr-FR"/>
        </w:rPr>
        <w:t>’</w:t>
      </w:r>
      <w:r w:rsidRPr="00916664">
        <w:rPr>
          <w:lang w:val="fr-FR"/>
        </w:rPr>
        <w:t>article 125 du NCP (loi n</w:t>
      </w:r>
      <w:r w:rsidRPr="00916664">
        <w:rPr>
          <w:vertAlign w:val="superscript"/>
          <w:lang w:val="fr-FR"/>
        </w:rPr>
        <w:t>o</w:t>
      </w:r>
      <w:r w:rsidRPr="00916664">
        <w:rPr>
          <w:lang w:val="fr-FR"/>
        </w:rPr>
        <w:t xml:space="preserve"> 5237 du 26 septembre 2004, entrée en vigueur le 1</w:t>
      </w:r>
      <w:r w:rsidRPr="00916664">
        <w:rPr>
          <w:vertAlign w:val="superscript"/>
          <w:lang w:val="fr-FR"/>
        </w:rPr>
        <w:t>er</w:t>
      </w:r>
      <w:r w:rsidRPr="00916664">
        <w:rPr>
          <w:lang w:val="fr-FR"/>
        </w:rPr>
        <w:t xml:space="preserve"> juin 2005), intitulé « insulte », se lit comme suit en sa partie pertinente en l</w:t>
      </w:r>
      <w:r w:rsidRPr="00916664" w:rsidR="00916664">
        <w:rPr>
          <w:lang w:val="fr-FR"/>
        </w:rPr>
        <w:t>’</w:t>
      </w:r>
      <w:r w:rsidRPr="00916664">
        <w:rPr>
          <w:lang w:val="fr-FR"/>
        </w:rPr>
        <w:t>espèce :</w:t>
      </w:r>
    </w:p>
    <w:p w:rsidRPr="00916664" w:rsidR="00B82DCC" w:rsidP="00916664" w:rsidRDefault="00B82DCC">
      <w:pPr>
        <w:pStyle w:val="ECHRParaQuote"/>
        <w:rPr>
          <w:lang w:val="fr-FR"/>
        </w:rPr>
      </w:pPr>
      <w:r w:rsidRPr="00916664">
        <w:rPr>
          <w:lang w:val="fr-FR"/>
        </w:rPr>
        <w:t>« Quiconque attribue un acte ou un fait concret à autrui de manière à porter atteinte à son honneur, à sa dignité et à sa réputation ou attaque l</w:t>
      </w:r>
      <w:r w:rsidRPr="00916664" w:rsidR="00916664">
        <w:rPr>
          <w:lang w:val="fr-FR"/>
        </w:rPr>
        <w:t>’</w:t>
      </w:r>
      <w:r w:rsidRPr="00916664">
        <w:rPr>
          <w:lang w:val="fr-FR"/>
        </w:rPr>
        <w:t>honneur, la dignité et la réputation d</w:t>
      </w:r>
      <w:r w:rsidRPr="00916664" w:rsidR="00916664">
        <w:rPr>
          <w:lang w:val="fr-FR"/>
        </w:rPr>
        <w:t>’</w:t>
      </w:r>
      <w:r w:rsidRPr="00916664">
        <w:rPr>
          <w:lang w:val="fr-FR"/>
        </w:rPr>
        <w:t>autrui par des injures sera puni d</w:t>
      </w:r>
      <w:r w:rsidRPr="00916664" w:rsidR="00916664">
        <w:rPr>
          <w:lang w:val="fr-FR"/>
        </w:rPr>
        <w:t>’</w:t>
      </w:r>
      <w:r w:rsidRPr="00916664">
        <w:rPr>
          <w:lang w:val="fr-FR"/>
        </w:rPr>
        <w:t>une peine d</w:t>
      </w:r>
      <w:r w:rsidRPr="00916664" w:rsidR="00916664">
        <w:rPr>
          <w:lang w:val="fr-FR"/>
        </w:rPr>
        <w:t>’</w:t>
      </w:r>
      <w:r w:rsidRPr="00916664">
        <w:rPr>
          <w:lang w:val="fr-FR"/>
        </w:rPr>
        <w:t>emprisonnement allant de trois mois à deux ans ou d</w:t>
      </w:r>
      <w:r w:rsidRPr="00916664" w:rsidR="00916664">
        <w:rPr>
          <w:lang w:val="fr-FR"/>
        </w:rPr>
        <w:t>’</w:t>
      </w:r>
      <w:r w:rsidRPr="00916664">
        <w:rPr>
          <w:lang w:val="fr-FR"/>
        </w:rPr>
        <w:t>une amende judiciaire.</w:t>
      </w:r>
    </w:p>
    <w:p w:rsidRPr="00916664" w:rsidR="00B82DCC" w:rsidP="00916664" w:rsidRDefault="00B82DCC">
      <w:pPr>
        <w:pStyle w:val="ECHRParaQuote"/>
        <w:rPr>
          <w:lang w:val="fr-FR"/>
        </w:rPr>
      </w:pPr>
      <w:r w:rsidRPr="00916664">
        <w:rPr>
          <w:lang w:val="fr-FR"/>
        </w:rPr>
        <w:t>Dans le cas où cet acte est commis par le biais d</w:t>
      </w:r>
      <w:r w:rsidRPr="00916664" w:rsidR="00916664">
        <w:rPr>
          <w:lang w:val="fr-FR"/>
        </w:rPr>
        <w:t>’</w:t>
      </w:r>
      <w:r w:rsidRPr="00916664">
        <w:rPr>
          <w:lang w:val="fr-FR"/>
        </w:rPr>
        <w:t>un moyen de communication audiovisuel ou écrit, la peine prévue à l</w:t>
      </w:r>
      <w:r w:rsidRPr="00916664" w:rsidR="00916664">
        <w:rPr>
          <w:lang w:val="fr-FR"/>
        </w:rPr>
        <w:t>’</w:t>
      </w:r>
      <w:r w:rsidRPr="00916664">
        <w:rPr>
          <w:lang w:val="fr-FR"/>
        </w:rPr>
        <w:t>alinéa susmentionné est infligée.</w:t>
      </w:r>
    </w:p>
    <w:p w:rsidRPr="00916664" w:rsidR="00B82DCC" w:rsidP="00916664" w:rsidRDefault="00B82DCC">
      <w:pPr>
        <w:pStyle w:val="ECHRParaQuote"/>
        <w:rPr>
          <w:lang w:val="fr-FR"/>
        </w:rPr>
      </w:pPr>
      <w:r w:rsidRPr="00916664">
        <w:rPr>
          <w:lang w:val="fr-FR"/>
        </w:rPr>
        <w:t>Le plancher de la peine ne sera pas inférieur à un an d</w:t>
      </w:r>
      <w:r w:rsidRPr="00916664" w:rsidR="00916664">
        <w:rPr>
          <w:lang w:val="fr-FR"/>
        </w:rPr>
        <w:t>’</w:t>
      </w:r>
      <w:r w:rsidRPr="00916664">
        <w:rPr>
          <w:lang w:val="fr-FR"/>
        </w:rPr>
        <w:t>emprisonnement dans le cas où le délit d</w:t>
      </w:r>
      <w:r w:rsidRPr="00916664" w:rsidR="00916664">
        <w:rPr>
          <w:lang w:val="fr-FR"/>
        </w:rPr>
        <w:t>’</w:t>
      </w:r>
      <w:r w:rsidRPr="00916664">
        <w:rPr>
          <w:lang w:val="fr-FR"/>
        </w:rPr>
        <w:t>insulte est commis :</w:t>
      </w:r>
    </w:p>
    <w:p w:rsidRPr="00916664" w:rsidR="00B82DCC" w:rsidP="00916664" w:rsidRDefault="00B82DCC">
      <w:pPr>
        <w:pStyle w:val="ECHRParaQuote"/>
        <w:rPr>
          <w:lang w:val="fr-FR"/>
        </w:rPr>
      </w:pPr>
      <w:r w:rsidRPr="00916664">
        <w:rPr>
          <w:lang w:val="fr-FR"/>
        </w:rPr>
        <w:t>a) contre un agent public en raison de sa fonction,</w:t>
      </w:r>
    </w:p>
    <w:p w:rsidRPr="00916664" w:rsidR="00B82DCC" w:rsidP="00916664" w:rsidRDefault="00B82DCC">
      <w:pPr>
        <w:pStyle w:val="ECHRParaQuote"/>
        <w:rPr>
          <w:lang w:val="fr-FR"/>
        </w:rPr>
      </w:pPr>
      <w:r w:rsidRPr="00916664">
        <w:rPr>
          <w:lang w:val="fr-FR"/>
        </w:rPr>
        <w:t>b) en raison de l</w:t>
      </w:r>
      <w:r w:rsidRPr="00916664" w:rsidR="00916664">
        <w:rPr>
          <w:lang w:val="fr-FR"/>
        </w:rPr>
        <w:t>’</w:t>
      </w:r>
      <w:r w:rsidRPr="00916664">
        <w:rPr>
          <w:lang w:val="fr-FR"/>
        </w:rPr>
        <w:t>expression, du changement ou de l</w:t>
      </w:r>
      <w:r w:rsidRPr="00916664" w:rsidR="00916664">
        <w:rPr>
          <w:lang w:val="fr-FR"/>
        </w:rPr>
        <w:t>’</w:t>
      </w:r>
      <w:r w:rsidRPr="00916664">
        <w:rPr>
          <w:lang w:val="fr-FR"/>
        </w:rPr>
        <w:t>effort de propagation des croyances, pensées et opinions religieuses, politiques, sociales et philosophiques, ou de l</w:t>
      </w:r>
      <w:r w:rsidRPr="00916664" w:rsidR="00916664">
        <w:rPr>
          <w:lang w:val="fr-FR"/>
        </w:rPr>
        <w:t>’</w:t>
      </w:r>
      <w:r w:rsidRPr="00916664">
        <w:rPr>
          <w:lang w:val="fr-FR"/>
        </w:rPr>
        <w:t>application des commandements et interdictions de sa religion,</w:t>
      </w:r>
    </w:p>
    <w:p w:rsidRPr="00916664" w:rsidR="00B82DCC" w:rsidP="00916664" w:rsidRDefault="00B82DCC">
      <w:pPr>
        <w:pStyle w:val="ECHRParaQuote"/>
        <w:rPr>
          <w:lang w:val="fr-FR"/>
        </w:rPr>
      </w:pPr>
      <w:r w:rsidRPr="00916664">
        <w:rPr>
          <w:lang w:val="fr-FR"/>
        </w:rPr>
        <w:t>c) en mentionnant les valeurs considérées sacrées par une religion à laquelle [l</w:t>
      </w:r>
      <w:r w:rsidRPr="00916664" w:rsidR="00916664">
        <w:rPr>
          <w:lang w:val="fr-FR"/>
        </w:rPr>
        <w:t>’</w:t>
      </w:r>
      <w:r w:rsidRPr="00916664">
        <w:rPr>
          <w:lang w:val="fr-FR"/>
        </w:rPr>
        <w:t>intéressé] appartient »</w:t>
      </w:r>
    </w:p>
    <w:p w:rsidRPr="00916664" w:rsidR="00B82DCC" w:rsidP="00916664" w:rsidRDefault="00B82DCC">
      <w:pPr>
        <w:pStyle w:val="JuPara"/>
        <w:rPr>
          <w:lang w:val="fr-FR"/>
        </w:rPr>
      </w:pPr>
      <w:r w:rsidRPr="00916664">
        <w:rPr>
          <w:lang w:val="fr-FR"/>
        </w:rPr>
        <w:t>14.  L</w:t>
      </w:r>
      <w:r w:rsidRPr="00916664" w:rsidR="00916664">
        <w:rPr>
          <w:lang w:val="fr-FR"/>
        </w:rPr>
        <w:t>’</w:t>
      </w:r>
      <w:r w:rsidRPr="00916664">
        <w:rPr>
          <w:lang w:val="fr-FR"/>
        </w:rPr>
        <w:t>article 299 du NCP, intitulé « insulte au président de la République », est ainsi libellé :</w:t>
      </w:r>
    </w:p>
    <w:p w:rsidRPr="00916664" w:rsidR="00B82DCC" w:rsidP="00916664" w:rsidRDefault="00B82DCC">
      <w:pPr>
        <w:pStyle w:val="ECHRParaQuote"/>
        <w:rPr>
          <w:lang w:val="fr-FR"/>
        </w:rPr>
      </w:pPr>
      <w:r w:rsidRPr="00916664">
        <w:rPr>
          <w:lang w:val="fr-FR"/>
        </w:rPr>
        <w:t>« Quiconque insulte le président de la République sera puni d</w:t>
      </w:r>
      <w:r w:rsidRPr="00916664" w:rsidR="00916664">
        <w:rPr>
          <w:lang w:val="fr-FR"/>
        </w:rPr>
        <w:t>’</w:t>
      </w:r>
      <w:r w:rsidRPr="00916664">
        <w:rPr>
          <w:lang w:val="fr-FR"/>
        </w:rPr>
        <w:t>une peine d</w:t>
      </w:r>
      <w:r w:rsidRPr="00916664" w:rsidR="00916664">
        <w:rPr>
          <w:lang w:val="fr-FR"/>
        </w:rPr>
        <w:t>’</w:t>
      </w:r>
      <w:r w:rsidRPr="00916664">
        <w:rPr>
          <w:lang w:val="fr-FR"/>
        </w:rPr>
        <w:t>emprisonnement d</w:t>
      </w:r>
      <w:r w:rsidRPr="00916664" w:rsidR="00916664">
        <w:rPr>
          <w:lang w:val="fr-FR"/>
        </w:rPr>
        <w:t>’</w:t>
      </w:r>
      <w:r w:rsidRPr="00916664">
        <w:rPr>
          <w:lang w:val="fr-FR"/>
        </w:rPr>
        <w:t>un à quatre ans.</w:t>
      </w:r>
    </w:p>
    <w:p w:rsidRPr="00916664" w:rsidR="00B82DCC" w:rsidP="00916664" w:rsidRDefault="00B82DCC">
      <w:pPr>
        <w:pStyle w:val="ECHRParaQuote"/>
        <w:rPr>
          <w:lang w:val="fr-FR"/>
        </w:rPr>
      </w:pPr>
      <w:r w:rsidRPr="00916664">
        <w:rPr>
          <w:lang w:val="fr-FR"/>
        </w:rPr>
        <w:t>Si ce délit est commis en public, la peine est augmentée d</w:t>
      </w:r>
      <w:r w:rsidRPr="00916664" w:rsidR="00916664">
        <w:rPr>
          <w:lang w:val="fr-FR"/>
        </w:rPr>
        <w:t>’</w:t>
      </w:r>
      <w:r w:rsidRPr="00916664">
        <w:rPr>
          <w:lang w:val="fr-FR"/>
        </w:rPr>
        <w:t>un sixième.</w:t>
      </w:r>
    </w:p>
    <w:p w:rsidRPr="00916664" w:rsidR="00B82DCC" w:rsidP="00916664" w:rsidRDefault="00B82DCC">
      <w:pPr>
        <w:pStyle w:val="ECHRParaQuote"/>
        <w:rPr>
          <w:lang w:val="fr-FR"/>
        </w:rPr>
      </w:pPr>
      <w:r w:rsidRPr="00916664">
        <w:rPr>
          <w:lang w:val="fr-FR"/>
        </w:rPr>
        <w:t>La poursuite de ce délit est subordonnée à l</w:t>
      </w:r>
      <w:r w:rsidRPr="00916664" w:rsidR="00916664">
        <w:rPr>
          <w:lang w:val="fr-FR"/>
        </w:rPr>
        <w:t>’</w:t>
      </w:r>
      <w:r w:rsidRPr="00916664">
        <w:rPr>
          <w:lang w:val="fr-FR"/>
        </w:rPr>
        <w:t>autorisation du ministre de la Justice. »</w:t>
      </w:r>
    </w:p>
    <w:p w:rsidRPr="00916664" w:rsidR="00B82DCC" w:rsidP="00916664" w:rsidRDefault="00B82DCC">
      <w:pPr>
        <w:pStyle w:val="JuPara"/>
        <w:rPr>
          <w:lang w:val="fr-FR"/>
        </w:rPr>
      </w:pPr>
      <w:r w:rsidRPr="00916664">
        <w:rPr>
          <w:lang w:val="fr-FR"/>
        </w:rPr>
        <w:t>15.  L</w:t>
      </w:r>
      <w:r w:rsidRPr="00916664" w:rsidR="00916664">
        <w:rPr>
          <w:lang w:val="fr-FR"/>
        </w:rPr>
        <w:t>’</w:t>
      </w:r>
      <w:r w:rsidRPr="00916664">
        <w:rPr>
          <w:lang w:val="fr-FR"/>
        </w:rPr>
        <w:t>article 301 du NCP, intitulé « dénigrement de la nation turque, de l</w:t>
      </w:r>
      <w:r w:rsidRPr="00916664" w:rsidR="00916664">
        <w:rPr>
          <w:lang w:val="fr-FR"/>
        </w:rPr>
        <w:t>’</w:t>
      </w:r>
      <w:r w:rsidRPr="00916664">
        <w:rPr>
          <w:lang w:val="fr-FR"/>
        </w:rPr>
        <w:t>État de la République de Turquie et des institutions et des organes de l</w:t>
      </w:r>
      <w:r w:rsidRPr="00916664" w:rsidR="00916664">
        <w:rPr>
          <w:lang w:val="fr-FR"/>
        </w:rPr>
        <w:t>’</w:t>
      </w:r>
      <w:r w:rsidRPr="00916664">
        <w:rPr>
          <w:lang w:val="fr-FR"/>
        </w:rPr>
        <w:t>État », tel qu</w:t>
      </w:r>
      <w:r w:rsidRPr="00916664" w:rsidR="00916664">
        <w:rPr>
          <w:lang w:val="fr-FR"/>
        </w:rPr>
        <w:t>’</w:t>
      </w:r>
      <w:r w:rsidRPr="00916664">
        <w:rPr>
          <w:lang w:val="fr-FR"/>
        </w:rPr>
        <w:t>amendé par la loi n</w:t>
      </w:r>
      <w:r w:rsidRPr="00916664">
        <w:rPr>
          <w:vertAlign w:val="superscript"/>
          <w:lang w:val="fr-FR"/>
        </w:rPr>
        <w:t>o</w:t>
      </w:r>
      <w:r w:rsidRPr="00916664">
        <w:rPr>
          <w:lang w:val="fr-FR"/>
        </w:rPr>
        <w:t xml:space="preserve"> 5759 du 30 avril 2008, se lit comme suit :</w:t>
      </w:r>
    </w:p>
    <w:p w:rsidRPr="00916664" w:rsidR="00B82DCC" w:rsidP="00916664" w:rsidRDefault="00B82DCC">
      <w:pPr>
        <w:pStyle w:val="ECHRParaQuote"/>
        <w:rPr>
          <w:lang w:val="fr-FR"/>
        </w:rPr>
      </w:pPr>
      <w:r w:rsidRPr="00916664">
        <w:rPr>
          <w:lang w:val="fr-FR"/>
        </w:rPr>
        <w:t>« Est passible d</w:t>
      </w:r>
      <w:r w:rsidRPr="00916664" w:rsidR="00916664">
        <w:rPr>
          <w:lang w:val="fr-FR"/>
        </w:rPr>
        <w:t>’</w:t>
      </w:r>
      <w:r w:rsidRPr="00916664">
        <w:rPr>
          <w:lang w:val="fr-FR"/>
        </w:rPr>
        <w:t>une peine de six mois à deux ans d</w:t>
      </w:r>
      <w:r w:rsidRPr="00916664" w:rsidR="00916664">
        <w:rPr>
          <w:lang w:val="fr-FR"/>
        </w:rPr>
        <w:t>’</w:t>
      </w:r>
      <w:r w:rsidRPr="00916664">
        <w:rPr>
          <w:lang w:val="fr-FR"/>
        </w:rPr>
        <w:t>emprisonnement quiconque dénigre publiquement la nation turque, la République de Turquie, la Grande Assemblée nationale de Turquie, le gouvernement de la République de Turquie et les organes judiciaires de l</w:t>
      </w:r>
      <w:r w:rsidRPr="00916664" w:rsidR="00916664">
        <w:rPr>
          <w:lang w:val="fr-FR"/>
        </w:rPr>
        <w:t>’</w:t>
      </w:r>
      <w:r w:rsidRPr="00916664">
        <w:rPr>
          <w:lang w:val="fr-FR"/>
        </w:rPr>
        <w:t>État.</w:t>
      </w:r>
    </w:p>
    <w:p w:rsidRPr="00916664" w:rsidR="00B82DCC" w:rsidP="00916664" w:rsidRDefault="00B82DCC">
      <w:pPr>
        <w:pStyle w:val="ECHRParaQuote"/>
        <w:rPr>
          <w:lang w:val="fr-FR"/>
        </w:rPr>
      </w:pPr>
      <w:r w:rsidRPr="00916664">
        <w:rPr>
          <w:lang w:val="fr-FR"/>
        </w:rPr>
        <w:t>Est sanctionné selon les dispositions du premier paragraphe quiconque dénigre publiquement les forces militaires ou la sûreté de l</w:t>
      </w:r>
      <w:r w:rsidRPr="00916664" w:rsidR="00916664">
        <w:rPr>
          <w:lang w:val="fr-FR"/>
        </w:rPr>
        <w:t>’</w:t>
      </w:r>
      <w:r w:rsidRPr="00916664">
        <w:rPr>
          <w:lang w:val="fr-FR"/>
        </w:rPr>
        <w:t>État.</w:t>
      </w:r>
    </w:p>
    <w:p w:rsidRPr="00916664" w:rsidR="00B82DCC" w:rsidP="00916664" w:rsidRDefault="00B82DCC">
      <w:pPr>
        <w:pStyle w:val="ECHRParaQuote"/>
        <w:rPr>
          <w:lang w:val="fr-FR"/>
        </w:rPr>
      </w:pPr>
      <w:r w:rsidRPr="00916664">
        <w:rPr>
          <w:lang w:val="fr-FR"/>
        </w:rPr>
        <w:t>L</w:t>
      </w:r>
      <w:r w:rsidRPr="00916664" w:rsidR="00916664">
        <w:rPr>
          <w:lang w:val="fr-FR"/>
        </w:rPr>
        <w:t>’</w:t>
      </w:r>
      <w:r w:rsidRPr="00916664">
        <w:rPr>
          <w:lang w:val="fr-FR"/>
        </w:rPr>
        <w:t>expression d</w:t>
      </w:r>
      <w:r w:rsidRPr="00916664" w:rsidR="00916664">
        <w:rPr>
          <w:lang w:val="fr-FR"/>
        </w:rPr>
        <w:t>’</w:t>
      </w:r>
      <w:r w:rsidRPr="00916664">
        <w:rPr>
          <w:lang w:val="fr-FR"/>
        </w:rPr>
        <w:t>opinions critiques ne constitue pas un délit.</w:t>
      </w:r>
    </w:p>
    <w:p w:rsidRPr="00916664" w:rsidR="00B82DCC" w:rsidP="00916664" w:rsidRDefault="00B82DCC">
      <w:pPr>
        <w:pStyle w:val="ECHRParaQuote"/>
        <w:rPr>
          <w:lang w:val="fr-FR"/>
        </w:rPr>
      </w:pPr>
      <w:r w:rsidRPr="00916664">
        <w:rPr>
          <w:lang w:val="fr-FR"/>
        </w:rPr>
        <w:t>La poursuite de ce délit est subordonnée à l</w:t>
      </w:r>
      <w:r w:rsidRPr="00916664" w:rsidR="00916664">
        <w:rPr>
          <w:lang w:val="fr-FR"/>
        </w:rPr>
        <w:t>’</w:t>
      </w:r>
      <w:r w:rsidRPr="00916664">
        <w:rPr>
          <w:lang w:val="fr-FR"/>
        </w:rPr>
        <w:t>autorisation du ministre de la Justice. »</w:t>
      </w:r>
    </w:p>
    <w:p w:rsidRPr="00916664" w:rsidR="00B82DCC" w:rsidP="00916664" w:rsidRDefault="00B82DCC">
      <w:pPr>
        <w:pStyle w:val="ECHRHeading2"/>
        <w:ind w:firstLine="0"/>
        <w:rPr>
          <w:lang w:val="fr-FR"/>
        </w:rPr>
      </w:pPr>
      <w:r w:rsidRPr="00916664">
        <w:rPr>
          <w:lang w:val="fr-FR"/>
        </w:rPr>
        <w:t>B.  Les textes du Conseil de l</w:t>
      </w:r>
      <w:r w:rsidRPr="00916664" w:rsidR="00916664">
        <w:rPr>
          <w:lang w:val="fr-FR"/>
        </w:rPr>
        <w:t>’</w:t>
      </w:r>
      <w:r w:rsidRPr="00916664">
        <w:rPr>
          <w:lang w:val="fr-FR"/>
        </w:rPr>
        <w:t>Europe</w:t>
      </w:r>
    </w:p>
    <w:p w:rsidRPr="00916664" w:rsidR="00B82DCC" w:rsidP="00916664" w:rsidRDefault="00B82DCC">
      <w:pPr>
        <w:pStyle w:val="ECHRHeading3"/>
        <w:ind w:left="731" w:firstLine="0"/>
        <w:rPr>
          <w:lang w:val="fr-FR"/>
        </w:rPr>
      </w:pPr>
      <w:r w:rsidRPr="00916664">
        <w:rPr>
          <w:lang w:val="fr-FR"/>
        </w:rPr>
        <w:t>1.  La Déclaration du Comité des Ministres sur la liberté du discours politique dans les médias</w:t>
      </w:r>
    </w:p>
    <w:p w:rsidRPr="00916664" w:rsidR="00B82DCC" w:rsidP="00916664" w:rsidRDefault="00B82DCC">
      <w:pPr>
        <w:pStyle w:val="JuPara"/>
        <w:rPr>
          <w:lang w:val="fr-FR"/>
        </w:rPr>
      </w:pPr>
      <w:r w:rsidRPr="00916664">
        <w:rPr>
          <w:lang w:val="fr-FR"/>
        </w:rPr>
        <w:t>16.  La Déclaration sur la liberté du discours politique dans les médias, adoptée par le Comité des Ministres le 12 février 2004, est ainsi libellée en ses parties pertinentes en l</w:t>
      </w:r>
      <w:r w:rsidRPr="00916664" w:rsidR="00916664">
        <w:rPr>
          <w:lang w:val="fr-FR"/>
        </w:rPr>
        <w:t>’</w:t>
      </w:r>
      <w:r w:rsidRPr="00916664">
        <w:rPr>
          <w:lang w:val="fr-FR"/>
        </w:rPr>
        <w:t>espèce :</w:t>
      </w:r>
    </w:p>
    <w:p w:rsidRPr="00916664" w:rsidR="00B82DCC" w:rsidP="00916664" w:rsidRDefault="00B82DCC">
      <w:pPr>
        <w:pStyle w:val="ECHRParaQuote"/>
        <w:rPr>
          <w:lang w:val="fr-FR"/>
        </w:rPr>
      </w:pPr>
      <w:r w:rsidRPr="00916664">
        <w:rPr>
          <w:lang w:val="fr-FR"/>
        </w:rPr>
        <w:t>« Le Comité des Ministres du Conseil de l</w:t>
      </w:r>
      <w:r w:rsidRPr="00916664" w:rsidR="00916664">
        <w:rPr>
          <w:lang w:val="fr-FR"/>
        </w:rPr>
        <w:t>’</w:t>
      </w:r>
      <w:r w:rsidRPr="00916664">
        <w:rPr>
          <w:lang w:val="fr-FR"/>
        </w:rPr>
        <w:t>Europe,</w:t>
      </w:r>
    </w:p>
    <w:p w:rsidRPr="00916664" w:rsidR="00B82DCC" w:rsidP="00916664" w:rsidRDefault="00B82DCC">
      <w:pPr>
        <w:pStyle w:val="ECHRParaQuote"/>
        <w:rPr>
          <w:lang w:val="fr-FR"/>
        </w:rPr>
      </w:pPr>
      <w:r w:rsidRPr="00916664">
        <w:rPr>
          <w:lang w:val="fr-FR"/>
        </w:rPr>
        <w:t>(...)</w:t>
      </w:r>
    </w:p>
    <w:p w:rsidRPr="00916664" w:rsidR="00B82DCC" w:rsidP="00916664" w:rsidRDefault="00B82DCC">
      <w:pPr>
        <w:pStyle w:val="ECHRParaQuote"/>
        <w:rPr>
          <w:lang w:val="fr-FR"/>
        </w:rPr>
      </w:pPr>
      <w:r w:rsidRPr="00916664">
        <w:rPr>
          <w:lang w:val="fr-FR"/>
        </w:rPr>
        <w:t>Conscient que certains systèmes juridiques internes accordent encore des privilèges juridiques aux personnalités politiques ou aux fonctionnaires contre la diffusion d</w:t>
      </w:r>
      <w:r w:rsidRPr="00916664" w:rsidR="00916664">
        <w:rPr>
          <w:lang w:val="fr-FR"/>
        </w:rPr>
        <w:t>’</w:t>
      </w:r>
      <w:r w:rsidRPr="00916664">
        <w:rPr>
          <w:lang w:val="fr-FR"/>
        </w:rPr>
        <w:t>informations et d</w:t>
      </w:r>
      <w:r w:rsidRPr="00916664" w:rsidR="00916664">
        <w:rPr>
          <w:lang w:val="fr-FR"/>
        </w:rPr>
        <w:t>’</w:t>
      </w:r>
      <w:r w:rsidRPr="00916664">
        <w:rPr>
          <w:lang w:val="fr-FR"/>
        </w:rPr>
        <w:t>opinions les concernant dans les médias, ce qui n</w:t>
      </w:r>
      <w:r w:rsidRPr="00916664" w:rsidR="00916664">
        <w:rPr>
          <w:lang w:val="fr-FR"/>
        </w:rPr>
        <w:t>’</w:t>
      </w:r>
      <w:r w:rsidRPr="00916664">
        <w:rPr>
          <w:lang w:val="fr-FR"/>
        </w:rPr>
        <w:t>est pas compatible avec le droit à la liberté d</w:t>
      </w:r>
      <w:r w:rsidRPr="00916664" w:rsidR="00916664">
        <w:rPr>
          <w:lang w:val="fr-FR"/>
        </w:rPr>
        <w:t>’</w:t>
      </w:r>
      <w:r w:rsidRPr="00916664">
        <w:rPr>
          <w:lang w:val="fr-FR"/>
        </w:rPr>
        <w:t>expression et d</w:t>
      </w:r>
      <w:r w:rsidRPr="00916664" w:rsidR="00916664">
        <w:rPr>
          <w:lang w:val="fr-FR"/>
        </w:rPr>
        <w:t>’</w:t>
      </w:r>
      <w:r w:rsidRPr="00916664">
        <w:rPr>
          <w:lang w:val="fr-FR"/>
        </w:rPr>
        <w:t>information garanti par l</w:t>
      </w:r>
      <w:r w:rsidRPr="00916664" w:rsidR="00916664">
        <w:rPr>
          <w:lang w:val="fr-FR"/>
        </w:rPr>
        <w:t>’</w:t>
      </w:r>
      <w:r w:rsidRPr="00916664">
        <w:rPr>
          <w:lang w:val="fr-FR"/>
        </w:rPr>
        <w:t>article 10 de la Convention ;</w:t>
      </w:r>
    </w:p>
    <w:p w:rsidRPr="00916664" w:rsidR="00B82DCC" w:rsidP="00916664" w:rsidRDefault="00B82DCC">
      <w:pPr>
        <w:pStyle w:val="ECHRParaQuote"/>
        <w:rPr>
          <w:lang w:val="fr-FR"/>
        </w:rPr>
      </w:pPr>
      <w:r w:rsidRPr="00916664">
        <w:rPr>
          <w:lang w:val="fr-FR"/>
        </w:rPr>
        <w:t>(...)</w:t>
      </w:r>
    </w:p>
    <w:p w:rsidRPr="00916664" w:rsidR="00B82DCC" w:rsidP="00916664" w:rsidRDefault="00B82DCC">
      <w:pPr>
        <w:pStyle w:val="ECHRParaQuote"/>
        <w:rPr>
          <w:lang w:val="fr-FR"/>
        </w:rPr>
      </w:pPr>
      <w:r w:rsidRPr="00916664">
        <w:rPr>
          <w:lang w:val="fr-FR"/>
        </w:rPr>
        <w:t>II. Liberté de critique à l</w:t>
      </w:r>
      <w:r w:rsidRPr="00916664" w:rsidR="00916664">
        <w:rPr>
          <w:lang w:val="fr-FR"/>
        </w:rPr>
        <w:t>’</w:t>
      </w:r>
      <w:r w:rsidRPr="00916664">
        <w:rPr>
          <w:lang w:val="fr-FR"/>
        </w:rPr>
        <w:t>égard de l</w:t>
      </w:r>
      <w:r w:rsidRPr="00916664" w:rsidR="00916664">
        <w:rPr>
          <w:lang w:val="fr-FR"/>
        </w:rPr>
        <w:t>’</w:t>
      </w:r>
      <w:r w:rsidRPr="00916664">
        <w:rPr>
          <w:lang w:val="fr-FR"/>
        </w:rPr>
        <w:t>État ou des institutions publiques</w:t>
      </w:r>
    </w:p>
    <w:p w:rsidRPr="00916664" w:rsidR="00B82DCC" w:rsidP="00916664" w:rsidRDefault="00B82DCC">
      <w:pPr>
        <w:pStyle w:val="ECHRParaQuote"/>
        <w:rPr>
          <w:lang w:val="fr-FR"/>
        </w:rPr>
      </w:pPr>
      <w:r w:rsidRPr="00916664">
        <w:rPr>
          <w:lang w:val="fr-FR"/>
        </w:rPr>
        <w:t>L</w:t>
      </w:r>
      <w:r w:rsidRPr="00916664" w:rsidR="00916664">
        <w:rPr>
          <w:lang w:val="fr-FR"/>
        </w:rPr>
        <w:t>’</w:t>
      </w:r>
      <w:r w:rsidRPr="00916664">
        <w:rPr>
          <w:lang w:val="fr-FR"/>
        </w:rPr>
        <w:t>État, le gouvernement ou tout autre organe des pouvoirs exécutif, législatif ou judiciaire peuvent faire l</w:t>
      </w:r>
      <w:r w:rsidRPr="00916664" w:rsidR="00916664">
        <w:rPr>
          <w:lang w:val="fr-FR"/>
        </w:rPr>
        <w:t>’</w:t>
      </w:r>
      <w:r w:rsidRPr="00916664">
        <w:rPr>
          <w:lang w:val="fr-FR"/>
        </w:rPr>
        <w:t>objet de critiques dans les médias. En raison de leur position dominante, ces institutions ne devraient pas être protégées en tant que telles par le droit pénal contre les déclarations diffamatoires ou insultantes. Lorsque ces institutions bénéficient toutefois d</w:t>
      </w:r>
      <w:r w:rsidRPr="00916664" w:rsidR="00916664">
        <w:rPr>
          <w:lang w:val="fr-FR"/>
        </w:rPr>
        <w:t>’</w:t>
      </w:r>
      <w:r w:rsidRPr="00916664">
        <w:rPr>
          <w:lang w:val="fr-FR"/>
        </w:rPr>
        <w:t>une telle protection, cette protection devrait être appliquée de façon très restrictive en évitant, dans tous les cas, qu</w:t>
      </w:r>
      <w:r w:rsidRPr="00916664" w:rsidR="00916664">
        <w:rPr>
          <w:lang w:val="fr-FR"/>
        </w:rPr>
        <w:t>’</w:t>
      </w:r>
      <w:r w:rsidRPr="00916664">
        <w:rPr>
          <w:lang w:val="fr-FR"/>
        </w:rPr>
        <w:t>elle puisse être utilisée pour restreindre la liberté de critique. Les personnes représentant ces institutions restent par ailleurs protégées en tant qu</w:t>
      </w:r>
      <w:r w:rsidRPr="00916664" w:rsidR="00916664">
        <w:rPr>
          <w:lang w:val="fr-FR"/>
        </w:rPr>
        <w:t>’</w:t>
      </w:r>
      <w:r w:rsidRPr="00916664">
        <w:rPr>
          <w:lang w:val="fr-FR"/>
        </w:rPr>
        <w:t>individus.</w:t>
      </w:r>
    </w:p>
    <w:p w:rsidRPr="00916664" w:rsidR="00B82DCC" w:rsidP="00916664" w:rsidRDefault="00B82DCC">
      <w:pPr>
        <w:pStyle w:val="ECHRParaQuote"/>
        <w:rPr>
          <w:lang w:val="fr-FR"/>
        </w:rPr>
      </w:pPr>
      <w:r w:rsidRPr="00916664">
        <w:rPr>
          <w:lang w:val="fr-FR"/>
        </w:rPr>
        <w:t>(...)</w:t>
      </w:r>
    </w:p>
    <w:p w:rsidRPr="00916664" w:rsidR="00B82DCC" w:rsidP="00916664" w:rsidRDefault="00B82DCC">
      <w:pPr>
        <w:pStyle w:val="ECHRParaQuote"/>
        <w:rPr>
          <w:lang w:val="fr-FR"/>
        </w:rPr>
      </w:pPr>
      <w:r w:rsidRPr="00916664">
        <w:rPr>
          <w:lang w:val="fr-FR"/>
        </w:rPr>
        <w:t>VI. Réputation des personnalités politiques et des fonctionnaires</w:t>
      </w:r>
    </w:p>
    <w:p w:rsidRPr="00916664" w:rsidR="00B82DCC" w:rsidP="00916664" w:rsidRDefault="00B82DCC">
      <w:pPr>
        <w:pStyle w:val="ECHRParaQuote"/>
        <w:rPr>
          <w:lang w:val="fr-FR"/>
        </w:rPr>
      </w:pPr>
      <w:r w:rsidRPr="00916664">
        <w:rPr>
          <w:lang w:val="fr-FR"/>
        </w:rPr>
        <w:t>Les personnalités politiques ne devraient pas bénéficier d</w:t>
      </w:r>
      <w:r w:rsidRPr="00916664" w:rsidR="00916664">
        <w:rPr>
          <w:lang w:val="fr-FR"/>
        </w:rPr>
        <w:t>’</w:t>
      </w:r>
      <w:r w:rsidRPr="00916664">
        <w:rPr>
          <w:lang w:val="fr-FR"/>
        </w:rPr>
        <w:t>une plus grande protection de leur réputation et de leurs autres droits que les autres personnes, et des sanctions plus sévères ne devraient donc pas être prononcées en droit interne à l</w:t>
      </w:r>
      <w:r w:rsidRPr="00916664" w:rsidR="00916664">
        <w:rPr>
          <w:lang w:val="fr-FR"/>
        </w:rPr>
        <w:t>’</w:t>
      </w:r>
      <w:r w:rsidRPr="00916664">
        <w:rPr>
          <w:lang w:val="fr-FR"/>
        </w:rPr>
        <w:t>encontre des médias lorsque ces derniers critiquent des personnalités politiques.</w:t>
      </w:r>
      <w:r w:rsidRPr="00916664">
        <w:rPr>
          <w:color w:val="161616"/>
          <w:lang w:val="fr-FR"/>
        </w:rPr>
        <w:t xml:space="preserve"> Ce principe s</w:t>
      </w:r>
      <w:r w:rsidRPr="00916664" w:rsidR="00916664">
        <w:rPr>
          <w:color w:val="161616"/>
          <w:lang w:val="fr-FR"/>
        </w:rPr>
        <w:t>’</w:t>
      </w:r>
      <w:r w:rsidRPr="00916664">
        <w:rPr>
          <w:color w:val="161616"/>
          <w:lang w:val="fr-FR"/>
        </w:rPr>
        <w:t>applique aussi aux fonctionnaires ; des dérogations ne devraient être admises que lorsqu</w:t>
      </w:r>
      <w:r w:rsidRPr="00916664" w:rsidR="00916664">
        <w:rPr>
          <w:color w:val="161616"/>
          <w:lang w:val="fr-FR"/>
        </w:rPr>
        <w:t>’</w:t>
      </w:r>
      <w:r w:rsidRPr="00916664">
        <w:rPr>
          <w:color w:val="161616"/>
          <w:lang w:val="fr-FR"/>
        </w:rPr>
        <w:t>elles sont strictement nécessaires pour permettre aux fonctionnaires d</w:t>
      </w:r>
      <w:r w:rsidRPr="00916664" w:rsidR="00916664">
        <w:rPr>
          <w:color w:val="161616"/>
          <w:lang w:val="fr-FR"/>
        </w:rPr>
        <w:t>’</w:t>
      </w:r>
      <w:r w:rsidRPr="00916664">
        <w:rPr>
          <w:color w:val="161616"/>
          <w:lang w:val="fr-FR"/>
        </w:rPr>
        <w:t>assurer le bon exercice de leur fonction.</w:t>
      </w:r>
    </w:p>
    <w:p w:rsidRPr="00916664" w:rsidR="00B82DCC" w:rsidP="00916664" w:rsidRDefault="00B82DCC">
      <w:pPr>
        <w:pStyle w:val="ECHRParaQuote"/>
        <w:rPr>
          <w:lang w:val="fr-FR"/>
        </w:rPr>
      </w:pPr>
      <w:r w:rsidRPr="00916664">
        <w:rPr>
          <w:lang w:val="fr-FR"/>
        </w:rPr>
        <w:t>(...)</w:t>
      </w:r>
    </w:p>
    <w:p w:rsidRPr="00916664" w:rsidR="00B82DCC" w:rsidP="00916664" w:rsidRDefault="00B82DCC">
      <w:pPr>
        <w:pStyle w:val="ECHRParaQuote"/>
        <w:rPr>
          <w:lang w:val="fr-FR"/>
        </w:rPr>
      </w:pPr>
      <w:r w:rsidRPr="00916664">
        <w:rPr>
          <w:lang w:val="fr-FR"/>
        </w:rPr>
        <w:t>VIII. Voies de recours contre les violations par les médias</w:t>
      </w:r>
    </w:p>
    <w:p w:rsidRPr="00916664" w:rsidR="00B82DCC" w:rsidP="00916664" w:rsidRDefault="00B82DCC">
      <w:pPr>
        <w:pStyle w:val="ECHRParaQuote"/>
        <w:rPr>
          <w:lang w:val="fr-FR"/>
        </w:rPr>
      </w:pPr>
      <w:r w:rsidRPr="00916664">
        <w:rPr>
          <w:lang w:val="fr-FR"/>
        </w:rPr>
        <w:t>Les personnalités politiques et les fonctionnaires ne devraient avoir accès qu</w:t>
      </w:r>
      <w:r w:rsidRPr="00916664" w:rsidR="00916664">
        <w:rPr>
          <w:lang w:val="fr-FR"/>
        </w:rPr>
        <w:t>’</w:t>
      </w:r>
      <w:r w:rsidRPr="00916664">
        <w:rPr>
          <w:lang w:val="fr-FR"/>
        </w:rPr>
        <w:t>aux voies de recours juridiques dont disposent les particuliers en cas de violation de leurs droits par les médias. (...) La diffamation ou l</w:t>
      </w:r>
      <w:r w:rsidRPr="00916664" w:rsidR="00916664">
        <w:rPr>
          <w:lang w:val="fr-FR"/>
        </w:rPr>
        <w:t>’</w:t>
      </w:r>
      <w:r w:rsidRPr="00916664">
        <w:rPr>
          <w:lang w:val="fr-FR"/>
        </w:rPr>
        <w:t>insulte par les médias ne devrait pas entraîner de peine de prison, sauf si cette peine est strictement nécessaire et proportionnée au regard de la gravité de la violation des droits ou de la réputation d</w:t>
      </w:r>
      <w:r w:rsidRPr="00916664" w:rsidR="00916664">
        <w:rPr>
          <w:lang w:val="fr-FR"/>
        </w:rPr>
        <w:t>’</w:t>
      </w:r>
      <w:r w:rsidRPr="00916664">
        <w:rPr>
          <w:lang w:val="fr-FR"/>
        </w:rPr>
        <w:t>autrui, en particulier si d</w:t>
      </w:r>
      <w:r w:rsidRPr="00916664" w:rsidR="00916664">
        <w:rPr>
          <w:lang w:val="fr-FR"/>
        </w:rPr>
        <w:t>’</w:t>
      </w:r>
      <w:r w:rsidRPr="00916664">
        <w:rPr>
          <w:lang w:val="fr-FR"/>
        </w:rPr>
        <w:t>autres droits fondamentaux ont été sérieusement violés à travers des déclarations diffamatoires ou insultantes dans les médias, comme le discours de haine. »</w:t>
      </w:r>
    </w:p>
    <w:p w:rsidRPr="00916664" w:rsidR="00B82DCC" w:rsidP="00916664" w:rsidRDefault="00B82DCC">
      <w:pPr>
        <w:pStyle w:val="ECHRHeading3"/>
        <w:ind w:left="731" w:firstLine="0"/>
        <w:rPr>
          <w:lang w:val="fr-FR"/>
        </w:rPr>
      </w:pPr>
      <w:r w:rsidRPr="00916664">
        <w:rPr>
          <w:lang w:val="fr-FR"/>
        </w:rPr>
        <w:t>2.  La Résolution n</w:t>
      </w:r>
      <w:r w:rsidRPr="00916664">
        <w:rPr>
          <w:vertAlign w:val="superscript"/>
          <w:lang w:val="fr-FR"/>
        </w:rPr>
        <w:t>o</w:t>
      </w:r>
      <w:r w:rsidRPr="00916664">
        <w:rPr>
          <w:lang w:val="fr-FR"/>
        </w:rPr>
        <w:t xml:space="preserve"> 1577 (2007) de l</w:t>
      </w:r>
      <w:r w:rsidRPr="00916664" w:rsidR="00916664">
        <w:rPr>
          <w:lang w:val="fr-FR"/>
        </w:rPr>
        <w:t>’</w:t>
      </w:r>
      <w:r w:rsidRPr="00916664">
        <w:rPr>
          <w:lang w:val="fr-FR"/>
        </w:rPr>
        <w:t>Assemblée parlementaire du Conseil de l</w:t>
      </w:r>
      <w:r w:rsidRPr="00916664" w:rsidR="00916664">
        <w:rPr>
          <w:lang w:val="fr-FR"/>
        </w:rPr>
        <w:t>’</w:t>
      </w:r>
      <w:r w:rsidRPr="00916664">
        <w:rPr>
          <w:lang w:val="fr-FR"/>
        </w:rPr>
        <w:t>Europe</w:t>
      </w:r>
    </w:p>
    <w:p w:rsidRPr="00916664" w:rsidR="00B82DCC" w:rsidP="00916664" w:rsidRDefault="00B82DCC">
      <w:pPr>
        <w:pStyle w:val="JuPara"/>
        <w:rPr>
          <w:lang w:val="fr-FR"/>
        </w:rPr>
      </w:pPr>
      <w:r w:rsidRPr="00916664">
        <w:rPr>
          <w:lang w:val="fr-FR"/>
        </w:rPr>
        <w:t>17.  La Résolution n</w:t>
      </w:r>
      <w:r w:rsidRPr="00916664">
        <w:rPr>
          <w:vertAlign w:val="superscript"/>
          <w:lang w:val="fr-FR"/>
        </w:rPr>
        <w:t>o</w:t>
      </w:r>
      <w:r w:rsidRPr="00916664">
        <w:rPr>
          <w:lang w:val="fr-FR"/>
        </w:rPr>
        <w:t xml:space="preserve"> 1577 (2007) de l</w:t>
      </w:r>
      <w:r w:rsidRPr="00916664" w:rsidR="00916664">
        <w:rPr>
          <w:lang w:val="fr-FR"/>
        </w:rPr>
        <w:t>’</w:t>
      </w:r>
      <w:r w:rsidRPr="00916664">
        <w:rPr>
          <w:lang w:val="fr-FR"/>
        </w:rPr>
        <w:t>Assemblée parlementaire du Conseil de l</w:t>
      </w:r>
      <w:r w:rsidRPr="00916664" w:rsidR="00916664">
        <w:rPr>
          <w:lang w:val="fr-FR"/>
        </w:rPr>
        <w:t>’</w:t>
      </w:r>
      <w:r w:rsidRPr="00916664">
        <w:rPr>
          <w:lang w:val="fr-FR"/>
        </w:rPr>
        <w:t>Europe, intitulée « Vers une dépénalisation de la diffamation », se lit comme suit en ses parties pertinentes en l</w:t>
      </w:r>
      <w:r w:rsidRPr="00916664" w:rsidR="00916664">
        <w:rPr>
          <w:lang w:val="fr-FR"/>
        </w:rPr>
        <w:t>’</w:t>
      </w:r>
      <w:r w:rsidRPr="00916664">
        <w:rPr>
          <w:lang w:val="fr-FR"/>
        </w:rPr>
        <w:t>espèce :</w:t>
      </w:r>
    </w:p>
    <w:p w:rsidRPr="00916664" w:rsidR="00B82DCC" w:rsidP="00916664" w:rsidRDefault="00B82DCC">
      <w:pPr>
        <w:pStyle w:val="ECHRParaQuote"/>
        <w:rPr>
          <w:lang w:val="fr-FR"/>
        </w:rPr>
      </w:pPr>
      <w:r w:rsidRPr="00916664">
        <w:rPr>
          <w:lang w:val="fr-FR"/>
        </w:rPr>
        <w:t>« (...)</w:t>
      </w:r>
    </w:p>
    <w:p w:rsidRPr="00916664" w:rsidR="00B82DCC" w:rsidP="00916664" w:rsidRDefault="00B82DCC">
      <w:pPr>
        <w:pStyle w:val="ECHRParaQuote"/>
        <w:rPr>
          <w:lang w:val="fr-FR"/>
        </w:rPr>
      </w:pPr>
      <w:r w:rsidRPr="00916664">
        <w:rPr>
          <w:lang w:val="fr-FR"/>
        </w:rPr>
        <w:t>11. [L</w:t>
      </w:r>
      <w:r w:rsidRPr="00916664" w:rsidR="00916664">
        <w:rPr>
          <w:lang w:val="fr-FR"/>
        </w:rPr>
        <w:t>’</w:t>
      </w:r>
      <w:r w:rsidRPr="00916664">
        <w:rPr>
          <w:lang w:val="fr-FR"/>
        </w:rPr>
        <w:t>assemblée] constate avec une vive inquiétude que de nombreux États membres prévoient des peines d</w:t>
      </w:r>
      <w:r w:rsidRPr="00916664" w:rsidR="00916664">
        <w:rPr>
          <w:lang w:val="fr-FR"/>
        </w:rPr>
        <w:t>’</w:t>
      </w:r>
      <w:r w:rsidRPr="00916664">
        <w:rPr>
          <w:lang w:val="fr-FR"/>
        </w:rPr>
        <w:t>emprisonnement en cas de diffamation et que certains persistent à y recourir en pratique, par exemple l</w:t>
      </w:r>
      <w:r w:rsidRPr="00916664" w:rsidR="00916664">
        <w:rPr>
          <w:lang w:val="fr-FR"/>
        </w:rPr>
        <w:t>’</w:t>
      </w:r>
      <w:r w:rsidRPr="00916664">
        <w:rPr>
          <w:lang w:val="fr-FR"/>
        </w:rPr>
        <w:t>Azerbaïdjan et la Turquie.</w:t>
      </w:r>
    </w:p>
    <w:p w:rsidRPr="00916664" w:rsidR="00B82DCC" w:rsidP="00916664" w:rsidRDefault="00B82DCC">
      <w:pPr>
        <w:pStyle w:val="ECHRParaQuote"/>
        <w:rPr>
          <w:lang w:val="fr-FR"/>
        </w:rPr>
      </w:pPr>
      <w:r w:rsidRPr="00916664">
        <w:rPr>
          <w:lang w:val="fr-FR"/>
        </w:rPr>
        <w:t>(...)</w:t>
      </w:r>
    </w:p>
    <w:p w:rsidRPr="00916664" w:rsidR="00B82DCC" w:rsidP="00916664" w:rsidRDefault="00B82DCC">
      <w:pPr>
        <w:pStyle w:val="ECHRParaQuote"/>
        <w:rPr>
          <w:lang w:val="fr-FR"/>
        </w:rPr>
      </w:pPr>
      <w:r w:rsidRPr="00916664">
        <w:rPr>
          <w:lang w:val="fr-FR"/>
        </w:rPr>
        <w:t>13. Par conséquent, l</w:t>
      </w:r>
      <w:r w:rsidRPr="00916664" w:rsidR="00916664">
        <w:rPr>
          <w:lang w:val="fr-FR"/>
        </w:rPr>
        <w:t>’</w:t>
      </w:r>
      <w:r w:rsidRPr="00916664">
        <w:rPr>
          <w:lang w:val="fr-FR"/>
        </w:rPr>
        <w:t>assemblée considère que les peines carcérales pour diffamation devraient être abrogées sans plus de délai. Elle exhorte notamment les États dont les législations prévoient encore des peines de prison – bien que celles-ci ne soient pas infligées en pratique – à les abroger sans délai, pour ne donner aucune excuse, quoique injustifiée, à certains États qui continuent d</w:t>
      </w:r>
      <w:r w:rsidRPr="00916664" w:rsidR="00916664">
        <w:rPr>
          <w:lang w:val="fr-FR"/>
        </w:rPr>
        <w:t>’</w:t>
      </w:r>
      <w:r w:rsidRPr="00916664">
        <w:rPr>
          <w:lang w:val="fr-FR"/>
        </w:rPr>
        <w:t>y recourir, entraînant ainsi une dégradation des libertés publiques.</w:t>
      </w:r>
    </w:p>
    <w:p w:rsidRPr="00916664" w:rsidR="00B82DCC" w:rsidP="00916664" w:rsidRDefault="00B82DCC">
      <w:pPr>
        <w:pStyle w:val="ECHRParaQuote"/>
        <w:rPr>
          <w:lang w:val="fr-FR"/>
        </w:rPr>
      </w:pPr>
      <w:r w:rsidRPr="00916664">
        <w:rPr>
          <w:lang w:val="fr-FR"/>
        </w:rPr>
        <w:t>(...)</w:t>
      </w:r>
    </w:p>
    <w:p w:rsidRPr="00916664" w:rsidR="00B82DCC" w:rsidP="00916664" w:rsidRDefault="00B82DCC">
      <w:pPr>
        <w:pStyle w:val="ECHRParaQuote"/>
        <w:rPr>
          <w:lang w:val="fr-FR"/>
        </w:rPr>
      </w:pPr>
      <w:r w:rsidRPr="00916664">
        <w:rPr>
          <w:lang w:val="fr-FR"/>
        </w:rPr>
        <w:t>17. En conséquence, l</w:t>
      </w:r>
      <w:r w:rsidRPr="00916664" w:rsidR="00916664">
        <w:rPr>
          <w:lang w:val="fr-FR"/>
        </w:rPr>
        <w:t>’</w:t>
      </w:r>
      <w:r w:rsidRPr="00916664">
        <w:rPr>
          <w:lang w:val="fr-FR"/>
        </w:rPr>
        <w:t>assemblée invite les États membres :</w:t>
      </w:r>
    </w:p>
    <w:p w:rsidRPr="00916664" w:rsidR="00B82DCC" w:rsidP="00916664" w:rsidRDefault="00B82DCC">
      <w:pPr>
        <w:pStyle w:val="ECHRParaQuote"/>
        <w:rPr>
          <w:lang w:val="fr-FR"/>
        </w:rPr>
      </w:pPr>
      <w:r w:rsidRPr="00916664">
        <w:rPr>
          <w:lang w:val="fr-FR"/>
        </w:rPr>
        <w:t>17. 1. à abolir sans attendre les peines d</w:t>
      </w:r>
      <w:r w:rsidRPr="00916664" w:rsidR="00916664">
        <w:rPr>
          <w:lang w:val="fr-FR"/>
        </w:rPr>
        <w:t>’</w:t>
      </w:r>
      <w:r w:rsidRPr="00916664">
        <w:rPr>
          <w:lang w:val="fr-FR"/>
        </w:rPr>
        <w:t>emprisonnement pour diffamation ;</w:t>
      </w:r>
    </w:p>
    <w:p w:rsidRPr="00916664" w:rsidR="00B82DCC" w:rsidP="00916664" w:rsidRDefault="00B82DCC">
      <w:pPr>
        <w:pStyle w:val="ECHRParaQuote"/>
        <w:rPr>
          <w:lang w:val="fr-FR"/>
        </w:rPr>
      </w:pPr>
      <w:r w:rsidRPr="00916664">
        <w:rPr>
          <w:lang w:val="fr-FR"/>
        </w:rPr>
        <w:t>17. 2. à garantir qu</w:t>
      </w:r>
      <w:r w:rsidRPr="00916664" w:rsidR="00916664">
        <w:rPr>
          <w:lang w:val="fr-FR"/>
        </w:rPr>
        <w:t>’</w:t>
      </w:r>
      <w:r w:rsidRPr="00916664">
        <w:rPr>
          <w:lang w:val="fr-FR"/>
        </w:rPr>
        <w:t>il n</w:t>
      </w:r>
      <w:r w:rsidRPr="00916664" w:rsidR="00916664">
        <w:rPr>
          <w:lang w:val="fr-FR"/>
        </w:rPr>
        <w:t>’</w:t>
      </w:r>
      <w:r w:rsidRPr="00916664">
        <w:rPr>
          <w:lang w:val="fr-FR"/>
        </w:rPr>
        <w:t>y a pas de recours abusif aux poursuites pénales (...) ;</w:t>
      </w:r>
    </w:p>
    <w:p w:rsidRPr="00916664" w:rsidR="00B82DCC" w:rsidP="00916664" w:rsidRDefault="00B82DCC">
      <w:pPr>
        <w:pStyle w:val="ECHRParaQuote"/>
        <w:rPr>
          <w:lang w:val="fr-FR"/>
        </w:rPr>
      </w:pPr>
      <w:r w:rsidRPr="00916664">
        <w:rPr>
          <w:lang w:val="fr-FR"/>
        </w:rPr>
        <w:t>17. 3. à définir plus précisément dans leur législation le concept de diffamation, dans le but d</w:t>
      </w:r>
      <w:r w:rsidRPr="00916664" w:rsidR="00916664">
        <w:rPr>
          <w:lang w:val="fr-FR"/>
        </w:rPr>
        <w:t>’</w:t>
      </w:r>
      <w:r w:rsidRPr="00916664">
        <w:rPr>
          <w:lang w:val="fr-FR"/>
        </w:rPr>
        <w:t>éviter une application arbitraire de la loi, et de garantir que le droit civil apporte une protection effective de la dignité de la personne affectée par la diffamation ;</w:t>
      </w:r>
    </w:p>
    <w:p w:rsidRPr="00916664" w:rsidR="00B82DCC" w:rsidP="00916664" w:rsidRDefault="00B82DCC">
      <w:pPr>
        <w:pStyle w:val="ECHRParaQuote"/>
        <w:rPr>
          <w:lang w:val="fr-FR"/>
        </w:rPr>
      </w:pPr>
      <w:r w:rsidRPr="00916664">
        <w:rPr>
          <w:lang w:val="fr-FR"/>
        </w:rPr>
        <w:t>(...)</w:t>
      </w:r>
    </w:p>
    <w:p w:rsidRPr="00916664" w:rsidR="00B82DCC" w:rsidP="00916664" w:rsidRDefault="00B82DCC">
      <w:pPr>
        <w:pStyle w:val="ECHRParaQuote"/>
        <w:rPr>
          <w:lang w:val="fr-FR"/>
        </w:rPr>
      </w:pPr>
      <w:r w:rsidRPr="00916664">
        <w:rPr>
          <w:lang w:val="fr-FR"/>
        </w:rPr>
        <w:t>17. 6. à bannir de leur législation relative à la diffamation toute protection renforcée des personnalités publiques, conformément à la jurisprudence de la Cour et invite en particulier</w:t>
      </w:r>
    </w:p>
    <w:p w:rsidRPr="00916664" w:rsidR="00B82DCC" w:rsidP="00916664" w:rsidRDefault="00B82DCC">
      <w:pPr>
        <w:pStyle w:val="ECHRParaQuote"/>
        <w:rPr>
          <w:lang w:val="fr-FR"/>
        </w:rPr>
      </w:pPr>
      <w:r w:rsidRPr="00916664">
        <w:rPr>
          <w:lang w:val="fr-FR"/>
        </w:rPr>
        <w:t>17. 6. 1. la Turquie à amender l</w:t>
      </w:r>
      <w:r w:rsidRPr="00916664" w:rsidR="00916664">
        <w:rPr>
          <w:lang w:val="fr-FR"/>
        </w:rPr>
        <w:t>’</w:t>
      </w:r>
      <w:r w:rsidRPr="00916664">
        <w:rPr>
          <w:lang w:val="fr-FR"/>
        </w:rPr>
        <w:t>article 125.3 de son Code pénal en conséquence ;</w:t>
      </w:r>
    </w:p>
    <w:p w:rsidRPr="00916664" w:rsidR="00B82DCC" w:rsidP="00916664" w:rsidRDefault="00B82DCC">
      <w:pPr>
        <w:pStyle w:val="ECHRParaQuote"/>
        <w:rPr>
          <w:lang w:val="fr-FR"/>
        </w:rPr>
      </w:pPr>
      <w:r w:rsidRPr="00916664">
        <w:rPr>
          <w:lang w:val="fr-FR"/>
        </w:rPr>
        <w:t>(...) »</w:t>
      </w:r>
    </w:p>
    <w:p w:rsidRPr="00916664" w:rsidR="00B82DCC" w:rsidP="00916664" w:rsidRDefault="00B82DCC">
      <w:pPr>
        <w:pStyle w:val="ECHRHeading3"/>
        <w:ind w:left="731" w:firstLine="0"/>
        <w:rPr>
          <w:lang w:val="fr-FR"/>
        </w:rPr>
      </w:pPr>
      <w:r w:rsidRPr="00916664">
        <w:rPr>
          <w:lang w:val="fr-FR"/>
        </w:rPr>
        <w:t>3.  L</w:t>
      </w:r>
      <w:r w:rsidRPr="00916664" w:rsidR="00916664">
        <w:rPr>
          <w:lang w:val="fr-FR"/>
        </w:rPr>
        <w:t>’</w:t>
      </w:r>
      <w:r w:rsidRPr="00916664">
        <w:rPr>
          <w:lang w:val="fr-FR"/>
        </w:rPr>
        <w:t>avis n</w:t>
      </w:r>
      <w:r w:rsidRPr="00916664">
        <w:rPr>
          <w:vertAlign w:val="superscript"/>
          <w:lang w:val="fr-FR"/>
        </w:rPr>
        <w:t>o</w:t>
      </w:r>
      <w:r w:rsidRPr="00916664">
        <w:rPr>
          <w:lang w:val="fr-FR"/>
        </w:rPr>
        <w:t xml:space="preserve"> 831/2015 de la Commission de Venise</w:t>
      </w:r>
    </w:p>
    <w:p w:rsidRPr="00916664" w:rsidR="00B82DCC" w:rsidP="00916664" w:rsidRDefault="00B82DCC">
      <w:pPr>
        <w:pStyle w:val="JuPara"/>
        <w:rPr>
          <w:lang w:val="fr-FR"/>
        </w:rPr>
      </w:pPr>
      <w:r w:rsidRPr="00916664">
        <w:rPr>
          <w:lang w:val="fr-FR"/>
        </w:rPr>
        <w:t>18.  L</w:t>
      </w:r>
      <w:r w:rsidRPr="00916664" w:rsidR="00916664">
        <w:rPr>
          <w:lang w:val="fr-FR"/>
        </w:rPr>
        <w:t>’</w:t>
      </w:r>
      <w:r w:rsidRPr="00916664">
        <w:rPr>
          <w:lang w:val="fr-FR"/>
        </w:rPr>
        <w:t>extrait pertinent de l</w:t>
      </w:r>
      <w:r w:rsidRPr="00916664" w:rsidR="00916664">
        <w:rPr>
          <w:lang w:val="fr-FR"/>
        </w:rPr>
        <w:t>’</w:t>
      </w:r>
      <w:r w:rsidRPr="00916664">
        <w:rPr>
          <w:lang w:val="fr-FR"/>
        </w:rPr>
        <w:t>avis n</w:t>
      </w:r>
      <w:r w:rsidRPr="00916664">
        <w:rPr>
          <w:vertAlign w:val="superscript"/>
          <w:lang w:val="fr-FR"/>
        </w:rPr>
        <w:t>o</w:t>
      </w:r>
      <w:r w:rsidRPr="00916664">
        <w:rPr>
          <w:lang w:val="fr-FR"/>
        </w:rPr>
        <w:t xml:space="preserve"> 831/2015 sur les articles 216, 299, 301 et 314 du code pénal turc, adopté par la Commission de Venise lors de sa 106</w:t>
      </w:r>
      <w:r w:rsidRPr="00916664">
        <w:rPr>
          <w:vertAlign w:val="superscript"/>
          <w:lang w:val="fr-FR"/>
        </w:rPr>
        <w:t>ème</w:t>
      </w:r>
      <w:r w:rsidRPr="00916664">
        <w:rPr>
          <w:lang w:val="fr-FR"/>
        </w:rPr>
        <w:t xml:space="preserve"> session plénière (Venise 11-12 mars 2016, CDL-AD(2016)002), se lit ainsi :</w:t>
      </w:r>
    </w:p>
    <w:p w:rsidRPr="00916664" w:rsidR="00B82DCC" w:rsidP="00916664" w:rsidRDefault="00B82DCC">
      <w:pPr>
        <w:pStyle w:val="ECHRParaQuote"/>
        <w:rPr>
          <w:lang w:val="fr-FR"/>
        </w:rPr>
      </w:pPr>
      <w:r w:rsidRPr="00916664">
        <w:rPr>
          <w:lang w:val="fr-FR"/>
        </w:rPr>
        <w:t>« 75. En conclusion, la Commission réaffirme que, eu égard au consensus qui se dégage à l</w:t>
      </w:r>
      <w:r w:rsidRPr="00916664" w:rsidR="00916664">
        <w:rPr>
          <w:lang w:val="fr-FR"/>
        </w:rPr>
        <w:t>’</w:t>
      </w:r>
      <w:r w:rsidRPr="00916664">
        <w:rPr>
          <w:lang w:val="fr-FR"/>
        </w:rPr>
        <w:t>échelle européenne et aux normes internationales, les États devraient soit dépénaliser la diffamation du chef de l</w:t>
      </w:r>
      <w:r w:rsidRPr="00916664" w:rsidR="00916664">
        <w:rPr>
          <w:lang w:val="fr-FR"/>
        </w:rPr>
        <w:t>’</w:t>
      </w:r>
      <w:r w:rsidRPr="00916664">
        <w:rPr>
          <w:lang w:val="fr-FR"/>
        </w:rPr>
        <w:t>État, soit au moins restreindre cette infraction aux formes les plus graves d</w:t>
      </w:r>
      <w:r w:rsidRPr="00916664" w:rsidR="00916664">
        <w:rPr>
          <w:lang w:val="fr-FR"/>
        </w:rPr>
        <w:t>’</w:t>
      </w:r>
      <w:r w:rsidRPr="00916664">
        <w:rPr>
          <w:lang w:val="fr-FR"/>
        </w:rPr>
        <w:t>attaque verbale, tout en restreignant l</w:t>
      </w:r>
      <w:r w:rsidRPr="00916664" w:rsidR="00916664">
        <w:rPr>
          <w:lang w:val="fr-FR"/>
        </w:rPr>
        <w:t>’</w:t>
      </w:r>
      <w:r w:rsidRPr="00916664">
        <w:rPr>
          <w:lang w:val="fr-FR"/>
        </w:rPr>
        <w:t>éventail des sanctions à celles qui excluent toute peine d</w:t>
      </w:r>
      <w:r w:rsidRPr="00916664" w:rsidR="00916664">
        <w:rPr>
          <w:lang w:val="fr-FR"/>
        </w:rPr>
        <w:t>’</w:t>
      </w:r>
      <w:r w:rsidRPr="00916664">
        <w:rPr>
          <w:lang w:val="fr-FR"/>
        </w:rPr>
        <w:t>emprisonnement. La Commission relève qu</w:t>
      </w:r>
      <w:r w:rsidRPr="00916664" w:rsidR="00916664">
        <w:rPr>
          <w:lang w:val="fr-FR"/>
        </w:rPr>
        <w:t>’</w:t>
      </w:r>
      <w:r w:rsidRPr="00916664">
        <w:rPr>
          <w:lang w:val="fr-FR"/>
        </w:rPr>
        <w:t>au contraire, la pratique en Turquie révèle une utilisation accrue de cette disposition, y compris dans les cas de discours protégés par l</w:t>
      </w:r>
      <w:r w:rsidRPr="00916664" w:rsidR="00916664">
        <w:rPr>
          <w:lang w:val="fr-FR"/>
        </w:rPr>
        <w:t>’</w:t>
      </w:r>
      <w:r w:rsidRPr="00916664">
        <w:rPr>
          <w:lang w:val="fr-FR"/>
        </w:rPr>
        <w:t>article 10 de la CEDH. Les sanctions imposées, notamment l</w:t>
      </w:r>
      <w:r w:rsidRPr="00916664" w:rsidR="00916664">
        <w:rPr>
          <w:lang w:val="fr-FR"/>
        </w:rPr>
        <w:t>’</w:t>
      </w:r>
      <w:r w:rsidRPr="00916664">
        <w:rPr>
          <w:lang w:val="fr-FR"/>
        </w:rPr>
        <w:t>emprisonnement, sont également manifestement excessives. Si des tentatives ont été faites par la Cour de cassation et le Procureur général pour limiter le recours excessif à cette disposition, ces tentatives sont insuffisantes. Dans ces conditions, la Commission considère que la seule solution pour prévenir toute autre violation de l</w:t>
      </w:r>
      <w:r w:rsidRPr="00916664" w:rsidR="00916664">
        <w:rPr>
          <w:lang w:val="fr-FR"/>
        </w:rPr>
        <w:t>’</w:t>
      </w:r>
      <w:r w:rsidRPr="00916664">
        <w:rPr>
          <w:lang w:val="fr-FR"/>
        </w:rPr>
        <w:t>article 10 de la CEDH consisterait à abroger cet article dans son intégralité. Une telle mesure laisserait toujours la possibilité de protéger le chef de l</w:t>
      </w:r>
      <w:r w:rsidRPr="00916664" w:rsidR="00916664">
        <w:rPr>
          <w:lang w:val="fr-FR"/>
        </w:rPr>
        <w:t>’</w:t>
      </w:r>
      <w:r w:rsidRPr="00916664">
        <w:rPr>
          <w:lang w:val="fr-FR"/>
        </w:rPr>
        <w:t>État contre toute forme extrême de diffamation au moyen des procédures civiles et pénales qui protègent tout citoyen, prenant aussi en considération les principes de la liberté d</w:t>
      </w:r>
      <w:r w:rsidRPr="00916664" w:rsidR="00916664">
        <w:rPr>
          <w:lang w:val="fr-FR"/>
        </w:rPr>
        <w:t>’</w:t>
      </w:r>
      <w:r w:rsidRPr="00916664">
        <w:rPr>
          <w:lang w:val="fr-FR"/>
        </w:rPr>
        <w:t>expression concernant spécifiquement les personnalités publiques et les matières politiques. Le principe de proportionnalité et la nécessité de restreindre l</w:t>
      </w:r>
      <w:r w:rsidRPr="00916664" w:rsidR="00916664">
        <w:rPr>
          <w:lang w:val="fr-FR"/>
        </w:rPr>
        <w:t>’</w:t>
      </w:r>
      <w:r w:rsidRPr="00916664">
        <w:rPr>
          <w:lang w:val="fr-FR"/>
        </w:rPr>
        <w:t>éventail des sanctions à celles qui excluent toute peine d</w:t>
      </w:r>
      <w:r w:rsidRPr="00916664" w:rsidR="00916664">
        <w:rPr>
          <w:lang w:val="fr-FR"/>
        </w:rPr>
        <w:t>’</w:t>
      </w:r>
      <w:r w:rsidRPr="00916664">
        <w:rPr>
          <w:lang w:val="fr-FR"/>
        </w:rPr>
        <w:t>emprisonnement s</w:t>
      </w:r>
      <w:r w:rsidRPr="00916664" w:rsidR="00916664">
        <w:rPr>
          <w:lang w:val="fr-FR"/>
        </w:rPr>
        <w:t>’</w:t>
      </w:r>
      <w:r w:rsidRPr="00916664">
        <w:rPr>
          <w:lang w:val="fr-FR"/>
        </w:rPr>
        <w:t>appliquent aussi à ces procédures. »</w:t>
      </w:r>
    </w:p>
    <w:p w:rsidRPr="00916664" w:rsidR="00B82DCC" w:rsidP="00916664" w:rsidRDefault="00B82DCC">
      <w:pPr>
        <w:pStyle w:val="ECHRTitle1"/>
        <w:rPr>
          <w:lang w:val="fr-FR"/>
        </w:rPr>
      </w:pPr>
      <w:r w:rsidRPr="00916664">
        <w:rPr>
          <w:lang w:val="fr-FR"/>
        </w:rPr>
        <w:t>EN DROIT</w:t>
      </w:r>
    </w:p>
    <w:p w:rsidRPr="00916664" w:rsidR="00B82DCC" w:rsidP="00916664" w:rsidRDefault="00B82DCC">
      <w:pPr>
        <w:pStyle w:val="ECHRHeading1"/>
        <w:ind w:firstLine="0"/>
        <w:rPr>
          <w:lang w:val="fr-FR"/>
        </w:rPr>
      </w:pPr>
      <w:r w:rsidRPr="00916664">
        <w:rPr>
          <w:lang w:val="fr-FR"/>
        </w:rPr>
        <w:t>I.  SUR LA VIOLATION ALLÉGUÉE DE L</w:t>
      </w:r>
      <w:r w:rsidRPr="00916664" w:rsidR="00916664">
        <w:rPr>
          <w:lang w:val="fr-FR"/>
        </w:rPr>
        <w:t>’</w:t>
      </w:r>
      <w:r w:rsidRPr="00916664">
        <w:rPr>
          <w:lang w:val="fr-FR"/>
        </w:rPr>
        <w:t>ARTICLE 10 DE LA CONVENTION</w:t>
      </w:r>
    </w:p>
    <w:p w:rsidRPr="00916664" w:rsidR="00B82DCC" w:rsidP="00916664" w:rsidRDefault="00B82DCC">
      <w:pPr>
        <w:pStyle w:val="JuPara"/>
        <w:rPr>
          <w:lang w:val="fr-FR"/>
        </w:rPr>
      </w:pPr>
      <w:r w:rsidRPr="00916664">
        <w:rPr>
          <w:lang w:val="fr-FR"/>
        </w:rPr>
        <w:t>19.  Le requérant voit dans sa condamnation pénale une atteinte à son droit à la liberté d</w:t>
      </w:r>
      <w:r w:rsidRPr="00916664" w:rsidR="00916664">
        <w:rPr>
          <w:lang w:val="fr-FR"/>
        </w:rPr>
        <w:t>’</w:t>
      </w:r>
      <w:r w:rsidRPr="00916664">
        <w:rPr>
          <w:lang w:val="fr-FR"/>
        </w:rPr>
        <w:t>expression, tel que prévu par l</w:t>
      </w:r>
      <w:r w:rsidRPr="00916664" w:rsidR="00916664">
        <w:rPr>
          <w:lang w:val="fr-FR"/>
        </w:rPr>
        <w:t>’</w:t>
      </w:r>
      <w:r w:rsidRPr="00916664">
        <w:rPr>
          <w:lang w:val="fr-FR"/>
        </w:rPr>
        <w:t>article 10 de la Convention, ainsi libellé :</w:t>
      </w:r>
    </w:p>
    <w:p w:rsidRPr="00916664" w:rsidR="00B82DCC" w:rsidP="00916664" w:rsidRDefault="00B82DCC">
      <w:pPr>
        <w:pStyle w:val="ECHRParaQuote"/>
        <w:rPr>
          <w:lang w:val="fr-FR"/>
        </w:rPr>
      </w:pPr>
      <w:r w:rsidRPr="00916664">
        <w:rPr>
          <w:lang w:val="fr-FR"/>
        </w:rPr>
        <w:t>« 1.  Toute personne a droit à la liberté d</w:t>
      </w:r>
      <w:r w:rsidRPr="00916664" w:rsidR="00916664">
        <w:rPr>
          <w:lang w:val="fr-FR"/>
        </w:rPr>
        <w:t>’</w:t>
      </w:r>
      <w:r w:rsidRPr="00916664">
        <w:rPr>
          <w:lang w:val="fr-FR"/>
        </w:rPr>
        <w:t>expression. Ce droit comprend la liberté d</w:t>
      </w:r>
      <w:r w:rsidRPr="00916664" w:rsidR="00916664">
        <w:rPr>
          <w:lang w:val="fr-FR"/>
        </w:rPr>
        <w:t>’</w:t>
      </w:r>
      <w:r w:rsidRPr="00916664">
        <w:rPr>
          <w:lang w:val="fr-FR"/>
        </w:rPr>
        <w:t>opinion et la liberté de recevoir ou de communiquer des informations ou des idées sans qu</w:t>
      </w:r>
      <w:r w:rsidRPr="00916664" w:rsidR="00916664">
        <w:rPr>
          <w:lang w:val="fr-FR"/>
        </w:rPr>
        <w:t>’</w:t>
      </w:r>
      <w:r w:rsidRPr="00916664">
        <w:rPr>
          <w:lang w:val="fr-FR"/>
        </w:rPr>
        <w:t>il puisse y avoir ingérence d</w:t>
      </w:r>
      <w:r w:rsidRPr="00916664" w:rsidR="00916664">
        <w:rPr>
          <w:lang w:val="fr-FR"/>
        </w:rPr>
        <w:t>’</w:t>
      </w:r>
      <w:r w:rsidRPr="00916664">
        <w:rPr>
          <w:lang w:val="fr-FR"/>
        </w:rPr>
        <w:t>autorités publiques et sans considération de frontière. Le présent article n</w:t>
      </w:r>
      <w:r w:rsidRPr="00916664" w:rsidR="00916664">
        <w:rPr>
          <w:lang w:val="fr-FR"/>
        </w:rPr>
        <w:t>’</w:t>
      </w:r>
      <w:r w:rsidRPr="00916664">
        <w:rPr>
          <w:lang w:val="fr-FR"/>
        </w:rPr>
        <w:t>empêche pas les États de soumettre les entreprises de radiodiffusion, de cinéma ou de télévision à un régime d</w:t>
      </w:r>
      <w:r w:rsidRPr="00916664" w:rsidR="00916664">
        <w:rPr>
          <w:lang w:val="fr-FR"/>
        </w:rPr>
        <w:t>’</w:t>
      </w:r>
      <w:r w:rsidRPr="00916664">
        <w:rPr>
          <w:lang w:val="fr-FR"/>
        </w:rPr>
        <w:t>autorisations.</w:t>
      </w:r>
    </w:p>
    <w:p w:rsidRPr="00916664" w:rsidR="00B82DCC" w:rsidP="00916664" w:rsidRDefault="00B82DCC">
      <w:pPr>
        <w:pStyle w:val="ECHRParaQuote"/>
        <w:rPr>
          <w:lang w:val="fr-FR"/>
        </w:rPr>
      </w:pPr>
      <w:r w:rsidRPr="00916664">
        <w:rPr>
          <w:lang w:val="fr-FR"/>
        </w:rPr>
        <w:t>2.  L</w:t>
      </w:r>
      <w:r w:rsidRPr="00916664" w:rsidR="00916664">
        <w:rPr>
          <w:lang w:val="fr-FR"/>
        </w:rPr>
        <w:t>’</w:t>
      </w:r>
      <w:r w:rsidRPr="00916664">
        <w:rPr>
          <w:lang w:val="fr-FR"/>
        </w:rPr>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916664" w:rsidR="00916664">
        <w:rPr>
          <w:lang w:val="fr-FR"/>
        </w:rPr>
        <w:t>’</w:t>
      </w:r>
      <w:r w:rsidRPr="00916664">
        <w:rPr>
          <w:lang w:val="fr-FR"/>
        </w:rPr>
        <w:t>intégrité territoriale ou à la sûreté publique, à la défense de l</w:t>
      </w:r>
      <w:r w:rsidRPr="00916664" w:rsidR="00916664">
        <w:rPr>
          <w:lang w:val="fr-FR"/>
        </w:rPr>
        <w:t>’</w:t>
      </w:r>
      <w:r w:rsidRPr="00916664">
        <w:rPr>
          <w:lang w:val="fr-FR"/>
        </w:rPr>
        <w:t>ordre et à la prévention du crime, à la protection de la santé ou de la morale, à la protection de la réputation ou des droits d</w:t>
      </w:r>
      <w:r w:rsidRPr="00916664" w:rsidR="00916664">
        <w:rPr>
          <w:lang w:val="fr-FR"/>
        </w:rPr>
        <w:t>’</w:t>
      </w:r>
      <w:r w:rsidRPr="00916664">
        <w:rPr>
          <w:lang w:val="fr-FR"/>
        </w:rPr>
        <w:t>autrui, pour empêcher la divulgation d</w:t>
      </w:r>
      <w:r w:rsidRPr="00916664" w:rsidR="00916664">
        <w:rPr>
          <w:lang w:val="fr-FR"/>
        </w:rPr>
        <w:t>’</w:t>
      </w:r>
      <w:r w:rsidRPr="00916664">
        <w:rPr>
          <w:lang w:val="fr-FR"/>
        </w:rPr>
        <w:t>informations confidentielles ou pour garantir l</w:t>
      </w:r>
      <w:r w:rsidRPr="00916664" w:rsidR="00916664">
        <w:rPr>
          <w:lang w:val="fr-FR"/>
        </w:rPr>
        <w:t>’</w:t>
      </w:r>
      <w:r w:rsidRPr="00916664">
        <w:rPr>
          <w:lang w:val="fr-FR"/>
        </w:rPr>
        <w:t>autorité et l</w:t>
      </w:r>
      <w:r w:rsidRPr="00916664" w:rsidR="00916664">
        <w:rPr>
          <w:lang w:val="fr-FR"/>
        </w:rPr>
        <w:t>’</w:t>
      </w:r>
      <w:r w:rsidRPr="00916664">
        <w:rPr>
          <w:lang w:val="fr-FR"/>
        </w:rPr>
        <w:t>impartialité du pouvoir judiciaire. »</w:t>
      </w:r>
    </w:p>
    <w:p w:rsidRPr="00916664" w:rsidR="00B82DCC" w:rsidP="00916664" w:rsidRDefault="00B82DCC">
      <w:pPr>
        <w:pStyle w:val="ECHRHeading2"/>
        <w:ind w:firstLine="0"/>
        <w:rPr>
          <w:lang w:val="fr-FR"/>
        </w:rPr>
      </w:pPr>
      <w:r w:rsidRPr="00916664">
        <w:rPr>
          <w:lang w:val="fr-FR"/>
        </w:rPr>
        <w:t>A.  Sur la recevabilité</w:t>
      </w:r>
    </w:p>
    <w:p w:rsidRPr="00916664" w:rsidR="00B82DCC" w:rsidP="00916664" w:rsidRDefault="00B82DCC">
      <w:pPr>
        <w:pStyle w:val="JuPara"/>
        <w:rPr>
          <w:lang w:val="fr-FR"/>
        </w:rPr>
      </w:pPr>
      <w:r w:rsidRPr="00916664">
        <w:rPr>
          <w:lang w:val="fr-FR"/>
        </w:rPr>
        <w:t>20.  Le Gouvernement soulève une exception d</w:t>
      </w:r>
      <w:r w:rsidRPr="00916664" w:rsidR="00916664">
        <w:rPr>
          <w:lang w:val="fr-FR"/>
        </w:rPr>
        <w:t>’</w:t>
      </w:r>
      <w:r w:rsidRPr="00916664">
        <w:rPr>
          <w:lang w:val="fr-FR"/>
        </w:rPr>
        <w:t>irrecevabilité tirée de l</w:t>
      </w:r>
      <w:r w:rsidRPr="00916664" w:rsidR="00916664">
        <w:rPr>
          <w:lang w:val="fr-FR"/>
        </w:rPr>
        <w:t>’</w:t>
      </w:r>
      <w:r w:rsidRPr="00916664">
        <w:rPr>
          <w:lang w:val="fr-FR"/>
        </w:rPr>
        <w:t xml:space="preserve">incompatibilité </w:t>
      </w:r>
      <w:proofErr w:type="spellStart"/>
      <w:r w:rsidRPr="00916664">
        <w:rPr>
          <w:i/>
          <w:lang w:val="fr-FR"/>
        </w:rPr>
        <w:t>ratione</w:t>
      </w:r>
      <w:proofErr w:type="spellEnd"/>
      <w:r w:rsidRPr="00916664">
        <w:rPr>
          <w:i/>
          <w:lang w:val="fr-FR"/>
        </w:rPr>
        <w:t xml:space="preserve"> materiae</w:t>
      </w:r>
      <w:r w:rsidRPr="00916664">
        <w:rPr>
          <w:lang w:val="fr-FR"/>
        </w:rPr>
        <w:t xml:space="preserve"> de la requête avec les dispositions de la Convention. Il soutient à cet égard que les passages litigieux contenus dans le livre en question, qui, selon lui, étaient de nature à appeler à la violence et à constituer un discours de haine, n</w:t>
      </w:r>
      <w:r w:rsidRPr="00916664" w:rsidR="00916664">
        <w:rPr>
          <w:lang w:val="fr-FR"/>
        </w:rPr>
        <w:t>’</w:t>
      </w:r>
      <w:r w:rsidRPr="00916664">
        <w:rPr>
          <w:lang w:val="fr-FR"/>
        </w:rPr>
        <w:t>étaient pas protégés par l</w:t>
      </w:r>
      <w:r w:rsidRPr="00916664" w:rsidR="00916664">
        <w:rPr>
          <w:lang w:val="fr-FR"/>
        </w:rPr>
        <w:t>’</w:t>
      </w:r>
      <w:r w:rsidRPr="00916664">
        <w:rPr>
          <w:lang w:val="fr-FR"/>
        </w:rPr>
        <w:t>article 10 de la Convention.</w:t>
      </w:r>
    </w:p>
    <w:p w:rsidRPr="00916664" w:rsidR="00B82DCC" w:rsidP="00916664" w:rsidRDefault="00B82DCC">
      <w:pPr>
        <w:pStyle w:val="JuPara"/>
        <w:rPr>
          <w:lang w:val="fr-FR"/>
        </w:rPr>
      </w:pPr>
      <w:r w:rsidRPr="00916664">
        <w:rPr>
          <w:lang w:val="fr-FR"/>
        </w:rPr>
        <w:t>21.  Le requérant ne se prononce pas sur cette exception.</w:t>
      </w:r>
    </w:p>
    <w:p w:rsidRPr="00916664" w:rsidR="00B82DCC" w:rsidP="00916664" w:rsidRDefault="00B82DCC">
      <w:pPr>
        <w:pStyle w:val="JuPara"/>
        <w:rPr>
          <w:lang w:val="fr-FR"/>
        </w:rPr>
      </w:pPr>
      <w:r w:rsidRPr="00916664">
        <w:rPr>
          <w:lang w:val="fr-FR"/>
        </w:rPr>
        <w:t>22.  La Cour estime que ladite exception soulève des questions appelant un examen au fond du grief tiré de l</w:t>
      </w:r>
      <w:r w:rsidRPr="00916664" w:rsidR="00916664">
        <w:rPr>
          <w:lang w:val="fr-FR"/>
        </w:rPr>
        <w:t>’</w:t>
      </w:r>
      <w:r w:rsidRPr="00916664">
        <w:rPr>
          <w:lang w:val="fr-FR"/>
        </w:rPr>
        <w:t>article 10 de la Convention, et non pas un examen de la recevabilité de ce grief.</w:t>
      </w:r>
    </w:p>
    <w:p w:rsidRPr="00916664" w:rsidR="00B82DCC" w:rsidP="00916664" w:rsidRDefault="00B82DCC">
      <w:pPr>
        <w:pStyle w:val="JuPara"/>
        <w:rPr>
          <w:lang w:val="fr-FR"/>
        </w:rPr>
      </w:pPr>
      <w:r w:rsidRPr="00916664">
        <w:rPr>
          <w:lang w:val="fr-FR"/>
        </w:rPr>
        <w:t>23.  Constatant par ailleurs que la requête n</w:t>
      </w:r>
      <w:r w:rsidRPr="00916664" w:rsidR="00916664">
        <w:rPr>
          <w:lang w:val="fr-FR"/>
        </w:rPr>
        <w:t>’</w:t>
      </w:r>
      <w:r w:rsidRPr="00916664">
        <w:rPr>
          <w:lang w:val="fr-FR"/>
        </w:rPr>
        <w:t>est pas manifestement mal fondée au sens de l</w:t>
      </w:r>
      <w:r w:rsidRPr="00916664" w:rsidR="00916664">
        <w:rPr>
          <w:lang w:val="fr-FR"/>
        </w:rPr>
        <w:t>’</w:t>
      </w:r>
      <w:r w:rsidRPr="00916664">
        <w:rPr>
          <w:lang w:val="fr-FR"/>
        </w:rPr>
        <w:t>article 35 § 3 a) de la Convention et qu</w:t>
      </w:r>
      <w:r w:rsidRPr="00916664" w:rsidR="00916664">
        <w:rPr>
          <w:lang w:val="fr-FR"/>
        </w:rPr>
        <w:t>’</w:t>
      </w:r>
      <w:r w:rsidRPr="00916664">
        <w:rPr>
          <w:lang w:val="fr-FR"/>
        </w:rPr>
        <w:t>elle ne se heurte par ailleurs à aucun autre motif d</w:t>
      </w:r>
      <w:r w:rsidRPr="00916664" w:rsidR="00916664">
        <w:rPr>
          <w:lang w:val="fr-FR"/>
        </w:rPr>
        <w:t>’</w:t>
      </w:r>
      <w:r w:rsidRPr="00916664">
        <w:rPr>
          <w:lang w:val="fr-FR"/>
        </w:rPr>
        <w:t>irrecevabilité, la Cour la déclare recevable.</w:t>
      </w:r>
    </w:p>
    <w:p w:rsidRPr="00916664" w:rsidR="00B82DCC" w:rsidP="00916664" w:rsidRDefault="00B82DCC">
      <w:pPr>
        <w:pStyle w:val="ECHRHeading2"/>
        <w:ind w:firstLine="0"/>
        <w:rPr>
          <w:lang w:val="fr-FR"/>
        </w:rPr>
      </w:pPr>
      <w:r w:rsidRPr="00916664">
        <w:rPr>
          <w:lang w:val="fr-FR"/>
        </w:rPr>
        <w:t>B.  Sur le fond</w:t>
      </w:r>
    </w:p>
    <w:p w:rsidRPr="00916664" w:rsidR="00B82DCC" w:rsidP="00916664" w:rsidRDefault="00B82DCC">
      <w:pPr>
        <w:pStyle w:val="JuPara"/>
        <w:rPr>
          <w:lang w:val="fr-FR"/>
        </w:rPr>
      </w:pPr>
      <w:r w:rsidRPr="00916664">
        <w:rPr>
          <w:lang w:val="fr-FR"/>
        </w:rPr>
        <w:t>24.  Le requérant réitère ses arguments formulés dans son formulaire de requête, et il soutient que sa condamnation pénale n</w:t>
      </w:r>
      <w:r w:rsidRPr="00916664" w:rsidR="00916664">
        <w:rPr>
          <w:lang w:val="fr-FR"/>
        </w:rPr>
        <w:t>’</w:t>
      </w:r>
      <w:r w:rsidRPr="00916664">
        <w:rPr>
          <w:lang w:val="fr-FR"/>
        </w:rPr>
        <w:t>était pas nécessaire dans une société démocratique et qu</w:t>
      </w:r>
      <w:r w:rsidRPr="00916664" w:rsidR="00916664">
        <w:rPr>
          <w:lang w:val="fr-FR"/>
        </w:rPr>
        <w:t>’</w:t>
      </w:r>
      <w:r w:rsidRPr="00916664">
        <w:rPr>
          <w:lang w:val="fr-FR"/>
        </w:rPr>
        <w:t>elle constitue une violation de l</w:t>
      </w:r>
      <w:r w:rsidRPr="00916664" w:rsidR="00916664">
        <w:rPr>
          <w:lang w:val="fr-FR"/>
        </w:rPr>
        <w:t>’</w:t>
      </w:r>
      <w:r w:rsidRPr="00916664">
        <w:rPr>
          <w:lang w:val="fr-FR"/>
        </w:rPr>
        <w:t>article 10 de la Convention.</w:t>
      </w:r>
    </w:p>
    <w:p w:rsidRPr="00916664" w:rsidR="00B82DCC" w:rsidP="00916664" w:rsidRDefault="00B82DCC">
      <w:pPr>
        <w:pStyle w:val="JuPara"/>
        <w:rPr>
          <w:lang w:val="fr-FR"/>
        </w:rPr>
      </w:pPr>
      <w:r w:rsidRPr="00916664">
        <w:rPr>
          <w:lang w:val="fr-FR"/>
        </w:rPr>
        <w:t>25.  Le Gouvernement réplique que, si l</w:t>
      </w:r>
      <w:r w:rsidRPr="00916664" w:rsidR="00916664">
        <w:rPr>
          <w:lang w:val="fr-FR"/>
        </w:rPr>
        <w:t>’</w:t>
      </w:r>
      <w:r w:rsidRPr="00916664">
        <w:rPr>
          <w:lang w:val="fr-FR"/>
        </w:rPr>
        <w:t>existence d</w:t>
      </w:r>
      <w:r w:rsidRPr="00916664" w:rsidR="00916664">
        <w:rPr>
          <w:lang w:val="fr-FR"/>
        </w:rPr>
        <w:t>’</w:t>
      </w:r>
      <w:r w:rsidRPr="00916664">
        <w:rPr>
          <w:lang w:val="fr-FR"/>
        </w:rPr>
        <w:t>une ingérence devait être reconnue par la Cour, cette ingérence était prévue par les articles 158 et 159 du CP et poursuivait les buts légitimes de la protection de la sécurité nationale, de la préservation de la sûreté publique, de la défense de l</w:t>
      </w:r>
      <w:r w:rsidRPr="00916664" w:rsidR="00916664">
        <w:rPr>
          <w:lang w:val="fr-FR"/>
        </w:rPr>
        <w:t>’</w:t>
      </w:r>
      <w:r w:rsidRPr="00916664">
        <w:rPr>
          <w:lang w:val="fr-FR"/>
        </w:rPr>
        <w:t>ordre et de la prévention du crime. Il estime aussi que, eu égard aux passages incriminés du livre, qui, selon lui, dénigraient l</w:t>
      </w:r>
      <w:r w:rsidRPr="00916664" w:rsidR="00916664">
        <w:rPr>
          <w:lang w:val="fr-FR"/>
        </w:rPr>
        <w:t>’</w:t>
      </w:r>
      <w:r w:rsidRPr="00916664">
        <w:rPr>
          <w:lang w:val="fr-FR"/>
        </w:rPr>
        <w:t>État et ses organes ainsi que le président de la République par des expressions insultantes et légitimaient les actes de terrorisme et la violence visant les forces de sécurité, l</w:t>
      </w:r>
      <w:r w:rsidRPr="00916664" w:rsidR="00916664">
        <w:rPr>
          <w:lang w:val="fr-FR"/>
        </w:rPr>
        <w:t>’</w:t>
      </w:r>
      <w:r w:rsidRPr="00916664">
        <w:rPr>
          <w:lang w:val="fr-FR"/>
        </w:rPr>
        <w:t>ingérence litigieuse était nécessaire dans une société démocratique et proportionnée aux buts légitimes poursuivis.</w:t>
      </w:r>
    </w:p>
    <w:p w:rsidRPr="00916664" w:rsidR="00B82DCC" w:rsidP="00916664" w:rsidRDefault="00B82DCC">
      <w:pPr>
        <w:pStyle w:val="JuPara"/>
        <w:rPr>
          <w:rFonts w:cstheme="minorHAnsi"/>
          <w:snapToGrid w:val="0"/>
          <w:lang w:val="fr-FR"/>
        </w:rPr>
      </w:pPr>
      <w:r w:rsidRPr="00916664">
        <w:rPr>
          <w:lang w:val="fr-FR"/>
        </w:rPr>
        <w:t>26.  La Cour note que, en l</w:t>
      </w:r>
      <w:r w:rsidRPr="00916664" w:rsidR="00916664">
        <w:rPr>
          <w:lang w:val="fr-FR"/>
        </w:rPr>
        <w:t>’</w:t>
      </w:r>
      <w:r w:rsidRPr="00916664">
        <w:rPr>
          <w:lang w:val="fr-FR"/>
        </w:rPr>
        <w:t xml:space="preserve">espèce, le requérant a été condamné des chefs </w:t>
      </w:r>
      <w:r w:rsidRPr="00916664">
        <w:rPr>
          <w:rFonts w:cstheme="minorHAnsi"/>
          <w:snapToGrid w:val="0"/>
          <w:lang w:val="fr-FR"/>
        </w:rPr>
        <w:t>d</w:t>
      </w:r>
      <w:r w:rsidRPr="00916664" w:rsidR="00916664">
        <w:rPr>
          <w:rFonts w:cstheme="minorHAnsi"/>
          <w:snapToGrid w:val="0"/>
          <w:lang w:val="fr-FR"/>
        </w:rPr>
        <w:t>’</w:t>
      </w:r>
      <w:r w:rsidRPr="00916664">
        <w:rPr>
          <w:rFonts w:cstheme="minorHAnsi"/>
          <w:snapToGrid w:val="0"/>
          <w:lang w:val="fr-FR"/>
        </w:rPr>
        <w:t>insulte au président de la République, de dénigrement de la République et de dénigrement des forces de sûreté de l</w:t>
      </w:r>
      <w:r w:rsidRPr="00916664" w:rsidR="00916664">
        <w:rPr>
          <w:rFonts w:cstheme="minorHAnsi"/>
          <w:snapToGrid w:val="0"/>
          <w:lang w:val="fr-FR"/>
        </w:rPr>
        <w:t>’</w:t>
      </w:r>
      <w:r w:rsidRPr="00916664">
        <w:rPr>
          <w:rFonts w:cstheme="minorHAnsi"/>
          <w:snapToGrid w:val="0"/>
          <w:lang w:val="fr-FR"/>
        </w:rPr>
        <w:t>État en raison du contenu d</w:t>
      </w:r>
      <w:r w:rsidRPr="00916664" w:rsidR="00916664">
        <w:rPr>
          <w:rFonts w:cstheme="minorHAnsi"/>
          <w:snapToGrid w:val="0"/>
          <w:lang w:val="fr-FR"/>
        </w:rPr>
        <w:t>’</w:t>
      </w:r>
      <w:r w:rsidRPr="00916664">
        <w:rPr>
          <w:rFonts w:cstheme="minorHAnsi"/>
          <w:snapToGrid w:val="0"/>
          <w:lang w:val="fr-FR"/>
        </w:rPr>
        <w:t>un livre publié par la maison d</w:t>
      </w:r>
      <w:r w:rsidRPr="00916664" w:rsidR="00916664">
        <w:rPr>
          <w:rFonts w:cstheme="minorHAnsi"/>
          <w:snapToGrid w:val="0"/>
          <w:lang w:val="fr-FR"/>
        </w:rPr>
        <w:t>’</w:t>
      </w:r>
      <w:r w:rsidRPr="00916664">
        <w:rPr>
          <w:rFonts w:cstheme="minorHAnsi"/>
          <w:snapToGrid w:val="0"/>
          <w:lang w:val="fr-FR"/>
        </w:rPr>
        <w:t>édition dont il était le propriétaire.</w:t>
      </w:r>
    </w:p>
    <w:p w:rsidRPr="00916664" w:rsidR="00B82DCC" w:rsidP="00916664" w:rsidRDefault="00B82DCC">
      <w:pPr>
        <w:pStyle w:val="JuPara"/>
        <w:rPr>
          <w:rFonts w:cstheme="minorHAnsi"/>
          <w:snapToGrid w:val="0"/>
          <w:lang w:val="fr-FR"/>
        </w:rPr>
      </w:pPr>
      <w:r w:rsidRPr="00916664">
        <w:rPr>
          <w:rFonts w:cstheme="minorHAnsi"/>
          <w:snapToGrid w:val="0"/>
          <w:lang w:val="fr-FR"/>
        </w:rPr>
        <w:t>27.  Elle considère que la condamnation pénale du requérant constitue une ingérence dans l</w:t>
      </w:r>
      <w:r w:rsidRPr="00916664" w:rsidR="00916664">
        <w:rPr>
          <w:rFonts w:cstheme="minorHAnsi"/>
          <w:snapToGrid w:val="0"/>
          <w:lang w:val="fr-FR"/>
        </w:rPr>
        <w:t>’</w:t>
      </w:r>
      <w:r w:rsidRPr="00916664">
        <w:rPr>
          <w:rFonts w:cstheme="minorHAnsi"/>
          <w:snapToGrid w:val="0"/>
          <w:lang w:val="fr-FR"/>
        </w:rPr>
        <w:t>exercice par celui-ci de son droit à la liberté d</w:t>
      </w:r>
      <w:r w:rsidRPr="00916664" w:rsidR="00916664">
        <w:rPr>
          <w:rFonts w:cstheme="minorHAnsi"/>
          <w:snapToGrid w:val="0"/>
          <w:lang w:val="fr-FR"/>
        </w:rPr>
        <w:t>’</w:t>
      </w:r>
      <w:r w:rsidRPr="00916664">
        <w:rPr>
          <w:rFonts w:cstheme="minorHAnsi"/>
          <w:snapToGrid w:val="0"/>
          <w:lang w:val="fr-FR"/>
        </w:rPr>
        <w:t>expression (</w:t>
      </w:r>
      <w:proofErr w:type="spellStart"/>
      <w:r w:rsidRPr="00916664">
        <w:rPr>
          <w:i/>
          <w:iCs/>
          <w:lang w:val="fr-FR"/>
        </w:rPr>
        <w:t>Fatih</w:t>
      </w:r>
      <w:proofErr w:type="spellEnd"/>
      <w:r w:rsidRPr="00916664">
        <w:rPr>
          <w:i/>
          <w:iCs/>
          <w:lang w:val="fr-FR"/>
        </w:rPr>
        <w:t xml:space="preserve"> </w:t>
      </w:r>
      <w:proofErr w:type="spellStart"/>
      <w:r w:rsidRPr="00916664">
        <w:rPr>
          <w:i/>
          <w:iCs/>
          <w:lang w:val="fr-FR"/>
        </w:rPr>
        <w:t>Taş</w:t>
      </w:r>
      <w:proofErr w:type="spellEnd"/>
      <w:r w:rsidRPr="00916664">
        <w:rPr>
          <w:i/>
          <w:iCs/>
          <w:lang w:val="fr-FR"/>
        </w:rPr>
        <w:t xml:space="preserve"> c. Turquie (n</w:t>
      </w:r>
      <w:r w:rsidRPr="00916664">
        <w:rPr>
          <w:i/>
          <w:iCs/>
          <w:vertAlign w:val="superscript"/>
          <w:lang w:val="fr-FR"/>
        </w:rPr>
        <w:t>o</w:t>
      </w:r>
      <w:r w:rsidRPr="00916664">
        <w:rPr>
          <w:i/>
          <w:iCs/>
          <w:lang w:val="fr-FR"/>
        </w:rPr>
        <w:t xml:space="preserve"> 5)</w:t>
      </w:r>
      <w:r w:rsidRPr="00916664">
        <w:rPr>
          <w:lang w:val="fr-FR" w:eastAsia="en-GB"/>
        </w:rPr>
        <w:t xml:space="preserve">, </w:t>
      </w:r>
      <w:r w:rsidRPr="00916664">
        <w:rPr>
          <w:lang w:val="fr-FR"/>
        </w:rPr>
        <w:t>n</w:t>
      </w:r>
      <w:r w:rsidRPr="00916664">
        <w:rPr>
          <w:vertAlign w:val="superscript"/>
          <w:lang w:val="fr-FR"/>
        </w:rPr>
        <w:t>o</w:t>
      </w:r>
      <w:r w:rsidRPr="00916664">
        <w:rPr>
          <w:lang w:val="fr-FR"/>
        </w:rPr>
        <w:t xml:space="preserve"> 6810/09</w:t>
      </w:r>
      <w:r w:rsidRPr="00916664">
        <w:rPr>
          <w:lang w:val="fr-FR" w:eastAsia="en-GB"/>
        </w:rPr>
        <w:t xml:space="preserve">, </w:t>
      </w:r>
      <w:r w:rsidRPr="00916664">
        <w:rPr>
          <w:lang w:val="fr-FR"/>
        </w:rPr>
        <w:t>§ 37, 4 septembre 2018)</w:t>
      </w:r>
      <w:r w:rsidRPr="00916664">
        <w:rPr>
          <w:rFonts w:cstheme="minorHAnsi"/>
          <w:snapToGrid w:val="0"/>
          <w:lang w:val="fr-FR"/>
        </w:rPr>
        <w:t>.</w:t>
      </w:r>
    </w:p>
    <w:p w:rsidRPr="00916664" w:rsidR="00B82DCC" w:rsidP="00916664" w:rsidRDefault="00B82DCC">
      <w:pPr>
        <w:pStyle w:val="JuPara"/>
        <w:rPr>
          <w:rFonts w:cstheme="minorHAnsi"/>
          <w:snapToGrid w:val="0"/>
          <w:lang w:val="fr-FR"/>
        </w:rPr>
      </w:pPr>
      <w:r w:rsidRPr="00916664">
        <w:rPr>
          <w:rFonts w:cstheme="minorHAnsi"/>
          <w:snapToGrid w:val="0"/>
          <w:lang w:val="fr-FR"/>
        </w:rPr>
        <w:t>28.  Elle observe ensuite qu</w:t>
      </w:r>
      <w:r w:rsidRPr="00916664" w:rsidR="00916664">
        <w:rPr>
          <w:rFonts w:cstheme="minorHAnsi"/>
          <w:snapToGrid w:val="0"/>
          <w:lang w:val="fr-FR"/>
        </w:rPr>
        <w:t>’</w:t>
      </w:r>
      <w:r w:rsidRPr="00916664">
        <w:rPr>
          <w:rFonts w:cstheme="minorHAnsi"/>
          <w:snapToGrid w:val="0"/>
          <w:lang w:val="fr-FR"/>
        </w:rPr>
        <w:t xml:space="preserve">il ne prête pas à controverse entre les parties que cette ingérence était prévue par la loi, à savoir </w:t>
      </w:r>
      <w:r w:rsidRPr="00916664">
        <w:rPr>
          <w:lang w:val="fr-FR"/>
        </w:rPr>
        <w:t>les articles 158 et 159 du CP</w:t>
      </w:r>
      <w:r w:rsidRPr="00916664">
        <w:rPr>
          <w:rFonts w:cstheme="minorHAnsi"/>
          <w:snapToGrid w:val="0"/>
          <w:lang w:val="fr-FR"/>
        </w:rPr>
        <w:t>. Tout en ayant des doutes sur la prévisibilité pour le requérant de son incrimination en vertu de l</w:t>
      </w:r>
      <w:r w:rsidRPr="00916664" w:rsidR="00916664">
        <w:rPr>
          <w:rFonts w:cstheme="minorHAnsi"/>
          <w:snapToGrid w:val="0"/>
          <w:lang w:val="fr-FR"/>
        </w:rPr>
        <w:t>’</w:t>
      </w:r>
      <w:r w:rsidRPr="00916664">
        <w:rPr>
          <w:rFonts w:cstheme="minorHAnsi"/>
          <w:snapToGrid w:val="0"/>
          <w:lang w:val="fr-FR"/>
        </w:rPr>
        <w:t>article 159 du CP en raison de la portée large des expressions employées dans cette disposition (</w:t>
      </w:r>
      <w:proofErr w:type="spellStart"/>
      <w:r w:rsidRPr="00916664">
        <w:rPr>
          <w:i/>
          <w:iCs/>
          <w:lang w:val="fr-FR"/>
        </w:rPr>
        <w:t>Fatih</w:t>
      </w:r>
      <w:proofErr w:type="spellEnd"/>
      <w:r w:rsidRPr="00916664">
        <w:rPr>
          <w:i/>
          <w:iCs/>
          <w:lang w:val="fr-FR"/>
        </w:rPr>
        <w:t xml:space="preserve"> </w:t>
      </w:r>
      <w:proofErr w:type="spellStart"/>
      <w:r w:rsidRPr="00916664">
        <w:rPr>
          <w:i/>
          <w:iCs/>
          <w:lang w:val="fr-FR"/>
        </w:rPr>
        <w:t>Taş</w:t>
      </w:r>
      <w:proofErr w:type="spellEnd"/>
      <w:r w:rsidRPr="00916664">
        <w:rPr>
          <w:i/>
          <w:iCs/>
          <w:lang w:val="fr-FR"/>
        </w:rPr>
        <w:t xml:space="preserve"> c. Turquie (n</w:t>
      </w:r>
      <w:r w:rsidRPr="00916664">
        <w:rPr>
          <w:i/>
          <w:iCs/>
          <w:vertAlign w:val="superscript"/>
          <w:lang w:val="fr-FR"/>
        </w:rPr>
        <w:t>o</w:t>
      </w:r>
      <w:r w:rsidRPr="00916664">
        <w:rPr>
          <w:i/>
          <w:iCs/>
          <w:lang w:val="fr-FR"/>
        </w:rPr>
        <w:t xml:space="preserve"> 5)</w:t>
      </w:r>
      <w:r w:rsidRPr="00916664">
        <w:rPr>
          <w:lang w:val="fr-FR" w:eastAsia="en-GB"/>
        </w:rPr>
        <w:t>, précité, §§ 28-</w:t>
      </w:r>
      <w:r w:rsidRPr="00916664">
        <w:rPr>
          <w:rFonts w:cstheme="minorHAnsi"/>
          <w:snapToGrid w:val="0"/>
          <w:lang w:val="fr-FR"/>
        </w:rPr>
        <w:t>35 et 38), elle juge qu</w:t>
      </w:r>
      <w:r w:rsidRPr="00916664" w:rsidR="00916664">
        <w:rPr>
          <w:rFonts w:cstheme="minorHAnsi"/>
          <w:snapToGrid w:val="0"/>
          <w:lang w:val="fr-FR"/>
        </w:rPr>
        <w:t>’</w:t>
      </w:r>
      <w:r w:rsidRPr="00916664">
        <w:rPr>
          <w:rFonts w:cstheme="minorHAnsi"/>
          <w:snapToGrid w:val="0"/>
          <w:lang w:val="fr-FR"/>
        </w:rPr>
        <w:t>il ne s</w:t>
      </w:r>
      <w:r w:rsidRPr="00916664" w:rsidR="00916664">
        <w:rPr>
          <w:rFonts w:cstheme="minorHAnsi"/>
          <w:snapToGrid w:val="0"/>
          <w:lang w:val="fr-FR"/>
        </w:rPr>
        <w:t>’</w:t>
      </w:r>
      <w:r w:rsidRPr="00916664">
        <w:rPr>
          <w:rFonts w:cstheme="minorHAnsi"/>
          <w:snapToGrid w:val="0"/>
          <w:lang w:val="fr-FR"/>
        </w:rPr>
        <w:t>impose pas de trancher cette question, eu égard à la conclusion à laquelle elle est parvenue sur la nécessité de l</w:t>
      </w:r>
      <w:r w:rsidRPr="00916664" w:rsidR="00916664">
        <w:rPr>
          <w:rFonts w:cstheme="minorHAnsi"/>
          <w:snapToGrid w:val="0"/>
          <w:lang w:val="fr-FR"/>
        </w:rPr>
        <w:t>’</w:t>
      </w:r>
      <w:r w:rsidRPr="00916664">
        <w:rPr>
          <w:rFonts w:cstheme="minorHAnsi"/>
          <w:snapToGrid w:val="0"/>
          <w:lang w:val="fr-FR"/>
        </w:rPr>
        <w:t>ingérence (paragraphes 33 et 44 ci-dessous). Elle peut en outre accepter que l</w:t>
      </w:r>
      <w:r w:rsidRPr="00916664" w:rsidR="00916664">
        <w:rPr>
          <w:rFonts w:cstheme="minorHAnsi"/>
          <w:snapToGrid w:val="0"/>
          <w:lang w:val="fr-FR"/>
        </w:rPr>
        <w:t>’</w:t>
      </w:r>
      <w:r w:rsidRPr="00916664">
        <w:rPr>
          <w:rFonts w:cstheme="minorHAnsi"/>
          <w:snapToGrid w:val="0"/>
          <w:lang w:val="fr-FR"/>
        </w:rPr>
        <w:t>ingérence litigieuse poursuivait des buts légitimes au regard de l</w:t>
      </w:r>
      <w:r w:rsidRPr="00916664" w:rsidR="00916664">
        <w:rPr>
          <w:rFonts w:cstheme="minorHAnsi"/>
          <w:snapToGrid w:val="0"/>
          <w:lang w:val="fr-FR"/>
        </w:rPr>
        <w:t>’</w:t>
      </w:r>
      <w:r w:rsidRPr="00916664">
        <w:rPr>
          <w:rFonts w:cstheme="minorHAnsi"/>
          <w:snapToGrid w:val="0"/>
          <w:lang w:val="fr-FR"/>
        </w:rPr>
        <w:t>article 10 § 2 de la Convention, à savoir la protection de la sûreté publique et celle de la sécurité nationale (</w:t>
      </w:r>
      <w:r w:rsidRPr="00916664">
        <w:rPr>
          <w:rFonts w:cstheme="minorHAnsi"/>
          <w:i/>
          <w:snapToGrid w:val="0"/>
          <w:lang w:val="fr-FR"/>
        </w:rPr>
        <w:t>Ibidem</w:t>
      </w:r>
      <w:r w:rsidRPr="00916664">
        <w:rPr>
          <w:rFonts w:cstheme="minorHAnsi"/>
          <w:snapToGrid w:val="0"/>
          <w:lang w:val="fr-FR"/>
        </w:rPr>
        <w:t>, § 38).</w:t>
      </w:r>
    </w:p>
    <w:p w:rsidRPr="00916664" w:rsidR="00B82DCC" w:rsidP="00916664" w:rsidRDefault="00B82DCC">
      <w:pPr>
        <w:pStyle w:val="JuPara"/>
        <w:rPr>
          <w:rFonts w:cstheme="minorHAnsi"/>
          <w:snapToGrid w:val="0"/>
          <w:lang w:val="fr-FR"/>
        </w:rPr>
      </w:pPr>
      <w:r w:rsidRPr="00916664">
        <w:rPr>
          <w:rFonts w:cstheme="minorHAnsi"/>
          <w:snapToGrid w:val="0"/>
          <w:lang w:val="fr-FR"/>
        </w:rPr>
        <w:t>29.  Quant à la nécessité de l</w:t>
      </w:r>
      <w:r w:rsidRPr="00916664" w:rsidR="00916664">
        <w:rPr>
          <w:rFonts w:cstheme="minorHAnsi"/>
          <w:snapToGrid w:val="0"/>
          <w:lang w:val="fr-FR"/>
        </w:rPr>
        <w:t>’</w:t>
      </w:r>
      <w:r w:rsidRPr="00916664">
        <w:rPr>
          <w:rFonts w:cstheme="minorHAnsi"/>
          <w:snapToGrid w:val="0"/>
          <w:lang w:val="fr-FR"/>
        </w:rPr>
        <w:t>ingérence, la Cour note d</w:t>
      </w:r>
      <w:r w:rsidRPr="00916664" w:rsidR="00916664">
        <w:rPr>
          <w:rFonts w:cstheme="minorHAnsi"/>
          <w:snapToGrid w:val="0"/>
          <w:lang w:val="fr-FR"/>
        </w:rPr>
        <w:t>’</w:t>
      </w:r>
      <w:r w:rsidRPr="00916664">
        <w:rPr>
          <w:rFonts w:cstheme="minorHAnsi"/>
          <w:snapToGrid w:val="0"/>
          <w:lang w:val="fr-FR"/>
        </w:rPr>
        <w:t>emblée que la condamnation du requérant des chefs de dénigrement de la République et de dénigrement des forces de sûreté de l</w:t>
      </w:r>
      <w:r w:rsidRPr="00916664" w:rsidR="00916664">
        <w:rPr>
          <w:rFonts w:cstheme="minorHAnsi"/>
          <w:snapToGrid w:val="0"/>
          <w:lang w:val="fr-FR"/>
        </w:rPr>
        <w:t>’</w:t>
      </w:r>
      <w:r w:rsidRPr="00916664">
        <w:rPr>
          <w:rFonts w:cstheme="minorHAnsi"/>
          <w:snapToGrid w:val="0"/>
          <w:lang w:val="fr-FR"/>
        </w:rPr>
        <w:t>État est une sanction pénale qui a été infligée à celui-ci en raison des passages du livre publié par sa maison d</w:t>
      </w:r>
      <w:r w:rsidRPr="00916664" w:rsidR="00916664">
        <w:rPr>
          <w:rFonts w:cstheme="minorHAnsi"/>
          <w:snapToGrid w:val="0"/>
          <w:lang w:val="fr-FR"/>
        </w:rPr>
        <w:t>’</w:t>
      </w:r>
      <w:r w:rsidRPr="00916664">
        <w:rPr>
          <w:rFonts w:cstheme="minorHAnsi"/>
          <w:snapToGrid w:val="0"/>
          <w:lang w:val="fr-FR"/>
        </w:rPr>
        <w:t>édition, considérés comme attentatoires aux institutions étatiques. En revanche, la condamnation pénale de l</w:t>
      </w:r>
      <w:r w:rsidRPr="00916664" w:rsidR="00916664">
        <w:rPr>
          <w:rFonts w:cstheme="minorHAnsi"/>
          <w:snapToGrid w:val="0"/>
          <w:lang w:val="fr-FR"/>
        </w:rPr>
        <w:t>’</w:t>
      </w:r>
      <w:r w:rsidRPr="00916664">
        <w:rPr>
          <w:rFonts w:cstheme="minorHAnsi"/>
          <w:snapToGrid w:val="0"/>
          <w:lang w:val="fr-FR"/>
        </w:rPr>
        <w:t>intéressé du chef d</w:t>
      </w:r>
      <w:r w:rsidRPr="00916664" w:rsidR="00916664">
        <w:rPr>
          <w:rFonts w:cstheme="minorHAnsi"/>
          <w:snapToGrid w:val="0"/>
          <w:lang w:val="fr-FR"/>
        </w:rPr>
        <w:t>’</w:t>
      </w:r>
      <w:r w:rsidRPr="00916664">
        <w:rPr>
          <w:rFonts w:cstheme="minorHAnsi"/>
          <w:snapToGrid w:val="0"/>
          <w:lang w:val="fr-FR"/>
        </w:rPr>
        <w:t>insulte au président de la République concerne une affaire classique de diffamation d</w:t>
      </w:r>
      <w:r w:rsidRPr="00916664" w:rsidR="00916664">
        <w:rPr>
          <w:rFonts w:cstheme="minorHAnsi"/>
          <w:snapToGrid w:val="0"/>
          <w:lang w:val="fr-FR"/>
        </w:rPr>
        <w:t>’</w:t>
      </w:r>
      <w:r w:rsidRPr="00916664">
        <w:rPr>
          <w:rFonts w:cstheme="minorHAnsi"/>
          <w:snapToGrid w:val="0"/>
          <w:lang w:val="fr-FR"/>
        </w:rPr>
        <w:t>un homme politique dans le contexte d</w:t>
      </w:r>
      <w:r w:rsidRPr="00916664" w:rsidR="00916664">
        <w:rPr>
          <w:rFonts w:cstheme="minorHAnsi"/>
          <w:snapToGrid w:val="0"/>
          <w:lang w:val="fr-FR"/>
        </w:rPr>
        <w:t>’</w:t>
      </w:r>
      <w:r w:rsidRPr="00916664">
        <w:rPr>
          <w:rFonts w:cstheme="minorHAnsi"/>
          <w:snapToGrid w:val="0"/>
          <w:lang w:val="fr-FR"/>
        </w:rPr>
        <w:t>un débat sur des questions d</w:t>
      </w:r>
      <w:r w:rsidRPr="00916664" w:rsidR="00916664">
        <w:rPr>
          <w:rFonts w:cstheme="minorHAnsi"/>
          <w:snapToGrid w:val="0"/>
          <w:lang w:val="fr-FR"/>
        </w:rPr>
        <w:t>’</w:t>
      </w:r>
      <w:r w:rsidRPr="00916664">
        <w:rPr>
          <w:rFonts w:cstheme="minorHAnsi"/>
          <w:snapToGrid w:val="0"/>
          <w:lang w:val="fr-FR"/>
        </w:rPr>
        <w:t xml:space="preserve">intérêt public légitime (voir, </w:t>
      </w:r>
      <w:r w:rsidRPr="00916664">
        <w:rPr>
          <w:rFonts w:cstheme="minorHAnsi"/>
          <w:i/>
          <w:snapToGrid w:val="0"/>
          <w:lang w:val="fr-FR"/>
        </w:rPr>
        <w:t>mutatis mutandis</w:t>
      </w:r>
      <w:r w:rsidRPr="00916664">
        <w:rPr>
          <w:rFonts w:cstheme="minorHAnsi"/>
          <w:snapToGrid w:val="0"/>
          <w:lang w:val="fr-FR"/>
        </w:rPr>
        <w:t xml:space="preserve">, </w:t>
      </w:r>
      <w:proofErr w:type="spellStart"/>
      <w:r w:rsidRPr="00916664" w:rsidR="00221C76">
        <w:rPr>
          <w:i/>
          <w:lang w:val="fr-FR"/>
        </w:rPr>
        <w:t>Artun</w:t>
      </w:r>
      <w:proofErr w:type="spellEnd"/>
      <w:r w:rsidRPr="00916664" w:rsidR="00221C76">
        <w:rPr>
          <w:i/>
          <w:lang w:val="fr-FR"/>
        </w:rPr>
        <w:t xml:space="preserve"> et </w:t>
      </w:r>
      <w:proofErr w:type="spellStart"/>
      <w:r w:rsidRPr="00916664" w:rsidR="00221C76">
        <w:rPr>
          <w:i/>
          <w:lang w:val="fr-FR"/>
        </w:rPr>
        <w:t>Güvener</w:t>
      </w:r>
      <w:proofErr w:type="spellEnd"/>
      <w:r w:rsidRPr="00916664" w:rsidR="00221C76">
        <w:rPr>
          <w:i/>
          <w:lang w:val="fr-FR"/>
        </w:rPr>
        <w:t xml:space="preserve"> c. </w:t>
      </w:r>
      <w:r w:rsidRPr="00916664">
        <w:rPr>
          <w:i/>
          <w:lang w:val="fr-FR"/>
        </w:rPr>
        <w:t>Turquie</w:t>
      </w:r>
      <w:r w:rsidRPr="00916664">
        <w:rPr>
          <w:lang w:val="fr-FR"/>
        </w:rPr>
        <w:t>, n</w:t>
      </w:r>
      <w:r w:rsidRPr="00916664">
        <w:rPr>
          <w:vertAlign w:val="superscript"/>
          <w:lang w:val="fr-FR"/>
        </w:rPr>
        <w:t>o</w:t>
      </w:r>
      <w:r w:rsidRPr="00916664">
        <w:rPr>
          <w:lang w:val="fr-FR"/>
        </w:rPr>
        <w:t xml:space="preserve"> 75510/01, § 28, 26 juin 2007) et nécessite un exercice de mise en balance entre le droit du requérant à la liberté d</w:t>
      </w:r>
      <w:r w:rsidRPr="00916664" w:rsidR="00916664">
        <w:rPr>
          <w:lang w:val="fr-FR"/>
        </w:rPr>
        <w:t>’</w:t>
      </w:r>
      <w:r w:rsidRPr="00916664">
        <w:rPr>
          <w:lang w:val="fr-FR"/>
        </w:rPr>
        <w:t>expression et le droit du président de la République à la protection de sa réputation</w:t>
      </w:r>
      <w:r w:rsidRPr="00916664">
        <w:rPr>
          <w:rFonts w:cstheme="minorHAnsi"/>
          <w:snapToGrid w:val="0"/>
          <w:lang w:val="fr-FR"/>
        </w:rPr>
        <w:t>. La Cour observe donc que ces deux condamnations posent ainsi des questions juridiques distinctes et appellent des examens séparés. Par conséquent, elle estime opportun d</w:t>
      </w:r>
      <w:r w:rsidRPr="00916664" w:rsidR="00916664">
        <w:rPr>
          <w:rFonts w:cstheme="minorHAnsi"/>
          <w:snapToGrid w:val="0"/>
          <w:lang w:val="fr-FR"/>
        </w:rPr>
        <w:t>’</w:t>
      </w:r>
      <w:r w:rsidRPr="00916664">
        <w:rPr>
          <w:rFonts w:cstheme="minorHAnsi"/>
          <w:snapToGrid w:val="0"/>
          <w:lang w:val="fr-FR"/>
        </w:rPr>
        <w:t>examiner séparément et successivement la question de la nécessité dans une société démocratique de la condamnation pénale du requérant des chefs de dénigrement de la République et de dénigrement des forces de sûreté de l</w:t>
      </w:r>
      <w:r w:rsidRPr="00916664" w:rsidR="00916664">
        <w:rPr>
          <w:rFonts w:cstheme="minorHAnsi"/>
          <w:snapToGrid w:val="0"/>
          <w:lang w:val="fr-FR"/>
        </w:rPr>
        <w:t>’</w:t>
      </w:r>
      <w:r w:rsidRPr="00916664">
        <w:rPr>
          <w:rFonts w:cstheme="minorHAnsi"/>
          <w:snapToGrid w:val="0"/>
          <w:lang w:val="fr-FR"/>
        </w:rPr>
        <w:t>État, d</w:t>
      </w:r>
      <w:r w:rsidRPr="00916664" w:rsidR="00916664">
        <w:rPr>
          <w:rFonts w:cstheme="minorHAnsi"/>
          <w:snapToGrid w:val="0"/>
          <w:lang w:val="fr-FR"/>
        </w:rPr>
        <w:t>’</w:t>
      </w:r>
      <w:r w:rsidRPr="00916664">
        <w:rPr>
          <w:rFonts w:cstheme="minorHAnsi"/>
          <w:snapToGrid w:val="0"/>
          <w:lang w:val="fr-FR"/>
        </w:rPr>
        <w:t>une part, et celle de la condamnation pénale de l</w:t>
      </w:r>
      <w:r w:rsidRPr="00916664" w:rsidR="00916664">
        <w:rPr>
          <w:rFonts w:cstheme="minorHAnsi"/>
          <w:snapToGrid w:val="0"/>
          <w:lang w:val="fr-FR"/>
        </w:rPr>
        <w:t>’</w:t>
      </w:r>
      <w:r w:rsidRPr="00916664">
        <w:rPr>
          <w:rFonts w:cstheme="minorHAnsi"/>
          <w:snapToGrid w:val="0"/>
          <w:lang w:val="fr-FR"/>
        </w:rPr>
        <w:t>intéressé du chef d</w:t>
      </w:r>
      <w:r w:rsidRPr="00916664" w:rsidR="00916664">
        <w:rPr>
          <w:rFonts w:cstheme="minorHAnsi"/>
          <w:snapToGrid w:val="0"/>
          <w:lang w:val="fr-FR"/>
        </w:rPr>
        <w:t>’</w:t>
      </w:r>
      <w:r w:rsidRPr="00916664">
        <w:rPr>
          <w:rFonts w:cstheme="minorHAnsi"/>
          <w:snapToGrid w:val="0"/>
          <w:lang w:val="fr-FR"/>
        </w:rPr>
        <w:t>insulte au président de la République, d</w:t>
      </w:r>
      <w:r w:rsidRPr="00916664" w:rsidR="00916664">
        <w:rPr>
          <w:rFonts w:cstheme="minorHAnsi"/>
          <w:snapToGrid w:val="0"/>
          <w:lang w:val="fr-FR"/>
        </w:rPr>
        <w:t>’</w:t>
      </w:r>
      <w:r w:rsidRPr="00916664">
        <w:rPr>
          <w:rFonts w:cstheme="minorHAnsi"/>
          <w:snapToGrid w:val="0"/>
          <w:lang w:val="fr-FR"/>
        </w:rPr>
        <w:t>autre part.</w:t>
      </w:r>
    </w:p>
    <w:p w:rsidRPr="00916664" w:rsidR="00B82DCC" w:rsidP="00916664" w:rsidRDefault="00B82DCC">
      <w:pPr>
        <w:pStyle w:val="ECHRHeading3"/>
        <w:ind w:left="731" w:firstLine="0"/>
        <w:rPr>
          <w:snapToGrid w:val="0"/>
          <w:lang w:val="fr-FR"/>
        </w:rPr>
      </w:pPr>
      <w:r w:rsidRPr="00916664">
        <w:rPr>
          <w:snapToGrid w:val="0"/>
          <w:lang w:val="fr-FR"/>
        </w:rPr>
        <w:t>1.  Sur la condamnation pénale du requérant des chefs de dénigrement de la République et de dénigrement des forces de sûreté de l</w:t>
      </w:r>
      <w:r w:rsidRPr="00916664" w:rsidR="00916664">
        <w:rPr>
          <w:snapToGrid w:val="0"/>
          <w:lang w:val="fr-FR"/>
        </w:rPr>
        <w:t>’</w:t>
      </w:r>
      <w:r w:rsidRPr="00916664">
        <w:rPr>
          <w:snapToGrid w:val="0"/>
          <w:lang w:val="fr-FR"/>
        </w:rPr>
        <w:t>État</w:t>
      </w:r>
    </w:p>
    <w:p w:rsidRPr="00916664" w:rsidR="00B82DCC" w:rsidP="00916664" w:rsidRDefault="00B82DCC">
      <w:pPr>
        <w:pStyle w:val="JuPara"/>
        <w:rPr>
          <w:rFonts w:cstheme="minorHAnsi"/>
          <w:iCs/>
          <w:snapToGrid w:val="0"/>
          <w:lang w:val="fr-FR"/>
        </w:rPr>
      </w:pPr>
      <w:r w:rsidRPr="00916664">
        <w:rPr>
          <w:rFonts w:cstheme="minorHAnsi"/>
          <w:snapToGrid w:val="0"/>
          <w:lang w:val="fr-FR"/>
        </w:rPr>
        <w:t>30.  La Cour rappelle les principes découlant de sa jurisprudence en matière de liberté d</w:t>
      </w:r>
      <w:r w:rsidRPr="00916664" w:rsidR="00916664">
        <w:rPr>
          <w:rFonts w:cstheme="minorHAnsi"/>
          <w:snapToGrid w:val="0"/>
          <w:lang w:val="fr-FR"/>
        </w:rPr>
        <w:t>’</w:t>
      </w:r>
      <w:r w:rsidRPr="00916664">
        <w:rPr>
          <w:rFonts w:cstheme="minorHAnsi"/>
          <w:snapToGrid w:val="0"/>
          <w:lang w:val="fr-FR"/>
        </w:rPr>
        <w:t>expression, lesquels sont résumés notamment dans l</w:t>
      </w:r>
      <w:r w:rsidRPr="00916664" w:rsidR="00916664">
        <w:rPr>
          <w:rFonts w:cstheme="minorHAnsi"/>
          <w:snapToGrid w:val="0"/>
          <w:lang w:val="fr-FR"/>
        </w:rPr>
        <w:t>’</w:t>
      </w:r>
      <w:r w:rsidRPr="00916664">
        <w:rPr>
          <w:rFonts w:cstheme="minorHAnsi"/>
          <w:snapToGrid w:val="0"/>
          <w:lang w:val="fr-FR"/>
        </w:rPr>
        <w:t xml:space="preserve">arrêt </w:t>
      </w:r>
      <w:proofErr w:type="spellStart"/>
      <w:r w:rsidRPr="00916664">
        <w:rPr>
          <w:rFonts w:cstheme="minorHAnsi"/>
          <w:i/>
          <w:snapToGrid w:val="0"/>
          <w:lang w:val="fr-FR"/>
        </w:rPr>
        <w:t>Bédat</w:t>
      </w:r>
      <w:proofErr w:type="spellEnd"/>
      <w:r w:rsidRPr="00916664">
        <w:rPr>
          <w:rFonts w:cstheme="minorHAnsi"/>
          <w:i/>
          <w:snapToGrid w:val="0"/>
          <w:lang w:val="fr-FR"/>
        </w:rPr>
        <w:t xml:space="preserve"> c. Suisse</w:t>
      </w:r>
      <w:r w:rsidRPr="00916664">
        <w:rPr>
          <w:rFonts w:cstheme="minorHAnsi"/>
          <w:snapToGrid w:val="0"/>
          <w:lang w:val="fr-FR"/>
        </w:rPr>
        <w:t xml:space="preserve"> ([GC], </w:t>
      </w:r>
      <w:r w:rsidRPr="00916664">
        <w:rPr>
          <w:lang w:val="fr-FR"/>
        </w:rPr>
        <w:t>n</w:t>
      </w:r>
      <w:r w:rsidRPr="00916664">
        <w:rPr>
          <w:vertAlign w:val="superscript"/>
          <w:lang w:val="fr-FR"/>
        </w:rPr>
        <w:t>o</w:t>
      </w:r>
      <w:r w:rsidRPr="00916664">
        <w:rPr>
          <w:rFonts w:cstheme="minorHAnsi"/>
          <w:snapToGrid w:val="0"/>
          <w:lang w:val="fr-FR"/>
        </w:rPr>
        <w:t xml:space="preserve"> 56925/08, § 48, 29 mars 2016). Elle rappelle en particulier les principes dégagés de sa jurisprudence relative aux poursuites pénales engagées sur le fondement de l</w:t>
      </w:r>
      <w:r w:rsidRPr="00916664" w:rsidR="00916664">
        <w:rPr>
          <w:rFonts w:cstheme="minorHAnsi"/>
          <w:snapToGrid w:val="0"/>
          <w:lang w:val="fr-FR"/>
        </w:rPr>
        <w:t>’</w:t>
      </w:r>
      <w:r w:rsidRPr="00916664">
        <w:rPr>
          <w:rFonts w:cstheme="minorHAnsi"/>
          <w:snapToGrid w:val="0"/>
          <w:lang w:val="fr-FR"/>
        </w:rPr>
        <w:t>article 159 du CP ou de l</w:t>
      </w:r>
      <w:r w:rsidRPr="00916664" w:rsidR="00916664">
        <w:rPr>
          <w:rFonts w:cstheme="minorHAnsi"/>
          <w:snapToGrid w:val="0"/>
          <w:lang w:val="fr-FR"/>
        </w:rPr>
        <w:t>’</w:t>
      </w:r>
      <w:r w:rsidRPr="00916664">
        <w:rPr>
          <w:rFonts w:cstheme="minorHAnsi"/>
          <w:snapToGrid w:val="0"/>
          <w:lang w:val="fr-FR"/>
        </w:rPr>
        <w:t>article 301 du NCP, lesquels sont exposés dans l</w:t>
      </w:r>
      <w:r w:rsidRPr="00916664" w:rsidR="00916664">
        <w:rPr>
          <w:rFonts w:cstheme="minorHAnsi"/>
          <w:snapToGrid w:val="0"/>
          <w:lang w:val="fr-FR"/>
        </w:rPr>
        <w:t>’</w:t>
      </w:r>
      <w:r w:rsidRPr="00916664">
        <w:rPr>
          <w:rFonts w:cstheme="minorHAnsi"/>
          <w:snapToGrid w:val="0"/>
          <w:lang w:val="fr-FR"/>
        </w:rPr>
        <w:t xml:space="preserve">arrêt </w:t>
      </w:r>
      <w:proofErr w:type="spellStart"/>
      <w:r w:rsidRPr="00916664">
        <w:rPr>
          <w:rFonts w:cstheme="minorHAnsi"/>
          <w:i/>
          <w:iCs/>
          <w:snapToGrid w:val="0"/>
          <w:lang w:val="fr-FR"/>
        </w:rPr>
        <w:t>Fatih</w:t>
      </w:r>
      <w:proofErr w:type="spellEnd"/>
      <w:r w:rsidRPr="00916664">
        <w:rPr>
          <w:rFonts w:cstheme="minorHAnsi"/>
          <w:i/>
          <w:iCs/>
          <w:snapToGrid w:val="0"/>
          <w:lang w:val="fr-FR"/>
        </w:rPr>
        <w:t xml:space="preserve"> </w:t>
      </w:r>
      <w:proofErr w:type="spellStart"/>
      <w:r w:rsidRPr="00916664">
        <w:rPr>
          <w:rFonts w:cstheme="minorHAnsi"/>
          <w:i/>
          <w:iCs/>
          <w:snapToGrid w:val="0"/>
          <w:lang w:val="fr-FR"/>
        </w:rPr>
        <w:t>Taş</w:t>
      </w:r>
      <w:proofErr w:type="spellEnd"/>
      <w:r w:rsidRPr="00916664">
        <w:rPr>
          <w:rFonts w:cstheme="minorHAnsi"/>
          <w:i/>
          <w:iCs/>
          <w:snapToGrid w:val="0"/>
          <w:lang w:val="fr-FR"/>
        </w:rPr>
        <w:t xml:space="preserve"> (n</w:t>
      </w:r>
      <w:r w:rsidRPr="00916664">
        <w:rPr>
          <w:rFonts w:cstheme="minorHAnsi"/>
          <w:i/>
          <w:iCs/>
          <w:snapToGrid w:val="0"/>
          <w:vertAlign w:val="superscript"/>
          <w:lang w:val="fr-FR"/>
        </w:rPr>
        <w:t>o</w:t>
      </w:r>
      <w:r w:rsidRPr="00916664">
        <w:rPr>
          <w:rFonts w:cstheme="minorHAnsi"/>
          <w:i/>
          <w:iCs/>
          <w:snapToGrid w:val="0"/>
          <w:lang w:val="fr-FR"/>
        </w:rPr>
        <w:t xml:space="preserve"> 5)</w:t>
      </w:r>
      <w:r w:rsidRPr="00916664">
        <w:rPr>
          <w:rFonts w:cstheme="minorHAnsi"/>
          <w:iCs/>
          <w:snapToGrid w:val="0"/>
          <w:lang w:val="fr-FR"/>
        </w:rPr>
        <w:t xml:space="preserve"> (précité, §§ 29-35).</w:t>
      </w:r>
    </w:p>
    <w:p w:rsidRPr="00916664" w:rsidR="00B82DCC" w:rsidP="00916664" w:rsidRDefault="00B82DCC">
      <w:pPr>
        <w:pStyle w:val="JuPara"/>
        <w:rPr>
          <w:rFonts w:cstheme="minorHAnsi"/>
          <w:iCs/>
          <w:snapToGrid w:val="0"/>
          <w:lang w:val="fr-FR"/>
        </w:rPr>
      </w:pPr>
      <w:r w:rsidRPr="00916664">
        <w:rPr>
          <w:rFonts w:cstheme="minorHAnsi"/>
          <w:iCs/>
          <w:snapToGrid w:val="0"/>
          <w:lang w:val="fr-FR"/>
        </w:rPr>
        <w:t>31.  Procédant à une analyse des passages litigieux du livre, retenus par les juridictions internes à l</w:t>
      </w:r>
      <w:r w:rsidRPr="00916664" w:rsidR="00916664">
        <w:rPr>
          <w:rFonts w:cstheme="minorHAnsi"/>
          <w:iCs/>
          <w:snapToGrid w:val="0"/>
          <w:lang w:val="fr-FR"/>
        </w:rPr>
        <w:t>’</w:t>
      </w:r>
      <w:r w:rsidRPr="00916664">
        <w:rPr>
          <w:rFonts w:cstheme="minorHAnsi"/>
          <w:iCs/>
          <w:snapToGrid w:val="0"/>
          <w:lang w:val="fr-FR"/>
        </w:rPr>
        <w:t>appui de la condamnation pénale du requérant des</w:t>
      </w:r>
      <w:r w:rsidRPr="00916664">
        <w:rPr>
          <w:lang w:val="fr-FR"/>
        </w:rPr>
        <w:t xml:space="preserve"> </w:t>
      </w:r>
      <w:r w:rsidRPr="00916664">
        <w:rPr>
          <w:rFonts w:cstheme="minorHAnsi"/>
          <w:iCs/>
          <w:snapToGrid w:val="0"/>
          <w:lang w:val="fr-FR"/>
        </w:rPr>
        <w:t xml:space="preserve">chefs de dénigrement de la République et de dénigrement des forces de sûreté de </w:t>
      </w:r>
      <w:r w:rsidRPr="00916664" w:rsidR="00346ADC">
        <w:rPr>
          <w:rFonts w:cstheme="minorHAnsi"/>
          <w:iCs/>
          <w:snapToGrid w:val="0"/>
          <w:lang w:val="fr-FR"/>
        </w:rPr>
        <w:t>l</w:t>
      </w:r>
      <w:r w:rsidRPr="00916664" w:rsidR="00916664">
        <w:rPr>
          <w:rFonts w:cstheme="minorHAnsi"/>
          <w:iCs/>
          <w:snapToGrid w:val="0"/>
          <w:lang w:val="fr-FR"/>
        </w:rPr>
        <w:t>’</w:t>
      </w:r>
      <w:r w:rsidRPr="00916664">
        <w:rPr>
          <w:rFonts w:cstheme="minorHAnsi"/>
          <w:iCs/>
          <w:snapToGrid w:val="0"/>
          <w:lang w:val="fr-FR"/>
        </w:rPr>
        <w:t>État (paragraphe 8 ci-dessus), elle relève que ces passages brossaient un tableau négatif de l</w:t>
      </w:r>
      <w:r w:rsidRPr="00916664" w:rsidR="00916664">
        <w:rPr>
          <w:rFonts w:cstheme="minorHAnsi"/>
          <w:iCs/>
          <w:snapToGrid w:val="0"/>
          <w:lang w:val="fr-FR"/>
        </w:rPr>
        <w:t>’</w:t>
      </w:r>
      <w:r w:rsidRPr="00916664">
        <w:rPr>
          <w:rFonts w:cstheme="minorHAnsi"/>
          <w:iCs/>
          <w:snapToGrid w:val="0"/>
          <w:lang w:val="fr-FR"/>
        </w:rPr>
        <w:t>État turc dans un récit à connotation hostile (</w:t>
      </w:r>
      <w:proofErr w:type="spellStart"/>
      <w:r w:rsidRPr="00916664" w:rsidR="00987519">
        <w:rPr>
          <w:i/>
          <w:lang w:val="fr-FR"/>
        </w:rPr>
        <w:t>Önal</w:t>
      </w:r>
      <w:proofErr w:type="spellEnd"/>
      <w:r w:rsidRPr="00916664" w:rsidR="00987519">
        <w:rPr>
          <w:i/>
          <w:lang w:val="fr-FR"/>
        </w:rPr>
        <w:t xml:space="preserve"> c. Turquie</w:t>
      </w:r>
      <w:r w:rsidRPr="00916664" w:rsidR="00987519">
        <w:rPr>
          <w:lang w:val="fr-FR"/>
        </w:rPr>
        <w:t>, n</w:t>
      </w:r>
      <w:r w:rsidRPr="00916664" w:rsidR="00987519">
        <w:rPr>
          <w:rFonts w:cs="Times New Roman"/>
          <w:vertAlign w:val="superscript"/>
          <w:lang w:val="fr-FR"/>
        </w:rPr>
        <w:t>os</w:t>
      </w:r>
      <w:r w:rsidRPr="00916664" w:rsidR="00987519">
        <w:rPr>
          <w:lang w:val="fr-FR"/>
        </w:rPr>
        <w:t xml:space="preserve"> 41445/04 et 41453/04</w:t>
      </w:r>
      <w:r w:rsidRPr="00916664" w:rsidR="00987519">
        <w:rPr>
          <w:snapToGrid w:val="0"/>
          <w:lang w:val="fr-FR"/>
        </w:rPr>
        <w:t xml:space="preserve">, § 6, 2 </w:t>
      </w:r>
      <w:r w:rsidRPr="00916664" w:rsidR="00987519">
        <w:rPr>
          <w:lang w:val="fr-FR"/>
        </w:rPr>
        <w:t>octobre</w:t>
      </w:r>
      <w:r w:rsidRPr="00916664" w:rsidR="00987519">
        <w:rPr>
          <w:snapToGrid w:val="0"/>
          <w:lang w:val="fr-FR"/>
        </w:rPr>
        <w:t xml:space="preserve"> 2012</w:t>
      </w:r>
      <w:r w:rsidRPr="00916664" w:rsidR="00987519">
        <w:rPr>
          <w:rFonts w:cstheme="minorHAnsi"/>
          <w:iCs/>
          <w:snapToGrid w:val="0"/>
          <w:lang w:val="fr-FR"/>
        </w:rPr>
        <w:t>, § </w:t>
      </w:r>
      <w:r w:rsidRPr="00916664">
        <w:rPr>
          <w:rFonts w:cstheme="minorHAnsi"/>
          <w:iCs/>
          <w:snapToGrid w:val="0"/>
          <w:lang w:val="fr-FR"/>
        </w:rPr>
        <w:t>37) et contenaient des critiques acerbes et exagérées envers les autorités étatiques, lesquelles étaient notamment qualifiées de mafieuses et se voyaient attribuer plusieurs faits criminels. Elle estime cependant que lesdits passages étaient dépourvus de tout caractère « gratuitement offensant » ou injurieux et qu</w:t>
      </w:r>
      <w:r w:rsidRPr="00916664" w:rsidR="00916664">
        <w:rPr>
          <w:rFonts w:cstheme="minorHAnsi"/>
          <w:iCs/>
          <w:snapToGrid w:val="0"/>
          <w:lang w:val="fr-FR"/>
        </w:rPr>
        <w:t>’</w:t>
      </w:r>
      <w:r w:rsidRPr="00916664">
        <w:rPr>
          <w:rFonts w:cstheme="minorHAnsi"/>
          <w:iCs/>
          <w:snapToGrid w:val="0"/>
          <w:lang w:val="fr-FR"/>
        </w:rPr>
        <w:t>ils n</w:t>
      </w:r>
      <w:r w:rsidRPr="00916664" w:rsidR="00916664">
        <w:rPr>
          <w:rFonts w:cstheme="minorHAnsi"/>
          <w:iCs/>
          <w:snapToGrid w:val="0"/>
          <w:lang w:val="fr-FR"/>
        </w:rPr>
        <w:t>’</w:t>
      </w:r>
      <w:r w:rsidRPr="00916664">
        <w:rPr>
          <w:rFonts w:cstheme="minorHAnsi"/>
          <w:iCs/>
          <w:snapToGrid w:val="0"/>
          <w:lang w:val="fr-FR"/>
        </w:rPr>
        <w:t>incitaient ni à la violence ni à la haine (</w:t>
      </w:r>
      <w:proofErr w:type="spellStart"/>
      <w:r w:rsidRPr="00916664">
        <w:rPr>
          <w:rFonts w:cstheme="minorHAnsi"/>
          <w:i/>
          <w:iCs/>
          <w:snapToGrid w:val="0"/>
          <w:lang w:val="fr-FR"/>
        </w:rPr>
        <w:t>Fatih</w:t>
      </w:r>
      <w:proofErr w:type="spellEnd"/>
      <w:r w:rsidRPr="00916664">
        <w:rPr>
          <w:rFonts w:cstheme="minorHAnsi"/>
          <w:i/>
          <w:iCs/>
          <w:snapToGrid w:val="0"/>
          <w:lang w:val="fr-FR"/>
        </w:rPr>
        <w:t xml:space="preserve"> </w:t>
      </w:r>
      <w:proofErr w:type="spellStart"/>
      <w:r w:rsidRPr="00916664">
        <w:rPr>
          <w:rFonts w:cstheme="minorHAnsi"/>
          <w:i/>
          <w:iCs/>
          <w:snapToGrid w:val="0"/>
          <w:lang w:val="fr-FR"/>
        </w:rPr>
        <w:t>Taş</w:t>
      </w:r>
      <w:proofErr w:type="spellEnd"/>
      <w:r w:rsidRPr="00916664">
        <w:rPr>
          <w:rFonts w:cstheme="minorHAnsi"/>
          <w:i/>
          <w:iCs/>
          <w:snapToGrid w:val="0"/>
          <w:lang w:val="fr-FR"/>
        </w:rPr>
        <w:t xml:space="preserve"> (n</w:t>
      </w:r>
      <w:r w:rsidRPr="00916664">
        <w:rPr>
          <w:rFonts w:cstheme="minorHAnsi"/>
          <w:i/>
          <w:iCs/>
          <w:snapToGrid w:val="0"/>
          <w:vertAlign w:val="superscript"/>
          <w:lang w:val="fr-FR"/>
        </w:rPr>
        <w:t>o</w:t>
      </w:r>
      <w:r w:rsidRPr="00916664">
        <w:rPr>
          <w:rFonts w:cstheme="minorHAnsi"/>
          <w:i/>
          <w:iCs/>
          <w:snapToGrid w:val="0"/>
          <w:lang w:val="fr-FR"/>
        </w:rPr>
        <w:t xml:space="preserve"> 5)</w:t>
      </w:r>
      <w:r w:rsidRPr="00916664">
        <w:rPr>
          <w:rFonts w:cstheme="minorHAnsi"/>
          <w:iCs/>
          <w:snapToGrid w:val="0"/>
          <w:lang w:val="fr-FR"/>
        </w:rPr>
        <w:t>, précité, § 39), mis à part le passage « c</w:t>
      </w:r>
      <w:r w:rsidRPr="00916664" w:rsidR="00916664">
        <w:rPr>
          <w:rFonts w:cstheme="minorHAnsi"/>
          <w:iCs/>
          <w:snapToGrid w:val="0"/>
          <w:lang w:val="fr-FR"/>
        </w:rPr>
        <w:t>’</w:t>
      </w:r>
      <w:r w:rsidRPr="00916664">
        <w:rPr>
          <w:rFonts w:cstheme="minorHAnsi"/>
          <w:iCs/>
          <w:snapToGrid w:val="0"/>
          <w:lang w:val="fr-FR"/>
        </w:rPr>
        <w:t>est parce que [l</w:t>
      </w:r>
      <w:r w:rsidRPr="00916664" w:rsidR="00916664">
        <w:rPr>
          <w:rFonts w:cstheme="minorHAnsi"/>
          <w:iCs/>
          <w:snapToGrid w:val="0"/>
          <w:lang w:val="fr-FR"/>
        </w:rPr>
        <w:t>’</w:t>
      </w:r>
      <w:r w:rsidRPr="00916664">
        <w:rPr>
          <w:rFonts w:cstheme="minorHAnsi"/>
          <w:iCs/>
          <w:snapToGrid w:val="0"/>
          <w:lang w:val="fr-FR"/>
        </w:rPr>
        <w:t>identité] kurde et la langue kurde sont interdites en Turquie que notre peuple fait la guerre contre l</w:t>
      </w:r>
      <w:r w:rsidRPr="00916664" w:rsidR="00916664">
        <w:rPr>
          <w:rFonts w:cstheme="minorHAnsi"/>
          <w:iCs/>
          <w:snapToGrid w:val="0"/>
          <w:lang w:val="fr-FR"/>
        </w:rPr>
        <w:t>’</w:t>
      </w:r>
      <w:r w:rsidRPr="00916664">
        <w:rPr>
          <w:rFonts w:cstheme="minorHAnsi"/>
          <w:iCs/>
          <w:snapToGrid w:val="0"/>
          <w:lang w:val="fr-FR"/>
        </w:rPr>
        <w:t>État », qui était susceptible d</w:t>
      </w:r>
      <w:r w:rsidRPr="00916664" w:rsidR="00916664">
        <w:rPr>
          <w:rFonts w:cstheme="minorHAnsi"/>
          <w:iCs/>
          <w:snapToGrid w:val="0"/>
          <w:lang w:val="fr-FR"/>
        </w:rPr>
        <w:t>’</w:t>
      </w:r>
      <w:r w:rsidRPr="00916664">
        <w:rPr>
          <w:rFonts w:cstheme="minorHAnsi"/>
          <w:iCs/>
          <w:snapToGrid w:val="0"/>
          <w:lang w:val="fr-FR"/>
        </w:rPr>
        <w:t>être interprété comme une légitimation de la violence. À ce propos, elle constate toutefois que ni l</w:t>
      </w:r>
      <w:r w:rsidRPr="00916664" w:rsidR="00916664">
        <w:rPr>
          <w:rFonts w:cstheme="minorHAnsi"/>
          <w:iCs/>
          <w:snapToGrid w:val="0"/>
          <w:lang w:val="fr-FR"/>
        </w:rPr>
        <w:t>’</w:t>
      </w:r>
      <w:r w:rsidRPr="00916664">
        <w:rPr>
          <w:rFonts w:cstheme="minorHAnsi"/>
          <w:iCs/>
          <w:snapToGrid w:val="0"/>
          <w:lang w:val="fr-FR"/>
        </w:rPr>
        <w:t>arrêt de la cour d</w:t>
      </w:r>
      <w:r w:rsidRPr="00916664" w:rsidR="00916664">
        <w:rPr>
          <w:rFonts w:cstheme="minorHAnsi"/>
          <w:iCs/>
          <w:snapToGrid w:val="0"/>
          <w:lang w:val="fr-FR"/>
        </w:rPr>
        <w:t>’</w:t>
      </w:r>
      <w:r w:rsidRPr="00916664">
        <w:rPr>
          <w:rFonts w:cstheme="minorHAnsi"/>
          <w:iCs/>
          <w:snapToGrid w:val="0"/>
          <w:lang w:val="fr-FR"/>
        </w:rPr>
        <w:t>assises ni celui de la Cour de cassation, qui a confirmé la décision rendue en première instance, n</w:t>
      </w:r>
      <w:r w:rsidRPr="00916664" w:rsidR="00916664">
        <w:rPr>
          <w:rFonts w:cstheme="minorHAnsi"/>
          <w:iCs/>
          <w:snapToGrid w:val="0"/>
          <w:lang w:val="fr-FR"/>
        </w:rPr>
        <w:t>’</w:t>
      </w:r>
      <w:r w:rsidRPr="00916664">
        <w:rPr>
          <w:rFonts w:cstheme="minorHAnsi"/>
          <w:iCs/>
          <w:snapToGrid w:val="0"/>
          <w:lang w:val="fr-FR"/>
        </w:rPr>
        <w:t>apportent d</w:t>
      </w:r>
      <w:r w:rsidRPr="00916664" w:rsidR="00916664">
        <w:rPr>
          <w:rFonts w:cstheme="minorHAnsi"/>
          <w:iCs/>
          <w:snapToGrid w:val="0"/>
          <w:lang w:val="fr-FR"/>
        </w:rPr>
        <w:t>’</w:t>
      </w:r>
      <w:r w:rsidRPr="00916664">
        <w:rPr>
          <w:rFonts w:cstheme="minorHAnsi"/>
          <w:iCs/>
          <w:snapToGrid w:val="0"/>
          <w:lang w:val="fr-FR"/>
        </w:rPr>
        <w:t>explications suffisantes sur la question de savoir si ce dernier passage ainsi que d</w:t>
      </w:r>
      <w:r w:rsidRPr="00916664" w:rsidR="00916664">
        <w:rPr>
          <w:rFonts w:cstheme="minorHAnsi"/>
          <w:iCs/>
          <w:snapToGrid w:val="0"/>
          <w:lang w:val="fr-FR"/>
        </w:rPr>
        <w:t>’</w:t>
      </w:r>
      <w:r w:rsidRPr="00916664">
        <w:rPr>
          <w:rFonts w:cstheme="minorHAnsi"/>
          <w:iCs/>
          <w:snapToGrid w:val="0"/>
          <w:lang w:val="fr-FR"/>
        </w:rPr>
        <w:t>autres passages incriminés du livre, eu égard à leur contenu, au contexte dans lequel ils s</w:t>
      </w:r>
      <w:r w:rsidRPr="00916664" w:rsidR="00916664">
        <w:rPr>
          <w:rFonts w:cstheme="minorHAnsi"/>
          <w:iCs/>
          <w:snapToGrid w:val="0"/>
          <w:lang w:val="fr-FR"/>
        </w:rPr>
        <w:t>’</w:t>
      </w:r>
      <w:r w:rsidRPr="00916664">
        <w:rPr>
          <w:rFonts w:cstheme="minorHAnsi"/>
          <w:iCs/>
          <w:snapToGrid w:val="0"/>
          <w:lang w:val="fr-FR"/>
        </w:rPr>
        <w:t>inscrivaient et à leur capacité à nuire, pouvaient être considérés comme renfermant une incitation à l</w:t>
      </w:r>
      <w:r w:rsidRPr="00916664" w:rsidR="00916664">
        <w:rPr>
          <w:rFonts w:cstheme="minorHAnsi"/>
          <w:iCs/>
          <w:snapToGrid w:val="0"/>
          <w:lang w:val="fr-FR"/>
        </w:rPr>
        <w:t>’</w:t>
      </w:r>
      <w:r w:rsidRPr="00916664">
        <w:rPr>
          <w:rFonts w:cstheme="minorHAnsi"/>
          <w:iCs/>
          <w:snapToGrid w:val="0"/>
          <w:lang w:val="fr-FR"/>
        </w:rPr>
        <w:t>usage de la violence, à la résistance armée ou au soulèvement, ou comme constituant un discours de haine, ce qui est à ses yeux l</w:t>
      </w:r>
      <w:r w:rsidRPr="00916664" w:rsidR="00916664">
        <w:rPr>
          <w:rFonts w:cstheme="minorHAnsi"/>
          <w:iCs/>
          <w:snapToGrid w:val="0"/>
          <w:lang w:val="fr-FR"/>
        </w:rPr>
        <w:t>’</w:t>
      </w:r>
      <w:r w:rsidRPr="00916664">
        <w:rPr>
          <w:rFonts w:cstheme="minorHAnsi"/>
          <w:iCs/>
          <w:snapToGrid w:val="0"/>
          <w:lang w:val="fr-FR"/>
        </w:rPr>
        <w:t>élément essentiel à prendre en considération (</w:t>
      </w:r>
      <w:proofErr w:type="spellStart"/>
      <w:r w:rsidRPr="00916664" w:rsidR="00F2773F">
        <w:rPr>
          <w:rFonts w:cstheme="minorHAnsi"/>
          <w:i/>
          <w:iCs/>
          <w:snapToGrid w:val="0"/>
          <w:lang w:val="fr-FR"/>
        </w:rPr>
        <w:t>Mart</w:t>
      </w:r>
      <w:proofErr w:type="spellEnd"/>
      <w:r w:rsidRPr="00916664" w:rsidR="00F2773F">
        <w:rPr>
          <w:rFonts w:cstheme="minorHAnsi"/>
          <w:i/>
          <w:iCs/>
          <w:snapToGrid w:val="0"/>
          <w:lang w:val="fr-FR"/>
        </w:rPr>
        <w:t xml:space="preserve"> et autres c. </w:t>
      </w:r>
      <w:r w:rsidRPr="00916664">
        <w:rPr>
          <w:rFonts w:cstheme="minorHAnsi"/>
          <w:i/>
          <w:iCs/>
          <w:snapToGrid w:val="0"/>
          <w:lang w:val="fr-FR"/>
        </w:rPr>
        <w:t>Turquie</w:t>
      </w:r>
      <w:r w:rsidRPr="00916664">
        <w:rPr>
          <w:rFonts w:cstheme="minorHAnsi"/>
          <w:iCs/>
          <w:snapToGrid w:val="0"/>
          <w:lang w:val="fr-FR"/>
        </w:rPr>
        <w:t>, n</w:t>
      </w:r>
      <w:r w:rsidRPr="00916664">
        <w:rPr>
          <w:rFonts w:cstheme="minorHAnsi"/>
          <w:iCs/>
          <w:snapToGrid w:val="0"/>
          <w:vertAlign w:val="superscript"/>
          <w:lang w:val="fr-FR"/>
        </w:rPr>
        <w:t>o</w:t>
      </w:r>
      <w:r w:rsidRPr="00916664">
        <w:rPr>
          <w:rFonts w:cstheme="minorHAnsi"/>
          <w:iCs/>
          <w:snapToGrid w:val="0"/>
          <w:lang w:val="fr-FR"/>
        </w:rPr>
        <w:t xml:space="preserve"> 57031/10, § 32, 19 mars 2019).</w:t>
      </w:r>
    </w:p>
    <w:p w:rsidRPr="00916664" w:rsidR="00B82DCC" w:rsidP="00916664" w:rsidRDefault="00B82DCC">
      <w:pPr>
        <w:pStyle w:val="JuPara"/>
        <w:rPr>
          <w:rFonts w:cstheme="minorHAnsi"/>
          <w:iCs/>
          <w:snapToGrid w:val="0"/>
          <w:lang w:val="fr-FR"/>
        </w:rPr>
      </w:pPr>
      <w:r w:rsidRPr="00916664">
        <w:rPr>
          <w:rFonts w:cstheme="minorHAnsi"/>
          <w:iCs/>
          <w:snapToGrid w:val="0"/>
          <w:lang w:val="fr-FR"/>
        </w:rPr>
        <w:t>32.  Eu égard à ce qui précède, la Cour conclut que, dans les circonstances de l</w:t>
      </w:r>
      <w:r w:rsidRPr="00916664" w:rsidR="00916664">
        <w:rPr>
          <w:rFonts w:cstheme="minorHAnsi"/>
          <w:iCs/>
          <w:snapToGrid w:val="0"/>
          <w:lang w:val="fr-FR"/>
        </w:rPr>
        <w:t>’</w:t>
      </w:r>
      <w:r w:rsidRPr="00916664">
        <w:rPr>
          <w:rFonts w:cstheme="minorHAnsi"/>
          <w:iCs/>
          <w:snapToGrid w:val="0"/>
          <w:lang w:val="fr-FR"/>
        </w:rPr>
        <w:t>espèce, en condamnant le requérant des chefs de dénigrement de la République et de dénigrement des forces de sûreté de l</w:t>
      </w:r>
      <w:r w:rsidRPr="00916664" w:rsidR="00916664">
        <w:rPr>
          <w:rFonts w:cstheme="minorHAnsi"/>
          <w:iCs/>
          <w:snapToGrid w:val="0"/>
          <w:lang w:val="fr-FR"/>
        </w:rPr>
        <w:t>’</w:t>
      </w:r>
      <w:r w:rsidRPr="00916664">
        <w:rPr>
          <w:rFonts w:cstheme="minorHAnsi"/>
          <w:iCs/>
          <w:snapToGrid w:val="0"/>
          <w:lang w:val="fr-FR"/>
        </w:rPr>
        <w:t>État, les autorités nationales n</w:t>
      </w:r>
      <w:r w:rsidRPr="00916664" w:rsidR="00916664">
        <w:rPr>
          <w:rFonts w:cstheme="minorHAnsi"/>
          <w:iCs/>
          <w:snapToGrid w:val="0"/>
          <w:lang w:val="fr-FR"/>
        </w:rPr>
        <w:t>’</w:t>
      </w:r>
      <w:r w:rsidRPr="00916664">
        <w:rPr>
          <w:rFonts w:cstheme="minorHAnsi"/>
          <w:iCs/>
          <w:snapToGrid w:val="0"/>
          <w:lang w:val="fr-FR"/>
        </w:rPr>
        <w:t>ont pas effectué une mise en balance adéquate et conforme aux critères établis par sa jurisprudence entre le droit de l</w:t>
      </w:r>
      <w:r w:rsidRPr="00916664" w:rsidR="00916664">
        <w:rPr>
          <w:rFonts w:cstheme="minorHAnsi"/>
          <w:iCs/>
          <w:snapToGrid w:val="0"/>
          <w:lang w:val="fr-FR"/>
        </w:rPr>
        <w:t>’</w:t>
      </w:r>
      <w:r w:rsidRPr="00916664">
        <w:rPr>
          <w:rFonts w:cstheme="minorHAnsi"/>
          <w:iCs/>
          <w:snapToGrid w:val="0"/>
          <w:lang w:val="fr-FR"/>
        </w:rPr>
        <w:t>intéressé à la liberté d</w:t>
      </w:r>
      <w:r w:rsidRPr="00916664" w:rsidR="00916664">
        <w:rPr>
          <w:rFonts w:cstheme="minorHAnsi"/>
          <w:iCs/>
          <w:snapToGrid w:val="0"/>
          <w:lang w:val="fr-FR"/>
        </w:rPr>
        <w:t>’</w:t>
      </w:r>
      <w:r w:rsidRPr="00916664">
        <w:rPr>
          <w:rFonts w:cstheme="minorHAnsi"/>
          <w:iCs/>
          <w:snapToGrid w:val="0"/>
          <w:lang w:val="fr-FR"/>
        </w:rPr>
        <w:t>expression et les buts légitimes poursuivis.</w:t>
      </w:r>
    </w:p>
    <w:p w:rsidRPr="00916664" w:rsidR="00B82DCC" w:rsidP="00916664" w:rsidRDefault="00B82DCC">
      <w:pPr>
        <w:pStyle w:val="JuPara"/>
        <w:rPr>
          <w:rFonts w:cstheme="minorHAnsi"/>
          <w:iCs/>
          <w:snapToGrid w:val="0"/>
          <w:lang w:val="fr-FR"/>
        </w:rPr>
      </w:pPr>
      <w:r w:rsidRPr="00916664">
        <w:rPr>
          <w:rFonts w:cstheme="minorHAnsi"/>
          <w:iCs/>
          <w:snapToGrid w:val="0"/>
          <w:lang w:val="fr-FR"/>
        </w:rPr>
        <w:t>33.  Par conséquent, la Cour estime que la condamnation pénale du requérant à une amende judiciaire, qui a pu provoquer un effet dissuasif sur la volonté de l</w:t>
      </w:r>
      <w:r w:rsidRPr="00916664" w:rsidR="00916664">
        <w:rPr>
          <w:rFonts w:cstheme="minorHAnsi"/>
          <w:iCs/>
          <w:snapToGrid w:val="0"/>
          <w:lang w:val="fr-FR"/>
        </w:rPr>
        <w:t>’</w:t>
      </w:r>
      <w:r w:rsidRPr="00916664">
        <w:rPr>
          <w:rFonts w:cstheme="minorHAnsi"/>
          <w:iCs/>
          <w:snapToGrid w:val="0"/>
          <w:lang w:val="fr-FR"/>
        </w:rPr>
        <w:t>intéressé de s</w:t>
      </w:r>
      <w:r w:rsidRPr="00916664" w:rsidR="00916664">
        <w:rPr>
          <w:rFonts w:cstheme="minorHAnsi"/>
          <w:iCs/>
          <w:snapToGrid w:val="0"/>
          <w:lang w:val="fr-FR"/>
        </w:rPr>
        <w:t>’</w:t>
      </w:r>
      <w:r w:rsidRPr="00916664">
        <w:rPr>
          <w:rFonts w:cstheme="minorHAnsi"/>
          <w:iCs/>
          <w:snapToGrid w:val="0"/>
          <w:lang w:val="fr-FR"/>
        </w:rPr>
        <w:t>exprimer sur des sujets relevant de l</w:t>
      </w:r>
      <w:r w:rsidRPr="00916664" w:rsidR="00916664">
        <w:rPr>
          <w:rFonts w:cstheme="minorHAnsi"/>
          <w:iCs/>
          <w:snapToGrid w:val="0"/>
          <w:lang w:val="fr-FR"/>
        </w:rPr>
        <w:t>’</w:t>
      </w:r>
      <w:r w:rsidRPr="00916664">
        <w:rPr>
          <w:rFonts w:cstheme="minorHAnsi"/>
          <w:iCs/>
          <w:snapToGrid w:val="0"/>
          <w:lang w:val="fr-FR"/>
        </w:rPr>
        <w:t>intérêt public, ne répondait pas à un besoin social impérieux, qu</w:t>
      </w:r>
      <w:r w:rsidRPr="00916664" w:rsidR="00916664">
        <w:rPr>
          <w:rFonts w:cstheme="minorHAnsi"/>
          <w:iCs/>
          <w:snapToGrid w:val="0"/>
          <w:lang w:val="fr-FR"/>
        </w:rPr>
        <w:t>’</w:t>
      </w:r>
      <w:r w:rsidRPr="00916664">
        <w:rPr>
          <w:rFonts w:cstheme="minorHAnsi"/>
          <w:iCs/>
          <w:snapToGrid w:val="0"/>
          <w:lang w:val="fr-FR"/>
        </w:rPr>
        <w:t>elle n</w:t>
      </w:r>
      <w:r w:rsidRPr="00916664" w:rsidR="00916664">
        <w:rPr>
          <w:rFonts w:cstheme="minorHAnsi"/>
          <w:iCs/>
          <w:snapToGrid w:val="0"/>
          <w:lang w:val="fr-FR"/>
        </w:rPr>
        <w:t>’</w:t>
      </w:r>
      <w:r w:rsidRPr="00916664">
        <w:rPr>
          <w:rFonts w:cstheme="minorHAnsi"/>
          <w:iCs/>
          <w:snapToGrid w:val="0"/>
          <w:lang w:val="fr-FR"/>
        </w:rPr>
        <w:t>était pas, en tout état de cause, proportionnée aux buts légitimes visés et que, de ce fait, elle n</w:t>
      </w:r>
      <w:r w:rsidRPr="00916664" w:rsidR="00916664">
        <w:rPr>
          <w:rFonts w:cstheme="minorHAnsi"/>
          <w:iCs/>
          <w:snapToGrid w:val="0"/>
          <w:lang w:val="fr-FR"/>
        </w:rPr>
        <w:t>’</w:t>
      </w:r>
      <w:r w:rsidRPr="00916664">
        <w:rPr>
          <w:rFonts w:cstheme="minorHAnsi"/>
          <w:iCs/>
          <w:snapToGrid w:val="0"/>
          <w:lang w:val="fr-FR"/>
        </w:rPr>
        <w:t>était pas nécessaire dans une société démocratique.</w:t>
      </w:r>
    </w:p>
    <w:p w:rsidRPr="00916664" w:rsidR="00B82DCC" w:rsidP="00916664" w:rsidRDefault="00B82DCC">
      <w:pPr>
        <w:pStyle w:val="ECHRHeading3"/>
        <w:ind w:left="731" w:firstLine="0"/>
        <w:rPr>
          <w:snapToGrid w:val="0"/>
          <w:lang w:val="fr-FR"/>
        </w:rPr>
      </w:pPr>
      <w:r w:rsidRPr="00916664">
        <w:rPr>
          <w:snapToGrid w:val="0"/>
          <w:lang w:val="fr-FR"/>
        </w:rPr>
        <w:t>2.  Sur la condamnation pénale du requérant du chef d</w:t>
      </w:r>
      <w:r w:rsidRPr="00916664" w:rsidR="00916664">
        <w:rPr>
          <w:snapToGrid w:val="0"/>
          <w:lang w:val="fr-FR"/>
        </w:rPr>
        <w:t>’</w:t>
      </w:r>
      <w:r w:rsidRPr="00916664">
        <w:rPr>
          <w:snapToGrid w:val="0"/>
          <w:lang w:val="fr-FR"/>
        </w:rPr>
        <w:t>insulte au président de la République</w:t>
      </w:r>
    </w:p>
    <w:p w:rsidRPr="00916664" w:rsidR="00B82DCC" w:rsidP="00916664" w:rsidRDefault="00B82DCC">
      <w:pPr>
        <w:pStyle w:val="JuPara"/>
        <w:rPr>
          <w:lang w:val="fr-FR"/>
        </w:rPr>
      </w:pPr>
      <w:r w:rsidRPr="00916664">
        <w:rPr>
          <w:lang w:val="fr-FR"/>
        </w:rPr>
        <w:t>34.  La Cour rappelle les principes découlant de sa jurisprudence en matière de protection de la vie privée et de liberté d</w:t>
      </w:r>
      <w:r w:rsidRPr="00916664" w:rsidR="00916664">
        <w:rPr>
          <w:lang w:val="fr-FR"/>
        </w:rPr>
        <w:t>’</w:t>
      </w:r>
      <w:r w:rsidRPr="00916664">
        <w:rPr>
          <w:lang w:val="fr-FR"/>
        </w:rPr>
        <w:t xml:space="preserve">expression, lesquels sont résumés, notamment, dans les arrêts </w:t>
      </w:r>
      <w:r w:rsidRPr="00916664">
        <w:rPr>
          <w:i/>
          <w:lang w:val="fr-FR"/>
        </w:rPr>
        <w:t>Couderc et Hachette Filipacchi Associés c. France</w:t>
      </w:r>
      <w:r w:rsidRPr="00916664">
        <w:rPr>
          <w:lang w:val="fr-FR"/>
        </w:rPr>
        <w:t xml:space="preserve"> ([GC], </w:t>
      </w:r>
      <w:r w:rsidRPr="00916664">
        <w:rPr>
          <w:rFonts w:cstheme="minorHAnsi"/>
          <w:iCs/>
          <w:snapToGrid w:val="0"/>
          <w:lang w:val="fr-FR"/>
        </w:rPr>
        <w:t>n</w:t>
      </w:r>
      <w:r w:rsidRPr="00916664">
        <w:rPr>
          <w:rFonts w:cstheme="minorHAnsi"/>
          <w:iCs/>
          <w:snapToGrid w:val="0"/>
          <w:vertAlign w:val="superscript"/>
          <w:lang w:val="fr-FR"/>
        </w:rPr>
        <w:t>o</w:t>
      </w:r>
      <w:r w:rsidRPr="00916664">
        <w:rPr>
          <w:lang w:val="fr-FR"/>
        </w:rPr>
        <w:t xml:space="preserve"> 40454/07, §§ 83-93, CEDH 2015 (extraits)) et </w:t>
      </w:r>
      <w:proofErr w:type="spellStart"/>
      <w:r w:rsidRPr="00916664">
        <w:rPr>
          <w:i/>
          <w:lang w:val="fr-FR"/>
        </w:rPr>
        <w:t>Tarman</w:t>
      </w:r>
      <w:proofErr w:type="spellEnd"/>
      <w:r w:rsidRPr="00916664">
        <w:rPr>
          <w:i/>
          <w:lang w:val="fr-FR"/>
        </w:rPr>
        <w:t xml:space="preserve"> c. Turquie</w:t>
      </w:r>
      <w:r w:rsidRPr="00916664">
        <w:rPr>
          <w:lang w:val="fr-FR"/>
        </w:rPr>
        <w:t xml:space="preserve"> (</w:t>
      </w:r>
      <w:r w:rsidRPr="00916664">
        <w:rPr>
          <w:rFonts w:cstheme="minorHAnsi"/>
          <w:iCs/>
          <w:snapToGrid w:val="0"/>
          <w:lang w:val="fr-FR"/>
        </w:rPr>
        <w:t>n</w:t>
      </w:r>
      <w:r w:rsidRPr="00916664">
        <w:rPr>
          <w:rFonts w:cstheme="minorHAnsi"/>
          <w:iCs/>
          <w:snapToGrid w:val="0"/>
          <w:vertAlign w:val="superscript"/>
          <w:lang w:val="fr-FR"/>
        </w:rPr>
        <w:t>o</w:t>
      </w:r>
      <w:r w:rsidRPr="00916664">
        <w:rPr>
          <w:lang w:val="fr-FR"/>
        </w:rPr>
        <w:t xml:space="preserve"> 63903/10, §§ 36-38, 21 novembre 2017).</w:t>
      </w:r>
    </w:p>
    <w:p w:rsidRPr="00916664" w:rsidR="00B82DCC" w:rsidP="00916664" w:rsidRDefault="00B82DCC">
      <w:pPr>
        <w:pStyle w:val="JuPara"/>
        <w:rPr>
          <w:lang w:val="fr-FR"/>
        </w:rPr>
      </w:pPr>
      <w:r w:rsidRPr="00916664">
        <w:rPr>
          <w:lang w:val="fr-FR"/>
        </w:rPr>
        <w:t>35.  Elle note qu</w:t>
      </w:r>
      <w:r w:rsidRPr="00916664" w:rsidR="00916664">
        <w:rPr>
          <w:lang w:val="fr-FR"/>
        </w:rPr>
        <w:t>’</w:t>
      </w:r>
      <w:r w:rsidRPr="00916664">
        <w:rPr>
          <w:lang w:val="fr-FR"/>
        </w:rPr>
        <w:t>en l</w:t>
      </w:r>
      <w:r w:rsidRPr="00916664" w:rsidR="00916664">
        <w:rPr>
          <w:lang w:val="fr-FR"/>
        </w:rPr>
        <w:t>’</w:t>
      </w:r>
      <w:r w:rsidRPr="00916664">
        <w:rPr>
          <w:lang w:val="fr-FR"/>
        </w:rPr>
        <w:t>espèce le requérant a été condamné du chef d</w:t>
      </w:r>
      <w:r w:rsidRPr="00916664" w:rsidR="00916664">
        <w:rPr>
          <w:lang w:val="fr-FR"/>
        </w:rPr>
        <w:t>’</w:t>
      </w:r>
      <w:r w:rsidRPr="00916664">
        <w:rPr>
          <w:lang w:val="fr-FR"/>
        </w:rPr>
        <w:t>insulte au président de la République en raison de certains passages du livre litigieux, qui, tels que relatés dans l</w:t>
      </w:r>
      <w:r w:rsidRPr="00916664" w:rsidR="00916664">
        <w:rPr>
          <w:lang w:val="fr-FR"/>
        </w:rPr>
        <w:t>’</w:t>
      </w:r>
      <w:r w:rsidRPr="00916664">
        <w:rPr>
          <w:lang w:val="fr-FR"/>
        </w:rPr>
        <w:t>arrêt de la cour d</w:t>
      </w:r>
      <w:r w:rsidRPr="00916664" w:rsidR="00916664">
        <w:rPr>
          <w:lang w:val="fr-FR"/>
        </w:rPr>
        <w:t>’</w:t>
      </w:r>
      <w:r w:rsidRPr="00916664">
        <w:rPr>
          <w:lang w:val="fr-FR"/>
        </w:rPr>
        <w:t>assises, attribuaient à l</w:t>
      </w:r>
      <w:r w:rsidRPr="00916664" w:rsidR="00916664">
        <w:rPr>
          <w:lang w:val="fr-FR"/>
        </w:rPr>
        <w:t>’</w:t>
      </w:r>
      <w:r w:rsidRPr="00916664">
        <w:rPr>
          <w:lang w:val="fr-FR"/>
        </w:rPr>
        <w:t>ancien président de la République, Süleyman Demirel, des agissements criminels graves tels que le fait d</w:t>
      </w:r>
      <w:r w:rsidRPr="00916664" w:rsidR="00916664">
        <w:rPr>
          <w:lang w:val="fr-FR"/>
        </w:rPr>
        <w:t>’</w:t>
      </w:r>
      <w:r w:rsidRPr="00916664">
        <w:rPr>
          <w:lang w:val="fr-FR"/>
        </w:rPr>
        <w:t>être impliqué dans le trafic de stupéfiants, de diriger une mafia constituée au sein de l</w:t>
      </w:r>
      <w:r w:rsidRPr="00916664" w:rsidR="00916664">
        <w:rPr>
          <w:lang w:val="fr-FR"/>
        </w:rPr>
        <w:t>’</w:t>
      </w:r>
      <w:r w:rsidRPr="00916664">
        <w:rPr>
          <w:lang w:val="fr-FR"/>
        </w:rPr>
        <w:t>État, de tirer profit de la guerre contre les Kurdes, d</w:t>
      </w:r>
      <w:r w:rsidRPr="00916664" w:rsidR="00916664">
        <w:rPr>
          <w:lang w:val="fr-FR"/>
        </w:rPr>
        <w:t>’</w:t>
      </w:r>
      <w:r w:rsidRPr="00916664">
        <w:rPr>
          <w:lang w:val="fr-FR"/>
        </w:rPr>
        <w:t>avoir essayé d</w:t>
      </w:r>
      <w:r w:rsidRPr="00916664" w:rsidR="00916664">
        <w:rPr>
          <w:lang w:val="fr-FR"/>
        </w:rPr>
        <w:t>’</w:t>
      </w:r>
      <w:r w:rsidRPr="00916664">
        <w:rPr>
          <w:lang w:val="fr-FR"/>
        </w:rPr>
        <w:t xml:space="preserve">éliminer le précédent président de la République, </w:t>
      </w:r>
      <w:proofErr w:type="spellStart"/>
      <w:r w:rsidRPr="00916664">
        <w:rPr>
          <w:lang w:val="fr-FR"/>
        </w:rPr>
        <w:t>Turgut</w:t>
      </w:r>
      <w:proofErr w:type="spellEnd"/>
      <w:r w:rsidRPr="00916664">
        <w:rPr>
          <w:lang w:val="fr-FR"/>
        </w:rPr>
        <w:t xml:space="preserve"> Özal, et de légitimer des meurtres qui auraient été commis par l</w:t>
      </w:r>
      <w:r w:rsidRPr="00916664" w:rsidR="00916664">
        <w:rPr>
          <w:lang w:val="fr-FR"/>
        </w:rPr>
        <w:t>’</w:t>
      </w:r>
      <w:r w:rsidRPr="00916664">
        <w:rPr>
          <w:lang w:val="fr-FR"/>
        </w:rPr>
        <w:t>État (paragraphe 8 ci-dessus).</w:t>
      </w:r>
    </w:p>
    <w:p w:rsidRPr="00916664" w:rsidR="00B82DCC" w:rsidP="00916664" w:rsidRDefault="00B82DCC">
      <w:pPr>
        <w:pStyle w:val="JuPara"/>
        <w:rPr>
          <w:rFonts w:cstheme="minorHAnsi"/>
          <w:snapToGrid w:val="0"/>
          <w:lang w:val="fr-FR"/>
        </w:rPr>
      </w:pPr>
      <w:r w:rsidRPr="00916664">
        <w:rPr>
          <w:lang w:val="fr-FR"/>
        </w:rPr>
        <w:t>36.  La Cour observe d</w:t>
      </w:r>
      <w:r w:rsidRPr="00916664" w:rsidR="00916664">
        <w:rPr>
          <w:lang w:val="fr-FR"/>
        </w:rPr>
        <w:t>’</w:t>
      </w:r>
      <w:r w:rsidRPr="00916664">
        <w:rPr>
          <w:lang w:val="fr-FR"/>
        </w:rPr>
        <w:t>emblée qu</w:t>
      </w:r>
      <w:r w:rsidRPr="00916664" w:rsidR="00916664">
        <w:rPr>
          <w:lang w:val="fr-FR"/>
        </w:rPr>
        <w:t>’</w:t>
      </w:r>
      <w:r w:rsidRPr="00916664">
        <w:rPr>
          <w:lang w:val="fr-FR"/>
        </w:rPr>
        <w:t>il s</w:t>
      </w:r>
      <w:r w:rsidRPr="00916664" w:rsidR="00916664">
        <w:rPr>
          <w:lang w:val="fr-FR"/>
        </w:rPr>
        <w:t>’</w:t>
      </w:r>
      <w:r w:rsidRPr="00916664">
        <w:rPr>
          <w:lang w:val="fr-FR"/>
        </w:rPr>
        <w:t>agit là d</w:t>
      </w:r>
      <w:r w:rsidRPr="00916664" w:rsidR="00916664">
        <w:rPr>
          <w:lang w:val="fr-FR"/>
        </w:rPr>
        <w:t>’</w:t>
      </w:r>
      <w:r w:rsidRPr="00916664">
        <w:rPr>
          <w:lang w:val="fr-FR"/>
        </w:rPr>
        <w:t>allégations visant directement la personne de l</w:t>
      </w:r>
      <w:r w:rsidRPr="00916664" w:rsidR="00916664">
        <w:rPr>
          <w:lang w:val="fr-FR"/>
        </w:rPr>
        <w:t>’</w:t>
      </w:r>
      <w:r w:rsidRPr="00916664">
        <w:rPr>
          <w:lang w:val="fr-FR"/>
        </w:rPr>
        <w:t>ancien président de la République en tant qu</w:t>
      </w:r>
      <w:r w:rsidRPr="00916664" w:rsidR="00916664">
        <w:rPr>
          <w:lang w:val="fr-FR"/>
        </w:rPr>
        <w:t>’</w:t>
      </w:r>
      <w:r w:rsidRPr="00916664">
        <w:rPr>
          <w:lang w:val="fr-FR"/>
        </w:rPr>
        <w:t>homme politique, et non pas l</w:t>
      </w:r>
      <w:r w:rsidRPr="00916664" w:rsidR="00916664">
        <w:rPr>
          <w:lang w:val="fr-FR"/>
        </w:rPr>
        <w:t>’</w:t>
      </w:r>
      <w:r w:rsidRPr="00916664">
        <w:rPr>
          <w:lang w:val="fr-FR"/>
        </w:rPr>
        <w:t>institution incarnée par celui-ci.</w:t>
      </w:r>
      <w:r w:rsidRPr="00916664">
        <w:rPr>
          <w:rFonts w:cstheme="minorHAnsi"/>
          <w:snapToGrid w:val="0"/>
          <w:lang w:val="fr-FR"/>
        </w:rPr>
        <w:t xml:space="preserve"> Elle rappelle à cet égard que les limites de la critique admissible sont plus larges à l</w:t>
      </w:r>
      <w:r w:rsidRPr="00916664" w:rsidR="00916664">
        <w:rPr>
          <w:rFonts w:cstheme="minorHAnsi"/>
          <w:snapToGrid w:val="0"/>
          <w:lang w:val="fr-FR"/>
        </w:rPr>
        <w:t>’</w:t>
      </w:r>
      <w:r w:rsidRPr="00916664">
        <w:rPr>
          <w:rFonts w:cstheme="minorHAnsi"/>
          <w:snapToGrid w:val="0"/>
          <w:lang w:val="fr-FR"/>
        </w:rPr>
        <w:t>égard d</w:t>
      </w:r>
      <w:r w:rsidRPr="00916664" w:rsidR="00916664">
        <w:rPr>
          <w:rFonts w:cstheme="minorHAnsi"/>
          <w:snapToGrid w:val="0"/>
          <w:lang w:val="fr-FR"/>
        </w:rPr>
        <w:t>’</w:t>
      </w:r>
      <w:r w:rsidRPr="00916664">
        <w:rPr>
          <w:rFonts w:cstheme="minorHAnsi"/>
          <w:snapToGrid w:val="0"/>
          <w:lang w:val="fr-FR"/>
        </w:rPr>
        <w:t>un homme politique, visé en cette qualité, que d</w:t>
      </w:r>
      <w:r w:rsidRPr="00916664" w:rsidR="00916664">
        <w:rPr>
          <w:rFonts w:cstheme="minorHAnsi"/>
          <w:snapToGrid w:val="0"/>
          <w:lang w:val="fr-FR"/>
        </w:rPr>
        <w:t>’</w:t>
      </w:r>
      <w:r w:rsidRPr="00916664">
        <w:rPr>
          <w:rFonts w:cstheme="minorHAnsi"/>
          <w:snapToGrid w:val="0"/>
          <w:lang w:val="fr-FR"/>
        </w:rPr>
        <w:t>un simple particulier : à la différence du second, le premier s</w:t>
      </w:r>
      <w:r w:rsidRPr="00916664" w:rsidR="00916664">
        <w:rPr>
          <w:rFonts w:cstheme="minorHAnsi"/>
          <w:snapToGrid w:val="0"/>
          <w:lang w:val="fr-FR"/>
        </w:rPr>
        <w:t>’</w:t>
      </w:r>
      <w:r w:rsidRPr="00916664">
        <w:rPr>
          <w:rFonts w:cstheme="minorHAnsi"/>
          <w:snapToGrid w:val="0"/>
          <w:lang w:val="fr-FR"/>
        </w:rPr>
        <w:t>expose inévitablement et consciemment à un contrôle attentif de ses faits et gestes tant par les journalistes que par la masse des citoyens ; il doit, par conséquent, montrer une plus grande tolérance (</w:t>
      </w:r>
      <w:r w:rsidRPr="00916664">
        <w:rPr>
          <w:i/>
          <w:iCs/>
          <w:lang w:val="fr-FR"/>
        </w:rPr>
        <w:t>Uzan c. Turquie</w:t>
      </w:r>
      <w:r w:rsidRPr="00916664">
        <w:rPr>
          <w:lang w:val="fr-FR" w:eastAsia="en-GB"/>
        </w:rPr>
        <w:t xml:space="preserve">, </w:t>
      </w:r>
      <w:r w:rsidRPr="00916664">
        <w:rPr>
          <w:lang w:val="fr-FR"/>
        </w:rPr>
        <w:t>n</w:t>
      </w:r>
      <w:r w:rsidRPr="00916664">
        <w:rPr>
          <w:vertAlign w:val="superscript"/>
          <w:lang w:val="fr-FR"/>
        </w:rPr>
        <w:t>o</w:t>
      </w:r>
      <w:r w:rsidRPr="00916664">
        <w:rPr>
          <w:lang w:val="fr-FR"/>
        </w:rPr>
        <w:t xml:space="preserve"> 30569/09</w:t>
      </w:r>
      <w:r w:rsidRPr="00916664">
        <w:rPr>
          <w:lang w:val="fr-FR" w:eastAsia="en-GB"/>
        </w:rPr>
        <w:t xml:space="preserve">, </w:t>
      </w:r>
      <w:r w:rsidRPr="00916664">
        <w:rPr>
          <w:lang w:val="fr-FR"/>
        </w:rPr>
        <w:t>§ 40, 20 mars 2018).</w:t>
      </w:r>
    </w:p>
    <w:p w:rsidRPr="00916664" w:rsidR="00B82DCC" w:rsidP="00916664" w:rsidRDefault="00B82DCC">
      <w:pPr>
        <w:pStyle w:val="JuPara"/>
        <w:rPr>
          <w:lang w:val="fr-FR"/>
        </w:rPr>
      </w:pPr>
      <w:r w:rsidRPr="00916664">
        <w:rPr>
          <w:lang w:val="fr-FR"/>
        </w:rPr>
        <w:t>37.  La Cour observe ensuite que les passages litigieux du livre ne mettaient pas en cause la vie privée de l</w:t>
      </w:r>
      <w:r w:rsidRPr="00916664" w:rsidR="00916664">
        <w:rPr>
          <w:lang w:val="fr-FR"/>
        </w:rPr>
        <w:t>’</w:t>
      </w:r>
      <w:r w:rsidRPr="00916664">
        <w:rPr>
          <w:lang w:val="fr-FR"/>
        </w:rPr>
        <w:t xml:space="preserve">ancien président de la République (voir, </w:t>
      </w:r>
      <w:r w:rsidRPr="00916664">
        <w:rPr>
          <w:i/>
          <w:lang w:val="fr-FR"/>
        </w:rPr>
        <w:t>a contrario</w:t>
      </w:r>
      <w:r w:rsidRPr="00916664">
        <w:rPr>
          <w:lang w:val="fr-FR"/>
        </w:rPr>
        <w:t xml:space="preserve">, </w:t>
      </w:r>
      <w:r w:rsidRPr="00916664">
        <w:rPr>
          <w:i/>
          <w:lang w:val="fr-FR"/>
        </w:rPr>
        <w:t xml:space="preserve">Standard </w:t>
      </w:r>
      <w:proofErr w:type="spellStart"/>
      <w:r w:rsidRPr="00916664">
        <w:rPr>
          <w:i/>
          <w:lang w:val="fr-FR"/>
        </w:rPr>
        <w:t>Verlags</w:t>
      </w:r>
      <w:proofErr w:type="spellEnd"/>
      <w:r w:rsidRPr="00916664">
        <w:rPr>
          <w:i/>
          <w:lang w:val="fr-FR"/>
        </w:rPr>
        <w:t xml:space="preserve"> </w:t>
      </w:r>
      <w:proofErr w:type="spellStart"/>
      <w:r w:rsidRPr="00916664">
        <w:rPr>
          <w:i/>
          <w:lang w:val="fr-FR"/>
        </w:rPr>
        <w:t>GmbH</w:t>
      </w:r>
      <w:proofErr w:type="spellEnd"/>
      <w:r w:rsidRPr="00916664">
        <w:rPr>
          <w:i/>
          <w:lang w:val="fr-FR"/>
        </w:rPr>
        <w:t xml:space="preserve"> c. Autriche (</w:t>
      </w:r>
      <w:r w:rsidRPr="00916664">
        <w:rPr>
          <w:rFonts w:cstheme="minorHAnsi"/>
          <w:i/>
          <w:iCs/>
          <w:snapToGrid w:val="0"/>
          <w:lang w:val="fr-FR"/>
        </w:rPr>
        <w:t>n</w:t>
      </w:r>
      <w:r w:rsidRPr="00916664">
        <w:rPr>
          <w:rFonts w:cstheme="minorHAnsi"/>
          <w:i/>
          <w:iCs/>
          <w:snapToGrid w:val="0"/>
          <w:vertAlign w:val="superscript"/>
          <w:lang w:val="fr-FR"/>
        </w:rPr>
        <w:t>o</w:t>
      </w:r>
      <w:r w:rsidRPr="00916664">
        <w:rPr>
          <w:i/>
          <w:lang w:val="fr-FR"/>
        </w:rPr>
        <w:t xml:space="preserve"> 2)</w:t>
      </w:r>
      <w:r w:rsidRPr="00916664">
        <w:rPr>
          <w:lang w:val="fr-FR"/>
        </w:rPr>
        <w:t xml:space="preserve">, </w:t>
      </w:r>
      <w:r w:rsidRPr="00916664">
        <w:rPr>
          <w:rFonts w:cstheme="minorHAnsi"/>
          <w:iCs/>
          <w:snapToGrid w:val="0"/>
          <w:lang w:val="fr-FR"/>
        </w:rPr>
        <w:t>n</w:t>
      </w:r>
      <w:r w:rsidRPr="00916664">
        <w:rPr>
          <w:rFonts w:cstheme="minorHAnsi"/>
          <w:iCs/>
          <w:snapToGrid w:val="0"/>
          <w:vertAlign w:val="superscript"/>
          <w:lang w:val="fr-FR"/>
        </w:rPr>
        <w:t>o</w:t>
      </w:r>
      <w:r w:rsidRPr="00916664">
        <w:rPr>
          <w:lang w:val="fr-FR"/>
        </w:rPr>
        <w:t xml:space="preserve"> 21277/05, 4 juin 2009, affaire dans laquelle étaient concernés les aspects intimes de la vie privée du président autrichien ; voir également </w:t>
      </w:r>
      <w:r w:rsidRPr="00916664">
        <w:rPr>
          <w:i/>
          <w:lang w:val="fr-FR"/>
        </w:rPr>
        <w:t xml:space="preserve">Von </w:t>
      </w:r>
      <w:proofErr w:type="spellStart"/>
      <w:r w:rsidRPr="00916664">
        <w:rPr>
          <w:i/>
          <w:lang w:val="fr-FR"/>
        </w:rPr>
        <w:t>Hannover</w:t>
      </w:r>
      <w:proofErr w:type="spellEnd"/>
      <w:r w:rsidRPr="00916664">
        <w:rPr>
          <w:i/>
          <w:lang w:val="fr-FR"/>
        </w:rPr>
        <w:t xml:space="preserve"> c. Allemagne</w:t>
      </w:r>
      <w:r w:rsidRPr="00916664">
        <w:rPr>
          <w:lang w:val="fr-FR"/>
        </w:rPr>
        <w:t xml:space="preserve">, </w:t>
      </w:r>
      <w:r w:rsidRPr="00916664">
        <w:rPr>
          <w:rFonts w:cstheme="minorHAnsi"/>
          <w:iCs/>
          <w:snapToGrid w:val="0"/>
          <w:lang w:val="fr-FR"/>
        </w:rPr>
        <w:t>n</w:t>
      </w:r>
      <w:r w:rsidRPr="00916664">
        <w:rPr>
          <w:rFonts w:cstheme="minorHAnsi"/>
          <w:iCs/>
          <w:snapToGrid w:val="0"/>
          <w:vertAlign w:val="superscript"/>
          <w:lang w:val="fr-FR"/>
        </w:rPr>
        <w:t>o</w:t>
      </w:r>
      <w:r w:rsidRPr="00916664">
        <w:rPr>
          <w:lang w:val="fr-FR"/>
        </w:rPr>
        <w:t xml:space="preserve"> 59320/00, § 64, CEDH 2004</w:t>
      </w:r>
      <w:r w:rsidRPr="00916664">
        <w:rPr>
          <w:rFonts w:hint="eastAsia" w:ascii="MS Mincho" w:hAnsi="MS Mincho" w:eastAsia="MS Mincho" w:cs="MS Mincho"/>
          <w:lang w:val="fr-FR"/>
        </w:rPr>
        <w:t>‑</w:t>
      </w:r>
      <w:r w:rsidRPr="00916664">
        <w:rPr>
          <w:lang w:val="fr-FR"/>
        </w:rPr>
        <w:t>VI) ou son honneur personnel, et qu</w:t>
      </w:r>
      <w:r w:rsidRPr="00916664" w:rsidR="00916664">
        <w:rPr>
          <w:rFonts w:ascii="Times New Roman" w:hAnsi="Times New Roman" w:cs="Times New Roman"/>
          <w:lang w:val="fr-FR"/>
        </w:rPr>
        <w:t>’</w:t>
      </w:r>
      <w:r w:rsidRPr="00916664">
        <w:rPr>
          <w:lang w:val="fr-FR"/>
        </w:rPr>
        <w:t>ils ne comportaient pas une attaque personnelle gratuite contre sa personne (</w:t>
      </w:r>
      <w:proofErr w:type="spellStart"/>
      <w:r w:rsidRPr="00916664">
        <w:rPr>
          <w:i/>
          <w:lang w:val="fr-FR"/>
        </w:rPr>
        <w:t>Otegi</w:t>
      </w:r>
      <w:proofErr w:type="spellEnd"/>
      <w:r w:rsidRPr="00916664">
        <w:rPr>
          <w:i/>
          <w:lang w:val="fr-FR"/>
        </w:rPr>
        <w:t xml:space="preserve"> </w:t>
      </w:r>
      <w:proofErr w:type="spellStart"/>
      <w:r w:rsidRPr="00916664">
        <w:rPr>
          <w:i/>
          <w:lang w:val="fr-FR"/>
        </w:rPr>
        <w:t>Mondragon</w:t>
      </w:r>
      <w:proofErr w:type="spellEnd"/>
      <w:r w:rsidRPr="00916664">
        <w:rPr>
          <w:i/>
          <w:lang w:val="fr-FR"/>
        </w:rPr>
        <w:t xml:space="preserve"> c. Espagne</w:t>
      </w:r>
      <w:r w:rsidRPr="00916664">
        <w:rPr>
          <w:lang w:val="fr-FR"/>
        </w:rPr>
        <w:t>, n</w:t>
      </w:r>
      <w:r w:rsidRPr="00916664">
        <w:rPr>
          <w:vertAlign w:val="superscript"/>
          <w:lang w:val="fr-FR"/>
        </w:rPr>
        <w:t>o</w:t>
      </w:r>
      <w:r w:rsidRPr="00916664">
        <w:rPr>
          <w:lang w:val="fr-FR"/>
        </w:rPr>
        <w:t xml:space="preserve"> 2034/07, § 57, CEDH 2011).</w:t>
      </w:r>
    </w:p>
    <w:p w:rsidRPr="00916664" w:rsidR="00B82DCC" w:rsidP="00916664" w:rsidRDefault="00B82DCC">
      <w:pPr>
        <w:pStyle w:val="JuPara"/>
        <w:rPr>
          <w:i/>
          <w:lang w:val="fr-FR"/>
        </w:rPr>
      </w:pPr>
      <w:r w:rsidRPr="00916664">
        <w:rPr>
          <w:lang w:val="fr-FR"/>
        </w:rPr>
        <w:t>38.  Elle relève qu</w:t>
      </w:r>
      <w:r w:rsidRPr="00916664" w:rsidR="00916664">
        <w:rPr>
          <w:lang w:val="fr-FR"/>
        </w:rPr>
        <w:t>’</w:t>
      </w:r>
      <w:r w:rsidRPr="00916664">
        <w:rPr>
          <w:lang w:val="fr-FR"/>
        </w:rPr>
        <w:t>en l</w:t>
      </w:r>
      <w:r w:rsidRPr="00916664" w:rsidR="00916664">
        <w:rPr>
          <w:lang w:val="fr-FR"/>
        </w:rPr>
        <w:t>’</w:t>
      </w:r>
      <w:r w:rsidRPr="00916664">
        <w:rPr>
          <w:lang w:val="fr-FR"/>
        </w:rPr>
        <w:t>occurrence les allégations en question revêtaient le caractère de déclarations de fait à l</w:t>
      </w:r>
      <w:r w:rsidRPr="00916664" w:rsidR="00916664">
        <w:rPr>
          <w:lang w:val="fr-FR"/>
        </w:rPr>
        <w:t>’</w:t>
      </w:r>
      <w:r w:rsidRPr="00916664">
        <w:rPr>
          <w:lang w:val="fr-FR"/>
        </w:rPr>
        <w:t>endroit de Süleyman Demirel. Elle observe qu</w:t>
      </w:r>
      <w:r w:rsidRPr="00916664" w:rsidR="00916664">
        <w:rPr>
          <w:lang w:val="fr-FR"/>
        </w:rPr>
        <w:t>’</w:t>
      </w:r>
      <w:r w:rsidRPr="00916664">
        <w:rPr>
          <w:lang w:val="fr-FR"/>
        </w:rPr>
        <w:t>il ne ressort pas du contenu du dossier si ces assertions étaient ou non pourvues de bases factuelles suffisantes. Elle observe aussi que la cour d</w:t>
      </w:r>
      <w:r w:rsidRPr="00916664" w:rsidR="00916664">
        <w:rPr>
          <w:lang w:val="fr-FR"/>
        </w:rPr>
        <w:t>’</w:t>
      </w:r>
      <w:r w:rsidRPr="00916664">
        <w:rPr>
          <w:lang w:val="fr-FR"/>
        </w:rPr>
        <w:t>assises, saisie de l</w:t>
      </w:r>
      <w:r w:rsidRPr="00916664" w:rsidR="00916664">
        <w:rPr>
          <w:lang w:val="fr-FR"/>
        </w:rPr>
        <w:t>’</w:t>
      </w:r>
      <w:r w:rsidRPr="00916664">
        <w:rPr>
          <w:lang w:val="fr-FR"/>
        </w:rPr>
        <w:t>infraction d</w:t>
      </w:r>
      <w:r w:rsidRPr="00916664" w:rsidR="00916664">
        <w:rPr>
          <w:lang w:val="fr-FR"/>
        </w:rPr>
        <w:t>’</w:t>
      </w:r>
      <w:r w:rsidRPr="00916664">
        <w:rPr>
          <w:lang w:val="fr-FR"/>
        </w:rPr>
        <w:t>insulte au président de la République qui aurait été constituée par les passages litigieux précités du livre, n</w:t>
      </w:r>
      <w:r w:rsidRPr="00916664" w:rsidR="00916664">
        <w:rPr>
          <w:lang w:val="fr-FR"/>
        </w:rPr>
        <w:t>’</w:t>
      </w:r>
      <w:r w:rsidRPr="00916664">
        <w:rPr>
          <w:lang w:val="fr-FR"/>
        </w:rPr>
        <w:t xml:space="preserve">a pas cherché à établir si ces allégations pouvaient être considérées comme ayant une certaine base factuelle </w:t>
      </w:r>
      <w:r w:rsidRPr="00916664">
        <w:rPr>
          <w:rFonts w:cstheme="minorHAnsi"/>
          <w:snapToGrid w:val="0"/>
          <w:lang w:val="fr-FR"/>
        </w:rPr>
        <w:t>(paragraphe 8 ci-dessus).</w:t>
      </w:r>
    </w:p>
    <w:p w:rsidRPr="00916664" w:rsidR="00B82DCC" w:rsidP="00916664" w:rsidRDefault="00B82DCC">
      <w:pPr>
        <w:pStyle w:val="JuPara"/>
        <w:rPr>
          <w:rFonts w:cstheme="minorHAnsi"/>
          <w:snapToGrid w:val="0"/>
          <w:lang w:val="fr-FR"/>
        </w:rPr>
      </w:pPr>
      <w:r w:rsidRPr="00916664">
        <w:rPr>
          <w:rFonts w:cstheme="minorHAnsi"/>
          <w:snapToGrid w:val="0"/>
          <w:lang w:val="fr-FR"/>
        </w:rPr>
        <w:t>39.  Elle estime toutefois que ces passages peuvent être considérés comme s</w:t>
      </w:r>
      <w:r w:rsidRPr="00916664" w:rsidR="00916664">
        <w:rPr>
          <w:rFonts w:cstheme="minorHAnsi"/>
          <w:snapToGrid w:val="0"/>
          <w:lang w:val="fr-FR"/>
        </w:rPr>
        <w:t>’</w:t>
      </w:r>
      <w:r w:rsidRPr="00916664">
        <w:rPr>
          <w:rFonts w:cstheme="minorHAnsi"/>
          <w:snapToGrid w:val="0"/>
          <w:lang w:val="fr-FR"/>
        </w:rPr>
        <w:t>inscrivant dans le cadre d</w:t>
      </w:r>
      <w:r w:rsidRPr="00916664" w:rsidR="00916664">
        <w:rPr>
          <w:rFonts w:cstheme="minorHAnsi"/>
          <w:snapToGrid w:val="0"/>
          <w:lang w:val="fr-FR"/>
        </w:rPr>
        <w:t>’</w:t>
      </w:r>
      <w:r w:rsidRPr="00916664">
        <w:rPr>
          <w:rFonts w:cstheme="minorHAnsi"/>
          <w:snapToGrid w:val="0"/>
          <w:lang w:val="fr-FR"/>
        </w:rPr>
        <w:t>un débat d</w:t>
      </w:r>
      <w:r w:rsidRPr="00916664" w:rsidR="00916664">
        <w:rPr>
          <w:rFonts w:cstheme="minorHAnsi"/>
          <w:snapToGrid w:val="0"/>
          <w:lang w:val="fr-FR"/>
        </w:rPr>
        <w:t>’</w:t>
      </w:r>
      <w:r w:rsidRPr="00916664">
        <w:rPr>
          <w:rFonts w:cstheme="minorHAnsi"/>
          <w:snapToGrid w:val="0"/>
          <w:lang w:val="fr-FR"/>
        </w:rPr>
        <w:t>intérêt général portant, en particulier, sur certains agissements allégués de l</w:t>
      </w:r>
      <w:r w:rsidRPr="00916664" w:rsidR="00916664">
        <w:rPr>
          <w:rFonts w:cstheme="minorHAnsi"/>
          <w:snapToGrid w:val="0"/>
          <w:lang w:val="fr-FR"/>
        </w:rPr>
        <w:t>’</w:t>
      </w:r>
      <w:r w:rsidRPr="00916664">
        <w:rPr>
          <w:rFonts w:cstheme="minorHAnsi"/>
          <w:snapToGrid w:val="0"/>
          <w:lang w:val="fr-FR"/>
        </w:rPr>
        <w:t>ancien président de la République, qui, s</w:t>
      </w:r>
      <w:r w:rsidRPr="00916664" w:rsidR="00916664">
        <w:rPr>
          <w:rFonts w:cstheme="minorHAnsi"/>
          <w:snapToGrid w:val="0"/>
          <w:lang w:val="fr-FR"/>
        </w:rPr>
        <w:t>’</w:t>
      </w:r>
      <w:r w:rsidRPr="00916664">
        <w:rPr>
          <w:rFonts w:cstheme="minorHAnsi"/>
          <w:snapToGrid w:val="0"/>
          <w:lang w:val="fr-FR"/>
        </w:rPr>
        <w:t>ils s</w:t>
      </w:r>
      <w:r w:rsidRPr="00916664" w:rsidR="00916664">
        <w:rPr>
          <w:rFonts w:cstheme="minorHAnsi"/>
          <w:snapToGrid w:val="0"/>
          <w:lang w:val="fr-FR"/>
        </w:rPr>
        <w:t>’</w:t>
      </w:r>
      <w:r w:rsidRPr="00916664">
        <w:rPr>
          <w:rFonts w:cstheme="minorHAnsi"/>
          <w:snapToGrid w:val="0"/>
          <w:lang w:val="fr-FR"/>
        </w:rPr>
        <w:t>avéraient véridiques, auraient pu engager la responsabilité pénale de ce dernier, et, d</w:t>
      </w:r>
      <w:r w:rsidRPr="00916664" w:rsidR="00916664">
        <w:rPr>
          <w:rFonts w:cstheme="minorHAnsi"/>
          <w:snapToGrid w:val="0"/>
          <w:lang w:val="fr-FR"/>
        </w:rPr>
        <w:t>’</w:t>
      </w:r>
      <w:r w:rsidRPr="00916664">
        <w:rPr>
          <w:rFonts w:cstheme="minorHAnsi"/>
          <w:snapToGrid w:val="0"/>
          <w:lang w:val="fr-FR"/>
        </w:rPr>
        <w:t>une manière générale, sur ses choix politiques ainsi que sur la manière dont il s</w:t>
      </w:r>
      <w:r w:rsidRPr="00916664" w:rsidR="00916664">
        <w:rPr>
          <w:rFonts w:cstheme="minorHAnsi"/>
          <w:snapToGrid w:val="0"/>
          <w:lang w:val="fr-FR"/>
        </w:rPr>
        <w:t>’</w:t>
      </w:r>
      <w:r w:rsidRPr="00916664">
        <w:rPr>
          <w:rFonts w:cstheme="minorHAnsi"/>
          <w:snapToGrid w:val="0"/>
          <w:lang w:val="fr-FR"/>
        </w:rPr>
        <w:t>acquittait de sa fonction.</w:t>
      </w:r>
      <w:r w:rsidRPr="00916664">
        <w:rPr>
          <w:lang w:val="fr-FR"/>
        </w:rPr>
        <w:t xml:space="preserve"> </w:t>
      </w:r>
      <w:r w:rsidRPr="00916664">
        <w:rPr>
          <w:rFonts w:cstheme="minorHAnsi"/>
          <w:snapToGrid w:val="0"/>
          <w:lang w:val="fr-FR"/>
        </w:rPr>
        <w:t>La marge d</w:t>
      </w:r>
      <w:r w:rsidRPr="00916664" w:rsidR="00916664">
        <w:rPr>
          <w:rFonts w:cstheme="minorHAnsi"/>
          <w:snapToGrid w:val="0"/>
          <w:lang w:val="fr-FR"/>
        </w:rPr>
        <w:t>’</w:t>
      </w:r>
      <w:r w:rsidRPr="00916664">
        <w:rPr>
          <w:rFonts w:cstheme="minorHAnsi"/>
          <w:snapToGrid w:val="0"/>
          <w:lang w:val="fr-FR"/>
        </w:rPr>
        <w:t>appréciation dont disposaient l</w:t>
      </w:r>
      <w:r w:rsidRPr="00916664" w:rsidR="00987519">
        <w:rPr>
          <w:rFonts w:cstheme="minorHAnsi"/>
          <w:snapToGrid w:val="0"/>
          <w:lang w:val="fr-FR"/>
        </w:rPr>
        <w:t>es autorités pour juger de la « </w:t>
      </w:r>
      <w:r w:rsidRPr="00916664">
        <w:rPr>
          <w:rFonts w:cstheme="minorHAnsi"/>
          <w:snapToGrid w:val="0"/>
          <w:lang w:val="fr-FR"/>
        </w:rPr>
        <w:t>nécessité</w:t>
      </w:r>
      <w:r w:rsidRPr="00916664" w:rsidR="00987519">
        <w:rPr>
          <w:rFonts w:cstheme="minorHAnsi"/>
          <w:snapToGrid w:val="0"/>
          <w:lang w:val="fr-FR"/>
        </w:rPr>
        <w:t> </w:t>
      </w:r>
      <w:r w:rsidRPr="00916664">
        <w:rPr>
          <w:rFonts w:cstheme="minorHAnsi"/>
          <w:snapToGrid w:val="0"/>
          <w:lang w:val="fr-FR"/>
        </w:rPr>
        <w:t>» de la sanction prononcée contre le requérant était en conséquence particulièrement restreinte (</w:t>
      </w:r>
      <w:proofErr w:type="spellStart"/>
      <w:r w:rsidRPr="00916664">
        <w:rPr>
          <w:i/>
          <w:lang w:val="fr-FR"/>
        </w:rPr>
        <w:t>Mamère</w:t>
      </w:r>
      <w:proofErr w:type="spellEnd"/>
      <w:r w:rsidRPr="00916664">
        <w:rPr>
          <w:i/>
          <w:lang w:val="fr-FR"/>
        </w:rPr>
        <w:t xml:space="preserve"> c. France</w:t>
      </w:r>
      <w:r w:rsidRPr="00916664">
        <w:rPr>
          <w:lang w:val="fr-FR"/>
        </w:rPr>
        <w:t>, n</w:t>
      </w:r>
      <w:r w:rsidRPr="00916664">
        <w:rPr>
          <w:vertAlign w:val="superscript"/>
          <w:lang w:val="fr-FR"/>
        </w:rPr>
        <w:t>o</w:t>
      </w:r>
      <w:r w:rsidRPr="00916664">
        <w:rPr>
          <w:lang w:val="fr-FR"/>
        </w:rPr>
        <w:t xml:space="preserve"> </w:t>
      </w:r>
      <w:r w:rsidRPr="00916664" w:rsidR="0019656C">
        <w:rPr>
          <w:lang w:val="fr-FR"/>
        </w:rPr>
        <w:t>12697/03, § </w:t>
      </w:r>
      <w:r w:rsidRPr="00916664">
        <w:rPr>
          <w:lang w:val="fr-FR"/>
        </w:rPr>
        <w:t>20, CEDH 2006</w:t>
      </w:r>
      <w:r w:rsidRPr="00916664">
        <w:rPr>
          <w:lang w:val="fr-FR"/>
        </w:rPr>
        <w:noBreakHyphen/>
        <w:t>XIII)</w:t>
      </w:r>
      <w:r w:rsidRPr="00916664">
        <w:rPr>
          <w:rFonts w:cstheme="minorHAnsi"/>
          <w:snapToGrid w:val="0"/>
          <w:lang w:val="fr-FR"/>
        </w:rPr>
        <w:t>.</w:t>
      </w:r>
    </w:p>
    <w:p w:rsidRPr="00916664" w:rsidR="00B82DCC" w:rsidP="00916664" w:rsidRDefault="00B82DCC">
      <w:pPr>
        <w:pStyle w:val="JuPara"/>
        <w:rPr>
          <w:lang w:val="fr-FR"/>
        </w:rPr>
      </w:pPr>
      <w:r w:rsidRPr="00916664">
        <w:rPr>
          <w:lang w:val="fr-FR"/>
        </w:rPr>
        <w:t>40.  La Cour constate ensuite que, pour condamner le requérant, les juridictions internes se sont appuyées sur l</w:t>
      </w:r>
      <w:r w:rsidRPr="00916664" w:rsidR="00916664">
        <w:rPr>
          <w:lang w:val="fr-FR"/>
        </w:rPr>
        <w:t>’</w:t>
      </w:r>
      <w:r w:rsidRPr="00916664">
        <w:rPr>
          <w:lang w:val="fr-FR"/>
        </w:rPr>
        <w:t xml:space="preserve">article 158 du CP. </w:t>
      </w:r>
      <w:r w:rsidRPr="00916664">
        <w:rPr>
          <w:rFonts w:cstheme="minorHAnsi"/>
          <w:lang w:val="fr-FR"/>
        </w:rPr>
        <w:t>À</w:t>
      </w:r>
      <w:r w:rsidRPr="00916664">
        <w:rPr>
          <w:lang w:val="fr-FR"/>
        </w:rPr>
        <w:t xml:space="preserve"> l</w:t>
      </w:r>
      <w:r w:rsidRPr="00916664" w:rsidR="00916664">
        <w:rPr>
          <w:lang w:val="fr-FR"/>
        </w:rPr>
        <w:t>’</w:t>
      </w:r>
      <w:r w:rsidRPr="00916664">
        <w:rPr>
          <w:lang w:val="fr-FR"/>
        </w:rPr>
        <w:t>instar de l</w:t>
      </w:r>
      <w:r w:rsidRPr="00916664" w:rsidR="00916664">
        <w:rPr>
          <w:lang w:val="fr-FR"/>
        </w:rPr>
        <w:t>’</w:t>
      </w:r>
      <w:r w:rsidRPr="00916664">
        <w:rPr>
          <w:lang w:val="fr-FR"/>
        </w:rPr>
        <w:t>article 299 du NCP actuellement en vigueur, cette disposition, telle qu</w:t>
      </w:r>
      <w:r w:rsidRPr="00916664" w:rsidR="00916664">
        <w:rPr>
          <w:lang w:val="fr-FR"/>
        </w:rPr>
        <w:t>’</w:t>
      </w:r>
      <w:r w:rsidRPr="00916664">
        <w:rPr>
          <w:lang w:val="fr-FR"/>
        </w:rPr>
        <w:t>elle était en vigueur à l</w:t>
      </w:r>
      <w:r w:rsidRPr="00916664" w:rsidR="00916664">
        <w:rPr>
          <w:lang w:val="fr-FR"/>
        </w:rPr>
        <w:t>’</w:t>
      </w:r>
      <w:r w:rsidRPr="00916664">
        <w:rPr>
          <w:lang w:val="fr-FR"/>
        </w:rPr>
        <w:t>époque des faits, accordait au président de la République un niveau de protection plus élevé qu</w:t>
      </w:r>
      <w:r w:rsidRPr="00916664" w:rsidR="00916664">
        <w:rPr>
          <w:lang w:val="fr-FR"/>
        </w:rPr>
        <w:t>’</w:t>
      </w:r>
      <w:r w:rsidRPr="00916664">
        <w:rPr>
          <w:lang w:val="fr-FR"/>
        </w:rPr>
        <w:t>à d</w:t>
      </w:r>
      <w:r w:rsidRPr="00916664" w:rsidR="00916664">
        <w:rPr>
          <w:lang w:val="fr-FR"/>
        </w:rPr>
        <w:t>’</w:t>
      </w:r>
      <w:r w:rsidRPr="00916664">
        <w:rPr>
          <w:lang w:val="fr-FR"/>
        </w:rPr>
        <w:t>autres personnes – protégées par le régime commun de diffamation – à l</w:t>
      </w:r>
      <w:r w:rsidRPr="00916664" w:rsidR="00916664">
        <w:rPr>
          <w:lang w:val="fr-FR"/>
        </w:rPr>
        <w:t>’</w:t>
      </w:r>
      <w:r w:rsidRPr="00916664">
        <w:rPr>
          <w:lang w:val="fr-FR"/>
        </w:rPr>
        <w:t>égard de la divulgation d</w:t>
      </w:r>
      <w:r w:rsidRPr="00916664" w:rsidR="00916664">
        <w:rPr>
          <w:lang w:val="fr-FR"/>
        </w:rPr>
        <w:t>’</w:t>
      </w:r>
      <w:r w:rsidRPr="00916664">
        <w:rPr>
          <w:lang w:val="fr-FR"/>
        </w:rPr>
        <w:t>informations ou d</w:t>
      </w:r>
      <w:r w:rsidRPr="00916664" w:rsidR="00916664">
        <w:rPr>
          <w:lang w:val="fr-FR"/>
        </w:rPr>
        <w:t>’</w:t>
      </w:r>
      <w:r w:rsidRPr="00916664">
        <w:rPr>
          <w:lang w:val="fr-FR"/>
        </w:rPr>
        <w:t>opinions les concernant, et prévoyait des sanctions plus graves pour les auteurs de déclarations diffamatoires (voir, pour une comparaison entre les dispositions pénales de droit commun relatives à la diffamation et les dispositions pénales spécifiques relatives à l</w:t>
      </w:r>
      <w:r w:rsidRPr="00916664" w:rsidR="00916664">
        <w:rPr>
          <w:lang w:val="fr-FR"/>
        </w:rPr>
        <w:t>’</w:t>
      </w:r>
      <w:r w:rsidRPr="00916664">
        <w:rPr>
          <w:lang w:val="fr-FR"/>
        </w:rPr>
        <w:t>insulte au président de la République, à savoir les articles 158 et 480 du CP d</w:t>
      </w:r>
      <w:r w:rsidRPr="00916664" w:rsidR="00916664">
        <w:rPr>
          <w:lang w:val="fr-FR"/>
        </w:rPr>
        <w:t>’</w:t>
      </w:r>
      <w:r w:rsidRPr="00916664">
        <w:rPr>
          <w:lang w:val="fr-FR"/>
        </w:rPr>
        <w:t>une part et les articles 125 et 299 du NCP d</w:t>
      </w:r>
      <w:r w:rsidRPr="00916664" w:rsidR="00916664">
        <w:rPr>
          <w:lang w:val="fr-FR"/>
        </w:rPr>
        <w:t>’</w:t>
      </w:r>
      <w:r w:rsidRPr="00916664">
        <w:rPr>
          <w:lang w:val="fr-FR"/>
        </w:rPr>
        <w:t>autre part, les paragraphes 10, 12, 13 et 14 ci-dessus). À cet égard, la Cour a déjà déclaré qu</w:t>
      </w:r>
      <w:r w:rsidRPr="00916664" w:rsidR="00916664">
        <w:rPr>
          <w:lang w:val="fr-FR"/>
        </w:rPr>
        <w:t>’</w:t>
      </w:r>
      <w:r w:rsidRPr="00916664">
        <w:rPr>
          <w:lang w:val="fr-FR"/>
        </w:rPr>
        <w:t>une protection accrue par une loi spéciale en matière d</w:t>
      </w:r>
      <w:r w:rsidRPr="00916664" w:rsidR="00916664">
        <w:rPr>
          <w:lang w:val="fr-FR"/>
        </w:rPr>
        <w:t>’</w:t>
      </w:r>
      <w:r w:rsidRPr="00916664">
        <w:rPr>
          <w:lang w:val="fr-FR"/>
        </w:rPr>
        <w:t>offense n</w:t>
      </w:r>
      <w:r w:rsidRPr="00916664" w:rsidR="00916664">
        <w:rPr>
          <w:lang w:val="fr-FR"/>
        </w:rPr>
        <w:t>’</w:t>
      </w:r>
      <w:r w:rsidRPr="00916664">
        <w:rPr>
          <w:lang w:val="fr-FR"/>
        </w:rPr>
        <w:t>est, en principe, pas conforme à l</w:t>
      </w:r>
      <w:r w:rsidRPr="00916664" w:rsidR="00916664">
        <w:rPr>
          <w:lang w:val="fr-FR"/>
        </w:rPr>
        <w:t>’</w:t>
      </w:r>
      <w:r w:rsidRPr="00916664">
        <w:rPr>
          <w:lang w:val="fr-FR"/>
        </w:rPr>
        <w:t>esprit de la Convention (</w:t>
      </w:r>
      <w:r w:rsidRPr="00916664">
        <w:rPr>
          <w:i/>
          <w:lang w:val="fr-FR"/>
        </w:rPr>
        <w:t>Colombani et autres c. France</w:t>
      </w:r>
      <w:r w:rsidRPr="00916664">
        <w:rPr>
          <w:lang w:val="fr-FR"/>
        </w:rPr>
        <w:t>, n</w:t>
      </w:r>
      <w:r w:rsidRPr="00916664">
        <w:rPr>
          <w:vertAlign w:val="superscript"/>
          <w:lang w:val="fr-FR"/>
        </w:rPr>
        <w:t>o</w:t>
      </w:r>
      <w:r w:rsidRPr="00916664">
        <w:rPr>
          <w:lang w:val="fr-FR"/>
        </w:rPr>
        <w:t xml:space="preserve"> 51279/99, § 69, CEDH 2002</w:t>
      </w:r>
      <w:r w:rsidRPr="00916664">
        <w:rPr>
          <w:lang w:val="fr-FR"/>
        </w:rPr>
        <w:noBreakHyphen/>
        <w:t xml:space="preserve">V, et </w:t>
      </w:r>
      <w:proofErr w:type="spellStart"/>
      <w:r w:rsidRPr="00916664">
        <w:rPr>
          <w:i/>
          <w:lang w:val="fr-FR"/>
        </w:rPr>
        <w:t>Otegi</w:t>
      </w:r>
      <w:proofErr w:type="spellEnd"/>
      <w:r w:rsidRPr="00916664">
        <w:rPr>
          <w:i/>
          <w:lang w:val="fr-FR"/>
        </w:rPr>
        <w:t xml:space="preserve"> </w:t>
      </w:r>
      <w:proofErr w:type="spellStart"/>
      <w:r w:rsidRPr="00916664">
        <w:rPr>
          <w:i/>
          <w:lang w:val="fr-FR"/>
        </w:rPr>
        <w:t>Mondragon</w:t>
      </w:r>
      <w:proofErr w:type="spellEnd"/>
      <w:r w:rsidRPr="00916664">
        <w:rPr>
          <w:lang w:val="fr-FR"/>
        </w:rPr>
        <w:t xml:space="preserve">, précité, § 55). Elle rappelle aussi avoir déjà jugé dans son arrêt </w:t>
      </w:r>
      <w:proofErr w:type="spellStart"/>
      <w:r w:rsidRPr="00916664">
        <w:rPr>
          <w:i/>
          <w:lang w:val="fr-FR"/>
        </w:rPr>
        <w:t>Artun</w:t>
      </w:r>
      <w:proofErr w:type="spellEnd"/>
      <w:r w:rsidRPr="00916664">
        <w:rPr>
          <w:i/>
          <w:lang w:val="fr-FR"/>
        </w:rPr>
        <w:t xml:space="preserve"> et </w:t>
      </w:r>
      <w:proofErr w:type="spellStart"/>
      <w:r w:rsidRPr="00916664">
        <w:rPr>
          <w:i/>
          <w:lang w:val="fr-FR"/>
        </w:rPr>
        <w:t>Güvener</w:t>
      </w:r>
      <w:proofErr w:type="spellEnd"/>
      <w:r w:rsidRPr="00916664">
        <w:rPr>
          <w:lang w:val="fr-FR"/>
        </w:rPr>
        <w:t xml:space="preserve"> (précité), qui, comme en l</w:t>
      </w:r>
      <w:r w:rsidRPr="00916664" w:rsidR="00916664">
        <w:rPr>
          <w:lang w:val="fr-FR"/>
        </w:rPr>
        <w:t>’</w:t>
      </w:r>
      <w:r w:rsidRPr="00916664">
        <w:rPr>
          <w:lang w:val="fr-FR"/>
        </w:rPr>
        <w:t>espèce, portait précisément sur une condamnation pénale en application de l</w:t>
      </w:r>
      <w:r w:rsidRPr="00916664" w:rsidR="00916664">
        <w:rPr>
          <w:lang w:val="fr-FR"/>
        </w:rPr>
        <w:t>’</w:t>
      </w:r>
      <w:r w:rsidRPr="00916664">
        <w:rPr>
          <w:lang w:val="fr-FR"/>
        </w:rPr>
        <w:t>article 158 du CP, que l</w:t>
      </w:r>
      <w:r w:rsidRPr="00916664" w:rsidR="00916664">
        <w:rPr>
          <w:lang w:val="fr-FR"/>
        </w:rPr>
        <w:t>’</w:t>
      </w:r>
      <w:r w:rsidRPr="00916664">
        <w:rPr>
          <w:lang w:val="fr-FR"/>
        </w:rPr>
        <w:t>intérêt d</w:t>
      </w:r>
      <w:r w:rsidRPr="00916664" w:rsidR="00916664">
        <w:rPr>
          <w:lang w:val="fr-FR"/>
        </w:rPr>
        <w:t>’</w:t>
      </w:r>
      <w:r w:rsidRPr="00916664">
        <w:rPr>
          <w:lang w:val="fr-FR"/>
        </w:rPr>
        <w:t>un État de protéger la réputation de son chef d</w:t>
      </w:r>
      <w:r w:rsidRPr="00916664" w:rsidR="00916664">
        <w:rPr>
          <w:lang w:val="fr-FR"/>
        </w:rPr>
        <w:t>’</w:t>
      </w:r>
      <w:r w:rsidRPr="00916664">
        <w:rPr>
          <w:lang w:val="fr-FR"/>
        </w:rPr>
        <w:t>État ne pouvait justifier de conférer à ce dernier un privilège ou une protection spéciale vis-à-vis du droit d</w:t>
      </w:r>
      <w:r w:rsidRPr="00916664" w:rsidR="00916664">
        <w:rPr>
          <w:lang w:val="fr-FR"/>
        </w:rPr>
        <w:t>’</w:t>
      </w:r>
      <w:r w:rsidRPr="00916664">
        <w:rPr>
          <w:lang w:val="fr-FR"/>
        </w:rPr>
        <w:t>informer et d</w:t>
      </w:r>
      <w:r w:rsidRPr="00916664" w:rsidR="00916664">
        <w:rPr>
          <w:lang w:val="fr-FR"/>
        </w:rPr>
        <w:t>’</w:t>
      </w:r>
      <w:r w:rsidRPr="00916664">
        <w:rPr>
          <w:lang w:val="fr-FR"/>
        </w:rPr>
        <w:t>exprimer des opinions à son sujet (</w:t>
      </w:r>
      <w:proofErr w:type="spellStart"/>
      <w:r w:rsidRPr="00916664">
        <w:rPr>
          <w:i/>
          <w:lang w:val="fr-FR"/>
        </w:rPr>
        <w:t>Artun</w:t>
      </w:r>
      <w:proofErr w:type="spellEnd"/>
      <w:r w:rsidRPr="00916664">
        <w:rPr>
          <w:i/>
          <w:lang w:val="fr-FR"/>
        </w:rPr>
        <w:t xml:space="preserve"> et </w:t>
      </w:r>
      <w:proofErr w:type="spellStart"/>
      <w:r w:rsidRPr="00916664">
        <w:rPr>
          <w:i/>
          <w:lang w:val="fr-FR"/>
        </w:rPr>
        <w:t>Güvener</w:t>
      </w:r>
      <w:proofErr w:type="spellEnd"/>
      <w:r w:rsidRPr="00916664">
        <w:rPr>
          <w:lang w:val="fr-FR"/>
        </w:rPr>
        <w:t xml:space="preserve">, précité, § 31 ; voir également, en ce qui concerne la surprotection du statut du président de la République en matière civile, </w:t>
      </w:r>
      <w:proofErr w:type="spellStart"/>
      <w:r w:rsidRPr="00916664">
        <w:rPr>
          <w:i/>
          <w:lang w:val="fr-FR"/>
        </w:rPr>
        <w:t>Pakdemirli</w:t>
      </w:r>
      <w:proofErr w:type="spellEnd"/>
      <w:r w:rsidRPr="00916664">
        <w:rPr>
          <w:i/>
          <w:lang w:val="fr-FR"/>
        </w:rPr>
        <w:t xml:space="preserve"> c. Turquie</w:t>
      </w:r>
      <w:r w:rsidRPr="00916664">
        <w:rPr>
          <w:rFonts w:cs="Times New Roman"/>
          <w:lang w:val="fr-FR"/>
        </w:rPr>
        <w:t>, n</w:t>
      </w:r>
      <w:r w:rsidRPr="00916664">
        <w:rPr>
          <w:rFonts w:cs="Times New Roman"/>
          <w:vertAlign w:val="superscript"/>
          <w:lang w:val="fr-FR"/>
        </w:rPr>
        <w:t>o</w:t>
      </w:r>
      <w:r w:rsidRPr="00916664">
        <w:rPr>
          <w:rFonts w:cs="Times New Roman"/>
          <w:lang w:val="fr-FR"/>
        </w:rPr>
        <w:t xml:space="preserve"> 35839/97, § 52, 22 février 2005</w:t>
      </w:r>
      <w:r w:rsidRPr="00916664">
        <w:rPr>
          <w:lang w:val="fr-FR"/>
        </w:rPr>
        <w:t>).</w:t>
      </w:r>
    </w:p>
    <w:p w:rsidRPr="00916664" w:rsidR="00B82DCC" w:rsidP="00916664" w:rsidRDefault="00B82DCC">
      <w:pPr>
        <w:pStyle w:val="JuPara"/>
        <w:rPr>
          <w:i/>
          <w:lang w:val="fr-FR"/>
        </w:rPr>
      </w:pPr>
      <w:r w:rsidRPr="00916664">
        <w:rPr>
          <w:lang w:val="fr-FR"/>
        </w:rPr>
        <w:t>41.  S</w:t>
      </w:r>
      <w:r w:rsidRPr="00916664" w:rsidR="00916664">
        <w:rPr>
          <w:lang w:val="fr-FR"/>
        </w:rPr>
        <w:t>’</w:t>
      </w:r>
      <w:r w:rsidRPr="00916664">
        <w:rPr>
          <w:lang w:val="fr-FR"/>
        </w:rPr>
        <w:t>agissant en particulier de la sanction pénale prévue pour insulte au président de la République, la Cour estime que, s</w:t>
      </w:r>
      <w:r w:rsidRPr="00916664" w:rsidR="00916664">
        <w:rPr>
          <w:lang w:val="fr-FR"/>
        </w:rPr>
        <w:t>’</w:t>
      </w:r>
      <w:r w:rsidRPr="00916664">
        <w:rPr>
          <w:lang w:val="fr-FR"/>
        </w:rPr>
        <w:t>il est tout à fait légitime que les personnes représentant les institutions de l</w:t>
      </w:r>
      <w:r w:rsidRPr="00916664" w:rsidR="00916664">
        <w:rPr>
          <w:lang w:val="fr-FR"/>
        </w:rPr>
        <w:t>’</w:t>
      </w:r>
      <w:r w:rsidRPr="00916664">
        <w:rPr>
          <w:lang w:val="fr-FR"/>
        </w:rPr>
        <w:t>État soient protégées par les autorités compétentes en leur qualité de garantes de l</w:t>
      </w:r>
      <w:r w:rsidRPr="00916664" w:rsidR="00916664">
        <w:rPr>
          <w:lang w:val="fr-FR"/>
        </w:rPr>
        <w:t>’</w:t>
      </w:r>
      <w:r w:rsidRPr="00916664">
        <w:rPr>
          <w:lang w:val="fr-FR"/>
        </w:rPr>
        <w:t>ordre public institutionnel, la position dominante que ces institutions occupent commande aux autorités de faire preuve de retenue dans l</w:t>
      </w:r>
      <w:r w:rsidRPr="00916664" w:rsidR="00916664">
        <w:rPr>
          <w:lang w:val="fr-FR"/>
        </w:rPr>
        <w:t>’</w:t>
      </w:r>
      <w:r w:rsidRPr="00916664">
        <w:rPr>
          <w:lang w:val="fr-FR"/>
        </w:rPr>
        <w:t>usage de la voie pénale (</w:t>
      </w:r>
      <w:proofErr w:type="spellStart"/>
      <w:r w:rsidRPr="00916664">
        <w:rPr>
          <w:i/>
          <w:lang w:val="fr-FR"/>
        </w:rPr>
        <w:t>Otegi</w:t>
      </w:r>
      <w:proofErr w:type="spellEnd"/>
      <w:r w:rsidRPr="00916664">
        <w:rPr>
          <w:i/>
          <w:lang w:val="fr-FR"/>
        </w:rPr>
        <w:t xml:space="preserve"> </w:t>
      </w:r>
      <w:proofErr w:type="spellStart"/>
      <w:r w:rsidRPr="00916664">
        <w:rPr>
          <w:i/>
          <w:lang w:val="fr-FR"/>
        </w:rPr>
        <w:t>Mondragon</w:t>
      </w:r>
      <w:proofErr w:type="spellEnd"/>
      <w:r w:rsidRPr="00916664">
        <w:rPr>
          <w:lang w:val="fr-FR"/>
        </w:rPr>
        <w:t>, précité, § 58 ; voir également les travaux du Conseil de l</w:t>
      </w:r>
      <w:r w:rsidRPr="00916664" w:rsidR="00916664">
        <w:rPr>
          <w:lang w:val="fr-FR"/>
        </w:rPr>
        <w:t>’</w:t>
      </w:r>
      <w:r w:rsidRPr="00916664">
        <w:rPr>
          <w:lang w:val="fr-FR"/>
        </w:rPr>
        <w:t>Europe en la matière, paragraphes 16 et 17 ci-dessus). À cet égard, la Cour rappelle que la nature et la lourdeur des sanctions infligées sont aussi des éléments à prendre en considération lorsqu</w:t>
      </w:r>
      <w:r w:rsidRPr="00916664" w:rsidR="00916664">
        <w:rPr>
          <w:lang w:val="fr-FR"/>
        </w:rPr>
        <w:t>’</w:t>
      </w:r>
      <w:r w:rsidRPr="00916664">
        <w:rPr>
          <w:lang w:val="fr-FR"/>
        </w:rPr>
        <w:t>il s</w:t>
      </w:r>
      <w:r w:rsidRPr="00916664" w:rsidR="00916664">
        <w:rPr>
          <w:lang w:val="fr-FR"/>
        </w:rPr>
        <w:t>’</w:t>
      </w:r>
      <w:r w:rsidRPr="00916664">
        <w:rPr>
          <w:lang w:val="fr-FR"/>
        </w:rPr>
        <w:t>agit de mesurer la proportionnalité d</w:t>
      </w:r>
      <w:r w:rsidRPr="00916664" w:rsidR="00916664">
        <w:rPr>
          <w:lang w:val="fr-FR"/>
        </w:rPr>
        <w:t>’</w:t>
      </w:r>
      <w:r w:rsidRPr="00916664">
        <w:rPr>
          <w:lang w:val="fr-FR"/>
        </w:rPr>
        <w:t>une ingérence (</w:t>
      </w:r>
      <w:proofErr w:type="spellStart"/>
      <w:r w:rsidRPr="00916664">
        <w:rPr>
          <w:i/>
          <w:lang w:val="fr-FR"/>
        </w:rPr>
        <w:t>Sürek</w:t>
      </w:r>
      <w:proofErr w:type="spellEnd"/>
      <w:r w:rsidRPr="00916664">
        <w:rPr>
          <w:i/>
          <w:lang w:val="fr-FR"/>
        </w:rPr>
        <w:t xml:space="preserve"> c. Turquie</w:t>
      </w:r>
      <w:r w:rsidRPr="00916664">
        <w:rPr>
          <w:lang w:val="fr-FR"/>
        </w:rPr>
        <w:t xml:space="preserve"> (n</w:t>
      </w:r>
      <w:r w:rsidRPr="00916664">
        <w:rPr>
          <w:vertAlign w:val="superscript"/>
          <w:lang w:val="fr-FR"/>
        </w:rPr>
        <w:t>o</w:t>
      </w:r>
      <w:r w:rsidRPr="00916664">
        <w:rPr>
          <w:lang w:val="fr-FR"/>
        </w:rPr>
        <w:t xml:space="preserve"> 1) [GC], n</w:t>
      </w:r>
      <w:r w:rsidRPr="00916664">
        <w:rPr>
          <w:vertAlign w:val="superscript"/>
          <w:lang w:val="fr-FR"/>
        </w:rPr>
        <w:t>o</w:t>
      </w:r>
      <w:r w:rsidRPr="00916664">
        <w:rPr>
          <w:lang w:val="fr-FR"/>
        </w:rPr>
        <w:t xml:space="preserve"> 26682/95, § 64, CEDH 1999-IV, </w:t>
      </w:r>
      <w:r w:rsidRPr="00916664">
        <w:rPr>
          <w:i/>
          <w:lang w:val="fr-FR"/>
        </w:rPr>
        <w:t>Ceylan c. Turquie</w:t>
      </w:r>
      <w:r w:rsidRPr="00916664">
        <w:rPr>
          <w:lang w:val="fr-FR"/>
        </w:rPr>
        <w:t xml:space="preserve"> [GC], n</w:t>
      </w:r>
      <w:r w:rsidRPr="00916664">
        <w:rPr>
          <w:vertAlign w:val="superscript"/>
          <w:lang w:val="fr-FR"/>
        </w:rPr>
        <w:t>o</w:t>
      </w:r>
      <w:r w:rsidRPr="00916664">
        <w:rPr>
          <w:lang w:val="fr-FR"/>
        </w:rPr>
        <w:t xml:space="preserve"> 23556/94, § 37, CEDH 1999</w:t>
      </w:r>
      <w:r w:rsidRPr="00916664">
        <w:rPr>
          <w:rFonts w:ascii="MS Mincho" w:hAnsi="MS Mincho" w:eastAsia="MS Mincho" w:cs="MS Mincho"/>
          <w:lang w:val="fr-FR"/>
        </w:rPr>
        <w:t>‑</w:t>
      </w:r>
      <w:r w:rsidRPr="00916664">
        <w:rPr>
          <w:lang w:val="fr-FR"/>
        </w:rPr>
        <w:t xml:space="preserve">IV, </w:t>
      </w:r>
      <w:proofErr w:type="spellStart"/>
      <w:r w:rsidRPr="00916664">
        <w:rPr>
          <w:i/>
          <w:lang w:val="fr-FR"/>
        </w:rPr>
        <w:t>Tammer</w:t>
      </w:r>
      <w:proofErr w:type="spellEnd"/>
      <w:r w:rsidRPr="00916664">
        <w:rPr>
          <w:i/>
          <w:lang w:val="fr-FR"/>
        </w:rPr>
        <w:t xml:space="preserve"> c. Estonie</w:t>
      </w:r>
      <w:r w:rsidRPr="00916664">
        <w:rPr>
          <w:lang w:val="fr-FR"/>
        </w:rPr>
        <w:t>, n</w:t>
      </w:r>
      <w:r w:rsidRPr="00916664">
        <w:rPr>
          <w:vertAlign w:val="superscript"/>
          <w:lang w:val="fr-FR"/>
        </w:rPr>
        <w:t>o</w:t>
      </w:r>
      <w:r w:rsidRPr="00916664">
        <w:rPr>
          <w:lang w:val="fr-FR"/>
        </w:rPr>
        <w:t> 41205/98, § 69, CEDH 2001</w:t>
      </w:r>
      <w:r w:rsidRPr="00916664">
        <w:rPr>
          <w:lang w:val="fr-FR"/>
        </w:rPr>
        <w:noBreakHyphen/>
        <w:t>I, et</w:t>
      </w:r>
      <w:r w:rsidRPr="00916664">
        <w:rPr>
          <w:i/>
          <w:lang w:val="fr-FR"/>
        </w:rPr>
        <w:t xml:space="preserve"> </w:t>
      </w:r>
      <w:proofErr w:type="spellStart"/>
      <w:r w:rsidRPr="00916664">
        <w:rPr>
          <w:i/>
          <w:lang w:val="fr-FR"/>
        </w:rPr>
        <w:t>Chauvy</w:t>
      </w:r>
      <w:proofErr w:type="spellEnd"/>
      <w:r w:rsidRPr="00916664">
        <w:rPr>
          <w:i/>
          <w:lang w:val="fr-FR"/>
        </w:rPr>
        <w:t xml:space="preserve"> et autres c. France</w:t>
      </w:r>
      <w:r w:rsidRPr="00916664">
        <w:rPr>
          <w:lang w:val="fr-FR"/>
        </w:rPr>
        <w:t>, n</w:t>
      </w:r>
      <w:r w:rsidRPr="00916664">
        <w:rPr>
          <w:vertAlign w:val="superscript"/>
          <w:lang w:val="fr-FR"/>
        </w:rPr>
        <w:t>o</w:t>
      </w:r>
      <w:r w:rsidRPr="00916664">
        <w:rPr>
          <w:lang w:val="fr-FR"/>
        </w:rPr>
        <w:t xml:space="preserve"> 64915/01, § 78, CEDH 2004-VI). Ainsi, l</w:t>
      </w:r>
      <w:r w:rsidRPr="00916664" w:rsidR="00916664">
        <w:rPr>
          <w:lang w:val="fr-FR"/>
        </w:rPr>
        <w:t>’</w:t>
      </w:r>
      <w:r w:rsidRPr="00916664">
        <w:rPr>
          <w:lang w:val="fr-FR"/>
        </w:rPr>
        <w:t>appréciation de la proportionnalité d</w:t>
      </w:r>
      <w:r w:rsidRPr="00916664" w:rsidR="00916664">
        <w:rPr>
          <w:lang w:val="fr-FR"/>
        </w:rPr>
        <w:t>’</w:t>
      </w:r>
      <w:r w:rsidRPr="00916664">
        <w:rPr>
          <w:lang w:val="fr-FR"/>
        </w:rPr>
        <w:t>une ingérence dans les droits protégés par l</w:t>
      </w:r>
      <w:r w:rsidRPr="00916664" w:rsidR="00916664">
        <w:rPr>
          <w:lang w:val="fr-FR"/>
        </w:rPr>
        <w:t>’</w:t>
      </w:r>
      <w:r w:rsidRPr="00916664">
        <w:rPr>
          <w:lang w:val="fr-FR"/>
        </w:rPr>
        <w:t>article 10 dépendra dans bien des cas de la question de savoir si les autorités auraient pu faire usage d</w:t>
      </w:r>
      <w:r w:rsidRPr="00916664" w:rsidR="00916664">
        <w:rPr>
          <w:lang w:val="fr-FR"/>
        </w:rPr>
        <w:t>’</w:t>
      </w:r>
      <w:r w:rsidRPr="00916664">
        <w:rPr>
          <w:lang w:val="fr-FR"/>
        </w:rPr>
        <w:t>un autre moyen qu</w:t>
      </w:r>
      <w:r w:rsidRPr="00916664" w:rsidR="00916664">
        <w:rPr>
          <w:lang w:val="fr-FR"/>
        </w:rPr>
        <w:t>’</w:t>
      </w:r>
      <w:r w:rsidRPr="00916664">
        <w:rPr>
          <w:lang w:val="fr-FR"/>
        </w:rPr>
        <w:t xml:space="preserve">une sanction pénale, telles des mesures civiles (voir, </w:t>
      </w:r>
      <w:r w:rsidRPr="00916664">
        <w:rPr>
          <w:i/>
          <w:lang w:val="fr-FR"/>
        </w:rPr>
        <w:t>mutatis mutandis</w:t>
      </w:r>
      <w:r w:rsidRPr="00916664">
        <w:rPr>
          <w:lang w:val="fr-FR"/>
        </w:rPr>
        <w:t xml:space="preserve">, </w:t>
      </w:r>
      <w:proofErr w:type="spellStart"/>
      <w:r w:rsidRPr="00916664">
        <w:rPr>
          <w:i/>
          <w:lang w:val="fr-FR"/>
        </w:rPr>
        <w:t>Raichinov</w:t>
      </w:r>
      <w:proofErr w:type="spellEnd"/>
      <w:r w:rsidRPr="00916664">
        <w:rPr>
          <w:i/>
          <w:lang w:val="fr-FR"/>
        </w:rPr>
        <w:t xml:space="preserve"> c. Bulgarie</w:t>
      </w:r>
      <w:r w:rsidRPr="00916664">
        <w:rPr>
          <w:lang w:val="fr-FR"/>
        </w:rPr>
        <w:t>, n</w:t>
      </w:r>
      <w:r w:rsidRPr="00916664">
        <w:rPr>
          <w:vertAlign w:val="superscript"/>
          <w:lang w:val="fr-FR"/>
        </w:rPr>
        <w:t>o</w:t>
      </w:r>
      <w:r w:rsidRPr="00916664">
        <w:rPr>
          <w:lang w:val="fr-FR"/>
        </w:rPr>
        <w:t xml:space="preserve"> 47579/99, § 50, 20 avril 2006 ; voir aussi, </w:t>
      </w:r>
      <w:r w:rsidRPr="00916664">
        <w:rPr>
          <w:i/>
          <w:lang w:val="fr-FR"/>
        </w:rPr>
        <w:t>mutatis mutandis</w:t>
      </w:r>
      <w:r w:rsidRPr="00916664">
        <w:rPr>
          <w:lang w:val="fr-FR"/>
        </w:rPr>
        <w:t xml:space="preserve">, </w:t>
      </w:r>
      <w:proofErr w:type="spellStart"/>
      <w:r w:rsidRPr="00916664">
        <w:rPr>
          <w:i/>
          <w:lang w:val="fr-FR"/>
        </w:rPr>
        <w:t>Lehideux</w:t>
      </w:r>
      <w:proofErr w:type="spellEnd"/>
      <w:r w:rsidRPr="00916664">
        <w:rPr>
          <w:i/>
          <w:lang w:val="fr-FR"/>
        </w:rPr>
        <w:t xml:space="preserve"> et Isorni c. France</w:t>
      </w:r>
      <w:r w:rsidRPr="00916664">
        <w:rPr>
          <w:lang w:val="fr-FR"/>
        </w:rPr>
        <w:t xml:space="preserve">, 23 septembre 1998, § 51, </w:t>
      </w:r>
      <w:r w:rsidRPr="00916664">
        <w:rPr>
          <w:i/>
          <w:lang w:val="fr-FR"/>
        </w:rPr>
        <w:t>Recueil des arrêts et décisions</w:t>
      </w:r>
      <w:r w:rsidRPr="00916664">
        <w:rPr>
          <w:lang w:val="fr-FR"/>
        </w:rPr>
        <w:t xml:space="preserve"> 1998-VII, et </w:t>
      </w:r>
      <w:proofErr w:type="spellStart"/>
      <w:r w:rsidRPr="00916664">
        <w:rPr>
          <w:i/>
          <w:lang w:val="fr-FR"/>
        </w:rPr>
        <w:t>Cumpănă</w:t>
      </w:r>
      <w:proofErr w:type="spellEnd"/>
      <w:r w:rsidRPr="00916664">
        <w:rPr>
          <w:i/>
          <w:lang w:val="fr-FR"/>
        </w:rPr>
        <w:t xml:space="preserve"> et </w:t>
      </w:r>
      <w:proofErr w:type="spellStart"/>
      <w:r w:rsidRPr="00916664">
        <w:rPr>
          <w:i/>
          <w:lang w:val="fr-FR"/>
        </w:rPr>
        <w:t>Mazăre</w:t>
      </w:r>
      <w:proofErr w:type="spellEnd"/>
      <w:r w:rsidRPr="00916664">
        <w:rPr>
          <w:i/>
          <w:lang w:val="fr-FR"/>
        </w:rPr>
        <w:t xml:space="preserve"> c. Roumanie </w:t>
      </w:r>
      <w:r w:rsidRPr="00916664">
        <w:rPr>
          <w:lang w:val="fr-FR"/>
        </w:rPr>
        <w:t>[GC], n</w:t>
      </w:r>
      <w:r w:rsidRPr="00916664">
        <w:rPr>
          <w:vertAlign w:val="superscript"/>
          <w:lang w:val="fr-FR"/>
        </w:rPr>
        <w:t>o</w:t>
      </w:r>
      <w:r w:rsidRPr="00916664">
        <w:rPr>
          <w:lang w:val="fr-FR"/>
        </w:rPr>
        <w:t xml:space="preserve"> 33348/96, § 115, CEDH 2004-XI). La Cour rappelle également que, même lorsque la sanction est la plus modérée possible, à l</w:t>
      </w:r>
      <w:r w:rsidRPr="00916664" w:rsidR="00916664">
        <w:rPr>
          <w:lang w:val="fr-FR"/>
        </w:rPr>
        <w:t>’</w:t>
      </w:r>
      <w:r w:rsidRPr="00916664">
        <w:rPr>
          <w:lang w:val="fr-FR"/>
        </w:rPr>
        <w:t>instar d</w:t>
      </w:r>
      <w:r w:rsidRPr="00916664" w:rsidR="00916664">
        <w:rPr>
          <w:lang w:val="fr-FR"/>
        </w:rPr>
        <w:t>’</w:t>
      </w:r>
      <w:r w:rsidRPr="00916664">
        <w:rPr>
          <w:lang w:val="fr-FR"/>
        </w:rPr>
        <w:t>une condamnation assortie d</w:t>
      </w:r>
      <w:r w:rsidRPr="00916664" w:rsidR="00916664">
        <w:rPr>
          <w:lang w:val="fr-FR"/>
        </w:rPr>
        <w:t>’</w:t>
      </w:r>
      <w:r w:rsidRPr="00916664">
        <w:rPr>
          <w:lang w:val="fr-FR"/>
        </w:rPr>
        <w:t>une dispense de peine sur le plan pénal et d</w:t>
      </w:r>
      <w:r w:rsidRPr="00916664" w:rsidR="00916664">
        <w:rPr>
          <w:lang w:val="fr-FR"/>
        </w:rPr>
        <w:t>’</w:t>
      </w:r>
      <w:r w:rsidRPr="00916664">
        <w:rPr>
          <w:lang w:val="fr-FR"/>
        </w:rPr>
        <w:t>une simple obligation de payer un «</w:t>
      </w:r>
      <w:r w:rsidRPr="00916664" w:rsidR="00987519">
        <w:rPr>
          <w:lang w:val="fr-FR"/>
        </w:rPr>
        <w:t> </w:t>
      </w:r>
      <w:r w:rsidRPr="00916664">
        <w:rPr>
          <w:lang w:val="fr-FR"/>
        </w:rPr>
        <w:t>euro symbolique</w:t>
      </w:r>
      <w:r w:rsidRPr="00916664" w:rsidR="00987519">
        <w:rPr>
          <w:lang w:val="fr-FR"/>
        </w:rPr>
        <w:t> </w:t>
      </w:r>
      <w:r w:rsidRPr="00916664">
        <w:rPr>
          <w:lang w:val="fr-FR"/>
        </w:rPr>
        <w:t>» au titre des dommages-intérêts (</w:t>
      </w:r>
      <w:r w:rsidRPr="00916664">
        <w:rPr>
          <w:i/>
          <w:lang w:val="fr-FR"/>
        </w:rPr>
        <w:t>Mor c. France</w:t>
      </w:r>
      <w:r w:rsidRPr="00916664">
        <w:rPr>
          <w:lang w:val="fr-FR"/>
        </w:rPr>
        <w:t>, n</w:t>
      </w:r>
      <w:r w:rsidRPr="00916664">
        <w:rPr>
          <w:vertAlign w:val="superscript"/>
          <w:lang w:val="fr-FR"/>
        </w:rPr>
        <w:t>o</w:t>
      </w:r>
      <w:r w:rsidRPr="00916664">
        <w:rPr>
          <w:lang w:val="fr-FR"/>
        </w:rPr>
        <w:t xml:space="preserve"> 28198/09, § 61, 15 décembre 2011), elle n</w:t>
      </w:r>
      <w:r w:rsidRPr="00916664" w:rsidR="00916664">
        <w:rPr>
          <w:lang w:val="fr-FR"/>
        </w:rPr>
        <w:t>’</w:t>
      </w:r>
      <w:r w:rsidRPr="00916664">
        <w:rPr>
          <w:lang w:val="fr-FR"/>
        </w:rPr>
        <w:t>en constitue pas moins une sanction pénale et, en tout état de cause, cela ne saurait suffire, en soi, à justifier l</w:t>
      </w:r>
      <w:r w:rsidRPr="00916664" w:rsidR="00916664">
        <w:rPr>
          <w:lang w:val="fr-FR"/>
        </w:rPr>
        <w:t>’</w:t>
      </w:r>
      <w:r w:rsidRPr="00916664">
        <w:rPr>
          <w:lang w:val="fr-FR"/>
        </w:rPr>
        <w:t>ingérence dans le droit d</w:t>
      </w:r>
      <w:r w:rsidRPr="00916664" w:rsidR="00916664">
        <w:rPr>
          <w:lang w:val="fr-FR"/>
        </w:rPr>
        <w:t>’</w:t>
      </w:r>
      <w:r w:rsidRPr="00916664">
        <w:rPr>
          <w:lang w:val="fr-FR"/>
        </w:rPr>
        <w:t>expression du requérant (</w:t>
      </w:r>
      <w:proofErr w:type="spellStart"/>
      <w:r w:rsidRPr="00916664">
        <w:rPr>
          <w:i/>
          <w:lang w:val="fr-FR"/>
        </w:rPr>
        <w:t>Athanasios</w:t>
      </w:r>
      <w:proofErr w:type="spellEnd"/>
      <w:r w:rsidRPr="00916664">
        <w:rPr>
          <w:i/>
          <w:lang w:val="fr-FR"/>
        </w:rPr>
        <w:t xml:space="preserve"> </w:t>
      </w:r>
      <w:proofErr w:type="spellStart"/>
      <w:r w:rsidRPr="00916664">
        <w:rPr>
          <w:i/>
          <w:lang w:val="fr-FR"/>
        </w:rPr>
        <w:t>Makris</w:t>
      </w:r>
      <w:proofErr w:type="spellEnd"/>
      <w:r w:rsidRPr="00916664">
        <w:rPr>
          <w:i/>
          <w:lang w:val="fr-FR"/>
        </w:rPr>
        <w:t xml:space="preserve"> c. Grèce</w:t>
      </w:r>
      <w:r w:rsidRPr="00916664">
        <w:rPr>
          <w:lang w:val="fr-FR"/>
        </w:rPr>
        <w:t>, n</w:t>
      </w:r>
      <w:r w:rsidRPr="00916664">
        <w:rPr>
          <w:vertAlign w:val="superscript"/>
          <w:lang w:val="fr-FR"/>
        </w:rPr>
        <w:t>o</w:t>
      </w:r>
      <w:r w:rsidRPr="00916664">
        <w:rPr>
          <w:lang w:val="fr-FR"/>
        </w:rPr>
        <w:t xml:space="preserve"> 55135/10, § 38, 9 mars 2017). Elle a maintes fois souligné qu</w:t>
      </w:r>
      <w:r w:rsidRPr="00916664" w:rsidR="00916664">
        <w:rPr>
          <w:lang w:val="fr-FR"/>
        </w:rPr>
        <w:t>’</w:t>
      </w:r>
      <w:r w:rsidRPr="00916664">
        <w:rPr>
          <w:lang w:val="fr-FR"/>
        </w:rPr>
        <w:t>une atteinte à la liberté d</w:t>
      </w:r>
      <w:r w:rsidRPr="00916664" w:rsidR="00916664">
        <w:rPr>
          <w:lang w:val="fr-FR"/>
        </w:rPr>
        <w:t>’</w:t>
      </w:r>
      <w:r w:rsidRPr="00916664">
        <w:rPr>
          <w:lang w:val="fr-FR"/>
        </w:rPr>
        <w:t>expression peut avoir un effet dissuasif quant à l</w:t>
      </w:r>
      <w:r w:rsidRPr="00916664" w:rsidR="00916664">
        <w:rPr>
          <w:lang w:val="fr-FR"/>
        </w:rPr>
        <w:t>’</w:t>
      </w:r>
      <w:r w:rsidRPr="00916664">
        <w:rPr>
          <w:lang w:val="fr-FR"/>
        </w:rPr>
        <w:t xml:space="preserve">exercice de cette liberté (voir, </w:t>
      </w:r>
      <w:r w:rsidRPr="00916664">
        <w:rPr>
          <w:i/>
          <w:lang w:val="fr-FR"/>
        </w:rPr>
        <w:t>mutatis mutandis</w:t>
      </w:r>
      <w:r w:rsidRPr="00916664">
        <w:rPr>
          <w:lang w:val="fr-FR"/>
        </w:rPr>
        <w:t xml:space="preserve">, </w:t>
      </w:r>
      <w:proofErr w:type="spellStart"/>
      <w:r w:rsidRPr="00916664">
        <w:rPr>
          <w:i/>
          <w:lang w:val="fr-FR"/>
        </w:rPr>
        <w:t>Cumpănă</w:t>
      </w:r>
      <w:proofErr w:type="spellEnd"/>
      <w:r w:rsidRPr="00916664">
        <w:rPr>
          <w:i/>
          <w:lang w:val="fr-FR"/>
        </w:rPr>
        <w:t xml:space="preserve"> et </w:t>
      </w:r>
      <w:proofErr w:type="spellStart"/>
      <w:r w:rsidRPr="00916664">
        <w:rPr>
          <w:i/>
          <w:lang w:val="fr-FR"/>
        </w:rPr>
        <w:t>Mazăre</w:t>
      </w:r>
      <w:proofErr w:type="spellEnd"/>
      <w:r w:rsidRPr="00916664">
        <w:rPr>
          <w:lang w:val="fr-FR"/>
        </w:rPr>
        <w:t>, précité, § 114), risque que le caractère relativement modéré des amendes infligées ne saurait suffire à faire disparaître (</w:t>
      </w:r>
      <w:proofErr w:type="spellStart"/>
      <w:r w:rsidRPr="00916664">
        <w:rPr>
          <w:i/>
          <w:lang w:val="fr-FR"/>
        </w:rPr>
        <w:t>Morice</w:t>
      </w:r>
      <w:proofErr w:type="spellEnd"/>
      <w:r w:rsidRPr="00916664">
        <w:rPr>
          <w:i/>
          <w:lang w:val="fr-FR"/>
        </w:rPr>
        <w:t xml:space="preserve"> c. France</w:t>
      </w:r>
      <w:r w:rsidRPr="00916664">
        <w:rPr>
          <w:lang w:val="fr-FR"/>
        </w:rPr>
        <w:t xml:space="preserve"> [GC], n</w:t>
      </w:r>
      <w:r w:rsidRPr="00916664">
        <w:rPr>
          <w:vertAlign w:val="superscript"/>
          <w:lang w:val="fr-FR"/>
        </w:rPr>
        <w:t>o</w:t>
      </w:r>
      <w:r w:rsidRPr="00916664">
        <w:rPr>
          <w:lang w:val="fr-FR"/>
        </w:rPr>
        <w:t xml:space="preserve"> 29369/10</w:t>
      </w:r>
      <w:r w:rsidRPr="00916664">
        <w:rPr>
          <w:snapToGrid w:val="0"/>
          <w:lang w:val="fr-FR"/>
        </w:rPr>
        <w:t xml:space="preserve">, § 176, </w:t>
      </w:r>
      <w:r w:rsidRPr="00916664">
        <w:rPr>
          <w:lang w:val="fr-FR"/>
        </w:rPr>
        <w:t>CEDH 2015).</w:t>
      </w:r>
    </w:p>
    <w:p w:rsidRPr="00916664" w:rsidR="00B82DCC" w:rsidP="00916664" w:rsidRDefault="00B82DCC">
      <w:pPr>
        <w:pStyle w:val="JuPara"/>
        <w:rPr>
          <w:lang w:val="fr-FR"/>
        </w:rPr>
      </w:pPr>
      <w:r w:rsidRPr="00916664">
        <w:rPr>
          <w:lang w:val="fr-FR"/>
        </w:rPr>
        <w:t>42.  Eu égard à ce qui précède, la Cour considère que rien dans les circonstances de la présente affaire n</w:t>
      </w:r>
      <w:r w:rsidRPr="00916664" w:rsidR="00916664">
        <w:rPr>
          <w:lang w:val="fr-FR"/>
        </w:rPr>
        <w:t>’</w:t>
      </w:r>
      <w:r w:rsidRPr="00916664">
        <w:rPr>
          <w:lang w:val="fr-FR"/>
        </w:rPr>
        <w:t>était de nature à justifier l</w:t>
      </w:r>
      <w:r w:rsidRPr="00916664" w:rsidR="00916664">
        <w:rPr>
          <w:lang w:val="fr-FR"/>
        </w:rPr>
        <w:t>’</w:t>
      </w:r>
      <w:r w:rsidRPr="00916664">
        <w:rPr>
          <w:lang w:val="fr-FR"/>
        </w:rPr>
        <w:t>imposition d</w:t>
      </w:r>
      <w:r w:rsidRPr="00916664" w:rsidR="00916664">
        <w:rPr>
          <w:lang w:val="fr-FR"/>
        </w:rPr>
        <w:t>’</w:t>
      </w:r>
      <w:r w:rsidRPr="00916664">
        <w:rPr>
          <w:lang w:val="fr-FR"/>
        </w:rPr>
        <w:t>une sanction pénale, même si, comme en l</w:t>
      </w:r>
      <w:r w:rsidRPr="00916664" w:rsidR="00916664">
        <w:rPr>
          <w:lang w:val="fr-FR"/>
        </w:rPr>
        <w:t>’</w:t>
      </w:r>
      <w:r w:rsidRPr="00916664">
        <w:rPr>
          <w:lang w:val="fr-FR"/>
        </w:rPr>
        <w:t>espèce, il s</w:t>
      </w:r>
      <w:r w:rsidRPr="00916664" w:rsidR="00916664">
        <w:rPr>
          <w:lang w:val="fr-FR"/>
        </w:rPr>
        <w:t>’</w:t>
      </w:r>
      <w:r w:rsidRPr="00916664">
        <w:rPr>
          <w:lang w:val="fr-FR"/>
        </w:rPr>
        <w:t>agissait d</w:t>
      </w:r>
      <w:r w:rsidRPr="00916664" w:rsidR="00916664">
        <w:rPr>
          <w:lang w:val="fr-FR"/>
        </w:rPr>
        <w:t>’</w:t>
      </w:r>
      <w:r w:rsidRPr="00916664">
        <w:rPr>
          <w:lang w:val="fr-FR"/>
        </w:rPr>
        <w:t xml:space="preserve">une amende judiciaire. Par sa nature même, une telle sanction produit immanquablement un effet dissuasif, nonobstant son montant modéré, compte tenu notamment des effets de la condamnation et des retombées durables de toute inscription au casier judiciaire (voir, </w:t>
      </w:r>
      <w:r w:rsidRPr="00916664">
        <w:rPr>
          <w:i/>
          <w:lang w:val="fr-FR"/>
        </w:rPr>
        <w:t>mutatis mutandis</w:t>
      </w:r>
      <w:r w:rsidRPr="00916664">
        <w:rPr>
          <w:lang w:val="fr-FR"/>
        </w:rPr>
        <w:t xml:space="preserve">, </w:t>
      </w:r>
      <w:proofErr w:type="spellStart"/>
      <w:r w:rsidRPr="00916664">
        <w:rPr>
          <w:i/>
          <w:lang w:val="fr-FR"/>
        </w:rPr>
        <w:t>Artun</w:t>
      </w:r>
      <w:proofErr w:type="spellEnd"/>
      <w:r w:rsidRPr="00916664">
        <w:rPr>
          <w:i/>
          <w:lang w:val="fr-FR"/>
        </w:rPr>
        <w:t xml:space="preserve"> et </w:t>
      </w:r>
      <w:proofErr w:type="spellStart"/>
      <w:r w:rsidRPr="00916664">
        <w:rPr>
          <w:i/>
          <w:lang w:val="fr-FR"/>
        </w:rPr>
        <w:t>Güvener</w:t>
      </w:r>
      <w:proofErr w:type="spellEnd"/>
      <w:r w:rsidRPr="00916664">
        <w:rPr>
          <w:lang w:val="fr-FR"/>
        </w:rPr>
        <w:t xml:space="preserve">, précité, § 33, </w:t>
      </w:r>
      <w:proofErr w:type="spellStart"/>
      <w:r w:rsidRPr="00916664">
        <w:rPr>
          <w:i/>
          <w:lang w:val="fr-FR"/>
        </w:rPr>
        <w:t>Martchenko</w:t>
      </w:r>
      <w:proofErr w:type="spellEnd"/>
      <w:r w:rsidRPr="00916664">
        <w:rPr>
          <w:i/>
          <w:lang w:val="fr-FR"/>
        </w:rPr>
        <w:t xml:space="preserve"> c. Ukraine</w:t>
      </w:r>
      <w:r w:rsidRPr="00916664">
        <w:rPr>
          <w:lang w:val="fr-FR"/>
        </w:rPr>
        <w:t>, n</w:t>
      </w:r>
      <w:r w:rsidRPr="00916664">
        <w:rPr>
          <w:vertAlign w:val="superscript"/>
          <w:lang w:val="fr-FR"/>
        </w:rPr>
        <w:t>o</w:t>
      </w:r>
      <w:r w:rsidRPr="00916664">
        <w:rPr>
          <w:lang w:val="fr-FR"/>
        </w:rPr>
        <w:t xml:space="preserve"> 4063/04, § 52, 19 février 2009, et </w:t>
      </w:r>
      <w:proofErr w:type="spellStart"/>
      <w:r w:rsidRPr="00916664">
        <w:rPr>
          <w:i/>
          <w:lang w:val="fr-FR"/>
        </w:rPr>
        <w:t>Otegi</w:t>
      </w:r>
      <w:proofErr w:type="spellEnd"/>
      <w:r w:rsidRPr="00916664">
        <w:rPr>
          <w:i/>
          <w:lang w:val="fr-FR"/>
        </w:rPr>
        <w:t xml:space="preserve"> </w:t>
      </w:r>
      <w:proofErr w:type="spellStart"/>
      <w:r w:rsidRPr="00916664">
        <w:rPr>
          <w:i/>
          <w:lang w:val="fr-FR"/>
        </w:rPr>
        <w:t>Mondragon</w:t>
      </w:r>
      <w:proofErr w:type="spellEnd"/>
      <w:r w:rsidRPr="00916664">
        <w:rPr>
          <w:lang w:val="fr-FR"/>
        </w:rPr>
        <w:t>, précité, § 60).</w:t>
      </w:r>
    </w:p>
    <w:p w:rsidRPr="00916664" w:rsidR="00B82DCC" w:rsidP="00916664" w:rsidRDefault="00B82DCC">
      <w:pPr>
        <w:pStyle w:val="JuPara"/>
        <w:rPr>
          <w:lang w:val="fr-FR"/>
        </w:rPr>
      </w:pPr>
      <w:r w:rsidRPr="00916664">
        <w:rPr>
          <w:lang w:val="fr-FR"/>
        </w:rPr>
        <w:t>43.  Examinant enfin l</w:t>
      </w:r>
      <w:r w:rsidRPr="00916664" w:rsidR="00916664">
        <w:rPr>
          <w:lang w:val="fr-FR"/>
        </w:rPr>
        <w:t>’</w:t>
      </w:r>
      <w:r w:rsidRPr="00916664">
        <w:rPr>
          <w:lang w:val="fr-FR"/>
        </w:rPr>
        <w:t>arrêt rendu par la cour d</w:t>
      </w:r>
      <w:r w:rsidRPr="00916664" w:rsidR="00916664">
        <w:rPr>
          <w:lang w:val="fr-FR"/>
        </w:rPr>
        <w:t>’</w:t>
      </w:r>
      <w:r w:rsidRPr="00916664">
        <w:rPr>
          <w:lang w:val="fr-FR"/>
        </w:rPr>
        <w:t>assises en l</w:t>
      </w:r>
      <w:r w:rsidRPr="00916664" w:rsidR="00916664">
        <w:rPr>
          <w:lang w:val="fr-FR"/>
        </w:rPr>
        <w:t>’</w:t>
      </w:r>
      <w:r w:rsidRPr="00916664">
        <w:rPr>
          <w:lang w:val="fr-FR"/>
        </w:rPr>
        <w:t>espèce, la Cour constate que, pour condamner le requérant du chef d</w:t>
      </w:r>
      <w:r w:rsidRPr="00916664" w:rsidR="00916664">
        <w:rPr>
          <w:lang w:val="fr-FR"/>
        </w:rPr>
        <w:t>’</w:t>
      </w:r>
      <w:r w:rsidRPr="00916664">
        <w:rPr>
          <w:lang w:val="fr-FR"/>
        </w:rPr>
        <w:t>insulte au président de la République, cette juridiction a seulement estimé que les passages litigieux du livre dépassaient les limites de la critique et insultaient le président de la République (paragraphe 8 ci-dessus). Une telle motivation succincte, qui ne prend en compte aucune des considérations mentionnées ci-dessus, ne permet pas à la Cour d</w:t>
      </w:r>
      <w:r w:rsidRPr="00916664" w:rsidR="00916664">
        <w:rPr>
          <w:lang w:val="fr-FR"/>
        </w:rPr>
        <w:t>’</w:t>
      </w:r>
      <w:r w:rsidRPr="00916664">
        <w:rPr>
          <w:lang w:val="fr-FR"/>
        </w:rPr>
        <w:t>établir que, en l</w:t>
      </w:r>
      <w:r w:rsidRPr="00916664" w:rsidR="00916664">
        <w:rPr>
          <w:lang w:val="fr-FR"/>
        </w:rPr>
        <w:t>’</w:t>
      </w:r>
      <w:r w:rsidRPr="00916664">
        <w:rPr>
          <w:lang w:val="fr-FR"/>
        </w:rPr>
        <w:t>espèce, cette juridiction a effectué un examen adéquat de mise en balance entre le droit du requérant à la liberté d</w:t>
      </w:r>
      <w:r w:rsidRPr="00916664" w:rsidR="00916664">
        <w:rPr>
          <w:lang w:val="fr-FR"/>
        </w:rPr>
        <w:t>’</w:t>
      </w:r>
      <w:r w:rsidRPr="00916664">
        <w:rPr>
          <w:lang w:val="fr-FR"/>
        </w:rPr>
        <w:t>expression et les buts légitimes visés conformément aux critères établis dans sa jurisprudence (</w:t>
      </w:r>
      <w:proofErr w:type="spellStart"/>
      <w:r w:rsidRPr="00916664">
        <w:rPr>
          <w:i/>
          <w:lang w:val="fr-FR"/>
        </w:rPr>
        <w:t>Tarman</w:t>
      </w:r>
      <w:proofErr w:type="spellEnd"/>
      <w:r w:rsidRPr="00916664">
        <w:rPr>
          <w:lang w:val="fr-FR"/>
        </w:rPr>
        <w:t>, précité, § 38 ; voir,</w:t>
      </w:r>
      <w:r w:rsidRPr="00916664" w:rsidR="00FF3CD9">
        <w:rPr>
          <w:lang w:val="fr-FR"/>
        </w:rPr>
        <w:t xml:space="preserve"> </w:t>
      </w:r>
      <w:r w:rsidRPr="00916664">
        <w:rPr>
          <w:i/>
          <w:lang w:val="fr-FR"/>
        </w:rPr>
        <w:t>a contrario</w:t>
      </w:r>
      <w:r w:rsidRPr="00916664">
        <w:rPr>
          <w:lang w:val="fr-FR"/>
        </w:rPr>
        <w:t xml:space="preserve">, </w:t>
      </w:r>
      <w:proofErr w:type="spellStart"/>
      <w:r w:rsidRPr="00916664">
        <w:rPr>
          <w:i/>
          <w:lang w:val="fr-FR"/>
        </w:rPr>
        <w:t>Željko</w:t>
      </w:r>
      <w:proofErr w:type="spellEnd"/>
      <w:r w:rsidRPr="00916664">
        <w:rPr>
          <w:i/>
          <w:lang w:val="fr-FR"/>
        </w:rPr>
        <w:t xml:space="preserve"> </w:t>
      </w:r>
      <w:proofErr w:type="spellStart"/>
      <w:r w:rsidRPr="00916664">
        <w:rPr>
          <w:i/>
          <w:lang w:val="fr-FR"/>
        </w:rPr>
        <w:t>Iv</w:t>
      </w:r>
      <w:r w:rsidRPr="00916664" w:rsidR="0019656C">
        <w:rPr>
          <w:i/>
          <w:lang w:val="fr-FR"/>
        </w:rPr>
        <w:t>anović</w:t>
      </w:r>
      <w:proofErr w:type="spellEnd"/>
      <w:r w:rsidRPr="00916664" w:rsidR="0019656C">
        <w:rPr>
          <w:i/>
          <w:lang w:val="fr-FR"/>
        </w:rPr>
        <w:t xml:space="preserve"> et D.O.O. Daily </w:t>
      </w:r>
      <w:proofErr w:type="spellStart"/>
      <w:r w:rsidRPr="00916664" w:rsidR="0019656C">
        <w:rPr>
          <w:i/>
          <w:lang w:val="fr-FR"/>
        </w:rPr>
        <w:t>Press</w:t>
      </w:r>
      <w:proofErr w:type="spellEnd"/>
      <w:r w:rsidRPr="00916664" w:rsidR="0019656C">
        <w:rPr>
          <w:i/>
          <w:lang w:val="fr-FR"/>
        </w:rPr>
        <w:t xml:space="preserve"> c. </w:t>
      </w:r>
      <w:r w:rsidRPr="00916664">
        <w:rPr>
          <w:i/>
          <w:lang w:val="fr-FR"/>
        </w:rPr>
        <w:t>Monténégro</w:t>
      </w:r>
      <w:r w:rsidRPr="00916664">
        <w:rPr>
          <w:lang w:val="fr-FR"/>
        </w:rPr>
        <w:t>, n</w:t>
      </w:r>
      <w:r w:rsidRPr="00916664">
        <w:rPr>
          <w:vertAlign w:val="superscript"/>
          <w:lang w:val="fr-FR"/>
        </w:rPr>
        <w:t>o</w:t>
      </w:r>
      <w:r w:rsidRPr="00916664">
        <w:rPr>
          <w:lang w:val="fr-FR"/>
        </w:rPr>
        <w:t xml:space="preserve"> 24387/10, § 74, 5 juin 2018).</w:t>
      </w:r>
    </w:p>
    <w:p w:rsidRPr="00916664" w:rsidR="00B82DCC" w:rsidP="00916664" w:rsidRDefault="00B82DCC">
      <w:pPr>
        <w:pStyle w:val="JuPara"/>
        <w:rPr>
          <w:lang w:val="fr-FR"/>
        </w:rPr>
      </w:pPr>
      <w:r w:rsidRPr="00916664">
        <w:rPr>
          <w:lang w:val="fr-FR"/>
        </w:rPr>
        <w:t>44.  Dès lors, dans les circonstances de l</w:t>
      </w:r>
      <w:r w:rsidRPr="00916664" w:rsidR="00916664">
        <w:rPr>
          <w:lang w:val="fr-FR"/>
        </w:rPr>
        <w:t>’</w:t>
      </w:r>
      <w:r w:rsidRPr="00916664">
        <w:rPr>
          <w:lang w:val="fr-FR"/>
        </w:rPr>
        <w:t>espèce, compte tenu de l</w:t>
      </w:r>
      <w:r w:rsidRPr="00916664" w:rsidR="00916664">
        <w:rPr>
          <w:lang w:val="fr-FR"/>
        </w:rPr>
        <w:t>’</w:t>
      </w:r>
      <w:r w:rsidRPr="00916664">
        <w:rPr>
          <w:lang w:val="fr-FR"/>
        </w:rPr>
        <w:t>absence d</w:t>
      </w:r>
      <w:r w:rsidRPr="00916664" w:rsidR="00916664">
        <w:rPr>
          <w:lang w:val="fr-FR"/>
        </w:rPr>
        <w:t>’</w:t>
      </w:r>
      <w:r w:rsidRPr="00916664">
        <w:rPr>
          <w:lang w:val="fr-FR"/>
        </w:rPr>
        <w:t>une mise en balance adéquate</w:t>
      </w:r>
      <w:r w:rsidRPr="00916664">
        <w:rPr>
          <w:rFonts w:cstheme="minorHAnsi"/>
          <w:iCs/>
          <w:snapToGrid w:val="0"/>
          <w:lang w:val="fr-FR"/>
        </w:rPr>
        <w:t xml:space="preserve"> et conforme aux critères établis dans la jurisprudence de la Cour entre les intérêts en jeu,</w:t>
      </w:r>
      <w:r w:rsidRPr="00916664">
        <w:rPr>
          <w:lang w:val="fr-FR"/>
        </w:rPr>
        <w:t xml:space="preserve"> et notamment de l</w:t>
      </w:r>
      <w:r w:rsidRPr="00916664" w:rsidR="00916664">
        <w:rPr>
          <w:lang w:val="fr-FR"/>
        </w:rPr>
        <w:t>’</w:t>
      </w:r>
      <w:r w:rsidRPr="00916664">
        <w:rPr>
          <w:lang w:val="fr-FR"/>
        </w:rPr>
        <w:t>absence d</w:t>
      </w:r>
      <w:r w:rsidRPr="00916664" w:rsidR="00916664">
        <w:rPr>
          <w:lang w:val="fr-FR"/>
        </w:rPr>
        <w:t>’</w:t>
      </w:r>
      <w:r w:rsidRPr="00916664">
        <w:rPr>
          <w:lang w:val="fr-FR"/>
        </w:rPr>
        <w:t>examen de la proportionnalité de la sanction, qui revêtait un caractère pénal, infligée au requérant en application d</w:t>
      </w:r>
      <w:r w:rsidRPr="00916664" w:rsidR="00916664">
        <w:rPr>
          <w:lang w:val="fr-FR"/>
        </w:rPr>
        <w:t>’</w:t>
      </w:r>
      <w:r w:rsidRPr="00916664">
        <w:rPr>
          <w:lang w:val="fr-FR"/>
        </w:rPr>
        <w:t>une disposition spéciale prévoyant une protection accrue pour le président de la République en matière d</w:t>
      </w:r>
      <w:r w:rsidRPr="00916664" w:rsidR="00916664">
        <w:rPr>
          <w:lang w:val="fr-FR"/>
        </w:rPr>
        <w:t>’</w:t>
      </w:r>
      <w:r w:rsidRPr="00916664">
        <w:rPr>
          <w:lang w:val="fr-FR"/>
        </w:rPr>
        <w:t>offense, la Cour estime qu</w:t>
      </w:r>
      <w:r w:rsidRPr="00916664" w:rsidR="00916664">
        <w:rPr>
          <w:lang w:val="fr-FR"/>
        </w:rPr>
        <w:t>’</w:t>
      </w:r>
      <w:r w:rsidRPr="00916664">
        <w:rPr>
          <w:lang w:val="fr-FR"/>
        </w:rPr>
        <w:t>il n</w:t>
      </w:r>
      <w:r w:rsidRPr="00916664" w:rsidR="00916664">
        <w:rPr>
          <w:lang w:val="fr-FR"/>
        </w:rPr>
        <w:t>’</w:t>
      </w:r>
      <w:r w:rsidRPr="00916664">
        <w:rPr>
          <w:lang w:val="fr-FR"/>
        </w:rPr>
        <w:t>a pas été démontré que la mesure litigieuse était proportionnée aux buts légitimes visés et qu</w:t>
      </w:r>
      <w:r w:rsidRPr="00916664" w:rsidR="00916664">
        <w:rPr>
          <w:lang w:val="fr-FR"/>
        </w:rPr>
        <w:t>’</w:t>
      </w:r>
      <w:r w:rsidRPr="00916664">
        <w:rPr>
          <w:lang w:val="fr-FR"/>
        </w:rPr>
        <w:t>elle était nécessaire dans une société démocratique au sens de l</w:t>
      </w:r>
      <w:r w:rsidRPr="00916664" w:rsidR="00916664">
        <w:rPr>
          <w:lang w:val="fr-FR"/>
        </w:rPr>
        <w:t>’</w:t>
      </w:r>
      <w:r w:rsidRPr="00916664">
        <w:rPr>
          <w:lang w:val="fr-FR"/>
        </w:rPr>
        <w:t>article 10 de la Convention.</w:t>
      </w:r>
    </w:p>
    <w:p w:rsidRPr="00916664" w:rsidR="00B82DCC" w:rsidP="00916664" w:rsidRDefault="00B82DCC">
      <w:pPr>
        <w:pStyle w:val="JuPara"/>
        <w:rPr>
          <w:rFonts w:cstheme="minorHAnsi"/>
          <w:iCs/>
          <w:snapToGrid w:val="0"/>
          <w:lang w:val="fr-FR"/>
        </w:rPr>
      </w:pPr>
      <w:r w:rsidRPr="00916664">
        <w:rPr>
          <w:rFonts w:cstheme="minorHAnsi"/>
          <w:iCs/>
          <w:snapToGrid w:val="0"/>
          <w:lang w:val="fr-FR"/>
        </w:rPr>
        <w:t>45.  </w:t>
      </w:r>
      <w:r w:rsidRPr="00916664">
        <w:rPr>
          <w:lang w:val="fr-FR"/>
        </w:rPr>
        <w:t>À</w:t>
      </w:r>
      <w:r w:rsidRPr="00916664">
        <w:rPr>
          <w:rFonts w:cstheme="minorHAnsi"/>
          <w:iCs/>
          <w:snapToGrid w:val="0"/>
          <w:lang w:val="fr-FR"/>
        </w:rPr>
        <w:t xml:space="preserve"> la lumière de tout ce qui précède, la Cour conclut qu</w:t>
      </w:r>
      <w:r w:rsidRPr="00916664" w:rsidR="00916664">
        <w:rPr>
          <w:rFonts w:cstheme="minorHAnsi"/>
          <w:iCs/>
          <w:snapToGrid w:val="0"/>
          <w:lang w:val="fr-FR"/>
        </w:rPr>
        <w:t>’</w:t>
      </w:r>
      <w:r w:rsidRPr="00916664">
        <w:rPr>
          <w:rFonts w:cstheme="minorHAnsi"/>
          <w:iCs/>
          <w:snapToGrid w:val="0"/>
          <w:lang w:val="fr-FR"/>
        </w:rPr>
        <w:t>il y a eu violation de l</w:t>
      </w:r>
      <w:r w:rsidRPr="00916664" w:rsidR="00916664">
        <w:rPr>
          <w:rFonts w:cstheme="minorHAnsi"/>
          <w:iCs/>
          <w:snapToGrid w:val="0"/>
          <w:lang w:val="fr-FR"/>
        </w:rPr>
        <w:t>’</w:t>
      </w:r>
      <w:r w:rsidRPr="00916664">
        <w:rPr>
          <w:rFonts w:cstheme="minorHAnsi"/>
          <w:iCs/>
          <w:snapToGrid w:val="0"/>
          <w:lang w:val="fr-FR"/>
        </w:rPr>
        <w:t>article 10 de la Convention en l</w:t>
      </w:r>
      <w:r w:rsidRPr="00916664" w:rsidR="00916664">
        <w:rPr>
          <w:rFonts w:cstheme="minorHAnsi"/>
          <w:iCs/>
          <w:snapToGrid w:val="0"/>
          <w:lang w:val="fr-FR"/>
        </w:rPr>
        <w:t>’</w:t>
      </w:r>
      <w:r w:rsidRPr="00916664">
        <w:rPr>
          <w:rFonts w:cstheme="minorHAnsi"/>
          <w:iCs/>
          <w:snapToGrid w:val="0"/>
          <w:lang w:val="fr-FR"/>
        </w:rPr>
        <w:t>espèce.</w:t>
      </w:r>
    </w:p>
    <w:p w:rsidRPr="00916664" w:rsidR="00B82DCC" w:rsidP="00916664" w:rsidRDefault="00B82DCC">
      <w:pPr>
        <w:pStyle w:val="ECHRHeading1"/>
        <w:ind w:firstLine="0"/>
        <w:rPr>
          <w:lang w:val="fr-FR"/>
        </w:rPr>
      </w:pPr>
      <w:r w:rsidRPr="00916664">
        <w:rPr>
          <w:lang w:val="es-ES_tradnl"/>
        </w:rPr>
        <w:t>II.  </w:t>
      </w:r>
      <w:r w:rsidRPr="00916664">
        <w:rPr>
          <w:lang w:val="fr-FR"/>
        </w:rPr>
        <w:t>SUR L</w:t>
      </w:r>
      <w:r w:rsidRPr="00916664" w:rsidR="00916664">
        <w:rPr>
          <w:lang w:val="fr-FR"/>
        </w:rPr>
        <w:t>’</w:t>
      </w:r>
      <w:r w:rsidRPr="00916664">
        <w:rPr>
          <w:lang w:val="fr-FR"/>
        </w:rPr>
        <w:t>APPLICATION DE L</w:t>
      </w:r>
      <w:r w:rsidRPr="00916664" w:rsidR="00916664">
        <w:rPr>
          <w:lang w:val="fr-FR"/>
        </w:rPr>
        <w:t>’</w:t>
      </w:r>
      <w:r w:rsidRPr="00916664">
        <w:rPr>
          <w:lang w:val="fr-FR"/>
        </w:rPr>
        <w:t>ARTICLE</w:t>
      </w:r>
      <w:r w:rsidRPr="00916664" w:rsidR="0019656C">
        <w:rPr>
          <w:lang w:val="fr-FR"/>
        </w:rPr>
        <w:t xml:space="preserve"> </w:t>
      </w:r>
      <w:r w:rsidRPr="00916664">
        <w:rPr>
          <w:lang w:val="fr-FR"/>
        </w:rPr>
        <w:t>41 DE LA CONVENTION</w:t>
      </w:r>
    </w:p>
    <w:p w:rsidRPr="00916664" w:rsidR="00B82DCC" w:rsidP="00916664" w:rsidRDefault="00B82DCC">
      <w:pPr>
        <w:pStyle w:val="JuPara"/>
        <w:rPr>
          <w:lang w:val="fr-FR"/>
        </w:rPr>
      </w:pPr>
      <w:r w:rsidRPr="00916664">
        <w:rPr>
          <w:lang w:val="fr-FR"/>
        </w:rPr>
        <w:t>46.  Aux termes de l</w:t>
      </w:r>
      <w:r w:rsidRPr="00916664" w:rsidR="00916664">
        <w:rPr>
          <w:lang w:val="fr-FR"/>
        </w:rPr>
        <w:t>’</w:t>
      </w:r>
      <w:r w:rsidRPr="00916664">
        <w:rPr>
          <w:lang w:val="fr-FR"/>
        </w:rPr>
        <w:t>article 41 de la Convention,</w:t>
      </w:r>
    </w:p>
    <w:p w:rsidRPr="00916664" w:rsidR="00B82DCC" w:rsidP="00916664" w:rsidRDefault="00B82DCC">
      <w:pPr>
        <w:pStyle w:val="ECHRParaQuote"/>
        <w:keepNext/>
        <w:keepLines/>
        <w:rPr>
          <w:lang w:val="fr-FR"/>
        </w:rPr>
      </w:pPr>
      <w:r w:rsidRPr="00916664">
        <w:rPr>
          <w:lang w:val="fr-FR"/>
        </w:rPr>
        <w:t>« Si la Cour déclare qu</w:t>
      </w:r>
      <w:r w:rsidRPr="00916664" w:rsidR="00916664">
        <w:rPr>
          <w:lang w:val="fr-FR"/>
        </w:rPr>
        <w:t>’</w:t>
      </w:r>
      <w:r w:rsidRPr="00916664">
        <w:rPr>
          <w:lang w:val="fr-FR"/>
        </w:rPr>
        <w:t>il y a eu violation de la Convention ou de ses Protocoles, et si le droit interne de la Haute Partie contractante ne permet d</w:t>
      </w:r>
      <w:r w:rsidRPr="00916664" w:rsidR="00916664">
        <w:rPr>
          <w:lang w:val="fr-FR"/>
        </w:rPr>
        <w:t>’</w:t>
      </w:r>
      <w:r w:rsidRPr="00916664">
        <w:rPr>
          <w:lang w:val="fr-FR"/>
        </w:rPr>
        <w:t>effacer qu</w:t>
      </w:r>
      <w:r w:rsidRPr="00916664" w:rsidR="00916664">
        <w:rPr>
          <w:lang w:val="fr-FR"/>
        </w:rPr>
        <w:t>’</w:t>
      </w:r>
      <w:r w:rsidRPr="00916664">
        <w:rPr>
          <w:lang w:val="fr-FR"/>
        </w:rPr>
        <w:t>imparfaitement les conséquences de cette violation, la Cour accorde à la partie lésée, s</w:t>
      </w:r>
      <w:r w:rsidRPr="00916664" w:rsidR="00916664">
        <w:rPr>
          <w:lang w:val="fr-FR"/>
        </w:rPr>
        <w:t>’</w:t>
      </w:r>
      <w:r w:rsidRPr="00916664">
        <w:rPr>
          <w:lang w:val="fr-FR"/>
        </w:rPr>
        <w:t>il y a lieu, une satisfaction équitable. »</w:t>
      </w:r>
    </w:p>
    <w:p w:rsidRPr="00916664" w:rsidR="00B82DCC" w:rsidP="00916664" w:rsidRDefault="00B82DCC">
      <w:pPr>
        <w:pStyle w:val="ECHRHeading2"/>
        <w:ind w:firstLine="0"/>
        <w:rPr>
          <w:lang w:val="fr-FR"/>
        </w:rPr>
      </w:pPr>
      <w:r w:rsidRPr="00916664">
        <w:rPr>
          <w:lang w:val="fr-FR"/>
        </w:rPr>
        <w:t>A.  Dommage</w:t>
      </w:r>
    </w:p>
    <w:p w:rsidRPr="00916664" w:rsidR="00B82DCC" w:rsidP="00916664" w:rsidRDefault="00B82DCC">
      <w:pPr>
        <w:pStyle w:val="JuPara"/>
        <w:rPr>
          <w:lang w:val="fr-FR"/>
        </w:rPr>
      </w:pPr>
      <w:r w:rsidRPr="00916664">
        <w:rPr>
          <w:lang w:val="fr-FR"/>
        </w:rPr>
        <w:t>47.  Au titre du préjudice matériel dont il dit avoir souffert, le requérant réclame 10 000 euros (EUR) et 680 EUR, montants qui, à ses dires, correspondent respectivement au dommage subi par lui en raison de la saisie du livre faisant l</w:t>
      </w:r>
      <w:r w:rsidRPr="00916664" w:rsidR="00916664">
        <w:rPr>
          <w:lang w:val="fr-FR"/>
        </w:rPr>
        <w:t>’</w:t>
      </w:r>
      <w:r w:rsidRPr="00916664">
        <w:rPr>
          <w:lang w:val="fr-FR"/>
        </w:rPr>
        <w:t>objet de la requête et à l</w:t>
      </w:r>
      <w:r w:rsidRPr="00916664" w:rsidR="00916664">
        <w:rPr>
          <w:lang w:val="fr-FR"/>
        </w:rPr>
        <w:t>’</w:t>
      </w:r>
      <w:r w:rsidRPr="00916664">
        <w:rPr>
          <w:lang w:val="fr-FR"/>
        </w:rPr>
        <w:t>amende judiciaire qu</w:t>
      </w:r>
      <w:r w:rsidRPr="00916664" w:rsidR="00916664">
        <w:rPr>
          <w:lang w:val="fr-FR"/>
        </w:rPr>
        <w:t>’</w:t>
      </w:r>
      <w:r w:rsidRPr="00916664">
        <w:rPr>
          <w:lang w:val="fr-FR"/>
        </w:rPr>
        <w:t>il a dû payer en raison de sa condamnation. Il sollicite en outre 10 000 EUR au titre du préjudice moral qu</w:t>
      </w:r>
      <w:r w:rsidRPr="00916664" w:rsidR="00916664">
        <w:rPr>
          <w:lang w:val="fr-FR"/>
        </w:rPr>
        <w:t>’</w:t>
      </w:r>
      <w:r w:rsidRPr="00916664">
        <w:rPr>
          <w:lang w:val="fr-FR"/>
        </w:rPr>
        <w:t>il estime avoir subi.</w:t>
      </w:r>
    </w:p>
    <w:p w:rsidRPr="00916664" w:rsidR="00B82DCC" w:rsidP="00916664" w:rsidRDefault="00B82DCC">
      <w:pPr>
        <w:pStyle w:val="JuPara"/>
        <w:rPr>
          <w:lang w:val="fr-FR"/>
        </w:rPr>
      </w:pPr>
      <w:r w:rsidRPr="00916664">
        <w:rPr>
          <w:lang w:val="fr-FR"/>
        </w:rPr>
        <w:t>48.  Le Gouvernement soutient que les demandes présentées au titre des dommages matériel et moral sont non étayées et excessives. Il ajoute qu</w:t>
      </w:r>
      <w:r w:rsidRPr="00916664" w:rsidR="00916664">
        <w:rPr>
          <w:lang w:val="fr-FR"/>
        </w:rPr>
        <w:t>’</w:t>
      </w:r>
      <w:r w:rsidRPr="00916664">
        <w:rPr>
          <w:lang w:val="fr-FR"/>
        </w:rPr>
        <w:t>il n</w:t>
      </w:r>
      <w:r w:rsidRPr="00916664" w:rsidR="00916664">
        <w:rPr>
          <w:lang w:val="fr-FR"/>
        </w:rPr>
        <w:t>’</w:t>
      </w:r>
      <w:r w:rsidRPr="00916664">
        <w:rPr>
          <w:lang w:val="fr-FR"/>
        </w:rPr>
        <w:t>y a pas de lien de causalité entre la violation alléguée et la somme demandée au titre du dommage moral, qui, selon lui, ne correspond pas aux montants accordés par la Cour dans sa jurisprudence.</w:t>
      </w:r>
    </w:p>
    <w:p w:rsidRPr="00916664" w:rsidR="00B82DCC" w:rsidP="00916664" w:rsidRDefault="00B82DCC">
      <w:pPr>
        <w:pStyle w:val="JuPara"/>
        <w:rPr>
          <w:lang w:val="fr-FR"/>
        </w:rPr>
      </w:pPr>
      <w:r w:rsidRPr="00916664">
        <w:rPr>
          <w:lang w:val="fr-FR"/>
        </w:rPr>
        <w:t>49.  La Cour considère qu</w:t>
      </w:r>
      <w:r w:rsidRPr="00916664" w:rsidR="00916664">
        <w:rPr>
          <w:lang w:val="fr-FR"/>
        </w:rPr>
        <w:t>’</w:t>
      </w:r>
      <w:r w:rsidRPr="00916664">
        <w:rPr>
          <w:lang w:val="fr-FR"/>
        </w:rPr>
        <w:t>il y a lieu d</w:t>
      </w:r>
      <w:r w:rsidRPr="00916664" w:rsidR="00916664">
        <w:rPr>
          <w:lang w:val="fr-FR"/>
        </w:rPr>
        <w:t>’</w:t>
      </w:r>
      <w:r w:rsidRPr="00916664">
        <w:rPr>
          <w:lang w:val="fr-FR"/>
        </w:rPr>
        <w:t>octroyer au requérant 680 EUR pour dommage matériel et 2 500 EUR pour dommage moral.</w:t>
      </w:r>
    </w:p>
    <w:p w:rsidRPr="00916664" w:rsidR="00B82DCC" w:rsidP="00916664" w:rsidRDefault="00B82DCC">
      <w:pPr>
        <w:pStyle w:val="ECHRHeading2"/>
        <w:ind w:firstLine="0"/>
        <w:rPr>
          <w:lang w:val="fr-FR"/>
        </w:rPr>
      </w:pPr>
      <w:r w:rsidRPr="00916664">
        <w:rPr>
          <w:lang w:val="fr-FR"/>
        </w:rPr>
        <w:t>B.  Frais et dépens</w:t>
      </w:r>
    </w:p>
    <w:p w:rsidRPr="00916664" w:rsidR="00B82DCC" w:rsidP="00916664" w:rsidRDefault="00B82DCC">
      <w:pPr>
        <w:pStyle w:val="JuPara"/>
        <w:rPr>
          <w:lang w:val="fr-FR"/>
        </w:rPr>
      </w:pPr>
      <w:r w:rsidRPr="00916664">
        <w:rPr>
          <w:lang w:val="fr-FR"/>
        </w:rPr>
        <w:t>50.  Le requérant demande également 630 EUR pour les frais d</w:t>
      </w:r>
      <w:r w:rsidRPr="00916664" w:rsidR="00916664">
        <w:rPr>
          <w:lang w:val="fr-FR"/>
        </w:rPr>
        <w:t>’</w:t>
      </w:r>
      <w:r w:rsidRPr="00916664">
        <w:rPr>
          <w:lang w:val="fr-FR"/>
        </w:rPr>
        <w:t>avocat relatifs à la procédure devant les juridictions internes et 1 268 EUR pour ceux afférents à la procédure devant la Cour. Il présente à cet égard le barème tarifaire de l</w:t>
      </w:r>
      <w:r w:rsidRPr="00916664" w:rsidR="00916664">
        <w:rPr>
          <w:lang w:val="fr-FR"/>
        </w:rPr>
        <w:t>’</w:t>
      </w:r>
      <w:r w:rsidRPr="00916664">
        <w:rPr>
          <w:lang w:val="fr-FR"/>
        </w:rPr>
        <w:t>Union des barreaux de Turquie.</w:t>
      </w:r>
    </w:p>
    <w:p w:rsidRPr="00916664" w:rsidR="00B82DCC" w:rsidP="00916664" w:rsidRDefault="00B82DCC">
      <w:pPr>
        <w:pStyle w:val="JuPara"/>
        <w:rPr>
          <w:lang w:val="fr-FR"/>
        </w:rPr>
      </w:pPr>
      <w:r w:rsidRPr="00916664">
        <w:rPr>
          <w:lang w:val="fr-FR"/>
        </w:rPr>
        <w:t>51.  Le Gouvernement expose que le requérant n</w:t>
      </w:r>
      <w:r w:rsidRPr="00916664" w:rsidR="00916664">
        <w:rPr>
          <w:lang w:val="fr-FR"/>
        </w:rPr>
        <w:t>’</w:t>
      </w:r>
      <w:r w:rsidRPr="00916664">
        <w:rPr>
          <w:lang w:val="fr-FR"/>
        </w:rPr>
        <w:t>a pas soumis de documents relatifs au contrat conclu entre lui et son avocat ni de justificatifs de paiement à son avocat. Il ajoute que la somme demandée au titre des frais d</w:t>
      </w:r>
      <w:r w:rsidRPr="00916664" w:rsidR="00916664">
        <w:rPr>
          <w:lang w:val="fr-FR"/>
        </w:rPr>
        <w:t>’</w:t>
      </w:r>
      <w:r w:rsidRPr="00916664">
        <w:rPr>
          <w:lang w:val="fr-FR"/>
        </w:rPr>
        <w:t>avocat est non étayée et excessive.</w:t>
      </w:r>
    </w:p>
    <w:p w:rsidRPr="00916664" w:rsidR="00B82DCC" w:rsidP="00916664" w:rsidRDefault="00B82DCC">
      <w:pPr>
        <w:pStyle w:val="JuPara"/>
        <w:rPr>
          <w:lang w:val="fr-FR"/>
        </w:rPr>
      </w:pPr>
      <w:r w:rsidRPr="00916664">
        <w:rPr>
          <w:lang w:val="fr-FR"/>
        </w:rPr>
        <w:t>52.  Selon la jurisprudence de la Cour, un requérant ne peut obtenir le remboursement de ses frais et dépens que dans la mesure où se trouvent établis leur réalité, leur nécessité et le caractère raisonnable de leur taux. En l</w:t>
      </w:r>
      <w:r w:rsidRPr="00916664" w:rsidR="00916664">
        <w:rPr>
          <w:lang w:val="fr-FR"/>
        </w:rPr>
        <w:t>’</w:t>
      </w:r>
      <w:r w:rsidRPr="00916664">
        <w:rPr>
          <w:lang w:val="fr-FR"/>
        </w:rPr>
        <w:t>espèce, compte tenu des documents dont elle dispose et de sa jurisprudence, la Cour rejette la demande relative aux frais d</w:t>
      </w:r>
      <w:r w:rsidRPr="00916664" w:rsidR="00916664">
        <w:rPr>
          <w:lang w:val="fr-FR"/>
        </w:rPr>
        <w:t>’</w:t>
      </w:r>
      <w:r w:rsidRPr="00916664">
        <w:rPr>
          <w:lang w:val="fr-FR"/>
        </w:rPr>
        <w:t>avocat, faute pour le requérant d</w:t>
      </w:r>
      <w:r w:rsidRPr="00916664" w:rsidR="00916664">
        <w:rPr>
          <w:lang w:val="fr-FR"/>
        </w:rPr>
        <w:t>’</w:t>
      </w:r>
      <w:r w:rsidRPr="00916664">
        <w:rPr>
          <w:lang w:val="fr-FR"/>
        </w:rPr>
        <w:t>avoir fourni de justificatifs à cet égard.</w:t>
      </w:r>
    </w:p>
    <w:p w:rsidRPr="00916664" w:rsidR="00B82DCC" w:rsidP="00916664" w:rsidRDefault="00B82DCC">
      <w:pPr>
        <w:pStyle w:val="ECHRHeading2"/>
        <w:ind w:firstLine="0"/>
        <w:rPr>
          <w:lang w:val="fr-FR"/>
        </w:rPr>
      </w:pPr>
      <w:r w:rsidRPr="00916664">
        <w:rPr>
          <w:lang w:val="fr-FR"/>
        </w:rPr>
        <w:t>C.  Intérêts moratoires</w:t>
      </w:r>
    </w:p>
    <w:p w:rsidRPr="00916664" w:rsidR="00B82DCC" w:rsidP="00916664" w:rsidRDefault="00B82DCC">
      <w:pPr>
        <w:pStyle w:val="JuPara"/>
        <w:rPr>
          <w:lang w:val="fr-FR"/>
        </w:rPr>
      </w:pPr>
      <w:r w:rsidRPr="00916664">
        <w:rPr>
          <w:lang w:val="fr-FR"/>
        </w:rPr>
        <w:t>53.  La Cour juge approprié de calquer le taux des intérêts moratoires sur le taux d</w:t>
      </w:r>
      <w:r w:rsidRPr="00916664" w:rsidR="00916664">
        <w:rPr>
          <w:lang w:val="fr-FR"/>
        </w:rPr>
        <w:t>’</w:t>
      </w:r>
      <w:r w:rsidRPr="00916664">
        <w:rPr>
          <w:lang w:val="fr-FR"/>
        </w:rPr>
        <w:t>intérêt de la facilité de prêt marginal de la Banque centrale européenne majoré de trois points de pourcentage.</w:t>
      </w:r>
    </w:p>
    <w:p w:rsidRPr="00916664" w:rsidR="00B82DCC" w:rsidP="00916664" w:rsidRDefault="00B82DCC">
      <w:pPr>
        <w:pStyle w:val="ECHRTitle1"/>
        <w:rPr>
          <w:lang w:val="fr-FR"/>
        </w:rPr>
      </w:pPr>
      <w:r w:rsidRPr="00916664">
        <w:rPr>
          <w:lang w:val="fr-FR"/>
        </w:rPr>
        <w:t>PAR CES MOTIFS, LA COUR, À L</w:t>
      </w:r>
      <w:r w:rsidRPr="00916664" w:rsidR="00916664">
        <w:rPr>
          <w:lang w:val="fr-FR"/>
        </w:rPr>
        <w:t>’</w:t>
      </w:r>
      <w:r w:rsidRPr="00916664">
        <w:rPr>
          <w:lang w:val="fr-FR"/>
        </w:rPr>
        <w:t>UNANIMITÉ,</w:t>
      </w:r>
    </w:p>
    <w:p w:rsidRPr="00916664" w:rsidR="00B82DCC" w:rsidP="00916664" w:rsidRDefault="00B82DCC">
      <w:pPr>
        <w:pStyle w:val="DecList"/>
        <w:rPr>
          <w:lang w:val="fr-FR"/>
        </w:rPr>
      </w:pPr>
      <w:r w:rsidRPr="00916664">
        <w:rPr>
          <w:lang w:val="fr-FR"/>
        </w:rPr>
        <w:t>1.  </w:t>
      </w:r>
      <w:r w:rsidRPr="00916664">
        <w:rPr>
          <w:i/>
          <w:lang w:val="fr-FR"/>
        </w:rPr>
        <w:t>Déclare</w:t>
      </w:r>
      <w:r w:rsidRPr="00916664">
        <w:rPr>
          <w:lang w:val="fr-FR"/>
        </w:rPr>
        <w:t xml:space="preserve"> la requête recevable ;</w:t>
      </w:r>
    </w:p>
    <w:p w:rsidRPr="00916664" w:rsidR="00B82DCC" w:rsidP="00916664" w:rsidRDefault="00B82DCC">
      <w:pPr>
        <w:pStyle w:val="DecList"/>
        <w:rPr>
          <w:lang w:val="fr-FR"/>
        </w:rPr>
      </w:pPr>
      <w:r w:rsidRPr="00916664">
        <w:rPr>
          <w:lang w:val="fr-FR"/>
        </w:rPr>
        <w:t>2.  </w:t>
      </w:r>
      <w:r w:rsidRPr="00916664">
        <w:rPr>
          <w:i/>
          <w:lang w:val="fr-FR"/>
        </w:rPr>
        <w:t>Dit</w:t>
      </w:r>
      <w:r w:rsidRPr="00916664">
        <w:rPr>
          <w:lang w:val="fr-FR"/>
        </w:rPr>
        <w:t xml:space="preserve"> qu</w:t>
      </w:r>
      <w:r w:rsidRPr="00916664" w:rsidR="00916664">
        <w:rPr>
          <w:lang w:val="fr-FR"/>
        </w:rPr>
        <w:t>’</w:t>
      </w:r>
      <w:r w:rsidRPr="00916664">
        <w:rPr>
          <w:lang w:val="fr-FR"/>
        </w:rPr>
        <w:t>il y a eu violation de l</w:t>
      </w:r>
      <w:r w:rsidRPr="00916664" w:rsidR="00916664">
        <w:rPr>
          <w:lang w:val="fr-FR"/>
        </w:rPr>
        <w:t>’</w:t>
      </w:r>
      <w:r w:rsidRPr="00916664">
        <w:rPr>
          <w:lang w:val="fr-FR"/>
        </w:rPr>
        <w:t>article 10 de la Convention ;</w:t>
      </w:r>
    </w:p>
    <w:p w:rsidRPr="00916664" w:rsidR="0028276C" w:rsidP="00916664" w:rsidRDefault="00B82DCC">
      <w:pPr>
        <w:pStyle w:val="DecList"/>
        <w:rPr>
          <w:lang w:val="fr-FR"/>
        </w:rPr>
      </w:pPr>
      <w:r w:rsidRPr="00916664">
        <w:rPr>
          <w:lang w:val="fr-FR"/>
        </w:rPr>
        <w:t>3.  </w:t>
      </w:r>
      <w:r w:rsidRPr="00916664">
        <w:rPr>
          <w:i/>
          <w:lang w:val="fr-FR"/>
        </w:rPr>
        <w:t>Dit</w:t>
      </w:r>
    </w:p>
    <w:p w:rsidRPr="00916664" w:rsidR="00B82DCC" w:rsidP="00916664" w:rsidRDefault="00B82DCC">
      <w:pPr>
        <w:pStyle w:val="JuLista"/>
        <w:ind w:left="680"/>
        <w:rPr>
          <w:lang w:val="fr-FR"/>
        </w:rPr>
      </w:pPr>
      <w:r w:rsidRPr="00916664">
        <w:rPr>
          <w:lang w:val="fr-FR"/>
        </w:rPr>
        <w:t>a)  que l</w:t>
      </w:r>
      <w:r w:rsidRPr="00916664" w:rsidR="00916664">
        <w:rPr>
          <w:lang w:val="fr-FR"/>
        </w:rPr>
        <w:t>’</w:t>
      </w:r>
      <w:r w:rsidRPr="00916664">
        <w:rPr>
          <w:lang w:val="fr-FR"/>
        </w:rPr>
        <w:t>État défendeur doit verser au requérant, dans les trois mois à compter du jour où l</w:t>
      </w:r>
      <w:r w:rsidRPr="00916664" w:rsidR="00916664">
        <w:rPr>
          <w:lang w:val="fr-FR"/>
        </w:rPr>
        <w:t>’</w:t>
      </w:r>
      <w:r w:rsidRPr="00916664">
        <w:rPr>
          <w:lang w:val="fr-FR"/>
        </w:rPr>
        <w:t>arrêt sera devenu définitif conformément à l</w:t>
      </w:r>
      <w:r w:rsidRPr="00916664" w:rsidR="00916664">
        <w:rPr>
          <w:lang w:val="fr-FR"/>
        </w:rPr>
        <w:t>’</w:t>
      </w:r>
      <w:r w:rsidRPr="00916664">
        <w:rPr>
          <w:lang w:val="fr-FR"/>
        </w:rPr>
        <w:t>article 44 § 2 de la Convention, les sommes suivantes, à convertir dans la monnaie de l</w:t>
      </w:r>
      <w:r w:rsidRPr="00916664" w:rsidR="00916664">
        <w:rPr>
          <w:lang w:val="fr-FR"/>
        </w:rPr>
        <w:t>’</w:t>
      </w:r>
      <w:r w:rsidRPr="00916664">
        <w:rPr>
          <w:lang w:val="fr-FR"/>
        </w:rPr>
        <w:t>État défendeur, au taux applicable à la date du règlement :</w:t>
      </w:r>
    </w:p>
    <w:p w:rsidRPr="00916664" w:rsidR="00B82DCC" w:rsidP="00916664" w:rsidRDefault="00B82DCC">
      <w:pPr>
        <w:pStyle w:val="JuListi"/>
        <w:ind w:left="1134"/>
        <w:rPr>
          <w:lang w:val="fr-FR" w:eastAsia="en-GB"/>
        </w:rPr>
      </w:pPr>
      <w:r w:rsidRPr="00916664">
        <w:rPr>
          <w:lang w:val="fr-FR" w:eastAsia="en-GB"/>
        </w:rPr>
        <w:t>i.  </w:t>
      </w:r>
      <w:r w:rsidRPr="00916664">
        <w:rPr>
          <w:lang w:val="fr-FR"/>
        </w:rPr>
        <w:t>680</w:t>
      </w:r>
      <w:r w:rsidRPr="00916664">
        <w:rPr>
          <w:lang w:val="fr-FR" w:eastAsia="en-GB"/>
        </w:rPr>
        <w:t xml:space="preserve"> EUR (six cent quatre-vingt euros), plus tout montant pouvant être dû à titre d</w:t>
      </w:r>
      <w:r w:rsidRPr="00916664" w:rsidR="00916664">
        <w:rPr>
          <w:lang w:val="fr-FR" w:eastAsia="en-GB"/>
        </w:rPr>
        <w:t>’</w:t>
      </w:r>
      <w:r w:rsidRPr="00916664">
        <w:rPr>
          <w:lang w:val="fr-FR" w:eastAsia="en-GB"/>
        </w:rPr>
        <w:t>impôt, pour dommage matériel,</w:t>
      </w:r>
    </w:p>
    <w:p w:rsidRPr="00916664" w:rsidR="00B82DCC" w:rsidP="00916664" w:rsidRDefault="00B82DCC">
      <w:pPr>
        <w:pStyle w:val="JuListi"/>
        <w:ind w:left="1134"/>
        <w:rPr>
          <w:lang w:val="fr-FR" w:eastAsia="en-GB"/>
        </w:rPr>
      </w:pPr>
      <w:r w:rsidRPr="00916664">
        <w:rPr>
          <w:lang w:val="fr-FR" w:eastAsia="en-GB"/>
        </w:rPr>
        <w:t>ii.  2 500 EUR (deux mille cinq cents euros), plus tout montant pouvant être dû à titre d</w:t>
      </w:r>
      <w:r w:rsidRPr="00916664" w:rsidR="00916664">
        <w:rPr>
          <w:lang w:val="fr-FR" w:eastAsia="en-GB"/>
        </w:rPr>
        <w:t>’</w:t>
      </w:r>
      <w:r w:rsidRPr="00916664">
        <w:rPr>
          <w:lang w:val="fr-FR" w:eastAsia="en-GB"/>
        </w:rPr>
        <w:t>impôt, pour dommage moral ;</w:t>
      </w:r>
    </w:p>
    <w:p w:rsidRPr="00916664" w:rsidR="00B82DCC" w:rsidP="00916664" w:rsidRDefault="00B82DCC">
      <w:pPr>
        <w:pStyle w:val="JuLista"/>
        <w:ind w:left="680"/>
        <w:rPr>
          <w:lang w:val="fr-FR"/>
        </w:rPr>
      </w:pPr>
      <w:r w:rsidRPr="00916664">
        <w:rPr>
          <w:lang w:val="fr-FR"/>
        </w:rPr>
        <w:t>b)  qu</w:t>
      </w:r>
      <w:r w:rsidRPr="00916664" w:rsidR="00916664">
        <w:rPr>
          <w:lang w:val="fr-FR"/>
        </w:rPr>
        <w:t>’</w:t>
      </w:r>
      <w:r w:rsidRPr="00916664">
        <w:rPr>
          <w:lang w:val="fr-FR"/>
        </w:rPr>
        <w:t>à compter de l</w:t>
      </w:r>
      <w:r w:rsidRPr="00916664" w:rsidR="00916664">
        <w:rPr>
          <w:lang w:val="fr-FR"/>
        </w:rPr>
        <w:t>’</w:t>
      </w:r>
      <w:r w:rsidRPr="00916664">
        <w:rPr>
          <w:lang w:val="fr-FR"/>
        </w:rPr>
        <w:t>expiration dudit délai et jusqu</w:t>
      </w:r>
      <w:r w:rsidRPr="00916664" w:rsidR="00916664">
        <w:rPr>
          <w:lang w:val="fr-FR"/>
        </w:rPr>
        <w:t>’</w:t>
      </w:r>
      <w:r w:rsidRPr="00916664">
        <w:rPr>
          <w:lang w:val="fr-FR"/>
        </w:rPr>
        <w:t>au versement, ces montants seront à majorer d</w:t>
      </w:r>
      <w:r w:rsidRPr="00916664" w:rsidR="00916664">
        <w:rPr>
          <w:lang w:val="fr-FR"/>
        </w:rPr>
        <w:t>’</w:t>
      </w:r>
      <w:r w:rsidRPr="00916664">
        <w:rPr>
          <w:lang w:val="fr-FR"/>
        </w:rPr>
        <w:t>un intérêt simple à un taux égal à celui de la facilité de prêt marginal de la Banque centrale européenne applicable pendant cette période, augmenté de trois points de pourcentage ;</w:t>
      </w:r>
    </w:p>
    <w:p w:rsidRPr="00916664" w:rsidR="00B82DCC" w:rsidP="00916664" w:rsidRDefault="00B82DCC">
      <w:pPr>
        <w:pStyle w:val="JuLista"/>
        <w:ind w:left="680"/>
        <w:rPr>
          <w:lang w:val="fr-FR"/>
        </w:rPr>
      </w:pPr>
    </w:p>
    <w:p w:rsidRPr="00916664" w:rsidR="00023970" w:rsidP="00916664" w:rsidRDefault="00B82DCC">
      <w:pPr>
        <w:pStyle w:val="JuPara"/>
        <w:rPr>
          <w:lang w:val="fr-FR"/>
        </w:rPr>
      </w:pPr>
      <w:r w:rsidRPr="00916664">
        <w:rPr>
          <w:lang w:val="fr-FR"/>
        </w:rPr>
        <w:t>4.  </w:t>
      </w:r>
      <w:r w:rsidRPr="00916664">
        <w:rPr>
          <w:i/>
          <w:lang w:val="fr-FR"/>
        </w:rPr>
        <w:t>Rejette</w:t>
      </w:r>
      <w:r w:rsidRPr="00916664">
        <w:rPr>
          <w:lang w:val="fr-FR"/>
        </w:rPr>
        <w:t xml:space="preserve"> la demande de satisfaction équitable pour le surplus.</w:t>
      </w:r>
    </w:p>
    <w:p w:rsidRPr="00916664" w:rsidR="00023970" w:rsidP="00916664" w:rsidRDefault="007A534F">
      <w:pPr>
        <w:pStyle w:val="JuParaLast"/>
        <w:keepNext w:val="0"/>
        <w:keepLines w:val="0"/>
        <w:rPr>
          <w:lang w:val="fr-FR"/>
        </w:rPr>
      </w:pPr>
      <w:r w:rsidRPr="00916664">
        <w:rPr>
          <w:lang w:val="fr-FR"/>
        </w:rPr>
        <w:t xml:space="preserve">Fait en français, puis communiqué par écrit le </w:t>
      </w:r>
      <w:r w:rsidRPr="00916664" w:rsidR="00B82DCC">
        <w:rPr>
          <w:rFonts w:ascii="Times New Roman" w:hAnsi="Times New Roman" w:cs="Times New Roman"/>
          <w:lang w:val="fr-FR"/>
        </w:rPr>
        <w:t>2 juillet 2019</w:t>
      </w:r>
      <w:r w:rsidRPr="00916664">
        <w:rPr>
          <w:lang w:val="fr-FR"/>
        </w:rPr>
        <w:t>, en application de l</w:t>
      </w:r>
      <w:r w:rsidRPr="00916664" w:rsidR="00916664">
        <w:rPr>
          <w:lang w:val="fr-FR"/>
        </w:rPr>
        <w:t>’</w:t>
      </w:r>
      <w:r w:rsidRPr="00916664">
        <w:rPr>
          <w:lang w:val="fr-FR"/>
        </w:rPr>
        <w:t>article 77 §§ 2 et 3 du règlement de la Cour.</w:t>
      </w:r>
    </w:p>
    <w:p w:rsidRPr="00916664" w:rsidR="00023970" w:rsidP="00916664" w:rsidRDefault="00B82DCC">
      <w:pPr>
        <w:pStyle w:val="JuSigned"/>
        <w:rPr>
          <w:lang w:val="fr-FR"/>
        </w:rPr>
      </w:pPr>
      <w:r w:rsidRPr="00916664">
        <w:rPr>
          <w:lang w:val="fr-FR"/>
        </w:rPr>
        <w:tab/>
      </w:r>
      <w:r w:rsidRPr="00916664" w:rsidR="0070349B">
        <w:rPr>
          <w:lang w:val="fr-FR"/>
        </w:rPr>
        <w:t>Hasan Bakırcı</w:t>
      </w:r>
      <w:r w:rsidRPr="00916664" w:rsidR="007A534F">
        <w:rPr>
          <w:lang w:val="fr-FR"/>
        </w:rPr>
        <w:tab/>
      </w:r>
      <w:r w:rsidRPr="00916664">
        <w:rPr>
          <w:szCs w:val="24"/>
          <w:lang w:val="fr-FR"/>
        </w:rPr>
        <w:t>Robert Spano</w:t>
      </w:r>
      <w:r w:rsidRPr="00916664" w:rsidR="007A534F">
        <w:rPr>
          <w:lang w:val="fr-FR"/>
        </w:rPr>
        <w:br/>
      </w:r>
      <w:r w:rsidRPr="00916664" w:rsidR="007A534F">
        <w:rPr>
          <w:lang w:val="fr-FR"/>
        </w:rPr>
        <w:tab/>
      </w:r>
      <w:r w:rsidRPr="00916664">
        <w:rPr>
          <w:lang w:val="fr-FR"/>
        </w:rPr>
        <w:t>Greffier</w:t>
      </w:r>
      <w:r w:rsidRPr="00916664" w:rsidR="0070349B">
        <w:rPr>
          <w:lang w:val="fr-FR"/>
        </w:rPr>
        <w:t xml:space="preserve"> adjoint</w:t>
      </w:r>
      <w:r w:rsidRPr="00916664" w:rsidR="007A534F">
        <w:rPr>
          <w:lang w:val="fr-FR"/>
        </w:rPr>
        <w:tab/>
      </w:r>
      <w:r w:rsidRPr="00916664">
        <w:rPr>
          <w:lang w:val="fr-FR"/>
        </w:rPr>
        <w:t>Président</w:t>
      </w:r>
    </w:p>
    <w:p w:rsidRPr="00916664" w:rsidR="00E6757D" w:rsidP="00916664" w:rsidRDefault="00E6757D">
      <w:pPr>
        <w:pStyle w:val="JuPara"/>
        <w:rPr>
          <w:lang w:val="fr-FR"/>
        </w:rPr>
      </w:pPr>
    </w:p>
    <w:p w:rsidRPr="00916664" w:rsidR="00E6757D" w:rsidP="00916664" w:rsidRDefault="00E6757D">
      <w:pPr>
        <w:pStyle w:val="JuPara"/>
        <w:rPr>
          <w:lang w:val="fr-FR"/>
        </w:rPr>
      </w:pPr>
    </w:p>
    <w:p w:rsidRPr="00916664" w:rsidR="00E6757D" w:rsidP="00916664" w:rsidRDefault="00E6757D">
      <w:pPr>
        <w:pStyle w:val="JuParaLast"/>
        <w:rPr>
          <w:lang w:val="fr-FR"/>
        </w:rPr>
      </w:pPr>
      <w:r w:rsidRPr="00916664">
        <w:rPr>
          <w:lang w:val="fr-FR"/>
        </w:rPr>
        <w:t>Au présent arrêt se trouve joint, conformément aux articles 45 § 2 de la Convention et 74 § 2 du règlement, l</w:t>
      </w:r>
      <w:r w:rsidRPr="00916664" w:rsidR="00916664">
        <w:rPr>
          <w:lang w:val="fr-FR"/>
        </w:rPr>
        <w:t>’</w:t>
      </w:r>
      <w:r w:rsidRPr="00916664">
        <w:rPr>
          <w:lang w:val="fr-FR"/>
        </w:rPr>
        <w:t>exposé de l</w:t>
      </w:r>
      <w:r w:rsidRPr="00916664" w:rsidR="00916664">
        <w:rPr>
          <w:lang w:val="fr-FR"/>
        </w:rPr>
        <w:t>’</w:t>
      </w:r>
      <w:r w:rsidRPr="00916664">
        <w:rPr>
          <w:lang w:val="fr-FR"/>
        </w:rPr>
        <w:t>opinion séparée du juge Pavli.</w:t>
      </w:r>
    </w:p>
    <w:p w:rsidRPr="00916664" w:rsidR="00E6757D" w:rsidP="00916664" w:rsidRDefault="00E6757D">
      <w:pPr>
        <w:pStyle w:val="JuInitialled"/>
        <w:rPr>
          <w:lang w:val="fr-FR"/>
        </w:rPr>
      </w:pPr>
      <w:r w:rsidRPr="00916664">
        <w:rPr>
          <w:lang w:val="fr-FR"/>
        </w:rPr>
        <w:t>R</w:t>
      </w:r>
      <w:r w:rsidRPr="00916664" w:rsidR="003D2D00">
        <w:rPr>
          <w:lang w:val="fr-FR"/>
        </w:rPr>
        <w:t>.</w:t>
      </w:r>
      <w:r w:rsidRPr="00916664">
        <w:rPr>
          <w:lang w:val="fr-FR"/>
        </w:rPr>
        <w:t>S</w:t>
      </w:r>
      <w:r w:rsidRPr="00916664" w:rsidR="003D2D00">
        <w:rPr>
          <w:lang w:val="fr-FR"/>
        </w:rPr>
        <w:t>.</w:t>
      </w:r>
      <w:r w:rsidRPr="00916664">
        <w:rPr>
          <w:lang w:val="fr-FR"/>
        </w:rPr>
        <w:br/>
        <w:t>H</w:t>
      </w:r>
      <w:r w:rsidRPr="00916664" w:rsidR="003D2D00">
        <w:rPr>
          <w:lang w:val="fr-FR"/>
        </w:rPr>
        <w:t>.</w:t>
      </w:r>
      <w:r w:rsidRPr="00916664">
        <w:rPr>
          <w:lang w:val="fr-FR"/>
        </w:rPr>
        <w:t>B</w:t>
      </w:r>
      <w:r w:rsidRPr="00916664" w:rsidR="003D2D00">
        <w:rPr>
          <w:lang w:val="fr-FR"/>
        </w:rPr>
        <w:t>.</w:t>
      </w:r>
    </w:p>
    <w:p w:rsidRPr="00916664" w:rsidR="00E6757D" w:rsidP="00916664" w:rsidRDefault="00E6757D">
      <w:pPr>
        <w:keepNext/>
        <w:keepLines/>
        <w:spacing w:after="240"/>
        <w:jc w:val="center"/>
        <w:outlineLvl w:val="0"/>
        <w:rPr>
          <w:rFonts w:asciiTheme="majorHAnsi" w:hAnsiTheme="majorHAnsi"/>
          <w:sz w:val="28"/>
        </w:rPr>
        <w:sectPr w:rsidRPr="00916664" w:rsidR="00E6757D" w:rsidSect="00E901C8">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pPr>
    </w:p>
    <w:p w:rsidRPr="00916664" w:rsidR="00E6757D" w:rsidP="00916664" w:rsidRDefault="00E6757D">
      <w:pPr>
        <w:pStyle w:val="ECHRTitleCentre1"/>
        <w:rPr>
          <w:lang w:val="fr-FR"/>
        </w:rPr>
      </w:pPr>
      <w:r w:rsidRPr="00916664">
        <w:rPr>
          <w:lang w:val="fr-FR"/>
        </w:rPr>
        <w:t>OPINION CONCORDANTE DU JUGE PAVLI</w:t>
      </w:r>
    </w:p>
    <w:p w:rsidRPr="00916664" w:rsidR="00E6757D" w:rsidP="00916664" w:rsidRDefault="00E6757D">
      <w:pPr>
        <w:jc w:val="center"/>
        <w:outlineLvl w:val="0"/>
      </w:pPr>
      <w:r w:rsidRPr="00916664">
        <w:t>(</w:t>
      </w:r>
      <w:r w:rsidRPr="00916664">
        <w:rPr>
          <w:i/>
        </w:rPr>
        <w:t>Traduction</w:t>
      </w:r>
      <w:r w:rsidRPr="00916664">
        <w:t>)</w:t>
      </w:r>
    </w:p>
    <w:p w:rsidRPr="00916664" w:rsidR="00E6757D" w:rsidP="00916664" w:rsidRDefault="00E6757D">
      <w:pPr>
        <w:ind w:firstLine="284"/>
        <w:jc w:val="both"/>
      </w:pPr>
    </w:p>
    <w:p w:rsidRPr="00916664" w:rsidR="00E6757D" w:rsidP="00916664" w:rsidRDefault="00E6757D">
      <w:pPr>
        <w:pStyle w:val="OpiPara"/>
        <w:rPr>
          <w:rFonts w:eastAsia="Calibri"/>
          <w:lang w:val="fr-FR"/>
        </w:rPr>
      </w:pPr>
      <w:r w:rsidRPr="00916664">
        <w:rPr>
          <w:rFonts w:eastAsia="Calibri"/>
          <w:lang w:val="fr-FR"/>
        </w:rPr>
        <w:t>1.  Je suis d</w:t>
      </w:r>
      <w:r w:rsidRPr="00916664" w:rsidR="00916664">
        <w:rPr>
          <w:rFonts w:eastAsia="Calibri"/>
          <w:lang w:val="fr-FR"/>
        </w:rPr>
        <w:t>’</w:t>
      </w:r>
      <w:r w:rsidRPr="00916664">
        <w:rPr>
          <w:rFonts w:eastAsia="Calibri"/>
          <w:lang w:val="fr-FR"/>
        </w:rPr>
        <w:t>accord avec la conclusion et la motivation exposées dans l</w:t>
      </w:r>
      <w:r w:rsidRPr="00916664" w:rsidR="00916664">
        <w:rPr>
          <w:rFonts w:eastAsia="Calibri"/>
          <w:lang w:val="fr-FR"/>
        </w:rPr>
        <w:t>’</w:t>
      </w:r>
      <w:r w:rsidRPr="00916664">
        <w:rPr>
          <w:rFonts w:eastAsia="Calibri"/>
          <w:lang w:val="fr-FR"/>
        </w:rPr>
        <w:t>arrêt concernant la condamnation pénale du requérant du chef d</w:t>
      </w:r>
      <w:r w:rsidRPr="00916664" w:rsidR="00916664">
        <w:rPr>
          <w:lang w:val="fr-FR"/>
        </w:rPr>
        <w:t>’</w:t>
      </w:r>
      <w:r w:rsidRPr="00916664">
        <w:rPr>
          <w:lang w:val="fr-FR"/>
        </w:rPr>
        <w:t>insulte au président de la République</w:t>
      </w:r>
      <w:r w:rsidRPr="00916664">
        <w:rPr>
          <w:rFonts w:eastAsia="Calibri"/>
          <w:lang w:val="fr-FR"/>
        </w:rPr>
        <w:t>. J</w:t>
      </w:r>
      <w:r w:rsidRPr="00916664" w:rsidR="00916664">
        <w:rPr>
          <w:rFonts w:eastAsia="Calibri"/>
          <w:lang w:val="fr-FR"/>
        </w:rPr>
        <w:t>’</w:t>
      </w:r>
      <w:r w:rsidRPr="00916664">
        <w:rPr>
          <w:rFonts w:eastAsia="Calibri"/>
          <w:lang w:val="fr-FR"/>
        </w:rPr>
        <w:t>ai également voté pour un constat de violation de l</w:t>
      </w:r>
      <w:r w:rsidRPr="00916664" w:rsidR="00916664">
        <w:rPr>
          <w:rFonts w:eastAsia="Calibri"/>
          <w:lang w:val="fr-FR"/>
        </w:rPr>
        <w:t>’</w:t>
      </w:r>
      <w:r w:rsidRPr="00916664">
        <w:rPr>
          <w:rFonts w:eastAsia="Calibri"/>
          <w:lang w:val="fr-FR"/>
        </w:rPr>
        <w:t xml:space="preserve">article 10 concernant la condamnation des chefs </w:t>
      </w:r>
      <w:r w:rsidRPr="00916664">
        <w:rPr>
          <w:rFonts w:cstheme="minorHAnsi"/>
          <w:snapToGrid w:val="0"/>
          <w:lang w:val="fr-FR"/>
        </w:rPr>
        <w:t>de dénigrement de la République et de dénigrement des forces de sûreté de l</w:t>
      </w:r>
      <w:r w:rsidRPr="00916664" w:rsidR="00916664">
        <w:rPr>
          <w:rFonts w:cstheme="minorHAnsi"/>
          <w:snapToGrid w:val="0"/>
          <w:lang w:val="fr-FR"/>
        </w:rPr>
        <w:t>’</w:t>
      </w:r>
      <w:r w:rsidRPr="00916664">
        <w:rPr>
          <w:rFonts w:cstheme="minorHAnsi"/>
          <w:snapToGrid w:val="0"/>
          <w:lang w:val="fr-FR"/>
        </w:rPr>
        <w:t>État</w:t>
      </w:r>
      <w:r w:rsidRPr="00916664">
        <w:rPr>
          <w:rFonts w:eastAsia="Calibri"/>
          <w:lang w:val="fr-FR"/>
        </w:rPr>
        <w:t>, mais pour des motifs différents de ceux énoncés par la majorité.</w:t>
      </w:r>
    </w:p>
    <w:p w:rsidRPr="00916664" w:rsidR="00E6757D" w:rsidP="00916664" w:rsidRDefault="00447427">
      <w:pPr>
        <w:pStyle w:val="OpiPara"/>
        <w:jc w:val="center"/>
        <w:rPr>
          <w:rFonts w:eastAsia="Calibri"/>
          <w:b/>
          <w:lang w:val="fr-FR"/>
        </w:rPr>
      </w:pPr>
      <w:r w:rsidRPr="00916664">
        <w:rPr>
          <w:rFonts w:eastAsia="Calibri"/>
          <w:b/>
          <w:lang w:val="fr-FR"/>
        </w:rPr>
        <w:t>I.</w:t>
      </w:r>
    </w:p>
    <w:p w:rsidRPr="00916664" w:rsidR="00E6757D" w:rsidP="00916664" w:rsidRDefault="00E6757D">
      <w:pPr>
        <w:pStyle w:val="OpiPara"/>
        <w:rPr>
          <w:rFonts w:eastAsia="Calibri"/>
          <w:lang w:val="fr-FR"/>
        </w:rPr>
      </w:pPr>
      <w:r w:rsidRPr="00916664">
        <w:rPr>
          <w:rFonts w:eastAsia="Calibri"/>
          <w:lang w:val="fr-FR"/>
        </w:rPr>
        <w:t>2.  La présente espèce porte sur des poursuites engagées sur le fondement de l</w:t>
      </w:r>
      <w:r w:rsidRPr="00916664" w:rsidR="00916664">
        <w:rPr>
          <w:rFonts w:eastAsia="Calibri"/>
          <w:lang w:val="fr-FR"/>
        </w:rPr>
        <w:t>’</w:t>
      </w:r>
      <w:r w:rsidRPr="00916664">
        <w:rPr>
          <w:rFonts w:eastAsia="Calibri"/>
          <w:lang w:val="fr-FR"/>
        </w:rPr>
        <w:t xml:space="preserve">article 159 de </w:t>
      </w:r>
      <w:r w:rsidRPr="00916664">
        <w:rPr>
          <w:rFonts w:cstheme="minorHAnsi"/>
          <w:snapToGrid w:val="0"/>
          <w:lang w:val="fr-FR"/>
        </w:rPr>
        <w:t>l</w:t>
      </w:r>
      <w:r w:rsidRPr="00916664" w:rsidR="00916664">
        <w:rPr>
          <w:rFonts w:cstheme="minorHAnsi"/>
          <w:snapToGrid w:val="0"/>
          <w:lang w:val="fr-FR"/>
        </w:rPr>
        <w:t>’</w:t>
      </w:r>
      <w:r w:rsidRPr="00916664">
        <w:rPr>
          <w:rFonts w:cstheme="minorHAnsi"/>
          <w:snapToGrid w:val="0"/>
          <w:lang w:val="fr-FR"/>
        </w:rPr>
        <w:t>ancien code pénal (CP) turc</w:t>
      </w:r>
      <w:r w:rsidRPr="00916664">
        <w:rPr>
          <w:rFonts w:eastAsia="Calibri"/>
          <w:lang w:val="fr-FR"/>
        </w:rPr>
        <w:t>, lequel, à l</w:t>
      </w:r>
      <w:r w:rsidRPr="00916664" w:rsidR="00916664">
        <w:rPr>
          <w:rFonts w:eastAsia="Calibri"/>
          <w:lang w:val="fr-FR"/>
        </w:rPr>
        <w:t>’</w:t>
      </w:r>
      <w:r w:rsidRPr="00916664">
        <w:rPr>
          <w:rFonts w:eastAsia="Calibri"/>
          <w:lang w:val="fr-FR"/>
        </w:rPr>
        <w:t>époque considérée, réprimait le fait de « </w:t>
      </w:r>
      <w:r w:rsidRPr="00916664">
        <w:rPr>
          <w:lang w:val="fr-FR"/>
        </w:rPr>
        <w:t>dénigre[r] ou présente[r] comme dénigrés (</w:t>
      </w:r>
      <w:r w:rsidRPr="00916664" w:rsidR="0028276C">
        <w:rPr>
          <w:lang w:val="fr-FR"/>
        </w:rPr>
        <w:t>...</w:t>
      </w:r>
      <w:r w:rsidRPr="00916664">
        <w:rPr>
          <w:lang w:val="fr-FR"/>
        </w:rPr>
        <w:t>) la République (</w:t>
      </w:r>
      <w:r w:rsidRPr="00916664" w:rsidR="0028276C">
        <w:rPr>
          <w:lang w:val="fr-FR"/>
        </w:rPr>
        <w:t>...</w:t>
      </w:r>
      <w:r w:rsidRPr="00916664">
        <w:rPr>
          <w:lang w:val="fr-FR"/>
        </w:rPr>
        <w:t>) ou la sûreté de l</w:t>
      </w:r>
      <w:r w:rsidRPr="00916664" w:rsidR="00916664">
        <w:rPr>
          <w:lang w:val="fr-FR"/>
        </w:rPr>
        <w:t>’</w:t>
      </w:r>
      <w:r w:rsidRPr="00916664">
        <w:rPr>
          <w:lang w:val="fr-FR"/>
        </w:rPr>
        <w:t>État » entre autres institutions et notions ou valeurs abstraites (comme la « </w:t>
      </w:r>
      <w:proofErr w:type="spellStart"/>
      <w:r w:rsidRPr="00916664">
        <w:rPr>
          <w:lang w:val="fr-FR"/>
        </w:rPr>
        <w:t>turcité</w:t>
      </w:r>
      <w:proofErr w:type="spellEnd"/>
      <w:r w:rsidRPr="00916664">
        <w:rPr>
          <w:lang w:val="fr-FR"/>
        </w:rPr>
        <w:t> ») qu</w:t>
      </w:r>
      <w:r w:rsidRPr="00916664" w:rsidR="00916664">
        <w:rPr>
          <w:lang w:val="fr-FR"/>
        </w:rPr>
        <w:t>’</w:t>
      </w:r>
      <w:r w:rsidRPr="00916664">
        <w:rPr>
          <w:lang w:val="fr-FR"/>
        </w:rPr>
        <w:t>il protégeait</w:t>
      </w:r>
      <w:r w:rsidRPr="00916664">
        <w:rPr>
          <w:rFonts w:eastAsia="Calibri"/>
          <w:lang w:val="fr-FR"/>
        </w:rPr>
        <w:t>. L</w:t>
      </w:r>
      <w:r w:rsidRPr="00916664" w:rsidR="00916664">
        <w:rPr>
          <w:rFonts w:eastAsia="Calibri"/>
          <w:lang w:val="fr-FR"/>
        </w:rPr>
        <w:t>’</w:t>
      </w:r>
      <w:r w:rsidRPr="00916664">
        <w:rPr>
          <w:rFonts w:eastAsia="Calibri"/>
          <w:lang w:val="fr-FR"/>
        </w:rPr>
        <w:t>article 301 du code pénal actuel, adopté en 2004, réprime le « dénigrement » des institutions, dont la République et les forces de sûreté, en des termes très similaires. Une modification introduite en 2008 a remplacé la notion de « </w:t>
      </w:r>
      <w:proofErr w:type="spellStart"/>
      <w:r w:rsidRPr="00916664">
        <w:rPr>
          <w:rFonts w:eastAsia="Calibri"/>
          <w:lang w:val="fr-FR"/>
        </w:rPr>
        <w:t>turcité</w:t>
      </w:r>
      <w:proofErr w:type="spellEnd"/>
      <w:r w:rsidRPr="00916664">
        <w:rPr>
          <w:rFonts w:eastAsia="Calibri"/>
          <w:lang w:val="fr-FR"/>
        </w:rPr>
        <w:t> » par celle de « nation turque ».</w:t>
      </w:r>
    </w:p>
    <w:p w:rsidRPr="00916664" w:rsidR="00E6757D" w:rsidP="00916664" w:rsidRDefault="00E6757D">
      <w:pPr>
        <w:pStyle w:val="OpiPara"/>
        <w:rPr>
          <w:rFonts w:eastAsia="Calibri"/>
          <w:lang w:val="fr-FR"/>
        </w:rPr>
      </w:pPr>
      <w:r w:rsidRPr="00916664">
        <w:rPr>
          <w:rFonts w:eastAsia="Calibri"/>
          <w:lang w:val="fr-FR"/>
        </w:rPr>
        <w:t>3.  Le libellé très ouvert et général de ces deux dispositions soulève immédiatement des questions concernant le premier critère imposé par l</w:t>
      </w:r>
      <w:r w:rsidRPr="00916664" w:rsidR="00916664">
        <w:rPr>
          <w:rFonts w:eastAsia="Calibri"/>
          <w:lang w:val="fr-FR"/>
        </w:rPr>
        <w:t>’</w:t>
      </w:r>
      <w:r w:rsidRPr="00916664">
        <w:rPr>
          <w:rFonts w:eastAsia="Calibri"/>
          <w:lang w:val="fr-FR"/>
        </w:rPr>
        <w:t>article 10 § 2 de la Convention, c</w:t>
      </w:r>
      <w:r w:rsidRPr="00916664" w:rsidR="00916664">
        <w:rPr>
          <w:rFonts w:eastAsia="Calibri"/>
          <w:lang w:val="fr-FR"/>
        </w:rPr>
        <w:t>’</w:t>
      </w:r>
      <w:r w:rsidRPr="00916664">
        <w:rPr>
          <w:rFonts w:eastAsia="Calibri"/>
          <w:lang w:val="fr-FR"/>
        </w:rPr>
        <w:t>est-à-dire le point de savoir si les poursuites et les condamnations fondées sur ces deux articles peuvent être considérées comme étant « prévues par la loi ». L</w:t>
      </w:r>
      <w:r w:rsidRPr="00916664" w:rsidR="00916664">
        <w:rPr>
          <w:rFonts w:eastAsia="Calibri"/>
          <w:lang w:val="fr-FR"/>
        </w:rPr>
        <w:t>’</w:t>
      </w:r>
      <w:r w:rsidRPr="00916664">
        <w:rPr>
          <w:rFonts w:eastAsia="Calibri"/>
          <w:lang w:val="fr-FR"/>
        </w:rPr>
        <w:t>analyse sur ce point doit chercher à déterminer si la base légale déclarée est prévisible et (n</w:t>
      </w:r>
      <w:r w:rsidRPr="00916664" w:rsidR="00916664">
        <w:rPr>
          <w:rFonts w:eastAsia="Calibri"/>
          <w:lang w:val="fr-FR"/>
        </w:rPr>
        <w:t>’</w:t>
      </w:r>
      <w:r w:rsidRPr="00916664">
        <w:rPr>
          <w:rFonts w:eastAsia="Calibri"/>
          <w:lang w:val="fr-FR"/>
        </w:rPr>
        <w:t>est pas) susceptible d</w:t>
      </w:r>
      <w:r w:rsidRPr="00916664" w:rsidR="00916664">
        <w:rPr>
          <w:rFonts w:eastAsia="Calibri"/>
          <w:lang w:val="fr-FR"/>
        </w:rPr>
        <w:t>’</w:t>
      </w:r>
      <w:r w:rsidRPr="00916664">
        <w:rPr>
          <w:rFonts w:eastAsia="Calibri"/>
          <w:lang w:val="fr-FR"/>
        </w:rPr>
        <w:t>une application arbitraire. Certes, il n</w:t>
      </w:r>
      <w:r w:rsidRPr="00916664" w:rsidR="00916664">
        <w:rPr>
          <w:rFonts w:eastAsia="Calibri"/>
          <w:lang w:val="fr-FR"/>
        </w:rPr>
        <w:t>’</w:t>
      </w:r>
      <w:r w:rsidRPr="00916664">
        <w:rPr>
          <w:rFonts w:eastAsia="Calibri"/>
          <w:lang w:val="fr-FR"/>
        </w:rPr>
        <w:t>est pas inhabituel que la législation pénale comporte des formulations quelque peu ouvertes, qui ne vont pas jusqu</w:t>
      </w:r>
      <w:r w:rsidRPr="00916664" w:rsidR="00916664">
        <w:rPr>
          <w:rFonts w:eastAsia="Calibri"/>
          <w:lang w:val="fr-FR"/>
        </w:rPr>
        <w:t>’</w:t>
      </w:r>
      <w:r w:rsidRPr="00916664">
        <w:rPr>
          <w:rFonts w:eastAsia="Calibri"/>
          <w:lang w:val="fr-FR"/>
        </w:rPr>
        <w:t>à soulever des questions sous l</w:t>
      </w:r>
      <w:r w:rsidRPr="00916664" w:rsidR="00916664">
        <w:rPr>
          <w:rFonts w:eastAsia="Calibri"/>
          <w:lang w:val="fr-FR"/>
        </w:rPr>
        <w:t>’</w:t>
      </w:r>
      <w:r w:rsidRPr="00916664">
        <w:rPr>
          <w:rFonts w:eastAsia="Calibri"/>
          <w:lang w:val="fr-FR"/>
        </w:rPr>
        <w:t>angle de l</w:t>
      </w:r>
      <w:r w:rsidRPr="00916664" w:rsidR="00916664">
        <w:rPr>
          <w:rFonts w:eastAsia="Calibri"/>
          <w:lang w:val="fr-FR"/>
        </w:rPr>
        <w:t>’</w:t>
      </w:r>
      <w:r w:rsidRPr="00916664">
        <w:rPr>
          <w:rFonts w:eastAsia="Calibri"/>
          <w:lang w:val="fr-FR"/>
        </w:rPr>
        <w:t>article 7 de la Convention. Lorsque de telles dispositions portent toutefois atteinte à la liberté d</w:t>
      </w:r>
      <w:r w:rsidRPr="00916664" w:rsidR="00916664">
        <w:rPr>
          <w:rFonts w:eastAsia="Calibri"/>
          <w:lang w:val="fr-FR"/>
        </w:rPr>
        <w:t>’</w:t>
      </w:r>
      <w:r w:rsidRPr="00916664">
        <w:rPr>
          <w:rFonts w:eastAsia="Calibri"/>
          <w:lang w:val="fr-FR"/>
        </w:rPr>
        <w:t>expression protégée par l</w:t>
      </w:r>
      <w:r w:rsidRPr="00916664" w:rsidR="00916664">
        <w:rPr>
          <w:rFonts w:eastAsia="Calibri"/>
          <w:lang w:val="fr-FR"/>
        </w:rPr>
        <w:t>’</w:t>
      </w:r>
      <w:r w:rsidRPr="00916664">
        <w:rPr>
          <w:rFonts w:eastAsia="Calibri"/>
          <w:lang w:val="fr-FR"/>
        </w:rPr>
        <w:t>article 10 de la Convention, la Cour doit se convaincre que les juridictions nationales, statuant de préférence à un degré supérieur et de manière contraignante, y « intègrent » des garanties suffisamment claires et solides qui assurent qu</w:t>
      </w:r>
      <w:r w:rsidRPr="00916664" w:rsidR="00916664">
        <w:rPr>
          <w:rFonts w:eastAsia="Calibri"/>
          <w:lang w:val="fr-FR"/>
        </w:rPr>
        <w:t>’</w:t>
      </w:r>
      <w:r w:rsidRPr="00916664">
        <w:rPr>
          <w:rFonts w:eastAsia="Calibri"/>
          <w:lang w:val="fr-FR"/>
        </w:rPr>
        <w:t>elles sont appliquées de manière prévisible et non arbitraire, et sans « dissuader » l</w:t>
      </w:r>
      <w:r w:rsidRPr="00916664" w:rsidR="00916664">
        <w:rPr>
          <w:rFonts w:eastAsia="Calibri"/>
          <w:lang w:val="fr-FR"/>
        </w:rPr>
        <w:t>’</w:t>
      </w:r>
      <w:r w:rsidRPr="00916664">
        <w:rPr>
          <w:rFonts w:eastAsia="Calibri"/>
          <w:lang w:val="fr-FR"/>
        </w:rPr>
        <w:t>expression légitime.</w:t>
      </w:r>
      <w:r w:rsidRPr="00916664">
        <w:rPr>
          <w:rFonts w:eastAsia="Calibri"/>
          <w:vertAlign w:val="superscript"/>
        </w:rPr>
        <w:footnoteReference w:id="1"/>
      </w:r>
    </w:p>
    <w:p w:rsidRPr="00916664" w:rsidR="00E6757D" w:rsidP="00916664" w:rsidRDefault="00E6757D">
      <w:pPr>
        <w:pStyle w:val="OpiPara"/>
        <w:rPr>
          <w:rFonts w:eastAsia="Calibri"/>
          <w:lang w:val="fr-FR"/>
        </w:rPr>
      </w:pPr>
      <w:r w:rsidRPr="00916664">
        <w:rPr>
          <w:rFonts w:eastAsia="Calibri"/>
          <w:lang w:val="fr-FR"/>
        </w:rPr>
        <w:t>4.  La Cour s</w:t>
      </w:r>
      <w:r w:rsidRPr="00916664" w:rsidR="00916664">
        <w:rPr>
          <w:rFonts w:eastAsia="Calibri"/>
          <w:lang w:val="fr-FR"/>
        </w:rPr>
        <w:t>’</w:t>
      </w:r>
      <w:r w:rsidRPr="00916664">
        <w:rPr>
          <w:rFonts w:eastAsia="Calibri"/>
          <w:lang w:val="fr-FR"/>
        </w:rPr>
        <w:t>est à maintes reprises penchée sur ces questions dans le contexte de la Turquie. Étant donné les longs délais de traitement des affaires tant au niveau national qu</w:t>
      </w:r>
      <w:r w:rsidRPr="00916664" w:rsidR="00916664">
        <w:rPr>
          <w:rFonts w:eastAsia="Calibri"/>
          <w:lang w:val="fr-FR"/>
        </w:rPr>
        <w:t>’</w:t>
      </w:r>
      <w:r w:rsidRPr="00916664">
        <w:rPr>
          <w:rFonts w:eastAsia="Calibri"/>
          <w:lang w:val="fr-FR"/>
        </w:rPr>
        <w:t>ici à Strasbourg, les affaires de poursuites fondées sur l</w:t>
      </w:r>
      <w:r w:rsidRPr="00916664" w:rsidR="00916664">
        <w:rPr>
          <w:rFonts w:eastAsia="Calibri"/>
          <w:lang w:val="fr-FR"/>
        </w:rPr>
        <w:t>’</w:t>
      </w:r>
      <w:r w:rsidRPr="00916664">
        <w:rPr>
          <w:rFonts w:eastAsia="Calibri"/>
          <w:lang w:val="fr-FR"/>
        </w:rPr>
        <w:t>article 159 de l</w:t>
      </w:r>
      <w:r w:rsidRPr="00916664" w:rsidR="00916664">
        <w:rPr>
          <w:rFonts w:eastAsia="Calibri"/>
          <w:lang w:val="fr-FR"/>
        </w:rPr>
        <w:t>’</w:t>
      </w:r>
      <w:r w:rsidRPr="00916664">
        <w:rPr>
          <w:rFonts w:eastAsia="Calibri"/>
          <w:lang w:val="fr-FR"/>
        </w:rPr>
        <w:t>ancien code pénal et sur l</w:t>
      </w:r>
      <w:r w:rsidRPr="00916664" w:rsidR="00916664">
        <w:rPr>
          <w:rFonts w:eastAsia="Calibri"/>
          <w:lang w:val="fr-FR"/>
        </w:rPr>
        <w:t>’</w:t>
      </w:r>
      <w:r w:rsidRPr="00916664">
        <w:rPr>
          <w:rFonts w:eastAsia="Calibri"/>
          <w:lang w:val="fr-FR"/>
        </w:rPr>
        <w:t>article 301 du nouveau code pénal s</w:t>
      </w:r>
      <w:r w:rsidRPr="00916664" w:rsidR="00916664">
        <w:rPr>
          <w:rFonts w:eastAsia="Calibri"/>
          <w:lang w:val="fr-FR"/>
        </w:rPr>
        <w:t>’</w:t>
      </w:r>
      <w:r w:rsidRPr="00916664">
        <w:rPr>
          <w:rFonts w:eastAsia="Calibri"/>
          <w:lang w:val="fr-FR"/>
        </w:rPr>
        <w:t>entremêlent de manière non linéaire dans notre jurisprudence.</w:t>
      </w:r>
    </w:p>
    <w:p w:rsidRPr="00916664" w:rsidR="00E6757D" w:rsidP="00916664" w:rsidRDefault="00E6757D">
      <w:pPr>
        <w:pStyle w:val="OpiPara"/>
        <w:rPr>
          <w:rFonts w:eastAsia="Calibri"/>
          <w:lang w:val="fr-FR"/>
        </w:rPr>
      </w:pPr>
      <w:r w:rsidRPr="00916664">
        <w:rPr>
          <w:rFonts w:eastAsia="Calibri"/>
          <w:lang w:val="fr-FR"/>
        </w:rPr>
        <w:t>5.  Dans l</w:t>
      </w:r>
      <w:r w:rsidRPr="00916664" w:rsidR="00916664">
        <w:rPr>
          <w:rFonts w:eastAsia="Calibri"/>
          <w:lang w:val="fr-FR"/>
        </w:rPr>
        <w:t>’</w:t>
      </w:r>
      <w:r w:rsidRPr="00916664">
        <w:rPr>
          <w:rFonts w:eastAsia="Calibri"/>
          <w:lang w:val="fr-FR"/>
        </w:rPr>
        <w:t xml:space="preserve">affaire </w:t>
      </w:r>
      <w:proofErr w:type="spellStart"/>
      <w:r w:rsidRPr="00916664">
        <w:rPr>
          <w:i/>
          <w:lang w:val="fr-FR"/>
        </w:rPr>
        <w:t>Altuğ</w:t>
      </w:r>
      <w:proofErr w:type="spellEnd"/>
      <w:r w:rsidRPr="00916664">
        <w:rPr>
          <w:i/>
          <w:lang w:val="fr-FR"/>
        </w:rPr>
        <w:t xml:space="preserve"> </w:t>
      </w:r>
      <w:proofErr w:type="spellStart"/>
      <w:r w:rsidRPr="00916664">
        <w:rPr>
          <w:i/>
          <w:lang w:val="fr-FR"/>
        </w:rPr>
        <w:t>Taner</w:t>
      </w:r>
      <w:proofErr w:type="spellEnd"/>
      <w:r w:rsidRPr="00916664">
        <w:rPr>
          <w:i/>
          <w:lang w:val="fr-FR"/>
        </w:rPr>
        <w:t xml:space="preserve"> </w:t>
      </w:r>
      <w:proofErr w:type="spellStart"/>
      <w:r w:rsidRPr="00916664">
        <w:rPr>
          <w:i/>
          <w:lang w:val="fr-FR"/>
        </w:rPr>
        <w:t>Akçam</w:t>
      </w:r>
      <w:proofErr w:type="spellEnd"/>
      <w:r w:rsidRPr="00916664">
        <w:rPr>
          <w:i/>
          <w:lang w:val="fr-FR"/>
        </w:rPr>
        <w:t xml:space="preserve"> c. Turquie</w:t>
      </w:r>
      <w:r w:rsidRPr="00916664">
        <w:rPr>
          <w:lang w:val="fr-FR"/>
        </w:rPr>
        <w:t xml:space="preserve"> (n</w:t>
      </w:r>
      <w:r w:rsidRPr="00916664">
        <w:rPr>
          <w:vertAlign w:val="superscript"/>
          <w:lang w:val="fr-FR"/>
        </w:rPr>
        <w:t>o</w:t>
      </w:r>
      <w:r w:rsidRPr="00916664">
        <w:rPr>
          <w:lang w:val="fr-FR"/>
        </w:rPr>
        <w:t xml:space="preserve"> 27520/07, </w:t>
      </w:r>
      <w:r w:rsidRPr="00916664">
        <w:rPr>
          <w:rFonts w:eastAsia="Calibri"/>
          <w:lang w:val="fr-FR"/>
        </w:rPr>
        <w:t>§§ 93-96,</w:t>
      </w:r>
      <w:r w:rsidRPr="00916664">
        <w:rPr>
          <w:lang w:val="fr-FR"/>
        </w:rPr>
        <w:t xml:space="preserve"> 25 octobre 2011)</w:t>
      </w:r>
      <w:r w:rsidRPr="00916664">
        <w:rPr>
          <w:rFonts w:eastAsia="Calibri"/>
          <w:lang w:val="fr-FR"/>
        </w:rPr>
        <w:t>, dans laquelle le requérant avait été poursuivi pour dénigrement de la « </w:t>
      </w:r>
      <w:proofErr w:type="spellStart"/>
      <w:r w:rsidRPr="00916664">
        <w:rPr>
          <w:rFonts w:eastAsia="Calibri"/>
          <w:lang w:val="fr-FR"/>
        </w:rPr>
        <w:t>turcité</w:t>
      </w:r>
      <w:proofErr w:type="spellEnd"/>
      <w:r w:rsidRPr="00916664">
        <w:rPr>
          <w:rFonts w:eastAsia="Calibri"/>
          <w:lang w:val="fr-FR"/>
        </w:rPr>
        <w:t> », la Cour a dit que l</w:t>
      </w:r>
      <w:r w:rsidRPr="00916664" w:rsidR="00916664">
        <w:rPr>
          <w:rFonts w:eastAsia="Calibri"/>
          <w:lang w:val="fr-FR"/>
        </w:rPr>
        <w:t>’</w:t>
      </w:r>
      <w:r w:rsidRPr="00916664">
        <w:rPr>
          <w:rFonts w:eastAsia="Calibri"/>
          <w:lang w:val="fr-FR"/>
        </w:rPr>
        <w:t xml:space="preserve">article 301 ne </w:t>
      </w:r>
      <w:r w:rsidRPr="00916664">
        <w:rPr>
          <w:color w:val="000000"/>
          <w:lang w:val="fr-FR"/>
        </w:rPr>
        <w:t>satisfaisait pas à l</w:t>
      </w:r>
      <w:r w:rsidRPr="00916664" w:rsidR="00916664">
        <w:rPr>
          <w:color w:val="000000"/>
          <w:lang w:val="fr-FR"/>
        </w:rPr>
        <w:t>’</w:t>
      </w:r>
      <w:r w:rsidRPr="00916664">
        <w:rPr>
          <w:color w:val="000000"/>
          <w:lang w:val="fr-FR"/>
        </w:rPr>
        <w:t xml:space="preserve">exigence </w:t>
      </w:r>
      <w:r w:rsidRPr="00916664">
        <w:rPr>
          <w:lang w:val="fr-FR"/>
        </w:rPr>
        <w:t>de « </w:t>
      </w:r>
      <w:r w:rsidRPr="00916664">
        <w:rPr>
          <w:bCs/>
          <w:lang w:val="fr-FR"/>
        </w:rPr>
        <w:t>qualité de la loi »</w:t>
      </w:r>
      <w:r w:rsidRPr="00916664">
        <w:rPr>
          <w:b/>
          <w:bCs/>
          <w:lang w:val="fr-FR"/>
        </w:rPr>
        <w:t xml:space="preserve"> </w:t>
      </w:r>
      <w:r w:rsidRPr="00916664">
        <w:rPr>
          <w:bCs/>
          <w:lang w:val="fr-FR"/>
        </w:rPr>
        <w:t>parce que cette disposition était</w:t>
      </w:r>
      <w:r w:rsidRPr="00916664">
        <w:rPr>
          <w:b/>
          <w:bCs/>
          <w:lang w:val="fr-FR"/>
        </w:rPr>
        <w:t xml:space="preserve"> </w:t>
      </w:r>
      <w:r w:rsidRPr="00916664">
        <w:rPr>
          <w:rFonts w:eastAsia="Calibri"/>
          <w:lang w:val="fr-FR"/>
        </w:rPr>
        <w:t>« excessivement large et vague et faisait peser sur l</w:t>
      </w:r>
      <w:r w:rsidRPr="00916664" w:rsidR="00916664">
        <w:rPr>
          <w:rFonts w:eastAsia="Calibri"/>
          <w:lang w:val="fr-FR"/>
        </w:rPr>
        <w:t>’</w:t>
      </w:r>
      <w:r w:rsidRPr="00916664">
        <w:rPr>
          <w:rFonts w:eastAsia="Calibri"/>
          <w:lang w:val="fr-FR"/>
        </w:rPr>
        <w:t>exercice de la liberté d</w:t>
      </w:r>
      <w:r w:rsidRPr="00916664" w:rsidR="00916664">
        <w:rPr>
          <w:rFonts w:eastAsia="Calibri"/>
          <w:lang w:val="fr-FR"/>
        </w:rPr>
        <w:t>’</w:t>
      </w:r>
      <w:r w:rsidRPr="00916664">
        <w:rPr>
          <w:rFonts w:eastAsia="Calibri"/>
          <w:lang w:val="fr-FR"/>
        </w:rPr>
        <w:t>expression une menace permanente ». L</w:t>
      </w:r>
      <w:r w:rsidRPr="00916664" w:rsidR="00916664">
        <w:rPr>
          <w:rFonts w:eastAsia="Calibri"/>
          <w:lang w:val="fr-FR"/>
        </w:rPr>
        <w:t>’</w:t>
      </w:r>
      <w:r w:rsidRPr="00916664">
        <w:rPr>
          <w:rFonts w:eastAsia="Calibri"/>
          <w:lang w:val="fr-FR"/>
        </w:rPr>
        <w:t>arrêt n</w:t>
      </w:r>
      <w:r w:rsidRPr="00916664" w:rsidR="00916664">
        <w:rPr>
          <w:rFonts w:eastAsia="Calibri"/>
          <w:lang w:val="fr-FR"/>
        </w:rPr>
        <w:t>’</w:t>
      </w:r>
      <w:r w:rsidRPr="00916664">
        <w:rPr>
          <w:rFonts w:eastAsia="Calibri"/>
          <w:lang w:val="fr-FR"/>
        </w:rPr>
        <w:t>a toutefois pas indiqué précisément quels éléments de la disposition compromettaient la qualité de la loi. La jurisprudence plus récente apporte peut-être un éclairage supplémentaire sur cette question. Mais elle marque aussi un revirement curieux concernant le précédent relatif à l</w:t>
      </w:r>
      <w:r w:rsidRPr="00916664" w:rsidR="00916664">
        <w:rPr>
          <w:rFonts w:eastAsia="Calibri"/>
          <w:lang w:val="fr-FR"/>
        </w:rPr>
        <w:t>’</w:t>
      </w:r>
      <w:r w:rsidRPr="00916664">
        <w:rPr>
          <w:rFonts w:eastAsia="Calibri"/>
          <w:lang w:val="fr-FR"/>
        </w:rPr>
        <w:t>impératif d</w:t>
      </w:r>
      <w:r w:rsidRPr="00916664" w:rsidR="00916664">
        <w:rPr>
          <w:rFonts w:eastAsia="Calibri"/>
          <w:lang w:val="fr-FR"/>
        </w:rPr>
        <w:t>’</w:t>
      </w:r>
      <w:r w:rsidRPr="00916664">
        <w:rPr>
          <w:rFonts w:eastAsia="Calibri"/>
          <w:lang w:val="fr-FR"/>
        </w:rPr>
        <w:t>une ingérence « prévue par la loi ».</w:t>
      </w:r>
    </w:p>
    <w:p w:rsidRPr="00916664" w:rsidR="0028276C" w:rsidP="00916664" w:rsidRDefault="00E6757D">
      <w:pPr>
        <w:pStyle w:val="OpiPara"/>
        <w:rPr>
          <w:rFonts w:eastAsia="Calibri"/>
          <w:lang w:val="fr-FR"/>
        </w:rPr>
      </w:pPr>
      <w:r w:rsidRPr="00916664">
        <w:rPr>
          <w:rFonts w:eastAsia="Calibri"/>
          <w:lang w:val="fr-FR"/>
        </w:rPr>
        <w:t>6.  La Cour a conclu en 2011 que l</w:t>
      </w:r>
      <w:r w:rsidRPr="00916664" w:rsidR="00916664">
        <w:rPr>
          <w:rFonts w:eastAsia="Calibri"/>
          <w:lang w:val="fr-FR"/>
        </w:rPr>
        <w:t>’</w:t>
      </w:r>
      <w:r w:rsidRPr="00916664">
        <w:rPr>
          <w:rFonts w:eastAsia="Calibri"/>
          <w:lang w:val="fr-FR"/>
        </w:rPr>
        <w:t>article 301 ne satisfaisait pas à l</w:t>
      </w:r>
      <w:r w:rsidRPr="00916664" w:rsidR="00916664">
        <w:rPr>
          <w:rFonts w:eastAsia="Calibri"/>
          <w:lang w:val="fr-FR"/>
        </w:rPr>
        <w:t>’</w:t>
      </w:r>
      <w:r w:rsidRPr="00916664">
        <w:rPr>
          <w:rFonts w:eastAsia="Calibri"/>
          <w:lang w:val="fr-FR"/>
        </w:rPr>
        <w:t xml:space="preserve">exigence </w:t>
      </w:r>
      <w:r w:rsidRPr="00916664">
        <w:rPr>
          <w:lang w:val="fr-FR"/>
        </w:rPr>
        <w:t xml:space="preserve">de </w:t>
      </w:r>
      <w:r w:rsidRPr="00916664">
        <w:rPr>
          <w:bCs/>
          <w:lang w:val="fr-FR"/>
        </w:rPr>
        <w:t>qualité de la loi,</w:t>
      </w:r>
      <w:r w:rsidRPr="00916664">
        <w:rPr>
          <w:b/>
          <w:bCs/>
          <w:lang w:val="fr-FR"/>
        </w:rPr>
        <w:t xml:space="preserve"> </w:t>
      </w:r>
      <w:r w:rsidRPr="00916664">
        <w:rPr>
          <w:bCs/>
          <w:lang w:val="fr-FR"/>
        </w:rPr>
        <w:t>mais au moins quatre arrêts</w:t>
      </w:r>
      <w:r w:rsidRPr="00916664">
        <w:rPr>
          <w:b/>
          <w:bCs/>
          <w:lang w:val="fr-FR"/>
        </w:rPr>
        <w:t xml:space="preserve"> </w:t>
      </w:r>
      <w:r w:rsidRPr="00916664">
        <w:rPr>
          <w:rFonts w:eastAsia="Calibri"/>
          <w:lang w:val="fr-FR"/>
        </w:rPr>
        <w:t>rendus entre 2010 et 2017 ont simplement choisi d</w:t>
      </w:r>
      <w:r w:rsidRPr="00916664" w:rsidR="00916664">
        <w:rPr>
          <w:rFonts w:eastAsia="Calibri"/>
          <w:lang w:val="fr-FR"/>
        </w:rPr>
        <w:t>’</w:t>
      </w:r>
      <w:r w:rsidRPr="00916664">
        <w:rPr>
          <w:rFonts w:eastAsia="Calibri"/>
          <w:lang w:val="fr-FR"/>
        </w:rPr>
        <w:t>exprimer de « sérieux doutes » quant à la prévisibilité de cette même disposition et de contourner la question de savoir si l</w:t>
      </w:r>
      <w:r w:rsidRPr="00916664" w:rsidR="00916664">
        <w:rPr>
          <w:rFonts w:eastAsia="Calibri"/>
          <w:lang w:val="fr-FR"/>
        </w:rPr>
        <w:t>’</w:t>
      </w:r>
      <w:r w:rsidRPr="00916664">
        <w:rPr>
          <w:rFonts w:eastAsia="Calibri"/>
          <w:lang w:val="fr-FR"/>
        </w:rPr>
        <w:t>ingérence était « prévue par la loi ». Ayant explicitement ou implicitement conclu que l</w:t>
      </w:r>
      <w:r w:rsidRPr="00916664" w:rsidR="00916664">
        <w:rPr>
          <w:rFonts w:eastAsia="Calibri"/>
          <w:lang w:val="fr-FR"/>
        </w:rPr>
        <w:t>’</w:t>
      </w:r>
      <w:r w:rsidRPr="00916664">
        <w:rPr>
          <w:rFonts w:eastAsia="Calibri"/>
          <w:lang w:val="fr-FR"/>
        </w:rPr>
        <w:t>atteinte aux droits des requérants tels que protégés par l</w:t>
      </w:r>
      <w:r w:rsidRPr="00916664" w:rsidR="00916664">
        <w:rPr>
          <w:rFonts w:eastAsia="Calibri"/>
          <w:lang w:val="fr-FR"/>
        </w:rPr>
        <w:t>’</w:t>
      </w:r>
      <w:r w:rsidRPr="00916664">
        <w:rPr>
          <w:rFonts w:eastAsia="Calibri"/>
          <w:lang w:val="fr-FR"/>
        </w:rPr>
        <w:t>article 10 servait un ou plusieurs buts légitimes en vertu de l</w:t>
      </w:r>
      <w:r w:rsidRPr="00916664" w:rsidR="00916664">
        <w:rPr>
          <w:rFonts w:eastAsia="Calibri"/>
          <w:lang w:val="fr-FR"/>
        </w:rPr>
        <w:t>’</w:t>
      </w:r>
      <w:r w:rsidRPr="00916664">
        <w:rPr>
          <w:rFonts w:eastAsia="Calibri"/>
          <w:lang w:val="fr-FR"/>
        </w:rPr>
        <w:t>article 10 § 2, ces quatre arrêts ont ensuite examiné si les ingérences en cause étaient nécessaires dans une société démocratique</w:t>
      </w:r>
      <w:r w:rsidRPr="00916664">
        <w:rPr>
          <w:rFonts w:eastAsia="Calibri"/>
          <w:vertAlign w:val="superscript"/>
        </w:rPr>
        <w:footnoteReference w:id="2"/>
      </w:r>
      <w:r w:rsidRPr="00916664">
        <w:rPr>
          <w:rFonts w:eastAsia="Calibri"/>
          <w:lang w:val="fr-FR"/>
        </w:rPr>
        <w:t>.</w:t>
      </w:r>
    </w:p>
    <w:p w:rsidRPr="00916664" w:rsidR="00E6757D" w:rsidP="00916664" w:rsidRDefault="00E6757D">
      <w:pPr>
        <w:pStyle w:val="OpiPara"/>
        <w:rPr>
          <w:rFonts w:eastAsia="Calibri"/>
          <w:lang w:val="fr-FR"/>
        </w:rPr>
      </w:pPr>
      <w:r w:rsidRPr="00916664">
        <w:rPr>
          <w:rFonts w:eastAsia="Calibri"/>
          <w:lang w:val="fr-FR"/>
        </w:rPr>
        <w:t>7.  Dans l</w:t>
      </w:r>
      <w:r w:rsidRPr="00916664" w:rsidR="00916664">
        <w:rPr>
          <w:rFonts w:eastAsia="Calibri"/>
          <w:lang w:val="fr-FR"/>
        </w:rPr>
        <w:t>’</w:t>
      </w:r>
      <w:r w:rsidRPr="00916664">
        <w:rPr>
          <w:rFonts w:eastAsia="Calibri"/>
          <w:lang w:val="fr-FR"/>
        </w:rPr>
        <w:t xml:space="preserve">affaire </w:t>
      </w:r>
      <w:proofErr w:type="spellStart"/>
      <w:r w:rsidRPr="00916664">
        <w:rPr>
          <w:i/>
          <w:iCs/>
          <w:lang w:val="it-IT"/>
        </w:rPr>
        <w:t>Fatih</w:t>
      </w:r>
      <w:proofErr w:type="spellEnd"/>
      <w:r w:rsidRPr="00916664">
        <w:rPr>
          <w:i/>
          <w:iCs/>
          <w:lang w:val="it-IT"/>
        </w:rPr>
        <w:t xml:space="preserve"> </w:t>
      </w:r>
      <w:proofErr w:type="spellStart"/>
      <w:r w:rsidRPr="00916664">
        <w:rPr>
          <w:i/>
          <w:iCs/>
          <w:lang w:val="it-IT"/>
        </w:rPr>
        <w:t>Taş</w:t>
      </w:r>
      <w:proofErr w:type="spellEnd"/>
      <w:r w:rsidRPr="00916664">
        <w:rPr>
          <w:i/>
          <w:iCs/>
          <w:lang w:val="it-IT"/>
        </w:rPr>
        <w:t xml:space="preserve"> c. </w:t>
      </w:r>
      <w:proofErr w:type="spellStart"/>
      <w:r w:rsidRPr="00916664">
        <w:rPr>
          <w:i/>
          <w:iCs/>
          <w:lang w:val="it-IT"/>
        </w:rPr>
        <w:t>Turquie</w:t>
      </w:r>
      <w:proofErr w:type="spellEnd"/>
      <w:r w:rsidRPr="00916664">
        <w:rPr>
          <w:i/>
          <w:iCs/>
          <w:lang w:val="it-IT"/>
        </w:rPr>
        <w:t xml:space="preserve"> (n</w:t>
      </w:r>
      <w:r w:rsidRPr="00916664">
        <w:rPr>
          <w:i/>
          <w:iCs/>
          <w:vertAlign w:val="superscript"/>
          <w:lang w:val="it-IT"/>
        </w:rPr>
        <w:t>o</w:t>
      </w:r>
      <w:r w:rsidRPr="00916664">
        <w:rPr>
          <w:i/>
          <w:iCs/>
          <w:lang w:val="it-IT"/>
        </w:rPr>
        <w:t xml:space="preserve"> 5),</w:t>
      </w:r>
      <w:r w:rsidRPr="00916664">
        <w:rPr>
          <w:lang w:val="it-IT" w:eastAsia="en-GB"/>
        </w:rPr>
        <w:t xml:space="preserve"> (</w:t>
      </w:r>
      <w:r w:rsidRPr="00916664">
        <w:rPr>
          <w:lang w:val="it-IT"/>
        </w:rPr>
        <w:t>n</w:t>
      </w:r>
      <w:r w:rsidRPr="00916664">
        <w:rPr>
          <w:vertAlign w:val="superscript"/>
          <w:lang w:val="it-IT"/>
        </w:rPr>
        <w:t>o</w:t>
      </w:r>
      <w:r w:rsidRPr="00916664">
        <w:rPr>
          <w:lang w:val="it-IT"/>
        </w:rPr>
        <w:t xml:space="preserve"> 6810/09</w:t>
      </w:r>
      <w:r w:rsidRPr="00916664">
        <w:rPr>
          <w:lang w:val="it-IT" w:eastAsia="en-GB"/>
        </w:rPr>
        <w:t xml:space="preserve">, </w:t>
      </w:r>
      <w:r w:rsidRPr="00916664">
        <w:rPr>
          <w:lang w:val="it-IT"/>
        </w:rPr>
        <w:t>§ 45, 4 </w:t>
      </w:r>
      <w:proofErr w:type="spellStart"/>
      <w:r w:rsidRPr="00916664">
        <w:rPr>
          <w:lang w:val="it-IT"/>
        </w:rPr>
        <w:t>septembre</w:t>
      </w:r>
      <w:proofErr w:type="spellEnd"/>
      <w:r w:rsidRPr="00916664">
        <w:rPr>
          <w:lang w:val="it-IT"/>
        </w:rPr>
        <w:t xml:space="preserve"> 2018</w:t>
      </w:r>
      <w:r w:rsidRPr="00916664">
        <w:rPr>
          <w:rFonts w:eastAsia="Calibri"/>
          <w:lang w:val="fr-FR"/>
        </w:rPr>
        <w:t>), la Cour a de nouveau essayé de répondre à la question de la « qualité de la loi » relativement aux articles 159 et 301. Elle a relevé qu</w:t>
      </w:r>
      <w:r w:rsidRPr="00916664" w:rsidR="00916664">
        <w:rPr>
          <w:rFonts w:eastAsia="Calibri"/>
          <w:lang w:val="fr-FR"/>
        </w:rPr>
        <w:t>’</w:t>
      </w:r>
      <w:r w:rsidRPr="00916664">
        <w:rPr>
          <w:rFonts w:eastAsia="Calibri"/>
          <w:lang w:val="fr-FR"/>
        </w:rPr>
        <w:t>elle avait déjà prononcé au moins treize arrêts ou décisions dans des affaires portant sur des poursuites engagées sur le fondement de ces deux dispositions et elle a résumé la récente évolution de sa jurisprudence post-</w:t>
      </w:r>
      <w:proofErr w:type="spellStart"/>
      <w:r w:rsidRPr="00916664">
        <w:rPr>
          <w:rFonts w:eastAsia="Calibri"/>
          <w:i/>
          <w:lang w:val="fr-FR"/>
        </w:rPr>
        <w:t>Altuğ</w:t>
      </w:r>
      <w:proofErr w:type="spellEnd"/>
      <w:r w:rsidRPr="00916664">
        <w:rPr>
          <w:rFonts w:eastAsia="Calibri"/>
          <w:i/>
          <w:lang w:val="fr-FR"/>
        </w:rPr>
        <w:t xml:space="preserve"> </w:t>
      </w:r>
      <w:proofErr w:type="spellStart"/>
      <w:r w:rsidRPr="00916664">
        <w:rPr>
          <w:rFonts w:eastAsia="Calibri"/>
          <w:i/>
          <w:lang w:val="fr-FR"/>
        </w:rPr>
        <w:t>Taner</w:t>
      </w:r>
      <w:proofErr w:type="spellEnd"/>
      <w:r w:rsidRPr="00916664">
        <w:rPr>
          <w:rFonts w:eastAsia="Calibri"/>
          <w:i/>
          <w:lang w:val="fr-FR"/>
        </w:rPr>
        <w:t xml:space="preserve"> </w:t>
      </w:r>
      <w:proofErr w:type="spellStart"/>
      <w:r w:rsidRPr="00916664">
        <w:rPr>
          <w:rFonts w:eastAsia="Calibri"/>
          <w:i/>
          <w:lang w:val="fr-FR"/>
        </w:rPr>
        <w:t>Akçam</w:t>
      </w:r>
      <w:proofErr w:type="spellEnd"/>
      <w:r w:rsidRPr="00916664">
        <w:rPr>
          <w:rFonts w:eastAsia="Calibri"/>
          <w:lang w:val="fr-FR"/>
        </w:rPr>
        <w:t>. Elle a ensuite pris l</w:t>
      </w:r>
      <w:r w:rsidRPr="00916664" w:rsidR="00916664">
        <w:rPr>
          <w:rFonts w:eastAsia="Calibri"/>
          <w:lang w:val="fr-FR"/>
        </w:rPr>
        <w:t>’</w:t>
      </w:r>
      <w:r w:rsidRPr="00916664">
        <w:rPr>
          <w:rFonts w:eastAsia="Calibri"/>
          <w:lang w:val="fr-FR"/>
        </w:rPr>
        <w:t>initiative exceptionnelle consistant à rendre la conclusion suivante, au titre de l</w:t>
      </w:r>
      <w:r w:rsidRPr="00916664" w:rsidR="00916664">
        <w:rPr>
          <w:rFonts w:eastAsia="Calibri"/>
          <w:lang w:val="fr-FR"/>
        </w:rPr>
        <w:t>’</w:t>
      </w:r>
      <w:r w:rsidRPr="00916664">
        <w:rPr>
          <w:rFonts w:eastAsia="Calibri"/>
          <w:lang w:val="fr-FR"/>
        </w:rPr>
        <w:t>article 46 de la Convention, dans le dispositif de l</w:t>
      </w:r>
      <w:r w:rsidRPr="00916664" w:rsidR="00916664">
        <w:rPr>
          <w:rFonts w:eastAsia="Calibri"/>
          <w:lang w:val="fr-FR"/>
        </w:rPr>
        <w:t>’</w:t>
      </w:r>
      <w:r w:rsidRPr="00916664">
        <w:rPr>
          <w:rFonts w:eastAsia="Calibri"/>
          <w:lang w:val="fr-FR"/>
        </w:rPr>
        <w:t>arrêt :</w:t>
      </w:r>
    </w:p>
    <w:p w:rsidRPr="00916664" w:rsidR="00E6757D" w:rsidP="00916664" w:rsidRDefault="00E6757D">
      <w:pPr>
        <w:pStyle w:val="OpiQuot"/>
        <w:rPr>
          <w:rFonts w:eastAsia="Calibri"/>
          <w:lang w:val="fr-FR"/>
        </w:rPr>
      </w:pPr>
      <w:r w:rsidRPr="00916664">
        <w:rPr>
          <w:rFonts w:eastAsia="Calibri"/>
          <w:lang w:val="fr-FR"/>
        </w:rPr>
        <w:t>« Elle observe par ailleurs que, en l</w:t>
      </w:r>
      <w:r w:rsidRPr="00916664" w:rsidR="00916664">
        <w:rPr>
          <w:rFonts w:eastAsia="Calibri"/>
          <w:lang w:val="fr-FR"/>
        </w:rPr>
        <w:t>’</w:t>
      </w:r>
      <w:r w:rsidRPr="00916664">
        <w:rPr>
          <w:rFonts w:eastAsia="Calibri"/>
          <w:lang w:val="fr-FR"/>
        </w:rPr>
        <w:t>espèce, elle a jugé que la procédure pénale litigieuse résultant de l</w:t>
      </w:r>
      <w:r w:rsidRPr="00916664" w:rsidR="00916664">
        <w:rPr>
          <w:rFonts w:eastAsia="Calibri"/>
          <w:lang w:val="fr-FR"/>
        </w:rPr>
        <w:t>’</w:t>
      </w:r>
      <w:r w:rsidRPr="00916664">
        <w:rPr>
          <w:rFonts w:eastAsia="Calibri"/>
          <w:lang w:val="fr-FR"/>
        </w:rPr>
        <w:t>application des articles 159 du CP et 301 du NCP était incompatible avec la liberté d</w:t>
      </w:r>
      <w:r w:rsidRPr="00916664" w:rsidR="00916664">
        <w:rPr>
          <w:rFonts w:eastAsia="Calibri"/>
          <w:lang w:val="fr-FR"/>
        </w:rPr>
        <w:t>’</w:t>
      </w:r>
      <w:r w:rsidRPr="00916664">
        <w:rPr>
          <w:rFonts w:eastAsia="Calibri"/>
          <w:lang w:val="fr-FR"/>
        </w:rPr>
        <w:t>expression (</w:t>
      </w:r>
      <w:r w:rsidRPr="00916664" w:rsidR="0028276C">
        <w:rPr>
          <w:rFonts w:eastAsia="Calibri"/>
          <w:lang w:val="fr-FR"/>
        </w:rPr>
        <w:t>...</w:t>
      </w:r>
      <w:r w:rsidRPr="00916664">
        <w:rPr>
          <w:rFonts w:eastAsia="Calibri"/>
          <w:lang w:val="fr-FR"/>
        </w:rPr>
        <w:t>) Les conclusions auxquelles elle est parvenue dans cette affaire (</w:t>
      </w:r>
      <w:r w:rsidRPr="00916664" w:rsidR="0028276C">
        <w:rPr>
          <w:rFonts w:eastAsia="Calibri"/>
          <w:lang w:val="fr-FR"/>
        </w:rPr>
        <w:t>...</w:t>
      </w:r>
      <w:r w:rsidRPr="00916664">
        <w:rPr>
          <w:rFonts w:eastAsia="Calibri"/>
          <w:lang w:val="fr-FR"/>
        </w:rPr>
        <w:t>) ainsi que dans les affaires précédentes relatives à des procédures semblables (</w:t>
      </w:r>
      <w:r w:rsidRPr="00916664" w:rsidR="0028276C">
        <w:rPr>
          <w:rFonts w:eastAsia="Calibri"/>
          <w:lang w:val="fr-FR"/>
        </w:rPr>
        <w:t>...</w:t>
      </w:r>
      <w:r w:rsidRPr="00916664">
        <w:rPr>
          <w:rFonts w:eastAsia="Calibri"/>
          <w:lang w:val="fr-FR"/>
        </w:rPr>
        <w:t>) impliquent que les violations constatées du droit garanti par l</w:t>
      </w:r>
      <w:r w:rsidRPr="00916664" w:rsidR="00916664">
        <w:rPr>
          <w:rFonts w:eastAsia="Calibri"/>
          <w:lang w:val="fr-FR"/>
        </w:rPr>
        <w:t>’</w:t>
      </w:r>
      <w:r w:rsidRPr="00916664">
        <w:rPr>
          <w:rFonts w:eastAsia="Calibri"/>
          <w:lang w:val="fr-FR"/>
        </w:rPr>
        <w:t xml:space="preserve">article 10 de la Convention dans les affaires relatives aux procédures engagées sur le fondement des articles 159 du CP et 301 du NCP trouvent leur origine dans </w:t>
      </w:r>
      <w:r w:rsidRPr="00916664">
        <w:rPr>
          <w:rFonts w:eastAsia="Calibri"/>
          <w:i/>
          <w:lang w:val="fr-FR"/>
        </w:rPr>
        <w:t>un problème tenant à l</w:t>
      </w:r>
      <w:r w:rsidRPr="00916664" w:rsidR="00916664">
        <w:rPr>
          <w:rFonts w:eastAsia="Calibri"/>
          <w:i/>
          <w:lang w:val="fr-FR"/>
        </w:rPr>
        <w:t>’</w:t>
      </w:r>
      <w:r w:rsidRPr="00916664">
        <w:rPr>
          <w:rFonts w:eastAsia="Calibri"/>
          <w:i/>
          <w:lang w:val="fr-FR"/>
        </w:rPr>
        <w:t>application des dispositions en question d</w:t>
      </w:r>
      <w:r w:rsidRPr="00916664" w:rsidR="00916664">
        <w:rPr>
          <w:rFonts w:eastAsia="Calibri"/>
          <w:i/>
          <w:lang w:val="fr-FR"/>
        </w:rPr>
        <w:t>’</w:t>
      </w:r>
      <w:r w:rsidRPr="00916664">
        <w:rPr>
          <w:rFonts w:eastAsia="Calibri"/>
          <w:i/>
          <w:lang w:val="fr-FR"/>
        </w:rPr>
        <w:t>une manière incompatible avec les critères établis par la jurisprudence la Cour</w:t>
      </w:r>
      <w:r w:rsidRPr="00916664">
        <w:rPr>
          <w:rFonts w:eastAsia="Calibri"/>
          <w:lang w:val="fr-FR"/>
        </w:rPr>
        <w:t xml:space="preserve">. À cet égard, la Cour estime que </w:t>
      </w:r>
      <w:r w:rsidRPr="00916664">
        <w:rPr>
          <w:rFonts w:eastAsia="Calibri"/>
          <w:i/>
          <w:lang w:val="fr-FR"/>
        </w:rPr>
        <w:t>la mise en conformité du droit interne pertinent</w:t>
      </w:r>
      <w:r w:rsidRPr="00916664">
        <w:rPr>
          <w:rFonts w:eastAsia="Calibri"/>
          <w:lang w:val="fr-FR"/>
        </w:rPr>
        <w:t xml:space="preserve"> avec la disposition précitée de la Convention et la jurisprudence de la Cour constituerait une forme appropriée d</w:t>
      </w:r>
      <w:r w:rsidRPr="00916664" w:rsidR="00916664">
        <w:rPr>
          <w:rFonts w:eastAsia="Calibri"/>
          <w:lang w:val="fr-FR"/>
        </w:rPr>
        <w:t>’</w:t>
      </w:r>
      <w:r w:rsidRPr="00916664">
        <w:rPr>
          <w:rFonts w:eastAsia="Calibri"/>
          <w:lang w:val="fr-FR"/>
        </w:rPr>
        <w:t>exécution qui permettrait de mettre un terme aux violations constatées » (italiques ajoutés).</w:t>
      </w:r>
    </w:p>
    <w:p w:rsidRPr="00916664" w:rsidR="00E6757D" w:rsidP="00916664" w:rsidRDefault="00E6757D">
      <w:pPr>
        <w:pStyle w:val="OpiPara"/>
        <w:rPr>
          <w:rFonts w:eastAsia="Calibri"/>
          <w:lang w:val="fr-FR"/>
        </w:rPr>
      </w:pPr>
      <w:r w:rsidRPr="00916664">
        <w:rPr>
          <w:rFonts w:eastAsia="Calibri"/>
          <w:lang w:val="fr-FR"/>
        </w:rPr>
        <w:t>En d</w:t>
      </w:r>
      <w:r w:rsidRPr="00916664" w:rsidR="00916664">
        <w:rPr>
          <w:rFonts w:eastAsia="Calibri"/>
          <w:lang w:val="fr-FR"/>
        </w:rPr>
        <w:t>’</w:t>
      </w:r>
      <w:r w:rsidRPr="00916664">
        <w:rPr>
          <w:rFonts w:eastAsia="Calibri"/>
          <w:lang w:val="fr-FR"/>
        </w:rPr>
        <w:t>autres termes, la Cour a finalement estimé que le caractère ouvert des dispositions en cause, associé au fait que les juridictions nationales n</w:t>
      </w:r>
      <w:r w:rsidRPr="00916664" w:rsidR="00916664">
        <w:rPr>
          <w:rFonts w:eastAsia="Calibri"/>
          <w:lang w:val="fr-FR"/>
        </w:rPr>
        <w:t>’</w:t>
      </w:r>
      <w:r w:rsidRPr="00916664">
        <w:rPr>
          <w:rFonts w:eastAsia="Calibri"/>
          <w:lang w:val="fr-FR"/>
        </w:rPr>
        <w:t>y « intégraient » pas de manière systématique des garanties suffisantes contre une application abusive, les rendait incompatibles avec l</w:t>
      </w:r>
      <w:r w:rsidRPr="00916664" w:rsidR="00916664">
        <w:rPr>
          <w:rFonts w:eastAsia="Calibri"/>
          <w:lang w:val="fr-FR"/>
        </w:rPr>
        <w:t>’</w:t>
      </w:r>
      <w:r w:rsidRPr="00916664">
        <w:rPr>
          <w:rFonts w:eastAsia="Calibri"/>
          <w:lang w:val="fr-FR"/>
        </w:rPr>
        <w:t>article 10. Elle a invité l</w:t>
      </w:r>
      <w:r w:rsidRPr="00916664" w:rsidR="00916664">
        <w:rPr>
          <w:rFonts w:eastAsia="Calibri"/>
          <w:lang w:val="fr-FR"/>
        </w:rPr>
        <w:t>’</w:t>
      </w:r>
      <w:r w:rsidRPr="00916664">
        <w:rPr>
          <w:rFonts w:eastAsia="Calibri"/>
          <w:lang w:val="fr-FR"/>
        </w:rPr>
        <w:t>État défendeur à mettre son ordre juridique interne en conformité avec l</w:t>
      </w:r>
      <w:r w:rsidRPr="00916664" w:rsidR="00916664">
        <w:rPr>
          <w:rFonts w:eastAsia="Calibri"/>
          <w:lang w:val="fr-FR"/>
        </w:rPr>
        <w:t>’</w:t>
      </w:r>
      <w:r w:rsidRPr="00916664">
        <w:rPr>
          <w:rFonts w:eastAsia="Calibri"/>
          <w:lang w:val="fr-FR"/>
        </w:rPr>
        <w:t>article 10.</w:t>
      </w:r>
    </w:p>
    <w:p w:rsidRPr="00916664" w:rsidR="0028276C" w:rsidP="00916664" w:rsidRDefault="00E6757D">
      <w:pPr>
        <w:pStyle w:val="OpiPara"/>
        <w:rPr>
          <w:rFonts w:eastAsia="Calibri"/>
          <w:lang w:val="fr-FR"/>
        </w:rPr>
      </w:pPr>
      <w:r w:rsidRPr="00916664">
        <w:rPr>
          <w:rFonts w:eastAsia="Calibri"/>
          <w:lang w:val="fr-FR"/>
        </w:rPr>
        <w:t>8.  L</w:t>
      </w:r>
      <w:r w:rsidRPr="00916664" w:rsidR="00916664">
        <w:rPr>
          <w:rFonts w:eastAsia="Calibri"/>
          <w:lang w:val="fr-FR"/>
        </w:rPr>
        <w:t>’</w:t>
      </w:r>
      <w:r w:rsidRPr="00916664">
        <w:rPr>
          <w:rFonts w:eastAsia="Calibri"/>
          <w:lang w:val="fr-FR"/>
        </w:rPr>
        <w:t>arrêt de ce jour, sans explication ni référence à la conclusion rendue sous l</w:t>
      </w:r>
      <w:r w:rsidRPr="00916664" w:rsidR="00916664">
        <w:rPr>
          <w:rFonts w:eastAsia="Calibri"/>
          <w:lang w:val="fr-FR"/>
        </w:rPr>
        <w:t>’</w:t>
      </w:r>
      <w:r w:rsidRPr="00916664">
        <w:rPr>
          <w:rFonts w:eastAsia="Calibri"/>
          <w:lang w:val="fr-FR"/>
        </w:rPr>
        <w:t>angle de l</w:t>
      </w:r>
      <w:r w:rsidRPr="00916664" w:rsidR="00916664">
        <w:rPr>
          <w:rFonts w:eastAsia="Calibri"/>
          <w:lang w:val="fr-FR"/>
        </w:rPr>
        <w:t>’</w:t>
      </w:r>
      <w:r w:rsidRPr="00916664">
        <w:rPr>
          <w:rFonts w:eastAsia="Calibri"/>
          <w:lang w:val="fr-FR"/>
        </w:rPr>
        <w:t>article 46 dans l</w:t>
      </w:r>
      <w:r w:rsidRPr="00916664" w:rsidR="00916664">
        <w:rPr>
          <w:rFonts w:eastAsia="Calibri"/>
          <w:lang w:val="fr-FR"/>
        </w:rPr>
        <w:t>’</w:t>
      </w:r>
      <w:r w:rsidRPr="00916664">
        <w:rPr>
          <w:rFonts w:eastAsia="Calibri"/>
          <w:lang w:val="fr-FR"/>
        </w:rPr>
        <w:t xml:space="preserve">arrêt </w:t>
      </w:r>
      <w:proofErr w:type="spellStart"/>
      <w:r w:rsidRPr="00916664">
        <w:rPr>
          <w:rFonts w:eastAsia="Calibri"/>
          <w:i/>
          <w:lang w:val="fr-FR"/>
        </w:rPr>
        <w:t>Fatih</w:t>
      </w:r>
      <w:proofErr w:type="spellEnd"/>
      <w:r w:rsidRPr="00916664">
        <w:rPr>
          <w:rFonts w:eastAsia="Calibri"/>
          <w:i/>
          <w:lang w:val="fr-FR"/>
        </w:rPr>
        <w:t xml:space="preserve"> </w:t>
      </w:r>
      <w:proofErr w:type="spellStart"/>
      <w:r w:rsidRPr="00916664">
        <w:rPr>
          <w:rFonts w:eastAsia="Calibri"/>
          <w:i/>
          <w:lang w:val="fr-FR"/>
        </w:rPr>
        <w:t>Taş</w:t>
      </w:r>
      <w:proofErr w:type="spellEnd"/>
      <w:r w:rsidRPr="00916664">
        <w:rPr>
          <w:rFonts w:eastAsia="Calibri"/>
          <w:i/>
          <w:lang w:val="fr-FR"/>
        </w:rPr>
        <w:t xml:space="preserve"> (n</w:t>
      </w:r>
      <w:r w:rsidRPr="00916664">
        <w:rPr>
          <w:rFonts w:eastAsia="Calibri"/>
          <w:i/>
          <w:vertAlign w:val="superscript"/>
          <w:lang w:val="fr-FR"/>
        </w:rPr>
        <w:t>o</w:t>
      </w:r>
      <w:r w:rsidRPr="00916664">
        <w:rPr>
          <w:rFonts w:eastAsia="Calibri"/>
          <w:i/>
          <w:lang w:val="fr-FR"/>
        </w:rPr>
        <w:t xml:space="preserve"> 5)</w:t>
      </w:r>
      <w:r w:rsidRPr="00916664">
        <w:rPr>
          <w:rFonts w:eastAsia="Calibri"/>
          <w:lang w:val="fr-FR"/>
        </w:rPr>
        <w:t>, revient en arrière en exprimant de simples « doutes » sur la question de la qualité de la loi (paragraphe 28). À ce stade, on pourrait pardonner à un observateur attentif de notre jurisprudence relative à l</w:t>
      </w:r>
      <w:r w:rsidRPr="00916664" w:rsidR="00916664">
        <w:rPr>
          <w:rFonts w:eastAsia="Calibri"/>
          <w:lang w:val="fr-FR"/>
        </w:rPr>
        <w:t>’</w:t>
      </w:r>
      <w:r w:rsidRPr="00916664">
        <w:rPr>
          <w:rFonts w:eastAsia="Calibri"/>
          <w:lang w:val="fr-FR"/>
        </w:rPr>
        <w:t>article 10 d</w:t>
      </w:r>
      <w:r w:rsidRPr="00916664" w:rsidR="00916664">
        <w:rPr>
          <w:rFonts w:eastAsia="Calibri"/>
          <w:lang w:val="fr-FR"/>
        </w:rPr>
        <w:t>’</w:t>
      </w:r>
      <w:r w:rsidRPr="00916664">
        <w:rPr>
          <w:rFonts w:eastAsia="Calibri"/>
          <w:lang w:val="fr-FR"/>
        </w:rPr>
        <w:t>être quelque peu pris de tournis face à ces revirements vertigineux. Et pendant ce temps, le droit interne pertinent n</w:t>
      </w:r>
      <w:r w:rsidRPr="00916664" w:rsidR="00916664">
        <w:rPr>
          <w:rFonts w:eastAsia="Calibri"/>
          <w:lang w:val="fr-FR"/>
        </w:rPr>
        <w:t>’</w:t>
      </w:r>
      <w:r w:rsidRPr="00916664">
        <w:rPr>
          <w:rFonts w:eastAsia="Calibri"/>
          <w:lang w:val="fr-FR"/>
        </w:rPr>
        <w:t>a pas changé. Si la montagne ne va pas au prophète, le prophète doit-il aller à la montagne ?</w:t>
      </w:r>
    </w:p>
    <w:p w:rsidRPr="00916664" w:rsidR="00447427" w:rsidP="00916664" w:rsidRDefault="00447427">
      <w:pPr>
        <w:pStyle w:val="OpiPara"/>
        <w:jc w:val="center"/>
        <w:rPr>
          <w:rFonts w:eastAsia="Calibri"/>
          <w:b/>
          <w:lang w:val="fr-FR"/>
        </w:rPr>
      </w:pPr>
      <w:r w:rsidRPr="00916664">
        <w:rPr>
          <w:rFonts w:eastAsia="Calibri"/>
          <w:b/>
          <w:lang w:val="fr-FR"/>
        </w:rPr>
        <w:t>II.</w:t>
      </w:r>
    </w:p>
    <w:p w:rsidRPr="00916664" w:rsidR="00E6757D" w:rsidP="00916664" w:rsidRDefault="00E6757D">
      <w:pPr>
        <w:pStyle w:val="OpiPara"/>
        <w:rPr>
          <w:rFonts w:eastAsia="Calibri"/>
          <w:lang w:val="fr-FR"/>
        </w:rPr>
      </w:pPr>
      <w:r w:rsidRPr="00916664">
        <w:rPr>
          <w:rFonts w:eastAsia="Calibri"/>
          <w:lang w:val="fr-FR"/>
        </w:rPr>
        <w:t>9.  Le problème épineux que soulèvent des dispositions telles que les articles 159 et 301 du code pénal turc est le suivant : comment peut-on ériger en infraction pénale le « dénigrement » d</w:t>
      </w:r>
      <w:r w:rsidRPr="00916664" w:rsidR="00916664">
        <w:rPr>
          <w:rFonts w:eastAsia="Calibri"/>
          <w:lang w:val="fr-FR"/>
        </w:rPr>
        <w:t>’</w:t>
      </w:r>
      <w:r w:rsidRPr="00916664">
        <w:rPr>
          <w:rFonts w:eastAsia="Calibri"/>
          <w:lang w:val="fr-FR"/>
        </w:rPr>
        <w:t>institutions gouvernementales et, plus encore, de certaines notions ou valeurs abstraites, sans asphyxier cette critique vigoureuse du gouvernement ainsi que des affaires actuelles et passées qui repose sur les fondements de toute démocratie, ni transformer le dénigrement en un pur délit d</w:t>
      </w:r>
      <w:r w:rsidRPr="00916664" w:rsidR="00916664">
        <w:rPr>
          <w:rFonts w:eastAsia="Calibri"/>
          <w:lang w:val="fr-FR"/>
        </w:rPr>
        <w:t>’</w:t>
      </w:r>
      <w:r w:rsidRPr="00916664">
        <w:rPr>
          <w:rFonts w:eastAsia="Calibri"/>
          <w:lang w:val="fr-FR"/>
        </w:rPr>
        <w:t>opinion ? Le mot « dénigrement » n</w:t>
      </w:r>
      <w:r w:rsidRPr="00916664" w:rsidR="00916664">
        <w:rPr>
          <w:rFonts w:eastAsia="Calibri"/>
          <w:lang w:val="fr-FR"/>
        </w:rPr>
        <w:t>’</w:t>
      </w:r>
      <w:r w:rsidRPr="00916664">
        <w:rPr>
          <w:rFonts w:eastAsia="Calibri"/>
          <w:lang w:val="fr-FR"/>
        </w:rPr>
        <w:t>est qu</w:t>
      </w:r>
      <w:r w:rsidRPr="00916664" w:rsidR="00916664">
        <w:rPr>
          <w:rFonts w:eastAsia="Calibri"/>
          <w:lang w:val="fr-FR"/>
        </w:rPr>
        <w:t>’</w:t>
      </w:r>
      <w:r w:rsidRPr="00916664">
        <w:rPr>
          <w:rFonts w:eastAsia="Calibri"/>
          <w:lang w:val="fr-FR"/>
        </w:rPr>
        <w:t>un synonyme de « critique injuste ou acerbe » ou d</w:t>
      </w:r>
      <w:r w:rsidRPr="00916664" w:rsidR="00916664">
        <w:rPr>
          <w:rFonts w:eastAsia="Calibri"/>
          <w:lang w:val="fr-FR"/>
        </w:rPr>
        <w:t>’</w:t>
      </w:r>
      <w:r w:rsidRPr="00916664">
        <w:rPr>
          <w:rFonts w:eastAsia="Calibri"/>
          <w:lang w:val="fr-FR"/>
        </w:rPr>
        <w:t xml:space="preserve">« atteinte à la réputation » et les institutions gouvernementales sont normalement censées livrer leurs batailles </w:t>
      </w:r>
      <w:proofErr w:type="spellStart"/>
      <w:r w:rsidRPr="00916664">
        <w:rPr>
          <w:rFonts w:eastAsia="Calibri"/>
          <w:lang w:val="fr-FR"/>
        </w:rPr>
        <w:t>réputationnelles</w:t>
      </w:r>
      <w:proofErr w:type="spellEnd"/>
      <w:r w:rsidRPr="00916664">
        <w:rPr>
          <w:rFonts w:eastAsia="Calibri"/>
          <w:lang w:val="fr-FR"/>
        </w:rPr>
        <w:t xml:space="preserve"> devant les juges de l</w:t>
      </w:r>
      <w:r w:rsidRPr="00916664" w:rsidR="00916664">
        <w:rPr>
          <w:rFonts w:eastAsia="Calibri"/>
          <w:lang w:val="fr-FR"/>
        </w:rPr>
        <w:t>’</w:t>
      </w:r>
      <w:r w:rsidRPr="00916664">
        <w:rPr>
          <w:rFonts w:eastAsia="Calibri"/>
          <w:lang w:val="fr-FR"/>
        </w:rPr>
        <w:t>opinion publique, et non devant ceux des juridictions pénales. Peut-être existe-t-il un moyen de résoudre la quadrature du cercle, mais rien dans le dossier devant nous aujourd</w:t>
      </w:r>
      <w:r w:rsidRPr="00916664" w:rsidR="00916664">
        <w:rPr>
          <w:rFonts w:eastAsia="Calibri"/>
          <w:lang w:val="fr-FR"/>
        </w:rPr>
        <w:t>’</w:t>
      </w:r>
      <w:r w:rsidRPr="00916664">
        <w:rPr>
          <w:rFonts w:eastAsia="Calibri"/>
          <w:lang w:val="fr-FR"/>
        </w:rPr>
        <w:t>hui n</w:t>
      </w:r>
      <w:r w:rsidRPr="00916664" w:rsidR="00916664">
        <w:rPr>
          <w:rFonts w:eastAsia="Calibri"/>
          <w:lang w:val="fr-FR"/>
        </w:rPr>
        <w:t>’</w:t>
      </w:r>
      <w:r w:rsidRPr="00916664">
        <w:rPr>
          <w:rFonts w:eastAsia="Calibri"/>
          <w:lang w:val="fr-FR"/>
        </w:rPr>
        <w:t>indique que les autorités nationales compétentes, et les juridictions nationales en particulier, aient réussi pareil exploit.</w:t>
      </w:r>
    </w:p>
    <w:p w:rsidRPr="00916664" w:rsidR="00E6757D" w:rsidP="00916664" w:rsidRDefault="00E6757D">
      <w:pPr>
        <w:pStyle w:val="OpiPara"/>
        <w:rPr>
          <w:rFonts w:eastAsia="Calibri"/>
          <w:lang w:val="fr-FR"/>
        </w:rPr>
      </w:pPr>
      <w:r w:rsidRPr="00916664">
        <w:rPr>
          <w:rFonts w:eastAsia="Calibri"/>
          <w:lang w:val="fr-FR"/>
        </w:rPr>
        <w:t>10.  À la demande de l</w:t>
      </w:r>
      <w:r w:rsidRPr="00916664" w:rsidR="00916664">
        <w:rPr>
          <w:rFonts w:eastAsia="Calibri"/>
          <w:lang w:val="fr-FR"/>
        </w:rPr>
        <w:t>’</w:t>
      </w:r>
      <w:r w:rsidRPr="00916664">
        <w:rPr>
          <w:rFonts w:eastAsia="Calibri"/>
          <w:lang w:val="fr-FR"/>
        </w:rPr>
        <w:t>Assemblée parlementaire du Conseil de l</w:t>
      </w:r>
      <w:r w:rsidRPr="00916664" w:rsidR="00916664">
        <w:rPr>
          <w:rFonts w:eastAsia="Calibri"/>
          <w:lang w:val="fr-FR"/>
        </w:rPr>
        <w:t>’</w:t>
      </w:r>
      <w:r w:rsidRPr="00916664">
        <w:rPr>
          <w:rFonts w:eastAsia="Calibri"/>
          <w:lang w:val="fr-FR"/>
        </w:rPr>
        <w:t>Europe, la Commission de Venise s</w:t>
      </w:r>
      <w:r w:rsidRPr="00916664" w:rsidR="00916664">
        <w:rPr>
          <w:rFonts w:eastAsia="Calibri"/>
          <w:lang w:val="fr-FR"/>
        </w:rPr>
        <w:t>’</w:t>
      </w:r>
      <w:r w:rsidRPr="00916664">
        <w:rPr>
          <w:rFonts w:eastAsia="Calibri"/>
          <w:lang w:val="fr-FR"/>
        </w:rPr>
        <w:t>est récemment penchée sur cette question dans une analyse datant de 2016 et portant sur la législation turque en cause. Elle s</w:t>
      </w:r>
      <w:r w:rsidRPr="00916664" w:rsidR="00916664">
        <w:rPr>
          <w:rFonts w:eastAsia="Calibri"/>
          <w:lang w:val="fr-FR"/>
        </w:rPr>
        <w:t>’</w:t>
      </w:r>
      <w:r w:rsidRPr="00916664">
        <w:rPr>
          <w:rFonts w:eastAsia="Calibri"/>
          <w:lang w:val="fr-FR"/>
        </w:rPr>
        <w:t>est exprimée en des termes qui méritent d</w:t>
      </w:r>
      <w:r w:rsidRPr="00916664" w:rsidR="00916664">
        <w:rPr>
          <w:rFonts w:eastAsia="Calibri"/>
          <w:lang w:val="fr-FR"/>
        </w:rPr>
        <w:t>’</w:t>
      </w:r>
      <w:r w:rsidRPr="00916664">
        <w:rPr>
          <w:rFonts w:eastAsia="Calibri"/>
          <w:lang w:val="fr-FR"/>
        </w:rPr>
        <w:t>être cités un peu longuement :</w:t>
      </w:r>
    </w:p>
    <w:p w:rsidRPr="00916664" w:rsidR="00E6757D" w:rsidP="00916664" w:rsidRDefault="00E6757D">
      <w:pPr>
        <w:pStyle w:val="OpiQuot"/>
        <w:rPr>
          <w:rFonts w:ascii="Times New Roman" w:hAnsi="Times New Roman" w:eastAsia="Calibri" w:cs="Times New Roman"/>
          <w:lang w:val="fr-FR"/>
        </w:rPr>
      </w:pPr>
      <w:r w:rsidRPr="00916664">
        <w:rPr>
          <w:lang w:val="fr-FR"/>
        </w:rPr>
        <w:t>Dans le droit fil des conclusions de la Cour européenne, la Commission de Venise considère que le premier paragraphe de l</w:t>
      </w:r>
      <w:r w:rsidRPr="00916664" w:rsidR="00916664">
        <w:rPr>
          <w:lang w:val="fr-FR"/>
        </w:rPr>
        <w:t>’</w:t>
      </w:r>
      <w:r w:rsidRPr="00916664">
        <w:rPr>
          <w:lang w:val="fr-FR"/>
        </w:rPr>
        <w:t>article 301, en l</w:t>
      </w:r>
      <w:r w:rsidRPr="00916664" w:rsidR="00916664">
        <w:rPr>
          <w:lang w:val="fr-FR"/>
        </w:rPr>
        <w:t>’</w:t>
      </w:r>
      <w:r w:rsidRPr="00916664">
        <w:rPr>
          <w:lang w:val="fr-FR"/>
        </w:rPr>
        <w:t>absence de jurisprudence constante, n</w:t>
      </w:r>
      <w:r w:rsidRPr="00916664" w:rsidR="00916664">
        <w:rPr>
          <w:lang w:val="fr-FR"/>
        </w:rPr>
        <w:t>’</w:t>
      </w:r>
      <w:r w:rsidRPr="00916664">
        <w:rPr>
          <w:lang w:val="fr-FR"/>
        </w:rPr>
        <w:t>est pas assez précis pour satisfaire aux critères de prévisibilité. Outre la spécification que le dénigrement doit avoir un caractère public, le terme « dénigre » manque de précision. La définition donnée (</w:t>
      </w:r>
      <w:r w:rsidRPr="00916664" w:rsidR="0028276C">
        <w:rPr>
          <w:lang w:val="fr-FR"/>
        </w:rPr>
        <w:t>...</w:t>
      </w:r>
      <w:r w:rsidRPr="00916664">
        <w:rPr>
          <w:lang w:val="fr-FR"/>
        </w:rPr>
        <w:t>) par les autorités, selon laquelle le dénigrement consiste en des actes et des actions visant à entamer le respect à l</w:t>
      </w:r>
      <w:r w:rsidRPr="00916664" w:rsidR="00916664">
        <w:rPr>
          <w:lang w:val="fr-FR"/>
        </w:rPr>
        <w:t>’</w:t>
      </w:r>
      <w:r w:rsidRPr="00916664">
        <w:rPr>
          <w:lang w:val="fr-FR"/>
        </w:rPr>
        <w:t>égard des valeurs mentionnées dans l</w:t>
      </w:r>
      <w:r w:rsidRPr="00916664" w:rsidR="00916664">
        <w:rPr>
          <w:lang w:val="fr-FR"/>
        </w:rPr>
        <w:t>’</w:t>
      </w:r>
      <w:r w:rsidRPr="00916664">
        <w:rPr>
          <w:lang w:val="fr-FR"/>
        </w:rPr>
        <w:t>article, ne résout pas non plus le problème de la prévisibilité puisque la définition ne fait que remplacer l</w:t>
      </w:r>
      <w:r w:rsidRPr="00916664" w:rsidR="00916664">
        <w:rPr>
          <w:lang w:val="fr-FR"/>
        </w:rPr>
        <w:t>’</w:t>
      </w:r>
      <w:r w:rsidRPr="00916664">
        <w:rPr>
          <w:lang w:val="fr-FR"/>
        </w:rPr>
        <w:t>expression « dénigrer » par « entamer le respect », sans préciser plus avant comment cette disposition devrait être appliquée dans la pratique. Le problème est en partie, mais pas intégralement, résolu par le fait que le paragraphe 3 dudit article dispose que l</w:t>
      </w:r>
      <w:r w:rsidRPr="00916664" w:rsidR="00916664">
        <w:rPr>
          <w:lang w:val="fr-FR"/>
        </w:rPr>
        <w:t>’</w:t>
      </w:r>
      <w:r w:rsidRPr="00916664">
        <w:rPr>
          <w:lang w:val="fr-FR"/>
        </w:rPr>
        <w:t>expression d</w:t>
      </w:r>
      <w:r w:rsidRPr="00916664" w:rsidR="00916664">
        <w:rPr>
          <w:lang w:val="fr-FR"/>
        </w:rPr>
        <w:t>’</w:t>
      </w:r>
      <w:r w:rsidRPr="00916664">
        <w:rPr>
          <w:lang w:val="fr-FR"/>
        </w:rPr>
        <w:t>une opinion à visée critique ne constitue pas une infraction. La ligne de démarcation entre le « dénigrement » et la « critique » n</w:t>
      </w:r>
      <w:r w:rsidRPr="00916664" w:rsidR="00916664">
        <w:rPr>
          <w:lang w:val="fr-FR"/>
        </w:rPr>
        <w:t>’</w:t>
      </w:r>
      <w:r w:rsidRPr="00916664">
        <w:rPr>
          <w:lang w:val="fr-FR"/>
        </w:rPr>
        <w:t>est pas claire et semble totalement laissée à l</w:t>
      </w:r>
      <w:r w:rsidRPr="00916664" w:rsidR="00916664">
        <w:rPr>
          <w:lang w:val="fr-FR"/>
        </w:rPr>
        <w:t>’</w:t>
      </w:r>
      <w:r w:rsidRPr="00916664">
        <w:rPr>
          <w:lang w:val="fr-FR"/>
        </w:rPr>
        <w:t>appréciation des tribunaux. Tant qu</w:t>
      </w:r>
      <w:r w:rsidRPr="00916664" w:rsidR="00916664">
        <w:rPr>
          <w:lang w:val="fr-FR"/>
        </w:rPr>
        <w:t>’</w:t>
      </w:r>
      <w:r w:rsidRPr="00916664">
        <w:rPr>
          <w:lang w:val="fr-FR"/>
        </w:rPr>
        <w:t>il n</w:t>
      </w:r>
      <w:r w:rsidRPr="00916664" w:rsidR="00916664">
        <w:rPr>
          <w:lang w:val="fr-FR"/>
        </w:rPr>
        <w:t>’</w:t>
      </w:r>
      <w:r w:rsidRPr="00916664">
        <w:rPr>
          <w:lang w:val="fr-FR"/>
        </w:rPr>
        <w:t>existe pas de jurisprudence constante définissant clairement le terme « dénigre », les poursuites et les condamnations potentielles ne sont pas prévisibles. Or, cet aspect est particulièrement problématique compte tenu de la lourde peine prévue dans la disposition, à savoir six mois à deux ans d</w:t>
      </w:r>
      <w:r w:rsidRPr="00916664" w:rsidR="00916664">
        <w:rPr>
          <w:lang w:val="fr-FR"/>
        </w:rPr>
        <w:t>’</w:t>
      </w:r>
      <w:r w:rsidRPr="00916664">
        <w:rPr>
          <w:lang w:val="fr-FR"/>
        </w:rPr>
        <w:t>emprisonnement</w:t>
      </w:r>
      <w:r w:rsidRPr="00916664">
        <w:rPr>
          <w:rFonts w:ascii="Times New Roman" w:hAnsi="Times New Roman" w:eastAsia="Calibri" w:cs="Times New Roman"/>
          <w:vertAlign w:val="superscript"/>
        </w:rPr>
        <w:footnoteReference w:id="3"/>
      </w:r>
      <w:r w:rsidRPr="00916664">
        <w:rPr>
          <w:lang w:val="fr-FR"/>
        </w:rPr>
        <w:t>.</w:t>
      </w:r>
    </w:p>
    <w:p w:rsidRPr="00916664" w:rsidR="0028276C" w:rsidP="00916664" w:rsidRDefault="00E6757D">
      <w:pPr>
        <w:pStyle w:val="OpiPara"/>
        <w:rPr>
          <w:rFonts w:ascii="Times New Roman" w:hAnsi="Times New Roman" w:eastAsia="Calibri" w:cs="Times New Roman"/>
          <w:lang w:val="fr-FR"/>
        </w:rPr>
      </w:pPr>
      <w:r w:rsidRPr="00916664">
        <w:rPr>
          <w:rFonts w:ascii="Times New Roman" w:hAnsi="Times New Roman" w:eastAsia="Calibri" w:cs="Times New Roman"/>
          <w:lang w:val="fr-FR"/>
        </w:rPr>
        <w:t>11.  Dans ses conclusions, la Commission de Venise recommande au sujet de l</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article 301 « </w:t>
      </w:r>
      <w:r w:rsidRPr="00916664">
        <w:rPr>
          <w:lang w:val="fr-FR"/>
        </w:rPr>
        <w:t>de réviser cette disposition et de la modifier encore pour clarifier et préciser toutes les notions qui y figurent. En outre, l</w:t>
      </w:r>
      <w:r w:rsidRPr="00916664" w:rsidR="00916664">
        <w:rPr>
          <w:lang w:val="fr-FR"/>
        </w:rPr>
        <w:t>’</w:t>
      </w:r>
      <w:r w:rsidRPr="00916664">
        <w:rPr>
          <w:lang w:val="fr-FR"/>
        </w:rPr>
        <w:t>application de cette disposition devrait être limitée aux discours qui incitent à la violence et à la haine</w:t>
      </w:r>
      <w:r w:rsidRPr="00916664">
        <w:rPr>
          <w:rFonts w:ascii="Times New Roman" w:hAnsi="Times New Roman" w:eastAsia="Calibri" w:cs="Times New Roman"/>
          <w:vertAlign w:val="superscript"/>
        </w:rPr>
        <w:footnoteReference w:id="4"/>
      </w:r>
      <w:r w:rsidRPr="00916664">
        <w:rPr>
          <w:lang w:val="fr-FR"/>
        </w:rPr>
        <w:t> ».</w:t>
      </w:r>
    </w:p>
    <w:p w:rsidRPr="00916664" w:rsidR="0028276C" w:rsidP="00916664" w:rsidRDefault="00E6757D">
      <w:pPr>
        <w:pStyle w:val="OpiPara"/>
        <w:rPr>
          <w:rFonts w:ascii="Times New Roman" w:hAnsi="Times New Roman" w:eastAsia="Calibri" w:cs="Times New Roman"/>
          <w:lang w:val="fr-FR"/>
        </w:rPr>
      </w:pPr>
      <w:r w:rsidRPr="00916664">
        <w:rPr>
          <w:rFonts w:ascii="Times New Roman" w:hAnsi="Times New Roman" w:eastAsia="Calibri" w:cs="Times New Roman"/>
          <w:lang w:val="fr-FR"/>
        </w:rPr>
        <w:t>12.  À ce stade du débat, on vous rétorque invariablement que la Cour européenne des droits de l</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homme n</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est pas une cour constitutionnelle nationale habilitée à abroger des lois nationales. Ma réponse serait simple : premièrement, une ingérence qui n</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est pas prévue par la loi est une ingérence contraire à l</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article 10 de la Convention. Deuxièmement, lorsqu</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elle découle, comme en l</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espèce, d</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un cadre juridique qui est lui-même incompatible avec l</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article 10, on ne peut y remédier au cas par cas. L</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effet dissuasif qu</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elle produit sur le discours légitime est intolérable au regard de l</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article 10, à moins et jusqu</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à ce que les autorités nationales puissent persuader cette Cour qu</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elles ont trouvé des moyens de neutraliser systématiquement cet effet de censure.</w:t>
      </w:r>
    </w:p>
    <w:p w:rsidRPr="00916664" w:rsidR="00E6757D" w:rsidP="00916664" w:rsidRDefault="00E6757D">
      <w:pPr>
        <w:pStyle w:val="OpiPara"/>
        <w:rPr>
          <w:rFonts w:ascii="Times New Roman" w:hAnsi="Times New Roman" w:eastAsia="Calibri" w:cs="Times New Roman"/>
          <w:lang w:val="fr-FR"/>
        </w:rPr>
      </w:pPr>
      <w:r w:rsidRPr="00916664">
        <w:rPr>
          <w:rFonts w:ascii="Times New Roman" w:hAnsi="Times New Roman" w:eastAsia="Calibri" w:cs="Times New Roman"/>
          <w:lang w:val="fr-FR"/>
        </w:rPr>
        <w:t>13.  Il en résulte qu</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il n</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est pas nécessaire, et même, dans le contexte actuel, qu</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il est injustifié à mon avis – de se demander si pareille ingérence poursuivait un but légitime ou était nécessaire dans une société démocratique. Il n</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y a rien dans la Convention, ni dans l</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activité consistant à « reconnaître les droits et libertés fondamentaux » en général, qui exige de cette Cour qu</w:t>
      </w:r>
      <w:r w:rsidRPr="00916664" w:rsidR="00916664">
        <w:rPr>
          <w:rFonts w:ascii="Times New Roman" w:hAnsi="Times New Roman" w:eastAsia="Calibri" w:cs="Times New Roman"/>
          <w:lang w:val="fr-FR"/>
        </w:rPr>
        <w:t>’</w:t>
      </w:r>
      <w:r w:rsidRPr="00916664">
        <w:rPr>
          <w:rFonts w:ascii="Times New Roman" w:hAnsi="Times New Roman" w:eastAsia="Calibri" w:cs="Times New Roman"/>
          <w:lang w:val="fr-FR"/>
        </w:rPr>
        <w:t>elle se livre à un combat sans f</w:t>
      </w:r>
      <w:r w:rsidRPr="00916664" w:rsidR="0028276C">
        <w:rPr>
          <w:rFonts w:ascii="Times New Roman" w:hAnsi="Times New Roman" w:eastAsia="Calibri" w:cs="Times New Roman"/>
          <w:lang w:val="fr-FR"/>
        </w:rPr>
        <w:t>in contre l</w:t>
      </w:r>
      <w:r w:rsidRPr="00916664" w:rsidR="00916664">
        <w:rPr>
          <w:rFonts w:ascii="Times New Roman" w:hAnsi="Times New Roman" w:eastAsia="Calibri" w:cs="Times New Roman"/>
          <w:lang w:val="fr-FR"/>
        </w:rPr>
        <w:t>’</w:t>
      </w:r>
      <w:r w:rsidRPr="00916664" w:rsidR="0028276C">
        <w:rPr>
          <w:rFonts w:ascii="Times New Roman" w:hAnsi="Times New Roman" w:eastAsia="Calibri" w:cs="Times New Roman"/>
          <w:lang w:val="fr-FR"/>
        </w:rPr>
        <w:t>hydre à sept têtes.</w:t>
      </w:r>
    </w:p>
    <w:sectPr w:rsidRPr="00916664" w:rsidR="00E6757D" w:rsidSect="00E6757D">
      <w:headerReference w:type="even" r:id="rId14"/>
      <w:headerReference w:type="default" r:id="rId15"/>
      <w:footnotePr>
        <w:numRestart w:val="eachSect"/>
      </w:footnotePr>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3970" w:rsidRDefault="00023970">
      <w:r>
        <w:separator/>
      </w:r>
    </w:p>
  </w:endnote>
  <w:endnote w:type="continuationSeparator" w:id="0">
    <w:p w:rsidR="00023970" w:rsidRDefault="00023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970" w:rsidRPr="00150BFA" w:rsidRDefault="00023970" w:rsidP="00023970">
    <w:pPr>
      <w:jc w:val="center"/>
    </w:pPr>
    <w:r>
      <w:rPr>
        <w:noProof/>
        <w:lang w:val="en-US" w:eastAsia="ja-JP"/>
      </w:rPr>
      <w:drawing>
        <wp:inline distT="0" distB="0" distL="0" distR="0" wp14:anchorId="728361C2" wp14:editId="354A32A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23970" w:rsidRPr="00EA4BD7" w:rsidRDefault="00023970" w:rsidP="0002397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970" w:rsidRDefault="00023970" w:rsidP="0002397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970" w:rsidRDefault="00023970" w:rsidP="0002397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3970" w:rsidRPr="00EA4BD7" w:rsidRDefault="00023970" w:rsidP="00023970">
      <w:r w:rsidRPr="00EA4BD7">
        <w:separator/>
      </w:r>
    </w:p>
  </w:footnote>
  <w:footnote w:type="continuationSeparator" w:id="0">
    <w:p w:rsidR="00023970" w:rsidRPr="00EA4BD7" w:rsidRDefault="00023970" w:rsidP="00023970">
      <w:r w:rsidRPr="00EA4BD7">
        <w:continuationSeparator/>
      </w:r>
    </w:p>
  </w:footnote>
  <w:footnote w:id="1">
    <w:p w:rsidR="00E6757D" w:rsidRPr="009F32E2" w:rsidRDefault="00E6757D" w:rsidP="00E6757D">
      <w:pPr>
        <w:pStyle w:val="JuPara"/>
        <w:ind w:firstLine="0"/>
        <w:rPr>
          <w:sz w:val="20"/>
          <w:szCs w:val="20"/>
          <w:lang w:val="fr-FR"/>
        </w:rPr>
      </w:pPr>
      <w:r w:rsidRPr="009F32E2">
        <w:rPr>
          <w:sz w:val="20"/>
          <w:szCs w:val="20"/>
          <w:lang w:val="fr-FR"/>
        </w:rPr>
        <w:footnoteRef/>
      </w:r>
      <w:r w:rsidRPr="00745F00">
        <w:rPr>
          <w:sz w:val="20"/>
          <w:szCs w:val="20"/>
          <w:lang w:val="fr-FR"/>
        </w:rPr>
        <w:t>.  </w:t>
      </w:r>
      <w:r w:rsidRPr="009F32E2">
        <w:rPr>
          <w:rFonts w:ascii="Times New Roman" w:hAnsi="Times New Roman" w:cs="Times New Roman"/>
          <w:sz w:val="20"/>
          <w:szCs w:val="20"/>
          <w:lang w:val="fr-FR"/>
        </w:rPr>
        <w:t xml:space="preserve">Voir, entre autres, </w:t>
      </w:r>
      <w:proofErr w:type="spellStart"/>
      <w:r w:rsidRPr="009F32E2">
        <w:rPr>
          <w:i/>
          <w:sz w:val="20"/>
          <w:szCs w:val="20"/>
          <w:lang w:val="fr-FR"/>
        </w:rPr>
        <w:t>Dink</w:t>
      </w:r>
      <w:proofErr w:type="spellEnd"/>
      <w:r w:rsidRPr="009F32E2">
        <w:rPr>
          <w:i/>
          <w:sz w:val="20"/>
          <w:szCs w:val="20"/>
          <w:lang w:val="fr-FR"/>
        </w:rPr>
        <w:t xml:space="preserve"> c. Turquie</w:t>
      </w:r>
      <w:r w:rsidRPr="009F32E2">
        <w:rPr>
          <w:sz w:val="20"/>
          <w:szCs w:val="20"/>
          <w:lang w:val="fr-FR"/>
        </w:rPr>
        <w:t>, n</w:t>
      </w:r>
      <w:r w:rsidRPr="009F32E2">
        <w:rPr>
          <w:sz w:val="20"/>
          <w:szCs w:val="20"/>
          <w:vertAlign w:val="superscript"/>
          <w:lang w:val="fr-FR"/>
        </w:rPr>
        <w:t>os</w:t>
      </w:r>
      <w:r w:rsidRPr="009F32E2">
        <w:rPr>
          <w:sz w:val="20"/>
          <w:szCs w:val="20"/>
          <w:lang w:val="fr-FR"/>
        </w:rPr>
        <w:t xml:space="preserve"> 2668/07 et 4 autres, § 114, 14 septembre 2010 </w:t>
      </w:r>
      <w:r w:rsidRPr="009F32E2">
        <w:rPr>
          <w:rFonts w:ascii="Times New Roman" w:hAnsi="Times New Roman" w:cs="Times New Roman"/>
          <w:sz w:val="20"/>
          <w:szCs w:val="20"/>
          <w:lang w:val="fr-FR"/>
        </w:rPr>
        <w:t xml:space="preserve">; </w:t>
      </w:r>
      <w:r w:rsidRPr="009F32E2">
        <w:rPr>
          <w:i/>
          <w:sz w:val="20"/>
          <w:szCs w:val="20"/>
          <w:lang w:val="fr-FR"/>
        </w:rPr>
        <w:t>RTBF c. Belgique</w:t>
      </w:r>
      <w:r w:rsidRPr="009F32E2">
        <w:rPr>
          <w:sz w:val="20"/>
          <w:szCs w:val="20"/>
          <w:lang w:val="fr-FR"/>
        </w:rPr>
        <w:t>, n</w:t>
      </w:r>
      <w:r w:rsidRPr="009F32E2">
        <w:rPr>
          <w:sz w:val="20"/>
          <w:szCs w:val="20"/>
          <w:vertAlign w:val="superscript"/>
          <w:lang w:val="fr-FR"/>
        </w:rPr>
        <w:t>o</w:t>
      </w:r>
      <w:r w:rsidRPr="009F32E2">
        <w:rPr>
          <w:sz w:val="20"/>
          <w:szCs w:val="20"/>
          <w:lang w:val="fr-FR"/>
        </w:rPr>
        <w:t xml:space="preserve"> 50084/06, § 103, CEDH 2011 (extraits) </w:t>
      </w:r>
      <w:r w:rsidRPr="009F32E2">
        <w:rPr>
          <w:rFonts w:ascii="Times New Roman" w:hAnsi="Times New Roman" w:cs="Times New Roman"/>
          <w:sz w:val="20"/>
          <w:szCs w:val="20"/>
          <w:lang w:val="fr-FR"/>
        </w:rPr>
        <w:t xml:space="preserve">; et </w:t>
      </w:r>
      <w:proofErr w:type="spellStart"/>
      <w:r w:rsidRPr="009F32E2">
        <w:rPr>
          <w:i/>
          <w:sz w:val="20"/>
          <w:szCs w:val="20"/>
          <w:lang w:val="fr-FR"/>
        </w:rPr>
        <w:t>Akçam</w:t>
      </w:r>
      <w:proofErr w:type="spellEnd"/>
      <w:r w:rsidRPr="009F32E2">
        <w:rPr>
          <w:i/>
          <w:sz w:val="20"/>
          <w:szCs w:val="20"/>
          <w:lang w:val="fr-FR"/>
        </w:rPr>
        <w:t xml:space="preserve"> c. Turquie</w:t>
      </w:r>
      <w:r w:rsidRPr="009F32E2">
        <w:rPr>
          <w:sz w:val="20"/>
          <w:szCs w:val="20"/>
          <w:lang w:val="fr-FR"/>
        </w:rPr>
        <w:t>, n</w:t>
      </w:r>
      <w:r w:rsidRPr="009F32E2">
        <w:rPr>
          <w:sz w:val="20"/>
          <w:szCs w:val="20"/>
          <w:vertAlign w:val="superscript"/>
          <w:lang w:val="fr-FR"/>
        </w:rPr>
        <w:t>o</w:t>
      </w:r>
      <w:r>
        <w:rPr>
          <w:sz w:val="20"/>
          <w:szCs w:val="20"/>
          <w:vertAlign w:val="superscript"/>
          <w:lang w:val="fr-FR"/>
        </w:rPr>
        <w:t> </w:t>
      </w:r>
      <w:r w:rsidRPr="009F32E2">
        <w:rPr>
          <w:sz w:val="20"/>
          <w:szCs w:val="20"/>
          <w:lang w:val="fr-FR"/>
        </w:rPr>
        <w:t>32964/96, § 87, 30 octobre 2001</w:t>
      </w:r>
      <w:r w:rsidRPr="009F32E2">
        <w:rPr>
          <w:rFonts w:ascii="Times New Roman" w:hAnsi="Times New Roman" w:cs="Times New Roman"/>
          <w:sz w:val="20"/>
          <w:szCs w:val="20"/>
          <w:lang w:val="fr-FR"/>
        </w:rPr>
        <w:t>.</w:t>
      </w:r>
    </w:p>
  </w:footnote>
  <w:footnote w:id="2">
    <w:p w:rsidR="00E6757D" w:rsidRPr="00F55E88" w:rsidRDefault="00E6757D" w:rsidP="00E6757D">
      <w:pPr>
        <w:pStyle w:val="FootnoteText"/>
        <w:rPr>
          <w:rFonts w:ascii="Times New Roman" w:hAnsi="Times New Roman" w:cs="Times New Roman"/>
        </w:rPr>
      </w:pPr>
      <w:r w:rsidRPr="009F32E2">
        <w:footnoteRef/>
      </w:r>
      <w:r w:rsidRPr="00745F00">
        <w:t>.  </w:t>
      </w:r>
      <w:r w:rsidRPr="00F55E88">
        <w:rPr>
          <w:rFonts w:ascii="Times New Roman" w:hAnsi="Times New Roman" w:cs="Times New Roman"/>
        </w:rPr>
        <w:t xml:space="preserve">Voir les arrêts </w:t>
      </w:r>
      <w:proofErr w:type="spellStart"/>
      <w:r w:rsidRPr="00F55E88">
        <w:rPr>
          <w:rFonts w:ascii="Times New Roman" w:hAnsi="Times New Roman" w:cs="Times New Roman"/>
          <w:i/>
        </w:rPr>
        <w:t>Dink</w:t>
      </w:r>
      <w:proofErr w:type="spellEnd"/>
      <w:r w:rsidRPr="00F55E88">
        <w:rPr>
          <w:rFonts w:ascii="Times New Roman" w:hAnsi="Times New Roman" w:cs="Times New Roman"/>
          <w:i/>
        </w:rPr>
        <w:t xml:space="preserve"> c. Turquie</w:t>
      </w:r>
      <w:r w:rsidRPr="00F55E88">
        <w:rPr>
          <w:rFonts w:ascii="Times New Roman" w:hAnsi="Times New Roman" w:cs="Times New Roman"/>
        </w:rPr>
        <w:t xml:space="preserve"> (2010, portant sur des poursuites pour dénigrement de la « </w:t>
      </w:r>
      <w:proofErr w:type="spellStart"/>
      <w:r w:rsidRPr="00F55E88">
        <w:rPr>
          <w:rFonts w:ascii="Times New Roman" w:hAnsi="Times New Roman" w:cs="Times New Roman"/>
        </w:rPr>
        <w:t>turcité</w:t>
      </w:r>
      <w:proofErr w:type="spellEnd"/>
      <w:r w:rsidRPr="00F55E88">
        <w:rPr>
          <w:rFonts w:ascii="Times New Roman" w:hAnsi="Times New Roman" w:cs="Times New Roman"/>
        </w:rPr>
        <w:t xml:space="preserve"> ») ; </w:t>
      </w:r>
      <w:proofErr w:type="spellStart"/>
      <w:r w:rsidRPr="00F55E88">
        <w:rPr>
          <w:rFonts w:ascii="Times New Roman" w:hAnsi="Times New Roman" w:cs="Times New Roman"/>
          <w:i/>
        </w:rPr>
        <w:t>Dilipak</w:t>
      </w:r>
      <w:proofErr w:type="spellEnd"/>
      <w:r w:rsidRPr="00F55E88">
        <w:rPr>
          <w:rFonts w:ascii="Times New Roman" w:hAnsi="Times New Roman" w:cs="Times New Roman"/>
          <w:i/>
        </w:rPr>
        <w:t xml:space="preserve"> c. Turquie</w:t>
      </w:r>
      <w:r w:rsidRPr="00F55E88">
        <w:rPr>
          <w:rFonts w:ascii="Times New Roman" w:hAnsi="Times New Roman" w:cs="Times New Roman"/>
        </w:rPr>
        <w:t xml:space="preserve"> (2015, portant sur des poursuites pour dénigrement des forces armées turques) ; </w:t>
      </w:r>
      <w:proofErr w:type="spellStart"/>
      <w:r w:rsidRPr="00F55E88">
        <w:rPr>
          <w:rFonts w:ascii="Times New Roman" w:hAnsi="Times New Roman" w:cs="Times New Roman"/>
          <w:i/>
        </w:rPr>
        <w:t>Yurtsever</w:t>
      </w:r>
      <w:proofErr w:type="spellEnd"/>
      <w:r w:rsidRPr="00F55E88">
        <w:rPr>
          <w:rFonts w:ascii="Times New Roman" w:hAnsi="Times New Roman" w:cs="Times New Roman"/>
          <w:i/>
        </w:rPr>
        <w:t xml:space="preserve"> c. Turquie</w:t>
      </w:r>
      <w:r w:rsidRPr="00F55E88">
        <w:rPr>
          <w:rFonts w:ascii="Times New Roman" w:hAnsi="Times New Roman" w:cs="Times New Roman"/>
        </w:rPr>
        <w:t xml:space="preserve"> (2017, portant sur des poursuites pour dénigrement </w:t>
      </w:r>
      <w:r w:rsidRPr="00F55E88">
        <w:t>de la nation turque et de l’État de la République de Turquie</w:t>
      </w:r>
      <w:r w:rsidRPr="00F55E88">
        <w:rPr>
          <w:rFonts w:ascii="Times New Roman" w:hAnsi="Times New Roman" w:cs="Times New Roman"/>
        </w:rPr>
        <w:t xml:space="preserve">) ; et </w:t>
      </w:r>
      <w:proofErr w:type="spellStart"/>
      <w:r w:rsidRPr="00F55E88">
        <w:rPr>
          <w:rFonts w:ascii="Times New Roman" w:hAnsi="Times New Roman" w:cs="Times New Roman"/>
          <w:i/>
        </w:rPr>
        <w:t>Özer</w:t>
      </w:r>
      <w:proofErr w:type="spellEnd"/>
      <w:r w:rsidRPr="00F55E88">
        <w:rPr>
          <w:rFonts w:ascii="Times New Roman" w:hAnsi="Times New Roman" w:cs="Times New Roman"/>
          <w:i/>
        </w:rPr>
        <w:t xml:space="preserve"> c.</w:t>
      </w:r>
      <w:r>
        <w:rPr>
          <w:rFonts w:ascii="Times New Roman" w:hAnsi="Times New Roman" w:cs="Times New Roman"/>
          <w:i/>
        </w:rPr>
        <w:t> </w:t>
      </w:r>
      <w:r w:rsidRPr="00F55E88">
        <w:rPr>
          <w:rFonts w:ascii="Times New Roman" w:hAnsi="Times New Roman" w:cs="Times New Roman"/>
          <w:i/>
        </w:rPr>
        <w:t>Turquie</w:t>
      </w:r>
      <w:r w:rsidRPr="00F55E88">
        <w:rPr>
          <w:rFonts w:ascii="Times New Roman" w:hAnsi="Times New Roman" w:cs="Times New Roman"/>
        </w:rPr>
        <w:t xml:space="preserve"> (2017, portant sur des poursuites pour dénigrement de la nation turque et de la République turque). Pour des citations complètes de ces affaires, voir le paragraphe 33 de l’arrêt </w:t>
      </w:r>
      <w:proofErr w:type="spellStart"/>
      <w:r w:rsidRPr="00F55E88">
        <w:rPr>
          <w:rFonts w:ascii="Times New Roman" w:hAnsi="Times New Roman" w:cs="Times New Roman"/>
          <w:i/>
        </w:rPr>
        <w:t>Fatih</w:t>
      </w:r>
      <w:proofErr w:type="spellEnd"/>
      <w:r w:rsidRPr="00F55E88">
        <w:rPr>
          <w:rFonts w:ascii="Times New Roman" w:hAnsi="Times New Roman" w:cs="Times New Roman"/>
          <w:i/>
        </w:rPr>
        <w:t xml:space="preserve"> </w:t>
      </w:r>
      <w:proofErr w:type="spellStart"/>
      <w:r w:rsidRPr="00F55E88">
        <w:rPr>
          <w:rFonts w:ascii="Times New Roman" w:hAnsi="Times New Roman" w:cs="Times New Roman"/>
          <w:i/>
        </w:rPr>
        <w:t>Taş</w:t>
      </w:r>
      <w:proofErr w:type="spellEnd"/>
      <w:r w:rsidRPr="00F55E88">
        <w:rPr>
          <w:rFonts w:ascii="Times New Roman" w:hAnsi="Times New Roman" w:cs="Times New Roman"/>
          <w:i/>
        </w:rPr>
        <w:t xml:space="preserve"> (n</w:t>
      </w:r>
      <w:r w:rsidRPr="00F55E88">
        <w:rPr>
          <w:rFonts w:ascii="Times New Roman" w:hAnsi="Times New Roman" w:cs="Times New Roman"/>
          <w:i/>
          <w:vertAlign w:val="superscript"/>
        </w:rPr>
        <w:t>o</w:t>
      </w:r>
      <w:r w:rsidRPr="00F55E88">
        <w:rPr>
          <w:rFonts w:ascii="Times New Roman" w:hAnsi="Times New Roman" w:cs="Times New Roman"/>
          <w:i/>
        </w:rPr>
        <w:t xml:space="preserve"> 5)</w:t>
      </w:r>
      <w:r w:rsidRPr="00F55E88">
        <w:rPr>
          <w:rFonts w:ascii="Times New Roman" w:hAnsi="Times New Roman" w:cs="Times New Roman"/>
        </w:rPr>
        <w:t>.</w:t>
      </w:r>
    </w:p>
  </w:footnote>
  <w:footnote w:id="3">
    <w:p w:rsidR="00E6757D" w:rsidRPr="00F55E88" w:rsidRDefault="00E6757D" w:rsidP="00E6757D">
      <w:pPr>
        <w:pStyle w:val="FootnoteText"/>
        <w:rPr>
          <w:rFonts w:ascii="Times New Roman" w:hAnsi="Times New Roman" w:cs="Times New Roman"/>
        </w:rPr>
      </w:pPr>
      <w:r w:rsidRPr="009F32E2">
        <w:footnoteRef/>
      </w:r>
      <w:r w:rsidRPr="00745F00">
        <w:t>.  </w:t>
      </w:r>
      <w:r w:rsidRPr="00F55E88">
        <w:rPr>
          <w:rFonts w:ascii="Times New Roman" w:hAnsi="Times New Roman" w:cs="Times New Roman"/>
        </w:rPr>
        <w:t>Avis 831/2015 sur les articles 216, 299, 301 et 314 du code pénal de la Turquie (CDL-AD(2016)002), paragraphe 86.</w:t>
      </w:r>
    </w:p>
  </w:footnote>
  <w:footnote w:id="4">
    <w:p w:rsidR="00E6757D" w:rsidRPr="00F55E88" w:rsidRDefault="00E6757D" w:rsidP="00E6757D">
      <w:pPr>
        <w:pStyle w:val="FootnoteText"/>
        <w:rPr>
          <w:rFonts w:ascii="Times New Roman" w:hAnsi="Times New Roman" w:cs="Times New Roman"/>
        </w:rPr>
      </w:pPr>
      <w:r w:rsidRPr="009F32E2">
        <w:footnoteRef/>
      </w:r>
      <w:r w:rsidRPr="00745F00">
        <w:t>.  </w:t>
      </w:r>
      <w:r w:rsidRPr="00F55E88">
        <w:rPr>
          <w:rFonts w:ascii="Times New Roman" w:hAnsi="Times New Roman" w:cs="Times New Roman"/>
          <w:i/>
        </w:rPr>
        <w:t>Ibidem</w:t>
      </w:r>
      <w:r w:rsidRPr="00F55E88">
        <w:rPr>
          <w:rFonts w:ascii="Times New Roman" w:hAnsi="Times New Roman" w:cs="Times New Roman"/>
        </w:rPr>
        <w:t>, paragraphe 127.</w:t>
      </w:r>
      <w:r w:rsidRPr="00F55E88">
        <w:t xml:space="preserve"> Cette dernière phrase appelle à se demander si cette disposition a une quelconque utilité </w:t>
      </w:r>
      <w:r w:rsidRPr="00F55E88">
        <w:rPr>
          <w:rFonts w:ascii="Times New Roman" w:hAnsi="Times New Roman" w:cs="Times New Roman"/>
        </w:rPr>
        <w:t>étant donné que le droit pénal turc (</w:t>
      </w:r>
      <w:r>
        <w:rPr>
          <w:rFonts w:ascii="Times New Roman" w:hAnsi="Times New Roman" w:cs="Times New Roman"/>
        </w:rPr>
        <w:t>comme</w:t>
      </w:r>
      <w:r w:rsidRPr="00F55E88">
        <w:rPr>
          <w:rFonts w:ascii="Times New Roman" w:hAnsi="Times New Roman" w:cs="Times New Roman"/>
        </w:rPr>
        <w:t xml:space="preserve"> d’ailleurs celui de la plupart des autres États parties) ne manque pas de dispositions sanctionnant l’incitation à la violence et à la haine. Mais naturellement, il appartient au législateur national d’en décider.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970" w:rsidRPr="00A45145" w:rsidRDefault="00023970" w:rsidP="00023970">
    <w:pPr>
      <w:jc w:val="center"/>
    </w:pPr>
    <w:r>
      <w:rPr>
        <w:noProof/>
        <w:lang w:val="en-US" w:eastAsia="ja-JP"/>
      </w:rPr>
      <w:drawing>
        <wp:inline distT="0" distB="0" distL="0" distR="0" wp14:anchorId="34B9B024" wp14:editId="52A72D58">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23970" w:rsidRPr="00EA4BD7" w:rsidRDefault="00023970" w:rsidP="00023970">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970" w:rsidRPr="0028276C" w:rsidRDefault="00023970" w:rsidP="00023970">
    <w:pPr>
      <w:pStyle w:val="ECHRHeader"/>
      <w:rPr>
        <w:lang w:val="fr-FR"/>
      </w:rPr>
    </w:pPr>
    <w:r>
      <w:rPr>
        <w:rStyle w:val="PageNumber"/>
      </w:rPr>
      <w:fldChar w:fldCharType="begin"/>
    </w:r>
    <w:r w:rsidRPr="0028276C">
      <w:rPr>
        <w:rStyle w:val="PageNumber"/>
        <w:lang w:val="fr-FR"/>
      </w:rPr>
      <w:instrText xml:space="preserve"> PAGE </w:instrText>
    </w:r>
    <w:r>
      <w:rPr>
        <w:rStyle w:val="PageNumber"/>
      </w:rPr>
      <w:fldChar w:fldCharType="separate"/>
    </w:r>
    <w:r w:rsidR="00AD0D26">
      <w:rPr>
        <w:rStyle w:val="PageNumber"/>
        <w:noProof/>
        <w:lang w:val="fr-FR"/>
      </w:rPr>
      <w:t>16</w:t>
    </w:r>
    <w:r>
      <w:rPr>
        <w:rStyle w:val="PageNumber"/>
      </w:rPr>
      <w:fldChar w:fldCharType="end"/>
    </w:r>
    <w:r w:rsidRPr="0028276C">
      <w:rPr>
        <w:lang w:val="fr-FR"/>
      </w:rPr>
      <w:tab/>
      <w:t xml:space="preserve">ARRÊT </w:t>
    </w:r>
    <w:r w:rsidR="0028276C" w:rsidRPr="0028276C">
      <w:rPr>
        <w:lang w:val="fr-FR"/>
      </w:rPr>
      <w:t>ÖNAL c. TURQUIE (N° 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970" w:rsidRPr="007100AD" w:rsidRDefault="00023970" w:rsidP="00023970">
    <w:pPr>
      <w:pStyle w:val="ECHRHeader"/>
    </w:pPr>
    <w:r>
      <w:tab/>
    </w:r>
    <w:r w:rsidRPr="00A7574A">
      <w:t xml:space="preserve">ARRÊT </w:t>
    </w:r>
    <w:r w:rsidR="0028276C" w:rsidRPr="0028276C">
      <w:rPr>
        <w:lang w:val="fr-FR"/>
      </w:rPr>
      <w:t>ÖNAL c. TURQUIE (N° 2)</w:t>
    </w:r>
    <w:r w:rsidRPr="007100AD">
      <w:tab/>
    </w:r>
    <w:r>
      <w:rPr>
        <w:rStyle w:val="PageNumber"/>
      </w:rPr>
      <w:fldChar w:fldCharType="begin"/>
    </w:r>
    <w:r>
      <w:rPr>
        <w:rStyle w:val="PageNumber"/>
      </w:rPr>
      <w:instrText xml:space="preserve"> PAGE </w:instrText>
    </w:r>
    <w:r>
      <w:rPr>
        <w:rStyle w:val="PageNumber"/>
      </w:rPr>
      <w:fldChar w:fldCharType="separate"/>
    </w:r>
    <w:r w:rsidR="00AD0D26">
      <w:rPr>
        <w:rStyle w:val="PageNumber"/>
        <w:noProof/>
      </w:rPr>
      <w:t>15</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0D0" w:rsidRPr="0028276C" w:rsidRDefault="00AB60D0" w:rsidP="00023970">
    <w:pPr>
      <w:pStyle w:val="ECHRHeader"/>
      <w:rPr>
        <w:lang w:val="fr-FR"/>
      </w:rPr>
    </w:pPr>
    <w:r>
      <w:rPr>
        <w:rStyle w:val="PageNumber"/>
      </w:rPr>
      <w:fldChar w:fldCharType="begin"/>
    </w:r>
    <w:r w:rsidRPr="0028276C">
      <w:rPr>
        <w:rStyle w:val="PageNumber"/>
        <w:lang w:val="fr-FR"/>
      </w:rPr>
      <w:instrText xml:space="preserve"> PAGE </w:instrText>
    </w:r>
    <w:r>
      <w:rPr>
        <w:rStyle w:val="PageNumber"/>
      </w:rPr>
      <w:fldChar w:fldCharType="separate"/>
    </w:r>
    <w:r w:rsidR="00AD0D26">
      <w:rPr>
        <w:rStyle w:val="PageNumber"/>
        <w:noProof/>
        <w:lang w:val="fr-FR"/>
      </w:rPr>
      <w:t>20</w:t>
    </w:r>
    <w:r>
      <w:rPr>
        <w:rStyle w:val="PageNumber"/>
      </w:rPr>
      <w:fldChar w:fldCharType="end"/>
    </w:r>
    <w:r w:rsidRPr="0028276C">
      <w:rPr>
        <w:lang w:val="fr-FR"/>
      </w:rPr>
      <w:tab/>
      <w:t xml:space="preserve">ARRÊT </w:t>
    </w:r>
    <w:r w:rsidR="0028276C" w:rsidRPr="0028276C">
      <w:rPr>
        <w:lang w:val="fr-FR"/>
      </w:rPr>
      <w:t>ÖNAL c. TURQUIE (N° 2)</w:t>
    </w:r>
    <w:r w:rsidRPr="0028276C">
      <w:rPr>
        <w:lang w:val="fr-FR"/>
      </w:rPr>
      <w:t xml:space="preserve"> - OPINION SEPAREE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57D" w:rsidRPr="0028276C" w:rsidRDefault="00E6757D" w:rsidP="00023970">
    <w:pPr>
      <w:pStyle w:val="ECHRHeader"/>
      <w:rPr>
        <w:lang w:val="fr-FR"/>
      </w:rPr>
    </w:pPr>
    <w:r>
      <w:tab/>
    </w:r>
    <w:r w:rsidRPr="0028276C">
      <w:rPr>
        <w:lang w:val="fr-FR"/>
      </w:rPr>
      <w:t>ARRÊT ÖNAL c. TURQUIE</w:t>
    </w:r>
    <w:r w:rsidR="0028276C" w:rsidRPr="0028276C">
      <w:rPr>
        <w:lang w:val="fr-FR"/>
      </w:rPr>
      <w:t xml:space="preserve"> (</w:t>
    </w:r>
    <w:r w:rsidR="0028276C">
      <w:rPr>
        <w:lang w:val="fr-FR"/>
      </w:rPr>
      <w:t xml:space="preserve">N° </w:t>
    </w:r>
    <w:r w:rsidR="0028276C" w:rsidRPr="0028276C">
      <w:rPr>
        <w:lang w:val="fr-FR"/>
      </w:rPr>
      <w:t xml:space="preserve">2) </w:t>
    </w:r>
    <w:r w:rsidRPr="0028276C">
      <w:rPr>
        <w:lang w:val="fr-FR"/>
      </w:rPr>
      <w:t xml:space="preserve"> – OPINION SEPAREE</w:t>
    </w:r>
    <w:r w:rsidRPr="0028276C">
      <w:rPr>
        <w:lang w:val="fr-FR"/>
      </w:rPr>
      <w:tab/>
    </w:r>
    <w:r>
      <w:rPr>
        <w:rStyle w:val="PageNumber"/>
      </w:rPr>
      <w:fldChar w:fldCharType="begin"/>
    </w:r>
    <w:r w:rsidRPr="0028276C">
      <w:rPr>
        <w:rStyle w:val="PageNumber"/>
        <w:lang w:val="fr-FR"/>
      </w:rPr>
      <w:instrText xml:space="preserve"> PAGE </w:instrText>
    </w:r>
    <w:r>
      <w:rPr>
        <w:rStyle w:val="PageNumber"/>
      </w:rPr>
      <w:fldChar w:fldCharType="separate"/>
    </w:r>
    <w:r w:rsidR="00AD0D26">
      <w:rPr>
        <w:rStyle w:val="PageNumber"/>
        <w:noProof/>
        <w:lang w:val="fr-FR"/>
      </w:rPr>
      <w:t>19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2">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3">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5"/>
  </w:num>
  <w:num w:numId="2">
    <w:abstractNumId w:val="13"/>
  </w:num>
  <w:num w:numId="3">
    <w:abstractNumId w:val="9"/>
  </w:num>
  <w:num w:numId="4">
    <w:abstractNumId w:val="11"/>
  </w:num>
  <w:num w:numId="5">
    <w:abstractNumId w:val="10"/>
  </w:num>
  <w:num w:numId="6">
    <w:abstractNumId w:val="12"/>
  </w:num>
  <w:num w:numId="7">
    <w:abstractNumId w:val="14"/>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82DCC"/>
    <w:rsid w:val="00004051"/>
    <w:rsid w:val="00023970"/>
    <w:rsid w:val="0010458A"/>
    <w:rsid w:val="0011707B"/>
    <w:rsid w:val="0019656C"/>
    <w:rsid w:val="00221C76"/>
    <w:rsid w:val="0024625F"/>
    <w:rsid w:val="0028276C"/>
    <w:rsid w:val="002840A8"/>
    <w:rsid w:val="0030731D"/>
    <w:rsid w:val="00346ADC"/>
    <w:rsid w:val="003D2D00"/>
    <w:rsid w:val="00447427"/>
    <w:rsid w:val="00494742"/>
    <w:rsid w:val="00573027"/>
    <w:rsid w:val="00680680"/>
    <w:rsid w:val="0070349B"/>
    <w:rsid w:val="007A09FD"/>
    <w:rsid w:val="007A534F"/>
    <w:rsid w:val="00811BAA"/>
    <w:rsid w:val="00885C4C"/>
    <w:rsid w:val="008E5DE4"/>
    <w:rsid w:val="00904F40"/>
    <w:rsid w:val="00916664"/>
    <w:rsid w:val="00987519"/>
    <w:rsid w:val="00A44BDF"/>
    <w:rsid w:val="00A81AA3"/>
    <w:rsid w:val="00AB60D0"/>
    <w:rsid w:val="00AD0D26"/>
    <w:rsid w:val="00B82DCC"/>
    <w:rsid w:val="00BB4ABD"/>
    <w:rsid w:val="00C13C27"/>
    <w:rsid w:val="00CA7AE8"/>
    <w:rsid w:val="00CC23E9"/>
    <w:rsid w:val="00E6757D"/>
    <w:rsid w:val="00E901C8"/>
    <w:rsid w:val="00F2773F"/>
    <w:rsid w:val="00F616C1"/>
    <w:rsid w:val="00FF3C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B4ABD"/>
    <w:rPr>
      <w:rFonts w:eastAsiaTheme="minorEastAsia"/>
      <w:sz w:val="24"/>
      <w:lang w:val="fr-FR"/>
    </w:rPr>
  </w:style>
  <w:style w:type="paragraph" w:styleId="Heading1">
    <w:name w:val="heading 1"/>
    <w:basedOn w:val="Normal"/>
    <w:next w:val="Normal"/>
    <w:link w:val="Heading1Char"/>
    <w:uiPriority w:val="99"/>
    <w:semiHidden/>
    <w:rsid w:val="00BB4AB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B4AB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B4AB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B4AB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840A8"/>
    <w:pPr>
      <w:spacing w:before="200"/>
      <w:jc w:val="both"/>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B4AB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840A8"/>
    <w:pPr>
      <w:jc w:val="both"/>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840A8"/>
    <w:pPr>
      <w:jc w:val="both"/>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840A8"/>
    <w:pPr>
      <w:jc w:val="both"/>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B4ABD"/>
    <w:rPr>
      <w:rFonts w:ascii="Tahoma" w:hAnsi="Tahoma" w:cs="Tahoma"/>
      <w:sz w:val="16"/>
      <w:szCs w:val="16"/>
    </w:rPr>
  </w:style>
  <w:style w:type="character" w:customStyle="1" w:styleId="BalloonTextChar">
    <w:name w:val="Balloon Text Char"/>
    <w:basedOn w:val="DefaultParagraphFont"/>
    <w:link w:val="BalloonText"/>
    <w:uiPriority w:val="99"/>
    <w:semiHidden/>
    <w:rsid w:val="00BB4ABD"/>
    <w:rPr>
      <w:rFonts w:ascii="Tahoma" w:eastAsiaTheme="minorEastAsia" w:hAnsi="Tahoma" w:cs="Tahoma"/>
      <w:sz w:val="16"/>
      <w:szCs w:val="16"/>
      <w:lang w:val="fr-FR"/>
    </w:rPr>
  </w:style>
  <w:style w:type="character" w:styleId="BookTitle">
    <w:name w:val="Book Title"/>
    <w:uiPriority w:val="99"/>
    <w:semiHidden/>
    <w:qFormat/>
    <w:rsid w:val="002840A8"/>
    <w:rPr>
      <w:i/>
      <w:iCs/>
      <w:smallCaps/>
      <w:spacing w:val="5"/>
    </w:rPr>
  </w:style>
  <w:style w:type="paragraph" w:customStyle="1" w:styleId="ECHRHeader">
    <w:name w:val="ECHR_Header"/>
    <w:aliases w:val="Ju_Header"/>
    <w:basedOn w:val="Header"/>
    <w:uiPriority w:val="4"/>
    <w:qFormat/>
    <w:rsid w:val="002840A8"/>
    <w:pPr>
      <w:tabs>
        <w:tab w:val="clear" w:pos="4536"/>
        <w:tab w:val="clear" w:pos="9072"/>
        <w:tab w:val="center" w:pos="3686"/>
        <w:tab w:val="right" w:pos="7371"/>
      </w:tabs>
    </w:pPr>
    <w:rPr>
      <w:sz w:val="18"/>
      <w:lang w:val="en-GB"/>
    </w:rPr>
  </w:style>
  <w:style w:type="paragraph" w:customStyle="1" w:styleId="NormalJustified">
    <w:name w:val="Normal_Justified"/>
    <w:basedOn w:val="Normal"/>
    <w:semiHidden/>
    <w:rsid w:val="00BB4ABD"/>
    <w:pPr>
      <w:jc w:val="both"/>
    </w:pPr>
  </w:style>
  <w:style w:type="character" w:styleId="Strong">
    <w:name w:val="Strong"/>
    <w:uiPriority w:val="99"/>
    <w:semiHidden/>
    <w:qFormat/>
    <w:rsid w:val="002840A8"/>
    <w:rPr>
      <w:b/>
      <w:bCs/>
    </w:rPr>
  </w:style>
  <w:style w:type="paragraph" w:styleId="NoSpacing">
    <w:name w:val="No Spacing"/>
    <w:basedOn w:val="Normal"/>
    <w:link w:val="NoSpacingChar"/>
    <w:semiHidden/>
    <w:qFormat/>
    <w:rsid w:val="002840A8"/>
    <w:pPr>
      <w:jc w:val="both"/>
    </w:pPr>
    <w:rPr>
      <w:sz w:val="22"/>
      <w:lang w:val="en-US"/>
    </w:rPr>
  </w:style>
  <w:style w:type="character" w:customStyle="1" w:styleId="NoSpacingChar">
    <w:name w:val="No Spacing Char"/>
    <w:basedOn w:val="DefaultParagraphFont"/>
    <w:link w:val="NoSpacing"/>
    <w:semiHidden/>
    <w:rsid w:val="002840A8"/>
    <w:rPr>
      <w:rFonts w:eastAsiaTheme="minorEastAsia"/>
    </w:rPr>
  </w:style>
  <w:style w:type="paragraph" w:customStyle="1" w:styleId="ECHRParaQuote">
    <w:name w:val="ECHR_Para_Quote"/>
    <w:aliases w:val="Ju_Quot"/>
    <w:basedOn w:val="Normal"/>
    <w:uiPriority w:val="14"/>
    <w:qFormat/>
    <w:rsid w:val="002840A8"/>
    <w:pPr>
      <w:spacing w:before="120" w:after="120"/>
      <w:ind w:left="425" w:firstLine="142"/>
      <w:jc w:val="both"/>
    </w:pPr>
    <w:rPr>
      <w:sz w:val="20"/>
      <w:lang w:val="en-GB"/>
    </w:rPr>
  </w:style>
  <w:style w:type="paragraph" w:customStyle="1" w:styleId="DecList">
    <w:name w:val="Dec_List"/>
    <w:aliases w:val="_List"/>
    <w:basedOn w:val="Normal"/>
    <w:uiPriority w:val="9"/>
    <w:qFormat/>
    <w:rsid w:val="002840A8"/>
    <w:pPr>
      <w:spacing w:before="240"/>
      <w:ind w:left="284"/>
      <w:jc w:val="both"/>
    </w:pPr>
    <w:rPr>
      <w:lang w:val="en-GB"/>
    </w:rPr>
  </w:style>
  <w:style w:type="paragraph" w:customStyle="1" w:styleId="Title4">
    <w:name w:val="_Title_4"/>
    <w:basedOn w:val="JuPara"/>
    <w:next w:val="JuPara"/>
    <w:uiPriority w:val="35"/>
    <w:rsid w:val="00BB4ABD"/>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BB4ABD"/>
    <w:pPr>
      <w:numPr>
        <w:numId w:val="4"/>
      </w:numPr>
    </w:pPr>
  </w:style>
  <w:style w:type="numbering" w:customStyle="1" w:styleId="ECHRA1StyleList">
    <w:name w:val="ECHR_A1_Style_List"/>
    <w:basedOn w:val="NoList"/>
    <w:uiPriority w:val="99"/>
    <w:rsid w:val="00BB4ABD"/>
    <w:pPr>
      <w:numPr>
        <w:numId w:val="5"/>
      </w:numPr>
    </w:pPr>
  </w:style>
  <w:style w:type="paragraph" w:customStyle="1" w:styleId="ECHRTitleCentre3">
    <w:name w:val="ECHR_Title_Centre_3"/>
    <w:aliases w:val="Ju_H_Article"/>
    <w:basedOn w:val="Normal"/>
    <w:next w:val="ECHRParaQuote"/>
    <w:uiPriority w:val="27"/>
    <w:qFormat/>
    <w:rsid w:val="002840A8"/>
    <w:pPr>
      <w:keepNext/>
      <w:keepLines/>
      <w:spacing w:before="240" w:after="120"/>
      <w:jc w:val="center"/>
      <w:outlineLvl w:val="3"/>
    </w:pPr>
    <w:rPr>
      <w:rFonts w:asciiTheme="majorHAnsi" w:hAnsiTheme="majorHAnsi"/>
      <w:b/>
      <w:sz w:val="20"/>
      <w:lang w:val="en-GB" w:bidi="en-US"/>
    </w:rPr>
  </w:style>
  <w:style w:type="numbering" w:customStyle="1" w:styleId="ECHRA1StyleNumberedList">
    <w:name w:val="ECHR_A1_Style_Numbered_List"/>
    <w:basedOn w:val="NoList"/>
    <w:rsid w:val="00BB4ABD"/>
    <w:pPr>
      <w:numPr>
        <w:numId w:val="6"/>
      </w:numPr>
    </w:pPr>
  </w:style>
  <w:style w:type="table" w:customStyle="1" w:styleId="ECHRTable2019">
    <w:name w:val="ECHR_Table_2019"/>
    <w:basedOn w:val="TableNormal"/>
    <w:uiPriority w:val="99"/>
    <w:rsid w:val="00BB4AB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Ju_H_Head"/>
    <w:basedOn w:val="Normal"/>
    <w:next w:val="JuPara"/>
    <w:uiPriority w:val="18"/>
    <w:qFormat/>
    <w:rsid w:val="002840A8"/>
    <w:pPr>
      <w:keepNext/>
      <w:keepLines/>
      <w:spacing w:before="720" w:after="240"/>
      <w:jc w:val="both"/>
      <w:outlineLvl w:val="0"/>
    </w:pPr>
    <w:rPr>
      <w:rFonts w:asciiTheme="majorHAnsi" w:hAnsiTheme="majorHAnsi"/>
      <w:sz w:val="28"/>
      <w:lang w:val="en-GB"/>
    </w:rPr>
  </w:style>
  <w:style w:type="paragraph" w:customStyle="1" w:styleId="JuInitialled">
    <w:name w:val="Ju_Initialled"/>
    <w:aliases w:val="_Right"/>
    <w:basedOn w:val="Normal"/>
    <w:uiPriority w:val="31"/>
    <w:qFormat/>
    <w:rsid w:val="002840A8"/>
    <w:pPr>
      <w:tabs>
        <w:tab w:val="center" w:pos="6407"/>
      </w:tabs>
      <w:spacing w:before="720"/>
      <w:jc w:val="right"/>
    </w:pPr>
    <w:rPr>
      <w:lang w:val="en-GB"/>
    </w:rPr>
  </w:style>
  <w:style w:type="paragraph" w:customStyle="1" w:styleId="JuSigned">
    <w:name w:val="Ju_Signed"/>
    <w:aliases w:val="_Signature"/>
    <w:basedOn w:val="Normal"/>
    <w:next w:val="JuParaLast"/>
    <w:uiPriority w:val="32"/>
    <w:qFormat/>
    <w:rsid w:val="002840A8"/>
    <w:pPr>
      <w:tabs>
        <w:tab w:val="center" w:pos="851"/>
        <w:tab w:val="center" w:pos="6407"/>
      </w:tabs>
      <w:spacing w:before="720"/>
    </w:pPr>
    <w:rPr>
      <w:lang w:val="en-GB"/>
    </w:rPr>
  </w:style>
  <w:style w:type="paragraph" w:styleId="Title">
    <w:name w:val="Title"/>
    <w:basedOn w:val="Normal"/>
    <w:next w:val="Normal"/>
    <w:link w:val="TitleChar"/>
    <w:uiPriority w:val="99"/>
    <w:semiHidden/>
    <w:qFormat/>
    <w:rsid w:val="002840A8"/>
    <w:pPr>
      <w:pBdr>
        <w:bottom w:val="single" w:sz="4" w:space="1" w:color="auto"/>
      </w:pBdr>
      <w:contextualSpacing/>
      <w:jc w:val="both"/>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840A8"/>
    <w:rPr>
      <w:rFonts w:asciiTheme="majorHAnsi" w:eastAsiaTheme="majorEastAsia" w:hAnsiTheme="majorHAnsi" w:cstheme="majorBidi"/>
      <w:spacing w:val="5"/>
      <w:sz w:val="52"/>
      <w:szCs w:val="52"/>
      <w:lang w:bidi="en-US"/>
    </w:rPr>
  </w:style>
  <w:style w:type="paragraph" w:customStyle="1" w:styleId="Footer">
    <w:name w:val="_Footer"/>
    <w:aliases w:val="Footer_"/>
    <w:basedOn w:val="Footer0"/>
    <w:uiPriority w:val="57"/>
    <w:semiHidden/>
    <w:rsid w:val="00BB4ABD"/>
    <w:rPr>
      <w:sz w:val="8"/>
    </w:rPr>
  </w:style>
  <w:style w:type="character" w:customStyle="1" w:styleId="JUNAMES">
    <w:name w:val="JU_NAMES"/>
    <w:uiPriority w:val="17"/>
    <w:qFormat/>
    <w:rsid w:val="002840A8"/>
    <w:rPr>
      <w:caps w:val="0"/>
      <w:smallCaps/>
    </w:rPr>
  </w:style>
  <w:style w:type="character" w:customStyle="1" w:styleId="JuITMark">
    <w:name w:val="Ju_ITMark"/>
    <w:basedOn w:val="DefaultParagraphFont"/>
    <w:uiPriority w:val="38"/>
    <w:qFormat/>
    <w:rsid w:val="002840A8"/>
    <w:rPr>
      <w:vanish w:val="0"/>
      <w:color w:val="auto"/>
      <w:sz w:val="14"/>
      <w:bdr w:val="none" w:sz="0" w:space="0" w:color="auto"/>
      <w:shd w:val="clear" w:color="auto" w:fill="BEE5FF" w:themeFill="background1" w:themeFillTint="33"/>
    </w:rPr>
  </w:style>
  <w:style w:type="character" w:customStyle="1" w:styleId="NoteHeadingChar">
    <w:name w:val="Note Heading Char"/>
    <w:basedOn w:val="DefaultParagraphFont"/>
    <w:link w:val="NoteHeading"/>
    <w:uiPriority w:val="99"/>
    <w:semiHidden/>
    <w:rsid w:val="00BB4ABD"/>
    <w:rPr>
      <w:rFonts w:eastAsiaTheme="minorEastAsia"/>
      <w:sz w:val="24"/>
      <w:lang w:val="fr-FR"/>
    </w:rPr>
  </w:style>
  <w:style w:type="paragraph" w:customStyle="1" w:styleId="JuCourt">
    <w:name w:val="Ju_Court"/>
    <w:basedOn w:val="Normal"/>
    <w:next w:val="Normal"/>
    <w:uiPriority w:val="16"/>
    <w:qFormat/>
    <w:rsid w:val="002840A8"/>
    <w:pPr>
      <w:tabs>
        <w:tab w:val="left" w:pos="907"/>
        <w:tab w:val="left" w:pos="1701"/>
        <w:tab w:val="right" w:pos="7371"/>
      </w:tabs>
      <w:spacing w:before="240"/>
      <w:ind w:left="397" w:hanging="397"/>
    </w:pPr>
    <w:rPr>
      <w:lang w:val="en-GB" w:bidi="en-US"/>
    </w:rPr>
  </w:style>
  <w:style w:type="paragraph" w:customStyle="1" w:styleId="ECHRHeading1">
    <w:name w:val="ECHR_Heading_1"/>
    <w:aliases w:val="Ju_H_I_Roman"/>
    <w:basedOn w:val="Heading1"/>
    <w:next w:val="JuPara"/>
    <w:uiPriority w:val="19"/>
    <w:qFormat/>
    <w:rsid w:val="002840A8"/>
    <w:pPr>
      <w:keepNext/>
      <w:keepLines/>
      <w:tabs>
        <w:tab w:val="left" w:pos="357"/>
      </w:tabs>
      <w:spacing w:before="360" w:after="240"/>
      <w:ind w:left="357" w:hanging="357"/>
      <w:contextualSpacing w:val="0"/>
      <w:jc w:val="both"/>
    </w:pPr>
    <w:rPr>
      <w:b w:val="0"/>
      <w:color w:val="auto"/>
      <w:sz w:val="24"/>
      <w:lang w:val="en-GB"/>
    </w:rPr>
  </w:style>
  <w:style w:type="paragraph" w:customStyle="1" w:styleId="ECHRHeading2">
    <w:name w:val="ECHR_Heading_2"/>
    <w:aliases w:val="Ju_H_A"/>
    <w:basedOn w:val="Heading2"/>
    <w:next w:val="JuPara"/>
    <w:uiPriority w:val="20"/>
    <w:qFormat/>
    <w:rsid w:val="002840A8"/>
    <w:pPr>
      <w:keepNext/>
      <w:keepLines/>
      <w:tabs>
        <w:tab w:val="left" w:pos="584"/>
      </w:tabs>
      <w:spacing w:before="360" w:after="240"/>
      <w:ind w:left="584" w:hanging="352"/>
      <w:jc w:val="both"/>
    </w:pPr>
    <w:rPr>
      <w:color w:val="auto"/>
      <w:sz w:val="24"/>
      <w:lang w:val="en-GB"/>
    </w:rPr>
  </w:style>
  <w:style w:type="paragraph" w:customStyle="1" w:styleId="ECHRHeading3">
    <w:name w:val="ECHR_Heading_3"/>
    <w:aliases w:val="Ju_H_1."/>
    <w:basedOn w:val="Heading3"/>
    <w:next w:val="JuPara"/>
    <w:uiPriority w:val="21"/>
    <w:qFormat/>
    <w:rsid w:val="002840A8"/>
    <w:pPr>
      <w:keepNext/>
      <w:keepLines/>
      <w:tabs>
        <w:tab w:val="left" w:pos="731"/>
      </w:tabs>
      <w:spacing w:before="240" w:after="120" w:line="240" w:lineRule="auto"/>
      <w:ind w:left="732" w:hanging="301"/>
      <w:jc w:val="both"/>
    </w:pPr>
    <w:rPr>
      <w:b w:val="0"/>
      <w:i/>
      <w:color w:val="auto"/>
      <w:lang w:val="en-GB"/>
    </w:rPr>
  </w:style>
  <w:style w:type="paragraph" w:styleId="Header">
    <w:name w:val="header"/>
    <w:basedOn w:val="Normal"/>
    <w:link w:val="HeaderChar"/>
    <w:uiPriority w:val="57"/>
    <w:semiHidden/>
    <w:rsid w:val="00BB4AB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B4ABD"/>
    <w:rPr>
      <w:sz w:val="24"/>
      <w:lang w:val="fr-FR"/>
    </w:rPr>
  </w:style>
  <w:style w:type="character" w:customStyle="1" w:styleId="Heading1Char">
    <w:name w:val="Heading 1 Char"/>
    <w:basedOn w:val="DefaultParagraphFont"/>
    <w:link w:val="Heading1"/>
    <w:uiPriority w:val="99"/>
    <w:semiHidden/>
    <w:rsid w:val="00BB4ABD"/>
    <w:rPr>
      <w:rFonts w:asciiTheme="majorHAnsi" w:eastAsiaTheme="majorEastAsia" w:hAnsiTheme="majorHAnsi" w:cstheme="majorBidi"/>
      <w:b/>
      <w:bCs/>
      <w:color w:val="333333"/>
      <w:sz w:val="28"/>
      <w:szCs w:val="28"/>
      <w:lang w:val="fr-FR"/>
    </w:rPr>
  </w:style>
  <w:style w:type="paragraph" w:customStyle="1" w:styleId="ECHRHeading4">
    <w:name w:val="ECHR_Heading_4"/>
    <w:aliases w:val="Ju_H_a"/>
    <w:basedOn w:val="Heading4"/>
    <w:next w:val="JuPara"/>
    <w:uiPriority w:val="22"/>
    <w:qFormat/>
    <w:rsid w:val="002840A8"/>
    <w:pPr>
      <w:keepNext/>
      <w:keepLines/>
      <w:tabs>
        <w:tab w:val="left" w:pos="975"/>
      </w:tabs>
      <w:spacing w:before="240" w:after="120"/>
      <w:ind w:left="975" w:hanging="340"/>
      <w:jc w:val="both"/>
    </w:pPr>
    <w:rPr>
      <w:i w:val="0"/>
      <w:color w:val="auto"/>
      <w:sz w:val="20"/>
      <w:lang w:val="en-GB"/>
    </w:rPr>
  </w:style>
  <w:style w:type="paragraph" w:customStyle="1" w:styleId="ECHRHeading5">
    <w:name w:val="ECHR_Heading_5"/>
    <w:aliases w:val="Ju_H_i"/>
    <w:basedOn w:val="Heading5"/>
    <w:next w:val="JuPara"/>
    <w:uiPriority w:val="23"/>
    <w:qFormat/>
    <w:rsid w:val="002840A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BB4ABD"/>
    <w:rPr>
      <w:rFonts w:asciiTheme="majorHAnsi" w:eastAsiaTheme="majorEastAsia" w:hAnsiTheme="majorHAnsi" w:cstheme="majorBidi"/>
      <w:b/>
      <w:bCs/>
      <w:color w:val="4D4D4D"/>
      <w:sz w:val="26"/>
      <w:szCs w:val="26"/>
      <w:lang w:val="fr-FR"/>
    </w:rPr>
  </w:style>
  <w:style w:type="paragraph" w:customStyle="1" w:styleId="ECHRHeading6">
    <w:name w:val="ECHR_Heading_6"/>
    <w:aliases w:val="Ju_H_alpha"/>
    <w:basedOn w:val="Heading6"/>
    <w:next w:val="JuPara"/>
    <w:uiPriority w:val="24"/>
    <w:qFormat/>
    <w:rsid w:val="002840A8"/>
    <w:pPr>
      <w:keepNext/>
      <w:keepLines/>
      <w:tabs>
        <w:tab w:val="left" w:pos="1372"/>
      </w:tabs>
      <w:spacing w:before="240" w:after="120" w:line="240" w:lineRule="auto"/>
      <w:ind w:left="1373" w:hanging="335"/>
      <w:jc w:val="both"/>
    </w:pPr>
    <w:rPr>
      <w:b w:val="0"/>
      <w:i w:val="0"/>
      <w:color w:val="auto"/>
      <w:sz w:val="20"/>
      <w:lang w:val="en-GB"/>
    </w:rPr>
  </w:style>
  <w:style w:type="paragraph" w:customStyle="1" w:styleId="ECHRHeading7">
    <w:name w:val="ECHR_Heading_7"/>
    <w:aliases w:val="Ju_H_–"/>
    <w:basedOn w:val="Heading7"/>
    <w:next w:val="JuPara"/>
    <w:uiPriority w:val="25"/>
    <w:qFormat/>
    <w:rsid w:val="002840A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BB4ABD"/>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
    <w:next w:val="JuPara"/>
    <w:uiPriority w:val="30"/>
    <w:qFormat/>
    <w:rsid w:val="002840A8"/>
    <w:pPr>
      <w:keepNext/>
      <w:keepLines/>
      <w:spacing w:before="240"/>
      <w:ind w:firstLine="284"/>
      <w:jc w:val="both"/>
    </w:pPr>
    <w:rPr>
      <w:lang w:val="en-GB"/>
    </w:rPr>
  </w:style>
  <w:style w:type="paragraph" w:customStyle="1" w:styleId="JuList">
    <w:name w:val="Ju_List"/>
    <w:aliases w:val="_List_1"/>
    <w:basedOn w:val="Normal"/>
    <w:uiPriority w:val="28"/>
    <w:qFormat/>
    <w:rsid w:val="002840A8"/>
    <w:pPr>
      <w:ind w:left="340" w:hanging="340"/>
      <w:jc w:val="both"/>
    </w:pPr>
    <w:rPr>
      <w:lang w:val="en-GB"/>
    </w:rPr>
  </w:style>
  <w:style w:type="character" w:customStyle="1" w:styleId="Heading4Char">
    <w:name w:val="Heading 4 Char"/>
    <w:basedOn w:val="DefaultParagraphFont"/>
    <w:link w:val="Heading4"/>
    <w:uiPriority w:val="99"/>
    <w:semiHidden/>
    <w:rsid w:val="00BB4ABD"/>
    <w:rPr>
      <w:rFonts w:asciiTheme="majorHAnsi" w:eastAsiaTheme="majorEastAsia" w:hAnsiTheme="majorHAnsi" w:cstheme="majorBidi"/>
      <w:b/>
      <w:bCs/>
      <w:i/>
      <w:iCs/>
      <w:color w:val="777777"/>
      <w:sz w:val="24"/>
      <w:lang w:val="fr-FR"/>
    </w:rPr>
  </w:style>
  <w:style w:type="paragraph" w:customStyle="1" w:styleId="JuLista">
    <w:name w:val="Ju_List_a"/>
    <w:aliases w:val="_List_2"/>
    <w:basedOn w:val="JuList"/>
    <w:uiPriority w:val="28"/>
    <w:qFormat/>
    <w:rsid w:val="002840A8"/>
    <w:pPr>
      <w:ind w:left="346" w:firstLine="0"/>
    </w:pPr>
  </w:style>
  <w:style w:type="character" w:customStyle="1" w:styleId="Heading5Char">
    <w:name w:val="Heading 5 Char"/>
    <w:basedOn w:val="DefaultParagraphFont"/>
    <w:link w:val="Heading5"/>
    <w:uiPriority w:val="99"/>
    <w:semiHidden/>
    <w:rsid w:val="002840A8"/>
    <w:rPr>
      <w:rFonts w:asciiTheme="majorHAnsi" w:eastAsiaTheme="majorEastAsia" w:hAnsiTheme="majorHAnsi" w:cstheme="majorBidi"/>
      <w:b/>
      <w:bCs/>
      <w:color w:val="808080"/>
    </w:rPr>
  </w:style>
  <w:style w:type="paragraph" w:customStyle="1" w:styleId="JuListi">
    <w:name w:val="Ju_List_i"/>
    <w:aliases w:val="_List_3"/>
    <w:basedOn w:val="Normal"/>
    <w:next w:val="JuLista"/>
    <w:uiPriority w:val="28"/>
    <w:qFormat/>
    <w:rsid w:val="002840A8"/>
    <w:pPr>
      <w:ind w:left="794"/>
      <w:jc w:val="both"/>
    </w:pPr>
    <w:rPr>
      <w:lang w:val="en-GB"/>
    </w:rPr>
  </w:style>
  <w:style w:type="character" w:styleId="SubtleEmphasis">
    <w:name w:val="Subtle Emphasis"/>
    <w:uiPriority w:val="99"/>
    <w:semiHidden/>
    <w:qFormat/>
    <w:rsid w:val="002840A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B4AB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2840A8"/>
    <w:pPr>
      <w:spacing w:after="600"/>
      <w:jc w:val="both"/>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2840A8"/>
    <w:rPr>
      <w:b/>
      <w:bCs/>
      <w:i/>
      <w:iCs/>
      <w:spacing w:val="10"/>
      <w:bdr w:val="none" w:sz="0" w:space="0" w:color="auto"/>
      <w:shd w:val="clear" w:color="auto" w:fill="auto"/>
    </w:rPr>
  </w:style>
  <w:style w:type="paragraph" w:styleId="Footer0">
    <w:name w:val="footer"/>
    <w:basedOn w:val="Normal"/>
    <w:link w:val="FooterChar"/>
    <w:uiPriority w:val="57"/>
    <w:semiHidden/>
    <w:rsid w:val="00BB4ABD"/>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BB4ABD"/>
    <w:rPr>
      <w:sz w:val="24"/>
      <w:lang w:val="fr-FR"/>
    </w:rPr>
  </w:style>
  <w:style w:type="character" w:styleId="FootnoteReference">
    <w:name w:val="footnote reference"/>
    <w:basedOn w:val="DefaultParagraphFont"/>
    <w:uiPriority w:val="99"/>
    <w:semiHidden/>
    <w:rsid w:val="00BB4ABD"/>
    <w:rPr>
      <w:vertAlign w:val="superscript"/>
    </w:rPr>
  </w:style>
  <w:style w:type="paragraph" w:styleId="FootnoteText">
    <w:name w:val="footnote text"/>
    <w:basedOn w:val="Normal"/>
    <w:link w:val="FootnoteTextChar"/>
    <w:uiPriority w:val="99"/>
    <w:semiHidden/>
    <w:rsid w:val="00BB4ABD"/>
    <w:rPr>
      <w:sz w:val="20"/>
      <w:szCs w:val="20"/>
    </w:rPr>
  </w:style>
  <w:style w:type="character" w:customStyle="1" w:styleId="FootnoteTextChar">
    <w:name w:val="Footnote Text Char"/>
    <w:basedOn w:val="DefaultParagraphFont"/>
    <w:link w:val="FootnoteText"/>
    <w:uiPriority w:val="99"/>
    <w:semiHidden/>
    <w:rsid w:val="00BB4ABD"/>
    <w:rPr>
      <w:rFonts w:eastAsiaTheme="minorEastAsia"/>
      <w:sz w:val="20"/>
      <w:szCs w:val="20"/>
      <w:lang w:val="fr-FR"/>
    </w:rPr>
  </w:style>
  <w:style w:type="character" w:customStyle="1" w:styleId="Heading6Char">
    <w:name w:val="Heading 6 Char"/>
    <w:basedOn w:val="DefaultParagraphFont"/>
    <w:link w:val="Heading6"/>
    <w:uiPriority w:val="99"/>
    <w:semiHidden/>
    <w:rsid w:val="00BB4ABD"/>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2840A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840A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840A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B4ABD"/>
    <w:rPr>
      <w:color w:val="0072BC" w:themeColor="hyperlink"/>
      <w:u w:val="single"/>
    </w:rPr>
  </w:style>
  <w:style w:type="character" w:styleId="IntenseEmphasis">
    <w:name w:val="Intense Emphasis"/>
    <w:uiPriority w:val="99"/>
    <w:semiHidden/>
    <w:qFormat/>
    <w:rsid w:val="002840A8"/>
    <w:rPr>
      <w:b/>
      <w:bCs/>
    </w:rPr>
  </w:style>
  <w:style w:type="paragraph" w:styleId="IntenseQuote">
    <w:name w:val="Intense Quote"/>
    <w:basedOn w:val="Normal"/>
    <w:next w:val="Normal"/>
    <w:link w:val="IntenseQuoteChar"/>
    <w:uiPriority w:val="99"/>
    <w:semiHidden/>
    <w:qFormat/>
    <w:rsid w:val="002840A8"/>
    <w:pPr>
      <w:pBdr>
        <w:bottom w:val="single" w:sz="4" w:space="1" w:color="auto"/>
      </w:pBdr>
      <w:spacing w:before="200" w:after="280"/>
      <w:ind w:left="1008" w:right="1152"/>
      <w:jc w:val="both"/>
    </w:pPr>
    <w:rPr>
      <w:b/>
      <w:bCs/>
      <w:i/>
      <w:iCs/>
      <w:sz w:val="22"/>
      <w:lang w:val="en-US" w:bidi="en-US"/>
    </w:rPr>
  </w:style>
  <w:style w:type="character" w:customStyle="1" w:styleId="IntenseQuoteChar">
    <w:name w:val="Intense Quote Char"/>
    <w:basedOn w:val="DefaultParagraphFont"/>
    <w:link w:val="IntenseQuote"/>
    <w:uiPriority w:val="99"/>
    <w:semiHidden/>
    <w:rsid w:val="002840A8"/>
    <w:rPr>
      <w:rFonts w:eastAsiaTheme="minorEastAsia"/>
      <w:b/>
      <w:bCs/>
      <w:i/>
      <w:iCs/>
      <w:lang w:bidi="en-US"/>
    </w:rPr>
  </w:style>
  <w:style w:type="character" w:styleId="IntenseReference">
    <w:name w:val="Intense Reference"/>
    <w:uiPriority w:val="99"/>
    <w:semiHidden/>
    <w:qFormat/>
    <w:rsid w:val="002840A8"/>
    <w:rPr>
      <w:smallCaps/>
      <w:spacing w:val="5"/>
      <w:u w:val="single"/>
    </w:rPr>
  </w:style>
  <w:style w:type="paragraph" w:styleId="ListParagraph">
    <w:name w:val="List Paragraph"/>
    <w:basedOn w:val="Normal"/>
    <w:uiPriority w:val="99"/>
    <w:semiHidden/>
    <w:qFormat/>
    <w:rsid w:val="002840A8"/>
    <w:pPr>
      <w:ind w:left="720"/>
      <w:contextualSpacing/>
      <w:jc w:val="both"/>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840A8"/>
    <w:pPr>
      <w:spacing w:before="200"/>
      <w:ind w:left="360" w:right="360"/>
      <w:jc w:val="both"/>
    </w:pPr>
    <w:rPr>
      <w:i/>
      <w:iCs/>
      <w:sz w:val="22"/>
      <w:lang w:val="en-US" w:bidi="en-US"/>
    </w:rPr>
  </w:style>
  <w:style w:type="character" w:customStyle="1" w:styleId="QuoteChar">
    <w:name w:val="Quote Char"/>
    <w:basedOn w:val="DefaultParagraphFont"/>
    <w:link w:val="Quote"/>
    <w:uiPriority w:val="99"/>
    <w:semiHidden/>
    <w:rsid w:val="002840A8"/>
    <w:rPr>
      <w:rFonts w:eastAsiaTheme="minorEastAsia"/>
      <w:i/>
      <w:iCs/>
      <w:lang w:bidi="en-US"/>
    </w:rPr>
  </w:style>
  <w:style w:type="character" w:styleId="SubtleReference">
    <w:name w:val="Subtle Reference"/>
    <w:uiPriority w:val="99"/>
    <w:semiHidden/>
    <w:qFormat/>
    <w:rsid w:val="002840A8"/>
    <w:rPr>
      <w:smallCaps/>
    </w:rPr>
  </w:style>
  <w:style w:type="table" w:styleId="TableGrid">
    <w:name w:val="Table Grid"/>
    <w:basedOn w:val="TableNormal"/>
    <w:uiPriority w:val="59"/>
    <w:semiHidden/>
    <w:rsid w:val="00BB4AB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B4AB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B4AB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B4AB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B4AB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B4AB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840A8"/>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B4AB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B4AB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BB4AB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B4AB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2840A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BB4ABD"/>
    <w:pPr>
      <w:numPr>
        <w:numId w:val="1"/>
      </w:numPr>
    </w:pPr>
  </w:style>
  <w:style w:type="numbering" w:styleId="1ai">
    <w:name w:val="Outline List 1"/>
    <w:basedOn w:val="NoList"/>
    <w:uiPriority w:val="99"/>
    <w:semiHidden/>
    <w:unhideWhenUsed/>
    <w:rsid w:val="00BB4ABD"/>
    <w:pPr>
      <w:numPr>
        <w:numId w:val="2"/>
      </w:numPr>
    </w:pPr>
  </w:style>
  <w:style w:type="paragraph" w:customStyle="1" w:styleId="JuPara">
    <w:name w:val="Ju_Para"/>
    <w:aliases w:val="_Para,ECHR_Para"/>
    <w:basedOn w:val="Normal"/>
    <w:link w:val="ECHRParaChar"/>
    <w:uiPriority w:val="12"/>
    <w:qFormat/>
    <w:rsid w:val="002840A8"/>
    <w:pPr>
      <w:ind w:firstLine="284"/>
      <w:jc w:val="both"/>
    </w:pPr>
    <w:rPr>
      <w:lang w:val="en-GB"/>
    </w:rPr>
  </w:style>
  <w:style w:type="numbering" w:styleId="ArticleSection">
    <w:name w:val="Outline List 3"/>
    <w:basedOn w:val="NoList"/>
    <w:uiPriority w:val="99"/>
    <w:semiHidden/>
    <w:unhideWhenUsed/>
    <w:rsid w:val="00BB4ABD"/>
    <w:pPr>
      <w:numPr>
        <w:numId w:val="3"/>
      </w:numPr>
    </w:pPr>
  </w:style>
  <w:style w:type="table" w:customStyle="1" w:styleId="ECHRTableSimpleBox">
    <w:name w:val="ECHR_Table_Simple_Box"/>
    <w:basedOn w:val="TableNormal"/>
    <w:uiPriority w:val="99"/>
    <w:rsid w:val="00BB4AB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B4AB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BB4ABD"/>
  </w:style>
  <w:style w:type="table" w:customStyle="1" w:styleId="ECHRTableForInternalUse">
    <w:name w:val="ECHR_Table_For_Internal_Use"/>
    <w:basedOn w:val="TableNormal"/>
    <w:uiPriority w:val="99"/>
    <w:rsid w:val="00BB4AB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BB4AB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BB4ABD"/>
    <w:pPr>
      <w:spacing w:after="120"/>
    </w:pPr>
  </w:style>
  <w:style w:type="table" w:customStyle="1" w:styleId="ECHRHeaderTable">
    <w:name w:val="ECHR_Header_Table"/>
    <w:basedOn w:val="TableNormal"/>
    <w:uiPriority w:val="99"/>
    <w:rsid w:val="00BB4AB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BB4ABD"/>
    <w:rPr>
      <w:rFonts w:eastAsiaTheme="minorEastAsia"/>
      <w:sz w:val="24"/>
      <w:lang w:val="fr-FR"/>
    </w:rPr>
  </w:style>
  <w:style w:type="paragraph" w:styleId="BodyText2">
    <w:name w:val="Body Text 2"/>
    <w:basedOn w:val="Normal"/>
    <w:link w:val="BodyText2Char"/>
    <w:uiPriority w:val="99"/>
    <w:semiHidden/>
    <w:rsid w:val="00BB4ABD"/>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link w:val="JuJudgesChar"/>
    <w:uiPriority w:val="11"/>
    <w:qFormat/>
    <w:rsid w:val="002840A8"/>
    <w:pPr>
      <w:tabs>
        <w:tab w:val="left" w:pos="567"/>
        <w:tab w:val="left" w:pos="1134"/>
      </w:tabs>
    </w:pPr>
    <w:rPr>
      <w:lang w:val="en-GB"/>
    </w:rPr>
  </w:style>
  <w:style w:type="table" w:customStyle="1" w:styleId="ECHRHeaderTableReduced">
    <w:name w:val="ECHR_Header_Table_Reduced"/>
    <w:basedOn w:val="TableNormal"/>
    <w:uiPriority w:val="99"/>
    <w:rsid w:val="00BB4AB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BB4ABD"/>
    <w:pPr>
      <w:ind w:firstLine="284"/>
    </w:pPr>
    <w:rPr>
      <w:b/>
    </w:rPr>
  </w:style>
  <w:style w:type="character" w:styleId="PageNumber">
    <w:name w:val="page number"/>
    <w:uiPriority w:val="99"/>
    <w:semiHidden/>
    <w:rsid w:val="00BB4ABD"/>
    <w:rPr>
      <w:sz w:val="18"/>
    </w:rPr>
  </w:style>
  <w:style w:type="paragraph" w:styleId="ListBullet2">
    <w:name w:val="List Bullet 2"/>
    <w:basedOn w:val="Normal"/>
    <w:uiPriority w:val="99"/>
    <w:semiHidden/>
    <w:rsid w:val="00BB4ABD"/>
    <w:pPr>
      <w:numPr>
        <w:numId w:val="8"/>
      </w:numPr>
      <w:contextualSpacing/>
    </w:pPr>
  </w:style>
  <w:style w:type="character" w:customStyle="1" w:styleId="BodyText2Char">
    <w:name w:val="Body Text 2 Char"/>
    <w:basedOn w:val="DefaultParagraphFont"/>
    <w:link w:val="BodyText2"/>
    <w:uiPriority w:val="99"/>
    <w:semiHidden/>
    <w:rsid w:val="00BB4ABD"/>
    <w:rPr>
      <w:rFonts w:eastAsiaTheme="minorEastAsia"/>
      <w:sz w:val="24"/>
      <w:lang w:val="fr-FR"/>
    </w:rPr>
  </w:style>
  <w:style w:type="paragraph" w:styleId="BodyText3">
    <w:name w:val="Body Text 3"/>
    <w:basedOn w:val="Normal"/>
    <w:link w:val="BodyText3Char"/>
    <w:uiPriority w:val="99"/>
    <w:semiHidden/>
    <w:rsid w:val="00BB4ABD"/>
    <w:pPr>
      <w:spacing w:after="120"/>
    </w:pPr>
    <w:rPr>
      <w:sz w:val="16"/>
      <w:szCs w:val="16"/>
    </w:rPr>
  </w:style>
  <w:style w:type="character" w:customStyle="1" w:styleId="BodyText3Char">
    <w:name w:val="Body Text 3 Char"/>
    <w:basedOn w:val="DefaultParagraphFont"/>
    <w:link w:val="BodyText3"/>
    <w:uiPriority w:val="99"/>
    <w:semiHidden/>
    <w:rsid w:val="00BB4ABD"/>
    <w:rPr>
      <w:rFonts w:eastAsiaTheme="minorEastAsia"/>
      <w:sz w:val="16"/>
      <w:szCs w:val="16"/>
      <w:lang w:val="fr-FR"/>
    </w:rPr>
  </w:style>
  <w:style w:type="paragraph" w:styleId="BodyTextFirstIndent">
    <w:name w:val="Body Text First Indent"/>
    <w:basedOn w:val="BodyText"/>
    <w:link w:val="BodyTextFirstIndentChar"/>
    <w:uiPriority w:val="99"/>
    <w:semiHidden/>
    <w:rsid w:val="00BB4ABD"/>
    <w:pPr>
      <w:spacing w:after="0"/>
      <w:ind w:firstLine="360"/>
    </w:pPr>
  </w:style>
  <w:style w:type="character" w:customStyle="1" w:styleId="BodyTextFirstIndentChar">
    <w:name w:val="Body Text First Indent Char"/>
    <w:basedOn w:val="BodyTextChar"/>
    <w:link w:val="BodyTextFirstIndent"/>
    <w:uiPriority w:val="99"/>
    <w:semiHidden/>
    <w:rsid w:val="00BB4ABD"/>
    <w:rPr>
      <w:rFonts w:eastAsiaTheme="minorEastAsia"/>
      <w:sz w:val="24"/>
      <w:lang w:val="fr-FR"/>
    </w:rPr>
  </w:style>
  <w:style w:type="paragraph" w:styleId="BodyTextIndent">
    <w:name w:val="Body Text Indent"/>
    <w:basedOn w:val="Normal"/>
    <w:link w:val="BodyTextIndentChar"/>
    <w:uiPriority w:val="99"/>
    <w:semiHidden/>
    <w:rsid w:val="00BB4ABD"/>
    <w:pPr>
      <w:spacing w:after="120"/>
      <w:ind w:left="283"/>
    </w:pPr>
  </w:style>
  <w:style w:type="character" w:customStyle="1" w:styleId="BodyTextIndentChar">
    <w:name w:val="Body Text Indent Char"/>
    <w:basedOn w:val="DefaultParagraphFont"/>
    <w:link w:val="BodyTextIndent"/>
    <w:uiPriority w:val="99"/>
    <w:semiHidden/>
    <w:rsid w:val="00BB4ABD"/>
    <w:rPr>
      <w:rFonts w:eastAsiaTheme="minorEastAsia"/>
      <w:sz w:val="24"/>
      <w:lang w:val="fr-FR"/>
    </w:rPr>
  </w:style>
  <w:style w:type="paragraph" w:styleId="BodyTextFirstIndent2">
    <w:name w:val="Body Text First Indent 2"/>
    <w:basedOn w:val="BodyTextIndent"/>
    <w:link w:val="BodyTextFirstIndent2Char"/>
    <w:uiPriority w:val="99"/>
    <w:semiHidden/>
    <w:rsid w:val="00BB4ABD"/>
    <w:pPr>
      <w:spacing w:after="0"/>
      <w:ind w:left="360" w:firstLine="360"/>
    </w:pPr>
  </w:style>
  <w:style w:type="character" w:customStyle="1" w:styleId="BodyTextFirstIndent2Char">
    <w:name w:val="Body Text First Indent 2 Char"/>
    <w:basedOn w:val="BodyTextIndentChar"/>
    <w:link w:val="BodyTextFirstIndent2"/>
    <w:uiPriority w:val="99"/>
    <w:semiHidden/>
    <w:rsid w:val="00BB4ABD"/>
    <w:rPr>
      <w:rFonts w:eastAsiaTheme="minorEastAsia"/>
      <w:sz w:val="24"/>
      <w:lang w:val="fr-FR"/>
    </w:rPr>
  </w:style>
  <w:style w:type="paragraph" w:styleId="BodyTextIndent2">
    <w:name w:val="Body Text Indent 2"/>
    <w:basedOn w:val="Normal"/>
    <w:link w:val="BodyTextIndent2Char"/>
    <w:uiPriority w:val="99"/>
    <w:semiHidden/>
    <w:rsid w:val="00BB4ABD"/>
    <w:pPr>
      <w:spacing w:after="120" w:line="480" w:lineRule="auto"/>
      <w:ind w:left="283"/>
    </w:pPr>
  </w:style>
  <w:style w:type="character" w:customStyle="1" w:styleId="BodyTextIndent2Char">
    <w:name w:val="Body Text Indent 2 Char"/>
    <w:basedOn w:val="DefaultParagraphFont"/>
    <w:link w:val="BodyTextIndent2"/>
    <w:uiPriority w:val="99"/>
    <w:semiHidden/>
    <w:rsid w:val="00BB4ABD"/>
    <w:rPr>
      <w:rFonts w:eastAsiaTheme="minorEastAsia"/>
      <w:sz w:val="24"/>
      <w:lang w:val="fr-FR"/>
    </w:rPr>
  </w:style>
  <w:style w:type="paragraph" w:styleId="BodyTextIndent3">
    <w:name w:val="Body Text Indent 3"/>
    <w:basedOn w:val="Normal"/>
    <w:link w:val="BodyTextIndent3Char"/>
    <w:uiPriority w:val="99"/>
    <w:semiHidden/>
    <w:rsid w:val="00BB4AB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B4ABD"/>
    <w:rPr>
      <w:rFonts w:eastAsiaTheme="minorEastAsia"/>
      <w:sz w:val="16"/>
      <w:szCs w:val="16"/>
      <w:lang w:val="fr-FR"/>
    </w:rPr>
  </w:style>
  <w:style w:type="paragraph" w:styleId="Caption">
    <w:name w:val="caption"/>
    <w:basedOn w:val="Normal"/>
    <w:next w:val="Normal"/>
    <w:uiPriority w:val="99"/>
    <w:semiHidden/>
    <w:qFormat/>
    <w:rsid w:val="00BB4ABD"/>
    <w:pPr>
      <w:spacing w:after="200"/>
      <w:jc w:val="both"/>
    </w:pPr>
    <w:rPr>
      <w:b/>
      <w:bCs/>
      <w:color w:val="0072BC" w:themeColor="accent1"/>
      <w:sz w:val="18"/>
      <w:szCs w:val="18"/>
      <w:lang w:val="en-GB"/>
    </w:rPr>
  </w:style>
  <w:style w:type="paragraph" w:styleId="Closing">
    <w:name w:val="Closing"/>
    <w:basedOn w:val="Normal"/>
    <w:link w:val="ClosingChar"/>
    <w:uiPriority w:val="99"/>
    <w:semiHidden/>
    <w:rsid w:val="00BB4ABD"/>
    <w:pPr>
      <w:ind w:left="4252"/>
    </w:pPr>
  </w:style>
  <w:style w:type="character" w:customStyle="1" w:styleId="ClosingChar">
    <w:name w:val="Closing Char"/>
    <w:basedOn w:val="DefaultParagraphFont"/>
    <w:link w:val="Closing"/>
    <w:uiPriority w:val="99"/>
    <w:semiHidden/>
    <w:rsid w:val="00BB4ABD"/>
    <w:rPr>
      <w:rFonts w:eastAsiaTheme="minorEastAsia"/>
      <w:sz w:val="24"/>
      <w:lang w:val="fr-FR"/>
    </w:rPr>
  </w:style>
  <w:style w:type="table" w:styleId="ColorfulGrid">
    <w:name w:val="Colorful Grid"/>
    <w:basedOn w:val="TableNormal"/>
    <w:uiPriority w:val="73"/>
    <w:semiHidden/>
    <w:rsid w:val="00BB4AB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B4AB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B4AB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B4AB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B4AB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B4AB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B4AB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B4AB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B4AB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B4AB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B4AB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B4AB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B4AB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B4AB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B4AB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B4AB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B4AB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B4AB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B4AB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B4AB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B4AB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BB4ABD"/>
    <w:rPr>
      <w:sz w:val="16"/>
      <w:szCs w:val="16"/>
    </w:rPr>
  </w:style>
  <w:style w:type="paragraph" w:styleId="CommentText">
    <w:name w:val="annotation text"/>
    <w:basedOn w:val="Normal"/>
    <w:link w:val="CommentTextChar"/>
    <w:semiHidden/>
    <w:rsid w:val="00BB4ABD"/>
    <w:rPr>
      <w:sz w:val="20"/>
      <w:szCs w:val="20"/>
    </w:rPr>
  </w:style>
  <w:style w:type="character" w:customStyle="1" w:styleId="CommentTextChar">
    <w:name w:val="Comment Text Char"/>
    <w:basedOn w:val="DefaultParagraphFont"/>
    <w:link w:val="CommentText"/>
    <w:semiHidden/>
    <w:rsid w:val="00BB4ABD"/>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BB4ABD"/>
    <w:rPr>
      <w:b/>
      <w:bCs/>
    </w:rPr>
  </w:style>
  <w:style w:type="character" w:customStyle="1" w:styleId="CommentSubjectChar">
    <w:name w:val="Comment Subject Char"/>
    <w:basedOn w:val="CommentTextChar"/>
    <w:link w:val="CommentSubject"/>
    <w:uiPriority w:val="99"/>
    <w:semiHidden/>
    <w:rsid w:val="00BB4ABD"/>
    <w:rPr>
      <w:rFonts w:eastAsiaTheme="minorEastAsia"/>
      <w:b/>
      <w:bCs/>
      <w:sz w:val="20"/>
      <w:szCs w:val="20"/>
      <w:lang w:val="fr-FR"/>
    </w:rPr>
  </w:style>
  <w:style w:type="table" w:styleId="DarkList">
    <w:name w:val="Dark List"/>
    <w:basedOn w:val="TableNormal"/>
    <w:uiPriority w:val="70"/>
    <w:semiHidden/>
    <w:rsid w:val="00BB4AB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B4AB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B4AB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B4AB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B4AB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B4AB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B4AB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BB4ABD"/>
  </w:style>
  <w:style w:type="character" w:customStyle="1" w:styleId="DateChar">
    <w:name w:val="Date Char"/>
    <w:basedOn w:val="DefaultParagraphFont"/>
    <w:link w:val="Date"/>
    <w:uiPriority w:val="99"/>
    <w:semiHidden/>
    <w:rsid w:val="00BB4ABD"/>
    <w:rPr>
      <w:rFonts w:eastAsiaTheme="minorEastAsia"/>
      <w:sz w:val="24"/>
      <w:lang w:val="fr-FR"/>
    </w:rPr>
  </w:style>
  <w:style w:type="paragraph" w:styleId="DocumentMap">
    <w:name w:val="Document Map"/>
    <w:basedOn w:val="Normal"/>
    <w:link w:val="DocumentMapChar"/>
    <w:uiPriority w:val="99"/>
    <w:semiHidden/>
    <w:rsid w:val="00BB4ABD"/>
    <w:rPr>
      <w:rFonts w:ascii="Tahoma" w:hAnsi="Tahoma" w:cs="Tahoma"/>
      <w:sz w:val="16"/>
      <w:szCs w:val="16"/>
    </w:rPr>
  </w:style>
  <w:style w:type="character" w:customStyle="1" w:styleId="DocumentMapChar">
    <w:name w:val="Document Map Char"/>
    <w:basedOn w:val="DefaultParagraphFont"/>
    <w:link w:val="DocumentMap"/>
    <w:uiPriority w:val="99"/>
    <w:semiHidden/>
    <w:rsid w:val="00BB4ABD"/>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BB4ABD"/>
  </w:style>
  <w:style w:type="character" w:customStyle="1" w:styleId="E-mailSignatureChar">
    <w:name w:val="E-mail Signature Char"/>
    <w:basedOn w:val="DefaultParagraphFont"/>
    <w:link w:val="E-mailSignature"/>
    <w:uiPriority w:val="99"/>
    <w:semiHidden/>
    <w:rsid w:val="00BB4ABD"/>
    <w:rPr>
      <w:rFonts w:eastAsiaTheme="minorEastAsia"/>
      <w:sz w:val="24"/>
      <w:lang w:val="fr-FR"/>
    </w:rPr>
  </w:style>
  <w:style w:type="character" w:styleId="EndnoteReference">
    <w:name w:val="endnote reference"/>
    <w:basedOn w:val="DefaultParagraphFont"/>
    <w:uiPriority w:val="99"/>
    <w:semiHidden/>
    <w:rsid w:val="00BB4ABD"/>
    <w:rPr>
      <w:vertAlign w:val="superscript"/>
    </w:rPr>
  </w:style>
  <w:style w:type="paragraph" w:styleId="EndnoteText">
    <w:name w:val="endnote text"/>
    <w:basedOn w:val="Normal"/>
    <w:link w:val="EndnoteTextChar"/>
    <w:uiPriority w:val="99"/>
    <w:semiHidden/>
    <w:rsid w:val="00BB4ABD"/>
    <w:rPr>
      <w:sz w:val="20"/>
      <w:szCs w:val="20"/>
    </w:rPr>
  </w:style>
  <w:style w:type="character" w:customStyle="1" w:styleId="EndnoteTextChar">
    <w:name w:val="Endnote Text Char"/>
    <w:basedOn w:val="DefaultParagraphFont"/>
    <w:link w:val="EndnoteText"/>
    <w:uiPriority w:val="99"/>
    <w:semiHidden/>
    <w:rsid w:val="00BB4ABD"/>
    <w:rPr>
      <w:rFonts w:eastAsiaTheme="minorEastAsia"/>
      <w:sz w:val="20"/>
      <w:szCs w:val="20"/>
      <w:lang w:val="fr-FR"/>
    </w:rPr>
  </w:style>
  <w:style w:type="paragraph" w:styleId="EnvelopeAddress">
    <w:name w:val="envelope address"/>
    <w:basedOn w:val="Normal"/>
    <w:uiPriority w:val="99"/>
    <w:semiHidden/>
    <w:rsid w:val="00BB4AB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BB4AB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BB4ABD"/>
    <w:rPr>
      <w:color w:val="7030A0" w:themeColor="followedHyperlink"/>
      <w:u w:val="single"/>
    </w:rPr>
  </w:style>
  <w:style w:type="character" w:styleId="HTMLAcronym">
    <w:name w:val="HTML Acronym"/>
    <w:basedOn w:val="DefaultParagraphFont"/>
    <w:uiPriority w:val="99"/>
    <w:semiHidden/>
    <w:rsid w:val="00BB4ABD"/>
  </w:style>
  <w:style w:type="paragraph" w:styleId="HTMLAddress">
    <w:name w:val="HTML Address"/>
    <w:basedOn w:val="Normal"/>
    <w:link w:val="HTMLAddressChar"/>
    <w:uiPriority w:val="99"/>
    <w:semiHidden/>
    <w:rsid w:val="00BB4ABD"/>
    <w:rPr>
      <w:i/>
      <w:iCs/>
    </w:rPr>
  </w:style>
  <w:style w:type="character" w:customStyle="1" w:styleId="HTMLAddressChar">
    <w:name w:val="HTML Address Char"/>
    <w:basedOn w:val="DefaultParagraphFont"/>
    <w:link w:val="HTMLAddress"/>
    <w:uiPriority w:val="99"/>
    <w:semiHidden/>
    <w:rsid w:val="00BB4ABD"/>
    <w:rPr>
      <w:rFonts w:eastAsiaTheme="minorEastAsia"/>
      <w:i/>
      <w:iCs/>
      <w:sz w:val="24"/>
      <w:lang w:val="fr-FR"/>
    </w:rPr>
  </w:style>
  <w:style w:type="character" w:styleId="HTMLCite">
    <w:name w:val="HTML Cite"/>
    <w:basedOn w:val="DefaultParagraphFont"/>
    <w:uiPriority w:val="99"/>
    <w:semiHidden/>
    <w:rsid w:val="00BB4ABD"/>
    <w:rPr>
      <w:i/>
      <w:iCs/>
    </w:rPr>
  </w:style>
  <w:style w:type="character" w:styleId="HTMLCode">
    <w:name w:val="HTML Code"/>
    <w:basedOn w:val="DefaultParagraphFont"/>
    <w:uiPriority w:val="99"/>
    <w:semiHidden/>
    <w:rsid w:val="00BB4ABD"/>
    <w:rPr>
      <w:rFonts w:ascii="Consolas" w:hAnsi="Consolas" w:cs="Consolas"/>
      <w:sz w:val="20"/>
      <w:szCs w:val="20"/>
    </w:rPr>
  </w:style>
  <w:style w:type="character" w:styleId="HTMLDefinition">
    <w:name w:val="HTML Definition"/>
    <w:basedOn w:val="DefaultParagraphFont"/>
    <w:uiPriority w:val="99"/>
    <w:semiHidden/>
    <w:rsid w:val="00BB4ABD"/>
    <w:rPr>
      <w:i/>
      <w:iCs/>
    </w:rPr>
  </w:style>
  <w:style w:type="character" w:styleId="HTMLKeyboard">
    <w:name w:val="HTML Keyboard"/>
    <w:basedOn w:val="DefaultParagraphFont"/>
    <w:uiPriority w:val="99"/>
    <w:semiHidden/>
    <w:rsid w:val="00BB4ABD"/>
    <w:rPr>
      <w:rFonts w:ascii="Consolas" w:hAnsi="Consolas" w:cs="Consolas"/>
      <w:sz w:val="20"/>
      <w:szCs w:val="20"/>
    </w:rPr>
  </w:style>
  <w:style w:type="paragraph" w:styleId="HTMLPreformatted">
    <w:name w:val="HTML Preformatted"/>
    <w:basedOn w:val="Normal"/>
    <w:link w:val="HTMLPreformattedChar"/>
    <w:uiPriority w:val="99"/>
    <w:semiHidden/>
    <w:rsid w:val="00BB4AB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B4ABD"/>
    <w:rPr>
      <w:rFonts w:ascii="Consolas" w:eastAsiaTheme="minorEastAsia" w:hAnsi="Consolas" w:cs="Consolas"/>
      <w:sz w:val="20"/>
      <w:szCs w:val="20"/>
      <w:lang w:val="fr-FR"/>
    </w:rPr>
  </w:style>
  <w:style w:type="character" w:styleId="HTMLSample">
    <w:name w:val="HTML Sample"/>
    <w:basedOn w:val="DefaultParagraphFont"/>
    <w:uiPriority w:val="99"/>
    <w:semiHidden/>
    <w:rsid w:val="00BB4ABD"/>
    <w:rPr>
      <w:rFonts w:ascii="Consolas" w:hAnsi="Consolas" w:cs="Consolas"/>
      <w:sz w:val="24"/>
      <w:szCs w:val="24"/>
    </w:rPr>
  </w:style>
  <w:style w:type="character" w:styleId="HTMLTypewriter">
    <w:name w:val="HTML Typewriter"/>
    <w:basedOn w:val="DefaultParagraphFont"/>
    <w:uiPriority w:val="99"/>
    <w:semiHidden/>
    <w:rsid w:val="00BB4ABD"/>
    <w:rPr>
      <w:rFonts w:ascii="Consolas" w:hAnsi="Consolas" w:cs="Consolas"/>
      <w:sz w:val="20"/>
      <w:szCs w:val="20"/>
    </w:rPr>
  </w:style>
  <w:style w:type="character" w:styleId="HTMLVariable">
    <w:name w:val="HTML Variable"/>
    <w:basedOn w:val="DefaultParagraphFont"/>
    <w:uiPriority w:val="99"/>
    <w:semiHidden/>
    <w:rsid w:val="00BB4ABD"/>
    <w:rPr>
      <w:i/>
      <w:iCs/>
    </w:rPr>
  </w:style>
  <w:style w:type="paragraph" w:styleId="Index1">
    <w:name w:val="index 1"/>
    <w:basedOn w:val="Normal"/>
    <w:next w:val="Normal"/>
    <w:autoRedefine/>
    <w:uiPriority w:val="99"/>
    <w:semiHidden/>
    <w:rsid w:val="00BB4ABD"/>
    <w:pPr>
      <w:ind w:left="240" w:hanging="240"/>
    </w:pPr>
  </w:style>
  <w:style w:type="paragraph" w:styleId="Index2">
    <w:name w:val="index 2"/>
    <w:basedOn w:val="Normal"/>
    <w:next w:val="Normal"/>
    <w:autoRedefine/>
    <w:uiPriority w:val="99"/>
    <w:semiHidden/>
    <w:rsid w:val="00BB4ABD"/>
    <w:pPr>
      <w:ind w:left="480" w:hanging="240"/>
    </w:pPr>
  </w:style>
  <w:style w:type="paragraph" w:styleId="Index3">
    <w:name w:val="index 3"/>
    <w:basedOn w:val="Normal"/>
    <w:next w:val="Normal"/>
    <w:autoRedefine/>
    <w:uiPriority w:val="99"/>
    <w:semiHidden/>
    <w:rsid w:val="00BB4ABD"/>
    <w:pPr>
      <w:ind w:left="720" w:hanging="240"/>
    </w:pPr>
  </w:style>
  <w:style w:type="paragraph" w:styleId="Index4">
    <w:name w:val="index 4"/>
    <w:basedOn w:val="Normal"/>
    <w:next w:val="Normal"/>
    <w:autoRedefine/>
    <w:uiPriority w:val="99"/>
    <w:semiHidden/>
    <w:rsid w:val="00BB4ABD"/>
    <w:pPr>
      <w:ind w:left="960" w:hanging="240"/>
    </w:pPr>
  </w:style>
  <w:style w:type="paragraph" w:styleId="Index5">
    <w:name w:val="index 5"/>
    <w:basedOn w:val="Normal"/>
    <w:next w:val="Normal"/>
    <w:autoRedefine/>
    <w:uiPriority w:val="99"/>
    <w:semiHidden/>
    <w:rsid w:val="00BB4ABD"/>
    <w:pPr>
      <w:ind w:left="1200" w:hanging="240"/>
    </w:pPr>
  </w:style>
  <w:style w:type="paragraph" w:styleId="Index6">
    <w:name w:val="index 6"/>
    <w:basedOn w:val="Normal"/>
    <w:next w:val="Normal"/>
    <w:autoRedefine/>
    <w:uiPriority w:val="99"/>
    <w:semiHidden/>
    <w:rsid w:val="00BB4ABD"/>
    <w:pPr>
      <w:ind w:left="1440" w:hanging="240"/>
    </w:pPr>
  </w:style>
  <w:style w:type="paragraph" w:styleId="Index7">
    <w:name w:val="index 7"/>
    <w:basedOn w:val="Normal"/>
    <w:next w:val="Normal"/>
    <w:autoRedefine/>
    <w:uiPriority w:val="99"/>
    <w:semiHidden/>
    <w:rsid w:val="00BB4ABD"/>
    <w:pPr>
      <w:ind w:left="1680" w:hanging="240"/>
    </w:pPr>
  </w:style>
  <w:style w:type="paragraph" w:styleId="Index8">
    <w:name w:val="index 8"/>
    <w:basedOn w:val="Normal"/>
    <w:next w:val="Normal"/>
    <w:autoRedefine/>
    <w:uiPriority w:val="99"/>
    <w:semiHidden/>
    <w:rsid w:val="00BB4ABD"/>
    <w:pPr>
      <w:ind w:left="1920" w:hanging="240"/>
    </w:pPr>
  </w:style>
  <w:style w:type="paragraph" w:styleId="Index9">
    <w:name w:val="index 9"/>
    <w:basedOn w:val="Normal"/>
    <w:next w:val="Normal"/>
    <w:autoRedefine/>
    <w:uiPriority w:val="99"/>
    <w:semiHidden/>
    <w:rsid w:val="00BB4ABD"/>
    <w:pPr>
      <w:ind w:left="2160" w:hanging="240"/>
    </w:pPr>
  </w:style>
  <w:style w:type="paragraph" w:styleId="IndexHeading">
    <w:name w:val="index heading"/>
    <w:basedOn w:val="Normal"/>
    <w:next w:val="Index1"/>
    <w:uiPriority w:val="99"/>
    <w:semiHidden/>
    <w:rsid w:val="00BB4ABD"/>
    <w:rPr>
      <w:rFonts w:asciiTheme="majorHAnsi" w:eastAsiaTheme="majorEastAsia" w:hAnsiTheme="majorHAnsi" w:cstheme="majorBidi"/>
      <w:b/>
      <w:bCs/>
    </w:rPr>
  </w:style>
  <w:style w:type="table" w:styleId="LightGrid">
    <w:name w:val="Light Grid"/>
    <w:basedOn w:val="TableNormal"/>
    <w:uiPriority w:val="62"/>
    <w:semiHidden/>
    <w:rsid w:val="00BB4AB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B4AB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B4AB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B4AB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B4AB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B4AB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B4AB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B4AB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B4AB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B4AB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B4AB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B4AB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B4AB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B4AB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B4AB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B4AB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B4AB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B4AB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B4AB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B4AB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B4AB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BB4ABD"/>
  </w:style>
  <w:style w:type="paragraph" w:styleId="List">
    <w:name w:val="List"/>
    <w:basedOn w:val="Normal"/>
    <w:uiPriority w:val="99"/>
    <w:semiHidden/>
    <w:rsid w:val="00BB4ABD"/>
    <w:pPr>
      <w:ind w:left="283" w:hanging="283"/>
      <w:contextualSpacing/>
    </w:pPr>
  </w:style>
  <w:style w:type="paragraph" w:styleId="List2">
    <w:name w:val="List 2"/>
    <w:basedOn w:val="Normal"/>
    <w:uiPriority w:val="99"/>
    <w:semiHidden/>
    <w:rsid w:val="00BB4ABD"/>
    <w:pPr>
      <w:ind w:left="566" w:hanging="283"/>
      <w:contextualSpacing/>
    </w:pPr>
  </w:style>
  <w:style w:type="paragraph" w:styleId="List3">
    <w:name w:val="List 3"/>
    <w:basedOn w:val="Normal"/>
    <w:uiPriority w:val="99"/>
    <w:semiHidden/>
    <w:rsid w:val="00BB4ABD"/>
    <w:pPr>
      <w:ind w:left="849" w:hanging="283"/>
      <w:contextualSpacing/>
    </w:pPr>
  </w:style>
  <w:style w:type="paragraph" w:styleId="List4">
    <w:name w:val="List 4"/>
    <w:basedOn w:val="Normal"/>
    <w:uiPriority w:val="99"/>
    <w:semiHidden/>
    <w:rsid w:val="00BB4ABD"/>
    <w:pPr>
      <w:ind w:left="1132" w:hanging="283"/>
      <w:contextualSpacing/>
    </w:pPr>
  </w:style>
  <w:style w:type="paragraph" w:styleId="List5">
    <w:name w:val="List 5"/>
    <w:basedOn w:val="Normal"/>
    <w:uiPriority w:val="99"/>
    <w:semiHidden/>
    <w:rsid w:val="00BB4ABD"/>
    <w:pPr>
      <w:ind w:left="1415" w:hanging="283"/>
      <w:contextualSpacing/>
    </w:pPr>
  </w:style>
  <w:style w:type="paragraph" w:styleId="ListBullet">
    <w:name w:val="List Bullet"/>
    <w:basedOn w:val="Normal"/>
    <w:uiPriority w:val="99"/>
    <w:semiHidden/>
    <w:rsid w:val="00BB4ABD"/>
    <w:pPr>
      <w:numPr>
        <w:numId w:val="7"/>
      </w:numPr>
    </w:pPr>
  </w:style>
  <w:style w:type="paragraph" w:styleId="ListBullet3">
    <w:name w:val="List Bullet 3"/>
    <w:basedOn w:val="Normal"/>
    <w:uiPriority w:val="99"/>
    <w:semiHidden/>
    <w:rsid w:val="00BB4ABD"/>
    <w:pPr>
      <w:numPr>
        <w:numId w:val="9"/>
      </w:numPr>
      <w:contextualSpacing/>
    </w:pPr>
  </w:style>
  <w:style w:type="paragraph" w:styleId="ListBullet4">
    <w:name w:val="List Bullet 4"/>
    <w:basedOn w:val="Normal"/>
    <w:uiPriority w:val="99"/>
    <w:semiHidden/>
    <w:rsid w:val="00BB4ABD"/>
    <w:pPr>
      <w:numPr>
        <w:numId w:val="10"/>
      </w:numPr>
      <w:contextualSpacing/>
    </w:pPr>
  </w:style>
  <w:style w:type="paragraph" w:styleId="ListBullet5">
    <w:name w:val="List Bullet 5"/>
    <w:basedOn w:val="Normal"/>
    <w:uiPriority w:val="99"/>
    <w:semiHidden/>
    <w:rsid w:val="00BB4ABD"/>
    <w:pPr>
      <w:numPr>
        <w:numId w:val="11"/>
      </w:numPr>
      <w:contextualSpacing/>
    </w:pPr>
  </w:style>
  <w:style w:type="paragraph" w:styleId="ListContinue">
    <w:name w:val="List Continue"/>
    <w:basedOn w:val="Normal"/>
    <w:uiPriority w:val="99"/>
    <w:semiHidden/>
    <w:rsid w:val="00BB4ABD"/>
    <w:pPr>
      <w:spacing w:after="120"/>
      <w:ind w:left="283"/>
      <w:contextualSpacing/>
    </w:pPr>
  </w:style>
  <w:style w:type="paragraph" w:styleId="ListContinue2">
    <w:name w:val="List Continue 2"/>
    <w:basedOn w:val="Normal"/>
    <w:uiPriority w:val="99"/>
    <w:semiHidden/>
    <w:rsid w:val="00BB4ABD"/>
    <w:pPr>
      <w:spacing w:after="120"/>
      <w:ind w:left="566"/>
      <w:contextualSpacing/>
    </w:pPr>
  </w:style>
  <w:style w:type="paragraph" w:styleId="ListContinue3">
    <w:name w:val="List Continue 3"/>
    <w:basedOn w:val="Normal"/>
    <w:uiPriority w:val="99"/>
    <w:semiHidden/>
    <w:rsid w:val="00BB4ABD"/>
    <w:pPr>
      <w:spacing w:after="120"/>
      <w:ind w:left="849"/>
      <w:contextualSpacing/>
    </w:pPr>
  </w:style>
  <w:style w:type="paragraph" w:styleId="ListContinue4">
    <w:name w:val="List Continue 4"/>
    <w:basedOn w:val="Normal"/>
    <w:uiPriority w:val="99"/>
    <w:semiHidden/>
    <w:rsid w:val="00BB4ABD"/>
    <w:pPr>
      <w:spacing w:after="120"/>
      <w:ind w:left="1132"/>
      <w:contextualSpacing/>
    </w:pPr>
  </w:style>
  <w:style w:type="paragraph" w:styleId="ListContinue5">
    <w:name w:val="List Continue 5"/>
    <w:basedOn w:val="Normal"/>
    <w:uiPriority w:val="99"/>
    <w:semiHidden/>
    <w:rsid w:val="00BB4ABD"/>
    <w:pPr>
      <w:spacing w:after="120"/>
      <w:ind w:left="1415"/>
      <w:contextualSpacing/>
    </w:pPr>
  </w:style>
  <w:style w:type="paragraph" w:styleId="ListNumber">
    <w:name w:val="List Number"/>
    <w:basedOn w:val="Normal"/>
    <w:uiPriority w:val="99"/>
    <w:semiHidden/>
    <w:rsid w:val="00BB4ABD"/>
    <w:pPr>
      <w:numPr>
        <w:numId w:val="12"/>
      </w:numPr>
      <w:contextualSpacing/>
    </w:pPr>
  </w:style>
  <w:style w:type="paragraph" w:styleId="ListNumber2">
    <w:name w:val="List Number 2"/>
    <w:basedOn w:val="Normal"/>
    <w:uiPriority w:val="99"/>
    <w:semiHidden/>
    <w:rsid w:val="00BB4ABD"/>
    <w:pPr>
      <w:numPr>
        <w:numId w:val="13"/>
      </w:numPr>
      <w:contextualSpacing/>
    </w:pPr>
  </w:style>
  <w:style w:type="paragraph" w:styleId="ListNumber3">
    <w:name w:val="List Number 3"/>
    <w:basedOn w:val="Normal"/>
    <w:uiPriority w:val="99"/>
    <w:semiHidden/>
    <w:rsid w:val="00BB4ABD"/>
    <w:pPr>
      <w:numPr>
        <w:numId w:val="14"/>
      </w:numPr>
      <w:contextualSpacing/>
    </w:pPr>
  </w:style>
  <w:style w:type="paragraph" w:styleId="ListNumber4">
    <w:name w:val="List Number 4"/>
    <w:basedOn w:val="Normal"/>
    <w:uiPriority w:val="99"/>
    <w:semiHidden/>
    <w:rsid w:val="00BB4ABD"/>
    <w:pPr>
      <w:numPr>
        <w:numId w:val="15"/>
      </w:numPr>
      <w:contextualSpacing/>
    </w:pPr>
  </w:style>
  <w:style w:type="paragraph" w:styleId="ListNumber5">
    <w:name w:val="List Number 5"/>
    <w:basedOn w:val="Normal"/>
    <w:uiPriority w:val="99"/>
    <w:semiHidden/>
    <w:rsid w:val="00BB4ABD"/>
    <w:pPr>
      <w:numPr>
        <w:numId w:val="16"/>
      </w:numPr>
      <w:contextualSpacing/>
    </w:pPr>
  </w:style>
  <w:style w:type="paragraph" w:styleId="MacroText">
    <w:name w:val="macro"/>
    <w:link w:val="MacroTextChar"/>
    <w:uiPriority w:val="99"/>
    <w:semiHidden/>
    <w:rsid w:val="00BB4AB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BB4ABD"/>
    <w:rPr>
      <w:rFonts w:ascii="Consolas" w:eastAsiaTheme="minorEastAsia" w:hAnsi="Consolas" w:cs="Consolas"/>
      <w:sz w:val="20"/>
      <w:szCs w:val="20"/>
    </w:rPr>
  </w:style>
  <w:style w:type="table" w:styleId="MediumGrid1">
    <w:name w:val="Medium Grid 1"/>
    <w:basedOn w:val="TableNormal"/>
    <w:uiPriority w:val="67"/>
    <w:semiHidden/>
    <w:rsid w:val="00BB4AB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B4AB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B4AB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B4AB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B4AB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B4AB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B4AB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B4AB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B4AB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B4AB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B4AB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B4AB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B4AB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B4AB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B4AB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B4AB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B4AB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B4AB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B4AB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B4AB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B4AB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B4AB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B4AB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B4AB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B4AB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B4AB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B4AB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B4AB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B4AB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B4AB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B4AB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B4AB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B4AB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B4AB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B4AB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B4AB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B4AB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B4AB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B4AB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B4AB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B4AB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B4AB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B4AB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B4AB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B4AB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B4AB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B4AB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B4AB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B4AB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BB4AB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BB4ABD"/>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BB4ABD"/>
    <w:rPr>
      <w:rFonts w:ascii="Times New Roman" w:hAnsi="Times New Roman" w:cs="Times New Roman"/>
      <w:szCs w:val="24"/>
    </w:rPr>
  </w:style>
  <w:style w:type="paragraph" w:styleId="NormalIndent">
    <w:name w:val="Normal Indent"/>
    <w:basedOn w:val="Normal"/>
    <w:uiPriority w:val="99"/>
    <w:semiHidden/>
    <w:rsid w:val="00BB4ABD"/>
    <w:pPr>
      <w:ind w:left="720"/>
    </w:pPr>
  </w:style>
  <w:style w:type="character" w:styleId="PlaceholderText">
    <w:name w:val="Placeholder Text"/>
    <w:basedOn w:val="DefaultParagraphFont"/>
    <w:uiPriority w:val="99"/>
    <w:rsid w:val="00BB4AB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BB4ABD"/>
    <w:rPr>
      <w:rFonts w:ascii="Consolas" w:hAnsi="Consolas" w:cs="Consolas"/>
      <w:sz w:val="21"/>
      <w:szCs w:val="21"/>
    </w:rPr>
  </w:style>
  <w:style w:type="character" w:customStyle="1" w:styleId="PlainTextChar">
    <w:name w:val="Plain Text Char"/>
    <w:basedOn w:val="DefaultParagraphFont"/>
    <w:link w:val="PlainText"/>
    <w:uiPriority w:val="99"/>
    <w:semiHidden/>
    <w:rsid w:val="00BB4ABD"/>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BB4ABD"/>
  </w:style>
  <w:style w:type="character" w:customStyle="1" w:styleId="SalutationChar">
    <w:name w:val="Salutation Char"/>
    <w:basedOn w:val="DefaultParagraphFont"/>
    <w:link w:val="Salutation"/>
    <w:uiPriority w:val="99"/>
    <w:semiHidden/>
    <w:rsid w:val="00BB4ABD"/>
    <w:rPr>
      <w:rFonts w:eastAsiaTheme="minorEastAsia"/>
      <w:sz w:val="24"/>
      <w:lang w:val="fr-FR"/>
    </w:rPr>
  </w:style>
  <w:style w:type="paragraph" w:styleId="Signature">
    <w:name w:val="Signature"/>
    <w:basedOn w:val="Normal"/>
    <w:link w:val="SignatureChar"/>
    <w:uiPriority w:val="99"/>
    <w:semiHidden/>
    <w:rsid w:val="00BB4ABD"/>
    <w:pPr>
      <w:ind w:left="4252"/>
    </w:pPr>
  </w:style>
  <w:style w:type="character" w:customStyle="1" w:styleId="SignatureChar">
    <w:name w:val="Signature Char"/>
    <w:basedOn w:val="DefaultParagraphFont"/>
    <w:link w:val="Signature"/>
    <w:uiPriority w:val="99"/>
    <w:semiHidden/>
    <w:rsid w:val="00BB4ABD"/>
    <w:rPr>
      <w:rFonts w:eastAsiaTheme="minorEastAsia"/>
      <w:sz w:val="24"/>
      <w:lang w:val="fr-FR"/>
    </w:rPr>
  </w:style>
  <w:style w:type="table" w:styleId="Table3Deffects1">
    <w:name w:val="Table 3D effects 1"/>
    <w:basedOn w:val="TableNormal"/>
    <w:uiPriority w:val="99"/>
    <w:semiHidden/>
    <w:unhideWhenUsed/>
    <w:rsid w:val="00BB4AB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B4AB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B4AB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B4AB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B4AB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B4AB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B4AB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B4AB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B4AB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B4AB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B4AB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B4AB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B4AB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B4AB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B4AB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B4AB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B4AB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B4AB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B4AB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B4AB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B4AB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B4AB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B4AB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B4AB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B4AB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B4AB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B4AB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B4AB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B4AB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B4AB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B4AB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B4AB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B4AB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BB4ABD"/>
    <w:pPr>
      <w:ind w:left="240" w:hanging="240"/>
    </w:pPr>
  </w:style>
  <w:style w:type="paragraph" w:styleId="TableofFigures">
    <w:name w:val="table of figures"/>
    <w:basedOn w:val="Normal"/>
    <w:next w:val="Normal"/>
    <w:uiPriority w:val="99"/>
    <w:semiHidden/>
    <w:rsid w:val="00BB4ABD"/>
  </w:style>
  <w:style w:type="table" w:styleId="TableProfessional">
    <w:name w:val="Table Professional"/>
    <w:basedOn w:val="TableNormal"/>
    <w:uiPriority w:val="99"/>
    <w:semiHidden/>
    <w:unhideWhenUsed/>
    <w:rsid w:val="00BB4AB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B4AB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B4AB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B4AB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B4AB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B4AB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B4AB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B4AB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B4AB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B4AB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B4AB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B4AB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BB4ABD"/>
    <w:pPr>
      <w:spacing w:after="100"/>
      <w:ind w:left="1680"/>
    </w:pPr>
  </w:style>
  <w:style w:type="paragraph" w:styleId="TOC9">
    <w:name w:val="toc 9"/>
    <w:basedOn w:val="Normal"/>
    <w:next w:val="Normal"/>
    <w:autoRedefine/>
    <w:uiPriority w:val="99"/>
    <w:semiHidden/>
    <w:rsid w:val="00BB4ABD"/>
    <w:pPr>
      <w:spacing w:after="100"/>
      <w:ind w:left="1920"/>
    </w:pPr>
  </w:style>
  <w:style w:type="paragraph" w:customStyle="1" w:styleId="DecHTitle">
    <w:name w:val="Dec_H_Title"/>
    <w:aliases w:val="_Title_1"/>
    <w:basedOn w:val="ECHRTitleCentre1"/>
    <w:uiPriority w:val="7"/>
    <w:qFormat/>
    <w:rsid w:val="002840A8"/>
  </w:style>
  <w:style w:type="paragraph" w:customStyle="1" w:styleId="ECHRFooter">
    <w:name w:val="ECHR_Footer"/>
    <w:aliases w:val="Footer_ECHR"/>
    <w:basedOn w:val="Footer0"/>
    <w:uiPriority w:val="57"/>
    <w:semiHidden/>
    <w:rsid w:val="00D20A92"/>
    <w:rPr>
      <w:sz w:val="8"/>
    </w:rPr>
  </w:style>
  <w:style w:type="paragraph" w:customStyle="1" w:styleId="FooterLine">
    <w:name w:val="_Footer_Line"/>
    <w:aliases w:val="Footer_Line"/>
    <w:basedOn w:val="Normal"/>
    <w:next w:val="Footer"/>
    <w:uiPriority w:val="57"/>
    <w:semiHidden/>
    <w:rsid w:val="00BB4ABD"/>
    <w:pPr>
      <w:pBdr>
        <w:top w:val="single" w:sz="6" w:space="1" w:color="5F5F5F"/>
      </w:pBdr>
      <w:tabs>
        <w:tab w:val="center" w:pos="4536"/>
        <w:tab w:val="right" w:pos="9696"/>
      </w:tabs>
      <w:ind w:left="-680" w:right="-680"/>
    </w:pPr>
    <w:rPr>
      <w:color w:val="5F5F5F"/>
    </w:rPr>
  </w:style>
  <w:style w:type="paragraph" w:customStyle="1" w:styleId="ECHRTitleCentre2">
    <w:name w:val="ECHR_Title_Centre_2"/>
    <w:aliases w:val="Dec_H_Case"/>
    <w:basedOn w:val="Normal"/>
    <w:next w:val="JuPara"/>
    <w:uiPriority w:val="8"/>
    <w:qFormat/>
    <w:rsid w:val="002840A8"/>
    <w:pPr>
      <w:spacing w:after="240"/>
      <w:jc w:val="center"/>
      <w:outlineLvl w:val="0"/>
    </w:pPr>
    <w:rPr>
      <w:rFonts w:asciiTheme="majorHAnsi" w:hAnsiTheme="majorHAnsi"/>
      <w:lang w:val="en-GB"/>
    </w:rPr>
  </w:style>
  <w:style w:type="paragraph" w:customStyle="1" w:styleId="JuHeaderLandscape">
    <w:name w:val="Ju_Header_Landscape"/>
    <w:aliases w:val="_Header_Landscape"/>
    <w:basedOn w:val="ECHRHeader"/>
    <w:uiPriority w:val="4"/>
    <w:qFormat/>
    <w:rsid w:val="002840A8"/>
    <w:pPr>
      <w:tabs>
        <w:tab w:val="clear" w:pos="3686"/>
        <w:tab w:val="clear" w:pos="7371"/>
        <w:tab w:val="center" w:pos="6146"/>
        <w:tab w:val="right" w:pos="12293"/>
      </w:tabs>
    </w:pPr>
  </w:style>
  <w:style w:type="paragraph" w:customStyle="1" w:styleId="JuTitle">
    <w:name w:val="Ju_Title"/>
    <w:aliases w:val="_Title_2"/>
    <w:basedOn w:val="Normal"/>
    <w:next w:val="JuPara"/>
    <w:uiPriority w:val="3"/>
    <w:qFormat/>
    <w:rsid w:val="002840A8"/>
    <w:pPr>
      <w:spacing w:before="720" w:after="240"/>
      <w:jc w:val="center"/>
      <w:outlineLvl w:val="0"/>
    </w:pPr>
    <w:rPr>
      <w:rFonts w:asciiTheme="majorHAnsi" w:hAnsiTheme="majorHAnsi"/>
      <w:b/>
      <w:caps/>
      <w:lang w:val="en-GB"/>
    </w:rPr>
  </w:style>
  <w:style w:type="paragraph" w:styleId="NoteHeading">
    <w:name w:val="Note Heading"/>
    <w:basedOn w:val="Normal"/>
    <w:next w:val="Normal"/>
    <w:link w:val="NoteHeadingChar"/>
    <w:uiPriority w:val="99"/>
    <w:semiHidden/>
    <w:rsid w:val="00BB4ABD"/>
  </w:style>
  <w:style w:type="character" w:customStyle="1" w:styleId="ECHRParaChar">
    <w:name w:val="ECHR_Para Char"/>
    <w:aliases w:val="Ju_Para Char,_Para Char"/>
    <w:link w:val="JuPara"/>
    <w:uiPriority w:val="12"/>
    <w:rsid w:val="00B82DCC"/>
    <w:rPr>
      <w:rFonts w:eastAsiaTheme="minorEastAsia"/>
      <w:sz w:val="24"/>
      <w:lang w:val="en-GB"/>
    </w:rPr>
  </w:style>
  <w:style w:type="character" w:customStyle="1" w:styleId="JuJudgesChar">
    <w:name w:val="Ju_Judges Char"/>
    <w:link w:val="ECHRDecisionBody"/>
    <w:uiPriority w:val="11"/>
    <w:rsid w:val="0070349B"/>
    <w:rPr>
      <w:rFonts w:eastAsiaTheme="minorEastAsia"/>
      <w:sz w:val="24"/>
      <w:lang w:val="en-GB"/>
    </w:rPr>
  </w:style>
  <w:style w:type="paragraph" w:customStyle="1" w:styleId="JuAppQuestion">
    <w:name w:val="Ju_App_Question"/>
    <w:basedOn w:val="Normal"/>
    <w:uiPriority w:val="5"/>
    <w:semiHidden/>
    <w:qFormat/>
    <w:rsid w:val="002840A8"/>
    <w:pPr>
      <w:numPr>
        <w:numId w:val="17"/>
      </w:numPr>
    </w:pPr>
    <w:rPr>
      <w:b/>
      <w:lang w:val="en-GB"/>
    </w:rPr>
  </w:style>
  <w:style w:type="paragraph" w:customStyle="1" w:styleId="OpiPara">
    <w:name w:val="Opi_Para"/>
    <w:basedOn w:val="JuPara"/>
    <w:uiPriority w:val="46"/>
    <w:qFormat/>
    <w:rsid w:val="002840A8"/>
  </w:style>
  <w:style w:type="paragraph" w:customStyle="1" w:styleId="JuParaSub">
    <w:name w:val="Ju_Para_Sub"/>
    <w:basedOn w:val="JuPara"/>
    <w:uiPriority w:val="13"/>
    <w:qFormat/>
    <w:rsid w:val="002840A8"/>
    <w:pPr>
      <w:ind w:left="284"/>
    </w:pPr>
  </w:style>
  <w:style w:type="paragraph" w:customStyle="1" w:styleId="OpiParaSub">
    <w:name w:val="Opi_Para_Sub"/>
    <w:basedOn w:val="JuParaSub"/>
    <w:uiPriority w:val="47"/>
    <w:qFormat/>
    <w:rsid w:val="002840A8"/>
  </w:style>
  <w:style w:type="paragraph" w:customStyle="1" w:styleId="OpiQuot">
    <w:name w:val="Opi_Quot"/>
    <w:basedOn w:val="ECHRParaQuote"/>
    <w:uiPriority w:val="48"/>
    <w:qFormat/>
    <w:rsid w:val="002840A8"/>
  </w:style>
  <w:style w:type="paragraph" w:customStyle="1" w:styleId="OpiQuotSub">
    <w:name w:val="Opi_Quot_Sub"/>
    <w:basedOn w:val="JuQuotSub"/>
    <w:uiPriority w:val="49"/>
    <w:qFormat/>
    <w:rsid w:val="002840A8"/>
  </w:style>
  <w:style w:type="paragraph" w:customStyle="1" w:styleId="ECHRTitleCentre1">
    <w:name w:val="ECHR_Title_Centre_1"/>
    <w:aliases w:val="Opi_H_Head"/>
    <w:basedOn w:val="Normal"/>
    <w:next w:val="OpiPara"/>
    <w:uiPriority w:val="39"/>
    <w:qFormat/>
    <w:rsid w:val="002840A8"/>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2840A8"/>
    <w:pPr>
      <w:ind w:left="567"/>
    </w:pPr>
  </w:style>
  <w:style w:type="paragraph" w:customStyle="1" w:styleId="OpiHA">
    <w:name w:val="Opi_H_A"/>
    <w:basedOn w:val="ECHRHeading1"/>
    <w:next w:val="OpiPara"/>
    <w:uiPriority w:val="41"/>
    <w:qFormat/>
    <w:rsid w:val="002840A8"/>
    <w:rPr>
      <w:b/>
      <w:bCs w:val="0"/>
      <w:caps/>
    </w:rPr>
  </w:style>
  <w:style w:type="paragraph" w:customStyle="1" w:styleId="OpiTranslation">
    <w:name w:val="Opi_Translation"/>
    <w:basedOn w:val="Normal"/>
    <w:next w:val="OpiPara"/>
    <w:uiPriority w:val="40"/>
    <w:qFormat/>
    <w:rsid w:val="002840A8"/>
    <w:pPr>
      <w:jc w:val="center"/>
      <w:outlineLvl w:val="0"/>
    </w:pPr>
    <w:rPr>
      <w:i/>
      <w:lang w:val="en-GB"/>
    </w:rPr>
  </w:style>
  <w:style w:type="paragraph" w:customStyle="1" w:styleId="OpiH1">
    <w:name w:val="Opi_H_1"/>
    <w:basedOn w:val="ECHRHeading2"/>
    <w:uiPriority w:val="42"/>
    <w:qFormat/>
    <w:rsid w:val="002840A8"/>
    <w:pPr>
      <w:ind w:left="635" w:hanging="357"/>
      <w:outlineLvl w:val="2"/>
    </w:pPr>
  </w:style>
  <w:style w:type="paragraph" w:customStyle="1" w:styleId="OpiHa0">
    <w:name w:val="Opi_H_a"/>
    <w:basedOn w:val="ECHRHeading3"/>
    <w:uiPriority w:val="43"/>
    <w:qFormat/>
    <w:rsid w:val="002840A8"/>
    <w:pPr>
      <w:ind w:left="833" w:hanging="357"/>
      <w:outlineLvl w:val="3"/>
    </w:pPr>
    <w:rPr>
      <w:b/>
      <w:i w:val="0"/>
      <w:sz w:val="20"/>
    </w:rPr>
  </w:style>
  <w:style w:type="paragraph" w:customStyle="1" w:styleId="OpiHi">
    <w:name w:val="Opi_H_i"/>
    <w:basedOn w:val="ECHRHeading4"/>
    <w:uiPriority w:val="44"/>
    <w:qFormat/>
    <w:rsid w:val="002840A8"/>
    <w:pPr>
      <w:ind w:left="1037" w:hanging="357"/>
      <w:outlineLvl w:val="4"/>
    </w:pPr>
    <w:rPr>
      <w:b w:val="0"/>
      <w:i/>
    </w:rPr>
  </w:style>
  <w:style w:type="paragraph" w:customStyle="1" w:styleId="DummyStyle">
    <w:name w:val="Dummy_Style"/>
    <w:basedOn w:val="Normal"/>
    <w:semiHidden/>
    <w:qFormat/>
    <w:rsid w:val="002840A8"/>
    <w:pPr>
      <w:jc w:val="both"/>
    </w:pPr>
    <w:rPr>
      <w:color w:val="00B050"/>
      <w:lang w:val="en-GB"/>
    </w:rPr>
  </w:style>
  <w:style w:type="paragraph" w:customStyle="1" w:styleId="jupara0">
    <w:name w:val="jupara"/>
    <w:basedOn w:val="Normal"/>
    <w:rsid w:val="00AD0D26"/>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AD0D26"/>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C25397-D5F7-4BE3-900B-834DD198313F}"/>
</file>

<file path=customXml/itemProps2.xml><?xml version="1.0" encoding="utf-8"?>
<ds:datastoreItem xmlns:ds="http://schemas.openxmlformats.org/officeDocument/2006/customXml" ds:itemID="{22510704-3279-4BBC-AF99-79A78E36C32E}"/>
</file>

<file path=customXml/itemProps3.xml><?xml version="1.0" encoding="utf-8"?>
<ds:datastoreItem xmlns:ds="http://schemas.openxmlformats.org/officeDocument/2006/customXml" ds:itemID="{A6CCFD39-ADE1-4E45-B5A7-FE1DB4D909C0}"/>
</file>

<file path=customXml/itemProps4.xml><?xml version="1.0" encoding="utf-8"?>
<ds:datastoreItem xmlns:ds="http://schemas.openxmlformats.org/officeDocument/2006/customXml" ds:itemID="{AD65AF87-DD0F-4F8C-8E98-5E5FF7DDE60A}"/>
</file>

<file path=docProps/app.xml><?xml version="1.0" encoding="utf-8"?>
<Properties xmlns="http://schemas.openxmlformats.org/officeDocument/2006/extended-properties" xmlns:vt="http://schemas.openxmlformats.org/officeDocument/2006/docPropsVTypes">
  <Template>Normal.dotm</Template>
  <TotalTime>0</TotalTime>
  <Pages>1</Pages>
  <Words>7988</Words>
  <Characters>45537</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53419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2020-01-24T14:02:00Z</dcterms:created>
  <dcterms:modified xsi:type="dcterms:W3CDTF">2020-01-24T14:02:00Z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44982/07</vt:lpwstr>
  </property>
  <property fmtid="{D5CDD505-2E9C-101B-9397-08002B2CF9AE}" pid="4" name="CASEID">
    <vt:lpwstr>472512</vt:lpwstr>
  </property>
  <property fmtid="{D5CDD505-2E9C-101B-9397-08002B2CF9AE}" pid="5" name="ContentTypeId">
    <vt:lpwstr>0x010100558EB02BDB9E204AB350EDD385B68E10</vt:lpwstr>
  </property>
</Properties>
</file>