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65958" w:rsidR="008A47E6" w:rsidP="00C65958" w:rsidRDefault="008A47E6">
      <w:pPr>
        <w:pStyle w:val="DecHCase"/>
      </w:pPr>
      <w:bookmarkStart w:name="_GoBack" w:id="0"/>
      <w:bookmarkEnd w:id="0"/>
    </w:p>
    <w:p w:rsidRPr="00C65958" w:rsidR="00D420F3" w:rsidP="00C65958" w:rsidRDefault="00A761F0">
      <w:pPr>
        <w:pStyle w:val="DecHCase"/>
      </w:pPr>
      <w:r w:rsidRPr="00C65958">
        <w:t>SECOND SECTION</w:t>
      </w:r>
    </w:p>
    <w:p w:rsidRPr="00C65958" w:rsidR="00C65958" w:rsidP="00C65958" w:rsidRDefault="00C65958">
      <w:pPr>
        <w:pStyle w:val="JuPara"/>
      </w:pPr>
    </w:p>
    <w:p w:rsidRPr="00C65958" w:rsidR="00D420F3" w:rsidP="00C65958" w:rsidRDefault="0077175D">
      <w:pPr>
        <w:pStyle w:val="JuTitle"/>
      </w:pPr>
      <w:bookmarkStart w:name="To" w:id="1"/>
      <w:r w:rsidRPr="00C65958">
        <w:t xml:space="preserve">CASE OF </w:t>
      </w:r>
      <w:bookmarkEnd w:id="1"/>
      <w:r w:rsidRPr="00C65958" w:rsidR="00A761F0">
        <w:t>BE</w:t>
      </w:r>
      <w:r w:rsidRPr="00C65958" w:rsidR="00B856DB">
        <w:rPr>
          <w:lang w:val="ro-RO"/>
        </w:rPr>
        <w:t>Ș</w:t>
      </w:r>
      <w:r w:rsidRPr="00C65958" w:rsidR="00A761F0">
        <w:t>LEAG</w:t>
      </w:r>
      <w:r w:rsidRPr="00C65958" w:rsidR="00B856DB">
        <w:t>Ă</w:t>
      </w:r>
      <w:r w:rsidRPr="00C65958" w:rsidR="00C7679A">
        <w:t xml:space="preserve"> v. THE REPUBLIC OF MOLDOVA</w:t>
      </w:r>
      <w:r w:rsidRPr="00C65958" w:rsidR="00C7282C">
        <w:br/>
      </w:r>
      <w:r w:rsidRPr="00C65958" w:rsidR="00A761F0">
        <w:t>AND RUSSIA</w:t>
      </w:r>
    </w:p>
    <w:p w:rsidRPr="00C65958" w:rsidR="00D420F3" w:rsidP="00C65958" w:rsidRDefault="0077175D">
      <w:pPr>
        <w:pStyle w:val="Title4"/>
      </w:pPr>
      <w:r w:rsidRPr="00C65958">
        <w:t>(</w:t>
      </w:r>
      <w:r w:rsidRPr="00C65958" w:rsidR="00A761F0">
        <w:t>Application no. 48108/07</w:t>
      </w:r>
      <w:r w:rsidRPr="00C65958">
        <w:t>)</w:t>
      </w:r>
    </w:p>
    <w:p w:rsidRPr="00C65958" w:rsidR="00D420F3" w:rsidP="00C65958" w:rsidRDefault="00D420F3">
      <w:pPr>
        <w:pStyle w:val="DecHCase"/>
      </w:pPr>
    </w:p>
    <w:p w:rsidRPr="00C65958" w:rsidR="00D420F3" w:rsidP="00C65958" w:rsidRDefault="00D420F3">
      <w:pPr>
        <w:pStyle w:val="DecHCase"/>
      </w:pPr>
    </w:p>
    <w:p w:rsidRPr="00C65958" w:rsidR="00D420F3" w:rsidP="00C65958" w:rsidRDefault="00D420F3">
      <w:pPr>
        <w:pStyle w:val="DecHCase"/>
      </w:pPr>
    </w:p>
    <w:p w:rsidRPr="00C65958" w:rsidR="00D420F3" w:rsidP="00C65958" w:rsidRDefault="00C7282C">
      <w:pPr>
        <w:pStyle w:val="DecHCase"/>
      </w:pPr>
      <w:r w:rsidRPr="00C65958">
        <w:t>JUDGMENT</w:t>
      </w:r>
    </w:p>
    <w:p w:rsidRPr="00C65958" w:rsidR="005C19C6" w:rsidP="00C65958" w:rsidRDefault="005C19C6">
      <w:pPr>
        <w:pStyle w:val="JuPara"/>
        <w:ind w:firstLine="0"/>
        <w:jc w:val="center"/>
      </w:pPr>
    </w:p>
    <w:p w:rsidRPr="00C65958" w:rsidR="00C65958" w:rsidP="00C65958" w:rsidRDefault="00C65958">
      <w:pPr>
        <w:pStyle w:val="JuPara"/>
        <w:ind w:firstLine="0"/>
        <w:jc w:val="center"/>
      </w:pPr>
    </w:p>
    <w:p w:rsidRPr="00C65958" w:rsidR="00C65958" w:rsidP="00C65958" w:rsidRDefault="00C65958">
      <w:pPr>
        <w:pStyle w:val="JuPara"/>
        <w:ind w:firstLine="0"/>
        <w:jc w:val="center"/>
      </w:pPr>
    </w:p>
    <w:p w:rsidRPr="00C65958" w:rsidR="00C65958" w:rsidP="00C65958" w:rsidRDefault="00C65958">
      <w:pPr>
        <w:pStyle w:val="JuPara"/>
        <w:ind w:firstLine="0"/>
        <w:jc w:val="center"/>
      </w:pPr>
    </w:p>
    <w:p w:rsidRPr="00C65958" w:rsidR="00C7282C" w:rsidP="00C65958" w:rsidRDefault="00C7282C">
      <w:pPr>
        <w:pStyle w:val="DecHCase"/>
      </w:pPr>
      <w:r w:rsidRPr="00C65958">
        <w:t>STRASBOURG</w:t>
      </w:r>
    </w:p>
    <w:p w:rsidRPr="00C65958" w:rsidR="00C7282C" w:rsidP="00C65958" w:rsidRDefault="00C5484F">
      <w:pPr>
        <w:pStyle w:val="DecHCase"/>
      </w:pPr>
      <w:r w:rsidRPr="00C65958">
        <w:t>2 July 2019</w:t>
      </w:r>
    </w:p>
    <w:p w:rsidRPr="00C65958" w:rsidR="005C19C6" w:rsidP="00C65958" w:rsidRDefault="005C19C6">
      <w:pPr>
        <w:pStyle w:val="JuPara"/>
        <w:jc w:val="center"/>
      </w:pPr>
    </w:p>
    <w:p w:rsidRPr="00C65958" w:rsidR="00C65958" w:rsidP="00C65958" w:rsidRDefault="00C65958">
      <w:pPr>
        <w:pStyle w:val="JuPara"/>
        <w:jc w:val="center"/>
      </w:pPr>
    </w:p>
    <w:p w:rsidRPr="00C65958" w:rsidR="005C19C6" w:rsidP="00C65958" w:rsidRDefault="005C19C6">
      <w:pPr>
        <w:pStyle w:val="JuPara"/>
        <w:jc w:val="center"/>
      </w:pPr>
    </w:p>
    <w:p w:rsidRPr="00C65958" w:rsidR="00C7282C" w:rsidP="00C65958" w:rsidRDefault="00C7282C">
      <w:pPr>
        <w:pStyle w:val="JuCase"/>
        <w:ind w:firstLine="0"/>
        <w:rPr>
          <w:b w:val="0"/>
        </w:rPr>
        <w:sectPr w:rsidRPr="00C65958" w:rsidR="00C7282C" w:rsidSect="00C7282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r w:rsidRPr="00C65958">
        <w:rPr>
          <w:b w:val="0"/>
          <w:i/>
          <w:sz w:val="22"/>
        </w:rPr>
        <w:t>This judgment is final but it may be subject to editorial revision</w:t>
      </w:r>
      <w:r w:rsidRPr="00C65958" w:rsidR="00C5484F">
        <w:rPr>
          <w:b w:val="0"/>
          <w:i/>
          <w:sz w:val="22"/>
        </w:rPr>
        <w:t>.</w:t>
      </w:r>
    </w:p>
    <w:p w:rsidRPr="00C65958" w:rsidR="00D420F3" w:rsidP="00C65958" w:rsidRDefault="0077175D">
      <w:pPr>
        <w:pStyle w:val="JuCase"/>
        <w:rPr>
          <w:bCs/>
        </w:rPr>
      </w:pPr>
      <w:r w:rsidRPr="00C65958">
        <w:t xml:space="preserve">In the case of </w:t>
      </w:r>
      <w:r w:rsidRPr="00C65958" w:rsidR="00A761F0">
        <w:t>Be</w:t>
      </w:r>
      <w:r w:rsidRPr="00C65958" w:rsidR="00B856DB">
        <w:t>șl</w:t>
      </w:r>
      <w:r w:rsidRPr="00C65958" w:rsidR="00A761F0">
        <w:t>eag</w:t>
      </w:r>
      <w:r w:rsidRPr="00C65958" w:rsidR="00B856DB">
        <w:t>ă</w:t>
      </w:r>
      <w:r w:rsidRPr="00C65958" w:rsidR="00A761F0">
        <w:t xml:space="preserve"> v. the Republic of Moldova and Russia</w:t>
      </w:r>
      <w:r w:rsidRPr="00C65958">
        <w:t>,</w:t>
      </w:r>
    </w:p>
    <w:p w:rsidRPr="00C65958" w:rsidR="00D420F3" w:rsidP="00C65958" w:rsidRDefault="0077175D">
      <w:pPr>
        <w:pStyle w:val="JuPara"/>
      </w:pPr>
      <w:r w:rsidRPr="00C65958">
        <w:t>The European Court of Human Rights (</w:t>
      </w:r>
      <w:r w:rsidRPr="00C65958" w:rsidR="00A761F0">
        <w:t>Second Section</w:t>
      </w:r>
      <w:r w:rsidRPr="00C65958">
        <w:t xml:space="preserve">), sitting as a </w:t>
      </w:r>
      <w:r w:rsidRPr="00C65958" w:rsidR="00A761F0">
        <w:t>Committee</w:t>
      </w:r>
      <w:r w:rsidRPr="00C65958">
        <w:t xml:space="preserve"> composed of:</w:t>
      </w:r>
    </w:p>
    <w:p w:rsidRPr="00C65958" w:rsidR="00D420F3" w:rsidP="00C65958" w:rsidRDefault="00C5484F">
      <w:pPr>
        <w:pStyle w:val="JuJudges"/>
      </w:pPr>
      <w:r w:rsidRPr="00C65958">
        <w:tab/>
        <w:t>Julia Laffranque,</w:t>
      </w:r>
      <w:r w:rsidRPr="00C65958">
        <w:rPr>
          <w:i/>
        </w:rPr>
        <w:t xml:space="preserve"> President,</w:t>
      </w:r>
      <w:r w:rsidRPr="00C65958">
        <w:rPr>
          <w:i/>
        </w:rPr>
        <w:br/>
      </w:r>
      <w:r w:rsidRPr="00C65958">
        <w:tab/>
        <w:t>Ivana Jelić,</w:t>
      </w:r>
      <w:r w:rsidRPr="00C65958">
        <w:rPr>
          <w:i/>
        </w:rPr>
        <w:br/>
      </w:r>
      <w:r w:rsidRPr="00C65958">
        <w:tab/>
        <w:t>Arnfinn Bårdsen,</w:t>
      </w:r>
      <w:r w:rsidRPr="00C65958">
        <w:rPr>
          <w:i/>
        </w:rPr>
        <w:t xml:space="preserve"> judges,</w:t>
      </w:r>
      <w:r w:rsidRPr="00C65958" w:rsidR="0077175D">
        <w:rPr>
          <w:szCs w:val="24"/>
        </w:rPr>
        <w:br/>
      </w:r>
      <w:r w:rsidRPr="00C65958" w:rsidR="0077175D">
        <w:t xml:space="preserve">and </w:t>
      </w:r>
      <w:r w:rsidRPr="00C65958" w:rsidR="00A761F0">
        <w:t>Hasan Bakırcı</w:t>
      </w:r>
      <w:r w:rsidRPr="00C65958" w:rsidR="0077175D">
        <w:t xml:space="preserve">, </w:t>
      </w:r>
      <w:r w:rsidRPr="00C65958" w:rsidR="00A761F0">
        <w:rPr>
          <w:i/>
        </w:rPr>
        <w:t xml:space="preserve">Deputy Section </w:t>
      </w:r>
      <w:r w:rsidRPr="00C65958" w:rsidR="00A761F0">
        <w:rPr>
          <w:i/>
          <w:iCs/>
        </w:rPr>
        <w:t>Registrar</w:t>
      </w:r>
      <w:r w:rsidRPr="00C65958" w:rsidR="0077175D">
        <w:rPr>
          <w:i/>
        </w:rPr>
        <w:t>,</w:t>
      </w:r>
    </w:p>
    <w:p w:rsidRPr="00C65958" w:rsidR="00D420F3" w:rsidP="00C65958" w:rsidRDefault="0077175D">
      <w:pPr>
        <w:pStyle w:val="JuPara"/>
      </w:pPr>
      <w:r w:rsidRPr="00C65958">
        <w:t xml:space="preserve">Having deliberated in private on </w:t>
      </w:r>
      <w:r w:rsidRPr="00C65958" w:rsidR="00C5484F">
        <w:t>11 June 2019</w:t>
      </w:r>
      <w:r w:rsidRPr="00C65958">
        <w:t>,</w:t>
      </w:r>
    </w:p>
    <w:p w:rsidRPr="00C65958" w:rsidR="00D420F3" w:rsidP="00C65958" w:rsidRDefault="0077175D">
      <w:pPr>
        <w:pStyle w:val="JuPara"/>
      </w:pPr>
      <w:r w:rsidRPr="00C65958">
        <w:t>Delivers the following judgment, which was adopted on that date:</w:t>
      </w:r>
    </w:p>
    <w:p w:rsidRPr="00C65958" w:rsidR="00D420F3" w:rsidP="00C65958" w:rsidRDefault="0077175D">
      <w:pPr>
        <w:pStyle w:val="JuHHead"/>
      </w:pPr>
      <w:r w:rsidRPr="00C65958">
        <w:t>PROCEDURE</w:t>
      </w:r>
    </w:p>
    <w:p w:rsidRPr="00C65958" w:rsidR="00A761F0"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1</w:t>
      </w:r>
      <w:r w:rsidRPr="00C65958">
        <w:fldChar w:fldCharType="end"/>
      </w:r>
      <w:r w:rsidRPr="00C65958" w:rsidR="0077175D">
        <w:t xml:space="preserve">.  The case originated in </w:t>
      </w:r>
      <w:r w:rsidRPr="00C65958">
        <w:t>an application (no. 48108/07)</w:t>
      </w:r>
      <w:r w:rsidRPr="00C65958" w:rsidR="0077175D">
        <w:t xml:space="preserve"> against </w:t>
      </w:r>
      <w:r w:rsidRPr="00C65958">
        <w:t>the Republic of Moldova</w:t>
      </w:r>
      <w:r w:rsidRPr="00C65958" w:rsidR="0077175D">
        <w:t xml:space="preserve"> lodged with the </w:t>
      </w:r>
      <w:r w:rsidRPr="00C65958">
        <w:t>Court under Article 34</w:t>
      </w:r>
      <w:r w:rsidRPr="00C65958" w:rsidR="0077175D">
        <w:t xml:space="preserve"> of the Convention for the Protection of Human Rights and Fundamental Freedoms (“the Convention”) by </w:t>
      </w:r>
      <w:proofErr w:type="gramStart"/>
      <w:r w:rsidRPr="00C65958">
        <w:t>an</w:t>
      </w:r>
      <w:proofErr w:type="gramEnd"/>
      <w:r w:rsidRPr="00C65958">
        <w:t xml:space="preserve"> Moldovan national, Mr Valentin </w:t>
      </w:r>
      <w:r w:rsidRPr="00C65958" w:rsidR="00B06384">
        <w:t>Be</w:t>
      </w:r>
      <w:r w:rsidRPr="00C65958" w:rsidR="00B06384">
        <w:rPr>
          <w:lang w:val="ro-RO"/>
        </w:rPr>
        <w:t>ș</w:t>
      </w:r>
      <w:r w:rsidRPr="00C65958">
        <w:t>leag</w:t>
      </w:r>
      <w:r w:rsidRPr="00C65958" w:rsidR="00B06384">
        <w:t>ă</w:t>
      </w:r>
      <w:r w:rsidRPr="00C65958">
        <w:t xml:space="preserve"> (“the applicant”), on 1 November 2007</w:t>
      </w:r>
      <w:r w:rsidRPr="00C65958" w:rsidR="0077175D">
        <w:t>.</w:t>
      </w:r>
    </w:p>
    <w:p w:rsidRPr="00C65958" w:rsidR="003C0635" w:rsidP="00C65958" w:rsidRDefault="00AC5F9E">
      <w:pPr>
        <w:pStyle w:val="JuPara"/>
      </w:pPr>
      <w:r w:rsidRPr="00C65958">
        <w:fldChar w:fldCharType="begin"/>
      </w:r>
      <w:r w:rsidRPr="00C65958">
        <w:instrText xml:space="preserve"> SEQ level0 \*arabic </w:instrText>
      </w:r>
      <w:r w:rsidRPr="00C65958">
        <w:fldChar w:fldCharType="separate"/>
      </w:r>
      <w:r w:rsidRPr="00C65958" w:rsidR="00C65958">
        <w:rPr>
          <w:noProof/>
        </w:rPr>
        <w:t>2</w:t>
      </w:r>
      <w:r w:rsidRPr="00C65958">
        <w:fldChar w:fldCharType="end"/>
      </w:r>
      <w:r w:rsidRPr="00C65958">
        <w:t>.  </w:t>
      </w:r>
      <w:r w:rsidRPr="00C65958" w:rsidR="00A761F0">
        <w:t xml:space="preserve">The applicant was represented by Mr A. Postică a lawyer practising in Chisinau. </w:t>
      </w:r>
      <w:r w:rsidRPr="00C65958" w:rsidR="0077175D">
        <w:t xml:space="preserve">The </w:t>
      </w:r>
      <w:r w:rsidRPr="00C65958" w:rsidR="00A761F0">
        <w:t>Moldovan</w:t>
      </w:r>
      <w:r w:rsidRPr="00C65958" w:rsidR="0077175D">
        <w:t xml:space="preserve"> Government (“the Government”) </w:t>
      </w:r>
      <w:proofErr w:type="gramStart"/>
      <w:r w:rsidRPr="00C65958" w:rsidR="0077175D">
        <w:t>were</w:t>
      </w:r>
      <w:proofErr w:type="gramEnd"/>
      <w:r w:rsidRPr="00C65958" w:rsidR="0077175D">
        <w:t xml:space="preserve"> represented by their Agent</w:t>
      </w:r>
      <w:r w:rsidRPr="00C65958" w:rsidR="00666502">
        <w:t xml:space="preserve"> at the time</w:t>
      </w:r>
      <w:r w:rsidRPr="00C65958" w:rsidR="00386BD4">
        <w:t>, Mr L. Apostol</w:t>
      </w:r>
      <w:r w:rsidRPr="00C65958" w:rsidR="0077175D">
        <w:t>.</w:t>
      </w:r>
      <w:r w:rsidRPr="00C65958" w:rsidR="00666502">
        <w:t xml:space="preserve"> The Russian Government were represented by their Agent</w:t>
      </w:r>
      <w:r w:rsidRPr="00C65958" w:rsidR="00437AFE">
        <w:t xml:space="preserve"> at the time</w:t>
      </w:r>
      <w:r w:rsidRPr="00C65958" w:rsidR="00666502">
        <w:t>, Mr G. Matyushkin, the Representative of the Russian Federation to the European Court of Human Rights.</w:t>
      </w:r>
    </w:p>
    <w:p w:rsidRPr="00C65958" w:rsidR="00A761F0" w:rsidP="00C65958" w:rsidRDefault="00A761F0">
      <w:pPr>
        <w:pStyle w:val="JuPara"/>
        <w:rPr>
          <w:szCs w:val="24"/>
        </w:rPr>
      </w:pPr>
      <w:r w:rsidRPr="00C65958">
        <w:fldChar w:fldCharType="begin"/>
      </w:r>
      <w:r w:rsidRPr="00C65958">
        <w:instrText xml:space="preserve"> SEQ level0 \*arabic </w:instrText>
      </w:r>
      <w:r w:rsidRPr="00C65958">
        <w:fldChar w:fldCharType="separate"/>
      </w:r>
      <w:r w:rsidRPr="00C65958" w:rsidR="00C65958">
        <w:rPr>
          <w:noProof/>
        </w:rPr>
        <w:t>3</w:t>
      </w:r>
      <w:r w:rsidRPr="00C65958">
        <w:fldChar w:fldCharType="end"/>
      </w:r>
      <w:r w:rsidRPr="00C65958" w:rsidR="0077175D">
        <w:t>.  </w:t>
      </w:r>
      <w:r w:rsidRPr="00C65958">
        <w:t xml:space="preserve">On </w:t>
      </w:r>
      <w:r w:rsidRPr="00C65958">
        <w:rPr>
          <w:szCs w:val="24"/>
        </w:rPr>
        <w:t>12 July 2010</w:t>
      </w:r>
      <w:r w:rsidRPr="00C65958" w:rsidR="0077175D">
        <w:t xml:space="preserve"> </w:t>
      </w:r>
      <w:r w:rsidRPr="00C65958" w:rsidR="009A7479">
        <w:t xml:space="preserve">notice of </w:t>
      </w:r>
      <w:r w:rsidRPr="00C65958" w:rsidR="0077175D">
        <w:t xml:space="preserve">the </w:t>
      </w:r>
      <w:r w:rsidRPr="00C65958">
        <w:rPr>
          <w:szCs w:val="24"/>
        </w:rPr>
        <w:t>application was given to the Government</w:t>
      </w:r>
      <w:r w:rsidRPr="00C65958" w:rsidR="0077175D">
        <w:t>.</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4</w:t>
      </w:r>
      <w:r w:rsidRPr="00C65958">
        <w:fldChar w:fldCharType="end"/>
      </w:r>
      <w:r w:rsidRPr="00C65958">
        <w:t xml:space="preserve">.  The </w:t>
      </w:r>
      <w:r w:rsidRPr="00C65958" w:rsidR="00D32273">
        <w:t xml:space="preserve">Russian </w:t>
      </w:r>
      <w:r w:rsidRPr="00C65958">
        <w:t xml:space="preserve">Government objected to the examination of the application by a Committee. After having considered the </w:t>
      </w:r>
      <w:r w:rsidRPr="00C65958" w:rsidR="00D32273">
        <w:t xml:space="preserve">Russian </w:t>
      </w:r>
      <w:r w:rsidRPr="00C65958">
        <w:t>Government</w:t>
      </w:r>
      <w:r w:rsidRPr="00C65958" w:rsidR="00C65958">
        <w:t>’</w:t>
      </w:r>
      <w:r w:rsidRPr="00C65958" w:rsidR="00D32273">
        <w:t>s</w:t>
      </w:r>
      <w:r w:rsidRPr="00C65958">
        <w:t xml:space="preserve"> objection, the Court rejects it.</w:t>
      </w:r>
    </w:p>
    <w:p w:rsidRPr="00C65958" w:rsidR="00D420F3" w:rsidP="00C65958" w:rsidRDefault="0077175D">
      <w:pPr>
        <w:pStyle w:val="JuHHead"/>
      </w:pPr>
      <w:r w:rsidRPr="00C65958">
        <w:t>THE FACTS</w:t>
      </w:r>
    </w:p>
    <w:p w:rsidRPr="00C65958" w:rsidR="00D420F3" w:rsidP="00C65958" w:rsidRDefault="0077175D">
      <w:pPr>
        <w:pStyle w:val="JuHIRoman"/>
        <w:numPr>
          <w:ilvl w:val="0"/>
          <w:numId w:val="0"/>
        </w:numPr>
        <w:ind w:left="357"/>
      </w:pPr>
      <w:r w:rsidRPr="00C65958">
        <w:t>THE CIRCUMSTANCES OF THE CASE</w:t>
      </w:r>
    </w:p>
    <w:p w:rsidRPr="00C65958" w:rsidR="00474F33"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5</w:t>
      </w:r>
      <w:r w:rsidRPr="00C65958">
        <w:fldChar w:fldCharType="end"/>
      </w:r>
      <w:r w:rsidRPr="00C65958">
        <w:t>.  The applicant</w:t>
      </w:r>
      <w:r w:rsidRPr="00C65958" w:rsidR="006D0A91">
        <w:t>, who was born in 1948, lives in Corjova,</w:t>
      </w:r>
      <w:r w:rsidRPr="00C65958">
        <w:t xml:space="preserve"> a village under the formal control of Moldovan authorities, but </w:t>
      </w:r>
      <w:r w:rsidRPr="00C65958" w:rsidR="002D34C4">
        <w:t xml:space="preserve">where agents of </w:t>
      </w:r>
      <w:r w:rsidRPr="00C65958" w:rsidR="004A7CA5">
        <w:t>the self</w:t>
      </w:r>
      <w:r w:rsidRPr="00C65958" w:rsidR="004A7CA5">
        <w:noBreakHyphen/>
      </w:r>
      <w:r w:rsidRPr="00C65958">
        <w:t xml:space="preserve">proclaimed “Transdniestrian Moldovan Republic” (“MRT”, see </w:t>
      </w:r>
      <w:r w:rsidRPr="00C65958">
        <w:rPr>
          <w:i/>
        </w:rPr>
        <w:t xml:space="preserve">Ilaşcu and Others v. </w:t>
      </w:r>
      <w:smartTag w:uri="urn:schemas-microsoft-com:office:smarttags" w:element="country-region">
        <w:r w:rsidRPr="00C65958">
          <w:rPr>
            <w:i/>
          </w:rPr>
          <w:t>Moldova</w:t>
        </w:r>
      </w:smartTag>
      <w:r w:rsidRPr="00C65958">
        <w:rPr>
          <w:i/>
        </w:rPr>
        <w:t xml:space="preserve"> and </w:t>
      </w:r>
      <w:smartTag w:uri="urn:schemas-microsoft-com:office:smarttags" w:element="country-region">
        <w:smartTag w:uri="urn:schemas-microsoft-com:office:smarttags" w:element="place">
          <w:r w:rsidRPr="00C65958">
            <w:rPr>
              <w:i/>
            </w:rPr>
            <w:t>Russia</w:t>
          </w:r>
        </w:smartTag>
      </w:smartTag>
      <w:r w:rsidRPr="00C65958">
        <w:rPr>
          <w:i/>
        </w:rPr>
        <w:t xml:space="preserve"> </w:t>
      </w:r>
      <w:r w:rsidRPr="00C65958">
        <w:t>[GC], no. 48787/99, § 90, ECHR</w:t>
      </w:r>
      <w:r w:rsidRPr="00C65958" w:rsidR="005C19C6">
        <w:t> </w:t>
      </w:r>
      <w:r w:rsidRPr="00C65958">
        <w:t>2004</w:t>
      </w:r>
      <w:r w:rsidRPr="00C65958">
        <w:noBreakHyphen/>
        <w:t>VII for further details)</w:t>
      </w:r>
      <w:r w:rsidRPr="00C65958" w:rsidR="002D34C4">
        <w:t xml:space="preserve"> frequently intervened during the events in question, notably by blocking the participation of the local population in elections held in Moldova</w:t>
      </w:r>
      <w:r w:rsidRPr="00C65958">
        <w:t>.</w:t>
      </w:r>
    </w:p>
    <w:bookmarkStart w:name="p_7_local_elections" w:id="2"/>
    <w:p w:rsidRPr="00C65958" w:rsidR="00C7282C"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6</w:t>
      </w:r>
      <w:r w:rsidRPr="00C65958">
        <w:fldChar w:fldCharType="end"/>
      </w:r>
      <w:bookmarkEnd w:id="2"/>
      <w:r w:rsidRPr="00C65958">
        <w:t xml:space="preserve">.  On 3 June 2007 local elections were to be held in </w:t>
      </w:r>
      <w:smartTag w:uri="urn:schemas-microsoft-com:office:smarttags" w:element="country-region">
        <w:smartTag w:uri="urn:schemas-microsoft-com:office:smarttags" w:element="place">
          <w:r w:rsidRPr="00C65958">
            <w:t>Moldova</w:t>
          </w:r>
        </w:smartTag>
      </w:smartTag>
      <w:r w:rsidRPr="00C65958">
        <w:t>, including in Corjova. The applicant, who is an ambulance driver, submitted his candidature for the position of Mayor of Corjova.</w:t>
      </w:r>
    </w:p>
    <w:p w:rsidRPr="00C65958" w:rsidR="00474F33"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7</w:t>
      </w:r>
      <w:r w:rsidRPr="00C65958">
        <w:fldChar w:fldCharType="end"/>
      </w:r>
      <w:r w:rsidRPr="00C65958">
        <w:t>.  On 1 June 2007</w:t>
      </w:r>
      <w:r w:rsidRPr="00C65958" w:rsidR="004A7CA5">
        <w:t>,</w:t>
      </w:r>
      <w:r w:rsidRPr="00C65958">
        <w:t xml:space="preserve"> at 11 p.m.</w:t>
      </w:r>
      <w:r w:rsidRPr="00C65958" w:rsidR="004A7CA5">
        <w:t>,</w:t>
      </w:r>
      <w:r w:rsidRPr="00C65958">
        <w:t xml:space="preserve"> the applicant</w:t>
      </w:r>
      <w:r w:rsidRPr="00C65958" w:rsidR="00C65958">
        <w:t>’</w:t>
      </w:r>
      <w:r w:rsidRPr="00C65958">
        <w:t xml:space="preserve">s ambulance was stopped by the </w:t>
      </w:r>
      <w:r w:rsidRPr="00C65958" w:rsidR="00CA0761">
        <w:t>“</w:t>
      </w:r>
      <w:r w:rsidRPr="00C65958">
        <w:t>MRT</w:t>
      </w:r>
      <w:r w:rsidRPr="00C65958" w:rsidR="00CA0761">
        <w:t>”</w:t>
      </w:r>
      <w:r w:rsidRPr="00C65958">
        <w:t xml:space="preserve"> </w:t>
      </w:r>
      <w:r w:rsidRPr="00C65958" w:rsidR="00587646">
        <w:t xml:space="preserve">road </w:t>
      </w:r>
      <w:r w:rsidRPr="00C65958">
        <w:t>militia and his documents (</w:t>
      </w:r>
      <w:r w:rsidRPr="00C65958" w:rsidR="00587646">
        <w:t xml:space="preserve">Moldovan national </w:t>
      </w:r>
      <w:r w:rsidRPr="00C65958">
        <w:t>identity card and driving licence) were taken away from him without any explanation.</w:t>
      </w:r>
    </w:p>
    <w:bookmarkStart w:name="p_9_TA_arrest_and_conviction" w:id="3"/>
    <w:p w:rsidRPr="00C65958" w:rsidR="00474F33"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8</w:t>
      </w:r>
      <w:r w:rsidRPr="00C65958">
        <w:fldChar w:fldCharType="end"/>
      </w:r>
      <w:bookmarkEnd w:id="3"/>
      <w:r w:rsidRPr="00C65958">
        <w:t xml:space="preserve">.  On 2 June 2007 the applicant went to the </w:t>
      </w:r>
      <w:r w:rsidRPr="00C65958" w:rsidR="00CA0761">
        <w:t>“MRT”</w:t>
      </w:r>
      <w:r w:rsidRPr="00C65958">
        <w:t xml:space="preserve"> militia station located in Dub</w:t>
      </w:r>
      <w:r w:rsidRPr="00C65958">
        <w:rPr>
          <w:lang w:val="ro-RO"/>
        </w:rPr>
        <w:t>ă</w:t>
      </w:r>
      <w:r w:rsidRPr="00C65958">
        <w:t>sari and asked for the return of his documents. He was then arrested and placed in a detention cell. A few hours later a person came to his cell and, without presenting himself, asked him about his work and his electoral propaganda. The applicant later found out that the visitor had been a judge and that, following that discussion in the cell, the judge adopted a decision, finding him guilty of the administrative offence of unlawful electoral propaganda and sentencing him to 15 days</w:t>
      </w:r>
      <w:r w:rsidRPr="00C65958" w:rsidR="00C65958">
        <w:t>’</w:t>
      </w:r>
      <w:r w:rsidRPr="00C65958">
        <w:t xml:space="preserve"> administrative detention.</w:t>
      </w:r>
    </w:p>
    <w:p w:rsidRPr="00C65958" w:rsidR="00474F33"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9</w:t>
      </w:r>
      <w:r w:rsidRPr="00C65958">
        <w:fldChar w:fldCharType="end"/>
      </w:r>
      <w:r w:rsidRPr="00C65958">
        <w:t>.  The applicant submits that he was not allowed to contact his relatives or to find a lawyer, and was not issued with a copy of the court</w:t>
      </w:r>
      <w:r w:rsidRPr="00C65958" w:rsidR="00C65958">
        <w:t>’</w:t>
      </w:r>
      <w:r w:rsidRPr="00C65958">
        <w:t>s decision, which prevented any possibility of lodging an effective appeal against the decision of 2 June 2007.</w:t>
      </w:r>
    </w:p>
    <w:bookmarkStart w:name="p_11_CONDT" w:id="4"/>
    <w:p w:rsidRPr="00C65958" w:rsidR="00474F33"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10</w:t>
      </w:r>
      <w:r w:rsidRPr="00C65958">
        <w:fldChar w:fldCharType="end"/>
      </w:r>
      <w:bookmarkEnd w:id="4"/>
      <w:r w:rsidRPr="00C65958">
        <w:t>.  During his detention the applicant was placed in a cell which</w:t>
      </w:r>
      <w:r w:rsidRPr="00C65958" w:rsidR="00AC5F9E">
        <w:t>,</w:t>
      </w:r>
      <w:r w:rsidRPr="00C65958">
        <w:t xml:space="preserve"> </w:t>
      </w:r>
      <w:r w:rsidRPr="00C65958" w:rsidR="00CA0761">
        <w:t xml:space="preserve">according to him </w:t>
      </w:r>
      <w:r w:rsidRPr="00C65958">
        <w:t>was damp and cold. Food was given once a day. When the applicant</w:t>
      </w:r>
      <w:r w:rsidRPr="00C65958" w:rsidR="00C65958">
        <w:t>’</w:t>
      </w:r>
      <w:r w:rsidRPr="00C65958">
        <w:t>s relatives, alerted by his absence, contacted the local authorities in order to find out about his fate, they were informed of the applicant</w:t>
      </w:r>
      <w:r w:rsidRPr="00C65958" w:rsidR="00C65958">
        <w:t>’</w:t>
      </w:r>
      <w:r w:rsidRPr="00C65958">
        <w:t>s detention. However, their requests to transmit food to him were allegedly rejected.</w:t>
      </w:r>
    </w:p>
    <w:p w:rsidRPr="00C65958" w:rsidR="00474F33" w:rsidP="00C65958" w:rsidRDefault="00474F33">
      <w:pPr>
        <w:pStyle w:val="JuPara"/>
      </w:pPr>
      <w:r w:rsidRPr="00C65958">
        <w:fldChar w:fldCharType="begin"/>
      </w:r>
      <w:r w:rsidRPr="00C65958">
        <w:instrText xml:space="preserve"> SEQ level0 \*arabic </w:instrText>
      </w:r>
      <w:r w:rsidRPr="00C65958">
        <w:fldChar w:fldCharType="separate"/>
      </w:r>
      <w:r w:rsidRPr="00C65958" w:rsidR="00C65958">
        <w:rPr>
          <w:noProof/>
        </w:rPr>
        <w:t>11</w:t>
      </w:r>
      <w:r w:rsidRPr="00C65958">
        <w:fldChar w:fldCharType="end"/>
      </w:r>
      <w:r w:rsidRPr="00C65958">
        <w:t>.  On 17 June 2007 the applicant was released from detention and he was issued with a copy of the decision of 2 June 2007. The time-limit for lodging an appeal had already expired by that time. Upon release</w:t>
      </w:r>
      <w:r w:rsidRPr="00C65958" w:rsidR="00A9534D">
        <w:t>,</w:t>
      </w:r>
      <w:r w:rsidRPr="00C65958">
        <w:t xml:space="preserve"> he was allegedly coughing and was diagnosed with chronic acute bronchitis. He also claims that his eyesight worsened considerably.</w:t>
      </w:r>
    </w:p>
    <w:bookmarkStart w:name="p_13_MDA_prosecution" w:id="5"/>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12</w:t>
      </w:r>
      <w:r w:rsidRPr="00C65958">
        <w:fldChar w:fldCharType="end"/>
      </w:r>
      <w:bookmarkEnd w:id="5"/>
      <w:r w:rsidRPr="00C65958" w:rsidR="0077175D">
        <w:t>.  </w:t>
      </w:r>
      <w:r w:rsidRPr="00C65958" w:rsidR="00FC0AAE">
        <w:t>In the meantime, on 6 June 2007</w:t>
      </w:r>
      <w:r w:rsidRPr="00C65958" w:rsidR="00A9534D">
        <w:t>,</w:t>
      </w:r>
      <w:r w:rsidRPr="00C65958" w:rsidR="00FC0AAE">
        <w:t xml:space="preserve"> the applicant complained to the Moldovan prosecutor</w:t>
      </w:r>
      <w:r w:rsidRPr="00C65958" w:rsidR="00C65958">
        <w:t>’</w:t>
      </w:r>
      <w:r w:rsidRPr="00C65958" w:rsidR="00FC0AAE">
        <w:t>s office of his unlawful detention. Based on this complaint, a criminal investigation was initiated on 12 June 2007</w:t>
      </w:r>
      <w:r w:rsidRPr="00C65958" w:rsidR="009C7F10">
        <w:t>, the applicant and witnesses were subsequently heard</w:t>
      </w:r>
      <w:r w:rsidRPr="00C65958" w:rsidR="00FC0AAE">
        <w:t>. Three high-ranking “MRT” officers were charged and were declared wanted persons. However, on 4 August 2010 the investigation was suspended due to the fact that the three accused were</w:t>
      </w:r>
      <w:r w:rsidRPr="00C65958" w:rsidR="00E72096">
        <w:t xml:space="preserve"> hiding from it in the “MRT”</w:t>
      </w:r>
      <w:r w:rsidRPr="00C65958" w:rsidR="00FC0AAE">
        <w:t>.</w:t>
      </w:r>
    </w:p>
    <w:p w:rsidRPr="00C65958" w:rsidR="00D420F3" w:rsidP="00C65958" w:rsidRDefault="0077175D">
      <w:pPr>
        <w:pStyle w:val="JuHHead"/>
      </w:pPr>
      <w:r w:rsidRPr="00C65958">
        <w:t>THE LAW</w:t>
      </w:r>
    </w:p>
    <w:p w:rsidRPr="00C65958" w:rsidR="00375F8B" w:rsidP="00C65958" w:rsidRDefault="00DC1F2D">
      <w:pPr>
        <w:pStyle w:val="JuHIRoman"/>
      </w:pPr>
      <w:r w:rsidRPr="00C65958">
        <w:t>JURISDICTION</w:t>
      </w:r>
    </w:p>
    <w:p w:rsidRPr="00C65958" w:rsidR="00375F8B" w:rsidP="00C65958" w:rsidRDefault="00375F8B">
      <w:pPr>
        <w:pStyle w:val="JuPara"/>
      </w:pPr>
      <w:r w:rsidRPr="00C65958">
        <w:fldChar w:fldCharType="begin"/>
      </w:r>
      <w:r w:rsidRPr="00C65958">
        <w:instrText xml:space="preserve"> SEQ level0 \*arabic </w:instrText>
      </w:r>
      <w:r w:rsidRPr="00C65958">
        <w:fldChar w:fldCharType="separate"/>
      </w:r>
      <w:r w:rsidRPr="00C65958" w:rsidR="00C65958">
        <w:rPr>
          <w:noProof/>
        </w:rPr>
        <w:t>13</w:t>
      </w:r>
      <w:r w:rsidRPr="00C65958">
        <w:fldChar w:fldCharType="end"/>
      </w:r>
      <w:r w:rsidRPr="00C65958">
        <w:t xml:space="preserve">.  The Russian Government argued that the applicant did not come within their jurisdiction. Consequently, the application should be declared inadmissible </w:t>
      </w:r>
      <w:r w:rsidRPr="00C65958">
        <w:rPr>
          <w:i/>
        </w:rPr>
        <w:t>ratione personae</w:t>
      </w:r>
      <w:r w:rsidRPr="00C65958">
        <w:t xml:space="preserve"> and </w:t>
      </w:r>
      <w:r w:rsidRPr="00C65958">
        <w:rPr>
          <w:i/>
        </w:rPr>
        <w:t>ratione loci</w:t>
      </w:r>
      <w:r w:rsidRPr="00C65958">
        <w:t xml:space="preserve"> in respect of the Russian Federation. For their part, the Moldovan Government did not contest that the Republic of Moldova retained jurisdiction over the territory controlled by the “MRT”.</w:t>
      </w:r>
    </w:p>
    <w:p w:rsidRPr="00C65958" w:rsidR="00375F8B" w:rsidP="00C65958" w:rsidRDefault="00375F8B">
      <w:pPr>
        <w:pStyle w:val="JuPara"/>
      </w:pPr>
      <w:r w:rsidRPr="00C65958">
        <w:fldChar w:fldCharType="begin"/>
      </w:r>
      <w:r w:rsidRPr="00C65958">
        <w:instrText xml:space="preserve"> SEQ level0 \*arabic </w:instrText>
      </w:r>
      <w:r w:rsidRPr="00C65958">
        <w:fldChar w:fldCharType="separate"/>
      </w:r>
      <w:r w:rsidRPr="00C65958" w:rsidR="00C65958">
        <w:rPr>
          <w:noProof/>
        </w:rPr>
        <w:t>14</w:t>
      </w:r>
      <w:r w:rsidRPr="00C65958">
        <w:fldChar w:fldCharType="end"/>
      </w:r>
      <w:r w:rsidRPr="00C65958">
        <w:t xml:space="preserve">.  The Court notes that the parties in the present case have positions concerning the matter of jurisdiction which are similar to those expressed by the parties in </w:t>
      </w:r>
      <w:r w:rsidRPr="00C65958">
        <w:rPr>
          <w:rFonts w:eastAsia="Times New Roman"/>
          <w:i/>
        </w:rPr>
        <w:t>Catan and Others v. the Republic of Moldova and Russia</w:t>
      </w:r>
      <w:r w:rsidRPr="00C65958">
        <w:rPr>
          <w:rFonts w:eastAsia="Times New Roman"/>
        </w:rPr>
        <w:t xml:space="preserve"> ([GC], nos. 43370/04, 8252/05 and 18454/06, §§ 83-101,</w:t>
      </w:r>
      <w:r w:rsidRPr="00C65958">
        <w:rPr>
          <w:rFonts w:eastAsia="Times New Roman"/>
          <w:snapToGrid w:val="0"/>
        </w:rPr>
        <w:t xml:space="preserve"> ECHR 2012</w:t>
      </w:r>
      <w:r w:rsidRPr="00C65958">
        <w:t xml:space="preserve"> </w:t>
      </w:r>
      <w:r w:rsidRPr="00C65958">
        <w:rPr>
          <w:snapToGrid w:val="0"/>
        </w:rPr>
        <w:t>and in</w:t>
      </w:r>
      <w:r w:rsidRPr="00C65958">
        <w:t xml:space="preserve"> </w:t>
      </w:r>
      <w:r w:rsidRPr="00C65958">
        <w:rPr>
          <w:i/>
        </w:rPr>
        <w:t xml:space="preserve">Mozer v. the Republic of Moldova and Russia </w:t>
      </w:r>
      <w:r w:rsidRPr="00C65958">
        <w:t>[GC], no. 11138/10, §§ 81-95, ECHR 2016</w:t>
      </w:r>
      <w:r w:rsidRPr="00C65958" w:rsidR="00444CEE">
        <w:rPr>
          <w:snapToGrid w:val="0"/>
        </w:rPr>
        <w:t>. Namely, the applicant</w:t>
      </w:r>
      <w:r w:rsidRPr="00C65958">
        <w:rPr>
          <w:snapToGrid w:val="0"/>
        </w:rPr>
        <w:t xml:space="preserve"> and the Moldovan Government submitted that both respondent Governments had jurisdiction, while the Russian Government submitted that they had no jurisdiction. The Russian Government expressed the view that the approach to the issue of jurisdiction taken by the Court in </w:t>
      </w:r>
      <w:r w:rsidRPr="00C65958">
        <w:rPr>
          <w:i/>
        </w:rPr>
        <w:t xml:space="preserve">Ilaşcu and Others </w:t>
      </w:r>
      <w:r w:rsidRPr="00C65958">
        <w:t xml:space="preserve">(cited above), </w:t>
      </w:r>
      <w:r w:rsidRPr="00C65958" w:rsidR="00C7282C">
        <w:rPr>
          <w:i/>
        </w:rPr>
        <w:t>Ivanţoc and Others v. </w:t>
      </w:r>
      <w:r w:rsidRPr="00C65958">
        <w:rPr>
          <w:i/>
        </w:rPr>
        <w:t>Moldova and Russia</w:t>
      </w:r>
      <w:r w:rsidRPr="00C65958">
        <w:t xml:space="preserve"> (</w:t>
      </w:r>
      <w:r w:rsidRPr="00C65958">
        <w:rPr>
          <w:snapToGrid w:val="0"/>
        </w:rPr>
        <w:t>no.</w:t>
      </w:r>
      <w:r w:rsidRPr="00C65958">
        <w:t xml:space="preserve"> 23687/05</w:t>
      </w:r>
      <w:r w:rsidRPr="00C65958">
        <w:rPr>
          <w:snapToGrid w:val="0"/>
        </w:rPr>
        <w:t xml:space="preserve">, 15 November 2011), and </w:t>
      </w:r>
      <w:r w:rsidRPr="00C65958">
        <w:rPr>
          <w:i/>
        </w:rPr>
        <w:t xml:space="preserve">Catan and Others </w:t>
      </w:r>
      <w:r w:rsidRPr="00C65958">
        <w:t>(cited above)</w:t>
      </w:r>
      <w:r w:rsidRPr="00C65958">
        <w:rPr>
          <w:snapToGrid w:val="0"/>
        </w:rPr>
        <w:t xml:space="preserve"> was wrong and at variance with public international law.</w:t>
      </w:r>
    </w:p>
    <w:p w:rsidRPr="00C65958" w:rsidR="00375F8B" w:rsidP="00C65958" w:rsidRDefault="00375F8B">
      <w:pPr>
        <w:pStyle w:val="JuPara"/>
        <w:rPr>
          <w:snapToGrid w:val="0"/>
        </w:rPr>
      </w:pPr>
      <w:r w:rsidRPr="00C65958">
        <w:rPr>
          <w:snapToGrid w:val="0"/>
        </w:rPr>
        <w:fldChar w:fldCharType="begin"/>
      </w:r>
      <w:r w:rsidRPr="00C65958">
        <w:rPr>
          <w:snapToGrid w:val="0"/>
        </w:rPr>
        <w:instrText xml:space="preserve"> SEQ level0 \*arabic </w:instrText>
      </w:r>
      <w:r w:rsidRPr="00C65958">
        <w:rPr>
          <w:snapToGrid w:val="0"/>
        </w:rPr>
        <w:fldChar w:fldCharType="separate"/>
      </w:r>
      <w:r w:rsidRPr="00C65958" w:rsidR="00C65958">
        <w:rPr>
          <w:noProof/>
          <w:snapToGrid w:val="0"/>
        </w:rPr>
        <w:t>15</w:t>
      </w:r>
      <w:r w:rsidRPr="00C65958">
        <w:rPr>
          <w:snapToGrid w:val="0"/>
        </w:rPr>
        <w:fldChar w:fldCharType="end"/>
      </w:r>
      <w:r w:rsidRPr="00C65958">
        <w:rPr>
          <w:snapToGrid w:val="0"/>
        </w:rPr>
        <w:t xml:space="preserve">.  The Court observes that the general principles concerning the issue of jurisdiction under Article 1 of the Convention in respect of acts undertaken and facts arising in the Transdniestrian region of Moldova were set out in </w:t>
      </w:r>
      <w:r w:rsidRPr="00C65958">
        <w:rPr>
          <w:i/>
        </w:rPr>
        <w:t xml:space="preserve">Ilaşcu and Others </w:t>
      </w:r>
      <w:r w:rsidRPr="00C65958">
        <w:t>(cited</w:t>
      </w:r>
      <w:r w:rsidRPr="00C65958">
        <w:rPr>
          <w:i/>
        </w:rPr>
        <w:t xml:space="preserve"> </w:t>
      </w:r>
      <w:r w:rsidRPr="00C65958">
        <w:t xml:space="preserve">above, </w:t>
      </w:r>
      <w:r w:rsidRPr="00C65958">
        <w:rPr>
          <w:rFonts w:cstheme="minorHAnsi"/>
        </w:rPr>
        <w:t>§</w:t>
      </w:r>
      <w:r w:rsidRPr="00C65958">
        <w:t xml:space="preserve">§ 311-19), </w:t>
      </w:r>
      <w:r w:rsidRPr="00C65958">
        <w:rPr>
          <w:i/>
        </w:rPr>
        <w:t>Catan and Others</w:t>
      </w:r>
      <w:r w:rsidRPr="00C65958">
        <w:t xml:space="preserve"> (cited above, §§ 103-07</w:t>
      </w:r>
      <w:r w:rsidRPr="00C65958">
        <w:rPr>
          <w:snapToGrid w:val="0"/>
        </w:rPr>
        <w:t xml:space="preserve">) and, more recently, </w:t>
      </w:r>
      <w:r w:rsidRPr="00C65958">
        <w:rPr>
          <w:i/>
          <w:snapToGrid w:val="0"/>
        </w:rPr>
        <w:t>Mozer</w:t>
      </w:r>
      <w:r w:rsidRPr="00C65958">
        <w:rPr>
          <w:snapToGrid w:val="0"/>
        </w:rPr>
        <w:t xml:space="preserve"> (cited above, §§ 97-98).</w:t>
      </w:r>
    </w:p>
    <w:bookmarkStart w:name="p_26_MDA_obligations" w:id="6"/>
    <w:bookmarkStart w:name="p_17_MDA_obligations" w:id="7"/>
    <w:p w:rsidRPr="00C65958" w:rsidR="00375F8B" w:rsidP="00C65958" w:rsidRDefault="00375F8B">
      <w:pPr>
        <w:pStyle w:val="JuPara"/>
        <w:rPr>
          <w:rFonts w:ascii="Times New Roman" w:hAnsi="Times New Roman" w:eastAsia="MS Mincho" w:cs="Times New Roman"/>
          <w:szCs w:val="24"/>
        </w:rPr>
      </w:pPr>
      <w:r w:rsidRPr="00C65958">
        <w:rPr>
          <w:snapToGrid w:val="0"/>
        </w:rPr>
        <w:fldChar w:fldCharType="begin"/>
      </w:r>
      <w:r w:rsidRPr="00C65958">
        <w:rPr>
          <w:snapToGrid w:val="0"/>
        </w:rPr>
        <w:instrText xml:space="preserve"> SEQ level0 \*arabic </w:instrText>
      </w:r>
      <w:r w:rsidRPr="00C65958">
        <w:rPr>
          <w:snapToGrid w:val="0"/>
        </w:rPr>
        <w:fldChar w:fldCharType="separate"/>
      </w:r>
      <w:r w:rsidRPr="00C65958" w:rsidR="00C65958">
        <w:rPr>
          <w:noProof/>
          <w:snapToGrid w:val="0"/>
        </w:rPr>
        <w:t>16</w:t>
      </w:r>
      <w:r w:rsidRPr="00C65958">
        <w:rPr>
          <w:snapToGrid w:val="0"/>
        </w:rPr>
        <w:fldChar w:fldCharType="end"/>
      </w:r>
      <w:bookmarkEnd w:id="6"/>
      <w:bookmarkEnd w:id="7"/>
      <w:r w:rsidRPr="00C65958">
        <w:rPr>
          <w:snapToGrid w:val="0"/>
        </w:rPr>
        <w:t>.  </w:t>
      </w:r>
      <w:r w:rsidRPr="00C65958">
        <w:rPr>
          <w:rFonts w:ascii="Times New Roman" w:hAnsi="Times New Roman" w:eastAsia="MS Mincho" w:cs="Times New Roman"/>
          <w:snapToGrid w:val="0"/>
          <w:szCs w:val="24"/>
        </w:rPr>
        <w:t xml:space="preserve">In so far as the Republic of Moldova is concerned, the Court notes that in </w:t>
      </w:r>
      <w:r w:rsidRPr="00C65958">
        <w:rPr>
          <w:rFonts w:ascii="Times New Roman" w:hAnsi="Times New Roman" w:eastAsia="MS Mincho" w:cs="Times New Roman"/>
          <w:i/>
          <w:szCs w:val="24"/>
        </w:rPr>
        <w:t>Ilaşcu</w:t>
      </w:r>
      <w:r w:rsidRPr="00C65958">
        <w:rPr>
          <w:rFonts w:ascii="Times New Roman" w:hAnsi="Times New Roman" w:eastAsia="MS Mincho" w:cs="Times New Roman"/>
          <w:szCs w:val="24"/>
        </w:rPr>
        <w:t>,</w:t>
      </w:r>
      <w:r w:rsidRPr="00C65958">
        <w:rPr>
          <w:rFonts w:ascii="Times New Roman" w:hAnsi="Times New Roman" w:eastAsia="MS Mincho" w:cs="Times New Roman"/>
          <w:i/>
          <w:szCs w:val="24"/>
        </w:rPr>
        <w:t xml:space="preserve"> Catan</w:t>
      </w:r>
      <w:r w:rsidRPr="00C65958">
        <w:rPr>
          <w:rFonts w:ascii="Times New Roman" w:hAnsi="Times New Roman" w:eastAsia="MS Mincho" w:cs="Times New Roman"/>
          <w:szCs w:val="24"/>
        </w:rPr>
        <w:t xml:space="preserve"> and</w:t>
      </w:r>
      <w:r w:rsidRPr="00C65958">
        <w:rPr>
          <w:rFonts w:ascii="Times New Roman" w:hAnsi="Times New Roman" w:eastAsia="MS Mincho" w:cs="Times New Roman"/>
          <w:i/>
          <w:szCs w:val="24"/>
        </w:rPr>
        <w:t xml:space="preserve"> </w:t>
      </w:r>
      <w:r w:rsidRPr="00C65958">
        <w:rPr>
          <w:rFonts w:ascii="Times New Roman" w:hAnsi="Times New Roman" w:eastAsia="MS Mincho" w:cs="Times New Roman"/>
          <w:i/>
          <w:snapToGrid w:val="0"/>
          <w:szCs w:val="24"/>
        </w:rPr>
        <w:t>Mozer</w:t>
      </w:r>
      <w:r w:rsidRPr="00C65958">
        <w:rPr>
          <w:rFonts w:ascii="Times New Roman" w:hAnsi="Times New Roman" w:eastAsia="MS Mincho" w:cs="Times New Roman"/>
          <w:snapToGrid w:val="0"/>
          <w:szCs w:val="24"/>
        </w:rPr>
        <w:t xml:space="preserve"> it found that although Moldova had no effective control </w:t>
      </w:r>
      <w:r w:rsidRPr="00C65958">
        <w:rPr>
          <w:rFonts w:ascii="Times New Roman" w:hAnsi="Times New Roman" w:cs="Times New Roman"/>
          <w:szCs w:val="24"/>
        </w:rPr>
        <w:t xml:space="preserve">over the Transdniestrian region, </w:t>
      </w:r>
      <w:r w:rsidRPr="00C65958">
        <w:rPr>
          <w:rFonts w:ascii="Times New Roman" w:hAnsi="Times New Roman" w:eastAsia="MS Mincho" w:cs="Times New Roman"/>
          <w:snapToGrid w:val="0"/>
          <w:szCs w:val="24"/>
        </w:rPr>
        <w:t xml:space="preserve">it followed from </w:t>
      </w:r>
      <w:r w:rsidRPr="00C65958">
        <w:rPr>
          <w:rFonts w:ascii="Times New Roman" w:hAnsi="Times New Roman" w:eastAsia="MS Mincho" w:cs="Times New Roman"/>
          <w:szCs w:val="24"/>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r w:rsidRPr="00C65958">
        <w:rPr>
          <w:rFonts w:ascii="Times New Roman" w:hAnsi="Times New Roman" w:eastAsia="MS Mincho" w:cs="Times New Roman"/>
          <w:i/>
          <w:szCs w:val="24"/>
        </w:rPr>
        <w:t>Ilaşcu and Others</w:t>
      </w:r>
      <w:r w:rsidRPr="00C65958">
        <w:rPr>
          <w:rFonts w:ascii="Times New Roman" w:hAnsi="Times New Roman" w:eastAsia="MS Mincho" w:cs="Times New Roman"/>
          <w:szCs w:val="24"/>
        </w:rPr>
        <w:t xml:space="preserve">, cited above, § 333; </w:t>
      </w:r>
      <w:r w:rsidRPr="00C65958">
        <w:rPr>
          <w:rFonts w:ascii="Times New Roman" w:hAnsi="Times New Roman" w:eastAsia="MS Mincho" w:cs="Times New Roman"/>
          <w:i/>
          <w:szCs w:val="24"/>
        </w:rPr>
        <w:t>Catan and Others</w:t>
      </w:r>
      <w:r w:rsidRPr="00C65958">
        <w:rPr>
          <w:rFonts w:ascii="Times New Roman" w:hAnsi="Times New Roman" w:eastAsia="MS Mincho" w:cs="Times New Roman"/>
          <w:szCs w:val="24"/>
        </w:rPr>
        <w:t xml:space="preserve">, cited above, § 109; and </w:t>
      </w:r>
      <w:r w:rsidRPr="00C65958">
        <w:rPr>
          <w:rFonts w:ascii="Times New Roman" w:hAnsi="Times New Roman" w:eastAsia="MS Mincho" w:cs="Times New Roman"/>
          <w:i/>
          <w:szCs w:val="24"/>
        </w:rPr>
        <w:t>Mozer</w:t>
      </w:r>
      <w:r w:rsidRPr="00C65958">
        <w:rPr>
          <w:rFonts w:ascii="Times New Roman" w:hAnsi="Times New Roman" w:eastAsia="MS Mincho" w:cs="Times New Roman"/>
          <w:szCs w:val="24"/>
        </w:rPr>
        <w:t>, cited above, § 100). Moldova</w:t>
      </w:r>
      <w:r w:rsidRPr="00C65958" w:rsidR="00C65958">
        <w:rPr>
          <w:rFonts w:ascii="Times New Roman" w:hAnsi="Times New Roman" w:eastAsia="MS Mincho" w:cs="Times New Roman"/>
          <w:szCs w:val="24"/>
        </w:rPr>
        <w:t>’</w:t>
      </w:r>
      <w:r w:rsidRPr="00C65958">
        <w:rPr>
          <w:rFonts w:ascii="Times New Roman" w:hAnsi="Times New Roman" w:eastAsia="MS Mincho" w:cs="Times New Roman"/>
          <w:szCs w:val="24"/>
        </w:rPr>
        <w:t xml:space="preserve">s obligations under Article 1 of the Convention were found to be positive obligations (see </w:t>
      </w:r>
      <w:r w:rsidRPr="00C65958">
        <w:rPr>
          <w:rFonts w:ascii="Times New Roman" w:hAnsi="Times New Roman" w:eastAsia="MS Mincho" w:cs="Times New Roman"/>
          <w:i/>
          <w:szCs w:val="24"/>
        </w:rPr>
        <w:t>Ilaşcu and Others</w:t>
      </w:r>
      <w:r w:rsidRPr="00C65958">
        <w:rPr>
          <w:rFonts w:ascii="Times New Roman" w:hAnsi="Times New Roman" w:eastAsia="MS Mincho" w:cs="Times New Roman"/>
          <w:szCs w:val="24"/>
        </w:rPr>
        <w:t xml:space="preserve">, cited above, §§ 322 and 330-31; </w:t>
      </w:r>
      <w:r w:rsidRPr="00C65958">
        <w:rPr>
          <w:rFonts w:ascii="Times New Roman" w:hAnsi="Times New Roman" w:eastAsia="MS Mincho" w:cs="Times New Roman"/>
          <w:i/>
          <w:szCs w:val="24"/>
        </w:rPr>
        <w:t>Catan and Others</w:t>
      </w:r>
      <w:r w:rsidRPr="00C65958">
        <w:rPr>
          <w:rFonts w:ascii="Times New Roman" w:hAnsi="Times New Roman" w:eastAsia="MS Mincho" w:cs="Times New Roman"/>
          <w:szCs w:val="24"/>
        </w:rPr>
        <w:t xml:space="preserve">, cited above, §§ 109-10; and </w:t>
      </w:r>
      <w:r w:rsidRPr="00C65958">
        <w:rPr>
          <w:rFonts w:ascii="Times New Roman" w:hAnsi="Times New Roman" w:eastAsia="MS Mincho" w:cs="Times New Roman"/>
          <w:i/>
          <w:szCs w:val="24"/>
        </w:rPr>
        <w:t>Mozer</w:t>
      </w:r>
      <w:r w:rsidRPr="00C65958">
        <w:rPr>
          <w:rFonts w:ascii="Times New Roman" w:hAnsi="Times New Roman" w:eastAsia="MS Mincho" w:cs="Times New Roman"/>
          <w:szCs w:val="24"/>
        </w:rPr>
        <w:t>, cited above, § 99).</w:t>
      </w:r>
    </w:p>
    <w:bookmarkStart w:name="p_21_MDA_jurisd" w:id="8"/>
    <w:p w:rsidRPr="00C65958" w:rsidR="00375F8B" w:rsidP="00C65958" w:rsidRDefault="00375F8B">
      <w:pPr>
        <w:pStyle w:val="JuPara"/>
        <w:rPr>
          <w:rFonts w:ascii="Times New Roman" w:hAnsi="Times New Roman" w:eastAsia="MS Mincho" w:cs="Times New Roman"/>
          <w:szCs w:val="24"/>
        </w:rPr>
      </w:pPr>
      <w:r w:rsidRPr="00C65958">
        <w:rPr>
          <w:rFonts w:ascii="Times New Roman" w:hAnsi="Times New Roman" w:eastAsia="MS Mincho" w:cs="Times New Roman"/>
          <w:szCs w:val="24"/>
        </w:rPr>
        <w:fldChar w:fldCharType="begin"/>
      </w:r>
      <w:r w:rsidRPr="00C65958">
        <w:rPr>
          <w:rFonts w:ascii="Times New Roman" w:hAnsi="Times New Roman" w:eastAsia="MS Mincho" w:cs="Times New Roman"/>
          <w:szCs w:val="24"/>
        </w:rPr>
        <w:instrText xml:space="preserve"> SEQ level0 \*arabic </w:instrText>
      </w:r>
      <w:r w:rsidRPr="00C65958">
        <w:rPr>
          <w:rFonts w:ascii="Times New Roman" w:hAnsi="Times New Roman" w:eastAsia="MS Mincho" w:cs="Times New Roman"/>
          <w:szCs w:val="24"/>
        </w:rPr>
        <w:fldChar w:fldCharType="separate"/>
      </w:r>
      <w:r w:rsidRPr="00C65958" w:rsidR="00C65958">
        <w:rPr>
          <w:rFonts w:ascii="Times New Roman" w:hAnsi="Times New Roman" w:eastAsia="MS Mincho" w:cs="Times New Roman"/>
          <w:noProof/>
          <w:szCs w:val="24"/>
        </w:rPr>
        <w:t>17</w:t>
      </w:r>
      <w:r w:rsidRPr="00C65958">
        <w:rPr>
          <w:rFonts w:ascii="Times New Roman" w:hAnsi="Times New Roman" w:eastAsia="MS Mincho" w:cs="Times New Roman"/>
          <w:szCs w:val="24"/>
        </w:rPr>
        <w:fldChar w:fldCharType="end"/>
      </w:r>
      <w:bookmarkEnd w:id="8"/>
      <w:r w:rsidRPr="00C65958">
        <w:rPr>
          <w:rFonts w:ascii="Times New Roman" w:hAnsi="Times New Roman" w:eastAsia="MS Mincho" w:cs="Times New Roman"/>
          <w:szCs w:val="24"/>
        </w:rPr>
        <w:t>.  The Court sees no reason to distinguish the present case from the above-mentioned cases</w:t>
      </w:r>
      <w:r w:rsidRPr="00C65958">
        <w:rPr>
          <w:rFonts w:ascii="Times New Roman" w:hAnsi="Times New Roman" w:eastAsia="MS Mincho" w:cs="Times New Roman"/>
          <w:snapToGrid w:val="0"/>
          <w:szCs w:val="24"/>
        </w:rPr>
        <w:t>. Besides, it notes that</w:t>
      </w:r>
      <w:r w:rsidRPr="00C65958">
        <w:rPr>
          <w:rFonts w:ascii="Times New Roman" w:hAnsi="Times New Roman" w:eastAsia="MS Mincho" w:cs="Times New Roman"/>
          <w:szCs w:val="24"/>
        </w:rPr>
        <w:t xml:space="preserve"> the Moldovan Government do not object to applying a similar approach in the present case. Therefore, it finds that Moldova had jurisdiction for the purposes of Article 1 of the Convention, but that its responsibility for the acts complained of is to be assessed in the light of the above-mentioned positive obligations (see </w:t>
      </w:r>
      <w:r w:rsidRPr="00C65958">
        <w:rPr>
          <w:rFonts w:ascii="Times New Roman" w:hAnsi="Times New Roman" w:eastAsia="MS Mincho" w:cs="Times New Roman"/>
          <w:i/>
          <w:szCs w:val="24"/>
        </w:rPr>
        <w:t>Ilaşcu and Others</w:t>
      </w:r>
      <w:r w:rsidRPr="00C65958">
        <w:rPr>
          <w:rFonts w:ascii="Times New Roman" w:hAnsi="Times New Roman" w:eastAsia="MS Mincho" w:cs="Times New Roman"/>
          <w:szCs w:val="24"/>
        </w:rPr>
        <w:t>, cited above, § 335).</w:t>
      </w:r>
    </w:p>
    <w:bookmarkStart w:name="p_28_RUS_responsib_start" w:id="9"/>
    <w:bookmarkStart w:name="p_22_RUS_jurisd_start" w:id="10"/>
    <w:bookmarkStart w:name="p_19_RUS_jurisd_start" w:id="11"/>
    <w:p w:rsidRPr="00C65958" w:rsidR="00375F8B" w:rsidP="00C65958" w:rsidRDefault="00375F8B">
      <w:pPr>
        <w:pStyle w:val="JuPara"/>
        <w:rPr>
          <w:snapToGrid w:val="0"/>
        </w:rPr>
      </w:pPr>
      <w:r w:rsidRPr="00C65958">
        <w:rPr>
          <w:rFonts w:ascii="Times New Roman" w:hAnsi="Times New Roman" w:eastAsia="MS Mincho" w:cs="Times New Roman"/>
          <w:szCs w:val="24"/>
        </w:rPr>
        <w:fldChar w:fldCharType="begin"/>
      </w:r>
      <w:r w:rsidRPr="00C65958">
        <w:rPr>
          <w:rFonts w:ascii="Times New Roman" w:hAnsi="Times New Roman" w:eastAsia="MS Mincho" w:cs="Times New Roman"/>
          <w:szCs w:val="24"/>
        </w:rPr>
        <w:instrText xml:space="preserve"> SEQ level0 \*arabic </w:instrText>
      </w:r>
      <w:r w:rsidRPr="00C65958">
        <w:rPr>
          <w:rFonts w:ascii="Times New Roman" w:hAnsi="Times New Roman" w:eastAsia="MS Mincho" w:cs="Times New Roman"/>
          <w:szCs w:val="24"/>
        </w:rPr>
        <w:fldChar w:fldCharType="separate"/>
      </w:r>
      <w:r w:rsidRPr="00C65958" w:rsidR="00C65958">
        <w:rPr>
          <w:rFonts w:ascii="Times New Roman" w:hAnsi="Times New Roman" w:eastAsia="MS Mincho" w:cs="Times New Roman"/>
          <w:noProof/>
          <w:szCs w:val="24"/>
        </w:rPr>
        <w:t>18</w:t>
      </w:r>
      <w:r w:rsidRPr="00C65958">
        <w:rPr>
          <w:rFonts w:ascii="Times New Roman" w:hAnsi="Times New Roman" w:eastAsia="MS Mincho" w:cs="Times New Roman"/>
          <w:szCs w:val="24"/>
        </w:rPr>
        <w:fldChar w:fldCharType="end"/>
      </w:r>
      <w:bookmarkEnd w:id="9"/>
      <w:bookmarkEnd w:id="10"/>
      <w:bookmarkEnd w:id="11"/>
      <w:r w:rsidRPr="00C65958">
        <w:rPr>
          <w:rFonts w:ascii="Times New Roman" w:hAnsi="Times New Roman" w:eastAsia="MS Mincho" w:cs="Times New Roman"/>
          <w:szCs w:val="24"/>
        </w:rPr>
        <w:t xml:space="preserve">.  In so far as the Russian Federation is concerned, the Court notes that in </w:t>
      </w:r>
      <w:r w:rsidRPr="00C65958">
        <w:rPr>
          <w:rFonts w:ascii="Times New Roman" w:hAnsi="Times New Roman" w:eastAsia="MS Mincho" w:cs="Times New Roman"/>
          <w:i/>
          <w:szCs w:val="24"/>
        </w:rPr>
        <w:t>Ila</w:t>
      </w:r>
      <w:r w:rsidRPr="00C65958">
        <w:rPr>
          <w:rFonts w:ascii="Times New Roman" w:hAnsi="Times New Roman" w:eastAsia="MS Mincho" w:cs="Times New Roman"/>
          <w:i/>
          <w:szCs w:val="24"/>
          <w:lang w:val="ro-RO"/>
        </w:rPr>
        <w:t>ș</w:t>
      </w:r>
      <w:r w:rsidRPr="00C65958">
        <w:rPr>
          <w:rFonts w:ascii="Times New Roman" w:hAnsi="Times New Roman" w:eastAsia="MS Mincho" w:cs="Times New Roman"/>
          <w:i/>
          <w:szCs w:val="24"/>
        </w:rPr>
        <w:t>cu and Others</w:t>
      </w:r>
      <w:r w:rsidRPr="00C65958">
        <w:rPr>
          <w:rFonts w:ascii="Times New Roman" w:hAnsi="Times New Roman" w:eastAsia="MS Mincho" w:cs="Times New Roman"/>
          <w:szCs w:val="24"/>
        </w:rPr>
        <w:t xml:space="preserve"> it has already found that the Russian Federation contributed both militarily and politically to the creation of a separatist regime in the region of Transdniestria in 1991-1992 (see </w:t>
      </w:r>
      <w:r w:rsidRPr="00C65958">
        <w:rPr>
          <w:rFonts w:ascii="Times New Roman" w:hAnsi="Times New Roman" w:eastAsia="MS Mincho" w:cs="Times New Roman"/>
          <w:i/>
          <w:szCs w:val="24"/>
        </w:rPr>
        <w:t>Ilaşcu and Others</w:t>
      </w:r>
      <w:r w:rsidRPr="00C65958">
        <w:rPr>
          <w:rFonts w:ascii="Times New Roman" w:hAnsi="Times New Roman" w:eastAsia="MS Mincho" w:cs="Times New Roman"/>
          <w:szCs w:val="24"/>
        </w:rPr>
        <w:t xml:space="preserve">, cited above, § 382). The Court also found in subsequent cases concerning the Transdniestrian region that up until at least July 2010, the “MRT” was only able to continue to exist, and to resist Moldovan and international efforts to resolve the conflict and bring democracy and the rule of law to the region, because of Russian military, economic and political support (see </w:t>
      </w:r>
      <w:r w:rsidRPr="00C65958">
        <w:rPr>
          <w:rFonts w:ascii="Times New Roman" w:hAnsi="Times New Roman" w:eastAsia="MS Mincho" w:cs="Times New Roman"/>
          <w:i/>
          <w:szCs w:val="24"/>
        </w:rPr>
        <w:t>Ivanţoc and Others</w:t>
      </w:r>
      <w:r w:rsidRPr="00C65958">
        <w:rPr>
          <w:rFonts w:ascii="Times New Roman" w:hAnsi="Times New Roman" w:eastAsia="MS Mincho" w:cs="Times New Roman"/>
          <w:szCs w:val="24"/>
        </w:rPr>
        <w:t xml:space="preserve">, cited above, §§ 116-20; </w:t>
      </w:r>
      <w:r w:rsidRPr="00C65958">
        <w:rPr>
          <w:rFonts w:ascii="Times New Roman" w:hAnsi="Times New Roman" w:eastAsia="MS Mincho" w:cs="Times New Roman"/>
          <w:i/>
          <w:szCs w:val="24"/>
        </w:rPr>
        <w:t>Catan and Others</w:t>
      </w:r>
      <w:r w:rsidRPr="00C65958">
        <w:rPr>
          <w:rFonts w:ascii="Times New Roman" w:hAnsi="Times New Roman" w:eastAsia="MS Mincho" w:cs="Times New Roman"/>
          <w:szCs w:val="24"/>
        </w:rPr>
        <w:t xml:space="preserve">, cited above, §§ 121-22; and </w:t>
      </w:r>
      <w:r w:rsidRPr="00C65958">
        <w:rPr>
          <w:rFonts w:ascii="Times New Roman" w:hAnsi="Times New Roman" w:eastAsia="MS Mincho" w:cs="Times New Roman"/>
          <w:i/>
          <w:szCs w:val="24"/>
        </w:rPr>
        <w:t>Mozer</w:t>
      </w:r>
      <w:r w:rsidRPr="00C65958">
        <w:rPr>
          <w:rFonts w:ascii="Times New Roman" w:hAnsi="Times New Roman" w:eastAsia="MS Mincho" w:cs="Times New Roman"/>
          <w:szCs w:val="24"/>
        </w:rPr>
        <w:t xml:space="preserve">, cited above, §§ 108 and 110). The Court concluded in </w:t>
      </w:r>
      <w:r w:rsidRPr="00C65958">
        <w:rPr>
          <w:rFonts w:ascii="Times New Roman" w:hAnsi="Times New Roman" w:eastAsia="MS Mincho" w:cs="Times New Roman"/>
          <w:i/>
          <w:szCs w:val="24"/>
        </w:rPr>
        <w:t>Mozer</w:t>
      </w:r>
      <w:r w:rsidRPr="00C65958">
        <w:rPr>
          <w:rFonts w:ascii="Times New Roman" w:hAnsi="Times New Roman" w:eastAsia="MS Mincho" w:cs="Times New Roman"/>
          <w:szCs w:val="24"/>
        </w:rPr>
        <w:t xml:space="preserve"> that the “MRT”</w:t>
      </w:r>
      <w:r w:rsidRPr="00C65958" w:rsidR="00C65958">
        <w:rPr>
          <w:rFonts w:ascii="Times New Roman" w:hAnsi="Times New Roman" w:eastAsia="MS Mincho" w:cs="Times New Roman"/>
          <w:szCs w:val="24"/>
        </w:rPr>
        <w:t>‘</w:t>
      </w:r>
      <w:r w:rsidRPr="00C65958">
        <w:rPr>
          <w:rFonts w:ascii="Times New Roman" w:hAnsi="Times New Roman" w:eastAsia="MS Mincho" w:cs="Times New Roman"/>
          <w:szCs w:val="24"/>
        </w:rPr>
        <w:t>s high level of dependency on Russian support provided a strong indication that the Russian Federation continued to exercise effective control and a decisive influence over the Transdniestrian authorities and that, therefore, the applicant fell within that State</w:t>
      </w:r>
      <w:r w:rsidRPr="00C65958" w:rsidR="00C65958">
        <w:rPr>
          <w:rFonts w:ascii="Times New Roman" w:hAnsi="Times New Roman" w:eastAsia="MS Mincho" w:cs="Times New Roman"/>
          <w:szCs w:val="24"/>
        </w:rPr>
        <w:t>’</w:t>
      </w:r>
      <w:r w:rsidRPr="00C65958">
        <w:rPr>
          <w:rFonts w:ascii="Times New Roman" w:hAnsi="Times New Roman" w:eastAsia="MS Mincho" w:cs="Times New Roman"/>
          <w:szCs w:val="24"/>
        </w:rPr>
        <w:t>s jurisdiction under Article 1 of the Convention (</w:t>
      </w:r>
      <w:r w:rsidRPr="00C65958">
        <w:rPr>
          <w:rFonts w:ascii="Times New Roman" w:hAnsi="Times New Roman" w:eastAsia="MS Mincho" w:cs="Times New Roman"/>
          <w:i/>
          <w:szCs w:val="24"/>
        </w:rPr>
        <w:t>Mozer</w:t>
      </w:r>
      <w:r w:rsidRPr="00C65958">
        <w:rPr>
          <w:rFonts w:ascii="Times New Roman" w:hAnsi="Times New Roman" w:eastAsia="MS Mincho" w:cs="Times New Roman"/>
          <w:szCs w:val="24"/>
        </w:rPr>
        <w:t>, cited above, §§ 110</w:t>
      </w:r>
      <w:r w:rsidRPr="00C65958">
        <w:rPr>
          <w:rFonts w:ascii="Times New Roman" w:hAnsi="Times New Roman" w:eastAsia="MS Mincho" w:cs="Times New Roman"/>
          <w:szCs w:val="24"/>
        </w:rPr>
        <w:noBreakHyphen/>
        <w:t>11).</w:t>
      </w:r>
    </w:p>
    <w:bookmarkStart w:name="p_29_RUS_responsib_end" w:id="12"/>
    <w:p w:rsidRPr="00C65958" w:rsidR="00375F8B" w:rsidP="00C65958" w:rsidRDefault="00375F8B">
      <w:pPr>
        <w:pStyle w:val="JuPara"/>
      </w:pPr>
      <w:r w:rsidRPr="00C65958">
        <w:fldChar w:fldCharType="begin"/>
      </w:r>
      <w:r w:rsidRPr="00C65958">
        <w:instrText xml:space="preserve"> SEQ level0 \*arabic </w:instrText>
      </w:r>
      <w:r w:rsidRPr="00C65958">
        <w:fldChar w:fldCharType="separate"/>
      </w:r>
      <w:r w:rsidRPr="00C65958" w:rsidR="00C65958">
        <w:rPr>
          <w:noProof/>
        </w:rPr>
        <w:t>19</w:t>
      </w:r>
      <w:r w:rsidRPr="00C65958">
        <w:fldChar w:fldCharType="end"/>
      </w:r>
      <w:bookmarkEnd w:id="12"/>
      <w:r w:rsidRPr="00C65958">
        <w:t>.  </w:t>
      </w:r>
      <w:r w:rsidRPr="00C65958">
        <w:rPr>
          <w:rFonts w:ascii="Times New Roman" w:hAnsi="Times New Roman" w:eastAsia="MS Mincho" w:cs="Times New Roman"/>
          <w:szCs w:val="24"/>
        </w:rPr>
        <w:t xml:space="preserve">The Court sees no grounds on which to distinguish the present case from </w:t>
      </w:r>
      <w:r w:rsidRPr="00C65958">
        <w:rPr>
          <w:rFonts w:ascii="Times New Roman" w:hAnsi="Times New Roman" w:eastAsia="MS Mincho" w:cs="Times New Roman"/>
          <w:i/>
          <w:szCs w:val="24"/>
        </w:rPr>
        <w:t>Ila</w:t>
      </w:r>
      <w:r w:rsidRPr="00C65958">
        <w:rPr>
          <w:rFonts w:ascii="Times New Roman" w:hAnsi="Times New Roman" w:eastAsia="MS Mincho" w:cs="Times New Roman"/>
          <w:i/>
          <w:szCs w:val="24"/>
          <w:lang w:val="ro-RO"/>
        </w:rPr>
        <w:t>șcu and Others</w:t>
      </w:r>
      <w:r w:rsidRPr="00C65958">
        <w:rPr>
          <w:rFonts w:ascii="Times New Roman" w:hAnsi="Times New Roman" w:eastAsia="MS Mincho" w:cs="Times New Roman"/>
          <w:szCs w:val="24"/>
        </w:rPr>
        <w:t xml:space="preserve">, </w:t>
      </w:r>
      <w:r w:rsidRPr="00C65958">
        <w:rPr>
          <w:rFonts w:ascii="Times New Roman" w:hAnsi="Times New Roman" w:eastAsia="MS Mincho" w:cs="Times New Roman"/>
          <w:i/>
          <w:szCs w:val="24"/>
        </w:rPr>
        <w:t>Ivanţoc and Others</w:t>
      </w:r>
      <w:r w:rsidRPr="00C65958">
        <w:rPr>
          <w:rFonts w:ascii="Times New Roman" w:hAnsi="Times New Roman" w:eastAsia="MS Mincho" w:cs="Times New Roman"/>
          <w:szCs w:val="24"/>
        </w:rPr>
        <w:t xml:space="preserve">, </w:t>
      </w:r>
      <w:r w:rsidRPr="00C65958">
        <w:rPr>
          <w:rFonts w:ascii="Times New Roman" w:hAnsi="Times New Roman" w:eastAsia="MS Mincho" w:cs="Times New Roman"/>
          <w:i/>
          <w:szCs w:val="24"/>
        </w:rPr>
        <w:t>Catan and Others</w:t>
      </w:r>
      <w:r w:rsidRPr="00C65958">
        <w:rPr>
          <w:rFonts w:ascii="Times New Roman" w:hAnsi="Times New Roman" w:eastAsia="MS Mincho" w:cs="Times New Roman"/>
          <w:szCs w:val="24"/>
        </w:rPr>
        <w:t xml:space="preserve">, and </w:t>
      </w:r>
      <w:r w:rsidRPr="00C65958">
        <w:rPr>
          <w:rFonts w:ascii="Times New Roman" w:hAnsi="Times New Roman" w:eastAsia="MS Mincho" w:cs="Times New Roman"/>
          <w:i/>
          <w:szCs w:val="24"/>
        </w:rPr>
        <w:t xml:space="preserve">Mozer </w:t>
      </w:r>
      <w:r w:rsidRPr="00C65958">
        <w:rPr>
          <w:rFonts w:ascii="Times New Roman" w:hAnsi="Times New Roman" w:eastAsia="MS Mincho" w:cs="Times New Roman"/>
          <w:szCs w:val="24"/>
        </w:rPr>
        <w:t>(all cited above).</w:t>
      </w:r>
    </w:p>
    <w:bookmarkStart w:name="p_29_RUS_responsib" w:id="13"/>
    <w:bookmarkStart w:name="p_24_RUS_jurisd_end" w:id="14"/>
    <w:bookmarkStart w:name="p_21_RUS_jurisd_end" w:id="15"/>
    <w:p w:rsidRPr="00C65958" w:rsidR="00375F8B" w:rsidP="00C65958" w:rsidRDefault="00375F8B">
      <w:pPr>
        <w:pStyle w:val="JuPara"/>
      </w:pPr>
      <w:r w:rsidRPr="00C65958">
        <w:fldChar w:fldCharType="begin"/>
      </w:r>
      <w:r w:rsidRPr="00C65958">
        <w:instrText xml:space="preserve"> SEQ level0 \*arabic </w:instrText>
      </w:r>
      <w:r w:rsidRPr="00C65958">
        <w:fldChar w:fldCharType="separate"/>
      </w:r>
      <w:r w:rsidRPr="00C65958" w:rsidR="00C65958">
        <w:rPr>
          <w:noProof/>
        </w:rPr>
        <w:t>20</w:t>
      </w:r>
      <w:r w:rsidRPr="00C65958">
        <w:fldChar w:fldCharType="end"/>
      </w:r>
      <w:bookmarkEnd w:id="13"/>
      <w:bookmarkEnd w:id="14"/>
      <w:bookmarkEnd w:id="15"/>
      <w:r w:rsidRPr="00C65958">
        <w:t>.  </w:t>
      </w:r>
      <w:r w:rsidRPr="00C65958">
        <w:rPr>
          <w:rFonts w:ascii="Times New Roman" w:hAnsi="Times New Roman" w:eastAsia="MS Mincho" w:cs="Times New Roman"/>
          <w:szCs w:val="24"/>
        </w:rPr>
        <w:t>It follows that the applicant in the present case fell within the jurisdiction of the Russian Federation under Article 1 of the Convention. Consequently, the Court dismisses the Russian Government</w:t>
      </w:r>
      <w:r w:rsidRPr="00C65958" w:rsidR="00C65958">
        <w:rPr>
          <w:rFonts w:ascii="Times New Roman" w:hAnsi="Times New Roman" w:eastAsia="MS Mincho" w:cs="Times New Roman"/>
          <w:szCs w:val="24"/>
        </w:rPr>
        <w:t>’</w:t>
      </w:r>
      <w:r w:rsidRPr="00C65958">
        <w:rPr>
          <w:rFonts w:ascii="Times New Roman" w:hAnsi="Times New Roman" w:eastAsia="MS Mincho" w:cs="Times New Roman"/>
          <w:szCs w:val="24"/>
        </w:rPr>
        <w:t xml:space="preserve">s objections </w:t>
      </w:r>
      <w:r w:rsidRPr="00C65958">
        <w:rPr>
          <w:rFonts w:ascii="Times New Roman" w:hAnsi="Times New Roman" w:eastAsia="MS Mincho" w:cs="Times New Roman"/>
          <w:i/>
          <w:szCs w:val="24"/>
        </w:rPr>
        <w:t>ratione personae</w:t>
      </w:r>
      <w:r w:rsidRPr="00C65958">
        <w:rPr>
          <w:rFonts w:ascii="Times New Roman" w:hAnsi="Times New Roman" w:eastAsia="MS Mincho" w:cs="Times New Roman"/>
          <w:szCs w:val="24"/>
        </w:rPr>
        <w:t xml:space="preserve"> and </w:t>
      </w:r>
      <w:r w:rsidRPr="00C65958">
        <w:rPr>
          <w:rFonts w:ascii="Times New Roman" w:hAnsi="Times New Roman" w:eastAsia="MS Mincho" w:cs="Times New Roman"/>
          <w:i/>
          <w:szCs w:val="24"/>
        </w:rPr>
        <w:t>ratione loci</w:t>
      </w:r>
      <w:r w:rsidRPr="00C65958">
        <w:rPr>
          <w:rFonts w:ascii="Times New Roman" w:hAnsi="Times New Roman" w:eastAsia="MS Mincho" w:cs="Times New Roman"/>
          <w:szCs w:val="24"/>
        </w:rPr>
        <w:t>.</w:t>
      </w:r>
    </w:p>
    <w:bookmarkStart w:name="p__26_RUS_responsibility" w:id="16"/>
    <w:p w:rsidRPr="00C65958" w:rsidR="00375F8B" w:rsidP="00C65958" w:rsidRDefault="00375F8B">
      <w:pPr>
        <w:pStyle w:val="JuPara"/>
        <w:rPr>
          <w:snapToGrid w:val="0"/>
        </w:rPr>
      </w:pPr>
      <w:r w:rsidRPr="00C65958">
        <w:fldChar w:fldCharType="begin"/>
      </w:r>
      <w:r w:rsidRPr="00C65958">
        <w:instrText xml:space="preserve"> SEQ level0 \*arabic </w:instrText>
      </w:r>
      <w:r w:rsidRPr="00C65958">
        <w:fldChar w:fldCharType="separate"/>
      </w:r>
      <w:r w:rsidRPr="00C65958" w:rsidR="00C65958">
        <w:rPr>
          <w:noProof/>
        </w:rPr>
        <w:t>21</w:t>
      </w:r>
      <w:r w:rsidRPr="00C65958">
        <w:fldChar w:fldCharType="end"/>
      </w:r>
      <w:bookmarkEnd w:id="16"/>
      <w:r w:rsidRPr="00C65958">
        <w:t>.  </w:t>
      </w:r>
      <w:r w:rsidRPr="00C65958">
        <w:rPr>
          <w:rFonts w:ascii="Times New Roman" w:hAnsi="Times New Roman" w:cs="Times New Roman"/>
          <w:szCs w:val="24"/>
        </w:rPr>
        <w:t>The Court will hereafter determine whether there has been any violation of the applicant</w:t>
      </w:r>
      <w:r w:rsidRPr="00C65958" w:rsidR="00C65958">
        <w:rPr>
          <w:rFonts w:ascii="Times New Roman" w:hAnsi="Times New Roman" w:cs="Times New Roman"/>
          <w:szCs w:val="24"/>
        </w:rPr>
        <w:t>’</w:t>
      </w:r>
      <w:r w:rsidRPr="00C65958">
        <w:rPr>
          <w:rFonts w:ascii="Times New Roman" w:hAnsi="Times New Roman" w:cs="Times New Roman"/>
          <w:szCs w:val="24"/>
        </w:rPr>
        <w:t>s rights under the Convention such as to engage the responsibility of either respondent State (</w:t>
      </w:r>
      <w:r w:rsidRPr="00C65958">
        <w:rPr>
          <w:rFonts w:ascii="Times New Roman" w:hAnsi="Times New Roman" w:eastAsia="MS Mincho" w:cs="Times New Roman"/>
          <w:szCs w:val="24"/>
        </w:rPr>
        <w:t xml:space="preserve">see </w:t>
      </w:r>
      <w:r w:rsidRPr="00C65958">
        <w:rPr>
          <w:rFonts w:ascii="Times New Roman" w:hAnsi="Times New Roman" w:eastAsia="MS Mincho" w:cs="Times New Roman"/>
          <w:i/>
          <w:szCs w:val="24"/>
        </w:rPr>
        <w:t>Mozer</w:t>
      </w:r>
      <w:r w:rsidRPr="00C65958">
        <w:rPr>
          <w:rFonts w:ascii="Times New Roman" w:hAnsi="Times New Roman" w:eastAsia="MS Mincho" w:cs="Times New Roman"/>
          <w:szCs w:val="24"/>
        </w:rPr>
        <w:t>, cited above, § 112).</w:t>
      </w:r>
    </w:p>
    <w:p w:rsidRPr="00C65958" w:rsidR="00D420F3" w:rsidP="00C65958" w:rsidRDefault="0077175D">
      <w:pPr>
        <w:pStyle w:val="JuHIRoman"/>
      </w:pPr>
      <w:r w:rsidRPr="00C65958">
        <w:t xml:space="preserve">ALLEGED VIOLATION OF ARTICLE </w:t>
      </w:r>
      <w:r w:rsidRPr="00C65958" w:rsidR="00375F8B">
        <w:t>3</w:t>
      </w:r>
      <w:r w:rsidRPr="00C65958">
        <w:t xml:space="preserve"> OF THE CONVENTION</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22</w:t>
      </w:r>
      <w:r w:rsidRPr="00C65958">
        <w:fldChar w:fldCharType="end"/>
      </w:r>
      <w:r w:rsidRPr="00C65958" w:rsidR="0077175D">
        <w:t xml:space="preserve">.  The applicant complained that </w:t>
      </w:r>
      <w:r w:rsidRPr="00C65958" w:rsidR="003760B3">
        <w:t xml:space="preserve">he had been held in </w:t>
      </w:r>
      <w:r w:rsidRPr="00C65958" w:rsidR="00E94F90">
        <w:t>degrading</w:t>
      </w:r>
      <w:r w:rsidRPr="00C65958" w:rsidR="003760B3">
        <w:t xml:space="preserve"> conditions of detention. He relied on </w:t>
      </w:r>
      <w:r w:rsidRPr="00C65958" w:rsidR="0077175D">
        <w:t xml:space="preserve">Article </w:t>
      </w:r>
      <w:r w:rsidRPr="00C65958" w:rsidR="003760B3">
        <w:t>3</w:t>
      </w:r>
      <w:r w:rsidRPr="00C65958" w:rsidR="0077175D">
        <w:t xml:space="preserve"> of the Convention, which reads as follows:</w:t>
      </w:r>
    </w:p>
    <w:p w:rsidRPr="00C65958" w:rsidR="003760B3" w:rsidP="00C65958" w:rsidRDefault="003760B3">
      <w:pPr>
        <w:pStyle w:val="JuQuot"/>
      </w:pPr>
      <w:r w:rsidRPr="00C65958">
        <w:t>“No one shall be subjected to torture or to inhuman or degrading treatment or punishment.”</w:t>
      </w:r>
    </w:p>
    <w:p w:rsidRPr="00C65958" w:rsidR="00F349B3" w:rsidP="00C65958" w:rsidRDefault="00F349B3">
      <w:pPr>
        <w:pStyle w:val="JuHA"/>
      </w:pPr>
      <w:r w:rsidRPr="00C65958">
        <w:t>Admissibility</w:t>
      </w:r>
    </w:p>
    <w:p w:rsidRPr="00C65958" w:rsidR="00F349B3" w:rsidP="00C65958" w:rsidRDefault="00F349B3">
      <w:pPr>
        <w:pStyle w:val="JuPara"/>
        <w:rPr>
          <w:rFonts w:ascii="Times New Roman" w:hAnsi="Times New Roman" w:eastAsia="MS Mincho" w:cs="Times New Roman"/>
          <w:szCs w:val="24"/>
        </w:rPr>
      </w:pPr>
      <w:r w:rsidRPr="00C65958">
        <w:rPr>
          <w:rFonts w:ascii="Times New Roman" w:hAnsi="Times New Roman" w:eastAsia="MS Mincho" w:cs="Times New Roman"/>
          <w:szCs w:val="24"/>
        </w:rPr>
        <w:fldChar w:fldCharType="begin"/>
      </w:r>
      <w:r w:rsidRPr="00C65958">
        <w:rPr>
          <w:rFonts w:ascii="Times New Roman" w:hAnsi="Times New Roman" w:eastAsia="MS Mincho" w:cs="Times New Roman"/>
          <w:szCs w:val="24"/>
        </w:rPr>
        <w:instrText xml:space="preserve"> SEQ level0 \*arabic </w:instrText>
      </w:r>
      <w:r w:rsidRPr="00C65958">
        <w:rPr>
          <w:rFonts w:ascii="Times New Roman" w:hAnsi="Times New Roman" w:eastAsia="MS Mincho" w:cs="Times New Roman"/>
          <w:szCs w:val="24"/>
        </w:rPr>
        <w:fldChar w:fldCharType="separate"/>
      </w:r>
      <w:r w:rsidRPr="00C65958" w:rsidR="00C65958">
        <w:rPr>
          <w:rFonts w:ascii="Times New Roman" w:hAnsi="Times New Roman" w:eastAsia="MS Mincho" w:cs="Times New Roman"/>
          <w:noProof/>
          <w:szCs w:val="24"/>
        </w:rPr>
        <w:t>23</w:t>
      </w:r>
      <w:r w:rsidRPr="00C65958">
        <w:rPr>
          <w:rFonts w:ascii="Times New Roman" w:hAnsi="Times New Roman" w:eastAsia="MS Mincho" w:cs="Times New Roman"/>
          <w:szCs w:val="24"/>
        </w:rPr>
        <w:fldChar w:fldCharType="end"/>
      </w:r>
      <w:r w:rsidRPr="00C65958">
        <w:rPr>
          <w:rFonts w:ascii="Times New Roman" w:hAnsi="Times New Roman" w:eastAsia="MS Mincho" w:cs="Times New Roman"/>
          <w:szCs w:val="24"/>
        </w:rPr>
        <w:t>.  The Court notes that this complaint is not manifestly ill-founded within the meaning of Article 35 § 3 (a) of the Convention. It further notes that it is not inadmissible on any other grounds. It must therefore be declared admissible.</w:t>
      </w:r>
    </w:p>
    <w:p w:rsidRPr="00C65958" w:rsidR="00012B73" w:rsidP="00C65958" w:rsidRDefault="00012B73">
      <w:pPr>
        <w:pStyle w:val="JuHA"/>
      </w:pPr>
      <w:r w:rsidRPr="00C65958">
        <w:t>Merits</w:t>
      </w:r>
    </w:p>
    <w:p w:rsidRPr="00C65958" w:rsidR="00DC1F2D" w:rsidP="00C65958" w:rsidRDefault="00DC1F2D">
      <w:pPr>
        <w:pStyle w:val="JuPara"/>
      </w:pPr>
      <w:r w:rsidRPr="00C65958">
        <w:fldChar w:fldCharType="begin"/>
      </w:r>
      <w:r w:rsidRPr="00C65958">
        <w:instrText xml:space="preserve"> SEQ level0 \*arabic </w:instrText>
      </w:r>
      <w:r w:rsidRPr="00C65958">
        <w:fldChar w:fldCharType="separate"/>
      </w:r>
      <w:r w:rsidRPr="00C65958" w:rsidR="00C65958">
        <w:rPr>
          <w:noProof/>
        </w:rPr>
        <w:t>24</w:t>
      </w:r>
      <w:r w:rsidRPr="00C65958">
        <w:fldChar w:fldCharType="end"/>
      </w:r>
      <w:r w:rsidRPr="00C65958">
        <w:t xml:space="preserve">.  The applicant described his conditions of detention during 15 days in the “MRT”, notably a damp and cold cell, with food provided once a day. The respondent Governments did not challenge this description, </w:t>
      </w:r>
      <w:proofErr w:type="gramStart"/>
      <w:r w:rsidRPr="00C65958">
        <w:t>nor the applicant</w:t>
      </w:r>
      <w:r w:rsidRPr="00C65958" w:rsidR="00C65958">
        <w:t>’</w:t>
      </w:r>
      <w:r w:rsidRPr="00C65958">
        <w:t>s allegation that his relatives</w:t>
      </w:r>
      <w:r w:rsidRPr="00C65958" w:rsidR="00C65958">
        <w:t>’</w:t>
      </w:r>
      <w:r w:rsidRPr="00C65958">
        <w:t xml:space="preserve"> attempts to bring him food were unsuccessful (see paragraph </w:t>
      </w:r>
      <w:r w:rsidRPr="00C65958">
        <w:fldChar w:fldCharType="begin"/>
      </w:r>
      <w:r w:rsidRPr="00C65958">
        <w:instrText xml:space="preserve"> REF p_11_CONDT \h </w:instrText>
      </w:r>
      <w:r w:rsidRPr="00C65958">
        <w:fldChar w:fldCharType="separate"/>
      </w:r>
      <w:r w:rsidRPr="00C65958" w:rsidR="00C65958">
        <w:rPr>
          <w:noProof/>
        </w:rPr>
        <w:t>10</w:t>
      </w:r>
      <w:r w:rsidRPr="00C65958">
        <w:fldChar w:fldCharType="end"/>
      </w:r>
      <w:proofErr w:type="gramEnd"/>
      <w:r w:rsidRPr="00C65958">
        <w:t xml:space="preserve"> above).</w:t>
      </w:r>
    </w:p>
    <w:p w:rsidRPr="00C65958" w:rsidR="00C7282C"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25</w:t>
      </w:r>
      <w:r w:rsidRPr="00C65958">
        <w:fldChar w:fldCharType="end"/>
      </w:r>
      <w:r w:rsidRPr="00C65958" w:rsidR="0077175D">
        <w:t>.  </w:t>
      </w:r>
      <w:r w:rsidRPr="00C65958" w:rsidR="00F349B3">
        <w:t xml:space="preserve">The Moldovan Government stated that they could not verify the facts of the case and </w:t>
      </w:r>
      <w:r w:rsidRPr="00C65958" w:rsidR="00C70EBB">
        <w:t>thus could not make any submissions in respect of the complaint under Article 3</w:t>
      </w:r>
      <w:r w:rsidRPr="00C65958" w:rsidR="00F349B3">
        <w:t xml:space="preserve">. </w:t>
      </w:r>
      <w:r w:rsidRPr="00C65958" w:rsidR="003760B3">
        <w:t xml:space="preserve">The Russian Government argued that only the Republic of Moldova could be asked specific questions concerning the observance of </w:t>
      </w:r>
      <w:r w:rsidRPr="00C65958" w:rsidR="00A9534D">
        <w:t xml:space="preserve">the </w:t>
      </w:r>
      <w:r w:rsidRPr="00C65958" w:rsidR="003760B3">
        <w:t>Convention rights on its territory, which included the “MRT”.</w:t>
      </w:r>
    </w:p>
    <w:p w:rsidRPr="00C65958" w:rsidR="00012B73" w:rsidP="00C65958" w:rsidRDefault="00012B73">
      <w:pPr>
        <w:pStyle w:val="JuPara"/>
        <w:rPr>
          <w:i/>
        </w:rPr>
      </w:pPr>
      <w:r w:rsidRPr="00C65958">
        <w:fldChar w:fldCharType="begin"/>
      </w:r>
      <w:r w:rsidRPr="00C65958">
        <w:instrText xml:space="preserve"> SEQ level0 \*arabic </w:instrText>
      </w:r>
      <w:r w:rsidRPr="00C65958">
        <w:fldChar w:fldCharType="separate"/>
      </w:r>
      <w:r w:rsidRPr="00C65958" w:rsidR="00C65958">
        <w:rPr>
          <w:noProof/>
        </w:rPr>
        <w:t>26</w:t>
      </w:r>
      <w:r w:rsidRPr="00C65958">
        <w:fldChar w:fldCharType="end"/>
      </w:r>
      <w:r w:rsidRPr="00C65958">
        <w:t>.  The Court reiterates that Article 3 of the Convention enshrines one of the most fundamental values of democratic society. It prohibits in absolute terms torture or inhuman or degrading treatment or punishment, irrespective of the circumstances and the victim</w:t>
      </w:r>
      <w:r w:rsidRPr="00C65958" w:rsidR="00C65958">
        <w:t>’</w:t>
      </w:r>
      <w:r w:rsidRPr="00C65958">
        <w:t xml:space="preserve">s behaviour (see, for example, </w:t>
      </w:r>
      <w:r w:rsidRPr="00C65958">
        <w:rPr>
          <w:i/>
          <w:iCs/>
        </w:rPr>
        <w:t>Labita v. Italy</w:t>
      </w:r>
      <w:r w:rsidRPr="00C65958">
        <w:t xml:space="preserve"> [GC], no. 26772/95, § 119, ECHR 2000-IV). Ill</w:t>
      </w:r>
      <w:r w:rsidRPr="00C65958">
        <w:noBreakHyphen/>
        <w:t xml:space="preserve">treatment must, however,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C65958">
        <w:rPr>
          <w:i/>
        </w:rPr>
        <w:t xml:space="preserve">Kudła v. Poland </w:t>
      </w:r>
      <w:r w:rsidRPr="00C65958">
        <w:t>[GC], no. 30210/96, § 91, ECHR 2000</w:t>
      </w:r>
      <w:r w:rsidRPr="00C65958">
        <w:noBreakHyphen/>
        <w:t xml:space="preserve">XI; </w:t>
      </w:r>
      <w:r w:rsidRPr="00C65958">
        <w:rPr>
          <w:i/>
        </w:rPr>
        <w:t>Enea v. Italy</w:t>
      </w:r>
      <w:r w:rsidRPr="00C65958">
        <w:t xml:space="preserve"> [GC], no.</w:t>
      </w:r>
      <w:r w:rsidRPr="00C65958" w:rsidR="00C7282C">
        <w:t> </w:t>
      </w:r>
      <w:r w:rsidRPr="00C65958">
        <w:t xml:space="preserve">74912/01, § 55, ECHR 2009; and </w:t>
      </w:r>
      <w:r w:rsidRPr="00C65958">
        <w:rPr>
          <w:i/>
        </w:rPr>
        <w:t xml:space="preserve">Bouyid v. Belgium </w:t>
      </w:r>
      <w:r w:rsidRPr="00C65958" w:rsidR="00C7282C">
        <w:t>[GC], no. </w:t>
      </w:r>
      <w:r w:rsidRPr="00C65958">
        <w:t xml:space="preserve">23380/09, § 86, ECHR 2015, and </w:t>
      </w:r>
      <w:r w:rsidRPr="00C65958">
        <w:rPr>
          <w:i/>
        </w:rPr>
        <w:t>Mozer</w:t>
      </w:r>
      <w:r w:rsidRPr="00C65958">
        <w:t>, cited above, § 177).</w:t>
      </w:r>
    </w:p>
    <w:p w:rsidRPr="00C65958" w:rsidR="00012B73" w:rsidP="00C65958" w:rsidRDefault="00012B73">
      <w:pPr>
        <w:pStyle w:val="JuPara"/>
      </w:pPr>
      <w:r w:rsidRPr="00C65958">
        <w:fldChar w:fldCharType="begin"/>
      </w:r>
      <w:r w:rsidRPr="00C65958">
        <w:instrText xml:space="preserve"> SEQ level0 \*arabic </w:instrText>
      </w:r>
      <w:r w:rsidRPr="00C65958">
        <w:fldChar w:fldCharType="separate"/>
      </w:r>
      <w:r w:rsidRPr="00C65958" w:rsidR="00C65958">
        <w:rPr>
          <w:noProof/>
        </w:rPr>
        <w:t>27</w:t>
      </w:r>
      <w:r w:rsidRPr="00C65958">
        <w:fldChar w:fldCharType="end"/>
      </w:r>
      <w:r w:rsidRPr="00C65958">
        <w:t>.  The State must ensure that a person is detained in conditions which are compatible with respect for human dignity, that the manner and method of the execution of the measure of deprivation of liberty do not subject him to distress or hardship of an intensity exceeding the unavoidable level of suffering inherent in detention (</w:t>
      </w:r>
      <w:r w:rsidRPr="00C65958" w:rsidR="00E4563F">
        <w:t xml:space="preserve">see </w:t>
      </w:r>
      <w:r w:rsidRPr="00C65958" w:rsidR="00E4563F">
        <w:rPr>
          <w:i/>
          <w:iCs/>
        </w:rPr>
        <w:t>Kudła</w:t>
      </w:r>
      <w:r w:rsidRPr="00C65958" w:rsidR="00E4563F">
        <w:t xml:space="preserve">, cited above, § 94; </w:t>
      </w:r>
      <w:r w:rsidRPr="00C65958" w:rsidR="00E4563F">
        <w:rPr>
          <w:i/>
        </w:rPr>
        <w:t>Svinarenko and Slyadnev</w:t>
      </w:r>
      <w:r w:rsidRPr="00C65958" w:rsidR="00E4563F">
        <w:t xml:space="preserve"> </w:t>
      </w:r>
      <w:r w:rsidRPr="00C65958" w:rsidR="00E4563F">
        <w:rPr>
          <w:i/>
        </w:rPr>
        <w:t xml:space="preserve">v. Russia </w:t>
      </w:r>
      <w:r w:rsidRPr="00C65958" w:rsidR="00E4563F">
        <w:t>[GC], nos. 32541/08 and 43441/08, § 116, ECHR</w:t>
      </w:r>
      <w:r w:rsidRPr="00C65958" w:rsidR="005C19C6">
        <w:t> </w:t>
      </w:r>
      <w:r w:rsidRPr="00C65958" w:rsidR="00E4563F">
        <w:t xml:space="preserve">2014 (extracts), </w:t>
      </w:r>
      <w:r w:rsidRPr="00C65958" w:rsidR="00E4563F">
        <w:rPr>
          <w:i/>
        </w:rPr>
        <w:t>Ananyev and Others v. Russia</w:t>
      </w:r>
      <w:r w:rsidRPr="00C65958" w:rsidR="00E4563F">
        <w:t>, nos. 42525/07 and 60800/08, § 141, 10 January 2012</w:t>
      </w:r>
      <w:r w:rsidRPr="00C65958" w:rsidR="00E4563F">
        <w:rPr>
          <w:snapToGrid w:val="0"/>
          <w:szCs w:val="24"/>
        </w:rPr>
        <w:t xml:space="preserve">, </w:t>
      </w:r>
      <w:r w:rsidRPr="00C65958" w:rsidR="00E4563F">
        <w:t xml:space="preserve">and </w:t>
      </w:r>
      <w:r w:rsidRPr="00C65958" w:rsidR="00E4563F">
        <w:rPr>
          <w:i/>
        </w:rPr>
        <w:t>Muršić v. Croatia</w:t>
      </w:r>
      <w:r w:rsidRPr="00C65958" w:rsidR="00C5484F">
        <w:rPr>
          <w:snapToGrid w:val="0"/>
        </w:rPr>
        <w:t xml:space="preserve"> [GC], no. </w:t>
      </w:r>
      <w:r w:rsidRPr="00C65958" w:rsidR="00E4563F">
        <w:rPr>
          <w:snapToGrid w:val="0"/>
        </w:rPr>
        <w:t>7334/13</w:t>
      </w:r>
      <w:r w:rsidRPr="00C65958" w:rsidR="00E4563F">
        <w:t>, § 99, 20 October 2016</w:t>
      </w:r>
      <w:r w:rsidRPr="00C65958">
        <w:t>).</w:t>
      </w:r>
    </w:p>
    <w:p w:rsidRPr="00C65958" w:rsidR="00A761F0"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28</w:t>
      </w:r>
      <w:r w:rsidRPr="00C65958">
        <w:fldChar w:fldCharType="end"/>
      </w:r>
      <w:r w:rsidRPr="00C65958" w:rsidR="0077175D">
        <w:t>.  </w:t>
      </w:r>
      <w:r w:rsidRPr="00C65958" w:rsidR="00012B73">
        <w:t>In the present case, the Court notes that the applicant made specific allegations concerning his conditions of detention</w:t>
      </w:r>
      <w:r w:rsidRPr="00C65958" w:rsidR="00BD1C33">
        <w:t xml:space="preserve"> (see paragraph </w:t>
      </w:r>
      <w:r w:rsidRPr="00C65958" w:rsidR="00BD1C33">
        <w:fldChar w:fldCharType="begin"/>
      </w:r>
      <w:r w:rsidRPr="00C65958" w:rsidR="00BD1C33">
        <w:instrText xml:space="preserve"> REF p_11_CONDT \h </w:instrText>
      </w:r>
      <w:r w:rsidRPr="00C65958" w:rsidR="00BD1C33">
        <w:fldChar w:fldCharType="separate"/>
      </w:r>
      <w:r w:rsidRPr="00C65958" w:rsidR="00C65958">
        <w:rPr>
          <w:noProof/>
        </w:rPr>
        <w:t>10</w:t>
      </w:r>
      <w:r w:rsidRPr="00C65958" w:rsidR="00BD1C33">
        <w:fldChar w:fldCharType="end"/>
      </w:r>
      <w:r w:rsidRPr="00C65958" w:rsidR="00BD1C33">
        <w:t xml:space="preserve"> above)</w:t>
      </w:r>
      <w:r w:rsidRPr="00C65958" w:rsidR="00012B73">
        <w:t>. It also notes that none of the respondent Governments opposed this description.</w:t>
      </w:r>
      <w:r w:rsidRPr="00C65958" w:rsidR="00A82ACC">
        <w:t xml:space="preserve"> It finally observes that the conditions of detention prevailing in the various “MRT” prisons have already been found to be substandard (see, for instance, </w:t>
      </w:r>
      <w:r w:rsidRPr="00C65958" w:rsidR="00A82ACC">
        <w:rPr>
          <w:i/>
        </w:rPr>
        <w:t>Mozer</w:t>
      </w:r>
      <w:r w:rsidRPr="00C65958" w:rsidR="00A82ACC">
        <w:t xml:space="preserve">, cited above, §§ 180 and 181; </w:t>
      </w:r>
      <w:r w:rsidRPr="00C65958" w:rsidR="00A82ACC">
        <w:rPr>
          <w:i/>
        </w:rPr>
        <w:t>Eriomenco v. the Republic of Moldova and Russia</w:t>
      </w:r>
      <w:r w:rsidRPr="00C65958" w:rsidR="00A82ACC">
        <w:t xml:space="preserve">, no. 42224/11, § 57, 9 May 2017; </w:t>
      </w:r>
      <w:r w:rsidRPr="00C65958" w:rsidR="00A82ACC">
        <w:rPr>
          <w:i/>
          <w:iCs/>
        </w:rPr>
        <w:t>Apcov v. the Republic of Moldova and Russia</w:t>
      </w:r>
      <w:r w:rsidRPr="00C65958" w:rsidR="00A82ACC">
        <w:t xml:space="preserve">, no. 13463/07, § 43, 30 May 2017; </w:t>
      </w:r>
      <w:r w:rsidRPr="00C65958" w:rsidR="00A82ACC">
        <w:rPr>
          <w:i/>
          <w:iCs/>
        </w:rPr>
        <w:t>Draci v. the Republic of Moldova and Russia</w:t>
      </w:r>
      <w:r w:rsidRPr="00C65958" w:rsidR="00A82ACC">
        <w:rPr>
          <w:lang w:eastAsia="en-GB"/>
        </w:rPr>
        <w:t xml:space="preserve">, no. </w:t>
      </w:r>
      <w:r w:rsidRPr="00C65958" w:rsidR="00A82ACC">
        <w:t>5349/02</w:t>
      </w:r>
      <w:r w:rsidRPr="00C65958" w:rsidR="00A82ACC">
        <w:rPr>
          <w:lang w:eastAsia="en-GB"/>
        </w:rPr>
        <w:t xml:space="preserve">, </w:t>
      </w:r>
      <w:r w:rsidRPr="00C65958" w:rsidR="00A82ACC">
        <w:t xml:space="preserve">§ 58, 17 October 2017 and </w:t>
      </w:r>
      <w:r w:rsidRPr="00C65958" w:rsidR="00A82ACC">
        <w:rPr>
          <w:i/>
          <w:iCs/>
        </w:rPr>
        <w:t>Braga v. the Republic of Moldova and Russia</w:t>
      </w:r>
      <w:r w:rsidRPr="00C65958" w:rsidR="00A82ACC">
        <w:rPr>
          <w:lang w:eastAsia="en-GB"/>
        </w:rPr>
        <w:t xml:space="preserve">; no. </w:t>
      </w:r>
      <w:r w:rsidRPr="00C65958" w:rsidR="00A82ACC">
        <w:t>76957/01</w:t>
      </w:r>
      <w:r w:rsidRPr="00C65958" w:rsidR="00A82ACC">
        <w:rPr>
          <w:lang w:eastAsia="en-GB"/>
        </w:rPr>
        <w:t xml:space="preserve">, </w:t>
      </w:r>
      <w:r w:rsidRPr="00C65958" w:rsidR="00A82ACC">
        <w:t>§ 37, 17 October 2017).</w:t>
      </w:r>
    </w:p>
    <w:p w:rsidRPr="00C65958" w:rsidR="00CF3BCA" w:rsidP="00C65958" w:rsidRDefault="00CF3BCA">
      <w:pPr>
        <w:pStyle w:val="JuPara"/>
      </w:pPr>
      <w:r w:rsidRPr="00C65958">
        <w:fldChar w:fldCharType="begin"/>
      </w:r>
      <w:r w:rsidRPr="00C65958">
        <w:instrText xml:space="preserve"> SEQ level0 \*arabic </w:instrText>
      </w:r>
      <w:r w:rsidRPr="00C65958">
        <w:fldChar w:fldCharType="separate"/>
      </w:r>
      <w:r w:rsidRPr="00C65958" w:rsidR="00C65958">
        <w:rPr>
          <w:noProof/>
        </w:rPr>
        <w:t>29</w:t>
      </w:r>
      <w:r w:rsidRPr="00C65958">
        <w:fldChar w:fldCharType="end"/>
      </w:r>
      <w:r w:rsidRPr="00C65958">
        <w:t xml:space="preserve">.  The court recalls in particular that clear insufficiency of food given to a detainee in itself raises an issue under Article 3 of the Convention (see </w:t>
      </w:r>
      <w:r w:rsidRPr="00C65958">
        <w:rPr>
          <w:i/>
        </w:rPr>
        <w:t>Stepuleac v. Moldova</w:t>
      </w:r>
      <w:r w:rsidRPr="00C65958">
        <w:t xml:space="preserve">, no. 8207/06, § 55, 6 November 2007 and </w:t>
      </w:r>
      <w:r w:rsidRPr="00C65958" w:rsidR="00C7282C">
        <w:rPr>
          <w:i/>
        </w:rPr>
        <w:t>Kadiķis v. </w:t>
      </w:r>
      <w:r w:rsidRPr="00C65958">
        <w:rPr>
          <w:i/>
        </w:rPr>
        <w:t>Latvia</w:t>
      </w:r>
      <w:r w:rsidRPr="00C65958">
        <w:t xml:space="preserve"> (no. 2), no. 62393/00, § 55, 4 May 2006). </w:t>
      </w:r>
      <w:r w:rsidRPr="00C65958" w:rsidR="00E94F90">
        <w:t>In the present case, the applicant was given food once a day and denied access to food b</w:t>
      </w:r>
      <w:r w:rsidRPr="00C65958" w:rsidR="00EE6EBA">
        <w:t>r</w:t>
      </w:r>
      <w:r w:rsidRPr="00C65958" w:rsidR="00E94F90">
        <w:t>ought by his relatives.</w:t>
      </w:r>
    </w:p>
    <w:p w:rsidRPr="00C65958" w:rsidR="00C7282C" w:rsidP="00C65958" w:rsidRDefault="00AF5616">
      <w:pPr>
        <w:pStyle w:val="JuPara"/>
        <w:rPr>
          <w:i/>
        </w:rPr>
      </w:pPr>
      <w:r w:rsidRPr="00C65958">
        <w:fldChar w:fldCharType="begin"/>
      </w:r>
      <w:r w:rsidRPr="00C65958">
        <w:instrText xml:space="preserve"> SEQ level0 \*arabic </w:instrText>
      </w:r>
      <w:r w:rsidRPr="00C65958">
        <w:fldChar w:fldCharType="separate"/>
      </w:r>
      <w:r w:rsidRPr="00C65958" w:rsidR="00C65958">
        <w:rPr>
          <w:noProof/>
        </w:rPr>
        <w:t>30</w:t>
      </w:r>
      <w:r w:rsidRPr="00C65958">
        <w:fldChar w:fldCharType="end"/>
      </w:r>
      <w:r w:rsidRPr="00C65958">
        <w:t>.  On the basis of the material before it and in the absence of any material contradicting the applicant</w:t>
      </w:r>
      <w:r w:rsidRPr="00C65958" w:rsidR="00C65958">
        <w:t>’</w:t>
      </w:r>
      <w:r w:rsidRPr="00C65958">
        <w:t>s submissions, the Court finds it established that the conditions of the applicant</w:t>
      </w:r>
      <w:r w:rsidRPr="00C65958" w:rsidR="00C65958">
        <w:t>’</w:t>
      </w:r>
      <w:r w:rsidRPr="00C65958" w:rsidR="00444CEE">
        <w:t>s</w:t>
      </w:r>
      <w:r w:rsidRPr="00C65958">
        <w:t xml:space="preserve"> detention amounted to inhuman and degrading treatment w</w:t>
      </w:r>
      <w:r w:rsidRPr="00C65958" w:rsidR="005334FA">
        <w:t>ithin the meaning of Article 3.</w:t>
      </w:r>
    </w:p>
    <w:bookmarkStart w:name="p_27_viol_Art_3" w:id="17"/>
    <w:p w:rsidRPr="00C65958" w:rsidR="00AF5616" w:rsidP="00C65958" w:rsidRDefault="00AF5616">
      <w:pPr>
        <w:pStyle w:val="JuPara"/>
      </w:pPr>
      <w:r w:rsidRPr="00C65958">
        <w:fldChar w:fldCharType="begin"/>
      </w:r>
      <w:r w:rsidRPr="00C65958">
        <w:instrText xml:space="preserve"> SEQ level0 \*arabic </w:instrText>
      </w:r>
      <w:r w:rsidRPr="00C65958">
        <w:fldChar w:fldCharType="separate"/>
      </w:r>
      <w:r w:rsidRPr="00C65958" w:rsidR="00C65958">
        <w:rPr>
          <w:noProof/>
        </w:rPr>
        <w:t>31</w:t>
      </w:r>
      <w:r w:rsidRPr="00C65958">
        <w:fldChar w:fldCharType="end"/>
      </w:r>
      <w:bookmarkEnd w:id="17"/>
      <w:r w:rsidRPr="00C65958">
        <w:t xml:space="preserve">.  There has accordingly been a violation of Article 3 of the Convention in respect of </w:t>
      </w:r>
      <w:r w:rsidRPr="00C65958" w:rsidR="009B4564">
        <w:t>the applicant</w:t>
      </w:r>
      <w:r w:rsidRPr="00C65958" w:rsidR="00C65958">
        <w:t>’</w:t>
      </w:r>
      <w:r w:rsidRPr="00C65958" w:rsidR="009B4564">
        <w:t xml:space="preserve">s </w:t>
      </w:r>
      <w:r w:rsidRPr="00C65958">
        <w:t>conditions of detention.</w:t>
      </w:r>
    </w:p>
    <w:p w:rsidRPr="00C65958" w:rsidR="00E77E9D" w:rsidP="00C65958" w:rsidRDefault="00E77E9D">
      <w:pPr>
        <w:pStyle w:val="JuHA"/>
      </w:pPr>
      <w:r w:rsidRPr="00C65958">
        <w:t>Responsibility of the respondent States</w:t>
      </w:r>
    </w:p>
    <w:p w:rsidRPr="00C65958" w:rsidR="00E77E9D" w:rsidP="00C65958" w:rsidRDefault="00E77E9D">
      <w:pPr>
        <w:pStyle w:val="JuH1"/>
      </w:pPr>
      <w:r w:rsidRPr="00C65958">
        <w:t>The Republic of Moldova</w:t>
      </w:r>
    </w:p>
    <w:bookmarkStart w:name="p_59_MDA_pos_oblig_start" w:id="18"/>
    <w:p w:rsidRPr="00C65958" w:rsidR="00E77E9D" w:rsidP="00C65958" w:rsidRDefault="00E77E9D">
      <w:pPr>
        <w:pStyle w:val="JuPara"/>
      </w:pPr>
      <w:r w:rsidRPr="00C65958">
        <w:fldChar w:fldCharType="begin"/>
      </w:r>
      <w:r w:rsidRPr="00C65958">
        <w:instrText xml:space="preserve"> SEQ level0 \*arabic </w:instrText>
      </w:r>
      <w:r w:rsidRPr="00C65958">
        <w:fldChar w:fldCharType="separate"/>
      </w:r>
      <w:r w:rsidRPr="00C65958" w:rsidR="00C65958">
        <w:rPr>
          <w:noProof/>
        </w:rPr>
        <w:t>32</w:t>
      </w:r>
      <w:r w:rsidRPr="00C65958">
        <w:fldChar w:fldCharType="end"/>
      </w:r>
      <w:bookmarkEnd w:id="18"/>
      <w:r w:rsidRPr="00C65958">
        <w:t>.  The Court must next determine whether the Republic of Moldova fulfilled its positive obligations to take appropriate and sufficient measures to secure the applicant</w:t>
      </w:r>
      <w:r w:rsidRPr="00C65958" w:rsidR="00C65958">
        <w:t>’</w:t>
      </w:r>
      <w:r w:rsidRPr="00C65958" w:rsidR="00444CEE">
        <w:t>s</w:t>
      </w:r>
      <w:r w:rsidRPr="00C65958">
        <w:t xml:space="preserve"> rights under Article 3 of the Convention (see paragraph </w:t>
      </w:r>
      <w:r w:rsidRPr="00C65958">
        <w:fldChar w:fldCharType="begin"/>
      </w:r>
      <w:r w:rsidRPr="00C65958">
        <w:instrText xml:space="preserve"> REF p_17_MDA_obligations \h </w:instrText>
      </w:r>
      <w:r w:rsidRPr="00C65958">
        <w:fldChar w:fldCharType="separate"/>
      </w:r>
      <w:r w:rsidRPr="00C65958" w:rsidR="00C65958">
        <w:rPr>
          <w:noProof/>
          <w:snapToGrid w:val="0"/>
        </w:rPr>
        <w:t>16</w:t>
      </w:r>
      <w:r w:rsidRPr="00C65958">
        <w:fldChar w:fldCharType="end"/>
      </w:r>
      <w:r w:rsidRPr="00C65958">
        <w:t xml:space="preserve"> above). In </w:t>
      </w:r>
      <w:r w:rsidRPr="00C65958">
        <w:rPr>
          <w:i/>
        </w:rPr>
        <w:t>Mozer</w:t>
      </w:r>
      <w:r w:rsidRPr="00C65958">
        <w:t xml:space="preserve"> the Court held that Moldova</w:t>
      </w:r>
      <w:r w:rsidRPr="00C65958" w:rsidR="00C65958">
        <w:t>’</w:t>
      </w:r>
      <w:r w:rsidRPr="00C65958">
        <w:t>s positive obligations related both to measures needed to re-establish its control over the Transdniestrian territory, as an expression of its jurisdiction, and to measures to ensure respect for individual applicants</w:t>
      </w:r>
      <w:r w:rsidRPr="00C65958" w:rsidR="00C65958">
        <w:t>’</w:t>
      </w:r>
      <w:r w:rsidRPr="00C65958">
        <w:t xml:space="preserve"> rights (see </w:t>
      </w:r>
      <w:r w:rsidRPr="00C65958">
        <w:rPr>
          <w:i/>
        </w:rPr>
        <w:t>Mozer</w:t>
      </w:r>
      <w:r w:rsidRPr="00C65958">
        <w:t>, cited above, § 151).</w:t>
      </w:r>
    </w:p>
    <w:bookmarkStart w:name="p_34_MD_posit_oblig_start" w:id="19"/>
    <w:p w:rsidRPr="00C65958" w:rsidR="00E77E9D" w:rsidP="00C65958" w:rsidRDefault="00E77E9D">
      <w:pPr>
        <w:pStyle w:val="JuPara"/>
      </w:pPr>
      <w:r w:rsidRPr="00C65958">
        <w:fldChar w:fldCharType="begin"/>
      </w:r>
      <w:r w:rsidRPr="00C65958">
        <w:instrText xml:space="preserve"> SEQ level0 \*arabic </w:instrText>
      </w:r>
      <w:r w:rsidRPr="00C65958">
        <w:fldChar w:fldCharType="separate"/>
      </w:r>
      <w:r w:rsidRPr="00C65958" w:rsidR="00C65958">
        <w:rPr>
          <w:noProof/>
        </w:rPr>
        <w:t>33</w:t>
      </w:r>
      <w:r w:rsidRPr="00C65958">
        <w:rPr>
          <w:noProof/>
        </w:rPr>
        <w:fldChar w:fldCharType="end"/>
      </w:r>
      <w:bookmarkEnd w:id="19"/>
      <w:r w:rsidRPr="00C65958">
        <w:t>.  As regards the first aspect of Moldova</w:t>
      </w:r>
      <w:r w:rsidRPr="00C65958" w:rsidR="00C65958">
        <w:t>’</w:t>
      </w:r>
      <w:r w:rsidRPr="00C65958">
        <w:t xml:space="preserve">s obligation, to re-establish control, the Court found in </w:t>
      </w:r>
      <w:r w:rsidRPr="00C65958">
        <w:rPr>
          <w:i/>
        </w:rPr>
        <w:t xml:space="preserve">Mozer </w:t>
      </w:r>
      <w:r w:rsidRPr="00C65958">
        <w:t>that, from the onset of the hostilities in 1991 and 1992 until July 2010, Moldova had taken all the measures in its power (</w:t>
      </w:r>
      <w:r w:rsidRPr="00C65958">
        <w:rPr>
          <w:i/>
        </w:rPr>
        <w:t>Mozer</w:t>
      </w:r>
      <w:r w:rsidRPr="00C65958">
        <w:t xml:space="preserve">, cited above, § 152). The events complained of in the present application happened before 2010. It therefore sees no reason to reach a different conclusion from that reached in </w:t>
      </w:r>
      <w:r w:rsidRPr="00C65958">
        <w:rPr>
          <w:i/>
        </w:rPr>
        <w:t>Mozer</w:t>
      </w:r>
      <w:r w:rsidRPr="00C65958">
        <w:t xml:space="preserve"> (§ 152).</w:t>
      </w:r>
    </w:p>
    <w:p w:rsidRPr="00C65958" w:rsidR="00E77E9D" w:rsidP="00C65958" w:rsidRDefault="007439B8">
      <w:pPr>
        <w:pStyle w:val="JuPara"/>
      </w:pPr>
      <w:r w:rsidRPr="00C65958">
        <w:fldChar w:fldCharType="begin"/>
      </w:r>
      <w:r w:rsidRPr="00C65958">
        <w:instrText xml:space="preserve"> SEQ level0 \*arabic </w:instrText>
      </w:r>
      <w:r w:rsidRPr="00C65958">
        <w:fldChar w:fldCharType="separate"/>
      </w:r>
      <w:r w:rsidRPr="00C65958" w:rsidR="00C65958">
        <w:rPr>
          <w:noProof/>
        </w:rPr>
        <w:t>34</w:t>
      </w:r>
      <w:r w:rsidRPr="00C65958">
        <w:rPr>
          <w:noProof/>
        </w:rPr>
        <w:fldChar w:fldCharType="end"/>
      </w:r>
      <w:r w:rsidRPr="00C65958" w:rsidR="00E77E9D">
        <w:t>.  Turning to the second aspect of the positive obligations, namely to ensure respect for the applicant</w:t>
      </w:r>
      <w:r w:rsidRPr="00C65958" w:rsidR="00C65958">
        <w:t>’</w:t>
      </w:r>
      <w:r w:rsidRPr="00C65958" w:rsidR="00E77E9D">
        <w:t xml:space="preserve">s individual rights, the Court found in </w:t>
      </w:r>
      <w:r w:rsidRPr="00C65958" w:rsidR="00E77E9D">
        <w:rPr>
          <w:i/>
        </w:rPr>
        <w:t>Ilaşcu and Others</w:t>
      </w:r>
      <w:r w:rsidRPr="00C65958" w:rsidR="00E77E9D">
        <w:t xml:space="preserve"> (cited above, §§ 348-52) that the Republic of Moldova had failed to fully comply with its positive obligations, to the extent that from May 2001 it had failed to take all the measures available to it in the course of negotiations with the “MRT” and Russian authorities to bring an end to the violation of the applicant</w:t>
      </w:r>
      <w:r w:rsidRPr="00C65958" w:rsidR="00444CEE">
        <w:t>s</w:t>
      </w:r>
      <w:r w:rsidRPr="00C65958" w:rsidR="00C65958">
        <w:t>’</w:t>
      </w:r>
      <w:r w:rsidRPr="00C65958" w:rsidR="00E77E9D">
        <w:t xml:space="preserve"> rights. In the present case, the applicant submitted that the Republic of Moldova had not discharged its positive obligations since various State authorities replied that they could not take action on the territory under the </w:t>
      </w:r>
      <w:r w:rsidRPr="00C65958" w:rsidR="00E77E9D">
        <w:rPr>
          <w:i/>
        </w:rPr>
        <w:t>de facto</w:t>
      </w:r>
      <w:r w:rsidRPr="00C65958" w:rsidR="00E77E9D">
        <w:t xml:space="preserve"> control of the “MRT”. Moreover, unlike in </w:t>
      </w:r>
      <w:r w:rsidRPr="00C65958" w:rsidR="00E77E9D">
        <w:rPr>
          <w:i/>
        </w:rPr>
        <w:t>Mozer</w:t>
      </w:r>
      <w:r w:rsidRPr="00C65958" w:rsidR="00E77E9D">
        <w:t xml:space="preserve">, they failed to address international organisations and embassies in order to ask for assistance regarding </w:t>
      </w:r>
      <w:r w:rsidRPr="00C65958" w:rsidR="00444CEE">
        <w:t xml:space="preserve">the </w:t>
      </w:r>
      <w:r w:rsidRPr="00C65958" w:rsidR="00E77E9D">
        <w:t xml:space="preserve">applicant. While </w:t>
      </w:r>
      <w:r w:rsidRPr="00C65958" w:rsidR="00444CEE">
        <w:t>a criminal investigation</w:t>
      </w:r>
      <w:r w:rsidRPr="00C65958" w:rsidR="00E77E9D">
        <w:t xml:space="preserve"> ha</w:t>
      </w:r>
      <w:r w:rsidRPr="00C65958" w:rsidR="00444CEE">
        <w:t>s</w:t>
      </w:r>
      <w:r w:rsidRPr="00C65958" w:rsidR="00E77E9D">
        <w:t xml:space="preserve"> been opened by the Moldovan authorities into the al</w:t>
      </w:r>
      <w:r w:rsidRPr="00C65958" w:rsidR="00444CEE">
        <w:t>legations made by the applicant</w:t>
      </w:r>
      <w:r w:rsidRPr="00C65958" w:rsidR="00E77E9D">
        <w:t xml:space="preserve"> of unlawful acts by the “MRT” authorities, </w:t>
      </w:r>
      <w:r w:rsidRPr="00C65958" w:rsidR="00444CEE">
        <w:t xml:space="preserve">it was </w:t>
      </w:r>
      <w:r w:rsidRPr="00C65958" w:rsidR="00E77E9D">
        <w:t>suspended for lack of cooperation by the region</w:t>
      </w:r>
      <w:r w:rsidRPr="00C65958" w:rsidR="00C65958">
        <w:t>’</w:t>
      </w:r>
      <w:r w:rsidRPr="00C65958" w:rsidR="00E77E9D">
        <w:t>s institutions.</w:t>
      </w:r>
    </w:p>
    <w:p w:rsidRPr="00C65958" w:rsidR="00E77E9D" w:rsidP="00C65958" w:rsidRDefault="007439B8">
      <w:pPr>
        <w:pStyle w:val="JuPara"/>
        <w:rPr>
          <w:i/>
        </w:rPr>
      </w:pPr>
      <w:r w:rsidRPr="00C65958">
        <w:fldChar w:fldCharType="begin"/>
      </w:r>
      <w:r w:rsidRPr="00C65958">
        <w:instrText xml:space="preserve"> SEQ level0 \*arabic </w:instrText>
      </w:r>
      <w:r w:rsidRPr="00C65958">
        <w:fldChar w:fldCharType="separate"/>
      </w:r>
      <w:r w:rsidRPr="00C65958" w:rsidR="00C65958">
        <w:rPr>
          <w:noProof/>
        </w:rPr>
        <w:t>35</w:t>
      </w:r>
      <w:r w:rsidRPr="00C65958">
        <w:rPr>
          <w:noProof/>
        </w:rPr>
        <w:fldChar w:fldCharType="end"/>
      </w:r>
      <w:r w:rsidRPr="00C65958" w:rsidR="00E77E9D">
        <w:t xml:space="preserve">.  The Court considers that Moldovan authorities did not have any real means of improving the conditions of detention in the “MRT” prisons, nor could they </w:t>
      </w:r>
      <w:r w:rsidRPr="00C65958" w:rsidR="001C65F0">
        <w:t>secure the applicant</w:t>
      </w:r>
      <w:r w:rsidRPr="00C65958" w:rsidR="00C65958">
        <w:t>’</w:t>
      </w:r>
      <w:r w:rsidRPr="00C65958" w:rsidR="001C65F0">
        <w:t xml:space="preserve">s release or </w:t>
      </w:r>
      <w:r w:rsidRPr="00C65958" w:rsidR="00E77E9D">
        <w:t xml:space="preserve">move </w:t>
      </w:r>
      <w:r w:rsidRPr="00C65958" w:rsidR="001C65F0">
        <w:t xml:space="preserve">him </w:t>
      </w:r>
      <w:r w:rsidRPr="00C65958" w:rsidR="00E77E9D">
        <w:t xml:space="preserve">to </w:t>
      </w:r>
      <w:r w:rsidRPr="00C65958" w:rsidR="001C65F0">
        <w:t>another prison</w:t>
      </w:r>
      <w:r w:rsidRPr="00C65958" w:rsidR="00E77E9D">
        <w:t xml:space="preserve"> (see, </w:t>
      </w:r>
      <w:r w:rsidRPr="00C65958" w:rsidR="00E77E9D">
        <w:rPr>
          <w:i/>
        </w:rPr>
        <w:t>a contrario</w:t>
      </w:r>
      <w:r w:rsidRPr="00C65958" w:rsidR="00E77E9D">
        <w:t xml:space="preserve">, </w:t>
      </w:r>
      <w:r w:rsidRPr="00C65958" w:rsidR="00E77E9D">
        <w:rPr>
          <w:i/>
          <w:iCs/>
        </w:rPr>
        <w:t>Pocasovschi and Mihaila v. the Republic of Moldova and Russia</w:t>
      </w:r>
      <w:r w:rsidRPr="00C65958" w:rsidR="00E77E9D">
        <w:t>,</w:t>
      </w:r>
      <w:r w:rsidRPr="00C65958" w:rsidR="00E77E9D">
        <w:rPr>
          <w:i/>
          <w:iCs/>
          <w:lang w:eastAsia="en-GB"/>
        </w:rPr>
        <w:t xml:space="preserve"> </w:t>
      </w:r>
      <w:r w:rsidRPr="00C65958" w:rsidR="00E77E9D">
        <w:rPr>
          <w:snapToGrid w:val="0"/>
          <w:lang w:eastAsia="en-GB"/>
        </w:rPr>
        <w:t xml:space="preserve">no. </w:t>
      </w:r>
      <w:r w:rsidRPr="00C65958" w:rsidR="00E77E9D">
        <w:t>1089/09</w:t>
      </w:r>
      <w:r w:rsidRPr="00C65958" w:rsidR="00E77E9D">
        <w:rPr>
          <w:lang w:eastAsia="en-GB"/>
        </w:rPr>
        <w:t xml:space="preserve">, </w:t>
      </w:r>
      <w:r w:rsidRPr="00C65958" w:rsidR="00E77E9D">
        <w:t>§ 46, 29 May 2018)</w:t>
      </w:r>
      <w:r w:rsidRPr="00C65958" w:rsidR="000C2392">
        <w:t>.</w:t>
      </w:r>
    </w:p>
    <w:bookmarkStart w:name="p_38_MD_posit_oblig_end" w:id="20"/>
    <w:p w:rsidRPr="00C65958" w:rsidR="00E77E9D" w:rsidP="00C65958" w:rsidRDefault="00E77E9D">
      <w:pPr>
        <w:pStyle w:val="JuPara"/>
        <w:keepNext/>
        <w:keepLines/>
      </w:pPr>
      <w:r w:rsidRPr="00C65958">
        <w:fldChar w:fldCharType="begin"/>
      </w:r>
      <w:r w:rsidRPr="00C65958">
        <w:instrText xml:space="preserve"> SEQ level0 \*arabic </w:instrText>
      </w:r>
      <w:r w:rsidRPr="00C65958">
        <w:fldChar w:fldCharType="separate"/>
      </w:r>
      <w:r w:rsidRPr="00C65958" w:rsidR="00C65958">
        <w:rPr>
          <w:noProof/>
        </w:rPr>
        <w:t>36</w:t>
      </w:r>
      <w:r w:rsidRPr="00C65958">
        <w:fldChar w:fldCharType="end"/>
      </w:r>
      <w:bookmarkEnd w:id="20"/>
      <w:r w:rsidRPr="00C65958">
        <w:t>.  In such circumstances, the Court cannot conclude that the Republic of Moldova failed to fulfil its positive obligati</w:t>
      </w:r>
      <w:r w:rsidRPr="00C65958" w:rsidR="00A512AF">
        <w:t>ons in respect of the applicant</w:t>
      </w:r>
      <w:r w:rsidRPr="00C65958">
        <w:t xml:space="preserve"> (see </w:t>
      </w:r>
      <w:r w:rsidRPr="00C65958">
        <w:rPr>
          <w:i/>
        </w:rPr>
        <w:t>Mozer</w:t>
      </w:r>
      <w:r w:rsidRPr="00C65958">
        <w:t>, cited above, § 154).</w:t>
      </w:r>
    </w:p>
    <w:bookmarkStart w:name="p_64_MDA_pos_oblig_end" w:id="21"/>
    <w:p w:rsidRPr="00C65958" w:rsidR="00E77E9D" w:rsidP="00C65958" w:rsidRDefault="00E77E9D">
      <w:pPr>
        <w:pStyle w:val="JuPara"/>
        <w:keepNext/>
        <w:keepLines/>
      </w:pPr>
      <w:r w:rsidRPr="00C65958">
        <w:fldChar w:fldCharType="begin"/>
      </w:r>
      <w:r w:rsidRPr="00C65958">
        <w:instrText xml:space="preserve"> SEQ level0 \*arabic </w:instrText>
      </w:r>
      <w:r w:rsidRPr="00C65958">
        <w:fldChar w:fldCharType="separate"/>
      </w:r>
      <w:r w:rsidRPr="00C65958" w:rsidR="00C65958">
        <w:rPr>
          <w:noProof/>
        </w:rPr>
        <w:t>37</w:t>
      </w:r>
      <w:r w:rsidRPr="00C65958">
        <w:fldChar w:fldCharType="end"/>
      </w:r>
      <w:bookmarkEnd w:id="21"/>
      <w:r w:rsidRPr="00C65958">
        <w:t>.  There has therefore been no violation of Article 3 of the Convention by the Republic Moldova.</w:t>
      </w:r>
    </w:p>
    <w:p w:rsidRPr="00C65958" w:rsidR="00E77E9D" w:rsidP="00C65958" w:rsidRDefault="00E77E9D">
      <w:pPr>
        <w:pStyle w:val="JuH1"/>
      </w:pPr>
      <w:r w:rsidRPr="00C65958">
        <w:t>The Russian Federation</w:t>
      </w:r>
    </w:p>
    <w:bookmarkStart w:name="p_65_RUS_pos_oblig_start" w:id="22"/>
    <w:p w:rsidRPr="00C65958" w:rsidR="00E77E9D" w:rsidP="00C65958" w:rsidRDefault="00E77E9D">
      <w:pPr>
        <w:pStyle w:val="JuPara"/>
      </w:pPr>
      <w:r w:rsidRPr="00C65958">
        <w:fldChar w:fldCharType="begin"/>
      </w:r>
      <w:r w:rsidRPr="00C65958">
        <w:instrText xml:space="preserve"> SEQ level0 \*arabic </w:instrText>
      </w:r>
      <w:r w:rsidRPr="00C65958">
        <w:fldChar w:fldCharType="separate"/>
      </w:r>
      <w:r w:rsidRPr="00C65958" w:rsidR="00C65958">
        <w:rPr>
          <w:noProof/>
        </w:rPr>
        <w:t>38</w:t>
      </w:r>
      <w:r w:rsidRPr="00C65958">
        <w:fldChar w:fldCharType="end"/>
      </w:r>
      <w:bookmarkEnd w:id="22"/>
      <w:r w:rsidRPr="00C65958">
        <w:t>.  In so far as the responsibility of the Russian Federation is concerned, the Court has established that Russia exercised effective control over the “MRT” during the period of the applicant</w:t>
      </w:r>
      <w:r w:rsidRPr="00C65958" w:rsidR="00C65958">
        <w:t>’</w:t>
      </w:r>
      <w:r w:rsidRPr="00C65958">
        <w:t xml:space="preserve">s detention (see paragraphs </w:t>
      </w:r>
      <w:r w:rsidRPr="00C65958">
        <w:fldChar w:fldCharType="begin"/>
      </w:r>
      <w:r w:rsidRPr="00C65958">
        <w:instrText xml:space="preserve"> REF p_22_RUS_jurisd_start \h </w:instrText>
      </w:r>
      <w:r w:rsidRPr="00C65958">
        <w:fldChar w:fldCharType="separate"/>
      </w:r>
      <w:r w:rsidRPr="00C65958" w:rsidR="00C65958">
        <w:rPr>
          <w:rFonts w:ascii="Times New Roman" w:hAnsi="Times New Roman" w:eastAsia="MS Mincho" w:cs="Times New Roman"/>
          <w:noProof/>
          <w:szCs w:val="24"/>
        </w:rPr>
        <w:t>18</w:t>
      </w:r>
      <w:r w:rsidRPr="00C65958">
        <w:fldChar w:fldCharType="end"/>
      </w:r>
      <w:r w:rsidRPr="00C65958">
        <w:t>-</w:t>
      </w:r>
      <w:r w:rsidRPr="00C65958">
        <w:fldChar w:fldCharType="begin"/>
      </w:r>
      <w:r w:rsidRPr="00C65958">
        <w:instrText xml:space="preserve"> REF p_24_RUS_jurisd_end \h </w:instrText>
      </w:r>
      <w:r w:rsidRPr="00C65958">
        <w:fldChar w:fldCharType="separate"/>
      </w:r>
      <w:r w:rsidRPr="00C65958" w:rsidR="00C65958">
        <w:rPr>
          <w:noProof/>
        </w:rPr>
        <w:t>20</w:t>
      </w:r>
      <w:r w:rsidRPr="00C65958">
        <w:fldChar w:fldCharType="end"/>
      </w:r>
      <w:r w:rsidRPr="00C65958">
        <w:t xml:space="preserve"> above). In the light of this conclusion, and in accordance with its case-law, it is not necessary to determine whether or not Russia exercises detailed control over the policies and actions of the subordinate local administration (see </w:t>
      </w:r>
      <w:r w:rsidRPr="00C65958">
        <w:rPr>
          <w:i/>
        </w:rPr>
        <w:t>Mozer</w:t>
      </w:r>
      <w:r w:rsidRPr="00C65958">
        <w:t>, cited above, § 157). By virtue of its continued military, economic and political support for the “MRT”, which could not otherwise survive, Russia</w:t>
      </w:r>
      <w:r w:rsidRPr="00C65958" w:rsidR="00C65958">
        <w:t>’</w:t>
      </w:r>
      <w:r w:rsidRPr="00C65958">
        <w:t>s responsibility under the Convention is engaged as regards the violation of the applicant</w:t>
      </w:r>
      <w:r w:rsidRPr="00C65958" w:rsidR="00C65958">
        <w:t>’</w:t>
      </w:r>
      <w:r w:rsidRPr="00C65958">
        <w:t>s rights (</w:t>
      </w:r>
      <w:r w:rsidRPr="00C65958">
        <w:rPr>
          <w:i/>
        </w:rPr>
        <w:t>ibidem</w:t>
      </w:r>
      <w:r w:rsidRPr="00C65958">
        <w:t>).</w:t>
      </w:r>
    </w:p>
    <w:p w:rsidRPr="00C65958" w:rsidR="00E77E9D" w:rsidP="00C65958" w:rsidRDefault="007439B8">
      <w:pPr>
        <w:pStyle w:val="JuPara"/>
      </w:pPr>
      <w:r w:rsidRPr="00C65958">
        <w:fldChar w:fldCharType="begin"/>
      </w:r>
      <w:r w:rsidRPr="00C65958">
        <w:instrText xml:space="preserve"> SEQ level0 \*arabic </w:instrText>
      </w:r>
      <w:r w:rsidRPr="00C65958">
        <w:fldChar w:fldCharType="separate"/>
      </w:r>
      <w:r w:rsidRPr="00C65958" w:rsidR="00C65958">
        <w:rPr>
          <w:noProof/>
        </w:rPr>
        <w:t>39</w:t>
      </w:r>
      <w:r w:rsidRPr="00C65958">
        <w:rPr>
          <w:noProof/>
        </w:rPr>
        <w:fldChar w:fldCharType="end"/>
      </w:r>
      <w:r w:rsidRPr="00C65958" w:rsidR="00E77E9D">
        <w:t xml:space="preserve">.  In conclusion, and after having found that the </w:t>
      </w:r>
      <w:r w:rsidRPr="00C65958" w:rsidR="0029288C">
        <w:t>applicant</w:t>
      </w:r>
      <w:r w:rsidRPr="00C65958" w:rsidR="00E77E9D">
        <w:t xml:space="preserve"> </w:t>
      </w:r>
      <w:r w:rsidRPr="00C65958" w:rsidR="0029288C">
        <w:t xml:space="preserve">was </w:t>
      </w:r>
      <w:r w:rsidRPr="00C65958" w:rsidR="00E77E9D">
        <w:t xml:space="preserve">held in inhuman conditions within the meaning of Article 3 of the Convention (see paragraph </w:t>
      </w:r>
      <w:r w:rsidRPr="00C65958" w:rsidR="00E77E9D">
        <w:fldChar w:fldCharType="begin"/>
      </w:r>
      <w:r w:rsidRPr="00C65958" w:rsidR="00E77E9D">
        <w:instrText xml:space="preserve"> REF p_27_viol_Art_3 \h </w:instrText>
      </w:r>
      <w:r w:rsidRPr="00C65958" w:rsidR="00E77E9D">
        <w:fldChar w:fldCharType="separate"/>
      </w:r>
      <w:r w:rsidRPr="00C65958" w:rsidR="00C65958">
        <w:rPr>
          <w:noProof/>
        </w:rPr>
        <w:t>31</w:t>
      </w:r>
      <w:r w:rsidRPr="00C65958" w:rsidR="00E77E9D">
        <w:fldChar w:fldCharType="end"/>
      </w:r>
      <w:r w:rsidRPr="00C65958" w:rsidR="00E77E9D">
        <w:t xml:space="preserve"> above)</w:t>
      </w:r>
      <w:r w:rsidRPr="00C65958" w:rsidR="0029288C">
        <w:t>,</w:t>
      </w:r>
      <w:r w:rsidRPr="00C65958" w:rsidR="00E77E9D">
        <w:t xml:space="preserve"> the Court holds that there has been a violation of that provision by the Russian Federation.</w:t>
      </w:r>
    </w:p>
    <w:p w:rsidRPr="00C65958" w:rsidR="0029288C" w:rsidP="00C65958" w:rsidRDefault="0029288C">
      <w:pPr>
        <w:pStyle w:val="JuHIRoman"/>
      </w:pPr>
      <w:r w:rsidRPr="00C65958">
        <w:t>ALLEGED VIOLATION OF ARTICLE</w:t>
      </w:r>
      <w:r w:rsidRPr="00C65958" w:rsidR="00A77837">
        <w:t>S</w:t>
      </w:r>
      <w:r w:rsidRPr="00C65958">
        <w:t xml:space="preserve"> 5 § 1 </w:t>
      </w:r>
      <w:r w:rsidRPr="00C65958" w:rsidR="00A77837">
        <w:t xml:space="preserve">AND 6 §§ 2 AND 3 </w:t>
      </w:r>
      <w:r w:rsidRPr="00C65958">
        <w:t>OF THE CONVENTION</w:t>
      </w:r>
    </w:p>
    <w:p w:rsidRPr="00C65958" w:rsidR="00A77837"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40</w:t>
      </w:r>
      <w:r w:rsidRPr="00C65958">
        <w:fldChar w:fldCharType="end"/>
      </w:r>
      <w:r w:rsidRPr="00C65958">
        <w:t xml:space="preserve">.  The applicant complained of a violation of Article 5 § 1 of the Convention, owing to </w:t>
      </w:r>
      <w:r w:rsidRPr="00C65958" w:rsidR="009D12E2">
        <w:t xml:space="preserve">his </w:t>
      </w:r>
      <w:r w:rsidRPr="00C65958">
        <w:t xml:space="preserve">detention on the basis of </w:t>
      </w:r>
      <w:r w:rsidRPr="00C65958" w:rsidR="00A62882">
        <w:t>a decision</w:t>
      </w:r>
      <w:r w:rsidRPr="00C65958">
        <w:t xml:space="preserve"> by </w:t>
      </w:r>
      <w:r w:rsidRPr="00C65958" w:rsidR="00A62882">
        <w:t xml:space="preserve">an </w:t>
      </w:r>
      <w:r w:rsidRPr="00C65958">
        <w:t xml:space="preserve">“MRT” </w:t>
      </w:r>
      <w:r w:rsidRPr="00C65958" w:rsidR="00A62882">
        <w:t>court</w:t>
      </w:r>
      <w:r w:rsidRPr="00C65958">
        <w:t>, which had been unlawfully created.</w:t>
      </w:r>
      <w:r w:rsidRPr="00C65958" w:rsidR="00C7282C">
        <w:t xml:space="preserve"> </w:t>
      </w:r>
      <w:r w:rsidRPr="00C65958" w:rsidR="00A77837">
        <w:t>He also complained of violation</w:t>
      </w:r>
      <w:r w:rsidRPr="00C65958" w:rsidR="00E920D8">
        <w:t>s</w:t>
      </w:r>
      <w:r w:rsidRPr="00C65958" w:rsidR="00A77837">
        <w:t xml:space="preserve"> of Article 6 §§ 2 and 3 of the Convention. The Court notes that while describing the various violations of his rights, the applicant noted </w:t>
      </w:r>
      <w:r w:rsidRPr="00C65958" w:rsidR="00A77837">
        <w:rPr>
          <w:i/>
        </w:rPr>
        <w:t>inter alia</w:t>
      </w:r>
      <w:r w:rsidRPr="00C65958" w:rsidR="00A77837">
        <w:t>, that his case had not been examined by a judge authorised to adopt a lawful decision. The Court, being the master of characterisation to be given in law to the facts of the case, considers that the complaints under Article 6 § 2 and 3 are to be examined under Article 6 § 1 of the Convention. It thus finds that, read together, the complaints under Articles 5 and 6 concerned the lawfulness of the decision adopted by an “MRT” court convicting him to 15 days</w:t>
      </w:r>
      <w:r w:rsidRPr="00C65958" w:rsidR="00C65958">
        <w:t>’</w:t>
      </w:r>
      <w:r w:rsidRPr="00C65958" w:rsidR="00A77837">
        <w:t xml:space="preserve"> detention. The respondent Governments were asked to comment in this respect and in his observations, the applicant argued that the “MRT” courts could not be considered lawfully established tribunals.</w:t>
      </w:r>
    </w:p>
    <w:p w:rsidRPr="00C65958" w:rsidR="0029288C" w:rsidP="00C65958" w:rsidRDefault="008A7BE0">
      <w:pPr>
        <w:pStyle w:val="JuPara"/>
      </w:pPr>
      <w:r w:rsidRPr="00C65958">
        <w:fldChar w:fldCharType="begin"/>
      </w:r>
      <w:r w:rsidRPr="00C65958">
        <w:instrText xml:space="preserve"> SEQ level0 \*arabic </w:instrText>
      </w:r>
      <w:r w:rsidRPr="00C65958">
        <w:fldChar w:fldCharType="separate"/>
      </w:r>
      <w:r w:rsidRPr="00C65958" w:rsidR="00C65958">
        <w:rPr>
          <w:noProof/>
        </w:rPr>
        <w:t>41</w:t>
      </w:r>
      <w:r w:rsidRPr="00C65958">
        <w:fldChar w:fldCharType="end"/>
      </w:r>
      <w:r w:rsidRPr="00C65958">
        <w:t>.  </w:t>
      </w:r>
      <w:r w:rsidRPr="00C65958" w:rsidR="0029288C">
        <w:t>The relevant parts of Article</w:t>
      </w:r>
      <w:r w:rsidRPr="00C65958">
        <w:t>s</w:t>
      </w:r>
      <w:r w:rsidRPr="00C65958" w:rsidR="0029288C">
        <w:t xml:space="preserve"> 5 </w:t>
      </w:r>
      <w:r w:rsidRPr="00C65958">
        <w:t xml:space="preserve">and 6 </w:t>
      </w:r>
      <w:r w:rsidRPr="00C65958" w:rsidR="0029288C">
        <w:t>read</w:t>
      </w:r>
      <w:r w:rsidRPr="00C65958">
        <w:t xml:space="preserve"> as follows</w:t>
      </w:r>
      <w:r w:rsidRPr="00C65958" w:rsidR="0029288C">
        <w:t>:</w:t>
      </w:r>
    </w:p>
    <w:p w:rsidRPr="00C65958" w:rsidR="008A7BE0" w:rsidP="00C65958" w:rsidRDefault="008A7BE0">
      <w:pPr>
        <w:pStyle w:val="JuHArticle"/>
      </w:pPr>
      <w:r w:rsidRPr="00C65958">
        <w:t>Article 5</w:t>
      </w:r>
    </w:p>
    <w:p w:rsidRPr="00C65958" w:rsidR="0029288C" w:rsidP="00C65958" w:rsidRDefault="00C7282C">
      <w:pPr>
        <w:pStyle w:val="JuQuot"/>
      </w:pPr>
      <w:r w:rsidRPr="00C65958">
        <w:t>“1.  </w:t>
      </w:r>
      <w:r w:rsidRPr="00C65958" w:rsidR="0029288C">
        <w:t>Everyone has the right to liberty and security of person. No one shall be deprived of his liberty save in the following cases and in accordance with a procedure prescribed by law:</w:t>
      </w:r>
    </w:p>
    <w:p w:rsidRPr="00C65958" w:rsidR="0029288C" w:rsidP="00C65958" w:rsidRDefault="00C7282C">
      <w:pPr>
        <w:pStyle w:val="JuQuot"/>
      </w:pPr>
      <w:r w:rsidRPr="00C65958">
        <w:t>(a)  </w:t>
      </w:r>
      <w:r w:rsidRPr="00C65958" w:rsidR="0029288C">
        <w:t>the lawful detention of a person after conviction by a competent court;</w:t>
      </w:r>
    </w:p>
    <w:p w:rsidRPr="00C65958" w:rsidR="0029288C" w:rsidP="00C65958" w:rsidRDefault="0029288C">
      <w:pPr>
        <w:pStyle w:val="JuQuot"/>
      </w:pPr>
      <w:r w:rsidRPr="00C65958">
        <w:t>...</w:t>
      </w:r>
    </w:p>
    <w:p w:rsidRPr="00C65958" w:rsidR="0029288C" w:rsidP="00C65958" w:rsidRDefault="00C7282C">
      <w:pPr>
        <w:pStyle w:val="JuQuot"/>
      </w:pPr>
      <w:r w:rsidRPr="00C65958">
        <w:t>(c)  </w:t>
      </w:r>
      <w:r w:rsidRPr="00C65958" w:rsidR="0029288C">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65958" w:rsidR="00E920D8" w:rsidP="00C65958" w:rsidRDefault="0029288C">
      <w:pPr>
        <w:pStyle w:val="JuQuot"/>
      </w:pPr>
      <w:r w:rsidRPr="00C65958">
        <w:t>...”</w:t>
      </w:r>
    </w:p>
    <w:p w:rsidRPr="00C65958" w:rsidR="00E920D8" w:rsidP="00C65958" w:rsidRDefault="00E920D8">
      <w:pPr>
        <w:pStyle w:val="JuHArticle"/>
      </w:pPr>
      <w:r w:rsidRPr="00C65958">
        <w:t>Article 6</w:t>
      </w:r>
    </w:p>
    <w:p w:rsidRPr="00C65958" w:rsidR="008A7BE0" w:rsidP="00C65958" w:rsidRDefault="008A7BE0">
      <w:pPr>
        <w:pStyle w:val="JuQuot"/>
      </w:pPr>
      <w:r w:rsidRPr="00C65958">
        <w:t>“In the determination of ... any criminal charge against him, everyone is entitled to a fair ... hearing ... by [a] ... tribunal ...”</w:t>
      </w:r>
    </w:p>
    <w:p w:rsidRPr="00C65958" w:rsidR="0029288C" w:rsidP="00C65958" w:rsidRDefault="0029288C">
      <w:pPr>
        <w:pStyle w:val="JuHA"/>
      </w:pPr>
      <w:r w:rsidRPr="00C65958">
        <w:t>Admissibility</w:t>
      </w:r>
    </w:p>
    <w:p w:rsidRPr="00C65958" w:rsidR="0029288C"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42</w:t>
      </w:r>
      <w:r w:rsidRPr="00C65958">
        <w:fldChar w:fldCharType="end"/>
      </w:r>
      <w:r w:rsidRPr="00C65958">
        <w:t>.  The Court notes that th</w:t>
      </w:r>
      <w:r w:rsidRPr="00C65958" w:rsidR="008A7BE0">
        <w:t>e</w:t>
      </w:r>
      <w:r w:rsidRPr="00C65958">
        <w:t>s</w:t>
      </w:r>
      <w:r w:rsidRPr="00C65958" w:rsidR="008A7BE0">
        <w:t>e</w:t>
      </w:r>
      <w:r w:rsidRPr="00C65958">
        <w:t xml:space="preserve"> complaint</w:t>
      </w:r>
      <w:r w:rsidRPr="00C65958" w:rsidR="008A7BE0">
        <w:t>s</w:t>
      </w:r>
      <w:r w:rsidRPr="00C65958">
        <w:t xml:space="preserve"> </w:t>
      </w:r>
      <w:r w:rsidRPr="00C65958" w:rsidR="008A7BE0">
        <w:t>are</w:t>
      </w:r>
      <w:r w:rsidRPr="00C65958">
        <w:t xml:space="preserve"> not manifestly ill-founded within the meaning of Article 35 § 3 (a) of the Convention. It further notes that it is not inadmissible on any other grounds. It must therefore be declared admissible.</w:t>
      </w:r>
    </w:p>
    <w:p w:rsidRPr="00C65958" w:rsidR="0029288C" w:rsidP="00C65958" w:rsidRDefault="0029288C">
      <w:pPr>
        <w:pStyle w:val="JuHA"/>
      </w:pPr>
      <w:r w:rsidRPr="00C65958">
        <w:t>Merits</w:t>
      </w:r>
    </w:p>
    <w:p w:rsidRPr="00C65958" w:rsidR="0029288C"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43</w:t>
      </w:r>
      <w:r w:rsidRPr="00C65958">
        <w:fldChar w:fldCharType="end"/>
      </w:r>
      <w:r w:rsidRPr="00C65958">
        <w:t xml:space="preserve">.  The applicant submitted that </w:t>
      </w:r>
      <w:r w:rsidRPr="00C65958" w:rsidR="00271591">
        <w:t xml:space="preserve">he </w:t>
      </w:r>
      <w:r w:rsidRPr="00C65958">
        <w:t xml:space="preserve">had been detained </w:t>
      </w:r>
      <w:r w:rsidRPr="00C65958" w:rsidR="008A7BE0">
        <w:t xml:space="preserve">and convicted </w:t>
      </w:r>
      <w:r w:rsidRPr="00C65958">
        <w:t xml:space="preserve">by </w:t>
      </w:r>
      <w:r w:rsidRPr="00C65958" w:rsidR="00A62882">
        <w:t xml:space="preserve">a decision adopted by a judge not authorised under Moldovan law </w:t>
      </w:r>
      <w:r w:rsidRPr="00C65958">
        <w:t xml:space="preserve">to deprive </w:t>
      </w:r>
      <w:r w:rsidRPr="00C65958" w:rsidR="00A62882">
        <w:t xml:space="preserve">him </w:t>
      </w:r>
      <w:r w:rsidRPr="00C65958">
        <w:t xml:space="preserve">of </w:t>
      </w:r>
      <w:r w:rsidRPr="00C65958" w:rsidR="00A62882">
        <w:t xml:space="preserve">his </w:t>
      </w:r>
      <w:r w:rsidRPr="00C65958">
        <w:t>liberty.</w:t>
      </w:r>
      <w:r w:rsidRPr="00C65958" w:rsidR="00A62882">
        <w:t xml:space="preserve"> He also argued that he had not breached any Moldovan law concerning electoral propaganda and that his detention based solely on the fact of making such propaganda was contrary to Article 5 § 1.</w:t>
      </w:r>
      <w:r w:rsidRPr="00C65958" w:rsidR="008A7BE0">
        <w:t xml:space="preserve"> Moreover, he had been “tried” directly in a prison cell by a judge whose identity was unknown to him at the time and during a visit the purpose of which was also unknown, and without access to a lawyer.</w:t>
      </w:r>
    </w:p>
    <w:p w:rsidRPr="00C65958" w:rsidR="0029288C"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44</w:t>
      </w:r>
      <w:r w:rsidRPr="00C65958">
        <w:fldChar w:fldCharType="end"/>
      </w:r>
      <w:r w:rsidRPr="00C65958">
        <w:t>.  The Moldovan Government considered that there had been a breach of Article 5 § 1 in respect of the</w:t>
      </w:r>
      <w:r w:rsidRPr="00C65958" w:rsidR="007D6AC7">
        <w:t xml:space="preserve"> applicant, who was</w:t>
      </w:r>
      <w:r w:rsidRPr="00C65958">
        <w:t xml:space="preserve"> deprived of </w:t>
      </w:r>
      <w:r w:rsidRPr="00C65958" w:rsidR="007D6AC7">
        <w:t xml:space="preserve">his </w:t>
      </w:r>
      <w:r w:rsidRPr="00C65958">
        <w:t xml:space="preserve">liberty following </w:t>
      </w:r>
      <w:r w:rsidRPr="00C65958" w:rsidR="007D6AC7">
        <w:t>a decision</w:t>
      </w:r>
      <w:r w:rsidRPr="00C65958">
        <w:t xml:space="preserve"> taken by </w:t>
      </w:r>
      <w:r w:rsidRPr="00C65958" w:rsidR="007D6AC7">
        <w:t>an unlawfully created “MRT” court</w:t>
      </w:r>
      <w:r w:rsidRPr="00C65958">
        <w:t>.</w:t>
      </w:r>
      <w:r w:rsidRPr="00C65958" w:rsidR="00270AD0">
        <w:t xml:space="preserve"> It was not prepared to make any submissions in respect of the other complaints.</w:t>
      </w:r>
    </w:p>
    <w:p w:rsidRPr="00C65958" w:rsidR="0029288C"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45</w:t>
      </w:r>
      <w:r w:rsidRPr="00C65958">
        <w:fldChar w:fldCharType="end"/>
      </w:r>
      <w:r w:rsidRPr="00C65958">
        <w:t>.  The Russian Government did not make any specific submissions.</w:t>
      </w:r>
    </w:p>
    <w:p w:rsidRPr="00C65958" w:rsidR="0029288C" w:rsidP="00C65958" w:rsidRDefault="007439B8">
      <w:pPr>
        <w:pStyle w:val="JuPara"/>
      </w:pPr>
      <w:r w:rsidRPr="00C65958">
        <w:fldChar w:fldCharType="begin"/>
      </w:r>
      <w:r w:rsidRPr="00C65958">
        <w:instrText xml:space="preserve"> SEQ level0 \*arabic </w:instrText>
      </w:r>
      <w:r w:rsidRPr="00C65958">
        <w:fldChar w:fldCharType="separate"/>
      </w:r>
      <w:r w:rsidRPr="00C65958" w:rsidR="00C65958">
        <w:rPr>
          <w:noProof/>
        </w:rPr>
        <w:t>46</w:t>
      </w:r>
      <w:r w:rsidRPr="00C65958">
        <w:rPr>
          <w:noProof/>
        </w:rPr>
        <w:fldChar w:fldCharType="end"/>
      </w:r>
      <w:r w:rsidRPr="00C65958" w:rsidR="0029288C">
        <w:t xml:space="preserve">.  The Court reiterates that it is well established in its case-law on Article 5 § 1 that any deprivation of liberty must not only be based on one of the exceptions listed in sub-paragraphs (a) to (f) but must also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it also relates to the quality of the law, requiring it to be compatible with the rule of law, a concept inherent in all the Articles of the Convention (see, for example, </w:t>
      </w:r>
      <w:r w:rsidRPr="00C65958" w:rsidR="0029288C">
        <w:rPr>
          <w:i/>
        </w:rPr>
        <w:t>Del Río Prada v. Spain</w:t>
      </w:r>
      <w:r w:rsidRPr="00C65958" w:rsidR="0029288C">
        <w:t xml:space="preserve"> [GC], no. 42750/09, § 125, ECHR 2013; and </w:t>
      </w:r>
      <w:r w:rsidRPr="00C65958" w:rsidR="0029288C">
        <w:rPr>
          <w:i/>
        </w:rPr>
        <w:t>Mozer</w:t>
      </w:r>
      <w:r w:rsidRPr="00C65958" w:rsidR="0029288C">
        <w:t>, cited above, § 134).</w:t>
      </w:r>
    </w:p>
    <w:bookmarkStart w:name="p_47_MRT_courts_not_compliant_ECHR_start" w:id="23"/>
    <w:p w:rsidRPr="00C65958" w:rsidR="0029288C" w:rsidP="00C65958" w:rsidRDefault="0029288C">
      <w:pPr>
        <w:pStyle w:val="JuPara"/>
        <w:keepNext/>
        <w:keepLines/>
      </w:pPr>
      <w:r w:rsidRPr="00C65958">
        <w:fldChar w:fldCharType="begin"/>
      </w:r>
      <w:r w:rsidRPr="00C65958">
        <w:instrText xml:space="preserve"> SEQ level0 \*arabic </w:instrText>
      </w:r>
      <w:r w:rsidRPr="00C65958">
        <w:fldChar w:fldCharType="separate"/>
      </w:r>
      <w:r w:rsidRPr="00C65958" w:rsidR="00C65958">
        <w:rPr>
          <w:noProof/>
        </w:rPr>
        <w:t>47</w:t>
      </w:r>
      <w:r w:rsidRPr="00C65958">
        <w:rPr>
          <w:noProof/>
        </w:rPr>
        <w:fldChar w:fldCharType="end"/>
      </w:r>
      <w:bookmarkEnd w:id="23"/>
      <w:r w:rsidRPr="00C65958">
        <w:t xml:space="preserve">.  The Court recalls that in </w:t>
      </w:r>
      <w:r w:rsidRPr="00C65958">
        <w:rPr>
          <w:i/>
        </w:rPr>
        <w:t>Mozer</w:t>
      </w:r>
      <w:r w:rsidRPr="00C65958">
        <w:t xml:space="preserve"> it held that the judicial system of the “MRT” was not a system reflecting a judicial tradition compatible with the Convention</w:t>
      </w:r>
      <w:r w:rsidRPr="00C65958">
        <w:rPr>
          <w:i/>
        </w:rPr>
        <w:t xml:space="preserve"> </w:t>
      </w:r>
      <w:r w:rsidRPr="00C65958">
        <w:t xml:space="preserve">(see </w:t>
      </w:r>
      <w:r w:rsidRPr="00C65958">
        <w:rPr>
          <w:i/>
        </w:rPr>
        <w:t>Mozer</w:t>
      </w:r>
      <w:r w:rsidRPr="00C65958">
        <w:t>, cited above, §§ 148-49). For that reason it held that the “MRT” courts and, by implication, any other “MRT” authority, could not order the applicant</w:t>
      </w:r>
      <w:r w:rsidRPr="00C65958" w:rsidR="00C65958">
        <w:t>’</w:t>
      </w:r>
      <w:r w:rsidRPr="00C65958">
        <w:t xml:space="preserve">s “lawful” arrest or detention, within the meaning of Article 5 § 1 of the Convention (see </w:t>
      </w:r>
      <w:r w:rsidRPr="00C65958">
        <w:rPr>
          <w:i/>
        </w:rPr>
        <w:t>Mozer</w:t>
      </w:r>
      <w:r w:rsidRPr="00C65958">
        <w:t>, cited above, § 150).</w:t>
      </w:r>
    </w:p>
    <w:bookmarkStart w:name="p_48_MRT_courts_not_compliant_ECHR_end" w:id="24"/>
    <w:p w:rsidRPr="00C65958" w:rsidR="0029288C"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48</w:t>
      </w:r>
      <w:r w:rsidRPr="00C65958">
        <w:rPr>
          <w:noProof/>
        </w:rPr>
        <w:fldChar w:fldCharType="end"/>
      </w:r>
      <w:bookmarkEnd w:id="24"/>
      <w:r w:rsidRPr="00C65958">
        <w:t xml:space="preserve">.  In the absence of any new and pertinent information proving the contrary, the Court considers that the conclusion reached in </w:t>
      </w:r>
      <w:r w:rsidRPr="00C65958">
        <w:rPr>
          <w:i/>
        </w:rPr>
        <w:t xml:space="preserve">Mozer </w:t>
      </w:r>
      <w:r w:rsidRPr="00C65958">
        <w:t xml:space="preserve">is valid in the present case too. </w:t>
      </w:r>
      <w:r w:rsidRPr="00C65958" w:rsidR="000B2EF0">
        <w:t xml:space="preserve">Moreover, in the light of the above findings in </w:t>
      </w:r>
      <w:r w:rsidRPr="00C65958" w:rsidR="000B2EF0">
        <w:rPr>
          <w:i/>
        </w:rPr>
        <w:t>Mozer</w:t>
      </w:r>
      <w:r w:rsidRPr="00C65958" w:rsidR="000B2EF0">
        <w:t>, the Court considers that not only could the “MRT” courts not order the applicant</w:t>
      </w:r>
      <w:r w:rsidRPr="00C65958" w:rsidR="00C65958">
        <w:t>’</w:t>
      </w:r>
      <w:r w:rsidRPr="00C65958" w:rsidR="000B2EF0">
        <w:t>s lawful detention for the purposes of Article 5 § 1 of the Convention, but also, by implication, they could not qualify as an “independent tribunal established by law” for the purposes of Article 6 § 1 of the Convention</w:t>
      </w:r>
      <w:r w:rsidRPr="00C65958" w:rsidR="008145F5">
        <w:t xml:space="preserve"> (see </w:t>
      </w:r>
      <w:r w:rsidRPr="00C65958" w:rsidR="006F3553">
        <w:rPr>
          <w:i/>
        </w:rPr>
        <w:t>Vardanean v. The Republic of Moldova and Russia</w:t>
      </w:r>
      <w:r w:rsidRPr="00C65958" w:rsidR="006F3553">
        <w:t>, no. 22200/10, § 39, 30 May 2017</w:t>
      </w:r>
      <w:r w:rsidRPr="00C65958" w:rsidR="008145F5">
        <w:t>)</w:t>
      </w:r>
      <w:r w:rsidRPr="00C65958" w:rsidR="000B2EF0">
        <w:t>. The Court therefore considers that there has been a breach of both Articles 5 § 1 and 6 § 1 of the Convention in the present case.</w:t>
      </w:r>
    </w:p>
    <w:p w:rsidRPr="00C65958" w:rsidR="0029288C"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49</w:t>
      </w:r>
      <w:r w:rsidRPr="00C65958">
        <w:fldChar w:fldCharType="end"/>
      </w:r>
      <w:r w:rsidRPr="00C65958">
        <w:t>.  The Court must next determine whether the Republic of Moldova fulfilled its positive obligation to take appropriate and sufficient measures to secure the applicant</w:t>
      </w:r>
      <w:r w:rsidRPr="00C65958" w:rsidR="00C65958">
        <w:t>’</w:t>
      </w:r>
      <w:r w:rsidRPr="00C65958">
        <w:t xml:space="preserve">s rights. </w:t>
      </w:r>
      <w:r w:rsidRPr="00C65958" w:rsidR="00434B9E">
        <w:t xml:space="preserve">It notes that that the Moldovan authorities started, but could not properly finish the investigation into the allegation of unlawful detention due to the absence of cooperation by the “MRT” authorities (see paragraph </w:t>
      </w:r>
      <w:r w:rsidRPr="00C65958" w:rsidR="00434B9E">
        <w:fldChar w:fldCharType="begin"/>
      </w:r>
      <w:r w:rsidRPr="00C65958" w:rsidR="00434B9E">
        <w:instrText xml:space="preserve"> REF p_13_MDA_prosecution \h </w:instrText>
      </w:r>
      <w:r w:rsidRPr="00C65958" w:rsidR="00434B9E">
        <w:fldChar w:fldCharType="separate"/>
      </w:r>
      <w:r w:rsidRPr="00C65958" w:rsidR="00C65958">
        <w:rPr>
          <w:noProof/>
        </w:rPr>
        <w:t>12</w:t>
      </w:r>
      <w:r w:rsidRPr="00C65958" w:rsidR="00434B9E">
        <w:fldChar w:fldCharType="end"/>
      </w:r>
      <w:r w:rsidRPr="00C65958" w:rsidR="00434B9E">
        <w:t xml:space="preserve"> above).</w:t>
      </w:r>
      <w:r w:rsidRPr="00C65958" w:rsidR="00830319">
        <w:t xml:space="preserve"> It also notes that the Moldovan Supreme Court of Justice has developed the practice of annulling convictions by “MRT” courts, where requested by the person concerned (see </w:t>
      </w:r>
      <w:r w:rsidRPr="00C65958" w:rsidR="002E040E">
        <w:rPr>
          <w:i/>
        </w:rPr>
        <w:t>Mozer</w:t>
      </w:r>
      <w:r w:rsidRPr="00C65958" w:rsidR="002E040E">
        <w:t>, cited above, §§ 26 and 73</w:t>
      </w:r>
      <w:r w:rsidRPr="00C65958" w:rsidR="00830319">
        <w:t>)</w:t>
      </w:r>
      <w:r w:rsidRPr="00C65958" w:rsidR="002E040E">
        <w:t xml:space="preserve">. </w:t>
      </w:r>
      <w:r w:rsidRPr="00C65958" w:rsidR="00434B9E">
        <w:t>The Court finds, f</w:t>
      </w:r>
      <w:r w:rsidRPr="00C65958">
        <w:t xml:space="preserve">or the same reasons as those mentioned in paragraphs </w:t>
      </w:r>
      <w:r w:rsidRPr="00C65958">
        <w:fldChar w:fldCharType="begin"/>
      </w:r>
      <w:r w:rsidRPr="00C65958">
        <w:instrText xml:space="preserve"> REF p_34_MD_posit_oblig_start \h </w:instrText>
      </w:r>
      <w:r w:rsidRPr="00C65958">
        <w:fldChar w:fldCharType="separate"/>
      </w:r>
      <w:r w:rsidRPr="00C65958" w:rsidR="00C65958">
        <w:rPr>
          <w:noProof/>
        </w:rPr>
        <w:t>33</w:t>
      </w:r>
      <w:r w:rsidRPr="00C65958">
        <w:fldChar w:fldCharType="end"/>
      </w:r>
      <w:r w:rsidRPr="00C65958">
        <w:t>-</w:t>
      </w:r>
      <w:r w:rsidRPr="00C65958">
        <w:fldChar w:fldCharType="begin"/>
      </w:r>
      <w:r w:rsidRPr="00C65958">
        <w:instrText xml:space="preserve"> REF p_38_MD_posit_oblig_end \h </w:instrText>
      </w:r>
      <w:r w:rsidRPr="00C65958">
        <w:fldChar w:fldCharType="separate"/>
      </w:r>
      <w:r w:rsidRPr="00C65958" w:rsidR="00C65958">
        <w:rPr>
          <w:noProof/>
        </w:rPr>
        <w:t>36</w:t>
      </w:r>
      <w:r w:rsidRPr="00C65958">
        <w:fldChar w:fldCharType="end"/>
      </w:r>
      <w:r w:rsidRPr="00C65958">
        <w:t xml:space="preserve"> above</w:t>
      </w:r>
      <w:r w:rsidRPr="00C65958" w:rsidR="00434B9E">
        <w:t>,</w:t>
      </w:r>
      <w:r w:rsidRPr="00C65958" w:rsidR="00A177DA">
        <w:t xml:space="preserve"> </w:t>
      </w:r>
      <w:r w:rsidRPr="00C65958">
        <w:t>that Moldova has not failed in fulfilling its positive obligations under Article</w:t>
      </w:r>
      <w:r w:rsidRPr="00C65958" w:rsidR="005865B3">
        <w:t xml:space="preserve">s 5 § 1 and 6 § 1 </w:t>
      </w:r>
      <w:r w:rsidRPr="00C65958">
        <w:t>of the Convention. There has accordingly been no breach of th</w:t>
      </w:r>
      <w:r w:rsidRPr="00C65958" w:rsidR="005865B3">
        <w:t>ese</w:t>
      </w:r>
      <w:r w:rsidRPr="00C65958">
        <w:t xml:space="preserve"> provision</w:t>
      </w:r>
      <w:r w:rsidRPr="00C65958" w:rsidR="005865B3">
        <w:t>s</w:t>
      </w:r>
      <w:r w:rsidRPr="00C65958">
        <w:t xml:space="preserve"> by the Republic of Moldova.</w:t>
      </w:r>
    </w:p>
    <w:p w:rsidRPr="00C65958" w:rsidR="00E77E9D" w:rsidP="00C65958" w:rsidRDefault="0029288C">
      <w:pPr>
        <w:pStyle w:val="JuPara"/>
      </w:pPr>
      <w:r w:rsidRPr="00C65958">
        <w:fldChar w:fldCharType="begin"/>
      </w:r>
      <w:r w:rsidRPr="00C65958">
        <w:instrText xml:space="preserve"> SEQ level0 \*arabic </w:instrText>
      </w:r>
      <w:r w:rsidRPr="00C65958">
        <w:fldChar w:fldCharType="separate"/>
      </w:r>
      <w:r w:rsidRPr="00C65958" w:rsidR="00C65958">
        <w:rPr>
          <w:noProof/>
        </w:rPr>
        <w:t>50</w:t>
      </w:r>
      <w:r w:rsidRPr="00C65958">
        <w:fldChar w:fldCharType="end"/>
      </w:r>
      <w:r w:rsidRPr="00C65958">
        <w:t xml:space="preserve">.  As concerns the Russian Federation, for the same reasons </w:t>
      </w:r>
      <w:r w:rsidRPr="00C65958" w:rsidR="00C70EBB">
        <w:t>as those mentioned in paragraph</w:t>
      </w:r>
      <w:r w:rsidRPr="00C65958">
        <w:t xml:space="preserve"> </w:t>
      </w:r>
      <w:r w:rsidRPr="00C65958">
        <w:fldChar w:fldCharType="begin"/>
      </w:r>
      <w:r w:rsidRPr="00C65958">
        <w:instrText xml:space="preserve"> REF p_65_RUS_pos_oblig_start \h </w:instrText>
      </w:r>
      <w:r w:rsidRPr="00C65958">
        <w:fldChar w:fldCharType="separate"/>
      </w:r>
      <w:r w:rsidRPr="00C65958" w:rsidR="00C65958">
        <w:rPr>
          <w:noProof/>
        </w:rPr>
        <w:t>38</w:t>
      </w:r>
      <w:r w:rsidRPr="00C65958">
        <w:fldChar w:fldCharType="end"/>
      </w:r>
      <w:r w:rsidRPr="00C65958">
        <w:t xml:space="preserve"> above, the Court finds that Russia is responsible for the breach of </w:t>
      </w:r>
      <w:r w:rsidRPr="00C65958" w:rsidR="001210FD">
        <w:t xml:space="preserve">Articles 5 § 1 and 6 § 1 </w:t>
      </w:r>
      <w:r w:rsidRPr="00C65958">
        <w:t>of the Convention.</w:t>
      </w:r>
    </w:p>
    <w:bookmarkStart w:name="p_52_no_separate_5_2_3_4" w:id="25"/>
    <w:p w:rsidRPr="00C65958" w:rsidR="00A45690" w:rsidP="00C65958" w:rsidRDefault="00A45690">
      <w:pPr>
        <w:pStyle w:val="JuPara"/>
      </w:pPr>
      <w:r w:rsidRPr="00C65958">
        <w:fldChar w:fldCharType="begin"/>
      </w:r>
      <w:r w:rsidRPr="00C65958">
        <w:instrText xml:space="preserve"> SEQ level0 \*arabic </w:instrText>
      </w:r>
      <w:r w:rsidRPr="00C65958">
        <w:fldChar w:fldCharType="separate"/>
      </w:r>
      <w:r w:rsidRPr="00C65958" w:rsidR="00C65958">
        <w:rPr>
          <w:noProof/>
        </w:rPr>
        <w:t>51</w:t>
      </w:r>
      <w:r w:rsidRPr="00C65958">
        <w:fldChar w:fldCharType="end"/>
      </w:r>
      <w:bookmarkEnd w:id="25"/>
      <w:r w:rsidRPr="00C65958">
        <w:t>.  In the light of the above findings, the Court considers that it is unnecessary to examine separately the applicant</w:t>
      </w:r>
      <w:r w:rsidRPr="00C65958" w:rsidR="00C65958">
        <w:t>’</w:t>
      </w:r>
      <w:r w:rsidRPr="00C65958">
        <w:t>s complaints concerning specific breaches of Article 5 §§ 2, 3 and 4, as well as Article 6 §§ 2 and 3 of the Convention.</w:t>
      </w:r>
    </w:p>
    <w:p w:rsidRPr="00C65958" w:rsidR="00D420F3" w:rsidP="00C65958" w:rsidRDefault="0077175D">
      <w:pPr>
        <w:pStyle w:val="JuHIRoman"/>
      </w:pPr>
      <w:r w:rsidRPr="00C65958">
        <w:t xml:space="preserve">ALLEGED VIOLATION OF ARTICLE </w:t>
      </w:r>
      <w:r w:rsidRPr="00C65958" w:rsidR="00A45690">
        <w:t xml:space="preserve">10 </w:t>
      </w:r>
      <w:r w:rsidRPr="00C65958">
        <w:t>OF THE CONVENTION</w:t>
      </w:r>
    </w:p>
    <w:p w:rsidRPr="00C65958" w:rsidR="00F86622"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52</w:t>
      </w:r>
      <w:r w:rsidRPr="00C65958">
        <w:fldChar w:fldCharType="end"/>
      </w:r>
      <w:r w:rsidRPr="00C65958" w:rsidR="0077175D">
        <w:t xml:space="preserve">.  The applicant complained of a violation of </w:t>
      </w:r>
      <w:r w:rsidRPr="00C65958" w:rsidR="00F86622">
        <w:t xml:space="preserve">Article </w:t>
      </w:r>
      <w:r w:rsidRPr="00C65958" w:rsidR="00A45690">
        <w:t xml:space="preserve">10 </w:t>
      </w:r>
      <w:r w:rsidRPr="00C65958" w:rsidR="0077175D">
        <w:t>of the Convention</w:t>
      </w:r>
      <w:r w:rsidRPr="00C65958" w:rsidR="00A45690">
        <w:t>,</w:t>
      </w:r>
      <w:r w:rsidRPr="00C65958" w:rsidR="00F86622">
        <w:t xml:space="preserve"> </w:t>
      </w:r>
      <w:r w:rsidRPr="00C65958" w:rsidR="00A45690">
        <w:t xml:space="preserve">which </w:t>
      </w:r>
      <w:r w:rsidRPr="00C65958" w:rsidR="00F86622">
        <w:t>read</w:t>
      </w:r>
      <w:r w:rsidRPr="00C65958" w:rsidR="00FF6DCF">
        <w:t>s</w:t>
      </w:r>
      <w:r w:rsidRPr="00C65958" w:rsidR="00A45690">
        <w:t xml:space="preserve"> as follows</w:t>
      </w:r>
      <w:r w:rsidRPr="00C65958" w:rsidR="00F86622">
        <w:t>:</w:t>
      </w:r>
    </w:p>
    <w:p w:rsidRPr="00C65958" w:rsidR="00A45690" w:rsidP="00C65958" w:rsidRDefault="00A45690">
      <w:pPr>
        <w:pStyle w:val="JuQuot"/>
      </w:pPr>
      <w:r w:rsidRPr="00C65958">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C65958" w:rsidR="00A45690" w:rsidP="00C65958" w:rsidRDefault="00A45690">
      <w:pPr>
        <w:pStyle w:val="JuQuot"/>
      </w:pPr>
      <w:r w:rsidRPr="00C65958">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65958" w:rsidR="00F86622" w:rsidP="00C65958" w:rsidRDefault="00F86622">
      <w:pPr>
        <w:pStyle w:val="JuHA"/>
      </w:pPr>
      <w:r w:rsidRPr="00C65958">
        <w:t>Admissibility</w:t>
      </w:r>
    </w:p>
    <w:p w:rsidRPr="00C65958" w:rsidR="00F86622" w:rsidP="00C65958" w:rsidRDefault="00687F6B">
      <w:pPr>
        <w:pStyle w:val="JuPara"/>
      </w:pPr>
      <w:r w:rsidRPr="00C65958">
        <w:fldChar w:fldCharType="begin"/>
      </w:r>
      <w:r w:rsidRPr="00C65958">
        <w:instrText xml:space="preserve"> SEQ level0 \*arabic </w:instrText>
      </w:r>
      <w:r w:rsidRPr="00C65958">
        <w:fldChar w:fldCharType="separate"/>
      </w:r>
      <w:r w:rsidRPr="00C65958" w:rsidR="00C65958">
        <w:rPr>
          <w:noProof/>
        </w:rPr>
        <w:t>53</w:t>
      </w:r>
      <w:r w:rsidRPr="00C65958">
        <w:fldChar w:fldCharType="end"/>
      </w:r>
      <w:r w:rsidRPr="00C65958">
        <w:t>.  </w:t>
      </w:r>
      <w:r w:rsidRPr="00C65958" w:rsidR="00F86622">
        <w:t>The Court notes that this complaint is not manifestly ill-founded within the meaning of Article 35 § 3 (a) of the Convention. It further notes that it is not inadmissible on any other grounds. It must therefore be declared admissible.</w:t>
      </w:r>
    </w:p>
    <w:p w:rsidRPr="00C65958" w:rsidR="00F86622" w:rsidP="00C65958" w:rsidRDefault="00F86622">
      <w:pPr>
        <w:pStyle w:val="JuHA"/>
      </w:pPr>
      <w:r w:rsidRPr="00C65958">
        <w:t>Merits</w:t>
      </w:r>
    </w:p>
    <w:p w:rsidRPr="00C65958" w:rsidR="00687F6B" w:rsidP="00C65958" w:rsidRDefault="00FF6DCF">
      <w:pPr>
        <w:pStyle w:val="JuPara"/>
      </w:pPr>
      <w:r w:rsidRPr="00C65958">
        <w:fldChar w:fldCharType="begin"/>
      </w:r>
      <w:r w:rsidRPr="00C65958">
        <w:instrText xml:space="preserve"> SEQ level0 \*arabic </w:instrText>
      </w:r>
      <w:r w:rsidRPr="00C65958">
        <w:fldChar w:fldCharType="separate"/>
      </w:r>
      <w:r w:rsidRPr="00C65958" w:rsidR="00C65958">
        <w:rPr>
          <w:noProof/>
        </w:rPr>
        <w:t>54</w:t>
      </w:r>
      <w:r w:rsidRPr="00C65958">
        <w:fldChar w:fldCharType="end"/>
      </w:r>
      <w:r w:rsidRPr="00C65958">
        <w:t xml:space="preserve">.  The applicant submitted that </w:t>
      </w:r>
      <w:r w:rsidRPr="00C65958" w:rsidR="00687F6B">
        <w:t xml:space="preserve">he had been detained solely because of </w:t>
      </w:r>
      <w:r w:rsidRPr="00C65958" w:rsidR="004E2705">
        <w:t xml:space="preserve">expressing </w:t>
      </w:r>
      <w:r w:rsidRPr="00C65958" w:rsidR="00687F6B">
        <w:t>his political views before the local elections in Moldova.</w:t>
      </w:r>
      <w:r w:rsidRPr="00C65958" w:rsidR="004E2705">
        <w:t xml:space="preserve"> His electoral materials promoting his candidature to the position of a mayor of his village were seized in the process.</w:t>
      </w:r>
      <w:r w:rsidRPr="00C65958" w:rsidR="00ED41EF">
        <w:t xml:space="preserve"> He argued that he had not breached any Moldovan law, while the “laws” adopted by the “MRT” authorities were not valid in the Republic of Moldova.</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55</w:t>
      </w:r>
      <w:r w:rsidRPr="00C65958">
        <w:fldChar w:fldCharType="end"/>
      </w:r>
      <w:r w:rsidRPr="00C65958" w:rsidR="0077175D">
        <w:t>.  </w:t>
      </w:r>
      <w:r w:rsidRPr="00C65958" w:rsidR="00FF6DCF">
        <w:t>None of t</w:t>
      </w:r>
      <w:r w:rsidRPr="00C65958" w:rsidR="0077175D">
        <w:t xml:space="preserve">he </w:t>
      </w:r>
      <w:r w:rsidRPr="00C65958" w:rsidR="00FF6DCF">
        <w:t xml:space="preserve">respondent </w:t>
      </w:r>
      <w:r w:rsidRPr="00C65958" w:rsidR="0077175D">
        <w:t>Government</w:t>
      </w:r>
      <w:r w:rsidRPr="00C65958" w:rsidR="00FF6DCF">
        <w:t>s made any specific submissions</w:t>
      </w:r>
      <w:r w:rsidRPr="00C65958" w:rsidR="0077175D">
        <w:t>.</w:t>
      </w:r>
    </w:p>
    <w:p w:rsidRPr="00C65958" w:rsidR="00D86783" w:rsidP="00C65958" w:rsidRDefault="00D86783">
      <w:pPr>
        <w:pStyle w:val="JuPara"/>
      </w:pPr>
      <w:r w:rsidRPr="00C65958">
        <w:fldChar w:fldCharType="begin"/>
      </w:r>
      <w:r w:rsidRPr="00C65958">
        <w:instrText xml:space="preserve"> SEQ level0 \*arabic </w:instrText>
      </w:r>
      <w:r w:rsidRPr="00C65958">
        <w:fldChar w:fldCharType="separate"/>
      </w:r>
      <w:r w:rsidRPr="00C65958" w:rsidR="00C65958">
        <w:rPr>
          <w:noProof/>
        </w:rPr>
        <w:t>56</w:t>
      </w:r>
      <w:r w:rsidRPr="00C65958">
        <w:fldChar w:fldCharType="end"/>
      </w:r>
      <w:r w:rsidRPr="00C65958">
        <w:t xml:space="preserve">.  The Court considers that </w:t>
      </w:r>
      <w:r w:rsidRPr="00C65958" w:rsidR="003B1927">
        <w:t>in promoting his candidature for the position of mayor of his village and displaying electoral material in public places the applicant undoubtedly exercised his freedom of expression as protected by Article 10 of the Convention. It also finds that by arresting him because of expressing his political views and seizing his electoral materials clearly interfered with the exercise of his freedom of expression. Such an interference will be in breach of Article 10 unless it is in accordance with the requirements of the second paragraph of that provision.</w:t>
      </w:r>
    </w:p>
    <w:p w:rsidRPr="00C65958" w:rsidR="00D86783" w:rsidP="00C65958" w:rsidRDefault="00FF6DCF">
      <w:pPr>
        <w:pStyle w:val="JuPara"/>
      </w:pPr>
      <w:r w:rsidRPr="00C65958">
        <w:fldChar w:fldCharType="begin"/>
      </w:r>
      <w:r w:rsidRPr="00C65958">
        <w:instrText xml:space="preserve"> SEQ level0 \*arabic </w:instrText>
      </w:r>
      <w:r w:rsidRPr="00C65958">
        <w:fldChar w:fldCharType="separate"/>
      </w:r>
      <w:r w:rsidRPr="00C65958" w:rsidR="00C65958">
        <w:rPr>
          <w:noProof/>
        </w:rPr>
        <w:t>57</w:t>
      </w:r>
      <w:r w:rsidRPr="00C65958">
        <w:fldChar w:fldCharType="end"/>
      </w:r>
      <w:r w:rsidRPr="00C65958">
        <w:t>.  </w:t>
      </w:r>
      <w:r w:rsidRPr="00C65958" w:rsidR="000069B0">
        <w:t xml:space="preserve">The Court </w:t>
      </w:r>
      <w:r w:rsidRPr="00C65958" w:rsidR="00D86783">
        <w:t>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w:t>
      </w:r>
      <w:r w:rsidRPr="00C65958" w:rsidR="00A5319B">
        <w:t xml:space="preserve"> for instance,</w:t>
      </w:r>
      <w:r w:rsidRPr="00C65958" w:rsidR="00C7282C">
        <w:t xml:space="preserve"> </w:t>
      </w:r>
      <w:r w:rsidRPr="00C65958" w:rsidR="0005254D">
        <w:rPr>
          <w:i/>
        </w:rPr>
        <w:t>Delfi AS v. Estonia</w:t>
      </w:r>
      <w:r w:rsidRPr="00C65958" w:rsidR="00E83CF6">
        <w:t xml:space="preserve"> [GC], no. </w:t>
      </w:r>
      <w:r w:rsidRPr="00C65958" w:rsidR="0005254D">
        <w:t>64569/09, § 120, 16 June 2015</w:t>
      </w:r>
      <w:r w:rsidRPr="00C65958" w:rsidR="00D86783">
        <w:t xml:space="preserve">). One of the requirements flowing from the expression “prescribed by law” is foreseeability. Thus, a norm cannot be regarded as a “law” within the meaning of Article 10 § 2 unless it is formulated with sufficient precision to enable the citizen to regulate his conduct; he must be able – if need be with appropriate advice – to foresee, to a degree that is reasonable in the circumstances, the consequences which a given action may entail. Those consequences need not be foreseeable with absolute certainty. Whilst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for example, </w:t>
      </w:r>
      <w:r w:rsidRPr="00C65958" w:rsidR="00D86783">
        <w:rPr>
          <w:i/>
        </w:rPr>
        <w:t>Lindon, Otchakovsky-Laurens and July v. France</w:t>
      </w:r>
      <w:r w:rsidRPr="00C65958" w:rsidR="00D86783">
        <w:t xml:space="preserve"> [GC], nos. 21279/02 and 36448/02, § 41, ECHR 2007</w:t>
      </w:r>
      <w:r w:rsidRPr="00C65958" w:rsidR="00D86783">
        <w:noBreakHyphen/>
        <w:t xml:space="preserve">IV, </w:t>
      </w:r>
      <w:r w:rsidRPr="00C65958" w:rsidR="00F1524F">
        <w:t xml:space="preserve">Centro Europa 7 S.r.l. and </w:t>
      </w:r>
      <w:r w:rsidRPr="00C65958" w:rsidR="00A25A4B">
        <w:rPr>
          <w:i/>
        </w:rPr>
        <w:t>Di Stefano v. </w:t>
      </w:r>
      <w:r w:rsidRPr="00C65958" w:rsidR="00F1524F">
        <w:rPr>
          <w:i/>
        </w:rPr>
        <w:t>Italy</w:t>
      </w:r>
      <w:r w:rsidRPr="00C65958" w:rsidR="00F1524F">
        <w:t xml:space="preserve"> [GC], no. 38433/09, § 141, ECHR 201, and </w:t>
      </w:r>
      <w:r w:rsidRPr="00C65958" w:rsidR="00F1524F">
        <w:rPr>
          <w:i/>
        </w:rPr>
        <w:t>Delfi</w:t>
      </w:r>
      <w:r w:rsidRPr="00C65958" w:rsidR="00A25A4B">
        <w:t>, cited above, § </w:t>
      </w:r>
      <w:r w:rsidRPr="00C65958" w:rsidR="00F1524F">
        <w:t>121</w:t>
      </w:r>
      <w:r w:rsidRPr="00C65958" w:rsidR="00D86783">
        <w:t>).</w:t>
      </w:r>
    </w:p>
    <w:p w:rsidRPr="00C65958" w:rsidR="00A03BB0" w:rsidP="00C65958" w:rsidRDefault="00F1524F">
      <w:pPr>
        <w:pStyle w:val="JuPara"/>
      </w:pPr>
      <w:r w:rsidRPr="00C65958">
        <w:fldChar w:fldCharType="begin"/>
      </w:r>
      <w:r w:rsidRPr="00C65958">
        <w:instrText xml:space="preserve"> SEQ level0 \*arabic </w:instrText>
      </w:r>
      <w:r w:rsidRPr="00C65958">
        <w:fldChar w:fldCharType="separate"/>
      </w:r>
      <w:r w:rsidRPr="00C65958" w:rsidR="00C65958">
        <w:rPr>
          <w:noProof/>
        </w:rPr>
        <w:t>58</w:t>
      </w:r>
      <w:r w:rsidRPr="00C65958">
        <w:fldChar w:fldCharType="end"/>
      </w:r>
      <w:r w:rsidRPr="00C65958">
        <w:t xml:space="preserve">.  In the present case, the Court notes that </w:t>
      </w:r>
      <w:r w:rsidRPr="00C65958" w:rsidR="007B120F">
        <w:t xml:space="preserve">the applicant was on the territory of the Republic of Moldova and in a village under Moldovan control. </w:t>
      </w:r>
      <w:r w:rsidRPr="00C65958" w:rsidR="00A03BB0">
        <w:t>It has not been disputed by any party that Moldovan law did not prohibit electoral propaganda before the election day. Therefore, the applicant</w:t>
      </w:r>
      <w:r w:rsidRPr="00C65958" w:rsidR="00C65958">
        <w:t>’</w:t>
      </w:r>
      <w:r w:rsidRPr="00C65958" w:rsidR="00A03BB0">
        <w:t>s conviction based on “MRT” laws was not only unforeseeable to him, but also lacks any basis in Moldovan law. The Court thus concludes that the interference with the applicant</w:t>
      </w:r>
      <w:r w:rsidRPr="00C65958" w:rsidR="00C65958">
        <w:t>’</w:t>
      </w:r>
      <w:r w:rsidRPr="00C65958" w:rsidR="00A03BB0">
        <w:t>s freedom of expression was not “prescribed by law” within the meaning of Article 10 of the Convention.</w:t>
      </w:r>
    </w:p>
    <w:p w:rsidRPr="00C65958" w:rsidR="00A03BB0" w:rsidP="00C65958" w:rsidRDefault="00A03BB0">
      <w:pPr>
        <w:pStyle w:val="JuPara"/>
      </w:pPr>
      <w:r w:rsidRPr="00C65958">
        <w:t>There has, accordingly, been a violation of that provision in the present case.</w:t>
      </w:r>
    </w:p>
    <w:p w:rsidRPr="00C65958" w:rsidR="00A6209A" w:rsidP="00C65958" w:rsidRDefault="00A6209A">
      <w:pPr>
        <w:pStyle w:val="JuPara"/>
      </w:pPr>
      <w:r w:rsidRPr="00C65958">
        <w:fldChar w:fldCharType="begin"/>
      </w:r>
      <w:r w:rsidRPr="00C65958">
        <w:instrText xml:space="preserve"> SEQ level0 \*arabic </w:instrText>
      </w:r>
      <w:r w:rsidRPr="00C65958">
        <w:fldChar w:fldCharType="separate"/>
      </w:r>
      <w:r w:rsidRPr="00C65958" w:rsidR="00C65958">
        <w:rPr>
          <w:noProof/>
        </w:rPr>
        <w:t>59</w:t>
      </w:r>
      <w:r w:rsidRPr="00C65958">
        <w:fldChar w:fldCharType="end"/>
      </w:r>
      <w:r w:rsidRPr="00C65958">
        <w:t>.  The Court must next determine whether the Republic of Moldova fulfilled its positive obligation to take appropriate and sufficient measures to secure the applicant</w:t>
      </w:r>
      <w:r w:rsidRPr="00C65958" w:rsidR="00C65958">
        <w:t>’</w:t>
      </w:r>
      <w:r w:rsidRPr="00C65958">
        <w:t xml:space="preserve">s rights. The Court finds, for the same reasons as those mentioned in paragraphs </w:t>
      </w:r>
      <w:r w:rsidRPr="00C65958">
        <w:fldChar w:fldCharType="begin"/>
      </w:r>
      <w:r w:rsidRPr="00C65958">
        <w:instrText xml:space="preserve"> REF p_34_MD_posit_oblig_start \h </w:instrText>
      </w:r>
      <w:r w:rsidRPr="00C65958">
        <w:fldChar w:fldCharType="separate"/>
      </w:r>
      <w:r w:rsidRPr="00C65958" w:rsidR="00C65958">
        <w:rPr>
          <w:noProof/>
        </w:rPr>
        <w:t>33</w:t>
      </w:r>
      <w:r w:rsidRPr="00C65958">
        <w:fldChar w:fldCharType="end"/>
      </w:r>
      <w:r w:rsidRPr="00C65958">
        <w:t>-</w:t>
      </w:r>
      <w:r w:rsidRPr="00C65958">
        <w:fldChar w:fldCharType="begin"/>
      </w:r>
      <w:r w:rsidRPr="00C65958">
        <w:instrText xml:space="preserve"> REF p_38_MD_posit_oblig_end \h </w:instrText>
      </w:r>
      <w:r w:rsidRPr="00C65958">
        <w:fldChar w:fldCharType="separate"/>
      </w:r>
      <w:r w:rsidRPr="00C65958" w:rsidR="00C65958">
        <w:rPr>
          <w:noProof/>
        </w:rPr>
        <w:t>36</w:t>
      </w:r>
      <w:r w:rsidRPr="00C65958">
        <w:fldChar w:fldCharType="end"/>
      </w:r>
      <w:r w:rsidRPr="00C65958">
        <w:t xml:space="preserve"> above, that Moldova has not failed in fulfilling its positive obligations under Article 10 of the Convention. There has accordingly been no breach of these provisions by the Republic of Moldova.</w:t>
      </w:r>
    </w:p>
    <w:p w:rsidRPr="00C65958" w:rsidR="00A6209A" w:rsidP="00C65958" w:rsidRDefault="00A6209A">
      <w:pPr>
        <w:pStyle w:val="JuPara"/>
      </w:pPr>
      <w:r w:rsidRPr="00C65958">
        <w:fldChar w:fldCharType="begin"/>
      </w:r>
      <w:r w:rsidRPr="00C65958">
        <w:instrText xml:space="preserve"> SEQ level0 \*arabic </w:instrText>
      </w:r>
      <w:r w:rsidRPr="00C65958">
        <w:fldChar w:fldCharType="separate"/>
      </w:r>
      <w:r w:rsidRPr="00C65958" w:rsidR="00C65958">
        <w:rPr>
          <w:noProof/>
        </w:rPr>
        <w:t>60</w:t>
      </w:r>
      <w:r w:rsidRPr="00C65958">
        <w:fldChar w:fldCharType="end"/>
      </w:r>
      <w:r w:rsidRPr="00C65958">
        <w:t xml:space="preserve">.  As concerns the Russian Federation, for the same reasons as those mentioned in paragraph </w:t>
      </w:r>
      <w:r w:rsidRPr="00C65958">
        <w:fldChar w:fldCharType="begin"/>
      </w:r>
      <w:r w:rsidRPr="00C65958">
        <w:instrText xml:space="preserve"> REF p_65_RUS_pos_oblig_start \h </w:instrText>
      </w:r>
      <w:r w:rsidRPr="00C65958">
        <w:fldChar w:fldCharType="separate"/>
      </w:r>
      <w:r w:rsidRPr="00C65958" w:rsidR="00C65958">
        <w:rPr>
          <w:noProof/>
        </w:rPr>
        <w:t>38</w:t>
      </w:r>
      <w:r w:rsidRPr="00C65958">
        <w:fldChar w:fldCharType="end"/>
      </w:r>
      <w:r w:rsidRPr="00C65958">
        <w:t xml:space="preserve"> above, the Court finds that Russia is responsible for the breach of Article 10 of the Convention.</w:t>
      </w:r>
    </w:p>
    <w:p w:rsidRPr="00C65958" w:rsidR="00D420F3" w:rsidP="00C65958" w:rsidRDefault="0077175D">
      <w:pPr>
        <w:pStyle w:val="JuHIRoman"/>
      </w:pPr>
      <w:r w:rsidRPr="00C65958">
        <w:t xml:space="preserve">ALLEGED VIOLATION OF ARTICLE </w:t>
      </w:r>
      <w:r w:rsidRPr="00C65958" w:rsidR="00D839E3">
        <w:t xml:space="preserve">2 </w:t>
      </w:r>
      <w:r w:rsidRPr="00C65958" w:rsidR="00AA5F72">
        <w:t>OF</w:t>
      </w:r>
      <w:r w:rsidRPr="00C65958" w:rsidR="00D839E3">
        <w:t xml:space="preserve"> PROTOCOL NO. 4 T</w:t>
      </w:r>
      <w:r w:rsidRPr="00C65958">
        <w:t>O THE CONVENTION</w:t>
      </w:r>
    </w:p>
    <w:p w:rsidRPr="00C65958" w:rsidR="00AA5F72"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61</w:t>
      </w:r>
      <w:r w:rsidRPr="00C65958">
        <w:fldChar w:fldCharType="end"/>
      </w:r>
      <w:r w:rsidRPr="00C65958" w:rsidR="0077175D">
        <w:t xml:space="preserve">.  The applicant further complained of </w:t>
      </w:r>
      <w:r w:rsidRPr="00C65958" w:rsidR="00AA5F72">
        <w:t>being limited in his freedom of movement owing to the seizure of his identity card. He relied on Article 2 of Protocol No. 4 to the Convention, which reads as follows:</w:t>
      </w:r>
    </w:p>
    <w:p w:rsidRPr="00C65958" w:rsidR="00AA5F72" w:rsidP="00C65958" w:rsidRDefault="00AA5F72">
      <w:pPr>
        <w:pStyle w:val="JuQuot"/>
      </w:pPr>
      <w:r w:rsidRPr="00C65958">
        <w:t>“1.  Everyone lawfully within the territory of a State shall, within that territory, have the right to liberty of movement and freedom to choose his residence.</w:t>
      </w:r>
    </w:p>
    <w:p w:rsidRPr="00C65958" w:rsidR="00AA5F72" w:rsidP="00C65958" w:rsidRDefault="00AA5F72">
      <w:pPr>
        <w:pStyle w:val="JuQuot"/>
      </w:pPr>
      <w:r w:rsidRPr="00C65958">
        <w:t>2.  Everyone shall be free to leave any country, including his own.</w:t>
      </w:r>
    </w:p>
    <w:p w:rsidRPr="00C65958" w:rsidR="00AA5F72" w:rsidP="00C65958" w:rsidRDefault="00AA5F72">
      <w:pPr>
        <w:pStyle w:val="JuQuot"/>
      </w:pPr>
      <w:r w:rsidRPr="00C65958">
        <w:t>3.  No restrictions shall be placed on the exercise of these rights other than such as are in accordance with law and are necessary in a democratic society in the interests of national security or public safety, for the maintenance of ordre public, for the prevention of crime, for the protection of health or morals, or for the protection of the rights and freedoms of others.</w:t>
      </w:r>
    </w:p>
    <w:p w:rsidRPr="00C65958" w:rsidR="00AA5F72" w:rsidP="00C65958" w:rsidRDefault="00AA5F72">
      <w:pPr>
        <w:pStyle w:val="JuQuot"/>
      </w:pPr>
      <w:r w:rsidRPr="00C65958">
        <w:t>4.  The rights set forth in paragraph 1 may also be subject, in particular areas, to restrictions imposed in accordance with law and justified by the public interest in a democratic society.”</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62</w:t>
      </w:r>
      <w:r w:rsidRPr="00C65958">
        <w:fldChar w:fldCharType="end"/>
      </w:r>
      <w:r w:rsidRPr="00C65958" w:rsidR="0077175D">
        <w:t>.  </w:t>
      </w:r>
      <w:r w:rsidRPr="00C65958" w:rsidR="00AA5F72">
        <w:t>None of the respondent Governments made any specific submissions.</w:t>
      </w:r>
    </w:p>
    <w:p w:rsidRPr="00C65958" w:rsidR="00C7282C"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63</w:t>
      </w:r>
      <w:r w:rsidRPr="00C65958">
        <w:fldChar w:fldCharType="end"/>
      </w:r>
      <w:r w:rsidRPr="00C65958" w:rsidR="0077175D">
        <w:t xml:space="preserve">.  The Court </w:t>
      </w:r>
      <w:r w:rsidRPr="00C65958" w:rsidR="00D3480B">
        <w:t xml:space="preserve">recalls that a </w:t>
      </w:r>
      <w:r w:rsidRPr="00C65958" w:rsidR="00D55343">
        <w:t>measure by means of which an individual is denied the use of a document which, had he so wished, would have permitted him to leave the country, amounts to an interference within the meaning of Article 2 of Protocol No. 4 and must meet the requirements of paragraph 3 of that Article</w:t>
      </w:r>
      <w:r w:rsidRPr="00C65958" w:rsidR="00D3480B">
        <w:t xml:space="preserve"> (see, </w:t>
      </w:r>
      <w:r w:rsidRPr="00C65958" w:rsidR="00D3480B">
        <w:rPr>
          <w:iCs/>
        </w:rPr>
        <w:t>for instance</w:t>
      </w:r>
      <w:r w:rsidRPr="00C65958" w:rsidR="00D3480B">
        <w:t xml:space="preserve">, </w:t>
      </w:r>
      <w:r w:rsidRPr="00C65958" w:rsidR="00425ACA">
        <w:rPr>
          <w:i/>
        </w:rPr>
        <w:t>Napijalo v. Croatia</w:t>
      </w:r>
      <w:r w:rsidRPr="00C65958" w:rsidR="00C7282C">
        <w:t>, no. </w:t>
      </w:r>
      <w:r w:rsidRPr="00C65958" w:rsidR="00425ACA">
        <w:t>66485/01, § 69, 13 November 2003</w:t>
      </w:r>
      <w:r w:rsidRPr="00C65958" w:rsidR="00D55343">
        <w:t xml:space="preserve"> and </w:t>
      </w:r>
      <w:r w:rsidRPr="00C65958" w:rsidR="00D55343">
        <w:rPr>
          <w:i/>
        </w:rPr>
        <w:t>Vlasov and Benyash v. Russia</w:t>
      </w:r>
      <w:r w:rsidRPr="00C65958" w:rsidR="00D55343">
        <w:t>, nos. 51279/09 and 32098, §§ 27-28, 20 September 2016</w:t>
      </w:r>
      <w:r w:rsidRPr="00C65958" w:rsidR="00D3480B">
        <w:t>).</w:t>
      </w:r>
    </w:p>
    <w:p w:rsidRPr="00C65958" w:rsidR="00C7282C" w:rsidP="00C65958" w:rsidRDefault="007439B8">
      <w:pPr>
        <w:pStyle w:val="JuPara"/>
      </w:pPr>
      <w:r w:rsidRPr="00C65958">
        <w:fldChar w:fldCharType="begin"/>
      </w:r>
      <w:r w:rsidRPr="00C65958">
        <w:instrText xml:space="preserve"> SEQ level0 \*arabic </w:instrText>
      </w:r>
      <w:r w:rsidRPr="00C65958">
        <w:fldChar w:fldCharType="separate"/>
      </w:r>
      <w:r w:rsidRPr="00C65958" w:rsidR="00C65958">
        <w:rPr>
          <w:noProof/>
        </w:rPr>
        <w:t>64</w:t>
      </w:r>
      <w:r w:rsidRPr="00C65958">
        <w:rPr>
          <w:noProof/>
        </w:rPr>
        <w:fldChar w:fldCharType="end"/>
      </w:r>
      <w:r w:rsidRPr="00C65958" w:rsidR="00587646">
        <w:t>.  The Court must verify whether, in the particular circumstances of the present case, the seizure of the applicant</w:t>
      </w:r>
      <w:r w:rsidRPr="00C65958" w:rsidR="00C65958">
        <w:t>’</w:t>
      </w:r>
      <w:r w:rsidRPr="00C65958" w:rsidR="00587646">
        <w:t>s identity card resulted in his inability to freely move within the Republic of Moldova or to leave that country. It notes that</w:t>
      </w:r>
      <w:r w:rsidRPr="00C65958" w:rsidR="004D6B8A">
        <w:t xml:space="preserve"> </w:t>
      </w:r>
      <w:r w:rsidRPr="00C65958" w:rsidR="00587646">
        <w:t>the applicant was not deprived of his passport, but only the national identity card</w:t>
      </w:r>
      <w:r w:rsidRPr="00C65958" w:rsidR="004D6B8A">
        <w:t>, which was not a document allowing international travel</w:t>
      </w:r>
      <w:r w:rsidRPr="00C65958" w:rsidR="00587646">
        <w:t>. Accordingly, he could freely leave the country using his passport. As for the possibility to circulate within the Republic of Moldova, there is no impediment for the free circulation of persons who do not possess national identity cards. Again, the applicant could identify himself with his passport should the need arise. Moreover, as is clear from the facts of the present case, the applicant could freely travel to the territory controlled by the “MRT” authorities without an identity card, since he was able to reach Dub</w:t>
      </w:r>
      <w:r w:rsidRPr="00C65958" w:rsidR="00587646">
        <w:rPr>
          <w:lang w:val="ro-RO"/>
        </w:rPr>
        <w:t>ă</w:t>
      </w:r>
      <w:r w:rsidRPr="00C65958" w:rsidR="00587646">
        <w:t>sari</w:t>
      </w:r>
      <w:r w:rsidRPr="00C65958" w:rsidR="00390027">
        <w:t>,</w:t>
      </w:r>
      <w:r w:rsidRPr="00C65958" w:rsidR="00587646">
        <w:t xml:space="preserve"> </w:t>
      </w:r>
      <w:r w:rsidRPr="00C65958" w:rsidR="00390027">
        <w:t>seeking the return of his identity card and driver</w:t>
      </w:r>
      <w:r w:rsidRPr="00C65958" w:rsidR="00C65958">
        <w:t>’</w:t>
      </w:r>
      <w:r w:rsidRPr="00C65958" w:rsidR="00390027">
        <w:t xml:space="preserve">s licence </w:t>
      </w:r>
      <w:r w:rsidRPr="00C65958" w:rsidR="00587646">
        <w:t xml:space="preserve">(see paragraph </w:t>
      </w:r>
      <w:r w:rsidRPr="00C65958" w:rsidR="00587646">
        <w:fldChar w:fldCharType="begin"/>
      </w:r>
      <w:r w:rsidRPr="00C65958" w:rsidR="00587646">
        <w:instrText xml:space="preserve"> REF p_9_TA_arrest_and_conviction \h </w:instrText>
      </w:r>
      <w:r w:rsidRPr="00C65958" w:rsidR="00587646">
        <w:fldChar w:fldCharType="separate"/>
      </w:r>
      <w:r w:rsidRPr="00C65958" w:rsidR="00C65958">
        <w:rPr>
          <w:noProof/>
        </w:rPr>
        <w:t>8</w:t>
      </w:r>
      <w:r w:rsidRPr="00C65958" w:rsidR="00587646">
        <w:fldChar w:fldCharType="end"/>
      </w:r>
      <w:r w:rsidRPr="00C65958" w:rsidR="00587646">
        <w:t xml:space="preserve"> above).</w:t>
      </w:r>
    </w:p>
    <w:p w:rsidRPr="00C65958" w:rsidR="00C7282C" w:rsidP="00C65958" w:rsidRDefault="0010721C">
      <w:pPr>
        <w:pStyle w:val="JuPara"/>
      </w:pPr>
      <w:r w:rsidRPr="00C65958">
        <w:fldChar w:fldCharType="begin"/>
      </w:r>
      <w:r w:rsidRPr="00C65958">
        <w:instrText xml:space="preserve"> SEQ level0 \*arabic </w:instrText>
      </w:r>
      <w:r w:rsidRPr="00C65958">
        <w:fldChar w:fldCharType="separate"/>
      </w:r>
      <w:r w:rsidRPr="00C65958" w:rsidR="00C65958">
        <w:rPr>
          <w:noProof/>
        </w:rPr>
        <w:t>65</w:t>
      </w:r>
      <w:r w:rsidRPr="00C65958">
        <w:fldChar w:fldCharType="end"/>
      </w:r>
      <w:r w:rsidRPr="00C65958">
        <w:t xml:space="preserve">.  In the light of the above, the Court concludes that </w:t>
      </w:r>
      <w:r w:rsidRPr="00C65958" w:rsidR="002468DA">
        <w:t>there was no interference with the applicant</w:t>
      </w:r>
      <w:r w:rsidRPr="00C65958" w:rsidR="00C65958">
        <w:t>’</w:t>
      </w:r>
      <w:r w:rsidRPr="00C65958" w:rsidR="002468DA">
        <w:t>s rights protected by Article 2 of Protocol No. 4 to the Convention.</w:t>
      </w:r>
    </w:p>
    <w:p w:rsidRPr="00C65958" w:rsidR="00D420F3" w:rsidP="00C65958" w:rsidRDefault="00E16951">
      <w:pPr>
        <w:pStyle w:val="JuPara"/>
      </w:pPr>
      <w:r w:rsidRPr="00C65958">
        <w:t>It follows that this complaint must therefore be declared inadmissible in accordance with Article 35 §§ 3 (a) and 4 of the Convention.</w:t>
      </w:r>
    </w:p>
    <w:p w:rsidRPr="00C65958" w:rsidR="0060542A" w:rsidP="00C65958" w:rsidRDefault="0060542A">
      <w:pPr>
        <w:pStyle w:val="JuHIRoman"/>
      </w:pPr>
      <w:r w:rsidRPr="00C65958">
        <w:t>ALLEGED VIOLATION OF ARTICLE 3 OF PROTOCOL NO. 1 TO THE CONVENTION</w:t>
      </w:r>
    </w:p>
    <w:p w:rsidRPr="00C65958" w:rsidR="0060542A" w:rsidP="00C65958" w:rsidRDefault="0060542A">
      <w:pPr>
        <w:pStyle w:val="JuPara"/>
      </w:pPr>
      <w:r w:rsidRPr="00C65958">
        <w:fldChar w:fldCharType="begin"/>
      </w:r>
      <w:r w:rsidRPr="00C65958">
        <w:instrText xml:space="preserve"> SEQ level0 \*arabic </w:instrText>
      </w:r>
      <w:r w:rsidRPr="00C65958">
        <w:fldChar w:fldCharType="separate"/>
      </w:r>
      <w:r w:rsidRPr="00C65958" w:rsidR="00C65958">
        <w:rPr>
          <w:noProof/>
        </w:rPr>
        <w:t>66</w:t>
      </w:r>
      <w:r w:rsidRPr="00C65958">
        <w:fldChar w:fldCharType="end"/>
      </w:r>
      <w:r w:rsidRPr="00C65958">
        <w:t>.  The applicant further complained that his right to vote and to stand for elections was breached by his arrest and detention. He relied on Article 3 of Protocol No. 1 to the Convention, which reads as follows:</w:t>
      </w:r>
    </w:p>
    <w:p w:rsidRPr="00C65958" w:rsidR="0060542A" w:rsidP="00C65958" w:rsidRDefault="0060542A">
      <w:pPr>
        <w:pStyle w:val="JuQuot"/>
      </w:pPr>
      <w:r w:rsidRPr="00C65958">
        <w:t>“The High Contracting Parties undertake to hold free elections at reasonable intervals by secret ballot, under conditions which will ensure the free expression of the opinion of the people in the choice of the legislature.”</w:t>
      </w:r>
    </w:p>
    <w:p w:rsidRPr="00C65958" w:rsidR="0060542A" w:rsidP="00C65958" w:rsidRDefault="0060542A">
      <w:pPr>
        <w:pStyle w:val="JuPara"/>
      </w:pPr>
      <w:r w:rsidRPr="00C65958">
        <w:fldChar w:fldCharType="begin"/>
      </w:r>
      <w:r w:rsidRPr="00C65958">
        <w:instrText xml:space="preserve"> SEQ level0 \*arabic </w:instrText>
      </w:r>
      <w:r w:rsidRPr="00C65958">
        <w:fldChar w:fldCharType="separate"/>
      </w:r>
      <w:r w:rsidRPr="00C65958" w:rsidR="00C65958">
        <w:rPr>
          <w:noProof/>
        </w:rPr>
        <w:t>67</w:t>
      </w:r>
      <w:r w:rsidRPr="00C65958">
        <w:fldChar w:fldCharType="end"/>
      </w:r>
      <w:r w:rsidRPr="00C65958">
        <w:t>.  The respondent Governments did not make any submissions.</w:t>
      </w:r>
    </w:p>
    <w:p w:rsidRPr="00C65958" w:rsidR="0060542A" w:rsidP="00C65958" w:rsidRDefault="0060542A">
      <w:pPr>
        <w:pStyle w:val="JuPara"/>
      </w:pPr>
      <w:r w:rsidRPr="00C65958">
        <w:fldChar w:fldCharType="begin"/>
      </w:r>
      <w:r w:rsidRPr="00C65958">
        <w:instrText xml:space="preserve"> SEQ level0 \*arabic </w:instrText>
      </w:r>
      <w:r w:rsidRPr="00C65958">
        <w:fldChar w:fldCharType="separate"/>
      </w:r>
      <w:r w:rsidRPr="00C65958" w:rsidR="00C65958">
        <w:rPr>
          <w:noProof/>
        </w:rPr>
        <w:t>68</w:t>
      </w:r>
      <w:r w:rsidRPr="00C65958">
        <w:fldChar w:fldCharType="end"/>
      </w:r>
      <w:r w:rsidRPr="00C65958">
        <w:t xml:space="preserve">.  The Court recalls that </w:t>
      </w:r>
      <w:r w:rsidRPr="00C65958" w:rsidR="0084164E">
        <w:t xml:space="preserve">Article 3 of Protocol No. 1 to the Convention applies only to elections of a “legislature”, or at least of one of its chambers if it has two or more (see, for instance, </w:t>
      </w:r>
      <w:r w:rsidRPr="00C65958" w:rsidR="00381B55">
        <w:rPr>
          <w:i/>
        </w:rPr>
        <w:t xml:space="preserve">Sejdić and Finci v. Bosnia and Herzegovina </w:t>
      </w:r>
      <w:r w:rsidRPr="00C65958" w:rsidR="00381B55">
        <w:t>[GC], nos. 27996/06 and 34836/06, § 40, ECHR 2009</w:t>
      </w:r>
      <w:r w:rsidRPr="00C65958" w:rsidR="0084164E">
        <w:t xml:space="preserve">). It notes that the applicant intended to participate in local elections (see paragraph </w:t>
      </w:r>
      <w:r w:rsidRPr="00C65958" w:rsidR="00FA0511">
        <w:fldChar w:fldCharType="begin"/>
      </w:r>
      <w:r w:rsidRPr="00C65958" w:rsidR="00FA0511">
        <w:instrText xml:space="preserve"> REF p_7_local_elections \h </w:instrText>
      </w:r>
      <w:r w:rsidRPr="00C65958" w:rsidR="00C5484F">
        <w:instrText xml:space="preserve"> \* MERGEFORMAT </w:instrText>
      </w:r>
      <w:r w:rsidRPr="00C65958" w:rsidR="00FA0511">
        <w:fldChar w:fldCharType="separate"/>
      </w:r>
      <w:r w:rsidRPr="00C65958" w:rsidR="00C65958">
        <w:t>6</w:t>
      </w:r>
      <w:r w:rsidRPr="00C65958" w:rsidR="00FA0511">
        <w:fldChar w:fldCharType="end"/>
      </w:r>
      <w:r w:rsidRPr="00C65958" w:rsidR="0084164E">
        <w:t xml:space="preserve"> above). </w:t>
      </w:r>
      <w:r w:rsidRPr="00C65958" w:rsidR="00503F3F">
        <w:t xml:space="preserve">It therefore concludes that Article 3 of Protocol No. 1 to the Convention was not applicable </w:t>
      </w:r>
      <w:r w:rsidRPr="00C65958" w:rsidR="00503F3F">
        <w:rPr>
          <w:i/>
        </w:rPr>
        <w:t>ratione materiae</w:t>
      </w:r>
      <w:r w:rsidRPr="00C65958" w:rsidR="00503F3F">
        <w:t xml:space="preserve"> to the elections at issue</w:t>
      </w:r>
      <w:r w:rsidRPr="00C65958" w:rsidR="003A63FA">
        <w:t xml:space="preserve"> (see </w:t>
      </w:r>
      <w:r w:rsidRPr="00C65958" w:rsidR="00B2622E">
        <w:rPr>
          <w:i/>
        </w:rPr>
        <w:t>Yavaş v. Turkey</w:t>
      </w:r>
      <w:r w:rsidRPr="00C65958" w:rsidR="00B2622E">
        <w:t>, no. 16576/15, §§ 20 and 21, 30 August 2016</w:t>
      </w:r>
      <w:r w:rsidRPr="00C65958" w:rsidR="003A63FA">
        <w:t>)</w:t>
      </w:r>
      <w:r w:rsidRPr="00C65958" w:rsidR="00503F3F">
        <w:t>.</w:t>
      </w:r>
    </w:p>
    <w:p w:rsidRPr="00C65958" w:rsidR="00503F3F" w:rsidP="00C65958" w:rsidRDefault="00503F3F">
      <w:pPr>
        <w:pStyle w:val="JuPara"/>
      </w:pPr>
      <w:r w:rsidRPr="00C65958">
        <w:t>It follows that this complaint must therefore be declared inadmissible in accordance with Article 35 §§ 3 (a) and 4 of the Convention</w:t>
      </w:r>
      <w:r w:rsidRPr="00C65958" w:rsidR="000C25C3">
        <w:t>.</w:t>
      </w:r>
    </w:p>
    <w:p w:rsidRPr="00C65958" w:rsidR="00D420F3" w:rsidP="00C65958" w:rsidRDefault="0077175D">
      <w:pPr>
        <w:pStyle w:val="JuHIRoman"/>
      </w:pPr>
      <w:r w:rsidRPr="00C65958">
        <w:t xml:space="preserve">ALLEGED VIOLATION OF ARTICLE </w:t>
      </w:r>
      <w:r w:rsidRPr="00C65958" w:rsidR="0060542A">
        <w:t>13</w:t>
      </w:r>
      <w:r w:rsidRPr="00C65958">
        <w:t xml:space="preserve"> OF THE CONVENTION</w:t>
      </w:r>
    </w:p>
    <w:p w:rsidRPr="00C65958" w:rsidR="00E43C2C"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69</w:t>
      </w:r>
      <w:r w:rsidRPr="00C65958">
        <w:fldChar w:fldCharType="end"/>
      </w:r>
      <w:r w:rsidRPr="00C65958" w:rsidR="0077175D">
        <w:t xml:space="preserve">.  The applicant further complained that </w:t>
      </w:r>
      <w:r w:rsidRPr="00C65958" w:rsidR="00E43C2C">
        <w:t>he had no effective remedies in respect of his complaints under Articles 3, 5, 6 and 10 of the Convention. He relied on Article 13 of the Convention, which reads as follows:</w:t>
      </w:r>
    </w:p>
    <w:p w:rsidRPr="00C65958" w:rsidR="00D420F3" w:rsidP="00C65958" w:rsidRDefault="00E43C2C">
      <w:pPr>
        <w:pStyle w:val="JuQuot"/>
      </w:pPr>
      <w:r w:rsidRPr="00C65958">
        <w:rPr>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C65958" w:rsidR="00E43C2C" w:rsidP="00C65958" w:rsidRDefault="00E43C2C">
      <w:pPr>
        <w:pStyle w:val="JuHA"/>
      </w:pPr>
      <w:r w:rsidRPr="00C65958">
        <w:t>Admissibility</w:t>
      </w:r>
    </w:p>
    <w:p w:rsidRPr="00C65958" w:rsidR="00E43C2C"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70</w:t>
      </w:r>
      <w:r w:rsidRPr="00C65958">
        <w:fldChar w:fldCharType="end"/>
      </w:r>
      <w:r w:rsidRPr="00C65958">
        <w:t>.  The Court notes that the complaint under Article 13 taken in conjunction with Articles 3, 5, 6 and 10, is not manifestly ill-founded within the meaning of Article 35 § 3 (a) of the Convention. It further notes that it is not inadmissible on any other grounds. It must therefore be declared admissible.</w:t>
      </w:r>
    </w:p>
    <w:p w:rsidRPr="00C65958" w:rsidR="00E43C2C" w:rsidP="00C65958" w:rsidRDefault="00E43C2C">
      <w:pPr>
        <w:pStyle w:val="JuHA"/>
        <w:rPr>
          <w:rFonts w:eastAsiaTheme="majorEastAsia"/>
          <w:bCs/>
          <w:lang w:eastAsia="fr-FR"/>
        </w:rPr>
      </w:pPr>
      <w:r w:rsidRPr="00C65958">
        <w:rPr>
          <w:rFonts w:eastAsiaTheme="majorEastAsia"/>
          <w:bCs/>
          <w:lang w:eastAsia="fr-FR"/>
        </w:rPr>
        <w:t>Merits</w:t>
      </w:r>
    </w:p>
    <w:p w:rsidRPr="00C65958" w:rsidR="00E43C2C"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71</w:t>
      </w:r>
      <w:r w:rsidRPr="00C65958">
        <w:fldChar w:fldCharType="end"/>
      </w:r>
      <w:r w:rsidRPr="00C65958">
        <w:t xml:space="preserve">.  The applicant submitted that </w:t>
      </w:r>
      <w:r w:rsidRPr="00C65958" w:rsidR="00913C46">
        <w:t xml:space="preserve">he </w:t>
      </w:r>
      <w:r w:rsidRPr="00C65958">
        <w:t xml:space="preserve">had had no means of asserting </w:t>
      </w:r>
      <w:r w:rsidRPr="00C65958" w:rsidR="00913C46">
        <w:t xml:space="preserve">his </w:t>
      </w:r>
      <w:r w:rsidRPr="00C65958">
        <w:t>rights in the face of the actions of the “MRT” authorities.</w:t>
      </w:r>
      <w:r w:rsidRPr="00C65958" w:rsidR="00E50163">
        <w:t xml:space="preserve"> In particular, none of the respondent Governments created an effective mechanism for </w:t>
      </w:r>
      <w:r w:rsidRPr="00C65958" w:rsidR="00B77C4D">
        <w:t xml:space="preserve">protecting Convention rights from acts of </w:t>
      </w:r>
      <w:r w:rsidRPr="00C65958" w:rsidR="00E50163">
        <w:t>the “MRT”</w:t>
      </w:r>
      <w:r w:rsidRPr="00C65958" w:rsidR="00B77C4D">
        <w:t xml:space="preserve"> authorities</w:t>
      </w:r>
      <w:r w:rsidRPr="00C65958" w:rsidR="00E50163">
        <w:t>.</w:t>
      </w:r>
      <w:r w:rsidRPr="00C65958" w:rsidR="00A64E3D">
        <w:t xml:space="preserve"> The criminal prosecution initiated by the Moldovan prosecuting authorities was illusory in its scope and prospects of success.</w:t>
      </w:r>
    </w:p>
    <w:p w:rsidRPr="00C65958" w:rsidR="004179B4"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72</w:t>
      </w:r>
      <w:r w:rsidRPr="00C65958">
        <w:fldChar w:fldCharType="end"/>
      </w:r>
      <w:r w:rsidRPr="00C65958">
        <w:t xml:space="preserve">.  The Moldovan Government </w:t>
      </w:r>
      <w:r w:rsidRPr="00C65958" w:rsidR="004179B4">
        <w:t xml:space="preserve">submitted </w:t>
      </w:r>
      <w:r w:rsidRPr="00C65958">
        <w:t>that</w:t>
      </w:r>
      <w:r w:rsidRPr="00C65958" w:rsidR="004179B4">
        <w:t xml:space="preserve"> the applicant could lodge complaints with the Moldovan courts about the violations of </w:t>
      </w:r>
      <w:r w:rsidRPr="00C65958" w:rsidR="00B36BBB">
        <w:t xml:space="preserve">his </w:t>
      </w:r>
      <w:r w:rsidRPr="00C65958" w:rsidR="004179B4">
        <w:t>rights by the “MRT” authorities. However, justice could not be properly done due to the evident impossibility to enforce any judgments the courts may have adopted on the territory controlled by the “MRT”.</w:t>
      </w:r>
    </w:p>
    <w:p w:rsidRPr="00C65958" w:rsidR="00E43C2C"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73</w:t>
      </w:r>
      <w:r w:rsidRPr="00C65958">
        <w:fldChar w:fldCharType="end"/>
      </w:r>
      <w:r w:rsidRPr="00C65958">
        <w:t>.  The Russian Government made no specific submissions.</w:t>
      </w:r>
    </w:p>
    <w:p w:rsidRPr="00C65958" w:rsidR="00E43C2C" w:rsidP="00C65958" w:rsidRDefault="00E43C2C">
      <w:pPr>
        <w:pStyle w:val="JuPara"/>
        <w:rPr>
          <w:i/>
        </w:rPr>
      </w:pPr>
      <w:r w:rsidRPr="00C65958">
        <w:fldChar w:fldCharType="begin"/>
      </w:r>
      <w:r w:rsidRPr="00C65958">
        <w:instrText xml:space="preserve"> SEQ level0 \*arabic </w:instrText>
      </w:r>
      <w:r w:rsidRPr="00C65958">
        <w:fldChar w:fldCharType="separate"/>
      </w:r>
      <w:r w:rsidRPr="00C65958" w:rsidR="00C65958">
        <w:rPr>
          <w:noProof/>
        </w:rPr>
        <w:t>74</w:t>
      </w:r>
      <w:r w:rsidRPr="00C65958">
        <w:fldChar w:fldCharType="end"/>
      </w:r>
      <w:r w:rsidRPr="00C65958">
        <w:t xml:space="preserve">.  The Court reiterates that the effect of Article 13 is to require the provision of a domestic remedy allowing the competent national authority both to deal with the substance of the relevant Convention complaint and to grant appropriate relief, although Contracting States are afforded some discretion as to the manner in which they comply with their obligations under that provision (see </w:t>
      </w:r>
      <w:r w:rsidRPr="00C65958">
        <w:rPr>
          <w:i/>
        </w:rPr>
        <w:t>Chahal v. the United Kingdom</w:t>
      </w:r>
      <w:r w:rsidRPr="00C65958">
        <w:t xml:space="preserve">, 15 November 1996, § 145, </w:t>
      </w:r>
      <w:r w:rsidRPr="00C65958">
        <w:rPr>
          <w:i/>
        </w:rPr>
        <w:t xml:space="preserve">Reports </w:t>
      </w:r>
      <w:r w:rsidRPr="00C65958">
        <w:t>1996</w:t>
      </w:r>
      <w:r w:rsidRPr="00C65958">
        <w:noBreakHyphen/>
        <w:t xml:space="preserve">V). The remedy required by Article 13 must be “effective”, both in practice and in law. However, such a remedy is required only for complaints that can be regarded as “arguable” under the Convention (see </w:t>
      </w:r>
      <w:r w:rsidRPr="00C65958">
        <w:rPr>
          <w:i/>
        </w:rPr>
        <w:t xml:space="preserve">De Souza Ribeiro v. France </w:t>
      </w:r>
      <w:r w:rsidRPr="00C65958">
        <w:t>[GC], no. 22689/07, § 78,</w:t>
      </w:r>
      <w:r w:rsidRPr="00C65958">
        <w:rPr>
          <w:snapToGrid w:val="0"/>
        </w:rPr>
        <w:t xml:space="preserve"> </w:t>
      </w:r>
      <w:r w:rsidRPr="00C65958">
        <w:t xml:space="preserve">ECHR 2012, </w:t>
      </w:r>
      <w:r w:rsidRPr="00C65958">
        <w:rPr>
          <w:i/>
        </w:rPr>
        <w:t>Centre for Legal Resources on</w:t>
      </w:r>
      <w:r w:rsidRPr="00C65958" w:rsidR="00C5484F">
        <w:rPr>
          <w:i/>
        </w:rPr>
        <w:t xml:space="preserve"> behalf of Valentin Câmpeanu v. </w:t>
      </w:r>
      <w:r w:rsidRPr="00C65958">
        <w:rPr>
          <w:i/>
        </w:rPr>
        <w:t>Romania</w:t>
      </w:r>
      <w:r w:rsidRPr="00C65958">
        <w:t xml:space="preserve"> [GC], no. 47848/08, § 148, ECHR 2014, and </w:t>
      </w:r>
      <w:r w:rsidRPr="00C65958">
        <w:rPr>
          <w:i/>
        </w:rPr>
        <w:t>Mozer</w:t>
      </w:r>
      <w:r w:rsidRPr="00C65958">
        <w:t>, cited above, § 207).</w:t>
      </w:r>
    </w:p>
    <w:p w:rsidRPr="00C65958" w:rsidR="00E43C2C"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75</w:t>
      </w:r>
      <w:r w:rsidRPr="00C65958">
        <w:fldChar w:fldCharType="end"/>
      </w:r>
      <w:r w:rsidRPr="00C65958">
        <w:t>.  The Court observes that it found that the applicant</w:t>
      </w:r>
      <w:r w:rsidRPr="00C65958" w:rsidR="00C65958">
        <w:t>’</w:t>
      </w:r>
      <w:r w:rsidRPr="00C65958" w:rsidR="00BC16B6">
        <w:t>s</w:t>
      </w:r>
      <w:r w:rsidRPr="00C65958">
        <w:t xml:space="preserve"> complaints under Articles 3, 5</w:t>
      </w:r>
      <w:r w:rsidRPr="00C65958" w:rsidR="00BC16B6">
        <w:t>,</w:t>
      </w:r>
      <w:r w:rsidRPr="00C65958">
        <w:t xml:space="preserve"> 6 </w:t>
      </w:r>
      <w:r w:rsidRPr="00C65958" w:rsidR="00BC16B6">
        <w:t xml:space="preserve">and 10 </w:t>
      </w:r>
      <w:r w:rsidRPr="00C65958">
        <w:t xml:space="preserve">of the Convention were arguable. However, as regards the complaint under Article 5 </w:t>
      </w:r>
      <w:r w:rsidRPr="00C65958">
        <w:rPr>
          <w:rFonts w:cstheme="minorHAnsi"/>
        </w:rPr>
        <w:t>§</w:t>
      </w:r>
      <w:r w:rsidRPr="00C65958">
        <w:t xml:space="preserve"> 1, the Court observes that Article 5 </w:t>
      </w:r>
      <w:r w:rsidRPr="00C65958">
        <w:rPr>
          <w:rFonts w:cstheme="minorHAnsi"/>
        </w:rPr>
        <w:t>§</w:t>
      </w:r>
      <w:r w:rsidRPr="00C65958">
        <w:t xml:space="preserve"> 4, which the Court did not consider necessary to examine separately in the circumstances of the case (see paragraph </w:t>
      </w:r>
      <w:r w:rsidRPr="00C65958" w:rsidR="0085113D">
        <w:fldChar w:fldCharType="begin"/>
      </w:r>
      <w:r w:rsidRPr="00C65958" w:rsidR="0085113D">
        <w:instrText xml:space="preserve"> REF p_52_no_separate_5_2_3_4 \h </w:instrText>
      </w:r>
      <w:r w:rsidRPr="00C65958" w:rsidR="00C5484F">
        <w:instrText xml:space="preserve"> \* MERGEFORMAT </w:instrText>
      </w:r>
      <w:r w:rsidRPr="00C65958" w:rsidR="0085113D">
        <w:fldChar w:fldCharType="separate"/>
      </w:r>
      <w:r w:rsidRPr="00C65958" w:rsidR="00C65958">
        <w:rPr>
          <w:noProof/>
        </w:rPr>
        <w:t>51</w:t>
      </w:r>
      <w:r w:rsidRPr="00C65958" w:rsidR="0085113D">
        <w:fldChar w:fldCharType="end"/>
      </w:r>
      <w:r w:rsidRPr="00C65958" w:rsidR="0085113D">
        <w:t xml:space="preserve"> </w:t>
      </w:r>
      <w:r w:rsidRPr="00C65958">
        <w:t xml:space="preserve">above), is the </w:t>
      </w:r>
      <w:r w:rsidRPr="00C65958">
        <w:rPr>
          <w:i/>
        </w:rPr>
        <w:t>lex specialis</w:t>
      </w:r>
      <w:r w:rsidRPr="00C65958">
        <w:t xml:space="preserve"> in relation to Article 13.</w:t>
      </w:r>
    </w:p>
    <w:p w:rsidRPr="00C65958" w:rsidR="00E43C2C"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76</w:t>
      </w:r>
      <w:r w:rsidRPr="00C65958">
        <w:fldChar w:fldCharType="end"/>
      </w:r>
      <w:r w:rsidRPr="00C65958">
        <w:t>.  The applicant w</w:t>
      </w:r>
      <w:r w:rsidRPr="00C65958" w:rsidR="0085113D">
        <w:t>as</w:t>
      </w:r>
      <w:r w:rsidRPr="00C65958">
        <w:t xml:space="preserve"> therefore entitled to an effective domestic remedy within the meaning of Article 13 in respect of hi</w:t>
      </w:r>
      <w:r w:rsidRPr="00C65958" w:rsidR="0085113D">
        <w:t>s</w:t>
      </w:r>
      <w:r w:rsidRPr="00C65958">
        <w:t xml:space="preserve"> </w:t>
      </w:r>
      <w:r w:rsidRPr="00C65958" w:rsidR="00A25A4B">
        <w:t>complaints under Articles </w:t>
      </w:r>
      <w:r w:rsidRPr="00C65958">
        <w:t>3</w:t>
      </w:r>
      <w:r w:rsidRPr="00C65958" w:rsidR="0085113D">
        <w:t>,</w:t>
      </w:r>
      <w:r w:rsidRPr="00C65958">
        <w:t xml:space="preserve"> 6</w:t>
      </w:r>
      <w:r w:rsidRPr="00C65958" w:rsidR="0085113D">
        <w:t xml:space="preserve"> and 10</w:t>
      </w:r>
      <w:r w:rsidRPr="00C65958">
        <w:t xml:space="preserve"> of the Convention.</w:t>
      </w:r>
    </w:p>
    <w:p w:rsidRPr="00C65958" w:rsidR="00D420F3" w:rsidP="00C65958" w:rsidRDefault="00E43C2C">
      <w:pPr>
        <w:pStyle w:val="JuPara"/>
      </w:pPr>
      <w:r w:rsidRPr="00C65958">
        <w:fldChar w:fldCharType="begin"/>
      </w:r>
      <w:r w:rsidRPr="00C65958">
        <w:instrText xml:space="preserve"> SEQ level0 \*arabic </w:instrText>
      </w:r>
      <w:r w:rsidRPr="00C65958">
        <w:fldChar w:fldCharType="separate"/>
      </w:r>
      <w:r w:rsidRPr="00C65958" w:rsidR="00C65958">
        <w:rPr>
          <w:noProof/>
        </w:rPr>
        <w:t>77</w:t>
      </w:r>
      <w:r w:rsidRPr="00C65958">
        <w:fldChar w:fldCharType="end"/>
      </w:r>
      <w:r w:rsidRPr="00C65958">
        <w:t xml:space="preserve">.  The Court found in </w:t>
      </w:r>
      <w:r w:rsidRPr="00C65958">
        <w:rPr>
          <w:i/>
        </w:rPr>
        <w:t>Mozer</w:t>
      </w:r>
      <w:r w:rsidRPr="00C65958">
        <w:t xml:space="preserve"> (cited above, §§ 210-212) that no effective remedies existed in either the Republic of Moldova or the Russian Federation in respect of similar complaints under Articles 3 and 8 of the Convention. In the absence of any new pertinent information, it sees no reason for departing from that conclusion in the present case. Consequently, the Court must decide whether any violation of Article 13 can be attributed to either of the respondent States.</w:t>
      </w:r>
    </w:p>
    <w:p w:rsidRPr="00C65958" w:rsidR="00AD254F" w:rsidP="00C65958" w:rsidRDefault="00AD254F">
      <w:pPr>
        <w:pStyle w:val="JuHA"/>
        <w:rPr>
          <w:rFonts w:eastAsiaTheme="majorEastAsia"/>
          <w:bCs/>
          <w:lang w:eastAsia="fr-FR"/>
        </w:rPr>
      </w:pPr>
      <w:r w:rsidRPr="00C65958">
        <w:rPr>
          <w:rFonts w:eastAsiaTheme="majorEastAsia"/>
          <w:bCs/>
          <w:lang w:eastAsia="fr-FR"/>
        </w:rPr>
        <w:t>Responsibility of the respondent States</w:t>
      </w:r>
    </w:p>
    <w:p w:rsidRPr="00C65958" w:rsidR="00AD254F" w:rsidP="00C65958" w:rsidRDefault="00AD254F">
      <w:pPr>
        <w:pStyle w:val="JuPara"/>
      </w:pPr>
      <w:r w:rsidRPr="00C65958">
        <w:fldChar w:fldCharType="begin"/>
      </w:r>
      <w:r w:rsidRPr="00C65958">
        <w:instrText xml:space="preserve"> SEQ level0 \*arabic </w:instrText>
      </w:r>
      <w:r w:rsidRPr="00C65958">
        <w:fldChar w:fldCharType="separate"/>
      </w:r>
      <w:r w:rsidRPr="00C65958" w:rsidR="00C65958">
        <w:rPr>
          <w:noProof/>
        </w:rPr>
        <w:t>78</w:t>
      </w:r>
      <w:r w:rsidRPr="00C65958">
        <w:fldChar w:fldCharType="end"/>
      </w:r>
      <w:r w:rsidRPr="00C65958">
        <w:t xml:space="preserve">.  The Court notes that in </w:t>
      </w:r>
      <w:r w:rsidRPr="00C65958">
        <w:rPr>
          <w:i/>
        </w:rPr>
        <w:t>Mozer</w:t>
      </w:r>
      <w:r w:rsidRPr="00C65958">
        <w:t xml:space="preserve"> (cited above, §§ 213-216) it found that Moldova had made procedures available to applicant</w:t>
      </w:r>
      <w:r w:rsidRPr="00C65958" w:rsidR="00220901">
        <w:t>s</w:t>
      </w:r>
      <w:r w:rsidRPr="00C65958">
        <w:t xml:space="preserve"> commensurate with its limited ability to protect their rights. It had thus fulfilled its positive obligations and the Court found that there had been no violation</w:t>
      </w:r>
      <w:r w:rsidRPr="00C65958" w:rsidR="00647756">
        <w:t xml:space="preserve"> of Article </w:t>
      </w:r>
      <w:r w:rsidRPr="00C65958">
        <w:t xml:space="preserve">13 of the Convention by that State. In view of the similarity of the complaints made and of the coincidence of the time-frame of the events in the present case with those in </w:t>
      </w:r>
      <w:r w:rsidRPr="00C65958">
        <w:rPr>
          <w:i/>
        </w:rPr>
        <w:t>Mozer</w:t>
      </w:r>
      <w:r w:rsidRPr="00C65958">
        <w:t>, the Court sees no reasons to depart from that conclusion in the present cases. Accordingly, the Court finds that there has been no violation of Article 13 of the Convention by the Republic of Moldova.</w:t>
      </w:r>
    </w:p>
    <w:p w:rsidRPr="00C65958" w:rsidR="00AD254F" w:rsidP="00C65958" w:rsidRDefault="00520E04">
      <w:pPr>
        <w:pStyle w:val="JuPara"/>
      </w:pPr>
      <w:r w:rsidRPr="00C65958">
        <w:fldChar w:fldCharType="begin"/>
      </w:r>
      <w:r w:rsidRPr="00C65958">
        <w:instrText xml:space="preserve"> SEQ level0 \*arabic </w:instrText>
      </w:r>
      <w:r w:rsidRPr="00C65958">
        <w:fldChar w:fldCharType="separate"/>
      </w:r>
      <w:r w:rsidRPr="00C65958" w:rsidR="00C65958">
        <w:rPr>
          <w:noProof/>
        </w:rPr>
        <w:t>79</w:t>
      </w:r>
      <w:r w:rsidRPr="00C65958">
        <w:fldChar w:fldCharType="end"/>
      </w:r>
      <w:r w:rsidRPr="00C65958">
        <w:t>.  </w:t>
      </w:r>
      <w:r w:rsidRPr="00C65958" w:rsidR="00AD254F">
        <w:t xml:space="preserve">As in </w:t>
      </w:r>
      <w:r w:rsidRPr="00C65958" w:rsidR="00AD254F">
        <w:rPr>
          <w:i/>
        </w:rPr>
        <w:t>Mozer</w:t>
      </w:r>
      <w:r w:rsidRPr="00C65958" w:rsidR="00AD254F">
        <w:t xml:space="preserve"> (cited above, §§ 217-218), in the absence of any submission by the Russian Government as to any remedies available to the applicant, the Court concludes that there has been a violation by the Russian Federation of Article 13 taken in conjunction with Articles 3</w:t>
      </w:r>
      <w:r w:rsidRPr="00C65958" w:rsidR="00182CC1">
        <w:t>, 5 § 1, 6 § 1 and 10</w:t>
      </w:r>
      <w:r w:rsidRPr="00C65958" w:rsidR="00AD254F">
        <w:t>.</w:t>
      </w:r>
    </w:p>
    <w:p w:rsidRPr="00C65958" w:rsidR="00D420F3" w:rsidP="00C65958" w:rsidRDefault="0077175D">
      <w:pPr>
        <w:pStyle w:val="JuHIRoman"/>
      </w:pPr>
      <w:r w:rsidRPr="00C65958">
        <w:t>APPLICATION OF ARTICLE 41 OF THE CONVENTION</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80</w:t>
      </w:r>
      <w:r w:rsidRPr="00C65958">
        <w:fldChar w:fldCharType="end"/>
      </w:r>
      <w:r w:rsidRPr="00C65958" w:rsidR="0077175D">
        <w:t>.  Article 41 of the Convention provides:</w:t>
      </w:r>
    </w:p>
    <w:p w:rsidRPr="00C65958" w:rsidR="00D420F3" w:rsidP="00C65958" w:rsidRDefault="0077175D">
      <w:pPr>
        <w:pStyle w:val="JuQuot"/>
        <w:keepNext/>
        <w:keepLines/>
      </w:pPr>
      <w:r w:rsidRPr="00C659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65958" w:rsidR="00567926" w:rsidP="00C65958" w:rsidRDefault="00567926">
      <w:pPr>
        <w:pStyle w:val="JuPara"/>
      </w:pPr>
      <w:r w:rsidRPr="00C65958">
        <w:fldChar w:fldCharType="begin"/>
      </w:r>
      <w:r w:rsidRPr="00C65958">
        <w:instrText xml:space="preserve"> SEQ level0 \*arabic </w:instrText>
      </w:r>
      <w:r w:rsidRPr="00C65958">
        <w:fldChar w:fldCharType="separate"/>
      </w:r>
      <w:r w:rsidRPr="00C65958" w:rsidR="00C65958">
        <w:rPr>
          <w:noProof/>
        </w:rPr>
        <w:t>81</w:t>
      </w:r>
      <w:r w:rsidRPr="00C65958">
        <w:fldChar w:fldCharType="end"/>
      </w:r>
      <w:r w:rsidRPr="00C65958">
        <w:t>.  The Court notes that it has not found a breach of any Convention provision by the Republic of Moldova. Accordingly, it will not make any award to be paid by this respondent State.</w:t>
      </w:r>
    </w:p>
    <w:p w:rsidRPr="00C65958" w:rsidR="00D420F3" w:rsidP="00C65958" w:rsidRDefault="0077175D">
      <w:pPr>
        <w:pStyle w:val="JuHA"/>
      </w:pPr>
      <w:r w:rsidRPr="00C65958">
        <w:t>Damage</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82</w:t>
      </w:r>
      <w:r w:rsidRPr="00C65958">
        <w:fldChar w:fldCharType="end"/>
      </w:r>
      <w:r w:rsidRPr="00C65958" w:rsidR="0077175D">
        <w:t xml:space="preserve">.  The applicant claimed </w:t>
      </w:r>
      <w:r w:rsidRPr="00C65958" w:rsidR="001E2C03">
        <w:t>15,000</w:t>
      </w:r>
      <w:r w:rsidRPr="00C65958" w:rsidR="0077175D">
        <w:t xml:space="preserve"> euros (EUR) in respect of non-pecuniary damage.</w:t>
      </w:r>
      <w:r w:rsidRPr="00C65958" w:rsidR="00925A6E">
        <w:t xml:space="preserve"> He referred to the psychological and physical health problems that he had had as a result of his unlawful detention in the “MRT”.</w:t>
      </w:r>
    </w:p>
    <w:p w:rsidRPr="00C65958" w:rsidR="00D420F3" w:rsidP="00C65958" w:rsidRDefault="006D4FF6">
      <w:pPr>
        <w:pStyle w:val="JuPara"/>
      </w:pPr>
      <w:r w:rsidRPr="00C65958">
        <w:fldChar w:fldCharType="begin"/>
      </w:r>
      <w:r w:rsidRPr="00C65958">
        <w:instrText xml:space="preserve"> SEQ level0 \*arabic </w:instrText>
      </w:r>
      <w:r w:rsidRPr="00C65958">
        <w:fldChar w:fldCharType="separate"/>
      </w:r>
      <w:r w:rsidRPr="00C65958" w:rsidR="00C65958">
        <w:rPr>
          <w:noProof/>
        </w:rPr>
        <w:t>83</w:t>
      </w:r>
      <w:r w:rsidRPr="00C65958">
        <w:fldChar w:fldCharType="end"/>
      </w:r>
      <w:r w:rsidRPr="00C65958">
        <w:t>.  </w:t>
      </w:r>
      <w:r w:rsidRPr="00C65958" w:rsidR="001F612E">
        <w:t>The Russian Government</w:t>
      </w:r>
      <w:r w:rsidRPr="00C65958">
        <w:t xml:space="preserve"> pointed to the applicant</w:t>
      </w:r>
      <w:r w:rsidRPr="00C65958" w:rsidR="00C65958">
        <w:t>’</w:t>
      </w:r>
      <w:r w:rsidRPr="00C65958">
        <w:t>s failure to submit any evidence of his psychological or physical health problems. They considered that the claims were unsubstantiated, excessive and guided by political preferences.</w:t>
      </w:r>
    </w:p>
    <w:p w:rsidRPr="00C65958" w:rsidR="00F9209E" w:rsidP="00C65958" w:rsidRDefault="00F9209E">
      <w:pPr>
        <w:pStyle w:val="JuPara"/>
      </w:pPr>
      <w:r w:rsidRPr="00C65958">
        <w:fldChar w:fldCharType="begin"/>
      </w:r>
      <w:r w:rsidRPr="00C65958">
        <w:instrText xml:space="preserve"> SEQ level0 \*arabic </w:instrText>
      </w:r>
      <w:r w:rsidRPr="00C65958">
        <w:fldChar w:fldCharType="separate"/>
      </w:r>
      <w:r w:rsidRPr="00C65958" w:rsidR="00C65958">
        <w:rPr>
          <w:noProof/>
        </w:rPr>
        <w:t>84</w:t>
      </w:r>
      <w:r w:rsidRPr="00C65958">
        <w:fldChar w:fldCharType="end"/>
      </w:r>
      <w:r w:rsidRPr="00C65958">
        <w:t>.  The Court considers that the applicant has suffered a certain level of stress following his unlawful conviction and detention in inhuman conditions. Having regard to the circumstances of the case and making its assessment on an equitable basis, the Court awards in respect of non</w:t>
      </w:r>
      <w:r w:rsidRPr="00C65958" w:rsidR="005C19C6">
        <w:noBreakHyphen/>
      </w:r>
      <w:r w:rsidRPr="00C65958">
        <w:t>pecuniary damage</w:t>
      </w:r>
      <w:r w:rsidRPr="00C65958" w:rsidDel="00AE31E7">
        <w:t xml:space="preserve"> </w:t>
      </w:r>
      <w:r w:rsidRPr="00C65958">
        <w:t xml:space="preserve">EUR </w:t>
      </w:r>
      <w:r w:rsidRPr="00C65958" w:rsidR="00731E03">
        <w:t>9,</w:t>
      </w:r>
      <w:r w:rsidRPr="00C65958" w:rsidR="00B858C1">
        <w:t>75</w:t>
      </w:r>
      <w:r w:rsidRPr="00C65958">
        <w:t>0, to be paid by the Russian Federation.</w:t>
      </w:r>
    </w:p>
    <w:p w:rsidRPr="00C65958" w:rsidR="00D420F3" w:rsidP="00C65958" w:rsidRDefault="0077175D">
      <w:pPr>
        <w:pStyle w:val="JuHA"/>
      </w:pPr>
      <w:r w:rsidRPr="00C65958">
        <w:t>Costs and expenses</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85</w:t>
      </w:r>
      <w:r w:rsidRPr="00C65958">
        <w:fldChar w:fldCharType="end"/>
      </w:r>
      <w:r w:rsidRPr="00C65958" w:rsidR="0077175D">
        <w:t xml:space="preserve">.  The applicant also claimed EUR </w:t>
      </w:r>
      <w:r w:rsidRPr="00C65958" w:rsidR="0056256A">
        <w:t>4,320</w:t>
      </w:r>
      <w:r w:rsidRPr="00C65958" w:rsidR="0077175D">
        <w:t xml:space="preserve"> for the costs and expenses incurred before the Court.</w:t>
      </w:r>
      <w:r w:rsidRPr="00C65958" w:rsidR="00891634">
        <w:t xml:space="preserve"> He relied on a contract with his lawyer and an itemised list of hours spent working on the case.</w:t>
      </w:r>
    </w:p>
    <w:p w:rsidRPr="00C65958" w:rsidR="00D420F3" w:rsidP="00C65958" w:rsidRDefault="0056256A">
      <w:pPr>
        <w:pStyle w:val="JuPara"/>
      </w:pPr>
      <w:r w:rsidRPr="00C65958">
        <w:fldChar w:fldCharType="begin"/>
      </w:r>
      <w:r w:rsidRPr="00C65958">
        <w:instrText xml:space="preserve"> SEQ level0 \*arabic </w:instrText>
      </w:r>
      <w:r w:rsidRPr="00C65958">
        <w:fldChar w:fldCharType="separate"/>
      </w:r>
      <w:r w:rsidRPr="00C65958" w:rsidR="00C65958">
        <w:rPr>
          <w:noProof/>
        </w:rPr>
        <w:t>86</w:t>
      </w:r>
      <w:r w:rsidRPr="00C65958">
        <w:fldChar w:fldCharType="end"/>
      </w:r>
      <w:r w:rsidRPr="00C65958">
        <w:t>.  The Russian Government</w:t>
      </w:r>
      <w:r w:rsidRPr="00C65958" w:rsidR="00651A9D">
        <w:t xml:space="preserve"> </w:t>
      </w:r>
      <w:r w:rsidRPr="00C65958" w:rsidR="00B858C1">
        <w:t>submitted that the applicant did not need to be represented by three lawyers and that the sum claimed was excessive and unsubstantiated.</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87</w:t>
      </w:r>
      <w:r w:rsidRPr="00C65958">
        <w:fldChar w:fldCharType="end"/>
      </w:r>
      <w:r w:rsidRPr="00C65958" w:rsidR="0077175D">
        <w:t>.  </w:t>
      </w:r>
      <w:r w:rsidRPr="00C65958">
        <w:t>Regard</w:t>
      </w:r>
      <w:r w:rsidRPr="00C65958" w:rsidR="0077175D">
        <w:t xml:space="preserve"> being had to the documents in its possession and </w:t>
      </w:r>
      <w:r w:rsidRPr="00C65958">
        <w:t>to its case</w:t>
      </w:r>
      <w:r w:rsidRPr="00C65958" w:rsidR="005C19C6">
        <w:noBreakHyphen/>
      </w:r>
      <w:r w:rsidRPr="00C65958">
        <w:t>law</w:t>
      </w:r>
      <w:r w:rsidRPr="00C65958" w:rsidR="0077175D">
        <w:t xml:space="preserve">, the Court considers it reasonable to award the sum of EUR </w:t>
      </w:r>
      <w:r w:rsidRPr="00C65958" w:rsidR="00B858C1">
        <w:t>1,500</w:t>
      </w:r>
      <w:r w:rsidRPr="00C65958" w:rsidR="0077175D">
        <w:t xml:space="preserve"> covering costs under all heads for the proceedings before the Court.</w:t>
      </w:r>
    </w:p>
    <w:p w:rsidRPr="00C65958" w:rsidR="00D420F3" w:rsidP="00C65958" w:rsidRDefault="0077175D">
      <w:pPr>
        <w:pStyle w:val="JuHA"/>
      </w:pPr>
      <w:r w:rsidRPr="00C65958">
        <w:t>Default interest</w:t>
      </w:r>
    </w:p>
    <w:p w:rsidRPr="00C65958" w:rsidR="00D420F3" w:rsidP="00C65958" w:rsidRDefault="00A761F0">
      <w:pPr>
        <w:pStyle w:val="JuPara"/>
      </w:pPr>
      <w:r w:rsidRPr="00C65958">
        <w:fldChar w:fldCharType="begin"/>
      </w:r>
      <w:r w:rsidRPr="00C65958">
        <w:instrText xml:space="preserve"> SEQ level0 \*arabic </w:instrText>
      </w:r>
      <w:r w:rsidRPr="00C65958">
        <w:fldChar w:fldCharType="separate"/>
      </w:r>
      <w:r w:rsidRPr="00C65958" w:rsidR="00C65958">
        <w:rPr>
          <w:noProof/>
        </w:rPr>
        <w:t>88</w:t>
      </w:r>
      <w:r w:rsidRPr="00C65958">
        <w:fldChar w:fldCharType="end"/>
      </w:r>
      <w:r w:rsidRPr="00C65958" w:rsidR="0077175D">
        <w:t>.  The Court considers it appropriate that the default interest rate should be based on the marginal lending rate of the European Central Bank, to which should be added three percentage points.</w:t>
      </w:r>
    </w:p>
    <w:p w:rsidRPr="00C65958" w:rsidR="00D420F3" w:rsidP="00C65958" w:rsidRDefault="0077175D">
      <w:pPr>
        <w:pStyle w:val="JuHHead"/>
      </w:pPr>
      <w:r w:rsidRPr="00C65958">
        <w:t>FOR THESE REASONS, THE COURT</w:t>
      </w:r>
      <w:r w:rsidRPr="00C65958" w:rsidR="00A761F0">
        <w:t>, UNANIMOUSLY,</w:t>
      </w:r>
    </w:p>
    <w:p w:rsidRPr="00C65958" w:rsidR="00D420F3" w:rsidP="00C65958" w:rsidRDefault="0077175D">
      <w:pPr>
        <w:pStyle w:val="JuList"/>
      </w:pPr>
      <w:r w:rsidRPr="00C65958">
        <w:rPr>
          <w:i/>
        </w:rPr>
        <w:t>Declares</w:t>
      </w:r>
      <w:r w:rsidRPr="00C65958">
        <w:t xml:space="preserve"> the complaints </w:t>
      </w:r>
      <w:r w:rsidRPr="00C65958" w:rsidR="00E16951">
        <w:t xml:space="preserve">under Article </w:t>
      </w:r>
      <w:r w:rsidRPr="00C65958" w:rsidR="00400C82">
        <w:t>3</w:t>
      </w:r>
      <w:r w:rsidRPr="00C65958" w:rsidR="00E16951">
        <w:t xml:space="preserve"> of Protocol No. 1 to the Convention and Article </w:t>
      </w:r>
      <w:r w:rsidRPr="00C65958" w:rsidR="00400C82">
        <w:t>2</w:t>
      </w:r>
      <w:r w:rsidRPr="00C65958" w:rsidR="00E16951">
        <w:t xml:space="preserve"> of Protocol No. </w:t>
      </w:r>
      <w:r w:rsidRPr="00C65958" w:rsidR="00400C82">
        <w:t>4</w:t>
      </w:r>
      <w:r w:rsidRPr="00C65958" w:rsidR="00E16951">
        <w:t xml:space="preserve"> to the Convention in</w:t>
      </w:r>
      <w:r w:rsidRPr="00C65958">
        <w:t xml:space="preserve">admissible and the remainder of the </w:t>
      </w:r>
      <w:r w:rsidRPr="00C65958" w:rsidR="00A761F0">
        <w:t>application</w:t>
      </w:r>
      <w:r w:rsidRPr="00C65958">
        <w:t xml:space="preserve"> admissible;</w:t>
      </w:r>
    </w:p>
    <w:p w:rsidRPr="00C65958" w:rsidR="00400C82" w:rsidP="00C65958" w:rsidRDefault="00400C82">
      <w:pPr>
        <w:pStyle w:val="JuList"/>
      </w:pPr>
      <w:r w:rsidRPr="00C65958">
        <w:rPr>
          <w:i/>
        </w:rPr>
        <w:t>Holds</w:t>
      </w:r>
      <w:r w:rsidRPr="00C65958">
        <w:t xml:space="preserve"> that there has been no violation of Article 3 of the Convention by the Republic of Moldova;</w:t>
      </w:r>
    </w:p>
    <w:p w:rsidRPr="00C65958" w:rsidR="00400C82" w:rsidP="00C65958" w:rsidRDefault="00400C82">
      <w:pPr>
        <w:pStyle w:val="JuList"/>
      </w:pPr>
      <w:r w:rsidRPr="00C65958">
        <w:rPr>
          <w:i/>
        </w:rPr>
        <w:t>Holds</w:t>
      </w:r>
      <w:r w:rsidRPr="00C65958">
        <w:t xml:space="preserve"> that there has been a violation of Article 3 of the Convention by the Russian Federation;</w:t>
      </w:r>
    </w:p>
    <w:p w:rsidRPr="00C65958" w:rsidR="00400C82" w:rsidP="00C65958" w:rsidRDefault="00400C82">
      <w:pPr>
        <w:pStyle w:val="JuList"/>
      </w:pPr>
      <w:r w:rsidRPr="00C65958">
        <w:rPr>
          <w:i/>
        </w:rPr>
        <w:t>Holds</w:t>
      </w:r>
      <w:r w:rsidRPr="00C65958">
        <w:t xml:space="preserve"> that there has been no violation of </w:t>
      </w:r>
      <w:r w:rsidRPr="00C65958" w:rsidR="007D3471">
        <w:t xml:space="preserve">Articles 5 § 1 and 6 § 1 </w:t>
      </w:r>
      <w:r w:rsidRPr="00C65958">
        <w:t>of the Convention by the Republic of Moldova;</w:t>
      </w:r>
    </w:p>
    <w:p w:rsidRPr="00C65958" w:rsidR="00400C82" w:rsidP="00C65958" w:rsidRDefault="00400C82">
      <w:pPr>
        <w:pStyle w:val="JuList"/>
      </w:pPr>
      <w:r w:rsidRPr="00C65958">
        <w:rPr>
          <w:i/>
        </w:rPr>
        <w:t>Holds</w:t>
      </w:r>
      <w:r w:rsidRPr="00C65958">
        <w:t xml:space="preserve"> that there has been a violation of </w:t>
      </w:r>
      <w:r w:rsidRPr="00C65958" w:rsidR="007D3471">
        <w:t xml:space="preserve">Articles 5 § 1 and 6 § 1 </w:t>
      </w:r>
      <w:r w:rsidRPr="00C65958">
        <w:t>of the Convention by the Russian Federation;</w:t>
      </w:r>
    </w:p>
    <w:p w:rsidRPr="00C65958" w:rsidR="00400C82" w:rsidP="00C65958" w:rsidRDefault="00400C82">
      <w:pPr>
        <w:pStyle w:val="JuList"/>
      </w:pPr>
      <w:r w:rsidRPr="00C65958">
        <w:rPr>
          <w:i/>
        </w:rPr>
        <w:t>Holds</w:t>
      </w:r>
      <w:r w:rsidRPr="00C65958">
        <w:t xml:space="preserve"> that there is no need to examine separately the complaints under Article 5 §§ 2, 3, 4 and Article 6 §§ 2 and 3 of the Convention;</w:t>
      </w:r>
    </w:p>
    <w:p w:rsidRPr="00C65958" w:rsidR="00400C82" w:rsidP="00C65958" w:rsidRDefault="00400C82">
      <w:pPr>
        <w:pStyle w:val="JuList"/>
      </w:pPr>
      <w:r w:rsidRPr="00C65958">
        <w:rPr>
          <w:i/>
        </w:rPr>
        <w:t>Holds</w:t>
      </w:r>
      <w:r w:rsidRPr="00C65958">
        <w:t xml:space="preserve"> that there has been no violation of Article 10 of the Convention by the Republic of Moldova;</w:t>
      </w:r>
    </w:p>
    <w:p w:rsidRPr="00C65958" w:rsidR="00400C82" w:rsidP="00C65958" w:rsidRDefault="00400C82">
      <w:pPr>
        <w:pStyle w:val="JuList"/>
      </w:pPr>
      <w:r w:rsidRPr="00C65958">
        <w:rPr>
          <w:i/>
        </w:rPr>
        <w:t>Holds</w:t>
      </w:r>
      <w:r w:rsidRPr="00C65958">
        <w:t xml:space="preserve"> that there has been a violation of Article 10 of the Convention by the Russian Federation;</w:t>
      </w:r>
    </w:p>
    <w:p w:rsidRPr="00C65958" w:rsidR="00400C82" w:rsidP="00C65958" w:rsidRDefault="00400C82">
      <w:pPr>
        <w:pStyle w:val="JuList"/>
      </w:pPr>
      <w:r w:rsidRPr="00C65958">
        <w:rPr>
          <w:i/>
        </w:rPr>
        <w:t>Holds</w:t>
      </w:r>
      <w:r w:rsidRPr="00C65958">
        <w:t xml:space="preserve"> that there has been no violation of Article 13 of the Convention by the Republic of Moldova;</w:t>
      </w:r>
    </w:p>
    <w:p w:rsidRPr="00C65958" w:rsidR="00400C82" w:rsidP="00C65958" w:rsidRDefault="00400C82">
      <w:pPr>
        <w:pStyle w:val="JuList"/>
      </w:pPr>
      <w:r w:rsidRPr="00C65958">
        <w:rPr>
          <w:i/>
        </w:rPr>
        <w:t>Holds</w:t>
      </w:r>
      <w:r w:rsidRPr="00C65958">
        <w:rPr>
          <w:color w:val="000000"/>
        </w:rPr>
        <w:t xml:space="preserve"> </w:t>
      </w:r>
      <w:r w:rsidRPr="00C65958">
        <w:t>that there has been a violation of Article 13 of the Convention by the Russian Federation;</w:t>
      </w:r>
    </w:p>
    <w:p w:rsidRPr="00C65958" w:rsidR="00400C82" w:rsidP="00C65958" w:rsidRDefault="00400C82">
      <w:pPr>
        <w:pStyle w:val="JuList"/>
      </w:pPr>
      <w:r w:rsidRPr="00C65958">
        <w:rPr>
          <w:i/>
        </w:rPr>
        <w:t>Holds</w:t>
      </w:r>
    </w:p>
    <w:p w:rsidRPr="00C65958" w:rsidR="00400C82" w:rsidP="00C65958" w:rsidRDefault="00400C82">
      <w:pPr>
        <w:pStyle w:val="JuLista"/>
      </w:pPr>
      <w:r w:rsidRPr="00C65958">
        <w:t>that the Russian Federation is to pay the applicant, within three months the following amounts:</w:t>
      </w:r>
    </w:p>
    <w:p w:rsidRPr="00C65958" w:rsidR="00400C82" w:rsidP="00C65958" w:rsidRDefault="00400C82">
      <w:pPr>
        <w:pStyle w:val="JuListi"/>
      </w:pPr>
      <w:r w:rsidRPr="00C65958">
        <w:t xml:space="preserve">EUR </w:t>
      </w:r>
      <w:r w:rsidRPr="00C65958" w:rsidR="00731E03">
        <w:t xml:space="preserve">9,750 </w:t>
      </w:r>
      <w:r w:rsidRPr="00C65958">
        <w:t>(</w:t>
      </w:r>
      <w:r w:rsidRPr="00C65958" w:rsidR="00731E03">
        <w:t xml:space="preserve">nine </w:t>
      </w:r>
      <w:r w:rsidRPr="00C65958">
        <w:t xml:space="preserve">thousand </w:t>
      </w:r>
      <w:r w:rsidRPr="00C65958" w:rsidR="00731E03">
        <w:t xml:space="preserve">seven </w:t>
      </w:r>
      <w:r w:rsidRPr="00C65958">
        <w:t xml:space="preserve">hundred </w:t>
      </w:r>
      <w:r w:rsidRPr="00C65958" w:rsidR="00731E03">
        <w:t xml:space="preserve">and fifty </w:t>
      </w:r>
      <w:r w:rsidRPr="00C65958">
        <w:t>euros), plus any tax that may be chargeable, in respect of non-pecuniary damage;</w:t>
      </w:r>
    </w:p>
    <w:p w:rsidRPr="00C65958" w:rsidR="00400C82" w:rsidP="00C65958" w:rsidRDefault="00400C82">
      <w:pPr>
        <w:pStyle w:val="JuListi"/>
      </w:pPr>
      <w:r w:rsidRPr="00C65958">
        <w:t>EUR 1,500 (one thousand five hundred euros), plus any tax that may be chargeable to the applicant, in respect of costs and expenses;</w:t>
      </w:r>
    </w:p>
    <w:p w:rsidRPr="00C65958" w:rsidR="00400C82" w:rsidP="00C65958" w:rsidRDefault="00400C82">
      <w:pPr>
        <w:pStyle w:val="JuLista"/>
      </w:pPr>
      <w:r w:rsidRPr="00C6595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65958" w:rsidR="00D420F3" w:rsidP="00C65958" w:rsidRDefault="0077175D">
      <w:pPr>
        <w:pStyle w:val="JuList"/>
      </w:pPr>
      <w:r w:rsidRPr="00C65958">
        <w:rPr>
          <w:i/>
        </w:rPr>
        <w:t>Dismisses</w:t>
      </w:r>
      <w:r w:rsidRPr="00C65958">
        <w:rPr>
          <w:color w:val="000000"/>
        </w:rPr>
        <w:t xml:space="preserve"> </w:t>
      </w:r>
      <w:r w:rsidRPr="00C65958">
        <w:t>the remainder of the applicant</w:t>
      </w:r>
      <w:r w:rsidRPr="00C65958" w:rsidR="00C65958">
        <w:t>’</w:t>
      </w:r>
      <w:r w:rsidRPr="00C65958" w:rsidR="00A761F0">
        <w:t>s</w:t>
      </w:r>
      <w:r w:rsidRPr="00C65958">
        <w:t xml:space="preserve"> claim for just satisfaction.</w:t>
      </w:r>
    </w:p>
    <w:p w:rsidRPr="00C65958" w:rsidR="00D420F3" w:rsidP="00C65958" w:rsidRDefault="0077175D">
      <w:pPr>
        <w:pStyle w:val="JuParaLast"/>
      </w:pPr>
      <w:r w:rsidRPr="00C65958">
        <w:t xml:space="preserve">Done in English, and notified in writing on </w:t>
      </w:r>
      <w:r w:rsidRPr="00C65958" w:rsidR="00C5484F">
        <w:t>2 July 2019</w:t>
      </w:r>
      <w:r w:rsidRPr="00C65958">
        <w:t>, pursuant to Rule 77 §§ 2 and 3 of the Rules of Court.</w:t>
      </w:r>
    </w:p>
    <w:p w:rsidRPr="00C65958" w:rsidR="00D420F3" w:rsidP="00C65958" w:rsidRDefault="0077175D">
      <w:pPr>
        <w:pStyle w:val="JuSigned"/>
      </w:pPr>
      <w:r w:rsidRPr="00C65958">
        <w:tab/>
      </w:r>
      <w:r w:rsidRPr="00C65958" w:rsidR="00A761F0">
        <w:t>Hasan Bakırcı</w:t>
      </w:r>
      <w:r w:rsidRPr="00C65958">
        <w:tab/>
      </w:r>
      <w:r w:rsidRPr="00C65958" w:rsidR="00C5484F">
        <w:t>Julia Laffranque</w:t>
      </w:r>
      <w:r w:rsidRPr="00C65958">
        <w:rPr>
          <w:szCs w:val="24"/>
        </w:rPr>
        <w:br/>
      </w:r>
      <w:r w:rsidRPr="00C65958">
        <w:tab/>
      </w:r>
      <w:r w:rsidRPr="00C65958" w:rsidR="00A761F0">
        <w:t xml:space="preserve">Deputy </w:t>
      </w:r>
      <w:r w:rsidRPr="00C65958" w:rsidR="00A761F0">
        <w:rPr>
          <w:iCs/>
        </w:rPr>
        <w:t>Registrar</w:t>
      </w:r>
      <w:r w:rsidRPr="00C65958">
        <w:tab/>
        <w:t>President</w:t>
      </w:r>
    </w:p>
    <w:p w:rsidRPr="00C65958" w:rsidR="00C65958" w:rsidP="00C65958" w:rsidRDefault="00C65958">
      <w:pPr>
        <w:pStyle w:val="JuPara"/>
      </w:pPr>
    </w:p>
    <w:sectPr w:rsidRPr="00C65958" w:rsidR="00C65958" w:rsidSect="00C7282C">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756" w:rsidRDefault="00647756">
      <w:r>
        <w:separator/>
      </w:r>
    </w:p>
  </w:endnote>
  <w:endnote w:type="continuationSeparator" w:id="0">
    <w:p w:rsidR="00647756" w:rsidRDefault="0064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Default="006477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Default="006477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Pr="00150BFA" w:rsidRDefault="00647756" w:rsidP="00C7282C">
    <w:pPr>
      <w:jc w:val="center"/>
    </w:pPr>
    <w:r>
      <w:rPr>
        <w:noProof/>
        <w:lang w:val="en-US" w:eastAsia="ja-JP"/>
      </w:rPr>
      <w:drawing>
        <wp:inline distT="0" distB="0" distL="0" distR="0" wp14:anchorId="71FD4721" wp14:editId="1C9EBBD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47756" w:rsidRDefault="006477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756" w:rsidRPr="003152BA" w:rsidRDefault="00647756" w:rsidP="00D420F3">
      <w:r w:rsidRPr="003152BA">
        <w:separator/>
      </w:r>
    </w:p>
  </w:footnote>
  <w:footnote w:type="continuationSeparator" w:id="0">
    <w:p w:rsidR="00647756" w:rsidRPr="003152BA" w:rsidRDefault="0064775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Default="006477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Pr="00C7282C" w:rsidRDefault="00647756" w:rsidP="00C7282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Pr="00A45145" w:rsidRDefault="00647756" w:rsidP="00C7282C">
    <w:pPr>
      <w:jc w:val="center"/>
    </w:pPr>
    <w:r>
      <w:rPr>
        <w:noProof/>
        <w:lang w:val="en-US" w:eastAsia="ja-JP"/>
      </w:rPr>
      <w:drawing>
        <wp:inline distT="0" distB="0" distL="0" distR="0" wp14:anchorId="20EF9579" wp14:editId="2245FCB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47756" w:rsidRDefault="006477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Pr="003152BA" w:rsidRDefault="00647756"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65958">
      <w:rPr>
        <w:rStyle w:val="PageNumber"/>
        <w:noProof/>
        <w:szCs w:val="18"/>
      </w:rPr>
      <w:t>16</w:t>
    </w:r>
    <w:r>
      <w:rPr>
        <w:rStyle w:val="PageNumber"/>
        <w:szCs w:val="18"/>
      </w:rPr>
      <w:fldChar w:fldCharType="end"/>
    </w:r>
    <w:r w:rsidRPr="003152BA">
      <w:tab/>
    </w:r>
    <w:r>
      <w:t>BE</w:t>
    </w:r>
    <w:r>
      <w:rPr>
        <w:lang w:val="ro-RO"/>
      </w:rPr>
      <w:t>Ș</w:t>
    </w:r>
    <w:r>
      <w:t>LEAGĂ v. THE REPUBLIC OF MOLDOVA AND RUSSIA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756" w:rsidRPr="003152BA" w:rsidRDefault="00647756" w:rsidP="00D420F3">
    <w:pPr>
      <w:pStyle w:val="JuHeader"/>
    </w:pPr>
    <w:r w:rsidRPr="003152BA">
      <w:tab/>
    </w:r>
    <w:r>
      <w:t>BEȘLEAGĂ v. THE REPUBLIC OF MOLDOVA AND RUSSIA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65958">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761F0"/>
    <w:rsid w:val="000069B0"/>
    <w:rsid w:val="00012B73"/>
    <w:rsid w:val="0005254D"/>
    <w:rsid w:val="0008793A"/>
    <w:rsid w:val="000B2EF0"/>
    <w:rsid w:val="000C2392"/>
    <w:rsid w:val="000C25C3"/>
    <w:rsid w:val="00101FD2"/>
    <w:rsid w:val="0010721C"/>
    <w:rsid w:val="001210FD"/>
    <w:rsid w:val="00181913"/>
    <w:rsid w:val="00182CC1"/>
    <w:rsid w:val="001A3663"/>
    <w:rsid w:val="001B44D8"/>
    <w:rsid w:val="001C65F0"/>
    <w:rsid w:val="001E2C03"/>
    <w:rsid w:val="001F612E"/>
    <w:rsid w:val="00220901"/>
    <w:rsid w:val="002468DA"/>
    <w:rsid w:val="00270AD0"/>
    <w:rsid w:val="00271591"/>
    <w:rsid w:val="00276A3A"/>
    <w:rsid w:val="002842EC"/>
    <w:rsid w:val="0029288C"/>
    <w:rsid w:val="002D34C4"/>
    <w:rsid w:val="002E040E"/>
    <w:rsid w:val="00375F8B"/>
    <w:rsid w:val="003760B3"/>
    <w:rsid w:val="00381B55"/>
    <w:rsid w:val="00386BD4"/>
    <w:rsid w:val="00390027"/>
    <w:rsid w:val="003A63FA"/>
    <w:rsid w:val="003B1927"/>
    <w:rsid w:val="003B28C8"/>
    <w:rsid w:val="003B3B78"/>
    <w:rsid w:val="003C0635"/>
    <w:rsid w:val="00400C82"/>
    <w:rsid w:val="00403E58"/>
    <w:rsid w:val="004179B4"/>
    <w:rsid w:val="00425ACA"/>
    <w:rsid w:val="00434B9E"/>
    <w:rsid w:val="00437AFE"/>
    <w:rsid w:val="00444CEE"/>
    <w:rsid w:val="00462D17"/>
    <w:rsid w:val="00474F33"/>
    <w:rsid w:val="004A7CA5"/>
    <w:rsid w:val="004C187D"/>
    <w:rsid w:val="004D17CC"/>
    <w:rsid w:val="004D1D27"/>
    <w:rsid w:val="004D6B8A"/>
    <w:rsid w:val="004E2705"/>
    <w:rsid w:val="004E6571"/>
    <w:rsid w:val="00503F3F"/>
    <w:rsid w:val="00520E04"/>
    <w:rsid w:val="005334FA"/>
    <w:rsid w:val="00557BFC"/>
    <w:rsid w:val="0056256A"/>
    <w:rsid w:val="00564DEC"/>
    <w:rsid w:val="00567926"/>
    <w:rsid w:val="005865B3"/>
    <w:rsid w:val="00587646"/>
    <w:rsid w:val="005C19C6"/>
    <w:rsid w:val="005E154A"/>
    <w:rsid w:val="005F0241"/>
    <w:rsid w:val="0060542A"/>
    <w:rsid w:val="00630F58"/>
    <w:rsid w:val="00647756"/>
    <w:rsid w:val="00651A9D"/>
    <w:rsid w:val="00654443"/>
    <w:rsid w:val="00657A0A"/>
    <w:rsid w:val="00666502"/>
    <w:rsid w:val="00687F6B"/>
    <w:rsid w:val="006C0A1B"/>
    <w:rsid w:val="006C56A6"/>
    <w:rsid w:val="006D0A91"/>
    <w:rsid w:val="006D4FF6"/>
    <w:rsid w:val="006D7C11"/>
    <w:rsid w:val="006E3D89"/>
    <w:rsid w:val="006F3553"/>
    <w:rsid w:val="00704D3E"/>
    <w:rsid w:val="00731E03"/>
    <w:rsid w:val="007439B8"/>
    <w:rsid w:val="00744E30"/>
    <w:rsid w:val="00746239"/>
    <w:rsid w:val="0077175D"/>
    <w:rsid w:val="007A10C8"/>
    <w:rsid w:val="007B120F"/>
    <w:rsid w:val="007D3471"/>
    <w:rsid w:val="007D6AC7"/>
    <w:rsid w:val="007F3A56"/>
    <w:rsid w:val="008145F5"/>
    <w:rsid w:val="00830319"/>
    <w:rsid w:val="0084164E"/>
    <w:rsid w:val="0085113D"/>
    <w:rsid w:val="0087151D"/>
    <w:rsid w:val="00873E17"/>
    <w:rsid w:val="00891634"/>
    <w:rsid w:val="008A47E6"/>
    <w:rsid w:val="008A7BE0"/>
    <w:rsid w:val="008B72B7"/>
    <w:rsid w:val="00913C46"/>
    <w:rsid w:val="00920E28"/>
    <w:rsid w:val="00923F78"/>
    <w:rsid w:val="00925A6E"/>
    <w:rsid w:val="009A7479"/>
    <w:rsid w:val="009B020F"/>
    <w:rsid w:val="009B4564"/>
    <w:rsid w:val="009C7F10"/>
    <w:rsid w:val="009D12E2"/>
    <w:rsid w:val="00A03BB0"/>
    <w:rsid w:val="00A062F4"/>
    <w:rsid w:val="00A177DA"/>
    <w:rsid w:val="00A25A4B"/>
    <w:rsid w:val="00A42ACE"/>
    <w:rsid w:val="00A45690"/>
    <w:rsid w:val="00A512AF"/>
    <w:rsid w:val="00A5319B"/>
    <w:rsid w:val="00A535B1"/>
    <w:rsid w:val="00A6209A"/>
    <w:rsid w:val="00A62882"/>
    <w:rsid w:val="00A64E3D"/>
    <w:rsid w:val="00A761F0"/>
    <w:rsid w:val="00A77837"/>
    <w:rsid w:val="00A82ACC"/>
    <w:rsid w:val="00A9534D"/>
    <w:rsid w:val="00AA5F72"/>
    <w:rsid w:val="00AC5F9E"/>
    <w:rsid w:val="00AD254F"/>
    <w:rsid w:val="00AF5616"/>
    <w:rsid w:val="00B06384"/>
    <w:rsid w:val="00B2622E"/>
    <w:rsid w:val="00B36BBB"/>
    <w:rsid w:val="00B62F5B"/>
    <w:rsid w:val="00B77C4D"/>
    <w:rsid w:val="00B856DB"/>
    <w:rsid w:val="00B858C1"/>
    <w:rsid w:val="00B94B78"/>
    <w:rsid w:val="00BC16B6"/>
    <w:rsid w:val="00BD1C33"/>
    <w:rsid w:val="00BE185F"/>
    <w:rsid w:val="00C16B04"/>
    <w:rsid w:val="00C5484F"/>
    <w:rsid w:val="00C65958"/>
    <w:rsid w:val="00C70EBB"/>
    <w:rsid w:val="00C7282C"/>
    <w:rsid w:val="00C7679A"/>
    <w:rsid w:val="00C950B8"/>
    <w:rsid w:val="00CA0761"/>
    <w:rsid w:val="00CB20C3"/>
    <w:rsid w:val="00CC3DE3"/>
    <w:rsid w:val="00CF3BCA"/>
    <w:rsid w:val="00D32273"/>
    <w:rsid w:val="00D3480B"/>
    <w:rsid w:val="00D420F3"/>
    <w:rsid w:val="00D54DF0"/>
    <w:rsid w:val="00D55343"/>
    <w:rsid w:val="00D61B33"/>
    <w:rsid w:val="00D839E3"/>
    <w:rsid w:val="00D8581B"/>
    <w:rsid w:val="00D86783"/>
    <w:rsid w:val="00D96C5B"/>
    <w:rsid w:val="00DC1F2D"/>
    <w:rsid w:val="00DD3ACF"/>
    <w:rsid w:val="00E16951"/>
    <w:rsid w:val="00E36FBC"/>
    <w:rsid w:val="00E43C2C"/>
    <w:rsid w:val="00E4563F"/>
    <w:rsid w:val="00E50163"/>
    <w:rsid w:val="00E66962"/>
    <w:rsid w:val="00E72096"/>
    <w:rsid w:val="00E77E9D"/>
    <w:rsid w:val="00E83CF6"/>
    <w:rsid w:val="00E87134"/>
    <w:rsid w:val="00E920D8"/>
    <w:rsid w:val="00E94F90"/>
    <w:rsid w:val="00ED41EF"/>
    <w:rsid w:val="00EE6EBA"/>
    <w:rsid w:val="00EF1FAD"/>
    <w:rsid w:val="00F11D8F"/>
    <w:rsid w:val="00F1524F"/>
    <w:rsid w:val="00F349B3"/>
    <w:rsid w:val="00F62D54"/>
    <w:rsid w:val="00F86622"/>
    <w:rsid w:val="00F908B6"/>
    <w:rsid w:val="00F9209E"/>
    <w:rsid w:val="00FA0511"/>
    <w:rsid w:val="00FA4F8F"/>
    <w:rsid w:val="00FA7ED8"/>
    <w:rsid w:val="00FC0AAE"/>
    <w:rsid w:val="00FF6D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83CF6"/>
    <w:rPr>
      <w:rFonts w:eastAsiaTheme="minorEastAsia"/>
      <w:sz w:val="24"/>
      <w:lang w:val="en-GB"/>
    </w:rPr>
  </w:style>
  <w:style w:type="paragraph" w:styleId="Heading1">
    <w:name w:val="heading 1"/>
    <w:basedOn w:val="Normal"/>
    <w:next w:val="Normal"/>
    <w:link w:val="Heading1Char"/>
    <w:uiPriority w:val="99"/>
    <w:semiHidden/>
    <w:rsid w:val="00E83CF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83CF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83CF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83CF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83CF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E83CF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83CF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E83CF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83CF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83CF6"/>
    <w:rPr>
      <w:rFonts w:ascii="Tahoma" w:hAnsi="Tahoma" w:cs="Tahoma"/>
      <w:sz w:val="16"/>
      <w:szCs w:val="16"/>
    </w:rPr>
  </w:style>
  <w:style w:type="character" w:customStyle="1" w:styleId="BalloonTextChar">
    <w:name w:val="Balloon Text Char"/>
    <w:basedOn w:val="DefaultParagraphFont"/>
    <w:link w:val="BalloonText"/>
    <w:uiPriority w:val="99"/>
    <w:semiHidden/>
    <w:rsid w:val="00E83CF6"/>
    <w:rPr>
      <w:rFonts w:ascii="Tahoma" w:eastAsiaTheme="minorEastAsia" w:hAnsi="Tahoma" w:cs="Tahoma"/>
      <w:sz w:val="16"/>
      <w:szCs w:val="16"/>
      <w:lang w:val="en-GB"/>
    </w:rPr>
  </w:style>
  <w:style w:type="character" w:styleId="BookTitle">
    <w:name w:val="Book Title"/>
    <w:uiPriority w:val="99"/>
    <w:semiHidden/>
    <w:qFormat/>
    <w:rsid w:val="00E83CF6"/>
    <w:rPr>
      <w:i/>
      <w:iCs/>
      <w:smallCaps/>
      <w:spacing w:val="5"/>
    </w:rPr>
  </w:style>
  <w:style w:type="paragraph" w:customStyle="1" w:styleId="JuHeader">
    <w:name w:val="Ju_Header"/>
    <w:aliases w:val="_Header"/>
    <w:basedOn w:val="Header"/>
    <w:uiPriority w:val="29"/>
    <w:qFormat/>
    <w:rsid w:val="00E83CF6"/>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6E3D89"/>
    <w:rPr>
      <w:sz w:val="8"/>
    </w:rPr>
  </w:style>
  <w:style w:type="character" w:styleId="Strong">
    <w:name w:val="Strong"/>
    <w:uiPriority w:val="99"/>
    <w:semiHidden/>
    <w:qFormat/>
    <w:rsid w:val="00E83CF6"/>
    <w:rPr>
      <w:b/>
      <w:bCs/>
    </w:rPr>
  </w:style>
  <w:style w:type="paragraph" w:styleId="NoSpacing">
    <w:name w:val="No Spacing"/>
    <w:basedOn w:val="Normal"/>
    <w:link w:val="NoSpacingChar"/>
    <w:semiHidden/>
    <w:qFormat/>
    <w:rsid w:val="00E83CF6"/>
  </w:style>
  <w:style w:type="character" w:customStyle="1" w:styleId="NoSpacingChar">
    <w:name w:val="No Spacing Char"/>
    <w:basedOn w:val="DefaultParagraphFont"/>
    <w:link w:val="NoSpacing"/>
    <w:semiHidden/>
    <w:rsid w:val="00E83CF6"/>
    <w:rPr>
      <w:rFonts w:eastAsiaTheme="minorEastAsia"/>
      <w:sz w:val="24"/>
      <w:lang w:val="en-GB"/>
    </w:rPr>
  </w:style>
  <w:style w:type="paragraph" w:customStyle="1" w:styleId="FooterLine">
    <w:name w:val="_Footer_Line"/>
    <w:aliases w:val="Footer_Line"/>
    <w:basedOn w:val="Normal"/>
    <w:next w:val="Footer0"/>
    <w:uiPriority w:val="57"/>
    <w:semiHidden/>
    <w:rsid w:val="00E83CF6"/>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Normal"/>
    <w:uiPriority w:val="22"/>
    <w:rsid w:val="00E83CF6"/>
    <w:pPr>
      <w:spacing w:before="280" w:after="60"/>
      <w:ind w:left="340"/>
    </w:pPr>
    <w:rPr>
      <w:rFonts w:eastAsiaTheme="minorHAnsi"/>
    </w:rPr>
  </w:style>
  <w:style w:type="paragraph" w:customStyle="1" w:styleId="NormalJustified">
    <w:name w:val="Normal_Justified"/>
    <w:basedOn w:val="Normal"/>
    <w:semiHidden/>
    <w:rsid w:val="00E83CF6"/>
    <w:pPr>
      <w:jc w:val="both"/>
    </w:pPr>
  </w:style>
  <w:style w:type="paragraph" w:customStyle="1" w:styleId="Title4">
    <w:name w:val="_Title_4"/>
    <w:basedOn w:val="JuPara"/>
    <w:next w:val="JuPara"/>
    <w:uiPriority w:val="35"/>
    <w:qFormat/>
    <w:rsid w:val="00E83CF6"/>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E83CF6"/>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E83CF6"/>
    <w:pPr>
      <w:numPr>
        <w:numId w:val="6"/>
      </w:numPr>
    </w:pPr>
  </w:style>
  <w:style w:type="numbering" w:customStyle="1" w:styleId="ECHRA1StyleList">
    <w:name w:val="ECHR_A1_Style_List"/>
    <w:basedOn w:val="NoList"/>
    <w:uiPriority w:val="99"/>
    <w:rsid w:val="00E83CF6"/>
    <w:pPr>
      <w:numPr>
        <w:numId w:val="7"/>
      </w:numPr>
    </w:pPr>
  </w:style>
  <w:style w:type="numbering" w:customStyle="1" w:styleId="ECHRA1StyleNumberedList">
    <w:name w:val="ECHR_A1_Style_Numbered_List"/>
    <w:basedOn w:val="NoList"/>
    <w:rsid w:val="00E83CF6"/>
    <w:pPr>
      <w:numPr>
        <w:numId w:val="8"/>
      </w:numPr>
    </w:pPr>
  </w:style>
  <w:style w:type="table" w:customStyle="1" w:styleId="ECHRTable2019">
    <w:name w:val="ECHR_Table_2019"/>
    <w:basedOn w:val="TableNormal"/>
    <w:uiPriority w:val="99"/>
    <w:rsid w:val="00E83CF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E83CF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E83CF6"/>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E83CF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83CF6"/>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E83CF6"/>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9"/>
    <w:rsid w:val="00E83CF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E83CF6"/>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E83CF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E83CF6"/>
    <w:pPr>
      <w:keepNext/>
      <w:keepLines/>
      <w:numPr>
        <w:ilvl w:val="7"/>
        <w:numId w:val="1"/>
      </w:numPr>
      <w:spacing w:before="100" w:beforeAutospacing="1" w:after="120"/>
      <w:outlineLvl w:val="7"/>
    </w:pPr>
    <w:rPr>
      <w:i/>
      <w:sz w:val="20"/>
    </w:rPr>
  </w:style>
  <w:style w:type="paragraph" w:customStyle="1" w:styleId="Footer0">
    <w:name w:val="_Footer"/>
    <w:aliases w:val="Footer_"/>
    <w:basedOn w:val="Footer"/>
    <w:uiPriority w:val="57"/>
    <w:semiHidden/>
    <w:rsid w:val="00E83CF6"/>
    <w:rPr>
      <w:sz w:val="8"/>
    </w:rPr>
  </w:style>
  <w:style w:type="paragraph" w:customStyle="1" w:styleId="JuInitialled">
    <w:name w:val="Ju_Initialled"/>
    <w:aliases w:val="_Right"/>
    <w:basedOn w:val="Normal"/>
    <w:uiPriority w:val="30"/>
    <w:qFormat/>
    <w:rsid w:val="00E83CF6"/>
    <w:pPr>
      <w:tabs>
        <w:tab w:val="center" w:pos="6407"/>
      </w:tabs>
      <w:spacing w:before="720"/>
      <w:jc w:val="right"/>
    </w:pPr>
  </w:style>
  <w:style w:type="paragraph" w:styleId="Header">
    <w:name w:val="header"/>
    <w:basedOn w:val="Normal"/>
    <w:link w:val="HeaderChar"/>
    <w:uiPriority w:val="57"/>
    <w:semiHidden/>
    <w:rsid w:val="00E83CF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83CF6"/>
    <w:rPr>
      <w:sz w:val="24"/>
      <w:lang w:val="en-GB"/>
    </w:rPr>
  </w:style>
  <w:style w:type="character" w:customStyle="1" w:styleId="Heading1Char">
    <w:name w:val="Heading 1 Char"/>
    <w:basedOn w:val="DefaultParagraphFont"/>
    <w:link w:val="Heading1"/>
    <w:uiPriority w:val="99"/>
    <w:semiHidden/>
    <w:rsid w:val="00E83CF6"/>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E83CF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E83CF6"/>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E83CF6"/>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E83CF6"/>
    <w:rPr>
      <w:caps w:val="0"/>
      <w:smallCaps/>
    </w:rPr>
  </w:style>
  <w:style w:type="paragraph" w:customStyle="1" w:styleId="JuCase">
    <w:name w:val="Ju_Case"/>
    <w:basedOn w:val="Normal"/>
    <w:next w:val="JuPara"/>
    <w:uiPriority w:val="31"/>
    <w:rsid w:val="00E83CF6"/>
    <w:pPr>
      <w:ind w:firstLine="284"/>
    </w:pPr>
    <w:rPr>
      <w:b/>
    </w:rPr>
  </w:style>
  <w:style w:type="character" w:customStyle="1" w:styleId="Heading3Char">
    <w:name w:val="Heading 3 Char"/>
    <w:basedOn w:val="DefaultParagraphFont"/>
    <w:link w:val="Heading3"/>
    <w:uiPriority w:val="99"/>
    <w:semiHidden/>
    <w:rsid w:val="00E83CF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83CF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83CF6"/>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E83CF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83CF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E83CF6"/>
    <w:pPr>
      <w:keepNext/>
      <w:keepLines/>
      <w:numPr>
        <w:numId w:val="1"/>
      </w:numPr>
      <w:spacing w:before="100" w:beforeAutospacing="1" w:after="240"/>
      <w:jc w:val="both"/>
      <w:outlineLvl w:val="0"/>
    </w:pPr>
    <w:rPr>
      <w:caps/>
      <w:sz w:val="28"/>
    </w:rPr>
  </w:style>
  <w:style w:type="character" w:styleId="Emphasis">
    <w:name w:val="Emphasis"/>
    <w:uiPriority w:val="99"/>
    <w:semiHidden/>
    <w:qFormat/>
    <w:rsid w:val="00E83CF6"/>
    <w:rPr>
      <w:b/>
      <w:bCs/>
      <w:i/>
      <w:iCs/>
      <w:spacing w:val="10"/>
      <w:bdr w:val="none" w:sz="0" w:space="0" w:color="auto"/>
      <w:shd w:val="clear" w:color="auto" w:fill="auto"/>
    </w:rPr>
  </w:style>
  <w:style w:type="paragraph" w:styleId="Footer">
    <w:name w:val="footer"/>
    <w:basedOn w:val="Normal"/>
    <w:link w:val="FooterChar"/>
    <w:uiPriority w:val="57"/>
    <w:semiHidden/>
    <w:rsid w:val="00E83CF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83CF6"/>
    <w:rPr>
      <w:sz w:val="24"/>
      <w:lang w:val="en-GB"/>
    </w:rPr>
  </w:style>
  <w:style w:type="character" w:styleId="FootnoteReference">
    <w:name w:val="footnote reference"/>
    <w:basedOn w:val="DefaultParagraphFont"/>
    <w:uiPriority w:val="99"/>
    <w:semiHidden/>
    <w:rsid w:val="00E83CF6"/>
    <w:rPr>
      <w:vertAlign w:val="superscript"/>
    </w:rPr>
  </w:style>
  <w:style w:type="paragraph" w:styleId="FootnoteText">
    <w:name w:val="footnote text"/>
    <w:basedOn w:val="Normal"/>
    <w:link w:val="FootnoteTextChar"/>
    <w:uiPriority w:val="99"/>
    <w:semiHidden/>
    <w:rsid w:val="00E83CF6"/>
    <w:rPr>
      <w:sz w:val="20"/>
      <w:szCs w:val="20"/>
    </w:rPr>
  </w:style>
  <w:style w:type="character" w:customStyle="1" w:styleId="FootnoteTextChar">
    <w:name w:val="Footnote Text Char"/>
    <w:basedOn w:val="DefaultParagraphFont"/>
    <w:link w:val="FootnoteText"/>
    <w:uiPriority w:val="99"/>
    <w:semiHidden/>
    <w:rsid w:val="00E83CF6"/>
    <w:rPr>
      <w:rFonts w:eastAsiaTheme="minorEastAsia"/>
      <w:sz w:val="20"/>
      <w:szCs w:val="20"/>
      <w:lang w:val="en-GB"/>
    </w:rPr>
  </w:style>
  <w:style w:type="character" w:customStyle="1" w:styleId="Heading6Char">
    <w:name w:val="Heading 6 Char"/>
    <w:basedOn w:val="DefaultParagraphFont"/>
    <w:link w:val="Heading6"/>
    <w:uiPriority w:val="99"/>
    <w:semiHidden/>
    <w:rsid w:val="00E83CF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83CF6"/>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E83CF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E83CF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E83CF6"/>
    <w:rPr>
      <w:color w:val="0072BC" w:themeColor="hyperlink"/>
      <w:u w:val="single"/>
    </w:rPr>
  </w:style>
  <w:style w:type="character" w:styleId="IntenseEmphasis">
    <w:name w:val="Intense Emphasis"/>
    <w:uiPriority w:val="99"/>
    <w:semiHidden/>
    <w:qFormat/>
    <w:rsid w:val="00E83CF6"/>
    <w:rPr>
      <w:b/>
      <w:bCs/>
    </w:rPr>
  </w:style>
  <w:style w:type="paragraph" w:styleId="IntenseQuote">
    <w:name w:val="Intense Quote"/>
    <w:basedOn w:val="Normal"/>
    <w:next w:val="Normal"/>
    <w:link w:val="IntenseQuoteChar"/>
    <w:uiPriority w:val="99"/>
    <w:semiHidden/>
    <w:qFormat/>
    <w:rsid w:val="00E83CF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E83CF6"/>
    <w:rPr>
      <w:rFonts w:eastAsiaTheme="minorEastAsia"/>
      <w:b/>
      <w:bCs/>
      <w:i/>
      <w:iCs/>
      <w:sz w:val="24"/>
      <w:lang w:val="en-GB" w:bidi="en-US"/>
    </w:rPr>
  </w:style>
  <w:style w:type="character" w:styleId="IntenseReference">
    <w:name w:val="Intense Reference"/>
    <w:uiPriority w:val="99"/>
    <w:semiHidden/>
    <w:qFormat/>
    <w:rsid w:val="00E83CF6"/>
    <w:rPr>
      <w:smallCaps/>
      <w:spacing w:val="5"/>
      <w:u w:val="single"/>
    </w:rPr>
  </w:style>
  <w:style w:type="paragraph" w:styleId="ListParagraph">
    <w:name w:val="List Paragraph"/>
    <w:basedOn w:val="Normal"/>
    <w:uiPriority w:val="99"/>
    <w:semiHidden/>
    <w:qFormat/>
    <w:rsid w:val="00E83CF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83CF6"/>
    <w:pPr>
      <w:spacing w:before="200"/>
      <w:ind w:left="360" w:right="360"/>
    </w:pPr>
    <w:rPr>
      <w:i/>
      <w:iCs/>
      <w:lang w:bidi="en-US"/>
    </w:rPr>
  </w:style>
  <w:style w:type="character" w:customStyle="1" w:styleId="QuoteChar">
    <w:name w:val="Quote Char"/>
    <w:basedOn w:val="DefaultParagraphFont"/>
    <w:link w:val="Quote"/>
    <w:uiPriority w:val="99"/>
    <w:semiHidden/>
    <w:rsid w:val="00E83CF6"/>
    <w:rPr>
      <w:rFonts w:eastAsiaTheme="minorEastAsia"/>
      <w:i/>
      <w:iCs/>
      <w:sz w:val="24"/>
      <w:lang w:val="en-GB" w:bidi="en-US"/>
    </w:rPr>
  </w:style>
  <w:style w:type="character" w:styleId="SubtleReference">
    <w:name w:val="Subtle Reference"/>
    <w:uiPriority w:val="99"/>
    <w:semiHidden/>
    <w:qFormat/>
    <w:rsid w:val="00E83CF6"/>
    <w:rPr>
      <w:smallCaps/>
    </w:rPr>
  </w:style>
  <w:style w:type="table" w:styleId="TableGrid">
    <w:name w:val="Table Grid"/>
    <w:basedOn w:val="TableNormal"/>
    <w:uiPriority w:val="59"/>
    <w:semiHidden/>
    <w:rsid w:val="00E83CF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83CF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83CF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83CF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83CF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83CF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83CF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83CF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83CF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E83CF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83CF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E83CF6"/>
    <w:pPr>
      <w:spacing w:before="120" w:after="120"/>
      <w:ind w:left="425" w:firstLine="142"/>
    </w:pPr>
    <w:rPr>
      <w:sz w:val="20"/>
    </w:rPr>
  </w:style>
  <w:style w:type="paragraph" w:customStyle="1" w:styleId="JuPara">
    <w:name w:val="Ju_Para"/>
    <w:aliases w:val="_Para"/>
    <w:basedOn w:val="NormalJustified"/>
    <w:link w:val="JuParaChar"/>
    <w:uiPriority w:val="8"/>
    <w:qFormat/>
    <w:rsid w:val="00E83CF6"/>
    <w:pPr>
      <w:ind w:firstLine="284"/>
    </w:pPr>
  </w:style>
  <w:style w:type="table" w:customStyle="1" w:styleId="ECHRTableSimpleBox">
    <w:name w:val="ECHR_Table_Simple_Box"/>
    <w:basedOn w:val="TableNormal"/>
    <w:uiPriority w:val="99"/>
    <w:rsid w:val="00E83CF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83CF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E83CF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E3D8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E83CF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E83CF6"/>
    <w:pPr>
      <w:tabs>
        <w:tab w:val="left" w:pos="567"/>
        <w:tab w:val="left" w:pos="1134"/>
      </w:tabs>
    </w:pPr>
  </w:style>
  <w:style w:type="table" w:customStyle="1" w:styleId="ECHRHeaderTableReduced">
    <w:name w:val="ECHR_Header_Table_Reduced"/>
    <w:basedOn w:val="TableNormal"/>
    <w:uiPriority w:val="99"/>
    <w:rsid w:val="00E83CF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E83CF6"/>
    <w:pPr>
      <w:numPr>
        <w:numId w:val="2"/>
      </w:numPr>
      <w:spacing w:before="280" w:after="60"/>
    </w:pPr>
    <w:rPr>
      <w:rFonts w:eastAsiaTheme="minorHAnsi"/>
    </w:rPr>
  </w:style>
  <w:style w:type="paragraph" w:customStyle="1" w:styleId="JuSigned">
    <w:name w:val="Ju_Signed"/>
    <w:aliases w:val="_Signature"/>
    <w:basedOn w:val="Normal"/>
    <w:next w:val="JuPara"/>
    <w:uiPriority w:val="30"/>
    <w:qFormat/>
    <w:rsid w:val="00E83CF6"/>
    <w:pPr>
      <w:tabs>
        <w:tab w:val="center" w:pos="851"/>
        <w:tab w:val="center" w:pos="6407"/>
      </w:tabs>
      <w:spacing w:before="720"/>
    </w:pPr>
  </w:style>
  <w:style w:type="paragraph" w:customStyle="1" w:styleId="JuParaLast">
    <w:name w:val="Ju_Para_Last"/>
    <w:aliases w:val="_Para_Spaced"/>
    <w:basedOn w:val="NormalJustified"/>
    <w:uiPriority w:val="9"/>
    <w:qFormat/>
    <w:rsid w:val="00E83CF6"/>
    <w:pPr>
      <w:keepNext/>
      <w:keepLines/>
      <w:spacing w:before="240" w:after="240"/>
      <w:ind w:firstLine="284"/>
    </w:pPr>
    <w:rPr>
      <w:rFonts w:eastAsiaTheme="minorHAnsi"/>
    </w:rPr>
  </w:style>
  <w:style w:type="paragraph" w:customStyle="1" w:styleId="JuCourt">
    <w:name w:val="Ju_Court"/>
    <w:basedOn w:val="Normal"/>
    <w:next w:val="Normal"/>
    <w:uiPriority w:val="31"/>
    <w:qFormat/>
    <w:rsid w:val="00E83CF6"/>
    <w:pPr>
      <w:tabs>
        <w:tab w:val="left" w:pos="907"/>
        <w:tab w:val="left" w:pos="1701"/>
        <w:tab w:val="right" w:pos="7371"/>
      </w:tabs>
      <w:spacing w:before="240"/>
      <w:ind w:left="397" w:hanging="397"/>
    </w:pPr>
    <w:rPr>
      <w:lang w:bidi="en-US"/>
    </w:rPr>
  </w:style>
  <w:style w:type="character" w:styleId="PageNumber">
    <w:name w:val="page number"/>
    <w:uiPriority w:val="99"/>
    <w:semiHidden/>
    <w:rsid w:val="00E83CF6"/>
    <w:rPr>
      <w:sz w:val="18"/>
    </w:rPr>
  </w:style>
  <w:style w:type="paragraph" w:customStyle="1" w:styleId="JuLista">
    <w:name w:val="Ju_List_a"/>
    <w:aliases w:val="_List_2"/>
    <w:basedOn w:val="NormalJustified"/>
    <w:uiPriority w:val="23"/>
    <w:rsid w:val="00E83CF6"/>
    <w:pPr>
      <w:numPr>
        <w:ilvl w:val="1"/>
        <w:numId w:val="2"/>
      </w:numPr>
    </w:pPr>
  </w:style>
  <w:style w:type="paragraph" w:customStyle="1" w:styleId="JuListi">
    <w:name w:val="Ju_List_i"/>
    <w:aliases w:val="_List_3"/>
    <w:basedOn w:val="NormalJustified"/>
    <w:uiPriority w:val="23"/>
    <w:rsid w:val="00E83CF6"/>
    <w:pPr>
      <w:numPr>
        <w:ilvl w:val="2"/>
        <w:numId w:val="2"/>
      </w:numPr>
    </w:pPr>
  </w:style>
  <w:style w:type="character" w:styleId="CommentReference">
    <w:name w:val="annotation reference"/>
    <w:basedOn w:val="DefaultParagraphFont"/>
    <w:uiPriority w:val="99"/>
    <w:semiHidden/>
    <w:rsid w:val="00E83CF6"/>
    <w:rPr>
      <w:sz w:val="16"/>
      <w:szCs w:val="16"/>
    </w:rPr>
  </w:style>
  <w:style w:type="paragraph" w:styleId="CommentText">
    <w:name w:val="annotation text"/>
    <w:basedOn w:val="Normal"/>
    <w:link w:val="CommentTextChar"/>
    <w:semiHidden/>
    <w:rsid w:val="00E83CF6"/>
    <w:rPr>
      <w:sz w:val="20"/>
      <w:szCs w:val="20"/>
    </w:rPr>
  </w:style>
  <w:style w:type="character" w:customStyle="1" w:styleId="CommentTextChar">
    <w:name w:val="Comment Text Char"/>
    <w:basedOn w:val="DefaultParagraphFont"/>
    <w:link w:val="CommentText"/>
    <w:semiHidden/>
    <w:rsid w:val="00E83CF6"/>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E83CF6"/>
    <w:rPr>
      <w:b/>
      <w:bCs/>
    </w:rPr>
  </w:style>
  <w:style w:type="character" w:customStyle="1" w:styleId="CommentSubjectChar">
    <w:name w:val="Comment Subject Char"/>
    <w:basedOn w:val="CommentTextChar"/>
    <w:link w:val="CommentSubject"/>
    <w:uiPriority w:val="99"/>
    <w:semiHidden/>
    <w:rsid w:val="00E83CF6"/>
    <w:rPr>
      <w:rFonts w:eastAsiaTheme="minorEastAsia"/>
      <w:b/>
      <w:bCs/>
      <w:sz w:val="20"/>
      <w:szCs w:val="20"/>
      <w:lang w:val="en-GB"/>
    </w:rPr>
  </w:style>
  <w:style w:type="character" w:styleId="EndnoteReference">
    <w:name w:val="endnote reference"/>
    <w:basedOn w:val="DefaultParagraphFont"/>
    <w:uiPriority w:val="99"/>
    <w:semiHidden/>
    <w:rsid w:val="00E83CF6"/>
    <w:rPr>
      <w:vertAlign w:val="superscript"/>
    </w:rPr>
  </w:style>
  <w:style w:type="paragraph" w:styleId="EndnoteText">
    <w:name w:val="endnote text"/>
    <w:basedOn w:val="Normal"/>
    <w:link w:val="EndnoteTextChar"/>
    <w:uiPriority w:val="99"/>
    <w:semiHidden/>
    <w:rsid w:val="00E83CF6"/>
    <w:rPr>
      <w:sz w:val="20"/>
      <w:szCs w:val="20"/>
    </w:rPr>
  </w:style>
  <w:style w:type="character" w:customStyle="1" w:styleId="EndnoteTextChar">
    <w:name w:val="Endnote Text Char"/>
    <w:basedOn w:val="DefaultParagraphFont"/>
    <w:link w:val="EndnoteText"/>
    <w:uiPriority w:val="99"/>
    <w:semiHidden/>
    <w:rsid w:val="00E83CF6"/>
    <w:rPr>
      <w:rFonts w:eastAsiaTheme="minorEastAsia"/>
      <w:sz w:val="20"/>
      <w:szCs w:val="20"/>
      <w:lang w:val="en-GB"/>
    </w:rPr>
  </w:style>
  <w:style w:type="character" w:styleId="FollowedHyperlink">
    <w:name w:val="FollowedHyperlink"/>
    <w:basedOn w:val="DefaultParagraphFont"/>
    <w:uiPriority w:val="99"/>
    <w:semiHidden/>
    <w:rsid w:val="00E83CF6"/>
    <w:rPr>
      <w:color w:val="7030A0" w:themeColor="followedHyperlink"/>
      <w:u w:val="single"/>
    </w:rPr>
  </w:style>
  <w:style w:type="paragraph" w:styleId="DocumentMap">
    <w:name w:val="Document Map"/>
    <w:basedOn w:val="Normal"/>
    <w:link w:val="DocumentMapChar"/>
    <w:uiPriority w:val="99"/>
    <w:semiHidden/>
    <w:rsid w:val="00E83CF6"/>
    <w:rPr>
      <w:rFonts w:ascii="Tahoma" w:hAnsi="Tahoma" w:cs="Tahoma"/>
      <w:sz w:val="16"/>
      <w:szCs w:val="16"/>
    </w:rPr>
  </w:style>
  <w:style w:type="character" w:customStyle="1" w:styleId="DocumentMapChar">
    <w:name w:val="Document Map Char"/>
    <w:basedOn w:val="DefaultParagraphFont"/>
    <w:link w:val="DocumentMap"/>
    <w:uiPriority w:val="99"/>
    <w:semiHidden/>
    <w:rsid w:val="00E83CF6"/>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E83CF6"/>
    <w:pPr>
      <w:numPr>
        <w:numId w:val="9"/>
      </w:numPr>
    </w:pPr>
  </w:style>
  <w:style w:type="character" w:customStyle="1" w:styleId="JuITMark">
    <w:name w:val="Ju_ITMark"/>
    <w:basedOn w:val="DefaultParagraphFont"/>
    <w:uiPriority w:val="38"/>
    <w:qFormat/>
    <w:rsid w:val="00E83CF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83CF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83CF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83CF6"/>
    <w:pPr>
      <w:numPr>
        <w:numId w:val="3"/>
      </w:numPr>
    </w:pPr>
  </w:style>
  <w:style w:type="numbering" w:styleId="1ai">
    <w:name w:val="Outline List 1"/>
    <w:basedOn w:val="NoList"/>
    <w:uiPriority w:val="99"/>
    <w:semiHidden/>
    <w:unhideWhenUsed/>
    <w:rsid w:val="00E83CF6"/>
    <w:pPr>
      <w:numPr>
        <w:numId w:val="4"/>
      </w:numPr>
    </w:pPr>
  </w:style>
  <w:style w:type="numbering" w:styleId="ArticleSection">
    <w:name w:val="Outline List 3"/>
    <w:basedOn w:val="NoList"/>
    <w:uiPriority w:val="99"/>
    <w:semiHidden/>
    <w:unhideWhenUsed/>
    <w:rsid w:val="00E83CF6"/>
    <w:pPr>
      <w:numPr>
        <w:numId w:val="5"/>
      </w:numPr>
    </w:pPr>
  </w:style>
  <w:style w:type="paragraph" w:styleId="Bibliography">
    <w:name w:val="Bibliography"/>
    <w:basedOn w:val="Normal"/>
    <w:next w:val="Normal"/>
    <w:uiPriority w:val="99"/>
    <w:semiHidden/>
    <w:rsid w:val="00E83CF6"/>
  </w:style>
  <w:style w:type="paragraph" w:styleId="BlockText">
    <w:name w:val="Block Text"/>
    <w:basedOn w:val="Normal"/>
    <w:uiPriority w:val="99"/>
    <w:semiHidden/>
    <w:rsid w:val="00E83CF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E83CF6"/>
    <w:pPr>
      <w:spacing w:after="120"/>
    </w:pPr>
  </w:style>
  <w:style w:type="character" w:customStyle="1" w:styleId="BodyTextChar">
    <w:name w:val="Body Text Char"/>
    <w:basedOn w:val="DefaultParagraphFont"/>
    <w:link w:val="BodyText"/>
    <w:uiPriority w:val="99"/>
    <w:semiHidden/>
    <w:rsid w:val="00E83CF6"/>
    <w:rPr>
      <w:rFonts w:eastAsiaTheme="minorEastAsia"/>
      <w:sz w:val="24"/>
      <w:lang w:val="en-GB"/>
    </w:rPr>
  </w:style>
  <w:style w:type="paragraph" w:styleId="BodyText2">
    <w:name w:val="Body Text 2"/>
    <w:basedOn w:val="Normal"/>
    <w:link w:val="BodyText2Char"/>
    <w:uiPriority w:val="99"/>
    <w:semiHidden/>
    <w:rsid w:val="00E83CF6"/>
    <w:pPr>
      <w:spacing w:after="120" w:line="480" w:lineRule="auto"/>
    </w:pPr>
  </w:style>
  <w:style w:type="character" w:customStyle="1" w:styleId="BodyText2Char">
    <w:name w:val="Body Text 2 Char"/>
    <w:basedOn w:val="DefaultParagraphFont"/>
    <w:link w:val="BodyText2"/>
    <w:uiPriority w:val="99"/>
    <w:semiHidden/>
    <w:rsid w:val="00E83CF6"/>
    <w:rPr>
      <w:rFonts w:eastAsiaTheme="minorEastAsia"/>
      <w:sz w:val="24"/>
      <w:lang w:val="en-GB"/>
    </w:rPr>
  </w:style>
  <w:style w:type="paragraph" w:styleId="BodyText3">
    <w:name w:val="Body Text 3"/>
    <w:basedOn w:val="Normal"/>
    <w:link w:val="BodyText3Char"/>
    <w:uiPriority w:val="99"/>
    <w:semiHidden/>
    <w:rsid w:val="00E83CF6"/>
    <w:pPr>
      <w:spacing w:after="120"/>
    </w:pPr>
    <w:rPr>
      <w:sz w:val="16"/>
      <w:szCs w:val="16"/>
    </w:rPr>
  </w:style>
  <w:style w:type="character" w:customStyle="1" w:styleId="BodyText3Char">
    <w:name w:val="Body Text 3 Char"/>
    <w:basedOn w:val="DefaultParagraphFont"/>
    <w:link w:val="BodyText3"/>
    <w:uiPriority w:val="99"/>
    <w:semiHidden/>
    <w:rsid w:val="00E83CF6"/>
    <w:rPr>
      <w:rFonts w:eastAsiaTheme="minorEastAsia"/>
      <w:sz w:val="16"/>
      <w:szCs w:val="16"/>
      <w:lang w:val="en-GB"/>
    </w:rPr>
  </w:style>
  <w:style w:type="paragraph" w:styleId="BodyTextFirstIndent">
    <w:name w:val="Body Text First Indent"/>
    <w:basedOn w:val="BodyText"/>
    <w:link w:val="BodyTextFirstIndentChar"/>
    <w:uiPriority w:val="99"/>
    <w:semiHidden/>
    <w:rsid w:val="00E83CF6"/>
    <w:pPr>
      <w:spacing w:after="0"/>
      <w:ind w:firstLine="360"/>
    </w:pPr>
  </w:style>
  <w:style w:type="character" w:customStyle="1" w:styleId="BodyTextFirstIndentChar">
    <w:name w:val="Body Text First Indent Char"/>
    <w:basedOn w:val="BodyTextChar"/>
    <w:link w:val="BodyTextFirstIndent"/>
    <w:uiPriority w:val="99"/>
    <w:semiHidden/>
    <w:rsid w:val="00E83CF6"/>
    <w:rPr>
      <w:rFonts w:eastAsiaTheme="minorEastAsia"/>
      <w:sz w:val="24"/>
      <w:lang w:val="en-GB"/>
    </w:rPr>
  </w:style>
  <w:style w:type="paragraph" w:styleId="BodyTextIndent">
    <w:name w:val="Body Text Indent"/>
    <w:basedOn w:val="Normal"/>
    <w:link w:val="BodyTextIndentChar"/>
    <w:uiPriority w:val="99"/>
    <w:semiHidden/>
    <w:rsid w:val="00E83CF6"/>
    <w:pPr>
      <w:spacing w:after="120"/>
      <w:ind w:left="283"/>
    </w:pPr>
  </w:style>
  <w:style w:type="character" w:customStyle="1" w:styleId="BodyTextIndentChar">
    <w:name w:val="Body Text Indent Char"/>
    <w:basedOn w:val="DefaultParagraphFont"/>
    <w:link w:val="BodyTextIndent"/>
    <w:uiPriority w:val="99"/>
    <w:semiHidden/>
    <w:rsid w:val="00E83CF6"/>
    <w:rPr>
      <w:rFonts w:eastAsiaTheme="minorEastAsia"/>
      <w:sz w:val="24"/>
      <w:lang w:val="en-GB"/>
    </w:rPr>
  </w:style>
  <w:style w:type="paragraph" w:styleId="BodyTextFirstIndent2">
    <w:name w:val="Body Text First Indent 2"/>
    <w:basedOn w:val="BodyTextIndent"/>
    <w:link w:val="BodyTextFirstIndent2Char"/>
    <w:uiPriority w:val="99"/>
    <w:semiHidden/>
    <w:rsid w:val="00E83CF6"/>
    <w:pPr>
      <w:spacing w:after="0"/>
      <w:ind w:left="360" w:firstLine="360"/>
    </w:pPr>
  </w:style>
  <w:style w:type="character" w:customStyle="1" w:styleId="BodyTextFirstIndent2Char">
    <w:name w:val="Body Text First Indent 2 Char"/>
    <w:basedOn w:val="BodyTextIndentChar"/>
    <w:link w:val="BodyTextFirstIndent2"/>
    <w:uiPriority w:val="99"/>
    <w:semiHidden/>
    <w:rsid w:val="00E83CF6"/>
    <w:rPr>
      <w:rFonts w:eastAsiaTheme="minorEastAsia"/>
      <w:sz w:val="24"/>
      <w:lang w:val="en-GB"/>
    </w:rPr>
  </w:style>
  <w:style w:type="paragraph" w:styleId="BodyTextIndent2">
    <w:name w:val="Body Text Indent 2"/>
    <w:basedOn w:val="Normal"/>
    <w:link w:val="BodyTextIndent2Char"/>
    <w:uiPriority w:val="99"/>
    <w:semiHidden/>
    <w:rsid w:val="00E83CF6"/>
    <w:pPr>
      <w:spacing w:after="120" w:line="480" w:lineRule="auto"/>
      <w:ind w:left="283"/>
    </w:pPr>
  </w:style>
  <w:style w:type="character" w:customStyle="1" w:styleId="BodyTextIndent2Char">
    <w:name w:val="Body Text Indent 2 Char"/>
    <w:basedOn w:val="DefaultParagraphFont"/>
    <w:link w:val="BodyTextIndent2"/>
    <w:uiPriority w:val="99"/>
    <w:semiHidden/>
    <w:rsid w:val="00E83CF6"/>
    <w:rPr>
      <w:rFonts w:eastAsiaTheme="minorEastAsia"/>
      <w:sz w:val="24"/>
      <w:lang w:val="en-GB"/>
    </w:rPr>
  </w:style>
  <w:style w:type="paragraph" w:styleId="BodyTextIndent3">
    <w:name w:val="Body Text Indent 3"/>
    <w:basedOn w:val="Normal"/>
    <w:link w:val="BodyTextIndent3Char"/>
    <w:uiPriority w:val="99"/>
    <w:semiHidden/>
    <w:rsid w:val="00E83CF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83CF6"/>
    <w:rPr>
      <w:rFonts w:eastAsiaTheme="minorEastAsia"/>
      <w:sz w:val="16"/>
      <w:szCs w:val="16"/>
      <w:lang w:val="en-GB"/>
    </w:rPr>
  </w:style>
  <w:style w:type="paragraph" w:styleId="Caption">
    <w:name w:val="caption"/>
    <w:basedOn w:val="Normal"/>
    <w:next w:val="Normal"/>
    <w:uiPriority w:val="99"/>
    <w:semiHidden/>
    <w:qFormat/>
    <w:rsid w:val="00E83CF6"/>
    <w:pPr>
      <w:spacing w:after="200"/>
    </w:pPr>
    <w:rPr>
      <w:b/>
      <w:bCs/>
      <w:color w:val="0072BC" w:themeColor="accent1"/>
      <w:sz w:val="18"/>
      <w:szCs w:val="18"/>
    </w:rPr>
  </w:style>
  <w:style w:type="paragraph" w:styleId="Closing">
    <w:name w:val="Closing"/>
    <w:basedOn w:val="Normal"/>
    <w:link w:val="ClosingChar"/>
    <w:uiPriority w:val="99"/>
    <w:semiHidden/>
    <w:rsid w:val="00E83CF6"/>
    <w:pPr>
      <w:ind w:left="4252"/>
    </w:pPr>
  </w:style>
  <w:style w:type="character" w:customStyle="1" w:styleId="ClosingChar">
    <w:name w:val="Closing Char"/>
    <w:basedOn w:val="DefaultParagraphFont"/>
    <w:link w:val="Closing"/>
    <w:uiPriority w:val="99"/>
    <w:semiHidden/>
    <w:rsid w:val="00E83CF6"/>
    <w:rPr>
      <w:rFonts w:eastAsiaTheme="minorEastAsia"/>
      <w:sz w:val="24"/>
      <w:lang w:val="en-GB"/>
    </w:rPr>
  </w:style>
  <w:style w:type="table" w:styleId="ColorfulGrid">
    <w:name w:val="Colorful Grid"/>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83CF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83CF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83CF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83CF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83CF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83CF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83CF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83CF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83CF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83CF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83CF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83CF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83CF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83CF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83CF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E83CF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83CF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83CF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83CF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83CF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83CF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83CF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83CF6"/>
  </w:style>
  <w:style w:type="character" w:customStyle="1" w:styleId="DateChar">
    <w:name w:val="Date Char"/>
    <w:basedOn w:val="DefaultParagraphFont"/>
    <w:link w:val="Date"/>
    <w:uiPriority w:val="99"/>
    <w:semiHidden/>
    <w:rsid w:val="00E83CF6"/>
    <w:rPr>
      <w:rFonts w:eastAsiaTheme="minorEastAsia"/>
      <w:sz w:val="24"/>
      <w:lang w:val="en-GB"/>
    </w:rPr>
  </w:style>
  <w:style w:type="paragraph" w:styleId="E-mailSignature">
    <w:name w:val="E-mail Signature"/>
    <w:basedOn w:val="Normal"/>
    <w:link w:val="E-mailSignatureChar"/>
    <w:uiPriority w:val="99"/>
    <w:semiHidden/>
    <w:rsid w:val="00E83CF6"/>
  </w:style>
  <w:style w:type="character" w:customStyle="1" w:styleId="E-mailSignatureChar">
    <w:name w:val="E-mail Signature Char"/>
    <w:basedOn w:val="DefaultParagraphFont"/>
    <w:link w:val="E-mailSignature"/>
    <w:uiPriority w:val="99"/>
    <w:semiHidden/>
    <w:rsid w:val="00E83CF6"/>
    <w:rPr>
      <w:rFonts w:eastAsiaTheme="minorEastAsia"/>
      <w:sz w:val="24"/>
      <w:lang w:val="en-GB"/>
    </w:rPr>
  </w:style>
  <w:style w:type="paragraph" w:styleId="EnvelopeAddress">
    <w:name w:val="envelope address"/>
    <w:basedOn w:val="Normal"/>
    <w:uiPriority w:val="99"/>
    <w:semiHidden/>
    <w:rsid w:val="00E83CF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83CF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83CF6"/>
  </w:style>
  <w:style w:type="paragraph" w:styleId="HTMLAddress">
    <w:name w:val="HTML Address"/>
    <w:basedOn w:val="Normal"/>
    <w:link w:val="HTMLAddressChar"/>
    <w:uiPriority w:val="99"/>
    <w:semiHidden/>
    <w:rsid w:val="00E83CF6"/>
    <w:rPr>
      <w:i/>
      <w:iCs/>
    </w:rPr>
  </w:style>
  <w:style w:type="character" w:customStyle="1" w:styleId="HTMLAddressChar">
    <w:name w:val="HTML Address Char"/>
    <w:basedOn w:val="DefaultParagraphFont"/>
    <w:link w:val="HTMLAddress"/>
    <w:uiPriority w:val="99"/>
    <w:semiHidden/>
    <w:rsid w:val="00E83CF6"/>
    <w:rPr>
      <w:rFonts w:eastAsiaTheme="minorEastAsia"/>
      <w:i/>
      <w:iCs/>
      <w:sz w:val="24"/>
      <w:lang w:val="en-GB"/>
    </w:rPr>
  </w:style>
  <w:style w:type="character" w:styleId="HTMLCite">
    <w:name w:val="HTML Cite"/>
    <w:basedOn w:val="DefaultParagraphFont"/>
    <w:uiPriority w:val="99"/>
    <w:semiHidden/>
    <w:rsid w:val="00E83CF6"/>
    <w:rPr>
      <w:i/>
      <w:iCs/>
    </w:rPr>
  </w:style>
  <w:style w:type="character" w:styleId="HTMLCode">
    <w:name w:val="HTML Code"/>
    <w:basedOn w:val="DefaultParagraphFont"/>
    <w:uiPriority w:val="99"/>
    <w:semiHidden/>
    <w:rsid w:val="00E83CF6"/>
    <w:rPr>
      <w:rFonts w:ascii="Consolas" w:hAnsi="Consolas" w:cs="Consolas"/>
      <w:sz w:val="20"/>
      <w:szCs w:val="20"/>
    </w:rPr>
  </w:style>
  <w:style w:type="character" w:styleId="HTMLDefinition">
    <w:name w:val="HTML Definition"/>
    <w:basedOn w:val="DefaultParagraphFont"/>
    <w:uiPriority w:val="99"/>
    <w:semiHidden/>
    <w:rsid w:val="00E83CF6"/>
    <w:rPr>
      <w:i/>
      <w:iCs/>
    </w:rPr>
  </w:style>
  <w:style w:type="character" w:styleId="HTMLKeyboard">
    <w:name w:val="HTML Keyboard"/>
    <w:basedOn w:val="DefaultParagraphFont"/>
    <w:uiPriority w:val="99"/>
    <w:semiHidden/>
    <w:rsid w:val="00E83CF6"/>
    <w:rPr>
      <w:rFonts w:ascii="Consolas" w:hAnsi="Consolas" w:cs="Consolas"/>
      <w:sz w:val="20"/>
      <w:szCs w:val="20"/>
    </w:rPr>
  </w:style>
  <w:style w:type="paragraph" w:styleId="HTMLPreformatted">
    <w:name w:val="HTML Preformatted"/>
    <w:basedOn w:val="Normal"/>
    <w:link w:val="HTMLPreformattedChar"/>
    <w:uiPriority w:val="99"/>
    <w:semiHidden/>
    <w:rsid w:val="00E83CF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83CF6"/>
    <w:rPr>
      <w:rFonts w:ascii="Consolas" w:eastAsiaTheme="minorEastAsia" w:hAnsi="Consolas" w:cs="Consolas"/>
      <w:sz w:val="20"/>
      <w:szCs w:val="20"/>
      <w:lang w:val="en-GB"/>
    </w:rPr>
  </w:style>
  <w:style w:type="character" w:styleId="HTMLSample">
    <w:name w:val="HTML Sample"/>
    <w:basedOn w:val="DefaultParagraphFont"/>
    <w:uiPriority w:val="99"/>
    <w:semiHidden/>
    <w:rsid w:val="00E83CF6"/>
    <w:rPr>
      <w:rFonts w:ascii="Consolas" w:hAnsi="Consolas" w:cs="Consolas"/>
      <w:sz w:val="24"/>
      <w:szCs w:val="24"/>
    </w:rPr>
  </w:style>
  <w:style w:type="character" w:styleId="HTMLTypewriter">
    <w:name w:val="HTML Typewriter"/>
    <w:basedOn w:val="DefaultParagraphFont"/>
    <w:uiPriority w:val="99"/>
    <w:semiHidden/>
    <w:rsid w:val="00E83CF6"/>
    <w:rPr>
      <w:rFonts w:ascii="Consolas" w:hAnsi="Consolas" w:cs="Consolas"/>
      <w:sz w:val="20"/>
      <w:szCs w:val="20"/>
    </w:rPr>
  </w:style>
  <w:style w:type="character" w:styleId="HTMLVariable">
    <w:name w:val="HTML Variable"/>
    <w:basedOn w:val="DefaultParagraphFont"/>
    <w:uiPriority w:val="99"/>
    <w:semiHidden/>
    <w:rsid w:val="00E83CF6"/>
    <w:rPr>
      <w:i/>
      <w:iCs/>
    </w:rPr>
  </w:style>
  <w:style w:type="paragraph" w:styleId="Index1">
    <w:name w:val="index 1"/>
    <w:basedOn w:val="Normal"/>
    <w:next w:val="Normal"/>
    <w:autoRedefine/>
    <w:uiPriority w:val="99"/>
    <w:semiHidden/>
    <w:rsid w:val="00E83CF6"/>
    <w:pPr>
      <w:ind w:left="240" w:hanging="240"/>
    </w:pPr>
  </w:style>
  <w:style w:type="paragraph" w:styleId="Index2">
    <w:name w:val="index 2"/>
    <w:basedOn w:val="Normal"/>
    <w:next w:val="Normal"/>
    <w:autoRedefine/>
    <w:uiPriority w:val="99"/>
    <w:semiHidden/>
    <w:rsid w:val="00E83CF6"/>
    <w:pPr>
      <w:ind w:left="480" w:hanging="240"/>
    </w:pPr>
  </w:style>
  <w:style w:type="paragraph" w:styleId="Index3">
    <w:name w:val="index 3"/>
    <w:basedOn w:val="Normal"/>
    <w:next w:val="Normal"/>
    <w:autoRedefine/>
    <w:uiPriority w:val="99"/>
    <w:semiHidden/>
    <w:rsid w:val="00E83CF6"/>
    <w:pPr>
      <w:ind w:left="720" w:hanging="240"/>
    </w:pPr>
  </w:style>
  <w:style w:type="paragraph" w:styleId="Index4">
    <w:name w:val="index 4"/>
    <w:basedOn w:val="Normal"/>
    <w:next w:val="Normal"/>
    <w:autoRedefine/>
    <w:uiPriority w:val="99"/>
    <w:semiHidden/>
    <w:rsid w:val="00E83CF6"/>
    <w:pPr>
      <w:ind w:left="960" w:hanging="240"/>
    </w:pPr>
  </w:style>
  <w:style w:type="paragraph" w:styleId="Index5">
    <w:name w:val="index 5"/>
    <w:basedOn w:val="Normal"/>
    <w:next w:val="Normal"/>
    <w:autoRedefine/>
    <w:uiPriority w:val="99"/>
    <w:semiHidden/>
    <w:rsid w:val="00E83CF6"/>
    <w:pPr>
      <w:ind w:left="1200" w:hanging="240"/>
    </w:pPr>
  </w:style>
  <w:style w:type="paragraph" w:styleId="Index6">
    <w:name w:val="index 6"/>
    <w:basedOn w:val="Normal"/>
    <w:next w:val="Normal"/>
    <w:autoRedefine/>
    <w:uiPriority w:val="99"/>
    <w:semiHidden/>
    <w:rsid w:val="00E83CF6"/>
    <w:pPr>
      <w:ind w:left="1440" w:hanging="240"/>
    </w:pPr>
  </w:style>
  <w:style w:type="paragraph" w:styleId="Index7">
    <w:name w:val="index 7"/>
    <w:basedOn w:val="Normal"/>
    <w:next w:val="Normal"/>
    <w:autoRedefine/>
    <w:uiPriority w:val="99"/>
    <w:semiHidden/>
    <w:rsid w:val="00E83CF6"/>
    <w:pPr>
      <w:ind w:left="1680" w:hanging="240"/>
    </w:pPr>
  </w:style>
  <w:style w:type="paragraph" w:styleId="Index8">
    <w:name w:val="index 8"/>
    <w:basedOn w:val="Normal"/>
    <w:next w:val="Normal"/>
    <w:autoRedefine/>
    <w:uiPriority w:val="99"/>
    <w:semiHidden/>
    <w:rsid w:val="00E83CF6"/>
    <w:pPr>
      <w:ind w:left="1920" w:hanging="240"/>
    </w:pPr>
  </w:style>
  <w:style w:type="paragraph" w:styleId="Index9">
    <w:name w:val="index 9"/>
    <w:basedOn w:val="Normal"/>
    <w:next w:val="Normal"/>
    <w:autoRedefine/>
    <w:uiPriority w:val="99"/>
    <w:semiHidden/>
    <w:rsid w:val="00E83CF6"/>
    <w:pPr>
      <w:ind w:left="2160" w:hanging="240"/>
    </w:pPr>
  </w:style>
  <w:style w:type="paragraph" w:styleId="IndexHeading">
    <w:name w:val="index heading"/>
    <w:basedOn w:val="Normal"/>
    <w:next w:val="Index1"/>
    <w:uiPriority w:val="99"/>
    <w:semiHidden/>
    <w:rsid w:val="00E83CF6"/>
    <w:rPr>
      <w:rFonts w:asciiTheme="majorHAnsi" w:eastAsiaTheme="majorEastAsia" w:hAnsiTheme="majorHAnsi" w:cstheme="majorBidi"/>
      <w:b/>
      <w:bCs/>
    </w:rPr>
  </w:style>
  <w:style w:type="table" w:styleId="LightGrid">
    <w:name w:val="Light Grid"/>
    <w:basedOn w:val="TableNormal"/>
    <w:uiPriority w:val="62"/>
    <w:semiHidden/>
    <w:rsid w:val="00E83CF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83CF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83CF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83CF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83CF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83CF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83CF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83CF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83CF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83CF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83CF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83CF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83CF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83CF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83CF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83CF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83CF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83CF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83CF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83CF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83CF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83CF6"/>
  </w:style>
  <w:style w:type="paragraph" w:styleId="List">
    <w:name w:val="List"/>
    <w:basedOn w:val="Normal"/>
    <w:uiPriority w:val="99"/>
    <w:semiHidden/>
    <w:rsid w:val="00E83CF6"/>
    <w:pPr>
      <w:ind w:left="283" w:hanging="283"/>
      <w:contextualSpacing/>
    </w:pPr>
  </w:style>
  <w:style w:type="paragraph" w:styleId="List2">
    <w:name w:val="List 2"/>
    <w:basedOn w:val="Normal"/>
    <w:uiPriority w:val="99"/>
    <w:semiHidden/>
    <w:rsid w:val="00E83CF6"/>
    <w:pPr>
      <w:ind w:left="566" w:hanging="283"/>
      <w:contextualSpacing/>
    </w:pPr>
  </w:style>
  <w:style w:type="paragraph" w:styleId="List3">
    <w:name w:val="List 3"/>
    <w:basedOn w:val="Normal"/>
    <w:uiPriority w:val="99"/>
    <w:semiHidden/>
    <w:rsid w:val="00E83CF6"/>
    <w:pPr>
      <w:ind w:left="849" w:hanging="283"/>
      <w:contextualSpacing/>
    </w:pPr>
  </w:style>
  <w:style w:type="paragraph" w:styleId="List4">
    <w:name w:val="List 4"/>
    <w:basedOn w:val="Normal"/>
    <w:uiPriority w:val="99"/>
    <w:semiHidden/>
    <w:rsid w:val="00E83CF6"/>
    <w:pPr>
      <w:ind w:left="1132" w:hanging="283"/>
      <w:contextualSpacing/>
    </w:pPr>
  </w:style>
  <w:style w:type="paragraph" w:styleId="List5">
    <w:name w:val="List 5"/>
    <w:basedOn w:val="Normal"/>
    <w:uiPriority w:val="99"/>
    <w:semiHidden/>
    <w:rsid w:val="00E83CF6"/>
    <w:pPr>
      <w:ind w:left="1415" w:hanging="283"/>
      <w:contextualSpacing/>
    </w:pPr>
  </w:style>
  <w:style w:type="paragraph" w:styleId="ListBullet2">
    <w:name w:val="List Bullet 2"/>
    <w:basedOn w:val="Normal"/>
    <w:uiPriority w:val="99"/>
    <w:semiHidden/>
    <w:rsid w:val="00E83CF6"/>
    <w:pPr>
      <w:numPr>
        <w:numId w:val="10"/>
      </w:numPr>
      <w:contextualSpacing/>
    </w:pPr>
  </w:style>
  <w:style w:type="paragraph" w:styleId="ListBullet3">
    <w:name w:val="List Bullet 3"/>
    <w:basedOn w:val="Normal"/>
    <w:uiPriority w:val="99"/>
    <w:semiHidden/>
    <w:rsid w:val="00E83CF6"/>
    <w:pPr>
      <w:numPr>
        <w:numId w:val="11"/>
      </w:numPr>
      <w:contextualSpacing/>
    </w:pPr>
  </w:style>
  <w:style w:type="paragraph" w:styleId="ListBullet4">
    <w:name w:val="List Bullet 4"/>
    <w:basedOn w:val="Normal"/>
    <w:uiPriority w:val="99"/>
    <w:semiHidden/>
    <w:rsid w:val="00E83CF6"/>
    <w:pPr>
      <w:numPr>
        <w:numId w:val="12"/>
      </w:numPr>
      <w:contextualSpacing/>
    </w:pPr>
  </w:style>
  <w:style w:type="paragraph" w:styleId="ListBullet5">
    <w:name w:val="List Bullet 5"/>
    <w:basedOn w:val="Normal"/>
    <w:uiPriority w:val="99"/>
    <w:semiHidden/>
    <w:rsid w:val="00E83CF6"/>
    <w:pPr>
      <w:numPr>
        <w:numId w:val="13"/>
      </w:numPr>
      <w:contextualSpacing/>
    </w:pPr>
  </w:style>
  <w:style w:type="paragraph" w:styleId="ListContinue">
    <w:name w:val="List Continue"/>
    <w:basedOn w:val="Normal"/>
    <w:uiPriority w:val="99"/>
    <w:semiHidden/>
    <w:rsid w:val="00E83CF6"/>
    <w:pPr>
      <w:spacing w:after="120"/>
      <w:ind w:left="283"/>
      <w:contextualSpacing/>
    </w:pPr>
  </w:style>
  <w:style w:type="paragraph" w:styleId="ListContinue2">
    <w:name w:val="List Continue 2"/>
    <w:basedOn w:val="Normal"/>
    <w:uiPriority w:val="99"/>
    <w:semiHidden/>
    <w:rsid w:val="00E83CF6"/>
    <w:pPr>
      <w:spacing w:after="120"/>
      <w:ind w:left="566"/>
      <w:contextualSpacing/>
    </w:pPr>
  </w:style>
  <w:style w:type="paragraph" w:styleId="ListContinue3">
    <w:name w:val="List Continue 3"/>
    <w:basedOn w:val="Normal"/>
    <w:uiPriority w:val="99"/>
    <w:semiHidden/>
    <w:rsid w:val="00E83CF6"/>
    <w:pPr>
      <w:spacing w:after="120"/>
      <w:ind w:left="849"/>
      <w:contextualSpacing/>
    </w:pPr>
  </w:style>
  <w:style w:type="paragraph" w:styleId="ListContinue4">
    <w:name w:val="List Continue 4"/>
    <w:basedOn w:val="Normal"/>
    <w:uiPriority w:val="99"/>
    <w:semiHidden/>
    <w:rsid w:val="00E83CF6"/>
    <w:pPr>
      <w:spacing w:after="120"/>
      <w:ind w:left="1132"/>
      <w:contextualSpacing/>
    </w:pPr>
  </w:style>
  <w:style w:type="paragraph" w:styleId="ListContinue5">
    <w:name w:val="List Continue 5"/>
    <w:basedOn w:val="Normal"/>
    <w:uiPriority w:val="99"/>
    <w:semiHidden/>
    <w:rsid w:val="00E83CF6"/>
    <w:pPr>
      <w:spacing w:after="120"/>
      <w:ind w:left="1415"/>
      <w:contextualSpacing/>
    </w:pPr>
  </w:style>
  <w:style w:type="paragraph" w:styleId="ListNumber">
    <w:name w:val="List Number"/>
    <w:basedOn w:val="Normal"/>
    <w:uiPriority w:val="99"/>
    <w:semiHidden/>
    <w:rsid w:val="00E83CF6"/>
    <w:pPr>
      <w:numPr>
        <w:numId w:val="14"/>
      </w:numPr>
      <w:contextualSpacing/>
    </w:pPr>
  </w:style>
  <w:style w:type="paragraph" w:styleId="ListNumber2">
    <w:name w:val="List Number 2"/>
    <w:basedOn w:val="Normal"/>
    <w:uiPriority w:val="99"/>
    <w:semiHidden/>
    <w:rsid w:val="00E83CF6"/>
    <w:pPr>
      <w:numPr>
        <w:numId w:val="15"/>
      </w:numPr>
      <w:contextualSpacing/>
    </w:pPr>
  </w:style>
  <w:style w:type="paragraph" w:styleId="ListNumber3">
    <w:name w:val="List Number 3"/>
    <w:basedOn w:val="Normal"/>
    <w:uiPriority w:val="99"/>
    <w:semiHidden/>
    <w:rsid w:val="00E83CF6"/>
    <w:pPr>
      <w:numPr>
        <w:numId w:val="16"/>
      </w:numPr>
      <w:contextualSpacing/>
    </w:pPr>
  </w:style>
  <w:style w:type="paragraph" w:styleId="ListNumber4">
    <w:name w:val="List Number 4"/>
    <w:basedOn w:val="Normal"/>
    <w:uiPriority w:val="99"/>
    <w:semiHidden/>
    <w:rsid w:val="00E83CF6"/>
    <w:pPr>
      <w:numPr>
        <w:numId w:val="17"/>
      </w:numPr>
      <w:contextualSpacing/>
    </w:pPr>
  </w:style>
  <w:style w:type="paragraph" w:styleId="ListNumber5">
    <w:name w:val="List Number 5"/>
    <w:basedOn w:val="Normal"/>
    <w:uiPriority w:val="99"/>
    <w:semiHidden/>
    <w:rsid w:val="00E83CF6"/>
    <w:pPr>
      <w:numPr>
        <w:numId w:val="18"/>
      </w:numPr>
      <w:contextualSpacing/>
    </w:pPr>
  </w:style>
  <w:style w:type="paragraph" w:styleId="MacroText">
    <w:name w:val="macro"/>
    <w:link w:val="MacroTextChar"/>
    <w:uiPriority w:val="99"/>
    <w:semiHidden/>
    <w:rsid w:val="00E83CF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83CF6"/>
    <w:rPr>
      <w:rFonts w:ascii="Consolas" w:eastAsiaTheme="minorEastAsia" w:hAnsi="Consolas" w:cs="Consolas"/>
      <w:sz w:val="20"/>
      <w:szCs w:val="20"/>
    </w:rPr>
  </w:style>
  <w:style w:type="table" w:styleId="MediumGrid1">
    <w:name w:val="Medium Grid 1"/>
    <w:basedOn w:val="TableNormal"/>
    <w:uiPriority w:val="67"/>
    <w:semiHidden/>
    <w:rsid w:val="00E83CF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83CF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83CF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83CF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83CF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83CF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83CF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83CF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83CF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83CF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83CF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83CF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83CF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83CF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83CF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83CF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83CF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83CF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83CF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83CF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83CF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83CF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83CF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83C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83CF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83CF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83CF6"/>
    <w:rPr>
      <w:rFonts w:ascii="Times New Roman" w:hAnsi="Times New Roman" w:cs="Times New Roman"/>
      <w:szCs w:val="24"/>
    </w:rPr>
  </w:style>
  <w:style w:type="paragraph" w:styleId="NormalIndent">
    <w:name w:val="Normal Indent"/>
    <w:basedOn w:val="Normal"/>
    <w:uiPriority w:val="99"/>
    <w:semiHidden/>
    <w:rsid w:val="00E83CF6"/>
    <w:pPr>
      <w:ind w:left="720"/>
    </w:pPr>
  </w:style>
  <w:style w:type="character" w:styleId="PlaceholderText">
    <w:name w:val="Placeholder Text"/>
    <w:basedOn w:val="DefaultParagraphFont"/>
    <w:uiPriority w:val="99"/>
    <w:semiHidden/>
    <w:rsid w:val="00E83CF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83CF6"/>
    <w:rPr>
      <w:rFonts w:ascii="Consolas" w:hAnsi="Consolas" w:cs="Consolas"/>
      <w:sz w:val="21"/>
      <w:szCs w:val="21"/>
    </w:rPr>
  </w:style>
  <w:style w:type="character" w:customStyle="1" w:styleId="PlainTextChar">
    <w:name w:val="Plain Text Char"/>
    <w:basedOn w:val="DefaultParagraphFont"/>
    <w:link w:val="PlainText"/>
    <w:uiPriority w:val="99"/>
    <w:semiHidden/>
    <w:rsid w:val="00E83CF6"/>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E83CF6"/>
  </w:style>
  <w:style w:type="character" w:customStyle="1" w:styleId="SalutationChar">
    <w:name w:val="Salutation Char"/>
    <w:basedOn w:val="DefaultParagraphFont"/>
    <w:link w:val="Salutation"/>
    <w:uiPriority w:val="99"/>
    <w:semiHidden/>
    <w:rsid w:val="00E83CF6"/>
    <w:rPr>
      <w:rFonts w:eastAsiaTheme="minorEastAsia"/>
      <w:sz w:val="24"/>
      <w:lang w:val="en-GB"/>
    </w:rPr>
  </w:style>
  <w:style w:type="paragraph" w:styleId="Signature">
    <w:name w:val="Signature"/>
    <w:basedOn w:val="Normal"/>
    <w:link w:val="SignatureChar"/>
    <w:uiPriority w:val="99"/>
    <w:semiHidden/>
    <w:rsid w:val="00E83CF6"/>
    <w:pPr>
      <w:ind w:left="4252"/>
    </w:pPr>
  </w:style>
  <w:style w:type="character" w:customStyle="1" w:styleId="SignatureChar">
    <w:name w:val="Signature Char"/>
    <w:basedOn w:val="DefaultParagraphFont"/>
    <w:link w:val="Signature"/>
    <w:uiPriority w:val="99"/>
    <w:semiHidden/>
    <w:rsid w:val="00E83CF6"/>
    <w:rPr>
      <w:rFonts w:eastAsiaTheme="minorEastAsia"/>
      <w:sz w:val="24"/>
      <w:lang w:val="en-GB"/>
    </w:rPr>
  </w:style>
  <w:style w:type="table" w:styleId="Table3Deffects1">
    <w:name w:val="Table 3D effects 1"/>
    <w:basedOn w:val="TableNormal"/>
    <w:uiPriority w:val="99"/>
    <w:semiHidden/>
    <w:unhideWhenUsed/>
    <w:rsid w:val="00E83C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83C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83C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83C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83C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83C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83C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83C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83C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83C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83C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83C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83C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83C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83C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83C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83C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83C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83C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83C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83C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83C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83C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83C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83C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83C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83C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83C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83C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83C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83C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83C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83C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83CF6"/>
    <w:pPr>
      <w:ind w:left="240" w:hanging="240"/>
    </w:pPr>
  </w:style>
  <w:style w:type="paragraph" w:styleId="TableofFigures">
    <w:name w:val="table of figures"/>
    <w:basedOn w:val="Normal"/>
    <w:next w:val="Normal"/>
    <w:uiPriority w:val="99"/>
    <w:semiHidden/>
    <w:rsid w:val="00E83CF6"/>
  </w:style>
  <w:style w:type="table" w:styleId="TableProfessional">
    <w:name w:val="Table Professional"/>
    <w:basedOn w:val="TableNormal"/>
    <w:uiPriority w:val="99"/>
    <w:semiHidden/>
    <w:unhideWhenUsed/>
    <w:rsid w:val="00E83C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83C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83C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83C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83C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83C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83C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83C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83C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83C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83CF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83CF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83CF6"/>
    <w:pPr>
      <w:spacing w:after="100"/>
      <w:ind w:left="1680"/>
    </w:pPr>
  </w:style>
  <w:style w:type="paragraph" w:styleId="TOC9">
    <w:name w:val="toc 9"/>
    <w:basedOn w:val="Normal"/>
    <w:next w:val="Normal"/>
    <w:autoRedefine/>
    <w:uiPriority w:val="99"/>
    <w:semiHidden/>
    <w:rsid w:val="00E83CF6"/>
    <w:pPr>
      <w:spacing w:after="100"/>
      <w:ind w:left="1920"/>
    </w:pPr>
  </w:style>
  <w:style w:type="paragraph" w:customStyle="1" w:styleId="DecHTitle">
    <w:name w:val="Dec_H_Title"/>
    <w:aliases w:val="_Title_1"/>
    <w:basedOn w:val="JuPara"/>
    <w:next w:val="JuPara"/>
    <w:uiPriority w:val="35"/>
    <w:qFormat/>
    <w:rsid w:val="00E83CF6"/>
    <w:pPr>
      <w:keepNext/>
      <w:keepLines/>
      <w:spacing w:after="240"/>
      <w:ind w:firstLine="0"/>
      <w:jc w:val="center"/>
      <w:outlineLvl w:val="0"/>
    </w:pPr>
    <w:rPr>
      <w:rFonts w:asciiTheme="majorHAnsi" w:hAnsiTheme="majorHAnsi"/>
      <w:sz w:val="28"/>
    </w:rPr>
  </w:style>
  <w:style w:type="paragraph" w:styleId="NoteHeading">
    <w:name w:val="Note Heading"/>
    <w:basedOn w:val="Normal"/>
    <w:next w:val="Normal"/>
    <w:link w:val="NoteHeadingChar"/>
    <w:uiPriority w:val="99"/>
    <w:semiHidden/>
    <w:rsid w:val="00E83CF6"/>
  </w:style>
  <w:style w:type="character" w:customStyle="1" w:styleId="NoteHeadingChar">
    <w:name w:val="Note Heading Char"/>
    <w:basedOn w:val="DefaultParagraphFont"/>
    <w:link w:val="NoteHeading"/>
    <w:uiPriority w:val="99"/>
    <w:semiHidden/>
    <w:rsid w:val="00E83CF6"/>
    <w:rPr>
      <w:rFonts w:eastAsiaTheme="minorEastAsia"/>
      <w:sz w:val="24"/>
      <w:lang w:val="en-GB"/>
    </w:rPr>
  </w:style>
  <w:style w:type="paragraph" w:customStyle="1" w:styleId="JuHeaderLandscape">
    <w:name w:val="Ju_Header_Landscape"/>
    <w:aliases w:val="_Header_Landscape"/>
    <w:basedOn w:val="JuHeader"/>
    <w:uiPriority w:val="30"/>
    <w:qFormat/>
    <w:rsid w:val="00E83CF6"/>
    <w:pPr>
      <w:tabs>
        <w:tab w:val="clear" w:pos="3686"/>
        <w:tab w:val="clear" w:pos="7371"/>
        <w:tab w:val="center" w:pos="6146"/>
        <w:tab w:val="right" w:pos="12293"/>
      </w:tabs>
    </w:pPr>
  </w:style>
  <w:style w:type="character" w:customStyle="1" w:styleId="JuParaChar">
    <w:name w:val="Ju_Para Char"/>
    <w:aliases w:val="_Para Char"/>
    <w:basedOn w:val="DefaultParagraphFont"/>
    <w:link w:val="JuPara"/>
    <w:uiPriority w:val="8"/>
    <w:rsid w:val="00375F8B"/>
    <w:rPr>
      <w:rFonts w:eastAsiaTheme="minorEastAsia"/>
      <w:sz w:val="24"/>
      <w:lang w:val="en-GB"/>
    </w:rPr>
  </w:style>
  <w:style w:type="character" w:customStyle="1" w:styleId="JuParaCar">
    <w:name w:val="Ju_Para Car"/>
    <w:basedOn w:val="DefaultParagraphFont"/>
    <w:rsid w:val="00F349B3"/>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06201">
      <w:bodyDiv w:val="1"/>
      <w:marLeft w:val="0"/>
      <w:marRight w:val="0"/>
      <w:marTop w:val="0"/>
      <w:marBottom w:val="0"/>
      <w:divBdr>
        <w:top w:val="none" w:sz="0" w:space="0" w:color="auto"/>
        <w:left w:val="none" w:sz="0" w:space="0" w:color="auto"/>
        <w:bottom w:val="none" w:sz="0" w:space="0" w:color="auto"/>
        <w:right w:val="none" w:sz="0" w:space="0" w:color="auto"/>
      </w:divBdr>
      <w:divsChild>
        <w:div w:id="193007410">
          <w:marLeft w:val="0"/>
          <w:marRight w:val="0"/>
          <w:marTop w:val="0"/>
          <w:marBottom w:val="0"/>
          <w:divBdr>
            <w:top w:val="none" w:sz="0" w:space="0" w:color="auto"/>
            <w:left w:val="none" w:sz="0" w:space="0" w:color="auto"/>
            <w:bottom w:val="none" w:sz="0" w:space="0" w:color="auto"/>
            <w:right w:val="none" w:sz="0" w:space="0" w:color="auto"/>
          </w:divBdr>
          <w:divsChild>
            <w:div w:id="1362976214">
              <w:marLeft w:val="0"/>
              <w:marRight w:val="0"/>
              <w:marTop w:val="0"/>
              <w:marBottom w:val="0"/>
              <w:divBdr>
                <w:top w:val="none" w:sz="0" w:space="0" w:color="auto"/>
                <w:left w:val="none" w:sz="0" w:space="0" w:color="auto"/>
                <w:bottom w:val="none" w:sz="0" w:space="0" w:color="auto"/>
                <w:right w:val="none" w:sz="0" w:space="0" w:color="auto"/>
              </w:divBdr>
              <w:divsChild>
                <w:div w:id="1723673582">
                  <w:marLeft w:val="0"/>
                  <w:marRight w:val="0"/>
                  <w:marTop w:val="0"/>
                  <w:marBottom w:val="0"/>
                  <w:divBdr>
                    <w:top w:val="none" w:sz="0" w:space="0" w:color="auto"/>
                    <w:left w:val="none" w:sz="0" w:space="0" w:color="auto"/>
                    <w:bottom w:val="none" w:sz="0" w:space="0" w:color="auto"/>
                    <w:right w:val="none" w:sz="0" w:space="0" w:color="auto"/>
                  </w:divBdr>
                  <w:divsChild>
                    <w:div w:id="790394180">
                      <w:marLeft w:val="0"/>
                      <w:marRight w:val="0"/>
                      <w:marTop w:val="0"/>
                      <w:marBottom w:val="0"/>
                      <w:divBdr>
                        <w:top w:val="none" w:sz="0" w:space="0" w:color="auto"/>
                        <w:left w:val="none" w:sz="0" w:space="0" w:color="auto"/>
                        <w:bottom w:val="none" w:sz="0" w:space="0" w:color="auto"/>
                        <w:right w:val="none" w:sz="0" w:space="0" w:color="auto"/>
                      </w:divBdr>
                      <w:divsChild>
                        <w:div w:id="1593198872">
                          <w:marLeft w:val="0"/>
                          <w:marRight w:val="0"/>
                          <w:marTop w:val="0"/>
                          <w:marBottom w:val="0"/>
                          <w:divBdr>
                            <w:top w:val="none" w:sz="0" w:space="0" w:color="auto"/>
                            <w:left w:val="none" w:sz="0" w:space="0" w:color="auto"/>
                            <w:bottom w:val="none" w:sz="0" w:space="0" w:color="auto"/>
                            <w:right w:val="none" w:sz="0" w:space="0" w:color="auto"/>
                          </w:divBdr>
                          <w:divsChild>
                            <w:div w:id="156213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357774-1C8A-42B9-A11C-273ABEB19D52}"/>
</file>

<file path=customXml/itemProps2.xml><?xml version="1.0" encoding="utf-8"?>
<ds:datastoreItem xmlns:ds="http://schemas.openxmlformats.org/officeDocument/2006/customXml" ds:itemID="{3C42167E-89E1-4E37-B1CD-DB017B5555B2}"/>
</file>

<file path=customXml/itemProps3.xml><?xml version="1.0" encoding="utf-8"?>
<ds:datastoreItem xmlns:ds="http://schemas.openxmlformats.org/officeDocument/2006/customXml" ds:itemID="{A65C1686-0C6F-4461-8B90-2D3ED69DA25E}"/>
</file>

<file path=customXml/itemProps4.xml><?xml version="1.0" encoding="utf-8"?>
<ds:datastoreItem xmlns:ds="http://schemas.openxmlformats.org/officeDocument/2006/customXml" ds:itemID="{577CE2FE-5AD9-4755-9720-13576A767C9D}"/>
</file>

<file path=docProps/app.xml><?xml version="1.0" encoding="utf-8"?>
<Properties xmlns="http://schemas.openxmlformats.org/officeDocument/2006/extended-properties" xmlns:vt="http://schemas.openxmlformats.org/officeDocument/2006/docPropsVTypes">
  <Template>Normal.dotm</Template>
  <TotalTime>0</TotalTime>
  <Pages>1</Pages>
  <Words>6688</Words>
  <Characters>38127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2019-08-31T10:42:00Z</dcterms:created>
  <dcterms:modified xsi:type="dcterms:W3CDTF">2019-08-31T10:42:00Z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48108/07</vt:lpwstr>
  </property>
  <property fmtid="{D5CDD505-2E9C-101B-9397-08002B2CF9AE}" pid="4" name="CASEID">
    <vt:lpwstr>475642</vt:lpwstr>
  </property>
  <property fmtid="{D5CDD505-2E9C-101B-9397-08002B2CF9AE}" pid="5" name="ContentTypeId">
    <vt:lpwstr>0x010100558EB02BDB9E204AB350EDD385B68E10</vt:lpwstr>
  </property>
</Properties>
</file>