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37176" w:rsidR="00363F6C" w:rsidP="00237176" w:rsidRDefault="00363F6C">
      <w:pPr>
        <w:pStyle w:val="DecHCase"/>
      </w:pPr>
    </w:p>
    <w:p w:rsidRPr="00237176" w:rsidR="00D420F3" w:rsidP="00237176" w:rsidRDefault="00803109">
      <w:pPr>
        <w:pStyle w:val="DecHCase"/>
      </w:pPr>
      <w:r w:rsidRPr="00237176">
        <w:t>SECOND SECTION</w:t>
      </w:r>
    </w:p>
    <w:p w:rsidRPr="00237176" w:rsidR="00D420F3" w:rsidP="00237176" w:rsidRDefault="0077175D">
      <w:pPr>
        <w:pStyle w:val="JuTitle"/>
      </w:pPr>
      <w:bookmarkStart w:name="To" w:id="0"/>
      <w:r w:rsidRPr="00237176">
        <w:t xml:space="preserve">CASE OF </w:t>
      </w:r>
      <w:bookmarkEnd w:id="0"/>
      <w:r w:rsidRPr="00237176" w:rsidR="00803109">
        <w:t xml:space="preserve">PANTELEICIUC v. THE </w:t>
      </w:r>
      <w:r w:rsidRPr="00237176" w:rsidR="00363F6C">
        <w:t>REPUBLIC OF MOLDOVA</w:t>
      </w:r>
      <w:r w:rsidRPr="00237176" w:rsidR="00363F6C">
        <w:br/>
      </w:r>
      <w:r w:rsidRPr="00237176" w:rsidR="00803109">
        <w:t>AND</w:t>
      </w:r>
      <w:r w:rsidRPr="00237176" w:rsidR="00F01A5D">
        <w:t xml:space="preserve"> </w:t>
      </w:r>
      <w:r w:rsidRPr="00237176" w:rsidR="00803109">
        <w:t>RUSSIA</w:t>
      </w:r>
    </w:p>
    <w:p w:rsidRPr="00237176" w:rsidR="00D420F3" w:rsidP="00237176" w:rsidRDefault="0077175D">
      <w:pPr>
        <w:pStyle w:val="Title4"/>
      </w:pPr>
      <w:r w:rsidRPr="00237176">
        <w:t>(</w:t>
      </w:r>
      <w:r w:rsidRPr="00237176" w:rsidR="00803109">
        <w:t>Application no. 57468/08</w:t>
      </w:r>
      <w:r w:rsidRPr="00237176">
        <w:t>)</w:t>
      </w:r>
    </w:p>
    <w:p w:rsidRPr="00237176" w:rsidR="00D420F3" w:rsidP="00237176" w:rsidRDefault="00D420F3">
      <w:pPr>
        <w:pStyle w:val="DecHCase"/>
      </w:pPr>
    </w:p>
    <w:p w:rsidRPr="00237176" w:rsidR="00D420F3" w:rsidP="00237176" w:rsidRDefault="00D420F3">
      <w:pPr>
        <w:pStyle w:val="DecHCase"/>
      </w:pPr>
    </w:p>
    <w:p w:rsidRPr="00237176" w:rsidR="00D420F3" w:rsidP="00237176" w:rsidRDefault="00D420F3">
      <w:pPr>
        <w:pStyle w:val="DecHCase"/>
      </w:pPr>
    </w:p>
    <w:p w:rsidRPr="00237176" w:rsidR="00D420F3" w:rsidP="00237176" w:rsidRDefault="00D420F3">
      <w:pPr>
        <w:pStyle w:val="DecHCase"/>
      </w:pPr>
    </w:p>
    <w:p w:rsidRPr="00237176" w:rsidR="00A4787E" w:rsidP="00237176" w:rsidRDefault="00363F6C">
      <w:pPr>
        <w:pStyle w:val="DecHCase"/>
        <w:rPr>
          <w:szCs w:val="24"/>
        </w:rPr>
      </w:pPr>
      <w:r w:rsidRPr="00237176">
        <w:rPr>
          <w:szCs w:val="24"/>
        </w:rPr>
        <w:t>JUDGMENT</w:t>
      </w:r>
    </w:p>
    <w:p w:rsidRPr="00237176" w:rsidR="00A4787E" w:rsidP="00237176" w:rsidRDefault="00A4787E">
      <w:pPr>
        <w:pStyle w:val="JuPara"/>
      </w:pPr>
    </w:p>
    <w:p w:rsidRPr="00237176" w:rsidR="00A4787E" w:rsidP="00237176" w:rsidRDefault="00A4787E">
      <w:pPr>
        <w:pStyle w:val="JuPara"/>
      </w:pPr>
    </w:p>
    <w:p w:rsidRPr="00237176" w:rsidR="00363F6C" w:rsidP="00237176" w:rsidRDefault="00363F6C">
      <w:pPr>
        <w:pStyle w:val="DecHCase"/>
        <w:rPr>
          <w:b/>
        </w:rPr>
      </w:pPr>
      <w:r w:rsidRPr="00237176">
        <w:t>STRASBOURG</w:t>
      </w:r>
    </w:p>
    <w:p w:rsidRPr="00237176" w:rsidR="00363F6C" w:rsidP="00237176" w:rsidRDefault="00305E7B">
      <w:pPr>
        <w:pStyle w:val="DecHCase"/>
        <w:rPr>
          <w:b/>
        </w:rPr>
      </w:pPr>
      <w:r w:rsidRPr="00237176">
        <w:t>2</w:t>
      </w:r>
      <w:r w:rsidRPr="00237176" w:rsidR="00363F6C">
        <w:t xml:space="preserve"> July 2019</w:t>
      </w:r>
    </w:p>
    <w:p w:rsidRPr="00237176" w:rsidR="00363F6C" w:rsidP="00237176" w:rsidRDefault="00363F6C">
      <w:pPr>
        <w:pStyle w:val="DecHCase"/>
        <w:rPr>
          <w:b/>
        </w:rPr>
      </w:pPr>
    </w:p>
    <w:p w:rsidRPr="00237176" w:rsidR="00A4787E" w:rsidP="00237176" w:rsidRDefault="00A4787E">
      <w:pPr>
        <w:pStyle w:val="JuPara"/>
      </w:pPr>
    </w:p>
    <w:p w:rsidRPr="00237176" w:rsidR="00A4787E" w:rsidP="00237176" w:rsidRDefault="00A4787E">
      <w:pPr>
        <w:pStyle w:val="JuPara"/>
      </w:pPr>
    </w:p>
    <w:p w:rsidRPr="00237176" w:rsidR="00A4787E" w:rsidP="00237176" w:rsidRDefault="00A4787E">
      <w:pPr>
        <w:pStyle w:val="JuPara"/>
      </w:pPr>
    </w:p>
    <w:p w:rsidRPr="00237176" w:rsidR="00A4787E" w:rsidP="00237176" w:rsidRDefault="00A4787E">
      <w:pPr>
        <w:pStyle w:val="JuPara"/>
      </w:pPr>
    </w:p>
    <w:p w:rsidRPr="00237176" w:rsidR="00A4787E" w:rsidP="00237176" w:rsidRDefault="00A4787E">
      <w:pPr>
        <w:pStyle w:val="JuPara"/>
      </w:pPr>
    </w:p>
    <w:p w:rsidRPr="00237176" w:rsidR="00F01A5D" w:rsidP="00237176" w:rsidRDefault="00363F6C">
      <w:pPr>
        <w:pStyle w:val="JuCase"/>
        <w:ind w:firstLine="0"/>
        <w:rPr>
          <w:b w:val="0"/>
          <w:i/>
          <w:sz w:val="22"/>
        </w:rPr>
      </w:pPr>
      <w:r w:rsidRPr="00237176">
        <w:rPr>
          <w:b w:val="0"/>
          <w:i/>
          <w:sz w:val="22"/>
        </w:rPr>
        <w:t>This judgment is final but it may be subject to editorial revision.</w:t>
      </w:r>
    </w:p>
    <w:p w:rsidRPr="00237176" w:rsidR="00F129E3" w:rsidP="00237176" w:rsidRDefault="00F129E3">
      <w:pPr>
        <w:pStyle w:val="JuPara"/>
      </w:pPr>
    </w:p>
    <w:p w:rsidRPr="00237176" w:rsidR="00F129E3" w:rsidP="00237176" w:rsidRDefault="00F129E3">
      <w:pPr>
        <w:pStyle w:val="JuPara"/>
        <w:sectPr w:rsidRPr="00237176" w:rsidR="00F129E3" w:rsidSect="00363F6C">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237176" w:rsidR="00D420F3" w:rsidP="00237176" w:rsidRDefault="0077175D">
      <w:pPr>
        <w:pStyle w:val="JuCase"/>
        <w:rPr>
          <w:bCs/>
        </w:rPr>
      </w:pPr>
      <w:r w:rsidRPr="00237176">
        <w:t xml:space="preserve">In the case of </w:t>
      </w:r>
      <w:proofErr w:type="spellStart"/>
      <w:r w:rsidRPr="00237176" w:rsidR="00803109">
        <w:t>Panteleiciuc</w:t>
      </w:r>
      <w:proofErr w:type="spellEnd"/>
      <w:r w:rsidRPr="00237176" w:rsidR="00803109">
        <w:t xml:space="preserve"> v. the Republic of Moldova and Russia</w:t>
      </w:r>
      <w:r w:rsidRPr="00237176">
        <w:t>,</w:t>
      </w:r>
    </w:p>
    <w:p w:rsidRPr="00237176" w:rsidR="00D420F3" w:rsidP="00237176" w:rsidRDefault="0077175D">
      <w:pPr>
        <w:pStyle w:val="JuPara"/>
      </w:pPr>
      <w:r w:rsidRPr="00237176">
        <w:t>The European Court of Human Rights (</w:t>
      </w:r>
      <w:r w:rsidRPr="00237176" w:rsidR="00803109">
        <w:t>Second Section</w:t>
      </w:r>
      <w:r w:rsidRPr="00237176">
        <w:t xml:space="preserve">), sitting as a </w:t>
      </w:r>
      <w:r w:rsidRPr="00237176" w:rsidR="00803109">
        <w:t>Committee</w:t>
      </w:r>
      <w:r w:rsidRPr="00237176">
        <w:t xml:space="preserve"> composed of:</w:t>
      </w:r>
    </w:p>
    <w:p w:rsidRPr="00237176" w:rsidR="00D420F3" w:rsidP="00237176" w:rsidRDefault="00363F6C">
      <w:pPr>
        <w:pStyle w:val="JuJudges"/>
      </w:pPr>
      <w:r w:rsidRPr="00237176">
        <w:tab/>
        <w:t>Julia Laffranque,</w:t>
      </w:r>
      <w:r w:rsidRPr="00237176">
        <w:rPr>
          <w:i/>
        </w:rPr>
        <w:t xml:space="preserve"> President,</w:t>
      </w:r>
      <w:r w:rsidRPr="00237176">
        <w:rPr>
          <w:i/>
        </w:rPr>
        <w:br/>
      </w:r>
      <w:r w:rsidRPr="00237176">
        <w:tab/>
        <w:t xml:space="preserve">Ivana </w:t>
      </w:r>
      <w:proofErr w:type="spellStart"/>
      <w:r w:rsidRPr="00237176">
        <w:t>Jelić</w:t>
      </w:r>
      <w:proofErr w:type="spellEnd"/>
      <w:r w:rsidRPr="00237176">
        <w:t>,</w:t>
      </w:r>
      <w:r w:rsidRPr="00237176">
        <w:rPr>
          <w:i/>
        </w:rPr>
        <w:br/>
      </w:r>
      <w:r w:rsidRPr="00237176">
        <w:tab/>
      </w:r>
      <w:proofErr w:type="spellStart"/>
      <w:r w:rsidRPr="00237176">
        <w:t>Arnfinn</w:t>
      </w:r>
      <w:proofErr w:type="spellEnd"/>
      <w:r w:rsidRPr="00237176">
        <w:t xml:space="preserve"> </w:t>
      </w:r>
      <w:proofErr w:type="spellStart"/>
      <w:r w:rsidRPr="00237176">
        <w:t>Bårdsen</w:t>
      </w:r>
      <w:proofErr w:type="spellEnd"/>
      <w:r w:rsidRPr="00237176">
        <w:t>,</w:t>
      </w:r>
      <w:r w:rsidRPr="00237176">
        <w:rPr>
          <w:i/>
        </w:rPr>
        <w:t xml:space="preserve"> judges,</w:t>
      </w:r>
      <w:r w:rsidRPr="00237176" w:rsidR="0077175D">
        <w:rPr>
          <w:szCs w:val="24"/>
        </w:rPr>
        <w:br/>
      </w:r>
      <w:r w:rsidRPr="00237176" w:rsidR="0077175D">
        <w:t xml:space="preserve">and </w:t>
      </w:r>
      <w:r w:rsidRPr="00237176" w:rsidR="00803109">
        <w:t>Hasan Bakırcı</w:t>
      </w:r>
      <w:r w:rsidRPr="00237176" w:rsidR="0077175D">
        <w:t xml:space="preserve">, </w:t>
      </w:r>
      <w:r w:rsidRPr="00237176" w:rsidR="00803109">
        <w:rPr>
          <w:i/>
        </w:rPr>
        <w:t xml:space="preserve">Deputy Section </w:t>
      </w:r>
      <w:r w:rsidRPr="00237176" w:rsidR="00803109">
        <w:rPr>
          <w:i/>
          <w:iCs/>
        </w:rPr>
        <w:t>Registrar</w:t>
      </w:r>
      <w:r w:rsidRPr="00237176" w:rsidR="0077175D">
        <w:rPr>
          <w:i/>
        </w:rPr>
        <w:t>,</w:t>
      </w:r>
    </w:p>
    <w:p w:rsidRPr="00237176" w:rsidR="00D420F3" w:rsidP="00237176" w:rsidRDefault="0077175D">
      <w:pPr>
        <w:pStyle w:val="JuPara"/>
      </w:pPr>
      <w:r w:rsidRPr="00237176">
        <w:t xml:space="preserve">Having deliberated in private on </w:t>
      </w:r>
      <w:r w:rsidRPr="00237176" w:rsidR="00363F6C">
        <w:t>11 June 2019</w:t>
      </w:r>
      <w:r w:rsidRPr="00237176">
        <w:t>,</w:t>
      </w:r>
    </w:p>
    <w:p w:rsidRPr="00237176" w:rsidR="00D420F3" w:rsidP="00237176" w:rsidRDefault="0077175D">
      <w:pPr>
        <w:pStyle w:val="JuPara"/>
      </w:pPr>
      <w:r w:rsidRPr="00237176">
        <w:t>Delivers the following judgment, which was adopted on that date:</w:t>
      </w:r>
    </w:p>
    <w:p w:rsidRPr="00237176" w:rsidR="00D420F3" w:rsidP="00237176" w:rsidRDefault="0077175D">
      <w:pPr>
        <w:pStyle w:val="JuHHead"/>
      </w:pPr>
      <w:r w:rsidRPr="00237176">
        <w:t>PROCEDURE</w:t>
      </w:r>
    </w:p>
    <w:p w:rsidRPr="00237176" w:rsidR="00803109" w:rsidP="00237176" w:rsidRDefault="00803109">
      <w:pPr>
        <w:pStyle w:val="JuPara"/>
      </w:pPr>
      <w:r w:rsidRPr="00237176">
        <w:fldChar w:fldCharType="begin"/>
      </w:r>
      <w:r w:rsidRPr="00237176">
        <w:instrText xml:space="preserve"> SEQ level0 \*arabic </w:instrText>
      </w:r>
      <w:r w:rsidRPr="00237176">
        <w:fldChar w:fldCharType="separate"/>
      </w:r>
      <w:r w:rsidRPr="00237176" w:rsidR="00237176">
        <w:rPr>
          <w:noProof/>
        </w:rPr>
        <w:t>1</w:t>
      </w:r>
      <w:r w:rsidRPr="00237176">
        <w:fldChar w:fldCharType="end"/>
      </w:r>
      <w:r w:rsidRPr="00237176" w:rsidR="0077175D">
        <w:t xml:space="preserve">.  The case originated in </w:t>
      </w:r>
      <w:r w:rsidRPr="00237176">
        <w:t>an application (no. 57468/08)</w:t>
      </w:r>
      <w:r w:rsidRPr="00237176" w:rsidR="0077175D">
        <w:t xml:space="preserve"> against </w:t>
      </w:r>
      <w:r w:rsidRPr="00237176">
        <w:t>the Republic of Moldova</w:t>
      </w:r>
      <w:r w:rsidRPr="00237176" w:rsidR="0077175D">
        <w:t xml:space="preserve"> lodged with the </w:t>
      </w:r>
      <w:r w:rsidRPr="00237176">
        <w:t>Court under Article 34</w:t>
      </w:r>
      <w:r w:rsidRPr="00237176" w:rsidR="0077175D">
        <w:t xml:space="preserve"> of the Convention for the Protection of Human Rights and Fundamental Freedoms (“the Convention”) by </w:t>
      </w:r>
      <w:r w:rsidRPr="00237176">
        <w:t xml:space="preserve">a Moldovan national, Mr </w:t>
      </w:r>
      <w:proofErr w:type="spellStart"/>
      <w:r w:rsidRPr="00237176">
        <w:t>Viorel</w:t>
      </w:r>
      <w:proofErr w:type="spellEnd"/>
      <w:r w:rsidRPr="00237176">
        <w:t xml:space="preserve"> </w:t>
      </w:r>
      <w:proofErr w:type="spellStart"/>
      <w:r w:rsidRPr="00237176">
        <w:t>Panteleiciuc</w:t>
      </w:r>
      <w:proofErr w:type="spellEnd"/>
      <w:r w:rsidRPr="00237176">
        <w:t xml:space="preserve"> (“the applicant”), on 27 November 2008</w:t>
      </w:r>
      <w:r w:rsidRPr="00237176" w:rsidR="0077175D">
        <w:t>.</w:t>
      </w:r>
    </w:p>
    <w:p w:rsidRPr="00237176" w:rsidR="00D420F3" w:rsidP="00237176" w:rsidRDefault="00803109">
      <w:pPr>
        <w:pStyle w:val="JuPara"/>
      </w:pPr>
      <w:r w:rsidRPr="00237176">
        <w:fldChar w:fldCharType="begin"/>
      </w:r>
      <w:r w:rsidRPr="00237176">
        <w:instrText xml:space="preserve"> SEQ level0 \*arabic </w:instrText>
      </w:r>
      <w:r w:rsidRPr="00237176">
        <w:fldChar w:fldCharType="separate"/>
      </w:r>
      <w:r w:rsidRPr="00237176" w:rsidR="00237176">
        <w:rPr>
          <w:noProof/>
        </w:rPr>
        <w:t>2</w:t>
      </w:r>
      <w:r w:rsidRPr="00237176">
        <w:fldChar w:fldCharType="end"/>
      </w:r>
      <w:r w:rsidRPr="00237176" w:rsidR="0077175D">
        <w:t>.  </w:t>
      </w:r>
      <w:r w:rsidRPr="00237176">
        <w:t xml:space="preserve">The applicant was represented by Mr A. </w:t>
      </w:r>
      <w:proofErr w:type="spellStart"/>
      <w:r w:rsidRPr="00237176">
        <w:t>Postică</w:t>
      </w:r>
      <w:proofErr w:type="spellEnd"/>
      <w:r w:rsidRPr="00237176">
        <w:t xml:space="preserve"> a lawyer practising in </w:t>
      </w:r>
      <w:proofErr w:type="spellStart"/>
      <w:r w:rsidRPr="00237176" w:rsidR="00AF572D">
        <w:t>Chișinău</w:t>
      </w:r>
      <w:proofErr w:type="spellEnd"/>
      <w:r w:rsidRPr="00237176">
        <w:t xml:space="preserve">. </w:t>
      </w:r>
      <w:r w:rsidRPr="00237176" w:rsidR="0077175D">
        <w:t xml:space="preserve">The </w:t>
      </w:r>
      <w:r w:rsidRPr="00237176">
        <w:t>Moldovan</w:t>
      </w:r>
      <w:r w:rsidRPr="00237176" w:rsidR="0077175D">
        <w:t xml:space="preserve"> Government </w:t>
      </w:r>
      <w:proofErr w:type="gramStart"/>
      <w:r w:rsidRPr="00237176" w:rsidR="0077175D">
        <w:t>were</w:t>
      </w:r>
      <w:proofErr w:type="gramEnd"/>
      <w:r w:rsidRPr="00237176" w:rsidR="0077175D">
        <w:t xml:space="preserve"> represented by their Agent, Mr</w:t>
      </w:r>
      <w:r w:rsidRPr="00237176" w:rsidR="00665C43">
        <w:t> L. Apostol. The Russian Government were represented by their Agent, Mr G</w:t>
      </w:r>
      <w:r w:rsidRPr="00237176" w:rsidR="008E4AC0">
        <w:t>.</w:t>
      </w:r>
      <w:r w:rsidRPr="00237176" w:rsidR="00665C43">
        <w:t xml:space="preserve"> </w:t>
      </w:r>
      <w:proofErr w:type="spellStart"/>
      <w:r w:rsidRPr="00237176" w:rsidR="00665C43">
        <w:t>Matyushkin</w:t>
      </w:r>
      <w:proofErr w:type="spellEnd"/>
      <w:r w:rsidRPr="00237176" w:rsidR="00665C43">
        <w:t xml:space="preserve">, </w:t>
      </w:r>
      <w:proofErr w:type="gramStart"/>
      <w:r w:rsidRPr="00237176" w:rsidR="008E4AC0">
        <w:t>the</w:t>
      </w:r>
      <w:proofErr w:type="gramEnd"/>
      <w:r w:rsidRPr="00237176" w:rsidR="008E4AC0">
        <w:t xml:space="preserve"> Representative of the Russian Federation to the European Court of Human Rights</w:t>
      </w:r>
      <w:r w:rsidRPr="00237176" w:rsidR="0077175D">
        <w:t>.</w:t>
      </w:r>
    </w:p>
    <w:p w:rsidRPr="00237176" w:rsidR="00D420F3" w:rsidP="00237176" w:rsidRDefault="00803109">
      <w:pPr>
        <w:pStyle w:val="JuPara"/>
      </w:pPr>
      <w:r w:rsidRPr="00237176">
        <w:fldChar w:fldCharType="begin"/>
      </w:r>
      <w:r w:rsidRPr="00237176">
        <w:instrText xml:space="preserve"> SEQ level0 \*arabic </w:instrText>
      </w:r>
      <w:r w:rsidRPr="00237176">
        <w:fldChar w:fldCharType="separate"/>
      </w:r>
      <w:r w:rsidRPr="00237176" w:rsidR="00237176">
        <w:rPr>
          <w:noProof/>
        </w:rPr>
        <w:t>3</w:t>
      </w:r>
      <w:r w:rsidRPr="00237176">
        <w:fldChar w:fldCharType="end"/>
      </w:r>
      <w:r w:rsidRPr="00237176" w:rsidR="0077175D">
        <w:t>.  </w:t>
      </w:r>
      <w:r w:rsidRPr="00237176">
        <w:t xml:space="preserve">On </w:t>
      </w:r>
      <w:r w:rsidRPr="00237176">
        <w:rPr>
          <w:szCs w:val="24"/>
        </w:rPr>
        <w:t>17 January 2013</w:t>
      </w:r>
      <w:r w:rsidRPr="00237176" w:rsidR="0077175D">
        <w:t xml:space="preserve"> the </w:t>
      </w:r>
      <w:r w:rsidRPr="00237176" w:rsidR="003C155B">
        <w:rPr>
          <w:szCs w:val="24"/>
        </w:rPr>
        <w:t>complaint under Article 6 § 1 of the Convention</w:t>
      </w:r>
      <w:r w:rsidRPr="00237176">
        <w:rPr>
          <w:szCs w:val="24"/>
        </w:rPr>
        <w:t xml:space="preserve"> was communicated to the </w:t>
      </w:r>
      <w:r w:rsidRPr="00237176" w:rsidR="00932642">
        <w:rPr>
          <w:szCs w:val="24"/>
        </w:rPr>
        <w:t xml:space="preserve">respondent </w:t>
      </w:r>
      <w:r w:rsidRPr="00237176">
        <w:rPr>
          <w:szCs w:val="24"/>
        </w:rPr>
        <w:t>Government</w:t>
      </w:r>
      <w:r w:rsidRPr="00237176" w:rsidR="00932642">
        <w:rPr>
          <w:szCs w:val="24"/>
        </w:rPr>
        <w:t>s</w:t>
      </w:r>
      <w:r w:rsidRPr="00237176" w:rsidR="0077175D">
        <w:t>.</w:t>
      </w:r>
    </w:p>
    <w:p w:rsidRPr="00237176" w:rsidR="00B85078" w:rsidP="00237176" w:rsidRDefault="00B85078">
      <w:pPr>
        <w:pStyle w:val="JuPara"/>
      </w:pPr>
      <w:r w:rsidRPr="00237176">
        <w:fldChar w:fldCharType="begin"/>
      </w:r>
      <w:r w:rsidRPr="00237176">
        <w:instrText xml:space="preserve"> SEQ level0 \*arabic </w:instrText>
      </w:r>
      <w:r w:rsidRPr="00237176">
        <w:fldChar w:fldCharType="separate"/>
      </w:r>
      <w:r w:rsidRPr="00237176" w:rsidR="00237176">
        <w:rPr>
          <w:noProof/>
        </w:rPr>
        <w:t>4</w:t>
      </w:r>
      <w:r w:rsidRPr="00237176">
        <w:fldChar w:fldCharType="end"/>
      </w:r>
      <w:r w:rsidRPr="00237176">
        <w:t>.  The Russian Government objected to the examination of the application by a Committee. After having considered the Russian Government</w:t>
      </w:r>
      <w:r w:rsidRPr="00237176" w:rsidR="00237176">
        <w:t>’</w:t>
      </w:r>
      <w:r w:rsidRPr="00237176">
        <w:t>s objection, the Court rejects it.</w:t>
      </w:r>
    </w:p>
    <w:p w:rsidRPr="00237176" w:rsidR="00D420F3" w:rsidP="00237176" w:rsidRDefault="0077175D">
      <w:pPr>
        <w:pStyle w:val="JuHHead"/>
      </w:pPr>
      <w:r w:rsidRPr="00237176">
        <w:t>THE FACTS</w:t>
      </w:r>
    </w:p>
    <w:p w:rsidRPr="00237176" w:rsidR="00D420F3" w:rsidP="00237176" w:rsidRDefault="00F129E3">
      <w:pPr>
        <w:pStyle w:val="JuHIRoman"/>
      </w:pPr>
      <w:r w:rsidRPr="00237176">
        <w:t> </w:t>
      </w:r>
      <w:r w:rsidRPr="00237176" w:rsidR="0077175D">
        <w:t>THE CIRCUMSTANCES OF THE CASE</w:t>
      </w:r>
    </w:p>
    <w:p w:rsidRPr="00237176" w:rsidR="00D420F3" w:rsidP="00237176" w:rsidRDefault="00803109">
      <w:pPr>
        <w:pStyle w:val="JuPara"/>
      </w:pPr>
      <w:r w:rsidRPr="00237176">
        <w:fldChar w:fldCharType="begin"/>
      </w:r>
      <w:r w:rsidRPr="00237176">
        <w:instrText xml:space="preserve"> SEQ level0 \*arabic </w:instrText>
      </w:r>
      <w:r w:rsidRPr="00237176">
        <w:fldChar w:fldCharType="separate"/>
      </w:r>
      <w:r w:rsidRPr="00237176" w:rsidR="00237176">
        <w:rPr>
          <w:noProof/>
        </w:rPr>
        <w:t>5</w:t>
      </w:r>
      <w:r w:rsidRPr="00237176">
        <w:fldChar w:fldCharType="end"/>
      </w:r>
      <w:r w:rsidRPr="00237176" w:rsidR="0077175D">
        <w:t xml:space="preserve">.  The </w:t>
      </w:r>
      <w:r w:rsidRPr="00237176">
        <w:t>applicant was born in 1980 and lives</w:t>
      </w:r>
      <w:r w:rsidRPr="00237176" w:rsidR="0077175D">
        <w:t xml:space="preserve"> in </w:t>
      </w:r>
      <w:r w:rsidRPr="00237176" w:rsidR="00932642">
        <w:t>Grim</w:t>
      </w:r>
      <w:r w:rsidRPr="00237176" w:rsidR="00932642">
        <w:rPr>
          <w:lang w:val="ro-RO"/>
        </w:rPr>
        <w:t>ă</w:t>
      </w:r>
      <w:proofErr w:type="spellStart"/>
      <w:r w:rsidRPr="00237176" w:rsidR="00932642">
        <w:t>ncău</w:t>
      </w:r>
      <w:proofErr w:type="spellEnd"/>
      <w:r w:rsidRPr="00237176" w:rsidR="00932642">
        <w:rPr>
          <w:lang w:val="ro-RO"/>
        </w:rPr>
        <w:t>ți</w:t>
      </w:r>
      <w:r w:rsidRPr="00237176" w:rsidR="0077175D">
        <w:t>.</w:t>
      </w:r>
    </w:p>
    <w:p w:rsidRPr="00237176" w:rsidR="00D420F3" w:rsidP="00237176" w:rsidRDefault="00803109">
      <w:pPr>
        <w:pStyle w:val="JuPara"/>
      </w:pPr>
      <w:r w:rsidRPr="00237176">
        <w:fldChar w:fldCharType="begin"/>
      </w:r>
      <w:r w:rsidRPr="00237176">
        <w:instrText xml:space="preserve"> SEQ level0 \*arabic </w:instrText>
      </w:r>
      <w:r w:rsidRPr="00237176">
        <w:fldChar w:fldCharType="separate"/>
      </w:r>
      <w:r w:rsidRPr="00237176" w:rsidR="00237176">
        <w:rPr>
          <w:noProof/>
        </w:rPr>
        <w:t>6</w:t>
      </w:r>
      <w:r w:rsidRPr="00237176">
        <w:fldChar w:fldCharType="end"/>
      </w:r>
      <w:r w:rsidRPr="00237176" w:rsidR="0077175D">
        <w:t>.  </w:t>
      </w:r>
      <w:r w:rsidRPr="00237176" w:rsidR="00932642">
        <w:t>The facts of the case, as submitted by the parties, may be summarised as follows.</w:t>
      </w:r>
    </w:p>
    <w:p w:rsidRPr="00237176" w:rsidR="00932642" w:rsidP="00237176" w:rsidRDefault="00932642">
      <w:pPr>
        <w:pStyle w:val="JuHA"/>
      </w:pPr>
      <w:r w:rsidRPr="00237176">
        <w:t>The applicant</w:t>
      </w:r>
      <w:r w:rsidRPr="00237176" w:rsidR="00237176">
        <w:t>’</w:t>
      </w:r>
      <w:r w:rsidRPr="00237176">
        <w:t>s arrest and administrative proceedings</w:t>
      </w:r>
    </w:p>
    <w:p w:rsidRPr="00237176" w:rsidR="00932642"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7</w:t>
      </w:r>
      <w:r w:rsidRPr="00237176">
        <w:rPr>
          <w:noProof/>
        </w:rPr>
        <w:fldChar w:fldCharType="end"/>
      </w:r>
      <w:r w:rsidRPr="00237176" w:rsidR="00932642">
        <w:t xml:space="preserve">.  The applicant is a farmer who grows and sells potatoes. On 5 February 2008 he and his brother went to the </w:t>
      </w:r>
      <w:proofErr w:type="spellStart"/>
      <w:r w:rsidRPr="00237176" w:rsidR="00932642">
        <w:t>Varni</w:t>
      </w:r>
      <w:proofErr w:type="spellEnd"/>
      <w:r w:rsidRPr="00237176" w:rsidR="00932642">
        <w:rPr>
          <w:lang w:val="ro-RO"/>
        </w:rPr>
        <w:t>ța</w:t>
      </w:r>
      <w:r w:rsidRPr="00237176" w:rsidR="00932642">
        <w:t xml:space="preserve"> village, in the vicinity of the city of </w:t>
      </w:r>
      <w:smartTag w:uri="urn:schemas-microsoft-com:office:smarttags" w:element="City">
        <w:smartTag w:uri="urn:schemas-microsoft-com:office:smarttags" w:element="place">
          <w:r w:rsidR="00932642" w:rsidRPr="00237176">
            <w:t>Bender/</w:t>
          </w:r>
          <w:proofErr w:type="spellStart"/>
          <w:r w:rsidR="00932642" w:rsidRPr="00237176">
            <w:t>Tighina</w:t>
          </w:r>
        </w:smartTag>
      </w:smartTag>
      <w:proofErr w:type="spellEnd"/>
      <w:r w:rsidRPr="00237176" w:rsidR="00932642">
        <w:t xml:space="preserve">. The latter is controlled by the authorities of the self-proclaimed “Moldovan Republic of </w:t>
      </w:r>
      <w:proofErr w:type="spellStart"/>
      <w:r w:rsidRPr="00237176" w:rsidR="00932642">
        <w:t>Transdiestria</w:t>
      </w:r>
      <w:proofErr w:type="spellEnd"/>
      <w:r w:rsidRPr="00237176" w:rsidR="00932642">
        <w:t xml:space="preserve">” (“the MRT”), while </w:t>
      </w:r>
      <w:proofErr w:type="spellStart"/>
      <w:r w:rsidRPr="00237176" w:rsidR="00932642">
        <w:t>Varni</w:t>
      </w:r>
      <w:proofErr w:type="spellEnd"/>
      <w:r w:rsidRPr="00237176" w:rsidR="00932642">
        <w:rPr>
          <w:lang w:val="ro-RO"/>
        </w:rPr>
        <w:t>ța</w:t>
      </w:r>
      <w:r w:rsidRPr="00237176" w:rsidR="00932642">
        <w:t xml:space="preserve"> itself is under Moldovan control.</w:t>
      </w:r>
    </w:p>
    <w:p w:rsidRPr="00237176" w:rsidR="00932642"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8</w:t>
      </w:r>
      <w:r w:rsidRPr="00237176">
        <w:rPr>
          <w:noProof/>
        </w:rPr>
        <w:fldChar w:fldCharType="end"/>
      </w:r>
      <w:r w:rsidRPr="00237176" w:rsidR="00932642">
        <w:t xml:space="preserve">.  Having sold potatoes for some time in various places in </w:t>
      </w:r>
      <w:proofErr w:type="spellStart"/>
      <w:r w:rsidRPr="00237176" w:rsidR="00932642">
        <w:t>Varni</w:t>
      </w:r>
      <w:proofErr w:type="spellEnd"/>
      <w:r w:rsidRPr="00237176" w:rsidR="00932642">
        <w:rPr>
          <w:lang w:val="ro-RO"/>
        </w:rPr>
        <w:t>ța</w:t>
      </w:r>
      <w:r w:rsidRPr="00237176" w:rsidR="00932642">
        <w:t xml:space="preserve">, with authorisation from the local administration, </w:t>
      </w:r>
      <w:r w:rsidRPr="00237176" w:rsidR="00C12E98">
        <w:t xml:space="preserve">on 5 February 2008 </w:t>
      </w:r>
      <w:r w:rsidRPr="00237176" w:rsidR="00932642">
        <w:t xml:space="preserve">at around 2.30 p.m. the applicant was approached by plain clothed officers of the “MRT” customs authority. The latter asked for documents for the merchandise, including evidence of payment of taxes for importing merchandise into the </w:t>
      </w:r>
      <w:r w:rsidRPr="00237176" w:rsidR="00AF572D">
        <w:t>“</w:t>
      </w:r>
      <w:r w:rsidRPr="00237176" w:rsidR="00932642">
        <w:t xml:space="preserve">MRT”. The applicant explained that he had all the relevant documents and had paid taxes to the Moldovan local authorities in </w:t>
      </w:r>
      <w:proofErr w:type="spellStart"/>
      <w:r w:rsidRPr="00237176" w:rsidR="00932642">
        <w:t>Varni</w:t>
      </w:r>
      <w:proofErr w:type="spellEnd"/>
      <w:r w:rsidRPr="00237176" w:rsidR="00932642">
        <w:rPr>
          <w:lang w:val="ro-RO"/>
        </w:rPr>
        <w:t>ța</w:t>
      </w:r>
      <w:r w:rsidRPr="00237176" w:rsidR="00932642">
        <w:t>. Shortly thereafter two more officers from the “MRT” security and customs authorities arrived in a car. When the applicant</w:t>
      </w:r>
      <w:r w:rsidRPr="00237176" w:rsidR="00237176">
        <w:t>’</w:t>
      </w:r>
      <w:r w:rsidRPr="00237176" w:rsidR="00932642">
        <w:t xml:space="preserve">s brother announced that he had called the Moldovan police, the applicant was attacked by the “MRT” officers, forced into their car and driven away. The Moldovan police arrived after the </w:t>
      </w:r>
      <w:r w:rsidRPr="00237176" w:rsidR="00CB1B5E">
        <w:t>impugned event</w:t>
      </w:r>
      <w:r w:rsidRPr="00237176" w:rsidR="00932642">
        <w:t>.</w:t>
      </w:r>
    </w:p>
    <w:p w:rsidRPr="00237176" w:rsidR="00932642"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9</w:t>
      </w:r>
      <w:r w:rsidRPr="00237176">
        <w:rPr>
          <w:noProof/>
        </w:rPr>
        <w:fldChar w:fldCharType="end"/>
      </w:r>
      <w:r w:rsidRPr="00237176" w:rsidR="00932642">
        <w:t>.  Later in the evening</w:t>
      </w:r>
      <w:r w:rsidRPr="00237176" w:rsidR="00905416">
        <w:t>,</w:t>
      </w:r>
      <w:r w:rsidRPr="00237176" w:rsidR="00932642">
        <w:t xml:space="preserve"> the applicant</w:t>
      </w:r>
      <w:r w:rsidRPr="00237176" w:rsidR="00237176">
        <w:t>’</w:t>
      </w:r>
      <w:r w:rsidRPr="00237176" w:rsidR="00932642">
        <w:t>s car with the remainder of merchandise was seized by the “MRT” customs authority. According to the applicant, an officer of the Moldovan police was present and did not interfere.</w:t>
      </w:r>
    </w:p>
    <w:bookmarkStart w:name="p_9_Bender_court_hearing" w:id="1"/>
    <w:p w:rsidRPr="00237176" w:rsidR="00DA5D09" w:rsidP="00237176" w:rsidRDefault="004F11C7">
      <w:pPr>
        <w:pStyle w:val="JuPara"/>
      </w:pPr>
      <w:r w:rsidRPr="00237176">
        <w:fldChar w:fldCharType="begin"/>
      </w:r>
      <w:r w:rsidRPr="00237176">
        <w:instrText xml:space="preserve"> SEQ level0 \*arabic </w:instrText>
      </w:r>
      <w:r w:rsidRPr="00237176">
        <w:fldChar w:fldCharType="separate"/>
      </w:r>
      <w:r w:rsidRPr="00237176" w:rsidR="00237176">
        <w:rPr>
          <w:noProof/>
        </w:rPr>
        <w:t>10</w:t>
      </w:r>
      <w:r w:rsidRPr="00237176">
        <w:rPr>
          <w:noProof/>
        </w:rPr>
        <w:fldChar w:fldCharType="end"/>
      </w:r>
      <w:bookmarkEnd w:id="1"/>
      <w:r w:rsidRPr="00237176" w:rsidR="00932642">
        <w:t>.  On 6 February 2008 the Bender city court</w:t>
      </w:r>
      <w:r w:rsidRPr="00237176" w:rsidR="00AF572D">
        <w:t xml:space="preserve"> (an “MRT” court)</w:t>
      </w:r>
      <w:r w:rsidRPr="00237176" w:rsidR="00932642">
        <w:t xml:space="preserve"> found the applicant guilty of having committed the administrative offence of resistance to the customs officers. The applicant explained that he considered having been arrested on Moldovan territory (</w:t>
      </w:r>
      <w:proofErr w:type="spellStart"/>
      <w:r w:rsidRPr="00237176" w:rsidR="00932642">
        <w:t>Varni</w:t>
      </w:r>
      <w:proofErr w:type="spellEnd"/>
      <w:r w:rsidRPr="00237176" w:rsidR="00932642">
        <w:rPr>
          <w:lang w:val="ro-RO"/>
        </w:rPr>
        <w:t>ța</w:t>
      </w:r>
      <w:r w:rsidRPr="00237176" w:rsidR="00932642">
        <w:t xml:space="preserve"> village) and not having seen any signs warning that he was about to cross into the territory under the </w:t>
      </w:r>
      <w:r w:rsidRPr="00237176" w:rsidR="00AF572D">
        <w:t>“</w:t>
      </w:r>
      <w:r w:rsidRPr="00237176" w:rsidR="00932642">
        <w:t>MRT</w:t>
      </w:r>
      <w:r w:rsidRPr="00237176" w:rsidR="00AF572D">
        <w:t>”</w:t>
      </w:r>
      <w:r w:rsidRPr="00237176" w:rsidR="00932642">
        <w:t xml:space="preserve"> control. The court sentenced him to three days</w:t>
      </w:r>
      <w:r w:rsidRPr="00237176" w:rsidR="00237176">
        <w:t>’</w:t>
      </w:r>
      <w:r w:rsidRPr="00237176" w:rsidR="00932642">
        <w:t xml:space="preserve"> detention. According to the applicant, the hearing took place in Russian, a language which he understood only to a limited degree, and in the absence of a translator. He was refused the right to be assisted by a lawyer when preparing for the hearing, and a court-appointed lawyer was only present at the court hearing, not assisting him in any manner. The applicant </w:t>
      </w:r>
      <w:r w:rsidRPr="00237176" w:rsidR="00AF572D">
        <w:t>was given</w:t>
      </w:r>
      <w:r w:rsidRPr="00237176" w:rsidR="00932642">
        <w:t xml:space="preserve"> </w:t>
      </w:r>
      <w:r w:rsidRPr="00237176" w:rsidR="00AF572D">
        <w:t>neither</w:t>
      </w:r>
      <w:r w:rsidRPr="00237176" w:rsidR="00932642">
        <w:t xml:space="preserve"> </w:t>
      </w:r>
      <w:r w:rsidRPr="00237176" w:rsidR="00AF572D">
        <w:t xml:space="preserve">a </w:t>
      </w:r>
      <w:r w:rsidRPr="00237176" w:rsidR="00932642">
        <w:t>copy of the record of his arrest prior to its examination by the court, nor a copy of the court decision of 6 February 2008.</w:t>
      </w:r>
    </w:p>
    <w:bookmarkStart w:name="p_10_TA_released" w:id="2"/>
    <w:p w:rsidRPr="00237176" w:rsidR="00932642" w:rsidP="00237176" w:rsidRDefault="004F11C7">
      <w:pPr>
        <w:pStyle w:val="JuPara"/>
      </w:pPr>
      <w:r w:rsidRPr="00237176">
        <w:fldChar w:fldCharType="begin"/>
      </w:r>
      <w:r w:rsidRPr="00237176">
        <w:instrText xml:space="preserve"> SEQ level0 \*arabic </w:instrText>
      </w:r>
      <w:r w:rsidRPr="00237176">
        <w:fldChar w:fldCharType="separate"/>
      </w:r>
      <w:r w:rsidRPr="00237176" w:rsidR="00237176">
        <w:rPr>
          <w:noProof/>
        </w:rPr>
        <w:t>11</w:t>
      </w:r>
      <w:r w:rsidRPr="00237176">
        <w:rPr>
          <w:noProof/>
        </w:rPr>
        <w:fldChar w:fldCharType="end"/>
      </w:r>
      <w:bookmarkEnd w:id="2"/>
      <w:r w:rsidRPr="00237176" w:rsidR="00932642">
        <w:t>.  The decision was enforced immediately and the applicant served all three days until the evening of 8 February 2008, when he was released. He could recover his car and merchandise at 11 p.m. on the same day.</w:t>
      </w:r>
    </w:p>
    <w:bookmarkStart w:name="p_11_TA_appeal" w:id="3"/>
    <w:p w:rsidRPr="00237176" w:rsidR="00932642" w:rsidP="00237176" w:rsidRDefault="004F11C7">
      <w:pPr>
        <w:pStyle w:val="JuPara"/>
      </w:pPr>
      <w:r w:rsidRPr="00237176">
        <w:fldChar w:fldCharType="begin"/>
      </w:r>
      <w:r w:rsidRPr="00237176">
        <w:instrText xml:space="preserve"> SEQ level0 \*arabic </w:instrText>
      </w:r>
      <w:r w:rsidRPr="00237176">
        <w:fldChar w:fldCharType="separate"/>
      </w:r>
      <w:r w:rsidRPr="00237176" w:rsidR="00237176">
        <w:rPr>
          <w:noProof/>
        </w:rPr>
        <w:t>12</w:t>
      </w:r>
      <w:r w:rsidRPr="00237176">
        <w:rPr>
          <w:noProof/>
        </w:rPr>
        <w:fldChar w:fldCharType="end"/>
      </w:r>
      <w:bookmarkEnd w:id="3"/>
      <w:r w:rsidRPr="00237176" w:rsidR="00932642">
        <w:t xml:space="preserve">.  On 15 February 2008 the applicant </w:t>
      </w:r>
      <w:r w:rsidRPr="00237176" w:rsidR="00953D61">
        <w:t>lodged a summary appeal</w:t>
      </w:r>
      <w:r w:rsidRPr="00237176" w:rsidR="00932642">
        <w:t xml:space="preserve"> against the decision of the first-instance court</w:t>
      </w:r>
      <w:r w:rsidRPr="00237176" w:rsidR="00953D61">
        <w:t>, noting that he would submit a full appeal once he received a copy of the decision of 6 February 2008</w:t>
      </w:r>
      <w:r w:rsidRPr="00237176" w:rsidR="00932642">
        <w:t>. At his request, on 17 March 2008 he obtained a copy of that decision.</w:t>
      </w:r>
    </w:p>
    <w:bookmarkStart w:name="p_12_MRT_SC_annuls_lower_court_dec" w:id="4"/>
    <w:p w:rsidRPr="00237176" w:rsidR="00932642" w:rsidP="00237176" w:rsidRDefault="00B224D9">
      <w:pPr>
        <w:pStyle w:val="JuPara"/>
      </w:pPr>
      <w:r w:rsidRPr="00237176">
        <w:fldChar w:fldCharType="begin"/>
      </w:r>
      <w:r w:rsidRPr="00237176">
        <w:instrText xml:space="preserve"> SEQ level0 \*arabic </w:instrText>
      </w:r>
      <w:r w:rsidRPr="00237176">
        <w:fldChar w:fldCharType="separate"/>
      </w:r>
      <w:r w:rsidRPr="00237176" w:rsidR="00237176">
        <w:rPr>
          <w:noProof/>
        </w:rPr>
        <w:t>13</w:t>
      </w:r>
      <w:r w:rsidRPr="00237176">
        <w:rPr>
          <w:noProof/>
        </w:rPr>
        <w:fldChar w:fldCharType="end"/>
      </w:r>
      <w:bookmarkEnd w:id="4"/>
      <w:r w:rsidRPr="00237176" w:rsidR="00932642">
        <w:t>.  On 18 March 2008 the “MRT</w:t>
      </w:r>
      <w:r w:rsidRPr="00237176" w:rsidR="000C3307">
        <w:t>”</w:t>
      </w:r>
      <w:r w:rsidRPr="00237176" w:rsidR="00932642">
        <w:t xml:space="preserve"> Supreme Court quashed the lower court</w:t>
      </w:r>
      <w:r w:rsidRPr="00237176" w:rsidR="00237176">
        <w:t>’</w:t>
      </w:r>
      <w:r w:rsidRPr="00237176" w:rsidR="00932642">
        <w:t>s decision because of the failure to specify the exact place where the offence had been committed. The case was sent for re-examination by the lower court. The applicant was not informed of that decision. On 25 April 2008 the “MRT</w:t>
      </w:r>
      <w:r w:rsidRPr="00237176" w:rsidR="000C3307">
        <w:t>”</w:t>
      </w:r>
      <w:r w:rsidRPr="00237176" w:rsidR="00932642">
        <w:t xml:space="preserve"> Supreme Court accepted an extraordinary appeal lodged by the president of that court</w:t>
      </w:r>
      <w:r w:rsidRPr="00237176" w:rsidR="00237176">
        <w:t>’</w:t>
      </w:r>
      <w:r w:rsidRPr="00237176" w:rsidR="00932642">
        <w:t>s chair and decided that the case was to be re-examined by that court. The applicant was not informed of that decision.</w:t>
      </w:r>
    </w:p>
    <w:bookmarkStart w:name="p_13_MRT_SC_hearing" w:id="5"/>
    <w:p w:rsidRPr="00237176" w:rsidR="00932642" w:rsidP="00237176" w:rsidRDefault="004F11C7">
      <w:pPr>
        <w:pStyle w:val="JuPara"/>
      </w:pPr>
      <w:r w:rsidRPr="00237176">
        <w:fldChar w:fldCharType="begin"/>
      </w:r>
      <w:r w:rsidRPr="00237176">
        <w:instrText xml:space="preserve"> SEQ level0 \*arabic </w:instrText>
      </w:r>
      <w:r w:rsidRPr="00237176">
        <w:fldChar w:fldCharType="separate"/>
      </w:r>
      <w:r w:rsidRPr="00237176" w:rsidR="00237176">
        <w:rPr>
          <w:noProof/>
        </w:rPr>
        <w:t>14</w:t>
      </w:r>
      <w:r w:rsidRPr="00237176">
        <w:rPr>
          <w:noProof/>
        </w:rPr>
        <w:fldChar w:fldCharType="end"/>
      </w:r>
      <w:bookmarkEnd w:id="5"/>
      <w:r w:rsidRPr="00237176" w:rsidR="00932642">
        <w:t xml:space="preserve">.  On 27 May 2008 the applicant received by </w:t>
      </w:r>
      <w:r w:rsidRPr="00237176" w:rsidR="00DB2A98">
        <w:t>fax</w:t>
      </w:r>
      <w:r w:rsidRPr="00237176" w:rsidR="00932642">
        <w:t xml:space="preserve"> a letter dated 12 May 2008 summoning him to the hearing of the “MRT</w:t>
      </w:r>
      <w:r w:rsidRPr="00237176" w:rsidR="000C3307">
        <w:t>” Supreme Court</w:t>
      </w:r>
      <w:r w:rsidRPr="00237176" w:rsidR="00932642">
        <w:t xml:space="preserve"> on 27</w:t>
      </w:r>
      <w:r w:rsidRPr="00237176" w:rsidR="00DB2A98">
        <w:t> </w:t>
      </w:r>
      <w:r w:rsidRPr="00237176" w:rsidR="00932642">
        <w:t>May 2008</w:t>
      </w:r>
      <w:r w:rsidRPr="00237176" w:rsidR="00DB2A98">
        <w:t xml:space="preserve"> at 10 </w:t>
      </w:r>
      <w:r w:rsidRPr="00237176" w:rsidR="003C155B">
        <w:t>a</w:t>
      </w:r>
      <w:r w:rsidRPr="00237176" w:rsidR="00DB2A98">
        <w:t>.</w:t>
      </w:r>
      <w:r w:rsidRPr="00237176" w:rsidR="003C155B">
        <w:t>m</w:t>
      </w:r>
      <w:r w:rsidRPr="00237176" w:rsidR="00DB2A98">
        <w:t>.</w:t>
      </w:r>
      <w:r w:rsidRPr="00237176" w:rsidR="00932642">
        <w:t xml:space="preserve"> Because of this late summoning he could not appear at the hearing. On the same day the court rejected the applicant</w:t>
      </w:r>
      <w:r w:rsidRPr="00237176" w:rsidR="00237176">
        <w:t>’</w:t>
      </w:r>
      <w:r w:rsidRPr="00237176" w:rsidR="00932642">
        <w:t xml:space="preserve">s appeal against the decision of 6 February 2008, finding that he had been arrested on the territory of the city of Bender after refusing to abide by orders of the </w:t>
      </w:r>
      <w:r w:rsidRPr="00237176" w:rsidR="00AF572D">
        <w:t>“</w:t>
      </w:r>
      <w:r w:rsidRPr="00237176" w:rsidR="00932642">
        <w:t>MRT</w:t>
      </w:r>
      <w:r w:rsidRPr="00237176" w:rsidR="00AF572D">
        <w:t>”</w:t>
      </w:r>
      <w:r w:rsidRPr="00237176" w:rsidR="00932642">
        <w:t xml:space="preserve"> customs authority.</w:t>
      </w:r>
    </w:p>
    <w:p w:rsidRPr="00237176" w:rsidR="00932642" w:rsidP="00237176" w:rsidRDefault="00932642">
      <w:pPr>
        <w:pStyle w:val="JuHA"/>
      </w:pPr>
      <w:r w:rsidRPr="00237176">
        <w:t>Complaints made to the Moldovan and foreign authorities</w:t>
      </w:r>
    </w:p>
    <w:p w:rsidRPr="00237176" w:rsidR="00932642"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15</w:t>
      </w:r>
      <w:r w:rsidRPr="00237176">
        <w:rPr>
          <w:noProof/>
        </w:rPr>
        <w:fldChar w:fldCharType="end"/>
      </w:r>
      <w:r w:rsidRPr="00237176" w:rsidR="00932642">
        <w:t>.  On 6 February 2008 the applicant</w:t>
      </w:r>
      <w:r w:rsidRPr="00237176" w:rsidR="00237176">
        <w:t>’</w:t>
      </w:r>
      <w:r w:rsidRPr="00237176" w:rsidR="00932642">
        <w:t>s brother made a criminal complaint in the applicant</w:t>
      </w:r>
      <w:r w:rsidRPr="00237176" w:rsidR="00237176">
        <w:t>’</w:t>
      </w:r>
      <w:r w:rsidRPr="00237176" w:rsidR="00932642">
        <w:t>s name to various Moldovan authorities, including the Prosecutor General</w:t>
      </w:r>
      <w:r w:rsidRPr="00237176" w:rsidR="00237176">
        <w:t>’</w:t>
      </w:r>
      <w:r w:rsidRPr="00237176" w:rsidR="00932642">
        <w:t>s Office, about the applicant</w:t>
      </w:r>
      <w:r w:rsidRPr="00237176" w:rsidR="00237176">
        <w:t>’</w:t>
      </w:r>
      <w:r w:rsidRPr="00237176" w:rsidR="00932642">
        <w:t xml:space="preserve">s unlawful arrest by officers from the </w:t>
      </w:r>
      <w:r w:rsidRPr="00237176" w:rsidR="000C3307">
        <w:t>“</w:t>
      </w:r>
      <w:r w:rsidRPr="00237176" w:rsidR="00932642">
        <w:t>MRT</w:t>
      </w:r>
      <w:r w:rsidRPr="00237176" w:rsidR="000C3307">
        <w:t>”</w:t>
      </w:r>
      <w:r w:rsidRPr="00237176" w:rsidR="00932642">
        <w:t>. He asked for the criminal prosecution of those responsible.</w:t>
      </w:r>
    </w:p>
    <w:p w:rsidRPr="00237176" w:rsidR="00932642"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16</w:t>
      </w:r>
      <w:r w:rsidRPr="00237176">
        <w:rPr>
          <w:noProof/>
        </w:rPr>
        <w:fldChar w:fldCharType="end"/>
      </w:r>
      <w:r w:rsidRPr="00237176" w:rsidR="00932642">
        <w:t>.  On 7 February 2008 the applicant</w:t>
      </w:r>
      <w:r w:rsidRPr="00237176" w:rsidR="00237176">
        <w:t>’</w:t>
      </w:r>
      <w:r w:rsidRPr="00237176" w:rsidR="00932642">
        <w:t>s brother sent a complaint about the applicant</w:t>
      </w:r>
      <w:r w:rsidRPr="00237176" w:rsidR="00237176">
        <w:t>’</w:t>
      </w:r>
      <w:r w:rsidRPr="00237176" w:rsidR="00932642">
        <w:t xml:space="preserve">s abduction by the </w:t>
      </w:r>
      <w:r w:rsidRPr="00237176" w:rsidR="000C3307">
        <w:t>“</w:t>
      </w:r>
      <w:r w:rsidRPr="00237176" w:rsidR="00932642">
        <w:t>MRT</w:t>
      </w:r>
      <w:r w:rsidRPr="00237176" w:rsidR="000C3307">
        <w:t>”</w:t>
      </w:r>
      <w:r w:rsidRPr="00237176" w:rsidR="00932642">
        <w:t xml:space="preserve"> authorities to the embassies of several countries in Moldova, including that of the Russian Federation. On 11 February 2008 the applicant </w:t>
      </w:r>
      <w:r w:rsidRPr="00237176" w:rsidR="00905416">
        <w:t>sent letters to various embassies, including that of the Russian Federation, thanking them</w:t>
      </w:r>
      <w:r w:rsidRPr="00237176" w:rsidR="00932642">
        <w:t xml:space="preserve"> for their intervention into the case by bringing the matter before the Joint Control Commission.</w:t>
      </w:r>
      <w:r w:rsidRPr="00237176" w:rsidR="00932642">
        <w:rPr>
          <w:rStyle w:val="FootnoteReference"/>
        </w:rPr>
        <w:footnoteReference w:id="1"/>
      </w:r>
      <w:r w:rsidRPr="00237176" w:rsidR="00932642">
        <w:t xml:space="preserve"> Following this alleged intervention the applicant</w:t>
      </w:r>
      <w:r w:rsidRPr="00237176" w:rsidR="00237176">
        <w:t>’</w:t>
      </w:r>
      <w:r w:rsidRPr="00237176" w:rsidR="00932642">
        <w:t>s car and merchandise were returned to him.</w:t>
      </w:r>
    </w:p>
    <w:bookmarkStart w:name="p_16_MDA_starts_crim_invest" w:id="6"/>
    <w:p w:rsidRPr="00237176" w:rsidR="00932642" w:rsidP="00237176" w:rsidRDefault="00B224D9">
      <w:pPr>
        <w:pStyle w:val="JuPara"/>
      </w:pPr>
      <w:r w:rsidRPr="00237176">
        <w:fldChar w:fldCharType="begin"/>
      </w:r>
      <w:r w:rsidRPr="00237176">
        <w:instrText xml:space="preserve"> SEQ level0 \*arabic </w:instrText>
      </w:r>
      <w:r w:rsidRPr="00237176">
        <w:fldChar w:fldCharType="separate"/>
      </w:r>
      <w:r w:rsidRPr="00237176" w:rsidR="00237176">
        <w:rPr>
          <w:noProof/>
        </w:rPr>
        <w:t>17</w:t>
      </w:r>
      <w:r w:rsidRPr="00237176">
        <w:rPr>
          <w:noProof/>
        </w:rPr>
        <w:fldChar w:fldCharType="end"/>
      </w:r>
      <w:bookmarkEnd w:id="6"/>
      <w:r w:rsidRPr="00237176" w:rsidR="00932642">
        <w:t xml:space="preserve">.  On 28 February 2008 the Moldovan police station in Bender started a criminal investigation </w:t>
      </w:r>
      <w:r w:rsidRPr="00237176" w:rsidR="003C155B">
        <w:t>into</w:t>
      </w:r>
      <w:r w:rsidRPr="00237176" w:rsidR="00932642">
        <w:t xml:space="preserve"> the applicant</w:t>
      </w:r>
      <w:r w:rsidRPr="00237176" w:rsidR="00237176">
        <w:t>’</w:t>
      </w:r>
      <w:r w:rsidRPr="00237176" w:rsidR="00932642">
        <w:t xml:space="preserve">s abduction by </w:t>
      </w:r>
      <w:r w:rsidRPr="00237176" w:rsidR="004905A4">
        <w:t>“</w:t>
      </w:r>
      <w:r w:rsidRPr="00237176" w:rsidR="00932642">
        <w:t>MRT</w:t>
      </w:r>
      <w:r w:rsidRPr="00237176" w:rsidR="004905A4">
        <w:t>”</w:t>
      </w:r>
      <w:r w:rsidRPr="00237176" w:rsidR="00932642">
        <w:t xml:space="preserve"> officers. </w:t>
      </w:r>
      <w:r w:rsidRPr="00237176" w:rsidR="0081629F">
        <w:t xml:space="preserve">Several witnesses </w:t>
      </w:r>
      <w:r w:rsidRPr="00237176" w:rsidR="00CE55E4">
        <w:t xml:space="preserve">confirmed that the applicant had been forcibly taken </w:t>
      </w:r>
      <w:r w:rsidRPr="00237176" w:rsidR="003C155B">
        <w:t>away in</w:t>
      </w:r>
      <w:r w:rsidRPr="00237176" w:rsidR="00CE55E4">
        <w:t xml:space="preserve"> a car from near </w:t>
      </w:r>
      <w:r w:rsidRPr="00237176" w:rsidR="00227B48">
        <w:t xml:space="preserve">a bar in </w:t>
      </w:r>
      <w:proofErr w:type="spellStart"/>
      <w:r w:rsidRPr="00237176" w:rsidR="00227B48">
        <w:t>Varni</w:t>
      </w:r>
      <w:proofErr w:type="spellEnd"/>
      <w:r w:rsidRPr="00237176" w:rsidR="00227B48">
        <w:rPr>
          <w:lang w:val="ro-RO"/>
        </w:rPr>
        <w:t>ț</w:t>
      </w:r>
      <w:r w:rsidRPr="00237176" w:rsidR="00CE55E4">
        <w:t xml:space="preserve">a village and </w:t>
      </w:r>
      <w:r w:rsidRPr="00237176" w:rsidR="00BE153E">
        <w:t xml:space="preserve">that </w:t>
      </w:r>
      <w:r w:rsidRPr="00237176" w:rsidR="00CE55E4">
        <w:t xml:space="preserve">two of the “MRT” officers were identified. </w:t>
      </w:r>
      <w:r w:rsidRPr="00237176" w:rsidR="000B38A5">
        <w:t xml:space="preserve">In view of the </w:t>
      </w:r>
      <w:r w:rsidRPr="00237176" w:rsidR="003C155B">
        <w:t>Moldovan prosecuting authorities</w:t>
      </w:r>
      <w:r w:rsidRPr="00237176" w:rsidR="00237176">
        <w:t>’</w:t>
      </w:r>
      <w:r w:rsidRPr="00237176" w:rsidR="003C155B">
        <w:t xml:space="preserve"> </w:t>
      </w:r>
      <w:r w:rsidRPr="00237176" w:rsidR="000B38A5">
        <w:t>inability to effectively prosecute persons on the territory controlled of the “MRT”, on 28 August 2008</w:t>
      </w:r>
      <w:r w:rsidRPr="00237176" w:rsidR="00BE153E">
        <w:t>,</w:t>
      </w:r>
      <w:r w:rsidRPr="00237176" w:rsidR="000B38A5">
        <w:t xml:space="preserve"> the investigation was suspended.</w:t>
      </w:r>
      <w:r w:rsidRPr="00237176" w:rsidR="0097737D">
        <w:t xml:space="preserve"> On 30 May 2013 the investigation was resumed and </w:t>
      </w:r>
      <w:r w:rsidRPr="00237176" w:rsidR="000557B4">
        <w:t>wa</w:t>
      </w:r>
      <w:r w:rsidRPr="00237176" w:rsidR="0097737D">
        <w:t>s pending</w:t>
      </w:r>
      <w:r w:rsidRPr="00237176" w:rsidR="000557B4">
        <w:t xml:space="preserve"> by the time of the last submissions made to the Court</w:t>
      </w:r>
      <w:r w:rsidRPr="00237176" w:rsidR="00AF1724">
        <w:t xml:space="preserve"> (</w:t>
      </w:r>
      <w:r w:rsidRPr="00237176" w:rsidR="005C39B9">
        <w:t xml:space="preserve">December </w:t>
      </w:r>
      <w:r w:rsidRPr="00237176" w:rsidR="00AF1724">
        <w:t>2013)</w:t>
      </w:r>
      <w:r w:rsidRPr="00237176" w:rsidR="0097737D">
        <w:t>.</w:t>
      </w:r>
      <w:r w:rsidRPr="00237176" w:rsidR="0089222C">
        <w:t xml:space="preserve"> </w:t>
      </w:r>
      <w:r w:rsidRPr="00237176" w:rsidR="00AF1724">
        <w:t>The parties did not inform the Court of any subsequent developments in that regard.</w:t>
      </w:r>
    </w:p>
    <w:p w:rsidRPr="00237176" w:rsidR="00D420F3" w:rsidP="00237176" w:rsidRDefault="0077175D">
      <w:pPr>
        <w:pStyle w:val="JuHHead"/>
      </w:pPr>
      <w:r w:rsidRPr="00237176">
        <w:t>THE LAW</w:t>
      </w:r>
    </w:p>
    <w:p w:rsidRPr="00237176" w:rsidR="00044FA0" w:rsidP="00237176" w:rsidRDefault="00F129E3">
      <w:pPr>
        <w:pStyle w:val="JuHIRoman"/>
      </w:pPr>
      <w:r w:rsidRPr="00237176">
        <w:t> </w:t>
      </w:r>
      <w:r w:rsidRPr="00237176" w:rsidR="00044FA0">
        <w:t>GENERAL ADMISSIBILITY ISSUES</w:t>
      </w:r>
    </w:p>
    <w:p w:rsidRPr="00237176" w:rsidR="00044FA0" w:rsidP="00237176" w:rsidRDefault="00044FA0">
      <w:pPr>
        <w:pStyle w:val="JuHA"/>
      </w:pPr>
      <w:r w:rsidRPr="00237176">
        <w:t>Jurisdiction</w:t>
      </w:r>
    </w:p>
    <w:p w:rsidRPr="00237176" w:rsidR="00044FA0" w:rsidP="00237176" w:rsidRDefault="00044FA0">
      <w:pPr>
        <w:pStyle w:val="JuPara"/>
      </w:pPr>
      <w:r w:rsidRPr="00237176">
        <w:fldChar w:fldCharType="begin"/>
      </w:r>
      <w:r w:rsidRPr="00237176">
        <w:instrText xml:space="preserve"> SEQ level0 \*arabic </w:instrText>
      </w:r>
      <w:r w:rsidRPr="00237176">
        <w:fldChar w:fldCharType="separate"/>
      </w:r>
      <w:r w:rsidRPr="00237176" w:rsidR="00237176">
        <w:rPr>
          <w:noProof/>
        </w:rPr>
        <w:t>18</w:t>
      </w:r>
      <w:r w:rsidRPr="00237176">
        <w:fldChar w:fldCharType="end"/>
      </w:r>
      <w:r w:rsidRPr="00237176">
        <w:t xml:space="preserve">.  The Russian Government argued that the applicant did not come within their jurisdiction. Consequently, the application should be declared inadmissible </w:t>
      </w:r>
      <w:proofErr w:type="spellStart"/>
      <w:r w:rsidRPr="00237176">
        <w:rPr>
          <w:i/>
        </w:rPr>
        <w:t>ratione</w:t>
      </w:r>
      <w:proofErr w:type="spellEnd"/>
      <w:r w:rsidRPr="00237176">
        <w:rPr>
          <w:i/>
        </w:rPr>
        <w:t xml:space="preserve"> personae</w:t>
      </w:r>
      <w:r w:rsidRPr="00237176">
        <w:t xml:space="preserve"> and </w:t>
      </w:r>
      <w:proofErr w:type="spellStart"/>
      <w:r w:rsidRPr="00237176">
        <w:rPr>
          <w:i/>
        </w:rPr>
        <w:t>ratione</w:t>
      </w:r>
      <w:proofErr w:type="spellEnd"/>
      <w:r w:rsidRPr="00237176">
        <w:rPr>
          <w:i/>
        </w:rPr>
        <w:t xml:space="preserve"> loci</w:t>
      </w:r>
      <w:r w:rsidRPr="00237176">
        <w:t xml:space="preserve"> in respect of the Russian Federation. For their part, the Moldovan Government did not contest that the Republic of Moldova retained jurisdiction over the territory controlled by the “MRT”.</w:t>
      </w:r>
    </w:p>
    <w:p w:rsidRPr="00237176" w:rsidR="00044FA0" w:rsidP="00237176" w:rsidRDefault="00044FA0">
      <w:pPr>
        <w:pStyle w:val="JuPara"/>
      </w:pPr>
      <w:r w:rsidRPr="00237176">
        <w:fldChar w:fldCharType="begin"/>
      </w:r>
      <w:r w:rsidRPr="00237176">
        <w:instrText xml:space="preserve"> SEQ level0 \*arabic </w:instrText>
      </w:r>
      <w:r w:rsidRPr="00237176">
        <w:fldChar w:fldCharType="separate"/>
      </w:r>
      <w:r w:rsidRPr="00237176" w:rsidR="00237176">
        <w:rPr>
          <w:noProof/>
        </w:rPr>
        <w:t>19</w:t>
      </w:r>
      <w:r w:rsidRPr="00237176">
        <w:fldChar w:fldCharType="end"/>
      </w:r>
      <w:r w:rsidRPr="00237176">
        <w:t xml:space="preserve">.  The Court notes that the parties in the present case have positions concerning the matter of jurisdiction which are similar to those expressed by the parties in </w:t>
      </w:r>
      <w:proofErr w:type="spellStart"/>
      <w:r w:rsidRPr="00237176" w:rsidR="007868EE">
        <w:rPr>
          <w:rFonts w:eastAsia="Times New Roman"/>
          <w:i/>
        </w:rPr>
        <w:t>Catan</w:t>
      </w:r>
      <w:proofErr w:type="spellEnd"/>
      <w:r w:rsidRPr="00237176" w:rsidR="007868EE">
        <w:rPr>
          <w:rFonts w:eastAsia="Times New Roman"/>
          <w:i/>
        </w:rPr>
        <w:t xml:space="preserve"> and Others v. the Republic of Moldova and Russia</w:t>
      </w:r>
      <w:r w:rsidRPr="00237176" w:rsidR="007868EE">
        <w:rPr>
          <w:rFonts w:eastAsia="Times New Roman"/>
        </w:rPr>
        <w:t xml:space="preserve"> ([GC], nos. 43370/04, 8252/05 and 18454/06, §§ 83-101,</w:t>
      </w:r>
      <w:r w:rsidRPr="00237176" w:rsidR="007868EE">
        <w:rPr>
          <w:rFonts w:eastAsia="Times New Roman"/>
          <w:snapToGrid w:val="0"/>
        </w:rPr>
        <w:t xml:space="preserve"> ECHR 2012</w:t>
      </w:r>
      <w:r w:rsidRPr="00237176" w:rsidR="007868EE">
        <w:t xml:space="preserve"> </w:t>
      </w:r>
      <w:r w:rsidRPr="00237176">
        <w:rPr>
          <w:snapToGrid w:val="0"/>
        </w:rPr>
        <w:t>and in</w:t>
      </w:r>
      <w:r w:rsidRPr="00237176">
        <w:t xml:space="preserve"> </w:t>
      </w:r>
      <w:proofErr w:type="spellStart"/>
      <w:r w:rsidRPr="00237176" w:rsidR="007868EE">
        <w:rPr>
          <w:i/>
        </w:rPr>
        <w:t>Mozer</w:t>
      </w:r>
      <w:proofErr w:type="spellEnd"/>
      <w:r w:rsidRPr="00237176" w:rsidR="007868EE">
        <w:rPr>
          <w:i/>
        </w:rPr>
        <w:t xml:space="preserve"> v. the Republic of Moldova and Russia </w:t>
      </w:r>
      <w:r w:rsidRPr="00237176" w:rsidR="007868EE">
        <w:t>[GC], no. 11138/10, §§ 81-95, ECHR 2016</w:t>
      </w:r>
      <w:r w:rsidRPr="00237176">
        <w:rPr>
          <w:snapToGrid w:val="0"/>
        </w:rPr>
        <w:t xml:space="preserve">. Namely, the applicant and the Moldovan Government submitted that both respondent Governments had jurisdiction, while the Russian Government submitted that they had no jurisdiction. The Russian Government expressed the view that the approach to the issue of jurisdiction taken by the Court in </w:t>
      </w:r>
      <w:proofErr w:type="spellStart"/>
      <w:r w:rsidRPr="00237176">
        <w:rPr>
          <w:i/>
        </w:rPr>
        <w:t>Ilaşcu</w:t>
      </w:r>
      <w:proofErr w:type="spellEnd"/>
      <w:r w:rsidRPr="00237176">
        <w:rPr>
          <w:i/>
        </w:rPr>
        <w:t xml:space="preserve"> and Others </w:t>
      </w:r>
      <w:r w:rsidRPr="00237176">
        <w:t xml:space="preserve">(cited above), </w:t>
      </w:r>
      <w:proofErr w:type="spellStart"/>
      <w:r w:rsidRPr="00237176" w:rsidR="00363F6C">
        <w:rPr>
          <w:i/>
        </w:rPr>
        <w:t>Ivanţoc</w:t>
      </w:r>
      <w:proofErr w:type="spellEnd"/>
      <w:r w:rsidRPr="00237176" w:rsidR="00363F6C">
        <w:rPr>
          <w:i/>
        </w:rPr>
        <w:t xml:space="preserve"> and Others v. </w:t>
      </w:r>
      <w:r w:rsidRPr="00237176">
        <w:rPr>
          <w:i/>
        </w:rPr>
        <w:t>Moldova and Russia</w:t>
      </w:r>
      <w:r w:rsidRPr="00237176">
        <w:t xml:space="preserve"> (</w:t>
      </w:r>
      <w:r w:rsidRPr="00237176">
        <w:rPr>
          <w:snapToGrid w:val="0"/>
        </w:rPr>
        <w:t>no.</w:t>
      </w:r>
      <w:r w:rsidRPr="00237176">
        <w:t xml:space="preserve"> 23687/05</w:t>
      </w:r>
      <w:r w:rsidRPr="00237176">
        <w:rPr>
          <w:snapToGrid w:val="0"/>
        </w:rPr>
        <w:t xml:space="preserve">, 15 November 2011), and </w:t>
      </w:r>
      <w:proofErr w:type="spellStart"/>
      <w:r w:rsidRPr="00237176">
        <w:rPr>
          <w:i/>
        </w:rPr>
        <w:t>Catan</w:t>
      </w:r>
      <w:proofErr w:type="spellEnd"/>
      <w:r w:rsidRPr="00237176">
        <w:rPr>
          <w:i/>
        </w:rPr>
        <w:t xml:space="preserve"> and Others </w:t>
      </w:r>
      <w:r w:rsidRPr="00237176">
        <w:t>(cited above)</w:t>
      </w:r>
      <w:r w:rsidRPr="00237176">
        <w:rPr>
          <w:snapToGrid w:val="0"/>
        </w:rPr>
        <w:t xml:space="preserve"> was wrong and at variance with public international law.</w:t>
      </w:r>
    </w:p>
    <w:p w:rsidRPr="00237176" w:rsidR="00044FA0" w:rsidP="00237176" w:rsidRDefault="00044FA0">
      <w:pPr>
        <w:pStyle w:val="JuPara"/>
        <w:rPr>
          <w:snapToGrid w:val="0"/>
        </w:rPr>
      </w:pPr>
      <w:r w:rsidRPr="00237176">
        <w:rPr>
          <w:snapToGrid w:val="0"/>
        </w:rPr>
        <w:fldChar w:fldCharType="begin"/>
      </w:r>
      <w:r w:rsidRPr="00237176">
        <w:rPr>
          <w:snapToGrid w:val="0"/>
        </w:rPr>
        <w:instrText xml:space="preserve"> SEQ level0 \*arabic </w:instrText>
      </w:r>
      <w:r w:rsidRPr="00237176">
        <w:rPr>
          <w:snapToGrid w:val="0"/>
        </w:rPr>
        <w:fldChar w:fldCharType="separate"/>
      </w:r>
      <w:r w:rsidRPr="00237176" w:rsidR="00237176">
        <w:rPr>
          <w:noProof/>
          <w:snapToGrid w:val="0"/>
        </w:rPr>
        <w:t>20</w:t>
      </w:r>
      <w:r w:rsidRPr="00237176">
        <w:rPr>
          <w:snapToGrid w:val="0"/>
        </w:rPr>
        <w:fldChar w:fldCharType="end"/>
      </w:r>
      <w:r w:rsidRPr="00237176">
        <w:rPr>
          <w:snapToGrid w:val="0"/>
        </w:rPr>
        <w:t xml:space="preserve">.  The Court observes that the general principles concerning the issue of jurisdiction under Article 1 of the Convention in respect of acts undertaken and facts arising in the </w:t>
      </w:r>
      <w:proofErr w:type="spellStart"/>
      <w:r w:rsidRPr="00237176">
        <w:rPr>
          <w:snapToGrid w:val="0"/>
        </w:rPr>
        <w:t>Transdniestrian</w:t>
      </w:r>
      <w:proofErr w:type="spellEnd"/>
      <w:r w:rsidRPr="00237176">
        <w:rPr>
          <w:snapToGrid w:val="0"/>
        </w:rPr>
        <w:t xml:space="preserve"> region of Moldova were set out in </w:t>
      </w:r>
      <w:proofErr w:type="spellStart"/>
      <w:r w:rsidRPr="00237176">
        <w:rPr>
          <w:i/>
        </w:rPr>
        <w:t>Ilaşcu</w:t>
      </w:r>
      <w:proofErr w:type="spellEnd"/>
      <w:r w:rsidRPr="00237176">
        <w:rPr>
          <w:i/>
        </w:rPr>
        <w:t xml:space="preserve"> and Others </w:t>
      </w:r>
      <w:r w:rsidRPr="00237176">
        <w:t>(cited</w:t>
      </w:r>
      <w:r w:rsidRPr="00237176">
        <w:rPr>
          <w:i/>
        </w:rPr>
        <w:t xml:space="preserve"> </w:t>
      </w:r>
      <w:r w:rsidRPr="00237176">
        <w:t xml:space="preserve">above, </w:t>
      </w:r>
      <w:r w:rsidRPr="00237176">
        <w:rPr>
          <w:rFonts w:cstheme="minorHAnsi"/>
        </w:rPr>
        <w:t>§</w:t>
      </w:r>
      <w:r w:rsidRPr="00237176">
        <w:t xml:space="preserve">§ 311-19), </w:t>
      </w:r>
      <w:proofErr w:type="spellStart"/>
      <w:r w:rsidRPr="00237176">
        <w:rPr>
          <w:i/>
        </w:rPr>
        <w:t>Catan</w:t>
      </w:r>
      <w:proofErr w:type="spellEnd"/>
      <w:r w:rsidRPr="00237176">
        <w:rPr>
          <w:i/>
        </w:rPr>
        <w:t xml:space="preserve"> and Others</w:t>
      </w:r>
      <w:r w:rsidRPr="00237176">
        <w:t xml:space="preserve"> (cited above, §§ 103-07</w:t>
      </w:r>
      <w:r w:rsidRPr="00237176">
        <w:rPr>
          <w:snapToGrid w:val="0"/>
        </w:rPr>
        <w:t xml:space="preserve">) and, more recently, </w:t>
      </w:r>
      <w:proofErr w:type="spellStart"/>
      <w:r w:rsidRPr="00237176">
        <w:rPr>
          <w:i/>
          <w:snapToGrid w:val="0"/>
        </w:rPr>
        <w:t>Mozer</w:t>
      </w:r>
      <w:proofErr w:type="spellEnd"/>
      <w:r w:rsidRPr="00237176">
        <w:rPr>
          <w:snapToGrid w:val="0"/>
        </w:rPr>
        <w:t xml:space="preserve"> (cited above, §§ 97-98).</w:t>
      </w:r>
    </w:p>
    <w:bookmarkStart w:name="p_26_MDA_obligations" w:id="7"/>
    <w:p w:rsidRPr="00237176" w:rsidR="00044FA0" w:rsidP="00237176" w:rsidRDefault="00044FA0">
      <w:pPr>
        <w:pStyle w:val="JuPara"/>
        <w:rPr>
          <w:rFonts w:ascii="Times New Roman" w:hAnsi="Times New Roman" w:eastAsia="MS Mincho" w:cs="Times New Roman"/>
          <w:szCs w:val="24"/>
        </w:rPr>
      </w:pPr>
      <w:r w:rsidRPr="00237176">
        <w:rPr>
          <w:snapToGrid w:val="0"/>
        </w:rPr>
        <w:fldChar w:fldCharType="begin"/>
      </w:r>
      <w:r w:rsidRPr="00237176">
        <w:rPr>
          <w:snapToGrid w:val="0"/>
        </w:rPr>
        <w:instrText xml:space="preserve"> SEQ level0 \*arabic </w:instrText>
      </w:r>
      <w:r w:rsidRPr="00237176">
        <w:rPr>
          <w:snapToGrid w:val="0"/>
        </w:rPr>
        <w:fldChar w:fldCharType="separate"/>
      </w:r>
      <w:r w:rsidRPr="00237176" w:rsidR="00237176">
        <w:rPr>
          <w:noProof/>
          <w:snapToGrid w:val="0"/>
        </w:rPr>
        <w:t>21</w:t>
      </w:r>
      <w:r w:rsidRPr="00237176">
        <w:rPr>
          <w:snapToGrid w:val="0"/>
        </w:rPr>
        <w:fldChar w:fldCharType="end"/>
      </w:r>
      <w:bookmarkEnd w:id="7"/>
      <w:r w:rsidRPr="00237176">
        <w:rPr>
          <w:snapToGrid w:val="0"/>
        </w:rPr>
        <w:t>.  </w:t>
      </w:r>
      <w:r w:rsidRPr="00237176">
        <w:rPr>
          <w:rFonts w:ascii="Times New Roman" w:hAnsi="Times New Roman" w:eastAsia="MS Mincho" w:cs="Times New Roman"/>
          <w:snapToGrid w:val="0"/>
          <w:szCs w:val="24"/>
        </w:rPr>
        <w:t xml:space="preserve">In so far as the Republic of Moldova is concerned, the Court notes that in </w:t>
      </w:r>
      <w:proofErr w:type="spellStart"/>
      <w:r w:rsidRPr="00237176">
        <w:rPr>
          <w:rFonts w:ascii="Times New Roman" w:hAnsi="Times New Roman" w:eastAsia="MS Mincho" w:cs="Times New Roman"/>
          <w:i/>
          <w:szCs w:val="24"/>
        </w:rPr>
        <w:t>Ilaşcu</w:t>
      </w:r>
      <w:proofErr w:type="spellEnd"/>
      <w:r w:rsidRPr="00237176">
        <w:rPr>
          <w:rFonts w:ascii="Times New Roman" w:hAnsi="Times New Roman" w:eastAsia="MS Mincho" w:cs="Times New Roman"/>
          <w:szCs w:val="24"/>
        </w:rPr>
        <w:t>,</w:t>
      </w:r>
      <w:r w:rsidRPr="00237176">
        <w:rPr>
          <w:rFonts w:ascii="Times New Roman" w:hAnsi="Times New Roman" w:eastAsia="MS Mincho" w:cs="Times New Roman"/>
          <w:i/>
          <w:szCs w:val="24"/>
        </w:rPr>
        <w:t xml:space="preserve"> </w:t>
      </w:r>
      <w:proofErr w:type="spellStart"/>
      <w:r w:rsidRPr="00237176">
        <w:rPr>
          <w:rFonts w:ascii="Times New Roman" w:hAnsi="Times New Roman" w:eastAsia="MS Mincho" w:cs="Times New Roman"/>
          <w:i/>
          <w:szCs w:val="24"/>
        </w:rPr>
        <w:t>Catan</w:t>
      </w:r>
      <w:proofErr w:type="spellEnd"/>
      <w:r w:rsidRPr="00237176">
        <w:rPr>
          <w:rFonts w:ascii="Times New Roman" w:hAnsi="Times New Roman" w:eastAsia="MS Mincho" w:cs="Times New Roman"/>
          <w:szCs w:val="24"/>
        </w:rPr>
        <w:t xml:space="preserve"> and</w:t>
      </w:r>
      <w:r w:rsidRPr="00237176">
        <w:rPr>
          <w:rFonts w:ascii="Times New Roman" w:hAnsi="Times New Roman" w:eastAsia="MS Mincho" w:cs="Times New Roman"/>
          <w:i/>
          <w:szCs w:val="24"/>
        </w:rPr>
        <w:t xml:space="preserve"> </w:t>
      </w:r>
      <w:proofErr w:type="spellStart"/>
      <w:r w:rsidRPr="00237176">
        <w:rPr>
          <w:rFonts w:ascii="Times New Roman" w:hAnsi="Times New Roman" w:eastAsia="MS Mincho" w:cs="Times New Roman"/>
          <w:i/>
          <w:snapToGrid w:val="0"/>
          <w:szCs w:val="24"/>
        </w:rPr>
        <w:t>Mozer</w:t>
      </w:r>
      <w:proofErr w:type="spellEnd"/>
      <w:r w:rsidRPr="00237176">
        <w:rPr>
          <w:rFonts w:ascii="Times New Roman" w:hAnsi="Times New Roman" w:eastAsia="MS Mincho" w:cs="Times New Roman"/>
          <w:snapToGrid w:val="0"/>
          <w:szCs w:val="24"/>
        </w:rPr>
        <w:t xml:space="preserve"> it found that although Moldova had no effective control </w:t>
      </w:r>
      <w:r w:rsidRPr="00237176">
        <w:rPr>
          <w:rFonts w:ascii="Times New Roman" w:hAnsi="Times New Roman" w:cs="Times New Roman"/>
          <w:szCs w:val="24"/>
        </w:rPr>
        <w:t xml:space="preserve">over the </w:t>
      </w:r>
      <w:proofErr w:type="spellStart"/>
      <w:r w:rsidRPr="00237176">
        <w:rPr>
          <w:rFonts w:ascii="Times New Roman" w:hAnsi="Times New Roman" w:cs="Times New Roman"/>
          <w:szCs w:val="24"/>
        </w:rPr>
        <w:t>Transdniestrian</w:t>
      </w:r>
      <w:proofErr w:type="spellEnd"/>
      <w:r w:rsidRPr="00237176">
        <w:rPr>
          <w:rFonts w:ascii="Times New Roman" w:hAnsi="Times New Roman" w:cs="Times New Roman"/>
          <w:szCs w:val="24"/>
        </w:rPr>
        <w:t xml:space="preserve"> region, </w:t>
      </w:r>
      <w:r w:rsidRPr="00237176">
        <w:rPr>
          <w:rFonts w:ascii="Times New Roman" w:hAnsi="Times New Roman" w:eastAsia="MS Mincho" w:cs="Times New Roman"/>
          <w:snapToGrid w:val="0"/>
          <w:szCs w:val="24"/>
        </w:rPr>
        <w:t xml:space="preserve">it followed from </w:t>
      </w:r>
      <w:r w:rsidRPr="00237176">
        <w:rPr>
          <w:rFonts w:ascii="Times New Roman" w:hAnsi="Times New Roman" w:eastAsia="MS Mincho" w:cs="Times New Roman"/>
          <w:szCs w:val="24"/>
        </w:rPr>
        <w:t xml:space="preserve">the fact that Moldova was the territorial State that persons within that territory fell within its jurisdiction. However, its obligation, under Article 1 of the Convention, to secure to everyone within its jurisdiction the rights and freedoms defined in the Convention, was limited to that of taking the diplomatic, economic, judicial and other measures that were both in its power and in accordance with international law (see </w:t>
      </w:r>
      <w:proofErr w:type="spellStart"/>
      <w:r w:rsidRPr="00237176">
        <w:rPr>
          <w:rFonts w:ascii="Times New Roman" w:hAnsi="Times New Roman" w:eastAsia="MS Mincho" w:cs="Times New Roman"/>
          <w:i/>
          <w:szCs w:val="24"/>
        </w:rPr>
        <w:t>Ilaşcu</w:t>
      </w:r>
      <w:proofErr w:type="spellEnd"/>
      <w:r w:rsidRPr="00237176">
        <w:rPr>
          <w:rFonts w:ascii="Times New Roman" w:hAnsi="Times New Roman" w:eastAsia="MS Mincho" w:cs="Times New Roman"/>
          <w:i/>
          <w:szCs w:val="24"/>
        </w:rPr>
        <w:t xml:space="preserve"> and Others</w:t>
      </w:r>
      <w:r w:rsidRPr="00237176">
        <w:rPr>
          <w:rFonts w:ascii="Times New Roman" w:hAnsi="Times New Roman" w:eastAsia="MS Mincho" w:cs="Times New Roman"/>
          <w:szCs w:val="24"/>
        </w:rPr>
        <w:t xml:space="preserve">, cited above, § 333; </w:t>
      </w:r>
      <w:proofErr w:type="spellStart"/>
      <w:r w:rsidRPr="00237176">
        <w:rPr>
          <w:rFonts w:ascii="Times New Roman" w:hAnsi="Times New Roman" w:eastAsia="MS Mincho" w:cs="Times New Roman"/>
          <w:i/>
          <w:szCs w:val="24"/>
        </w:rPr>
        <w:t>Catan</w:t>
      </w:r>
      <w:proofErr w:type="spellEnd"/>
      <w:r w:rsidRPr="00237176">
        <w:rPr>
          <w:rFonts w:ascii="Times New Roman" w:hAnsi="Times New Roman" w:eastAsia="MS Mincho" w:cs="Times New Roman"/>
          <w:i/>
          <w:szCs w:val="24"/>
        </w:rPr>
        <w:t xml:space="preserve"> and Others</w:t>
      </w:r>
      <w:r w:rsidRPr="00237176">
        <w:rPr>
          <w:rFonts w:ascii="Times New Roman" w:hAnsi="Times New Roman" w:eastAsia="MS Mincho" w:cs="Times New Roman"/>
          <w:szCs w:val="24"/>
        </w:rPr>
        <w:t xml:space="preserve">, cited above, § 109; and </w:t>
      </w:r>
      <w:proofErr w:type="spellStart"/>
      <w:r w:rsidRPr="00237176">
        <w:rPr>
          <w:rFonts w:ascii="Times New Roman" w:hAnsi="Times New Roman" w:eastAsia="MS Mincho" w:cs="Times New Roman"/>
          <w:i/>
          <w:szCs w:val="24"/>
        </w:rPr>
        <w:t>Mozer</w:t>
      </w:r>
      <w:proofErr w:type="spellEnd"/>
      <w:r w:rsidRPr="00237176">
        <w:rPr>
          <w:rFonts w:ascii="Times New Roman" w:hAnsi="Times New Roman" w:eastAsia="MS Mincho" w:cs="Times New Roman"/>
          <w:szCs w:val="24"/>
        </w:rPr>
        <w:t>, cited above, § 100). Moldova</w:t>
      </w:r>
      <w:r w:rsidRPr="00237176" w:rsidR="00237176">
        <w:rPr>
          <w:rFonts w:ascii="Times New Roman" w:hAnsi="Times New Roman" w:eastAsia="MS Mincho" w:cs="Times New Roman"/>
          <w:szCs w:val="24"/>
        </w:rPr>
        <w:t>’</w:t>
      </w:r>
      <w:r w:rsidRPr="00237176">
        <w:rPr>
          <w:rFonts w:ascii="Times New Roman" w:hAnsi="Times New Roman" w:eastAsia="MS Mincho" w:cs="Times New Roman"/>
          <w:szCs w:val="24"/>
        </w:rPr>
        <w:t xml:space="preserve">s obligations under Article 1 of the Convention were found to be positive obligations (see </w:t>
      </w:r>
      <w:proofErr w:type="spellStart"/>
      <w:r w:rsidRPr="00237176">
        <w:rPr>
          <w:rFonts w:ascii="Times New Roman" w:hAnsi="Times New Roman" w:eastAsia="MS Mincho" w:cs="Times New Roman"/>
          <w:i/>
          <w:szCs w:val="24"/>
        </w:rPr>
        <w:t>Ilaşcu</w:t>
      </w:r>
      <w:proofErr w:type="spellEnd"/>
      <w:r w:rsidRPr="00237176">
        <w:rPr>
          <w:rFonts w:ascii="Times New Roman" w:hAnsi="Times New Roman" w:eastAsia="MS Mincho" w:cs="Times New Roman"/>
          <w:i/>
          <w:szCs w:val="24"/>
        </w:rPr>
        <w:t xml:space="preserve"> and Others</w:t>
      </w:r>
      <w:r w:rsidRPr="00237176">
        <w:rPr>
          <w:rFonts w:ascii="Times New Roman" w:hAnsi="Times New Roman" w:eastAsia="MS Mincho" w:cs="Times New Roman"/>
          <w:szCs w:val="24"/>
        </w:rPr>
        <w:t xml:space="preserve">, cited above, §§ 322 and 330-31; </w:t>
      </w:r>
      <w:proofErr w:type="spellStart"/>
      <w:r w:rsidRPr="00237176">
        <w:rPr>
          <w:rFonts w:ascii="Times New Roman" w:hAnsi="Times New Roman" w:eastAsia="MS Mincho" w:cs="Times New Roman"/>
          <w:i/>
          <w:szCs w:val="24"/>
        </w:rPr>
        <w:t>Catan</w:t>
      </w:r>
      <w:proofErr w:type="spellEnd"/>
      <w:r w:rsidRPr="00237176">
        <w:rPr>
          <w:rFonts w:ascii="Times New Roman" w:hAnsi="Times New Roman" w:eastAsia="MS Mincho" w:cs="Times New Roman"/>
          <w:i/>
          <w:szCs w:val="24"/>
        </w:rPr>
        <w:t xml:space="preserve"> and Others</w:t>
      </w:r>
      <w:r w:rsidRPr="00237176">
        <w:rPr>
          <w:rFonts w:ascii="Times New Roman" w:hAnsi="Times New Roman" w:eastAsia="MS Mincho" w:cs="Times New Roman"/>
          <w:szCs w:val="24"/>
        </w:rPr>
        <w:t xml:space="preserve">, cited above, §§ 109-10; and </w:t>
      </w:r>
      <w:proofErr w:type="spellStart"/>
      <w:r w:rsidRPr="00237176">
        <w:rPr>
          <w:rFonts w:ascii="Times New Roman" w:hAnsi="Times New Roman" w:eastAsia="MS Mincho" w:cs="Times New Roman"/>
          <w:i/>
          <w:szCs w:val="24"/>
        </w:rPr>
        <w:t>Mozer</w:t>
      </w:r>
      <w:proofErr w:type="spellEnd"/>
      <w:r w:rsidRPr="00237176">
        <w:rPr>
          <w:rFonts w:ascii="Times New Roman" w:hAnsi="Times New Roman" w:eastAsia="MS Mincho" w:cs="Times New Roman"/>
          <w:szCs w:val="24"/>
        </w:rPr>
        <w:t>, cited above, § 99).</w:t>
      </w:r>
    </w:p>
    <w:bookmarkStart w:name="p_21_MDA_jurisd" w:id="8"/>
    <w:p w:rsidRPr="00237176" w:rsidR="00044FA0" w:rsidP="00237176" w:rsidRDefault="00044FA0">
      <w:pPr>
        <w:pStyle w:val="JuPara"/>
        <w:rPr>
          <w:rFonts w:ascii="Times New Roman" w:hAnsi="Times New Roman" w:eastAsia="MS Mincho" w:cs="Times New Roman"/>
          <w:szCs w:val="24"/>
        </w:rPr>
      </w:pPr>
      <w:r w:rsidRPr="00237176">
        <w:rPr>
          <w:rFonts w:ascii="Times New Roman" w:hAnsi="Times New Roman" w:eastAsia="MS Mincho" w:cs="Times New Roman"/>
          <w:szCs w:val="24"/>
        </w:rPr>
        <w:fldChar w:fldCharType="begin"/>
      </w:r>
      <w:r w:rsidRPr="00237176">
        <w:rPr>
          <w:rFonts w:ascii="Times New Roman" w:hAnsi="Times New Roman" w:eastAsia="MS Mincho" w:cs="Times New Roman"/>
          <w:szCs w:val="24"/>
        </w:rPr>
        <w:instrText xml:space="preserve"> SEQ level0 \*arabic </w:instrText>
      </w:r>
      <w:r w:rsidRPr="00237176">
        <w:rPr>
          <w:rFonts w:ascii="Times New Roman" w:hAnsi="Times New Roman" w:eastAsia="MS Mincho" w:cs="Times New Roman"/>
          <w:szCs w:val="24"/>
        </w:rPr>
        <w:fldChar w:fldCharType="separate"/>
      </w:r>
      <w:r w:rsidRPr="00237176" w:rsidR="00237176">
        <w:rPr>
          <w:rFonts w:ascii="Times New Roman" w:hAnsi="Times New Roman" w:eastAsia="MS Mincho" w:cs="Times New Roman"/>
          <w:noProof/>
          <w:szCs w:val="24"/>
        </w:rPr>
        <w:t>22</w:t>
      </w:r>
      <w:r w:rsidRPr="00237176">
        <w:rPr>
          <w:rFonts w:ascii="Times New Roman" w:hAnsi="Times New Roman" w:eastAsia="MS Mincho" w:cs="Times New Roman"/>
          <w:szCs w:val="24"/>
        </w:rPr>
        <w:fldChar w:fldCharType="end"/>
      </w:r>
      <w:bookmarkEnd w:id="8"/>
      <w:r w:rsidRPr="00237176">
        <w:rPr>
          <w:rFonts w:ascii="Times New Roman" w:hAnsi="Times New Roman" w:eastAsia="MS Mincho" w:cs="Times New Roman"/>
          <w:szCs w:val="24"/>
        </w:rPr>
        <w:t>.  The Court sees no reason to distinguish the present case from the above-mentioned cases</w:t>
      </w:r>
      <w:r w:rsidRPr="00237176">
        <w:rPr>
          <w:rFonts w:ascii="Times New Roman" w:hAnsi="Times New Roman" w:eastAsia="MS Mincho" w:cs="Times New Roman"/>
          <w:snapToGrid w:val="0"/>
          <w:szCs w:val="24"/>
        </w:rPr>
        <w:t>. Besides, it notes that</w:t>
      </w:r>
      <w:r w:rsidRPr="00237176">
        <w:rPr>
          <w:rFonts w:ascii="Times New Roman" w:hAnsi="Times New Roman" w:eastAsia="MS Mincho" w:cs="Times New Roman"/>
          <w:szCs w:val="24"/>
        </w:rPr>
        <w:t xml:space="preserve"> the Moldovan Government do</w:t>
      </w:r>
      <w:r w:rsidRPr="00237176" w:rsidR="00462FD4">
        <w:rPr>
          <w:rFonts w:ascii="Times New Roman" w:hAnsi="Times New Roman" w:eastAsia="MS Mincho" w:cs="Times New Roman"/>
          <w:szCs w:val="24"/>
        </w:rPr>
        <w:t xml:space="preserve"> </w:t>
      </w:r>
      <w:r w:rsidRPr="00237176">
        <w:rPr>
          <w:rFonts w:ascii="Times New Roman" w:hAnsi="Times New Roman" w:eastAsia="MS Mincho" w:cs="Times New Roman"/>
          <w:szCs w:val="24"/>
        </w:rPr>
        <w:t xml:space="preserve">not object to applying a similar approach in the present case. Therefore, it finds that Moldova had jurisdiction for the purposes of Article 1 of the Convention, but that its responsibility for the acts complained of is to be assessed in the light of the above-mentioned positive obligations (see </w:t>
      </w:r>
      <w:proofErr w:type="spellStart"/>
      <w:r w:rsidRPr="00237176">
        <w:rPr>
          <w:rFonts w:ascii="Times New Roman" w:hAnsi="Times New Roman" w:eastAsia="MS Mincho" w:cs="Times New Roman"/>
          <w:i/>
          <w:szCs w:val="24"/>
        </w:rPr>
        <w:t>Ilaşcu</w:t>
      </w:r>
      <w:proofErr w:type="spellEnd"/>
      <w:r w:rsidRPr="00237176">
        <w:rPr>
          <w:rFonts w:ascii="Times New Roman" w:hAnsi="Times New Roman" w:eastAsia="MS Mincho" w:cs="Times New Roman"/>
          <w:i/>
          <w:szCs w:val="24"/>
        </w:rPr>
        <w:t xml:space="preserve"> and Others</w:t>
      </w:r>
      <w:r w:rsidRPr="00237176">
        <w:rPr>
          <w:rFonts w:ascii="Times New Roman" w:hAnsi="Times New Roman" w:eastAsia="MS Mincho" w:cs="Times New Roman"/>
          <w:szCs w:val="24"/>
        </w:rPr>
        <w:t>, cited above, § 335).</w:t>
      </w:r>
    </w:p>
    <w:bookmarkStart w:name="p_28_RUS_responsib_start" w:id="9"/>
    <w:bookmarkStart w:name="p_22_RUS_jurisd_start" w:id="10"/>
    <w:p w:rsidRPr="00237176" w:rsidR="00044FA0" w:rsidP="00237176" w:rsidRDefault="00044FA0">
      <w:pPr>
        <w:pStyle w:val="JuPara"/>
        <w:rPr>
          <w:snapToGrid w:val="0"/>
        </w:rPr>
      </w:pPr>
      <w:r w:rsidRPr="00237176">
        <w:rPr>
          <w:rFonts w:ascii="Times New Roman" w:hAnsi="Times New Roman" w:eastAsia="MS Mincho" w:cs="Times New Roman"/>
          <w:szCs w:val="24"/>
        </w:rPr>
        <w:fldChar w:fldCharType="begin"/>
      </w:r>
      <w:r w:rsidRPr="00237176">
        <w:rPr>
          <w:rFonts w:ascii="Times New Roman" w:hAnsi="Times New Roman" w:eastAsia="MS Mincho" w:cs="Times New Roman"/>
          <w:szCs w:val="24"/>
        </w:rPr>
        <w:instrText xml:space="preserve"> SEQ level0 \*arabic </w:instrText>
      </w:r>
      <w:r w:rsidRPr="00237176">
        <w:rPr>
          <w:rFonts w:ascii="Times New Roman" w:hAnsi="Times New Roman" w:eastAsia="MS Mincho" w:cs="Times New Roman"/>
          <w:szCs w:val="24"/>
        </w:rPr>
        <w:fldChar w:fldCharType="separate"/>
      </w:r>
      <w:r w:rsidRPr="00237176" w:rsidR="00237176">
        <w:rPr>
          <w:rFonts w:ascii="Times New Roman" w:hAnsi="Times New Roman" w:eastAsia="MS Mincho" w:cs="Times New Roman"/>
          <w:noProof/>
          <w:szCs w:val="24"/>
        </w:rPr>
        <w:t>23</w:t>
      </w:r>
      <w:r w:rsidRPr="00237176">
        <w:rPr>
          <w:rFonts w:ascii="Times New Roman" w:hAnsi="Times New Roman" w:eastAsia="MS Mincho" w:cs="Times New Roman"/>
          <w:szCs w:val="24"/>
        </w:rPr>
        <w:fldChar w:fldCharType="end"/>
      </w:r>
      <w:bookmarkEnd w:id="9"/>
      <w:bookmarkEnd w:id="10"/>
      <w:r w:rsidRPr="00237176">
        <w:rPr>
          <w:rFonts w:ascii="Times New Roman" w:hAnsi="Times New Roman" w:eastAsia="MS Mincho" w:cs="Times New Roman"/>
          <w:szCs w:val="24"/>
        </w:rPr>
        <w:t xml:space="preserve">.  In so far as the Russian Federation is concerned, the Court notes that in </w:t>
      </w:r>
      <w:r w:rsidRPr="00237176">
        <w:rPr>
          <w:rFonts w:ascii="Times New Roman" w:hAnsi="Times New Roman" w:eastAsia="MS Mincho" w:cs="Times New Roman"/>
          <w:i/>
          <w:szCs w:val="24"/>
        </w:rPr>
        <w:t>Ila</w:t>
      </w:r>
      <w:r w:rsidRPr="00237176">
        <w:rPr>
          <w:rFonts w:ascii="Times New Roman" w:hAnsi="Times New Roman" w:eastAsia="MS Mincho" w:cs="Times New Roman"/>
          <w:i/>
          <w:szCs w:val="24"/>
          <w:lang w:val="ro-RO"/>
        </w:rPr>
        <w:t>ș</w:t>
      </w:r>
      <w:r w:rsidRPr="00237176">
        <w:rPr>
          <w:rFonts w:ascii="Times New Roman" w:hAnsi="Times New Roman" w:eastAsia="MS Mincho" w:cs="Times New Roman"/>
          <w:i/>
          <w:szCs w:val="24"/>
        </w:rPr>
        <w:t>cu and Others</w:t>
      </w:r>
      <w:r w:rsidRPr="00237176">
        <w:rPr>
          <w:rFonts w:ascii="Times New Roman" w:hAnsi="Times New Roman" w:eastAsia="MS Mincho" w:cs="Times New Roman"/>
          <w:szCs w:val="24"/>
        </w:rPr>
        <w:t xml:space="preserve"> it has already found that the Russian Federation contributed both militarily and politically to the creation of a separatist regime in the region of </w:t>
      </w:r>
      <w:proofErr w:type="spellStart"/>
      <w:r w:rsidRPr="00237176">
        <w:rPr>
          <w:rFonts w:ascii="Times New Roman" w:hAnsi="Times New Roman" w:eastAsia="MS Mincho" w:cs="Times New Roman"/>
          <w:szCs w:val="24"/>
        </w:rPr>
        <w:t>Transdniestria</w:t>
      </w:r>
      <w:proofErr w:type="spellEnd"/>
      <w:r w:rsidRPr="00237176">
        <w:rPr>
          <w:rFonts w:ascii="Times New Roman" w:hAnsi="Times New Roman" w:eastAsia="MS Mincho" w:cs="Times New Roman"/>
          <w:szCs w:val="24"/>
        </w:rPr>
        <w:t xml:space="preserve"> in 1991-1992 (see </w:t>
      </w:r>
      <w:proofErr w:type="spellStart"/>
      <w:r w:rsidRPr="00237176">
        <w:rPr>
          <w:rFonts w:ascii="Times New Roman" w:hAnsi="Times New Roman" w:eastAsia="MS Mincho" w:cs="Times New Roman"/>
          <w:i/>
          <w:szCs w:val="24"/>
        </w:rPr>
        <w:t>Ilaşcu</w:t>
      </w:r>
      <w:proofErr w:type="spellEnd"/>
      <w:r w:rsidRPr="00237176">
        <w:rPr>
          <w:rFonts w:ascii="Times New Roman" w:hAnsi="Times New Roman" w:eastAsia="MS Mincho" w:cs="Times New Roman"/>
          <w:i/>
          <w:szCs w:val="24"/>
        </w:rPr>
        <w:t xml:space="preserve"> and Others</w:t>
      </w:r>
      <w:r w:rsidRPr="00237176">
        <w:rPr>
          <w:rFonts w:ascii="Times New Roman" w:hAnsi="Times New Roman" w:eastAsia="MS Mincho" w:cs="Times New Roman"/>
          <w:szCs w:val="24"/>
        </w:rPr>
        <w:t xml:space="preserve">, cited above, § 382). The Court also found in subsequent cases concerning the </w:t>
      </w:r>
      <w:proofErr w:type="spellStart"/>
      <w:r w:rsidRPr="00237176">
        <w:rPr>
          <w:rFonts w:ascii="Times New Roman" w:hAnsi="Times New Roman" w:eastAsia="MS Mincho" w:cs="Times New Roman"/>
          <w:szCs w:val="24"/>
        </w:rPr>
        <w:t>Transdniestrian</w:t>
      </w:r>
      <w:proofErr w:type="spellEnd"/>
      <w:r w:rsidRPr="00237176">
        <w:rPr>
          <w:rFonts w:ascii="Times New Roman" w:hAnsi="Times New Roman" w:eastAsia="MS Mincho" w:cs="Times New Roman"/>
          <w:szCs w:val="24"/>
        </w:rPr>
        <w:t xml:space="preserve"> region that up until at least July 2010, the “MRT” was only able to continue to exist, and to resist Moldovan and international efforts to resolve the conflict and bring democracy and the rule of law to the region, because of Russian military, economic and political support (see </w:t>
      </w:r>
      <w:proofErr w:type="spellStart"/>
      <w:r w:rsidRPr="00237176">
        <w:rPr>
          <w:rFonts w:ascii="Times New Roman" w:hAnsi="Times New Roman" w:eastAsia="MS Mincho" w:cs="Times New Roman"/>
          <w:i/>
          <w:szCs w:val="24"/>
        </w:rPr>
        <w:t>Ivanţoc</w:t>
      </w:r>
      <w:proofErr w:type="spellEnd"/>
      <w:r w:rsidRPr="00237176">
        <w:rPr>
          <w:rFonts w:ascii="Times New Roman" w:hAnsi="Times New Roman" w:eastAsia="MS Mincho" w:cs="Times New Roman"/>
          <w:i/>
          <w:szCs w:val="24"/>
        </w:rPr>
        <w:t xml:space="preserve"> and Others</w:t>
      </w:r>
      <w:r w:rsidRPr="00237176">
        <w:rPr>
          <w:rFonts w:ascii="Times New Roman" w:hAnsi="Times New Roman" w:eastAsia="MS Mincho" w:cs="Times New Roman"/>
          <w:szCs w:val="24"/>
        </w:rPr>
        <w:t xml:space="preserve">, cited above, §§ 116-20; </w:t>
      </w:r>
      <w:proofErr w:type="spellStart"/>
      <w:r w:rsidRPr="00237176">
        <w:rPr>
          <w:rFonts w:ascii="Times New Roman" w:hAnsi="Times New Roman" w:eastAsia="MS Mincho" w:cs="Times New Roman"/>
          <w:i/>
          <w:szCs w:val="24"/>
        </w:rPr>
        <w:t>Catan</w:t>
      </w:r>
      <w:proofErr w:type="spellEnd"/>
      <w:r w:rsidRPr="00237176">
        <w:rPr>
          <w:rFonts w:ascii="Times New Roman" w:hAnsi="Times New Roman" w:eastAsia="MS Mincho" w:cs="Times New Roman"/>
          <w:i/>
          <w:szCs w:val="24"/>
        </w:rPr>
        <w:t xml:space="preserve"> and Others</w:t>
      </w:r>
      <w:r w:rsidRPr="00237176">
        <w:rPr>
          <w:rFonts w:ascii="Times New Roman" w:hAnsi="Times New Roman" w:eastAsia="MS Mincho" w:cs="Times New Roman"/>
          <w:szCs w:val="24"/>
        </w:rPr>
        <w:t xml:space="preserve">, cited above, §§ 121-22; and </w:t>
      </w:r>
      <w:proofErr w:type="spellStart"/>
      <w:r w:rsidRPr="00237176">
        <w:rPr>
          <w:rFonts w:ascii="Times New Roman" w:hAnsi="Times New Roman" w:eastAsia="MS Mincho" w:cs="Times New Roman"/>
          <w:i/>
          <w:szCs w:val="24"/>
        </w:rPr>
        <w:t>Mozer</w:t>
      </w:r>
      <w:proofErr w:type="spellEnd"/>
      <w:r w:rsidRPr="00237176">
        <w:rPr>
          <w:rFonts w:ascii="Times New Roman" w:hAnsi="Times New Roman" w:eastAsia="MS Mincho" w:cs="Times New Roman"/>
          <w:szCs w:val="24"/>
        </w:rPr>
        <w:t xml:space="preserve">, cited above, §§ 108 and 110). The Court concluded in </w:t>
      </w:r>
      <w:proofErr w:type="spellStart"/>
      <w:r w:rsidRPr="00237176">
        <w:rPr>
          <w:rFonts w:ascii="Times New Roman" w:hAnsi="Times New Roman" w:eastAsia="MS Mincho" w:cs="Times New Roman"/>
          <w:i/>
          <w:szCs w:val="24"/>
        </w:rPr>
        <w:t>Mozer</w:t>
      </w:r>
      <w:proofErr w:type="spellEnd"/>
      <w:r w:rsidRPr="00237176">
        <w:rPr>
          <w:rFonts w:ascii="Times New Roman" w:hAnsi="Times New Roman" w:eastAsia="MS Mincho" w:cs="Times New Roman"/>
          <w:szCs w:val="24"/>
        </w:rPr>
        <w:t xml:space="preserve"> that the “MRT”</w:t>
      </w:r>
      <w:r w:rsidRPr="00237176" w:rsidR="00237176">
        <w:rPr>
          <w:rFonts w:ascii="Times New Roman" w:hAnsi="Times New Roman" w:eastAsia="MS Mincho" w:cs="Times New Roman"/>
          <w:szCs w:val="24"/>
        </w:rPr>
        <w:t>‘</w:t>
      </w:r>
      <w:r w:rsidRPr="00237176">
        <w:rPr>
          <w:rFonts w:ascii="Times New Roman" w:hAnsi="Times New Roman" w:eastAsia="MS Mincho" w:cs="Times New Roman"/>
          <w:szCs w:val="24"/>
        </w:rPr>
        <w:t xml:space="preserve">s high level of dependency on Russian support provided a strong indication that the Russian Federation continued to exercise effective control and a decisive influence over the </w:t>
      </w:r>
      <w:proofErr w:type="spellStart"/>
      <w:r w:rsidRPr="00237176">
        <w:rPr>
          <w:rFonts w:ascii="Times New Roman" w:hAnsi="Times New Roman" w:eastAsia="MS Mincho" w:cs="Times New Roman"/>
          <w:szCs w:val="24"/>
        </w:rPr>
        <w:t>Transdniestrian</w:t>
      </w:r>
      <w:proofErr w:type="spellEnd"/>
      <w:r w:rsidRPr="00237176">
        <w:rPr>
          <w:rFonts w:ascii="Times New Roman" w:hAnsi="Times New Roman" w:eastAsia="MS Mincho" w:cs="Times New Roman"/>
          <w:szCs w:val="24"/>
        </w:rPr>
        <w:t xml:space="preserve"> authorities and that, therefore, the applicant fell within that State</w:t>
      </w:r>
      <w:r w:rsidRPr="00237176" w:rsidR="00237176">
        <w:rPr>
          <w:rFonts w:ascii="Times New Roman" w:hAnsi="Times New Roman" w:eastAsia="MS Mincho" w:cs="Times New Roman"/>
          <w:szCs w:val="24"/>
        </w:rPr>
        <w:t>’</w:t>
      </w:r>
      <w:r w:rsidRPr="00237176">
        <w:rPr>
          <w:rFonts w:ascii="Times New Roman" w:hAnsi="Times New Roman" w:eastAsia="MS Mincho" w:cs="Times New Roman"/>
          <w:szCs w:val="24"/>
        </w:rPr>
        <w:t>s jurisdiction under Article 1 of the Convention (</w:t>
      </w:r>
      <w:proofErr w:type="spellStart"/>
      <w:r w:rsidRPr="00237176">
        <w:rPr>
          <w:rFonts w:ascii="Times New Roman" w:hAnsi="Times New Roman" w:eastAsia="MS Mincho" w:cs="Times New Roman"/>
          <w:i/>
          <w:szCs w:val="24"/>
        </w:rPr>
        <w:t>Mozer</w:t>
      </w:r>
      <w:proofErr w:type="spellEnd"/>
      <w:r w:rsidRPr="00237176">
        <w:rPr>
          <w:rFonts w:ascii="Times New Roman" w:hAnsi="Times New Roman" w:eastAsia="MS Mincho" w:cs="Times New Roman"/>
          <w:szCs w:val="24"/>
        </w:rPr>
        <w:t>, cited above, §§ 110</w:t>
      </w:r>
      <w:r w:rsidRPr="00237176">
        <w:rPr>
          <w:rFonts w:ascii="Times New Roman" w:hAnsi="Times New Roman" w:eastAsia="MS Mincho" w:cs="Times New Roman"/>
          <w:szCs w:val="24"/>
        </w:rPr>
        <w:noBreakHyphen/>
        <w:t>11).</w:t>
      </w:r>
    </w:p>
    <w:bookmarkStart w:name="p_29_RUS_responsib_end" w:id="11"/>
    <w:p w:rsidRPr="00237176" w:rsidR="00044FA0" w:rsidP="00237176" w:rsidRDefault="00044FA0">
      <w:pPr>
        <w:pStyle w:val="JuPara"/>
      </w:pPr>
      <w:r w:rsidRPr="00237176">
        <w:fldChar w:fldCharType="begin"/>
      </w:r>
      <w:r w:rsidRPr="00237176">
        <w:instrText xml:space="preserve"> SEQ level0 \*arabic </w:instrText>
      </w:r>
      <w:r w:rsidRPr="00237176">
        <w:fldChar w:fldCharType="separate"/>
      </w:r>
      <w:r w:rsidRPr="00237176" w:rsidR="00237176">
        <w:rPr>
          <w:noProof/>
        </w:rPr>
        <w:t>24</w:t>
      </w:r>
      <w:r w:rsidRPr="00237176">
        <w:fldChar w:fldCharType="end"/>
      </w:r>
      <w:bookmarkEnd w:id="11"/>
      <w:r w:rsidRPr="00237176">
        <w:t>.  </w:t>
      </w:r>
      <w:r w:rsidRPr="00237176">
        <w:rPr>
          <w:rFonts w:ascii="Times New Roman" w:hAnsi="Times New Roman" w:eastAsia="MS Mincho" w:cs="Times New Roman"/>
          <w:szCs w:val="24"/>
        </w:rPr>
        <w:t xml:space="preserve">The Court sees no grounds on which to distinguish the present case from </w:t>
      </w:r>
      <w:r w:rsidRPr="00237176">
        <w:rPr>
          <w:rFonts w:ascii="Times New Roman" w:hAnsi="Times New Roman" w:eastAsia="MS Mincho" w:cs="Times New Roman"/>
          <w:i/>
          <w:szCs w:val="24"/>
        </w:rPr>
        <w:t>Ila</w:t>
      </w:r>
      <w:proofErr w:type="spellStart"/>
      <w:r w:rsidRPr="00237176">
        <w:rPr>
          <w:rFonts w:ascii="Times New Roman" w:hAnsi="Times New Roman" w:eastAsia="MS Mincho" w:cs="Times New Roman"/>
          <w:i/>
          <w:szCs w:val="24"/>
          <w:lang w:val="ro-RO"/>
        </w:rPr>
        <w:t>șcu</w:t>
      </w:r>
      <w:proofErr w:type="spellEnd"/>
      <w:r w:rsidRPr="00237176">
        <w:rPr>
          <w:rFonts w:ascii="Times New Roman" w:hAnsi="Times New Roman" w:eastAsia="MS Mincho" w:cs="Times New Roman"/>
          <w:i/>
          <w:szCs w:val="24"/>
          <w:lang w:val="ro-RO"/>
        </w:rPr>
        <w:t xml:space="preserve"> </w:t>
      </w:r>
      <w:proofErr w:type="spellStart"/>
      <w:r w:rsidRPr="00237176">
        <w:rPr>
          <w:rFonts w:ascii="Times New Roman" w:hAnsi="Times New Roman" w:eastAsia="MS Mincho" w:cs="Times New Roman"/>
          <w:i/>
          <w:szCs w:val="24"/>
          <w:lang w:val="ro-RO"/>
        </w:rPr>
        <w:t>and</w:t>
      </w:r>
      <w:proofErr w:type="spellEnd"/>
      <w:r w:rsidRPr="00237176">
        <w:rPr>
          <w:rFonts w:ascii="Times New Roman" w:hAnsi="Times New Roman" w:eastAsia="MS Mincho" w:cs="Times New Roman"/>
          <w:i/>
          <w:szCs w:val="24"/>
          <w:lang w:val="ro-RO"/>
        </w:rPr>
        <w:t xml:space="preserve"> </w:t>
      </w:r>
      <w:proofErr w:type="spellStart"/>
      <w:r w:rsidRPr="00237176">
        <w:rPr>
          <w:rFonts w:ascii="Times New Roman" w:hAnsi="Times New Roman" w:eastAsia="MS Mincho" w:cs="Times New Roman"/>
          <w:i/>
          <w:szCs w:val="24"/>
          <w:lang w:val="ro-RO"/>
        </w:rPr>
        <w:t>Others</w:t>
      </w:r>
      <w:proofErr w:type="spellEnd"/>
      <w:r w:rsidRPr="00237176">
        <w:rPr>
          <w:rFonts w:ascii="Times New Roman" w:hAnsi="Times New Roman" w:eastAsia="MS Mincho" w:cs="Times New Roman"/>
          <w:szCs w:val="24"/>
        </w:rPr>
        <w:t xml:space="preserve">, </w:t>
      </w:r>
      <w:proofErr w:type="spellStart"/>
      <w:r w:rsidRPr="00237176">
        <w:rPr>
          <w:rFonts w:ascii="Times New Roman" w:hAnsi="Times New Roman" w:eastAsia="MS Mincho" w:cs="Times New Roman"/>
          <w:i/>
          <w:szCs w:val="24"/>
        </w:rPr>
        <w:t>Ivanţoc</w:t>
      </w:r>
      <w:proofErr w:type="spellEnd"/>
      <w:r w:rsidRPr="00237176">
        <w:rPr>
          <w:rFonts w:ascii="Times New Roman" w:hAnsi="Times New Roman" w:eastAsia="MS Mincho" w:cs="Times New Roman"/>
          <w:i/>
          <w:szCs w:val="24"/>
        </w:rPr>
        <w:t xml:space="preserve"> and Others</w:t>
      </w:r>
      <w:r w:rsidRPr="00237176">
        <w:rPr>
          <w:rFonts w:ascii="Times New Roman" w:hAnsi="Times New Roman" w:eastAsia="MS Mincho" w:cs="Times New Roman"/>
          <w:szCs w:val="24"/>
        </w:rPr>
        <w:t xml:space="preserve">, </w:t>
      </w:r>
      <w:proofErr w:type="spellStart"/>
      <w:r w:rsidRPr="00237176">
        <w:rPr>
          <w:rFonts w:ascii="Times New Roman" w:hAnsi="Times New Roman" w:eastAsia="MS Mincho" w:cs="Times New Roman"/>
          <w:i/>
          <w:szCs w:val="24"/>
        </w:rPr>
        <w:t>Catan</w:t>
      </w:r>
      <w:proofErr w:type="spellEnd"/>
      <w:r w:rsidRPr="00237176">
        <w:rPr>
          <w:rFonts w:ascii="Times New Roman" w:hAnsi="Times New Roman" w:eastAsia="MS Mincho" w:cs="Times New Roman"/>
          <w:i/>
          <w:szCs w:val="24"/>
        </w:rPr>
        <w:t xml:space="preserve"> and Others</w:t>
      </w:r>
      <w:r w:rsidRPr="00237176">
        <w:rPr>
          <w:rFonts w:ascii="Times New Roman" w:hAnsi="Times New Roman" w:eastAsia="MS Mincho" w:cs="Times New Roman"/>
          <w:szCs w:val="24"/>
        </w:rPr>
        <w:t xml:space="preserve">, and </w:t>
      </w:r>
      <w:proofErr w:type="spellStart"/>
      <w:r w:rsidRPr="00237176">
        <w:rPr>
          <w:rFonts w:ascii="Times New Roman" w:hAnsi="Times New Roman" w:eastAsia="MS Mincho" w:cs="Times New Roman"/>
          <w:i/>
          <w:szCs w:val="24"/>
        </w:rPr>
        <w:t>Mozer</w:t>
      </w:r>
      <w:proofErr w:type="spellEnd"/>
      <w:r w:rsidRPr="00237176">
        <w:rPr>
          <w:rFonts w:ascii="Times New Roman" w:hAnsi="Times New Roman" w:eastAsia="MS Mincho" w:cs="Times New Roman"/>
          <w:i/>
          <w:szCs w:val="24"/>
        </w:rPr>
        <w:t xml:space="preserve"> </w:t>
      </w:r>
      <w:r w:rsidRPr="00237176">
        <w:rPr>
          <w:rFonts w:ascii="Times New Roman" w:hAnsi="Times New Roman" w:eastAsia="MS Mincho" w:cs="Times New Roman"/>
          <w:szCs w:val="24"/>
        </w:rPr>
        <w:t>(all cited above).</w:t>
      </w:r>
    </w:p>
    <w:bookmarkStart w:name="p_29_RUS_responsib" w:id="12"/>
    <w:bookmarkStart w:name="p_24_RUS_jurisd_end" w:id="13"/>
    <w:p w:rsidRPr="00237176" w:rsidR="00044FA0" w:rsidP="00237176" w:rsidRDefault="00044FA0">
      <w:pPr>
        <w:pStyle w:val="JuPara"/>
      </w:pPr>
      <w:r w:rsidRPr="00237176">
        <w:fldChar w:fldCharType="begin"/>
      </w:r>
      <w:r w:rsidRPr="00237176">
        <w:instrText xml:space="preserve"> SEQ level0 \*arabic </w:instrText>
      </w:r>
      <w:r w:rsidRPr="00237176">
        <w:fldChar w:fldCharType="separate"/>
      </w:r>
      <w:r w:rsidRPr="00237176" w:rsidR="00237176">
        <w:rPr>
          <w:noProof/>
        </w:rPr>
        <w:t>25</w:t>
      </w:r>
      <w:r w:rsidRPr="00237176">
        <w:fldChar w:fldCharType="end"/>
      </w:r>
      <w:bookmarkEnd w:id="12"/>
      <w:bookmarkEnd w:id="13"/>
      <w:r w:rsidRPr="00237176">
        <w:t>.  </w:t>
      </w:r>
      <w:r w:rsidRPr="00237176">
        <w:rPr>
          <w:rFonts w:ascii="Times New Roman" w:hAnsi="Times New Roman" w:eastAsia="MS Mincho" w:cs="Times New Roman"/>
          <w:szCs w:val="24"/>
        </w:rPr>
        <w:t>It follows that the applicant in the present case fell within the jurisdiction of the Russian Federation under Article 1 of the Convention. Consequently, the Court dismisses the Russian Government</w:t>
      </w:r>
      <w:r w:rsidRPr="00237176" w:rsidR="00237176">
        <w:rPr>
          <w:rFonts w:ascii="Times New Roman" w:hAnsi="Times New Roman" w:eastAsia="MS Mincho" w:cs="Times New Roman"/>
          <w:szCs w:val="24"/>
        </w:rPr>
        <w:t>’</w:t>
      </w:r>
      <w:r w:rsidRPr="00237176">
        <w:rPr>
          <w:rFonts w:ascii="Times New Roman" w:hAnsi="Times New Roman" w:eastAsia="MS Mincho" w:cs="Times New Roman"/>
          <w:szCs w:val="24"/>
        </w:rPr>
        <w:t xml:space="preserve">s objections </w:t>
      </w:r>
      <w:proofErr w:type="spellStart"/>
      <w:r w:rsidRPr="00237176">
        <w:rPr>
          <w:rFonts w:ascii="Times New Roman" w:hAnsi="Times New Roman" w:eastAsia="MS Mincho" w:cs="Times New Roman"/>
          <w:i/>
          <w:szCs w:val="24"/>
        </w:rPr>
        <w:t>ratione</w:t>
      </w:r>
      <w:proofErr w:type="spellEnd"/>
      <w:r w:rsidRPr="00237176">
        <w:rPr>
          <w:rFonts w:ascii="Times New Roman" w:hAnsi="Times New Roman" w:eastAsia="MS Mincho" w:cs="Times New Roman"/>
          <w:i/>
          <w:szCs w:val="24"/>
        </w:rPr>
        <w:t xml:space="preserve"> personae</w:t>
      </w:r>
      <w:r w:rsidRPr="00237176">
        <w:rPr>
          <w:rFonts w:ascii="Times New Roman" w:hAnsi="Times New Roman" w:eastAsia="MS Mincho" w:cs="Times New Roman"/>
          <w:szCs w:val="24"/>
        </w:rPr>
        <w:t xml:space="preserve"> and </w:t>
      </w:r>
      <w:proofErr w:type="spellStart"/>
      <w:r w:rsidRPr="00237176">
        <w:rPr>
          <w:rFonts w:ascii="Times New Roman" w:hAnsi="Times New Roman" w:eastAsia="MS Mincho" w:cs="Times New Roman"/>
          <w:i/>
          <w:szCs w:val="24"/>
        </w:rPr>
        <w:t>ratione</w:t>
      </w:r>
      <w:proofErr w:type="spellEnd"/>
      <w:r w:rsidRPr="00237176">
        <w:rPr>
          <w:rFonts w:ascii="Times New Roman" w:hAnsi="Times New Roman" w:eastAsia="MS Mincho" w:cs="Times New Roman"/>
          <w:i/>
          <w:szCs w:val="24"/>
        </w:rPr>
        <w:t xml:space="preserve"> loci</w:t>
      </w:r>
      <w:r w:rsidRPr="00237176">
        <w:rPr>
          <w:rFonts w:ascii="Times New Roman" w:hAnsi="Times New Roman" w:eastAsia="MS Mincho" w:cs="Times New Roman"/>
          <w:szCs w:val="24"/>
        </w:rPr>
        <w:t>.</w:t>
      </w:r>
    </w:p>
    <w:bookmarkStart w:name="p__26_RUS_responsibility" w:id="14"/>
    <w:p w:rsidRPr="00237176" w:rsidR="00044FA0" w:rsidP="00237176" w:rsidRDefault="00044FA0">
      <w:pPr>
        <w:pStyle w:val="JuPara"/>
        <w:rPr>
          <w:snapToGrid w:val="0"/>
        </w:rPr>
      </w:pPr>
      <w:r w:rsidRPr="00237176">
        <w:fldChar w:fldCharType="begin"/>
      </w:r>
      <w:r w:rsidRPr="00237176">
        <w:instrText xml:space="preserve"> SEQ level0 \*arabic </w:instrText>
      </w:r>
      <w:r w:rsidRPr="00237176">
        <w:fldChar w:fldCharType="separate"/>
      </w:r>
      <w:r w:rsidRPr="00237176" w:rsidR="00237176">
        <w:rPr>
          <w:noProof/>
        </w:rPr>
        <w:t>26</w:t>
      </w:r>
      <w:r w:rsidRPr="00237176">
        <w:fldChar w:fldCharType="end"/>
      </w:r>
      <w:bookmarkEnd w:id="14"/>
      <w:r w:rsidRPr="00237176">
        <w:t>.  </w:t>
      </w:r>
      <w:r w:rsidRPr="00237176">
        <w:rPr>
          <w:rFonts w:ascii="Times New Roman" w:hAnsi="Times New Roman" w:cs="Times New Roman"/>
          <w:szCs w:val="24"/>
        </w:rPr>
        <w:t>The Court will hereafter determine whether there has been any violation of the applicant</w:t>
      </w:r>
      <w:r w:rsidRPr="00237176" w:rsidR="00237176">
        <w:rPr>
          <w:rFonts w:ascii="Times New Roman" w:hAnsi="Times New Roman" w:cs="Times New Roman"/>
          <w:szCs w:val="24"/>
        </w:rPr>
        <w:t>’</w:t>
      </w:r>
      <w:r w:rsidRPr="00237176">
        <w:rPr>
          <w:rFonts w:ascii="Times New Roman" w:hAnsi="Times New Roman" w:cs="Times New Roman"/>
          <w:szCs w:val="24"/>
        </w:rPr>
        <w:t>s rights under the Convention such as to engage the responsibility of either respondent State (</w:t>
      </w:r>
      <w:r w:rsidRPr="00237176">
        <w:rPr>
          <w:rFonts w:ascii="Times New Roman" w:hAnsi="Times New Roman" w:eastAsia="MS Mincho" w:cs="Times New Roman"/>
          <w:szCs w:val="24"/>
        </w:rPr>
        <w:t xml:space="preserve">see </w:t>
      </w:r>
      <w:proofErr w:type="spellStart"/>
      <w:r w:rsidRPr="00237176">
        <w:rPr>
          <w:rFonts w:ascii="Times New Roman" w:hAnsi="Times New Roman" w:eastAsia="MS Mincho" w:cs="Times New Roman"/>
          <w:i/>
          <w:szCs w:val="24"/>
        </w:rPr>
        <w:t>Mozer</w:t>
      </w:r>
      <w:proofErr w:type="spellEnd"/>
      <w:r w:rsidRPr="00237176">
        <w:rPr>
          <w:rFonts w:ascii="Times New Roman" w:hAnsi="Times New Roman" w:eastAsia="MS Mincho" w:cs="Times New Roman"/>
          <w:szCs w:val="24"/>
        </w:rPr>
        <w:t>, cited above, § 112).</w:t>
      </w:r>
    </w:p>
    <w:p w:rsidRPr="00237176" w:rsidR="00044FA0" w:rsidP="00237176" w:rsidRDefault="00044FA0">
      <w:pPr>
        <w:pStyle w:val="JuHA"/>
      </w:pPr>
      <w:r w:rsidRPr="00237176">
        <w:t>Exhaustion of domestic remedies</w:t>
      </w:r>
    </w:p>
    <w:p w:rsidRPr="00237176" w:rsidR="00FB58C0" w:rsidP="00237176" w:rsidRDefault="00FB58C0">
      <w:pPr>
        <w:pStyle w:val="JuH1"/>
      </w:pPr>
      <w:r w:rsidRPr="00237176">
        <w:t>The objection raised by the Moldovan Government</w:t>
      </w:r>
    </w:p>
    <w:bookmarkStart w:name="p_26_NEW_MDA_GVT_obj_non_exh" w:id="15"/>
    <w:p w:rsidRPr="00237176" w:rsidR="00FB58C0" w:rsidP="00237176" w:rsidRDefault="00FB58C0">
      <w:pPr>
        <w:pStyle w:val="JuPara"/>
      </w:pPr>
      <w:r w:rsidRPr="00237176">
        <w:fldChar w:fldCharType="begin"/>
      </w:r>
      <w:r w:rsidRPr="00237176">
        <w:instrText xml:space="preserve"> SEQ level0 \*arabic </w:instrText>
      </w:r>
      <w:r w:rsidRPr="00237176">
        <w:fldChar w:fldCharType="separate"/>
      </w:r>
      <w:r w:rsidRPr="00237176" w:rsidR="00237176">
        <w:rPr>
          <w:noProof/>
        </w:rPr>
        <w:t>27</w:t>
      </w:r>
      <w:r w:rsidRPr="00237176">
        <w:fldChar w:fldCharType="end"/>
      </w:r>
      <w:bookmarkEnd w:id="15"/>
      <w:r w:rsidRPr="00237176">
        <w:t>.  </w:t>
      </w:r>
      <w:r w:rsidRPr="00237176" w:rsidR="00056B28">
        <w:t>The Moldovan Government submitted that the applicant had not exhausted the domestic remedies available to him under Moldovan law and court practice. In particular, he could have asked the Supreme Court of Justice to annul his conviction by the “MRT” court. He could also have claimed compensation in a civil law suit.</w:t>
      </w:r>
    </w:p>
    <w:p w:rsidRPr="00237176" w:rsidR="00056B28"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28</w:t>
      </w:r>
      <w:r w:rsidRPr="00237176">
        <w:rPr>
          <w:noProof/>
        </w:rPr>
        <w:fldChar w:fldCharType="end"/>
      </w:r>
      <w:r w:rsidRPr="00237176" w:rsidR="00056B28">
        <w:t xml:space="preserve">.  The Court notes that it has already rejected a similar argument raised by the Moldovan Government in </w:t>
      </w:r>
      <w:proofErr w:type="spellStart"/>
      <w:r w:rsidRPr="00237176" w:rsidR="00056B28">
        <w:rPr>
          <w:i/>
        </w:rPr>
        <w:t>Mozer</w:t>
      </w:r>
      <w:proofErr w:type="spellEnd"/>
      <w:r w:rsidRPr="00237176" w:rsidR="00056B28">
        <w:t xml:space="preserve"> (cited above, §§ 115-21</w:t>
      </w:r>
      <w:r w:rsidRPr="00237176" w:rsidR="00E3358F">
        <w:t xml:space="preserve">; see also </w:t>
      </w:r>
      <w:proofErr w:type="spellStart"/>
      <w:r w:rsidRPr="00237176" w:rsidR="00E3358F">
        <w:rPr>
          <w:i/>
          <w:iCs/>
        </w:rPr>
        <w:t>Draci</w:t>
      </w:r>
      <w:proofErr w:type="spellEnd"/>
      <w:r w:rsidRPr="00237176" w:rsidR="00E3358F">
        <w:rPr>
          <w:i/>
          <w:iCs/>
        </w:rPr>
        <w:t xml:space="preserve"> v. the Republic of Moldova and Russia</w:t>
      </w:r>
      <w:r w:rsidRPr="00237176" w:rsidR="00E3358F">
        <w:rPr>
          <w:lang w:eastAsia="en-GB"/>
        </w:rPr>
        <w:t>, no. </w:t>
      </w:r>
      <w:r w:rsidRPr="00237176" w:rsidR="00E3358F">
        <w:t>5349/02</w:t>
      </w:r>
      <w:r w:rsidRPr="00237176" w:rsidR="00E3358F">
        <w:rPr>
          <w:lang w:eastAsia="en-GB"/>
        </w:rPr>
        <w:t xml:space="preserve">, </w:t>
      </w:r>
      <w:r w:rsidRPr="00237176" w:rsidR="00E3358F">
        <w:t>§§ 34, 17 October 2017</w:t>
      </w:r>
      <w:r w:rsidRPr="00237176" w:rsidR="00056B28">
        <w:t>). Accordingly, this objection must be dismissed in the present case.</w:t>
      </w:r>
    </w:p>
    <w:p w:rsidRPr="00237176" w:rsidR="00FB58C0" w:rsidP="00237176" w:rsidRDefault="00FB58C0">
      <w:pPr>
        <w:pStyle w:val="JuH1"/>
      </w:pPr>
      <w:r w:rsidRPr="00237176">
        <w:t>The objection raised by the Russian Government</w:t>
      </w:r>
    </w:p>
    <w:p w:rsidRPr="00237176" w:rsidR="00044FA0" w:rsidP="00237176" w:rsidRDefault="00044FA0">
      <w:pPr>
        <w:pStyle w:val="JuPara"/>
      </w:pPr>
      <w:r w:rsidRPr="00237176">
        <w:fldChar w:fldCharType="begin"/>
      </w:r>
      <w:r w:rsidRPr="00237176">
        <w:instrText xml:space="preserve"> SEQ level0 \*arabic </w:instrText>
      </w:r>
      <w:r w:rsidRPr="00237176">
        <w:fldChar w:fldCharType="separate"/>
      </w:r>
      <w:r w:rsidRPr="00237176" w:rsidR="00237176">
        <w:rPr>
          <w:noProof/>
        </w:rPr>
        <w:t>29</w:t>
      </w:r>
      <w:r w:rsidRPr="00237176">
        <w:fldChar w:fldCharType="end"/>
      </w:r>
      <w:r w:rsidRPr="00237176">
        <w:t>.  The Russian Government submitted that the application should be rejected for failure to exhaust domestic remedies before the Russian courts.</w:t>
      </w:r>
    </w:p>
    <w:p w:rsidRPr="00237176" w:rsidR="00044FA0" w:rsidP="00237176" w:rsidRDefault="00AF1D90">
      <w:pPr>
        <w:pStyle w:val="JuPara"/>
        <w:rPr>
          <w:i/>
          <w:szCs w:val="24"/>
        </w:rPr>
      </w:pPr>
      <w:r w:rsidRPr="00237176">
        <w:fldChar w:fldCharType="begin"/>
      </w:r>
      <w:r w:rsidRPr="00237176">
        <w:instrText xml:space="preserve"> SEQ level0 \*arabic </w:instrText>
      </w:r>
      <w:r w:rsidRPr="00237176">
        <w:fldChar w:fldCharType="separate"/>
      </w:r>
      <w:r w:rsidRPr="00237176" w:rsidR="00237176">
        <w:rPr>
          <w:noProof/>
        </w:rPr>
        <w:t>30</w:t>
      </w:r>
      <w:r w:rsidRPr="00237176">
        <w:rPr>
          <w:noProof/>
        </w:rPr>
        <w:fldChar w:fldCharType="end"/>
      </w:r>
      <w:r w:rsidRPr="00237176" w:rsidR="00044FA0">
        <w:t xml:space="preserve">.  The Court notes that the obligation to exhaust domestic remedies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 To be effective, a remedy must be capable of directly redressing the impugned state of affairs and must offer reasonable prospects of success (see </w:t>
      </w:r>
      <w:proofErr w:type="spellStart"/>
      <w:r w:rsidRPr="00237176" w:rsidR="00044FA0">
        <w:rPr>
          <w:i/>
        </w:rPr>
        <w:t>Mozer</w:t>
      </w:r>
      <w:proofErr w:type="spellEnd"/>
      <w:r w:rsidRPr="00237176" w:rsidR="00044FA0">
        <w:t>, cited above, § 116).</w:t>
      </w:r>
    </w:p>
    <w:p w:rsidRPr="00237176" w:rsidR="00044FA0"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31</w:t>
      </w:r>
      <w:r w:rsidRPr="00237176">
        <w:rPr>
          <w:noProof/>
        </w:rPr>
        <w:fldChar w:fldCharType="end"/>
      </w:r>
      <w:r w:rsidRPr="00237176" w:rsidR="00044FA0">
        <w:t xml:space="preserve">.  By contrast, there is no obligation to have recourse to remedies which are inadequate or ineffective (see </w:t>
      </w:r>
      <w:proofErr w:type="spellStart"/>
      <w:r w:rsidRPr="00237176" w:rsidR="00044FA0">
        <w:rPr>
          <w:i/>
        </w:rPr>
        <w:t>Akdivar</w:t>
      </w:r>
      <w:proofErr w:type="spellEnd"/>
      <w:r w:rsidRPr="00237176" w:rsidR="00044FA0">
        <w:rPr>
          <w:i/>
        </w:rPr>
        <w:t xml:space="preserve"> and Others v. Turkey</w:t>
      </w:r>
      <w:r w:rsidRPr="00237176" w:rsidR="00044FA0">
        <w:t xml:space="preserve">, 16 September 1996, § 67, </w:t>
      </w:r>
      <w:r w:rsidRPr="00237176" w:rsidR="00044FA0">
        <w:rPr>
          <w:i/>
        </w:rPr>
        <w:t>Reports of Judgments and Decisions</w:t>
      </w:r>
      <w:r w:rsidRPr="00237176" w:rsidR="00044FA0">
        <w:t xml:space="preserve"> 1996</w:t>
      </w:r>
      <w:r w:rsidRPr="00237176" w:rsidR="00044FA0">
        <w:noBreakHyphen/>
        <w:t xml:space="preserve">IV). However, the existence of mere doubts as to the prospects of success of a particular remedy which is not obviously futile is not a valid reason for failing to use that means of redress (see </w:t>
      </w:r>
      <w:proofErr w:type="spellStart"/>
      <w:r w:rsidRPr="00237176" w:rsidR="00044FA0">
        <w:rPr>
          <w:i/>
        </w:rPr>
        <w:t>Akdivar</w:t>
      </w:r>
      <w:proofErr w:type="spellEnd"/>
      <w:r w:rsidRPr="00237176" w:rsidR="00044FA0">
        <w:rPr>
          <w:i/>
        </w:rPr>
        <w:t xml:space="preserve"> and Others</w:t>
      </w:r>
      <w:r w:rsidRPr="00237176" w:rsidR="00044FA0">
        <w:t xml:space="preserve">, cited above, § 71; and </w:t>
      </w:r>
      <w:proofErr w:type="spellStart"/>
      <w:r w:rsidRPr="00237176" w:rsidR="00044FA0">
        <w:rPr>
          <w:i/>
        </w:rPr>
        <w:t>Scoppola</w:t>
      </w:r>
      <w:proofErr w:type="spellEnd"/>
      <w:r w:rsidRPr="00237176" w:rsidR="00044FA0">
        <w:rPr>
          <w:i/>
        </w:rPr>
        <w:t xml:space="preserve"> v. Italy (no. 2)</w:t>
      </w:r>
      <w:r w:rsidRPr="00237176" w:rsidR="00044FA0">
        <w:t xml:space="preserve"> [GC], no. 10249/03, § 70, 17 September 2009).</w:t>
      </w:r>
    </w:p>
    <w:p w:rsidRPr="00237176" w:rsidR="00044FA0"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32</w:t>
      </w:r>
      <w:r w:rsidRPr="00237176">
        <w:rPr>
          <w:noProof/>
        </w:rPr>
        <w:fldChar w:fldCharType="end"/>
      </w:r>
      <w:r w:rsidRPr="00237176" w:rsidR="00044FA0">
        <w:t xml:space="preserve">.  As regards the burden of proof, it is incumbent on the Government claiming non-exhaustion to satisfy the Court that the remedy was an effective one, and available in theory and in practice at the relevant time. Once this burden has been satisfied, it falls to the applicant to establish that the remedy advanced by the Government was in fact used, or was for some reason inadequate and ineffective in the particular circumstances of the case, or that there existed special circumstances absolving him or her from this requirement (see, </w:t>
      </w:r>
      <w:r w:rsidRPr="00237176" w:rsidR="00044FA0">
        <w:rPr>
          <w:i/>
        </w:rPr>
        <w:t>inter alia</w:t>
      </w:r>
      <w:r w:rsidRPr="00237176" w:rsidR="00044FA0">
        <w:t xml:space="preserve">, </w:t>
      </w:r>
      <w:proofErr w:type="spellStart"/>
      <w:r w:rsidRPr="00237176" w:rsidR="00044FA0">
        <w:rPr>
          <w:i/>
        </w:rPr>
        <w:t>Maktouf</w:t>
      </w:r>
      <w:proofErr w:type="spellEnd"/>
      <w:r w:rsidRPr="00237176" w:rsidR="00044FA0">
        <w:rPr>
          <w:i/>
        </w:rPr>
        <w:t xml:space="preserve"> and </w:t>
      </w:r>
      <w:proofErr w:type="spellStart"/>
      <w:r w:rsidRPr="00237176" w:rsidR="00044FA0">
        <w:rPr>
          <w:i/>
        </w:rPr>
        <w:t>Damjanović</w:t>
      </w:r>
      <w:proofErr w:type="spellEnd"/>
      <w:r w:rsidRPr="00237176" w:rsidR="00044FA0">
        <w:rPr>
          <w:snapToGrid w:val="0"/>
        </w:rPr>
        <w:t xml:space="preserve"> </w:t>
      </w:r>
      <w:r w:rsidRPr="00237176" w:rsidR="00044FA0">
        <w:rPr>
          <w:i/>
        </w:rPr>
        <w:t xml:space="preserve">v. Bosnia and Herzegovina </w:t>
      </w:r>
      <w:r w:rsidRPr="00237176" w:rsidR="00044FA0">
        <w:rPr>
          <w:snapToGrid w:val="0"/>
        </w:rPr>
        <w:t xml:space="preserve">[GC], nos. 2312/08 and 34179/08, § 58, </w:t>
      </w:r>
      <w:r w:rsidRPr="00237176" w:rsidR="00044FA0">
        <w:t xml:space="preserve">ECHR 2013 (extracts); </w:t>
      </w:r>
      <w:proofErr w:type="spellStart"/>
      <w:r w:rsidRPr="00237176" w:rsidR="00044FA0">
        <w:rPr>
          <w:i/>
        </w:rPr>
        <w:t>Vučković</w:t>
      </w:r>
      <w:proofErr w:type="spellEnd"/>
      <w:r w:rsidRPr="00237176" w:rsidR="00044FA0">
        <w:rPr>
          <w:i/>
        </w:rPr>
        <w:t xml:space="preserve"> and Others v. Serbia </w:t>
      </w:r>
      <w:r w:rsidRPr="00237176" w:rsidR="00044FA0">
        <w:t xml:space="preserve">(preliminary objection) [GC], nos. 17153/11 and 29 others, §§ 69-77, 25 March 2014; and </w:t>
      </w:r>
      <w:proofErr w:type="spellStart"/>
      <w:r w:rsidRPr="00237176" w:rsidR="00044FA0">
        <w:rPr>
          <w:i/>
        </w:rPr>
        <w:t>Gherghina</w:t>
      </w:r>
      <w:proofErr w:type="spellEnd"/>
      <w:r w:rsidRPr="00237176" w:rsidR="00044FA0">
        <w:rPr>
          <w:i/>
        </w:rPr>
        <w:t xml:space="preserve"> v. Romania</w:t>
      </w:r>
      <w:r w:rsidRPr="00237176" w:rsidR="00044FA0">
        <w:t xml:space="preserve"> [GC] (</w:t>
      </w:r>
      <w:proofErr w:type="spellStart"/>
      <w:r w:rsidRPr="00237176" w:rsidR="00044FA0">
        <w:t>dec.</w:t>
      </w:r>
      <w:proofErr w:type="spellEnd"/>
      <w:r w:rsidRPr="00237176" w:rsidR="00044FA0">
        <w:t>), no. 42219/07, §§ 83-89, 9 July 2015).</w:t>
      </w:r>
    </w:p>
    <w:bookmarkStart w:name="p_42_exhaustion_start" w:id="16"/>
    <w:p w:rsidRPr="00237176" w:rsidR="00044FA0" w:rsidP="00237176" w:rsidRDefault="00044FA0">
      <w:pPr>
        <w:pStyle w:val="JuPara"/>
      </w:pPr>
      <w:r w:rsidRPr="00237176">
        <w:fldChar w:fldCharType="begin"/>
      </w:r>
      <w:r w:rsidRPr="00237176">
        <w:instrText xml:space="preserve"> SEQ level0 \*arabic </w:instrText>
      </w:r>
      <w:r w:rsidRPr="00237176">
        <w:fldChar w:fldCharType="separate"/>
      </w:r>
      <w:r w:rsidRPr="00237176" w:rsidR="00237176">
        <w:rPr>
          <w:noProof/>
        </w:rPr>
        <w:t>33</w:t>
      </w:r>
      <w:r w:rsidRPr="00237176">
        <w:fldChar w:fldCharType="end"/>
      </w:r>
      <w:bookmarkEnd w:id="16"/>
      <w:r w:rsidRPr="00237176">
        <w:t>.  The Court notes the Russian Government</w:t>
      </w:r>
      <w:r w:rsidRPr="00237176" w:rsidR="00237176">
        <w:t>’</w:t>
      </w:r>
      <w:r w:rsidRPr="00237176">
        <w:t xml:space="preserve">s submission concerning the failure to exhaust domestic remedies before the Russian courts. It observes that it examined essentially the same objection in </w:t>
      </w:r>
      <w:proofErr w:type="spellStart"/>
      <w:r w:rsidRPr="00237176">
        <w:rPr>
          <w:i/>
        </w:rPr>
        <w:t>Ilaşcu</w:t>
      </w:r>
      <w:proofErr w:type="spellEnd"/>
      <w:r w:rsidRPr="00237176">
        <w:rPr>
          <w:i/>
        </w:rPr>
        <w:t xml:space="preserve"> and Others</w:t>
      </w:r>
      <w:r w:rsidRPr="00237176">
        <w:t>, finding that:</w:t>
      </w:r>
    </w:p>
    <w:p w:rsidRPr="00237176" w:rsidR="00044FA0" w:rsidP="00237176" w:rsidRDefault="00044FA0">
      <w:pPr>
        <w:pStyle w:val="JuQuot"/>
        <w:keepNext/>
        <w:keepLines/>
      </w:pPr>
      <w:r w:rsidRPr="00237176">
        <w:t>“... the Russian Government mentioned that it was possible for the applicants to bring their complaints to the knowledge of the Russian authorities but did not state what remedies Russian domestic law might have afforded for the applicants</w:t>
      </w:r>
      <w:r w:rsidRPr="00237176" w:rsidR="00237176">
        <w:t>’</w:t>
      </w:r>
      <w:r w:rsidRPr="00237176">
        <w:t xml:space="preserve"> situation.</w:t>
      </w:r>
    </w:p>
    <w:p w:rsidRPr="00237176" w:rsidR="00044FA0" w:rsidP="00237176" w:rsidRDefault="00044FA0">
      <w:pPr>
        <w:pStyle w:val="JuQuot"/>
        <w:keepNext/>
        <w:keepLines/>
      </w:pPr>
      <w:r w:rsidRPr="00237176">
        <w:t>It notes also that the Russian Government denied all allegations that the armed forces or other officials of the Russian Federation had taken part in the applicants</w:t>
      </w:r>
      <w:r w:rsidRPr="00237176" w:rsidR="00237176">
        <w:t>’</w:t>
      </w:r>
      <w:r w:rsidRPr="00237176">
        <w:t xml:space="preserve"> arrest, imprisonment and conviction or had been involved in the conflict between Moldova and the region of </w:t>
      </w:r>
      <w:proofErr w:type="spellStart"/>
      <w:r w:rsidRPr="00237176">
        <w:t>Transdniestria</w:t>
      </w:r>
      <w:proofErr w:type="spellEnd"/>
      <w:r w:rsidRPr="00237176">
        <w:t>. Given such a denial of any involvement of Russian forces in the events complained of, the Court considers that it would be contradictory to expect the applicants to have approached the Russian Federation authorities” (</w:t>
      </w:r>
      <w:proofErr w:type="spellStart"/>
      <w:r w:rsidRPr="00237176">
        <w:rPr>
          <w:i/>
        </w:rPr>
        <w:t>Ilaşcu</w:t>
      </w:r>
      <w:proofErr w:type="spellEnd"/>
      <w:r w:rsidRPr="00237176">
        <w:rPr>
          <w:i/>
        </w:rPr>
        <w:t xml:space="preserve"> and Others</w:t>
      </w:r>
      <w:r w:rsidRPr="00237176">
        <w:t xml:space="preserve"> [GC] (</w:t>
      </w:r>
      <w:proofErr w:type="spellStart"/>
      <w:r w:rsidRPr="00237176">
        <w:t>dec.</w:t>
      </w:r>
      <w:proofErr w:type="spellEnd"/>
      <w:r w:rsidRPr="00237176">
        <w:t>), no. 48787/99, 4 July 2001).</w:t>
      </w:r>
    </w:p>
    <w:p w:rsidRPr="00237176" w:rsidR="00044FA0"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34</w:t>
      </w:r>
      <w:r w:rsidRPr="00237176">
        <w:rPr>
          <w:noProof/>
        </w:rPr>
        <w:fldChar w:fldCharType="end"/>
      </w:r>
      <w:r w:rsidRPr="00237176" w:rsidR="00044FA0">
        <w:t xml:space="preserve">.  In the present case, the Russian Government did not specify which of their courts had jurisdiction over complaints against the actions of the “MRT” authorities. Moreover, no details were given as to the legal basis for examining such complaints and to the manner in which any decision taken would be enforced. In addition, the Russian Government continued to deny any involvement in the </w:t>
      </w:r>
      <w:proofErr w:type="spellStart"/>
      <w:r w:rsidRPr="00237176" w:rsidR="00044FA0">
        <w:t>Transdniestrian</w:t>
      </w:r>
      <w:proofErr w:type="spellEnd"/>
      <w:r w:rsidRPr="00237176" w:rsidR="00044FA0">
        <w:t xml:space="preserve"> conflict. Given those circumstances the Court is not satisfied that the remedies referred to by the Russian Government were available and sufficient.</w:t>
      </w:r>
      <w:bookmarkStart w:name="p_36_exhaustion_end" w:id="17"/>
    </w:p>
    <w:bookmarkEnd w:id="17"/>
    <w:p w:rsidRPr="00237176" w:rsidR="00044FA0" w:rsidP="00237176" w:rsidRDefault="00044FA0">
      <w:pPr>
        <w:pStyle w:val="JuPara"/>
      </w:pPr>
      <w:r w:rsidRPr="00237176">
        <w:fldChar w:fldCharType="begin"/>
      </w:r>
      <w:r w:rsidRPr="00237176">
        <w:instrText xml:space="preserve"> SEQ level0 \*arabic </w:instrText>
      </w:r>
      <w:r w:rsidRPr="00237176">
        <w:fldChar w:fldCharType="separate"/>
      </w:r>
      <w:r w:rsidRPr="00237176" w:rsidR="00237176">
        <w:rPr>
          <w:noProof/>
        </w:rPr>
        <w:t>35</w:t>
      </w:r>
      <w:r w:rsidRPr="00237176">
        <w:fldChar w:fldCharType="end"/>
      </w:r>
      <w:r w:rsidRPr="00237176">
        <w:t>.  It follows from the above that the Russian Government</w:t>
      </w:r>
      <w:r w:rsidRPr="00237176" w:rsidR="00237176">
        <w:t>’</w:t>
      </w:r>
      <w:r w:rsidRPr="00237176">
        <w:t xml:space="preserve">s objection must be dismissed (see </w:t>
      </w:r>
      <w:proofErr w:type="spellStart"/>
      <w:r w:rsidRPr="00237176">
        <w:rPr>
          <w:i/>
          <w:iCs/>
        </w:rPr>
        <w:t>Draci</w:t>
      </w:r>
      <w:proofErr w:type="spellEnd"/>
      <w:r w:rsidRPr="00237176">
        <w:rPr>
          <w:lang w:eastAsia="en-GB"/>
        </w:rPr>
        <w:t xml:space="preserve">, </w:t>
      </w:r>
      <w:r w:rsidRPr="00237176" w:rsidR="00E3358F">
        <w:rPr>
          <w:lang w:eastAsia="en-GB"/>
        </w:rPr>
        <w:t>cited above</w:t>
      </w:r>
      <w:r w:rsidRPr="00237176">
        <w:rPr>
          <w:lang w:eastAsia="en-GB"/>
        </w:rPr>
        <w:t xml:space="preserve">, </w:t>
      </w:r>
      <w:r w:rsidRPr="00237176">
        <w:t>§§ 35-42).</w:t>
      </w:r>
    </w:p>
    <w:p w:rsidRPr="00237176" w:rsidR="004F11C7" w:rsidP="00237176" w:rsidRDefault="004F11C7">
      <w:pPr>
        <w:pStyle w:val="JuHA"/>
      </w:pPr>
      <w:r w:rsidRPr="00237176">
        <w:t>Compliance with the six-month period for lodging the application</w:t>
      </w:r>
    </w:p>
    <w:p w:rsidRPr="00237176" w:rsidR="004F11C7"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36</w:t>
      </w:r>
      <w:r w:rsidRPr="00237176">
        <w:rPr>
          <w:noProof/>
        </w:rPr>
        <w:fldChar w:fldCharType="end"/>
      </w:r>
      <w:r w:rsidRPr="00237176" w:rsidR="004F11C7">
        <w:t xml:space="preserve">.  The Court needs to verify whether the applicant complied with the six-month time-limit for lodging </w:t>
      </w:r>
      <w:r w:rsidRPr="00237176" w:rsidR="00C72F54">
        <w:t>his</w:t>
      </w:r>
      <w:r w:rsidRPr="00237176" w:rsidR="004F11C7">
        <w:t xml:space="preserve"> application, in accordance with Article 35 § 1 of the Convention. It reiterates that the six-month rule stipulated in that provision is intended to promote legal certainty and to ensure that cases raising issues under the Convention are dealt with within a reasonable time. It protects the authorities and other persons concerned from uncertainty for a prolonged period of time. Finally, it ensures that, in so far as possible, matters are examined while they are still fresh, before the passage of time makes it difficult to ascertain the pertinent facts and renders a fair examination of the question at issue almost impossible (see </w:t>
      </w:r>
      <w:proofErr w:type="spellStart"/>
      <w:r w:rsidRPr="00237176" w:rsidR="00363F6C">
        <w:rPr>
          <w:i/>
        </w:rPr>
        <w:t>Jeronovičs</w:t>
      </w:r>
      <w:proofErr w:type="spellEnd"/>
      <w:r w:rsidRPr="00237176" w:rsidR="00363F6C">
        <w:rPr>
          <w:i/>
        </w:rPr>
        <w:t xml:space="preserve"> v. </w:t>
      </w:r>
      <w:r w:rsidRPr="00237176" w:rsidR="004F11C7">
        <w:rPr>
          <w:i/>
        </w:rPr>
        <w:t>Latvia</w:t>
      </w:r>
      <w:r w:rsidRPr="00237176" w:rsidR="004F11C7">
        <w:t xml:space="preserve"> [GC], no. 44898/10, § 74, ECHR 2016).</w:t>
      </w:r>
    </w:p>
    <w:p w:rsidRPr="00237176" w:rsidR="009E4005" w:rsidP="00237176" w:rsidRDefault="009E4005">
      <w:pPr>
        <w:pStyle w:val="JuPara"/>
      </w:pPr>
      <w:r w:rsidRPr="00237176">
        <w:fldChar w:fldCharType="begin"/>
      </w:r>
      <w:r w:rsidRPr="00237176">
        <w:instrText xml:space="preserve"> SEQ level0 \*arabic </w:instrText>
      </w:r>
      <w:r w:rsidRPr="00237176">
        <w:fldChar w:fldCharType="separate"/>
      </w:r>
      <w:r w:rsidRPr="00237176" w:rsidR="00237176">
        <w:rPr>
          <w:noProof/>
        </w:rPr>
        <w:t>37</w:t>
      </w:r>
      <w:r w:rsidRPr="00237176">
        <w:fldChar w:fldCharType="end"/>
      </w:r>
      <w:r w:rsidRPr="00237176">
        <w:t>.  </w:t>
      </w:r>
      <w:r w:rsidRPr="00237176" w:rsidR="003478D0">
        <w:t xml:space="preserve">In the present case, the Court notes that on </w:t>
      </w:r>
      <w:r w:rsidRPr="00237176" w:rsidR="000D27F9">
        <w:t>8 February 2008</w:t>
      </w:r>
      <w:r w:rsidRPr="00237176" w:rsidR="003478D0">
        <w:t xml:space="preserve"> the applicant was </w:t>
      </w:r>
      <w:r w:rsidRPr="00237176" w:rsidR="000D27F9">
        <w:t>released after serving the sentence of three days</w:t>
      </w:r>
      <w:r w:rsidRPr="00237176" w:rsidR="00237176">
        <w:t>’</w:t>
      </w:r>
      <w:r w:rsidRPr="00237176" w:rsidR="000D27F9">
        <w:t xml:space="preserve"> imprisonment (see paragraph </w:t>
      </w:r>
      <w:r w:rsidRPr="00237176" w:rsidR="000D27F9">
        <w:fldChar w:fldCharType="begin"/>
      </w:r>
      <w:r w:rsidRPr="00237176" w:rsidR="000D27F9">
        <w:instrText xml:space="preserve"> REF p_10_TA_released \h </w:instrText>
      </w:r>
      <w:r w:rsidRPr="00237176" w:rsidR="000D27F9">
        <w:fldChar w:fldCharType="separate"/>
      </w:r>
      <w:r w:rsidRPr="00237176" w:rsidR="00237176">
        <w:rPr>
          <w:noProof/>
        </w:rPr>
        <w:t>11</w:t>
      </w:r>
      <w:r w:rsidRPr="00237176" w:rsidR="000D27F9">
        <w:fldChar w:fldCharType="end"/>
      </w:r>
      <w:r w:rsidRPr="00237176" w:rsidR="000D27F9">
        <w:t xml:space="preserve"> above)</w:t>
      </w:r>
      <w:r w:rsidRPr="00237176" w:rsidR="003478D0">
        <w:t xml:space="preserve">. </w:t>
      </w:r>
      <w:r w:rsidRPr="00237176" w:rsidR="00235637">
        <w:t>According to the Court</w:t>
      </w:r>
      <w:r w:rsidRPr="00237176" w:rsidR="00237176">
        <w:t>’</w:t>
      </w:r>
      <w:r w:rsidRPr="00237176" w:rsidR="00235637">
        <w:t xml:space="preserve">s case-law, he should have lodged </w:t>
      </w:r>
      <w:r w:rsidRPr="00237176" w:rsidR="00B85477">
        <w:t xml:space="preserve">any complaints </w:t>
      </w:r>
      <w:r w:rsidRPr="00237176" w:rsidR="00235637">
        <w:t xml:space="preserve">concerning </w:t>
      </w:r>
      <w:r w:rsidRPr="00237176" w:rsidR="00B85477">
        <w:t xml:space="preserve">his pre-trial detention </w:t>
      </w:r>
      <w:r w:rsidRPr="00237176" w:rsidR="00235637">
        <w:t xml:space="preserve">within six months from the date of his actual release (see, for instance, </w:t>
      </w:r>
      <w:proofErr w:type="spellStart"/>
      <w:r w:rsidRPr="00237176" w:rsidR="00235637">
        <w:rPr>
          <w:i/>
          <w:lang w:val="pt-PT"/>
        </w:rPr>
        <w:t>Idalov</w:t>
      </w:r>
      <w:proofErr w:type="spellEnd"/>
      <w:r w:rsidRPr="00237176" w:rsidR="00235637">
        <w:rPr>
          <w:i/>
          <w:lang w:val="pt-PT"/>
        </w:rPr>
        <w:t xml:space="preserve"> v. </w:t>
      </w:r>
      <w:proofErr w:type="spellStart"/>
      <w:r w:rsidRPr="00237176" w:rsidR="00235637">
        <w:rPr>
          <w:i/>
          <w:lang w:val="pt-PT"/>
        </w:rPr>
        <w:t>Russia</w:t>
      </w:r>
      <w:proofErr w:type="spellEnd"/>
      <w:r w:rsidRPr="00237176" w:rsidR="00235637">
        <w:rPr>
          <w:lang w:val="pt-PT"/>
        </w:rPr>
        <w:t xml:space="preserve"> [GC], no. 5826/03, § 130, 22 </w:t>
      </w:r>
      <w:proofErr w:type="spellStart"/>
      <w:r w:rsidRPr="00237176" w:rsidR="00235637">
        <w:rPr>
          <w:lang w:val="pt-PT"/>
        </w:rPr>
        <w:t>May</w:t>
      </w:r>
      <w:proofErr w:type="spellEnd"/>
      <w:r w:rsidRPr="00237176" w:rsidR="00235637">
        <w:rPr>
          <w:lang w:val="pt-PT"/>
        </w:rPr>
        <w:t xml:space="preserve"> 2012</w:t>
      </w:r>
      <w:r w:rsidRPr="00237176" w:rsidR="00235637">
        <w:t xml:space="preserve">). </w:t>
      </w:r>
      <w:r w:rsidRPr="00237176" w:rsidR="007551EB">
        <w:t xml:space="preserve">However, he lodged his application on 27 November 2008, more than six months </w:t>
      </w:r>
      <w:r w:rsidRPr="00237176" w:rsidR="0055798B">
        <w:t>later</w:t>
      </w:r>
      <w:r w:rsidRPr="00237176" w:rsidR="007551EB">
        <w:t xml:space="preserve">. </w:t>
      </w:r>
      <w:r w:rsidRPr="00237176" w:rsidR="0055798B">
        <w:t>Therefore, the complaint under Article 5 §§ 1, 3, 4 and 5 were lodged outside the time-limit set down by Article 35 § 1 of the Convention, and must be rejected as inadmissible pursuant to Article 35 § 4 of the Convention.</w:t>
      </w:r>
    </w:p>
    <w:p w:rsidRPr="00237176" w:rsidR="002810ED" w:rsidP="00237176" w:rsidRDefault="002810ED">
      <w:pPr>
        <w:pStyle w:val="JuHA"/>
      </w:pPr>
      <w:r w:rsidRPr="00237176">
        <w:t>Complaint under Article 13 of the Convention</w:t>
      </w:r>
    </w:p>
    <w:p w:rsidRPr="00237176" w:rsidR="002810ED" w:rsidP="00237176" w:rsidRDefault="002810ED">
      <w:pPr>
        <w:pStyle w:val="JuPara"/>
      </w:pPr>
      <w:r w:rsidRPr="00237176">
        <w:fldChar w:fldCharType="begin"/>
      </w:r>
      <w:r w:rsidRPr="00237176">
        <w:instrText xml:space="preserve"> SEQ level0 \*arabic </w:instrText>
      </w:r>
      <w:r w:rsidRPr="00237176">
        <w:fldChar w:fldCharType="separate"/>
      </w:r>
      <w:r w:rsidRPr="00237176" w:rsidR="00237176">
        <w:rPr>
          <w:noProof/>
        </w:rPr>
        <w:t>38</w:t>
      </w:r>
      <w:r w:rsidRPr="00237176">
        <w:fldChar w:fldCharType="end"/>
      </w:r>
      <w:r w:rsidRPr="00237176">
        <w:t>.  The applicant company claimed that he did not have at his disposal effective remedies in respect of his complaints under Article 5 of the Convention.</w:t>
      </w:r>
    </w:p>
    <w:p w:rsidRPr="00237176" w:rsidR="002810ED"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39</w:t>
      </w:r>
      <w:r w:rsidRPr="00237176">
        <w:rPr>
          <w:noProof/>
        </w:rPr>
        <w:fldChar w:fldCharType="end"/>
      </w:r>
      <w:r w:rsidRPr="00237176" w:rsidR="002810ED">
        <w:t xml:space="preserve">.  The Court notes that Article 13 requires that a remedy be available in domestic law only in respect of grievances which can be regarded as “arguable” in terms of the Convention (see </w:t>
      </w:r>
      <w:r w:rsidRPr="00237176" w:rsidR="002810ED">
        <w:rPr>
          <w:i/>
        </w:rPr>
        <w:t>Nada v. Switzerland</w:t>
      </w:r>
      <w:r w:rsidRPr="00237176" w:rsidR="002810ED">
        <w:t xml:space="preserve"> </w:t>
      </w:r>
      <w:r w:rsidRPr="00237176" w:rsidR="00363F6C">
        <w:t>[GC], no. </w:t>
      </w:r>
      <w:r w:rsidRPr="00237176" w:rsidR="002810ED">
        <w:t>10593/08, § 208, ECHR 2012).</w:t>
      </w:r>
    </w:p>
    <w:p w:rsidRPr="00237176" w:rsidR="00BA74F7" w:rsidP="00237176" w:rsidRDefault="00BA74F7">
      <w:pPr>
        <w:pStyle w:val="JuPara"/>
      </w:pPr>
      <w:r w:rsidRPr="00237176">
        <w:fldChar w:fldCharType="begin"/>
      </w:r>
      <w:r w:rsidRPr="00237176">
        <w:instrText xml:space="preserve"> SEQ level0 \*arabic </w:instrText>
      </w:r>
      <w:r w:rsidRPr="00237176">
        <w:fldChar w:fldCharType="separate"/>
      </w:r>
      <w:r w:rsidRPr="00237176" w:rsidR="00237176">
        <w:rPr>
          <w:noProof/>
        </w:rPr>
        <w:t>40</w:t>
      </w:r>
      <w:r w:rsidRPr="00237176">
        <w:fldChar w:fldCharType="end"/>
      </w:r>
      <w:r w:rsidRPr="00237176">
        <w:t>.  The Court has found that the applicant</w:t>
      </w:r>
      <w:r w:rsidRPr="00237176" w:rsidR="00237176">
        <w:t>’</w:t>
      </w:r>
      <w:r w:rsidRPr="00237176">
        <w:t xml:space="preserve">s complaint under Article </w:t>
      </w:r>
      <w:r w:rsidRPr="00237176" w:rsidR="002A4204">
        <w:t>5</w:t>
      </w:r>
      <w:r w:rsidRPr="00237176">
        <w:t xml:space="preserve"> o</w:t>
      </w:r>
      <w:r w:rsidRPr="00237176" w:rsidR="002A4204">
        <w:t>f</w:t>
      </w:r>
      <w:r w:rsidRPr="00237176">
        <w:t xml:space="preserve"> the Convention is </w:t>
      </w:r>
      <w:r w:rsidRPr="00237176" w:rsidR="002A4204">
        <w:t>out of time</w:t>
      </w:r>
      <w:r w:rsidRPr="00237176">
        <w:t>. It accordingly finds that that claim cannot be said to be “arguable” within the meaning of the Convention case-law.</w:t>
      </w:r>
    </w:p>
    <w:p w:rsidRPr="00237176" w:rsidR="002A4204" w:rsidP="00237176" w:rsidRDefault="002A4204">
      <w:pPr>
        <w:pStyle w:val="JuPara"/>
      </w:pPr>
      <w:r w:rsidRPr="00237176">
        <w:fldChar w:fldCharType="begin"/>
      </w:r>
      <w:r w:rsidRPr="00237176">
        <w:instrText xml:space="preserve"> SEQ level0 \*arabic </w:instrText>
      </w:r>
      <w:r w:rsidRPr="00237176">
        <w:fldChar w:fldCharType="separate"/>
      </w:r>
      <w:r w:rsidRPr="00237176" w:rsidR="00237176">
        <w:rPr>
          <w:noProof/>
        </w:rPr>
        <w:t>41</w:t>
      </w:r>
      <w:r w:rsidRPr="00237176">
        <w:fldChar w:fldCharType="end"/>
      </w:r>
      <w:r w:rsidRPr="00237176">
        <w:t>.  It follows that this part of the application is manifestly ill</w:t>
      </w:r>
      <w:r w:rsidRPr="00237176">
        <w:noBreakHyphen/>
        <w:t>founded and must be rejected in accordance with Article 35 §§ 3 and 4 of the Convention.</w:t>
      </w:r>
    </w:p>
    <w:p w:rsidRPr="00237176" w:rsidR="00D420F3" w:rsidP="00237176" w:rsidRDefault="00F129E3">
      <w:pPr>
        <w:pStyle w:val="JuHIRoman"/>
      </w:pPr>
      <w:r w:rsidRPr="00237176">
        <w:t> </w:t>
      </w:r>
      <w:r w:rsidRPr="00237176" w:rsidR="0077175D">
        <w:t xml:space="preserve">ALLEGED VIOLATION OF ARTICLE </w:t>
      </w:r>
      <w:r w:rsidRPr="00237176" w:rsidR="006466D4">
        <w:t>6</w:t>
      </w:r>
      <w:r w:rsidRPr="00237176" w:rsidR="007A6BC2">
        <w:t xml:space="preserve"> §</w:t>
      </w:r>
      <w:r w:rsidRPr="00237176" w:rsidR="0041665D">
        <w:t>§</w:t>
      </w:r>
      <w:r w:rsidRPr="00237176" w:rsidR="007A6BC2">
        <w:t xml:space="preserve"> </w:t>
      </w:r>
      <w:r w:rsidRPr="00237176" w:rsidR="0041665D">
        <w:t xml:space="preserve">1 and </w:t>
      </w:r>
      <w:r w:rsidRPr="00237176" w:rsidR="004F11C7">
        <w:t>3</w:t>
      </w:r>
      <w:r w:rsidRPr="00237176" w:rsidR="0077175D">
        <w:t xml:space="preserve"> OF THE CONVENTION</w:t>
      </w:r>
    </w:p>
    <w:p w:rsidRPr="00237176" w:rsidR="0041665D" w:rsidP="00237176" w:rsidRDefault="00803109">
      <w:pPr>
        <w:pStyle w:val="JuPara"/>
      </w:pPr>
      <w:r w:rsidRPr="00237176">
        <w:fldChar w:fldCharType="begin"/>
      </w:r>
      <w:r w:rsidRPr="00237176">
        <w:instrText xml:space="preserve"> SEQ level0 \*arabic </w:instrText>
      </w:r>
      <w:r w:rsidRPr="00237176">
        <w:fldChar w:fldCharType="separate"/>
      </w:r>
      <w:r w:rsidRPr="00237176" w:rsidR="00237176">
        <w:rPr>
          <w:noProof/>
        </w:rPr>
        <w:t>42</w:t>
      </w:r>
      <w:r w:rsidRPr="00237176">
        <w:fldChar w:fldCharType="end"/>
      </w:r>
      <w:r w:rsidRPr="00237176" w:rsidR="0077175D">
        <w:t xml:space="preserve">.  The applicant complained </w:t>
      </w:r>
      <w:r w:rsidRPr="00237176" w:rsidR="0041665D">
        <w:t xml:space="preserve">about a breach of his procedural rights during the administrative proceedings against him, contrary to the requirements of Article 6 </w:t>
      </w:r>
      <w:r w:rsidRPr="00237176" w:rsidR="00BE153E">
        <w:t xml:space="preserve">§§ 1 and 3 </w:t>
      </w:r>
      <w:r w:rsidRPr="00237176" w:rsidR="0041665D">
        <w:t>of the Convention</w:t>
      </w:r>
      <w:r w:rsidRPr="00237176" w:rsidR="00BE153E">
        <w:t xml:space="preserve"> which, insofar </w:t>
      </w:r>
      <w:r w:rsidRPr="00237176" w:rsidR="0041665D">
        <w:t xml:space="preserve">as relevant, </w:t>
      </w:r>
      <w:r w:rsidRPr="00237176" w:rsidR="00BE153E">
        <w:t>read</w:t>
      </w:r>
      <w:r w:rsidRPr="00237176" w:rsidR="0041665D">
        <w:t xml:space="preserve"> as follows:</w:t>
      </w:r>
    </w:p>
    <w:p w:rsidRPr="00237176" w:rsidR="00DA5D09" w:rsidP="00237176" w:rsidRDefault="0041665D">
      <w:pPr>
        <w:pStyle w:val="JuQuot"/>
      </w:pPr>
      <w:r w:rsidRPr="00237176">
        <w:t>“1.  In the determination of his civil rights and obligations or of any criminal charge against him, everyone is entitled to a fair and public hearing within a reasonable time by an independent and impartial tribunal established by law.</w:t>
      </w:r>
    </w:p>
    <w:p w:rsidRPr="00237176" w:rsidR="0041665D" w:rsidP="00237176" w:rsidRDefault="00DA5D09">
      <w:pPr>
        <w:pStyle w:val="JuQuot"/>
      </w:pPr>
      <w:r w:rsidRPr="00237176">
        <w:t>...</w:t>
      </w:r>
    </w:p>
    <w:p w:rsidRPr="00237176" w:rsidR="0041665D" w:rsidP="00237176" w:rsidRDefault="0041665D">
      <w:pPr>
        <w:pStyle w:val="JuQuot"/>
      </w:pPr>
      <w:r w:rsidRPr="00237176">
        <w:t>3.  Everyone charged with a criminal offence has the following minimum rights:</w:t>
      </w:r>
    </w:p>
    <w:p w:rsidRPr="00237176" w:rsidR="0041665D" w:rsidP="00237176" w:rsidRDefault="00DA5D09">
      <w:pPr>
        <w:pStyle w:val="JuQuot"/>
      </w:pPr>
      <w:r w:rsidRPr="00237176">
        <w:t>...</w:t>
      </w:r>
    </w:p>
    <w:p w:rsidRPr="00237176" w:rsidR="0041665D" w:rsidP="00237176" w:rsidRDefault="0041665D">
      <w:pPr>
        <w:pStyle w:val="JuQuot"/>
      </w:pPr>
      <w:r w:rsidRPr="00237176">
        <w:t>(b)  to have adequate time and facilities for the preparation of his defence;</w:t>
      </w:r>
    </w:p>
    <w:p w:rsidRPr="00237176" w:rsidR="0041665D" w:rsidP="00237176" w:rsidRDefault="0041665D">
      <w:pPr>
        <w:pStyle w:val="JuQuot"/>
      </w:pPr>
      <w:r w:rsidRPr="00237176">
        <w:t>(c)  to defend himself in person or through legal assistance of his own choosing or, if he has not sufficient means to pay for legal assistance, to be given it free when the interests of justice so require;</w:t>
      </w:r>
    </w:p>
    <w:p w:rsidRPr="00237176" w:rsidR="0041665D" w:rsidP="00237176" w:rsidRDefault="00DA5D09">
      <w:pPr>
        <w:pStyle w:val="JuQuot"/>
      </w:pPr>
      <w:r w:rsidRPr="00237176">
        <w:t>...</w:t>
      </w:r>
    </w:p>
    <w:p w:rsidRPr="00237176" w:rsidR="0041665D" w:rsidP="00237176" w:rsidRDefault="0041665D">
      <w:pPr>
        <w:pStyle w:val="JuQuot"/>
      </w:pPr>
      <w:r w:rsidRPr="00237176">
        <w:t>(e)  to have the free assistance of an interpreter if he cannot understand or speak the language used in court.”</w:t>
      </w:r>
    </w:p>
    <w:p w:rsidRPr="00237176" w:rsidR="00D420F3" w:rsidP="00237176" w:rsidRDefault="0077175D">
      <w:pPr>
        <w:pStyle w:val="JuHA"/>
      </w:pPr>
      <w:r w:rsidRPr="00237176">
        <w:t>Admissibility</w:t>
      </w:r>
    </w:p>
    <w:p w:rsidRPr="00237176" w:rsidR="002810ED" w:rsidP="00237176" w:rsidRDefault="002810ED">
      <w:pPr>
        <w:pStyle w:val="JuPara"/>
      </w:pPr>
      <w:r w:rsidRPr="00237176">
        <w:fldChar w:fldCharType="begin"/>
      </w:r>
      <w:r w:rsidRPr="00237176">
        <w:instrText xml:space="preserve"> SEQ level0 \*arabic </w:instrText>
      </w:r>
      <w:r w:rsidRPr="00237176">
        <w:fldChar w:fldCharType="separate"/>
      </w:r>
      <w:r w:rsidRPr="00237176" w:rsidR="00237176">
        <w:rPr>
          <w:noProof/>
        </w:rPr>
        <w:t>43</w:t>
      </w:r>
      <w:r w:rsidRPr="00237176">
        <w:fldChar w:fldCharType="end"/>
      </w:r>
      <w:r w:rsidRPr="00237176">
        <w:t>.  The Court notes that this complaint is not manifestly ill-founded within the meaning of Article 35 § 3 (a) of the Convention. It further notes that it is not inadmissible on any other grounds. It must therefore be declared admissible.</w:t>
      </w:r>
    </w:p>
    <w:p w:rsidRPr="00237176" w:rsidR="007C7D1B" w:rsidP="00237176" w:rsidRDefault="007C7D1B">
      <w:pPr>
        <w:pStyle w:val="JuHA"/>
      </w:pPr>
      <w:r w:rsidRPr="00237176">
        <w:t>Scope of the case</w:t>
      </w:r>
    </w:p>
    <w:p w:rsidRPr="00237176" w:rsidR="00417310"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44</w:t>
      </w:r>
      <w:r w:rsidRPr="00237176">
        <w:rPr>
          <w:noProof/>
        </w:rPr>
        <w:fldChar w:fldCharType="end"/>
      </w:r>
      <w:r w:rsidRPr="00237176" w:rsidR="007C7D1B">
        <w:t>.  </w:t>
      </w:r>
      <w:r w:rsidRPr="00237176" w:rsidR="00F811CE">
        <w:t xml:space="preserve">The Court notes that in his observations on the merits of the present case the applicant complained about the unlawfulness of the decisions sanctioning him with administrative arrest, in view of the fact that the “MRT” courts had themselves been created in breach of </w:t>
      </w:r>
      <w:r w:rsidRPr="00237176" w:rsidR="003D1042">
        <w:t xml:space="preserve">the </w:t>
      </w:r>
      <w:r w:rsidRPr="00237176" w:rsidR="00F811CE">
        <w:t>Moldovan law. However, no such complaint was included in the application form which he initially submitted to the Court and it was accordingly not communicated to the respondent Governments. Therefore, the Court will not examine this part of the complaint under Article 6.</w:t>
      </w:r>
    </w:p>
    <w:p w:rsidRPr="00237176" w:rsidR="00D420F3" w:rsidP="00237176" w:rsidRDefault="0077175D">
      <w:pPr>
        <w:pStyle w:val="JuHA"/>
      </w:pPr>
      <w:r w:rsidRPr="00237176">
        <w:t>Merits</w:t>
      </w:r>
    </w:p>
    <w:p w:rsidRPr="00237176" w:rsidR="00044FA0" w:rsidP="00237176" w:rsidRDefault="007C7D1B">
      <w:pPr>
        <w:pStyle w:val="JuH1"/>
      </w:pPr>
      <w:r w:rsidRPr="00237176">
        <w:t>The parties</w:t>
      </w:r>
      <w:r w:rsidRPr="00237176" w:rsidR="00237176">
        <w:t>’</w:t>
      </w:r>
      <w:r w:rsidRPr="00237176">
        <w:t xml:space="preserve"> submissions</w:t>
      </w:r>
    </w:p>
    <w:p w:rsidRPr="00237176" w:rsidR="00DA5D09" w:rsidP="00237176" w:rsidRDefault="007C7D1B">
      <w:pPr>
        <w:pStyle w:val="JuPara"/>
      </w:pPr>
      <w:r w:rsidRPr="00237176">
        <w:fldChar w:fldCharType="begin"/>
      </w:r>
      <w:r w:rsidRPr="00237176">
        <w:instrText xml:space="preserve"> SEQ level0 \*arabic </w:instrText>
      </w:r>
      <w:r w:rsidRPr="00237176">
        <w:fldChar w:fldCharType="separate"/>
      </w:r>
      <w:r w:rsidRPr="00237176" w:rsidR="00237176">
        <w:rPr>
          <w:noProof/>
        </w:rPr>
        <w:t>45</w:t>
      </w:r>
      <w:r w:rsidRPr="00237176">
        <w:fldChar w:fldCharType="end"/>
      </w:r>
      <w:r w:rsidRPr="00237176">
        <w:t xml:space="preserve">.  The applicant argued that </w:t>
      </w:r>
      <w:r w:rsidRPr="00237176" w:rsidR="00DB2A98">
        <w:t xml:space="preserve">the letter which he had received on 27 May 2008 summoning him to the hearing on the same day (see paragraph </w:t>
      </w:r>
      <w:r w:rsidRPr="00237176" w:rsidR="00FB6911">
        <w:fldChar w:fldCharType="begin"/>
      </w:r>
      <w:r w:rsidRPr="00237176" w:rsidR="00FB6911">
        <w:instrText xml:space="preserve"> REF p_13_MRT_SC_hearing \h </w:instrText>
      </w:r>
      <w:r w:rsidRPr="00237176" w:rsidR="00FB6911">
        <w:fldChar w:fldCharType="separate"/>
      </w:r>
      <w:r w:rsidRPr="00237176" w:rsidR="00237176">
        <w:rPr>
          <w:noProof/>
        </w:rPr>
        <w:t>14</w:t>
      </w:r>
      <w:r w:rsidRPr="00237176" w:rsidR="00FB6911">
        <w:fldChar w:fldCharType="end"/>
      </w:r>
      <w:r w:rsidRPr="00237176" w:rsidR="00DB2A98">
        <w:t xml:space="preserve"> above) prevented him from participating at that hearing</w:t>
      </w:r>
      <w:r w:rsidRPr="00237176">
        <w:t>.</w:t>
      </w:r>
      <w:r w:rsidRPr="00237176" w:rsidR="00FB6911">
        <w:t xml:space="preserve"> Moreover, he was not assisted by a translator during the court hearing </w:t>
      </w:r>
      <w:r w:rsidRPr="00237176" w:rsidR="00746DFC">
        <w:t>of 6 February 2008</w:t>
      </w:r>
      <w:r w:rsidRPr="00237176" w:rsidR="00E87584">
        <w:t xml:space="preserve"> (see paragraph </w:t>
      </w:r>
      <w:r w:rsidRPr="00237176" w:rsidR="00E87584">
        <w:fldChar w:fldCharType="begin"/>
      </w:r>
      <w:r w:rsidRPr="00237176" w:rsidR="00E87584">
        <w:instrText xml:space="preserve"> REF p_9_Bender_court_hearing \h </w:instrText>
      </w:r>
      <w:r w:rsidRPr="00237176" w:rsidR="00E87584">
        <w:fldChar w:fldCharType="separate"/>
      </w:r>
      <w:r w:rsidRPr="00237176" w:rsidR="00237176">
        <w:rPr>
          <w:noProof/>
        </w:rPr>
        <w:t>10</w:t>
      </w:r>
      <w:r w:rsidRPr="00237176" w:rsidR="00E87584">
        <w:fldChar w:fldCharType="end"/>
      </w:r>
      <w:r w:rsidRPr="00237176" w:rsidR="00E87584">
        <w:t xml:space="preserve"> above). </w:t>
      </w:r>
      <w:r w:rsidRPr="00237176" w:rsidR="00E67D9F">
        <w:t xml:space="preserve">A lawyer hired by his brother was present at the hearing, but was not allowed to talk to the applicant or to represent his interests. The decision adopted by the court on 6 February 2008 confirmed that, mentioning the participation of the applicant and two “MRT” officers, but not of any </w:t>
      </w:r>
      <w:r w:rsidRPr="00237176" w:rsidR="006347D6">
        <w:t xml:space="preserve">defence </w:t>
      </w:r>
      <w:r w:rsidRPr="00237176" w:rsidR="00E67D9F">
        <w:t>lawyer.</w:t>
      </w:r>
      <w:r w:rsidRPr="00237176" w:rsidR="003F676E">
        <w:t xml:space="preserve"> </w:t>
      </w:r>
      <w:r w:rsidRPr="00237176" w:rsidR="00D22473">
        <w:t>Before the beginning of the trial the applicant was not allowed to see the minutes of the administrative offence or any other materials. After the decision was taken, he did not receive a copy thereof, which he also mentioned in his summary appeal</w:t>
      </w:r>
      <w:r w:rsidRPr="00237176" w:rsidR="00262FEF">
        <w:t xml:space="preserve"> (see paragraph </w:t>
      </w:r>
      <w:r w:rsidRPr="00237176" w:rsidR="00262FEF">
        <w:fldChar w:fldCharType="begin"/>
      </w:r>
      <w:r w:rsidRPr="00237176" w:rsidR="00262FEF">
        <w:instrText xml:space="preserve"> REF p_11_TA_appeal \h </w:instrText>
      </w:r>
      <w:r w:rsidRPr="00237176" w:rsidR="00262FEF">
        <w:fldChar w:fldCharType="separate"/>
      </w:r>
      <w:r w:rsidRPr="00237176" w:rsidR="00237176">
        <w:rPr>
          <w:noProof/>
        </w:rPr>
        <w:t>12</w:t>
      </w:r>
      <w:r w:rsidRPr="00237176" w:rsidR="00262FEF">
        <w:fldChar w:fldCharType="end"/>
      </w:r>
      <w:r w:rsidRPr="00237176" w:rsidR="00262FEF">
        <w:t xml:space="preserve"> above)</w:t>
      </w:r>
      <w:r w:rsidRPr="00237176" w:rsidR="00D22473">
        <w:t>.</w:t>
      </w:r>
    </w:p>
    <w:p w:rsidRPr="00237176" w:rsidR="007C7D1B" w:rsidP="00237176" w:rsidRDefault="007C7D1B">
      <w:pPr>
        <w:pStyle w:val="JuPara"/>
      </w:pPr>
      <w:r w:rsidRPr="00237176">
        <w:fldChar w:fldCharType="begin"/>
      </w:r>
      <w:r w:rsidRPr="00237176">
        <w:instrText xml:space="preserve"> SEQ level0 \*arabic </w:instrText>
      </w:r>
      <w:r w:rsidRPr="00237176">
        <w:fldChar w:fldCharType="separate"/>
      </w:r>
      <w:r w:rsidRPr="00237176" w:rsidR="00237176">
        <w:rPr>
          <w:noProof/>
        </w:rPr>
        <w:t>46</w:t>
      </w:r>
      <w:r w:rsidRPr="00237176">
        <w:fldChar w:fldCharType="end"/>
      </w:r>
      <w:r w:rsidRPr="00237176">
        <w:t>.  The Moldovan Government submitted that</w:t>
      </w:r>
      <w:r w:rsidRPr="00237176" w:rsidR="00E54275">
        <w:t xml:space="preserve"> they did not have any knowledge of the applicant</w:t>
      </w:r>
      <w:r w:rsidRPr="00237176" w:rsidR="00237176">
        <w:t>’</w:t>
      </w:r>
      <w:r w:rsidRPr="00237176" w:rsidR="00E54275">
        <w:t>s factual situation, nor any control over the activity of the “MRT” Supreme Court. Accordingly, they left the issue to the Court</w:t>
      </w:r>
      <w:r w:rsidRPr="00237176" w:rsidR="00237176">
        <w:t>’</w:t>
      </w:r>
      <w:r w:rsidRPr="00237176" w:rsidR="00E54275">
        <w:t>s assessment, while arguing that there had been no breach of Article 6 §§ 1 or 3 of the Convention.</w:t>
      </w:r>
    </w:p>
    <w:p w:rsidRPr="00237176" w:rsidR="007C7D1B" w:rsidP="00237176" w:rsidRDefault="007C7D1B">
      <w:pPr>
        <w:pStyle w:val="JuPara"/>
      </w:pPr>
      <w:r w:rsidRPr="00237176">
        <w:fldChar w:fldCharType="begin"/>
      </w:r>
      <w:r w:rsidRPr="00237176">
        <w:instrText xml:space="preserve"> SEQ level0 \*arabic </w:instrText>
      </w:r>
      <w:r w:rsidRPr="00237176">
        <w:fldChar w:fldCharType="separate"/>
      </w:r>
      <w:r w:rsidRPr="00237176" w:rsidR="00237176">
        <w:rPr>
          <w:noProof/>
        </w:rPr>
        <w:t>47</w:t>
      </w:r>
      <w:r w:rsidRPr="00237176">
        <w:fldChar w:fldCharType="end"/>
      </w:r>
      <w:r w:rsidRPr="00237176">
        <w:t>.  The Russian Government argued that, despite not being internationally recognised, the “MRT” had functioning bodies of local administration which were not under Russian control. Therefore, the Russian Federation was not in a position to assess compliance by</w:t>
      </w:r>
      <w:r w:rsidRPr="00237176" w:rsidR="003D1042">
        <w:t xml:space="preserve"> the</w:t>
      </w:r>
      <w:r w:rsidRPr="00237176">
        <w:t xml:space="preserve"> “MRT” authorities</w:t>
      </w:r>
      <w:r w:rsidRPr="00237176" w:rsidR="00237176">
        <w:t>’</w:t>
      </w:r>
      <w:r w:rsidRPr="00237176">
        <w:t xml:space="preserve"> actions with the legislation in force in that region.</w:t>
      </w:r>
    </w:p>
    <w:p w:rsidRPr="00237176" w:rsidR="00044FA0" w:rsidP="00237176" w:rsidRDefault="00044FA0">
      <w:pPr>
        <w:pStyle w:val="JuH1"/>
      </w:pPr>
      <w:r w:rsidRPr="00237176">
        <w:t xml:space="preserve">The </w:t>
      </w:r>
      <w:r w:rsidRPr="00237176" w:rsidR="007C7D1B">
        <w:t>Court</w:t>
      </w:r>
      <w:r w:rsidRPr="00237176" w:rsidR="00237176">
        <w:t>’</w:t>
      </w:r>
      <w:r w:rsidRPr="00237176" w:rsidR="007C7D1B">
        <w:t>s assessment</w:t>
      </w:r>
    </w:p>
    <w:p w:rsidRPr="00237176" w:rsidR="00BE7A88" w:rsidP="00237176" w:rsidRDefault="00BE7A88">
      <w:pPr>
        <w:pStyle w:val="JuHa0"/>
      </w:pPr>
      <w:bookmarkStart w:name="p_47_applicability_Art_6" w:id="18"/>
      <w:r w:rsidRPr="00237176">
        <w:t>Alleged breach of Article 6 §§ 1 and 3 of the Convention</w:t>
      </w:r>
    </w:p>
    <w:bookmarkStart w:name="p_47_NEW_applicability_Art_6" w:id="19"/>
    <w:p w:rsidRPr="00237176" w:rsidR="00443D2D" w:rsidP="00237176" w:rsidRDefault="00443D2D">
      <w:pPr>
        <w:pStyle w:val="JuPara"/>
        <w:rPr>
          <w:lang w:val="it-IT"/>
        </w:rPr>
      </w:pPr>
      <w:r w:rsidRPr="00237176">
        <w:fldChar w:fldCharType="begin"/>
      </w:r>
      <w:r w:rsidRPr="00237176">
        <w:instrText xml:space="preserve"> SEQ level0 \*arabic </w:instrText>
      </w:r>
      <w:r w:rsidRPr="00237176">
        <w:fldChar w:fldCharType="separate"/>
      </w:r>
      <w:r w:rsidRPr="00237176" w:rsidR="00237176">
        <w:rPr>
          <w:noProof/>
        </w:rPr>
        <w:t>48</w:t>
      </w:r>
      <w:r w:rsidRPr="00237176">
        <w:fldChar w:fldCharType="end"/>
      </w:r>
      <w:bookmarkEnd w:id="18"/>
      <w:bookmarkEnd w:id="19"/>
      <w:r w:rsidRPr="00237176">
        <w:t>.  </w:t>
      </w:r>
      <w:r w:rsidRPr="00237176" w:rsidR="00B961E8">
        <w:t>The Court reiterates that the concept of a “criminal charge” within the meaning of Article 6 § 1 is an autonomous one. The Court</w:t>
      </w:r>
      <w:r w:rsidRPr="00237176" w:rsidR="00237176">
        <w:t>’</w:t>
      </w:r>
      <w:r w:rsidRPr="00237176" w:rsidR="00B961E8">
        <w:t>s established case-law sets out three criteria, commonly known as the “Engel criteria” (see </w:t>
      </w:r>
      <w:r w:rsidRPr="00237176" w:rsidR="00B961E8">
        <w:rPr>
          <w:i/>
          <w:iCs/>
        </w:rPr>
        <w:t>Engel and Others v. the Netherlands</w:t>
      </w:r>
      <w:r w:rsidRPr="00237176" w:rsidR="00B961E8">
        <w:t>, 8 June 19</w:t>
      </w:r>
      <w:r w:rsidRPr="00237176" w:rsidR="005758EF">
        <w:t>76, § 82, Series A no. </w:t>
      </w:r>
      <w:r w:rsidRPr="00237176" w:rsidR="00B961E8">
        <w:t>22), to be considered in determining whether or not there was a “criminal charge” within the meaning of Article 6 § 1 of the Convention. The first criterion is the legal classification of the offence under national law, the second is the very nature of the offence, and the third is the nature and degree of severity of the penalty that the person concerned risks incurring. The second and third criteria are alternative, and not necessarily cumulative. This, however, does not exclude a cumulative approach where separate analysis of each criterion does not make it possible to reach a clear conclusion as to the existence of a crimi</w:t>
      </w:r>
      <w:r w:rsidRPr="00237176" w:rsidR="004939D1">
        <w:t xml:space="preserve">nal charge (see, in particular, </w:t>
      </w:r>
      <w:proofErr w:type="spellStart"/>
      <w:r w:rsidRPr="00237176" w:rsidR="004939D1">
        <w:rPr>
          <w:i/>
          <w:iCs/>
        </w:rPr>
        <w:t>Jussila</w:t>
      </w:r>
      <w:proofErr w:type="spellEnd"/>
      <w:r w:rsidRPr="00237176" w:rsidR="004939D1">
        <w:rPr>
          <w:i/>
          <w:iCs/>
        </w:rPr>
        <w:t xml:space="preserve"> v. </w:t>
      </w:r>
      <w:r w:rsidRPr="00237176" w:rsidR="00B961E8">
        <w:rPr>
          <w:i/>
          <w:iCs/>
        </w:rPr>
        <w:t>Finland</w:t>
      </w:r>
      <w:r w:rsidRPr="00237176" w:rsidR="00B961E8">
        <w:t> [GC], no. 73053/01, § 30-31, ECHR 2006</w:t>
      </w:r>
      <w:r w:rsidRPr="00237176" w:rsidR="00B961E8">
        <w:noBreakHyphen/>
        <w:t>XIII</w:t>
      </w:r>
      <w:r w:rsidRPr="00237176" w:rsidR="0050385A">
        <w:t xml:space="preserve"> and </w:t>
      </w:r>
      <w:proofErr w:type="spellStart"/>
      <w:r w:rsidRPr="00237176" w:rsidR="005758EF">
        <w:rPr>
          <w:i/>
          <w:lang w:val="it-IT"/>
        </w:rPr>
        <w:t>Blokhin</w:t>
      </w:r>
      <w:proofErr w:type="spellEnd"/>
      <w:r w:rsidRPr="00237176" w:rsidR="005758EF">
        <w:rPr>
          <w:i/>
          <w:lang w:val="it-IT"/>
        </w:rPr>
        <w:t xml:space="preserve"> v. </w:t>
      </w:r>
      <w:r w:rsidRPr="00237176" w:rsidR="00B961E8">
        <w:rPr>
          <w:i/>
          <w:lang w:val="it-IT"/>
        </w:rPr>
        <w:t xml:space="preserve">Russia </w:t>
      </w:r>
      <w:r w:rsidRPr="00237176" w:rsidR="00B961E8">
        <w:rPr>
          <w:lang w:val="it-IT"/>
        </w:rPr>
        <w:t>[GC], no. 47152/06, §§ 179 and 180, ECHR 2016</w:t>
      </w:r>
      <w:r w:rsidRPr="00237176" w:rsidR="00B961E8">
        <w:t>).</w:t>
      </w:r>
    </w:p>
    <w:bookmarkStart w:name="p_48_principles_A6_1_3_start" w:id="20"/>
    <w:p w:rsidRPr="00237176" w:rsidR="0094624C" w:rsidP="00237176" w:rsidRDefault="00803109">
      <w:pPr>
        <w:pStyle w:val="JuPara"/>
        <w:rPr>
          <w:i/>
          <w:lang w:val="it-IT"/>
        </w:rPr>
      </w:pPr>
      <w:r w:rsidRPr="00237176">
        <w:fldChar w:fldCharType="begin"/>
      </w:r>
      <w:r w:rsidRPr="00237176">
        <w:instrText xml:space="preserve"> SEQ level0 \*arabic </w:instrText>
      </w:r>
      <w:r w:rsidRPr="00237176">
        <w:fldChar w:fldCharType="separate"/>
      </w:r>
      <w:r w:rsidRPr="00237176" w:rsidR="00237176">
        <w:rPr>
          <w:noProof/>
        </w:rPr>
        <w:t>49</w:t>
      </w:r>
      <w:r w:rsidRPr="00237176">
        <w:fldChar w:fldCharType="end"/>
      </w:r>
      <w:bookmarkEnd w:id="20"/>
      <w:r w:rsidRPr="00237176" w:rsidR="0077175D">
        <w:t xml:space="preserve">.  The Court reiterates that </w:t>
      </w:r>
      <w:r w:rsidRPr="00237176" w:rsidR="0094624C">
        <w:t xml:space="preserve">according to its well-established case-law, the guarantees contained in paragraph 3 of Article 6 are specific aspects of the general concept of a fair trial set forth in paragraph 1. The various rights, of which a non-exhaustive list appears in paragraph 3, reflect certain of the aspects of the notion of a fair trial in criminal proceedings. When compliance with paragraph 3 is being reviewed, its basic purpose must not be forgotten nor must it be severed from its roots. The Court therefore considers complaints under Article 6 § 3 under paragraphs 1 and 3 of Article 6 taken together (see, </w:t>
      </w:r>
      <w:r w:rsidRPr="00237176" w:rsidR="0094624C">
        <w:rPr>
          <w:i/>
        </w:rPr>
        <w:t>inter alia</w:t>
      </w:r>
      <w:r w:rsidRPr="00237176" w:rsidR="0094624C">
        <w:t xml:space="preserve">, </w:t>
      </w:r>
      <w:proofErr w:type="spellStart"/>
      <w:r w:rsidRPr="00237176" w:rsidR="0094624C">
        <w:rPr>
          <w:i/>
        </w:rPr>
        <w:t>Meftah</w:t>
      </w:r>
      <w:proofErr w:type="spellEnd"/>
      <w:r w:rsidRPr="00237176" w:rsidR="0094624C">
        <w:rPr>
          <w:i/>
        </w:rPr>
        <w:t xml:space="preserve"> and Others v. France</w:t>
      </w:r>
      <w:r w:rsidRPr="00237176" w:rsidR="0094624C">
        <w:t xml:space="preserve"> [GC], nos. 32911/96 and 2 others, § 40, ECHR 2002</w:t>
      </w:r>
      <w:r w:rsidRPr="00237176" w:rsidR="0094624C">
        <w:noBreakHyphen/>
        <w:t xml:space="preserve">VII, with further references and </w:t>
      </w:r>
      <w:proofErr w:type="spellStart"/>
      <w:r w:rsidRPr="00237176" w:rsidR="0094624C">
        <w:rPr>
          <w:rStyle w:val="JuParaChar"/>
          <w:i/>
          <w:iCs/>
        </w:rPr>
        <w:t>Correia</w:t>
      </w:r>
      <w:proofErr w:type="spellEnd"/>
      <w:r w:rsidRPr="00237176" w:rsidR="0094624C">
        <w:rPr>
          <w:rStyle w:val="JuParaChar"/>
          <w:i/>
          <w:iCs/>
        </w:rPr>
        <w:t xml:space="preserve"> de Matos v. Portugal</w:t>
      </w:r>
      <w:r w:rsidRPr="00237176" w:rsidR="0094624C">
        <w:rPr>
          <w:szCs w:val="24"/>
        </w:rPr>
        <w:t xml:space="preserve"> </w:t>
      </w:r>
      <w:r w:rsidRPr="00237176" w:rsidR="0094624C">
        <w:t xml:space="preserve">[GC], no. </w:t>
      </w:r>
      <w:r w:rsidRPr="00237176" w:rsidR="0094624C">
        <w:rPr>
          <w:szCs w:val="24"/>
        </w:rPr>
        <w:t>56</w:t>
      </w:r>
      <w:r w:rsidRPr="00237176" w:rsidR="0094624C">
        <w:t>402</w:t>
      </w:r>
      <w:r w:rsidRPr="00237176" w:rsidR="0094624C">
        <w:rPr>
          <w:szCs w:val="24"/>
        </w:rPr>
        <w:t>/1</w:t>
      </w:r>
      <w:r w:rsidRPr="00237176" w:rsidR="0094624C">
        <w:t>2, § 119, 4 April 2018).</w:t>
      </w:r>
    </w:p>
    <w:p w:rsidRPr="00237176" w:rsidR="0094624C" w:rsidP="00237176" w:rsidRDefault="0094624C">
      <w:pPr>
        <w:pStyle w:val="JuPara"/>
      </w:pPr>
      <w:r w:rsidRPr="00237176">
        <w:t xml:space="preserve">The minimum rights listed in Article 6 § 3, which exemplify the requirements of a fair trial in respect of typical procedural situations which arise in criminal cases, are not aims in themselves: their intrinsic aim is always to contribute to ensuring the fairness of the criminal proceedings as a whole (see </w:t>
      </w:r>
      <w:r w:rsidRPr="00237176" w:rsidR="00F95F64">
        <w:rPr>
          <w:i/>
        </w:rPr>
        <w:t xml:space="preserve">Ibrahim and Others v. the United Kingdom </w:t>
      </w:r>
      <w:r w:rsidRPr="00237176" w:rsidR="00F95F64">
        <w:rPr>
          <w:snapToGrid w:val="0"/>
        </w:rPr>
        <w:t xml:space="preserve">[GC], nos. 50541/08 </w:t>
      </w:r>
      <w:r w:rsidRPr="00237176" w:rsidR="00F95F64">
        <w:t>and 3 others</w:t>
      </w:r>
      <w:r w:rsidRPr="00237176" w:rsidR="00F95F64">
        <w:rPr>
          <w:snapToGrid w:val="0"/>
        </w:rPr>
        <w:t xml:space="preserve">, § </w:t>
      </w:r>
      <w:r w:rsidRPr="00237176" w:rsidR="00F95F64">
        <w:t>251</w:t>
      </w:r>
      <w:r w:rsidRPr="00237176" w:rsidR="00F95F64">
        <w:rPr>
          <w:snapToGrid w:val="0"/>
        </w:rPr>
        <w:t xml:space="preserve">, </w:t>
      </w:r>
      <w:r w:rsidRPr="00237176" w:rsidR="00F95F64">
        <w:t>ECHR</w:t>
      </w:r>
      <w:r w:rsidRPr="00237176" w:rsidR="00F95F64">
        <w:rPr>
          <w:snapToGrid w:val="0"/>
        </w:rPr>
        <w:t xml:space="preserve"> 2016</w:t>
      </w:r>
      <w:r w:rsidRPr="00237176" w:rsidR="0023777B">
        <w:rPr>
          <w:snapToGrid w:val="0"/>
        </w:rPr>
        <w:t xml:space="preserve"> and </w:t>
      </w:r>
      <w:proofErr w:type="spellStart"/>
      <w:r w:rsidRPr="00237176" w:rsidR="0023777B">
        <w:rPr>
          <w:rStyle w:val="JuParaChar"/>
          <w:i/>
          <w:iCs/>
        </w:rPr>
        <w:t>Correia</w:t>
      </w:r>
      <w:proofErr w:type="spellEnd"/>
      <w:r w:rsidRPr="00237176" w:rsidR="0023777B">
        <w:rPr>
          <w:rStyle w:val="JuParaChar"/>
          <w:i/>
          <w:iCs/>
        </w:rPr>
        <w:t xml:space="preserve"> de Matos v. Portugal</w:t>
      </w:r>
      <w:r w:rsidRPr="00237176" w:rsidR="0023777B">
        <w:rPr>
          <w:szCs w:val="24"/>
        </w:rPr>
        <w:t xml:space="preserve"> </w:t>
      </w:r>
      <w:r w:rsidRPr="00237176" w:rsidR="0023777B">
        <w:t xml:space="preserve">[GC], no. </w:t>
      </w:r>
      <w:r w:rsidRPr="00237176" w:rsidR="0023777B">
        <w:rPr>
          <w:szCs w:val="24"/>
        </w:rPr>
        <w:t>56</w:t>
      </w:r>
      <w:r w:rsidRPr="00237176" w:rsidR="0023777B">
        <w:t>402</w:t>
      </w:r>
      <w:r w:rsidRPr="00237176" w:rsidR="0023777B">
        <w:rPr>
          <w:szCs w:val="24"/>
        </w:rPr>
        <w:t>/1</w:t>
      </w:r>
      <w:r w:rsidRPr="00237176" w:rsidR="0023777B">
        <w:t>2, § 120, 4 April 2018</w:t>
      </w:r>
      <w:r w:rsidRPr="00237176">
        <w:t>).</w:t>
      </w:r>
    </w:p>
    <w:bookmarkStart w:name="p_49_principles_A6_1_3_end" w:id="21"/>
    <w:p w:rsidRPr="00237176" w:rsidR="009E3CAC" w:rsidP="00237176" w:rsidRDefault="009E3CAC">
      <w:pPr>
        <w:pStyle w:val="JuPara"/>
        <w:rPr>
          <w:i/>
          <w:lang w:val="it-IT"/>
        </w:rPr>
      </w:pPr>
      <w:r w:rsidRPr="00237176">
        <w:fldChar w:fldCharType="begin"/>
      </w:r>
      <w:r w:rsidRPr="00237176">
        <w:instrText xml:space="preserve"> SEQ level0 \*arabic </w:instrText>
      </w:r>
      <w:r w:rsidRPr="00237176">
        <w:fldChar w:fldCharType="separate"/>
      </w:r>
      <w:r w:rsidRPr="00237176" w:rsidR="00237176">
        <w:rPr>
          <w:noProof/>
        </w:rPr>
        <w:t>50</w:t>
      </w:r>
      <w:r w:rsidRPr="00237176">
        <w:fldChar w:fldCharType="end"/>
      </w:r>
      <w:bookmarkEnd w:id="21"/>
      <w:r w:rsidRPr="00237176">
        <w:t>.  In the present case</w:t>
      </w:r>
      <w:r w:rsidRPr="00237176" w:rsidR="00A57187">
        <w:t>,</w:t>
      </w:r>
      <w:r w:rsidRPr="00237176">
        <w:t xml:space="preserve"> the Court notes that</w:t>
      </w:r>
      <w:r w:rsidRPr="00237176" w:rsidR="00A57187">
        <w:t xml:space="preserve"> the applicant was convicted of</w:t>
      </w:r>
      <w:r w:rsidRPr="00237176">
        <w:t xml:space="preserve"> an administrative offence and sentenced to three days</w:t>
      </w:r>
      <w:r w:rsidRPr="00237176" w:rsidR="00237176">
        <w:t>’</w:t>
      </w:r>
      <w:r w:rsidRPr="00237176">
        <w:t xml:space="preserve"> imprisonment. In view of this sanction involving deprivation of liberty</w:t>
      </w:r>
      <w:r w:rsidRPr="00237176" w:rsidR="003D1042">
        <w:t>,</w:t>
      </w:r>
      <w:r w:rsidRPr="00237176">
        <w:t xml:space="preserve"> </w:t>
      </w:r>
      <w:r w:rsidRPr="00237176" w:rsidR="00A26634">
        <w:t>the Court</w:t>
      </w:r>
      <w:r w:rsidRPr="00237176">
        <w:t xml:space="preserve"> </w:t>
      </w:r>
      <w:r w:rsidRPr="00237176" w:rsidR="003D1042">
        <w:t xml:space="preserve">considers </w:t>
      </w:r>
      <w:r w:rsidRPr="00237176">
        <w:t xml:space="preserve">that the proceedings against the applicant were such as to bring the “charge” against him within the criminal sphere for purposes of Article 6 § 1 (see paragraph </w:t>
      </w:r>
      <w:r w:rsidRPr="00237176">
        <w:fldChar w:fldCharType="begin"/>
      </w:r>
      <w:r w:rsidRPr="00237176">
        <w:instrText xml:space="preserve"> REF p_47_NEW_applicability_Art_6 \h </w:instrText>
      </w:r>
      <w:r w:rsidRPr="00237176">
        <w:fldChar w:fldCharType="separate"/>
      </w:r>
      <w:r w:rsidRPr="00237176" w:rsidR="00237176">
        <w:rPr>
          <w:noProof/>
        </w:rPr>
        <w:t>48</w:t>
      </w:r>
      <w:r w:rsidRPr="00237176">
        <w:fldChar w:fldCharType="end"/>
      </w:r>
      <w:r w:rsidRPr="00237176">
        <w:t xml:space="preserve"> above).</w:t>
      </w:r>
    </w:p>
    <w:bookmarkStart w:name="p_50_analysis_trial_start" w:id="22"/>
    <w:p w:rsidRPr="00237176" w:rsidR="009E3CAC" w:rsidP="00237176" w:rsidRDefault="009C2BD8">
      <w:pPr>
        <w:pStyle w:val="JuPara"/>
      </w:pPr>
      <w:r w:rsidRPr="00237176">
        <w:fldChar w:fldCharType="begin"/>
      </w:r>
      <w:r w:rsidRPr="00237176">
        <w:instrText xml:space="preserve"> SEQ level0 \*arabic </w:instrText>
      </w:r>
      <w:r w:rsidRPr="00237176">
        <w:fldChar w:fldCharType="separate"/>
      </w:r>
      <w:r w:rsidRPr="00237176" w:rsidR="00237176">
        <w:rPr>
          <w:noProof/>
        </w:rPr>
        <w:t>51</w:t>
      </w:r>
      <w:r w:rsidRPr="00237176">
        <w:fldChar w:fldCharType="end"/>
      </w:r>
      <w:bookmarkEnd w:id="22"/>
      <w:r w:rsidRPr="00237176">
        <w:t>.  </w:t>
      </w:r>
      <w:r w:rsidRPr="00237176" w:rsidR="006C1914">
        <w:t>I</w:t>
      </w:r>
      <w:r w:rsidRPr="00237176" w:rsidR="00604E64">
        <w:t>t</w:t>
      </w:r>
      <w:r w:rsidRPr="00237176" w:rsidR="006C1914">
        <w:t xml:space="preserve"> observes that </w:t>
      </w:r>
      <w:r w:rsidRPr="00237176" w:rsidR="00604E64">
        <w:t xml:space="preserve">the hearing of 6 February 2008 before the Bender city court took place </w:t>
      </w:r>
      <w:r w:rsidRPr="00237176" w:rsidR="00D02430">
        <w:t xml:space="preserve">on </w:t>
      </w:r>
      <w:r w:rsidRPr="00237176" w:rsidR="00604E64">
        <w:t>the next day after the applicant</w:t>
      </w:r>
      <w:r w:rsidRPr="00237176" w:rsidR="00237176">
        <w:t>’</w:t>
      </w:r>
      <w:r w:rsidRPr="00237176" w:rsidR="00604E64">
        <w:t xml:space="preserve">s arrest. </w:t>
      </w:r>
      <w:r w:rsidRPr="00237176" w:rsidR="009E3CAC">
        <w:t>The respondent Governments did not dispute the applicant</w:t>
      </w:r>
      <w:r w:rsidRPr="00237176" w:rsidR="00237176">
        <w:t>’</w:t>
      </w:r>
      <w:r w:rsidRPr="00237176" w:rsidR="009E3CAC">
        <w:t xml:space="preserve">s account of events and there is nothing in the documents </w:t>
      </w:r>
      <w:r w:rsidRPr="00237176" w:rsidR="00E5217E">
        <w:t xml:space="preserve">contained </w:t>
      </w:r>
      <w:r w:rsidRPr="00237176" w:rsidR="009E3CAC">
        <w:t xml:space="preserve">in the </w:t>
      </w:r>
      <w:r w:rsidRPr="00237176" w:rsidR="00A57187">
        <w:t xml:space="preserve">case </w:t>
      </w:r>
      <w:r w:rsidRPr="00237176" w:rsidR="009E3CAC">
        <w:t xml:space="preserve">file to contradict it. In fact, certain elements of the file confirm </w:t>
      </w:r>
      <w:r w:rsidRPr="00237176" w:rsidR="008B552D">
        <w:t>the applicant</w:t>
      </w:r>
      <w:r w:rsidRPr="00237176" w:rsidR="00237176">
        <w:t>’</w:t>
      </w:r>
      <w:r w:rsidRPr="00237176" w:rsidR="008B552D">
        <w:t>s allegations</w:t>
      </w:r>
      <w:r w:rsidRPr="00237176" w:rsidR="009E3CAC">
        <w:t xml:space="preserve">, such as the decision of 6 February 2008 not mentioning the participation of a lawyer or of an interpreter during the hearing (see paragraph </w:t>
      </w:r>
      <w:r w:rsidRPr="00237176" w:rsidR="009E3CAC">
        <w:fldChar w:fldCharType="begin"/>
      </w:r>
      <w:r w:rsidRPr="00237176" w:rsidR="009E3CAC">
        <w:instrText xml:space="preserve"> REF p_9_Bender_court_hearing \h </w:instrText>
      </w:r>
      <w:r w:rsidRPr="00237176" w:rsidR="009E3CAC">
        <w:fldChar w:fldCharType="separate"/>
      </w:r>
      <w:r w:rsidRPr="00237176" w:rsidR="00237176">
        <w:rPr>
          <w:noProof/>
        </w:rPr>
        <w:t>10</w:t>
      </w:r>
      <w:r w:rsidRPr="00237176" w:rsidR="009E3CAC">
        <w:fldChar w:fldCharType="end"/>
      </w:r>
      <w:r w:rsidRPr="00237176" w:rsidR="009E3CAC">
        <w:t xml:space="preserve"> above).</w:t>
      </w:r>
    </w:p>
    <w:p w:rsidRPr="00237176" w:rsidR="00DA5D09" w:rsidP="00237176" w:rsidRDefault="009E3CAC">
      <w:pPr>
        <w:pStyle w:val="JuPara"/>
      </w:pPr>
      <w:r w:rsidRPr="00237176">
        <w:fldChar w:fldCharType="begin"/>
      </w:r>
      <w:r w:rsidRPr="00237176">
        <w:instrText xml:space="preserve"> SEQ level0 \*arabic </w:instrText>
      </w:r>
      <w:r w:rsidRPr="00237176">
        <w:fldChar w:fldCharType="separate"/>
      </w:r>
      <w:r w:rsidRPr="00237176" w:rsidR="00237176">
        <w:rPr>
          <w:noProof/>
        </w:rPr>
        <w:t>52</w:t>
      </w:r>
      <w:r w:rsidRPr="00237176">
        <w:fldChar w:fldCharType="end"/>
      </w:r>
      <w:r w:rsidRPr="00237176">
        <w:t>.  The Court will thus accept the applicant</w:t>
      </w:r>
      <w:r w:rsidRPr="00237176" w:rsidR="00237176">
        <w:t>’</w:t>
      </w:r>
      <w:r w:rsidRPr="00237176">
        <w:t>s submissions that d</w:t>
      </w:r>
      <w:r w:rsidRPr="00237176" w:rsidR="00604E64">
        <w:t xml:space="preserve">uring </w:t>
      </w:r>
      <w:r w:rsidRPr="00237176">
        <w:t xml:space="preserve">the </w:t>
      </w:r>
      <w:r w:rsidRPr="00237176" w:rsidR="00604E64">
        <w:t xml:space="preserve">time </w:t>
      </w:r>
      <w:r w:rsidRPr="00237176">
        <w:t xml:space="preserve">which he spent in detention before the hearing </w:t>
      </w:r>
      <w:r w:rsidRPr="00237176" w:rsidR="00604E64">
        <w:t>he was not allowed to contact his relatives and was not given a copy of the minutes of the offence with which he was charged</w:t>
      </w:r>
      <w:r w:rsidRPr="00237176" w:rsidR="00AB1C61">
        <w:t xml:space="preserve"> or of any other materials</w:t>
      </w:r>
      <w:r w:rsidRPr="00237176" w:rsidR="00604E64">
        <w:t xml:space="preserve">. He was therefore totally unprepared for his defence. </w:t>
      </w:r>
      <w:r w:rsidRPr="00237176">
        <w:t>Thereafter</w:t>
      </w:r>
      <w:r w:rsidRPr="00237176" w:rsidR="00604E64">
        <w:t>, while his brother hired a local lawyer to represent the applicant, that lawyer was only present at the hearing, not being allowed to either consult with his client or to address the court</w:t>
      </w:r>
      <w:r w:rsidRPr="00237176">
        <w:t>. The applicant w</w:t>
      </w:r>
      <w:r w:rsidRPr="00237176" w:rsidR="00C25705">
        <w:t>as not assisted by a translator</w:t>
      </w:r>
      <w:r w:rsidRPr="00237176" w:rsidR="001E30C2">
        <w:t xml:space="preserve"> either</w:t>
      </w:r>
      <w:r w:rsidRPr="00237176" w:rsidR="00604E64">
        <w:t xml:space="preserve"> (see paragraph </w:t>
      </w:r>
      <w:r w:rsidRPr="00237176" w:rsidR="00604E64">
        <w:fldChar w:fldCharType="begin"/>
      </w:r>
      <w:r w:rsidRPr="00237176" w:rsidR="00604E64">
        <w:instrText xml:space="preserve"> REF p_9_Bender_court_hearing \h </w:instrText>
      </w:r>
      <w:r w:rsidRPr="00237176" w:rsidR="00604E64">
        <w:fldChar w:fldCharType="separate"/>
      </w:r>
      <w:r w:rsidRPr="00237176" w:rsidR="00237176">
        <w:rPr>
          <w:noProof/>
        </w:rPr>
        <w:t>10</w:t>
      </w:r>
      <w:r w:rsidRPr="00237176" w:rsidR="00604E64">
        <w:fldChar w:fldCharType="end"/>
      </w:r>
      <w:r w:rsidRPr="00237176" w:rsidR="00604E64">
        <w:t xml:space="preserve"> above).</w:t>
      </w:r>
    </w:p>
    <w:bookmarkStart w:name="p_51_analysis_trial_end" w:id="23"/>
    <w:p w:rsidRPr="00237176" w:rsidR="001D5F33" w:rsidP="00237176" w:rsidRDefault="001D5F33">
      <w:pPr>
        <w:pStyle w:val="JuPara"/>
      </w:pPr>
      <w:r w:rsidRPr="00237176">
        <w:fldChar w:fldCharType="begin"/>
      </w:r>
      <w:r w:rsidRPr="00237176">
        <w:instrText xml:space="preserve"> SEQ level0 \*arabic </w:instrText>
      </w:r>
      <w:r w:rsidRPr="00237176">
        <w:fldChar w:fldCharType="separate"/>
      </w:r>
      <w:r w:rsidRPr="00237176" w:rsidR="00237176">
        <w:rPr>
          <w:noProof/>
        </w:rPr>
        <w:t>53</w:t>
      </w:r>
      <w:r w:rsidRPr="00237176">
        <w:fldChar w:fldCharType="end"/>
      </w:r>
      <w:bookmarkEnd w:id="23"/>
      <w:r w:rsidRPr="00237176">
        <w:t xml:space="preserve">.  The applicant received a copy of the decision taken on 6 February 2008 only on 17 March 2008, a day before the hearing of the “MRT” Supreme Court (see paragraphs </w:t>
      </w:r>
      <w:r w:rsidRPr="00237176">
        <w:fldChar w:fldCharType="begin"/>
      </w:r>
      <w:r w:rsidRPr="00237176">
        <w:instrText xml:space="preserve"> REF p_11_TA_appeal \h </w:instrText>
      </w:r>
      <w:r w:rsidRPr="00237176">
        <w:fldChar w:fldCharType="separate"/>
      </w:r>
      <w:r w:rsidRPr="00237176" w:rsidR="00237176">
        <w:rPr>
          <w:noProof/>
        </w:rPr>
        <w:t>12</w:t>
      </w:r>
      <w:r w:rsidRPr="00237176">
        <w:fldChar w:fldCharType="end"/>
      </w:r>
      <w:r w:rsidRPr="00237176">
        <w:t xml:space="preserve"> and </w:t>
      </w:r>
      <w:r w:rsidRPr="00237176">
        <w:fldChar w:fldCharType="begin"/>
      </w:r>
      <w:r w:rsidRPr="00237176">
        <w:instrText xml:space="preserve"> REF p_12_MRT_SC_annuls_lower_court_dec \h </w:instrText>
      </w:r>
      <w:r w:rsidRPr="00237176">
        <w:fldChar w:fldCharType="separate"/>
      </w:r>
      <w:r w:rsidRPr="00237176" w:rsidR="00237176">
        <w:rPr>
          <w:noProof/>
        </w:rPr>
        <w:t>13</w:t>
      </w:r>
      <w:r w:rsidRPr="00237176">
        <w:fldChar w:fldCharType="end"/>
      </w:r>
      <w:r w:rsidRPr="00237176">
        <w:t xml:space="preserve"> above). Finally, after the latter court annulled its own final decision</w:t>
      </w:r>
      <w:r w:rsidRPr="00237176" w:rsidR="00421F5C">
        <w:t xml:space="preserve"> without summoning the applicant</w:t>
      </w:r>
      <w:r w:rsidRPr="00237176">
        <w:t xml:space="preserve">, </w:t>
      </w:r>
      <w:r w:rsidRPr="00237176" w:rsidR="00421F5C">
        <w:t xml:space="preserve">he </w:t>
      </w:r>
      <w:r w:rsidRPr="00237176">
        <w:t xml:space="preserve">received the summons to a new </w:t>
      </w:r>
      <w:r w:rsidRPr="00237176" w:rsidR="00784F39">
        <w:t>h</w:t>
      </w:r>
      <w:r w:rsidRPr="00237176">
        <w:t xml:space="preserve">earing in the morning of the day for which that hearing had been scheduled (see paragraph </w:t>
      </w:r>
      <w:r w:rsidRPr="00237176">
        <w:fldChar w:fldCharType="begin"/>
      </w:r>
      <w:r w:rsidRPr="00237176">
        <w:instrText xml:space="preserve"> REF p_13_MRT_SC_hearing \h </w:instrText>
      </w:r>
      <w:r w:rsidRPr="00237176">
        <w:fldChar w:fldCharType="separate"/>
      </w:r>
      <w:r w:rsidRPr="00237176" w:rsidR="00237176">
        <w:rPr>
          <w:noProof/>
        </w:rPr>
        <w:t>14</w:t>
      </w:r>
      <w:r w:rsidRPr="00237176">
        <w:fldChar w:fldCharType="end"/>
      </w:r>
      <w:r w:rsidRPr="00237176">
        <w:t xml:space="preserve"> above). He was thus deprived of the possibility to participate at the hearing or to be represented therein.</w:t>
      </w:r>
    </w:p>
    <w:bookmarkStart w:name="p_54_breach_6_3" w:id="24"/>
    <w:p w:rsidRPr="00237176" w:rsidR="00DA5D09" w:rsidP="00237176" w:rsidRDefault="001D5F33">
      <w:pPr>
        <w:pStyle w:val="JuPara"/>
      </w:pPr>
      <w:r w:rsidRPr="00237176">
        <w:fldChar w:fldCharType="begin"/>
      </w:r>
      <w:r w:rsidRPr="00237176">
        <w:instrText xml:space="preserve"> SEQ level0 \*arabic </w:instrText>
      </w:r>
      <w:r w:rsidRPr="00237176">
        <w:fldChar w:fldCharType="separate"/>
      </w:r>
      <w:r w:rsidRPr="00237176" w:rsidR="00237176">
        <w:rPr>
          <w:noProof/>
        </w:rPr>
        <w:t>54</w:t>
      </w:r>
      <w:r w:rsidRPr="00237176">
        <w:fldChar w:fldCharType="end"/>
      </w:r>
      <w:bookmarkEnd w:id="24"/>
      <w:r w:rsidRPr="00237176">
        <w:t>.  In the Court</w:t>
      </w:r>
      <w:r w:rsidRPr="00237176" w:rsidR="00237176">
        <w:t>’</w:t>
      </w:r>
      <w:r w:rsidRPr="00237176">
        <w:t xml:space="preserve">s view, the various shortcomings of the </w:t>
      </w:r>
      <w:r w:rsidRPr="00237176" w:rsidR="008E1CA5">
        <w:t xml:space="preserve">proceedings </w:t>
      </w:r>
      <w:r w:rsidRPr="00237176">
        <w:t xml:space="preserve">mentioned in paragraphs </w:t>
      </w:r>
      <w:r w:rsidRPr="00237176">
        <w:fldChar w:fldCharType="begin"/>
      </w:r>
      <w:r w:rsidRPr="00237176">
        <w:instrText xml:space="preserve"> REF p_50_analysis_trial_start \h </w:instrText>
      </w:r>
      <w:r w:rsidRPr="00237176">
        <w:fldChar w:fldCharType="separate"/>
      </w:r>
      <w:r w:rsidRPr="00237176" w:rsidR="00237176">
        <w:rPr>
          <w:noProof/>
        </w:rPr>
        <w:t>51</w:t>
      </w:r>
      <w:r w:rsidRPr="00237176">
        <w:fldChar w:fldCharType="end"/>
      </w:r>
      <w:r w:rsidRPr="00237176">
        <w:t xml:space="preserve"> and </w:t>
      </w:r>
      <w:r w:rsidRPr="00237176">
        <w:fldChar w:fldCharType="begin"/>
      </w:r>
      <w:r w:rsidRPr="00237176">
        <w:instrText xml:space="preserve"> REF p_51_analysis_trial_end \h </w:instrText>
      </w:r>
      <w:r w:rsidRPr="00237176">
        <w:fldChar w:fldCharType="separate"/>
      </w:r>
      <w:r w:rsidRPr="00237176" w:rsidR="00237176">
        <w:rPr>
          <w:noProof/>
        </w:rPr>
        <w:t>53</w:t>
      </w:r>
      <w:r w:rsidRPr="00237176">
        <w:fldChar w:fldCharType="end"/>
      </w:r>
      <w:r w:rsidRPr="00237176">
        <w:t xml:space="preserve"> above</w:t>
      </w:r>
      <w:r w:rsidRPr="00237176" w:rsidR="00401AC2">
        <w:t xml:space="preserve">, none of which was accompanied by any reasons given either by the “MRT” courts, or the respondent Governments, amount to breaches of </w:t>
      </w:r>
      <w:r w:rsidRPr="00237176">
        <w:t>Article 6 § 3</w:t>
      </w:r>
      <w:r w:rsidRPr="00237176" w:rsidR="00401AC2">
        <w:t>(b), (c) and (e)</w:t>
      </w:r>
      <w:r w:rsidRPr="00237176">
        <w:t xml:space="preserve"> of the Convention</w:t>
      </w:r>
      <w:r w:rsidRPr="00237176" w:rsidR="00401AC2">
        <w:t>.</w:t>
      </w:r>
    </w:p>
    <w:bookmarkStart w:name="p_54_breach_6_1" w:id="25"/>
    <w:p w:rsidRPr="00237176" w:rsidR="009C2BD8" w:rsidP="00237176" w:rsidRDefault="00401AC2">
      <w:pPr>
        <w:pStyle w:val="JuPara"/>
      </w:pPr>
      <w:r w:rsidRPr="00237176">
        <w:fldChar w:fldCharType="begin"/>
      </w:r>
      <w:r w:rsidRPr="00237176">
        <w:instrText xml:space="preserve"> SEQ level0 \*arabic </w:instrText>
      </w:r>
      <w:r w:rsidRPr="00237176">
        <w:fldChar w:fldCharType="separate"/>
      </w:r>
      <w:r w:rsidRPr="00237176" w:rsidR="00237176">
        <w:rPr>
          <w:noProof/>
        </w:rPr>
        <w:t>55</w:t>
      </w:r>
      <w:r w:rsidRPr="00237176">
        <w:fldChar w:fldCharType="end"/>
      </w:r>
      <w:bookmarkEnd w:id="25"/>
      <w:r w:rsidRPr="00237176">
        <w:t xml:space="preserve">.  At the same time, </w:t>
      </w:r>
      <w:r w:rsidRPr="00237176" w:rsidR="001D5F33">
        <w:t xml:space="preserve">the cumulative effect </w:t>
      </w:r>
      <w:r w:rsidRPr="00237176">
        <w:t xml:space="preserve">of all these breaches </w:t>
      </w:r>
      <w:r w:rsidRPr="00237176" w:rsidR="008E1CA5">
        <w:t xml:space="preserve">leads to </w:t>
      </w:r>
      <w:r w:rsidRPr="00237176">
        <w:t xml:space="preserve">the </w:t>
      </w:r>
      <w:r w:rsidRPr="00237176" w:rsidR="008E1CA5">
        <w:t xml:space="preserve">overall conclusion </w:t>
      </w:r>
      <w:r w:rsidRPr="00237176" w:rsidR="009757B4">
        <w:t xml:space="preserve">that </w:t>
      </w:r>
      <w:r w:rsidRPr="00237176" w:rsidR="008E1CA5">
        <w:t xml:space="preserve">the trial </w:t>
      </w:r>
      <w:r w:rsidRPr="00237176" w:rsidR="009757B4">
        <w:t>was unfair</w:t>
      </w:r>
      <w:r w:rsidRPr="00237176">
        <w:t xml:space="preserve">, since the applicant was unprepared for the trial, unassisted by a lawyer </w:t>
      </w:r>
      <w:r w:rsidRPr="00237176" w:rsidR="00C25705">
        <w:t xml:space="preserve">or an interpreter </w:t>
      </w:r>
      <w:r w:rsidRPr="00237176">
        <w:t xml:space="preserve">and could neither prepare his position </w:t>
      </w:r>
      <w:r w:rsidRPr="00237176" w:rsidR="00C25705">
        <w:t>n</w:t>
      </w:r>
      <w:r w:rsidRPr="00237176">
        <w:t>or be present at the hearing of the “MRT” Supreme Court due to the late summons received</w:t>
      </w:r>
      <w:r w:rsidRPr="00237176" w:rsidR="00E2032A">
        <w:t xml:space="preserve"> (see paragraphs </w:t>
      </w:r>
      <w:r w:rsidRPr="00237176" w:rsidR="00E2032A">
        <w:fldChar w:fldCharType="begin"/>
      </w:r>
      <w:r w:rsidRPr="00237176" w:rsidR="00E2032A">
        <w:instrText xml:space="preserve"> REF p_48_principles_A6_1_3_start \h </w:instrText>
      </w:r>
      <w:r w:rsidRPr="00237176" w:rsidR="00E2032A">
        <w:fldChar w:fldCharType="separate"/>
      </w:r>
      <w:r w:rsidRPr="00237176" w:rsidR="00237176">
        <w:rPr>
          <w:noProof/>
        </w:rPr>
        <w:t>49</w:t>
      </w:r>
      <w:r w:rsidRPr="00237176" w:rsidR="00E2032A">
        <w:fldChar w:fldCharType="end"/>
      </w:r>
      <w:r w:rsidRPr="00237176" w:rsidR="00E2032A">
        <w:t xml:space="preserve"> and </w:t>
      </w:r>
      <w:r w:rsidRPr="00237176" w:rsidR="00E2032A">
        <w:fldChar w:fldCharType="begin"/>
      </w:r>
      <w:r w:rsidRPr="00237176" w:rsidR="00E2032A">
        <w:instrText xml:space="preserve"> REF p_49_principles_A6_1_3_end \h </w:instrText>
      </w:r>
      <w:r w:rsidRPr="00237176" w:rsidR="00E2032A">
        <w:fldChar w:fldCharType="separate"/>
      </w:r>
      <w:r w:rsidRPr="00237176" w:rsidR="00237176">
        <w:rPr>
          <w:noProof/>
        </w:rPr>
        <w:t>50</w:t>
      </w:r>
      <w:r w:rsidRPr="00237176" w:rsidR="00E2032A">
        <w:fldChar w:fldCharType="end"/>
      </w:r>
      <w:r w:rsidRPr="00237176" w:rsidR="00E2032A">
        <w:t xml:space="preserve"> above)</w:t>
      </w:r>
      <w:r w:rsidRPr="00237176" w:rsidR="009757B4">
        <w:t>.</w:t>
      </w:r>
    </w:p>
    <w:p w:rsidRPr="00237176" w:rsidR="00F11089" w:rsidP="00237176" w:rsidRDefault="00F11089">
      <w:pPr>
        <w:pStyle w:val="JuPara"/>
      </w:pPr>
      <w:r w:rsidRPr="00237176">
        <w:t xml:space="preserve">There has thus </w:t>
      </w:r>
      <w:r w:rsidRPr="00237176" w:rsidR="00401AC2">
        <w:t xml:space="preserve">also </w:t>
      </w:r>
      <w:r w:rsidRPr="00237176">
        <w:t>been a breach of Article 6 § 1 of the Convention in the present case.</w:t>
      </w:r>
    </w:p>
    <w:p w:rsidRPr="00237176" w:rsidR="00BE7A88" w:rsidP="00237176" w:rsidRDefault="00BE7A88">
      <w:pPr>
        <w:pStyle w:val="JuHa0"/>
      </w:pPr>
      <w:r w:rsidRPr="00237176">
        <w:t>Responsibility of the respondent Governments</w:t>
      </w:r>
    </w:p>
    <w:p w:rsidRPr="00237176" w:rsidR="009E3CAC" w:rsidP="00237176" w:rsidRDefault="009E3CAC">
      <w:pPr>
        <w:pStyle w:val="JuHi"/>
      </w:pPr>
      <w:r w:rsidRPr="00237176">
        <w:t>The responsibility of the Republic of Moldova</w:t>
      </w:r>
    </w:p>
    <w:p w:rsidRPr="00237176" w:rsidR="009E3CAC"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56</w:t>
      </w:r>
      <w:r w:rsidRPr="00237176">
        <w:rPr>
          <w:noProof/>
        </w:rPr>
        <w:fldChar w:fldCharType="end"/>
      </w:r>
      <w:r w:rsidRPr="00237176" w:rsidR="009E3CAC">
        <w:t>.  The Court must next determine whether the Republic of Moldova fulfilled its positive obligations to take appropriate and sufficient measures to secure the applicant</w:t>
      </w:r>
      <w:r w:rsidRPr="00237176" w:rsidR="00237176">
        <w:t>’</w:t>
      </w:r>
      <w:r w:rsidRPr="00237176" w:rsidR="00C72F54">
        <w:t>s</w:t>
      </w:r>
      <w:r w:rsidRPr="00237176" w:rsidR="009E3CAC">
        <w:t xml:space="preserve"> rights under Article </w:t>
      </w:r>
      <w:r w:rsidRPr="00237176" w:rsidR="00EA71B2">
        <w:t>6</w:t>
      </w:r>
      <w:r w:rsidRPr="00237176" w:rsidR="009E3CAC">
        <w:t xml:space="preserve"> </w:t>
      </w:r>
      <w:r w:rsidRPr="00237176" w:rsidR="00EA71B2">
        <w:t xml:space="preserve">§§ </w:t>
      </w:r>
      <w:r w:rsidRPr="00237176" w:rsidR="009E3CAC">
        <w:t>1</w:t>
      </w:r>
      <w:r w:rsidRPr="00237176" w:rsidR="00EA71B2">
        <w:t xml:space="preserve"> and 3 (see paragraph </w:t>
      </w:r>
      <w:r w:rsidRPr="00237176" w:rsidR="00EA71B2">
        <w:fldChar w:fldCharType="begin"/>
      </w:r>
      <w:r w:rsidRPr="00237176" w:rsidR="00EA71B2">
        <w:instrText xml:space="preserve"> REF p_21_MDA_jurisd \h </w:instrText>
      </w:r>
      <w:r w:rsidRPr="00237176" w:rsidR="004939D1">
        <w:instrText xml:space="preserve"> \* MERGEFORMAT </w:instrText>
      </w:r>
      <w:r w:rsidRPr="00237176" w:rsidR="00EA71B2">
        <w:fldChar w:fldCharType="separate"/>
      </w:r>
      <w:r w:rsidRPr="00237176" w:rsidR="00237176">
        <w:rPr>
          <w:rFonts w:ascii="Times New Roman" w:hAnsi="Times New Roman" w:eastAsia="MS Mincho" w:cs="Times New Roman"/>
          <w:noProof/>
          <w:szCs w:val="24"/>
        </w:rPr>
        <w:t>22</w:t>
      </w:r>
      <w:r w:rsidRPr="00237176" w:rsidR="00EA71B2">
        <w:fldChar w:fldCharType="end"/>
      </w:r>
      <w:r w:rsidRPr="00237176" w:rsidR="00EA71B2">
        <w:t xml:space="preserve"> above)</w:t>
      </w:r>
      <w:r w:rsidRPr="00237176" w:rsidR="009E3CAC">
        <w:t xml:space="preserve">. In </w:t>
      </w:r>
      <w:proofErr w:type="spellStart"/>
      <w:r w:rsidRPr="00237176" w:rsidR="009E3CAC">
        <w:rPr>
          <w:i/>
        </w:rPr>
        <w:t>Mozer</w:t>
      </w:r>
      <w:proofErr w:type="spellEnd"/>
      <w:r w:rsidRPr="00237176" w:rsidR="009E3CAC">
        <w:t xml:space="preserve"> the Court held that Moldova</w:t>
      </w:r>
      <w:r w:rsidRPr="00237176" w:rsidR="00237176">
        <w:t>’</w:t>
      </w:r>
      <w:r w:rsidRPr="00237176" w:rsidR="009E3CAC">
        <w:t xml:space="preserve">s positive obligations related both to measures needed to re-establish its control over the </w:t>
      </w:r>
      <w:proofErr w:type="spellStart"/>
      <w:r w:rsidRPr="00237176" w:rsidR="009E3CAC">
        <w:t>Transdniestrian</w:t>
      </w:r>
      <w:proofErr w:type="spellEnd"/>
      <w:r w:rsidRPr="00237176" w:rsidR="009E3CAC">
        <w:t xml:space="preserve"> territory, as an expression of its jurisdiction, and to measures to ensure respect for individual applicants</w:t>
      </w:r>
      <w:r w:rsidRPr="00237176" w:rsidR="00237176">
        <w:t>’</w:t>
      </w:r>
      <w:r w:rsidRPr="00237176" w:rsidR="009E3CAC">
        <w:t xml:space="preserve"> rights (see </w:t>
      </w:r>
      <w:proofErr w:type="spellStart"/>
      <w:r w:rsidRPr="00237176" w:rsidR="009E3CAC">
        <w:rPr>
          <w:i/>
        </w:rPr>
        <w:t>Mozer</w:t>
      </w:r>
      <w:proofErr w:type="spellEnd"/>
      <w:r w:rsidRPr="00237176" w:rsidR="009E3CAC">
        <w:t>, cited above, § 151).</w:t>
      </w:r>
    </w:p>
    <w:p w:rsidRPr="00237176" w:rsidR="009E3CAC" w:rsidP="00237176" w:rsidRDefault="00AF1D90">
      <w:pPr>
        <w:pStyle w:val="JuPara"/>
      </w:pPr>
      <w:r w:rsidRPr="00237176">
        <w:fldChar w:fldCharType="begin"/>
      </w:r>
      <w:r w:rsidRPr="00237176">
        <w:instrText xml:space="preserve"> SEQ level0 \*arabic </w:instrText>
      </w:r>
      <w:r w:rsidRPr="00237176">
        <w:fldChar w:fldCharType="separate"/>
      </w:r>
      <w:r w:rsidRPr="00237176" w:rsidR="00237176">
        <w:rPr>
          <w:noProof/>
        </w:rPr>
        <w:t>57</w:t>
      </w:r>
      <w:r w:rsidRPr="00237176">
        <w:rPr>
          <w:noProof/>
        </w:rPr>
        <w:fldChar w:fldCharType="end"/>
      </w:r>
      <w:r w:rsidRPr="00237176" w:rsidR="009E3CAC">
        <w:t>.  As regards the first aspect of Moldova</w:t>
      </w:r>
      <w:r w:rsidRPr="00237176" w:rsidR="00237176">
        <w:t>’</w:t>
      </w:r>
      <w:r w:rsidRPr="00237176" w:rsidR="009E3CAC">
        <w:t xml:space="preserve">s obligation, to re-establish control, the Court found in </w:t>
      </w:r>
      <w:proofErr w:type="spellStart"/>
      <w:r w:rsidRPr="00237176" w:rsidR="009E3CAC">
        <w:rPr>
          <w:i/>
        </w:rPr>
        <w:t>Mozer</w:t>
      </w:r>
      <w:proofErr w:type="spellEnd"/>
      <w:r w:rsidRPr="00237176" w:rsidR="009E3CAC">
        <w:rPr>
          <w:i/>
        </w:rPr>
        <w:t xml:space="preserve"> </w:t>
      </w:r>
      <w:r w:rsidRPr="00237176" w:rsidR="009E3CAC">
        <w:t>that, from the onset of the hostilities in 1991 and 1992 until July 2010, Moldova had taken all the measures in its power (</w:t>
      </w:r>
      <w:proofErr w:type="spellStart"/>
      <w:r w:rsidRPr="00237176" w:rsidR="009E3CAC">
        <w:rPr>
          <w:i/>
        </w:rPr>
        <w:t>Mozer</w:t>
      </w:r>
      <w:proofErr w:type="spellEnd"/>
      <w:r w:rsidRPr="00237176" w:rsidR="009E3CAC">
        <w:t>, cited above, § 152). Since the events complained of in the present case took place before the latter date, the Court sees no reason to reach a different conclusion (</w:t>
      </w:r>
      <w:proofErr w:type="spellStart"/>
      <w:r w:rsidRPr="00237176" w:rsidR="009E3CAC">
        <w:rPr>
          <w:i/>
        </w:rPr>
        <w:t>ibidem</w:t>
      </w:r>
      <w:proofErr w:type="spellEnd"/>
      <w:r w:rsidRPr="00237176" w:rsidR="009E3CAC">
        <w:t>).</w:t>
      </w:r>
    </w:p>
    <w:bookmarkStart w:name="p_75_MDA_not_responsib_P1_1" w:id="26"/>
    <w:p w:rsidRPr="00237176" w:rsidR="009E3CAC" w:rsidP="00237176" w:rsidRDefault="009E3CAC">
      <w:pPr>
        <w:pStyle w:val="JuPara"/>
      </w:pPr>
      <w:r w:rsidRPr="00237176">
        <w:fldChar w:fldCharType="begin"/>
      </w:r>
      <w:r w:rsidRPr="00237176">
        <w:instrText xml:space="preserve"> SEQ level0 \*arabic </w:instrText>
      </w:r>
      <w:r w:rsidRPr="00237176">
        <w:fldChar w:fldCharType="separate"/>
      </w:r>
      <w:r w:rsidRPr="00237176" w:rsidR="00237176">
        <w:rPr>
          <w:noProof/>
        </w:rPr>
        <w:t>58</w:t>
      </w:r>
      <w:r w:rsidRPr="00237176">
        <w:fldChar w:fldCharType="end"/>
      </w:r>
      <w:bookmarkEnd w:id="26"/>
      <w:r w:rsidRPr="00237176">
        <w:t>.  Turning to the second aspect of the positive obligations, namely to ensure respect for the applicant</w:t>
      </w:r>
      <w:r w:rsidRPr="00237176" w:rsidR="00237176">
        <w:t>’</w:t>
      </w:r>
      <w:r w:rsidRPr="00237176" w:rsidR="00EA71B2">
        <w:t>s</w:t>
      </w:r>
      <w:r w:rsidRPr="00237176">
        <w:t xml:space="preserve"> rights, the Court notes </w:t>
      </w:r>
      <w:r w:rsidRPr="00237176" w:rsidR="00EA71B2">
        <w:t>that the Moldovan prosecuting authorities have initiated a criminal investigation into the applicant</w:t>
      </w:r>
      <w:r w:rsidRPr="00237176" w:rsidR="00237176">
        <w:t>’</w:t>
      </w:r>
      <w:r w:rsidRPr="00237176" w:rsidR="00EA71B2">
        <w:t xml:space="preserve">s unlawful detention (see paragraph </w:t>
      </w:r>
      <w:r w:rsidRPr="00237176" w:rsidR="00EA71B2">
        <w:fldChar w:fldCharType="begin"/>
      </w:r>
      <w:r w:rsidRPr="00237176" w:rsidR="00EA71B2">
        <w:instrText xml:space="preserve"> REF p_16_MDA_starts_crim_invest \h </w:instrText>
      </w:r>
      <w:r w:rsidRPr="00237176" w:rsidR="00EA71B2">
        <w:fldChar w:fldCharType="separate"/>
      </w:r>
      <w:r w:rsidRPr="00237176" w:rsidR="00237176">
        <w:rPr>
          <w:noProof/>
        </w:rPr>
        <w:t>17</w:t>
      </w:r>
      <w:r w:rsidRPr="00237176" w:rsidR="00EA71B2">
        <w:fldChar w:fldCharType="end"/>
      </w:r>
      <w:r w:rsidRPr="00237176" w:rsidR="00EA71B2">
        <w:t xml:space="preserve"> above). However, in view of the lack of cooperation by the “MRT” authorities that investigation could not continue.</w:t>
      </w:r>
      <w:r w:rsidRPr="00237176">
        <w:t xml:space="preserve"> </w:t>
      </w:r>
      <w:r w:rsidRPr="00237176" w:rsidR="00D57754">
        <w:t>Having examined the material</w:t>
      </w:r>
      <w:r w:rsidRPr="00237176" w:rsidR="00A57187">
        <w:t>s</w:t>
      </w:r>
      <w:r w:rsidRPr="00237176" w:rsidR="00D57754">
        <w:t xml:space="preserve"> in the case</w:t>
      </w:r>
      <w:r w:rsidRPr="00237176" w:rsidR="00383D8F">
        <w:t xml:space="preserve"> </w:t>
      </w:r>
      <w:r w:rsidRPr="00237176" w:rsidR="00D57754">
        <w:t>file, the Court</w:t>
      </w:r>
      <w:r w:rsidRPr="00237176">
        <w:t xml:space="preserve"> considers that the Republic of Moldova did not fail to fulfil its positive obligations in respect of the applicant (see </w:t>
      </w:r>
      <w:proofErr w:type="spellStart"/>
      <w:r w:rsidRPr="00237176">
        <w:rPr>
          <w:i/>
        </w:rPr>
        <w:t>Mozer</w:t>
      </w:r>
      <w:proofErr w:type="spellEnd"/>
      <w:r w:rsidRPr="00237176">
        <w:t>, cited above, § 154).</w:t>
      </w:r>
      <w:r w:rsidRPr="00237176" w:rsidR="00E30209">
        <w:t xml:space="preserve"> While the applicant argued </w:t>
      </w:r>
      <w:r w:rsidRPr="00237176" w:rsidR="008369D4">
        <w:t xml:space="preserve">that </w:t>
      </w:r>
      <w:r w:rsidRPr="00237176" w:rsidR="00E30209">
        <w:t xml:space="preserve">his minibus and the merchandise </w:t>
      </w:r>
      <w:r w:rsidRPr="00237176" w:rsidR="00440D8E">
        <w:t xml:space="preserve">had been </w:t>
      </w:r>
      <w:r w:rsidRPr="00237176" w:rsidR="00E30209">
        <w:t xml:space="preserve">seized by the “MRT” authorities and a Moldovan police officer had not opposed this, the present case does not </w:t>
      </w:r>
      <w:r w:rsidRPr="00237176" w:rsidR="002417A4">
        <w:t xml:space="preserve">involve </w:t>
      </w:r>
      <w:r w:rsidRPr="00237176" w:rsidR="00E30209">
        <w:t>a complaint under Article 1 of Protocol No. 1 to the Convention. Therefore, this particular inaction by the Moldovan police cannot be regarded as a failure by the Republic of Moldova to observe its positive obligations.</w:t>
      </w:r>
    </w:p>
    <w:p w:rsidRPr="00237176" w:rsidR="009E3CAC" w:rsidP="00237176" w:rsidRDefault="009E3CAC">
      <w:pPr>
        <w:pStyle w:val="JuPara"/>
      </w:pPr>
      <w:r w:rsidRPr="00237176">
        <w:fldChar w:fldCharType="begin"/>
      </w:r>
      <w:r w:rsidRPr="00237176">
        <w:instrText xml:space="preserve"> SEQ level0 \*arabic </w:instrText>
      </w:r>
      <w:r w:rsidRPr="00237176">
        <w:fldChar w:fldCharType="separate"/>
      </w:r>
      <w:r w:rsidRPr="00237176" w:rsidR="00237176">
        <w:rPr>
          <w:noProof/>
        </w:rPr>
        <w:t>59</w:t>
      </w:r>
      <w:r w:rsidRPr="00237176">
        <w:fldChar w:fldCharType="end"/>
      </w:r>
      <w:r w:rsidRPr="00237176">
        <w:t xml:space="preserve">.  There has therefore been no violation of Article </w:t>
      </w:r>
      <w:r w:rsidRPr="00237176" w:rsidR="00EA71B2">
        <w:t xml:space="preserve">6 §§ </w:t>
      </w:r>
      <w:r w:rsidRPr="00237176">
        <w:t>1</w:t>
      </w:r>
      <w:r w:rsidRPr="00237176" w:rsidR="00EA71B2">
        <w:t xml:space="preserve"> and 3</w:t>
      </w:r>
      <w:r w:rsidRPr="00237176">
        <w:t xml:space="preserve"> </w:t>
      </w:r>
      <w:r w:rsidRPr="00237176" w:rsidR="00EA71B2">
        <w:t xml:space="preserve">of </w:t>
      </w:r>
      <w:r w:rsidRPr="00237176">
        <w:t>the Convention by the Republic Moldova.</w:t>
      </w:r>
    </w:p>
    <w:p w:rsidRPr="00237176" w:rsidR="009E3CAC" w:rsidP="00237176" w:rsidRDefault="009E3CAC">
      <w:pPr>
        <w:pStyle w:val="JuHi"/>
      </w:pPr>
      <w:r w:rsidRPr="00237176">
        <w:t>The responsibility of the Russian Federation</w:t>
      </w:r>
    </w:p>
    <w:bookmarkStart w:name="p_76_RUS_responsible_P1_1" w:id="27"/>
    <w:p w:rsidRPr="00237176" w:rsidR="009E3CAC" w:rsidP="00237176" w:rsidRDefault="009E3CAC">
      <w:pPr>
        <w:pStyle w:val="JuPara"/>
      </w:pPr>
      <w:r w:rsidRPr="00237176">
        <w:fldChar w:fldCharType="begin"/>
      </w:r>
      <w:r w:rsidRPr="00237176">
        <w:instrText xml:space="preserve"> SEQ level0 \*arabic </w:instrText>
      </w:r>
      <w:r w:rsidRPr="00237176">
        <w:fldChar w:fldCharType="separate"/>
      </w:r>
      <w:r w:rsidRPr="00237176" w:rsidR="00237176">
        <w:rPr>
          <w:noProof/>
        </w:rPr>
        <w:t>60</w:t>
      </w:r>
      <w:r w:rsidRPr="00237176">
        <w:fldChar w:fldCharType="end"/>
      </w:r>
      <w:bookmarkEnd w:id="27"/>
      <w:r w:rsidRPr="00237176">
        <w:t>.  </w:t>
      </w:r>
      <w:r w:rsidRPr="00237176">
        <w:rPr>
          <w:rFonts w:cs="Times New Roman"/>
        </w:rPr>
        <w:t xml:space="preserve">In so far as the responsibility of the Russian Federation is concerned, the Court has established that Russia exercised effective control over the “MRT” during the period in question (see paragraphs </w:t>
      </w:r>
      <w:r w:rsidRPr="00237176" w:rsidR="00477109">
        <w:rPr>
          <w:rFonts w:cs="Times New Roman"/>
        </w:rPr>
        <w:fldChar w:fldCharType="begin"/>
      </w:r>
      <w:r w:rsidRPr="00237176" w:rsidR="00477109">
        <w:rPr>
          <w:rFonts w:cs="Times New Roman"/>
        </w:rPr>
        <w:instrText xml:space="preserve"> REF p_22_RUS_jurisd_start \h </w:instrText>
      </w:r>
      <w:r w:rsidRPr="00237176" w:rsidR="00477109">
        <w:rPr>
          <w:rFonts w:cs="Times New Roman"/>
        </w:rPr>
      </w:r>
      <w:r w:rsidRPr="00237176" w:rsidR="00477109">
        <w:rPr>
          <w:rFonts w:cs="Times New Roman"/>
        </w:rPr>
        <w:fldChar w:fldCharType="separate"/>
      </w:r>
      <w:r w:rsidRPr="00237176" w:rsidR="00237176">
        <w:rPr>
          <w:rFonts w:ascii="Times New Roman" w:hAnsi="Times New Roman" w:eastAsia="MS Mincho" w:cs="Times New Roman"/>
          <w:noProof/>
          <w:szCs w:val="24"/>
        </w:rPr>
        <w:t>23</w:t>
      </w:r>
      <w:r w:rsidRPr="00237176" w:rsidR="00477109">
        <w:rPr>
          <w:rFonts w:cs="Times New Roman"/>
        </w:rPr>
        <w:fldChar w:fldCharType="end"/>
      </w:r>
      <w:r w:rsidRPr="00237176" w:rsidR="00477109">
        <w:rPr>
          <w:rFonts w:cs="Times New Roman"/>
        </w:rPr>
        <w:t>-</w:t>
      </w:r>
      <w:r w:rsidRPr="00237176" w:rsidR="00477109">
        <w:rPr>
          <w:rFonts w:cs="Times New Roman"/>
        </w:rPr>
        <w:fldChar w:fldCharType="begin"/>
      </w:r>
      <w:r w:rsidRPr="00237176" w:rsidR="00477109">
        <w:rPr>
          <w:rFonts w:cs="Times New Roman"/>
        </w:rPr>
        <w:instrText xml:space="preserve"> REF p_24_RUS_jurisd_end \h </w:instrText>
      </w:r>
      <w:r w:rsidRPr="00237176" w:rsidR="00477109">
        <w:rPr>
          <w:rFonts w:cs="Times New Roman"/>
        </w:rPr>
      </w:r>
      <w:r w:rsidRPr="00237176" w:rsidR="00477109">
        <w:rPr>
          <w:rFonts w:cs="Times New Roman"/>
        </w:rPr>
        <w:fldChar w:fldCharType="separate"/>
      </w:r>
      <w:r w:rsidRPr="00237176" w:rsidR="00237176">
        <w:rPr>
          <w:noProof/>
        </w:rPr>
        <w:t>25</w:t>
      </w:r>
      <w:r w:rsidRPr="00237176" w:rsidR="00477109">
        <w:rPr>
          <w:rFonts w:cs="Times New Roman"/>
        </w:rPr>
        <w:fldChar w:fldCharType="end"/>
      </w:r>
      <w:r w:rsidRPr="00237176">
        <w:rPr>
          <w:rFonts w:cs="Times New Roman"/>
        </w:rPr>
        <w:t xml:space="preserve"> above). In the light of this conclusion, and in accordance with its case-law, it is not necessary to determine whether or not Russia exercised detailed control over the policies and actions of the subordinate local administration (see </w:t>
      </w:r>
      <w:proofErr w:type="spellStart"/>
      <w:r w:rsidRPr="00237176">
        <w:rPr>
          <w:rFonts w:cs="Times New Roman"/>
          <w:i/>
        </w:rPr>
        <w:t>Mozer</w:t>
      </w:r>
      <w:proofErr w:type="spellEnd"/>
      <w:r w:rsidRPr="00237176">
        <w:rPr>
          <w:rFonts w:cs="Times New Roman"/>
        </w:rPr>
        <w:t>, cited above, § 157). By virtue of its continued military, economic and political support for the “MRT”, which could not otherwise survive, Russia</w:t>
      </w:r>
      <w:r w:rsidRPr="00237176" w:rsidR="00237176">
        <w:rPr>
          <w:rFonts w:cs="Times New Roman"/>
        </w:rPr>
        <w:t>’</w:t>
      </w:r>
      <w:r w:rsidRPr="00237176">
        <w:rPr>
          <w:rFonts w:cs="Times New Roman"/>
        </w:rPr>
        <w:t>s responsibility under the Convention is engaged as regards the violation of the applicant</w:t>
      </w:r>
      <w:r w:rsidRPr="00237176" w:rsidR="00237176">
        <w:rPr>
          <w:rFonts w:cs="Times New Roman"/>
        </w:rPr>
        <w:t>’</w:t>
      </w:r>
      <w:r w:rsidRPr="00237176" w:rsidR="00C72F54">
        <w:rPr>
          <w:rFonts w:cs="Times New Roman"/>
        </w:rPr>
        <w:t>s</w:t>
      </w:r>
      <w:r w:rsidRPr="00237176">
        <w:rPr>
          <w:rFonts w:cs="Times New Roman"/>
        </w:rPr>
        <w:t xml:space="preserve"> rights (</w:t>
      </w:r>
      <w:proofErr w:type="spellStart"/>
      <w:r w:rsidRPr="00237176">
        <w:rPr>
          <w:rFonts w:cs="Times New Roman"/>
          <w:i/>
        </w:rPr>
        <w:t>ibidem</w:t>
      </w:r>
      <w:proofErr w:type="spellEnd"/>
      <w:r w:rsidRPr="00237176">
        <w:rPr>
          <w:rFonts w:cs="Times New Roman"/>
        </w:rPr>
        <w:t>).</w:t>
      </w:r>
    </w:p>
    <w:p w:rsidRPr="00237176" w:rsidR="00BE7A88" w:rsidP="00237176" w:rsidRDefault="00BE7A88">
      <w:pPr>
        <w:pStyle w:val="JuPara"/>
      </w:pPr>
      <w:r w:rsidRPr="00237176">
        <w:fldChar w:fldCharType="begin"/>
      </w:r>
      <w:r w:rsidRPr="00237176">
        <w:instrText xml:space="preserve"> SEQ level0 \*arabic </w:instrText>
      </w:r>
      <w:r w:rsidRPr="00237176">
        <w:fldChar w:fldCharType="separate"/>
      </w:r>
      <w:r w:rsidRPr="00237176" w:rsidR="00237176">
        <w:rPr>
          <w:noProof/>
        </w:rPr>
        <w:t>61</w:t>
      </w:r>
      <w:r w:rsidRPr="00237176">
        <w:fldChar w:fldCharType="end"/>
      </w:r>
      <w:r w:rsidRPr="00237176">
        <w:t>.  </w:t>
      </w:r>
      <w:r w:rsidRPr="00237176" w:rsidR="00B16272">
        <w:rPr>
          <w:rFonts w:cs="Times New Roman"/>
        </w:rPr>
        <w:t>In conclusion, and having found that there has been a breach of the applicant</w:t>
      </w:r>
      <w:r w:rsidRPr="00237176" w:rsidR="00237176">
        <w:rPr>
          <w:rFonts w:cs="Times New Roman"/>
        </w:rPr>
        <w:t>’</w:t>
      </w:r>
      <w:r w:rsidRPr="00237176" w:rsidR="00C72F54">
        <w:rPr>
          <w:rFonts w:cs="Times New Roman"/>
        </w:rPr>
        <w:t>s</w:t>
      </w:r>
      <w:r w:rsidRPr="00237176" w:rsidR="00B16272">
        <w:rPr>
          <w:rFonts w:cs="Times New Roman"/>
        </w:rPr>
        <w:t xml:space="preserve"> rights under Article 6 §§ 1 and 3 of the Convention (see paragraph</w:t>
      </w:r>
      <w:r w:rsidRPr="00237176" w:rsidR="003F7058">
        <w:rPr>
          <w:rFonts w:cs="Times New Roman"/>
        </w:rPr>
        <w:t>s</w:t>
      </w:r>
      <w:r w:rsidRPr="00237176" w:rsidR="00B16272">
        <w:rPr>
          <w:rFonts w:cs="Times New Roman"/>
        </w:rPr>
        <w:t xml:space="preserve"> </w:t>
      </w:r>
      <w:r w:rsidRPr="00237176" w:rsidR="00792BBE">
        <w:rPr>
          <w:rFonts w:cs="Times New Roman"/>
        </w:rPr>
        <w:fldChar w:fldCharType="begin"/>
      </w:r>
      <w:r w:rsidRPr="00237176" w:rsidR="00792BBE">
        <w:rPr>
          <w:rFonts w:cs="Times New Roman"/>
        </w:rPr>
        <w:instrText xml:space="preserve"> REF p_54_breach_6_3 \h </w:instrText>
      </w:r>
      <w:r w:rsidRPr="00237176" w:rsidR="00792BBE">
        <w:rPr>
          <w:rFonts w:cs="Times New Roman"/>
        </w:rPr>
      </w:r>
      <w:r w:rsidRPr="00237176" w:rsidR="00792BBE">
        <w:rPr>
          <w:rFonts w:cs="Times New Roman"/>
        </w:rPr>
        <w:fldChar w:fldCharType="separate"/>
      </w:r>
      <w:r w:rsidRPr="00237176" w:rsidR="00237176">
        <w:rPr>
          <w:noProof/>
        </w:rPr>
        <w:t>54</w:t>
      </w:r>
      <w:r w:rsidRPr="00237176" w:rsidR="00792BBE">
        <w:rPr>
          <w:rFonts w:cs="Times New Roman"/>
        </w:rPr>
        <w:fldChar w:fldCharType="end"/>
      </w:r>
      <w:r w:rsidRPr="00237176" w:rsidR="00792BBE">
        <w:rPr>
          <w:rFonts w:cs="Times New Roman"/>
        </w:rPr>
        <w:t xml:space="preserve"> and </w:t>
      </w:r>
      <w:r w:rsidRPr="00237176" w:rsidR="00792BBE">
        <w:rPr>
          <w:rFonts w:cs="Times New Roman"/>
        </w:rPr>
        <w:fldChar w:fldCharType="begin"/>
      </w:r>
      <w:r w:rsidRPr="00237176" w:rsidR="00792BBE">
        <w:rPr>
          <w:rFonts w:cs="Times New Roman"/>
        </w:rPr>
        <w:instrText xml:space="preserve"> REF p_54_breach_6_1 \h </w:instrText>
      </w:r>
      <w:r w:rsidRPr="00237176" w:rsidR="00792BBE">
        <w:rPr>
          <w:rFonts w:cs="Times New Roman"/>
        </w:rPr>
      </w:r>
      <w:r w:rsidRPr="00237176" w:rsidR="00792BBE">
        <w:rPr>
          <w:rFonts w:cs="Times New Roman"/>
        </w:rPr>
        <w:fldChar w:fldCharType="separate"/>
      </w:r>
      <w:r w:rsidRPr="00237176" w:rsidR="00237176">
        <w:rPr>
          <w:noProof/>
        </w:rPr>
        <w:t>55</w:t>
      </w:r>
      <w:r w:rsidRPr="00237176" w:rsidR="00792BBE">
        <w:rPr>
          <w:rFonts w:cs="Times New Roman"/>
        </w:rPr>
        <w:fldChar w:fldCharType="end"/>
      </w:r>
      <w:r w:rsidRPr="00237176" w:rsidR="00B16272">
        <w:rPr>
          <w:rFonts w:cs="Times New Roman"/>
        </w:rPr>
        <w:t xml:space="preserve"> above), the Court holds that there has been a violation of th</w:t>
      </w:r>
      <w:r w:rsidRPr="00237176" w:rsidR="00E764CF">
        <w:rPr>
          <w:rFonts w:cs="Times New Roman"/>
        </w:rPr>
        <w:t>ose</w:t>
      </w:r>
      <w:r w:rsidRPr="00237176" w:rsidR="00B16272">
        <w:rPr>
          <w:rFonts w:cs="Times New Roman"/>
        </w:rPr>
        <w:t xml:space="preserve"> provision</w:t>
      </w:r>
      <w:r w:rsidRPr="00237176" w:rsidR="00E764CF">
        <w:rPr>
          <w:rFonts w:cs="Times New Roman"/>
        </w:rPr>
        <w:t>s</w:t>
      </w:r>
      <w:r w:rsidRPr="00237176" w:rsidR="00B16272">
        <w:rPr>
          <w:rFonts w:cs="Times New Roman"/>
        </w:rPr>
        <w:t xml:space="preserve"> by the Russian Federation.</w:t>
      </w:r>
    </w:p>
    <w:p w:rsidRPr="00237176" w:rsidR="00D420F3" w:rsidP="00237176" w:rsidRDefault="00F129E3">
      <w:pPr>
        <w:pStyle w:val="JuHIRoman"/>
      </w:pPr>
      <w:r w:rsidRPr="00237176">
        <w:t> </w:t>
      </w:r>
      <w:r w:rsidRPr="00237176" w:rsidR="0077175D">
        <w:t>APPLICATION OF ARTICLE 41 OF THE CONVENTION</w:t>
      </w:r>
    </w:p>
    <w:p w:rsidRPr="00237176" w:rsidR="00D420F3" w:rsidP="00237176" w:rsidRDefault="00803109">
      <w:pPr>
        <w:pStyle w:val="JuPara"/>
      </w:pPr>
      <w:r w:rsidRPr="00237176">
        <w:fldChar w:fldCharType="begin"/>
      </w:r>
      <w:r w:rsidRPr="00237176">
        <w:instrText xml:space="preserve"> SEQ level0 \*arabic </w:instrText>
      </w:r>
      <w:r w:rsidRPr="00237176">
        <w:fldChar w:fldCharType="separate"/>
      </w:r>
      <w:r w:rsidRPr="00237176" w:rsidR="00237176">
        <w:rPr>
          <w:noProof/>
        </w:rPr>
        <w:t>62</w:t>
      </w:r>
      <w:r w:rsidRPr="00237176">
        <w:fldChar w:fldCharType="end"/>
      </w:r>
      <w:r w:rsidRPr="00237176" w:rsidR="0077175D">
        <w:t>.  Article 41 of the Convention provides:</w:t>
      </w:r>
    </w:p>
    <w:p w:rsidRPr="00237176" w:rsidR="00D420F3" w:rsidP="00237176" w:rsidRDefault="0077175D">
      <w:pPr>
        <w:pStyle w:val="JuQuot"/>
        <w:keepNext/>
        <w:keepLines/>
      </w:pPr>
      <w:r w:rsidRPr="0023717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37176" w:rsidR="005B1463" w:rsidP="00237176" w:rsidRDefault="005B1463">
      <w:pPr>
        <w:pStyle w:val="JuPara"/>
      </w:pPr>
      <w:r w:rsidRPr="00237176">
        <w:fldChar w:fldCharType="begin"/>
      </w:r>
      <w:r w:rsidRPr="00237176">
        <w:instrText xml:space="preserve"> SEQ level0 \*arabic </w:instrText>
      </w:r>
      <w:r w:rsidRPr="00237176">
        <w:fldChar w:fldCharType="separate"/>
      </w:r>
      <w:r w:rsidRPr="00237176" w:rsidR="00237176">
        <w:rPr>
          <w:noProof/>
        </w:rPr>
        <w:t>63</w:t>
      </w:r>
      <w:r w:rsidRPr="00237176">
        <w:fldChar w:fldCharType="end"/>
      </w:r>
      <w:r w:rsidRPr="00237176">
        <w:t>.  The Court notes that it has not found a breach of any Convention provision by the Republic of Moldova. Accordingly, it will not m</w:t>
      </w:r>
      <w:r w:rsidRPr="00237176" w:rsidR="00F26B31">
        <w:t>ake any award to be paid by the aforementioned</w:t>
      </w:r>
      <w:r w:rsidRPr="00237176">
        <w:t xml:space="preserve"> respondent State.</w:t>
      </w:r>
    </w:p>
    <w:p w:rsidRPr="00237176" w:rsidR="00D420F3" w:rsidP="00237176" w:rsidRDefault="0077175D">
      <w:pPr>
        <w:pStyle w:val="JuHA"/>
      </w:pPr>
      <w:r w:rsidRPr="00237176">
        <w:t>Damage</w:t>
      </w:r>
    </w:p>
    <w:p w:rsidRPr="00237176" w:rsidR="00D420F3" w:rsidP="00237176" w:rsidRDefault="00803109">
      <w:pPr>
        <w:pStyle w:val="JuPara"/>
      </w:pPr>
      <w:r w:rsidRPr="00237176">
        <w:fldChar w:fldCharType="begin"/>
      </w:r>
      <w:r w:rsidRPr="00237176">
        <w:instrText xml:space="preserve"> SEQ level0 \*arabic </w:instrText>
      </w:r>
      <w:r w:rsidRPr="00237176">
        <w:fldChar w:fldCharType="separate"/>
      </w:r>
      <w:r w:rsidRPr="00237176" w:rsidR="00237176">
        <w:rPr>
          <w:noProof/>
        </w:rPr>
        <w:t>64</w:t>
      </w:r>
      <w:r w:rsidRPr="00237176">
        <w:fldChar w:fldCharType="end"/>
      </w:r>
      <w:r w:rsidRPr="00237176" w:rsidR="0077175D">
        <w:t xml:space="preserve">.  The applicant claimed </w:t>
      </w:r>
      <w:r w:rsidRPr="00237176" w:rsidR="001602CE">
        <w:t>15,000</w:t>
      </w:r>
      <w:r w:rsidRPr="00237176" w:rsidR="0077175D">
        <w:t xml:space="preserve"> euros (EUR) in respect of non-pecuniary damage.</w:t>
      </w:r>
    </w:p>
    <w:p w:rsidRPr="00237176" w:rsidR="001602CE" w:rsidP="00237176" w:rsidRDefault="001602CE">
      <w:pPr>
        <w:pStyle w:val="JuPara"/>
      </w:pPr>
      <w:r w:rsidRPr="00237176">
        <w:fldChar w:fldCharType="begin"/>
      </w:r>
      <w:r w:rsidRPr="00237176">
        <w:instrText xml:space="preserve"> SEQ level0 \*arabic </w:instrText>
      </w:r>
      <w:r w:rsidRPr="00237176">
        <w:fldChar w:fldCharType="separate"/>
      </w:r>
      <w:r w:rsidRPr="00237176" w:rsidR="00237176">
        <w:rPr>
          <w:noProof/>
        </w:rPr>
        <w:t>65</w:t>
      </w:r>
      <w:r w:rsidRPr="00237176">
        <w:fldChar w:fldCharType="end"/>
      </w:r>
      <w:r w:rsidRPr="00237176">
        <w:t xml:space="preserve">.  The Russian Government </w:t>
      </w:r>
      <w:r w:rsidRPr="00237176" w:rsidR="005B1463">
        <w:t>considered that the sum claimed was obviously excessive.</w:t>
      </w:r>
    </w:p>
    <w:p w:rsidRPr="00237176" w:rsidR="005B1463" w:rsidP="00237176" w:rsidRDefault="005B1463">
      <w:pPr>
        <w:pStyle w:val="JuPara"/>
      </w:pPr>
      <w:r w:rsidRPr="00237176">
        <w:fldChar w:fldCharType="begin"/>
      </w:r>
      <w:r w:rsidRPr="00237176">
        <w:instrText xml:space="preserve"> SEQ level0 \*arabic </w:instrText>
      </w:r>
      <w:r w:rsidRPr="00237176">
        <w:fldChar w:fldCharType="separate"/>
      </w:r>
      <w:r w:rsidRPr="00237176" w:rsidR="00237176">
        <w:rPr>
          <w:noProof/>
        </w:rPr>
        <w:t>66</w:t>
      </w:r>
      <w:r w:rsidRPr="00237176">
        <w:fldChar w:fldCharType="end"/>
      </w:r>
      <w:r w:rsidRPr="00237176">
        <w:t xml:space="preserve">.  The Court considers that the applicant has suffered a certain level of stress following his conviction in the absence of basic guarantees of a fair trial. </w:t>
      </w:r>
      <w:r w:rsidRPr="00237176" w:rsidR="005352E5">
        <w:t>Having regard to the circumstances of the case and making its assessment on an equitable basis, the</w:t>
      </w:r>
      <w:r w:rsidRPr="00237176" w:rsidR="00A57187">
        <w:t xml:space="preserve"> Court awards in respect of non</w:t>
      </w:r>
      <w:r w:rsidRPr="00237176" w:rsidR="00A57187">
        <w:noBreakHyphen/>
      </w:r>
      <w:r w:rsidRPr="00237176" w:rsidR="005352E5">
        <w:t>pecuniary damage</w:t>
      </w:r>
      <w:r w:rsidRPr="00237176" w:rsidDel="00AE31E7" w:rsidR="005352E5">
        <w:t xml:space="preserve"> </w:t>
      </w:r>
      <w:r w:rsidRPr="00237176" w:rsidR="005352E5">
        <w:t>EUR</w:t>
      </w:r>
      <w:r w:rsidRPr="00237176" w:rsidR="00DD0F22">
        <w:t xml:space="preserve"> </w:t>
      </w:r>
      <w:r w:rsidRPr="00237176" w:rsidR="001D0439">
        <w:t>7</w:t>
      </w:r>
      <w:r w:rsidRPr="00237176" w:rsidR="00C3006F">
        <w:t>,</w:t>
      </w:r>
      <w:r w:rsidRPr="00237176" w:rsidR="001D0439">
        <w:t>8</w:t>
      </w:r>
      <w:r w:rsidRPr="00237176" w:rsidR="00C3006F">
        <w:t>00</w:t>
      </w:r>
      <w:r w:rsidRPr="00237176" w:rsidR="00A57187">
        <w:t>,</w:t>
      </w:r>
      <w:r w:rsidRPr="00237176" w:rsidR="00DD0F22">
        <w:t xml:space="preserve"> to be paid by the Russian Federation.</w:t>
      </w:r>
    </w:p>
    <w:p w:rsidRPr="00237176" w:rsidR="00D420F3" w:rsidP="00237176" w:rsidRDefault="0077175D">
      <w:pPr>
        <w:pStyle w:val="JuHA"/>
      </w:pPr>
      <w:r w:rsidRPr="00237176">
        <w:t>Costs and expenses</w:t>
      </w:r>
    </w:p>
    <w:p w:rsidRPr="00237176" w:rsidR="00D420F3" w:rsidP="00237176" w:rsidRDefault="00803109">
      <w:pPr>
        <w:pStyle w:val="JuPara"/>
      </w:pPr>
      <w:r w:rsidRPr="00237176">
        <w:fldChar w:fldCharType="begin"/>
      </w:r>
      <w:r w:rsidRPr="00237176">
        <w:instrText xml:space="preserve"> SEQ level0 \*arabic </w:instrText>
      </w:r>
      <w:r w:rsidRPr="00237176">
        <w:fldChar w:fldCharType="separate"/>
      </w:r>
      <w:r w:rsidRPr="00237176" w:rsidR="00237176">
        <w:rPr>
          <w:noProof/>
        </w:rPr>
        <w:t>67</w:t>
      </w:r>
      <w:r w:rsidRPr="00237176">
        <w:fldChar w:fldCharType="end"/>
      </w:r>
      <w:r w:rsidRPr="00237176" w:rsidR="0077175D">
        <w:t xml:space="preserve">.  The applicant also claimed EUR </w:t>
      </w:r>
      <w:r w:rsidRPr="00237176" w:rsidR="005352E5">
        <w:t>4,125</w:t>
      </w:r>
      <w:r w:rsidRPr="00237176" w:rsidR="0077175D">
        <w:t xml:space="preserve"> for the costs and expenses incurred before the Court.</w:t>
      </w:r>
      <w:r w:rsidRPr="00237176" w:rsidR="005352E5">
        <w:t xml:space="preserve"> He relied on a contract with his lawyer, based on an hourly rate of EUR 75 and itemised lists of 55 hours spent working on the case.</w:t>
      </w:r>
    </w:p>
    <w:p w:rsidRPr="00237176" w:rsidR="00E2032A" w:rsidP="00237176" w:rsidRDefault="00E2032A">
      <w:pPr>
        <w:pStyle w:val="JuPara"/>
      </w:pPr>
      <w:r w:rsidRPr="00237176">
        <w:fldChar w:fldCharType="begin"/>
      </w:r>
      <w:r w:rsidRPr="00237176">
        <w:instrText xml:space="preserve"> SEQ level0 \*arabic </w:instrText>
      </w:r>
      <w:r w:rsidRPr="00237176">
        <w:fldChar w:fldCharType="separate"/>
      </w:r>
      <w:r w:rsidRPr="00237176" w:rsidR="00237176">
        <w:rPr>
          <w:noProof/>
        </w:rPr>
        <w:t>68</w:t>
      </w:r>
      <w:r w:rsidRPr="00237176">
        <w:fldChar w:fldCharType="end"/>
      </w:r>
      <w:r w:rsidRPr="00237176">
        <w:t xml:space="preserve">.  The Russian Government </w:t>
      </w:r>
      <w:r w:rsidRPr="00237176" w:rsidR="00E51605">
        <w:t xml:space="preserve">argued that </w:t>
      </w:r>
      <w:r w:rsidRPr="00237176" w:rsidR="00050E42">
        <w:t>since the applicant had not submitted any evidence that he had paid anything to his lawyer, no award should be made in this respect.</w:t>
      </w:r>
    </w:p>
    <w:p w:rsidRPr="00237176" w:rsidR="00D420F3" w:rsidP="00237176" w:rsidRDefault="00803109">
      <w:pPr>
        <w:pStyle w:val="JuPara"/>
      </w:pPr>
      <w:r w:rsidRPr="00237176">
        <w:fldChar w:fldCharType="begin"/>
      </w:r>
      <w:r w:rsidRPr="00237176">
        <w:instrText xml:space="preserve"> SEQ level0 \*arabic </w:instrText>
      </w:r>
      <w:r w:rsidRPr="00237176">
        <w:fldChar w:fldCharType="separate"/>
      </w:r>
      <w:r w:rsidRPr="00237176" w:rsidR="00237176">
        <w:rPr>
          <w:noProof/>
        </w:rPr>
        <w:t>69</w:t>
      </w:r>
      <w:r w:rsidRPr="00237176">
        <w:fldChar w:fldCharType="end"/>
      </w:r>
      <w:r w:rsidRPr="00237176" w:rsidR="0077175D">
        <w:t>.  </w:t>
      </w:r>
      <w:r w:rsidRPr="00237176" w:rsidR="00050E42">
        <w:t>According to the Court</w:t>
      </w:r>
      <w:r w:rsidRPr="00237176" w:rsidR="00237176">
        <w:t>’</w:t>
      </w:r>
      <w:r w:rsidRPr="00237176" w:rsidR="00050E42">
        <w:t xml:space="preserve">s case-law (see for a recent example </w:t>
      </w:r>
      <w:proofErr w:type="spellStart"/>
      <w:r w:rsidRPr="00237176" w:rsidR="00050E42">
        <w:rPr>
          <w:i/>
          <w:iCs/>
        </w:rPr>
        <w:t>Merabishvili</w:t>
      </w:r>
      <w:proofErr w:type="spellEnd"/>
      <w:r w:rsidRPr="00237176" w:rsidR="00050E42">
        <w:rPr>
          <w:i/>
          <w:iCs/>
        </w:rPr>
        <w:t xml:space="preserve"> v. Georgia </w:t>
      </w:r>
      <w:r w:rsidRPr="00237176" w:rsidR="00050E42">
        <w:rPr>
          <w:iCs/>
        </w:rPr>
        <w:t>[GC]</w:t>
      </w:r>
      <w:r w:rsidRPr="00237176" w:rsidR="00050E42">
        <w:t xml:space="preserve">, </w:t>
      </w:r>
      <w:r w:rsidRPr="00237176" w:rsidR="00050E42">
        <w:rPr>
          <w:lang w:eastAsia="en-GB"/>
        </w:rPr>
        <w:t xml:space="preserve">no. </w:t>
      </w:r>
      <w:r w:rsidRPr="00237176" w:rsidR="00050E42">
        <w:t>72508/13, § 370, ECHR 2017 (extracts)),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applicant the sum of EUR 1,500 covering costs under all heads</w:t>
      </w:r>
      <w:r w:rsidRPr="00237176" w:rsidR="00DD0F22">
        <w:t>, to be paid by the Russian Federation</w:t>
      </w:r>
      <w:r w:rsidRPr="00237176" w:rsidR="00050E42">
        <w:t>.</w:t>
      </w:r>
    </w:p>
    <w:p w:rsidRPr="00237176" w:rsidR="00D420F3" w:rsidP="00237176" w:rsidRDefault="0077175D">
      <w:pPr>
        <w:pStyle w:val="JuHA"/>
      </w:pPr>
      <w:r w:rsidRPr="00237176">
        <w:t>Default interest</w:t>
      </w:r>
    </w:p>
    <w:p w:rsidRPr="00237176" w:rsidR="00D420F3" w:rsidP="00237176" w:rsidRDefault="00803109">
      <w:pPr>
        <w:pStyle w:val="JuPara"/>
      </w:pPr>
      <w:r w:rsidRPr="00237176">
        <w:fldChar w:fldCharType="begin"/>
      </w:r>
      <w:r w:rsidRPr="00237176">
        <w:instrText xml:space="preserve"> SEQ level0 \*arabic </w:instrText>
      </w:r>
      <w:r w:rsidRPr="00237176">
        <w:fldChar w:fldCharType="separate"/>
      </w:r>
      <w:r w:rsidRPr="00237176" w:rsidR="00237176">
        <w:rPr>
          <w:noProof/>
        </w:rPr>
        <w:t>70</w:t>
      </w:r>
      <w:r w:rsidRPr="00237176">
        <w:fldChar w:fldCharType="end"/>
      </w:r>
      <w:r w:rsidRPr="00237176" w:rsidR="0077175D">
        <w:t>.  The Court considers it appropriate that the default interest rate should be based on the marginal lending rate of the European Central Bank, to which should be added three percentage points.</w:t>
      </w:r>
    </w:p>
    <w:p w:rsidRPr="00237176" w:rsidR="00D420F3" w:rsidP="00237176" w:rsidRDefault="0077175D">
      <w:pPr>
        <w:pStyle w:val="JuHHead"/>
      </w:pPr>
      <w:r w:rsidRPr="00237176">
        <w:t>FOR THESE REASONS, THE COURT</w:t>
      </w:r>
      <w:r w:rsidRPr="00237176" w:rsidR="00803109">
        <w:t>, UNANIMOUSLY,</w:t>
      </w:r>
    </w:p>
    <w:p w:rsidRPr="00237176" w:rsidR="00D420F3" w:rsidP="00237176" w:rsidRDefault="0077175D">
      <w:pPr>
        <w:pStyle w:val="JuList"/>
      </w:pPr>
      <w:r w:rsidRPr="00237176">
        <w:rPr>
          <w:i/>
        </w:rPr>
        <w:t>Declares</w:t>
      </w:r>
      <w:r w:rsidRPr="00237176">
        <w:t xml:space="preserve"> the co</w:t>
      </w:r>
      <w:bookmarkStart w:name="_GoBack" w:id="28"/>
      <w:bookmarkEnd w:id="28"/>
      <w:r w:rsidRPr="00237176">
        <w:t xml:space="preserve">mplaints </w:t>
      </w:r>
      <w:r w:rsidRPr="00237176" w:rsidR="00A24B24">
        <w:t xml:space="preserve">under Article 6 §§ 1 and 3 </w:t>
      </w:r>
      <w:r w:rsidRPr="00237176">
        <w:t xml:space="preserve">admissible and the remainder of the </w:t>
      </w:r>
      <w:r w:rsidRPr="00237176" w:rsidR="00803109">
        <w:t>application</w:t>
      </w:r>
      <w:r w:rsidRPr="00237176">
        <w:t xml:space="preserve"> inadmissible;</w:t>
      </w:r>
    </w:p>
    <w:p w:rsidRPr="00237176" w:rsidR="001D70CA" w:rsidP="00650456" w:rsidRDefault="001D70CA">
      <w:pPr>
        <w:pStyle w:val="JuList"/>
        <w:ind w:left="284" w:hanging="284"/>
      </w:pPr>
      <w:r w:rsidRPr="00237176">
        <w:rPr>
          <w:i/>
        </w:rPr>
        <w:t>Holds</w:t>
      </w:r>
      <w:r w:rsidRPr="00237176">
        <w:rPr>
          <w:color w:val="000000"/>
        </w:rPr>
        <w:t xml:space="preserve"> </w:t>
      </w:r>
      <w:r w:rsidRPr="00237176">
        <w:t>that there has been no violation of Article 6 §§ 1 and 3 of the Convention by the Republic of Moldova;</w:t>
      </w:r>
    </w:p>
    <w:p w:rsidRPr="00237176" w:rsidR="00D420F3" w:rsidP="00237176" w:rsidRDefault="0077175D">
      <w:pPr>
        <w:pStyle w:val="JuList"/>
      </w:pPr>
      <w:r w:rsidRPr="00237176">
        <w:rPr>
          <w:i/>
        </w:rPr>
        <w:t>Holds</w:t>
      </w:r>
      <w:r w:rsidRPr="00237176">
        <w:rPr>
          <w:color w:val="000000"/>
        </w:rPr>
        <w:t xml:space="preserve"> </w:t>
      </w:r>
      <w:r w:rsidRPr="00237176">
        <w:t xml:space="preserve">that there has been a violation of Article </w:t>
      </w:r>
      <w:r w:rsidRPr="00237176" w:rsidR="00A24B24">
        <w:t xml:space="preserve">6 §§ 1 and 3 </w:t>
      </w:r>
      <w:r w:rsidRPr="00237176">
        <w:t>of the Convention</w:t>
      </w:r>
      <w:r w:rsidRPr="00237176" w:rsidR="00E17A13">
        <w:t xml:space="preserve"> by the Russian Federation</w:t>
      </w:r>
      <w:r w:rsidRPr="00237176">
        <w:t>;</w:t>
      </w:r>
    </w:p>
    <w:p w:rsidRPr="00237176" w:rsidR="00803109" w:rsidP="00237176" w:rsidRDefault="0077175D">
      <w:pPr>
        <w:pStyle w:val="JuList"/>
      </w:pPr>
      <w:r w:rsidRPr="00237176">
        <w:rPr>
          <w:i/>
        </w:rPr>
        <w:t>Holds</w:t>
      </w:r>
    </w:p>
    <w:p w:rsidRPr="00237176" w:rsidR="00D420F3" w:rsidP="00237176" w:rsidRDefault="0077175D">
      <w:pPr>
        <w:pStyle w:val="JuLista"/>
      </w:pPr>
      <w:r w:rsidRPr="00237176">
        <w:t xml:space="preserve">that </w:t>
      </w:r>
      <w:r w:rsidRPr="00237176" w:rsidR="00E17A13">
        <w:t xml:space="preserve">the Russian Federation </w:t>
      </w:r>
      <w:r w:rsidRPr="00237176">
        <w:t>is to pay the applicant, within three months</w:t>
      </w:r>
      <w:r w:rsidRPr="00237176" w:rsidR="00803109">
        <w:t xml:space="preserve"> </w:t>
      </w:r>
      <w:r w:rsidRPr="00237176">
        <w:t>the following amounts:</w:t>
      </w:r>
    </w:p>
    <w:p w:rsidRPr="00237176" w:rsidR="00D420F3" w:rsidP="00237176" w:rsidRDefault="0077175D">
      <w:pPr>
        <w:pStyle w:val="JuListi"/>
      </w:pPr>
      <w:r w:rsidRPr="00237176">
        <w:t xml:space="preserve">EUR </w:t>
      </w:r>
      <w:r w:rsidRPr="00237176" w:rsidR="001D0439">
        <w:t>7</w:t>
      </w:r>
      <w:r w:rsidRPr="00237176" w:rsidR="00A24B24">
        <w:t>,</w:t>
      </w:r>
      <w:r w:rsidRPr="00237176" w:rsidR="001D0439">
        <w:t>8</w:t>
      </w:r>
      <w:r w:rsidRPr="00237176" w:rsidR="00A24B24">
        <w:t>00</w:t>
      </w:r>
      <w:r w:rsidRPr="00237176">
        <w:t xml:space="preserve"> (</w:t>
      </w:r>
      <w:r w:rsidRPr="00237176" w:rsidR="001D0439">
        <w:t xml:space="preserve">seven </w:t>
      </w:r>
      <w:r w:rsidRPr="00237176" w:rsidR="00A24B24">
        <w:t>thousand</w:t>
      </w:r>
      <w:r w:rsidRPr="00237176">
        <w:t xml:space="preserve"> </w:t>
      </w:r>
      <w:r w:rsidRPr="00237176" w:rsidR="001D0439">
        <w:t xml:space="preserve">eight hundred </w:t>
      </w:r>
      <w:r w:rsidRPr="00237176">
        <w:t>euros), plus any tax that may be chargeable,</w:t>
      </w:r>
      <w:r w:rsidRPr="00237176" w:rsidR="00A24B24">
        <w:t xml:space="preserve"> </w:t>
      </w:r>
      <w:r w:rsidRPr="00237176">
        <w:t xml:space="preserve">in respect of </w:t>
      </w:r>
      <w:r w:rsidRPr="00237176" w:rsidR="00A24B24">
        <w:t>non-</w:t>
      </w:r>
      <w:r w:rsidRPr="00237176">
        <w:t>pecuniary damage;</w:t>
      </w:r>
    </w:p>
    <w:p w:rsidRPr="00237176" w:rsidR="00D420F3" w:rsidP="00237176" w:rsidRDefault="0077175D">
      <w:pPr>
        <w:pStyle w:val="JuListi"/>
      </w:pPr>
      <w:r w:rsidRPr="00237176">
        <w:t xml:space="preserve">EUR </w:t>
      </w:r>
      <w:r w:rsidRPr="00237176" w:rsidR="00A24B24">
        <w:t xml:space="preserve">1,500 (one thousand five hundred euros), </w:t>
      </w:r>
      <w:r w:rsidRPr="00237176">
        <w:t>plus any tax that may be chargeable to the applicant, in respect of costs and expenses;</w:t>
      </w:r>
    </w:p>
    <w:p w:rsidRPr="00237176" w:rsidR="00D420F3" w:rsidP="00237176" w:rsidRDefault="0077175D">
      <w:pPr>
        <w:pStyle w:val="JuLista"/>
      </w:pPr>
      <w:r w:rsidRPr="00237176">
        <w:t>that from the expiry of the above-mentioned three months until settlement simple interest shall be payable on the above amounts</w:t>
      </w:r>
      <w:r w:rsidRPr="00237176" w:rsidR="00A24B24">
        <w:t xml:space="preserve"> </w:t>
      </w:r>
      <w:r w:rsidRPr="00237176">
        <w:t>at a rate equal to the marginal lending rate of the European Central Bank during the default period plus three percentage points;</w:t>
      </w:r>
    </w:p>
    <w:p w:rsidRPr="00237176" w:rsidR="00D420F3" w:rsidP="00237176" w:rsidRDefault="0077175D">
      <w:pPr>
        <w:pStyle w:val="JuList"/>
      </w:pPr>
      <w:r w:rsidRPr="00237176">
        <w:rPr>
          <w:i/>
        </w:rPr>
        <w:t>Dismisses</w:t>
      </w:r>
      <w:r w:rsidRPr="00237176">
        <w:rPr>
          <w:color w:val="000000"/>
        </w:rPr>
        <w:t xml:space="preserve"> </w:t>
      </w:r>
      <w:r w:rsidRPr="00237176">
        <w:t>the remainder of the applicant</w:t>
      </w:r>
      <w:r w:rsidRPr="00237176" w:rsidR="00237176">
        <w:t>’</w:t>
      </w:r>
      <w:r w:rsidRPr="00237176" w:rsidR="00803109">
        <w:t>s</w:t>
      </w:r>
      <w:r w:rsidRPr="00237176">
        <w:t xml:space="preserve"> claim for just satisfaction.</w:t>
      </w:r>
    </w:p>
    <w:p w:rsidRPr="00237176" w:rsidR="00D420F3" w:rsidP="00237176" w:rsidRDefault="0077175D">
      <w:pPr>
        <w:pStyle w:val="JuParaLast"/>
      </w:pPr>
      <w:r w:rsidRPr="00237176">
        <w:t xml:space="preserve">Done in English, and notified in writing on </w:t>
      </w:r>
      <w:r w:rsidRPr="00237176" w:rsidR="005758EF">
        <w:t>2 July 2019</w:t>
      </w:r>
      <w:r w:rsidRPr="00237176">
        <w:t>, pursuant to Rule 77 §§ 2 and 3 of the Rules of Court.</w:t>
      </w:r>
    </w:p>
    <w:p w:rsidRPr="00237176" w:rsidR="00D420F3" w:rsidP="00237176" w:rsidRDefault="0077175D">
      <w:pPr>
        <w:pStyle w:val="JuSigned"/>
      </w:pPr>
      <w:r w:rsidRPr="00237176">
        <w:tab/>
      </w:r>
      <w:r w:rsidRPr="00237176" w:rsidR="00803109">
        <w:t>Hasan Bakırcı</w:t>
      </w:r>
      <w:r w:rsidRPr="00237176">
        <w:tab/>
      </w:r>
      <w:r w:rsidRPr="00237176" w:rsidR="005758EF">
        <w:t>Julia Laffranque</w:t>
      </w:r>
      <w:r w:rsidRPr="00237176">
        <w:rPr>
          <w:szCs w:val="24"/>
        </w:rPr>
        <w:br/>
      </w:r>
      <w:r w:rsidRPr="00237176">
        <w:tab/>
      </w:r>
      <w:r w:rsidRPr="00237176" w:rsidR="00803109">
        <w:t xml:space="preserve">Deputy </w:t>
      </w:r>
      <w:r w:rsidRPr="00237176" w:rsidR="00803109">
        <w:rPr>
          <w:iCs/>
        </w:rPr>
        <w:t>Registrar</w:t>
      </w:r>
      <w:r w:rsidRPr="00237176">
        <w:tab/>
        <w:t>President</w:t>
      </w:r>
    </w:p>
    <w:p w:rsidRPr="00237176" w:rsidR="00F129E3" w:rsidP="00237176" w:rsidRDefault="00F129E3">
      <w:pPr>
        <w:pStyle w:val="JuPara"/>
      </w:pPr>
    </w:p>
    <w:sectPr w:rsidRPr="00237176" w:rsidR="00F129E3" w:rsidSect="00363F6C">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4D9" w:rsidRDefault="00B224D9">
      <w:r>
        <w:separator/>
      </w:r>
    </w:p>
  </w:endnote>
  <w:endnote w:type="continuationSeparator" w:id="0">
    <w:p w:rsidR="00B224D9" w:rsidRDefault="00B22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2AA" w:rsidRDefault="008242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2AA" w:rsidRDefault="008242A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F6C" w:rsidRPr="00150BFA" w:rsidRDefault="00363F6C" w:rsidP="0020718E">
    <w:pPr>
      <w:jc w:val="center"/>
    </w:pPr>
    <w:r>
      <w:rPr>
        <w:noProof/>
        <w:lang w:val="en-US" w:eastAsia="ja-JP"/>
      </w:rPr>
      <w:drawing>
        <wp:inline distT="0" distB="0" distL="0" distR="0" wp14:anchorId="4DFEF933" wp14:editId="49AAFEC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63F6C" w:rsidRDefault="00363F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4D9" w:rsidRPr="003152BA" w:rsidRDefault="00B224D9" w:rsidP="00D420F3">
      <w:r w:rsidRPr="003152BA">
        <w:separator/>
      </w:r>
    </w:p>
  </w:footnote>
  <w:footnote w:type="continuationSeparator" w:id="0">
    <w:p w:rsidR="00B224D9" w:rsidRPr="003152BA" w:rsidRDefault="00B224D9" w:rsidP="00D420F3">
      <w:r w:rsidRPr="003152BA">
        <w:continuationSeparator/>
      </w:r>
    </w:p>
  </w:footnote>
  <w:footnote w:id="1">
    <w:p w:rsidR="00B224D9" w:rsidRDefault="00B224D9" w:rsidP="004939D1">
      <w:pPr>
        <w:pStyle w:val="FootnoteText"/>
        <w:jc w:val="both"/>
      </w:pPr>
      <w:r w:rsidRPr="00A4787E">
        <w:footnoteRef/>
      </w:r>
      <w:r w:rsidR="008242AA" w:rsidRPr="00A4787E">
        <w:t>.  </w:t>
      </w:r>
      <w:r>
        <w:t xml:space="preserve">A body set up under the Agreement on the principles for the friendly settlement of the armed conflict in the </w:t>
      </w:r>
      <w:proofErr w:type="spellStart"/>
      <w:r>
        <w:t>Transdniestrian</w:t>
      </w:r>
      <w:proofErr w:type="spellEnd"/>
      <w:r>
        <w:t xml:space="preserve"> region of the Republic of Moldova (signed by the Republic of Moldova and the Russian Federation and 21 July 1992) composed of representatives of the Republic of Moldova, the Russian Federation and the “MRT”, with its headquarters in </w:t>
      </w:r>
      <w:proofErr w:type="spellStart"/>
      <w:r>
        <w:t>Tighina</w:t>
      </w:r>
      <w:proofErr w:type="spellEnd"/>
      <w:r>
        <w:t xml:space="preserve"> (Bender). For further details, see </w:t>
      </w:r>
      <w:proofErr w:type="spellStart"/>
      <w:r w:rsidRPr="000C3307">
        <w:rPr>
          <w:i/>
        </w:rPr>
        <w:t>Ilaşcu</w:t>
      </w:r>
      <w:proofErr w:type="spellEnd"/>
      <w:r w:rsidRPr="000C3307">
        <w:rPr>
          <w:i/>
        </w:rPr>
        <w:t xml:space="preserve"> and Others v. Moldova and Russia </w:t>
      </w:r>
      <w:r w:rsidRPr="000C3307">
        <w:t>[GC] (no. 48787/99, § 17, ECHR 2004</w:t>
      </w:r>
      <w:r w:rsidRPr="000C3307">
        <w:noBreakHyphen/>
        <w:t>VII).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2AA" w:rsidRDefault="008242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4D9" w:rsidRPr="00363F6C" w:rsidRDefault="00B224D9" w:rsidP="00363F6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F6C" w:rsidRPr="00A45145" w:rsidRDefault="00363F6C" w:rsidP="00A45145">
    <w:pPr>
      <w:jc w:val="center"/>
    </w:pPr>
    <w:r>
      <w:rPr>
        <w:noProof/>
        <w:lang w:val="en-US" w:eastAsia="ja-JP"/>
      </w:rPr>
      <w:drawing>
        <wp:inline distT="0" distB="0" distL="0" distR="0" wp14:anchorId="2CBA5C06" wp14:editId="046912B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224D9" w:rsidRDefault="00B224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F6C" w:rsidRPr="003152BA" w:rsidRDefault="00363F6C" w:rsidP="00D420F3">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650456">
      <w:rPr>
        <w:rStyle w:val="PageNumber"/>
        <w:noProof/>
        <w:szCs w:val="18"/>
      </w:rPr>
      <w:t>14</w:t>
    </w:r>
    <w:r>
      <w:rPr>
        <w:rStyle w:val="PageNumber"/>
        <w:szCs w:val="18"/>
      </w:rPr>
      <w:fldChar w:fldCharType="end"/>
    </w:r>
    <w:r w:rsidRPr="003152BA">
      <w:tab/>
    </w:r>
    <w:r>
      <w:t>PANTELEICIUC v. THE REPUBLIC OF MOLDOVA AND RUSSIA</w:t>
    </w:r>
    <w:r w:rsidRPr="003152BA">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F6C" w:rsidRPr="003152BA" w:rsidRDefault="00363F6C" w:rsidP="00D420F3">
    <w:pPr>
      <w:pStyle w:val="JuHeader"/>
    </w:pPr>
    <w:r w:rsidRPr="003152BA">
      <w:tab/>
    </w:r>
    <w:r>
      <w:t>PANTELEICIUC v. THE REPUBLIC OF MOLDOVA AND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650456">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0"/>
  </w:num>
  <w:num w:numId="3">
    <w:abstractNumId w:val="9"/>
  </w:num>
  <w:num w:numId="4">
    <w:abstractNumId w:val="21"/>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0"/>
  </w:num>
  <w:num w:numId="16">
    <w:abstractNumId w:val="20"/>
  </w:num>
  <w:num w:numId="17">
    <w:abstractNumId w:val="18"/>
  </w:num>
  <w:num w:numId="18">
    <w:abstractNumId w:val="18"/>
  </w:num>
  <w:num w:numId="19">
    <w:abstractNumId w:val="18"/>
  </w:num>
  <w:num w:numId="20">
    <w:abstractNumId w:val="18"/>
  </w:num>
  <w:num w:numId="21">
    <w:abstractNumId w:val="18"/>
  </w:num>
  <w:num w:numId="22">
    <w:abstractNumId w:val="18"/>
  </w:num>
  <w:num w:numId="23">
    <w:abstractNumId w:val="18"/>
  </w:num>
  <w:num w:numId="24">
    <w:abstractNumId w:val="18"/>
  </w:num>
  <w:num w:numId="25">
    <w:abstractNumId w:val="14"/>
  </w:num>
  <w:num w:numId="26">
    <w:abstractNumId w:val="14"/>
  </w:num>
  <w:num w:numId="27">
    <w:abstractNumId w:val="14"/>
  </w:num>
  <w:num w:numId="28">
    <w:abstractNumId w:val="15"/>
  </w:num>
  <w:num w:numId="29">
    <w:abstractNumId w:val="12"/>
  </w:num>
  <w:num w:numId="30">
    <w:abstractNumId w:val="11"/>
  </w:num>
  <w:num w:numId="31">
    <w:abstractNumId w:val="16"/>
  </w:num>
  <w:num w:numId="32">
    <w:abstractNumId w:val="13"/>
  </w:num>
  <w:num w:numId="33">
    <w:abstractNumId w:val="17"/>
  </w:num>
  <w:num w:numId="34">
    <w:abstractNumId w:val="19"/>
  </w:num>
  <w:num w:numId="35">
    <w:abstractNumId w:val="7"/>
  </w:num>
  <w:num w:numId="36">
    <w:abstractNumId w:val="6"/>
  </w:num>
  <w:num w:numId="37">
    <w:abstractNumId w:val="5"/>
  </w:num>
  <w:num w:numId="38">
    <w:abstractNumId w:val="4"/>
  </w:num>
  <w:num w:numId="39">
    <w:abstractNumId w:val="8"/>
  </w:num>
  <w:num w:numId="40">
    <w:abstractNumId w:val="3"/>
  </w:num>
  <w:num w:numId="41">
    <w:abstractNumId w:val="2"/>
  </w:num>
  <w:num w:numId="42">
    <w:abstractNumId w:val="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03109"/>
    <w:rsid w:val="00044FA0"/>
    <w:rsid w:val="000473B2"/>
    <w:rsid w:val="00050E42"/>
    <w:rsid w:val="000557B4"/>
    <w:rsid w:val="00056B28"/>
    <w:rsid w:val="00083D9A"/>
    <w:rsid w:val="000B38A5"/>
    <w:rsid w:val="000B6325"/>
    <w:rsid w:val="000C3307"/>
    <w:rsid w:val="000D27F9"/>
    <w:rsid w:val="001310CA"/>
    <w:rsid w:val="001602CE"/>
    <w:rsid w:val="001D0439"/>
    <w:rsid w:val="001D2F8A"/>
    <w:rsid w:val="001D5F33"/>
    <w:rsid w:val="001D70CA"/>
    <w:rsid w:val="001E30C2"/>
    <w:rsid w:val="00227B48"/>
    <w:rsid w:val="00235637"/>
    <w:rsid w:val="00237176"/>
    <w:rsid w:val="0023777B"/>
    <w:rsid w:val="002417A4"/>
    <w:rsid w:val="00262FEF"/>
    <w:rsid w:val="002810ED"/>
    <w:rsid w:val="002842EC"/>
    <w:rsid w:val="002A1B17"/>
    <w:rsid w:val="002A3850"/>
    <w:rsid w:val="002A4204"/>
    <w:rsid w:val="00305E7B"/>
    <w:rsid w:val="003457A4"/>
    <w:rsid w:val="003478D0"/>
    <w:rsid w:val="00363F6C"/>
    <w:rsid w:val="0036513F"/>
    <w:rsid w:val="00383D8F"/>
    <w:rsid w:val="003C155B"/>
    <w:rsid w:val="003D1042"/>
    <w:rsid w:val="003E4FA4"/>
    <w:rsid w:val="003F676E"/>
    <w:rsid w:val="003F7058"/>
    <w:rsid w:val="00401AC2"/>
    <w:rsid w:val="0041665D"/>
    <w:rsid w:val="00417310"/>
    <w:rsid w:val="00421F5C"/>
    <w:rsid w:val="00431BCC"/>
    <w:rsid w:val="00440D8E"/>
    <w:rsid w:val="00443D2D"/>
    <w:rsid w:val="00462FD4"/>
    <w:rsid w:val="00464735"/>
    <w:rsid w:val="00477109"/>
    <w:rsid w:val="004905A4"/>
    <w:rsid w:val="004939D1"/>
    <w:rsid w:val="004A361F"/>
    <w:rsid w:val="004E1D9B"/>
    <w:rsid w:val="004F11C7"/>
    <w:rsid w:val="0050385A"/>
    <w:rsid w:val="005352E5"/>
    <w:rsid w:val="0055798B"/>
    <w:rsid w:val="00561EB6"/>
    <w:rsid w:val="005758EF"/>
    <w:rsid w:val="005B1463"/>
    <w:rsid w:val="005B63BB"/>
    <w:rsid w:val="005C39B9"/>
    <w:rsid w:val="005F6DE2"/>
    <w:rsid w:val="00604E64"/>
    <w:rsid w:val="006137DF"/>
    <w:rsid w:val="00617711"/>
    <w:rsid w:val="00621D05"/>
    <w:rsid w:val="00630F58"/>
    <w:rsid w:val="006347D6"/>
    <w:rsid w:val="006466D4"/>
    <w:rsid w:val="00650456"/>
    <w:rsid w:val="00665C43"/>
    <w:rsid w:val="0068687A"/>
    <w:rsid w:val="006C1914"/>
    <w:rsid w:val="006D2C88"/>
    <w:rsid w:val="00704D3E"/>
    <w:rsid w:val="00746DFC"/>
    <w:rsid w:val="007551EB"/>
    <w:rsid w:val="0077175D"/>
    <w:rsid w:val="00784F39"/>
    <w:rsid w:val="007868EE"/>
    <w:rsid w:val="00792BBE"/>
    <w:rsid w:val="007A6BC2"/>
    <w:rsid w:val="007C7D1B"/>
    <w:rsid w:val="00803109"/>
    <w:rsid w:val="0081629F"/>
    <w:rsid w:val="008242AA"/>
    <w:rsid w:val="008369D4"/>
    <w:rsid w:val="0089222C"/>
    <w:rsid w:val="0089693D"/>
    <w:rsid w:val="008A2D78"/>
    <w:rsid w:val="008B552D"/>
    <w:rsid w:val="008B7540"/>
    <w:rsid w:val="008B792E"/>
    <w:rsid w:val="008E1CA5"/>
    <w:rsid w:val="008E2C03"/>
    <w:rsid w:val="008E4AC0"/>
    <w:rsid w:val="00905416"/>
    <w:rsid w:val="00932642"/>
    <w:rsid w:val="00937494"/>
    <w:rsid w:val="0094624C"/>
    <w:rsid w:val="00953D61"/>
    <w:rsid w:val="0096098D"/>
    <w:rsid w:val="009757B4"/>
    <w:rsid w:val="0097737D"/>
    <w:rsid w:val="009C17DC"/>
    <w:rsid w:val="009C2BD8"/>
    <w:rsid w:val="009E3CAC"/>
    <w:rsid w:val="009E4005"/>
    <w:rsid w:val="00A062F4"/>
    <w:rsid w:val="00A24B24"/>
    <w:rsid w:val="00A26634"/>
    <w:rsid w:val="00A4787E"/>
    <w:rsid w:val="00A57187"/>
    <w:rsid w:val="00A674C5"/>
    <w:rsid w:val="00AA6492"/>
    <w:rsid w:val="00AB1C61"/>
    <w:rsid w:val="00AF1724"/>
    <w:rsid w:val="00AF1D90"/>
    <w:rsid w:val="00AF49D8"/>
    <w:rsid w:val="00AF572D"/>
    <w:rsid w:val="00B14112"/>
    <w:rsid w:val="00B16272"/>
    <w:rsid w:val="00B224D9"/>
    <w:rsid w:val="00B85078"/>
    <w:rsid w:val="00B85477"/>
    <w:rsid w:val="00B961E8"/>
    <w:rsid w:val="00BA74F7"/>
    <w:rsid w:val="00BC115E"/>
    <w:rsid w:val="00BE153E"/>
    <w:rsid w:val="00BE185F"/>
    <w:rsid w:val="00BE7A88"/>
    <w:rsid w:val="00C12E98"/>
    <w:rsid w:val="00C16B04"/>
    <w:rsid w:val="00C25705"/>
    <w:rsid w:val="00C3006F"/>
    <w:rsid w:val="00C3090F"/>
    <w:rsid w:val="00C72F54"/>
    <w:rsid w:val="00CB1B5E"/>
    <w:rsid w:val="00CB20C3"/>
    <w:rsid w:val="00CC3DE3"/>
    <w:rsid w:val="00CE55E4"/>
    <w:rsid w:val="00D02430"/>
    <w:rsid w:val="00D22473"/>
    <w:rsid w:val="00D420F3"/>
    <w:rsid w:val="00D57754"/>
    <w:rsid w:val="00D87F02"/>
    <w:rsid w:val="00DA5D09"/>
    <w:rsid w:val="00DB2A98"/>
    <w:rsid w:val="00DD0F22"/>
    <w:rsid w:val="00E005F8"/>
    <w:rsid w:val="00E17A13"/>
    <w:rsid w:val="00E2032A"/>
    <w:rsid w:val="00E23B70"/>
    <w:rsid w:val="00E30209"/>
    <w:rsid w:val="00E3358F"/>
    <w:rsid w:val="00E35AC7"/>
    <w:rsid w:val="00E35E66"/>
    <w:rsid w:val="00E51605"/>
    <w:rsid w:val="00E5217E"/>
    <w:rsid w:val="00E54275"/>
    <w:rsid w:val="00E67D9F"/>
    <w:rsid w:val="00E75A09"/>
    <w:rsid w:val="00E764CF"/>
    <w:rsid w:val="00E87134"/>
    <w:rsid w:val="00E87584"/>
    <w:rsid w:val="00EA71B2"/>
    <w:rsid w:val="00F01A5D"/>
    <w:rsid w:val="00F057D7"/>
    <w:rsid w:val="00F11089"/>
    <w:rsid w:val="00F11D8F"/>
    <w:rsid w:val="00F129E3"/>
    <w:rsid w:val="00F22B38"/>
    <w:rsid w:val="00F26B31"/>
    <w:rsid w:val="00F62D54"/>
    <w:rsid w:val="00F811CE"/>
    <w:rsid w:val="00F94969"/>
    <w:rsid w:val="00F95F64"/>
    <w:rsid w:val="00FA4F8F"/>
    <w:rsid w:val="00FB58C0"/>
    <w:rsid w:val="00FB69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939D1"/>
    <w:rPr>
      <w:rFonts w:eastAsiaTheme="minorEastAsia"/>
      <w:sz w:val="24"/>
      <w:lang w:val="en-GB"/>
    </w:rPr>
  </w:style>
  <w:style w:type="paragraph" w:styleId="Heading1">
    <w:name w:val="heading 1"/>
    <w:basedOn w:val="Normal"/>
    <w:next w:val="Normal"/>
    <w:link w:val="Heading1Char"/>
    <w:uiPriority w:val="99"/>
    <w:semiHidden/>
    <w:rsid w:val="004939D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939D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939D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939D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939D1"/>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4939D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939D1"/>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4939D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939D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939D1"/>
    <w:rPr>
      <w:rFonts w:ascii="Tahoma" w:hAnsi="Tahoma" w:cs="Tahoma"/>
      <w:sz w:val="16"/>
      <w:szCs w:val="16"/>
    </w:rPr>
  </w:style>
  <w:style w:type="character" w:customStyle="1" w:styleId="BalloonTextChar">
    <w:name w:val="Balloon Text Char"/>
    <w:basedOn w:val="DefaultParagraphFont"/>
    <w:link w:val="BalloonText"/>
    <w:uiPriority w:val="99"/>
    <w:semiHidden/>
    <w:rsid w:val="004939D1"/>
    <w:rPr>
      <w:rFonts w:ascii="Tahoma" w:eastAsiaTheme="minorEastAsia" w:hAnsi="Tahoma" w:cs="Tahoma"/>
      <w:sz w:val="16"/>
      <w:szCs w:val="16"/>
      <w:lang w:val="en-GB"/>
    </w:rPr>
  </w:style>
  <w:style w:type="character" w:styleId="BookTitle">
    <w:name w:val="Book Title"/>
    <w:uiPriority w:val="99"/>
    <w:semiHidden/>
    <w:qFormat/>
    <w:rsid w:val="004939D1"/>
    <w:rPr>
      <w:i/>
      <w:iCs/>
      <w:smallCaps/>
      <w:spacing w:val="5"/>
    </w:rPr>
  </w:style>
  <w:style w:type="paragraph" w:customStyle="1" w:styleId="JuHeader">
    <w:name w:val="Ju_Header"/>
    <w:aliases w:val="_Header"/>
    <w:basedOn w:val="Header"/>
    <w:uiPriority w:val="29"/>
    <w:qFormat/>
    <w:rsid w:val="004939D1"/>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000067"/>
    <w:rPr>
      <w:sz w:val="8"/>
    </w:rPr>
  </w:style>
  <w:style w:type="character" w:styleId="Strong">
    <w:name w:val="Strong"/>
    <w:uiPriority w:val="99"/>
    <w:semiHidden/>
    <w:qFormat/>
    <w:rsid w:val="004939D1"/>
    <w:rPr>
      <w:b/>
      <w:bCs/>
    </w:rPr>
  </w:style>
  <w:style w:type="paragraph" w:styleId="NoSpacing">
    <w:name w:val="No Spacing"/>
    <w:basedOn w:val="Normal"/>
    <w:link w:val="NoSpacingChar"/>
    <w:semiHidden/>
    <w:qFormat/>
    <w:rsid w:val="004939D1"/>
  </w:style>
  <w:style w:type="character" w:customStyle="1" w:styleId="NoSpacingChar">
    <w:name w:val="No Spacing Char"/>
    <w:basedOn w:val="DefaultParagraphFont"/>
    <w:link w:val="NoSpacing"/>
    <w:semiHidden/>
    <w:rsid w:val="004939D1"/>
    <w:rPr>
      <w:rFonts w:eastAsiaTheme="minorEastAsia"/>
      <w:sz w:val="24"/>
      <w:lang w:val="en-GB"/>
    </w:rPr>
  </w:style>
  <w:style w:type="paragraph" w:customStyle="1" w:styleId="FooterLine">
    <w:name w:val="_Footer_Line"/>
    <w:aliases w:val="Footer_Line"/>
    <w:basedOn w:val="Normal"/>
    <w:next w:val="Footer0"/>
    <w:uiPriority w:val="57"/>
    <w:semiHidden/>
    <w:rsid w:val="004939D1"/>
    <w:pPr>
      <w:pBdr>
        <w:top w:val="single" w:sz="6" w:space="1" w:color="5F5F5F"/>
      </w:pBdr>
      <w:tabs>
        <w:tab w:val="center" w:pos="4536"/>
        <w:tab w:val="right" w:pos="9696"/>
      </w:tabs>
      <w:ind w:left="-680" w:right="-680"/>
    </w:pPr>
    <w:rPr>
      <w:color w:val="5F5F5F"/>
    </w:rPr>
  </w:style>
  <w:style w:type="paragraph" w:customStyle="1" w:styleId="DecList">
    <w:name w:val="Dec_List"/>
    <w:aliases w:val="_List"/>
    <w:basedOn w:val="Normal"/>
    <w:uiPriority w:val="22"/>
    <w:rsid w:val="004939D1"/>
    <w:pPr>
      <w:spacing w:before="280" w:after="60"/>
      <w:ind w:left="340"/>
    </w:pPr>
    <w:rPr>
      <w:rFonts w:eastAsiaTheme="minorHAnsi"/>
    </w:rPr>
  </w:style>
  <w:style w:type="paragraph" w:customStyle="1" w:styleId="NormalJustified">
    <w:name w:val="Normal_Justified"/>
    <w:basedOn w:val="Normal"/>
    <w:semiHidden/>
    <w:rsid w:val="004939D1"/>
    <w:pPr>
      <w:jc w:val="both"/>
    </w:pPr>
  </w:style>
  <w:style w:type="paragraph" w:customStyle="1" w:styleId="Title4">
    <w:name w:val="_Title_4"/>
    <w:basedOn w:val="JuPara"/>
    <w:next w:val="JuPara"/>
    <w:uiPriority w:val="35"/>
    <w:qFormat/>
    <w:rsid w:val="004939D1"/>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4939D1"/>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4939D1"/>
    <w:pPr>
      <w:numPr>
        <w:numId w:val="31"/>
      </w:numPr>
    </w:pPr>
  </w:style>
  <w:style w:type="numbering" w:customStyle="1" w:styleId="ECHRA1StyleList">
    <w:name w:val="ECHR_A1_Style_List"/>
    <w:basedOn w:val="NoList"/>
    <w:uiPriority w:val="99"/>
    <w:rsid w:val="004939D1"/>
    <w:pPr>
      <w:numPr>
        <w:numId w:val="32"/>
      </w:numPr>
    </w:pPr>
  </w:style>
  <w:style w:type="numbering" w:customStyle="1" w:styleId="ECHRA1StyleNumberedList">
    <w:name w:val="ECHR_A1_Style_Numbered_List"/>
    <w:basedOn w:val="NoList"/>
    <w:rsid w:val="004939D1"/>
    <w:pPr>
      <w:numPr>
        <w:numId w:val="33"/>
      </w:numPr>
    </w:pPr>
  </w:style>
  <w:style w:type="table" w:customStyle="1" w:styleId="ECHRTable2019">
    <w:name w:val="ECHR_Table_2019"/>
    <w:basedOn w:val="TableNormal"/>
    <w:uiPriority w:val="99"/>
    <w:rsid w:val="004939D1"/>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DecHCase">
    <w:name w:val="Dec_H_Case"/>
    <w:aliases w:val="_Title_3"/>
    <w:basedOn w:val="JuPara"/>
    <w:next w:val="JuPara"/>
    <w:uiPriority w:val="35"/>
    <w:qFormat/>
    <w:rsid w:val="004939D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4939D1"/>
    <w:pPr>
      <w:keepNext/>
      <w:keepLines/>
      <w:spacing w:before="1320" w:after="280"/>
      <w:contextualSpacing/>
      <w:jc w:val="center"/>
    </w:pPr>
    <w:rPr>
      <w:rFonts w:eastAsiaTheme="minorHAnsi"/>
      <w:b/>
    </w:rPr>
  </w:style>
  <w:style w:type="paragraph" w:styleId="Title">
    <w:name w:val="Title"/>
    <w:basedOn w:val="Normal"/>
    <w:next w:val="Normal"/>
    <w:link w:val="TitleChar"/>
    <w:uiPriority w:val="99"/>
    <w:semiHidden/>
    <w:qFormat/>
    <w:rsid w:val="004939D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939D1"/>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9"/>
    <w:rsid w:val="004939D1"/>
    <w:pPr>
      <w:keepNext/>
      <w:keepLines/>
      <w:numPr>
        <w:ilvl w:val="3"/>
        <w:numId w:val="24"/>
      </w:numPr>
      <w:spacing w:before="100" w:beforeAutospacing="1" w:after="120"/>
      <w:jc w:val="both"/>
      <w:outlineLvl w:val="3"/>
    </w:pPr>
    <w:rPr>
      <w:i/>
    </w:rPr>
  </w:style>
  <w:style w:type="paragraph" w:customStyle="1" w:styleId="JuHa0">
    <w:name w:val="Ju_H_a"/>
    <w:aliases w:val="_Head_5"/>
    <w:basedOn w:val="Normal"/>
    <w:next w:val="JuPara"/>
    <w:uiPriority w:val="19"/>
    <w:rsid w:val="004939D1"/>
    <w:pPr>
      <w:keepNext/>
      <w:keepLines/>
      <w:numPr>
        <w:ilvl w:val="4"/>
        <w:numId w:val="24"/>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4939D1"/>
    <w:pPr>
      <w:keepNext/>
      <w:keepLines/>
      <w:numPr>
        <w:ilvl w:val="5"/>
        <w:numId w:val="24"/>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4939D1"/>
    <w:pPr>
      <w:keepNext/>
      <w:keepLines/>
      <w:numPr>
        <w:ilvl w:val="6"/>
        <w:numId w:val="24"/>
      </w:numPr>
      <w:spacing w:before="100" w:beforeAutospacing="1" w:after="120"/>
      <w:jc w:val="both"/>
      <w:outlineLvl w:val="6"/>
    </w:pPr>
    <w:rPr>
      <w:sz w:val="20"/>
    </w:rPr>
  </w:style>
  <w:style w:type="paragraph" w:customStyle="1" w:styleId="JuH">
    <w:name w:val="Ju_H_–"/>
    <w:aliases w:val="_Head_8"/>
    <w:basedOn w:val="Normal"/>
    <w:next w:val="JuPara"/>
    <w:uiPriority w:val="19"/>
    <w:rsid w:val="004939D1"/>
    <w:pPr>
      <w:keepNext/>
      <w:keepLines/>
      <w:numPr>
        <w:ilvl w:val="7"/>
        <w:numId w:val="24"/>
      </w:numPr>
      <w:spacing w:before="100" w:beforeAutospacing="1" w:after="120"/>
      <w:outlineLvl w:val="7"/>
    </w:pPr>
    <w:rPr>
      <w:i/>
      <w:sz w:val="20"/>
    </w:rPr>
  </w:style>
  <w:style w:type="paragraph" w:customStyle="1" w:styleId="Footer0">
    <w:name w:val="_Footer"/>
    <w:aliases w:val="Footer_"/>
    <w:basedOn w:val="Footer"/>
    <w:uiPriority w:val="57"/>
    <w:semiHidden/>
    <w:rsid w:val="004939D1"/>
    <w:rPr>
      <w:sz w:val="8"/>
    </w:rPr>
  </w:style>
  <w:style w:type="paragraph" w:customStyle="1" w:styleId="JuInitialled">
    <w:name w:val="Ju_Initialled"/>
    <w:aliases w:val="_Right"/>
    <w:basedOn w:val="Normal"/>
    <w:uiPriority w:val="30"/>
    <w:qFormat/>
    <w:rsid w:val="004939D1"/>
    <w:pPr>
      <w:tabs>
        <w:tab w:val="center" w:pos="6407"/>
      </w:tabs>
      <w:spacing w:before="720"/>
      <w:jc w:val="right"/>
    </w:pPr>
  </w:style>
  <w:style w:type="paragraph" w:styleId="NoteHeading">
    <w:name w:val="Note Heading"/>
    <w:basedOn w:val="Normal"/>
    <w:next w:val="Normal"/>
    <w:link w:val="NoteHeadingChar"/>
    <w:uiPriority w:val="99"/>
    <w:semiHidden/>
    <w:rsid w:val="004939D1"/>
  </w:style>
  <w:style w:type="paragraph" w:styleId="Header">
    <w:name w:val="header"/>
    <w:basedOn w:val="Normal"/>
    <w:link w:val="HeaderChar"/>
    <w:uiPriority w:val="57"/>
    <w:semiHidden/>
    <w:rsid w:val="004939D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939D1"/>
    <w:rPr>
      <w:sz w:val="24"/>
      <w:lang w:val="en-GB"/>
    </w:rPr>
  </w:style>
  <w:style w:type="character" w:customStyle="1" w:styleId="Heading1Char">
    <w:name w:val="Heading 1 Char"/>
    <w:basedOn w:val="DefaultParagraphFont"/>
    <w:link w:val="Heading1"/>
    <w:uiPriority w:val="99"/>
    <w:semiHidden/>
    <w:rsid w:val="004939D1"/>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4939D1"/>
    <w:pPr>
      <w:keepNext/>
      <w:keepLines/>
      <w:numPr>
        <w:ilvl w:val="1"/>
        <w:numId w:val="24"/>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4939D1"/>
    <w:pPr>
      <w:keepNext/>
      <w:keepLines/>
      <w:numPr>
        <w:ilvl w:val="2"/>
        <w:numId w:val="24"/>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4939D1"/>
    <w:rPr>
      <w:rFonts w:asciiTheme="majorHAnsi" w:eastAsiaTheme="majorEastAsia" w:hAnsiTheme="majorHAnsi" w:cstheme="majorBidi"/>
      <w:b/>
      <w:bCs/>
      <w:color w:val="4D4D4D"/>
      <w:sz w:val="26"/>
      <w:szCs w:val="26"/>
      <w:lang w:val="en-GB"/>
    </w:rPr>
  </w:style>
  <w:style w:type="character" w:customStyle="1" w:styleId="JUNAMES">
    <w:name w:val="JU_NAMES"/>
    <w:uiPriority w:val="34"/>
    <w:qFormat/>
    <w:rsid w:val="004939D1"/>
    <w:rPr>
      <w:caps w:val="0"/>
      <w:smallCaps/>
    </w:rPr>
  </w:style>
  <w:style w:type="paragraph" w:customStyle="1" w:styleId="JuCase">
    <w:name w:val="Ju_Case"/>
    <w:basedOn w:val="Normal"/>
    <w:next w:val="JuPara"/>
    <w:uiPriority w:val="31"/>
    <w:rsid w:val="004939D1"/>
    <w:pPr>
      <w:ind w:firstLine="284"/>
    </w:pPr>
    <w:rPr>
      <w:b/>
    </w:rPr>
  </w:style>
  <w:style w:type="character" w:customStyle="1" w:styleId="Heading3Char">
    <w:name w:val="Heading 3 Char"/>
    <w:basedOn w:val="DefaultParagraphFont"/>
    <w:link w:val="Heading3"/>
    <w:uiPriority w:val="99"/>
    <w:semiHidden/>
    <w:rsid w:val="004939D1"/>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4939D1"/>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4939D1"/>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4939D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939D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4939D1"/>
    <w:pPr>
      <w:keepNext/>
      <w:keepLines/>
      <w:numPr>
        <w:numId w:val="24"/>
      </w:numPr>
      <w:spacing w:before="100" w:beforeAutospacing="1" w:after="240"/>
      <w:jc w:val="both"/>
      <w:outlineLvl w:val="0"/>
    </w:pPr>
    <w:rPr>
      <w:caps/>
      <w:sz w:val="28"/>
    </w:rPr>
  </w:style>
  <w:style w:type="character" w:styleId="Emphasis">
    <w:name w:val="Emphasis"/>
    <w:uiPriority w:val="99"/>
    <w:semiHidden/>
    <w:qFormat/>
    <w:rsid w:val="004939D1"/>
    <w:rPr>
      <w:b/>
      <w:bCs/>
      <w:i/>
      <w:iCs/>
      <w:spacing w:val="10"/>
      <w:bdr w:val="none" w:sz="0" w:space="0" w:color="auto"/>
      <w:shd w:val="clear" w:color="auto" w:fill="auto"/>
    </w:rPr>
  </w:style>
  <w:style w:type="paragraph" w:styleId="Footer">
    <w:name w:val="footer"/>
    <w:basedOn w:val="Normal"/>
    <w:link w:val="FooterChar"/>
    <w:uiPriority w:val="57"/>
    <w:semiHidden/>
    <w:rsid w:val="004939D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939D1"/>
    <w:rPr>
      <w:sz w:val="24"/>
      <w:lang w:val="en-GB"/>
    </w:rPr>
  </w:style>
  <w:style w:type="character" w:styleId="FootnoteReference">
    <w:name w:val="footnote reference"/>
    <w:basedOn w:val="DefaultParagraphFont"/>
    <w:uiPriority w:val="99"/>
    <w:semiHidden/>
    <w:rsid w:val="004939D1"/>
    <w:rPr>
      <w:vertAlign w:val="superscript"/>
    </w:rPr>
  </w:style>
  <w:style w:type="paragraph" w:styleId="FootnoteText">
    <w:name w:val="footnote text"/>
    <w:basedOn w:val="Normal"/>
    <w:link w:val="FootnoteTextChar"/>
    <w:uiPriority w:val="99"/>
    <w:semiHidden/>
    <w:rsid w:val="004939D1"/>
    <w:rPr>
      <w:sz w:val="20"/>
      <w:szCs w:val="20"/>
    </w:rPr>
  </w:style>
  <w:style w:type="character" w:customStyle="1" w:styleId="FootnoteTextChar">
    <w:name w:val="Footnote Text Char"/>
    <w:basedOn w:val="DefaultParagraphFont"/>
    <w:link w:val="FootnoteText"/>
    <w:uiPriority w:val="99"/>
    <w:semiHidden/>
    <w:rsid w:val="004939D1"/>
    <w:rPr>
      <w:rFonts w:eastAsiaTheme="minorEastAsia"/>
      <w:sz w:val="20"/>
      <w:szCs w:val="20"/>
      <w:lang w:val="en-GB"/>
    </w:rPr>
  </w:style>
  <w:style w:type="character" w:customStyle="1" w:styleId="Heading6Char">
    <w:name w:val="Heading 6 Char"/>
    <w:basedOn w:val="DefaultParagraphFont"/>
    <w:link w:val="Heading6"/>
    <w:uiPriority w:val="99"/>
    <w:semiHidden/>
    <w:rsid w:val="004939D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939D1"/>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4939D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4939D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4939D1"/>
    <w:rPr>
      <w:color w:val="0072BC" w:themeColor="hyperlink"/>
      <w:u w:val="single"/>
    </w:rPr>
  </w:style>
  <w:style w:type="character" w:styleId="IntenseEmphasis">
    <w:name w:val="Intense Emphasis"/>
    <w:uiPriority w:val="99"/>
    <w:semiHidden/>
    <w:qFormat/>
    <w:rsid w:val="004939D1"/>
    <w:rPr>
      <w:b/>
      <w:bCs/>
    </w:rPr>
  </w:style>
  <w:style w:type="paragraph" w:styleId="IntenseQuote">
    <w:name w:val="Intense Quote"/>
    <w:basedOn w:val="Normal"/>
    <w:next w:val="Normal"/>
    <w:link w:val="IntenseQuoteChar"/>
    <w:uiPriority w:val="99"/>
    <w:semiHidden/>
    <w:qFormat/>
    <w:rsid w:val="004939D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4939D1"/>
    <w:rPr>
      <w:rFonts w:eastAsiaTheme="minorEastAsia"/>
      <w:b/>
      <w:bCs/>
      <w:i/>
      <w:iCs/>
      <w:sz w:val="24"/>
      <w:lang w:val="en-GB" w:bidi="en-US"/>
    </w:rPr>
  </w:style>
  <w:style w:type="character" w:styleId="IntenseReference">
    <w:name w:val="Intense Reference"/>
    <w:uiPriority w:val="99"/>
    <w:semiHidden/>
    <w:qFormat/>
    <w:rsid w:val="004939D1"/>
    <w:rPr>
      <w:smallCaps/>
      <w:spacing w:val="5"/>
      <w:u w:val="single"/>
    </w:rPr>
  </w:style>
  <w:style w:type="paragraph" w:styleId="ListParagraph">
    <w:name w:val="List Paragraph"/>
    <w:basedOn w:val="Normal"/>
    <w:uiPriority w:val="99"/>
    <w:semiHidden/>
    <w:qFormat/>
    <w:rsid w:val="004939D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939D1"/>
    <w:pPr>
      <w:spacing w:before="200"/>
      <w:ind w:left="360" w:right="360"/>
    </w:pPr>
    <w:rPr>
      <w:i/>
      <w:iCs/>
      <w:lang w:bidi="en-US"/>
    </w:rPr>
  </w:style>
  <w:style w:type="character" w:customStyle="1" w:styleId="QuoteChar">
    <w:name w:val="Quote Char"/>
    <w:basedOn w:val="DefaultParagraphFont"/>
    <w:link w:val="Quote"/>
    <w:uiPriority w:val="99"/>
    <w:semiHidden/>
    <w:rsid w:val="004939D1"/>
    <w:rPr>
      <w:rFonts w:eastAsiaTheme="minorEastAsia"/>
      <w:i/>
      <w:iCs/>
      <w:sz w:val="24"/>
      <w:lang w:val="en-GB" w:bidi="en-US"/>
    </w:rPr>
  </w:style>
  <w:style w:type="character" w:styleId="SubtleReference">
    <w:name w:val="Subtle Reference"/>
    <w:uiPriority w:val="99"/>
    <w:semiHidden/>
    <w:qFormat/>
    <w:rsid w:val="004939D1"/>
    <w:rPr>
      <w:smallCaps/>
    </w:rPr>
  </w:style>
  <w:style w:type="table" w:styleId="TableGrid">
    <w:name w:val="Table Grid"/>
    <w:basedOn w:val="TableNormal"/>
    <w:uiPriority w:val="59"/>
    <w:semiHidden/>
    <w:rsid w:val="004939D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939D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939D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939D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939D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939D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939D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939D1"/>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939D1"/>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4939D1"/>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939D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4939D1"/>
    <w:pPr>
      <w:spacing w:before="120" w:after="120"/>
      <w:ind w:left="425" w:firstLine="142"/>
    </w:pPr>
    <w:rPr>
      <w:sz w:val="20"/>
    </w:rPr>
  </w:style>
  <w:style w:type="paragraph" w:customStyle="1" w:styleId="JuPara">
    <w:name w:val="Ju_Para"/>
    <w:aliases w:val="_Para"/>
    <w:basedOn w:val="NormalJustified"/>
    <w:link w:val="JuParaChar"/>
    <w:uiPriority w:val="8"/>
    <w:qFormat/>
    <w:rsid w:val="004939D1"/>
    <w:pPr>
      <w:ind w:firstLine="284"/>
    </w:pPr>
  </w:style>
  <w:style w:type="table" w:customStyle="1" w:styleId="ECHRTableSimpleBox">
    <w:name w:val="ECHR_Table_Simple_Box"/>
    <w:basedOn w:val="TableNormal"/>
    <w:uiPriority w:val="99"/>
    <w:rsid w:val="004939D1"/>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939D1"/>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4939D1"/>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4939D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4939D1"/>
    <w:pPr>
      <w:tabs>
        <w:tab w:val="left" w:pos="567"/>
        <w:tab w:val="left" w:pos="1134"/>
      </w:tabs>
    </w:pPr>
  </w:style>
  <w:style w:type="table" w:customStyle="1" w:styleId="ECHRHeaderTableReduced">
    <w:name w:val="ECHR_Header_Table_Reduced"/>
    <w:basedOn w:val="TableNormal"/>
    <w:uiPriority w:val="99"/>
    <w:rsid w:val="004939D1"/>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4939D1"/>
    <w:pPr>
      <w:numPr>
        <w:numId w:val="27"/>
      </w:numPr>
      <w:spacing w:before="280" w:after="60"/>
    </w:pPr>
    <w:rPr>
      <w:rFonts w:eastAsiaTheme="minorHAnsi"/>
    </w:rPr>
  </w:style>
  <w:style w:type="paragraph" w:customStyle="1" w:styleId="JuSigned">
    <w:name w:val="Ju_Signed"/>
    <w:aliases w:val="_Signature"/>
    <w:basedOn w:val="Normal"/>
    <w:next w:val="JuPara"/>
    <w:uiPriority w:val="30"/>
    <w:qFormat/>
    <w:rsid w:val="004939D1"/>
    <w:pPr>
      <w:tabs>
        <w:tab w:val="center" w:pos="851"/>
        <w:tab w:val="center" w:pos="6407"/>
      </w:tabs>
      <w:spacing w:before="720"/>
    </w:pPr>
  </w:style>
  <w:style w:type="paragraph" w:customStyle="1" w:styleId="JuParaLast">
    <w:name w:val="Ju_Para_Last"/>
    <w:aliases w:val="_Para_Spaced"/>
    <w:basedOn w:val="NormalJustified"/>
    <w:uiPriority w:val="9"/>
    <w:qFormat/>
    <w:rsid w:val="004939D1"/>
    <w:pPr>
      <w:keepNext/>
      <w:keepLines/>
      <w:spacing w:before="240" w:after="240"/>
      <w:ind w:firstLine="284"/>
    </w:pPr>
    <w:rPr>
      <w:rFonts w:eastAsiaTheme="minorHAnsi"/>
    </w:rPr>
  </w:style>
  <w:style w:type="paragraph" w:customStyle="1" w:styleId="JuCourt">
    <w:name w:val="Ju_Court"/>
    <w:basedOn w:val="Normal"/>
    <w:next w:val="Normal"/>
    <w:uiPriority w:val="31"/>
    <w:qFormat/>
    <w:rsid w:val="004939D1"/>
    <w:pPr>
      <w:tabs>
        <w:tab w:val="left" w:pos="907"/>
        <w:tab w:val="left" w:pos="1701"/>
        <w:tab w:val="right" w:pos="7371"/>
      </w:tabs>
      <w:spacing w:before="240"/>
      <w:ind w:left="397" w:hanging="397"/>
    </w:pPr>
    <w:rPr>
      <w:lang w:bidi="en-US"/>
    </w:rPr>
  </w:style>
  <w:style w:type="character" w:styleId="PageNumber">
    <w:name w:val="page number"/>
    <w:uiPriority w:val="99"/>
    <w:semiHidden/>
    <w:rsid w:val="004939D1"/>
    <w:rPr>
      <w:sz w:val="18"/>
    </w:rPr>
  </w:style>
  <w:style w:type="paragraph" w:customStyle="1" w:styleId="JuLista">
    <w:name w:val="Ju_List_a"/>
    <w:aliases w:val="_List_2"/>
    <w:basedOn w:val="NormalJustified"/>
    <w:uiPriority w:val="23"/>
    <w:rsid w:val="004939D1"/>
    <w:pPr>
      <w:numPr>
        <w:ilvl w:val="1"/>
        <w:numId w:val="27"/>
      </w:numPr>
    </w:pPr>
  </w:style>
  <w:style w:type="paragraph" w:customStyle="1" w:styleId="JuListi">
    <w:name w:val="Ju_List_i"/>
    <w:aliases w:val="_List_3"/>
    <w:basedOn w:val="NormalJustified"/>
    <w:uiPriority w:val="23"/>
    <w:rsid w:val="004939D1"/>
    <w:pPr>
      <w:numPr>
        <w:ilvl w:val="2"/>
        <w:numId w:val="27"/>
      </w:numPr>
    </w:pPr>
  </w:style>
  <w:style w:type="character" w:styleId="CommentReference">
    <w:name w:val="annotation reference"/>
    <w:basedOn w:val="DefaultParagraphFont"/>
    <w:uiPriority w:val="99"/>
    <w:semiHidden/>
    <w:rsid w:val="004939D1"/>
    <w:rPr>
      <w:sz w:val="16"/>
      <w:szCs w:val="16"/>
    </w:rPr>
  </w:style>
  <w:style w:type="paragraph" w:styleId="CommentText">
    <w:name w:val="annotation text"/>
    <w:basedOn w:val="Normal"/>
    <w:link w:val="CommentTextChar"/>
    <w:semiHidden/>
    <w:rsid w:val="004939D1"/>
    <w:rPr>
      <w:sz w:val="20"/>
      <w:szCs w:val="20"/>
    </w:rPr>
  </w:style>
  <w:style w:type="character" w:customStyle="1" w:styleId="CommentTextChar">
    <w:name w:val="Comment Text Char"/>
    <w:basedOn w:val="DefaultParagraphFont"/>
    <w:link w:val="CommentText"/>
    <w:semiHidden/>
    <w:rsid w:val="004939D1"/>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4939D1"/>
    <w:rPr>
      <w:b/>
      <w:bCs/>
    </w:rPr>
  </w:style>
  <w:style w:type="character" w:customStyle="1" w:styleId="CommentSubjectChar">
    <w:name w:val="Comment Subject Char"/>
    <w:basedOn w:val="CommentTextChar"/>
    <w:link w:val="CommentSubject"/>
    <w:uiPriority w:val="99"/>
    <w:semiHidden/>
    <w:rsid w:val="004939D1"/>
    <w:rPr>
      <w:rFonts w:eastAsiaTheme="minorEastAsia"/>
      <w:b/>
      <w:bCs/>
      <w:sz w:val="20"/>
      <w:szCs w:val="20"/>
      <w:lang w:val="en-GB"/>
    </w:rPr>
  </w:style>
  <w:style w:type="character" w:styleId="EndnoteReference">
    <w:name w:val="endnote reference"/>
    <w:basedOn w:val="DefaultParagraphFont"/>
    <w:uiPriority w:val="99"/>
    <w:semiHidden/>
    <w:rsid w:val="004939D1"/>
    <w:rPr>
      <w:vertAlign w:val="superscript"/>
    </w:rPr>
  </w:style>
  <w:style w:type="paragraph" w:styleId="EndnoteText">
    <w:name w:val="endnote text"/>
    <w:basedOn w:val="Normal"/>
    <w:link w:val="EndnoteTextChar"/>
    <w:uiPriority w:val="99"/>
    <w:semiHidden/>
    <w:rsid w:val="004939D1"/>
    <w:rPr>
      <w:sz w:val="20"/>
      <w:szCs w:val="20"/>
    </w:rPr>
  </w:style>
  <w:style w:type="character" w:customStyle="1" w:styleId="EndnoteTextChar">
    <w:name w:val="Endnote Text Char"/>
    <w:basedOn w:val="DefaultParagraphFont"/>
    <w:link w:val="EndnoteText"/>
    <w:uiPriority w:val="99"/>
    <w:semiHidden/>
    <w:rsid w:val="004939D1"/>
    <w:rPr>
      <w:rFonts w:eastAsiaTheme="minorEastAsia"/>
      <w:sz w:val="20"/>
      <w:szCs w:val="20"/>
      <w:lang w:val="en-GB"/>
    </w:rPr>
  </w:style>
  <w:style w:type="character" w:styleId="FollowedHyperlink">
    <w:name w:val="FollowedHyperlink"/>
    <w:basedOn w:val="DefaultParagraphFont"/>
    <w:uiPriority w:val="99"/>
    <w:semiHidden/>
    <w:rsid w:val="004939D1"/>
    <w:rPr>
      <w:color w:val="7030A0" w:themeColor="followedHyperlink"/>
      <w:u w:val="single"/>
    </w:rPr>
  </w:style>
  <w:style w:type="paragraph" w:styleId="DocumentMap">
    <w:name w:val="Document Map"/>
    <w:basedOn w:val="Normal"/>
    <w:link w:val="DocumentMapChar"/>
    <w:uiPriority w:val="99"/>
    <w:semiHidden/>
    <w:rsid w:val="004939D1"/>
    <w:rPr>
      <w:rFonts w:ascii="Tahoma" w:hAnsi="Tahoma" w:cs="Tahoma"/>
      <w:sz w:val="16"/>
      <w:szCs w:val="16"/>
    </w:rPr>
  </w:style>
  <w:style w:type="character" w:customStyle="1" w:styleId="DocumentMapChar">
    <w:name w:val="Document Map Char"/>
    <w:basedOn w:val="DefaultParagraphFont"/>
    <w:link w:val="DocumentMap"/>
    <w:uiPriority w:val="99"/>
    <w:semiHidden/>
    <w:rsid w:val="004939D1"/>
    <w:rPr>
      <w:rFonts w:ascii="Tahoma" w:eastAsiaTheme="minorEastAsia" w:hAnsi="Tahoma" w:cs="Tahoma"/>
      <w:sz w:val="16"/>
      <w:szCs w:val="16"/>
      <w:lang w:val="en-GB"/>
    </w:rPr>
  </w:style>
  <w:style w:type="character" w:customStyle="1" w:styleId="JuNames0">
    <w:name w:val="Ju_Names"/>
    <w:rsid w:val="00014566"/>
    <w:rPr>
      <w:smallCaps/>
    </w:rPr>
  </w:style>
  <w:style w:type="paragraph" w:styleId="ListBullet">
    <w:name w:val="List Bullet"/>
    <w:basedOn w:val="Normal"/>
    <w:uiPriority w:val="99"/>
    <w:semiHidden/>
    <w:rsid w:val="004939D1"/>
    <w:pPr>
      <w:numPr>
        <w:numId w:val="34"/>
      </w:numPr>
    </w:pPr>
  </w:style>
  <w:style w:type="character" w:customStyle="1" w:styleId="JuITMark">
    <w:name w:val="Ju_ITMark"/>
    <w:basedOn w:val="DefaultParagraphFont"/>
    <w:uiPriority w:val="38"/>
    <w:qFormat/>
    <w:rsid w:val="004939D1"/>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939D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939D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939D1"/>
    <w:pPr>
      <w:numPr>
        <w:numId w:val="28"/>
      </w:numPr>
    </w:pPr>
  </w:style>
  <w:style w:type="numbering" w:styleId="1ai">
    <w:name w:val="Outline List 1"/>
    <w:basedOn w:val="NoList"/>
    <w:uiPriority w:val="99"/>
    <w:semiHidden/>
    <w:unhideWhenUsed/>
    <w:rsid w:val="004939D1"/>
    <w:pPr>
      <w:numPr>
        <w:numId w:val="29"/>
      </w:numPr>
    </w:pPr>
  </w:style>
  <w:style w:type="numbering" w:styleId="ArticleSection">
    <w:name w:val="Outline List 3"/>
    <w:basedOn w:val="NoList"/>
    <w:uiPriority w:val="99"/>
    <w:semiHidden/>
    <w:unhideWhenUsed/>
    <w:rsid w:val="004939D1"/>
    <w:pPr>
      <w:numPr>
        <w:numId w:val="4"/>
      </w:numPr>
    </w:pPr>
  </w:style>
  <w:style w:type="paragraph" w:styleId="Bibliography">
    <w:name w:val="Bibliography"/>
    <w:basedOn w:val="Normal"/>
    <w:next w:val="Normal"/>
    <w:uiPriority w:val="99"/>
    <w:semiHidden/>
    <w:rsid w:val="004939D1"/>
  </w:style>
  <w:style w:type="paragraph" w:styleId="BlockText">
    <w:name w:val="Block Text"/>
    <w:basedOn w:val="Normal"/>
    <w:uiPriority w:val="99"/>
    <w:semiHidden/>
    <w:rsid w:val="004939D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4939D1"/>
    <w:pPr>
      <w:spacing w:after="120"/>
    </w:pPr>
  </w:style>
  <w:style w:type="character" w:customStyle="1" w:styleId="BodyTextChar">
    <w:name w:val="Body Text Char"/>
    <w:basedOn w:val="DefaultParagraphFont"/>
    <w:link w:val="BodyText"/>
    <w:uiPriority w:val="99"/>
    <w:semiHidden/>
    <w:rsid w:val="004939D1"/>
    <w:rPr>
      <w:rFonts w:eastAsiaTheme="minorEastAsia"/>
      <w:sz w:val="24"/>
      <w:lang w:val="en-GB"/>
    </w:rPr>
  </w:style>
  <w:style w:type="paragraph" w:styleId="BodyText2">
    <w:name w:val="Body Text 2"/>
    <w:basedOn w:val="Normal"/>
    <w:link w:val="BodyText2Char"/>
    <w:uiPriority w:val="99"/>
    <w:semiHidden/>
    <w:rsid w:val="004939D1"/>
    <w:pPr>
      <w:spacing w:after="120" w:line="480" w:lineRule="auto"/>
    </w:pPr>
  </w:style>
  <w:style w:type="character" w:customStyle="1" w:styleId="BodyText2Char">
    <w:name w:val="Body Text 2 Char"/>
    <w:basedOn w:val="DefaultParagraphFont"/>
    <w:link w:val="BodyText2"/>
    <w:uiPriority w:val="99"/>
    <w:semiHidden/>
    <w:rsid w:val="004939D1"/>
    <w:rPr>
      <w:rFonts w:eastAsiaTheme="minorEastAsia"/>
      <w:sz w:val="24"/>
      <w:lang w:val="en-GB"/>
    </w:rPr>
  </w:style>
  <w:style w:type="paragraph" w:styleId="BodyText3">
    <w:name w:val="Body Text 3"/>
    <w:basedOn w:val="Normal"/>
    <w:link w:val="BodyText3Char"/>
    <w:uiPriority w:val="99"/>
    <w:semiHidden/>
    <w:rsid w:val="004939D1"/>
    <w:pPr>
      <w:spacing w:after="120"/>
    </w:pPr>
    <w:rPr>
      <w:sz w:val="16"/>
      <w:szCs w:val="16"/>
    </w:rPr>
  </w:style>
  <w:style w:type="character" w:customStyle="1" w:styleId="BodyText3Char">
    <w:name w:val="Body Text 3 Char"/>
    <w:basedOn w:val="DefaultParagraphFont"/>
    <w:link w:val="BodyText3"/>
    <w:uiPriority w:val="99"/>
    <w:semiHidden/>
    <w:rsid w:val="004939D1"/>
    <w:rPr>
      <w:rFonts w:eastAsiaTheme="minorEastAsia"/>
      <w:sz w:val="16"/>
      <w:szCs w:val="16"/>
      <w:lang w:val="en-GB"/>
    </w:rPr>
  </w:style>
  <w:style w:type="paragraph" w:styleId="BodyTextFirstIndent">
    <w:name w:val="Body Text First Indent"/>
    <w:basedOn w:val="BodyText"/>
    <w:link w:val="BodyTextFirstIndentChar"/>
    <w:uiPriority w:val="99"/>
    <w:semiHidden/>
    <w:rsid w:val="004939D1"/>
    <w:pPr>
      <w:spacing w:after="0"/>
      <w:ind w:firstLine="360"/>
    </w:pPr>
  </w:style>
  <w:style w:type="character" w:customStyle="1" w:styleId="BodyTextFirstIndentChar">
    <w:name w:val="Body Text First Indent Char"/>
    <w:basedOn w:val="BodyTextChar"/>
    <w:link w:val="BodyTextFirstIndent"/>
    <w:uiPriority w:val="99"/>
    <w:semiHidden/>
    <w:rsid w:val="004939D1"/>
    <w:rPr>
      <w:rFonts w:eastAsiaTheme="minorEastAsia"/>
      <w:sz w:val="24"/>
      <w:lang w:val="en-GB"/>
    </w:rPr>
  </w:style>
  <w:style w:type="paragraph" w:styleId="BodyTextIndent">
    <w:name w:val="Body Text Indent"/>
    <w:basedOn w:val="Normal"/>
    <w:link w:val="BodyTextIndentChar"/>
    <w:uiPriority w:val="99"/>
    <w:semiHidden/>
    <w:rsid w:val="004939D1"/>
    <w:pPr>
      <w:spacing w:after="120"/>
      <w:ind w:left="283"/>
    </w:pPr>
  </w:style>
  <w:style w:type="character" w:customStyle="1" w:styleId="BodyTextIndentChar">
    <w:name w:val="Body Text Indent Char"/>
    <w:basedOn w:val="DefaultParagraphFont"/>
    <w:link w:val="BodyTextIndent"/>
    <w:uiPriority w:val="99"/>
    <w:semiHidden/>
    <w:rsid w:val="004939D1"/>
    <w:rPr>
      <w:rFonts w:eastAsiaTheme="minorEastAsia"/>
      <w:sz w:val="24"/>
      <w:lang w:val="en-GB"/>
    </w:rPr>
  </w:style>
  <w:style w:type="paragraph" w:styleId="BodyTextFirstIndent2">
    <w:name w:val="Body Text First Indent 2"/>
    <w:basedOn w:val="BodyTextIndent"/>
    <w:link w:val="BodyTextFirstIndent2Char"/>
    <w:uiPriority w:val="99"/>
    <w:semiHidden/>
    <w:rsid w:val="004939D1"/>
    <w:pPr>
      <w:spacing w:after="0"/>
      <w:ind w:left="360" w:firstLine="360"/>
    </w:pPr>
  </w:style>
  <w:style w:type="character" w:customStyle="1" w:styleId="BodyTextFirstIndent2Char">
    <w:name w:val="Body Text First Indent 2 Char"/>
    <w:basedOn w:val="BodyTextIndentChar"/>
    <w:link w:val="BodyTextFirstIndent2"/>
    <w:uiPriority w:val="99"/>
    <w:semiHidden/>
    <w:rsid w:val="004939D1"/>
    <w:rPr>
      <w:rFonts w:eastAsiaTheme="minorEastAsia"/>
      <w:sz w:val="24"/>
      <w:lang w:val="en-GB"/>
    </w:rPr>
  </w:style>
  <w:style w:type="paragraph" w:styleId="BodyTextIndent2">
    <w:name w:val="Body Text Indent 2"/>
    <w:basedOn w:val="Normal"/>
    <w:link w:val="BodyTextIndent2Char"/>
    <w:uiPriority w:val="99"/>
    <w:semiHidden/>
    <w:rsid w:val="004939D1"/>
    <w:pPr>
      <w:spacing w:after="120" w:line="480" w:lineRule="auto"/>
      <w:ind w:left="283"/>
    </w:pPr>
  </w:style>
  <w:style w:type="character" w:customStyle="1" w:styleId="BodyTextIndent2Char">
    <w:name w:val="Body Text Indent 2 Char"/>
    <w:basedOn w:val="DefaultParagraphFont"/>
    <w:link w:val="BodyTextIndent2"/>
    <w:uiPriority w:val="99"/>
    <w:semiHidden/>
    <w:rsid w:val="004939D1"/>
    <w:rPr>
      <w:rFonts w:eastAsiaTheme="minorEastAsia"/>
      <w:sz w:val="24"/>
      <w:lang w:val="en-GB"/>
    </w:rPr>
  </w:style>
  <w:style w:type="paragraph" w:styleId="BodyTextIndent3">
    <w:name w:val="Body Text Indent 3"/>
    <w:basedOn w:val="Normal"/>
    <w:link w:val="BodyTextIndent3Char"/>
    <w:uiPriority w:val="99"/>
    <w:semiHidden/>
    <w:rsid w:val="004939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939D1"/>
    <w:rPr>
      <w:rFonts w:eastAsiaTheme="minorEastAsia"/>
      <w:sz w:val="16"/>
      <w:szCs w:val="16"/>
      <w:lang w:val="en-GB"/>
    </w:rPr>
  </w:style>
  <w:style w:type="paragraph" w:styleId="Caption">
    <w:name w:val="caption"/>
    <w:basedOn w:val="Normal"/>
    <w:next w:val="Normal"/>
    <w:uiPriority w:val="99"/>
    <w:semiHidden/>
    <w:qFormat/>
    <w:rsid w:val="004939D1"/>
    <w:pPr>
      <w:spacing w:after="200"/>
    </w:pPr>
    <w:rPr>
      <w:b/>
      <w:bCs/>
      <w:color w:val="0072BC" w:themeColor="accent1"/>
      <w:sz w:val="18"/>
      <w:szCs w:val="18"/>
    </w:rPr>
  </w:style>
  <w:style w:type="paragraph" w:styleId="Closing">
    <w:name w:val="Closing"/>
    <w:basedOn w:val="Normal"/>
    <w:link w:val="ClosingChar"/>
    <w:uiPriority w:val="99"/>
    <w:semiHidden/>
    <w:rsid w:val="004939D1"/>
    <w:pPr>
      <w:ind w:left="4252"/>
    </w:pPr>
  </w:style>
  <w:style w:type="character" w:customStyle="1" w:styleId="ClosingChar">
    <w:name w:val="Closing Char"/>
    <w:basedOn w:val="DefaultParagraphFont"/>
    <w:link w:val="Closing"/>
    <w:uiPriority w:val="99"/>
    <w:semiHidden/>
    <w:rsid w:val="004939D1"/>
    <w:rPr>
      <w:rFonts w:eastAsiaTheme="minorEastAsia"/>
      <w:sz w:val="24"/>
      <w:lang w:val="en-GB"/>
    </w:rPr>
  </w:style>
  <w:style w:type="table" w:styleId="ColorfulGrid">
    <w:name w:val="Colorful Grid"/>
    <w:basedOn w:val="TableNormal"/>
    <w:uiPriority w:val="73"/>
    <w:semiHidden/>
    <w:rsid w:val="004939D1"/>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939D1"/>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939D1"/>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939D1"/>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939D1"/>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939D1"/>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939D1"/>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939D1"/>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939D1"/>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939D1"/>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939D1"/>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939D1"/>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939D1"/>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939D1"/>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939D1"/>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939D1"/>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939D1"/>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939D1"/>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939D1"/>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939D1"/>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939D1"/>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4939D1"/>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939D1"/>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939D1"/>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939D1"/>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939D1"/>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939D1"/>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939D1"/>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4939D1"/>
  </w:style>
  <w:style w:type="character" w:customStyle="1" w:styleId="DateChar">
    <w:name w:val="Date Char"/>
    <w:basedOn w:val="DefaultParagraphFont"/>
    <w:link w:val="Date"/>
    <w:uiPriority w:val="99"/>
    <w:semiHidden/>
    <w:rsid w:val="004939D1"/>
    <w:rPr>
      <w:rFonts w:eastAsiaTheme="minorEastAsia"/>
      <w:sz w:val="24"/>
      <w:lang w:val="en-GB"/>
    </w:rPr>
  </w:style>
  <w:style w:type="paragraph" w:styleId="E-mailSignature">
    <w:name w:val="E-mail Signature"/>
    <w:basedOn w:val="Normal"/>
    <w:link w:val="E-mailSignatureChar"/>
    <w:uiPriority w:val="99"/>
    <w:semiHidden/>
    <w:rsid w:val="004939D1"/>
  </w:style>
  <w:style w:type="character" w:customStyle="1" w:styleId="E-mailSignatureChar">
    <w:name w:val="E-mail Signature Char"/>
    <w:basedOn w:val="DefaultParagraphFont"/>
    <w:link w:val="E-mailSignature"/>
    <w:uiPriority w:val="99"/>
    <w:semiHidden/>
    <w:rsid w:val="004939D1"/>
    <w:rPr>
      <w:rFonts w:eastAsiaTheme="minorEastAsia"/>
      <w:sz w:val="24"/>
      <w:lang w:val="en-GB"/>
    </w:rPr>
  </w:style>
  <w:style w:type="paragraph" w:styleId="EnvelopeAddress">
    <w:name w:val="envelope address"/>
    <w:basedOn w:val="Normal"/>
    <w:uiPriority w:val="99"/>
    <w:semiHidden/>
    <w:rsid w:val="004939D1"/>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4939D1"/>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4939D1"/>
  </w:style>
  <w:style w:type="paragraph" w:styleId="HTMLAddress">
    <w:name w:val="HTML Address"/>
    <w:basedOn w:val="Normal"/>
    <w:link w:val="HTMLAddressChar"/>
    <w:uiPriority w:val="99"/>
    <w:semiHidden/>
    <w:rsid w:val="004939D1"/>
    <w:rPr>
      <w:i/>
      <w:iCs/>
    </w:rPr>
  </w:style>
  <w:style w:type="character" w:customStyle="1" w:styleId="HTMLAddressChar">
    <w:name w:val="HTML Address Char"/>
    <w:basedOn w:val="DefaultParagraphFont"/>
    <w:link w:val="HTMLAddress"/>
    <w:uiPriority w:val="99"/>
    <w:semiHidden/>
    <w:rsid w:val="004939D1"/>
    <w:rPr>
      <w:rFonts w:eastAsiaTheme="minorEastAsia"/>
      <w:i/>
      <w:iCs/>
      <w:sz w:val="24"/>
      <w:lang w:val="en-GB"/>
    </w:rPr>
  </w:style>
  <w:style w:type="character" w:styleId="HTMLCite">
    <w:name w:val="HTML Cite"/>
    <w:basedOn w:val="DefaultParagraphFont"/>
    <w:uiPriority w:val="99"/>
    <w:semiHidden/>
    <w:rsid w:val="004939D1"/>
    <w:rPr>
      <w:i/>
      <w:iCs/>
    </w:rPr>
  </w:style>
  <w:style w:type="character" w:styleId="HTMLCode">
    <w:name w:val="HTML Code"/>
    <w:basedOn w:val="DefaultParagraphFont"/>
    <w:uiPriority w:val="99"/>
    <w:semiHidden/>
    <w:rsid w:val="004939D1"/>
    <w:rPr>
      <w:rFonts w:ascii="Consolas" w:hAnsi="Consolas" w:cs="Consolas"/>
      <w:sz w:val="20"/>
      <w:szCs w:val="20"/>
    </w:rPr>
  </w:style>
  <w:style w:type="character" w:styleId="HTMLDefinition">
    <w:name w:val="HTML Definition"/>
    <w:basedOn w:val="DefaultParagraphFont"/>
    <w:uiPriority w:val="99"/>
    <w:semiHidden/>
    <w:rsid w:val="004939D1"/>
    <w:rPr>
      <w:i/>
      <w:iCs/>
    </w:rPr>
  </w:style>
  <w:style w:type="character" w:styleId="HTMLKeyboard">
    <w:name w:val="HTML Keyboard"/>
    <w:basedOn w:val="DefaultParagraphFont"/>
    <w:uiPriority w:val="99"/>
    <w:semiHidden/>
    <w:rsid w:val="004939D1"/>
    <w:rPr>
      <w:rFonts w:ascii="Consolas" w:hAnsi="Consolas" w:cs="Consolas"/>
      <w:sz w:val="20"/>
      <w:szCs w:val="20"/>
    </w:rPr>
  </w:style>
  <w:style w:type="paragraph" w:styleId="HTMLPreformatted">
    <w:name w:val="HTML Preformatted"/>
    <w:basedOn w:val="Normal"/>
    <w:link w:val="HTMLPreformattedChar"/>
    <w:uiPriority w:val="99"/>
    <w:semiHidden/>
    <w:rsid w:val="004939D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939D1"/>
    <w:rPr>
      <w:rFonts w:ascii="Consolas" w:eastAsiaTheme="minorEastAsia" w:hAnsi="Consolas" w:cs="Consolas"/>
      <w:sz w:val="20"/>
      <w:szCs w:val="20"/>
      <w:lang w:val="en-GB"/>
    </w:rPr>
  </w:style>
  <w:style w:type="character" w:styleId="HTMLSample">
    <w:name w:val="HTML Sample"/>
    <w:basedOn w:val="DefaultParagraphFont"/>
    <w:uiPriority w:val="99"/>
    <w:semiHidden/>
    <w:rsid w:val="004939D1"/>
    <w:rPr>
      <w:rFonts w:ascii="Consolas" w:hAnsi="Consolas" w:cs="Consolas"/>
      <w:sz w:val="24"/>
      <w:szCs w:val="24"/>
    </w:rPr>
  </w:style>
  <w:style w:type="character" w:styleId="HTMLTypewriter">
    <w:name w:val="HTML Typewriter"/>
    <w:basedOn w:val="DefaultParagraphFont"/>
    <w:uiPriority w:val="99"/>
    <w:semiHidden/>
    <w:rsid w:val="004939D1"/>
    <w:rPr>
      <w:rFonts w:ascii="Consolas" w:hAnsi="Consolas" w:cs="Consolas"/>
      <w:sz w:val="20"/>
      <w:szCs w:val="20"/>
    </w:rPr>
  </w:style>
  <w:style w:type="character" w:styleId="HTMLVariable">
    <w:name w:val="HTML Variable"/>
    <w:basedOn w:val="DefaultParagraphFont"/>
    <w:uiPriority w:val="99"/>
    <w:semiHidden/>
    <w:rsid w:val="004939D1"/>
    <w:rPr>
      <w:i/>
      <w:iCs/>
    </w:rPr>
  </w:style>
  <w:style w:type="paragraph" w:styleId="Index1">
    <w:name w:val="index 1"/>
    <w:basedOn w:val="Normal"/>
    <w:next w:val="Normal"/>
    <w:autoRedefine/>
    <w:uiPriority w:val="99"/>
    <w:semiHidden/>
    <w:rsid w:val="004939D1"/>
    <w:pPr>
      <w:ind w:left="240" w:hanging="240"/>
    </w:pPr>
  </w:style>
  <w:style w:type="paragraph" w:styleId="Index2">
    <w:name w:val="index 2"/>
    <w:basedOn w:val="Normal"/>
    <w:next w:val="Normal"/>
    <w:autoRedefine/>
    <w:uiPriority w:val="99"/>
    <w:semiHidden/>
    <w:rsid w:val="004939D1"/>
    <w:pPr>
      <w:ind w:left="480" w:hanging="240"/>
    </w:pPr>
  </w:style>
  <w:style w:type="paragraph" w:styleId="Index3">
    <w:name w:val="index 3"/>
    <w:basedOn w:val="Normal"/>
    <w:next w:val="Normal"/>
    <w:autoRedefine/>
    <w:uiPriority w:val="99"/>
    <w:semiHidden/>
    <w:rsid w:val="004939D1"/>
    <w:pPr>
      <w:ind w:left="720" w:hanging="240"/>
    </w:pPr>
  </w:style>
  <w:style w:type="paragraph" w:styleId="Index4">
    <w:name w:val="index 4"/>
    <w:basedOn w:val="Normal"/>
    <w:next w:val="Normal"/>
    <w:autoRedefine/>
    <w:uiPriority w:val="99"/>
    <w:semiHidden/>
    <w:rsid w:val="004939D1"/>
    <w:pPr>
      <w:ind w:left="960" w:hanging="240"/>
    </w:pPr>
  </w:style>
  <w:style w:type="paragraph" w:styleId="Index5">
    <w:name w:val="index 5"/>
    <w:basedOn w:val="Normal"/>
    <w:next w:val="Normal"/>
    <w:autoRedefine/>
    <w:uiPriority w:val="99"/>
    <w:semiHidden/>
    <w:rsid w:val="004939D1"/>
    <w:pPr>
      <w:ind w:left="1200" w:hanging="240"/>
    </w:pPr>
  </w:style>
  <w:style w:type="paragraph" w:styleId="Index6">
    <w:name w:val="index 6"/>
    <w:basedOn w:val="Normal"/>
    <w:next w:val="Normal"/>
    <w:autoRedefine/>
    <w:uiPriority w:val="99"/>
    <w:semiHidden/>
    <w:rsid w:val="004939D1"/>
    <w:pPr>
      <w:ind w:left="1440" w:hanging="240"/>
    </w:pPr>
  </w:style>
  <w:style w:type="paragraph" w:styleId="Index7">
    <w:name w:val="index 7"/>
    <w:basedOn w:val="Normal"/>
    <w:next w:val="Normal"/>
    <w:autoRedefine/>
    <w:uiPriority w:val="99"/>
    <w:semiHidden/>
    <w:rsid w:val="004939D1"/>
    <w:pPr>
      <w:ind w:left="1680" w:hanging="240"/>
    </w:pPr>
  </w:style>
  <w:style w:type="paragraph" w:styleId="Index8">
    <w:name w:val="index 8"/>
    <w:basedOn w:val="Normal"/>
    <w:next w:val="Normal"/>
    <w:autoRedefine/>
    <w:uiPriority w:val="99"/>
    <w:semiHidden/>
    <w:rsid w:val="004939D1"/>
    <w:pPr>
      <w:ind w:left="1920" w:hanging="240"/>
    </w:pPr>
  </w:style>
  <w:style w:type="paragraph" w:styleId="Index9">
    <w:name w:val="index 9"/>
    <w:basedOn w:val="Normal"/>
    <w:next w:val="Normal"/>
    <w:autoRedefine/>
    <w:uiPriority w:val="99"/>
    <w:semiHidden/>
    <w:rsid w:val="004939D1"/>
    <w:pPr>
      <w:ind w:left="2160" w:hanging="240"/>
    </w:pPr>
  </w:style>
  <w:style w:type="paragraph" w:styleId="IndexHeading">
    <w:name w:val="index heading"/>
    <w:basedOn w:val="Normal"/>
    <w:next w:val="Index1"/>
    <w:uiPriority w:val="99"/>
    <w:semiHidden/>
    <w:rsid w:val="004939D1"/>
    <w:rPr>
      <w:rFonts w:asciiTheme="majorHAnsi" w:eastAsiaTheme="majorEastAsia" w:hAnsiTheme="majorHAnsi" w:cstheme="majorBidi"/>
      <w:b/>
      <w:bCs/>
    </w:rPr>
  </w:style>
  <w:style w:type="table" w:styleId="LightGrid">
    <w:name w:val="Light Grid"/>
    <w:basedOn w:val="TableNormal"/>
    <w:uiPriority w:val="62"/>
    <w:semiHidden/>
    <w:rsid w:val="004939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939D1"/>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939D1"/>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939D1"/>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939D1"/>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939D1"/>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939D1"/>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939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939D1"/>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939D1"/>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939D1"/>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939D1"/>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939D1"/>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939D1"/>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939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939D1"/>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939D1"/>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939D1"/>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939D1"/>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939D1"/>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939D1"/>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4939D1"/>
  </w:style>
  <w:style w:type="paragraph" w:styleId="List">
    <w:name w:val="List"/>
    <w:basedOn w:val="Normal"/>
    <w:uiPriority w:val="99"/>
    <w:semiHidden/>
    <w:rsid w:val="004939D1"/>
    <w:pPr>
      <w:ind w:left="283" w:hanging="283"/>
      <w:contextualSpacing/>
    </w:pPr>
  </w:style>
  <w:style w:type="paragraph" w:styleId="List2">
    <w:name w:val="List 2"/>
    <w:basedOn w:val="Normal"/>
    <w:uiPriority w:val="99"/>
    <w:semiHidden/>
    <w:rsid w:val="004939D1"/>
    <w:pPr>
      <w:ind w:left="566" w:hanging="283"/>
      <w:contextualSpacing/>
    </w:pPr>
  </w:style>
  <w:style w:type="paragraph" w:styleId="List3">
    <w:name w:val="List 3"/>
    <w:basedOn w:val="Normal"/>
    <w:uiPriority w:val="99"/>
    <w:semiHidden/>
    <w:rsid w:val="004939D1"/>
    <w:pPr>
      <w:ind w:left="849" w:hanging="283"/>
      <w:contextualSpacing/>
    </w:pPr>
  </w:style>
  <w:style w:type="paragraph" w:styleId="List4">
    <w:name w:val="List 4"/>
    <w:basedOn w:val="Normal"/>
    <w:uiPriority w:val="99"/>
    <w:semiHidden/>
    <w:rsid w:val="004939D1"/>
    <w:pPr>
      <w:ind w:left="1132" w:hanging="283"/>
      <w:contextualSpacing/>
    </w:pPr>
  </w:style>
  <w:style w:type="paragraph" w:styleId="List5">
    <w:name w:val="List 5"/>
    <w:basedOn w:val="Normal"/>
    <w:uiPriority w:val="99"/>
    <w:semiHidden/>
    <w:rsid w:val="004939D1"/>
    <w:pPr>
      <w:ind w:left="1415" w:hanging="283"/>
      <w:contextualSpacing/>
    </w:pPr>
  </w:style>
  <w:style w:type="paragraph" w:styleId="ListBullet2">
    <w:name w:val="List Bullet 2"/>
    <w:basedOn w:val="Normal"/>
    <w:uiPriority w:val="99"/>
    <w:semiHidden/>
    <w:rsid w:val="004939D1"/>
    <w:pPr>
      <w:numPr>
        <w:numId w:val="35"/>
      </w:numPr>
      <w:contextualSpacing/>
    </w:pPr>
  </w:style>
  <w:style w:type="paragraph" w:styleId="ListBullet3">
    <w:name w:val="List Bullet 3"/>
    <w:basedOn w:val="Normal"/>
    <w:uiPriority w:val="99"/>
    <w:semiHidden/>
    <w:rsid w:val="004939D1"/>
    <w:pPr>
      <w:numPr>
        <w:numId w:val="36"/>
      </w:numPr>
      <w:contextualSpacing/>
    </w:pPr>
  </w:style>
  <w:style w:type="paragraph" w:styleId="ListBullet4">
    <w:name w:val="List Bullet 4"/>
    <w:basedOn w:val="Normal"/>
    <w:uiPriority w:val="99"/>
    <w:semiHidden/>
    <w:rsid w:val="004939D1"/>
    <w:pPr>
      <w:numPr>
        <w:numId w:val="37"/>
      </w:numPr>
      <w:contextualSpacing/>
    </w:pPr>
  </w:style>
  <w:style w:type="paragraph" w:styleId="ListBullet5">
    <w:name w:val="List Bullet 5"/>
    <w:basedOn w:val="Normal"/>
    <w:uiPriority w:val="99"/>
    <w:semiHidden/>
    <w:rsid w:val="004939D1"/>
    <w:pPr>
      <w:numPr>
        <w:numId w:val="38"/>
      </w:numPr>
      <w:contextualSpacing/>
    </w:pPr>
  </w:style>
  <w:style w:type="paragraph" w:styleId="ListContinue">
    <w:name w:val="List Continue"/>
    <w:basedOn w:val="Normal"/>
    <w:uiPriority w:val="99"/>
    <w:semiHidden/>
    <w:rsid w:val="004939D1"/>
    <w:pPr>
      <w:spacing w:after="120"/>
      <w:ind w:left="283"/>
      <w:contextualSpacing/>
    </w:pPr>
  </w:style>
  <w:style w:type="paragraph" w:styleId="ListContinue2">
    <w:name w:val="List Continue 2"/>
    <w:basedOn w:val="Normal"/>
    <w:uiPriority w:val="99"/>
    <w:semiHidden/>
    <w:rsid w:val="004939D1"/>
    <w:pPr>
      <w:spacing w:after="120"/>
      <w:ind w:left="566"/>
      <w:contextualSpacing/>
    </w:pPr>
  </w:style>
  <w:style w:type="paragraph" w:styleId="ListContinue3">
    <w:name w:val="List Continue 3"/>
    <w:basedOn w:val="Normal"/>
    <w:uiPriority w:val="99"/>
    <w:semiHidden/>
    <w:rsid w:val="004939D1"/>
    <w:pPr>
      <w:spacing w:after="120"/>
      <w:ind w:left="849"/>
      <w:contextualSpacing/>
    </w:pPr>
  </w:style>
  <w:style w:type="paragraph" w:styleId="ListContinue4">
    <w:name w:val="List Continue 4"/>
    <w:basedOn w:val="Normal"/>
    <w:uiPriority w:val="99"/>
    <w:semiHidden/>
    <w:rsid w:val="004939D1"/>
    <w:pPr>
      <w:spacing w:after="120"/>
      <w:ind w:left="1132"/>
      <w:contextualSpacing/>
    </w:pPr>
  </w:style>
  <w:style w:type="paragraph" w:styleId="ListContinue5">
    <w:name w:val="List Continue 5"/>
    <w:basedOn w:val="Normal"/>
    <w:uiPriority w:val="99"/>
    <w:semiHidden/>
    <w:rsid w:val="004939D1"/>
    <w:pPr>
      <w:spacing w:after="120"/>
      <w:ind w:left="1415"/>
      <w:contextualSpacing/>
    </w:pPr>
  </w:style>
  <w:style w:type="paragraph" w:styleId="ListNumber">
    <w:name w:val="List Number"/>
    <w:basedOn w:val="Normal"/>
    <w:uiPriority w:val="99"/>
    <w:semiHidden/>
    <w:rsid w:val="004939D1"/>
    <w:pPr>
      <w:numPr>
        <w:numId w:val="39"/>
      </w:numPr>
      <w:contextualSpacing/>
    </w:pPr>
  </w:style>
  <w:style w:type="paragraph" w:styleId="ListNumber2">
    <w:name w:val="List Number 2"/>
    <w:basedOn w:val="Normal"/>
    <w:uiPriority w:val="99"/>
    <w:semiHidden/>
    <w:rsid w:val="004939D1"/>
    <w:pPr>
      <w:numPr>
        <w:numId w:val="40"/>
      </w:numPr>
      <w:contextualSpacing/>
    </w:pPr>
  </w:style>
  <w:style w:type="paragraph" w:styleId="ListNumber3">
    <w:name w:val="List Number 3"/>
    <w:basedOn w:val="Normal"/>
    <w:uiPriority w:val="99"/>
    <w:semiHidden/>
    <w:rsid w:val="004939D1"/>
    <w:pPr>
      <w:numPr>
        <w:numId w:val="41"/>
      </w:numPr>
      <w:contextualSpacing/>
    </w:pPr>
  </w:style>
  <w:style w:type="paragraph" w:styleId="ListNumber4">
    <w:name w:val="List Number 4"/>
    <w:basedOn w:val="Normal"/>
    <w:uiPriority w:val="99"/>
    <w:semiHidden/>
    <w:rsid w:val="004939D1"/>
    <w:pPr>
      <w:numPr>
        <w:numId w:val="42"/>
      </w:numPr>
      <w:contextualSpacing/>
    </w:pPr>
  </w:style>
  <w:style w:type="paragraph" w:styleId="ListNumber5">
    <w:name w:val="List Number 5"/>
    <w:basedOn w:val="Normal"/>
    <w:uiPriority w:val="99"/>
    <w:semiHidden/>
    <w:rsid w:val="004939D1"/>
    <w:pPr>
      <w:numPr>
        <w:numId w:val="43"/>
      </w:numPr>
      <w:contextualSpacing/>
    </w:pPr>
  </w:style>
  <w:style w:type="paragraph" w:styleId="MacroText">
    <w:name w:val="macro"/>
    <w:link w:val="MacroTextChar"/>
    <w:uiPriority w:val="99"/>
    <w:semiHidden/>
    <w:rsid w:val="004939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4939D1"/>
    <w:rPr>
      <w:rFonts w:ascii="Consolas" w:eastAsiaTheme="minorEastAsia" w:hAnsi="Consolas" w:cs="Consolas"/>
      <w:sz w:val="20"/>
      <w:szCs w:val="20"/>
    </w:rPr>
  </w:style>
  <w:style w:type="table" w:styleId="MediumGrid1">
    <w:name w:val="Medium Grid 1"/>
    <w:basedOn w:val="TableNormal"/>
    <w:uiPriority w:val="67"/>
    <w:semiHidden/>
    <w:rsid w:val="004939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939D1"/>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939D1"/>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939D1"/>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939D1"/>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939D1"/>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939D1"/>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939D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939D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939D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939D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939D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939D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939D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939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939D1"/>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939D1"/>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939D1"/>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939D1"/>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939D1"/>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939D1"/>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939D1"/>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939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939D1"/>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939D1"/>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939D1"/>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939D1"/>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939D1"/>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939D1"/>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939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939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939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939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939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939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939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4939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4939D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4939D1"/>
    <w:rPr>
      <w:rFonts w:ascii="Times New Roman" w:hAnsi="Times New Roman" w:cs="Times New Roman"/>
      <w:szCs w:val="24"/>
    </w:rPr>
  </w:style>
  <w:style w:type="paragraph" w:styleId="NormalIndent">
    <w:name w:val="Normal Indent"/>
    <w:basedOn w:val="Normal"/>
    <w:uiPriority w:val="99"/>
    <w:semiHidden/>
    <w:rsid w:val="004939D1"/>
    <w:pPr>
      <w:ind w:left="720"/>
    </w:pPr>
  </w:style>
  <w:style w:type="character" w:customStyle="1" w:styleId="NoteHeadingChar">
    <w:name w:val="Note Heading Char"/>
    <w:basedOn w:val="DefaultParagraphFont"/>
    <w:link w:val="NoteHeading"/>
    <w:uiPriority w:val="99"/>
    <w:semiHidden/>
    <w:rsid w:val="004939D1"/>
    <w:rPr>
      <w:rFonts w:eastAsiaTheme="minorEastAsia"/>
      <w:sz w:val="24"/>
      <w:lang w:val="en-GB"/>
    </w:rPr>
  </w:style>
  <w:style w:type="character" w:styleId="PlaceholderText">
    <w:name w:val="Placeholder Text"/>
    <w:basedOn w:val="DefaultParagraphFont"/>
    <w:uiPriority w:val="99"/>
    <w:semiHidden/>
    <w:rsid w:val="004939D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4939D1"/>
    <w:rPr>
      <w:rFonts w:ascii="Consolas" w:hAnsi="Consolas" w:cs="Consolas"/>
      <w:sz w:val="21"/>
      <w:szCs w:val="21"/>
    </w:rPr>
  </w:style>
  <w:style w:type="character" w:customStyle="1" w:styleId="PlainTextChar">
    <w:name w:val="Plain Text Char"/>
    <w:basedOn w:val="DefaultParagraphFont"/>
    <w:link w:val="PlainText"/>
    <w:uiPriority w:val="99"/>
    <w:semiHidden/>
    <w:rsid w:val="004939D1"/>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4939D1"/>
  </w:style>
  <w:style w:type="character" w:customStyle="1" w:styleId="SalutationChar">
    <w:name w:val="Salutation Char"/>
    <w:basedOn w:val="DefaultParagraphFont"/>
    <w:link w:val="Salutation"/>
    <w:uiPriority w:val="99"/>
    <w:semiHidden/>
    <w:rsid w:val="004939D1"/>
    <w:rPr>
      <w:rFonts w:eastAsiaTheme="minorEastAsia"/>
      <w:sz w:val="24"/>
      <w:lang w:val="en-GB"/>
    </w:rPr>
  </w:style>
  <w:style w:type="paragraph" w:styleId="Signature">
    <w:name w:val="Signature"/>
    <w:basedOn w:val="Normal"/>
    <w:link w:val="SignatureChar"/>
    <w:uiPriority w:val="99"/>
    <w:semiHidden/>
    <w:rsid w:val="004939D1"/>
    <w:pPr>
      <w:ind w:left="4252"/>
    </w:pPr>
  </w:style>
  <w:style w:type="character" w:customStyle="1" w:styleId="SignatureChar">
    <w:name w:val="Signature Char"/>
    <w:basedOn w:val="DefaultParagraphFont"/>
    <w:link w:val="Signature"/>
    <w:uiPriority w:val="99"/>
    <w:semiHidden/>
    <w:rsid w:val="004939D1"/>
    <w:rPr>
      <w:rFonts w:eastAsiaTheme="minorEastAsia"/>
      <w:sz w:val="24"/>
      <w:lang w:val="en-GB"/>
    </w:rPr>
  </w:style>
  <w:style w:type="table" w:styleId="Table3Deffects1">
    <w:name w:val="Table 3D effects 1"/>
    <w:basedOn w:val="TableNormal"/>
    <w:uiPriority w:val="99"/>
    <w:semiHidden/>
    <w:unhideWhenUsed/>
    <w:rsid w:val="004939D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939D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939D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939D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939D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939D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939D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939D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939D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939D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939D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939D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939D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939D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939D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939D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939D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939D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939D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939D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939D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939D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939D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939D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939D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939D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939D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939D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939D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939D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939D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939D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939D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4939D1"/>
    <w:pPr>
      <w:ind w:left="240" w:hanging="240"/>
    </w:pPr>
  </w:style>
  <w:style w:type="paragraph" w:styleId="TableofFigures">
    <w:name w:val="table of figures"/>
    <w:basedOn w:val="Normal"/>
    <w:next w:val="Normal"/>
    <w:uiPriority w:val="99"/>
    <w:semiHidden/>
    <w:rsid w:val="004939D1"/>
  </w:style>
  <w:style w:type="table" w:styleId="TableProfessional">
    <w:name w:val="Table Professional"/>
    <w:basedOn w:val="TableNormal"/>
    <w:uiPriority w:val="99"/>
    <w:semiHidden/>
    <w:unhideWhenUsed/>
    <w:rsid w:val="004939D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939D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939D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939D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939D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939D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939D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939D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939D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939D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939D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939D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4939D1"/>
    <w:pPr>
      <w:spacing w:after="100"/>
      <w:ind w:left="1680"/>
    </w:pPr>
  </w:style>
  <w:style w:type="paragraph" w:styleId="TOC9">
    <w:name w:val="toc 9"/>
    <w:basedOn w:val="Normal"/>
    <w:next w:val="Normal"/>
    <w:autoRedefine/>
    <w:uiPriority w:val="99"/>
    <w:semiHidden/>
    <w:rsid w:val="004939D1"/>
    <w:pPr>
      <w:spacing w:after="100"/>
      <w:ind w:left="1920"/>
    </w:pPr>
  </w:style>
  <w:style w:type="paragraph" w:customStyle="1" w:styleId="DecHTitle">
    <w:name w:val="Dec_H_Title"/>
    <w:aliases w:val="_Title_1"/>
    <w:basedOn w:val="JuPara"/>
    <w:next w:val="JuPara"/>
    <w:uiPriority w:val="35"/>
    <w:qFormat/>
    <w:rsid w:val="004939D1"/>
    <w:pPr>
      <w:keepNext/>
      <w:keepLines/>
      <w:spacing w:after="240"/>
      <w:ind w:firstLine="0"/>
      <w:jc w:val="center"/>
      <w:outlineLvl w:val="0"/>
    </w:pPr>
    <w:rPr>
      <w:rFonts w:asciiTheme="majorHAnsi" w:hAnsiTheme="majorHAnsi"/>
      <w:sz w:val="28"/>
    </w:rPr>
  </w:style>
  <w:style w:type="paragraph" w:customStyle="1" w:styleId="JuHeaderLandscape">
    <w:name w:val="Ju_Header_Landscape"/>
    <w:aliases w:val="_Header_Landscape"/>
    <w:basedOn w:val="JuHeader"/>
    <w:uiPriority w:val="30"/>
    <w:qFormat/>
    <w:rsid w:val="004939D1"/>
    <w:pPr>
      <w:tabs>
        <w:tab w:val="clear" w:pos="3686"/>
        <w:tab w:val="clear" w:pos="7371"/>
        <w:tab w:val="center" w:pos="6146"/>
        <w:tab w:val="right" w:pos="12293"/>
      </w:tabs>
    </w:pPr>
  </w:style>
  <w:style w:type="character" w:customStyle="1" w:styleId="JuParaChar">
    <w:name w:val="Ju_Para Char"/>
    <w:aliases w:val="_Para Char"/>
    <w:basedOn w:val="DefaultParagraphFont"/>
    <w:link w:val="JuPara"/>
    <w:uiPriority w:val="8"/>
    <w:rsid w:val="00932642"/>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798765">
      <w:bodyDiv w:val="1"/>
      <w:marLeft w:val="0"/>
      <w:marRight w:val="0"/>
      <w:marTop w:val="0"/>
      <w:marBottom w:val="0"/>
      <w:divBdr>
        <w:top w:val="none" w:sz="0" w:space="0" w:color="auto"/>
        <w:left w:val="none" w:sz="0" w:space="0" w:color="auto"/>
        <w:bottom w:val="none" w:sz="0" w:space="0" w:color="auto"/>
        <w:right w:val="none" w:sz="0" w:space="0" w:color="auto"/>
      </w:divBdr>
      <w:divsChild>
        <w:div w:id="1099528098">
          <w:marLeft w:val="0"/>
          <w:marRight w:val="0"/>
          <w:marTop w:val="0"/>
          <w:marBottom w:val="0"/>
          <w:divBdr>
            <w:top w:val="none" w:sz="0" w:space="0" w:color="auto"/>
            <w:left w:val="none" w:sz="0" w:space="0" w:color="auto"/>
            <w:bottom w:val="none" w:sz="0" w:space="0" w:color="auto"/>
            <w:right w:val="none" w:sz="0" w:space="0" w:color="auto"/>
          </w:divBdr>
          <w:divsChild>
            <w:div w:id="1246652455">
              <w:marLeft w:val="0"/>
              <w:marRight w:val="0"/>
              <w:marTop w:val="0"/>
              <w:marBottom w:val="0"/>
              <w:divBdr>
                <w:top w:val="none" w:sz="0" w:space="0" w:color="auto"/>
                <w:left w:val="none" w:sz="0" w:space="0" w:color="auto"/>
                <w:bottom w:val="none" w:sz="0" w:space="0" w:color="auto"/>
                <w:right w:val="none" w:sz="0" w:space="0" w:color="auto"/>
              </w:divBdr>
              <w:divsChild>
                <w:div w:id="1675456688">
                  <w:marLeft w:val="0"/>
                  <w:marRight w:val="0"/>
                  <w:marTop w:val="0"/>
                  <w:marBottom w:val="0"/>
                  <w:divBdr>
                    <w:top w:val="none" w:sz="0" w:space="0" w:color="auto"/>
                    <w:left w:val="none" w:sz="0" w:space="0" w:color="auto"/>
                    <w:bottom w:val="none" w:sz="0" w:space="0" w:color="auto"/>
                    <w:right w:val="none" w:sz="0" w:space="0" w:color="auto"/>
                  </w:divBdr>
                  <w:divsChild>
                    <w:div w:id="795417534">
                      <w:marLeft w:val="0"/>
                      <w:marRight w:val="0"/>
                      <w:marTop w:val="0"/>
                      <w:marBottom w:val="0"/>
                      <w:divBdr>
                        <w:top w:val="none" w:sz="0" w:space="0" w:color="auto"/>
                        <w:left w:val="none" w:sz="0" w:space="0" w:color="auto"/>
                        <w:bottom w:val="none" w:sz="0" w:space="0" w:color="auto"/>
                        <w:right w:val="none" w:sz="0" w:space="0" w:color="auto"/>
                      </w:divBdr>
                      <w:divsChild>
                        <w:div w:id="273441486">
                          <w:marLeft w:val="0"/>
                          <w:marRight w:val="0"/>
                          <w:marTop w:val="0"/>
                          <w:marBottom w:val="0"/>
                          <w:divBdr>
                            <w:top w:val="none" w:sz="0" w:space="0" w:color="auto"/>
                            <w:left w:val="none" w:sz="0" w:space="0" w:color="auto"/>
                            <w:bottom w:val="none" w:sz="0" w:space="0" w:color="auto"/>
                            <w:right w:val="none" w:sz="0" w:space="0" w:color="auto"/>
                          </w:divBdr>
                          <w:divsChild>
                            <w:div w:id="203260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6079093">
      <w:bodyDiv w:val="1"/>
      <w:marLeft w:val="0"/>
      <w:marRight w:val="0"/>
      <w:marTop w:val="0"/>
      <w:marBottom w:val="0"/>
      <w:divBdr>
        <w:top w:val="none" w:sz="0" w:space="0" w:color="auto"/>
        <w:left w:val="none" w:sz="0" w:space="0" w:color="auto"/>
        <w:bottom w:val="none" w:sz="0" w:space="0" w:color="auto"/>
        <w:right w:val="none" w:sz="0" w:space="0" w:color="auto"/>
      </w:divBdr>
      <w:divsChild>
        <w:div w:id="350375241">
          <w:marLeft w:val="0"/>
          <w:marRight w:val="0"/>
          <w:marTop w:val="0"/>
          <w:marBottom w:val="0"/>
          <w:divBdr>
            <w:top w:val="none" w:sz="0" w:space="0" w:color="auto"/>
            <w:left w:val="none" w:sz="0" w:space="0" w:color="auto"/>
            <w:bottom w:val="none" w:sz="0" w:space="0" w:color="auto"/>
            <w:right w:val="none" w:sz="0" w:space="0" w:color="auto"/>
          </w:divBdr>
          <w:divsChild>
            <w:div w:id="1368675898">
              <w:marLeft w:val="0"/>
              <w:marRight w:val="0"/>
              <w:marTop w:val="0"/>
              <w:marBottom w:val="0"/>
              <w:divBdr>
                <w:top w:val="none" w:sz="0" w:space="0" w:color="auto"/>
                <w:left w:val="none" w:sz="0" w:space="0" w:color="auto"/>
                <w:bottom w:val="none" w:sz="0" w:space="0" w:color="auto"/>
                <w:right w:val="none" w:sz="0" w:space="0" w:color="auto"/>
              </w:divBdr>
              <w:divsChild>
                <w:div w:id="1136340690">
                  <w:marLeft w:val="0"/>
                  <w:marRight w:val="0"/>
                  <w:marTop w:val="0"/>
                  <w:marBottom w:val="0"/>
                  <w:divBdr>
                    <w:top w:val="none" w:sz="0" w:space="0" w:color="auto"/>
                    <w:left w:val="none" w:sz="0" w:space="0" w:color="auto"/>
                    <w:bottom w:val="none" w:sz="0" w:space="0" w:color="auto"/>
                    <w:right w:val="none" w:sz="0" w:space="0" w:color="auto"/>
                  </w:divBdr>
                  <w:divsChild>
                    <w:div w:id="1697003045">
                      <w:marLeft w:val="0"/>
                      <w:marRight w:val="0"/>
                      <w:marTop w:val="0"/>
                      <w:marBottom w:val="0"/>
                      <w:divBdr>
                        <w:top w:val="none" w:sz="0" w:space="0" w:color="auto"/>
                        <w:left w:val="none" w:sz="0" w:space="0" w:color="auto"/>
                        <w:bottom w:val="none" w:sz="0" w:space="0" w:color="auto"/>
                        <w:right w:val="none" w:sz="0" w:space="0" w:color="auto"/>
                      </w:divBdr>
                      <w:divsChild>
                        <w:div w:id="445319798">
                          <w:marLeft w:val="0"/>
                          <w:marRight w:val="0"/>
                          <w:marTop w:val="0"/>
                          <w:marBottom w:val="0"/>
                          <w:divBdr>
                            <w:top w:val="none" w:sz="0" w:space="0" w:color="auto"/>
                            <w:left w:val="none" w:sz="0" w:space="0" w:color="auto"/>
                            <w:bottom w:val="none" w:sz="0" w:space="0" w:color="auto"/>
                            <w:right w:val="none" w:sz="0" w:space="0" w:color="auto"/>
                          </w:divBdr>
                          <w:divsChild>
                            <w:div w:id="214434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E96D21-84C7-4C09-A2B0-5580CDC2720F}"/>
</file>

<file path=customXml/itemProps2.xml><?xml version="1.0" encoding="utf-8"?>
<ds:datastoreItem xmlns:ds="http://schemas.openxmlformats.org/officeDocument/2006/customXml" ds:itemID="{ED51BB72-41CD-4974-9B5B-4222B10F1196}"/>
</file>

<file path=customXml/itemProps3.xml><?xml version="1.0" encoding="utf-8"?>
<ds:datastoreItem xmlns:ds="http://schemas.openxmlformats.org/officeDocument/2006/customXml" ds:itemID="{4F0E9E05-B17A-4BB3-A4B8-9EE04D54C077}"/>
</file>

<file path=customXml/itemProps4.xml><?xml version="1.0" encoding="utf-8"?>
<ds:datastoreItem xmlns:ds="http://schemas.openxmlformats.org/officeDocument/2006/customXml" ds:itemID="{A92C1D5E-3398-4066-B044-8E8B11875D10}"/>
</file>

<file path=docProps/app.xml><?xml version="1.0" encoding="utf-8"?>
<Properties xmlns="http://schemas.openxmlformats.org/officeDocument/2006/extended-properties" xmlns:vt="http://schemas.openxmlformats.org/officeDocument/2006/docPropsVTypes">
  <Template>Normal.dotm</Template>
  <TotalTime>0</TotalTime>
  <Pages>1</Pages>
  <Words>5506</Words>
  <Characters>31386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2019-08-31T10:42:00Z</dcterms:created>
  <dcterms:modified xsi:type="dcterms:W3CDTF">2019-08-31T10:42:00Z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57468/08</vt:lpwstr>
  </property>
  <property fmtid="{D5CDD505-2E9C-101B-9397-08002B2CF9AE}" pid="4" name="CASEID">
    <vt:lpwstr>541609</vt:lpwstr>
  </property>
  <property fmtid="{D5CDD505-2E9C-101B-9397-08002B2CF9AE}" pid="5" name="ContentTypeId">
    <vt:lpwstr>0x010100558EB02BDB9E204AB350EDD385B68E10</vt:lpwstr>
  </property>
</Properties>
</file>