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E5BF8" w:rsidR="00EE5BF8" w:rsidP="00EE5BF8" w:rsidRDefault="00EE5BF8">
      <w:pPr>
        <w:jc w:val="center"/>
        <w:rPr>
          <w:lang w:val="fr-FR"/>
        </w:rPr>
      </w:pPr>
    </w:p>
    <w:p w:rsidRPr="00EE5BF8" w:rsidR="002D2C99" w:rsidP="00EE5BF8" w:rsidRDefault="00420FEF">
      <w:pPr>
        <w:jc w:val="center"/>
        <w:rPr>
          <w:lang w:val="fr-FR"/>
        </w:rPr>
      </w:pPr>
    </w:p>
    <w:p w:rsidRPr="00EE5BF8" w:rsidR="002D2C99" w:rsidP="00EE5BF8" w:rsidRDefault="00641AA2">
      <w:pPr>
        <w:tabs>
          <w:tab w:val="left" w:pos="5529"/>
        </w:tabs>
        <w:jc w:val="center"/>
        <w:rPr>
          <w:lang w:val="fr-FR"/>
        </w:rPr>
      </w:pPr>
      <w:r w:rsidRPr="00EE5BF8">
        <w:rPr>
          <w:lang w:val="fr-FR"/>
        </w:rPr>
        <w:t>PREMIÈRE SECTION</w:t>
      </w:r>
    </w:p>
    <w:p w:rsidRPr="00EE5BF8" w:rsidR="002D2C99" w:rsidP="00EE5BF8" w:rsidRDefault="00420FEF">
      <w:pPr>
        <w:jc w:val="center"/>
        <w:rPr>
          <w:lang w:val="fr-FR"/>
        </w:rPr>
      </w:pPr>
    </w:p>
    <w:p w:rsidRPr="00EE5BF8" w:rsidR="004840F1" w:rsidP="00EE5BF8" w:rsidRDefault="00420FEF">
      <w:pPr>
        <w:jc w:val="center"/>
        <w:rPr>
          <w:lang w:val="fr-FR"/>
        </w:rPr>
      </w:pPr>
    </w:p>
    <w:p w:rsidRPr="00EE5BF8" w:rsidR="00EE5BF8" w:rsidP="00EE5BF8" w:rsidRDefault="00EE5BF8">
      <w:pPr>
        <w:jc w:val="center"/>
        <w:rPr>
          <w:lang w:val="fr-FR"/>
        </w:rPr>
      </w:pPr>
    </w:p>
    <w:p w:rsidRPr="00EE5BF8" w:rsidR="00EE5BF8" w:rsidP="00EE5BF8" w:rsidRDefault="00EE5BF8">
      <w:pPr>
        <w:jc w:val="center"/>
        <w:rPr>
          <w:lang w:val="fr-FR"/>
        </w:rPr>
      </w:pPr>
    </w:p>
    <w:p w:rsidRPr="00EE5BF8" w:rsidR="00CA4473" w:rsidP="00EE5BF8" w:rsidRDefault="00420FEF">
      <w:pPr>
        <w:jc w:val="center"/>
        <w:rPr>
          <w:lang w:val="fr-FR"/>
        </w:rPr>
      </w:pPr>
    </w:p>
    <w:p w:rsidRPr="00EE5BF8" w:rsidR="002D2C99" w:rsidP="00EE5BF8" w:rsidRDefault="00420FEF">
      <w:pPr>
        <w:jc w:val="center"/>
        <w:rPr>
          <w:lang w:val="fr-FR"/>
        </w:rPr>
      </w:pPr>
    </w:p>
    <w:p w:rsidRPr="00EE5BF8" w:rsidR="002D2C99" w:rsidP="00EE5BF8" w:rsidRDefault="007A534F">
      <w:pPr>
        <w:jc w:val="center"/>
        <w:outlineLvl w:val="0"/>
        <w:rPr>
          <w:b/>
          <w:lang w:val="fr-FR"/>
        </w:rPr>
      </w:pPr>
      <w:r w:rsidRPr="00EE5BF8">
        <w:rPr>
          <w:b/>
          <w:lang w:val="fr-FR"/>
        </w:rPr>
        <w:t xml:space="preserve">AFFAIRE </w:t>
      </w:r>
      <w:r w:rsidRPr="00EE5BF8" w:rsidR="00641AA2">
        <w:rPr>
          <w:b/>
          <w:lang w:val="fr-FR"/>
        </w:rPr>
        <w:t>ZAPPA S.A.S. c. ITALIE</w:t>
      </w:r>
    </w:p>
    <w:p w:rsidRPr="00EE5BF8" w:rsidR="002D2C99" w:rsidP="00EE5BF8" w:rsidRDefault="00420FEF">
      <w:pPr>
        <w:jc w:val="center"/>
        <w:rPr>
          <w:lang w:val="fr-FR"/>
        </w:rPr>
      </w:pPr>
    </w:p>
    <w:p w:rsidRPr="00EE5BF8" w:rsidR="002D2C99" w:rsidP="00EE5BF8" w:rsidRDefault="007A534F">
      <w:pPr>
        <w:jc w:val="center"/>
        <w:rPr>
          <w:i/>
          <w:lang w:val="fr-FR"/>
        </w:rPr>
      </w:pPr>
      <w:r w:rsidRPr="00EE5BF8">
        <w:rPr>
          <w:i/>
          <w:lang w:val="fr-FR"/>
        </w:rPr>
        <w:t>(</w:t>
      </w:r>
      <w:r w:rsidRPr="00EE5BF8" w:rsidR="00641AA2">
        <w:rPr>
          <w:i/>
          <w:lang w:val="fr-FR"/>
        </w:rPr>
        <w:t>Requête n</w:t>
      </w:r>
      <w:r w:rsidRPr="00EE5BF8" w:rsidR="00641AA2">
        <w:rPr>
          <w:i/>
          <w:vertAlign w:val="superscript"/>
          <w:lang w:val="fr-FR"/>
        </w:rPr>
        <w:t>o</w:t>
      </w:r>
      <w:r w:rsidRPr="00EE5BF8">
        <w:rPr>
          <w:i/>
          <w:lang w:val="fr-FR"/>
        </w:rPr>
        <w:t xml:space="preserve"> </w:t>
      </w:r>
      <w:r w:rsidRPr="00EE5BF8" w:rsidR="00641AA2">
        <w:rPr>
          <w:i/>
          <w:lang w:val="fr-FR"/>
        </w:rPr>
        <w:t>43842/11</w:t>
      </w:r>
      <w:r w:rsidRPr="00EE5BF8">
        <w:rPr>
          <w:i/>
          <w:lang w:val="fr-FR"/>
        </w:rPr>
        <w:t>)</w:t>
      </w:r>
    </w:p>
    <w:p w:rsidRPr="00EE5BF8" w:rsidR="002D2C99" w:rsidP="00EE5BF8" w:rsidRDefault="00420FEF">
      <w:pPr>
        <w:jc w:val="center"/>
        <w:rPr>
          <w:lang w:val="fr-FR"/>
        </w:rPr>
      </w:pPr>
    </w:p>
    <w:p w:rsidRPr="00EE5BF8" w:rsidR="002D2C99" w:rsidP="00EE5BF8" w:rsidRDefault="00420FEF">
      <w:pPr>
        <w:jc w:val="center"/>
        <w:rPr>
          <w:lang w:val="fr-FR"/>
        </w:rPr>
      </w:pPr>
    </w:p>
    <w:p w:rsidRPr="00EE5BF8" w:rsidR="002D2C99" w:rsidP="00EE5BF8" w:rsidRDefault="00420FEF">
      <w:pPr>
        <w:jc w:val="center"/>
        <w:rPr>
          <w:lang w:val="fr-FR"/>
        </w:rPr>
      </w:pPr>
    </w:p>
    <w:p w:rsidRPr="00EE5BF8" w:rsidR="002D2C99" w:rsidP="00EE5BF8" w:rsidRDefault="00420FEF">
      <w:pPr>
        <w:jc w:val="center"/>
        <w:rPr>
          <w:lang w:val="fr-FR"/>
        </w:rPr>
      </w:pPr>
    </w:p>
    <w:p w:rsidRPr="00EE5BF8" w:rsidR="002D2C99" w:rsidP="00EE5BF8" w:rsidRDefault="00420FEF">
      <w:pPr>
        <w:jc w:val="center"/>
        <w:rPr>
          <w:lang w:val="fr-FR"/>
        </w:rPr>
      </w:pPr>
    </w:p>
    <w:p w:rsidRPr="00EE5BF8" w:rsidR="002D2C99" w:rsidP="00EE5BF8" w:rsidRDefault="00420FEF">
      <w:pPr>
        <w:jc w:val="center"/>
        <w:rPr>
          <w:lang w:val="fr-FR"/>
        </w:rPr>
      </w:pPr>
    </w:p>
    <w:p w:rsidRPr="00EE5BF8" w:rsidR="002D2C99" w:rsidP="00EE5BF8" w:rsidRDefault="00420FEF">
      <w:pPr>
        <w:jc w:val="center"/>
        <w:rPr>
          <w:lang w:val="fr-FR"/>
        </w:rPr>
      </w:pPr>
    </w:p>
    <w:p w:rsidRPr="00EE5BF8" w:rsidR="00EE5BF8" w:rsidP="00EE5BF8" w:rsidRDefault="00EE5BF8">
      <w:pPr>
        <w:jc w:val="center"/>
        <w:rPr>
          <w:lang w:val="fr-FR"/>
        </w:rPr>
      </w:pPr>
    </w:p>
    <w:p w:rsidRPr="00EE5BF8" w:rsidR="002D2C99" w:rsidP="00EE5BF8" w:rsidRDefault="00420FEF">
      <w:pPr>
        <w:jc w:val="center"/>
        <w:rPr>
          <w:lang w:val="fr-FR"/>
        </w:rPr>
      </w:pPr>
    </w:p>
    <w:p w:rsidRPr="00EE5BF8" w:rsidR="002D2C99" w:rsidP="00EE5BF8" w:rsidRDefault="007A534F">
      <w:pPr>
        <w:jc w:val="center"/>
        <w:outlineLvl w:val="0"/>
        <w:rPr>
          <w:lang w:val="fr-FR"/>
        </w:rPr>
      </w:pPr>
      <w:r w:rsidRPr="00EE5BF8">
        <w:rPr>
          <w:lang w:val="fr-FR"/>
        </w:rPr>
        <w:t>ARRÊT</w:t>
      </w:r>
    </w:p>
    <w:p w:rsidRPr="00EE5BF8" w:rsidR="002D2C99" w:rsidP="00EE5BF8" w:rsidRDefault="00420FEF">
      <w:pPr>
        <w:jc w:val="center"/>
        <w:rPr>
          <w:i/>
          <w:lang w:val="fr-FR"/>
        </w:rPr>
      </w:pPr>
    </w:p>
    <w:p w:rsidRPr="00EE5BF8" w:rsidR="00EE5BF8" w:rsidP="00EE5BF8" w:rsidRDefault="00EE5BF8">
      <w:pPr>
        <w:jc w:val="center"/>
        <w:rPr>
          <w:i/>
          <w:lang w:val="fr-FR"/>
        </w:rPr>
      </w:pPr>
    </w:p>
    <w:p w:rsidRPr="00EE5BF8" w:rsidR="00EE5BF8" w:rsidP="00EE5BF8" w:rsidRDefault="00EE5BF8">
      <w:pPr>
        <w:jc w:val="center"/>
        <w:rPr>
          <w:i/>
          <w:lang w:val="fr-FR"/>
        </w:rPr>
      </w:pPr>
    </w:p>
    <w:p w:rsidRPr="00EE5BF8" w:rsidR="002D2C99" w:rsidP="00EE5BF8" w:rsidRDefault="00420FEF">
      <w:pPr>
        <w:jc w:val="center"/>
        <w:rPr>
          <w:lang w:val="fr-FR"/>
        </w:rPr>
      </w:pPr>
    </w:p>
    <w:p w:rsidRPr="00EE5BF8" w:rsidR="002D2C99" w:rsidP="00EE5BF8" w:rsidRDefault="007A534F">
      <w:pPr>
        <w:jc w:val="center"/>
        <w:outlineLvl w:val="0"/>
        <w:rPr>
          <w:lang w:val="fr-FR"/>
        </w:rPr>
      </w:pPr>
      <w:r w:rsidRPr="00EE5BF8">
        <w:rPr>
          <w:lang w:val="fr-FR"/>
        </w:rPr>
        <w:t>STRASBOURG</w:t>
      </w:r>
    </w:p>
    <w:p w:rsidRPr="00EE5BF8" w:rsidR="002D2C99" w:rsidP="00EE5BF8" w:rsidRDefault="00420FEF">
      <w:pPr>
        <w:jc w:val="center"/>
        <w:rPr>
          <w:lang w:val="fr-FR"/>
        </w:rPr>
      </w:pPr>
    </w:p>
    <w:p w:rsidRPr="00EE5BF8" w:rsidR="00EA2502" w:rsidP="00EE5BF8" w:rsidRDefault="00641AA2">
      <w:pPr>
        <w:jc w:val="center"/>
        <w:rPr>
          <w:szCs w:val="24"/>
          <w:lang w:val="fr-FR"/>
        </w:rPr>
      </w:pPr>
      <w:r w:rsidRPr="00EE5BF8">
        <w:rPr>
          <w:szCs w:val="24"/>
          <w:lang w:val="fr-FR"/>
        </w:rPr>
        <w:t>4 juillet 2019</w:t>
      </w:r>
    </w:p>
    <w:p w:rsidRPr="00EE5BF8" w:rsidR="00734CF5" w:rsidP="00EE5BF8" w:rsidRDefault="00734CF5">
      <w:pPr>
        <w:jc w:val="center"/>
        <w:rPr>
          <w:lang w:val="fr-FR"/>
        </w:rPr>
      </w:pPr>
    </w:p>
    <w:p w:rsidRPr="00EE5BF8" w:rsidR="002D2C99" w:rsidP="00EE5BF8" w:rsidRDefault="00420FEF">
      <w:pPr>
        <w:jc w:val="center"/>
        <w:rPr>
          <w:lang w:val="fr-FR"/>
        </w:rPr>
      </w:pPr>
    </w:p>
    <w:p w:rsidR="003E25A7" w:rsidP="003E25A7" w:rsidRDefault="003E25A7">
      <w:pPr>
        <w:pStyle w:val="jucase0"/>
        <w:ind w:firstLine="0"/>
        <w:jc w:val="center"/>
        <w:rPr>
          <w:color w:val="FF0000"/>
          <w:sz w:val="28"/>
          <w:szCs w:val="28"/>
          <w:u w:val="single"/>
          <w:lang w:val="fr-FR"/>
        </w:rPr>
      </w:pPr>
      <w:r>
        <w:rPr>
          <w:color w:val="FF0000"/>
          <w:sz w:val="28"/>
          <w:szCs w:val="28"/>
          <w:u w:val="single"/>
          <w:lang w:val="fr-FR"/>
        </w:rPr>
        <w:t>DÉFINITIF</w:t>
      </w:r>
    </w:p>
    <w:p w:rsidR="003E25A7" w:rsidP="003E25A7" w:rsidRDefault="003E25A7">
      <w:pPr>
        <w:pStyle w:val="jupara"/>
        <w:tabs>
          <w:tab w:val="left" w:pos="3450"/>
        </w:tabs>
        <w:ind w:firstLine="0"/>
        <w:jc w:val="center"/>
        <w:rPr>
          <w:color w:val="FF0000"/>
          <w:sz w:val="28"/>
          <w:szCs w:val="28"/>
          <w:lang w:val="fr-FR"/>
        </w:rPr>
      </w:pPr>
    </w:p>
    <w:p w:rsidR="003E25A7" w:rsidP="003E25A7" w:rsidRDefault="003E25A7">
      <w:pPr>
        <w:pStyle w:val="jupara"/>
        <w:ind w:firstLine="0"/>
        <w:jc w:val="center"/>
        <w:rPr>
          <w:color w:val="FF0000"/>
          <w:sz w:val="28"/>
          <w:szCs w:val="28"/>
          <w:lang w:val="fr-FR"/>
        </w:rPr>
      </w:pPr>
      <w:r>
        <w:rPr>
          <w:color w:val="FF0000"/>
          <w:sz w:val="28"/>
          <w:szCs w:val="28"/>
          <w:lang w:val="fr-FR"/>
        </w:rPr>
        <w:t>04/10/2019</w:t>
      </w:r>
    </w:p>
    <w:p w:rsidR="003E25A7" w:rsidP="003E25A7" w:rsidRDefault="003E25A7">
      <w:pPr>
        <w:pStyle w:val="jupara"/>
        <w:ind w:firstLine="0"/>
        <w:jc w:val="center"/>
        <w:rPr>
          <w:u w:val="single"/>
          <w:lang w:val="fr-FR"/>
        </w:rPr>
      </w:pPr>
    </w:p>
    <w:p w:rsidRPr="00EE5BF8" w:rsidR="002D2C99" w:rsidP="003E25A7" w:rsidRDefault="003E25A7">
      <w:pPr>
        <w:jc w:val="center"/>
        <w:rPr>
          <w:i/>
          <w:lang w:val="fr-FR"/>
        </w:rPr>
      </w:pPr>
      <w:r>
        <w:rPr>
          <w:i/>
          <w:iCs/>
          <w:sz w:val="22"/>
          <w:lang w:val="fr-FR"/>
        </w:rPr>
        <w:t>Cet arrêt est devenu définitif en vertu de l’article 44 § 2 de la Convention. Il peut subir des retouches de forme.</w:t>
      </w:r>
    </w:p>
    <w:p w:rsidRPr="00EE5BF8" w:rsidR="002D2C99" w:rsidP="00EE5BF8" w:rsidRDefault="00420FEF">
      <w:pPr>
        <w:rPr>
          <w:lang w:val="fr-FR"/>
        </w:rPr>
        <w:sectPr w:rsidRPr="00EE5BF8" w:rsidR="002D2C99" w:rsidSect="00F5432B">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EE5BF8" w:rsidR="002D2C99" w:rsidP="00EE5BF8" w:rsidRDefault="007A534F">
      <w:pPr>
        <w:pStyle w:val="JuCase"/>
        <w:rPr>
          <w:lang w:val="fr-FR"/>
        </w:rPr>
      </w:pPr>
      <w:r w:rsidRPr="00EE5BF8">
        <w:rPr>
          <w:lang w:val="fr-FR"/>
        </w:rPr>
        <w:t>En l</w:t>
      </w:r>
      <w:r w:rsidRPr="00EE5BF8" w:rsidR="00EE5BF8">
        <w:rPr>
          <w:lang w:val="fr-FR"/>
        </w:rPr>
        <w:t>’</w:t>
      </w:r>
      <w:r w:rsidRPr="00EE5BF8">
        <w:rPr>
          <w:lang w:val="fr-FR"/>
        </w:rPr>
        <w:t xml:space="preserve">affaire </w:t>
      </w:r>
      <w:r w:rsidRPr="00EE5BF8" w:rsidR="00641AA2">
        <w:rPr>
          <w:lang w:val="fr-FR"/>
        </w:rPr>
        <w:t xml:space="preserve">Zappa </w:t>
      </w:r>
      <w:proofErr w:type="spellStart"/>
      <w:r w:rsidRPr="00EE5BF8" w:rsidR="00641AA2">
        <w:rPr>
          <w:lang w:val="fr-FR"/>
        </w:rPr>
        <w:t>S.</w:t>
      </w:r>
      <w:r w:rsidRPr="00EE5BF8" w:rsidR="00124981">
        <w:rPr>
          <w:lang w:val="fr-FR"/>
        </w:rPr>
        <w:t>a</w:t>
      </w:r>
      <w:r w:rsidRPr="00EE5BF8" w:rsidR="00641AA2">
        <w:rPr>
          <w:lang w:val="fr-FR"/>
        </w:rPr>
        <w:t>.</w:t>
      </w:r>
      <w:r w:rsidRPr="00EE5BF8" w:rsidR="00124981">
        <w:rPr>
          <w:lang w:val="fr-FR"/>
        </w:rPr>
        <w:t>s</w:t>
      </w:r>
      <w:proofErr w:type="spellEnd"/>
      <w:r w:rsidRPr="00EE5BF8" w:rsidR="00641AA2">
        <w:rPr>
          <w:lang w:val="fr-FR"/>
        </w:rPr>
        <w:t>. c. Italie</w:t>
      </w:r>
      <w:r w:rsidRPr="00EE5BF8">
        <w:rPr>
          <w:lang w:val="fr-FR"/>
        </w:rPr>
        <w:t>,</w:t>
      </w:r>
      <w:bookmarkStart w:name="_GoBack" w:id="0"/>
      <w:bookmarkEnd w:id="0"/>
    </w:p>
    <w:p w:rsidRPr="00EE5BF8" w:rsidR="00777C71" w:rsidP="00EE5BF8" w:rsidRDefault="007A534F">
      <w:pPr>
        <w:pStyle w:val="ECHRPara"/>
        <w:rPr>
          <w:lang w:val="fr-FR"/>
        </w:rPr>
      </w:pPr>
      <w:r w:rsidRPr="00EE5BF8">
        <w:rPr>
          <w:lang w:val="fr-FR"/>
        </w:rPr>
        <w:t>La Cour européenne des droits de l</w:t>
      </w:r>
      <w:r w:rsidRPr="00EE5BF8" w:rsidR="00EE5BF8">
        <w:rPr>
          <w:lang w:val="fr-FR"/>
        </w:rPr>
        <w:t>’</w:t>
      </w:r>
      <w:r w:rsidRPr="00EE5BF8">
        <w:rPr>
          <w:lang w:val="fr-FR"/>
        </w:rPr>
        <w:t>homme (</w:t>
      </w:r>
      <w:r w:rsidRPr="00EE5BF8" w:rsidR="00641AA2">
        <w:rPr>
          <w:lang w:val="fr-FR"/>
        </w:rPr>
        <w:t>première section</w:t>
      </w:r>
      <w:r w:rsidRPr="00EE5BF8">
        <w:rPr>
          <w:lang w:val="fr-FR"/>
        </w:rPr>
        <w:t xml:space="preserve">), siégeant en </w:t>
      </w:r>
      <w:r w:rsidRPr="00EE5BF8" w:rsidR="00641AA2">
        <w:rPr>
          <w:color w:val="000000"/>
          <w:lang w:val="fr-FR"/>
        </w:rPr>
        <w:t>une</w:t>
      </w:r>
      <w:r w:rsidRPr="00EE5BF8" w:rsidR="00641AA2">
        <w:rPr>
          <w:lang w:val="fr-FR"/>
        </w:rPr>
        <w:t xml:space="preserve"> Chambre composée</w:t>
      </w:r>
      <w:r w:rsidRPr="00EE5BF8">
        <w:rPr>
          <w:lang w:val="fr-FR"/>
        </w:rPr>
        <w:t xml:space="preserve"> de :</w:t>
      </w:r>
    </w:p>
    <w:p w:rsidRPr="00EE5BF8" w:rsidR="00777C71" w:rsidP="00EE5BF8" w:rsidRDefault="00AB0FD5">
      <w:pPr>
        <w:pStyle w:val="ECHRDecisionBody"/>
        <w:rPr>
          <w:lang w:val="fr-FR"/>
        </w:rPr>
      </w:pPr>
      <w:r w:rsidRPr="00EE5BF8">
        <w:rPr>
          <w:lang w:val="fr-FR"/>
        </w:rPr>
        <w:tab/>
      </w:r>
      <w:proofErr w:type="spellStart"/>
      <w:r w:rsidRPr="00EE5BF8">
        <w:rPr>
          <w:lang w:val="fr-FR"/>
        </w:rPr>
        <w:t>Ksenija</w:t>
      </w:r>
      <w:proofErr w:type="spellEnd"/>
      <w:r w:rsidRPr="00EE5BF8">
        <w:rPr>
          <w:lang w:val="fr-FR"/>
        </w:rPr>
        <w:t xml:space="preserve"> </w:t>
      </w:r>
      <w:proofErr w:type="spellStart"/>
      <w:r w:rsidRPr="00EE5BF8">
        <w:rPr>
          <w:lang w:val="fr-FR"/>
        </w:rPr>
        <w:t>Turković</w:t>
      </w:r>
      <w:proofErr w:type="spellEnd"/>
      <w:r w:rsidRPr="00EE5BF8">
        <w:rPr>
          <w:lang w:val="fr-FR"/>
        </w:rPr>
        <w:t>,</w:t>
      </w:r>
      <w:r w:rsidRPr="00EE5BF8">
        <w:rPr>
          <w:i/>
          <w:lang w:val="fr-FR"/>
        </w:rPr>
        <w:t xml:space="preserve"> présidente,</w:t>
      </w:r>
      <w:r w:rsidRPr="00EE5BF8">
        <w:rPr>
          <w:i/>
          <w:lang w:val="fr-FR"/>
        </w:rPr>
        <w:br/>
      </w:r>
      <w:r w:rsidRPr="00EE5BF8">
        <w:rPr>
          <w:lang w:val="fr-FR"/>
        </w:rPr>
        <w:tab/>
      </w:r>
      <w:proofErr w:type="spellStart"/>
      <w:r w:rsidRPr="00EE5BF8">
        <w:rPr>
          <w:lang w:val="fr-FR"/>
        </w:rPr>
        <w:t>Aleš</w:t>
      </w:r>
      <w:proofErr w:type="spellEnd"/>
      <w:r w:rsidRPr="00EE5BF8">
        <w:rPr>
          <w:lang w:val="fr-FR"/>
        </w:rPr>
        <w:t xml:space="preserve"> </w:t>
      </w:r>
      <w:proofErr w:type="spellStart"/>
      <w:r w:rsidRPr="00EE5BF8">
        <w:rPr>
          <w:lang w:val="fr-FR"/>
        </w:rPr>
        <w:t>Pejchal</w:t>
      </w:r>
      <w:proofErr w:type="spellEnd"/>
      <w:r w:rsidRPr="00EE5BF8">
        <w:rPr>
          <w:lang w:val="fr-FR"/>
        </w:rPr>
        <w:t>,</w:t>
      </w:r>
      <w:r w:rsidRPr="00EE5BF8">
        <w:rPr>
          <w:i/>
          <w:lang w:val="fr-FR"/>
        </w:rPr>
        <w:br/>
      </w:r>
      <w:r w:rsidRPr="00EE5BF8">
        <w:rPr>
          <w:lang w:val="fr-FR"/>
        </w:rPr>
        <w:tab/>
      </w:r>
      <w:proofErr w:type="spellStart"/>
      <w:r w:rsidRPr="00EE5BF8">
        <w:rPr>
          <w:lang w:val="fr-FR"/>
        </w:rPr>
        <w:t>Armen</w:t>
      </w:r>
      <w:proofErr w:type="spellEnd"/>
      <w:r w:rsidRPr="00EE5BF8">
        <w:rPr>
          <w:lang w:val="fr-FR"/>
        </w:rPr>
        <w:t xml:space="preserve"> </w:t>
      </w:r>
      <w:proofErr w:type="spellStart"/>
      <w:r w:rsidRPr="00EE5BF8">
        <w:rPr>
          <w:lang w:val="fr-FR"/>
        </w:rPr>
        <w:t>Harutyunyan</w:t>
      </w:r>
      <w:proofErr w:type="spellEnd"/>
      <w:r w:rsidRPr="00EE5BF8">
        <w:rPr>
          <w:lang w:val="fr-FR"/>
        </w:rPr>
        <w:t>,</w:t>
      </w:r>
      <w:r w:rsidRPr="00EE5BF8">
        <w:rPr>
          <w:i/>
          <w:lang w:val="fr-FR"/>
        </w:rPr>
        <w:br/>
      </w:r>
      <w:r w:rsidRPr="00EE5BF8">
        <w:rPr>
          <w:lang w:val="fr-FR"/>
        </w:rPr>
        <w:tab/>
      </w:r>
      <w:proofErr w:type="spellStart"/>
      <w:r w:rsidRPr="00EE5BF8">
        <w:rPr>
          <w:lang w:val="fr-FR"/>
        </w:rPr>
        <w:t>Pere</w:t>
      </w:r>
      <w:proofErr w:type="spellEnd"/>
      <w:r w:rsidRPr="00EE5BF8">
        <w:rPr>
          <w:lang w:val="fr-FR"/>
        </w:rPr>
        <w:t xml:space="preserve"> </w:t>
      </w:r>
      <w:proofErr w:type="spellStart"/>
      <w:r w:rsidRPr="00EE5BF8">
        <w:rPr>
          <w:lang w:val="fr-FR"/>
        </w:rPr>
        <w:t>Pastor</w:t>
      </w:r>
      <w:proofErr w:type="spellEnd"/>
      <w:r w:rsidRPr="00EE5BF8">
        <w:rPr>
          <w:lang w:val="fr-FR"/>
        </w:rPr>
        <w:t xml:space="preserve"> </w:t>
      </w:r>
      <w:proofErr w:type="spellStart"/>
      <w:r w:rsidRPr="00EE5BF8">
        <w:rPr>
          <w:lang w:val="fr-FR"/>
        </w:rPr>
        <w:t>Vilanova</w:t>
      </w:r>
      <w:proofErr w:type="spellEnd"/>
      <w:r w:rsidRPr="00EE5BF8">
        <w:rPr>
          <w:lang w:val="fr-FR"/>
        </w:rPr>
        <w:t>,</w:t>
      </w:r>
      <w:r w:rsidRPr="00EE5BF8">
        <w:rPr>
          <w:i/>
          <w:lang w:val="fr-FR"/>
        </w:rPr>
        <w:br/>
      </w:r>
      <w:r w:rsidRPr="00EE5BF8">
        <w:rPr>
          <w:lang w:val="fr-FR"/>
        </w:rPr>
        <w:tab/>
        <w:t xml:space="preserve">Tim </w:t>
      </w:r>
      <w:proofErr w:type="spellStart"/>
      <w:r w:rsidRPr="00EE5BF8">
        <w:rPr>
          <w:lang w:val="fr-FR"/>
        </w:rPr>
        <w:t>Eicke</w:t>
      </w:r>
      <w:proofErr w:type="spellEnd"/>
      <w:r w:rsidRPr="00EE5BF8">
        <w:rPr>
          <w:lang w:val="fr-FR"/>
        </w:rPr>
        <w:t>,</w:t>
      </w:r>
      <w:r w:rsidRPr="00EE5BF8">
        <w:rPr>
          <w:i/>
          <w:lang w:val="fr-FR"/>
        </w:rPr>
        <w:br/>
      </w:r>
      <w:r w:rsidRPr="00EE5BF8">
        <w:rPr>
          <w:lang w:val="fr-FR"/>
        </w:rPr>
        <w:tab/>
        <w:t xml:space="preserve">Gilberto </w:t>
      </w:r>
      <w:proofErr w:type="spellStart"/>
      <w:r w:rsidRPr="00EE5BF8">
        <w:rPr>
          <w:lang w:val="fr-FR"/>
        </w:rPr>
        <w:t>Felici</w:t>
      </w:r>
      <w:proofErr w:type="spellEnd"/>
      <w:r w:rsidRPr="00EE5BF8">
        <w:rPr>
          <w:lang w:val="fr-FR"/>
        </w:rPr>
        <w:t>,</w:t>
      </w:r>
      <w:r w:rsidRPr="00EE5BF8">
        <w:rPr>
          <w:i/>
          <w:lang w:val="fr-FR"/>
        </w:rPr>
        <w:br/>
      </w:r>
      <w:r w:rsidRPr="00EE5BF8">
        <w:rPr>
          <w:lang w:val="fr-FR"/>
        </w:rPr>
        <w:tab/>
      </w:r>
      <w:proofErr w:type="spellStart"/>
      <w:r w:rsidRPr="00EE5BF8">
        <w:rPr>
          <w:lang w:val="fr-FR"/>
        </w:rPr>
        <w:t>Raffaele</w:t>
      </w:r>
      <w:proofErr w:type="spellEnd"/>
      <w:r w:rsidRPr="00EE5BF8">
        <w:rPr>
          <w:lang w:val="fr-FR"/>
        </w:rPr>
        <w:t xml:space="preserve"> Sabato,</w:t>
      </w:r>
      <w:r w:rsidRPr="00EE5BF8">
        <w:rPr>
          <w:i/>
          <w:lang w:val="fr-FR"/>
        </w:rPr>
        <w:t xml:space="preserve"> juges,</w:t>
      </w:r>
      <w:r w:rsidRPr="00EE5BF8">
        <w:rPr>
          <w:i/>
          <w:lang w:val="fr-FR"/>
        </w:rPr>
        <w:br/>
      </w:r>
      <w:r w:rsidRPr="00EE5BF8" w:rsidR="007A534F">
        <w:rPr>
          <w:lang w:val="fr-FR"/>
        </w:rPr>
        <w:t xml:space="preserve">et de </w:t>
      </w:r>
      <w:r w:rsidRPr="00EE5BF8" w:rsidR="00124981">
        <w:rPr>
          <w:lang w:val="fr-FR"/>
        </w:rPr>
        <w:t>Renata</w:t>
      </w:r>
      <w:r w:rsidRPr="00EE5BF8" w:rsidR="00641AA2">
        <w:rPr>
          <w:lang w:val="fr-FR"/>
        </w:rPr>
        <w:t xml:space="preserve"> </w:t>
      </w:r>
      <w:r w:rsidRPr="00EE5BF8" w:rsidR="00124981">
        <w:rPr>
          <w:lang w:val="fr-FR"/>
        </w:rPr>
        <w:t>Degener</w:t>
      </w:r>
      <w:r w:rsidRPr="00EE5BF8" w:rsidR="007A534F">
        <w:rPr>
          <w:lang w:val="fr-FR"/>
        </w:rPr>
        <w:t xml:space="preserve">, </w:t>
      </w:r>
      <w:r w:rsidRPr="00EE5BF8" w:rsidR="00124981">
        <w:rPr>
          <w:i/>
          <w:lang w:val="fr-FR"/>
        </w:rPr>
        <w:t>greffiè</w:t>
      </w:r>
      <w:r w:rsidRPr="00EE5BF8" w:rsidR="00641AA2">
        <w:rPr>
          <w:i/>
          <w:lang w:val="fr-FR"/>
        </w:rPr>
        <w:t>r</w:t>
      </w:r>
      <w:r w:rsidRPr="00EE5BF8" w:rsidR="00124981">
        <w:rPr>
          <w:i/>
          <w:lang w:val="fr-FR"/>
        </w:rPr>
        <w:t>e adjointe</w:t>
      </w:r>
      <w:r w:rsidRPr="00EE5BF8" w:rsidR="00641AA2">
        <w:rPr>
          <w:iCs/>
          <w:lang w:val="fr-FR"/>
        </w:rPr>
        <w:t xml:space="preserve"> </w:t>
      </w:r>
      <w:r w:rsidRPr="00EE5BF8" w:rsidR="00641AA2">
        <w:rPr>
          <w:i/>
          <w:iCs/>
          <w:lang w:val="fr-FR"/>
        </w:rPr>
        <w:t>d</w:t>
      </w:r>
      <w:r w:rsidRPr="00EE5BF8" w:rsidR="00641AA2">
        <w:rPr>
          <w:i/>
          <w:lang w:val="fr-FR"/>
        </w:rPr>
        <w:t>e section</w:t>
      </w:r>
      <w:r w:rsidRPr="00EE5BF8" w:rsidR="007A534F">
        <w:rPr>
          <w:lang w:val="fr-FR"/>
        </w:rPr>
        <w:t>,</w:t>
      </w:r>
    </w:p>
    <w:p w:rsidRPr="00EE5BF8" w:rsidR="00777C71" w:rsidP="00EE5BF8" w:rsidRDefault="007A534F">
      <w:pPr>
        <w:pStyle w:val="ECHRPara"/>
        <w:rPr>
          <w:lang w:val="fr-FR"/>
        </w:rPr>
      </w:pPr>
      <w:r w:rsidRPr="00EE5BF8">
        <w:rPr>
          <w:lang w:val="fr-FR"/>
        </w:rPr>
        <w:t xml:space="preserve">Après en avoir délibéré en chambre du conseil le </w:t>
      </w:r>
      <w:r w:rsidRPr="00EE5BF8" w:rsidR="00641AA2">
        <w:rPr>
          <w:szCs w:val="24"/>
          <w:lang w:val="fr-FR"/>
        </w:rPr>
        <w:t>11 juin 2019</w:t>
      </w:r>
      <w:r w:rsidRPr="00EE5BF8">
        <w:rPr>
          <w:lang w:val="fr-FR"/>
        </w:rPr>
        <w:t>,</w:t>
      </w:r>
    </w:p>
    <w:p w:rsidRPr="00EE5BF8" w:rsidR="00777C71" w:rsidP="00EE5BF8" w:rsidRDefault="007A534F">
      <w:pPr>
        <w:pStyle w:val="ECHRPara"/>
        <w:rPr>
          <w:lang w:val="fr-FR"/>
        </w:rPr>
      </w:pPr>
      <w:r w:rsidRPr="00EE5BF8">
        <w:rPr>
          <w:lang w:val="fr-FR"/>
        </w:rPr>
        <w:t>Rend l</w:t>
      </w:r>
      <w:r w:rsidRPr="00EE5BF8" w:rsidR="00EE5BF8">
        <w:rPr>
          <w:lang w:val="fr-FR"/>
        </w:rPr>
        <w:t>’</w:t>
      </w:r>
      <w:r w:rsidRPr="00EE5BF8">
        <w:rPr>
          <w:lang w:val="fr-FR"/>
        </w:rPr>
        <w:t>arrêt que voici, adopté à cette date :</w:t>
      </w:r>
    </w:p>
    <w:p w:rsidRPr="00EE5BF8" w:rsidR="00641AA2" w:rsidP="00EE5BF8" w:rsidRDefault="00641AA2">
      <w:pPr>
        <w:pStyle w:val="ECHRTitle1"/>
        <w:rPr>
          <w:lang w:val="fr-FR"/>
        </w:rPr>
      </w:pPr>
      <w:r w:rsidRPr="00EE5BF8">
        <w:rPr>
          <w:lang w:val="fr-FR"/>
        </w:rPr>
        <w:t>PROCÉDURE</w:t>
      </w:r>
    </w:p>
    <w:p w:rsidRPr="00EE5BF8" w:rsidR="00641AA2" w:rsidP="00EE5BF8" w:rsidRDefault="00641AA2">
      <w:pPr>
        <w:pStyle w:val="ECHRPara"/>
        <w:rPr>
          <w:lang w:val="fr-FR"/>
        </w:rPr>
      </w:pPr>
      <w:r w:rsidRPr="00EE5BF8">
        <w:rPr>
          <w:lang w:val="fr-FR"/>
        </w:rPr>
        <w:t>1.  À l</w:t>
      </w:r>
      <w:r w:rsidRPr="00EE5BF8" w:rsidR="00EE5BF8">
        <w:rPr>
          <w:lang w:val="fr-FR"/>
        </w:rPr>
        <w:t>’</w:t>
      </w:r>
      <w:r w:rsidRPr="00EE5BF8">
        <w:rPr>
          <w:lang w:val="fr-FR"/>
        </w:rPr>
        <w:t>origine de l</w:t>
      </w:r>
      <w:r w:rsidRPr="00EE5BF8" w:rsidR="00EE5BF8">
        <w:rPr>
          <w:lang w:val="fr-FR"/>
        </w:rPr>
        <w:t>’</w:t>
      </w:r>
      <w:r w:rsidRPr="00EE5BF8">
        <w:rPr>
          <w:lang w:val="fr-FR"/>
        </w:rPr>
        <w:t>affaire se trouve une requête (n</w:t>
      </w:r>
      <w:r w:rsidRPr="00EE5BF8">
        <w:rPr>
          <w:vertAlign w:val="superscript"/>
          <w:lang w:val="fr-FR"/>
        </w:rPr>
        <w:t>o</w:t>
      </w:r>
      <w:r w:rsidRPr="00EE5BF8">
        <w:rPr>
          <w:lang w:val="fr-FR"/>
        </w:rPr>
        <w:t xml:space="preserve"> 43842/11) dirigée contre la République italienne et dont une société de cet État, </w:t>
      </w:r>
      <w:r w:rsidRPr="00EE5BF8" w:rsidR="00124981">
        <w:rPr>
          <w:lang w:val="fr-FR"/>
        </w:rPr>
        <w:t xml:space="preserve">Zappa </w:t>
      </w:r>
      <w:proofErr w:type="spellStart"/>
      <w:r w:rsidRPr="00EE5BF8" w:rsidR="00124981">
        <w:rPr>
          <w:lang w:val="fr-FR"/>
        </w:rPr>
        <w:t>S.a</w:t>
      </w:r>
      <w:r w:rsidRPr="00EE5BF8">
        <w:rPr>
          <w:lang w:val="fr-FR"/>
        </w:rPr>
        <w:t>.</w:t>
      </w:r>
      <w:r w:rsidRPr="00EE5BF8" w:rsidR="00124981">
        <w:rPr>
          <w:lang w:val="fr-FR"/>
        </w:rPr>
        <w:t>s</w:t>
      </w:r>
      <w:proofErr w:type="spellEnd"/>
      <w:r w:rsidRPr="00EE5BF8">
        <w:rPr>
          <w:lang w:val="fr-FR"/>
        </w:rPr>
        <w:t>. (« la requérante »), a saisi la Cour le 7 juillet 2011 en vertu de l</w:t>
      </w:r>
      <w:r w:rsidRPr="00EE5BF8" w:rsidR="00EE5BF8">
        <w:rPr>
          <w:lang w:val="fr-FR"/>
        </w:rPr>
        <w:t>’</w:t>
      </w:r>
      <w:r w:rsidRPr="00EE5BF8">
        <w:rPr>
          <w:lang w:val="fr-FR"/>
        </w:rPr>
        <w:t>article 34 de la Convention de sauvegarde des droits de l</w:t>
      </w:r>
      <w:r w:rsidRPr="00EE5BF8" w:rsidR="00EE5BF8">
        <w:rPr>
          <w:lang w:val="fr-FR"/>
        </w:rPr>
        <w:t>’</w:t>
      </w:r>
      <w:r w:rsidRPr="00EE5BF8">
        <w:rPr>
          <w:lang w:val="fr-FR"/>
        </w:rPr>
        <w:t>homme et des libertés fondamentales (« la Convention »).</w:t>
      </w:r>
    </w:p>
    <w:p w:rsidRPr="00EE5BF8" w:rsidR="00641AA2" w:rsidP="00EE5BF8" w:rsidRDefault="00641AA2">
      <w:pPr>
        <w:pStyle w:val="ECHRPara"/>
        <w:rPr>
          <w:lang w:val="fr-FR"/>
        </w:rPr>
      </w:pPr>
      <w:r w:rsidRPr="00EE5BF8">
        <w:rPr>
          <w:lang w:val="fr-FR"/>
        </w:rPr>
        <w:t>2.  La requérante a été représentée par M</w:t>
      </w:r>
      <w:r w:rsidRPr="00EE5BF8">
        <w:rPr>
          <w:vertAlign w:val="superscript"/>
          <w:lang w:val="fr-FR"/>
        </w:rPr>
        <w:t>e</w:t>
      </w:r>
      <w:r w:rsidRPr="00EE5BF8">
        <w:rPr>
          <w:lang w:val="fr-FR"/>
        </w:rPr>
        <w:t xml:space="preserve"> I. </w:t>
      </w:r>
      <w:proofErr w:type="spellStart"/>
      <w:r w:rsidRPr="00EE5BF8">
        <w:rPr>
          <w:lang w:val="fr-FR"/>
        </w:rPr>
        <w:t>Cacciavillani</w:t>
      </w:r>
      <w:proofErr w:type="spellEnd"/>
      <w:r w:rsidRPr="00EE5BF8">
        <w:rPr>
          <w:lang w:val="fr-FR"/>
        </w:rPr>
        <w:t xml:space="preserve">, avocat à </w:t>
      </w:r>
      <w:proofErr w:type="spellStart"/>
      <w:r w:rsidRPr="00EE5BF8" w:rsidR="00124981">
        <w:rPr>
          <w:lang w:val="fr-FR"/>
        </w:rPr>
        <w:t>Stra</w:t>
      </w:r>
      <w:proofErr w:type="spellEnd"/>
      <w:r w:rsidRPr="00EE5BF8">
        <w:rPr>
          <w:lang w:val="fr-FR"/>
        </w:rPr>
        <w:t>. Le gouvernement italien (« le Gouvernement ») a été représenté par son ancien agent, M</w:t>
      </w:r>
      <w:r w:rsidRPr="00EE5BF8">
        <w:rPr>
          <w:vertAlign w:val="superscript"/>
          <w:lang w:val="fr-FR"/>
        </w:rPr>
        <w:t>me</w:t>
      </w:r>
      <w:r w:rsidRPr="00EE5BF8">
        <w:rPr>
          <w:lang w:val="fr-FR"/>
        </w:rPr>
        <w:t xml:space="preserve"> E. </w:t>
      </w:r>
      <w:proofErr w:type="spellStart"/>
      <w:r w:rsidRPr="00EE5BF8">
        <w:rPr>
          <w:lang w:val="fr-FR"/>
        </w:rPr>
        <w:t>Spatafora</w:t>
      </w:r>
      <w:proofErr w:type="spellEnd"/>
      <w:r w:rsidRPr="00EE5BF8">
        <w:rPr>
          <w:lang w:val="fr-FR"/>
        </w:rPr>
        <w:t>.</w:t>
      </w:r>
    </w:p>
    <w:p w:rsidRPr="00EE5BF8" w:rsidR="00641AA2" w:rsidP="00EE5BF8" w:rsidRDefault="00641AA2">
      <w:pPr>
        <w:pStyle w:val="ECHRPara"/>
        <w:rPr>
          <w:lang w:val="fr-FR"/>
        </w:rPr>
      </w:pPr>
      <w:r w:rsidRPr="00EE5BF8">
        <w:rPr>
          <w:lang w:val="fr-FR"/>
        </w:rPr>
        <w:t xml:space="preserve">3.  La requérante allègue en particulier avoir été privée de son « bien » (une vallée de pêche littorale, dite </w:t>
      </w:r>
      <w:r w:rsidRPr="00EE5BF8">
        <w:rPr>
          <w:i/>
          <w:lang w:val="fr-FR"/>
        </w:rPr>
        <w:t>Valle Zappa</w:t>
      </w:r>
      <w:r w:rsidRPr="00EE5BF8">
        <w:rPr>
          <w:lang w:val="fr-FR"/>
        </w:rPr>
        <w:t>).</w:t>
      </w:r>
    </w:p>
    <w:p w:rsidRPr="00EE5BF8" w:rsidR="00641AA2" w:rsidP="00EE5BF8" w:rsidRDefault="00641AA2">
      <w:pPr>
        <w:pStyle w:val="ECHRPara"/>
        <w:rPr>
          <w:szCs w:val="24"/>
          <w:lang w:val="fr-FR" w:eastAsia="en-GB"/>
        </w:rPr>
      </w:pPr>
      <w:r w:rsidRPr="00EE5BF8">
        <w:rPr>
          <w:lang w:val="fr-FR"/>
        </w:rPr>
        <w:t xml:space="preserve">4.  Le </w:t>
      </w:r>
      <w:r w:rsidRPr="00EE5BF8">
        <w:rPr>
          <w:szCs w:val="24"/>
          <w:lang w:val="fr-FR"/>
        </w:rPr>
        <w:t>8 septembre 2016</w:t>
      </w:r>
      <w:r w:rsidRPr="00EE5BF8">
        <w:rPr>
          <w:lang w:val="fr-FR"/>
        </w:rPr>
        <w:t>, le grief concernant l</w:t>
      </w:r>
      <w:r w:rsidRPr="00EE5BF8" w:rsidR="00EE5BF8">
        <w:rPr>
          <w:lang w:val="fr-FR"/>
        </w:rPr>
        <w:t>’</w:t>
      </w:r>
      <w:r w:rsidRPr="00EE5BF8">
        <w:rPr>
          <w:lang w:val="fr-FR"/>
        </w:rPr>
        <w:t>article 1 du Protocole n</w:t>
      </w:r>
      <w:r w:rsidRPr="00EE5BF8">
        <w:rPr>
          <w:vertAlign w:val="superscript"/>
          <w:lang w:val="fr-FR"/>
        </w:rPr>
        <w:t>o</w:t>
      </w:r>
      <w:r w:rsidRPr="00EE5BF8">
        <w:rPr>
          <w:lang w:val="fr-FR"/>
        </w:rPr>
        <w:t xml:space="preserve"> 1 a été communiqué au Gouvernement et la requête a été déclarée irrecevable</w:t>
      </w:r>
      <w:r w:rsidRPr="00EE5BF8">
        <w:rPr>
          <w:szCs w:val="24"/>
          <w:lang w:val="fr-FR"/>
        </w:rPr>
        <w:t xml:space="preserve"> pour le surplus </w:t>
      </w:r>
      <w:r w:rsidRPr="00EE5BF8">
        <w:rPr>
          <w:lang w:val="fr-FR"/>
        </w:rPr>
        <w:t>conformément à l</w:t>
      </w:r>
      <w:r w:rsidRPr="00EE5BF8" w:rsidR="00EE5BF8">
        <w:rPr>
          <w:lang w:val="fr-FR"/>
        </w:rPr>
        <w:t>’</w:t>
      </w:r>
      <w:r w:rsidRPr="00EE5BF8">
        <w:rPr>
          <w:lang w:val="fr-FR"/>
        </w:rPr>
        <w:t>article 54 § 3 du règlement de la Cour.</w:t>
      </w:r>
    </w:p>
    <w:p w:rsidRPr="00EE5BF8" w:rsidR="00641AA2" w:rsidP="00EE5BF8" w:rsidRDefault="00641AA2">
      <w:pPr>
        <w:pStyle w:val="ECHRTitle1"/>
        <w:tabs>
          <w:tab w:val="left" w:pos="5387"/>
        </w:tabs>
        <w:rPr>
          <w:lang w:val="fr-FR"/>
        </w:rPr>
      </w:pPr>
      <w:r w:rsidRPr="00EE5BF8">
        <w:rPr>
          <w:lang w:val="fr-FR"/>
        </w:rPr>
        <w:t>EN FAIT</w:t>
      </w:r>
    </w:p>
    <w:p w:rsidRPr="00EE5BF8" w:rsidR="00641AA2" w:rsidP="00EE5BF8" w:rsidRDefault="00641AA2">
      <w:pPr>
        <w:pStyle w:val="ECHRHeading1"/>
        <w:rPr>
          <w:lang w:val="fr-FR"/>
        </w:rPr>
      </w:pPr>
      <w:r w:rsidRPr="00EE5BF8">
        <w:rPr>
          <w:lang w:val="fr-FR"/>
        </w:rPr>
        <w:t>LES CIRCONSTANCES DE L</w:t>
      </w:r>
      <w:r w:rsidRPr="00EE5BF8" w:rsidR="00EE5BF8">
        <w:rPr>
          <w:lang w:val="fr-FR"/>
        </w:rPr>
        <w:t>’</w:t>
      </w:r>
      <w:r w:rsidRPr="00EE5BF8">
        <w:rPr>
          <w:lang w:val="fr-FR"/>
        </w:rPr>
        <w:t>ESPÈCE</w:t>
      </w:r>
    </w:p>
    <w:p w:rsidRPr="00EE5BF8" w:rsidR="00641AA2" w:rsidP="00EE5BF8" w:rsidRDefault="00641AA2">
      <w:pPr>
        <w:pStyle w:val="ECHRPara"/>
        <w:rPr>
          <w:lang w:val="fr-FR"/>
        </w:rPr>
      </w:pPr>
      <w:r w:rsidRPr="00EE5BF8">
        <w:rPr>
          <w:lang w:val="fr-FR"/>
        </w:rPr>
        <w:t>5.  La requérante a son siège social à Padoue.</w:t>
      </w:r>
    </w:p>
    <w:p w:rsidRPr="00EE5BF8" w:rsidR="00641AA2" w:rsidP="00EE5BF8" w:rsidRDefault="00641AA2">
      <w:pPr>
        <w:pStyle w:val="ECHRPara"/>
        <w:rPr>
          <w:lang w:val="fr-FR"/>
        </w:rPr>
      </w:pPr>
      <w:r w:rsidRPr="00EE5BF8">
        <w:rPr>
          <w:lang w:val="fr-FR"/>
        </w:rPr>
        <w:t>6.  Par acte notarié du 14 juillet 1972, elle devint propriétaire de Valle Zappa, l</w:t>
      </w:r>
      <w:r w:rsidRPr="00EE5BF8" w:rsidR="00EE5BF8">
        <w:rPr>
          <w:lang w:val="fr-FR"/>
        </w:rPr>
        <w:t>’</w:t>
      </w:r>
      <w:r w:rsidRPr="00EE5BF8">
        <w:rPr>
          <w:lang w:val="fr-FR"/>
        </w:rPr>
        <w:t>une des nombreuses vallées de pêche (</w:t>
      </w:r>
      <w:proofErr w:type="spellStart"/>
      <w:r w:rsidRPr="00EE5BF8">
        <w:rPr>
          <w:i/>
          <w:lang w:val="fr-FR"/>
        </w:rPr>
        <w:t>valli</w:t>
      </w:r>
      <w:proofErr w:type="spellEnd"/>
      <w:r w:rsidRPr="00EE5BF8">
        <w:rPr>
          <w:i/>
          <w:lang w:val="fr-FR"/>
        </w:rPr>
        <w:t xml:space="preserve"> da </w:t>
      </w:r>
      <w:proofErr w:type="spellStart"/>
      <w:r w:rsidRPr="00EE5BF8">
        <w:rPr>
          <w:i/>
          <w:lang w:val="fr-FR"/>
        </w:rPr>
        <w:t>pesca</w:t>
      </w:r>
      <w:proofErr w:type="spellEnd"/>
      <w:r w:rsidRPr="00EE5BF8">
        <w:rPr>
          <w:lang w:val="fr-FR"/>
        </w:rPr>
        <w:t>) sise dans une lagune en province de Venise. Composée d</w:t>
      </w:r>
      <w:r w:rsidRPr="00EE5BF8" w:rsidR="00EE5BF8">
        <w:rPr>
          <w:lang w:val="fr-FR"/>
        </w:rPr>
        <w:t>’</w:t>
      </w:r>
      <w:r w:rsidRPr="00EE5BF8">
        <w:rPr>
          <w:lang w:val="fr-FR"/>
        </w:rPr>
        <w:t>îlots, accueillant les locaux et le matériel d</w:t>
      </w:r>
      <w:r w:rsidRPr="00EE5BF8" w:rsidR="00EE5BF8">
        <w:rPr>
          <w:lang w:val="fr-FR"/>
        </w:rPr>
        <w:t>’</w:t>
      </w:r>
      <w:r w:rsidRPr="00EE5BF8">
        <w:rPr>
          <w:lang w:val="fr-FR"/>
        </w:rPr>
        <w:t>exploitation, et d</w:t>
      </w:r>
      <w:r w:rsidRPr="00EE5BF8" w:rsidR="00EE5BF8">
        <w:rPr>
          <w:lang w:val="fr-FR"/>
        </w:rPr>
        <w:t>’</w:t>
      </w:r>
      <w:r w:rsidRPr="00EE5BF8">
        <w:rPr>
          <w:lang w:val="fr-FR"/>
        </w:rPr>
        <w:t>étendues d</w:t>
      </w:r>
      <w:r w:rsidRPr="00EE5BF8" w:rsidR="00EE5BF8">
        <w:rPr>
          <w:lang w:val="fr-FR"/>
        </w:rPr>
        <w:t>’</w:t>
      </w:r>
      <w:r w:rsidRPr="00EE5BF8">
        <w:rPr>
          <w:lang w:val="fr-FR"/>
        </w:rPr>
        <w:t>eau séparées de la mer par des barrages, la vallée permet, entre autres, l</w:t>
      </w:r>
      <w:r w:rsidRPr="00EE5BF8" w:rsidR="00EE5BF8">
        <w:rPr>
          <w:lang w:val="fr-FR"/>
        </w:rPr>
        <w:t>’</w:t>
      </w:r>
      <w:r w:rsidRPr="00EE5BF8">
        <w:rPr>
          <w:lang w:val="fr-FR"/>
        </w:rPr>
        <w:t>élevage de poissons.</w:t>
      </w:r>
    </w:p>
    <w:p w:rsidRPr="00EE5BF8" w:rsidR="00641AA2" w:rsidP="00EE5BF8" w:rsidRDefault="00641AA2">
      <w:pPr>
        <w:pStyle w:val="ECHRPara"/>
        <w:rPr>
          <w:lang w:val="fr-FR"/>
        </w:rPr>
      </w:pPr>
      <w:r w:rsidRPr="00EE5BF8">
        <w:rPr>
          <w:lang w:val="fr-FR"/>
        </w:rPr>
        <w:t>7.  En 1989, en 1991 puis en 1994, les sociétés exploitant les vallées de pêche, y compris la requérante, furent sommées par l</w:t>
      </w:r>
      <w:r w:rsidRPr="00EE5BF8" w:rsidR="00EE5BF8">
        <w:rPr>
          <w:lang w:val="fr-FR"/>
        </w:rPr>
        <w:t>’</w:t>
      </w:r>
      <w:r w:rsidRPr="00EE5BF8">
        <w:rPr>
          <w:lang w:val="fr-FR"/>
        </w:rPr>
        <w:t>Administration des finances de Padoue (</w:t>
      </w:r>
      <w:proofErr w:type="spellStart"/>
      <w:r w:rsidRPr="00EE5BF8">
        <w:rPr>
          <w:i/>
          <w:lang w:val="fr-FR"/>
        </w:rPr>
        <w:t>Intendenza</w:t>
      </w:r>
      <w:proofErr w:type="spellEnd"/>
      <w:r w:rsidRPr="00EE5BF8">
        <w:rPr>
          <w:i/>
          <w:lang w:val="fr-FR"/>
        </w:rPr>
        <w:t xml:space="preserve"> di </w:t>
      </w:r>
      <w:proofErr w:type="spellStart"/>
      <w:r w:rsidRPr="00EE5BF8">
        <w:rPr>
          <w:i/>
          <w:lang w:val="fr-FR"/>
        </w:rPr>
        <w:t>Finanza</w:t>
      </w:r>
      <w:proofErr w:type="spellEnd"/>
      <w:r w:rsidRPr="00EE5BF8">
        <w:rPr>
          <w:lang w:val="fr-FR"/>
        </w:rPr>
        <w:t>) de cesser l</w:t>
      </w:r>
      <w:r w:rsidRPr="00EE5BF8" w:rsidR="00EE5BF8">
        <w:rPr>
          <w:lang w:val="fr-FR"/>
        </w:rPr>
        <w:t>’</w:t>
      </w:r>
      <w:r w:rsidRPr="00EE5BF8">
        <w:rPr>
          <w:lang w:val="fr-FR"/>
        </w:rPr>
        <w:t>occupation des étendues d</w:t>
      </w:r>
      <w:r w:rsidRPr="00EE5BF8" w:rsidR="00EE5BF8">
        <w:rPr>
          <w:lang w:val="fr-FR"/>
        </w:rPr>
        <w:t>’</w:t>
      </w:r>
      <w:r w:rsidRPr="00EE5BF8">
        <w:rPr>
          <w:lang w:val="fr-FR"/>
        </w:rPr>
        <w:t>eau car appartenant au domaine public et de dédommager l</w:t>
      </w:r>
      <w:r w:rsidRPr="00EE5BF8" w:rsidR="00EE5BF8">
        <w:rPr>
          <w:lang w:val="fr-FR"/>
        </w:rPr>
        <w:t>’</w:t>
      </w:r>
      <w:r w:rsidRPr="00EE5BF8">
        <w:rPr>
          <w:lang w:val="fr-FR"/>
        </w:rPr>
        <w:t>État des préjudices causés par l</w:t>
      </w:r>
      <w:r w:rsidRPr="00EE5BF8" w:rsidR="00EE5BF8">
        <w:rPr>
          <w:lang w:val="fr-FR"/>
        </w:rPr>
        <w:t>’</w:t>
      </w:r>
      <w:r w:rsidRPr="00EE5BF8">
        <w:rPr>
          <w:lang w:val="fr-FR"/>
        </w:rPr>
        <w:t xml:space="preserve">occupation </w:t>
      </w:r>
      <w:r w:rsidRPr="00EE5BF8">
        <w:rPr>
          <w:i/>
          <w:lang w:val="fr-FR"/>
        </w:rPr>
        <w:t xml:space="preserve">sine </w:t>
      </w:r>
      <w:proofErr w:type="spellStart"/>
      <w:r w:rsidRPr="00EE5BF8">
        <w:rPr>
          <w:i/>
          <w:lang w:val="fr-FR"/>
        </w:rPr>
        <w:t>titulo</w:t>
      </w:r>
      <w:proofErr w:type="spellEnd"/>
      <w:r w:rsidRPr="00EE5BF8">
        <w:rPr>
          <w:lang w:val="fr-FR"/>
        </w:rPr>
        <w:t>.</w:t>
      </w:r>
    </w:p>
    <w:p w:rsidRPr="00EE5BF8" w:rsidR="00641AA2" w:rsidP="00EE5BF8" w:rsidRDefault="00641AA2">
      <w:pPr>
        <w:pStyle w:val="ECHRPara"/>
        <w:rPr>
          <w:lang w:val="fr-FR"/>
        </w:rPr>
      </w:pPr>
      <w:r w:rsidRPr="00EE5BF8">
        <w:rPr>
          <w:lang w:val="fr-FR"/>
        </w:rPr>
        <w:t>8.  Similaires à ceux exposés dans l</w:t>
      </w:r>
      <w:r w:rsidRPr="00EE5BF8" w:rsidR="00EE5BF8">
        <w:rPr>
          <w:lang w:val="fr-FR"/>
        </w:rPr>
        <w:t>’</w:t>
      </w:r>
      <w:r w:rsidRPr="00EE5BF8">
        <w:rPr>
          <w:lang w:val="fr-FR"/>
        </w:rPr>
        <w:t xml:space="preserve">arrêt </w:t>
      </w:r>
      <w:r w:rsidRPr="00EE5BF8">
        <w:rPr>
          <w:i/>
          <w:lang w:val="fr-FR"/>
        </w:rPr>
        <w:t xml:space="preserve">Valle </w:t>
      </w:r>
      <w:proofErr w:type="spellStart"/>
      <w:r w:rsidRPr="00EE5BF8">
        <w:rPr>
          <w:i/>
          <w:lang w:val="fr-FR"/>
        </w:rPr>
        <w:t>Pierimpiè</w:t>
      </w:r>
      <w:proofErr w:type="spellEnd"/>
      <w:r w:rsidRPr="00EE5BF8">
        <w:rPr>
          <w:i/>
          <w:lang w:val="fr-FR"/>
        </w:rPr>
        <w:t xml:space="preserve"> Società Agricola </w:t>
      </w:r>
      <w:proofErr w:type="spellStart"/>
      <w:r w:rsidRPr="00EE5BF8">
        <w:rPr>
          <w:i/>
          <w:lang w:val="fr-FR"/>
        </w:rPr>
        <w:t>S.p.A</w:t>
      </w:r>
      <w:proofErr w:type="spellEnd"/>
      <w:r w:rsidRPr="00EE5BF8">
        <w:rPr>
          <w:i/>
          <w:lang w:val="fr-FR"/>
        </w:rPr>
        <w:t>.</w:t>
      </w:r>
      <w:r w:rsidRPr="00EE5BF8">
        <w:rPr>
          <w:lang w:val="fr-FR"/>
        </w:rPr>
        <w:t xml:space="preserve"> </w:t>
      </w:r>
      <w:r w:rsidRPr="00EE5BF8">
        <w:rPr>
          <w:i/>
          <w:lang w:val="fr-FR"/>
        </w:rPr>
        <w:t>c. Italie</w:t>
      </w:r>
      <w:r w:rsidRPr="00EE5BF8">
        <w:rPr>
          <w:lang w:val="fr-FR"/>
        </w:rPr>
        <w:t>, n</w:t>
      </w:r>
      <w:r w:rsidRPr="00EE5BF8">
        <w:rPr>
          <w:vertAlign w:val="superscript"/>
          <w:lang w:val="fr-FR"/>
        </w:rPr>
        <w:t>o</w:t>
      </w:r>
      <w:r w:rsidRPr="00EE5BF8">
        <w:rPr>
          <w:lang w:val="fr-FR"/>
        </w:rPr>
        <w:t xml:space="preserve"> 46154/11</w:t>
      </w:r>
      <w:r w:rsidRPr="00EE5BF8">
        <w:rPr>
          <w:snapToGrid w:val="0"/>
          <w:lang w:val="fr-FR"/>
        </w:rPr>
        <w:t xml:space="preserve">, 23 </w:t>
      </w:r>
      <w:r w:rsidRPr="00EE5BF8">
        <w:rPr>
          <w:lang w:val="fr-FR"/>
        </w:rPr>
        <w:t>septembre</w:t>
      </w:r>
      <w:r w:rsidRPr="00EE5BF8">
        <w:rPr>
          <w:snapToGrid w:val="0"/>
          <w:lang w:val="fr-FR"/>
        </w:rPr>
        <w:t xml:space="preserve"> 2014, les </w:t>
      </w:r>
      <w:r w:rsidRPr="00EE5BF8">
        <w:rPr>
          <w:lang w:val="fr-FR"/>
        </w:rPr>
        <w:t>faits de la cause tels que présentés par la requérante n</w:t>
      </w:r>
      <w:r w:rsidRPr="00EE5BF8" w:rsidR="00EE5BF8">
        <w:rPr>
          <w:lang w:val="fr-FR"/>
        </w:rPr>
        <w:t>’</w:t>
      </w:r>
      <w:r w:rsidRPr="00EE5BF8">
        <w:rPr>
          <w:lang w:val="fr-FR"/>
        </w:rPr>
        <w:t>ont pas été contestés par le Gouvernement.</w:t>
      </w:r>
    </w:p>
    <w:p w:rsidRPr="00EE5BF8" w:rsidR="00641AA2" w:rsidP="00EE5BF8" w:rsidRDefault="00641AA2">
      <w:pPr>
        <w:pStyle w:val="ECHRTitle1"/>
        <w:rPr>
          <w:lang w:val="fr-FR"/>
        </w:rPr>
      </w:pPr>
      <w:r w:rsidRPr="00EE5BF8">
        <w:rPr>
          <w:lang w:val="fr-FR"/>
        </w:rPr>
        <w:t>EN DROIT</w:t>
      </w:r>
    </w:p>
    <w:p w:rsidRPr="00EE5BF8" w:rsidR="00641AA2" w:rsidP="00EE5BF8" w:rsidRDefault="00641AA2">
      <w:pPr>
        <w:pStyle w:val="ECHRHeading1"/>
        <w:rPr>
          <w:lang w:val="fr-FR"/>
        </w:rPr>
      </w:pPr>
      <w:r w:rsidRPr="00EE5BF8">
        <w:rPr>
          <w:lang w:val="fr-FR"/>
        </w:rPr>
        <w:t>I.  SUR LA VIOLATION ALLÉGUÉE DE L</w:t>
      </w:r>
      <w:r w:rsidRPr="00EE5BF8" w:rsidR="00EE5BF8">
        <w:rPr>
          <w:lang w:val="fr-FR"/>
        </w:rPr>
        <w:t>’</w:t>
      </w:r>
      <w:r w:rsidRPr="00EE5BF8">
        <w:rPr>
          <w:lang w:val="fr-FR"/>
        </w:rPr>
        <w:t>ARTICLE 1 DU PROTOCOLE N</w:t>
      </w:r>
      <w:r w:rsidRPr="00EE5BF8">
        <w:rPr>
          <w:vertAlign w:val="superscript"/>
          <w:lang w:val="fr-FR"/>
        </w:rPr>
        <w:t>o</w:t>
      </w:r>
      <w:r w:rsidRPr="00EE5BF8">
        <w:rPr>
          <w:lang w:val="fr-FR"/>
        </w:rPr>
        <w:t> 1</w:t>
      </w:r>
    </w:p>
    <w:p w:rsidRPr="00EE5BF8" w:rsidR="00641AA2" w:rsidP="00EE5BF8" w:rsidRDefault="00641AA2">
      <w:pPr>
        <w:pStyle w:val="ECHRPara"/>
        <w:rPr>
          <w:lang w:val="fr-FR"/>
        </w:rPr>
      </w:pPr>
      <w:r w:rsidRPr="00EE5BF8">
        <w:rPr>
          <w:lang w:val="fr-FR"/>
        </w:rPr>
        <w:t>9.  La requérante allègue avoir été privée de son droit de propriété tel que garanti par l</w:t>
      </w:r>
      <w:r w:rsidRPr="00EE5BF8" w:rsidR="00EE5BF8">
        <w:rPr>
          <w:lang w:val="fr-FR"/>
        </w:rPr>
        <w:t>’</w:t>
      </w:r>
      <w:r w:rsidRPr="00EE5BF8">
        <w:rPr>
          <w:lang w:val="fr-FR"/>
        </w:rPr>
        <w:t>article 1 du Protocole n</w:t>
      </w:r>
      <w:r w:rsidRPr="00EE5BF8">
        <w:rPr>
          <w:vertAlign w:val="superscript"/>
          <w:lang w:val="fr-FR"/>
        </w:rPr>
        <w:t>o</w:t>
      </w:r>
      <w:r w:rsidRPr="00EE5BF8">
        <w:rPr>
          <w:lang w:val="fr-FR"/>
        </w:rPr>
        <w:t> 1, ainsi libellé :</w:t>
      </w:r>
    </w:p>
    <w:p w:rsidRPr="00EE5BF8" w:rsidR="00641AA2" w:rsidP="00EE5BF8" w:rsidRDefault="00641AA2">
      <w:pPr>
        <w:pStyle w:val="ECHRParaQuote"/>
        <w:rPr>
          <w:lang w:val="fr-FR"/>
        </w:rPr>
      </w:pPr>
      <w:r w:rsidRPr="00EE5BF8">
        <w:rPr>
          <w:lang w:val="fr-FR"/>
        </w:rPr>
        <w:t>“Toute personne physique ou morale a droit au respect de ses biens. Nul ne peut être privé de sa propriété que pour cause d</w:t>
      </w:r>
      <w:r w:rsidRPr="00EE5BF8" w:rsidR="00EE5BF8">
        <w:rPr>
          <w:lang w:val="fr-FR"/>
        </w:rPr>
        <w:t>’</w:t>
      </w:r>
      <w:r w:rsidRPr="00EE5BF8">
        <w:rPr>
          <w:lang w:val="fr-FR"/>
        </w:rPr>
        <w:t>utilité publique et dans les conditions prévues par la loi et les principes généraux du droit international.</w:t>
      </w:r>
    </w:p>
    <w:p w:rsidRPr="00EE5BF8" w:rsidR="00641AA2" w:rsidP="00EE5BF8" w:rsidRDefault="00641AA2">
      <w:pPr>
        <w:pStyle w:val="ECHRParaQuote"/>
        <w:rPr>
          <w:lang w:val="fr-FR"/>
        </w:rPr>
      </w:pPr>
      <w:r w:rsidRPr="00EE5BF8">
        <w:rPr>
          <w:lang w:val="fr-FR"/>
        </w:rPr>
        <w:t>Les dispositions précédentes ne portent pas atteinte au droit que possèdent les États de mettre en vigueur les lois qu</w:t>
      </w:r>
      <w:r w:rsidRPr="00EE5BF8" w:rsidR="00EE5BF8">
        <w:rPr>
          <w:lang w:val="fr-FR"/>
        </w:rPr>
        <w:t>’</w:t>
      </w:r>
      <w:r w:rsidRPr="00EE5BF8">
        <w:rPr>
          <w:lang w:val="fr-FR"/>
        </w:rPr>
        <w:t>ils jugent nécessaires pour réglementer l</w:t>
      </w:r>
      <w:r w:rsidRPr="00EE5BF8" w:rsidR="00EE5BF8">
        <w:rPr>
          <w:lang w:val="fr-FR"/>
        </w:rPr>
        <w:t>’</w:t>
      </w:r>
      <w:r w:rsidRPr="00EE5BF8">
        <w:rPr>
          <w:lang w:val="fr-FR"/>
        </w:rPr>
        <w:t>usage des biens conformément à l</w:t>
      </w:r>
      <w:r w:rsidRPr="00EE5BF8" w:rsidR="00EE5BF8">
        <w:rPr>
          <w:lang w:val="fr-FR"/>
        </w:rPr>
        <w:t>’</w:t>
      </w:r>
      <w:r w:rsidRPr="00EE5BF8">
        <w:rPr>
          <w:lang w:val="fr-FR"/>
        </w:rPr>
        <w:t>intérêt général ou pour assurer le paiement des impôts ou d</w:t>
      </w:r>
      <w:r w:rsidRPr="00EE5BF8" w:rsidR="00EE5BF8">
        <w:rPr>
          <w:lang w:val="fr-FR"/>
        </w:rPr>
        <w:t>’</w:t>
      </w:r>
      <w:r w:rsidRPr="00EE5BF8">
        <w:rPr>
          <w:lang w:val="fr-FR"/>
        </w:rPr>
        <w:t>autres contributions ou des amendes.”</w:t>
      </w:r>
    </w:p>
    <w:p w:rsidRPr="00EE5BF8" w:rsidR="00641AA2" w:rsidP="00EE5BF8" w:rsidRDefault="00641AA2">
      <w:pPr>
        <w:pStyle w:val="ECHRPara"/>
        <w:rPr>
          <w:lang w:val="fr-FR"/>
        </w:rPr>
      </w:pPr>
      <w:r w:rsidRPr="00EE5BF8">
        <w:rPr>
          <w:lang w:val="fr-FR"/>
        </w:rPr>
        <w:t>10.  Le Gouvernement s</w:t>
      </w:r>
      <w:r w:rsidRPr="00EE5BF8" w:rsidR="00EE5BF8">
        <w:rPr>
          <w:lang w:val="fr-FR"/>
        </w:rPr>
        <w:t>’</w:t>
      </w:r>
      <w:r w:rsidRPr="00EE5BF8">
        <w:rPr>
          <w:lang w:val="fr-FR"/>
        </w:rPr>
        <w:t>oppose à cette thèse.</w:t>
      </w:r>
    </w:p>
    <w:p w:rsidRPr="00EE5BF8" w:rsidR="00641AA2" w:rsidP="00EE5BF8" w:rsidRDefault="00641AA2">
      <w:pPr>
        <w:pStyle w:val="ECHRHeading2"/>
        <w:rPr>
          <w:lang w:val="fr-FR"/>
        </w:rPr>
      </w:pPr>
      <w:r w:rsidRPr="00EE5BF8">
        <w:rPr>
          <w:lang w:val="fr-FR"/>
        </w:rPr>
        <w:t>A.  Sur la recevabilité</w:t>
      </w:r>
    </w:p>
    <w:p w:rsidRPr="00EE5BF8" w:rsidR="00641AA2" w:rsidP="00EE5BF8" w:rsidRDefault="00641AA2">
      <w:pPr>
        <w:pStyle w:val="ECHRPara"/>
        <w:rPr>
          <w:lang w:val="fr-FR"/>
        </w:rPr>
      </w:pPr>
      <w:r w:rsidRPr="00EE5BF8">
        <w:rPr>
          <w:lang w:val="fr-FR"/>
        </w:rPr>
        <w:t>11.  La Cour prend d</w:t>
      </w:r>
      <w:r w:rsidRPr="00EE5BF8" w:rsidR="00EE5BF8">
        <w:rPr>
          <w:lang w:val="fr-FR"/>
        </w:rPr>
        <w:t>’</w:t>
      </w:r>
      <w:r w:rsidRPr="00EE5BF8">
        <w:rPr>
          <w:lang w:val="fr-FR"/>
        </w:rPr>
        <w:t>abord acte de ce que le Gouvernement concède que la requête est recevable. Constatant ensuite qu</w:t>
      </w:r>
      <w:r w:rsidRPr="00EE5BF8" w:rsidR="00EE5BF8">
        <w:rPr>
          <w:lang w:val="fr-FR"/>
        </w:rPr>
        <w:t>’</w:t>
      </w:r>
      <w:r w:rsidRPr="00EE5BF8">
        <w:rPr>
          <w:lang w:val="fr-FR"/>
        </w:rPr>
        <w:t>elle n</w:t>
      </w:r>
      <w:r w:rsidRPr="00EE5BF8" w:rsidR="00EE5BF8">
        <w:rPr>
          <w:lang w:val="fr-FR"/>
        </w:rPr>
        <w:t>’</w:t>
      </w:r>
      <w:r w:rsidRPr="00EE5BF8">
        <w:rPr>
          <w:lang w:val="fr-FR"/>
        </w:rPr>
        <w:t>est pas manifestement mal fondée au sens de l</w:t>
      </w:r>
      <w:r w:rsidRPr="00EE5BF8" w:rsidR="00EE5BF8">
        <w:rPr>
          <w:lang w:val="fr-FR"/>
        </w:rPr>
        <w:t>’</w:t>
      </w:r>
      <w:r w:rsidRPr="00EE5BF8">
        <w:rPr>
          <w:lang w:val="fr-FR"/>
        </w:rPr>
        <w:t>article 35 § 3 a) de la Convention et ne se heurte à aucun autre motif d</w:t>
      </w:r>
      <w:r w:rsidRPr="00EE5BF8" w:rsidR="00EE5BF8">
        <w:rPr>
          <w:lang w:val="fr-FR"/>
        </w:rPr>
        <w:t>’</w:t>
      </w:r>
      <w:r w:rsidRPr="00EE5BF8">
        <w:rPr>
          <w:lang w:val="fr-FR"/>
        </w:rPr>
        <w:t>irrecevabilité, la Cour la déclare recevable.</w:t>
      </w:r>
    </w:p>
    <w:p w:rsidRPr="00EE5BF8" w:rsidR="00641AA2" w:rsidP="00EE5BF8" w:rsidRDefault="00641AA2">
      <w:pPr>
        <w:pStyle w:val="ECHRHeading2"/>
        <w:rPr>
          <w:lang w:val="fr-FR"/>
        </w:rPr>
      </w:pPr>
      <w:r w:rsidRPr="00EE5BF8">
        <w:rPr>
          <w:lang w:val="fr-FR"/>
        </w:rPr>
        <w:t>B.  Sur le fond</w:t>
      </w:r>
    </w:p>
    <w:p w:rsidRPr="00EE5BF8" w:rsidR="00641AA2" w:rsidP="00EE5BF8" w:rsidRDefault="00641AA2">
      <w:pPr>
        <w:pStyle w:val="ECHRPara"/>
        <w:rPr>
          <w:lang w:val="fr-FR"/>
        </w:rPr>
      </w:pPr>
      <w:r w:rsidRPr="00EE5BF8">
        <w:rPr>
          <w:lang w:val="fr-FR"/>
        </w:rPr>
        <w:t>12.  Les arguments des parties divergent uniquement en ce qui concerne la proportionnalité de l</w:t>
      </w:r>
      <w:r w:rsidRPr="00EE5BF8" w:rsidR="00EE5BF8">
        <w:rPr>
          <w:lang w:val="fr-FR"/>
        </w:rPr>
        <w:t>’</w:t>
      </w:r>
      <w:r w:rsidRPr="00EE5BF8">
        <w:rPr>
          <w:lang w:val="fr-FR"/>
        </w:rPr>
        <w:t>ingérence litigieuse. Tandis que le Gouvernement demande à la Cour de déclarer que les autorités nationales n</w:t>
      </w:r>
      <w:r w:rsidRPr="00EE5BF8" w:rsidR="00EE5BF8">
        <w:rPr>
          <w:lang w:val="fr-FR"/>
        </w:rPr>
        <w:t>’</w:t>
      </w:r>
      <w:r w:rsidRPr="00EE5BF8">
        <w:rPr>
          <w:lang w:val="fr-FR"/>
        </w:rPr>
        <w:t>ont nullement enfreint les droits de la requérante, celle-ci réclame la reconnaissance de la privation illégitime de son droit de propriété.</w:t>
      </w:r>
    </w:p>
    <w:p w:rsidRPr="00EE5BF8" w:rsidR="00641AA2" w:rsidP="00EE5BF8" w:rsidRDefault="00641AA2">
      <w:pPr>
        <w:pStyle w:val="ECHRPara"/>
        <w:rPr>
          <w:lang w:val="fr-FR"/>
        </w:rPr>
      </w:pPr>
      <w:r w:rsidRPr="00EE5BF8">
        <w:rPr>
          <w:lang w:val="fr-FR"/>
        </w:rPr>
        <w:t>13.  Se référant aux principes généraux de sa jurisprudence en la matière, à ses considérations et à la conclusion contenus aux paragraphes 62 à 78 de l</w:t>
      </w:r>
      <w:r w:rsidRPr="00EE5BF8" w:rsidR="00EE5BF8">
        <w:rPr>
          <w:lang w:val="fr-FR"/>
        </w:rPr>
        <w:t>’</w:t>
      </w:r>
      <w:r w:rsidRPr="00EE5BF8">
        <w:rPr>
          <w:lang w:val="fr-FR"/>
        </w:rPr>
        <w:t xml:space="preserve">arrêt </w:t>
      </w:r>
      <w:r w:rsidRPr="00EE5BF8">
        <w:rPr>
          <w:i/>
          <w:lang w:val="fr-FR"/>
        </w:rPr>
        <w:t xml:space="preserve">Valle </w:t>
      </w:r>
      <w:proofErr w:type="spellStart"/>
      <w:r w:rsidRPr="00EE5BF8">
        <w:rPr>
          <w:i/>
          <w:lang w:val="fr-FR"/>
        </w:rPr>
        <w:t>Pierimpiè</w:t>
      </w:r>
      <w:proofErr w:type="spellEnd"/>
      <w:r w:rsidRPr="00EE5BF8">
        <w:rPr>
          <w:i/>
          <w:lang w:val="fr-FR"/>
        </w:rPr>
        <w:t xml:space="preserve"> Società Agricola </w:t>
      </w:r>
      <w:proofErr w:type="spellStart"/>
      <w:r w:rsidRPr="00EE5BF8">
        <w:rPr>
          <w:i/>
          <w:lang w:val="fr-FR"/>
        </w:rPr>
        <w:t>S.p.A</w:t>
      </w:r>
      <w:proofErr w:type="spellEnd"/>
      <w:r w:rsidRPr="00EE5BF8">
        <w:rPr>
          <w:i/>
          <w:lang w:val="fr-FR"/>
        </w:rPr>
        <w:t>.</w:t>
      </w:r>
      <w:r w:rsidRPr="00EE5BF8">
        <w:rPr>
          <w:lang w:val="fr-FR"/>
        </w:rPr>
        <w:t xml:space="preserve"> (fond) précité, et compte tenu de la similitude des faits des deux causes, la Cour estime qu</w:t>
      </w:r>
      <w:r w:rsidRPr="00EE5BF8" w:rsidR="00EE5BF8">
        <w:rPr>
          <w:lang w:val="fr-FR"/>
        </w:rPr>
        <w:t>’</w:t>
      </w:r>
      <w:r w:rsidRPr="00EE5BF8">
        <w:rPr>
          <w:lang w:val="fr-FR"/>
        </w:rPr>
        <w:t>il y a eu aussi en l</w:t>
      </w:r>
      <w:r w:rsidRPr="00EE5BF8" w:rsidR="00EE5BF8">
        <w:rPr>
          <w:lang w:val="fr-FR"/>
        </w:rPr>
        <w:t>’</w:t>
      </w:r>
      <w:r w:rsidRPr="00EE5BF8">
        <w:rPr>
          <w:lang w:val="fr-FR"/>
        </w:rPr>
        <w:t>espèce violation de l</w:t>
      </w:r>
      <w:r w:rsidRPr="00EE5BF8" w:rsidR="00EE5BF8">
        <w:rPr>
          <w:lang w:val="fr-FR"/>
        </w:rPr>
        <w:t>’</w:t>
      </w:r>
      <w:r w:rsidRPr="00EE5BF8">
        <w:rPr>
          <w:lang w:val="fr-FR"/>
        </w:rPr>
        <w:t>article 1 du Protocole n</w:t>
      </w:r>
      <w:r w:rsidRPr="00EE5BF8">
        <w:rPr>
          <w:vertAlign w:val="superscript"/>
          <w:lang w:val="fr-FR"/>
        </w:rPr>
        <w:t>o</w:t>
      </w:r>
      <w:r w:rsidRPr="00EE5BF8">
        <w:rPr>
          <w:lang w:val="fr-FR"/>
        </w:rPr>
        <w:t>1.</w:t>
      </w:r>
    </w:p>
    <w:p w:rsidRPr="00EE5BF8" w:rsidR="00641AA2" w:rsidP="00EE5BF8" w:rsidRDefault="00641AA2">
      <w:pPr>
        <w:pStyle w:val="ECHRHeading1"/>
        <w:rPr>
          <w:lang w:val="fr-FR"/>
        </w:rPr>
      </w:pPr>
      <w:r w:rsidRPr="00EE5BF8">
        <w:rPr>
          <w:lang w:val="fr-FR"/>
        </w:rPr>
        <w:t>II.  SUR L</w:t>
      </w:r>
      <w:r w:rsidRPr="00EE5BF8" w:rsidR="00EE5BF8">
        <w:rPr>
          <w:lang w:val="fr-FR"/>
        </w:rPr>
        <w:t>’</w:t>
      </w:r>
      <w:r w:rsidRPr="00EE5BF8">
        <w:rPr>
          <w:lang w:val="fr-FR"/>
        </w:rPr>
        <w:t>APPLICATION DE L</w:t>
      </w:r>
      <w:r w:rsidRPr="00EE5BF8" w:rsidR="00EE5BF8">
        <w:rPr>
          <w:lang w:val="fr-FR"/>
        </w:rPr>
        <w:t>’</w:t>
      </w:r>
      <w:r w:rsidRPr="00EE5BF8">
        <w:rPr>
          <w:lang w:val="fr-FR"/>
        </w:rPr>
        <w:t>ARTICLE 41 DE LA CONVENTION</w:t>
      </w:r>
    </w:p>
    <w:p w:rsidRPr="00EE5BF8" w:rsidR="00641AA2" w:rsidP="00EE5BF8" w:rsidRDefault="00641AA2">
      <w:pPr>
        <w:pStyle w:val="ECHRPara"/>
        <w:rPr>
          <w:lang w:val="fr-FR"/>
        </w:rPr>
      </w:pPr>
      <w:r w:rsidRPr="00EE5BF8">
        <w:rPr>
          <w:lang w:val="fr-FR"/>
        </w:rPr>
        <w:t>14.  Aux termes de l</w:t>
      </w:r>
      <w:r w:rsidRPr="00EE5BF8" w:rsidR="00EE5BF8">
        <w:rPr>
          <w:lang w:val="fr-FR"/>
        </w:rPr>
        <w:t>’</w:t>
      </w:r>
      <w:r w:rsidRPr="00EE5BF8">
        <w:rPr>
          <w:lang w:val="fr-FR"/>
        </w:rPr>
        <w:t>article 41 de la Convention,</w:t>
      </w:r>
    </w:p>
    <w:p w:rsidRPr="00EE5BF8" w:rsidR="00641AA2" w:rsidP="00EE5BF8" w:rsidRDefault="00641AA2">
      <w:pPr>
        <w:pStyle w:val="ECHRParaQuote"/>
        <w:keepNext/>
        <w:keepLines/>
        <w:rPr>
          <w:lang w:val="fr-FR"/>
        </w:rPr>
      </w:pPr>
      <w:r w:rsidRPr="00EE5BF8">
        <w:rPr>
          <w:lang w:val="fr-FR"/>
        </w:rPr>
        <w:t>« Si la Cour déclare qu</w:t>
      </w:r>
      <w:r w:rsidRPr="00EE5BF8" w:rsidR="00EE5BF8">
        <w:rPr>
          <w:lang w:val="fr-FR"/>
        </w:rPr>
        <w:t>’</w:t>
      </w:r>
      <w:r w:rsidRPr="00EE5BF8">
        <w:rPr>
          <w:lang w:val="fr-FR"/>
        </w:rPr>
        <w:t>il y a eu violation de la Convention ou de ses Protocoles, et si le droit interne de la Haute Partie contractante ne permet d</w:t>
      </w:r>
      <w:r w:rsidRPr="00EE5BF8" w:rsidR="00EE5BF8">
        <w:rPr>
          <w:lang w:val="fr-FR"/>
        </w:rPr>
        <w:t>’</w:t>
      </w:r>
      <w:r w:rsidRPr="00EE5BF8">
        <w:rPr>
          <w:lang w:val="fr-FR"/>
        </w:rPr>
        <w:t>effacer qu</w:t>
      </w:r>
      <w:r w:rsidRPr="00EE5BF8" w:rsidR="00EE5BF8">
        <w:rPr>
          <w:lang w:val="fr-FR"/>
        </w:rPr>
        <w:t>’</w:t>
      </w:r>
      <w:r w:rsidRPr="00EE5BF8">
        <w:rPr>
          <w:lang w:val="fr-FR"/>
        </w:rPr>
        <w:t>imparfaitement les conséquences de cette violation, la Cour accorde à la partie lésée, s</w:t>
      </w:r>
      <w:r w:rsidRPr="00EE5BF8" w:rsidR="00EE5BF8">
        <w:rPr>
          <w:lang w:val="fr-FR"/>
        </w:rPr>
        <w:t>’</w:t>
      </w:r>
      <w:r w:rsidRPr="00EE5BF8">
        <w:rPr>
          <w:lang w:val="fr-FR"/>
        </w:rPr>
        <w:t>il y a lieu, une satisfaction équitable. »</w:t>
      </w:r>
    </w:p>
    <w:p w:rsidRPr="00EE5BF8" w:rsidR="00641AA2" w:rsidP="00EE5BF8" w:rsidRDefault="00117570">
      <w:pPr>
        <w:pStyle w:val="ECHRHeading2"/>
        <w:rPr>
          <w:lang w:val="fr-FR"/>
        </w:rPr>
      </w:pPr>
      <w:r w:rsidRPr="00EE5BF8">
        <w:rPr>
          <w:lang w:val="fr-FR"/>
        </w:rPr>
        <w:t>A.  </w:t>
      </w:r>
      <w:r w:rsidRPr="00EE5BF8" w:rsidR="00641AA2">
        <w:rPr>
          <w:lang w:val="fr-FR"/>
        </w:rPr>
        <w:t>Dommages et frais et dépens</w:t>
      </w:r>
    </w:p>
    <w:p w:rsidRPr="00EE5BF8" w:rsidR="00641AA2" w:rsidP="00EE5BF8" w:rsidRDefault="00641AA2">
      <w:pPr>
        <w:pStyle w:val="ECHRPara"/>
        <w:rPr>
          <w:lang w:val="fr-FR"/>
        </w:rPr>
      </w:pPr>
      <w:r w:rsidRPr="00EE5BF8">
        <w:rPr>
          <w:lang w:val="fr-FR"/>
        </w:rPr>
        <w:t>15.  La requérante s</w:t>
      </w:r>
      <w:r w:rsidRPr="00EE5BF8" w:rsidR="00EE5BF8">
        <w:rPr>
          <w:lang w:val="fr-FR"/>
        </w:rPr>
        <w:t>’</w:t>
      </w:r>
      <w:r w:rsidRPr="00EE5BF8">
        <w:rPr>
          <w:lang w:val="fr-FR"/>
        </w:rPr>
        <w:t>en remet à la sagesse de la Cour quant à la réparation du dommage matériel et moral qu</w:t>
      </w:r>
      <w:r w:rsidRPr="00EE5BF8" w:rsidR="00EE5BF8">
        <w:rPr>
          <w:lang w:val="fr-FR"/>
        </w:rPr>
        <w:t>’</w:t>
      </w:r>
      <w:r w:rsidRPr="00EE5BF8">
        <w:rPr>
          <w:lang w:val="fr-FR"/>
        </w:rPr>
        <w:t>elle estime avoir subi. Elle</w:t>
      </w:r>
      <w:r w:rsidRPr="00EE5BF8" w:rsidR="00EE5BF8">
        <w:rPr>
          <w:lang w:val="fr-FR"/>
        </w:rPr>
        <w:t xml:space="preserve"> </w:t>
      </w:r>
      <w:r w:rsidRPr="00EE5BF8">
        <w:rPr>
          <w:lang w:val="fr-FR"/>
        </w:rPr>
        <w:t>demande aussi le remboursement de frais et dépens relatifs aux procédures internes et devant la Cour, sans toutefois les chiffrer.</w:t>
      </w:r>
    </w:p>
    <w:p w:rsidRPr="00EE5BF8" w:rsidR="00641AA2" w:rsidP="00EE5BF8" w:rsidRDefault="00641AA2">
      <w:pPr>
        <w:pStyle w:val="ECHRPara"/>
        <w:rPr>
          <w:lang w:val="fr-FR"/>
        </w:rPr>
      </w:pPr>
      <w:r w:rsidRPr="00EE5BF8">
        <w:rPr>
          <w:lang w:val="fr-FR"/>
        </w:rPr>
        <w:t>16.  Le Gouvernement demande à la Cour de rejeter ces prétentions.</w:t>
      </w:r>
    </w:p>
    <w:p w:rsidRPr="00EE5BF8" w:rsidR="00641AA2" w:rsidP="00EE5BF8" w:rsidRDefault="00641AA2">
      <w:pPr>
        <w:pStyle w:val="ECHRPara"/>
        <w:rPr>
          <w:lang w:val="fr-FR"/>
        </w:rPr>
      </w:pPr>
      <w:r w:rsidRPr="00EE5BF8">
        <w:rPr>
          <w:lang w:val="fr-FR"/>
        </w:rPr>
        <w:t>17.  La Cour relève que la requérante n</w:t>
      </w:r>
      <w:r w:rsidRPr="00EE5BF8" w:rsidR="00EE5BF8">
        <w:rPr>
          <w:lang w:val="fr-FR"/>
        </w:rPr>
        <w:t>’</w:t>
      </w:r>
      <w:r w:rsidRPr="00EE5BF8">
        <w:rPr>
          <w:lang w:val="fr-FR"/>
        </w:rPr>
        <w:t>a chiffré aucun montant quant au dommage matériel allégué et rejette cette demande. En revanche, compte tenu des circonstances particulières de la cause, elle considère qu</w:t>
      </w:r>
      <w:r w:rsidRPr="00EE5BF8" w:rsidR="00EE5BF8">
        <w:rPr>
          <w:lang w:val="fr-FR"/>
        </w:rPr>
        <w:t>’</w:t>
      </w:r>
      <w:r w:rsidRPr="00EE5BF8">
        <w:rPr>
          <w:lang w:val="fr-FR"/>
        </w:rPr>
        <w:t>il y a lieu de lui octroyer en équité 5</w:t>
      </w:r>
      <w:r w:rsidRPr="00EE5BF8" w:rsidR="00124981">
        <w:rPr>
          <w:lang w:val="fr-FR"/>
        </w:rPr>
        <w:t xml:space="preserve"> </w:t>
      </w:r>
      <w:r w:rsidRPr="00EE5BF8">
        <w:rPr>
          <w:lang w:val="fr-FR"/>
        </w:rPr>
        <w:t>000 euros (EUR) au titre du préjudice moral.</w:t>
      </w:r>
    </w:p>
    <w:p w:rsidRPr="00EE5BF8" w:rsidR="00641AA2" w:rsidP="00EE5BF8" w:rsidRDefault="00641AA2">
      <w:pPr>
        <w:pStyle w:val="ECHRPara"/>
        <w:rPr>
          <w:lang w:val="fr-FR"/>
        </w:rPr>
      </w:pPr>
      <w:r w:rsidRPr="00EE5BF8">
        <w:rPr>
          <w:lang w:val="fr-FR"/>
        </w:rPr>
        <w:t>18.  Pour le reste, selon la jurisprudence de la Cour, un requérant ne peut obtenir le remboursement de ses frais et dépens que dans la mesure où se trouvent établis leur réalité, leur nécessité et le caractère raisonnable de leur taux. En l</w:t>
      </w:r>
      <w:r w:rsidRPr="00EE5BF8" w:rsidR="00EE5BF8">
        <w:rPr>
          <w:lang w:val="fr-FR"/>
        </w:rPr>
        <w:t>’</w:t>
      </w:r>
      <w:r w:rsidRPr="00EE5BF8">
        <w:rPr>
          <w:lang w:val="fr-FR"/>
        </w:rPr>
        <w:t>espèce, compte tenu de ce que la requérante n</w:t>
      </w:r>
      <w:r w:rsidRPr="00EE5BF8" w:rsidR="00EE5BF8">
        <w:rPr>
          <w:lang w:val="fr-FR"/>
        </w:rPr>
        <w:t>’</w:t>
      </w:r>
      <w:r w:rsidRPr="00EE5BF8">
        <w:rPr>
          <w:lang w:val="fr-FR"/>
        </w:rPr>
        <w:t>a ni ventilé ni justifié sa demande, la Cour décide de la rejeter.</w:t>
      </w:r>
    </w:p>
    <w:p w:rsidRPr="00EE5BF8" w:rsidR="00641AA2" w:rsidP="00EE5BF8" w:rsidRDefault="00641AA2">
      <w:pPr>
        <w:pStyle w:val="ECHRHeading2"/>
        <w:rPr>
          <w:lang w:val="fr-FR"/>
        </w:rPr>
      </w:pPr>
      <w:r w:rsidRPr="00EE5BF8">
        <w:rPr>
          <w:lang w:val="fr-FR"/>
        </w:rPr>
        <w:t>B.  Intérêts moratoires</w:t>
      </w:r>
    </w:p>
    <w:p w:rsidRPr="00EE5BF8" w:rsidR="00641AA2" w:rsidP="00EE5BF8" w:rsidRDefault="00641AA2">
      <w:pPr>
        <w:pStyle w:val="ECHRPara"/>
        <w:rPr>
          <w:lang w:val="fr-FR"/>
        </w:rPr>
      </w:pPr>
      <w:r w:rsidRPr="00EE5BF8">
        <w:rPr>
          <w:lang w:val="fr-FR"/>
        </w:rPr>
        <w:t>19.  La Cour juge approprié de calquer le taux des intérêts moratoires sur le taux d</w:t>
      </w:r>
      <w:r w:rsidRPr="00EE5BF8" w:rsidR="00EE5BF8">
        <w:rPr>
          <w:lang w:val="fr-FR"/>
        </w:rPr>
        <w:t>’</w:t>
      </w:r>
      <w:r w:rsidRPr="00EE5BF8">
        <w:rPr>
          <w:lang w:val="fr-FR"/>
        </w:rPr>
        <w:t>intérêt de la facilité de prêt marginal de la Banque centrale européenne majoré de trois points de pourcentage.</w:t>
      </w:r>
    </w:p>
    <w:p w:rsidRPr="00EE5BF8" w:rsidR="00641AA2" w:rsidP="00EE5BF8" w:rsidRDefault="00641AA2">
      <w:pPr>
        <w:pStyle w:val="ECHRTitle1"/>
        <w:rPr>
          <w:lang w:val="fr-FR"/>
        </w:rPr>
      </w:pPr>
      <w:r w:rsidRPr="00EE5BF8">
        <w:rPr>
          <w:lang w:val="fr-FR"/>
        </w:rPr>
        <w:t>PAR CES MOTIFS, LA COUR</w:t>
      </w:r>
      <w:r w:rsidRPr="00EE5BF8" w:rsidR="00E41335">
        <w:rPr>
          <w:lang w:val="fr-FR"/>
        </w:rPr>
        <w:t>,</w:t>
      </w:r>
    </w:p>
    <w:p w:rsidRPr="00EE5BF8" w:rsidR="00641AA2" w:rsidP="00EE5BF8" w:rsidRDefault="00641AA2">
      <w:pPr>
        <w:pStyle w:val="JuList"/>
        <w:ind w:left="0" w:firstLine="0"/>
        <w:rPr>
          <w:lang w:val="fr-FR"/>
        </w:rPr>
      </w:pPr>
      <w:r w:rsidRPr="00EE5BF8">
        <w:rPr>
          <w:lang w:val="fr-FR"/>
        </w:rPr>
        <w:t>1.  </w:t>
      </w:r>
      <w:r w:rsidRPr="00EE5BF8">
        <w:rPr>
          <w:i/>
          <w:lang w:val="fr-FR"/>
        </w:rPr>
        <w:t>Déclare</w:t>
      </w:r>
      <w:r w:rsidRPr="00EE5BF8">
        <w:rPr>
          <w:lang w:val="fr-FR"/>
        </w:rPr>
        <w:t>, à l</w:t>
      </w:r>
      <w:r w:rsidRPr="00EE5BF8" w:rsidR="00EE5BF8">
        <w:rPr>
          <w:lang w:val="fr-FR"/>
        </w:rPr>
        <w:t>’</w:t>
      </w:r>
      <w:r w:rsidRPr="00EE5BF8">
        <w:rPr>
          <w:lang w:val="fr-FR"/>
        </w:rPr>
        <w:t>unanimité, la requête recevable</w:t>
      </w:r>
      <w:r w:rsidRPr="00EE5BF8" w:rsidR="00E41335">
        <w:rPr>
          <w:lang w:val="fr-FR"/>
        </w:rPr>
        <w:t> ;</w:t>
      </w:r>
    </w:p>
    <w:p w:rsidRPr="00EE5BF8" w:rsidR="00641AA2" w:rsidP="00EE5BF8" w:rsidRDefault="00641AA2">
      <w:pPr>
        <w:pStyle w:val="JuList"/>
        <w:rPr>
          <w:lang w:val="fr-FR"/>
        </w:rPr>
      </w:pPr>
    </w:p>
    <w:p w:rsidRPr="00EE5BF8" w:rsidR="00641AA2" w:rsidP="00EE5BF8" w:rsidRDefault="00641AA2">
      <w:pPr>
        <w:pStyle w:val="JuList"/>
        <w:rPr>
          <w:lang w:val="fr-FR"/>
        </w:rPr>
      </w:pPr>
      <w:r w:rsidRPr="00EE5BF8">
        <w:rPr>
          <w:lang w:val="fr-FR"/>
        </w:rPr>
        <w:t>2.  </w:t>
      </w:r>
      <w:r w:rsidRPr="00EE5BF8">
        <w:rPr>
          <w:i/>
          <w:lang w:val="fr-FR"/>
        </w:rPr>
        <w:t>Dit</w:t>
      </w:r>
      <w:r w:rsidRPr="00EE5BF8">
        <w:rPr>
          <w:lang w:val="fr-FR"/>
        </w:rPr>
        <w:t>, à l</w:t>
      </w:r>
      <w:r w:rsidRPr="00EE5BF8" w:rsidR="00EE5BF8">
        <w:rPr>
          <w:lang w:val="fr-FR"/>
        </w:rPr>
        <w:t>’</w:t>
      </w:r>
      <w:r w:rsidRPr="00EE5BF8">
        <w:rPr>
          <w:lang w:val="fr-FR"/>
        </w:rPr>
        <w:t>unanimité, qu</w:t>
      </w:r>
      <w:r w:rsidRPr="00EE5BF8" w:rsidR="00EE5BF8">
        <w:rPr>
          <w:lang w:val="fr-FR"/>
        </w:rPr>
        <w:t>’</w:t>
      </w:r>
      <w:r w:rsidRPr="00EE5BF8">
        <w:rPr>
          <w:lang w:val="fr-FR"/>
        </w:rPr>
        <w:t>il y a eu violation de l</w:t>
      </w:r>
      <w:r w:rsidRPr="00EE5BF8" w:rsidR="00EE5BF8">
        <w:rPr>
          <w:lang w:val="fr-FR"/>
        </w:rPr>
        <w:t>’</w:t>
      </w:r>
      <w:r w:rsidRPr="00EE5BF8">
        <w:rPr>
          <w:lang w:val="fr-FR"/>
        </w:rPr>
        <w:t>article 1 du Protocole n</w:t>
      </w:r>
      <w:r w:rsidRPr="00EE5BF8">
        <w:rPr>
          <w:vertAlign w:val="superscript"/>
          <w:lang w:val="fr-FR"/>
        </w:rPr>
        <w:t>o</w:t>
      </w:r>
      <w:r w:rsidRPr="00EE5BF8">
        <w:rPr>
          <w:lang w:val="fr-FR"/>
        </w:rPr>
        <w:t> 1 ;</w:t>
      </w:r>
    </w:p>
    <w:p w:rsidRPr="00EE5BF8" w:rsidR="00641AA2" w:rsidP="00EE5BF8" w:rsidRDefault="00641AA2">
      <w:pPr>
        <w:pStyle w:val="JuList"/>
        <w:rPr>
          <w:lang w:val="fr-FR"/>
        </w:rPr>
      </w:pPr>
    </w:p>
    <w:p w:rsidRPr="00EE5BF8" w:rsidR="00641AA2" w:rsidP="00EE5BF8" w:rsidRDefault="00641AA2">
      <w:pPr>
        <w:pStyle w:val="JuList"/>
        <w:keepNext/>
        <w:keepLines/>
        <w:rPr>
          <w:lang w:val="fr-FR"/>
        </w:rPr>
      </w:pPr>
      <w:r w:rsidRPr="00EE5BF8">
        <w:rPr>
          <w:lang w:val="fr-FR"/>
        </w:rPr>
        <w:t>3.  </w:t>
      </w:r>
      <w:r w:rsidRPr="00EE5BF8">
        <w:rPr>
          <w:i/>
          <w:lang w:val="fr-FR"/>
        </w:rPr>
        <w:t>Dit</w:t>
      </w:r>
      <w:r w:rsidRPr="00EE5BF8">
        <w:rPr>
          <w:lang w:val="fr-FR"/>
        </w:rPr>
        <w:t>, par</w:t>
      </w:r>
      <w:r w:rsidRPr="00EE5BF8" w:rsidR="00E41335">
        <w:rPr>
          <w:lang w:val="fr-FR"/>
        </w:rPr>
        <w:t xml:space="preserve"> quatre</w:t>
      </w:r>
      <w:r w:rsidRPr="00EE5BF8">
        <w:rPr>
          <w:lang w:val="fr-FR"/>
        </w:rPr>
        <w:t xml:space="preserve"> voix contre </w:t>
      </w:r>
      <w:r w:rsidRPr="00EE5BF8" w:rsidR="00E41335">
        <w:rPr>
          <w:lang w:val="fr-FR"/>
        </w:rPr>
        <w:t>trois</w:t>
      </w:r>
      <w:r w:rsidRPr="00EE5BF8">
        <w:rPr>
          <w:lang w:val="fr-FR"/>
        </w:rPr>
        <w:t>,</w:t>
      </w:r>
    </w:p>
    <w:p w:rsidRPr="00EE5BF8" w:rsidR="00641AA2" w:rsidP="00EE5BF8" w:rsidRDefault="00641AA2">
      <w:pPr>
        <w:pStyle w:val="JuLista"/>
        <w:rPr>
          <w:lang w:val="fr-FR" w:eastAsia="en-GB"/>
        </w:rPr>
      </w:pPr>
      <w:r w:rsidRPr="00EE5BF8">
        <w:rPr>
          <w:lang w:val="fr-FR"/>
        </w:rPr>
        <w:t>a)  que l</w:t>
      </w:r>
      <w:r w:rsidRPr="00EE5BF8" w:rsidR="00EE5BF8">
        <w:rPr>
          <w:lang w:val="fr-FR"/>
        </w:rPr>
        <w:t>’</w:t>
      </w:r>
      <w:r w:rsidRPr="00EE5BF8">
        <w:rPr>
          <w:lang w:val="fr-FR"/>
        </w:rPr>
        <w:t>État défendeur doit verser à la requérante, dans les trois mois à compter du jour où l</w:t>
      </w:r>
      <w:r w:rsidRPr="00EE5BF8" w:rsidR="00EE5BF8">
        <w:rPr>
          <w:lang w:val="fr-FR"/>
        </w:rPr>
        <w:t>’</w:t>
      </w:r>
      <w:r w:rsidRPr="00EE5BF8">
        <w:rPr>
          <w:lang w:val="fr-FR"/>
        </w:rPr>
        <w:t>arrêt sera devenu définitif conformément à l</w:t>
      </w:r>
      <w:r w:rsidRPr="00EE5BF8" w:rsidR="00EE5BF8">
        <w:rPr>
          <w:lang w:val="fr-FR"/>
        </w:rPr>
        <w:t>’</w:t>
      </w:r>
      <w:r w:rsidRPr="00EE5BF8">
        <w:rPr>
          <w:lang w:val="fr-FR"/>
        </w:rPr>
        <w:t xml:space="preserve">article 44 § 2 de la Convention, la somme suivante </w:t>
      </w:r>
      <w:r w:rsidRPr="00EE5BF8">
        <w:rPr>
          <w:lang w:val="fr-FR" w:eastAsia="en-GB"/>
        </w:rPr>
        <w:t>5</w:t>
      </w:r>
      <w:r w:rsidRPr="00EE5BF8" w:rsidR="00124981">
        <w:rPr>
          <w:lang w:val="fr-FR" w:eastAsia="en-GB"/>
        </w:rPr>
        <w:t xml:space="preserve"> </w:t>
      </w:r>
      <w:r w:rsidRPr="00EE5BF8">
        <w:rPr>
          <w:lang w:val="fr-FR" w:eastAsia="en-GB"/>
        </w:rPr>
        <w:t>000 EUR (cinq</w:t>
      </w:r>
      <w:r w:rsidRPr="00EE5BF8" w:rsidR="00E41335">
        <w:rPr>
          <w:lang w:val="fr-FR" w:eastAsia="en-GB"/>
        </w:rPr>
        <w:t> </w:t>
      </w:r>
      <w:r w:rsidRPr="00EE5BF8">
        <w:rPr>
          <w:lang w:val="fr-FR" w:eastAsia="en-GB"/>
        </w:rPr>
        <w:t>mille euros), plus tout montant pouvant être dû à titre d</w:t>
      </w:r>
      <w:r w:rsidRPr="00EE5BF8" w:rsidR="00EE5BF8">
        <w:rPr>
          <w:lang w:val="fr-FR" w:eastAsia="en-GB"/>
        </w:rPr>
        <w:t>’</w:t>
      </w:r>
      <w:r w:rsidRPr="00EE5BF8">
        <w:rPr>
          <w:lang w:val="fr-FR" w:eastAsia="en-GB"/>
        </w:rPr>
        <w:t>impôt, pour dommage moral ;</w:t>
      </w:r>
    </w:p>
    <w:p w:rsidRPr="00EE5BF8" w:rsidR="00641AA2" w:rsidP="00EE5BF8" w:rsidRDefault="00641AA2">
      <w:pPr>
        <w:pStyle w:val="JuLista"/>
        <w:rPr>
          <w:lang w:val="fr-FR"/>
        </w:rPr>
      </w:pPr>
      <w:r w:rsidRPr="00EE5BF8">
        <w:rPr>
          <w:lang w:val="fr-FR"/>
        </w:rPr>
        <w:t>b)  qu</w:t>
      </w:r>
      <w:r w:rsidRPr="00EE5BF8" w:rsidR="00EE5BF8">
        <w:rPr>
          <w:lang w:val="fr-FR"/>
        </w:rPr>
        <w:t>’</w:t>
      </w:r>
      <w:r w:rsidRPr="00EE5BF8">
        <w:rPr>
          <w:lang w:val="fr-FR"/>
        </w:rPr>
        <w:t>à compter de l</w:t>
      </w:r>
      <w:r w:rsidRPr="00EE5BF8" w:rsidR="00EE5BF8">
        <w:rPr>
          <w:lang w:val="fr-FR"/>
        </w:rPr>
        <w:t>’</w:t>
      </w:r>
      <w:r w:rsidRPr="00EE5BF8">
        <w:rPr>
          <w:lang w:val="fr-FR"/>
        </w:rPr>
        <w:t>expiration dudit délai et jusqu</w:t>
      </w:r>
      <w:r w:rsidRPr="00EE5BF8" w:rsidR="00EE5BF8">
        <w:rPr>
          <w:lang w:val="fr-FR"/>
        </w:rPr>
        <w:t>’</w:t>
      </w:r>
      <w:r w:rsidRPr="00EE5BF8">
        <w:rPr>
          <w:lang w:val="fr-FR"/>
        </w:rPr>
        <w:t>au versement, ce montant sera à majorer d</w:t>
      </w:r>
      <w:r w:rsidRPr="00EE5BF8" w:rsidR="00EE5BF8">
        <w:rPr>
          <w:lang w:val="fr-FR"/>
        </w:rPr>
        <w:t>’</w:t>
      </w:r>
      <w:r w:rsidRPr="00EE5BF8">
        <w:rPr>
          <w:lang w:val="fr-FR"/>
        </w:rPr>
        <w:t>un intérêt simple à un taux égal à celui de la facilité de prêt marginal de la Banque centrale européenne applicable pendant cette période, augmenté de trois points de pourcentage ;</w:t>
      </w:r>
    </w:p>
    <w:p w:rsidRPr="00EE5BF8" w:rsidR="00641AA2" w:rsidP="00EE5BF8" w:rsidRDefault="00641AA2">
      <w:pPr>
        <w:pStyle w:val="JuLista"/>
        <w:rPr>
          <w:lang w:val="fr-FR"/>
        </w:rPr>
      </w:pPr>
    </w:p>
    <w:p w:rsidRPr="00EE5BF8" w:rsidR="00021956" w:rsidP="00EE5BF8" w:rsidRDefault="00641AA2">
      <w:pPr>
        <w:pStyle w:val="JuList"/>
        <w:rPr>
          <w:lang w:val="fr-FR"/>
        </w:rPr>
      </w:pPr>
      <w:r w:rsidRPr="00EE5BF8">
        <w:rPr>
          <w:lang w:val="fr-FR"/>
        </w:rPr>
        <w:t>4.  </w:t>
      </w:r>
      <w:r w:rsidRPr="00EE5BF8">
        <w:rPr>
          <w:i/>
          <w:lang w:val="fr-FR"/>
        </w:rPr>
        <w:t>Rejette</w:t>
      </w:r>
      <w:r w:rsidRPr="00EE5BF8">
        <w:rPr>
          <w:lang w:val="fr-FR"/>
        </w:rPr>
        <w:t>, à l</w:t>
      </w:r>
      <w:r w:rsidRPr="00EE5BF8" w:rsidR="00E41335">
        <w:rPr>
          <w:lang w:val="fr-FR"/>
        </w:rPr>
        <w:t>a majorité</w:t>
      </w:r>
      <w:r w:rsidRPr="00EE5BF8">
        <w:rPr>
          <w:lang w:val="fr-FR"/>
        </w:rPr>
        <w:t>, la demande de satisfaction équitable pour le surplus.</w:t>
      </w:r>
    </w:p>
    <w:p w:rsidRPr="00EE5BF8" w:rsidR="00102FB2" w:rsidP="00EE5BF8" w:rsidRDefault="007A534F">
      <w:pPr>
        <w:pStyle w:val="JuParaLast"/>
        <w:keepNext w:val="0"/>
        <w:keepLines w:val="0"/>
        <w:rPr>
          <w:lang w:val="fr-FR"/>
        </w:rPr>
      </w:pPr>
      <w:r w:rsidRPr="00EE5BF8">
        <w:rPr>
          <w:lang w:val="fr-FR"/>
        </w:rPr>
        <w:t xml:space="preserve">Fait en français, puis communiqué par écrit le </w:t>
      </w:r>
      <w:r w:rsidRPr="00EE5BF8" w:rsidR="00641AA2">
        <w:rPr>
          <w:rFonts w:ascii="Times New Roman" w:hAnsi="Times New Roman" w:cs="Times New Roman"/>
          <w:lang w:val="fr-FR"/>
        </w:rPr>
        <w:t>4 juillet 2019</w:t>
      </w:r>
      <w:r w:rsidRPr="00EE5BF8">
        <w:rPr>
          <w:lang w:val="fr-FR"/>
        </w:rPr>
        <w:t>, en</w:t>
      </w:r>
      <w:r w:rsidRPr="00EE5BF8" w:rsidR="00EE5BF8">
        <w:rPr>
          <w:lang w:val="fr-FR"/>
        </w:rPr>
        <w:t xml:space="preserve"> </w:t>
      </w:r>
      <w:r w:rsidRPr="00EE5BF8">
        <w:rPr>
          <w:lang w:val="fr-FR"/>
        </w:rPr>
        <w:t>application de l</w:t>
      </w:r>
      <w:r w:rsidRPr="00EE5BF8" w:rsidR="00EE5BF8">
        <w:rPr>
          <w:lang w:val="fr-FR"/>
        </w:rPr>
        <w:t>’</w:t>
      </w:r>
      <w:r w:rsidRPr="00EE5BF8">
        <w:rPr>
          <w:lang w:val="fr-FR"/>
        </w:rPr>
        <w:t>article 77 §§ 2 et 3 du règlement de la Cour.</w:t>
      </w:r>
    </w:p>
    <w:p w:rsidRPr="00EE5BF8" w:rsidR="004D15F3" w:rsidP="00EE5BF8" w:rsidRDefault="00641AA2">
      <w:pPr>
        <w:pStyle w:val="JuSigned"/>
        <w:rPr>
          <w:szCs w:val="24"/>
          <w:lang w:val="fr-FR"/>
        </w:rPr>
      </w:pPr>
      <w:r w:rsidRPr="00EE5BF8">
        <w:rPr>
          <w:lang w:val="fr-FR"/>
        </w:rPr>
        <w:tab/>
      </w:r>
      <w:r w:rsidRPr="00EE5BF8" w:rsidR="00124981">
        <w:rPr>
          <w:lang w:val="fr-FR"/>
        </w:rPr>
        <w:t>Renata Degener</w:t>
      </w:r>
      <w:r w:rsidRPr="00EE5BF8" w:rsidR="007A534F">
        <w:rPr>
          <w:lang w:val="fr-FR"/>
        </w:rPr>
        <w:tab/>
      </w:r>
      <w:proofErr w:type="spellStart"/>
      <w:r w:rsidRPr="00EE5BF8">
        <w:rPr>
          <w:szCs w:val="24"/>
          <w:lang w:val="fr-FR"/>
        </w:rPr>
        <w:t>Ksenija</w:t>
      </w:r>
      <w:proofErr w:type="spellEnd"/>
      <w:r w:rsidRPr="00EE5BF8">
        <w:rPr>
          <w:szCs w:val="24"/>
          <w:lang w:val="fr-FR"/>
        </w:rPr>
        <w:t xml:space="preserve"> </w:t>
      </w:r>
      <w:proofErr w:type="spellStart"/>
      <w:r w:rsidRPr="00EE5BF8">
        <w:rPr>
          <w:szCs w:val="24"/>
          <w:lang w:val="fr-FR"/>
        </w:rPr>
        <w:t>Turković</w:t>
      </w:r>
      <w:proofErr w:type="spellEnd"/>
      <w:r w:rsidRPr="00EE5BF8" w:rsidR="007A534F">
        <w:rPr>
          <w:lang w:val="fr-FR"/>
        </w:rPr>
        <w:br/>
      </w:r>
      <w:r w:rsidRPr="00EE5BF8" w:rsidR="007A534F">
        <w:rPr>
          <w:lang w:val="fr-FR"/>
        </w:rPr>
        <w:tab/>
      </w:r>
      <w:r w:rsidRPr="00EE5BF8">
        <w:rPr>
          <w:lang w:val="fr-FR"/>
        </w:rPr>
        <w:t>Greffi</w:t>
      </w:r>
      <w:r w:rsidRPr="00EE5BF8" w:rsidR="00124981">
        <w:rPr>
          <w:lang w:val="fr-FR"/>
        </w:rPr>
        <w:t>è</w:t>
      </w:r>
      <w:r w:rsidRPr="00EE5BF8">
        <w:rPr>
          <w:lang w:val="fr-FR"/>
        </w:rPr>
        <w:t>r</w:t>
      </w:r>
      <w:r w:rsidRPr="00EE5BF8" w:rsidR="00124981">
        <w:rPr>
          <w:lang w:val="fr-FR"/>
        </w:rPr>
        <w:t>e adjointe</w:t>
      </w:r>
      <w:r w:rsidRPr="00EE5BF8" w:rsidR="007A534F">
        <w:rPr>
          <w:lang w:val="fr-FR"/>
        </w:rPr>
        <w:tab/>
      </w:r>
      <w:r w:rsidRPr="00EE5BF8">
        <w:rPr>
          <w:lang w:val="fr-FR"/>
        </w:rPr>
        <w:t>Présidente</w:t>
      </w:r>
    </w:p>
    <w:p w:rsidRPr="00EE5BF8" w:rsidR="00641AA2" w:rsidP="00EE5BF8" w:rsidRDefault="00641AA2">
      <w:pPr>
        <w:pStyle w:val="JuParaLast"/>
        <w:rPr>
          <w:lang w:val="fr-FR"/>
        </w:rPr>
      </w:pPr>
      <w:r w:rsidRPr="00EE5BF8">
        <w:rPr>
          <w:lang w:val="fr-FR"/>
        </w:rPr>
        <w:t>Au présent arrêt se trouve joint, conformément aux articles 45 § 2 de la Convention et 74 § 2 du règlement, l</w:t>
      </w:r>
      <w:r w:rsidRPr="00EE5BF8" w:rsidR="00EE5BF8">
        <w:rPr>
          <w:lang w:val="fr-FR"/>
        </w:rPr>
        <w:t>’</w:t>
      </w:r>
      <w:r w:rsidRPr="00EE5BF8">
        <w:rPr>
          <w:lang w:val="fr-FR"/>
        </w:rPr>
        <w:t>exposé de l</w:t>
      </w:r>
      <w:r w:rsidRPr="00EE5BF8" w:rsidR="00EE5BF8">
        <w:rPr>
          <w:lang w:val="fr-FR"/>
        </w:rPr>
        <w:t>’</w:t>
      </w:r>
      <w:r w:rsidRPr="00EE5BF8">
        <w:rPr>
          <w:lang w:val="fr-FR"/>
        </w:rPr>
        <w:t>opinion séparée d</w:t>
      </w:r>
      <w:r w:rsidRPr="00EE5BF8" w:rsidR="000C7F7E">
        <w:rPr>
          <w:lang w:val="fr-FR"/>
        </w:rPr>
        <w:t>es</w:t>
      </w:r>
      <w:r w:rsidRPr="00EE5BF8">
        <w:rPr>
          <w:lang w:val="fr-FR"/>
        </w:rPr>
        <w:t xml:space="preserve"> juge</w:t>
      </w:r>
      <w:r w:rsidRPr="00EE5BF8" w:rsidR="000C7F7E">
        <w:rPr>
          <w:lang w:val="fr-FR"/>
        </w:rPr>
        <w:t xml:space="preserve">s </w:t>
      </w:r>
      <w:proofErr w:type="spellStart"/>
      <w:r w:rsidRPr="00EE5BF8" w:rsidR="000C7F7E">
        <w:rPr>
          <w:szCs w:val="24"/>
          <w:lang w:val="fr-FR"/>
        </w:rPr>
        <w:t>Turković</w:t>
      </w:r>
      <w:proofErr w:type="spellEnd"/>
      <w:r w:rsidRPr="00EE5BF8" w:rsidR="000C7F7E">
        <w:rPr>
          <w:szCs w:val="24"/>
          <w:lang w:val="fr-FR"/>
        </w:rPr>
        <w:t xml:space="preserve">, </w:t>
      </w:r>
      <w:proofErr w:type="spellStart"/>
      <w:r w:rsidRPr="00EE5BF8" w:rsidR="000C7F7E">
        <w:rPr>
          <w:lang w:val="fr-FR"/>
        </w:rPr>
        <w:t>Harutyunyan</w:t>
      </w:r>
      <w:proofErr w:type="spellEnd"/>
      <w:r w:rsidRPr="00EE5BF8" w:rsidR="000C7F7E">
        <w:rPr>
          <w:lang w:val="fr-FR"/>
        </w:rPr>
        <w:t xml:space="preserve"> et </w:t>
      </w:r>
      <w:proofErr w:type="spellStart"/>
      <w:r w:rsidRPr="00EE5BF8" w:rsidR="00C12CC3">
        <w:rPr>
          <w:lang w:val="fr-FR"/>
        </w:rPr>
        <w:t>Eicke</w:t>
      </w:r>
      <w:proofErr w:type="spellEnd"/>
      <w:r w:rsidRPr="00EE5BF8" w:rsidR="00C12CC3">
        <w:rPr>
          <w:lang w:val="fr-FR"/>
        </w:rPr>
        <w:t>.</w:t>
      </w:r>
    </w:p>
    <w:p w:rsidRPr="00EE5BF8" w:rsidR="00641AA2" w:rsidP="00EE5BF8" w:rsidRDefault="00124981">
      <w:pPr>
        <w:pStyle w:val="JuInitialled"/>
        <w:sectPr w:rsidRPr="00EE5BF8" w:rsidR="00641AA2" w:rsidSect="009131F8">
          <w:headerReference w:type="even" r:id="rId10"/>
          <w:headerReference w:type="default" r:id="rId11"/>
          <w:footerReference w:type="even" r:id="rId12"/>
          <w:footerReference w:type="default" r:id="rId13"/>
          <w:footnotePr>
            <w:numRestart w:val="eachSect"/>
          </w:footnotePr>
          <w:type w:val="oddPage"/>
          <w:pgSz w:w="11906" w:h="16838" w:code="9"/>
          <w:pgMar w:top="2274" w:right="2274" w:bottom="2274" w:left="2274" w:header="1701" w:footer="720" w:gutter="0"/>
          <w:pgNumType w:start="1"/>
          <w:cols w:space="720"/>
          <w:noEndnote/>
        </w:sectPr>
      </w:pPr>
      <w:r w:rsidRPr="00EE5BF8">
        <w:t>K.T.</w:t>
      </w:r>
      <w:r w:rsidRPr="00EE5BF8" w:rsidR="00CE696B">
        <w:t>U.</w:t>
      </w:r>
      <w:r w:rsidRPr="00EE5BF8">
        <w:br/>
        <w:t>R.D.</w:t>
      </w:r>
      <w:r w:rsidRPr="00EE5BF8" w:rsidR="00641AA2">
        <w:br/>
      </w:r>
    </w:p>
    <w:p w:rsidRPr="00EE5BF8" w:rsidR="00EE5BF8" w:rsidP="00EE5BF8" w:rsidRDefault="00EC1409">
      <w:pPr>
        <w:pStyle w:val="ECHRTitleCentre1"/>
      </w:pPr>
      <w:r w:rsidRPr="00EE5BF8">
        <w:t>DISSENTING OPINION OF JUDGES TURKOVIĆ, HARUTYUNYAN AND EICKE</w:t>
      </w:r>
    </w:p>
    <w:p w:rsidRPr="00EE5BF8" w:rsidR="00EC1409" w:rsidP="00EE5BF8" w:rsidRDefault="00EC1409">
      <w:pPr>
        <w:pStyle w:val="OpiTranslation"/>
      </w:pPr>
    </w:p>
    <w:p w:rsidRPr="00EE5BF8" w:rsidR="00EE5BF8" w:rsidP="00EE5BF8" w:rsidRDefault="00EC1409">
      <w:pPr>
        <w:pStyle w:val="OpiPara"/>
        <w:rPr>
          <w:snapToGrid w:val="0"/>
        </w:rPr>
      </w:pPr>
      <w:r w:rsidRPr="00EE5BF8">
        <w:fldChar w:fldCharType="begin"/>
      </w:r>
      <w:r w:rsidRPr="00EE5BF8">
        <w:instrText xml:space="preserve"> SEQ level0 \*arabic </w:instrText>
      </w:r>
      <w:r w:rsidRPr="00EE5BF8">
        <w:fldChar w:fldCharType="separate"/>
      </w:r>
      <w:r w:rsidRPr="00EE5BF8" w:rsidR="00EE5BF8">
        <w:rPr>
          <w:noProof/>
        </w:rPr>
        <w:t>1</w:t>
      </w:r>
      <w:r w:rsidRPr="00EE5BF8">
        <w:fldChar w:fldCharType="end"/>
      </w:r>
      <w:r w:rsidRPr="00EE5BF8">
        <w:t>.  We voted against paragraph 3 of the operative part of this judgment (just satisfaction).</w:t>
      </w:r>
      <w:r w:rsidRPr="00EE5BF8" w:rsidR="00EE5BF8">
        <w:t xml:space="preserve"> </w:t>
      </w:r>
      <w:r w:rsidRPr="00EE5BF8">
        <w:t>This was not because we considered that it was wrong to award the applicant company just satisfaction for non-pecuniary damages but on the contrary because we considered that the applicant was entitled to a proper opportunity to claim and quantify its claim for pecuniary damages.</w:t>
      </w:r>
      <w:r w:rsidRPr="00EE5BF8" w:rsidR="00EE5BF8">
        <w:t xml:space="preserve"> </w:t>
      </w:r>
      <w:r w:rsidRPr="00EE5BF8">
        <w:rPr>
          <w:snapToGrid w:val="0"/>
        </w:rPr>
        <w:t>The applicant company had not been given such an opportunity at least in part because of an oversight on the part of the Court and, as a result</w:t>
      </w:r>
      <w:r w:rsidRPr="00EE5BF8">
        <w:t xml:space="preserve">, we would have preferred to follow the approach taken by this Court in the look-a-like case of </w:t>
      </w:r>
      <w:r w:rsidRPr="00EE5BF8">
        <w:rPr>
          <w:i/>
        </w:rPr>
        <w:t xml:space="preserve">Valle </w:t>
      </w:r>
      <w:proofErr w:type="spellStart"/>
      <w:r w:rsidRPr="00EE5BF8">
        <w:rPr>
          <w:i/>
        </w:rPr>
        <w:t>Pierimpiè</w:t>
      </w:r>
      <w:proofErr w:type="spellEnd"/>
      <w:r w:rsidRPr="00EE5BF8">
        <w:rPr>
          <w:i/>
        </w:rPr>
        <w:t xml:space="preserve"> </w:t>
      </w:r>
      <w:proofErr w:type="spellStart"/>
      <w:r w:rsidRPr="00EE5BF8">
        <w:rPr>
          <w:i/>
        </w:rPr>
        <w:t>Società</w:t>
      </w:r>
      <w:proofErr w:type="spellEnd"/>
      <w:r w:rsidRPr="00EE5BF8">
        <w:rPr>
          <w:i/>
        </w:rPr>
        <w:t xml:space="preserve"> Agricola S.P.A. v. Italy</w:t>
      </w:r>
      <w:r w:rsidRPr="00EE5BF8">
        <w:t>, no. 46154/11</w:t>
      </w:r>
      <w:r w:rsidRPr="00EE5BF8">
        <w:rPr>
          <w:snapToGrid w:val="0"/>
        </w:rPr>
        <w:t xml:space="preserve">, § 83, 23 September 2014 to reserve the claim for pecuniary damages under Rule 75 § 1 </w:t>
      </w:r>
      <w:r w:rsidRPr="00EE5BF8">
        <w:rPr>
          <w:i/>
          <w:snapToGrid w:val="0"/>
        </w:rPr>
        <w:t>in fine</w:t>
      </w:r>
      <w:r w:rsidRPr="00EE5BF8">
        <w:rPr>
          <w:snapToGrid w:val="0"/>
        </w:rPr>
        <w:t>.</w:t>
      </w:r>
    </w:p>
    <w:p w:rsidRPr="00EE5BF8" w:rsidR="00EC1409" w:rsidP="00EE5BF8" w:rsidRDefault="00EC1409">
      <w:pPr>
        <w:pStyle w:val="OpiPara"/>
        <w:rPr>
          <w:snapToGrid w:val="0"/>
        </w:rPr>
      </w:pPr>
      <w:r w:rsidRPr="00EE5BF8">
        <w:rPr>
          <w:snapToGrid w:val="0"/>
        </w:rPr>
        <w:fldChar w:fldCharType="begin"/>
      </w:r>
      <w:r w:rsidRPr="00EE5BF8">
        <w:rPr>
          <w:snapToGrid w:val="0"/>
        </w:rPr>
        <w:instrText xml:space="preserve"> SEQ level0 \*arabic </w:instrText>
      </w:r>
      <w:r w:rsidRPr="00EE5BF8">
        <w:rPr>
          <w:snapToGrid w:val="0"/>
        </w:rPr>
        <w:fldChar w:fldCharType="separate"/>
      </w:r>
      <w:r w:rsidRPr="00EE5BF8" w:rsidR="00EE5BF8">
        <w:rPr>
          <w:noProof/>
          <w:snapToGrid w:val="0"/>
        </w:rPr>
        <w:t>2</w:t>
      </w:r>
      <w:r w:rsidRPr="00EE5BF8">
        <w:rPr>
          <w:snapToGrid w:val="0"/>
        </w:rPr>
        <w:fldChar w:fldCharType="end"/>
      </w:r>
      <w:r w:rsidRPr="00EE5BF8">
        <w:rPr>
          <w:snapToGrid w:val="0"/>
        </w:rPr>
        <w:t xml:space="preserve">.  Just as in </w:t>
      </w:r>
      <w:r w:rsidRPr="00EE5BF8">
        <w:rPr>
          <w:i/>
          <w:snapToGrid w:val="0"/>
        </w:rPr>
        <w:t xml:space="preserve">Valle </w:t>
      </w:r>
      <w:proofErr w:type="spellStart"/>
      <w:r w:rsidRPr="00EE5BF8">
        <w:rPr>
          <w:i/>
          <w:snapToGrid w:val="0"/>
        </w:rPr>
        <w:t>Pierimpiè</w:t>
      </w:r>
      <w:proofErr w:type="spellEnd"/>
      <w:r w:rsidRPr="00EE5BF8">
        <w:rPr>
          <w:i/>
          <w:snapToGrid w:val="0"/>
        </w:rPr>
        <w:t xml:space="preserve"> </w:t>
      </w:r>
      <w:proofErr w:type="spellStart"/>
      <w:r w:rsidRPr="00EE5BF8">
        <w:rPr>
          <w:i/>
          <w:snapToGrid w:val="0"/>
        </w:rPr>
        <w:t>Società</w:t>
      </w:r>
      <w:proofErr w:type="spellEnd"/>
      <w:r w:rsidRPr="00EE5BF8">
        <w:rPr>
          <w:i/>
          <w:snapToGrid w:val="0"/>
        </w:rPr>
        <w:t xml:space="preserve"> Agricola S.P.A.</w:t>
      </w:r>
      <w:r w:rsidRPr="00EE5BF8">
        <w:rPr>
          <w:snapToGrid w:val="0"/>
        </w:rPr>
        <w:t xml:space="preserve"> this case concerned the expropriation of property in the </w:t>
      </w:r>
      <w:proofErr w:type="spellStart"/>
      <w:r w:rsidRPr="00EE5BF8">
        <w:rPr>
          <w:i/>
          <w:snapToGrid w:val="0"/>
        </w:rPr>
        <w:t>valli</w:t>
      </w:r>
      <w:proofErr w:type="spellEnd"/>
      <w:r w:rsidRPr="00EE5BF8">
        <w:rPr>
          <w:i/>
          <w:snapToGrid w:val="0"/>
        </w:rPr>
        <w:t xml:space="preserve"> da </w:t>
      </w:r>
      <w:proofErr w:type="spellStart"/>
      <w:r w:rsidRPr="00EE5BF8">
        <w:rPr>
          <w:i/>
          <w:snapToGrid w:val="0"/>
        </w:rPr>
        <w:t>pesca</w:t>
      </w:r>
      <w:proofErr w:type="spellEnd"/>
      <w:r w:rsidRPr="00EE5BF8">
        <w:rPr>
          <w:snapToGrid w:val="0"/>
        </w:rPr>
        <w:t xml:space="preserve"> in the </w:t>
      </w:r>
      <w:proofErr w:type="spellStart"/>
      <w:r w:rsidRPr="00EE5BF8">
        <w:rPr>
          <w:snapToGrid w:val="0"/>
        </w:rPr>
        <w:t>Venise</w:t>
      </w:r>
      <w:proofErr w:type="spellEnd"/>
      <w:r w:rsidRPr="00EE5BF8">
        <w:rPr>
          <w:snapToGrid w:val="0"/>
        </w:rPr>
        <w:t xml:space="preserve"> region of Italy by administrative acts taken in 1989, 1991 and 1994 (see § 7 of the judgment and § 6 of the merits judgment in </w:t>
      </w:r>
      <w:r w:rsidRPr="00EE5BF8">
        <w:rPr>
          <w:i/>
          <w:snapToGrid w:val="0"/>
        </w:rPr>
        <w:t xml:space="preserve">Valle </w:t>
      </w:r>
      <w:proofErr w:type="spellStart"/>
      <w:r w:rsidRPr="00EE5BF8">
        <w:rPr>
          <w:i/>
          <w:snapToGrid w:val="0"/>
        </w:rPr>
        <w:t>Pierimpiè</w:t>
      </w:r>
      <w:proofErr w:type="spellEnd"/>
      <w:r w:rsidRPr="00EE5BF8">
        <w:rPr>
          <w:i/>
          <w:snapToGrid w:val="0"/>
        </w:rPr>
        <w:t xml:space="preserve"> </w:t>
      </w:r>
      <w:proofErr w:type="spellStart"/>
      <w:r w:rsidRPr="00EE5BF8">
        <w:rPr>
          <w:i/>
          <w:snapToGrid w:val="0"/>
        </w:rPr>
        <w:t>Società</w:t>
      </w:r>
      <w:proofErr w:type="spellEnd"/>
      <w:r w:rsidRPr="00EE5BF8">
        <w:rPr>
          <w:i/>
          <w:snapToGrid w:val="0"/>
        </w:rPr>
        <w:t xml:space="preserve"> Agricola S.P.A.</w:t>
      </w:r>
      <w:r w:rsidRPr="00EE5BF8">
        <w:rPr>
          <w:snapToGrid w:val="0"/>
        </w:rPr>
        <w:t xml:space="preserve">); expropriation which was found in both cases to have been disproportionate not only because of the </w:t>
      </w:r>
      <w:r w:rsidRPr="00EE5BF8">
        <w:t>absence of any compensation being paid to the applicant company but also because the expropriation order was accompanied by an order that the applicant company pay compensation to the Government for its prior use of the property</w:t>
      </w:r>
      <w:r w:rsidRPr="00EE5BF8">
        <w:rPr>
          <w:snapToGrid w:val="0"/>
        </w:rPr>
        <w:t>.</w:t>
      </w:r>
    </w:p>
    <w:p w:rsidRPr="00EE5BF8" w:rsidR="00EC1409" w:rsidP="00EE5BF8" w:rsidRDefault="00EC1409">
      <w:pPr>
        <w:pStyle w:val="OpiPara"/>
      </w:pPr>
      <w:r w:rsidRPr="00EE5BF8">
        <w:rPr>
          <w:snapToGrid w:val="0"/>
        </w:rPr>
        <w:fldChar w:fldCharType="begin"/>
      </w:r>
      <w:r w:rsidRPr="00EE5BF8">
        <w:rPr>
          <w:snapToGrid w:val="0"/>
        </w:rPr>
        <w:instrText xml:space="preserve"> SEQ level0 \*arabic </w:instrText>
      </w:r>
      <w:r w:rsidRPr="00EE5BF8">
        <w:rPr>
          <w:snapToGrid w:val="0"/>
        </w:rPr>
        <w:fldChar w:fldCharType="separate"/>
      </w:r>
      <w:r w:rsidRPr="00EE5BF8" w:rsidR="00EE5BF8">
        <w:rPr>
          <w:noProof/>
          <w:snapToGrid w:val="0"/>
        </w:rPr>
        <w:t>3</w:t>
      </w:r>
      <w:r w:rsidRPr="00EE5BF8">
        <w:rPr>
          <w:snapToGrid w:val="0"/>
        </w:rPr>
        <w:fldChar w:fldCharType="end"/>
      </w:r>
      <w:r w:rsidRPr="00EE5BF8">
        <w:rPr>
          <w:snapToGrid w:val="0"/>
        </w:rPr>
        <w:t xml:space="preserve">.  In </w:t>
      </w:r>
      <w:r w:rsidRPr="00EE5BF8">
        <w:rPr>
          <w:i/>
          <w:snapToGrid w:val="0"/>
        </w:rPr>
        <w:t xml:space="preserve">Valle </w:t>
      </w:r>
      <w:proofErr w:type="spellStart"/>
      <w:r w:rsidRPr="00EE5BF8">
        <w:rPr>
          <w:i/>
          <w:snapToGrid w:val="0"/>
        </w:rPr>
        <w:t>Pierimpiè</w:t>
      </w:r>
      <w:proofErr w:type="spellEnd"/>
      <w:r w:rsidRPr="00EE5BF8">
        <w:rPr>
          <w:i/>
          <w:snapToGrid w:val="0"/>
        </w:rPr>
        <w:t xml:space="preserve"> </w:t>
      </w:r>
      <w:proofErr w:type="spellStart"/>
      <w:r w:rsidRPr="00EE5BF8">
        <w:rPr>
          <w:i/>
          <w:snapToGrid w:val="0"/>
        </w:rPr>
        <w:t>Società</w:t>
      </w:r>
      <w:proofErr w:type="spellEnd"/>
      <w:r w:rsidRPr="00EE5BF8">
        <w:rPr>
          <w:i/>
          <w:snapToGrid w:val="0"/>
        </w:rPr>
        <w:t xml:space="preserve"> Agricola S.P.A.</w:t>
      </w:r>
      <w:r w:rsidRPr="00EE5BF8">
        <w:rPr>
          <w:snapToGrid w:val="0"/>
        </w:rPr>
        <w:t>, the Court awarded the applicant € 5,000 by way of non-pecuniary damages.</w:t>
      </w:r>
      <w:r w:rsidRPr="00EE5BF8" w:rsidR="00EE5BF8">
        <w:rPr>
          <w:snapToGrid w:val="0"/>
        </w:rPr>
        <w:t xml:space="preserve"> </w:t>
      </w:r>
      <w:r w:rsidRPr="00EE5BF8">
        <w:rPr>
          <w:snapToGrid w:val="0"/>
        </w:rPr>
        <w:t xml:space="preserve">However, following an adjournment of the Article 41 pecuniary damages claim, the Italian government agreed to settle the case and, as the Court recorded in </w:t>
      </w:r>
      <w:r w:rsidRPr="00EE5BF8">
        <w:rPr>
          <w:i/>
        </w:rPr>
        <w:t xml:space="preserve">Valle </w:t>
      </w:r>
      <w:proofErr w:type="spellStart"/>
      <w:r w:rsidRPr="00EE5BF8">
        <w:rPr>
          <w:i/>
        </w:rPr>
        <w:t>Pierimpiè</w:t>
      </w:r>
      <w:proofErr w:type="spellEnd"/>
      <w:r w:rsidRPr="00EE5BF8">
        <w:rPr>
          <w:i/>
        </w:rPr>
        <w:t xml:space="preserve"> </w:t>
      </w:r>
      <w:proofErr w:type="spellStart"/>
      <w:r w:rsidRPr="00EE5BF8">
        <w:rPr>
          <w:i/>
        </w:rPr>
        <w:t>Società</w:t>
      </w:r>
      <w:proofErr w:type="spellEnd"/>
      <w:r w:rsidRPr="00EE5BF8">
        <w:rPr>
          <w:i/>
        </w:rPr>
        <w:t xml:space="preserve"> Agricola S.P.A.</w:t>
      </w:r>
      <w:r w:rsidRPr="00EE5BF8">
        <w:t xml:space="preserve"> </w:t>
      </w:r>
      <w:r w:rsidRPr="00EE5BF8">
        <w:rPr>
          <w:i/>
        </w:rPr>
        <w:t xml:space="preserve">v. Italy </w:t>
      </w:r>
      <w:r w:rsidRPr="00EE5BF8">
        <w:t>(just satisfaction – striking out)</w:t>
      </w:r>
      <w:r w:rsidRPr="00EE5BF8">
        <w:rPr>
          <w:snapToGrid w:val="0"/>
        </w:rPr>
        <w:t xml:space="preserve">, </w:t>
      </w:r>
      <w:r w:rsidRPr="00EE5BF8">
        <w:t>no. 46154/11</w:t>
      </w:r>
      <w:r w:rsidRPr="00EE5BF8">
        <w:rPr>
          <w:snapToGrid w:val="0"/>
        </w:rPr>
        <w:t xml:space="preserve">, § 6, 1 September 2016, the settlement included </w:t>
      </w:r>
      <w:r w:rsidRPr="00EE5BF8">
        <w:rPr>
          <w:i/>
          <w:snapToGrid w:val="0"/>
        </w:rPr>
        <w:t>inter alia</w:t>
      </w:r>
      <w:r w:rsidRPr="00EE5BF8">
        <w:rPr>
          <w:snapToGrid w:val="0"/>
        </w:rPr>
        <w:t xml:space="preserve"> an agreement to pay the applicant in that case pecuniary damag</w:t>
      </w:r>
      <w:r w:rsidRPr="00EE5BF8" w:rsidR="00EE5BF8">
        <w:rPr>
          <w:snapToGrid w:val="0"/>
        </w:rPr>
        <w:t xml:space="preserve">es in the sum of € 186 129,94. </w:t>
      </w:r>
      <w:r w:rsidRPr="00EE5BF8">
        <w:rPr>
          <w:snapToGrid w:val="0"/>
        </w:rPr>
        <w:t>Both the respondent Government and the Court were therefore fully aware of the potentially not insignificant pecuniary losses involved in these cases.</w:t>
      </w:r>
    </w:p>
    <w:p w:rsidRPr="00EE5BF8" w:rsidR="00EC1409" w:rsidP="00EE5BF8" w:rsidRDefault="00EE5BF8">
      <w:pPr>
        <w:pStyle w:val="OpiPara"/>
      </w:pPr>
      <w:r w:rsidRPr="00EE5BF8">
        <w:fldChar w:fldCharType="begin"/>
      </w:r>
      <w:r w:rsidRPr="00EE5BF8">
        <w:instrText xml:space="preserve"> SEQ level0 \*arabic </w:instrText>
      </w:r>
      <w:r w:rsidRPr="00EE5BF8">
        <w:fldChar w:fldCharType="separate"/>
      </w:r>
      <w:r w:rsidRPr="00EE5BF8">
        <w:rPr>
          <w:noProof/>
        </w:rPr>
        <w:t>4</w:t>
      </w:r>
      <w:r w:rsidRPr="00EE5BF8">
        <w:rPr>
          <w:noProof/>
        </w:rPr>
        <w:fldChar w:fldCharType="end"/>
      </w:r>
      <w:r w:rsidRPr="00EE5BF8" w:rsidR="00EC1409">
        <w:t>.  In the present case, having received the observations of the Respondent Government of 15 May 2017, the applicant company was, as is the standard practice of this Court, provided with a copy of the Government</w:t>
      </w:r>
      <w:r w:rsidRPr="00EE5BF8">
        <w:t>’</w:t>
      </w:r>
      <w:r w:rsidRPr="00EE5BF8" w:rsidR="00EC1409">
        <w:t>s observations and an invitation to submit their observations in response.</w:t>
      </w:r>
      <w:r w:rsidRPr="00EE5BF8">
        <w:t xml:space="preserve"> </w:t>
      </w:r>
      <w:r w:rsidRPr="00EE5BF8" w:rsidR="00EC1409">
        <w:t>However, unfortunately, the Court</w:t>
      </w:r>
      <w:r w:rsidRPr="00EE5BF8">
        <w:t>’</w:t>
      </w:r>
      <w:r w:rsidRPr="00EE5BF8" w:rsidR="00EC1409">
        <w:t>s letter to the applicant company omitted certain important instructions which should – as a matter of standard practice - have been included in that letter.</w:t>
      </w:r>
      <w:r w:rsidRPr="00EE5BF8">
        <w:t xml:space="preserve"> </w:t>
      </w:r>
      <w:r w:rsidRPr="00EE5BF8" w:rsidR="00EC1409">
        <w:t xml:space="preserve">Below we set out the letter as it would normally be and in this case should have been sent to applicants at this stage of the proceedings and indicate in </w:t>
      </w:r>
      <w:r w:rsidRPr="00EE5BF8" w:rsidR="00EC1409">
        <w:rPr>
          <w:b/>
        </w:rPr>
        <w:t>bold</w:t>
      </w:r>
      <w:r w:rsidRPr="00EE5BF8" w:rsidR="00EC1409">
        <w:t xml:space="preserve"> those aspects which were </w:t>
      </w:r>
      <w:r w:rsidRPr="00EE5BF8" w:rsidR="00EC1409">
        <w:rPr>
          <w:b/>
        </w:rPr>
        <w:t>omitted</w:t>
      </w:r>
      <w:r w:rsidRPr="00EE5BF8" w:rsidR="00EC1409">
        <w:t xml:space="preserve"> in the letter to the applicant company, sent on 16</w:t>
      </w:r>
      <w:r w:rsidRPr="00EE5BF8" w:rsidR="00615E11">
        <w:t> </w:t>
      </w:r>
      <w:r w:rsidRPr="00EE5BF8" w:rsidR="00EC1409">
        <w:t>May</w:t>
      </w:r>
      <w:r w:rsidRPr="00EE5BF8">
        <w:t xml:space="preserve"> </w:t>
      </w:r>
      <w:r w:rsidRPr="00EE5BF8" w:rsidR="00EC1409">
        <w:t>2017:</w:t>
      </w:r>
    </w:p>
    <w:p w:rsidRPr="00EE5BF8" w:rsidR="00EC1409" w:rsidP="00EE5BF8" w:rsidRDefault="00EE5BF8">
      <w:pPr>
        <w:pStyle w:val="OpiQuot"/>
        <w:rPr>
          <w:lang w:val="fr-FR"/>
        </w:rPr>
      </w:pPr>
      <w:r w:rsidRPr="003E25A7">
        <w:rPr>
          <w:lang w:val="fr-FR"/>
        </w:rPr>
        <w:t>“</w:t>
      </w:r>
      <w:r w:rsidRPr="00EE5BF8">
        <w:rPr>
          <w:lang w:val="fr-FR"/>
        </w:rPr>
        <w:t>...</w:t>
      </w:r>
    </w:p>
    <w:p w:rsidRPr="00EE5BF8" w:rsidR="00EC1409" w:rsidP="00EE5BF8" w:rsidRDefault="00EC1409">
      <w:pPr>
        <w:pStyle w:val="OpiQuot"/>
        <w:rPr>
          <w:lang w:val="fr-FR"/>
        </w:rPr>
      </w:pPr>
      <w:r w:rsidRPr="00EE5BF8">
        <w:rPr>
          <w:lang w:val="fr-FR"/>
        </w:rPr>
        <w:t xml:space="preserve">Conformément aux instructions de la présidente de la section, je vous invite à me faire parvenir au plus tard le 27 juin 2017 les observations en réponse </w:t>
      </w:r>
      <w:r w:rsidRPr="00EE5BF8">
        <w:rPr>
          <w:b/>
          <w:lang w:val="fr-FR"/>
        </w:rPr>
        <w:t xml:space="preserve">et les demandes de satisfaction équitable </w:t>
      </w:r>
      <w:r w:rsidRPr="00EE5BF8">
        <w:rPr>
          <w:lang w:val="fr-FR"/>
        </w:rPr>
        <w:t xml:space="preserve">au nom de la partie requérante. </w:t>
      </w:r>
      <w:r w:rsidRPr="00EE5BF8">
        <w:rPr>
          <w:b/>
          <w:lang w:val="fr-FR"/>
        </w:rPr>
        <w:t>Avant de formuler vos demandes de satisfaction équitable, vous voudrez bien prendre connaissance de l</w:t>
      </w:r>
      <w:r w:rsidRPr="00EE5BF8" w:rsidR="00EE5BF8">
        <w:rPr>
          <w:b/>
          <w:lang w:val="fr-FR"/>
        </w:rPr>
        <w:t>’</w:t>
      </w:r>
      <w:r w:rsidRPr="00EE5BF8">
        <w:rPr>
          <w:b/>
          <w:lang w:val="fr-FR"/>
        </w:rPr>
        <w:t>instruction pratique ci-jointe.</w:t>
      </w:r>
      <w:r w:rsidRPr="00EE5BF8">
        <w:rPr>
          <w:lang w:val="fr-FR"/>
        </w:rPr>
        <w:t xml:space="preserve"> Je vous prie de m</w:t>
      </w:r>
      <w:r w:rsidRPr="00EE5BF8" w:rsidR="00EE5BF8">
        <w:rPr>
          <w:lang w:val="fr-FR"/>
        </w:rPr>
        <w:t>’</w:t>
      </w:r>
      <w:r w:rsidRPr="00EE5BF8">
        <w:rPr>
          <w:lang w:val="fr-FR"/>
        </w:rPr>
        <w:t xml:space="preserve">envoyer un exemplaire de vos observations (ainsi que des annexes, le cas échéant) </w:t>
      </w:r>
      <w:r w:rsidRPr="00EE5BF8">
        <w:rPr>
          <w:b/>
          <w:lang w:val="fr-FR"/>
        </w:rPr>
        <w:t xml:space="preserve">et les demandes de satisfaction équitable </w:t>
      </w:r>
      <w:r w:rsidRPr="00EE5BF8">
        <w:rPr>
          <w:lang w:val="fr-FR"/>
        </w:rPr>
        <w:t>par courrier et, si possible, un exemplaire par télécopie. Je vous rappelle que, selon l</w:t>
      </w:r>
      <w:r w:rsidRPr="00EE5BF8" w:rsidR="00EE5BF8">
        <w:rPr>
          <w:lang w:val="fr-FR"/>
        </w:rPr>
        <w:t>’</w:t>
      </w:r>
      <w:r w:rsidRPr="00EE5BF8">
        <w:rPr>
          <w:lang w:val="fr-FR"/>
        </w:rPr>
        <w:t>article 34 § 3 du règlement, toutes communications avec le requérant ou son représentant et toutes observations orales ou écrites soumises par eux doivent en principe être formulées dans l</w:t>
      </w:r>
      <w:r w:rsidRPr="00EE5BF8" w:rsidR="00EE5BF8">
        <w:rPr>
          <w:lang w:val="fr-FR"/>
        </w:rPr>
        <w:t>’</w:t>
      </w:r>
      <w:r w:rsidRPr="00EE5BF8">
        <w:rPr>
          <w:lang w:val="fr-FR"/>
        </w:rPr>
        <w:t>une des langues officielles de la Cour.</w:t>
      </w:r>
    </w:p>
    <w:p w:rsidRPr="00EE5BF8" w:rsidR="00EC1409" w:rsidP="00EE5BF8" w:rsidRDefault="00EC1409">
      <w:pPr>
        <w:pStyle w:val="OpiQuot"/>
        <w:rPr>
          <w:lang w:val="fr-FR"/>
        </w:rPr>
      </w:pPr>
      <w:r w:rsidRPr="00EE5BF8">
        <w:rPr>
          <w:lang w:val="fr-FR"/>
        </w:rPr>
        <w:t>Pour faciliter le traitement des documents soumis lors de l</w:t>
      </w:r>
      <w:r w:rsidRPr="00EE5BF8" w:rsidR="00EE5BF8">
        <w:rPr>
          <w:lang w:val="fr-FR"/>
        </w:rPr>
        <w:t>’</w:t>
      </w:r>
      <w:r w:rsidRPr="00EE5BF8">
        <w:rPr>
          <w:lang w:val="fr-FR"/>
        </w:rPr>
        <w:t>échange des mémoires et des demandes au titre de la satisfaction équitable, vous êtes prié d</w:t>
      </w:r>
      <w:r w:rsidRPr="00EE5BF8" w:rsidR="00EE5BF8">
        <w:rPr>
          <w:lang w:val="fr-FR"/>
        </w:rPr>
        <w:t>’</w:t>
      </w:r>
      <w:r w:rsidRPr="00EE5BF8">
        <w:rPr>
          <w:lang w:val="fr-FR"/>
        </w:rPr>
        <w:t>adresser tous les documents, y compris les annexes, au format A4, avec les pages numérotées, sans que les feuilles soient agrafées, attachées, collées ou tenues ensemble d</w:t>
      </w:r>
      <w:r w:rsidRPr="00EE5BF8" w:rsidR="00EE5BF8">
        <w:rPr>
          <w:lang w:val="fr-FR"/>
        </w:rPr>
        <w:t>’</w:t>
      </w:r>
      <w:r w:rsidRPr="00EE5BF8">
        <w:rPr>
          <w:lang w:val="fr-FR"/>
        </w:rPr>
        <w:t>aucune manière. Nous vous rappelons également que vous ne devez pas envoyer à la Cour les originaux des documents.</w:t>
      </w:r>
    </w:p>
    <w:p w:rsidRPr="00EE5BF8" w:rsidR="00EC1409" w:rsidP="00EE5BF8" w:rsidRDefault="00EC1409">
      <w:pPr>
        <w:pStyle w:val="OpiQuot"/>
        <w:rPr>
          <w:b/>
          <w:lang w:val="fr-FR"/>
        </w:rPr>
      </w:pPr>
      <w:r w:rsidRPr="00EE5BF8">
        <w:rPr>
          <w:b/>
          <w:lang w:val="fr-FR"/>
        </w:rPr>
        <w:t>En ce qui concerne les demandes de satisfaction équitable, j</w:t>
      </w:r>
      <w:r w:rsidRPr="00EE5BF8" w:rsidR="00EE5BF8">
        <w:rPr>
          <w:b/>
          <w:lang w:val="fr-FR"/>
        </w:rPr>
        <w:t>’</w:t>
      </w:r>
      <w:r w:rsidRPr="00EE5BF8">
        <w:rPr>
          <w:b/>
          <w:lang w:val="fr-FR"/>
        </w:rPr>
        <w:t>attire votre attention sur l</w:t>
      </w:r>
      <w:r w:rsidRPr="00EE5BF8" w:rsidR="00EE5BF8">
        <w:rPr>
          <w:b/>
          <w:lang w:val="fr-FR"/>
        </w:rPr>
        <w:t>’</w:t>
      </w:r>
      <w:r w:rsidRPr="00EE5BF8">
        <w:rPr>
          <w:b/>
          <w:lang w:val="fr-FR"/>
        </w:rPr>
        <w:t>article 60 du règlement. Je vous rappelle que, si les prétentions chiffrées et les justificatifs nécessaires ne sont pas soumis dans le délai imparti à cet effet, la chambre rejettera en tout ou en partie la demande de satisfaction équitable, quand bien même la partie requérante aurait indiqué ses prétentions à ce titre à un stade antérieur de la procédure.</w:t>
      </w:r>
    </w:p>
    <w:p w:rsidRPr="00EE5BF8" w:rsidR="00EC1409" w:rsidP="00EE5BF8" w:rsidRDefault="00EE5BF8">
      <w:pPr>
        <w:pStyle w:val="OpiQuot"/>
      </w:pPr>
      <w:r w:rsidRPr="00EE5BF8">
        <w:t>...”</w:t>
      </w:r>
    </w:p>
    <w:p w:rsidRPr="00EE5BF8" w:rsidR="00EC1409" w:rsidP="00EE5BF8" w:rsidRDefault="00EE5BF8">
      <w:pPr>
        <w:pStyle w:val="OpiPara"/>
      </w:pPr>
      <w:r w:rsidRPr="00EE5BF8">
        <w:fldChar w:fldCharType="begin"/>
      </w:r>
      <w:r w:rsidRPr="00EE5BF8">
        <w:instrText xml:space="preserve"> SEQ level0 \*arabic </w:instrText>
      </w:r>
      <w:r w:rsidRPr="00EE5BF8">
        <w:fldChar w:fldCharType="separate"/>
      </w:r>
      <w:r w:rsidRPr="00EE5BF8">
        <w:rPr>
          <w:noProof/>
        </w:rPr>
        <w:t>5</w:t>
      </w:r>
      <w:r w:rsidRPr="00EE5BF8">
        <w:rPr>
          <w:noProof/>
        </w:rPr>
        <w:fldChar w:fldCharType="end"/>
      </w:r>
      <w:r w:rsidRPr="00EE5BF8" w:rsidR="00EC1409">
        <w:t>.  Unusually, therefore, the letter of 16 May 2017 did not – as it would normally have done – include express instructions to the applicant company to set out and quantify its claim for just satisfaction, including pecuniary damages.</w:t>
      </w:r>
    </w:p>
    <w:p w:rsidRPr="00EE5BF8" w:rsidR="00EC1409" w:rsidP="00EE5BF8" w:rsidRDefault="00EE5BF8">
      <w:pPr>
        <w:pStyle w:val="OpiPara"/>
      </w:pPr>
      <w:r w:rsidRPr="00EE5BF8">
        <w:fldChar w:fldCharType="begin"/>
      </w:r>
      <w:r w:rsidRPr="00EE5BF8">
        <w:instrText xml:space="preserve"> SEQ level0 \*arabic </w:instrText>
      </w:r>
      <w:r w:rsidRPr="00EE5BF8">
        <w:fldChar w:fldCharType="separate"/>
      </w:r>
      <w:r w:rsidRPr="00EE5BF8">
        <w:rPr>
          <w:noProof/>
        </w:rPr>
        <w:t>6</w:t>
      </w:r>
      <w:r w:rsidRPr="00EE5BF8">
        <w:rPr>
          <w:noProof/>
        </w:rPr>
        <w:fldChar w:fldCharType="end"/>
      </w:r>
      <w:r w:rsidRPr="00EE5BF8" w:rsidR="00EC1409">
        <w:t>.  In response to this letter, and in our view consistently with the instructions communicated to the applicant company by the Court, the latter submitted its reply to the Observations of the Government on 27 June 2017.</w:t>
      </w:r>
      <w:r w:rsidRPr="00EE5BF8">
        <w:t xml:space="preserve"> </w:t>
      </w:r>
      <w:r w:rsidRPr="00EE5BF8" w:rsidR="00EC1409">
        <w:t xml:space="preserve">Those observations were drafted exclusively by reference to the relevant findings of this Court (and the relevant paragraphs) in its judgment in </w:t>
      </w:r>
      <w:r w:rsidRPr="00EE5BF8" w:rsidR="00EC1409">
        <w:rPr>
          <w:i/>
        </w:rPr>
        <w:t xml:space="preserve">Valle </w:t>
      </w:r>
      <w:proofErr w:type="spellStart"/>
      <w:r w:rsidRPr="00EE5BF8" w:rsidR="00EC1409">
        <w:rPr>
          <w:i/>
        </w:rPr>
        <w:t>Pierimpiè</w:t>
      </w:r>
      <w:proofErr w:type="spellEnd"/>
      <w:r w:rsidRPr="00EE5BF8" w:rsidR="00EC1409">
        <w:rPr>
          <w:i/>
        </w:rPr>
        <w:t xml:space="preserve"> </w:t>
      </w:r>
      <w:proofErr w:type="spellStart"/>
      <w:r w:rsidRPr="00EE5BF8" w:rsidR="00EC1409">
        <w:rPr>
          <w:i/>
        </w:rPr>
        <w:t>Società</w:t>
      </w:r>
      <w:proofErr w:type="spellEnd"/>
      <w:r w:rsidRPr="00EE5BF8" w:rsidR="00EC1409">
        <w:rPr>
          <w:i/>
        </w:rPr>
        <w:t xml:space="preserve"> Agricola S.P.A.</w:t>
      </w:r>
      <w:r w:rsidRPr="00EE5BF8" w:rsidR="00EC1409">
        <w:t xml:space="preserve"> and, without quantifying the pecuniary loss (see judgment § 14) concluded:</w:t>
      </w:r>
    </w:p>
    <w:p w:rsidRPr="00EE5BF8" w:rsidR="00EC1409" w:rsidP="00EE5BF8" w:rsidRDefault="00EE5BF8">
      <w:pPr>
        <w:pStyle w:val="OpiQuot"/>
      </w:pPr>
      <w:r w:rsidRPr="00EE5BF8">
        <w:t>“</w:t>
      </w:r>
      <w:r w:rsidRPr="00EE5BF8" w:rsidR="00EC1409">
        <w:t xml:space="preserve">Since the two cases are similar in the substance of the matter, the law principles affirmed by the European Court of Human Rights in the </w:t>
      </w:r>
      <w:proofErr w:type="spellStart"/>
      <w:r w:rsidRPr="00EE5BF8" w:rsidR="00EC1409">
        <w:rPr>
          <w:i/>
        </w:rPr>
        <w:t>Pierimpiè</w:t>
      </w:r>
      <w:proofErr w:type="spellEnd"/>
      <w:r w:rsidRPr="00EE5BF8" w:rsidR="00EC1409">
        <w:t xml:space="preserve"> case should have been applied in dealing with the Zappa case as well and, consequently, the Italian government should have acted in order to conclude a fair settlement agreement.</w:t>
      </w:r>
    </w:p>
    <w:p w:rsidRPr="00EE5BF8" w:rsidR="00EC1409" w:rsidP="00EE5BF8" w:rsidRDefault="00EC1409">
      <w:pPr>
        <w:pStyle w:val="OpiQuot"/>
      </w:pPr>
      <w:r w:rsidRPr="00EE5BF8">
        <w:t>The fact that the applicant is now entitled to use of the fishing valley in virtue of a public concession does not affect the circumstance that the Zappa company has been deprived of its own property without compensation and with the conviction to pay compensation for alleged improper occupation of the shallow waters fenced off by its dry lands.</w:t>
      </w:r>
    </w:p>
    <w:p w:rsidRPr="00EE5BF8" w:rsidR="00EC1409" w:rsidP="00EE5BF8" w:rsidRDefault="00EC1409">
      <w:pPr>
        <w:pStyle w:val="OpiQuot"/>
      </w:pPr>
      <w:r w:rsidRPr="00EE5BF8">
        <w:t>Furthermore, in this particular case the conviction to pay compensation for improper occupation causes an enormous loss to the applicant because, besides been deeply unlawful, is indeed excessive and disproportionate in terms of the goals that the Italian Government declares to pursue. In fact, there is no doubt that the Italian Government should have acted with more diligence and consideration in order to limit its economic interference in the company</w:t>
      </w:r>
      <w:r w:rsidRPr="00EE5BF8" w:rsidR="00EE5BF8">
        <w:t>’</w:t>
      </w:r>
      <w:r w:rsidRPr="00EE5BF8">
        <w:t>s assets.</w:t>
      </w:r>
      <w:r w:rsidRPr="00EE5BF8" w:rsidR="00EE5BF8">
        <w:t>”</w:t>
      </w:r>
    </w:p>
    <w:p w:rsidRPr="00EE5BF8" w:rsidR="00EC1409" w:rsidP="00EE5BF8" w:rsidRDefault="00EE5BF8">
      <w:pPr>
        <w:pStyle w:val="OpiPara"/>
      </w:pPr>
      <w:r w:rsidRPr="00EE5BF8">
        <w:fldChar w:fldCharType="begin"/>
      </w:r>
      <w:r w:rsidRPr="00EE5BF8">
        <w:instrText xml:space="preserve"> SEQ level0 \*arabic </w:instrText>
      </w:r>
      <w:r w:rsidRPr="00EE5BF8">
        <w:fldChar w:fldCharType="separate"/>
      </w:r>
      <w:r w:rsidRPr="00EE5BF8">
        <w:rPr>
          <w:noProof/>
        </w:rPr>
        <w:t>7</w:t>
      </w:r>
      <w:r w:rsidRPr="00EE5BF8">
        <w:fldChar w:fldCharType="end"/>
      </w:r>
      <w:r w:rsidRPr="00EE5BF8" w:rsidR="00EC1409">
        <w:t>.  In light of the above, it seemed clear to us that, in a case where</w:t>
      </w:r>
    </w:p>
    <w:p w:rsidRPr="00EE5BF8" w:rsidR="00EC1409" w:rsidP="00EE5BF8" w:rsidRDefault="00EE5BF8">
      <w:pPr>
        <w:pStyle w:val="OpiPara"/>
      </w:pPr>
      <w:r w:rsidRPr="00EE5BF8">
        <w:t>(a)  </w:t>
      </w:r>
      <w:r w:rsidRPr="00EE5BF8" w:rsidR="00EC1409">
        <w:t>the Court, in a near identical factual context, has yet again found that there had been a deprivation of the applicant company</w:t>
      </w:r>
      <w:r w:rsidRPr="00EE5BF8">
        <w:t>’</w:t>
      </w:r>
      <w:r w:rsidRPr="00EE5BF8" w:rsidR="00EC1409">
        <w:t>s property in breach of Article 1 of the First Protocol to the Convention, and</w:t>
      </w:r>
    </w:p>
    <w:p w:rsidRPr="00EE5BF8" w:rsidR="00EC1409" w:rsidP="00EE5BF8" w:rsidRDefault="00EE5BF8">
      <w:pPr>
        <w:pStyle w:val="OpiPara"/>
      </w:pPr>
      <w:r w:rsidRPr="00EE5BF8">
        <w:t>(b)  </w:t>
      </w:r>
      <w:r w:rsidRPr="00EE5BF8" w:rsidR="00EC1409">
        <w:t>both the respondent Government and the Court were aware that these cases involved potentially significant pecuniary losses;</w:t>
      </w:r>
    </w:p>
    <w:p w:rsidRPr="00EE5BF8" w:rsidR="00EE5BF8" w:rsidP="00EE5BF8" w:rsidRDefault="00EC1409">
      <w:pPr>
        <w:pStyle w:val="OpiPara"/>
      </w:pPr>
      <w:r w:rsidRPr="00EE5BF8">
        <w:t>there was a very real risk that the applicant company, in part by reason of an oversight by this Court, had not been given a proper opportunity to claim and/or quantify the pecuniary loss.</w:t>
      </w:r>
    </w:p>
    <w:p w:rsidRPr="00EE5BF8" w:rsidR="00EC1409" w:rsidP="00EE5BF8" w:rsidRDefault="00EE5BF8">
      <w:pPr>
        <w:pStyle w:val="OpiPara"/>
      </w:pPr>
      <w:r w:rsidRPr="00EE5BF8">
        <w:fldChar w:fldCharType="begin"/>
      </w:r>
      <w:r w:rsidRPr="00EE5BF8">
        <w:instrText xml:space="preserve"> SEQ level0 \*arabic </w:instrText>
      </w:r>
      <w:r w:rsidRPr="00EE5BF8">
        <w:fldChar w:fldCharType="separate"/>
      </w:r>
      <w:r w:rsidRPr="00EE5BF8">
        <w:rPr>
          <w:noProof/>
        </w:rPr>
        <w:t>8</w:t>
      </w:r>
      <w:r w:rsidRPr="00EE5BF8">
        <w:fldChar w:fldCharType="end"/>
      </w:r>
      <w:r w:rsidRPr="00EE5BF8" w:rsidR="00EC1409">
        <w:t xml:space="preserve">.  Consequently, in our view the issue of compensation for any pecuniary damage was not (yet) ready for decision and it would have been more appropriate for the Court to exercise the discretion clearly conferred by Rule 60 § 3 of the Rules of Court and to reserve the matter, due regard being had to the possibility of an agreement between the respondent State and the applicant company (as in Valle </w:t>
      </w:r>
      <w:proofErr w:type="spellStart"/>
      <w:r w:rsidRPr="00EE5BF8" w:rsidR="00EC1409">
        <w:t>Pierimpiè</w:t>
      </w:r>
      <w:proofErr w:type="spellEnd"/>
      <w:r w:rsidRPr="00EE5BF8" w:rsidR="00EC1409">
        <w:t xml:space="preserve"> </w:t>
      </w:r>
      <w:proofErr w:type="spellStart"/>
      <w:r w:rsidRPr="00EE5BF8" w:rsidR="00EC1409">
        <w:t>Società</w:t>
      </w:r>
      <w:proofErr w:type="spellEnd"/>
      <w:r w:rsidRPr="00EE5BF8" w:rsidR="00EC1409">
        <w:t xml:space="preserve"> Agricola S.P.A.; Rule 75 §§ 1 and 4 of the Rules of Court).</w:t>
      </w:r>
    </w:p>
    <w:sectPr w:rsidRPr="00EE5BF8" w:rsidR="00EC1409" w:rsidSect="00641AA2">
      <w:headerReference w:type="even" r:id="rId14"/>
      <w:headerReference w:type="default" r:id="rId15"/>
      <w:footnotePr>
        <w:numRestart w:val="eachSect"/>
      </w:footnotePr>
      <w:pgSz w:w="11906" w:h="16838" w:code="9"/>
      <w:pgMar w:top="2274" w:right="2274" w:bottom="2274" w:left="2274" w:header="1701"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1AA2" w:rsidRDefault="00641AA2">
      <w:r>
        <w:separator/>
      </w:r>
    </w:p>
  </w:endnote>
  <w:endnote w:type="continuationSeparator" w:id="0">
    <w:p w:rsidR="00641AA2" w:rsidRDefault="00641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AA2" w:rsidRPr="00150BFA" w:rsidRDefault="00641AA2" w:rsidP="0020718E">
    <w:pPr>
      <w:jc w:val="center"/>
    </w:pPr>
    <w:r>
      <w:rPr>
        <w:noProof/>
        <w:lang w:val="en-US" w:eastAsia="ja-JP"/>
      </w:rPr>
      <w:drawing>
        <wp:inline distT="0" distB="0" distL="0" distR="0" wp14:anchorId="0533F982" wp14:editId="35F7ACB2">
          <wp:extent cx="771525" cy="619125"/>
          <wp:effectExtent l="0" t="0" r="9525" b="9525"/>
          <wp:docPr id="6" name="Picture 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D2C99" w:rsidRPr="00EA4BD7" w:rsidRDefault="00420FEF" w:rsidP="005072EA">
    <w:pPr>
      <w:rPr>
        <w:lang w:val="fr-F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420FEF" w:rsidP="005072E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420FEF" w:rsidP="005072E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1AA2" w:rsidRPr="00EA4BD7" w:rsidRDefault="00641AA2" w:rsidP="002D2C99">
      <w:pPr>
        <w:rPr>
          <w:lang w:val="fr-FR"/>
        </w:rPr>
      </w:pPr>
      <w:r w:rsidRPr="00EA4BD7">
        <w:rPr>
          <w:lang w:val="fr-FR"/>
        </w:rPr>
        <w:separator/>
      </w:r>
    </w:p>
  </w:footnote>
  <w:footnote w:type="continuationSeparator" w:id="0">
    <w:p w:rsidR="00641AA2" w:rsidRPr="00EA4BD7" w:rsidRDefault="00641AA2" w:rsidP="002D2C99">
      <w:pPr>
        <w:rPr>
          <w:lang w:val="fr-FR"/>
        </w:rPr>
      </w:pPr>
      <w:r w:rsidRPr="00EA4BD7">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AA2" w:rsidRPr="00A45145" w:rsidRDefault="00641AA2" w:rsidP="00A45145">
    <w:pPr>
      <w:jc w:val="center"/>
    </w:pPr>
    <w:r>
      <w:rPr>
        <w:noProof/>
        <w:lang w:val="en-US" w:eastAsia="ja-JP"/>
      </w:rPr>
      <w:drawing>
        <wp:inline distT="0" distB="0" distL="0" distR="0" wp14:anchorId="3E89BA1C" wp14:editId="44B59578">
          <wp:extent cx="2962275" cy="1219200"/>
          <wp:effectExtent l="0" t="0" r="9525" b="0"/>
          <wp:docPr id="5" name="Picture 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D2C99" w:rsidRPr="00EA4BD7" w:rsidRDefault="00420FEF" w:rsidP="00F5432B">
    <w:pPr>
      <w:jc w:val="cent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F5432B" w:rsidRDefault="00641AA2" w:rsidP="00F5432B">
    <w:pPr>
      <w:pStyle w:val="ECHRHeader"/>
      <w:rPr>
        <w:lang w:val="fr-FR"/>
      </w:rPr>
    </w:pPr>
    <w:r>
      <w:rPr>
        <w:rStyle w:val="PageNumber"/>
      </w:rPr>
      <w:fldChar w:fldCharType="begin"/>
    </w:r>
    <w:r w:rsidRPr="00641AA2">
      <w:rPr>
        <w:rStyle w:val="PageNumber"/>
        <w:lang w:val="fr-FR"/>
      </w:rPr>
      <w:instrText xml:space="preserve"> PAGE </w:instrText>
    </w:r>
    <w:r>
      <w:rPr>
        <w:rStyle w:val="PageNumber"/>
      </w:rPr>
      <w:fldChar w:fldCharType="separate"/>
    </w:r>
    <w:r w:rsidR="003E25A7">
      <w:rPr>
        <w:rStyle w:val="PageNumber"/>
        <w:noProof/>
        <w:lang w:val="fr-FR"/>
      </w:rPr>
      <w:t>4</w:t>
    </w:r>
    <w:r>
      <w:rPr>
        <w:rStyle w:val="PageNumber"/>
      </w:rPr>
      <w:fldChar w:fldCharType="end"/>
    </w:r>
    <w:r w:rsidR="007A534F" w:rsidRPr="00641AA2">
      <w:rPr>
        <w:lang w:val="fr-FR"/>
      </w:rPr>
      <w:tab/>
      <w:t xml:space="preserve">ARRÊT </w:t>
    </w:r>
    <w:r w:rsidRPr="00641AA2">
      <w:rPr>
        <w:lang w:val="fr-FR"/>
      </w:rPr>
      <w:t>ZAPPA S.A.S. c. ITALIE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641AA2" w:rsidRDefault="007A534F" w:rsidP="00420F04">
    <w:pPr>
      <w:pStyle w:val="ECHRHeader"/>
      <w:rPr>
        <w:lang w:val="fr-FR"/>
      </w:rPr>
    </w:pPr>
    <w:r>
      <w:tab/>
    </w:r>
    <w:r w:rsidRPr="00641AA2">
      <w:rPr>
        <w:lang w:val="fr-FR"/>
      </w:rPr>
      <w:t xml:space="preserve">ARRÊT </w:t>
    </w:r>
    <w:r w:rsidR="00641AA2" w:rsidRPr="00641AA2">
      <w:rPr>
        <w:lang w:val="fr-FR"/>
      </w:rPr>
      <w:t>ZAPPA S.A.S. c. ITALIE</w:t>
    </w:r>
    <w:r w:rsidRPr="00641AA2">
      <w:rPr>
        <w:lang w:val="fr-FR"/>
      </w:rPr>
      <w:tab/>
    </w:r>
    <w:r w:rsidR="00641AA2">
      <w:rPr>
        <w:rStyle w:val="PageNumber"/>
      </w:rPr>
      <w:fldChar w:fldCharType="begin"/>
    </w:r>
    <w:r w:rsidR="00641AA2" w:rsidRPr="00641AA2">
      <w:rPr>
        <w:rStyle w:val="PageNumber"/>
        <w:lang w:val="fr-FR"/>
      </w:rPr>
      <w:instrText xml:space="preserve"> PAGE </w:instrText>
    </w:r>
    <w:r w:rsidR="00641AA2">
      <w:rPr>
        <w:rStyle w:val="PageNumber"/>
      </w:rPr>
      <w:fldChar w:fldCharType="separate"/>
    </w:r>
    <w:r w:rsidR="003E25A7">
      <w:rPr>
        <w:rStyle w:val="PageNumber"/>
        <w:noProof/>
        <w:lang w:val="fr-FR"/>
      </w:rPr>
      <w:t>1</w:t>
    </w:r>
    <w:r w:rsidR="00641AA2">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AA2" w:rsidRPr="00F5432B" w:rsidRDefault="00641AA2" w:rsidP="00641AA2">
    <w:pPr>
      <w:pStyle w:val="ECHRHeader"/>
      <w:tabs>
        <w:tab w:val="clear" w:pos="3686"/>
        <w:tab w:val="clear" w:pos="7371"/>
        <w:tab w:val="center" w:pos="3685"/>
      </w:tabs>
      <w:rPr>
        <w:lang w:val="fr-FR"/>
      </w:rPr>
    </w:pPr>
    <w:r>
      <w:rPr>
        <w:rStyle w:val="PageNumber"/>
      </w:rPr>
      <w:fldChar w:fldCharType="begin"/>
    </w:r>
    <w:r w:rsidRPr="00641AA2">
      <w:rPr>
        <w:rStyle w:val="PageNumber"/>
        <w:lang w:val="fr-FR"/>
      </w:rPr>
      <w:instrText xml:space="preserve"> PAGE </w:instrText>
    </w:r>
    <w:r>
      <w:rPr>
        <w:rStyle w:val="PageNumber"/>
      </w:rPr>
      <w:fldChar w:fldCharType="separate"/>
    </w:r>
    <w:r w:rsidR="003E25A7">
      <w:rPr>
        <w:rStyle w:val="PageNumber"/>
        <w:noProof/>
        <w:lang w:val="fr-FR"/>
      </w:rPr>
      <w:t>6</w:t>
    </w:r>
    <w:r>
      <w:rPr>
        <w:rStyle w:val="PageNumber"/>
      </w:rPr>
      <w:fldChar w:fldCharType="end"/>
    </w:r>
    <w:r w:rsidRPr="00641AA2">
      <w:rPr>
        <w:lang w:val="fr-FR"/>
      </w:rPr>
      <w:tab/>
      <w:t xml:space="preserve">ARRÊT ZAPPA S.A.S. c. </w:t>
    </w:r>
    <w:r w:rsidR="00124981">
      <w:rPr>
        <w:lang w:val="fr-FR"/>
      </w:rPr>
      <w:t xml:space="preserve">ITALIE </w:t>
    </w:r>
    <w:r>
      <w:rPr>
        <w:lang w:val="fr-FR"/>
      </w:rPr>
      <w:t>- OPINION SÉPARÉE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AA2" w:rsidRPr="00641AA2" w:rsidRDefault="00641AA2" w:rsidP="00641AA2">
    <w:pPr>
      <w:pStyle w:val="ECHRHeader"/>
      <w:tabs>
        <w:tab w:val="clear" w:pos="3686"/>
        <w:tab w:val="clear" w:pos="7371"/>
        <w:tab w:val="center" w:pos="3685"/>
        <w:tab w:val="right" w:pos="7370"/>
      </w:tabs>
      <w:rPr>
        <w:lang w:val="fr-FR"/>
      </w:rPr>
    </w:pPr>
    <w:r>
      <w:tab/>
    </w:r>
    <w:r w:rsidRPr="00641AA2">
      <w:rPr>
        <w:lang w:val="fr-FR"/>
      </w:rPr>
      <w:t>ARR</w:t>
    </w:r>
    <w:r w:rsidR="00CE4371">
      <w:rPr>
        <w:lang w:val="fr-FR"/>
      </w:rPr>
      <w:t>ÊT ZAPPA S.A.S. c. ITALIE</w:t>
    </w:r>
    <w:r w:rsidRPr="00641AA2">
      <w:rPr>
        <w:lang w:val="fr-FR"/>
      </w:rPr>
      <w:t xml:space="preserve"> - OPINION SÉPARÉE</w:t>
    </w:r>
    <w:r w:rsidRPr="00641AA2">
      <w:rPr>
        <w:lang w:val="fr-FR"/>
      </w:rPr>
      <w:tab/>
    </w:r>
    <w:r>
      <w:rPr>
        <w:rStyle w:val="PageNumber"/>
      </w:rPr>
      <w:fldChar w:fldCharType="begin"/>
    </w:r>
    <w:r w:rsidRPr="00641AA2">
      <w:rPr>
        <w:rStyle w:val="PageNumber"/>
        <w:lang w:val="fr-FR"/>
      </w:rPr>
      <w:instrText xml:space="preserve"> PAGE </w:instrText>
    </w:r>
    <w:r>
      <w:rPr>
        <w:rStyle w:val="PageNumber"/>
      </w:rPr>
      <w:fldChar w:fldCharType="separate"/>
    </w:r>
    <w:r w:rsidR="003E25A7">
      <w:rPr>
        <w:rStyle w:val="PageNumber"/>
        <w:noProof/>
        <w:lang w:val="fr-FR"/>
      </w:rPr>
      <w:t>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A08B0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F25A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B02ED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1E60D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AA4F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E221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DDCF2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04BE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2A84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88CC5F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3633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7"/>
  </w:num>
  <w:num w:numId="9">
    <w:abstractNumId w:val="15"/>
  </w:num>
  <w:num w:numId="10">
    <w:abstractNumId w:val="14"/>
  </w:num>
  <w:num w:numId="11">
    <w:abstractNumId w:val="10"/>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6"/>
  </w:num>
  <w:num w:numId="23">
    <w:abstractNumId w:val="16"/>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641AA2"/>
    <w:rsid w:val="000C7F7E"/>
    <w:rsid w:val="00117570"/>
    <w:rsid w:val="00124981"/>
    <w:rsid w:val="003E25A7"/>
    <w:rsid w:val="003E279A"/>
    <w:rsid w:val="00601826"/>
    <w:rsid w:val="00615E11"/>
    <w:rsid w:val="00641AA2"/>
    <w:rsid w:val="006C4EF1"/>
    <w:rsid w:val="00703626"/>
    <w:rsid w:val="00734CF5"/>
    <w:rsid w:val="007A534F"/>
    <w:rsid w:val="007B3B7E"/>
    <w:rsid w:val="007F5008"/>
    <w:rsid w:val="009131F8"/>
    <w:rsid w:val="00933BE7"/>
    <w:rsid w:val="00A47988"/>
    <w:rsid w:val="00A72DDF"/>
    <w:rsid w:val="00AB0FD5"/>
    <w:rsid w:val="00AD78FF"/>
    <w:rsid w:val="00B155BD"/>
    <w:rsid w:val="00C12CC3"/>
    <w:rsid w:val="00C27E59"/>
    <w:rsid w:val="00C56F65"/>
    <w:rsid w:val="00CE4371"/>
    <w:rsid w:val="00CE696B"/>
    <w:rsid w:val="00E41335"/>
    <w:rsid w:val="00EC1409"/>
    <w:rsid w:val="00EE5B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E5BF8"/>
    <w:pPr>
      <w:jc w:val="both"/>
    </w:pPr>
    <w:rPr>
      <w:rFonts w:eastAsiaTheme="minorEastAsia"/>
      <w:sz w:val="24"/>
      <w:lang w:val="en-GB"/>
    </w:rPr>
  </w:style>
  <w:style w:type="paragraph" w:styleId="Heading1">
    <w:name w:val="heading 1"/>
    <w:basedOn w:val="Normal"/>
    <w:next w:val="Normal"/>
    <w:link w:val="Heading1Char"/>
    <w:uiPriority w:val="99"/>
    <w:semiHidden/>
    <w:rsid w:val="00EE5BF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E5BF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E5BF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E5BF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E5BF8"/>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EE5BF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E5BF8"/>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EE5BF8"/>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EE5BF8"/>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E5BF8"/>
    <w:rPr>
      <w:rFonts w:ascii="Tahoma" w:hAnsi="Tahoma" w:cs="Tahoma"/>
      <w:sz w:val="16"/>
      <w:szCs w:val="16"/>
    </w:rPr>
  </w:style>
  <w:style w:type="character" w:customStyle="1" w:styleId="BalloonTextChar">
    <w:name w:val="Balloon Text Char"/>
    <w:basedOn w:val="DefaultParagraphFont"/>
    <w:link w:val="BalloonText"/>
    <w:uiPriority w:val="99"/>
    <w:semiHidden/>
    <w:rsid w:val="00EE5BF8"/>
    <w:rPr>
      <w:rFonts w:ascii="Tahoma" w:eastAsiaTheme="minorEastAsia" w:hAnsi="Tahoma" w:cs="Tahoma"/>
      <w:sz w:val="16"/>
      <w:szCs w:val="16"/>
      <w:lang w:val="en-GB"/>
    </w:rPr>
  </w:style>
  <w:style w:type="character" w:styleId="BookTitle">
    <w:name w:val="Book Title"/>
    <w:uiPriority w:val="99"/>
    <w:semiHidden/>
    <w:qFormat/>
    <w:rsid w:val="00EE5BF8"/>
    <w:rPr>
      <w:i/>
      <w:iCs/>
      <w:smallCaps/>
      <w:spacing w:val="5"/>
    </w:rPr>
  </w:style>
  <w:style w:type="paragraph" w:customStyle="1" w:styleId="ECHRHeader">
    <w:name w:val="ECHR_Header"/>
    <w:aliases w:val="Ju_Header"/>
    <w:basedOn w:val="Header"/>
    <w:uiPriority w:val="4"/>
    <w:qFormat/>
    <w:rsid w:val="00EE5BF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EE5BF8"/>
  </w:style>
  <w:style w:type="character" w:styleId="Strong">
    <w:name w:val="Strong"/>
    <w:uiPriority w:val="99"/>
    <w:semiHidden/>
    <w:qFormat/>
    <w:rsid w:val="00EE5BF8"/>
    <w:rPr>
      <w:b/>
      <w:bCs/>
    </w:rPr>
  </w:style>
  <w:style w:type="paragraph" w:styleId="NoSpacing">
    <w:name w:val="No Spacing"/>
    <w:basedOn w:val="Normal"/>
    <w:link w:val="NoSpacingChar"/>
    <w:semiHidden/>
    <w:qFormat/>
    <w:rsid w:val="00EE5BF8"/>
    <w:rPr>
      <w:sz w:val="22"/>
      <w:lang w:val="en-US"/>
    </w:rPr>
  </w:style>
  <w:style w:type="character" w:customStyle="1" w:styleId="NoSpacingChar">
    <w:name w:val="No Spacing Char"/>
    <w:basedOn w:val="DefaultParagraphFont"/>
    <w:link w:val="NoSpacing"/>
    <w:semiHidden/>
    <w:rsid w:val="00EE5BF8"/>
    <w:rPr>
      <w:rFonts w:eastAsiaTheme="minorEastAsia"/>
    </w:rPr>
  </w:style>
  <w:style w:type="paragraph" w:customStyle="1" w:styleId="ECHRParaQuote">
    <w:name w:val="ECHR_Para_Quote"/>
    <w:aliases w:val="Ju_Quot"/>
    <w:basedOn w:val="Normal"/>
    <w:uiPriority w:val="14"/>
    <w:qFormat/>
    <w:rsid w:val="00EE5BF8"/>
    <w:pPr>
      <w:spacing w:before="120" w:after="120"/>
      <w:ind w:left="425" w:firstLine="142"/>
    </w:pPr>
    <w:rPr>
      <w:sz w:val="20"/>
    </w:rPr>
  </w:style>
  <w:style w:type="paragraph" w:customStyle="1" w:styleId="JuParaSub">
    <w:name w:val="Ju_Para_Sub"/>
    <w:basedOn w:val="ECHRPara"/>
    <w:uiPriority w:val="13"/>
    <w:qFormat/>
    <w:rsid w:val="00EE5BF8"/>
    <w:pPr>
      <w:ind w:left="284"/>
    </w:pPr>
  </w:style>
  <w:style w:type="paragraph" w:customStyle="1" w:styleId="DummyStyle">
    <w:name w:val="Dummy_Style"/>
    <w:basedOn w:val="Normal"/>
    <w:semiHidden/>
    <w:qFormat/>
    <w:rsid w:val="00EE5BF8"/>
    <w:rPr>
      <w:color w:val="00B050"/>
    </w:rPr>
  </w:style>
  <w:style w:type="paragraph" w:customStyle="1" w:styleId="OpiQuot">
    <w:name w:val="Opi_Quot"/>
    <w:basedOn w:val="ECHRParaQuote"/>
    <w:uiPriority w:val="48"/>
    <w:qFormat/>
    <w:rsid w:val="00EE5BF8"/>
  </w:style>
  <w:style w:type="paragraph" w:customStyle="1" w:styleId="OpiH1">
    <w:name w:val="Opi_H_1"/>
    <w:basedOn w:val="ECHRHeading2"/>
    <w:uiPriority w:val="42"/>
    <w:qFormat/>
    <w:rsid w:val="00EE5BF8"/>
    <w:pPr>
      <w:ind w:left="635" w:hanging="357"/>
      <w:outlineLvl w:val="2"/>
    </w:pPr>
  </w:style>
  <w:style w:type="paragraph" w:customStyle="1" w:styleId="ECHRTitleCentre3">
    <w:name w:val="ECHR_Title_Centre_3"/>
    <w:aliases w:val="Ju_H_Article"/>
    <w:basedOn w:val="Normal"/>
    <w:next w:val="ECHRParaQuote"/>
    <w:uiPriority w:val="27"/>
    <w:qFormat/>
    <w:rsid w:val="00EE5BF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EE5BF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EE5BF8"/>
    <w:pPr>
      <w:ind w:left="567"/>
    </w:pPr>
  </w:style>
  <w:style w:type="paragraph" w:customStyle="1" w:styleId="ECHRTitle1">
    <w:name w:val="ECHR_Title_1"/>
    <w:aliases w:val="Ju_H_Head"/>
    <w:basedOn w:val="Normal"/>
    <w:next w:val="ECHRPara"/>
    <w:uiPriority w:val="18"/>
    <w:qFormat/>
    <w:rsid w:val="00EE5BF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EE5BF8"/>
    <w:pPr>
      <w:tabs>
        <w:tab w:val="center" w:pos="6407"/>
      </w:tabs>
      <w:spacing w:before="720"/>
      <w:jc w:val="right"/>
    </w:pPr>
  </w:style>
  <w:style w:type="paragraph" w:customStyle="1" w:styleId="JuSigned">
    <w:name w:val="Ju_Signed"/>
    <w:basedOn w:val="Normal"/>
    <w:next w:val="JuParaLast"/>
    <w:uiPriority w:val="32"/>
    <w:qFormat/>
    <w:rsid w:val="00EE5BF8"/>
    <w:pPr>
      <w:tabs>
        <w:tab w:val="center" w:pos="851"/>
        <w:tab w:val="center" w:pos="6407"/>
      </w:tabs>
      <w:spacing w:before="720"/>
      <w:jc w:val="left"/>
    </w:pPr>
  </w:style>
  <w:style w:type="paragraph" w:styleId="Title">
    <w:name w:val="Title"/>
    <w:basedOn w:val="Normal"/>
    <w:next w:val="Normal"/>
    <w:link w:val="TitleChar"/>
    <w:uiPriority w:val="99"/>
    <w:semiHidden/>
    <w:qFormat/>
    <w:rsid w:val="00EE5BF8"/>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EE5BF8"/>
    <w:rPr>
      <w:rFonts w:asciiTheme="majorHAnsi" w:eastAsiaTheme="majorEastAsia" w:hAnsiTheme="majorHAnsi" w:cstheme="majorBidi"/>
      <w:spacing w:val="5"/>
      <w:sz w:val="52"/>
      <w:szCs w:val="52"/>
      <w:lang w:bidi="en-US"/>
    </w:rPr>
  </w:style>
  <w:style w:type="paragraph" w:customStyle="1" w:styleId="OpiHa">
    <w:name w:val="Opi_H_a"/>
    <w:basedOn w:val="ECHRHeading3"/>
    <w:uiPriority w:val="43"/>
    <w:qFormat/>
    <w:rsid w:val="00EE5BF8"/>
    <w:pPr>
      <w:ind w:left="833" w:hanging="357"/>
      <w:outlineLvl w:val="3"/>
    </w:pPr>
    <w:rPr>
      <w:b/>
      <w:i w:val="0"/>
      <w:sz w:val="20"/>
    </w:rPr>
  </w:style>
  <w:style w:type="character" w:customStyle="1" w:styleId="JUNAMES">
    <w:name w:val="JU_NAMES"/>
    <w:uiPriority w:val="17"/>
    <w:qFormat/>
    <w:rsid w:val="00EE5BF8"/>
    <w:rPr>
      <w:caps w:val="0"/>
      <w:smallCaps/>
    </w:rPr>
  </w:style>
  <w:style w:type="character" w:customStyle="1" w:styleId="JuITMark">
    <w:name w:val="Ju_ITMark"/>
    <w:basedOn w:val="DefaultParagraphFont"/>
    <w:uiPriority w:val="38"/>
    <w:qFormat/>
    <w:rsid w:val="00EE5BF8"/>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EE5BF8"/>
    <w:pPr>
      <w:jc w:val="center"/>
      <w:outlineLvl w:val="0"/>
    </w:pPr>
    <w:rPr>
      <w:i/>
    </w:rPr>
  </w:style>
  <w:style w:type="paragraph" w:customStyle="1" w:styleId="JuCourt">
    <w:name w:val="Ju_Court"/>
    <w:basedOn w:val="Normal"/>
    <w:next w:val="Normal"/>
    <w:uiPriority w:val="16"/>
    <w:qFormat/>
    <w:rsid w:val="00EE5BF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EE5BF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EE5BF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EE5BF8"/>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EE5BF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E5BF8"/>
    <w:rPr>
      <w:sz w:val="24"/>
      <w:lang w:val="en-GB"/>
    </w:rPr>
  </w:style>
  <w:style w:type="character" w:customStyle="1" w:styleId="Heading1Char">
    <w:name w:val="Heading 1 Char"/>
    <w:basedOn w:val="DefaultParagraphFont"/>
    <w:link w:val="Heading1"/>
    <w:uiPriority w:val="99"/>
    <w:semiHidden/>
    <w:rsid w:val="00EE5BF8"/>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EE5BF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EE5BF8"/>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EE5BF8"/>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EE5BF8"/>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EE5BF8"/>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EE5BF8"/>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EE5BF8"/>
    <w:pPr>
      <w:keepNext/>
      <w:keepLines/>
      <w:spacing w:before="240"/>
      <w:ind w:firstLine="284"/>
    </w:pPr>
  </w:style>
  <w:style w:type="paragraph" w:customStyle="1" w:styleId="JuList">
    <w:name w:val="Ju_List"/>
    <w:basedOn w:val="Normal"/>
    <w:uiPriority w:val="28"/>
    <w:qFormat/>
    <w:rsid w:val="00EE5BF8"/>
    <w:pPr>
      <w:ind w:left="340" w:hanging="340"/>
    </w:pPr>
  </w:style>
  <w:style w:type="character" w:customStyle="1" w:styleId="Heading4Char">
    <w:name w:val="Heading 4 Char"/>
    <w:basedOn w:val="DefaultParagraphFont"/>
    <w:link w:val="Heading4"/>
    <w:uiPriority w:val="99"/>
    <w:semiHidden/>
    <w:rsid w:val="00EE5BF8"/>
    <w:rPr>
      <w:rFonts w:asciiTheme="majorHAnsi" w:eastAsiaTheme="majorEastAsia" w:hAnsiTheme="majorHAnsi" w:cstheme="majorBidi"/>
      <w:b/>
      <w:bCs/>
      <w:i/>
      <w:iCs/>
      <w:color w:val="777777"/>
      <w:sz w:val="24"/>
      <w:lang w:val="en-GB"/>
    </w:rPr>
  </w:style>
  <w:style w:type="paragraph" w:customStyle="1" w:styleId="JuLista">
    <w:name w:val="Ju_List_a"/>
    <w:basedOn w:val="JuList"/>
    <w:uiPriority w:val="28"/>
    <w:qFormat/>
    <w:rsid w:val="00EE5BF8"/>
    <w:pPr>
      <w:ind w:left="346" w:firstLine="0"/>
    </w:pPr>
  </w:style>
  <w:style w:type="character" w:customStyle="1" w:styleId="Heading5Char">
    <w:name w:val="Heading 5 Char"/>
    <w:basedOn w:val="DefaultParagraphFont"/>
    <w:link w:val="Heading5"/>
    <w:uiPriority w:val="99"/>
    <w:semiHidden/>
    <w:rsid w:val="00EE5BF8"/>
    <w:rPr>
      <w:rFonts w:asciiTheme="majorHAnsi" w:eastAsiaTheme="majorEastAsia" w:hAnsiTheme="majorHAnsi" w:cstheme="majorBidi"/>
      <w:b/>
      <w:bCs/>
      <w:color w:val="808080"/>
    </w:rPr>
  </w:style>
  <w:style w:type="paragraph" w:customStyle="1" w:styleId="JuListi">
    <w:name w:val="Ju_List_i"/>
    <w:basedOn w:val="Normal"/>
    <w:next w:val="JuLista"/>
    <w:uiPriority w:val="28"/>
    <w:qFormat/>
    <w:rsid w:val="00EE5BF8"/>
    <w:pPr>
      <w:ind w:left="794"/>
    </w:pPr>
  </w:style>
  <w:style w:type="paragraph" w:customStyle="1" w:styleId="OpiHA0">
    <w:name w:val="Opi_H_A"/>
    <w:basedOn w:val="ECHRHeading1"/>
    <w:next w:val="OpiPara"/>
    <w:uiPriority w:val="41"/>
    <w:qFormat/>
    <w:rsid w:val="00EE5BF8"/>
    <w:pPr>
      <w:tabs>
        <w:tab w:val="clear" w:pos="357"/>
      </w:tabs>
      <w:outlineLvl w:val="1"/>
    </w:pPr>
    <w:rPr>
      <w:b/>
    </w:rPr>
  </w:style>
  <w:style w:type="character" w:styleId="SubtleEmphasis">
    <w:name w:val="Subtle Emphasis"/>
    <w:uiPriority w:val="99"/>
    <w:semiHidden/>
    <w:qFormat/>
    <w:rsid w:val="00EE5BF8"/>
    <w:rPr>
      <w:i/>
      <w:iCs/>
    </w:rPr>
  </w:style>
  <w:style w:type="paragraph" w:customStyle="1" w:styleId="OpiHi">
    <w:name w:val="Opi_H_i"/>
    <w:basedOn w:val="ECHRHeading4"/>
    <w:uiPriority w:val="44"/>
    <w:qFormat/>
    <w:rsid w:val="00EE5BF8"/>
    <w:pPr>
      <w:ind w:left="1037" w:hanging="357"/>
      <w:outlineLvl w:val="4"/>
    </w:pPr>
    <w:rPr>
      <w:b w:val="0"/>
      <w:i/>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ParaSub">
    <w:name w:val="Opi_Para_Sub"/>
    <w:basedOn w:val="JuParaSub"/>
    <w:uiPriority w:val="47"/>
    <w:qFormat/>
    <w:rsid w:val="00EE5BF8"/>
  </w:style>
  <w:style w:type="paragraph" w:customStyle="1" w:styleId="OpiQuotSub">
    <w:name w:val="Opi_Quot_Sub"/>
    <w:basedOn w:val="JuQuotSub"/>
    <w:uiPriority w:val="49"/>
    <w:qFormat/>
    <w:rsid w:val="00EE5BF8"/>
  </w:style>
  <w:style w:type="paragraph" w:styleId="Subtitle">
    <w:name w:val="Subtitle"/>
    <w:basedOn w:val="Normal"/>
    <w:next w:val="Normal"/>
    <w:link w:val="SubtitleChar"/>
    <w:uiPriority w:val="99"/>
    <w:semiHidden/>
    <w:qFormat/>
    <w:rsid w:val="00EE5BF8"/>
    <w:pPr>
      <w:spacing w:after="600"/>
    </w:pPr>
    <w:rPr>
      <w:rFonts w:asciiTheme="majorHAnsi" w:eastAsiaTheme="majorEastAsia" w:hAnsiTheme="majorHAnsi" w:cstheme="majorBidi"/>
      <w:i/>
      <w:iCs/>
      <w:spacing w:val="13"/>
      <w:szCs w:val="24"/>
      <w:lang w:val="en-US" w:bidi="en-US"/>
    </w:rPr>
  </w:style>
  <w:style w:type="character" w:styleId="Emphasis">
    <w:name w:val="Emphasis"/>
    <w:uiPriority w:val="99"/>
    <w:semiHidden/>
    <w:qFormat/>
    <w:rsid w:val="00EE5BF8"/>
    <w:rPr>
      <w:b/>
      <w:bCs/>
      <w:i/>
      <w:iCs/>
      <w:spacing w:val="10"/>
      <w:bdr w:val="none" w:sz="0" w:space="0" w:color="auto"/>
      <w:shd w:val="clear" w:color="auto" w:fill="auto"/>
    </w:rPr>
  </w:style>
  <w:style w:type="paragraph" w:styleId="Footer">
    <w:name w:val="footer"/>
    <w:basedOn w:val="Normal"/>
    <w:link w:val="FooterChar"/>
    <w:uiPriority w:val="57"/>
    <w:semiHidden/>
    <w:rsid w:val="00EE5BF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EE5BF8"/>
    <w:rPr>
      <w:sz w:val="24"/>
      <w:lang w:val="en-GB"/>
    </w:rPr>
  </w:style>
  <w:style w:type="character" w:styleId="FootnoteReference">
    <w:name w:val="footnote reference"/>
    <w:basedOn w:val="DefaultParagraphFont"/>
    <w:uiPriority w:val="99"/>
    <w:semiHidden/>
    <w:rsid w:val="00EE5BF8"/>
    <w:rPr>
      <w:vertAlign w:val="superscript"/>
    </w:rPr>
  </w:style>
  <w:style w:type="paragraph" w:styleId="FootnoteText">
    <w:name w:val="footnote text"/>
    <w:basedOn w:val="Normal"/>
    <w:link w:val="FootnoteTextChar"/>
    <w:uiPriority w:val="99"/>
    <w:semiHidden/>
    <w:rsid w:val="00EE5BF8"/>
    <w:rPr>
      <w:sz w:val="20"/>
      <w:szCs w:val="20"/>
    </w:rPr>
  </w:style>
  <w:style w:type="character" w:customStyle="1" w:styleId="FootnoteTextChar">
    <w:name w:val="Footnote Text Char"/>
    <w:basedOn w:val="DefaultParagraphFont"/>
    <w:link w:val="FootnoteText"/>
    <w:uiPriority w:val="99"/>
    <w:semiHidden/>
    <w:rsid w:val="00EE5BF8"/>
    <w:rPr>
      <w:rFonts w:eastAsiaTheme="minorEastAsia"/>
      <w:sz w:val="20"/>
      <w:szCs w:val="20"/>
      <w:lang w:val="en-GB"/>
    </w:rPr>
  </w:style>
  <w:style w:type="character" w:customStyle="1" w:styleId="Heading6Char">
    <w:name w:val="Heading 6 Char"/>
    <w:basedOn w:val="DefaultParagraphFont"/>
    <w:link w:val="Heading6"/>
    <w:uiPriority w:val="99"/>
    <w:semiHidden/>
    <w:rsid w:val="00EE5BF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EE5BF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E5BF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E5BF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EE5BF8"/>
    <w:rPr>
      <w:color w:val="0072BC" w:themeColor="hyperlink"/>
      <w:u w:val="single"/>
    </w:rPr>
  </w:style>
  <w:style w:type="character" w:styleId="IntenseEmphasis">
    <w:name w:val="Intense Emphasis"/>
    <w:uiPriority w:val="99"/>
    <w:semiHidden/>
    <w:qFormat/>
    <w:rsid w:val="00EE5BF8"/>
    <w:rPr>
      <w:b/>
      <w:bCs/>
    </w:rPr>
  </w:style>
  <w:style w:type="paragraph" w:styleId="IntenseQuote">
    <w:name w:val="Intense Quote"/>
    <w:basedOn w:val="Normal"/>
    <w:next w:val="Normal"/>
    <w:link w:val="IntenseQuoteChar"/>
    <w:uiPriority w:val="99"/>
    <w:semiHidden/>
    <w:qFormat/>
    <w:rsid w:val="00EE5BF8"/>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EE5BF8"/>
    <w:rPr>
      <w:rFonts w:eastAsiaTheme="minorEastAsia"/>
      <w:b/>
      <w:bCs/>
      <w:i/>
      <w:iCs/>
      <w:lang w:bidi="en-US"/>
    </w:rPr>
  </w:style>
  <w:style w:type="character" w:styleId="IntenseReference">
    <w:name w:val="Intense Reference"/>
    <w:uiPriority w:val="99"/>
    <w:semiHidden/>
    <w:qFormat/>
    <w:rsid w:val="00EE5BF8"/>
    <w:rPr>
      <w:smallCaps/>
      <w:spacing w:val="5"/>
      <w:u w:val="single"/>
    </w:rPr>
  </w:style>
  <w:style w:type="paragraph" w:styleId="ListParagraph">
    <w:name w:val="List Paragraph"/>
    <w:basedOn w:val="Normal"/>
    <w:uiPriority w:val="99"/>
    <w:semiHidden/>
    <w:qFormat/>
    <w:rsid w:val="00EE5BF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E5BF8"/>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EE5BF8"/>
    <w:rPr>
      <w:rFonts w:eastAsiaTheme="minorEastAsia"/>
      <w:i/>
      <w:iCs/>
      <w:lang w:bidi="en-US"/>
    </w:rPr>
  </w:style>
  <w:style w:type="character" w:styleId="SubtleReference">
    <w:name w:val="Subtle Reference"/>
    <w:uiPriority w:val="99"/>
    <w:semiHidden/>
    <w:qFormat/>
    <w:rsid w:val="00EE5BF8"/>
    <w:rPr>
      <w:smallCaps/>
    </w:rPr>
  </w:style>
  <w:style w:type="table" w:styleId="TableGrid">
    <w:name w:val="Table Grid"/>
    <w:basedOn w:val="TableNormal"/>
    <w:uiPriority w:val="59"/>
    <w:semiHidden/>
    <w:rsid w:val="00EE5BF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E5BF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E5BF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E5BF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E5BF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E5BF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E5BF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E5BF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EE5BF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2D2C99"/>
    <w:pPr>
      <w:numPr>
        <w:numId w:val="9"/>
      </w:numPr>
    </w:pPr>
  </w:style>
  <w:style w:type="numbering" w:styleId="1ai">
    <w:name w:val="Outline List 1"/>
    <w:basedOn w:val="NoList"/>
    <w:uiPriority w:val="99"/>
    <w:semiHidden/>
    <w:unhideWhenUsed/>
    <w:rsid w:val="002D2C99"/>
    <w:pPr>
      <w:numPr>
        <w:numId w:val="10"/>
      </w:numPr>
    </w:pPr>
  </w:style>
  <w:style w:type="paragraph" w:customStyle="1" w:styleId="ECHRPara">
    <w:name w:val="ECHR_Para"/>
    <w:aliases w:val="Ju_Para"/>
    <w:basedOn w:val="Normal"/>
    <w:link w:val="ECHRParaChar"/>
    <w:uiPriority w:val="12"/>
    <w:qFormat/>
    <w:rsid w:val="00EE5BF8"/>
    <w:pPr>
      <w:ind w:firstLine="284"/>
    </w:pPr>
  </w:style>
  <w:style w:type="numbering" w:styleId="ArticleSection">
    <w:name w:val="Outline List 3"/>
    <w:basedOn w:val="NoList"/>
    <w:uiPriority w:val="99"/>
    <w:semiHidden/>
    <w:unhideWhenUsed/>
    <w:rsid w:val="002D2C99"/>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2D2C99"/>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E5BF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2D2C99"/>
    <w:pPr>
      <w:pBdr>
        <w:top w:val="single" w:sz="2" w:space="10" w:color="0072BC" w:themeColor="accent1" w:shadow="1"/>
        <w:left w:val="single" w:sz="2" w:space="10" w:color="0072BC" w:themeColor="accent1" w:shadow="1"/>
        <w:bottom w:val="single" w:sz="2" w:space="10" w:color="0072BC" w:themeColor="accent1" w:shadow="1"/>
        <w:right w:val="single" w:sz="2" w:space="10" w:color="0072BC" w:themeColor="accent1" w:shadow="1"/>
      </w:pBdr>
      <w:ind w:left="1152" w:right="1152"/>
    </w:pPr>
    <w:rPr>
      <w:i/>
      <w:iCs/>
      <w:color w:val="0072BC" w:themeColor="accent1"/>
    </w:rPr>
  </w:style>
  <w:style w:type="paragraph" w:styleId="BodyText">
    <w:name w:val="Body Text"/>
    <w:basedOn w:val="Normal"/>
    <w:link w:val="BodyTextChar"/>
    <w:uiPriority w:val="99"/>
    <w:semiHidden/>
    <w:rsid w:val="002D2C99"/>
    <w:pPr>
      <w:spacing w:after="120"/>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2D2C99"/>
    <w:rPr>
      <w:rFonts w:eastAsiaTheme="minorEastAsia"/>
      <w:sz w:val="24"/>
    </w:rPr>
  </w:style>
  <w:style w:type="paragraph" w:styleId="BodyText2">
    <w:name w:val="Body Text 2"/>
    <w:basedOn w:val="Normal"/>
    <w:link w:val="BodyText2Char"/>
    <w:uiPriority w:val="99"/>
    <w:semiHidden/>
    <w:rsid w:val="002D2C99"/>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EE5BF8"/>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EE5BF8"/>
    <w:pPr>
      <w:ind w:firstLine="284"/>
    </w:pPr>
    <w:rPr>
      <w:b/>
    </w:rPr>
  </w:style>
  <w:style w:type="character" w:styleId="PageNumber">
    <w:name w:val="page number"/>
    <w:uiPriority w:val="99"/>
    <w:semiHidden/>
    <w:rsid w:val="002D2C99"/>
    <w:rPr>
      <w:rFonts w:ascii="Times New Roman" w:hAnsi="Times New Roman" w:cs="Times New Roman"/>
      <w:sz w:val="18"/>
    </w:rPr>
  </w:style>
  <w:style w:type="paragraph" w:styleId="ListBullet2">
    <w:name w:val="List Bullet 2"/>
    <w:basedOn w:val="Normal"/>
    <w:uiPriority w:val="99"/>
    <w:semiHidden/>
    <w:rsid w:val="002D2C99"/>
    <w:pPr>
      <w:numPr>
        <w:numId w:val="8"/>
      </w:numPr>
      <w:contextualSpacing/>
    </w:pPr>
  </w:style>
  <w:style w:type="character" w:customStyle="1" w:styleId="BodyText2Char">
    <w:name w:val="Body Text 2 Char"/>
    <w:basedOn w:val="DefaultParagraphFont"/>
    <w:link w:val="BodyText2"/>
    <w:uiPriority w:val="99"/>
    <w:semiHidden/>
    <w:rsid w:val="002D2C99"/>
    <w:rPr>
      <w:rFonts w:eastAsiaTheme="minorEastAsia"/>
      <w:sz w:val="24"/>
    </w:rPr>
  </w:style>
  <w:style w:type="paragraph" w:styleId="BodyText3">
    <w:name w:val="Body Text 3"/>
    <w:basedOn w:val="Normal"/>
    <w:link w:val="BodyText3Char"/>
    <w:uiPriority w:val="99"/>
    <w:semiHidden/>
    <w:rsid w:val="002D2C99"/>
    <w:pPr>
      <w:spacing w:after="120"/>
    </w:pPr>
    <w:rPr>
      <w:sz w:val="16"/>
      <w:szCs w:val="16"/>
    </w:rPr>
  </w:style>
  <w:style w:type="character" w:customStyle="1" w:styleId="BodyText3Char">
    <w:name w:val="Body Text 3 Char"/>
    <w:basedOn w:val="DefaultParagraphFont"/>
    <w:link w:val="BodyText3"/>
    <w:uiPriority w:val="99"/>
    <w:semiHidden/>
    <w:rsid w:val="002D2C99"/>
    <w:rPr>
      <w:rFonts w:eastAsiaTheme="minorEastAsia"/>
      <w:sz w:val="16"/>
      <w:szCs w:val="16"/>
    </w:rPr>
  </w:style>
  <w:style w:type="paragraph" w:styleId="BodyTextFirstIndent">
    <w:name w:val="Body Text First Indent"/>
    <w:basedOn w:val="BodyText"/>
    <w:link w:val="BodyTextFirstIndentChar"/>
    <w:uiPriority w:val="99"/>
    <w:semiHidden/>
    <w:rsid w:val="002D2C99"/>
    <w:pPr>
      <w:spacing w:after="0"/>
      <w:ind w:firstLine="360"/>
    </w:pPr>
  </w:style>
  <w:style w:type="character" w:customStyle="1" w:styleId="BodyTextFirstIndentChar">
    <w:name w:val="Body Text First Indent Char"/>
    <w:basedOn w:val="BodyTextChar"/>
    <w:link w:val="BodyTextFirstIndent"/>
    <w:uiPriority w:val="99"/>
    <w:semiHidden/>
    <w:rsid w:val="002D2C99"/>
    <w:rPr>
      <w:rFonts w:eastAsiaTheme="minorEastAsia"/>
      <w:sz w:val="24"/>
    </w:rPr>
  </w:style>
  <w:style w:type="paragraph" w:styleId="BodyTextIndent">
    <w:name w:val="Body Text Indent"/>
    <w:basedOn w:val="Normal"/>
    <w:link w:val="BodyTextIndentChar"/>
    <w:uiPriority w:val="99"/>
    <w:semiHidden/>
    <w:rsid w:val="002D2C99"/>
    <w:pPr>
      <w:spacing w:after="120"/>
      <w:ind w:left="283"/>
    </w:pPr>
  </w:style>
  <w:style w:type="character" w:customStyle="1" w:styleId="BodyTextIndentChar">
    <w:name w:val="Body Text Indent Char"/>
    <w:basedOn w:val="DefaultParagraphFont"/>
    <w:link w:val="BodyTextIndent"/>
    <w:uiPriority w:val="99"/>
    <w:semiHidden/>
    <w:rsid w:val="002D2C99"/>
    <w:rPr>
      <w:rFonts w:eastAsiaTheme="minorEastAsia"/>
      <w:sz w:val="24"/>
    </w:rPr>
  </w:style>
  <w:style w:type="paragraph" w:styleId="BodyTextFirstIndent2">
    <w:name w:val="Body Text First Indent 2"/>
    <w:basedOn w:val="BodyTextIndent"/>
    <w:link w:val="BodyTextFirstIndent2Char"/>
    <w:uiPriority w:val="99"/>
    <w:semiHidden/>
    <w:rsid w:val="002D2C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D2C99"/>
    <w:rPr>
      <w:rFonts w:eastAsiaTheme="minorEastAsia"/>
      <w:sz w:val="24"/>
    </w:rPr>
  </w:style>
  <w:style w:type="paragraph" w:styleId="BodyTextIndent2">
    <w:name w:val="Body Text Indent 2"/>
    <w:basedOn w:val="Normal"/>
    <w:link w:val="BodyTextIndent2Char"/>
    <w:uiPriority w:val="99"/>
    <w:semiHidden/>
    <w:rsid w:val="002D2C99"/>
    <w:pPr>
      <w:spacing w:after="120" w:line="480" w:lineRule="auto"/>
      <w:ind w:left="283"/>
    </w:pPr>
  </w:style>
  <w:style w:type="character" w:customStyle="1" w:styleId="BodyTextIndent2Char">
    <w:name w:val="Body Text Indent 2 Char"/>
    <w:basedOn w:val="DefaultParagraphFont"/>
    <w:link w:val="BodyTextIndent2"/>
    <w:uiPriority w:val="99"/>
    <w:semiHidden/>
    <w:rsid w:val="002D2C99"/>
    <w:rPr>
      <w:rFonts w:eastAsiaTheme="minorEastAsia"/>
      <w:sz w:val="24"/>
    </w:rPr>
  </w:style>
  <w:style w:type="paragraph" w:styleId="BodyTextIndent3">
    <w:name w:val="Body Text Indent 3"/>
    <w:basedOn w:val="Normal"/>
    <w:link w:val="BodyTextIndent3Char"/>
    <w:uiPriority w:val="99"/>
    <w:semiHidden/>
    <w:rsid w:val="002D2C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D2C99"/>
    <w:rPr>
      <w:rFonts w:eastAsiaTheme="minorEastAsia"/>
      <w:sz w:val="16"/>
      <w:szCs w:val="16"/>
    </w:rPr>
  </w:style>
  <w:style w:type="paragraph" w:styleId="Caption">
    <w:name w:val="caption"/>
    <w:basedOn w:val="Normal"/>
    <w:next w:val="Normal"/>
    <w:uiPriority w:val="99"/>
    <w:semiHidden/>
    <w:qFormat/>
    <w:rsid w:val="002D2C99"/>
    <w:pPr>
      <w:spacing w:after="200"/>
    </w:pPr>
    <w:rPr>
      <w:b/>
      <w:bCs/>
      <w:color w:val="0072BC" w:themeColor="accent1"/>
      <w:sz w:val="18"/>
      <w:szCs w:val="18"/>
    </w:rPr>
  </w:style>
  <w:style w:type="paragraph" w:styleId="Closing">
    <w:name w:val="Closing"/>
    <w:basedOn w:val="Normal"/>
    <w:link w:val="ClosingChar"/>
    <w:uiPriority w:val="99"/>
    <w:semiHidden/>
    <w:rsid w:val="002D2C99"/>
    <w:pPr>
      <w:ind w:left="4252"/>
    </w:pPr>
  </w:style>
  <w:style w:type="character" w:customStyle="1" w:styleId="ClosingChar">
    <w:name w:val="Closing Char"/>
    <w:basedOn w:val="DefaultParagraphFont"/>
    <w:link w:val="Closing"/>
    <w:uiPriority w:val="99"/>
    <w:semiHidden/>
    <w:rsid w:val="002D2C99"/>
    <w:rPr>
      <w:rFonts w:eastAsiaTheme="minorEastAsia"/>
      <w:sz w:val="24"/>
    </w:rPr>
  </w:style>
  <w:style w:type="table" w:styleId="ColorfulGrid">
    <w:name w:val="Colorful Grid"/>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D2C9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D2C9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D2C9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D2C9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D2C9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D2C9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D2C9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D2C9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D2C9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D2C9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D2C9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D2C9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D2C9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D2C9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2D2C99"/>
    <w:rPr>
      <w:sz w:val="16"/>
      <w:szCs w:val="16"/>
    </w:rPr>
  </w:style>
  <w:style w:type="paragraph" w:styleId="CommentText">
    <w:name w:val="annotation text"/>
    <w:basedOn w:val="Normal"/>
    <w:link w:val="CommentTextChar"/>
    <w:uiPriority w:val="99"/>
    <w:semiHidden/>
    <w:rsid w:val="002D2C99"/>
    <w:rPr>
      <w:sz w:val="20"/>
      <w:szCs w:val="20"/>
    </w:rPr>
  </w:style>
  <w:style w:type="character" w:customStyle="1" w:styleId="CommentTextChar">
    <w:name w:val="Comment Text Char"/>
    <w:basedOn w:val="DefaultParagraphFont"/>
    <w:link w:val="CommentText"/>
    <w:uiPriority w:val="99"/>
    <w:semiHidden/>
    <w:rsid w:val="002D2C99"/>
    <w:rPr>
      <w:rFonts w:eastAsiaTheme="minorEastAsia"/>
      <w:sz w:val="20"/>
      <w:szCs w:val="20"/>
    </w:rPr>
  </w:style>
  <w:style w:type="paragraph" w:styleId="CommentSubject">
    <w:name w:val="annotation subject"/>
    <w:basedOn w:val="CommentText"/>
    <w:next w:val="CommentText"/>
    <w:link w:val="CommentSubjectChar"/>
    <w:uiPriority w:val="99"/>
    <w:semiHidden/>
    <w:rsid w:val="002D2C99"/>
    <w:rPr>
      <w:b/>
      <w:bCs/>
    </w:rPr>
  </w:style>
  <w:style w:type="character" w:customStyle="1" w:styleId="CommentSubjectChar">
    <w:name w:val="Comment Subject Char"/>
    <w:basedOn w:val="CommentTextChar"/>
    <w:link w:val="CommentSubject"/>
    <w:uiPriority w:val="99"/>
    <w:semiHidden/>
    <w:rsid w:val="002D2C99"/>
    <w:rPr>
      <w:rFonts w:eastAsiaTheme="minorEastAsia"/>
      <w:b/>
      <w:bCs/>
      <w:sz w:val="20"/>
      <w:szCs w:val="20"/>
    </w:rPr>
  </w:style>
  <w:style w:type="table" w:styleId="DarkList">
    <w:name w:val="Dark List"/>
    <w:basedOn w:val="TableNormal"/>
    <w:uiPriority w:val="70"/>
    <w:semiHidden/>
    <w:rsid w:val="002D2C9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D2C9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D2C9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D2C9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D2C9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D2C9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D2C9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D2C99"/>
  </w:style>
  <w:style w:type="character" w:customStyle="1" w:styleId="DateChar">
    <w:name w:val="Date Char"/>
    <w:basedOn w:val="DefaultParagraphFont"/>
    <w:link w:val="Date"/>
    <w:uiPriority w:val="99"/>
    <w:semiHidden/>
    <w:rsid w:val="002D2C99"/>
    <w:rPr>
      <w:rFonts w:eastAsiaTheme="minorEastAsia"/>
      <w:sz w:val="24"/>
    </w:rPr>
  </w:style>
  <w:style w:type="paragraph" w:styleId="DocumentMap">
    <w:name w:val="Document Map"/>
    <w:basedOn w:val="Normal"/>
    <w:link w:val="DocumentMapChar"/>
    <w:uiPriority w:val="99"/>
    <w:semiHidden/>
    <w:rsid w:val="002D2C99"/>
    <w:rPr>
      <w:rFonts w:ascii="Tahoma" w:hAnsi="Tahoma" w:cs="Tahoma"/>
      <w:sz w:val="16"/>
      <w:szCs w:val="16"/>
    </w:rPr>
  </w:style>
  <w:style w:type="character" w:customStyle="1" w:styleId="DocumentMapChar">
    <w:name w:val="Document Map Char"/>
    <w:basedOn w:val="DefaultParagraphFont"/>
    <w:link w:val="DocumentMap"/>
    <w:uiPriority w:val="99"/>
    <w:semiHidden/>
    <w:rsid w:val="002D2C99"/>
    <w:rPr>
      <w:rFonts w:ascii="Tahoma" w:eastAsiaTheme="minorEastAsia" w:hAnsi="Tahoma" w:cs="Tahoma"/>
      <w:sz w:val="16"/>
      <w:szCs w:val="16"/>
    </w:rPr>
  </w:style>
  <w:style w:type="paragraph" w:styleId="E-mailSignature">
    <w:name w:val="E-mail Signature"/>
    <w:basedOn w:val="Normal"/>
    <w:link w:val="E-mailSignatureChar"/>
    <w:uiPriority w:val="99"/>
    <w:semiHidden/>
    <w:rsid w:val="002D2C99"/>
  </w:style>
  <w:style w:type="character" w:customStyle="1" w:styleId="E-mailSignatureChar">
    <w:name w:val="E-mail Signature Char"/>
    <w:basedOn w:val="DefaultParagraphFont"/>
    <w:link w:val="E-mailSignature"/>
    <w:uiPriority w:val="99"/>
    <w:semiHidden/>
    <w:rsid w:val="002D2C99"/>
    <w:rPr>
      <w:rFonts w:eastAsiaTheme="minorEastAsia"/>
      <w:sz w:val="24"/>
    </w:rPr>
  </w:style>
  <w:style w:type="character" w:styleId="EndnoteReference">
    <w:name w:val="endnote reference"/>
    <w:basedOn w:val="DefaultParagraphFont"/>
    <w:uiPriority w:val="99"/>
    <w:semiHidden/>
    <w:rsid w:val="00EE5BF8"/>
    <w:rPr>
      <w:vertAlign w:val="superscript"/>
    </w:rPr>
  </w:style>
  <w:style w:type="paragraph" w:styleId="EndnoteText">
    <w:name w:val="endnote text"/>
    <w:basedOn w:val="Normal"/>
    <w:link w:val="EndnoteTextChar"/>
    <w:uiPriority w:val="99"/>
    <w:semiHidden/>
    <w:rsid w:val="00EE5BF8"/>
    <w:rPr>
      <w:sz w:val="20"/>
      <w:szCs w:val="20"/>
    </w:rPr>
  </w:style>
  <w:style w:type="character" w:customStyle="1" w:styleId="EndnoteTextChar">
    <w:name w:val="Endnote Text Char"/>
    <w:basedOn w:val="DefaultParagraphFont"/>
    <w:link w:val="EndnoteText"/>
    <w:uiPriority w:val="99"/>
    <w:semiHidden/>
    <w:rsid w:val="00EE5BF8"/>
    <w:rPr>
      <w:rFonts w:eastAsiaTheme="minorEastAsia"/>
      <w:sz w:val="20"/>
      <w:szCs w:val="20"/>
      <w:lang w:val="en-GB"/>
    </w:rPr>
  </w:style>
  <w:style w:type="paragraph" w:styleId="EnvelopeAddress">
    <w:name w:val="envelope address"/>
    <w:basedOn w:val="Normal"/>
    <w:uiPriority w:val="99"/>
    <w:semiHidden/>
    <w:rsid w:val="002D2C9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D2C9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D2C99"/>
    <w:rPr>
      <w:color w:val="7030A0" w:themeColor="followedHyperlink"/>
      <w:u w:val="single"/>
    </w:rPr>
  </w:style>
  <w:style w:type="character" w:styleId="HTMLAcronym">
    <w:name w:val="HTML Acronym"/>
    <w:basedOn w:val="DefaultParagraphFont"/>
    <w:uiPriority w:val="99"/>
    <w:semiHidden/>
    <w:rsid w:val="002D2C99"/>
  </w:style>
  <w:style w:type="paragraph" w:styleId="HTMLAddress">
    <w:name w:val="HTML Address"/>
    <w:basedOn w:val="Normal"/>
    <w:link w:val="HTMLAddressChar"/>
    <w:uiPriority w:val="99"/>
    <w:semiHidden/>
    <w:rsid w:val="002D2C99"/>
    <w:rPr>
      <w:i/>
      <w:iCs/>
    </w:rPr>
  </w:style>
  <w:style w:type="character" w:customStyle="1" w:styleId="HTMLAddressChar">
    <w:name w:val="HTML Address Char"/>
    <w:basedOn w:val="DefaultParagraphFont"/>
    <w:link w:val="HTMLAddress"/>
    <w:uiPriority w:val="99"/>
    <w:semiHidden/>
    <w:rsid w:val="002D2C99"/>
    <w:rPr>
      <w:rFonts w:eastAsiaTheme="minorEastAsia"/>
      <w:i/>
      <w:iCs/>
      <w:sz w:val="24"/>
    </w:rPr>
  </w:style>
  <w:style w:type="character" w:styleId="HTMLCite">
    <w:name w:val="HTML Cite"/>
    <w:basedOn w:val="DefaultParagraphFont"/>
    <w:uiPriority w:val="99"/>
    <w:semiHidden/>
    <w:rsid w:val="002D2C99"/>
    <w:rPr>
      <w:i/>
      <w:iCs/>
    </w:rPr>
  </w:style>
  <w:style w:type="character" w:styleId="HTMLCode">
    <w:name w:val="HTML Code"/>
    <w:basedOn w:val="DefaultParagraphFont"/>
    <w:uiPriority w:val="99"/>
    <w:semiHidden/>
    <w:rsid w:val="002D2C99"/>
    <w:rPr>
      <w:rFonts w:ascii="Consolas" w:hAnsi="Consolas" w:cs="Consolas"/>
      <w:sz w:val="20"/>
      <w:szCs w:val="20"/>
    </w:rPr>
  </w:style>
  <w:style w:type="character" w:styleId="HTMLDefinition">
    <w:name w:val="HTML Definition"/>
    <w:basedOn w:val="DefaultParagraphFont"/>
    <w:uiPriority w:val="99"/>
    <w:semiHidden/>
    <w:rsid w:val="002D2C99"/>
    <w:rPr>
      <w:i/>
      <w:iCs/>
    </w:rPr>
  </w:style>
  <w:style w:type="character" w:styleId="HTMLKeyboard">
    <w:name w:val="HTML Keyboard"/>
    <w:basedOn w:val="DefaultParagraphFont"/>
    <w:uiPriority w:val="99"/>
    <w:semiHidden/>
    <w:rsid w:val="002D2C99"/>
    <w:rPr>
      <w:rFonts w:ascii="Consolas" w:hAnsi="Consolas" w:cs="Consolas"/>
      <w:sz w:val="20"/>
      <w:szCs w:val="20"/>
    </w:rPr>
  </w:style>
  <w:style w:type="paragraph" w:styleId="HTMLPreformatted">
    <w:name w:val="HTML Preformatted"/>
    <w:basedOn w:val="Normal"/>
    <w:link w:val="HTMLPreformattedChar"/>
    <w:uiPriority w:val="99"/>
    <w:semiHidden/>
    <w:rsid w:val="002D2C9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D2C99"/>
    <w:rPr>
      <w:rFonts w:ascii="Consolas" w:eastAsiaTheme="minorEastAsia" w:hAnsi="Consolas" w:cs="Consolas"/>
      <w:sz w:val="20"/>
      <w:szCs w:val="20"/>
    </w:rPr>
  </w:style>
  <w:style w:type="character" w:styleId="HTMLSample">
    <w:name w:val="HTML Sample"/>
    <w:basedOn w:val="DefaultParagraphFont"/>
    <w:uiPriority w:val="99"/>
    <w:semiHidden/>
    <w:rsid w:val="002D2C99"/>
    <w:rPr>
      <w:rFonts w:ascii="Consolas" w:hAnsi="Consolas" w:cs="Consolas"/>
      <w:sz w:val="24"/>
      <w:szCs w:val="24"/>
    </w:rPr>
  </w:style>
  <w:style w:type="character" w:styleId="HTMLTypewriter">
    <w:name w:val="HTML Typewriter"/>
    <w:basedOn w:val="DefaultParagraphFont"/>
    <w:uiPriority w:val="99"/>
    <w:semiHidden/>
    <w:rsid w:val="002D2C99"/>
    <w:rPr>
      <w:rFonts w:ascii="Consolas" w:hAnsi="Consolas" w:cs="Consolas"/>
      <w:sz w:val="20"/>
      <w:szCs w:val="20"/>
    </w:rPr>
  </w:style>
  <w:style w:type="character" w:styleId="HTMLVariable">
    <w:name w:val="HTML Variable"/>
    <w:basedOn w:val="DefaultParagraphFont"/>
    <w:uiPriority w:val="99"/>
    <w:semiHidden/>
    <w:rsid w:val="002D2C99"/>
    <w:rPr>
      <w:i/>
      <w:iCs/>
    </w:rPr>
  </w:style>
  <w:style w:type="paragraph" w:styleId="Index1">
    <w:name w:val="index 1"/>
    <w:basedOn w:val="Normal"/>
    <w:next w:val="Normal"/>
    <w:autoRedefine/>
    <w:uiPriority w:val="99"/>
    <w:semiHidden/>
    <w:rsid w:val="002D2C99"/>
    <w:pPr>
      <w:ind w:left="240" w:hanging="240"/>
    </w:pPr>
  </w:style>
  <w:style w:type="paragraph" w:styleId="Index2">
    <w:name w:val="index 2"/>
    <w:basedOn w:val="Normal"/>
    <w:next w:val="Normal"/>
    <w:autoRedefine/>
    <w:uiPriority w:val="99"/>
    <w:semiHidden/>
    <w:rsid w:val="002D2C99"/>
    <w:pPr>
      <w:ind w:left="480" w:hanging="240"/>
    </w:pPr>
  </w:style>
  <w:style w:type="paragraph" w:styleId="Index3">
    <w:name w:val="index 3"/>
    <w:basedOn w:val="Normal"/>
    <w:next w:val="Normal"/>
    <w:autoRedefine/>
    <w:uiPriority w:val="99"/>
    <w:semiHidden/>
    <w:rsid w:val="002D2C99"/>
    <w:pPr>
      <w:ind w:left="720" w:hanging="240"/>
    </w:pPr>
  </w:style>
  <w:style w:type="paragraph" w:styleId="Index4">
    <w:name w:val="index 4"/>
    <w:basedOn w:val="Normal"/>
    <w:next w:val="Normal"/>
    <w:autoRedefine/>
    <w:uiPriority w:val="99"/>
    <w:semiHidden/>
    <w:rsid w:val="002D2C99"/>
    <w:pPr>
      <w:ind w:left="960" w:hanging="240"/>
    </w:pPr>
  </w:style>
  <w:style w:type="paragraph" w:styleId="Index5">
    <w:name w:val="index 5"/>
    <w:basedOn w:val="Normal"/>
    <w:next w:val="Normal"/>
    <w:autoRedefine/>
    <w:uiPriority w:val="99"/>
    <w:semiHidden/>
    <w:rsid w:val="002D2C99"/>
    <w:pPr>
      <w:ind w:left="1200" w:hanging="240"/>
    </w:pPr>
  </w:style>
  <w:style w:type="paragraph" w:styleId="Index6">
    <w:name w:val="index 6"/>
    <w:basedOn w:val="Normal"/>
    <w:next w:val="Normal"/>
    <w:autoRedefine/>
    <w:uiPriority w:val="99"/>
    <w:semiHidden/>
    <w:rsid w:val="002D2C99"/>
    <w:pPr>
      <w:ind w:left="1440" w:hanging="240"/>
    </w:pPr>
  </w:style>
  <w:style w:type="paragraph" w:styleId="Index7">
    <w:name w:val="index 7"/>
    <w:basedOn w:val="Normal"/>
    <w:next w:val="Normal"/>
    <w:autoRedefine/>
    <w:uiPriority w:val="99"/>
    <w:semiHidden/>
    <w:rsid w:val="002D2C99"/>
    <w:pPr>
      <w:ind w:left="1680" w:hanging="240"/>
    </w:pPr>
  </w:style>
  <w:style w:type="paragraph" w:styleId="Index8">
    <w:name w:val="index 8"/>
    <w:basedOn w:val="Normal"/>
    <w:next w:val="Normal"/>
    <w:autoRedefine/>
    <w:uiPriority w:val="99"/>
    <w:semiHidden/>
    <w:rsid w:val="002D2C99"/>
    <w:pPr>
      <w:ind w:left="1920" w:hanging="240"/>
    </w:pPr>
  </w:style>
  <w:style w:type="paragraph" w:styleId="Index9">
    <w:name w:val="index 9"/>
    <w:basedOn w:val="Normal"/>
    <w:next w:val="Normal"/>
    <w:autoRedefine/>
    <w:uiPriority w:val="99"/>
    <w:semiHidden/>
    <w:rsid w:val="002D2C99"/>
    <w:pPr>
      <w:ind w:left="2160" w:hanging="240"/>
    </w:pPr>
  </w:style>
  <w:style w:type="paragraph" w:styleId="IndexHeading">
    <w:name w:val="index heading"/>
    <w:basedOn w:val="Normal"/>
    <w:next w:val="Index1"/>
    <w:uiPriority w:val="99"/>
    <w:semiHidden/>
    <w:rsid w:val="002D2C99"/>
    <w:rPr>
      <w:rFonts w:asciiTheme="majorHAnsi" w:eastAsiaTheme="majorEastAsia" w:hAnsiTheme="majorHAnsi" w:cstheme="majorBidi"/>
      <w:b/>
      <w:bCs/>
    </w:rPr>
  </w:style>
  <w:style w:type="table" w:styleId="LightGrid">
    <w:name w:val="Light Grid"/>
    <w:basedOn w:val="TableNormal"/>
    <w:uiPriority w:val="62"/>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D2C9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D2C9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D2C9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D2C9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D2C9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D2C9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D2C9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D2C99"/>
  </w:style>
  <w:style w:type="paragraph" w:styleId="List">
    <w:name w:val="List"/>
    <w:basedOn w:val="Normal"/>
    <w:uiPriority w:val="99"/>
    <w:semiHidden/>
    <w:rsid w:val="002D2C99"/>
    <w:pPr>
      <w:ind w:left="283" w:hanging="283"/>
      <w:contextualSpacing/>
    </w:pPr>
  </w:style>
  <w:style w:type="paragraph" w:styleId="List2">
    <w:name w:val="List 2"/>
    <w:basedOn w:val="Normal"/>
    <w:uiPriority w:val="99"/>
    <w:semiHidden/>
    <w:rsid w:val="002D2C99"/>
    <w:pPr>
      <w:ind w:left="566" w:hanging="283"/>
      <w:contextualSpacing/>
    </w:pPr>
  </w:style>
  <w:style w:type="paragraph" w:styleId="List3">
    <w:name w:val="List 3"/>
    <w:basedOn w:val="Normal"/>
    <w:uiPriority w:val="99"/>
    <w:semiHidden/>
    <w:rsid w:val="002D2C99"/>
    <w:pPr>
      <w:ind w:left="849" w:hanging="283"/>
      <w:contextualSpacing/>
    </w:pPr>
  </w:style>
  <w:style w:type="paragraph" w:styleId="List4">
    <w:name w:val="List 4"/>
    <w:basedOn w:val="Normal"/>
    <w:uiPriority w:val="99"/>
    <w:semiHidden/>
    <w:rsid w:val="002D2C99"/>
    <w:pPr>
      <w:ind w:left="1132" w:hanging="283"/>
      <w:contextualSpacing/>
    </w:pPr>
  </w:style>
  <w:style w:type="paragraph" w:styleId="List5">
    <w:name w:val="List 5"/>
    <w:basedOn w:val="Normal"/>
    <w:uiPriority w:val="99"/>
    <w:semiHidden/>
    <w:rsid w:val="002D2C99"/>
    <w:pPr>
      <w:ind w:left="1415" w:hanging="283"/>
      <w:contextualSpacing/>
    </w:pPr>
  </w:style>
  <w:style w:type="paragraph" w:styleId="ListBullet">
    <w:name w:val="List Bullet"/>
    <w:basedOn w:val="Normal"/>
    <w:uiPriority w:val="99"/>
    <w:semiHidden/>
    <w:rsid w:val="002D2C99"/>
    <w:pPr>
      <w:numPr>
        <w:numId w:val="12"/>
      </w:numPr>
      <w:contextualSpacing/>
    </w:pPr>
  </w:style>
  <w:style w:type="paragraph" w:styleId="ListBullet3">
    <w:name w:val="List Bullet 3"/>
    <w:basedOn w:val="Normal"/>
    <w:uiPriority w:val="99"/>
    <w:semiHidden/>
    <w:rsid w:val="002D2C99"/>
    <w:pPr>
      <w:numPr>
        <w:numId w:val="13"/>
      </w:numPr>
      <w:contextualSpacing/>
    </w:pPr>
  </w:style>
  <w:style w:type="paragraph" w:styleId="ListBullet4">
    <w:name w:val="List Bullet 4"/>
    <w:basedOn w:val="Normal"/>
    <w:uiPriority w:val="99"/>
    <w:semiHidden/>
    <w:rsid w:val="002D2C99"/>
    <w:pPr>
      <w:numPr>
        <w:numId w:val="14"/>
      </w:numPr>
      <w:contextualSpacing/>
    </w:pPr>
  </w:style>
  <w:style w:type="paragraph" w:styleId="ListBullet5">
    <w:name w:val="List Bullet 5"/>
    <w:basedOn w:val="Normal"/>
    <w:uiPriority w:val="99"/>
    <w:semiHidden/>
    <w:rsid w:val="002D2C99"/>
    <w:pPr>
      <w:numPr>
        <w:numId w:val="15"/>
      </w:numPr>
      <w:contextualSpacing/>
    </w:pPr>
  </w:style>
  <w:style w:type="paragraph" w:styleId="ListContinue">
    <w:name w:val="List Continue"/>
    <w:basedOn w:val="Normal"/>
    <w:uiPriority w:val="99"/>
    <w:semiHidden/>
    <w:rsid w:val="002D2C99"/>
    <w:pPr>
      <w:spacing w:after="120"/>
      <w:ind w:left="283"/>
      <w:contextualSpacing/>
    </w:pPr>
  </w:style>
  <w:style w:type="paragraph" w:styleId="ListContinue2">
    <w:name w:val="List Continue 2"/>
    <w:basedOn w:val="Normal"/>
    <w:uiPriority w:val="99"/>
    <w:semiHidden/>
    <w:rsid w:val="002D2C99"/>
    <w:pPr>
      <w:spacing w:after="120"/>
      <w:ind w:left="566"/>
      <w:contextualSpacing/>
    </w:pPr>
  </w:style>
  <w:style w:type="paragraph" w:styleId="ListContinue3">
    <w:name w:val="List Continue 3"/>
    <w:basedOn w:val="Normal"/>
    <w:uiPriority w:val="99"/>
    <w:semiHidden/>
    <w:rsid w:val="002D2C99"/>
    <w:pPr>
      <w:spacing w:after="120"/>
      <w:ind w:left="849"/>
      <w:contextualSpacing/>
    </w:pPr>
  </w:style>
  <w:style w:type="paragraph" w:styleId="ListContinue4">
    <w:name w:val="List Continue 4"/>
    <w:basedOn w:val="Normal"/>
    <w:uiPriority w:val="99"/>
    <w:semiHidden/>
    <w:rsid w:val="002D2C99"/>
    <w:pPr>
      <w:spacing w:after="120"/>
      <w:ind w:left="1132"/>
      <w:contextualSpacing/>
    </w:pPr>
  </w:style>
  <w:style w:type="paragraph" w:styleId="ListContinue5">
    <w:name w:val="List Continue 5"/>
    <w:basedOn w:val="Normal"/>
    <w:uiPriority w:val="99"/>
    <w:semiHidden/>
    <w:rsid w:val="002D2C99"/>
    <w:pPr>
      <w:spacing w:after="120"/>
      <w:ind w:left="1415"/>
      <w:contextualSpacing/>
    </w:pPr>
  </w:style>
  <w:style w:type="paragraph" w:styleId="ListNumber">
    <w:name w:val="List Number"/>
    <w:basedOn w:val="Normal"/>
    <w:uiPriority w:val="99"/>
    <w:semiHidden/>
    <w:rsid w:val="002D2C99"/>
    <w:pPr>
      <w:numPr>
        <w:numId w:val="16"/>
      </w:numPr>
      <w:contextualSpacing/>
    </w:pPr>
  </w:style>
  <w:style w:type="paragraph" w:styleId="ListNumber2">
    <w:name w:val="List Number 2"/>
    <w:basedOn w:val="Normal"/>
    <w:uiPriority w:val="99"/>
    <w:semiHidden/>
    <w:rsid w:val="002D2C99"/>
    <w:pPr>
      <w:numPr>
        <w:numId w:val="17"/>
      </w:numPr>
      <w:contextualSpacing/>
    </w:pPr>
  </w:style>
  <w:style w:type="paragraph" w:styleId="ListNumber3">
    <w:name w:val="List Number 3"/>
    <w:basedOn w:val="Normal"/>
    <w:uiPriority w:val="99"/>
    <w:semiHidden/>
    <w:rsid w:val="002D2C99"/>
    <w:pPr>
      <w:numPr>
        <w:numId w:val="18"/>
      </w:numPr>
      <w:contextualSpacing/>
    </w:pPr>
  </w:style>
  <w:style w:type="paragraph" w:styleId="ListNumber4">
    <w:name w:val="List Number 4"/>
    <w:basedOn w:val="Normal"/>
    <w:uiPriority w:val="99"/>
    <w:semiHidden/>
    <w:rsid w:val="002D2C99"/>
    <w:pPr>
      <w:numPr>
        <w:numId w:val="19"/>
      </w:numPr>
      <w:contextualSpacing/>
    </w:pPr>
  </w:style>
  <w:style w:type="paragraph" w:styleId="ListNumber5">
    <w:name w:val="List Number 5"/>
    <w:basedOn w:val="Normal"/>
    <w:uiPriority w:val="99"/>
    <w:semiHidden/>
    <w:rsid w:val="002D2C99"/>
    <w:pPr>
      <w:numPr>
        <w:numId w:val="20"/>
      </w:numPr>
      <w:contextualSpacing/>
    </w:pPr>
  </w:style>
  <w:style w:type="paragraph" w:styleId="MacroText">
    <w:name w:val="macro"/>
    <w:link w:val="MacroTextChar"/>
    <w:uiPriority w:val="99"/>
    <w:semiHidden/>
    <w:rsid w:val="002D2C9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2D2C99"/>
    <w:rPr>
      <w:rFonts w:ascii="Consolas" w:eastAsiaTheme="minorEastAsia" w:hAnsi="Consolas" w:cs="Consolas"/>
      <w:sz w:val="20"/>
      <w:szCs w:val="20"/>
    </w:rPr>
  </w:style>
  <w:style w:type="table" w:styleId="MediumGrid1">
    <w:name w:val="Medium Grid 1"/>
    <w:basedOn w:val="TableNormal"/>
    <w:uiPriority w:val="67"/>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D2C9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D2C9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D2C9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D2C9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D2C9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D2C9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D2C9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D2C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D2C9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2D2C99"/>
    <w:rPr>
      <w:rFonts w:ascii="Times New Roman" w:hAnsi="Times New Roman" w:cs="Times New Roman"/>
      <w:szCs w:val="24"/>
    </w:rPr>
  </w:style>
  <w:style w:type="paragraph" w:styleId="NormalIndent">
    <w:name w:val="Normal Indent"/>
    <w:basedOn w:val="Normal"/>
    <w:uiPriority w:val="99"/>
    <w:semiHidden/>
    <w:rsid w:val="002D2C99"/>
    <w:pPr>
      <w:ind w:left="720"/>
    </w:pPr>
  </w:style>
  <w:style w:type="paragraph" w:styleId="NoteHeading">
    <w:name w:val="Note Heading"/>
    <w:basedOn w:val="Normal"/>
    <w:next w:val="Normal"/>
    <w:link w:val="NoteHeadingChar"/>
    <w:uiPriority w:val="99"/>
    <w:semiHidden/>
    <w:rsid w:val="00EE5BF8"/>
  </w:style>
  <w:style w:type="character" w:customStyle="1" w:styleId="NoteHeadingChar">
    <w:name w:val="Note Heading Char"/>
    <w:basedOn w:val="DefaultParagraphFont"/>
    <w:link w:val="NoteHeading"/>
    <w:uiPriority w:val="99"/>
    <w:semiHidden/>
    <w:rsid w:val="00EE5BF8"/>
    <w:rPr>
      <w:rFonts w:eastAsiaTheme="minorEastAsia"/>
      <w:sz w:val="24"/>
      <w:lang w:val="en-GB"/>
    </w:rPr>
  </w:style>
  <w:style w:type="character" w:styleId="PlaceholderText">
    <w:name w:val="Placeholder Text"/>
    <w:basedOn w:val="DefaultParagraphFont"/>
    <w:uiPriority w:val="99"/>
    <w:semiHidden/>
    <w:rsid w:val="00EE5BF8"/>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D2C99"/>
    <w:rPr>
      <w:rFonts w:ascii="Consolas" w:hAnsi="Consolas" w:cs="Consolas"/>
      <w:sz w:val="21"/>
      <w:szCs w:val="21"/>
    </w:rPr>
  </w:style>
  <w:style w:type="character" w:customStyle="1" w:styleId="PlainTextChar">
    <w:name w:val="Plain Text Char"/>
    <w:basedOn w:val="DefaultParagraphFont"/>
    <w:link w:val="PlainText"/>
    <w:uiPriority w:val="99"/>
    <w:semiHidden/>
    <w:rsid w:val="002D2C99"/>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2D2C99"/>
  </w:style>
  <w:style w:type="character" w:customStyle="1" w:styleId="SalutationChar">
    <w:name w:val="Salutation Char"/>
    <w:basedOn w:val="DefaultParagraphFont"/>
    <w:link w:val="Salutation"/>
    <w:uiPriority w:val="99"/>
    <w:semiHidden/>
    <w:rsid w:val="002D2C99"/>
    <w:rPr>
      <w:rFonts w:eastAsiaTheme="minorEastAsia"/>
      <w:sz w:val="24"/>
    </w:rPr>
  </w:style>
  <w:style w:type="paragraph" w:styleId="Signature">
    <w:name w:val="Signature"/>
    <w:basedOn w:val="Normal"/>
    <w:link w:val="SignatureChar"/>
    <w:uiPriority w:val="99"/>
    <w:semiHidden/>
    <w:rsid w:val="002D2C99"/>
    <w:pPr>
      <w:ind w:left="4252"/>
    </w:pPr>
  </w:style>
  <w:style w:type="character" w:customStyle="1" w:styleId="SignatureChar">
    <w:name w:val="Signature Char"/>
    <w:basedOn w:val="DefaultParagraphFont"/>
    <w:link w:val="Signature"/>
    <w:uiPriority w:val="99"/>
    <w:semiHidden/>
    <w:rsid w:val="002D2C99"/>
    <w:rPr>
      <w:rFonts w:eastAsiaTheme="minorEastAsia"/>
      <w:sz w:val="24"/>
    </w:rPr>
  </w:style>
  <w:style w:type="table" w:styleId="Table3Deffects1">
    <w:name w:val="Table 3D effects 1"/>
    <w:basedOn w:val="TableNormal"/>
    <w:uiPriority w:val="99"/>
    <w:semiHidden/>
    <w:unhideWhenUsed/>
    <w:rsid w:val="002D2C9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2C9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2C9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2C9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2C9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2C9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2C9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2C9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D2C9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2C9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2C9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2C9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2C9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D2C9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D2C9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2C9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2C9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2C9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2C9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2C9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2C9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2C9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2C9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2C9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D2C99"/>
    <w:pPr>
      <w:ind w:left="240" w:hanging="240"/>
    </w:pPr>
  </w:style>
  <w:style w:type="paragraph" w:styleId="TableofFigures">
    <w:name w:val="table of figures"/>
    <w:basedOn w:val="Normal"/>
    <w:next w:val="Normal"/>
    <w:uiPriority w:val="99"/>
    <w:semiHidden/>
    <w:rsid w:val="002D2C99"/>
  </w:style>
  <w:style w:type="table" w:styleId="TableProfessional">
    <w:name w:val="Table Professional"/>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D2C9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2C9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2C9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2C9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2C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D2C9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2C9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2C9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E5BF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E5BF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D2C99"/>
    <w:pPr>
      <w:spacing w:after="100"/>
      <w:ind w:left="1680"/>
    </w:pPr>
  </w:style>
  <w:style w:type="paragraph" w:styleId="TOC9">
    <w:name w:val="toc 9"/>
    <w:basedOn w:val="Normal"/>
    <w:next w:val="Normal"/>
    <w:autoRedefine/>
    <w:uiPriority w:val="99"/>
    <w:semiHidden/>
    <w:rsid w:val="002D2C99"/>
    <w:pPr>
      <w:spacing w:after="100"/>
      <w:ind w:left="1920"/>
    </w:pPr>
  </w:style>
  <w:style w:type="paragraph" w:customStyle="1" w:styleId="DecHTitle">
    <w:name w:val="Dec_H_Title"/>
    <w:basedOn w:val="ECHRTitleCentre1"/>
    <w:uiPriority w:val="7"/>
    <w:semiHidden/>
    <w:qFormat/>
    <w:rsid w:val="00EE5BF8"/>
  </w:style>
  <w:style w:type="paragraph" w:customStyle="1" w:styleId="DecList">
    <w:name w:val="Dec_List"/>
    <w:basedOn w:val="Normal"/>
    <w:uiPriority w:val="9"/>
    <w:semiHidden/>
    <w:qFormat/>
    <w:rsid w:val="00EE5BF8"/>
    <w:pPr>
      <w:spacing w:before="240"/>
      <w:ind w:left="284"/>
    </w:pPr>
  </w:style>
  <w:style w:type="paragraph" w:customStyle="1" w:styleId="ECHRFooter">
    <w:name w:val="ECHR_Footer"/>
    <w:aliases w:val="Footer_ECHR"/>
    <w:basedOn w:val="Footer"/>
    <w:uiPriority w:val="57"/>
    <w:semiHidden/>
    <w:rsid w:val="00EE5BF8"/>
    <w:pPr>
      <w:jc w:val="left"/>
    </w:pPr>
    <w:rPr>
      <w:sz w:val="8"/>
    </w:rPr>
  </w:style>
  <w:style w:type="paragraph" w:customStyle="1" w:styleId="ECHRFooterLine">
    <w:name w:val="ECHR_Footer_Line"/>
    <w:aliases w:val="Footer_Line"/>
    <w:basedOn w:val="Normal"/>
    <w:next w:val="ECHRFooter"/>
    <w:uiPriority w:val="57"/>
    <w:semiHidden/>
    <w:rsid w:val="00EE5BF8"/>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EE5BF8"/>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EE5BF8"/>
    <w:pPr>
      <w:numPr>
        <w:numId w:val="24"/>
      </w:numPr>
      <w:jc w:val="left"/>
    </w:pPr>
    <w:rPr>
      <w:b/>
    </w:rPr>
  </w:style>
  <w:style w:type="paragraph" w:customStyle="1" w:styleId="JuHeaderLandscape">
    <w:name w:val="Ju_Header_Landscape"/>
    <w:basedOn w:val="ECHRHeader"/>
    <w:uiPriority w:val="4"/>
    <w:qFormat/>
    <w:rsid w:val="00EE5BF8"/>
    <w:pPr>
      <w:tabs>
        <w:tab w:val="clear" w:pos="3686"/>
        <w:tab w:val="clear" w:pos="7371"/>
        <w:tab w:val="center" w:pos="6146"/>
        <w:tab w:val="right" w:pos="12293"/>
      </w:tabs>
    </w:pPr>
  </w:style>
  <w:style w:type="paragraph" w:customStyle="1" w:styleId="JuTitle">
    <w:name w:val="Ju_Title"/>
    <w:basedOn w:val="Normal"/>
    <w:next w:val="ECHRPara"/>
    <w:uiPriority w:val="3"/>
    <w:qFormat/>
    <w:rsid w:val="00EE5BF8"/>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EC1409"/>
    <w:rPr>
      <w:rFonts w:eastAsiaTheme="minorEastAsia"/>
      <w:sz w:val="24"/>
      <w:lang w:val="en-GB"/>
    </w:rPr>
  </w:style>
  <w:style w:type="paragraph" w:customStyle="1" w:styleId="jupara">
    <w:name w:val="jupara"/>
    <w:basedOn w:val="Normal"/>
    <w:rsid w:val="003E25A7"/>
    <w:pPr>
      <w:ind w:firstLine="284"/>
    </w:pPr>
    <w:rPr>
      <w:rFonts w:ascii="Times New Roman" w:eastAsia="Times New Roman" w:hAnsi="Times New Roman" w:cs="Times New Roman"/>
      <w:szCs w:val="24"/>
      <w:lang w:eastAsia="en-GB"/>
    </w:rPr>
  </w:style>
  <w:style w:type="paragraph" w:customStyle="1" w:styleId="jucase0">
    <w:name w:val="jucase"/>
    <w:basedOn w:val="Normal"/>
    <w:rsid w:val="003E25A7"/>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338689-3B95-469C-9243-13C7E2042481}"/>
</file>

<file path=customXml/itemProps2.xml><?xml version="1.0" encoding="utf-8"?>
<ds:datastoreItem xmlns:ds="http://schemas.openxmlformats.org/officeDocument/2006/customXml" ds:itemID="{D9AA6362-31AC-40E6-AD49-A18742BF28E8}"/>
</file>

<file path=customXml/itemProps3.xml><?xml version="1.0" encoding="utf-8"?>
<ds:datastoreItem xmlns:ds="http://schemas.openxmlformats.org/officeDocument/2006/customXml" ds:itemID="{DDB41ADB-FE63-44CC-B0DF-DABC96144975}"/>
</file>

<file path=customXml/itemProps4.xml><?xml version="1.0" encoding="utf-8"?>
<ds:datastoreItem xmlns:ds="http://schemas.openxmlformats.org/officeDocument/2006/customXml" ds:itemID="{B97B6A75-F878-487A-9E47-84585901419C}"/>
</file>

<file path=docProps/app.xml><?xml version="1.0" encoding="utf-8"?>
<Properties xmlns="http://schemas.openxmlformats.org/officeDocument/2006/extended-properties" xmlns:vt="http://schemas.openxmlformats.org/officeDocument/2006/docPropsVTypes">
  <Template>Normal.dotm</Template>
  <TotalTime>0</TotalTime>
  <Pages>1</Pages>
  <Words>2243</Words>
  <Characters>12788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15001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2019-10-11T12:16:00Z</dcterms:created>
  <dcterms:modified xsi:type="dcterms:W3CDTF">2019-10-11T12:16:00Z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43842/11</vt:lpwstr>
  </property>
  <property fmtid="{D5CDD505-2E9C-101B-9397-08002B2CF9AE}" pid="4" name="CASEID">
    <vt:lpwstr>733354</vt:lpwstr>
  </property>
  <property fmtid="{D5CDD505-2E9C-101B-9397-08002B2CF9AE}" pid="5" name="ContentTypeId">
    <vt:lpwstr>0x010100558EB02BDB9E204AB350EDD385B68E10</vt:lpwstr>
  </property>
</Properties>
</file>