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91B9B" w:rsidR="00367F3C" w:rsidP="00591B9B" w:rsidRDefault="00367F3C">
      <w:pPr>
        <w:jc w:val="center"/>
        <w:rPr>
          <w:rFonts w:ascii="Times New Roman" w:hAnsi="Times New Roman" w:cs="Times New Roman"/>
        </w:rPr>
      </w:pPr>
      <w:bookmarkStart w:name="_GoBack" w:id="0"/>
      <w:bookmarkEnd w:id="0"/>
    </w:p>
    <w:p w:rsidRPr="00591B9B" w:rsidR="0098410D" w:rsidP="00591B9B" w:rsidRDefault="00AD2FF6">
      <w:pPr>
        <w:jc w:val="center"/>
      </w:pPr>
    </w:p>
    <w:p w:rsidRPr="00591B9B" w:rsidR="00591B9B" w:rsidP="00591B9B" w:rsidRDefault="00591B9B">
      <w:pPr>
        <w:jc w:val="center"/>
      </w:pPr>
    </w:p>
    <w:p w:rsidRPr="00591B9B" w:rsidR="0098410D" w:rsidP="00591B9B" w:rsidRDefault="00367F3C">
      <w:pPr>
        <w:tabs>
          <w:tab w:val="left" w:pos="5529"/>
        </w:tabs>
        <w:jc w:val="center"/>
      </w:pPr>
      <w:r w:rsidRPr="00591B9B">
        <w:t>FIFTH SECTION</w:t>
      </w:r>
    </w:p>
    <w:p w:rsidRPr="00591B9B" w:rsidR="00E95C1E" w:rsidP="00591B9B" w:rsidRDefault="00AD2FF6">
      <w:pPr>
        <w:jc w:val="center"/>
      </w:pPr>
    </w:p>
    <w:p w:rsidRPr="00591B9B" w:rsidR="00BF118F" w:rsidP="00591B9B" w:rsidRDefault="00AD2FF6">
      <w:pPr>
        <w:jc w:val="center"/>
      </w:pPr>
    </w:p>
    <w:p w:rsidRPr="00591B9B" w:rsidR="00591B9B" w:rsidP="00591B9B" w:rsidRDefault="00591B9B">
      <w:pPr>
        <w:jc w:val="center"/>
      </w:pPr>
    </w:p>
    <w:p w:rsidRPr="00591B9B" w:rsidR="00591B9B" w:rsidP="00591B9B" w:rsidRDefault="00591B9B">
      <w:pPr>
        <w:jc w:val="center"/>
      </w:pPr>
    </w:p>
    <w:p w:rsidRPr="00591B9B" w:rsidR="00BF118F" w:rsidP="00591B9B" w:rsidRDefault="00AD2FF6">
      <w:pPr>
        <w:jc w:val="center"/>
      </w:pPr>
    </w:p>
    <w:p w:rsidRPr="00591B9B" w:rsidR="0098410D" w:rsidP="00591B9B" w:rsidRDefault="00AD2FF6">
      <w:pPr>
        <w:jc w:val="center"/>
      </w:pPr>
    </w:p>
    <w:p w:rsidRPr="00591B9B" w:rsidR="008E6217" w:rsidP="00591B9B" w:rsidRDefault="00C00C2D">
      <w:pPr>
        <w:jc w:val="center"/>
        <w:rPr>
          <w:b/>
        </w:rPr>
      </w:pPr>
      <w:bookmarkStart w:name="To" w:id="1"/>
      <w:r w:rsidRPr="00591B9B">
        <w:rPr>
          <w:b/>
        </w:rPr>
        <w:t xml:space="preserve">CASE OF </w:t>
      </w:r>
      <w:bookmarkEnd w:id="1"/>
      <w:r w:rsidRPr="00591B9B" w:rsidR="00367F3C">
        <w:rPr>
          <w:b/>
        </w:rPr>
        <w:t>AKYMENKO v. UKRAINE</w:t>
      </w:r>
    </w:p>
    <w:p w:rsidRPr="00591B9B" w:rsidR="00170027" w:rsidP="00591B9B" w:rsidRDefault="00AD2FF6">
      <w:pPr>
        <w:jc w:val="center"/>
        <w:rPr>
          <w:b/>
        </w:rPr>
      </w:pPr>
    </w:p>
    <w:p w:rsidRPr="00591B9B" w:rsidR="00D74888" w:rsidP="00591B9B" w:rsidRDefault="00C00C2D">
      <w:pPr>
        <w:jc w:val="center"/>
        <w:rPr>
          <w:i/>
        </w:rPr>
      </w:pPr>
      <w:r w:rsidRPr="00591B9B">
        <w:rPr>
          <w:i/>
        </w:rPr>
        <w:t>(</w:t>
      </w:r>
      <w:r w:rsidRPr="00591B9B" w:rsidR="00367F3C">
        <w:rPr>
          <w:i/>
        </w:rPr>
        <w:t>Application no.</w:t>
      </w:r>
      <w:r w:rsidRPr="00591B9B">
        <w:rPr>
          <w:i/>
        </w:rPr>
        <w:t xml:space="preserve"> </w:t>
      </w:r>
      <w:r w:rsidRPr="00591B9B" w:rsidR="00367F3C">
        <w:rPr>
          <w:i/>
        </w:rPr>
        <w:t>32567/11</w:t>
      </w:r>
      <w:r w:rsidRPr="00591B9B">
        <w:rPr>
          <w:i/>
        </w:rPr>
        <w:t>)</w:t>
      </w:r>
    </w:p>
    <w:p w:rsidRPr="00591B9B" w:rsidR="0098410D" w:rsidP="00591B9B" w:rsidRDefault="00AD2FF6">
      <w:pPr>
        <w:jc w:val="center"/>
        <w:rPr>
          <w:i/>
        </w:rPr>
      </w:pPr>
    </w:p>
    <w:p w:rsidRPr="00591B9B" w:rsidR="0098410D" w:rsidP="00591B9B" w:rsidRDefault="00AD2FF6">
      <w:pPr>
        <w:jc w:val="center"/>
      </w:pPr>
    </w:p>
    <w:p w:rsidRPr="00591B9B" w:rsidR="0098410D" w:rsidP="00591B9B" w:rsidRDefault="00AD2FF6">
      <w:pPr>
        <w:jc w:val="center"/>
      </w:pPr>
    </w:p>
    <w:p w:rsidRPr="00591B9B" w:rsidR="0098410D" w:rsidP="00591B9B" w:rsidRDefault="00AD2FF6">
      <w:pPr>
        <w:jc w:val="center"/>
      </w:pPr>
    </w:p>
    <w:p w:rsidRPr="00591B9B" w:rsidR="0098410D" w:rsidP="00591B9B" w:rsidRDefault="00AD2FF6">
      <w:pPr>
        <w:jc w:val="center"/>
      </w:pPr>
    </w:p>
    <w:p w:rsidRPr="00591B9B" w:rsidR="0098410D" w:rsidP="00591B9B" w:rsidRDefault="00AD2FF6">
      <w:pPr>
        <w:jc w:val="center"/>
      </w:pPr>
    </w:p>
    <w:p w:rsidRPr="00591B9B" w:rsidR="0098410D" w:rsidP="00591B9B" w:rsidRDefault="00AD2FF6">
      <w:pPr>
        <w:jc w:val="center"/>
      </w:pPr>
    </w:p>
    <w:p w:rsidRPr="00591B9B" w:rsidR="00591B9B" w:rsidP="00591B9B" w:rsidRDefault="00591B9B">
      <w:pPr>
        <w:jc w:val="center"/>
      </w:pPr>
    </w:p>
    <w:p w:rsidRPr="00591B9B" w:rsidR="00591B9B" w:rsidP="00591B9B" w:rsidRDefault="00591B9B">
      <w:pPr>
        <w:jc w:val="center"/>
      </w:pPr>
    </w:p>
    <w:p w:rsidRPr="00591B9B" w:rsidR="00591B9B" w:rsidP="00591B9B" w:rsidRDefault="00591B9B">
      <w:pPr>
        <w:jc w:val="center"/>
      </w:pPr>
    </w:p>
    <w:p w:rsidRPr="00591B9B" w:rsidR="00591B9B" w:rsidP="00591B9B" w:rsidRDefault="00591B9B">
      <w:pPr>
        <w:jc w:val="center"/>
      </w:pPr>
    </w:p>
    <w:p w:rsidRPr="00591B9B" w:rsidR="00591B9B" w:rsidP="00591B9B" w:rsidRDefault="00591B9B">
      <w:pPr>
        <w:jc w:val="center"/>
      </w:pPr>
    </w:p>
    <w:p w:rsidRPr="00591B9B" w:rsidR="0098410D" w:rsidP="00591B9B" w:rsidRDefault="00AD2FF6">
      <w:pPr>
        <w:jc w:val="center"/>
      </w:pPr>
    </w:p>
    <w:p w:rsidRPr="00591B9B" w:rsidR="0098410D" w:rsidP="00591B9B" w:rsidRDefault="00AD2FF6">
      <w:pPr>
        <w:jc w:val="center"/>
      </w:pPr>
    </w:p>
    <w:p w:rsidRPr="00591B9B" w:rsidR="0098410D" w:rsidP="00591B9B" w:rsidRDefault="00C00C2D">
      <w:pPr>
        <w:jc w:val="center"/>
        <w:outlineLvl w:val="0"/>
      </w:pPr>
      <w:r w:rsidRPr="00591B9B">
        <w:t>JUDGMENT</w:t>
      </w:r>
    </w:p>
    <w:p w:rsidRPr="00591B9B" w:rsidR="0098410D" w:rsidP="00591B9B" w:rsidRDefault="00AD2FF6">
      <w:pPr>
        <w:jc w:val="center"/>
      </w:pPr>
    </w:p>
    <w:p w:rsidRPr="00591B9B" w:rsidR="00591B9B" w:rsidP="00591B9B" w:rsidRDefault="00591B9B">
      <w:pPr>
        <w:jc w:val="center"/>
      </w:pPr>
    </w:p>
    <w:p w:rsidRPr="00591B9B" w:rsidR="00591B9B" w:rsidP="00591B9B" w:rsidRDefault="00591B9B">
      <w:pPr>
        <w:jc w:val="center"/>
      </w:pPr>
    </w:p>
    <w:p w:rsidRPr="00591B9B" w:rsidR="0098410D" w:rsidP="00591B9B" w:rsidRDefault="00AD2FF6">
      <w:pPr>
        <w:jc w:val="center"/>
        <w:rPr>
          <w:i/>
        </w:rPr>
      </w:pPr>
    </w:p>
    <w:p w:rsidRPr="00591B9B" w:rsidR="0098410D" w:rsidP="00591B9B" w:rsidRDefault="00C00C2D">
      <w:pPr>
        <w:jc w:val="center"/>
        <w:outlineLvl w:val="0"/>
      </w:pPr>
      <w:r w:rsidRPr="00591B9B">
        <w:t>STRASBOURG</w:t>
      </w:r>
    </w:p>
    <w:p w:rsidRPr="00591B9B" w:rsidR="0098410D" w:rsidP="00591B9B" w:rsidRDefault="00AD2FF6">
      <w:pPr>
        <w:jc w:val="center"/>
      </w:pPr>
    </w:p>
    <w:p w:rsidRPr="00591B9B" w:rsidR="0098410D" w:rsidP="00591B9B" w:rsidRDefault="00367F3C">
      <w:pPr>
        <w:jc w:val="center"/>
      </w:pPr>
      <w:r w:rsidRPr="00591B9B">
        <w:rPr>
          <w:rFonts w:ascii="Times New Roman" w:hAnsi="Times New Roman" w:cs="Times New Roman"/>
        </w:rPr>
        <w:t>4 July 2019</w:t>
      </w:r>
    </w:p>
    <w:p w:rsidRPr="00591B9B" w:rsidR="0098410D" w:rsidP="00591B9B" w:rsidRDefault="00AD2FF6">
      <w:pPr>
        <w:jc w:val="center"/>
      </w:pPr>
    </w:p>
    <w:p w:rsidRPr="00591B9B" w:rsidR="0098410D" w:rsidP="00591B9B" w:rsidRDefault="00AD2FF6">
      <w:pPr>
        <w:jc w:val="center"/>
      </w:pPr>
    </w:p>
    <w:p w:rsidRPr="00591B9B" w:rsidR="00591B9B" w:rsidP="00591B9B" w:rsidRDefault="00591B9B">
      <w:pPr>
        <w:jc w:val="center"/>
      </w:pPr>
    </w:p>
    <w:p w:rsidRPr="00591B9B" w:rsidR="002422B6" w:rsidP="00591B9B" w:rsidRDefault="00C00C2D">
      <w:pPr>
        <w:rPr>
          <w:i/>
          <w:sz w:val="22"/>
        </w:rPr>
      </w:pPr>
      <w:r w:rsidRPr="00591B9B">
        <w:rPr>
          <w:i/>
          <w:sz w:val="22"/>
        </w:rPr>
        <w:t xml:space="preserve">This judgment </w:t>
      </w:r>
      <w:r w:rsidRPr="00591B9B" w:rsidR="00367F3C">
        <w:rPr>
          <w:i/>
          <w:sz w:val="22"/>
        </w:rPr>
        <w:t>is final but it</w:t>
      </w:r>
      <w:r w:rsidRPr="00591B9B">
        <w:rPr>
          <w:i/>
          <w:sz w:val="22"/>
        </w:rPr>
        <w:t xml:space="preserve"> may be subject to editorial revision.</w:t>
      </w:r>
    </w:p>
    <w:p w:rsidRPr="00591B9B" w:rsidR="0098410D" w:rsidP="00591B9B" w:rsidRDefault="00AD2FF6">
      <w:pPr>
        <w:sectPr w:rsidRPr="00591B9B"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591B9B" w:rsidR="0098410D" w:rsidP="00591B9B" w:rsidRDefault="00C00C2D">
      <w:pPr>
        <w:pStyle w:val="JuCase"/>
      </w:pPr>
      <w:r w:rsidRPr="00591B9B">
        <w:t xml:space="preserve">In the case of </w:t>
      </w:r>
      <w:proofErr w:type="spellStart"/>
      <w:r w:rsidRPr="00591B9B" w:rsidR="00367F3C">
        <w:t>Akymenko</w:t>
      </w:r>
      <w:proofErr w:type="spellEnd"/>
      <w:r w:rsidRPr="00591B9B" w:rsidR="00367F3C">
        <w:t xml:space="preserve"> v. Ukraine</w:t>
      </w:r>
      <w:r w:rsidRPr="00591B9B">
        <w:t>,</w:t>
      </w:r>
    </w:p>
    <w:p w:rsidRPr="00591B9B" w:rsidR="009F4C8F" w:rsidP="00591B9B" w:rsidRDefault="00C00C2D">
      <w:pPr>
        <w:pStyle w:val="ECHRPara"/>
      </w:pPr>
      <w:r w:rsidRPr="00591B9B">
        <w:t>The European Court of Human Rights (</w:t>
      </w:r>
      <w:r w:rsidRPr="00591B9B" w:rsidR="00367F3C">
        <w:t>Fifth Section</w:t>
      </w:r>
      <w:r w:rsidRPr="00591B9B">
        <w:t xml:space="preserve">), sitting as a </w:t>
      </w:r>
      <w:r w:rsidRPr="00591B9B" w:rsidR="00367F3C">
        <w:t>Committee</w:t>
      </w:r>
      <w:r w:rsidRPr="00591B9B">
        <w:t xml:space="preserve"> composed of:</w:t>
      </w:r>
    </w:p>
    <w:p w:rsidRPr="00591B9B" w:rsidR="009F4C8F" w:rsidP="00591B9B" w:rsidRDefault="00F4171A">
      <w:pPr>
        <w:pStyle w:val="ECHRDecisionBody"/>
      </w:pPr>
      <w:r w:rsidRPr="00591B9B">
        <w:tab/>
      </w:r>
      <w:proofErr w:type="spellStart"/>
      <w:r w:rsidRPr="00591B9B">
        <w:t>Yonko</w:t>
      </w:r>
      <w:proofErr w:type="spellEnd"/>
      <w:r w:rsidRPr="00591B9B">
        <w:t xml:space="preserve"> </w:t>
      </w:r>
      <w:proofErr w:type="spellStart"/>
      <w:r w:rsidRPr="00591B9B">
        <w:t>Grozev</w:t>
      </w:r>
      <w:proofErr w:type="spellEnd"/>
      <w:r w:rsidRPr="00591B9B">
        <w:t>,</w:t>
      </w:r>
      <w:r w:rsidRPr="00591B9B">
        <w:rPr>
          <w:i/>
        </w:rPr>
        <w:t xml:space="preserve"> President,</w:t>
      </w:r>
      <w:r w:rsidRPr="00591B9B">
        <w:rPr>
          <w:i/>
        </w:rPr>
        <w:br/>
      </w:r>
      <w:r w:rsidRPr="00591B9B">
        <w:tab/>
        <w:t xml:space="preserve">Gabriele </w:t>
      </w:r>
      <w:proofErr w:type="spellStart"/>
      <w:r w:rsidRPr="00591B9B">
        <w:t>Kucsko-Stadlmayer</w:t>
      </w:r>
      <w:proofErr w:type="spellEnd"/>
      <w:r w:rsidRPr="00591B9B">
        <w:t>,</w:t>
      </w:r>
      <w:r w:rsidRPr="00591B9B">
        <w:rPr>
          <w:i/>
        </w:rPr>
        <w:br/>
      </w:r>
      <w:r w:rsidRPr="00591B9B">
        <w:tab/>
      </w:r>
      <w:proofErr w:type="spellStart"/>
      <w:r w:rsidRPr="00591B9B">
        <w:t>Lado</w:t>
      </w:r>
      <w:proofErr w:type="spellEnd"/>
      <w:r w:rsidRPr="00591B9B">
        <w:t xml:space="preserve"> </w:t>
      </w:r>
      <w:proofErr w:type="spellStart"/>
      <w:r w:rsidRPr="00591B9B">
        <w:t>Chanturia</w:t>
      </w:r>
      <w:proofErr w:type="spellEnd"/>
      <w:r w:rsidRPr="00591B9B">
        <w:t>,</w:t>
      </w:r>
      <w:r w:rsidRPr="00591B9B">
        <w:rPr>
          <w:i/>
        </w:rPr>
        <w:t xml:space="preserve"> judges,</w:t>
      </w:r>
      <w:r w:rsidRPr="00591B9B" w:rsidR="00C00C2D">
        <w:rPr>
          <w:szCs w:val="24"/>
        </w:rPr>
        <w:br/>
      </w:r>
      <w:r w:rsidRPr="00591B9B" w:rsidR="00C00C2D">
        <w:t xml:space="preserve">and </w:t>
      </w:r>
      <w:r w:rsidRPr="00591B9B" w:rsidR="00367F3C">
        <w:t xml:space="preserve">Milan </w:t>
      </w:r>
      <w:proofErr w:type="spellStart"/>
      <w:r w:rsidRPr="00591B9B" w:rsidR="00367F3C">
        <w:t>Blaško</w:t>
      </w:r>
      <w:proofErr w:type="spellEnd"/>
      <w:r w:rsidRPr="00591B9B" w:rsidR="00C00C2D">
        <w:t xml:space="preserve">, </w:t>
      </w:r>
      <w:r w:rsidRPr="00591B9B" w:rsidR="00367F3C">
        <w:rPr>
          <w:i/>
        </w:rPr>
        <w:t xml:space="preserve">Deputy Section </w:t>
      </w:r>
      <w:r w:rsidRPr="00591B9B" w:rsidR="00367F3C">
        <w:rPr>
          <w:i/>
          <w:iCs/>
        </w:rPr>
        <w:t>Registrar</w:t>
      </w:r>
      <w:r w:rsidRPr="00591B9B" w:rsidR="00C00C2D">
        <w:rPr>
          <w:i/>
        </w:rPr>
        <w:t>,</w:t>
      </w:r>
    </w:p>
    <w:p w:rsidRPr="00591B9B" w:rsidR="009F4C8F" w:rsidP="00591B9B" w:rsidRDefault="00C00C2D">
      <w:pPr>
        <w:pStyle w:val="ECHRPara"/>
      </w:pPr>
      <w:r w:rsidRPr="00591B9B">
        <w:t xml:space="preserve">Having deliberated in private on </w:t>
      </w:r>
      <w:r w:rsidRPr="00591B9B" w:rsidR="00367F3C">
        <w:rPr>
          <w:szCs w:val="24"/>
        </w:rPr>
        <w:t>11 June 2019</w:t>
      </w:r>
      <w:r w:rsidRPr="00591B9B">
        <w:t>,</w:t>
      </w:r>
    </w:p>
    <w:p w:rsidRPr="00591B9B" w:rsidR="009F4C8F" w:rsidP="00591B9B" w:rsidRDefault="00C00C2D">
      <w:pPr>
        <w:pStyle w:val="ECHRPara"/>
      </w:pPr>
      <w:r w:rsidRPr="00591B9B">
        <w:t>Delivers the following judgment, which was adopted on that date:</w:t>
      </w:r>
    </w:p>
    <w:p w:rsidRPr="00591B9B" w:rsidR="00367F3C" w:rsidP="00591B9B" w:rsidRDefault="00367F3C">
      <w:pPr>
        <w:pStyle w:val="ECHRTitle1"/>
      </w:pPr>
      <w:r w:rsidRPr="00591B9B">
        <w:t>PROCEDURE</w:t>
      </w:r>
    </w:p>
    <w:p w:rsidRPr="00591B9B" w:rsidR="00367F3C" w:rsidP="00591B9B" w:rsidRDefault="00367F3C">
      <w:pPr>
        <w:pStyle w:val="ECHRPara"/>
      </w:pPr>
      <w:r w:rsidRPr="00591B9B">
        <w:t xml:space="preserve">1.  The case originated in an application (no. 32567/11) against Ukraine lodged with the Court under Article 34 of the Convention for the Protection of Human Rights and Fundamental Freedoms (“the Convention”) by a Ukrainian national, </w:t>
      </w:r>
      <w:proofErr w:type="spellStart"/>
      <w:r w:rsidRPr="00591B9B">
        <w:t>Mr</w:t>
      </w:r>
      <w:proofErr w:type="spellEnd"/>
      <w:r w:rsidRPr="00591B9B">
        <w:t xml:space="preserve"> Roman </w:t>
      </w:r>
      <w:proofErr w:type="spellStart"/>
      <w:r w:rsidRPr="00591B9B">
        <w:t>Volodymyrovych</w:t>
      </w:r>
      <w:proofErr w:type="spellEnd"/>
      <w:r w:rsidRPr="00591B9B">
        <w:t xml:space="preserve"> </w:t>
      </w:r>
      <w:proofErr w:type="spellStart"/>
      <w:r w:rsidRPr="00591B9B">
        <w:t>Akymenko</w:t>
      </w:r>
      <w:proofErr w:type="spellEnd"/>
      <w:r w:rsidRPr="00591B9B">
        <w:t xml:space="preserve"> (“the applicant”), on 18 May 2011.</w:t>
      </w:r>
    </w:p>
    <w:p w:rsidRPr="00591B9B" w:rsidR="00367F3C" w:rsidP="00591B9B" w:rsidRDefault="00367F3C">
      <w:pPr>
        <w:pStyle w:val="ECHRPara"/>
      </w:pPr>
      <w:r w:rsidRPr="00591B9B">
        <w:t xml:space="preserve">2.  The applicant was represented by Mr </w:t>
      </w:r>
      <w:r w:rsidRPr="00591B9B" w:rsidR="00591B9B">
        <w:t>P.</w:t>
      </w:r>
      <w:r w:rsidRPr="00591B9B">
        <w:t xml:space="preserve">M. </w:t>
      </w:r>
      <w:proofErr w:type="spellStart"/>
      <w:r w:rsidRPr="00591B9B">
        <w:t>Sobyna</w:t>
      </w:r>
      <w:proofErr w:type="spellEnd"/>
      <w:r w:rsidRPr="00591B9B">
        <w:t xml:space="preserve">, a lawyer </w:t>
      </w:r>
      <w:proofErr w:type="spellStart"/>
      <w:r w:rsidRPr="00591B9B">
        <w:t>practising</w:t>
      </w:r>
      <w:proofErr w:type="spellEnd"/>
      <w:r w:rsidRPr="00591B9B">
        <w:t xml:space="preserve"> in </w:t>
      </w:r>
      <w:proofErr w:type="spellStart"/>
      <w:r w:rsidRPr="00591B9B">
        <w:t>Okhtyrka</w:t>
      </w:r>
      <w:proofErr w:type="spellEnd"/>
      <w:r w:rsidRPr="00591B9B">
        <w:t xml:space="preserve">. The Ukrainian Government (“the Government”) </w:t>
      </w:r>
      <w:proofErr w:type="gramStart"/>
      <w:r w:rsidRPr="00591B9B">
        <w:t>were</w:t>
      </w:r>
      <w:proofErr w:type="gramEnd"/>
      <w:r w:rsidRPr="00591B9B">
        <w:t xml:space="preserve"> represented by their Agent, most recently </w:t>
      </w:r>
      <w:proofErr w:type="spellStart"/>
      <w:r w:rsidRPr="00591B9B">
        <w:t>Mr</w:t>
      </w:r>
      <w:proofErr w:type="spellEnd"/>
      <w:r w:rsidRPr="00591B9B">
        <w:t xml:space="preserve"> I. </w:t>
      </w:r>
      <w:proofErr w:type="spellStart"/>
      <w:r w:rsidRPr="00591B9B">
        <w:t>Lishchyna</w:t>
      </w:r>
      <w:proofErr w:type="spellEnd"/>
      <w:r w:rsidRPr="00591B9B">
        <w:t>.</w:t>
      </w:r>
    </w:p>
    <w:p w:rsidRPr="00591B9B" w:rsidR="00367F3C" w:rsidP="00591B9B" w:rsidRDefault="00367F3C">
      <w:pPr>
        <w:pStyle w:val="ECHRPara"/>
      </w:pPr>
      <w:r w:rsidRPr="00591B9B">
        <w:t xml:space="preserve">3.  On </w:t>
      </w:r>
      <w:r w:rsidRPr="00591B9B">
        <w:rPr>
          <w:szCs w:val="24"/>
        </w:rPr>
        <w:t>3 December 2015</w:t>
      </w:r>
      <w:r w:rsidRPr="00591B9B">
        <w:t xml:space="preserve"> notice of the applicant</w:t>
      </w:r>
      <w:r w:rsidRPr="00591B9B" w:rsidR="00591B9B">
        <w:t>’</w:t>
      </w:r>
      <w:r w:rsidRPr="00591B9B">
        <w:t>s complaint concerning the lawfulness of his detention from 25 April to 25 July 2011 was given to the Government and the remainder of the application was declared inadmissible,</w:t>
      </w:r>
      <w:r w:rsidRPr="00591B9B">
        <w:rPr>
          <w:szCs w:val="24"/>
        </w:rPr>
        <w:t xml:space="preserve"> </w:t>
      </w:r>
      <w:r w:rsidRPr="00591B9B">
        <w:t>pursuant to Rule 54 § 3 of the Rules of Court.</w:t>
      </w:r>
    </w:p>
    <w:p w:rsidRPr="00591B9B" w:rsidR="00367F3C" w:rsidP="00591B9B" w:rsidRDefault="00367F3C">
      <w:pPr>
        <w:pStyle w:val="ECHRTitle1"/>
      </w:pPr>
      <w:r w:rsidRPr="00591B9B">
        <w:t>THE FACTS</w:t>
      </w:r>
    </w:p>
    <w:p w:rsidRPr="00591B9B" w:rsidR="00367F3C" w:rsidP="00591B9B" w:rsidRDefault="00367F3C">
      <w:pPr>
        <w:pStyle w:val="ECHRHeading1"/>
      </w:pPr>
      <w:r w:rsidRPr="00591B9B">
        <w:t>I.  THE CIRCUMSTANCES OF THE CASE</w:t>
      </w:r>
    </w:p>
    <w:p w:rsidRPr="00591B9B" w:rsidR="00367F3C" w:rsidP="00591B9B" w:rsidRDefault="00367F3C">
      <w:pPr>
        <w:pStyle w:val="ECHRPara"/>
      </w:pPr>
      <w:r w:rsidRPr="00591B9B">
        <w:t xml:space="preserve">4.  The applicant was born in 1977 and lives in </w:t>
      </w:r>
      <w:proofErr w:type="spellStart"/>
      <w:r w:rsidRPr="00591B9B">
        <w:t>Okhtyrka</w:t>
      </w:r>
      <w:proofErr w:type="spellEnd"/>
      <w:r w:rsidRPr="00591B9B">
        <w:t>.</w:t>
      </w:r>
    </w:p>
    <w:p w:rsidRPr="00591B9B" w:rsidR="00367F3C" w:rsidP="00591B9B" w:rsidRDefault="00367F3C">
      <w:pPr>
        <w:pStyle w:val="ECHRPara"/>
      </w:pPr>
      <w:r w:rsidRPr="00591B9B">
        <w:t>5.  On 26 July 2010 the applicant was arrested on suspicion of tax evasion. His pre-trial detention was extended several times. In particular, on 18 February 2011 the Sumy Regional Court of Appeal extended it to nine months (until 25 April 2011).</w:t>
      </w:r>
    </w:p>
    <w:p w:rsidRPr="00591B9B" w:rsidR="00367F3C" w:rsidP="00591B9B" w:rsidRDefault="00367F3C">
      <w:pPr>
        <w:pStyle w:val="ECHRPara"/>
      </w:pPr>
      <w:r w:rsidRPr="00591B9B">
        <w:t>6.  On 22 April 2011 a judge of the Sumy Regional Court of Appeal ordered another such extension, this time to twelve months (that is to say until 25 July 2011). That ruling was not subject to appeal.</w:t>
      </w:r>
    </w:p>
    <w:p w:rsidRPr="00591B9B" w:rsidR="00367F3C" w:rsidP="00591B9B" w:rsidRDefault="00367F3C">
      <w:pPr>
        <w:pStyle w:val="ECHRHeading1"/>
      </w:pPr>
      <w:r w:rsidRPr="00591B9B">
        <w:t>II.  RELEVANT DOMESTIC LAW</w:t>
      </w:r>
    </w:p>
    <w:p w:rsidRPr="00591B9B" w:rsidR="00367F3C" w:rsidP="00591B9B" w:rsidRDefault="00367F3C">
      <w:pPr>
        <w:pStyle w:val="ECHRPara"/>
      </w:pPr>
      <w:bookmarkStart w:name="para_7" w:id="2"/>
      <w:r w:rsidRPr="00591B9B">
        <w:t>7</w:t>
      </w:r>
      <w:bookmarkEnd w:id="2"/>
      <w:r w:rsidRPr="00591B9B">
        <w:t xml:space="preserve">.  Article 156 of the Code of Criminal Procedure 1960, as worded at the material time (it was repealed on 20 November 2012 with the entry into force of a new Code) limited initial pre-trial detention terms to two months, but provided for the possibility of an extension of </w:t>
      </w:r>
      <w:r w:rsidRPr="00591B9B" w:rsidR="00591B9B">
        <w:t>a pre-trial detention term: (1)  </w:t>
      </w:r>
      <w:r w:rsidRPr="00591B9B">
        <w:t>a total term of up to four months – by a judge of the court that originally remanded the person in question in custo</w:t>
      </w:r>
      <w:r w:rsidRPr="00591B9B" w:rsidR="00591B9B">
        <w:t>dy as a preventive measure; (2)  a </w:t>
      </w:r>
      <w:r w:rsidRPr="00591B9B">
        <w:t xml:space="preserve">total term of </w:t>
      </w:r>
      <w:r w:rsidRPr="00591B9B">
        <w:rPr>
          <w:rFonts w:ascii="Times New Roman" w:hAnsi="Times New Roman" w:cs="Times New Roman"/>
          <w:szCs w:val="24"/>
        </w:rPr>
        <w:t>up to nine months – by a judge of an appellate court; and (3) </w:t>
      </w:r>
      <w:r w:rsidRPr="00591B9B" w:rsidR="00591B9B">
        <w:rPr>
          <w:rFonts w:ascii="Times New Roman" w:hAnsi="Times New Roman" w:cs="Times New Roman"/>
          <w:szCs w:val="24"/>
        </w:rPr>
        <w:t> </w:t>
      </w:r>
      <w:r w:rsidRPr="00591B9B">
        <w:t xml:space="preserve">a total term of </w:t>
      </w:r>
      <w:r w:rsidRPr="00591B9B">
        <w:rPr>
          <w:rFonts w:ascii="Times New Roman" w:hAnsi="Times New Roman" w:cs="Times New Roman"/>
          <w:szCs w:val="24"/>
        </w:rPr>
        <w:t xml:space="preserve">up to eighteen months – by a judge of the Higher </w:t>
      </w:r>
      <w:proofErr w:type="spellStart"/>
      <w:r w:rsidRPr="00591B9B">
        <w:rPr>
          <w:rFonts w:ascii="Times New Roman" w:hAnsi="Times New Roman" w:cs="Times New Roman"/>
          <w:szCs w:val="24"/>
        </w:rPr>
        <w:t>Specialised</w:t>
      </w:r>
      <w:proofErr w:type="spellEnd"/>
      <w:r w:rsidRPr="00591B9B">
        <w:rPr>
          <w:rFonts w:ascii="Times New Roman" w:hAnsi="Times New Roman" w:cs="Times New Roman"/>
          <w:szCs w:val="24"/>
        </w:rPr>
        <w:t xml:space="preserve"> Court for Civil and Criminal Matters.</w:t>
      </w:r>
    </w:p>
    <w:p w:rsidRPr="00591B9B" w:rsidR="00367F3C" w:rsidP="00591B9B" w:rsidRDefault="00367F3C">
      <w:pPr>
        <w:pStyle w:val="ECHRTitle1"/>
      </w:pPr>
      <w:r w:rsidRPr="00591B9B">
        <w:t>THE LAW</w:t>
      </w:r>
    </w:p>
    <w:p w:rsidRPr="00591B9B" w:rsidR="00367F3C" w:rsidP="00591B9B" w:rsidRDefault="00367F3C">
      <w:pPr>
        <w:pStyle w:val="ECHRHeading1"/>
      </w:pPr>
      <w:r w:rsidRPr="00591B9B">
        <w:t>I.  ALLEGED VIOLATION OF ARTICLE 5 OF THE CONVENTION</w:t>
      </w:r>
    </w:p>
    <w:p w:rsidRPr="00591B9B" w:rsidR="00367F3C" w:rsidP="00591B9B" w:rsidRDefault="00367F3C">
      <w:pPr>
        <w:pStyle w:val="ECHRPara"/>
      </w:pPr>
      <w:r w:rsidRPr="00591B9B">
        <w:t xml:space="preserve">8.  The </w:t>
      </w:r>
      <w:r w:rsidRPr="00591B9B">
        <w:rPr>
          <w:szCs w:val="24"/>
        </w:rPr>
        <w:t>applicant</w:t>
      </w:r>
      <w:r w:rsidRPr="00591B9B">
        <w:t xml:space="preserve"> complained that his detention from 25 April until 25 July 2011 had been unlawful under Article 5 § 1 of the Convention, which reads as follows:</w:t>
      </w:r>
    </w:p>
    <w:p w:rsidRPr="00591B9B" w:rsidR="00367F3C" w:rsidP="00591B9B" w:rsidRDefault="00367F3C">
      <w:pPr>
        <w:pStyle w:val="ECHRParaQuote"/>
      </w:pPr>
      <w:r w:rsidRPr="00591B9B">
        <w:t>“1.</w:t>
      </w:r>
      <w:proofErr w:type="gramStart"/>
      <w:r w:rsidRPr="00591B9B">
        <w:t>  Everyone</w:t>
      </w:r>
      <w:proofErr w:type="gramEnd"/>
      <w:r w:rsidRPr="00591B9B">
        <w:t xml:space="preserve"> has the right to liberty and security of person. No one shall be deprived of his liberty save in the following cases and in accordance with a procedure prescribed by law:</w:t>
      </w:r>
    </w:p>
    <w:p w:rsidRPr="00591B9B" w:rsidR="00367F3C" w:rsidP="00591B9B" w:rsidRDefault="00367F3C">
      <w:pPr>
        <w:pStyle w:val="ECHRParaQuote"/>
      </w:pPr>
      <w:r w:rsidRPr="00591B9B">
        <w:t>...(c)</w:t>
      </w:r>
      <w:proofErr w:type="gramStart"/>
      <w:r w:rsidRPr="00591B9B">
        <w:t>  the</w:t>
      </w:r>
      <w:proofErr w:type="gramEnd"/>
      <w:r w:rsidRPr="00591B9B">
        <w:t xml:space="preserv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 ...”</w:t>
      </w:r>
    </w:p>
    <w:p w:rsidRPr="00591B9B" w:rsidR="00367F3C" w:rsidP="00591B9B" w:rsidRDefault="00367F3C">
      <w:pPr>
        <w:pStyle w:val="ECHRHeading2"/>
      </w:pPr>
      <w:r w:rsidRPr="00591B9B">
        <w:t>A.  Admissibility</w:t>
      </w:r>
    </w:p>
    <w:p w:rsidRPr="00591B9B" w:rsidR="00367F3C" w:rsidP="00591B9B" w:rsidRDefault="00367F3C">
      <w:pPr>
        <w:pStyle w:val="ECHRPara"/>
      </w:pPr>
      <w:r w:rsidRPr="00591B9B">
        <w:t>9.  The Court notes that this complaint is not manifestly ill-founded within the meaning of Article 35 § 3 (a) of the Convention. It furthermore notes that it is not inadmissible on any other grounds. It must therefore be declared admissible.</w:t>
      </w:r>
    </w:p>
    <w:p w:rsidRPr="00591B9B" w:rsidR="00367F3C" w:rsidP="00591B9B" w:rsidRDefault="00367F3C">
      <w:pPr>
        <w:pStyle w:val="ECHRHeading2"/>
      </w:pPr>
      <w:r w:rsidRPr="00591B9B">
        <w:t>B.  Merits</w:t>
      </w:r>
    </w:p>
    <w:p w:rsidRPr="00591B9B" w:rsidR="00367F3C" w:rsidP="00591B9B" w:rsidRDefault="00367F3C">
      <w:pPr>
        <w:pStyle w:val="ECHRPara"/>
      </w:pPr>
      <w:r w:rsidRPr="00591B9B">
        <w:t xml:space="preserve">10.  The </w:t>
      </w:r>
      <w:r w:rsidRPr="00591B9B">
        <w:rPr>
          <w:szCs w:val="24"/>
        </w:rPr>
        <w:t>applicant</w:t>
      </w:r>
      <w:r w:rsidRPr="00591B9B">
        <w:t xml:space="preserve"> submitted that his detention from 25 April until 25 July 2011 had been unlawful, in particular because it had been ordered by an appellate court, which had not been </w:t>
      </w:r>
      <w:proofErr w:type="spellStart"/>
      <w:r w:rsidRPr="00591B9B">
        <w:t>authorised</w:t>
      </w:r>
      <w:proofErr w:type="spellEnd"/>
      <w:r w:rsidRPr="00591B9B">
        <w:t xml:space="preserve"> to take such a decision under the relevant domestic legislation.</w:t>
      </w:r>
    </w:p>
    <w:p w:rsidRPr="00591B9B" w:rsidR="00367F3C" w:rsidP="00591B9B" w:rsidRDefault="00367F3C">
      <w:pPr>
        <w:pStyle w:val="ECHRPara"/>
      </w:pPr>
      <w:bookmarkStart w:name="para_11" w:id="3"/>
      <w:r w:rsidRPr="00591B9B">
        <w:t>11</w:t>
      </w:r>
      <w:bookmarkEnd w:id="3"/>
      <w:r w:rsidRPr="00591B9B">
        <w:t>.  The Government contested that argument. In their view, the extension of the applicant</w:t>
      </w:r>
      <w:r w:rsidRPr="00591B9B" w:rsidR="00591B9B">
        <w:t>’</w:t>
      </w:r>
      <w:r w:rsidRPr="00591B9B">
        <w:t>s detention</w:t>
      </w:r>
      <w:r w:rsidRPr="00591B9B">
        <w:rPr>
          <w:rFonts w:ascii="Times New Roman" w:hAnsi="Times New Roman" w:cs="Times New Roman"/>
          <w:szCs w:val="24"/>
        </w:rPr>
        <w:t xml:space="preserve"> to a total length of up to twelve months by the judge of the appellate court</w:t>
      </w:r>
      <w:r w:rsidRPr="00591B9B">
        <w:t xml:space="preserve"> had not contravened the domestic-law provisions. Extending the detention to a total of eighteen months would have had to have been </w:t>
      </w:r>
      <w:proofErr w:type="spellStart"/>
      <w:r w:rsidRPr="00591B9B">
        <w:t>authorised</w:t>
      </w:r>
      <w:proofErr w:type="spellEnd"/>
      <w:r w:rsidRPr="00591B9B">
        <w:t xml:space="preserve"> by a judge</w:t>
      </w:r>
      <w:r w:rsidRPr="00591B9B">
        <w:rPr>
          <w:rFonts w:ascii="Times New Roman" w:hAnsi="Times New Roman" w:cs="Times New Roman"/>
          <w:szCs w:val="24"/>
        </w:rPr>
        <w:t xml:space="preserve"> of the Higher </w:t>
      </w:r>
      <w:proofErr w:type="spellStart"/>
      <w:r w:rsidRPr="00591B9B">
        <w:rPr>
          <w:rFonts w:ascii="Times New Roman" w:hAnsi="Times New Roman" w:cs="Times New Roman"/>
          <w:szCs w:val="24"/>
        </w:rPr>
        <w:t>Specialised</w:t>
      </w:r>
      <w:proofErr w:type="spellEnd"/>
      <w:r w:rsidRPr="00591B9B">
        <w:rPr>
          <w:rFonts w:ascii="Times New Roman" w:hAnsi="Times New Roman" w:cs="Times New Roman"/>
          <w:szCs w:val="24"/>
        </w:rPr>
        <w:t xml:space="preserve"> Court for Civil and Criminal Matters.</w:t>
      </w:r>
    </w:p>
    <w:p w:rsidRPr="00591B9B" w:rsidR="00367F3C" w:rsidP="00591B9B" w:rsidRDefault="00367F3C">
      <w:pPr>
        <w:pStyle w:val="ECHRPara"/>
      </w:pPr>
      <w:r w:rsidRPr="00591B9B">
        <w:t xml:space="preserve">12.  The Court reiterates that the expressions “lawful” and “in accordance with a procedure prescribed by law” in Article 5 § 1 essentially refer back to national law and enshrine the obligation to conform to the substantive and procedural rules thereof. Although it is in the first place for the national authorities (notably the courts) to interpret and apply domestic law, under Article 5 § 1 a failure to comply with domestic law entails a breach of the Convention, and the Court can and should review whether such law has been complied with (see, among many other references, </w:t>
      </w:r>
      <w:proofErr w:type="spellStart"/>
      <w:r w:rsidRPr="00591B9B">
        <w:rPr>
          <w:i/>
        </w:rPr>
        <w:t>Assanidze</w:t>
      </w:r>
      <w:proofErr w:type="spellEnd"/>
      <w:r w:rsidRPr="00591B9B">
        <w:rPr>
          <w:i/>
        </w:rPr>
        <w:t xml:space="preserve"> v. Georgia</w:t>
      </w:r>
      <w:r w:rsidRPr="00591B9B">
        <w:t xml:space="preserve"> [GC], no. 71503/01, § 171, ECHR 2004</w:t>
      </w:r>
      <w:r w:rsidRPr="00591B9B">
        <w:noBreakHyphen/>
        <w:t>II).</w:t>
      </w:r>
      <w:r w:rsidRPr="00591B9B">
        <w:rPr>
          <w:rStyle w:val="BalloonTextChar"/>
        </w:rPr>
        <w:t xml:space="preserve"> </w:t>
      </w:r>
      <w:r w:rsidRPr="00591B9B">
        <w:t xml:space="preserve">For an assessment of compliance with Article 5 § 1 of the Convention a basic distinction has to be made between </w:t>
      </w:r>
      <w:r w:rsidRPr="00591B9B">
        <w:rPr>
          <w:i/>
        </w:rPr>
        <w:t>ex facie</w:t>
      </w:r>
      <w:r w:rsidRPr="00591B9B">
        <w:t xml:space="preserve"> invalid detention orders – for example, an order given by a court in excess of jurisdiction, or where the interested party did not have proper notice of the hearing – and detention orders which are </w:t>
      </w:r>
      <w:r w:rsidRPr="00591B9B">
        <w:rPr>
          <w:i/>
        </w:rPr>
        <w:t>prima facie</w:t>
      </w:r>
      <w:r w:rsidRPr="00591B9B">
        <w:t xml:space="preserve"> valid and effective unless and until they have been overturned by a higher court. A detention order must be considered as </w:t>
      </w:r>
      <w:r w:rsidRPr="00591B9B">
        <w:rPr>
          <w:i/>
        </w:rPr>
        <w:t>ex facie</w:t>
      </w:r>
      <w:r w:rsidRPr="00591B9B">
        <w:t xml:space="preserve"> invalid if the flaw in the order amounted to a “gross and obvious irregularity” in the exceptional sense indicated by the Court</w:t>
      </w:r>
      <w:r w:rsidRPr="00591B9B" w:rsidR="00591B9B">
        <w:t>’</w:t>
      </w:r>
      <w:r w:rsidRPr="00591B9B">
        <w:t xml:space="preserve">s case-law (see </w:t>
      </w:r>
      <w:proofErr w:type="spellStart"/>
      <w:r w:rsidRPr="00591B9B">
        <w:rPr>
          <w:i/>
        </w:rPr>
        <w:t>Mooren</w:t>
      </w:r>
      <w:proofErr w:type="spellEnd"/>
      <w:r w:rsidRPr="00591B9B">
        <w:rPr>
          <w:i/>
        </w:rPr>
        <w:t xml:space="preserve"> v. Germany </w:t>
      </w:r>
      <w:r w:rsidRPr="00591B9B">
        <w:t>[GC], no. 11364/03</w:t>
      </w:r>
      <w:r w:rsidRPr="00591B9B">
        <w:rPr>
          <w:snapToGrid w:val="0"/>
        </w:rPr>
        <w:t xml:space="preserve">, § 75, </w:t>
      </w:r>
      <w:r w:rsidRPr="00591B9B">
        <w:t>9 July 2009, with further references).</w:t>
      </w:r>
    </w:p>
    <w:p w:rsidRPr="00591B9B" w:rsidR="00367F3C" w:rsidP="00591B9B" w:rsidRDefault="00367F3C">
      <w:pPr>
        <w:pStyle w:val="ECHRPara"/>
        <w:rPr>
          <w:rFonts w:ascii="Times New Roman" w:hAnsi="Times New Roman" w:cs="Times New Roman"/>
          <w:szCs w:val="24"/>
        </w:rPr>
      </w:pPr>
      <w:r w:rsidRPr="00591B9B">
        <w:t>13.  Turning to the circumstances of the present case, the Court cannot accept the Government</w:t>
      </w:r>
      <w:r w:rsidRPr="00591B9B" w:rsidR="00591B9B">
        <w:t>’</w:t>
      </w:r>
      <w:r w:rsidRPr="00591B9B">
        <w:t xml:space="preserve">s argument (see paragraph 11 above). It furthermore observes that the relevant procedural legislation (see paragraph 7 above) clearly empowered </w:t>
      </w:r>
      <w:r w:rsidRPr="00591B9B">
        <w:rPr>
          <w:rFonts w:ascii="Times New Roman" w:hAnsi="Times New Roman" w:cs="Times New Roman"/>
          <w:szCs w:val="24"/>
        </w:rPr>
        <w:t>a judge of an appellate court to extend a suspect</w:t>
      </w:r>
      <w:r w:rsidRPr="00591B9B" w:rsidR="00591B9B">
        <w:rPr>
          <w:rFonts w:ascii="Times New Roman" w:hAnsi="Times New Roman" w:cs="Times New Roman"/>
          <w:szCs w:val="24"/>
        </w:rPr>
        <w:t>’</w:t>
      </w:r>
      <w:r w:rsidRPr="00591B9B">
        <w:rPr>
          <w:rFonts w:ascii="Times New Roman" w:hAnsi="Times New Roman" w:cs="Times New Roman"/>
          <w:szCs w:val="24"/>
        </w:rPr>
        <w:t>s pre</w:t>
      </w:r>
      <w:r w:rsidRPr="00591B9B">
        <w:rPr>
          <w:rFonts w:ascii="Times New Roman" w:hAnsi="Times New Roman" w:cs="Times New Roman"/>
          <w:szCs w:val="24"/>
        </w:rPr>
        <w:noBreakHyphen/>
        <w:t xml:space="preserve">trial detention for a total detention term of up to nine months. It did not allow a judge of that court to order any further detention going beyond this term, delegating that power to the </w:t>
      </w:r>
      <w:r w:rsidRPr="00591B9B">
        <w:t>judge</w:t>
      </w:r>
      <w:r w:rsidRPr="00591B9B">
        <w:rPr>
          <w:rFonts w:ascii="Times New Roman" w:hAnsi="Times New Roman" w:cs="Times New Roman"/>
          <w:szCs w:val="24"/>
        </w:rPr>
        <w:t xml:space="preserve"> of the Higher </w:t>
      </w:r>
      <w:proofErr w:type="spellStart"/>
      <w:r w:rsidRPr="00591B9B">
        <w:rPr>
          <w:rFonts w:ascii="Times New Roman" w:hAnsi="Times New Roman" w:cs="Times New Roman"/>
          <w:szCs w:val="24"/>
        </w:rPr>
        <w:t>Specialised</w:t>
      </w:r>
      <w:proofErr w:type="spellEnd"/>
      <w:r w:rsidRPr="00591B9B">
        <w:rPr>
          <w:rFonts w:ascii="Times New Roman" w:hAnsi="Times New Roman" w:cs="Times New Roman"/>
          <w:szCs w:val="24"/>
        </w:rPr>
        <w:t xml:space="preserve"> Court for Civil and Criminal Matters.</w:t>
      </w:r>
    </w:p>
    <w:p w:rsidRPr="00591B9B" w:rsidR="00367F3C" w:rsidP="00591B9B" w:rsidRDefault="00367F3C">
      <w:pPr>
        <w:pStyle w:val="ECHRPara"/>
      </w:pPr>
      <w:r w:rsidRPr="00591B9B">
        <w:rPr>
          <w:rFonts w:ascii="Times New Roman" w:hAnsi="Times New Roman" w:cs="Times New Roman"/>
          <w:szCs w:val="24"/>
        </w:rPr>
        <w:t>14.  It follows that the applicant</w:t>
      </w:r>
      <w:r w:rsidRPr="00591B9B" w:rsidR="00591B9B">
        <w:rPr>
          <w:rFonts w:ascii="Times New Roman" w:hAnsi="Times New Roman" w:cs="Times New Roman"/>
          <w:szCs w:val="24"/>
        </w:rPr>
        <w:t>’</w:t>
      </w:r>
      <w:r w:rsidRPr="00591B9B">
        <w:rPr>
          <w:rFonts w:ascii="Times New Roman" w:hAnsi="Times New Roman" w:cs="Times New Roman"/>
          <w:szCs w:val="24"/>
        </w:rPr>
        <w:t>s detention between 25 April and 25 July 2011 was not “</w:t>
      </w:r>
      <w:r w:rsidRPr="00591B9B">
        <w:t>in accordance with a procedure prescribed by law”. Given the importance of the right to liberty and security, as enshrined in Article 5 § 1 of the Convention, the Court considers that the flaw at issue amounted to a “gross and obvious irregularity”. There has accordingly been a violation of that provision.</w:t>
      </w:r>
    </w:p>
    <w:p w:rsidRPr="00591B9B" w:rsidR="00367F3C" w:rsidP="00591B9B" w:rsidRDefault="00367F3C">
      <w:pPr>
        <w:pStyle w:val="ECHRHeading1"/>
      </w:pPr>
      <w:r w:rsidRPr="00591B9B">
        <w:t>II.  APPLICATION OF ARTICLE 41 OF THE CONVENTION</w:t>
      </w:r>
    </w:p>
    <w:p w:rsidRPr="00591B9B" w:rsidR="00367F3C" w:rsidP="00591B9B" w:rsidRDefault="00367F3C">
      <w:pPr>
        <w:pStyle w:val="ECHRPara"/>
      </w:pPr>
      <w:r w:rsidRPr="00591B9B">
        <w:t>15.  Article 41 of the Convention provides:</w:t>
      </w:r>
    </w:p>
    <w:p w:rsidRPr="00591B9B" w:rsidR="00367F3C" w:rsidP="00591B9B" w:rsidRDefault="00367F3C">
      <w:pPr>
        <w:pStyle w:val="ECHRParaQuote"/>
        <w:keepNext/>
        <w:keepLines/>
      </w:pPr>
      <w:r w:rsidRPr="00591B9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91B9B" w:rsidR="00367F3C" w:rsidP="00591B9B" w:rsidRDefault="00367F3C">
      <w:pPr>
        <w:pStyle w:val="ECHRPara"/>
      </w:pPr>
      <w:r w:rsidRPr="00591B9B">
        <w:t xml:space="preserve">16.  The </w:t>
      </w:r>
      <w:r w:rsidRPr="00591B9B">
        <w:rPr>
          <w:szCs w:val="24"/>
        </w:rPr>
        <w:t>applicant</w:t>
      </w:r>
      <w:r w:rsidRPr="00591B9B">
        <w:t xml:space="preserve"> claimed 13,000 euros (EUR) in respect of non</w:t>
      </w:r>
      <w:r w:rsidRPr="00591B9B">
        <w:noBreakHyphen/>
        <w:t>pecuniary damage. The Government considered that claim to be unsubstantiated and excessive.</w:t>
      </w:r>
    </w:p>
    <w:p w:rsidRPr="00591B9B" w:rsidR="00367F3C" w:rsidP="00591B9B" w:rsidRDefault="00367F3C">
      <w:pPr>
        <w:pStyle w:val="ECHRPara"/>
      </w:pPr>
      <w:r w:rsidRPr="00591B9B">
        <w:t>17.  Making its assessment on an equitable basis, the Court awards the applicant EUR 4,500 in respect of non-pecuniary damage.</w:t>
      </w:r>
    </w:p>
    <w:p w:rsidRPr="00591B9B" w:rsidR="00367F3C" w:rsidP="00591B9B" w:rsidRDefault="00367F3C">
      <w:pPr>
        <w:pStyle w:val="ECHRPara"/>
      </w:pPr>
      <w:r w:rsidRPr="00591B9B">
        <w:t>18.  The applicant did not request any sum in respect of costs and expenses. Therefore, the Court is not called upon to make an award under this head.</w:t>
      </w:r>
    </w:p>
    <w:p w:rsidRPr="00591B9B" w:rsidR="00367F3C" w:rsidP="00591B9B" w:rsidRDefault="00367F3C">
      <w:pPr>
        <w:pStyle w:val="ECHRPara"/>
      </w:pPr>
      <w:r w:rsidRPr="00591B9B">
        <w:t>19.  The Court considers it appropriate that the default interest rate should be based on the marginal lending rate of the European Central Bank, to which should be added three percentage points.</w:t>
      </w:r>
    </w:p>
    <w:p w:rsidRPr="00591B9B" w:rsidR="00367F3C" w:rsidP="00591B9B" w:rsidRDefault="00367F3C">
      <w:pPr>
        <w:pStyle w:val="ECHRTitle1"/>
      </w:pPr>
      <w:r w:rsidRPr="00591B9B">
        <w:t>FOR THESE REASONS, THE COURT, UNANIMOUSLY,</w:t>
      </w:r>
    </w:p>
    <w:p w:rsidRPr="00591B9B" w:rsidR="00367F3C" w:rsidP="00591B9B" w:rsidRDefault="00367F3C">
      <w:pPr>
        <w:pStyle w:val="JuList"/>
        <w:ind w:left="0" w:firstLine="0"/>
      </w:pPr>
      <w:r w:rsidRPr="00591B9B">
        <w:t>1.  </w:t>
      </w:r>
      <w:r w:rsidRPr="00591B9B">
        <w:rPr>
          <w:i/>
        </w:rPr>
        <w:t>Declares</w:t>
      </w:r>
      <w:r w:rsidRPr="00591B9B">
        <w:rPr>
          <w:color w:val="000000"/>
        </w:rPr>
        <w:t xml:space="preserve"> </w:t>
      </w:r>
      <w:r w:rsidRPr="00591B9B">
        <w:t>the application admissible;</w:t>
      </w:r>
    </w:p>
    <w:p w:rsidRPr="00591B9B" w:rsidR="00367F3C" w:rsidP="00591B9B" w:rsidRDefault="00367F3C">
      <w:pPr>
        <w:pStyle w:val="JuList"/>
        <w:ind w:left="0" w:firstLine="0"/>
      </w:pPr>
    </w:p>
    <w:p w:rsidRPr="00591B9B" w:rsidR="00367F3C" w:rsidP="00591B9B" w:rsidRDefault="00367F3C">
      <w:pPr>
        <w:pStyle w:val="JuList"/>
      </w:pPr>
      <w:r w:rsidRPr="00591B9B">
        <w:t>2.  </w:t>
      </w:r>
      <w:r w:rsidRPr="00591B9B">
        <w:rPr>
          <w:i/>
        </w:rPr>
        <w:t>Holds</w:t>
      </w:r>
      <w:r w:rsidRPr="00591B9B">
        <w:rPr>
          <w:color w:val="000000"/>
        </w:rPr>
        <w:t xml:space="preserve"> </w:t>
      </w:r>
      <w:r w:rsidRPr="00591B9B">
        <w:t>that there has been a violation of Article 5 § 1 of the Convention;</w:t>
      </w:r>
    </w:p>
    <w:p w:rsidRPr="00591B9B" w:rsidR="00367F3C" w:rsidP="00591B9B" w:rsidRDefault="00367F3C">
      <w:pPr>
        <w:pStyle w:val="JuList"/>
      </w:pPr>
    </w:p>
    <w:p w:rsidRPr="00591B9B" w:rsidR="00367F3C" w:rsidP="00591B9B" w:rsidRDefault="00367F3C">
      <w:pPr>
        <w:pStyle w:val="JuList"/>
      </w:pPr>
      <w:r w:rsidRPr="00591B9B">
        <w:t>3.  </w:t>
      </w:r>
      <w:r w:rsidRPr="00591B9B">
        <w:rPr>
          <w:i/>
        </w:rPr>
        <w:t>Holds</w:t>
      </w:r>
    </w:p>
    <w:p w:rsidRPr="00591B9B" w:rsidR="00367F3C" w:rsidP="00591B9B" w:rsidRDefault="00367F3C">
      <w:pPr>
        <w:pStyle w:val="JuLista"/>
      </w:pPr>
      <w:r w:rsidRPr="00591B9B">
        <w:t>(a)  that the respondent State is to pay the applicant, within three months, EUR 4,500 (four thousand five hundred euros), to be converted into the currency of the respondent State at the rate applicable at the date of settlement, plus any tax that may be chargeable, in respect of non</w:t>
      </w:r>
      <w:r w:rsidRPr="00591B9B">
        <w:noBreakHyphen/>
        <w:t>pecuniary damage</w:t>
      </w:r>
      <w:r w:rsidRPr="00591B9B" w:rsidR="00FE6D52">
        <w:t>;</w:t>
      </w:r>
    </w:p>
    <w:p w:rsidRPr="00591B9B" w:rsidR="00367F3C" w:rsidP="00591B9B" w:rsidRDefault="00367F3C">
      <w:pPr>
        <w:pStyle w:val="JuLista"/>
      </w:pPr>
      <w:r w:rsidRPr="00591B9B">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591B9B" w:rsidR="00367F3C" w:rsidP="00591B9B" w:rsidRDefault="00367F3C">
      <w:pPr>
        <w:pStyle w:val="JuList"/>
      </w:pPr>
    </w:p>
    <w:p w:rsidRPr="00591B9B" w:rsidR="004D0EC7" w:rsidP="00591B9B" w:rsidRDefault="00367F3C">
      <w:pPr>
        <w:pStyle w:val="JuList"/>
      </w:pPr>
      <w:r w:rsidRPr="00591B9B">
        <w:t>4.  </w:t>
      </w:r>
      <w:r w:rsidRPr="00591B9B">
        <w:rPr>
          <w:i/>
        </w:rPr>
        <w:t>Dismisses</w:t>
      </w:r>
      <w:r w:rsidRPr="00591B9B">
        <w:t xml:space="preserve"> the remainder of the applicant</w:t>
      </w:r>
      <w:r w:rsidRPr="00591B9B" w:rsidR="00591B9B">
        <w:t>’</w:t>
      </w:r>
      <w:r w:rsidRPr="00591B9B">
        <w:t>s claim for just satisfaction.</w:t>
      </w:r>
    </w:p>
    <w:p w:rsidRPr="00591B9B" w:rsidR="008E3A08" w:rsidP="00591B9B" w:rsidRDefault="00C00C2D">
      <w:pPr>
        <w:pStyle w:val="JuParaLast"/>
      </w:pPr>
      <w:r w:rsidRPr="00591B9B">
        <w:t xml:space="preserve">Done in English, and notified in writing on </w:t>
      </w:r>
      <w:r w:rsidRPr="00591B9B" w:rsidR="00367F3C">
        <w:rPr>
          <w:rFonts w:ascii="Times New Roman" w:hAnsi="Times New Roman" w:cs="Times New Roman"/>
        </w:rPr>
        <w:t>4 July 2019</w:t>
      </w:r>
      <w:r w:rsidRPr="00591B9B">
        <w:t>, pursuant to Rule 77 §§ 2 and 3 of the Rules of Court.</w:t>
      </w:r>
    </w:p>
    <w:p w:rsidRPr="00591B9B" w:rsidR="001C055B" w:rsidP="00591B9B" w:rsidRDefault="00F4171A">
      <w:pPr>
        <w:pStyle w:val="JuSigned"/>
      </w:pPr>
      <w:r w:rsidRPr="00591B9B">
        <w:tab/>
      </w:r>
      <w:r w:rsidRPr="00591B9B" w:rsidR="00367F3C">
        <w:t xml:space="preserve">Milan </w:t>
      </w:r>
      <w:proofErr w:type="spellStart"/>
      <w:r w:rsidRPr="00591B9B" w:rsidR="00367F3C">
        <w:t>Blaško</w:t>
      </w:r>
      <w:proofErr w:type="spellEnd"/>
      <w:r w:rsidRPr="00591B9B" w:rsidR="00C00C2D">
        <w:t xml:space="preserve"> </w:t>
      </w:r>
      <w:r w:rsidRPr="00591B9B" w:rsidR="00C00C2D">
        <w:tab/>
      </w:r>
      <w:proofErr w:type="spellStart"/>
      <w:r w:rsidRPr="00591B9B" w:rsidR="00367F3C">
        <w:rPr>
          <w:szCs w:val="24"/>
        </w:rPr>
        <w:t>Yonko</w:t>
      </w:r>
      <w:proofErr w:type="spellEnd"/>
      <w:r w:rsidRPr="00591B9B" w:rsidR="00367F3C">
        <w:rPr>
          <w:szCs w:val="24"/>
        </w:rPr>
        <w:t xml:space="preserve"> </w:t>
      </w:r>
      <w:proofErr w:type="spellStart"/>
      <w:r w:rsidRPr="00591B9B" w:rsidR="00367F3C">
        <w:rPr>
          <w:szCs w:val="24"/>
        </w:rPr>
        <w:t>Grozev</w:t>
      </w:r>
      <w:proofErr w:type="spellEnd"/>
      <w:r w:rsidRPr="00591B9B" w:rsidR="00C00C2D">
        <w:rPr>
          <w:szCs w:val="24"/>
        </w:rPr>
        <w:br/>
      </w:r>
      <w:r w:rsidRPr="00591B9B" w:rsidR="00C00C2D">
        <w:tab/>
      </w:r>
      <w:r w:rsidRPr="00591B9B" w:rsidR="00367F3C">
        <w:t xml:space="preserve">Deputy </w:t>
      </w:r>
      <w:r w:rsidRPr="00591B9B" w:rsidR="00367F3C">
        <w:rPr>
          <w:iCs/>
        </w:rPr>
        <w:t>Registrar</w:t>
      </w:r>
      <w:r w:rsidRPr="00591B9B" w:rsidR="00C00C2D">
        <w:tab/>
        <w:t>President</w:t>
      </w:r>
    </w:p>
    <w:sectPr w:rsidRPr="00591B9B"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7F3C" w:rsidRDefault="00367F3C">
      <w:r>
        <w:separator/>
      </w:r>
    </w:p>
  </w:endnote>
  <w:endnote w:type="continuationSeparator" w:id="0">
    <w:p w:rsidR="00367F3C" w:rsidRDefault="00367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7F3C" w:rsidRPr="00150BFA" w:rsidRDefault="00367F3C" w:rsidP="0020718E">
    <w:pPr>
      <w:jc w:val="center"/>
    </w:pPr>
    <w:r>
      <w:rPr>
        <w:noProof/>
        <w:lang w:val="en-US" w:eastAsia="ja-JP"/>
      </w:rPr>
      <w:drawing>
        <wp:inline distT="0" distB="0" distL="0" distR="0" wp14:anchorId="6483C22C" wp14:editId="2DBD0ED1">
          <wp:extent cx="771525" cy="619125"/>
          <wp:effectExtent l="0" t="0" r="9525" b="9525"/>
          <wp:docPr id="28" name="Picture 2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AD2FF6"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AD2FF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AD2FF6"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7F3C" w:rsidRPr="00085457" w:rsidRDefault="00367F3C" w:rsidP="0098410D">
      <w:r w:rsidRPr="00085457">
        <w:separator/>
      </w:r>
    </w:p>
  </w:footnote>
  <w:footnote w:type="continuationSeparator" w:id="0">
    <w:p w:rsidR="00367F3C" w:rsidRPr="00085457" w:rsidRDefault="00367F3C"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7F3C" w:rsidRPr="00A45145" w:rsidRDefault="00367F3C" w:rsidP="00A45145">
    <w:pPr>
      <w:jc w:val="center"/>
    </w:pPr>
    <w:r>
      <w:rPr>
        <w:noProof/>
        <w:lang w:val="en-US" w:eastAsia="ja-JP"/>
      </w:rPr>
      <w:drawing>
        <wp:inline distT="0" distB="0" distL="0" distR="0" wp14:anchorId="358BF633" wp14:editId="5570D40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AD2FF6"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7F3C" w:rsidRPr="00A45145" w:rsidRDefault="00367F3C" w:rsidP="00A45145">
    <w:pPr>
      <w:jc w:val="center"/>
    </w:pPr>
    <w:r>
      <w:rPr>
        <w:noProof/>
        <w:lang w:val="en-US" w:eastAsia="ja-JP"/>
      </w:rPr>
      <w:drawing>
        <wp:inline distT="0" distB="0" distL="0" distR="0" wp14:anchorId="48EE32EE" wp14:editId="7524A77B">
          <wp:extent cx="2962275" cy="1219200"/>
          <wp:effectExtent l="0" t="0" r="9525" b="0"/>
          <wp:docPr id="26" name="Picture 2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AD2FF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367F3C" w:rsidP="004D0EC7">
    <w:pPr>
      <w:pStyle w:val="ECHRHeader"/>
    </w:pPr>
    <w:r>
      <w:rPr>
        <w:rStyle w:val="PageNumber"/>
      </w:rPr>
      <w:fldChar w:fldCharType="begin"/>
    </w:r>
    <w:r>
      <w:rPr>
        <w:rStyle w:val="PageNumber"/>
      </w:rPr>
      <w:instrText xml:space="preserve"> PAGE </w:instrText>
    </w:r>
    <w:r>
      <w:rPr>
        <w:rStyle w:val="PageNumber"/>
      </w:rPr>
      <w:fldChar w:fldCharType="separate"/>
    </w:r>
    <w:r w:rsidR="00591B9B">
      <w:rPr>
        <w:rStyle w:val="PageNumber"/>
        <w:noProof/>
      </w:rPr>
      <w:t>4</w:t>
    </w:r>
    <w:r>
      <w:rPr>
        <w:rStyle w:val="PageNumber"/>
      </w:rPr>
      <w:fldChar w:fldCharType="end"/>
    </w:r>
    <w:r w:rsidR="00C00C2D" w:rsidRPr="004D0EC7">
      <w:tab/>
    </w:r>
    <w:r>
      <w:t>AKYMENKO v. UKRAINE</w:t>
    </w:r>
    <w:r w:rsidR="00C00C2D" w:rsidRPr="004D0EC7">
      <w:t xml:space="preserve"> </w:t>
    </w:r>
    <w:r w:rsidR="00C00C2D">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C00C2D" w:rsidP="00882CD5">
    <w:pPr>
      <w:pStyle w:val="ECHRHeader"/>
    </w:pPr>
    <w:r w:rsidRPr="00882CD5">
      <w:tab/>
    </w:r>
    <w:r w:rsidR="00367F3C">
      <w:t>AKYMENKO v. UKRAINE</w:t>
    </w:r>
    <w:r w:rsidRPr="00882CD5">
      <w:t xml:space="preserve"> JUDGMENT</w:t>
    </w:r>
    <w:r w:rsidRPr="00882CD5">
      <w:tab/>
    </w:r>
    <w:r w:rsidR="00367F3C">
      <w:rPr>
        <w:rStyle w:val="PageNumber"/>
      </w:rPr>
      <w:fldChar w:fldCharType="begin"/>
    </w:r>
    <w:r w:rsidR="00367F3C">
      <w:rPr>
        <w:rStyle w:val="PageNumber"/>
      </w:rPr>
      <w:instrText xml:space="preserve"> PAGE </w:instrText>
    </w:r>
    <w:r w:rsidR="00367F3C">
      <w:rPr>
        <w:rStyle w:val="PageNumber"/>
      </w:rPr>
      <w:fldChar w:fldCharType="separate"/>
    </w:r>
    <w:r w:rsidR="00591B9B">
      <w:rPr>
        <w:rStyle w:val="PageNumber"/>
        <w:noProof/>
      </w:rPr>
      <w:t>3</w:t>
    </w:r>
    <w:r w:rsidR="00367F3C">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13C85700">
      <w:start w:val="1"/>
      <w:numFmt w:val="bullet"/>
      <w:pStyle w:val="ListBullet"/>
      <w:lvlText w:val=""/>
      <w:lvlJc w:val="left"/>
      <w:pPr>
        <w:tabs>
          <w:tab w:val="num" w:pos="851"/>
        </w:tabs>
        <w:ind w:left="568" w:firstLine="0"/>
      </w:pPr>
      <w:rPr>
        <w:rFonts w:ascii="Wingdings" w:hAnsi="Wingdings" w:hint="default"/>
        <w:color w:val="808080"/>
        <w:sz w:val="16"/>
      </w:rPr>
    </w:lvl>
    <w:lvl w:ilvl="1" w:tplc="F6384478" w:tentative="1">
      <w:start w:val="1"/>
      <w:numFmt w:val="bullet"/>
      <w:lvlText w:val="o"/>
      <w:lvlJc w:val="left"/>
      <w:pPr>
        <w:tabs>
          <w:tab w:val="num" w:pos="1724"/>
        </w:tabs>
        <w:ind w:left="1724" w:hanging="360"/>
      </w:pPr>
      <w:rPr>
        <w:rFonts w:ascii="Courier New" w:hAnsi="Courier New" w:cs="Courier New" w:hint="default"/>
      </w:rPr>
    </w:lvl>
    <w:lvl w:ilvl="2" w:tplc="FE8A81FA" w:tentative="1">
      <w:start w:val="1"/>
      <w:numFmt w:val="bullet"/>
      <w:lvlText w:val=""/>
      <w:lvlJc w:val="left"/>
      <w:pPr>
        <w:tabs>
          <w:tab w:val="num" w:pos="2444"/>
        </w:tabs>
        <w:ind w:left="2444" w:hanging="360"/>
      </w:pPr>
      <w:rPr>
        <w:rFonts w:ascii="Wingdings" w:hAnsi="Wingdings" w:hint="default"/>
      </w:rPr>
    </w:lvl>
    <w:lvl w:ilvl="3" w:tplc="E7CE8412" w:tentative="1">
      <w:start w:val="1"/>
      <w:numFmt w:val="bullet"/>
      <w:lvlText w:val=""/>
      <w:lvlJc w:val="left"/>
      <w:pPr>
        <w:tabs>
          <w:tab w:val="num" w:pos="3164"/>
        </w:tabs>
        <w:ind w:left="3164" w:hanging="360"/>
      </w:pPr>
      <w:rPr>
        <w:rFonts w:ascii="Symbol" w:hAnsi="Symbol" w:hint="default"/>
      </w:rPr>
    </w:lvl>
    <w:lvl w:ilvl="4" w:tplc="4490D5F6" w:tentative="1">
      <w:start w:val="1"/>
      <w:numFmt w:val="bullet"/>
      <w:lvlText w:val="o"/>
      <w:lvlJc w:val="left"/>
      <w:pPr>
        <w:tabs>
          <w:tab w:val="num" w:pos="3884"/>
        </w:tabs>
        <w:ind w:left="3884" w:hanging="360"/>
      </w:pPr>
      <w:rPr>
        <w:rFonts w:ascii="Courier New" w:hAnsi="Courier New" w:cs="Courier New" w:hint="default"/>
      </w:rPr>
    </w:lvl>
    <w:lvl w:ilvl="5" w:tplc="D0CE10E4" w:tentative="1">
      <w:start w:val="1"/>
      <w:numFmt w:val="bullet"/>
      <w:lvlText w:val=""/>
      <w:lvlJc w:val="left"/>
      <w:pPr>
        <w:tabs>
          <w:tab w:val="num" w:pos="4604"/>
        </w:tabs>
        <w:ind w:left="4604" w:hanging="360"/>
      </w:pPr>
      <w:rPr>
        <w:rFonts w:ascii="Wingdings" w:hAnsi="Wingdings" w:hint="default"/>
      </w:rPr>
    </w:lvl>
    <w:lvl w:ilvl="6" w:tplc="3C224538" w:tentative="1">
      <w:start w:val="1"/>
      <w:numFmt w:val="bullet"/>
      <w:lvlText w:val=""/>
      <w:lvlJc w:val="left"/>
      <w:pPr>
        <w:tabs>
          <w:tab w:val="num" w:pos="5324"/>
        </w:tabs>
        <w:ind w:left="5324" w:hanging="360"/>
      </w:pPr>
      <w:rPr>
        <w:rFonts w:ascii="Symbol" w:hAnsi="Symbol" w:hint="default"/>
      </w:rPr>
    </w:lvl>
    <w:lvl w:ilvl="7" w:tplc="0764CC78" w:tentative="1">
      <w:start w:val="1"/>
      <w:numFmt w:val="bullet"/>
      <w:lvlText w:val="o"/>
      <w:lvlJc w:val="left"/>
      <w:pPr>
        <w:tabs>
          <w:tab w:val="num" w:pos="6044"/>
        </w:tabs>
        <w:ind w:left="6044" w:hanging="360"/>
      </w:pPr>
      <w:rPr>
        <w:rFonts w:ascii="Courier New" w:hAnsi="Courier New" w:cs="Courier New" w:hint="default"/>
      </w:rPr>
    </w:lvl>
    <w:lvl w:ilvl="8" w:tplc="B9E886A6"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67F3C"/>
    <w:rsid w:val="00367F3C"/>
    <w:rsid w:val="00591B9B"/>
    <w:rsid w:val="007A2B3A"/>
    <w:rsid w:val="00863A16"/>
    <w:rsid w:val="00957383"/>
    <w:rsid w:val="00C00C2D"/>
    <w:rsid w:val="00F4171A"/>
    <w:rsid w:val="00FE6D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91B9B"/>
    <w:pPr>
      <w:jc w:val="both"/>
    </w:pPr>
    <w:rPr>
      <w:rFonts w:eastAsiaTheme="minorEastAsia"/>
      <w:sz w:val="24"/>
      <w:lang w:val="en-GB"/>
    </w:rPr>
  </w:style>
  <w:style w:type="paragraph" w:styleId="Heading1">
    <w:name w:val="heading 1"/>
    <w:basedOn w:val="Normal"/>
    <w:next w:val="Normal"/>
    <w:link w:val="Heading1Char"/>
    <w:uiPriority w:val="99"/>
    <w:semiHidden/>
    <w:rsid w:val="00591B9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91B9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91B9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91B9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91B9B"/>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91B9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91B9B"/>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91B9B"/>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91B9B"/>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91B9B"/>
    <w:rPr>
      <w:rFonts w:ascii="Tahoma" w:hAnsi="Tahoma" w:cs="Tahoma"/>
      <w:sz w:val="16"/>
      <w:szCs w:val="16"/>
    </w:rPr>
  </w:style>
  <w:style w:type="character" w:customStyle="1" w:styleId="BalloonTextChar">
    <w:name w:val="Balloon Text Char"/>
    <w:basedOn w:val="DefaultParagraphFont"/>
    <w:link w:val="BalloonText"/>
    <w:uiPriority w:val="99"/>
    <w:semiHidden/>
    <w:rsid w:val="00591B9B"/>
    <w:rPr>
      <w:rFonts w:ascii="Tahoma" w:eastAsiaTheme="minorEastAsia" w:hAnsi="Tahoma" w:cs="Tahoma"/>
      <w:sz w:val="16"/>
      <w:szCs w:val="16"/>
      <w:lang w:val="en-GB"/>
    </w:rPr>
  </w:style>
  <w:style w:type="character" w:styleId="BookTitle">
    <w:name w:val="Book Title"/>
    <w:uiPriority w:val="99"/>
    <w:semiHidden/>
    <w:qFormat/>
    <w:rsid w:val="00591B9B"/>
    <w:rPr>
      <w:i/>
      <w:iCs/>
      <w:smallCaps/>
      <w:spacing w:val="5"/>
    </w:rPr>
  </w:style>
  <w:style w:type="paragraph" w:customStyle="1" w:styleId="ECHRHeader">
    <w:name w:val="ECHR_Header"/>
    <w:aliases w:val="Ju_Header"/>
    <w:basedOn w:val="Header"/>
    <w:uiPriority w:val="4"/>
    <w:qFormat/>
    <w:rsid w:val="00591B9B"/>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591B9B"/>
    <w:rPr>
      <w:color w:val="00B050"/>
    </w:rPr>
  </w:style>
  <w:style w:type="character" w:styleId="Strong">
    <w:name w:val="Strong"/>
    <w:uiPriority w:val="99"/>
    <w:semiHidden/>
    <w:qFormat/>
    <w:rsid w:val="00591B9B"/>
    <w:rPr>
      <w:b/>
      <w:bCs/>
    </w:rPr>
  </w:style>
  <w:style w:type="paragraph" w:styleId="NoSpacing">
    <w:name w:val="No Spacing"/>
    <w:basedOn w:val="Normal"/>
    <w:link w:val="NoSpacingChar"/>
    <w:semiHidden/>
    <w:qFormat/>
    <w:rsid w:val="00591B9B"/>
    <w:rPr>
      <w:sz w:val="22"/>
      <w:lang w:val="en-US"/>
    </w:rPr>
  </w:style>
  <w:style w:type="character" w:customStyle="1" w:styleId="NoSpacingChar">
    <w:name w:val="No Spacing Char"/>
    <w:basedOn w:val="DefaultParagraphFont"/>
    <w:link w:val="NoSpacing"/>
    <w:semiHidden/>
    <w:rsid w:val="00591B9B"/>
    <w:rPr>
      <w:rFonts w:eastAsiaTheme="minorEastAsia"/>
    </w:rPr>
  </w:style>
  <w:style w:type="paragraph" w:customStyle="1" w:styleId="ECHRParaQuote">
    <w:name w:val="ECHR_Para_Quote"/>
    <w:aliases w:val="Ju_Quot"/>
    <w:basedOn w:val="Normal"/>
    <w:uiPriority w:val="14"/>
    <w:qFormat/>
    <w:rsid w:val="00591B9B"/>
    <w:pPr>
      <w:spacing w:before="120" w:after="120"/>
      <w:ind w:left="425" w:firstLine="142"/>
    </w:pPr>
    <w:rPr>
      <w:sz w:val="20"/>
    </w:rPr>
  </w:style>
  <w:style w:type="paragraph" w:customStyle="1" w:styleId="JuParaSub">
    <w:name w:val="Ju_Para_Sub"/>
    <w:basedOn w:val="ECHRPara"/>
    <w:uiPriority w:val="13"/>
    <w:qFormat/>
    <w:rsid w:val="00591B9B"/>
    <w:pPr>
      <w:ind w:left="284"/>
    </w:pPr>
  </w:style>
  <w:style w:type="paragraph" w:customStyle="1" w:styleId="OpiH1">
    <w:name w:val="Opi_H_1"/>
    <w:basedOn w:val="ECHRHeading2"/>
    <w:uiPriority w:val="42"/>
    <w:qFormat/>
    <w:rsid w:val="00591B9B"/>
    <w:pPr>
      <w:ind w:left="635" w:hanging="357"/>
      <w:outlineLvl w:val="2"/>
    </w:pPr>
  </w:style>
  <w:style w:type="paragraph" w:customStyle="1" w:styleId="OpiHa">
    <w:name w:val="Opi_H_a"/>
    <w:basedOn w:val="ECHRHeading3"/>
    <w:uiPriority w:val="43"/>
    <w:qFormat/>
    <w:rsid w:val="00591B9B"/>
    <w:pPr>
      <w:ind w:left="833" w:hanging="357"/>
      <w:outlineLvl w:val="3"/>
    </w:pPr>
    <w:rPr>
      <w:b/>
      <w:i w:val="0"/>
      <w:sz w:val="20"/>
    </w:rPr>
  </w:style>
  <w:style w:type="paragraph" w:customStyle="1" w:styleId="OpiHA0">
    <w:name w:val="Opi_H_A"/>
    <w:basedOn w:val="ECHRHeading1"/>
    <w:next w:val="OpiPara"/>
    <w:uiPriority w:val="41"/>
    <w:qFormat/>
    <w:rsid w:val="00591B9B"/>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591B9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91B9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591B9B"/>
    <w:pPr>
      <w:ind w:left="567"/>
    </w:pPr>
  </w:style>
  <w:style w:type="paragraph" w:customStyle="1" w:styleId="ECHRTitle1">
    <w:name w:val="ECHR_Title_1"/>
    <w:aliases w:val="Ju_H_Head"/>
    <w:basedOn w:val="Normal"/>
    <w:next w:val="ECHRPara"/>
    <w:uiPriority w:val="18"/>
    <w:qFormat/>
    <w:rsid w:val="00591B9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591B9B"/>
    <w:pPr>
      <w:tabs>
        <w:tab w:val="center" w:pos="6407"/>
      </w:tabs>
      <w:spacing w:before="720"/>
      <w:jc w:val="right"/>
    </w:pPr>
  </w:style>
  <w:style w:type="paragraph" w:customStyle="1" w:styleId="JuSigned">
    <w:name w:val="Ju_Signed"/>
    <w:basedOn w:val="Normal"/>
    <w:next w:val="JuParaLast"/>
    <w:uiPriority w:val="32"/>
    <w:qFormat/>
    <w:rsid w:val="00591B9B"/>
    <w:pPr>
      <w:tabs>
        <w:tab w:val="center" w:pos="851"/>
        <w:tab w:val="center" w:pos="6407"/>
      </w:tabs>
      <w:spacing w:before="720"/>
      <w:jc w:val="left"/>
    </w:pPr>
  </w:style>
  <w:style w:type="paragraph" w:styleId="Title">
    <w:name w:val="Title"/>
    <w:basedOn w:val="Normal"/>
    <w:next w:val="Normal"/>
    <w:link w:val="TitleChar"/>
    <w:uiPriority w:val="99"/>
    <w:semiHidden/>
    <w:qFormat/>
    <w:rsid w:val="00591B9B"/>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91B9B"/>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591B9B"/>
    <w:pPr>
      <w:ind w:left="1037" w:hanging="357"/>
      <w:outlineLvl w:val="4"/>
    </w:pPr>
    <w:rPr>
      <w:b w:val="0"/>
      <w:i/>
    </w:rPr>
  </w:style>
  <w:style w:type="character" w:customStyle="1" w:styleId="JUNAMES">
    <w:name w:val="JU_NAMES"/>
    <w:uiPriority w:val="17"/>
    <w:qFormat/>
    <w:rsid w:val="00591B9B"/>
    <w:rPr>
      <w:caps w:val="0"/>
      <w:smallCaps/>
    </w:rPr>
  </w:style>
  <w:style w:type="character" w:customStyle="1" w:styleId="JuITMark">
    <w:name w:val="Ju_ITMark"/>
    <w:basedOn w:val="DefaultParagraphFont"/>
    <w:uiPriority w:val="38"/>
    <w:qFormat/>
    <w:rsid w:val="00591B9B"/>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591B9B"/>
  </w:style>
  <w:style w:type="paragraph" w:customStyle="1" w:styleId="JuCourt">
    <w:name w:val="Ju_Court"/>
    <w:basedOn w:val="Normal"/>
    <w:next w:val="Normal"/>
    <w:uiPriority w:val="16"/>
    <w:qFormat/>
    <w:rsid w:val="00591B9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591B9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91B9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591B9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591B9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91B9B"/>
    <w:rPr>
      <w:sz w:val="24"/>
      <w:lang w:val="en-GB"/>
    </w:rPr>
  </w:style>
  <w:style w:type="character" w:customStyle="1" w:styleId="Heading1Char">
    <w:name w:val="Heading 1 Char"/>
    <w:basedOn w:val="DefaultParagraphFont"/>
    <w:link w:val="Heading1"/>
    <w:uiPriority w:val="99"/>
    <w:semiHidden/>
    <w:rsid w:val="00591B9B"/>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591B9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91B9B"/>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591B9B"/>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591B9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91B9B"/>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591B9B"/>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591B9B"/>
    <w:pPr>
      <w:keepNext/>
      <w:keepLines/>
      <w:spacing w:before="240"/>
      <w:ind w:firstLine="284"/>
    </w:pPr>
  </w:style>
  <w:style w:type="paragraph" w:customStyle="1" w:styleId="ECHRDecisionBody">
    <w:name w:val="ECHR_Decision_Body"/>
    <w:aliases w:val="Ju_Judges"/>
    <w:basedOn w:val="Normal"/>
    <w:uiPriority w:val="11"/>
    <w:qFormat/>
    <w:rsid w:val="00591B9B"/>
    <w:pPr>
      <w:tabs>
        <w:tab w:val="left" w:pos="567"/>
        <w:tab w:val="left" w:pos="1134"/>
      </w:tabs>
      <w:jc w:val="left"/>
    </w:pPr>
  </w:style>
  <w:style w:type="character" w:customStyle="1" w:styleId="Heading4Char">
    <w:name w:val="Heading 4 Char"/>
    <w:basedOn w:val="DefaultParagraphFont"/>
    <w:link w:val="Heading4"/>
    <w:uiPriority w:val="99"/>
    <w:semiHidden/>
    <w:rsid w:val="00591B9B"/>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591B9B"/>
    <w:pPr>
      <w:ind w:left="340" w:hanging="340"/>
    </w:pPr>
  </w:style>
  <w:style w:type="character" w:customStyle="1" w:styleId="Heading5Char">
    <w:name w:val="Heading 5 Char"/>
    <w:basedOn w:val="DefaultParagraphFont"/>
    <w:link w:val="Heading5"/>
    <w:uiPriority w:val="99"/>
    <w:semiHidden/>
    <w:rsid w:val="00591B9B"/>
    <w:rPr>
      <w:rFonts w:asciiTheme="majorHAnsi" w:eastAsiaTheme="majorEastAsia" w:hAnsiTheme="majorHAnsi" w:cstheme="majorBidi"/>
      <w:b/>
      <w:bCs/>
      <w:color w:val="808080"/>
    </w:rPr>
  </w:style>
  <w:style w:type="paragraph" w:customStyle="1" w:styleId="JuLista">
    <w:name w:val="Ju_List_a"/>
    <w:basedOn w:val="JuList"/>
    <w:uiPriority w:val="28"/>
    <w:qFormat/>
    <w:rsid w:val="00591B9B"/>
    <w:pPr>
      <w:ind w:left="346" w:firstLine="0"/>
    </w:pPr>
  </w:style>
  <w:style w:type="paragraph" w:customStyle="1" w:styleId="JuListi">
    <w:name w:val="Ju_List_i"/>
    <w:basedOn w:val="Normal"/>
    <w:next w:val="JuLista"/>
    <w:uiPriority w:val="28"/>
    <w:qFormat/>
    <w:rsid w:val="00591B9B"/>
    <w:pPr>
      <w:ind w:left="794"/>
    </w:pPr>
  </w:style>
  <w:style w:type="character" w:styleId="SubtleEmphasis">
    <w:name w:val="Subtle Emphasis"/>
    <w:uiPriority w:val="99"/>
    <w:semiHidden/>
    <w:qFormat/>
    <w:rsid w:val="00591B9B"/>
    <w:rPr>
      <w:i/>
      <w:iCs/>
    </w:rPr>
  </w:style>
  <w:style w:type="paragraph" w:customStyle="1" w:styleId="OpiParaSub">
    <w:name w:val="Opi_Para_Sub"/>
    <w:basedOn w:val="JuParaSub"/>
    <w:uiPriority w:val="47"/>
    <w:qFormat/>
    <w:rsid w:val="00591B9B"/>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591B9B"/>
  </w:style>
  <w:style w:type="paragraph" w:customStyle="1" w:styleId="OpiQuotSub">
    <w:name w:val="Opi_Quot_Sub"/>
    <w:basedOn w:val="JuQuotSub"/>
    <w:uiPriority w:val="49"/>
    <w:qFormat/>
    <w:rsid w:val="00591B9B"/>
  </w:style>
  <w:style w:type="paragraph" w:customStyle="1" w:styleId="OpiTranslation">
    <w:name w:val="Opi_Translation"/>
    <w:basedOn w:val="Normal"/>
    <w:next w:val="OpiPara"/>
    <w:uiPriority w:val="40"/>
    <w:qFormat/>
    <w:rsid w:val="00591B9B"/>
    <w:pPr>
      <w:jc w:val="center"/>
      <w:outlineLvl w:val="0"/>
    </w:pPr>
    <w:rPr>
      <w:i/>
    </w:rPr>
  </w:style>
  <w:style w:type="character" w:styleId="Emphasis">
    <w:name w:val="Emphasis"/>
    <w:uiPriority w:val="99"/>
    <w:semiHidden/>
    <w:qFormat/>
    <w:rsid w:val="00591B9B"/>
    <w:rPr>
      <w:b/>
      <w:bCs/>
      <w:i/>
      <w:iCs/>
      <w:spacing w:val="10"/>
      <w:bdr w:val="none" w:sz="0" w:space="0" w:color="auto"/>
      <w:shd w:val="clear" w:color="auto" w:fill="auto"/>
    </w:rPr>
  </w:style>
  <w:style w:type="paragraph" w:styleId="Footer">
    <w:name w:val="footer"/>
    <w:basedOn w:val="Normal"/>
    <w:link w:val="FooterChar"/>
    <w:uiPriority w:val="57"/>
    <w:semiHidden/>
    <w:rsid w:val="00591B9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91B9B"/>
    <w:rPr>
      <w:sz w:val="24"/>
      <w:lang w:val="en-GB"/>
    </w:rPr>
  </w:style>
  <w:style w:type="character" w:styleId="FootnoteReference">
    <w:name w:val="footnote reference"/>
    <w:basedOn w:val="DefaultParagraphFont"/>
    <w:uiPriority w:val="99"/>
    <w:semiHidden/>
    <w:rsid w:val="00591B9B"/>
    <w:rPr>
      <w:vertAlign w:val="superscript"/>
    </w:rPr>
  </w:style>
  <w:style w:type="paragraph" w:styleId="FootnoteText">
    <w:name w:val="footnote text"/>
    <w:basedOn w:val="Normal"/>
    <w:link w:val="FootnoteTextChar"/>
    <w:uiPriority w:val="99"/>
    <w:semiHidden/>
    <w:rsid w:val="00591B9B"/>
    <w:rPr>
      <w:sz w:val="20"/>
      <w:szCs w:val="20"/>
    </w:rPr>
  </w:style>
  <w:style w:type="character" w:customStyle="1" w:styleId="FootnoteTextChar">
    <w:name w:val="Footnote Text Char"/>
    <w:basedOn w:val="DefaultParagraphFont"/>
    <w:link w:val="FootnoteText"/>
    <w:uiPriority w:val="99"/>
    <w:semiHidden/>
    <w:rsid w:val="00591B9B"/>
    <w:rPr>
      <w:rFonts w:eastAsiaTheme="minorEastAsia"/>
      <w:sz w:val="20"/>
      <w:szCs w:val="20"/>
      <w:lang w:val="en-GB"/>
    </w:rPr>
  </w:style>
  <w:style w:type="character" w:customStyle="1" w:styleId="Heading6Char">
    <w:name w:val="Heading 6 Char"/>
    <w:basedOn w:val="DefaultParagraphFont"/>
    <w:link w:val="Heading6"/>
    <w:uiPriority w:val="99"/>
    <w:semiHidden/>
    <w:rsid w:val="00591B9B"/>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91B9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91B9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91B9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91B9B"/>
    <w:rPr>
      <w:color w:val="0072BC" w:themeColor="hyperlink"/>
      <w:u w:val="single"/>
    </w:rPr>
  </w:style>
  <w:style w:type="character" w:styleId="IntenseEmphasis">
    <w:name w:val="Intense Emphasis"/>
    <w:uiPriority w:val="99"/>
    <w:semiHidden/>
    <w:qFormat/>
    <w:rsid w:val="00591B9B"/>
    <w:rPr>
      <w:b/>
      <w:bCs/>
    </w:rPr>
  </w:style>
  <w:style w:type="paragraph" w:styleId="IntenseQuote">
    <w:name w:val="Intense Quote"/>
    <w:basedOn w:val="Normal"/>
    <w:next w:val="Normal"/>
    <w:link w:val="IntenseQuoteChar"/>
    <w:uiPriority w:val="99"/>
    <w:semiHidden/>
    <w:qFormat/>
    <w:rsid w:val="00591B9B"/>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91B9B"/>
    <w:rPr>
      <w:rFonts w:eastAsiaTheme="minorEastAsia"/>
      <w:b/>
      <w:bCs/>
      <w:i/>
      <w:iCs/>
      <w:lang w:bidi="en-US"/>
    </w:rPr>
  </w:style>
  <w:style w:type="character" w:styleId="IntenseReference">
    <w:name w:val="Intense Reference"/>
    <w:uiPriority w:val="99"/>
    <w:semiHidden/>
    <w:qFormat/>
    <w:rsid w:val="00591B9B"/>
    <w:rPr>
      <w:smallCaps/>
      <w:spacing w:val="5"/>
      <w:u w:val="single"/>
    </w:rPr>
  </w:style>
  <w:style w:type="paragraph" w:styleId="ListParagraph">
    <w:name w:val="List Paragraph"/>
    <w:basedOn w:val="Normal"/>
    <w:uiPriority w:val="99"/>
    <w:semiHidden/>
    <w:qFormat/>
    <w:rsid w:val="00591B9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91B9B"/>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91B9B"/>
    <w:rPr>
      <w:rFonts w:eastAsiaTheme="minorEastAsia"/>
      <w:i/>
      <w:iCs/>
      <w:lang w:bidi="en-US"/>
    </w:rPr>
  </w:style>
  <w:style w:type="character" w:styleId="SubtleReference">
    <w:name w:val="Subtle Reference"/>
    <w:uiPriority w:val="99"/>
    <w:semiHidden/>
    <w:qFormat/>
    <w:rsid w:val="00591B9B"/>
    <w:rPr>
      <w:smallCaps/>
    </w:rPr>
  </w:style>
  <w:style w:type="table" w:styleId="TableGrid">
    <w:name w:val="Table Grid"/>
    <w:basedOn w:val="TableNormal"/>
    <w:uiPriority w:val="59"/>
    <w:semiHidden/>
    <w:rsid w:val="00591B9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91B9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91B9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91B9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91B9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91B9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91B9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91B9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91B9B"/>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91B9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591B9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91B9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591B9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591B9B"/>
    <w:rPr>
      <w:vertAlign w:val="superscript"/>
    </w:rPr>
  </w:style>
  <w:style w:type="paragraph" w:styleId="EndnoteText">
    <w:name w:val="endnote text"/>
    <w:basedOn w:val="Normal"/>
    <w:link w:val="EndnoteTextChar"/>
    <w:uiPriority w:val="99"/>
    <w:semiHidden/>
    <w:rsid w:val="00591B9B"/>
    <w:rPr>
      <w:sz w:val="20"/>
      <w:szCs w:val="20"/>
    </w:rPr>
  </w:style>
  <w:style w:type="character" w:customStyle="1" w:styleId="EndnoteTextChar">
    <w:name w:val="Endnote Text Char"/>
    <w:basedOn w:val="DefaultParagraphFont"/>
    <w:link w:val="EndnoteText"/>
    <w:uiPriority w:val="99"/>
    <w:semiHidden/>
    <w:rsid w:val="00591B9B"/>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591B9B"/>
  </w:style>
  <w:style w:type="character" w:customStyle="1" w:styleId="NoteHeadingChar">
    <w:name w:val="Note Heading Char"/>
    <w:basedOn w:val="DefaultParagraphFont"/>
    <w:link w:val="NoteHeading"/>
    <w:uiPriority w:val="99"/>
    <w:semiHidden/>
    <w:rsid w:val="00591B9B"/>
    <w:rPr>
      <w:rFonts w:eastAsiaTheme="minorEastAsia"/>
      <w:sz w:val="24"/>
      <w:lang w:val="en-GB"/>
    </w:rPr>
  </w:style>
  <w:style w:type="character" w:styleId="PlaceholderText">
    <w:name w:val="Placeholder Text"/>
    <w:basedOn w:val="DefaultParagraphFont"/>
    <w:uiPriority w:val="99"/>
    <w:semiHidden/>
    <w:rsid w:val="00591B9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91B9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91B9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591B9B"/>
  </w:style>
  <w:style w:type="paragraph" w:customStyle="1" w:styleId="DecList">
    <w:name w:val="Dec_List"/>
    <w:basedOn w:val="Normal"/>
    <w:uiPriority w:val="9"/>
    <w:semiHidden/>
    <w:qFormat/>
    <w:rsid w:val="00591B9B"/>
    <w:pPr>
      <w:spacing w:before="240"/>
      <w:ind w:left="284"/>
    </w:pPr>
  </w:style>
  <w:style w:type="paragraph" w:customStyle="1" w:styleId="ECHRFooter">
    <w:name w:val="ECHR_Footer"/>
    <w:aliases w:val="Footer_ECHR"/>
    <w:basedOn w:val="Footer"/>
    <w:uiPriority w:val="57"/>
    <w:semiHidden/>
    <w:rsid w:val="00591B9B"/>
    <w:pPr>
      <w:jc w:val="left"/>
    </w:pPr>
    <w:rPr>
      <w:sz w:val="8"/>
    </w:rPr>
  </w:style>
  <w:style w:type="paragraph" w:customStyle="1" w:styleId="ECHRFooterLine">
    <w:name w:val="ECHR_Footer_Line"/>
    <w:aliases w:val="Footer_Line"/>
    <w:basedOn w:val="Normal"/>
    <w:next w:val="ECHRFooter"/>
    <w:uiPriority w:val="57"/>
    <w:semiHidden/>
    <w:rsid w:val="00591B9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591B9B"/>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591B9B"/>
    <w:pPr>
      <w:numPr>
        <w:numId w:val="23"/>
      </w:numPr>
      <w:jc w:val="left"/>
    </w:pPr>
    <w:rPr>
      <w:b/>
    </w:rPr>
  </w:style>
  <w:style w:type="paragraph" w:customStyle="1" w:styleId="JuHeaderLandscape">
    <w:name w:val="Ju_Header_Landscape"/>
    <w:basedOn w:val="ECHRHeader"/>
    <w:uiPriority w:val="4"/>
    <w:qFormat/>
    <w:rsid w:val="00591B9B"/>
    <w:pPr>
      <w:tabs>
        <w:tab w:val="clear" w:pos="3686"/>
        <w:tab w:val="clear" w:pos="7371"/>
        <w:tab w:val="center" w:pos="6146"/>
        <w:tab w:val="right" w:pos="12293"/>
      </w:tabs>
    </w:pPr>
  </w:style>
  <w:style w:type="paragraph" w:customStyle="1" w:styleId="JuTitle">
    <w:name w:val="Ju_Title"/>
    <w:basedOn w:val="Normal"/>
    <w:next w:val="ECHRPara"/>
    <w:uiPriority w:val="3"/>
    <w:qFormat/>
    <w:rsid w:val="00591B9B"/>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367F3C"/>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0E412E-B131-415F-A6FE-9074599585CF}"/>
</file>

<file path=customXml/itemProps2.xml><?xml version="1.0" encoding="utf-8"?>
<ds:datastoreItem xmlns:ds="http://schemas.openxmlformats.org/officeDocument/2006/customXml" ds:itemID="{FB0EB8C4-FD00-4649-BF1B-7BD13A05F7B0}"/>
</file>

<file path=customXml/itemProps3.xml><?xml version="1.0" encoding="utf-8"?>
<ds:datastoreItem xmlns:ds="http://schemas.openxmlformats.org/officeDocument/2006/customXml" ds:itemID="{46429CFE-BD43-491D-9C0B-F70FD49D7064}"/>
</file>

<file path=customXml/itemProps4.xml><?xml version="1.0" encoding="utf-8"?>
<ds:datastoreItem xmlns:ds="http://schemas.openxmlformats.org/officeDocument/2006/customXml" ds:itemID="{01200027-F163-4E36-8944-607E4FB0868A}"/>
</file>

<file path=docProps/app.xml><?xml version="1.0" encoding="utf-8"?>
<Properties xmlns="http://schemas.openxmlformats.org/officeDocument/2006/extended-properties" xmlns:vt="http://schemas.openxmlformats.org/officeDocument/2006/docPropsVTypes">
  <Template>Normal.dotm</Template>
  <TotalTime>0</TotalTime>
  <Pages>1</Pages>
  <Words>1265</Words>
  <Characters>7215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8464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2019-08-31T11:01:00Z</dcterms:created>
  <dcterms:modified xsi:type="dcterms:W3CDTF">2019-08-31T11:01:00Z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32567/11</vt:lpwstr>
  </property>
  <property fmtid="{D5CDD505-2E9C-101B-9397-08002B2CF9AE}" pid="4" name="CASEID">
    <vt:lpwstr>722140</vt:lpwstr>
  </property>
  <property fmtid="{D5CDD505-2E9C-101B-9397-08002B2CF9AE}" pid="5" name="ContentTypeId">
    <vt:lpwstr>0x010100558EB02BDB9E204AB350EDD385B68E10</vt:lpwstr>
  </property>
</Properties>
</file>