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779A9" w:rsidR="002934D0" w:rsidP="002934D0" w:rsidRDefault="002934D0" w14:paraId="493C21B1" w14:textId="77777777">
      <w:pPr>
        <w:jc w:val="center"/>
        <w:rPr>
          <w:highlight w:val="yellow"/>
        </w:rPr>
      </w:pPr>
    </w:p>
    <w:p w:rsidRPr="006779A9" w:rsidR="0098410D" w:rsidP="0098410D" w:rsidRDefault="0098410D" w14:paraId="22E556FF" w14:textId="77777777">
      <w:pPr>
        <w:jc w:val="center"/>
        <w:rPr>
          <w:highlight w:val="yellow"/>
        </w:rPr>
      </w:pPr>
    </w:p>
    <w:p w:rsidRPr="006779A9" w:rsidR="0098410D" w:rsidP="00F60B85" w:rsidRDefault="00085C12" w14:paraId="53474A5B" w14:textId="77777777">
      <w:pPr>
        <w:pStyle w:val="DecHCase"/>
      </w:pPr>
      <w:r w:rsidRPr="006779A9">
        <w:t>THIRD SECTION</w:t>
      </w:r>
    </w:p>
    <w:p w:rsidRPr="006779A9" w:rsidR="008E6217" w:rsidP="00F60B85" w:rsidRDefault="008E6217" w14:paraId="70FC571A" w14:textId="77777777">
      <w:pPr>
        <w:pStyle w:val="JuTitle"/>
      </w:pPr>
      <w:bookmarkStart w:name="To" w:id="0"/>
      <w:r w:rsidRPr="006779A9">
        <w:rPr>
          <w:color w:val="000000" w:themeColor="text1"/>
        </w:rPr>
        <w:t xml:space="preserve">CASE OF </w:t>
      </w:r>
      <w:bookmarkEnd w:id="0"/>
      <w:r w:rsidRPr="006779A9" w:rsidR="00085C12">
        <w:t>HADDAD v. SPAIN</w:t>
      </w:r>
    </w:p>
    <w:p w:rsidRPr="006779A9" w:rsidR="00D74888" w:rsidP="004C6621" w:rsidRDefault="008E6217" w14:paraId="1BA67CAE" w14:textId="77777777">
      <w:pPr>
        <w:pStyle w:val="ECHRCoverTitle4"/>
      </w:pPr>
      <w:r w:rsidRPr="006779A9">
        <w:t>(</w:t>
      </w:r>
      <w:r w:rsidRPr="006779A9" w:rsidR="00085C12">
        <w:t>Application no.</w:t>
      </w:r>
      <w:r w:rsidRPr="006779A9">
        <w:t xml:space="preserve"> </w:t>
      </w:r>
      <w:r w:rsidRPr="006779A9" w:rsidR="00085C12">
        <w:t>16572/17</w:t>
      </w:r>
      <w:r w:rsidRPr="006779A9">
        <w:t>)</w:t>
      </w:r>
    </w:p>
    <w:p w:rsidRPr="006779A9" w:rsidR="0098410D" w:rsidP="00AC4CD4" w:rsidRDefault="0098410D" w14:paraId="5D09D8FB" w14:textId="77777777">
      <w:pPr>
        <w:pStyle w:val="DecHCase"/>
      </w:pPr>
    </w:p>
    <w:p w:rsidRPr="006779A9" w:rsidR="0098410D" w:rsidP="00AC4CD4" w:rsidRDefault="0098410D" w14:paraId="5DD5F0BF" w14:textId="77777777">
      <w:pPr>
        <w:pStyle w:val="DecHCase"/>
      </w:pPr>
    </w:p>
    <w:p w:rsidRPr="006779A9" w:rsidR="00AC4CD4" w:rsidP="00AC4CD4" w:rsidRDefault="00AC4CD4" w14:paraId="63E4CB61" w14:textId="77777777">
      <w:pPr>
        <w:pStyle w:val="DecHCase"/>
      </w:pPr>
    </w:p>
    <w:p w:rsidRPr="006779A9" w:rsidR="0098410D" w:rsidP="00AC4CD4" w:rsidRDefault="0098410D" w14:paraId="5B5B3615" w14:textId="77777777">
      <w:pPr>
        <w:pStyle w:val="DecHCase"/>
      </w:pPr>
    </w:p>
    <w:p w:rsidRPr="006779A9" w:rsidR="0098410D" w:rsidP="00AC4CD4" w:rsidRDefault="0098410D" w14:paraId="5536A868" w14:textId="77777777">
      <w:pPr>
        <w:pStyle w:val="DecHCase"/>
      </w:pPr>
      <w:r w:rsidRPr="006779A9">
        <w:t>JUDGMENT</w:t>
      </w:r>
      <w:r w:rsidRPr="006779A9" w:rsidR="00AC4CD4">
        <w:br/>
      </w:r>
    </w:p>
    <w:p w:rsidRPr="006779A9" w:rsidR="00DA25C2" w:rsidP="00DA25C2" w:rsidRDefault="00DA25C2" w14:paraId="2CE78363" w14:textId="77777777">
      <w:pPr>
        <w:pStyle w:val="JuPara"/>
      </w:pPr>
    </w:p>
    <w:p w:rsidRPr="006779A9" w:rsidR="0098410D" w:rsidP="00AC4CD4" w:rsidRDefault="0098410D" w14:paraId="48A82C21" w14:textId="77777777">
      <w:pPr>
        <w:pStyle w:val="DecHCase"/>
      </w:pPr>
      <w:r w:rsidRPr="006779A9">
        <w:t>STRASBOURG</w:t>
      </w:r>
    </w:p>
    <w:p w:rsidRPr="006779A9" w:rsidR="0098410D" w:rsidP="00AC4CD4" w:rsidRDefault="00085C12" w14:paraId="76B1CC8B" w14:textId="77777777">
      <w:pPr>
        <w:pStyle w:val="DecHCase"/>
        <w:rPr>
          <w:rFonts w:ascii="Times New Roman" w:hAnsi="Times New Roman" w:cs="Times New Roman"/>
        </w:rPr>
      </w:pPr>
      <w:r w:rsidRPr="006779A9">
        <w:rPr>
          <w:rFonts w:ascii="Times New Roman" w:hAnsi="Times New Roman" w:cs="Times New Roman"/>
        </w:rPr>
        <w:t>18 June 2019</w:t>
      </w:r>
    </w:p>
    <w:p w:rsidRPr="006779A9" w:rsidR="00335E45" w:rsidP="00335E45" w:rsidRDefault="00335E45" w14:paraId="1E00F98B" w14:textId="77777777">
      <w:pPr>
        <w:pStyle w:val="JuPara"/>
      </w:pPr>
    </w:p>
    <w:p w:rsidRPr="006779A9" w:rsidR="00335E45" w:rsidP="00335E45" w:rsidRDefault="00335E45" w14:paraId="26720584" w14:textId="77777777">
      <w:pPr>
        <w:pStyle w:val="JuPara"/>
      </w:pPr>
    </w:p>
    <w:p w:rsidRPr="006779A9" w:rsidR="00335E45" w:rsidP="00335E45" w:rsidRDefault="00335E45" w14:paraId="7F4A5F62" w14:textId="77777777">
      <w:pPr>
        <w:pStyle w:val="jucase0"/>
        <w:ind w:firstLine="0"/>
        <w:jc w:val="center"/>
        <w:rPr>
          <w:color w:val="FF0000"/>
          <w:sz w:val="28"/>
          <w:szCs w:val="28"/>
          <w:u w:val="single"/>
        </w:rPr>
      </w:pPr>
      <w:r w:rsidRPr="006779A9">
        <w:rPr>
          <w:color w:val="FF0000"/>
          <w:sz w:val="28"/>
          <w:szCs w:val="28"/>
          <w:u w:val="single"/>
        </w:rPr>
        <w:t>FINAL</w:t>
      </w:r>
    </w:p>
    <w:p w:rsidRPr="006779A9" w:rsidR="00335E45" w:rsidP="00335E45" w:rsidRDefault="00335E45" w14:paraId="633A28E9" w14:textId="77777777">
      <w:pPr>
        <w:pStyle w:val="jupara0"/>
        <w:tabs>
          <w:tab w:val="left" w:pos="3450"/>
        </w:tabs>
        <w:ind w:firstLine="0"/>
        <w:jc w:val="center"/>
        <w:rPr>
          <w:color w:val="FF0000"/>
          <w:sz w:val="28"/>
          <w:szCs w:val="28"/>
        </w:rPr>
      </w:pPr>
    </w:p>
    <w:p w:rsidRPr="006779A9" w:rsidR="00335E45" w:rsidP="00335E45" w:rsidRDefault="00335E45" w14:paraId="49406BA7" w14:textId="77777777">
      <w:pPr>
        <w:pStyle w:val="jupara0"/>
        <w:ind w:firstLine="0"/>
        <w:jc w:val="center"/>
        <w:rPr>
          <w:color w:val="FF0000"/>
          <w:sz w:val="28"/>
          <w:szCs w:val="28"/>
        </w:rPr>
      </w:pPr>
      <w:r w:rsidRPr="006779A9">
        <w:rPr>
          <w:color w:val="FF0000"/>
          <w:sz w:val="28"/>
          <w:szCs w:val="28"/>
        </w:rPr>
        <w:t>18/09/2019</w:t>
      </w:r>
    </w:p>
    <w:p w:rsidRPr="006779A9" w:rsidR="00335E45" w:rsidP="00335E45" w:rsidRDefault="00335E45" w14:paraId="476ECCEB" w14:textId="77777777">
      <w:pPr>
        <w:pStyle w:val="JuPara"/>
      </w:pPr>
    </w:p>
    <w:p w:rsidRPr="006779A9" w:rsidR="00AC4CD4" w:rsidP="00AC4CD4" w:rsidRDefault="00AC4CD4" w14:paraId="00B838C1" w14:textId="77777777">
      <w:pPr>
        <w:pStyle w:val="JuPara"/>
      </w:pPr>
    </w:p>
    <w:p w:rsidRPr="006779A9" w:rsidR="002422B6" w:rsidP="0098410D" w:rsidRDefault="0098410D" w14:paraId="3665EE60" w14:textId="77777777">
      <w:pPr>
        <w:rPr>
          <w:i/>
          <w:sz w:val="22"/>
        </w:rPr>
      </w:pPr>
      <w:r w:rsidRPr="006779A9">
        <w:rPr>
          <w:i/>
          <w:sz w:val="22"/>
        </w:rPr>
        <w:t xml:space="preserve">This judgment </w:t>
      </w:r>
      <w:r w:rsidRPr="006779A9" w:rsidR="00335E45">
        <w:rPr>
          <w:i/>
          <w:sz w:val="22"/>
        </w:rPr>
        <w:t>has</w:t>
      </w:r>
      <w:r w:rsidRPr="006779A9" w:rsidR="00085C12">
        <w:rPr>
          <w:i/>
          <w:sz w:val="22"/>
        </w:rPr>
        <w:t xml:space="preserve"> become final </w:t>
      </w:r>
      <w:r w:rsidRPr="006779A9" w:rsidR="00335E45">
        <w:rPr>
          <w:i/>
          <w:sz w:val="22"/>
        </w:rPr>
        <w:t>under</w:t>
      </w:r>
      <w:r w:rsidRPr="006779A9" w:rsidR="00085C12">
        <w:rPr>
          <w:i/>
          <w:sz w:val="22"/>
        </w:rPr>
        <w:t xml:space="preserve"> Article 44 § 2 of the Convention. It</w:t>
      </w:r>
      <w:r w:rsidRPr="006779A9">
        <w:rPr>
          <w:i/>
          <w:sz w:val="22"/>
        </w:rPr>
        <w:t xml:space="preserve"> may be subject to editorial revision.</w:t>
      </w:r>
    </w:p>
    <w:p w:rsidRPr="006779A9" w:rsidR="0098410D" w:rsidP="0098410D" w:rsidRDefault="0098410D" w14:paraId="7F769D6F" w14:textId="77777777">
      <w:pPr>
        <w:rPr>
          <w:highlight w:val="yellow"/>
        </w:rPr>
        <w:sectPr w:rsidRPr="006779A9"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779A9" w:rsidR="0098410D" w:rsidP="0098410D" w:rsidRDefault="0098410D" w14:paraId="04829859" w14:textId="77777777">
      <w:pPr>
        <w:pStyle w:val="JuCase"/>
      </w:pPr>
      <w:r w:rsidRPr="006779A9">
        <w:t xml:space="preserve">In the case of </w:t>
      </w:r>
      <w:r w:rsidRPr="006779A9" w:rsidR="00085C12">
        <w:t>Haddad v. Spain</w:t>
      </w:r>
      <w:r w:rsidRPr="006779A9">
        <w:t>,</w:t>
      </w:r>
    </w:p>
    <w:p w:rsidRPr="006779A9" w:rsidR="009F4C8F" w:rsidP="009F4C8F" w:rsidRDefault="009F4C8F" w14:paraId="211B4CE6" w14:textId="77777777">
      <w:pPr>
        <w:pStyle w:val="JuPara"/>
      </w:pPr>
      <w:r w:rsidRPr="006779A9">
        <w:t>The European Court of Human Rights (</w:t>
      </w:r>
      <w:r w:rsidRPr="006779A9" w:rsidR="00085C12">
        <w:t>Third Section</w:t>
      </w:r>
      <w:r w:rsidRPr="006779A9">
        <w:t xml:space="preserve">), sitting as a </w:t>
      </w:r>
      <w:r w:rsidRPr="006779A9" w:rsidR="00085C12">
        <w:t>Chamber</w:t>
      </w:r>
      <w:r w:rsidRPr="006779A9">
        <w:t xml:space="preserve"> composed of:</w:t>
      </w:r>
    </w:p>
    <w:p w:rsidRPr="006779A9" w:rsidR="009F4C8F" w:rsidP="009F4C8F" w:rsidRDefault="004A6EA7" w14:paraId="2F61E0BB" w14:textId="77777777">
      <w:pPr>
        <w:pStyle w:val="JuJudges"/>
      </w:pPr>
      <w:r w:rsidRPr="006779A9">
        <w:tab/>
        <w:t>Vincent A. De Gaetano,</w:t>
      </w:r>
      <w:r w:rsidRPr="006779A9">
        <w:rPr>
          <w:i/>
        </w:rPr>
        <w:t xml:space="preserve"> President,</w:t>
      </w:r>
      <w:r w:rsidRPr="006779A9">
        <w:rPr>
          <w:i/>
        </w:rPr>
        <w:br/>
      </w:r>
      <w:r w:rsidRPr="006779A9">
        <w:tab/>
        <w:t>Georgios A. Serghides,</w:t>
      </w:r>
      <w:r w:rsidRPr="006779A9">
        <w:rPr>
          <w:i/>
        </w:rPr>
        <w:br/>
      </w:r>
      <w:r w:rsidRPr="006779A9">
        <w:tab/>
        <w:t>Paulo Pinto de Albuquerque,</w:t>
      </w:r>
      <w:r w:rsidRPr="006779A9">
        <w:rPr>
          <w:i/>
        </w:rPr>
        <w:br/>
      </w:r>
      <w:r w:rsidRPr="006779A9">
        <w:tab/>
        <w:t>Alena Poláčková,</w:t>
      </w:r>
      <w:r w:rsidRPr="006779A9">
        <w:rPr>
          <w:i/>
        </w:rPr>
        <w:br/>
      </w:r>
      <w:r w:rsidRPr="006779A9">
        <w:tab/>
        <w:t>María Elósegui,</w:t>
      </w:r>
      <w:r w:rsidRPr="006779A9">
        <w:rPr>
          <w:i/>
        </w:rPr>
        <w:br/>
      </w:r>
      <w:r w:rsidRPr="006779A9">
        <w:tab/>
        <w:t>Gilberto Felici,</w:t>
      </w:r>
      <w:r w:rsidRPr="006779A9">
        <w:rPr>
          <w:i/>
        </w:rPr>
        <w:br/>
      </w:r>
      <w:r w:rsidRPr="006779A9">
        <w:tab/>
        <w:t>Erik Wennerström,</w:t>
      </w:r>
      <w:r w:rsidRPr="006779A9">
        <w:rPr>
          <w:i/>
        </w:rPr>
        <w:t xml:space="preserve"> judges,</w:t>
      </w:r>
      <w:r w:rsidRPr="006779A9" w:rsidR="009F4C8F">
        <w:br/>
        <w:t xml:space="preserve">and </w:t>
      </w:r>
      <w:r w:rsidRPr="006779A9" w:rsidR="006F65A2">
        <w:t>Stephen Phillips</w:t>
      </w:r>
      <w:r w:rsidRPr="006779A9" w:rsidR="009F4C8F">
        <w:t xml:space="preserve">, </w:t>
      </w:r>
      <w:r w:rsidRPr="006779A9" w:rsidR="00085C12">
        <w:rPr>
          <w:i/>
        </w:rPr>
        <w:t xml:space="preserve">Section </w:t>
      </w:r>
      <w:r w:rsidRPr="006779A9" w:rsidR="00085C12">
        <w:rPr>
          <w:i/>
          <w:iCs/>
        </w:rPr>
        <w:t>Registrar</w:t>
      </w:r>
      <w:r w:rsidRPr="006779A9" w:rsidR="009F4C8F">
        <w:rPr>
          <w:i/>
        </w:rPr>
        <w:t>,</w:t>
      </w:r>
    </w:p>
    <w:p w:rsidRPr="006779A9" w:rsidR="009F4C8F" w:rsidP="009F4C8F" w:rsidRDefault="009F4C8F" w14:paraId="58F74338" w14:textId="77777777">
      <w:pPr>
        <w:pStyle w:val="JuPara"/>
      </w:pPr>
      <w:bookmarkStart w:name="ITMARKHavingStart" w:id="1"/>
      <w:bookmarkEnd w:id="1"/>
      <w:r w:rsidRPr="006779A9">
        <w:t xml:space="preserve">Having deliberated in private on </w:t>
      </w:r>
      <w:r w:rsidRPr="006779A9" w:rsidR="004A6EA7">
        <w:t>28 May</w:t>
      </w:r>
      <w:r w:rsidRPr="006779A9" w:rsidR="00085C12">
        <w:t xml:space="preserve"> 2019</w:t>
      </w:r>
      <w:r w:rsidRPr="006779A9">
        <w:t>,</w:t>
      </w:r>
    </w:p>
    <w:p w:rsidRPr="006779A9" w:rsidR="009F4C8F" w:rsidP="009F4C8F" w:rsidRDefault="009F4C8F" w14:paraId="20DA9AA8" w14:textId="77777777">
      <w:pPr>
        <w:pStyle w:val="JuPara"/>
      </w:pPr>
      <w:r w:rsidRPr="006779A9">
        <w:t>Delivers the following judgment, which was adopted on that date:</w:t>
      </w:r>
    </w:p>
    <w:p w:rsidRPr="006779A9" w:rsidR="00085C12" w:rsidP="00085C12" w:rsidRDefault="00085C12" w14:paraId="7D6BD44D" w14:textId="77777777">
      <w:pPr>
        <w:pStyle w:val="JuHHead"/>
        <w:numPr>
          <w:ilvl w:val="0"/>
          <w:numId w:val="22"/>
        </w:numPr>
        <w:jc w:val="left"/>
      </w:pPr>
      <w:r w:rsidRPr="006779A9">
        <w:t>PROCEDURE</w:t>
      </w:r>
    </w:p>
    <w:p w:rsidRPr="006779A9" w:rsidR="004A6EA7" w:rsidP="00085C12" w:rsidRDefault="00085C12" w14:paraId="2CBC93CC" w14:textId="77777777">
      <w:pPr>
        <w:pStyle w:val="JuPara"/>
      </w:pPr>
      <w:r w:rsidRPr="006779A9">
        <w:fldChar w:fldCharType="begin"/>
      </w:r>
      <w:r w:rsidRPr="006779A9">
        <w:instrText xml:space="preserve"> SEQ level0 \*arabic </w:instrText>
      </w:r>
      <w:r w:rsidRPr="006779A9">
        <w:fldChar w:fldCharType="separate"/>
      </w:r>
      <w:r w:rsidR="00830BEA">
        <w:rPr>
          <w:noProof/>
        </w:rPr>
        <w:t>1</w:t>
      </w:r>
      <w:r w:rsidRPr="006779A9">
        <w:fldChar w:fldCharType="end"/>
      </w:r>
      <w:r w:rsidRPr="006779A9">
        <w:t xml:space="preserve">.  The case originated in an application (no. 16572/17) against the Kingdom of Spain lodged with the Court under Article 34 of the Convention for the Protection of Human Rights and Fundamental Freedoms (“the Convention”) by a Syrian national, Mr Wael Haddad (“the applicant”), on 22 February 2017. </w:t>
      </w:r>
    </w:p>
    <w:p w:rsidRPr="006779A9" w:rsidR="004A6EA7" w:rsidP="004A6EA7" w:rsidRDefault="00085C12" w14:paraId="597EBC78" w14:textId="77777777">
      <w:pPr>
        <w:pStyle w:val="JuPara"/>
      </w:pPr>
      <w:r w:rsidRPr="006779A9">
        <w:fldChar w:fldCharType="begin"/>
      </w:r>
      <w:r w:rsidRPr="006779A9">
        <w:instrText xml:space="preserve"> SEQ level0 \*arabic </w:instrText>
      </w:r>
      <w:r w:rsidRPr="006779A9">
        <w:fldChar w:fldCharType="separate"/>
      </w:r>
      <w:r w:rsidR="00830BEA">
        <w:rPr>
          <w:noProof/>
        </w:rPr>
        <w:t>2</w:t>
      </w:r>
      <w:r w:rsidRPr="006779A9">
        <w:fldChar w:fldCharType="end"/>
      </w:r>
      <w:r w:rsidRPr="006779A9">
        <w:t>.  The applicant was represented by Mr L.M. Chamorro Coronado</w:t>
      </w:r>
      <w:r w:rsidRPr="006779A9" w:rsidR="004A6EA7">
        <w:t>,</w:t>
      </w:r>
      <w:r w:rsidRPr="006779A9">
        <w:t xml:space="preserve"> a lawyer practising in Madrid. The Spanish Government (“the Government”) were represented by their Agent, </w:t>
      </w:r>
      <w:r w:rsidRPr="006779A9" w:rsidR="004A6EA7">
        <w:t xml:space="preserve">Mr A. Brezmes Martínez de Villareal, Government legal adviser </w:t>
      </w:r>
      <w:r w:rsidRPr="006779A9" w:rsidR="00DA25C2">
        <w:t>at</w:t>
      </w:r>
      <w:r w:rsidRPr="006779A9" w:rsidR="004A6EA7">
        <w:t xml:space="preserve"> the Legal Department of Human Rights, Ministry of Justice.</w:t>
      </w:r>
    </w:p>
    <w:p w:rsidRPr="006779A9" w:rsidR="004A6EA7" w:rsidP="004A6EA7" w:rsidRDefault="004A6EA7" w14:paraId="6E112CBF" w14:textId="77777777">
      <w:pPr>
        <w:pStyle w:val="JuPara"/>
      </w:pPr>
      <w:r w:rsidRPr="006779A9">
        <w:fldChar w:fldCharType="begin"/>
      </w:r>
      <w:r w:rsidRPr="006779A9">
        <w:instrText xml:space="preserve"> SEQ level0 \*arabic </w:instrText>
      </w:r>
      <w:r w:rsidRPr="006779A9">
        <w:fldChar w:fldCharType="separate"/>
      </w:r>
      <w:r w:rsidR="00830BEA">
        <w:rPr>
          <w:noProof/>
        </w:rPr>
        <w:t>3</w:t>
      </w:r>
      <w:r w:rsidRPr="006779A9">
        <w:fldChar w:fldCharType="end"/>
      </w:r>
      <w:r w:rsidRPr="006779A9">
        <w:t xml:space="preserve">.  The present case concerns the placement of the applicant’s </w:t>
      </w:r>
      <w:r w:rsidRPr="006779A9" w:rsidR="0070558C">
        <w:t>daughter</w:t>
      </w:r>
      <w:r w:rsidRPr="006779A9">
        <w:t xml:space="preserve"> </w:t>
      </w:r>
      <w:r w:rsidRPr="006779A9" w:rsidR="00A37435">
        <w:t>in foster care</w:t>
      </w:r>
      <w:r w:rsidRPr="006779A9">
        <w:t>. It raises an issue under Article 8 of the Convention.</w:t>
      </w:r>
    </w:p>
    <w:p w:rsidRPr="006779A9" w:rsidR="004A6EA7" w:rsidP="004A6EA7" w:rsidRDefault="004A6EA7" w14:paraId="23EE7D78" w14:textId="77777777">
      <w:pPr>
        <w:pStyle w:val="JuPara"/>
        <w:rPr>
          <w:lang w:eastAsia="en-GB"/>
        </w:rPr>
      </w:pPr>
      <w:r w:rsidRPr="006779A9">
        <w:fldChar w:fldCharType="begin"/>
      </w:r>
      <w:r w:rsidRPr="006779A9">
        <w:instrText xml:space="preserve"> SEQ level0 \*arabic </w:instrText>
      </w:r>
      <w:r w:rsidRPr="006779A9">
        <w:fldChar w:fldCharType="separate"/>
      </w:r>
      <w:r w:rsidR="00830BEA">
        <w:rPr>
          <w:noProof/>
        </w:rPr>
        <w:t>4</w:t>
      </w:r>
      <w:r w:rsidRPr="006779A9">
        <w:fldChar w:fldCharType="end"/>
      </w:r>
      <w:r w:rsidRPr="006779A9">
        <w:t>.  On 31 August 2017 the Government were given notice of the application.</w:t>
      </w:r>
    </w:p>
    <w:p w:rsidRPr="006779A9" w:rsidR="00085C12" w:rsidP="004A6EA7" w:rsidRDefault="00085C12" w14:paraId="0F503598" w14:textId="77777777">
      <w:pPr>
        <w:pStyle w:val="JuPara"/>
      </w:pPr>
    </w:p>
    <w:p w:rsidRPr="006779A9" w:rsidR="00085C12" w:rsidP="00085C12" w:rsidRDefault="00085C12" w14:paraId="1324C942" w14:textId="77777777">
      <w:pPr>
        <w:pStyle w:val="JuHHead"/>
        <w:numPr>
          <w:ilvl w:val="0"/>
          <w:numId w:val="22"/>
        </w:numPr>
        <w:jc w:val="left"/>
      </w:pPr>
      <w:r w:rsidRPr="006779A9">
        <w:t>THE FACTS</w:t>
      </w:r>
    </w:p>
    <w:p w:rsidRPr="006779A9" w:rsidR="00085C12" w:rsidP="005E7BAD" w:rsidRDefault="00085C12" w14:paraId="0549B5EF" w14:textId="77777777">
      <w:pPr>
        <w:pStyle w:val="JuHIRoman"/>
      </w:pPr>
      <w:r w:rsidRPr="006779A9">
        <w:t>THE CIRCUMSTANCES OF THE CASE</w:t>
      </w:r>
    </w:p>
    <w:p w:rsidRPr="006779A9" w:rsidR="00085C12" w:rsidP="00085C12" w:rsidRDefault="004A6EA7" w14:paraId="77D533D7" w14:textId="77777777">
      <w:pPr>
        <w:pStyle w:val="JuPara"/>
      </w:pPr>
      <w:r w:rsidRPr="006779A9">
        <w:fldChar w:fldCharType="begin"/>
      </w:r>
      <w:r w:rsidRPr="006779A9">
        <w:instrText xml:space="preserve"> SEQ level0 \*arabic </w:instrText>
      </w:r>
      <w:r w:rsidRPr="006779A9">
        <w:fldChar w:fldCharType="separate"/>
      </w:r>
      <w:r w:rsidR="00830BEA">
        <w:rPr>
          <w:noProof/>
        </w:rPr>
        <w:t>5</w:t>
      </w:r>
      <w:r w:rsidRPr="006779A9">
        <w:fldChar w:fldCharType="end"/>
      </w:r>
      <w:r w:rsidRPr="006779A9">
        <w:t>.  </w:t>
      </w:r>
      <w:r w:rsidRPr="006779A9" w:rsidR="00085C12">
        <w:t>The applicant was born in 1976 and lives in Madrid.</w:t>
      </w:r>
    </w:p>
    <w:p w:rsidRPr="006779A9" w:rsidR="00085C12" w:rsidP="00085C12" w:rsidRDefault="004A6EA7" w14:paraId="4932AAC7" w14:textId="77777777">
      <w:pPr>
        <w:pStyle w:val="JuHA"/>
        <w:numPr>
          <w:ilvl w:val="2"/>
          <w:numId w:val="22"/>
        </w:numPr>
        <w:jc w:val="left"/>
      </w:pPr>
      <w:r w:rsidRPr="006779A9">
        <w:t>The background to the case and the criminal proceedings against the applicant</w:t>
      </w:r>
    </w:p>
    <w:p w:rsidRPr="006779A9" w:rsidR="00A37435" w:rsidP="004A6EA7" w:rsidRDefault="004A6EA7" w14:paraId="37CE6EE2" w14:textId="77777777">
      <w:pPr>
        <w:pStyle w:val="JuPara"/>
      </w:pPr>
      <w:r w:rsidRPr="006779A9">
        <w:fldChar w:fldCharType="begin"/>
      </w:r>
      <w:r w:rsidRPr="006779A9">
        <w:instrText xml:space="preserve"> SEQ level0 \*arabic </w:instrText>
      </w:r>
      <w:r w:rsidRPr="006779A9">
        <w:fldChar w:fldCharType="separate"/>
      </w:r>
      <w:r w:rsidR="00830BEA">
        <w:rPr>
          <w:noProof/>
        </w:rPr>
        <w:t>6</w:t>
      </w:r>
      <w:r w:rsidRPr="006779A9">
        <w:fldChar w:fldCharType="end"/>
      </w:r>
      <w:r w:rsidRPr="006779A9">
        <w:t>.  </w:t>
      </w:r>
      <w:r w:rsidRPr="006779A9" w:rsidR="00A37435">
        <w:t xml:space="preserve">In January 2012 the applicant and his wife, a Spanish national, left Syria with their three minor children because of the </w:t>
      </w:r>
      <w:r w:rsidRPr="006779A9" w:rsidR="0070558C">
        <w:t>armed conflict</w:t>
      </w:r>
      <w:r w:rsidRPr="006779A9" w:rsidR="00A37435">
        <w:t xml:space="preserve"> and travelled to Spain.</w:t>
      </w:r>
    </w:p>
    <w:p w:rsidRPr="006779A9" w:rsidR="00A37435" w:rsidP="004A6EA7" w:rsidRDefault="004A6EA7" w14:paraId="05809EBC" w14:textId="77777777">
      <w:pPr>
        <w:pStyle w:val="JuPara"/>
      </w:pPr>
      <w:r w:rsidRPr="006779A9">
        <w:fldChar w:fldCharType="begin"/>
      </w:r>
      <w:r w:rsidRPr="006779A9">
        <w:instrText xml:space="preserve"> SEQ level0 \*arabic </w:instrText>
      </w:r>
      <w:r w:rsidRPr="006779A9">
        <w:fldChar w:fldCharType="separate"/>
      </w:r>
      <w:r w:rsidR="00830BEA">
        <w:rPr>
          <w:noProof/>
        </w:rPr>
        <w:t>7</w:t>
      </w:r>
      <w:r w:rsidRPr="006779A9">
        <w:fldChar w:fldCharType="end"/>
      </w:r>
      <w:r w:rsidRPr="006779A9">
        <w:t>.  </w:t>
      </w:r>
      <w:r w:rsidRPr="006779A9" w:rsidR="00A37435">
        <w:t xml:space="preserve">One month after their arrival in Spain the applicant’s wife lodged a criminal complaint against him for domestic violence. On 2 February 2012 the Coslada (Madrid) judge no. 1 </w:t>
      </w:r>
      <w:r w:rsidRPr="006779A9" w:rsidR="00047845">
        <w:t xml:space="preserve">hearing cases of violence against women (“the Coslada judge no. 1”) issued the applicant’s wife with a temporary protection order valid for the duration of the criminal proceedings. It included a criminal-law measure </w:t>
      </w:r>
      <w:r w:rsidRPr="006779A9" w:rsidR="00931726">
        <w:t>barring the</w:t>
      </w:r>
      <w:r w:rsidRPr="006779A9" w:rsidR="00047845">
        <w:t xml:space="preserve"> husband from approaching her and their three children or communicating with them and requiring him to wear </w:t>
      </w:r>
      <w:r w:rsidRPr="006779A9" w:rsidR="00931726">
        <w:t xml:space="preserve">a tracking bracelet, and a civil-law measure temporarily withdrawing the applicant’s parental responsibility and </w:t>
      </w:r>
      <w:r w:rsidRPr="006779A9" w:rsidR="00CB377E">
        <w:t>contact</w:t>
      </w:r>
      <w:r w:rsidRPr="006779A9" w:rsidR="00931726">
        <w:t xml:space="preserve"> rights. The applicant’s wife, who had been staying in an emergency shelter, twice left the shelter with her children and returned to live with her husband despite the </w:t>
      </w:r>
      <w:r w:rsidRPr="006779A9" w:rsidR="004E0B89">
        <w:t>barring</w:t>
      </w:r>
      <w:r w:rsidRPr="006779A9" w:rsidR="00931726">
        <w:t xml:space="preserve"> order issued against him. The applicant was arrested and detained on two occasions </w:t>
      </w:r>
      <w:r w:rsidRPr="006779A9" w:rsidR="001B4BE6">
        <w:t xml:space="preserve">for </w:t>
      </w:r>
      <w:r w:rsidRPr="006779A9" w:rsidR="00406AF8">
        <w:t>violating</w:t>
      </w:r>
      <w:r w:rsidRPr="006779A9" w:rsidR="001B4BE6">
        <w:t xml:space="preserve"> the </w:t>
      </w:r>
      <w:r w:rsidRPr="006779A9" w:rsidR="004E0B89">
        <w:t>barring</w:t>
      </w:r>
      <w:r w:rsidRPr="006779A9" w:rsidR="001B4BE6">
        <w:t xml:space="preserve"> order but was ultimately released. According to reports drawn up on 20 April and 21 May 2012 by the Móstoles and Alcal</w:t>
      </w:r>
      <w:r w:rsidRPr="006779A9" w:rsidR="002300A1">
        <w:t>á</w:t>
      </w:r>
      <w:r w:rsidRPr="006779A9" w:rsidR="001B4BE6">
        <w:t xml:space="preserve"> de Henares emergency shelters, the children</w:t>
      </w:r>
      <w:r w:rsidRPr="006779A9" w:rsidR="00DA25C2">
        <w:t>’s</w:t>
      </w:r>
      <w:r w:rsidRPr="006779A9" w:rsidR="001B4BE6">
        <w:t xml:space="preserve"> </w:t>
      </w:r>
      <w:r w:rsidRPr="006779A9" w:rsidR="00DA25C2">
        <w:t xml:space="preserve">relationship with their mother was characterised by </w:t>
      </w:r>
      <w:r w:rsidRPr="006779A9" w:rsidR="00C45E33">
        <w:t xml:space="preserve">serious emotional, educational and behavioural </w:t>
      </w:r>
      <w:r w:rsidRPr="006779A9" w:rsidR="00DA25C2">
        <w:t>deprivation</w:t>
      </w:r>
      <w:r w:rsidRPr="006779A9" w:rsidR="00C45E33">
        <w:t xml:space="preserve">. On 8 June 2012 the applicant’s wife filed a fresh complaint </w:t>
      </w:r>
      <w:r w:rsidRPr="006779A9" w:rsidR="00592083">
        <w:t>of</w:t>
      </w:r>
      <w:r w:rsidRPr="006779A9" w:rsidR="00C45E33">
        <w:t xml:space="preserve"> violence.</w:t>
      </w:r>
    </w:p>
    <w:p w:rsidRPr="006779A9" w:rsidR="00C45E33" w:rsidP="00085C12" w:rsidRDefault="00C45E33" w14:paraId="3256427A" w14:textId="77777777">
      <w:pPr>
        <w:pStyle w:val="JuHA"/>
        <w:numPr>
          <w:ilvl w:val="2"/>
          <w:numId w:val="22"/>
        </w:numPr>
        <w:jc w:val="left"/>
      </w:pPr>
      <w:r w:rsidRPr="006779A9">
        <w:t>The declaration of abandonment in respect of the children and the proceedings for the applicant’s daughter’s placement in foster care with a view to</w:t>
      </w:r>
      <w:r w:rsidRPr="006779A9" w:rsidR="00DA25C2">
        <w:t xml:space="preserve"> her</w:t>
      </w:r>
      <w:r w:rsidRPr="006779A9">
        <w:t xml:space="preserve"> adoption</w:t>
      </w:r>
    </w:p>
    <w:p w:rsidRPr="006779A9" w:rsidR="008C70F1" w:rsidP="004A6EA7" w:rsidRDefault="00085C12" w14:paraId="3241144B" w14:textId="77777777">
      <w:pPr>
        <w:pStyle w:val="JuPara"/>
      </w:pPr>
      <w:r w:rsidRPr="006779A9">
        <w:fldChar w:fldCharType="begin"/>
      </w:r>
      <w:r w:rsidRPr="006779A9">
        <w:instrText xml:space="preserve"> SEQ level0 \*arabic </w:instrText>
      </w:r>
      <w:r w:rsidRPr="006779A9">
        <w:fldChar w:fldCharType="separate"/>
      </w:r>
      <w:r w:rsidR="00830BEA">
        <w:rPr>
          <w:noProof/>
        </w:rPr>
        <w:t>8</w:t>
      </w:r>
      <w:r w:rsidRPr="006779A9">
        <w:fldChar w:fldCharType="end"/>
      </w:r>
      <w:r w:rsidRPr="006779A9">
        <w:t>.  </w:t>
      </w:r>
      <w:r w:rsidRPr="006779A9" w:rsidR="008C70F1">
        <w:t xml:space="preserve">On 15 June 2012 the Madrid regional government </w:t>
      </w:r>
      <w:r w:rsidRPr="006779A9" w:rsidR="00B36708">
        <w:t>issued a legal declaration of abandonment concerning</w:t>
      </w:r>
      <w:r w:rsidRPr="006779A9" w:rsidR="008C70F1">
        <w:t xml:space="preserve"> the three children, aged nine, six and one and a half, and took over their guardianship under the urgent procedure. The children were placed in </w:t>
      </w:r>
      <w:r w:rsidRPr="006779A9" w:rsidR="002746F1">
        <w:t>residential care</w:t>
      </w:r>
      <w:r w:rsidRPr="006779A9" w:rsidR="008C70F1">
        <w:t xml:space="preserve">. The decision was taken following a request from the applicant’s wife, who said that she could no longer look after her children </w:t>
      </w:r>
      <w:r w:rsidRPr="006779A9" w:rsidR="004111F5">
        <w:t>owing to</w:t>
      </w:r>
      <w:r w:rsidRPr="006779A9" w:rsidR="008C70F1">
        <w:t xml:space="preserve"> serious conflict within the family and her </w:t>
      </w:r>
      <w:r w:rsidRPr="006779A9" w:rsidR="00FB60F2">
        <w:t xml:space="preserve">lack of resources. The applicant’s wife informed the Madrid regional government that she intended to move to Murcia to get away from the applicant and to live with her brother. She requested that the three children be taken into care by the regional government </w:t>
      </w:r>
      <w:r w:rsidRPr="006779A9" w:rsidR="004111F5">
        <w:t>in Murcia</w:t>
      </w:r>
      <w:r w:rsidRPr="006779A9" w:rsidR="00FB60F2">
        <w:t>. She also stated her intention to begin therapy.</w:t>
      </w:r>
    </w:p>
    <w:p w:rsidRPr="006779A9" w:rsidR="00FB60F2" w:rsidP="004A6EA7" w:rsidRDefault="004A6EA7" w14:paraId="05B45026" w14:textId="77777777">
      <w:pPr>
        <w:pStyle w:val="JuPara"/>
      </w:pPr>
      <w:r w:rsidRPr="006779A9">
        <w:fldChar w:fldCharType="begin"/>
      </w:r>
      <w:r w:rsidRPr="006779A9">
        <w:instrText xml:space="preserve"> SEQ level0 \*arabic </w:instrText>
      </w:r>
      <w:r w:rsidRPr="006779A9">
        <w:fldChar w:fldCharType="separate"/>
      </w:r>
      <w:r w:rsidR="00830BEA">
        <w:rPr>
          <w:noProof/>
        </w:rPr>
        <w:t>9</w:t>
      </w:r>
      <w:r w:rsidRPr="006779A9">
        <w:fldChar w:fldCharType="end"/>
      </w:r>
      <w:r w:rsidRPr="006779A9">
        <w:t>.  </w:t>
      </w:r>
      <w:r w:rsidRPr="006779A9" w:rsidR="00FB60F2">
        <w:t xml:space="preserve">On 28 June 2012 the children were placed in residential </w:t>
      </w:r>
      <w:r w:rsidRPr="006779A9" w:rsidR="00C772D3">
        <w:t>care</w:t>
      </w:r>
      <w:r w:rsidRPr="006779A9" w:rsidR="00FB60F2">
        <w:t xml:space="preserve"> in Murcia.</w:t>
      </w:r>
      <w:r w:rsidRPr="006779A9" w:rsidR="00944701">
        <w:t xml:space="preserve"> The applicant was not informed that his children had been declared abandoned and </w:t>
      </w:r>
      <w:r w:rsidRPr="006779A9" w:rsidR="00C772D3">
        <w:t>taken into care</w:t>
      </w:r>
      <w:r w:rsidRPr="006779A9" w:rsidR="007805D4">
        <w:t xml:space="preserve">, nor was he informed of any of the decisions concerning his children </w:t>
      </w:r>
      <w:r w:rsidRPr="006779A9" w:rsidR="00B36708">
        <w:t xml:space="preserve">taken </w:t>
      </w:r>
      <w:r w:rsidRPr="006779A9" w:rsidR="007805D4">
        <w:t>by the Madrid or Murcia child protection services.</w:t>
      </w:r>
    </w:p>
    <w:p w:rsidRPr="006779A9" w:rsidR="007805D4" w:rsidP="004A6EA7" w:rsidRDefault="004A6EA7" w14:paraId="71737F8B" w14:textId="77777777">
      <w:pPr>
        <w:pStyle w:val="JuPara"/>
      </w:pPr>
      <w:r w:rsidRPr="006779A9">
        <w:fldChar w:fldCharType="begin"/>
      </w:r>
      <w:r w:rsidRPr="006779A9">
        <w:instrText xml:space="preserve"> SEQ level0 \*arabic </w:instrText>
      </w:r>
      <w:r w:rsidRPr="006779A9">
        <w:fldChar w:fldCharType="separate"/>
      </w:r>
      <w:r w:rsidR="00830BEA">
        <w:rPr>
          <w:noProof/>
        </w:rPr>
        <w:t>10</w:t>
      </w:r>
      <w:r w:rsidRPr="006779A9">
        <w:fldChar w:fldCharType="end"/>
      </w:r>
      <w:r w:rsidRPr="006779A9">
        <w:t>.  </w:t>
      </w:r>
      <w:r w:rsidRPr="006779A9" w:rsidR="007805D4">
        <w:t xml:space="preserve">On 28 July 2012 the social affairs director of the Murcia region took over the guardianship of the three children. The applicant’s two sons were placed in the </w:t>
      </w:r>
      <w:r w:rsidRPr="00816E2C" w:rsidR="007805D4">
        <w:rPr>
          <w:iCs/>
        </w:rPr>
        <w:t>Santo Angel</w:t>
      </w:r>
      <w:r w:rsidRPr="006779A9" w:rsidR="007805D4">
        <w:rPr>
          <w:i/>
        </w:rPr>
        <w:t xml:space="preserve"> </w:t>
      </w:r>
      <w:r w:rsidRPr="006779A9" w:rsidR="00596C07">
        <w:t>children’s home</w:t>
      </w:r>
      <w:r w:rsidRPr="006779A9" w:rsidR="007805D4">
        <w:t xml:space="preserve"> and his daughter in the </w:t>
      </w:r>
      <w:r w:rsidRPr="00816E2C" w:rsidR="007805D4">
        <w:rPr>
          <w:iCs/>
        </w:rPr>
        <w:t>Cardenal Belluga</w:t>
      </w:r>
      <w:r w:rsidRPr="006779A9" w:rsidR="007805D4">
        <w:rPr>
          <w:i/>
        </w:rPr>
        <w:t xml:space="preserve"> </w:t>
      </w:r>
      <w:r w:rsidRPr="006779A9" w:rsidR="00596C07">
        <w:t>home</w:t>
      </w:r>
      <w:r w:rsidRPr="006779A9" w:rsidR="007805D4">
        <w:t>. Their mother was given permission to visit.</w:t>
      </w:r>
    </w:p>
    <w:p w:rsidRPr="006779A9" w:rsidR="007805D4" w:rsidP="004A6EA7" w:rsidRDefault="004A6EA7" w14:paraId="76F0EB1C" w14:textId="77777777">
      <w:pPr>
        <w:pStyle w:val="JuPara"/>
      </w:pPr>
      <w:r w:rsidRPr="006779A9">
        <w:fldChar w:fldCharType="begin"/>
      </w:r>
      <w:r w:rsidRPr="006779A9">
        <w:instrText xml:space="preserve"> SEQ level0 \*arabic </w:instrText>
      </w:r>
      <w:r w:rsidRPr="006779A9">
        <w:fldChar w:fldCharType="separate"/>
      </w:r>
      <w:r w:rsidR="00830BEA">
        <w:rPr>
          <w:noProof/>
        </w:rPr>
        <w:t>11</w:t>
      </w:r>
      <w:r w:rsidRPr="006779A9">
        <w:fldChar w:fldCharType="end"/>
      </w:r>
      <w:r w:rsidRPr="006779A9">
        <w:t>.  </w:t>
      </w:r>
      <w:r w:rsidRPr="006779A9" w:rsidR="007805D4">
        <w:t xml:space="preserve">On 14 February 2013 the president of the Spanish Muslim Association (“the association”) wrote on the applicant’s behalf to the Murcia child protection department (“the child protection department”) stating that the </w:t>
      </w:r>
      <w:r w:rsidRPr="006779A9" w:rsidR="00C772D3">
        <w:t>applicant</w:t>
      </w:r>
      <w:r w:rsidRPr="006779A9" w:rsidR="007805D4">
        <w:t xml:space="preserve">, </w:t>
      </w:r>
      <w:r w:rsidRPr="006779A9" w:rsidR="00C772D3">
        <w:t>having</w:t>
      </w:r>
      <w:r w:rsidRPr="006779A9" w:rsidR="007805D4">
        <w:t xml:space="preserve"> cut all ties with his wife, had no information concerning his three children. In the letter the association requested </w:t>
      </w:r>
      <w:r w:rsidRPr="006779A9" w:rsidR="00C772D3">
        <w:t>that it</w:t>
      </w:r>
      <w:r w:rsidRPr="006779A9" w:rsidR="007805D4">
        <w:t xml:space="preserve"> be informed about the children’s situation and stated that the applicant, who was legally deprived of the right to communicate with his children, </w:t>
      </w:r>
      <w:r w:rsidRPr="006779A9" w:rsidR="00596C07">
        <w:t>had asked</w:t>
      </w:r>
      <w:r w:rsidRPr="006779A9" w:rsidR="00C772D3">
        <w:t xml:space="preserve"> for</w:t>
      </w:r>
      <w:r w:rsidRPr="006779A9" w:rsidR="007805D4">
        <w:t xml:space="preserve"> a member of the association</w:t>
      </w:r>
      <w:r w:rsidRPr="006779A9" w:rsidR="00C772D3">
        <w:t xml:space="preserve"> to</w:t>
      </w:r>
      <w:r w:rsidRPr="006779A9" w:rsidR="007805D4">
        <w:t xml:space="preserve"> be allowed to meet them. On 7 March 2013 the child protection department replied that there were no plans to return the children to their </w:t>
      </w:r>
      <w:r w:rsidRPr="006779A9" w:rsidR="00596C07">
        <w:t>birth</w:t>
      </w:r>
      <w:r w:rsidRPr="006779A9" w:rsidR="007805D4">
        <w:t xml:space="preserve"> family and that it was not desirable for outsiders to visit the children.</w:t>
      </w:r>
    </w:p>
    <w:p w:rsidRPr="006779A9" w:rsidR="007805D4" w:rsidP="004A6EA7" w:rsidRDefault="004A6EA7" w14:paraId="13787581" w14:textId="77777777">
      <w:pPr>
        <w:pStyle w:val="JuPara"/>
      </w:pPr>
      <w:r w:rsidRPr="006779A9">
        <w:fldChar w:fldCharType="begin"/>
      </w:r>
      <w:r w:rsidRPr="006779A9">
        <w:instrText xml:space="preserve"> SEQ level0 \*arabic </w:instrText>
      </w:r>
      <w:r w:rsidRPr="006779A9">
        <w:fldChar w:fldCharType="separate"/>
      </w:r>
      <w:r w:rsidR="00830BEA">
        <w:rPr>
          <w:noProof/>
        </w:rPr>
        <w:t>12</w:t>
      </w:r>
      <w:r w:rsidRPr="006779A9">
        <w:fldChar w:fldCharType="end"/>
      </w:r>
      <w:r w:rsidRPr="006779A9">
        <w:t>.  </w:t>
      </w:r>
      <w:r w:rsidRPr="006779A9" w:rsidR="007805D4">
        <w:t>On 19 March 2013 the Cos</w:t>
      </w:r>
      <w:r w:rsidRPr="006779A9" w:rsidR="002300A1">
        <w:t>lad</w:t>
      </w:r>
      <w:r w:rsidRPr="006779A9" w:rsidR="007805D4">
        <w:t xml:space="preserve">a judge no. 1 </w:t>
      </w:r>
      <w:r w:rsidRPr="006779A9" w:rsidR="00125960">
        <w:t xml:space="preserve">sent the Murcia child protection department </w:t>
      </w:r>
      <w:r w:rsidRPr="006779A9" w:rsidR="00C772D3">
        <w:t>a summons which</w:t>
      </w:r>
      <w:r w:rsidRPr="006779A9" w:rsidR="00125960">
        <w:t xml:space="preserve"> had arrived late at the court, making it impossible for the judge to contact the applicant in time for the latter to attend </w:t>
      </w:r>
      <w:r w:rsidRPr="006779A9" w:rsidR="002746F1">
        <w:t>a</w:t>
      </w:r>
      <w:r w:rsidRPr="006779A9" w:rsidR="00125960">
        <w:t xml:space="preserve"> hearing</w:t>
      </w:r>
      <w:r w:rsidRPr="006779A9" w:rsidR="002746F1">
        <w:t xml:space="preserve"> to be held</w:t>
      </w:r>
      <w:r w:rsidRPr="006779A9" w:rsidR="00125960">
        <w:t xml:space="preserve"> in Murcia on 21 March 2013.</w:t>
      </w:r>
    </w:p>
    <w:p w:rsidRPr="006779A9" w:rsidR="00125960" w:rsidP="004A6EA7" w:rsidRDefault="004A6EA7" w14:paraId="0F4091BC" w14:textId="77777777">
      <w:pPr>
        <w:pStyle w:val="JuPara"/>
      </w:pPr>
      <w:r w:rsidRPr="006779A9">
        <w:fldChar w:fldCharType="begin"/>
      </w:r>
      <w:r w:rsidRPr="006779A9">
        <w:instrText xml:space="preserve"> SEQ level0 \*arabic </w:instrText>
      </w:r>
      <w:r w:rsidRPr="006779A9">
        <w:fldChar w:fldCharType="separate"/>
      </w:r>
      <w:r w:rsidR="00830BEA">
        <w:rPr>
          <w:noProof/>
        </w:rPr>
        <w:t>13</w:t>
      </w:r>
      <w:r w:rsidRPr="006779A9">
        <w:fldChar w:fldCharType="end"/>
      </w:r>
      <w:r w:rsidRPr="006779A9">
        <w:t>.  </w:t>
      </w:r>
      <w:r w:rsidRPr="006779A9" w:rsidR="00125960">
        <w:t>On 6 April 2013 the applicant was notified of the hearing to confirm the children’s guardianship</w:t>
      </w:r>
      <w:r w:rsidRPr="006779A9" w:rsidR="00FF4D9C">
        <w:t>,</w:t>
      </w:r>
      <w:r w:rsidRPr="006779A9" w:rsidR="00125960">
        <w:t xml:space="preserve"> by means of a notice (</w:t>
      </w:r>
      <w:r w:rsidRPr="006779A9" w:rsidR="00125960">
        <w:rPr>
          <w:i/>
        </w:rPr>
        <w:t>edictos</w:t>
      </w:r>
      <w:r w:rsidRPr="006779A9" w:rsidR="00125960">
        <w:t>) published in the Murcia official gazette. On 8 and 16 April 2013 he was contacted by telephone by a member of the Murcia child protection department. During the first telephone conversation the applicant was informed that notice of the guardianship hearing</w:t>
      </w:r>
      <w:r w:rsidRPr="006779A9" w:rsidR="00596C07">
        <w:t xml:space="preserve"> had been served</w:t>
      </w:r>
      <w:r w:rsidRPr="006779A9" w:rsidR="00125960">
        <w:t xml:space="preserve">. </w:t>
      </w:r>
      <w:r w:rsidRPr="006779A9" w:rsidR="00F5056A">
        <w:t>He did not follow</w:t>
      </w:r>
      <w:r w:rsidRPr="006779A9" w:rsidR="00125960">
        <w:t xml:space="preserve"> up on the telephone call and</w:t>
      </w:r>
      <w:r w:rsidRPr="006779A9" w:rsidR="00F5056A">
        <w:t xml:space="preserve"> did</w:t>
      </w:r>
      <w:r w:rsidRPr="006779A9" w:rsidR="00125960">
        <w:t xml:space="preserve"> not </w:t>
      </w:r>
      <w:r w:rsidRPr="006779A9" w:rsidR="00F5056A">
        <w:t>attend the hearing. In the course of a further telephone conversation with the same member of the child protection department the applicant said that he would not attend the hearing and would, if necessary, appeal against the decision confirming the guardianship. On 24 April 2013 the Murcia regional government (“the regional government”) placed the children in the care of the child protection department. A letter notifying the applicant of that decision was sent to his home on 14 May 2013. As the applicant was absent, it was left at the post office on 21 May 2013. The applicant did not go there to pick it up.</w:t>
      </w:r>
    </w:p>
    <w:p w:rsidRPr="006779A9" w:rsidR="00F5056A" w:rsidP="004A6EA7" w:rsidRDefault="004A6EA7" w14:paraId="3B2391CB" w14:textId="77777777">
      <w:pPr>
        <w:pStyle w:val="JuPara"/>
      </w:pPr>
      <w:r w:rsidRPr="006779A9">
        <w:fldChar w:fldCharType="begin"/>
      </w:r>
      <w:r w:rsidRPr="006779A9">
        <w:instrText xml:space="preserve"> SEQ level0 \*arabic </w:instrText>
      </w:r>
      <w:r w:rsidRPr="006779A9">
        <w:fldChar w:fldCharType="separate"/>
      </w:r>
      <w:r w:rsidR="00830BEA">
        <w:rPr>
          <w:noProof/>
        </w:rPr>
        <w:t>14</w:t>
      </w:r>
      <w:r w:rsidRPr="006779A9">
        <w:fldChar w:fldCharType="end"/>
      </w:r>
      <w:r w:rsidRPr="006779A9">
        <w:t>.  </w:t>
      </w:r>
      <w:r w:rsidRPr="006779A9" w:rsidR="00F5056A">
        <w:t>In a</w:t>
      </w:r>
      <w:r w:rsidRPr="006779A9" w:rsidR="002300A1">
        <w:t>n</w:t>
      </w:r>
      <w:r w:rsidRPr="006779A9" w:rsidR="00F5056A">
        <w:t xml:space="preserve"> </w:t>
      </w:r>
      <w:r w:rsidRPr="006779A9" w:rsidR="008C00EF">
        <w:t>orientation report</w:t>
      </w:r>
      <w:r w:rsidRPr="006779A9" w:rsidR="00F5056A">
        <w:t xml:space="preserve"> of 20 June 2013 the </w:t>
      </w:r>
      <w:r w:rsidRPr="006779A9" w:rsidR="00640CA8">
        <w:t xml:space="preserve">directorate-general of social affairs of the Murcia region took note of the fact that the children had allegedly been subjected to serious physical and emotional abuse by the applicant. It noted the order made by the Coslada </w:t>
      </w:r>
      <w:r w:rsidRPr="006779A9" w:rsidR="003919BD">
        <w:t>judge no. 1</w:t>
      </w:r>
      <w:r w:rsidRPr="006779A9" w:rsidR="00640CA8">
        <w:t xml:space="preserve"> barring the applicant from </w:t>
      </w:r>
      <w:r w:rsidRPr="006779A9" w:rsidR="008829CD">
        <w:t xml:space="preserve">approaching the children or communicating with them in </w:t>
      </w:r>
      <w:r w:rsidRPr="006779A9" w:rsidR="00640CA8">
        <w:t xml:space="preserve">any </w:t>
      </w:r>
      <w:r w:rsidRPr="006779A9" w:rsidR="008829CD">
        <w:t>way</w:t>
      </w:r>
      <w:r w:rsidRPr="006779A9" w:rsidR="00640CA8">
        <w:t xml:space="preserve">. The report further took note, in particular, of the mother’s very vulnerable, easily influenced and fragile personality and her failure to </w:t>
      </w:r>
      <w:r w:rsidRPr="006779A9" w:rsidR="00C772D3">
        <w:t>protect</w:t>
      </w:r>
      <w:r w:rsidRPr="006779A9" w:rsidR="00640CA8">
        <w:t xml:space="preserve"> her children, her emotional instability and limited intellectual abilities, her lack of financial stability, the fact that she had no stable home or occupation and the fact that she had also spent her childhood in care.</w:t>
      </w:r>
      <w:r w:rsidRPr="006779A9" w:rsidR="00521F3A">
        <w:t xml:space="preserve"> The report recommended suspending the mother’s visits to her minor daughter and allowing just a single one-hour </w:t>
      </w:r>
      <w:r w:rsidRPr="006779A9" w:rsidR="002746F1">
        <w:t>contact session with</w:t>
      </w:r>
      <w:r w:rsidRPr="006779A9" w:rsidR="00521F3A">
        <w:t xml:space="preserve"> her two sons every two months</w:t>
      </w:r>
      <w:r w:rsidRPr="006779A9" w:rsidR="00B36708">
        <w:t>,</w:t>
      </w:r>
      <w:r w:rsidRPr="006779A9" w:rsidR="00521F3A">
        <w:t xml:space="preserve"> in a location to be decided by the </w:t>
      </w:r>
      <w:r w:rsidRPr="006779A9" w:rsidR="00C772D3">
        <w:t>children’s home</w:t>
      </w:r>
      <w:r w:rsidRPr="006779A9" w:rsidR="00521F3A">
        <w:t>.</w:t>
      </w:r>
    </w:p>
    <w:p w:rsidRPr="006779A9" w:rsidR="00521F3A" w:rsidP="004A6EA7" w:rsidRDefault="004A6EA7" w14:paraId="5E9CF0EF" w14:textId="77777777">
      <w:pPr>
        <w:pStyle w:val="JuPara"/>
      </w:pPr>
      <w:r w:rsidRPr="006779A9">
        <w:fldChar w:fldCharType="begin"/>
      </w:r>
      <w:r w:rsidRPr="006779A9">
        <w:instrText xml:space="preserve"> SEQ level0 \*arabic </w:instrText>
      </w:r>
      <w:r w:rsidRPr="006779A9">
        <w:fldChar w:fldCharType="separate"/>
      </w:r>
      <w:r w:rsidR="00830BEA">
        <w:rPr>
          <w:noProof/>
        </w:rPr>
        <w:t>15</w:t>
      </w:r>
      <w:r w:rsidRPr="006779A9">
        <w:fldChar w:fldCharType="end"/>
      </w:r>
      <w:r w:rsidRPr="006779A9">
        <w:t>.  </w:t>
      </w:r>
      <w:r w:rsidRPr="006779A9" w:rsidR="00521F3A">
        <w:t xml:space="preserve">In the course of a telephone call from the social services at the </w:t>
      </w:r>
      <w:r w:rsidRPr="00816E2C" w:rsidR="00521F3A">
        <w:rPr>
          <w:iCs/>
        </w:rPr>
        <w:t>Cardenal Bel</w:t>
      </w:r>
      <w:r w:rsidRPr="00816E2C" w:rsidR="00FF4D9C">
        <w:rPr>
          <w:iCs/>
        </w:rPr>
        <w:t>l</w:t>
      </w:r>
      <w:r w:rsidRPr="00816E2C" w:rsidR="00521F3A">
        <w:rPr>
          <w:iCs/>
        </w:rPr>
        <w:t>uga</w:t>
      </w:r>
      <w:r w:rsidRPr="006779A9" w:rsidR="00521F3A">
        <w:rPr>
          <w:i/>
        </w:rPr>
        <w:t xml:space="preserve"> </w:t>
      </w:r>
      <w:r w:rsidRPr="006779A9" w:rsidR="00596C07">
        <w:t>children’s home</w:t>
      </w:r>
      <w:r w:rsidRPr="006779A9" w:rsidR="00521F3A">
        <w:t>, the applicant’s wife said that she was renting an apartment in order to be close to her daughter, using money sent to her by the applicant.</w:t>
      </w:r>
    </w:p>
    <w:p w:rsidRPr="006779A9" w:rsidR="00521F3A" w:rsidP="004A6EA7" w:rsidRDefault="004A6EA7" w14:paraId="45D3F902" w14:textId="77777777">
      <w:pPr>
        <w:pStyle w:val="JuPara"/>
      </w:pPr>
      <w:r w:rsidRPr="006779A9">
        <w:fldChar w:fldCharType="begin"/>
      </w:r>
      <w:r w:rsidRPr="006779A9">
        <w:instrText xml:space="preserve"> SEQ level0 \*arabic </w:instrText>
      </w:r>
      <w:r w:rsidRPr="006779A9">
        <w:fldChar w:fldCharType="separate"/>
      </w:r>
      <w:r w:rsidR="00830BEA">
        <w:rPr>
          <w:noProof/>
        </w:rPr>
        <w:t>16</w:t>
      </w:r>
      <w:r w:rsidRPr="006779A9">
        <w:fldChar w:fldCharType="end"/>
      </w:r>
      <w:r w:rsidRPr="006779A9">
        <w:t>.  </w:t>
      </w:r>
      <w:r w:rsidRPr="006779A9" w:rsidR="00521F3A">
        <w:t xml:space="preserve">In a very detailed psychosocial report dated 19 July 2013 the directorate-general of social affairs of the Murcia region </w:t>
      </w:r>
      <w:r w:rsidRPr="006779A9" w:rsidR="00380C1B">
        <w:t>proposed that the applicant’s daughter should be placed temporarily in foster care with a view to adoption, and should not receive visits from her birth family. The report essentially echoed the findings of the previous report and stressed the mother’s lack of parenting skills and her immaturity.</w:t>
      </w:r>
    </w:p>
    <w:p w:rsidRPr="006779A9" w:rsidR="00DA25C2" w:rsidP="00DA25C2" w:rsidRDefault="00DA25C2" w14:paraId="7004A90D" w14:textId="77777777">
      <w:pPr>
        <w:pStyle w:val="JuHA"/>
        <w:numPr>
          <w:ilvl w:val="2"/>
          <w:numId w:val="22"/>
        </w:numPr>
        <w:jc w:val="left"/>
      </w:pPr>
      <w:r w:rsidRPr="006779A9">
        <w:t xml:space="preserve">The placement of the applicant’s daughter in </w:t>
      </w:r>
      <w:r w:rsidRPr="006779A9" w:rsidR="00596C07">
        <w:t xml:space="preserve">a </w:t>
      </w:r>
      <w:r w:rsidRPr="006779A9">
        <w:t xml:space="preserve">foster </w:t>
      </w:r>
      <w:r w:rsidRPr="006779A9" w:rsidR="00596C07">
        <w:t>family</w:t>
      </w:r>
      <w:r w:rsidRPr="006779A9">
        <w:t xml:space="preserve"> and the applicant’s acquittal in the criminal proceedings for domestic violence</w:t>
      </w:r>
    </w:p>
    <w:p w:rsidRPr="006779A9" w:rsidR="00380C1B" w:rsidP="004A6EA7" w:rsidRDefault="004A6EA7" w14:paraId="7DD64411" w14:textId="77777777">
      <w:pPr>
        <w:pStyle w:val="JuPara"/>
      </w:pPr>
      <w:r w:rsidRPr="006779A9">
        <w:fldChar w:fldCharType="begin"/>
      </w:r>
      <w:r w:rsidRPr="006779A9">
        <w:instrText xml:space="preserve"> SEQ level0 \*arabic </w:instrText>
      </w:r>
      <w:r w:rsidRPr="006779A9">
        <w:fldChar w:fldCharType="separate"/>
      </w:r>
      <w:r w:rsidR="00830BEA">
        <w:rPr>
          <w:noProof/>
        </w:rPr>
        <w:t>17</w:t>
      </w:r>
      <w:r w:rsidRPr="006779A9">
        <w:fldChar w:fldCharType="end"/>
      </w:r>
      <w:r w:rsidRPr="006779A9">
        <w:t>.  </w:t>
      </w:r>
      <w:r w:rsidRPr="006779A9" w:rsidR="00380C1B">
        <w:t xml:space="preserve">On 20 September 2013 the regional child protection board decided to place the applicant’s daughter in </w:t>
      </w:r>
      <w:r w:rsidRPr="006779A9" w:rsidR="005E7B3E">
        <w:t xml:space="preserve">temporary </w:t>
      </w:r>
      <w:r w:rsidRPr="006779A9" w:rsidR="00380C1B">
        <w:t>foster care with a view to her adoption.</w:t>
      </w:r>
    </w:p>
    <w:p w:rsidRPr="006779A9" w:rsidR="00380C1B" w:rsidP="004A6EA7" w:rsidRDefault="00380C1B" w14:paraId="1FFE3331" w14:textId="77777777">
      <w:pPr>
        <w:pStyle w:val="JuPara"/>
      </w:pPr>
      <w:r w:rsidRPr="006779A9">
        <w:t>On 24 September 2013 she was placed with a foster family.</w:t>
      </w:r>
    </w:p>
    <w:p w:rsidRPr="006779A9" w:rsidR="00380C1B" w:rsidP="004A6EA7" w:rsidRDefault="004A6EA7" w14:paraId="75FEB1BE" w14:textId="4B5712B5">
      <w:pPr>
        <w:pStyle w:val="JuPara"/>
      </w:pPr>
      <w:r w:rsidRPr="006779A9">
        <w:fldChar w:fldCharType="begin"/>
      </w:r>
      <w:r w:rsidRPr="006779A9">
        <w:instrText xml:space="preserve"> SEQ level0 \*arabic </w:instrText>
      </w:r>
      <w:r w:rsidRPr="006779A9">
        <w:fldChar w:fldCharType="separate"/>
      </w:r>
      <w:r w:rsidR="00830BEA">
        <w:rPr>
          <w:noProof/>
        </w:rPr>
        <w:t>18</w:t>
      </w:r>
      <w:r w:rsidRPr="006779A9">
        <w:fldChar w:fldCharType="end"/>
      </w:r>
      <w:r w:rsidRPr="006779A9">
        <w:t>.  </w:t>
      </w:r>
      <w:r w:rsidRPr="006779A9" w:rsidR="00380C1B">
        <w:t xml:space="preserve">On 8 October 2013 the president of the regional child protection board </w:t>
      </w:r>
      <w:r w:rsidRPr="006779A9" w:rsidR="003919BD">
        <w:t xml:space="preserve">submitted </w:t>
      </w:r>
      <w:r w:rsidRPr="006779A9" w:rsidR="005E7B3E">
        <w:t>a</w:t>
      </w:r>
      <w:r w:rsidRPr="006779A9" w:rsidR="003919BD">
        <w:t xml:space="preserve"> formal proposal for the girl to be placed in temporary pre</w:t>
      </w:r>
      <w:r w:rsidR="005E7DE4">
        <w:noBreakHyphen/>
      </w:r>
      <w:r w:rsidRPr="006779A9" w:rsidR="003919BD">
        <w:t xml:space="preserve">adoption foster care with the couple who had been chosen. No </w:t>
      </w:r>
      <w:r w:rsidRPr="006779A9" w:rsidR="00596C07">
        <w:t>provision was</w:t>
      </w:r>
      <w:r w:rsidRPr="006779A9" w:rsidR="003919BD">
        <w:t xml:space="preserve"> made for </w:t>
      </w:r>
      <w:r w:rsidRPr="006779A9" w:rsidR="00596C07">
        <w:t>visits</w:t>
      </w:r>
      <w:r w:rsidRPr="006779A9" w:rsidR="003919BD">
        <w:t xml:space="preserve"> by her </w:t>
      </w:r>
      <w:r w:rsidRPr="006779A9" w:rsidR="00596C07">
        <w:t>birth</w:t>
      </w:r>
      <w:r w:rsidRPr="006779A9" w:rsidR="003919BD">
        <w:t xml:space="preserve"> parents.</w:t>
      </w:r>
    </w:p>
    <w:p w:rsidRPr="006779A9" w:rsidR="003919BD" w:rsidP="004A6EA7" w:rsidRDefault="004A6EA7" w14:paraId="46F5C926" w14:textId="77777777">
      <w:pPr>
        <w:pStyle w:val="JuPara"/>
        <w:ind w:firstLine="232"/>
      </w:pPr>
      <w:r w:rsidRPr="006779A9">
        <w:fldChar w:fldCharType="begin"/>
      </w:r>
      <w:r w:rsidRPr="006779A9">
        <w:instrText xml:space="preserve"> SEQ level0 \*arabic </w:instrText>
      </w:r>
      <w:r w:rsidRPr="006779A9">
        <w:fldChar w:fldCharType="separate"/>
      </w:r>
      <w:r w:rsidR="00830BEA">
        <w:rPr>
          <w:noProof/>
        </w:rPr>
        <w:t>19</w:t>
      </w:r>
      <w:r w:rsidRPr="006779A9">
        <w:fldChar w:fldCharType="end"/>
      </w:r>
      <w:r w:rsidRPr="006779A9">
        <w:t>.  </w:t>
      </w:r>
      <w:r w:rsidRPr="006779A9" w:rsidR="003919BD">
        <w:t xml:space="preserve">On 27 September 2013 the Alcalá de Henares criminal court judge no. 5 acquitted the applicant of all charges in the proceedings </w:t>
      </w:r>
      <w:r w:rsidRPr="006779A9" w:rsidR="008941E2">
        <w:t>concerning</w:t>
      </w:r>
      <w:r w:rsidRPr="006779A9" w:rsidR="003919BD">
        <w:t xml:space="preserve"> him and set aside the criminal and civil-law measures ordered by the Coslada judge no. 1 on 2 February 2012. The criminal court judge no. 5 took into account in his judgment the lack of detail in the</w:t>
      </w:r>
      <w:r w:rsidR="00816E2C">
        <w:t xml:space="preserve"> applicant’s wife’s</w:t>
      </w:r>
      <w:r w:rsidRPr="006779A9" w:rsidR="003919BD">
        <w:t xml:space="preserve"> allegations concerning </w:t>
      </w:r>
      <w:r w:rsidR="00816E2C">
        <w:t>him</w:t>
      </w:r>
      <w:r w:rsidRPr="006779A9" w:rsidR="003919BD">
        <w:t xml:space="preserve">, the similarly imprecise </w:t>
      </w:r>
      <w:r w:rsidRPr="006779A9" w:rsidR="00526066">
        <w:t xml:space="preserve">indirect </w:t>
      </w:r>
      <w:r w:rsidRPr="006779A9" w:rsidR="003919BD">
        <w:t xml:space="preserve">witness statements </w:t>
      </w:r>
      <w:r w:rsidRPr="006779A9" w:rsidR="00526066">
        <w:t xml:space="preserve">(given by the head teacher of the applicant’s children’s school and their </w:t>
      </w:r>
      <w:r w:rsidRPr="006779A9" w:rsidR="000D6CF6">
        <w:t>teachers</w:t>
      </w:r>
      <w:r w:rsidRPr="006779A9" w:rsidR="00526066">
        <w:t xml:space="preserve">, the school’s </w:t>
      </w:r>
      <w:r w:rsidRPr="006779A9" w:rsidR="000D6CF6">
        <w:t xml:space="preserve">learning support assistant and the school secretary), who had no clear memory of the events or </w:t>
      </w:r>
      <w:r w:rsidRPr="006779A9" w:rsidR="008941E2">
        <w:t>had</w:t>
      </w:r>
      <w:r w:rsidRPr="006779A9" w:rsidR="000D6CF6">
        <w:t xml:space="preserve"> </w:t>
      </w:r>
      <w:r w:rsidRPr="006779A9" w:rsidR="00B36708">
        <w:t>repeated</w:t>
      </w:r>
      <w:r w:rsidRPr="006779A9" w:rsidR="000D6CF6">
        <w:t xml:space="preserve"> remarks made by the children or</w:t>
      </w:r>
      <w:r w:rsidRPr="006779A9" w:rsidR="00B36708">
        <w:t xml:space="preserve"> their own</w:t>
      </w:r>
      <w:r w:rsidRPr="006779A9" w:rsidR="000D6CF6">
        <w:t xml:space="preserve"> impressions. The judge also took into account the psychological and medical expert reports, which </w:t>
      </w:r>
      <w:r w:rsidRPr="006779A9" w:rsidR="008941E2">
        <w:t>noted</w:t>
      </w:r>
      <w:r w:rsidRPr="006779A9" w:rsidR="000D6CF6">
        <w:t xml:space="preserve"> “psychological scars consistent with ill-treatment, social maladjustment and physical, sexual </w:t>
      </w:r>
      <w:r w:rsidRPr="006779A9" w:rsidR="008941E2">
        <w:t>and</w:t>
      </w:r>
      <w:r w:rsidRPr="006779A9" w:rsidR="000D6CF6">
        <w:t xml:space="preserve"> psychological violence”. These were </w:t>
      </w:r>
      <w:r w:rsidRPr="006779A9" w:rsidR="00BE7232">
        <w:t>likewise</w:t>
      </w:r>
      <w:r w:rsidRPr="006779A9" w:rsidR="000D6CF6">
        <w:t xml:space="preserve"> deemed </w:t>
      </w:r>
      <w:r w:rsidRPr="006779A9" w:rsidR="00BE7232">
        <w:t>in</w:t>
      </w:r>
      <w:r w:rsidRPr="006779A9" w:rsidR="000D6CF6">
        <w:t xml:space="preserve">sufficient to </w:t>
      </w:r>
      <w:r w:rsidRPr="006779A9" w:rsidR="00545291">
        <w:t>disprove</w:t>
      </w:r>
      <w:r w:rsidRPr="006779A9" w:rsidR="000D6CF6">
        <w:t xml:space="preserve"> the presumption of the applicant’s innocence</w:t>
      </w:r>
      <w:r w:rsidRPr="006779A9" w:rsidR="00545291">
        <w:t xml:space="preserve">, given the generic nature of the </w:t>
      </w:r>
      <w:r w:rsidRPr="006779A9" w:rsidR="00BE7232">
        <w:t>claims made</w:t>
      </w:r>
      <w:r w:rsidRPr="006779A9" w:rsidR="00545291">
        <w:t xml:space="preserve"> in the various reports, the lack of explanations </w:t>
      </w:r>
      <w:r w:rsidRPr="006779A9" w:rsidR="008941E2">
        <w:t>concerning</w:t>
      </w:r>
      <w:r w:rsidRPr="006779A9" w:rsidR="00545291">
        <w:t xml:space="preserve"> the technique</w:t>
      </w:r>
      <w:r w:rsidRPr="006779A9" w:rsidR="008941E2">
        <w:t>s</w:t>
      </w:r>
      <w:r w:rsidRPr="006779A9" w:rsidR="00545291">
        <w:t xml:space="preserve"> used to arrive at the findings, and </w:t>
      </w:r>
      <w:r w:rsidRPr="006779A9" w:rsidR="008941E2">
        <w:t xml:space="preserve">the </w:t>
      </w:r>
      <w:r w:rsidRPr="006779A9" w:rsidR="00545291">
        <w:t>imprecise testimony given by the experts at the hearing. The acquittal judgment became final on 8 November 2013.</w:t>
      </w:r>
    </w:p>
    <w:p w:rsidRPr="006779A9" w:rsidR="00050D55" w:rsidP="004A6EA7" w:rsidRDefault="00050D55" w14:paraId="5E328BD9" w14:textId="77777777">
      <w:pPr>
        <w:pStyle w:val="JuPara"/>
      </w:pPr>
      <w:r w:rsidRPr="006779A9">
        <w:fldChar w:fldCharType="begin"/>
      </w:r>
      <w:r w:rsidRPr="006779A9">
        <w:instrText xml:space="preserve"> SEQ level0 \*arabic </w:instrText>
      </w:r>
      <w:r w:rsidRPr="006779A9">
        <w:fldChar w:fldCharType="separate"/>
      </w:r>
      <w:r w:rsidR="00830BEA">
        <w:rPr>
          <w:noProof/>
        </w:rPr>
        <w:t>20</w:t>
      </w:r>
      <w:r w:rsidRPr="006779A9">
        <w:fldChar w:fldCharType="end"/>
      </w:r>
      <w:r w:rsidRPr="006779A9">
        <w:t>.  </w:t>
      </w:r>
      <w:r w:rsidRPr="006779A9" w:rsidR="00BE7232">
        <w:t>With the assistance of a lawyer</w:t>
      </w:r>
      <w:r w:rsidRPr="006779A9">
        <w:t xml:space="preserve"> the applicant</w:t>
      </w:r>
      <w:r w:rsidRPr="006779A9" w:rsidR="00BE7232">
        <w:t xml:space="preserve"> </w:t>
      </w:r>
      <w:r w:rsidRPr="006779A9">
        <w:t xml:space="preserve">wrote to the child protection department </w:t>
      </w:r>
      <w:r w:rsidRPr="006779A9" w:rsidR="00BE7232">
        <w:t xml:space="preserve">on 19 November 2013 </w:t>
      </w:r>
      <w:r w:rsidRPr="006779A9">
        <w:t xml:space="preserve">and attended an interview. He informed the </w:t>
      </w:r>
      <w:r w:rsidRPr="006779A9" w:rsidR="008941E2">
        <w:t>department</w:t>
      </w:r>
      <w:r w:rsidRPr="006779A9">
        <w:t xml:space="preserve"> </w:t>
      </w:r>
      <w:r w:rsidRPr="006779A9" w:rsidR="008941E2">
        <w:t>of</w:t>
      </w:r>
      <w:r w:rsidRPr="006779A9">
        <w:t xml:space="preserve"> the judgment in his favour and said that he was working, had a stable income and was living in Madrid. He requested permission to see his children.</w:t>
      </w:r>
    </w:p>
    <w:p w:rsidRPr="006779A9" w:rsidR="004A6EA7" w:rsidP="00050D55" w:rsidRDefault="00050D55" w14:paraId="542BE3E4" w14:textId="77777777">
      <w:pPr>
        <w:pStyle w:val="JuPara"/>
      </w:pPr>
      <w:r w:rsidRPr="006779A9">
        <w:fldChar w:fldCharType="begin"/>
      </w:r>
      <w:r w:rsidRPr="006779A9">
        <w:instrText xml:space="preserve"> SEQ level0 \*arabic </w:instrText>
      </w:r>
      <w:r w:rsidRPr="006779A9">
        <w:fldChar w:fldCharType="separate"/>
      </w:r>
      <w:r w:rsidR="00830BEA">
        <w:rPr>
          <w:noProof/>
        </w:rPr>
        <w:t>21</w:t>
      </w:r>
      <w:r w:rsidRPr="006779A9">
        <w:fldChar w:fldCharType="end"/>
      </w:r>
      <w:r w:rsidRPr="006779A9">
        <w:t>.  </w:t>
      </w:r>
      <w:r w:rsidRPr="006779A9" w:rsidR="007D6287">
        <w:t>In a</w:t>
      </w:r>
      <w:r w:rsidRPr="006779A9" w:rsidR="002300A1">
        <w:t>n</w:t>
      </w:r>
      <w:r w:rsidRPr="006779A9" w:rsidR="007D6287">
        <w:t xml:space="preserve"> </w:t>
      </w:r>
      <w:r w:rsidRPr="006779A9" w:rsidR="008C00EF">
        <w:t>orientation report</w:t>
      </w:r>
      <w:r w:rsidRPr="006779A9">
        <w:t xml:space="preserve"> of 28 February 2014 the child protection department took note of the fact that there had been no contact between the applicant and his children between 28 June 2012</w:t>
      </w:r>
      <w:r w:rsidRPr="006779A9" w:rsidR="007D6287">
        <w:t xml:space="preserve">, the date on which the children had been placed in </w:t>
      </w:r>
      <w:r w:rsidRPr="006779A9" w:rsidR="00BE7232">
        <w:t>residential care</w:t>
      </w:r>
      <w:r w:rsidRPr="006779A9" w:rsidR="007D6287">
        <w:t xml:space="preserve">, and 19 November 2013, when the applicant had first </w:t>
      </w:r>
      <w:r w:rsidRPr="006779A9" w:rsidR="005E7B3E">
        <w:t>had contact with</w:t>
      </w:r>
      <w:r w:rsidRPr="006779A9" w:rsidR="007D6287">
        <w:t xml:space="preserve"> the child protection department as described above. In the report the child protection department proposed refusing the applicant permission to see his daughter and provisionally refusing him permission to see his other</w:t>
      </w:r>
      <w:r w:rsidRPr="006779A9" w:rsidR="00BE7232">
        <w:t xml:space="preserve"> two</w:t>
      </w:r>
      <w:r w:rsidRPr="006779A9" w:rsidR="007D6287">
        <w:t xml:space="preserve"> children “until such time as the children [were] more stable emotionally and psychologically”. It noted that the </w:t>
      </w:r>
      <w:r w:rsidRPr="006779A9" w:rsidR="00BE7232">
        <w:t>girl</w:t>
      </w:r>
      <w:r w:rsidRPr="006779A9" w:rsidR="007D6287">
        <w:t xml:space="preserve"> had “</w:t>
      </w:r>
      <w:r w:rsidRPr="006779A9" w:rsidR="00AC6045">
        <w:t>adjusted</w:t>
      </w:r>
      <w:r w:rsidRPr="006779A9" w:rsidR="007D6287">
        <w:t xml:space="preserve"> very well </w:t>
      </w:r>
      <w:r w:rsidRPr="006779A9" w:rsidR="00AC6045">
        <w:t>during</w:t>
      </w:r>
      <w:r w:rsidRPr="006779A9" w:rsidR="007D6287">
        <w:t xml:space="preserve"> the pre-adoption fostering </w:t>
      </w:r>
      <w:r w:rsidRPr="006779A9" w:rsidR="00AC6045">
        <w:t xml:space="preserve">process” and that the other </w:t>
      </w:r>
      <w:r w:rsidRPr="006779A9" w:rsidR="00BE7232">
        <w:t xml:space="preserve">two </w:t>
      </w:r>
      <w:r w:rsidRPr="006779A9" w:rsidR="00AC6045">
        <w:t xml:space="preserve">children still showed signs of “fear and a lack of </w:t>
      </w:r>
      <w:r w:rsidRPr="006779A9" w:rsidR="00CA27C2">
        <w:t>trust</w:t>
      </w:r>
      <w:r w:rsidRPr="006779A9" w:rsidR="00AC6045">
        <w:t xml:space="preserve"> where their father [was] concerned” and were receiving psychological and pharmacological treatment. The findings of the report were endorsed on 31</w:t>
      </w:r>
      <w:r w:rsidR="00DA1679">
        <w:t> </w:t>
      </w:r>
      <w:r w:rsidRPr="006779A9" w:rsidR="00AC6045">
        <w:t xml:space="preserve">March 2014 by a decision of the directorate-general of social affairs of the </w:t>
      </w:r>
      <w:r w:rsidRPr="006779A9" w:rsidR="00BE7232">
        <w:t xml:space="preserve">Murcia </w:t>
      </w:r>
      <w:r w:rsidRPr="006779A9" w:rsidR="00AC6045">
        <w:t xml:space="preserve">region, which terminated the administrative proceedings. The decision was sent to the prosecutor with responsibility for minors, and the applicant was informed on 22 April 2014. </w:t>
      </w:r>
    </w:p>
    <w:p w:rsidRPr="006779A9" w:rsidR="00AC6045" w:rsidP="004A6EA7" w:rsidRDefault="00AC6045" w14:paraId="32D2766C" w14:textId="77777777">
      <w:pPr>
        <w:pStyle w:val="JuPara"/>
      </w:pPr>
      <w:r w:rsidRPr="006779A9">
        <w:fldChar w:fldCharType="begin"/>
      </w:r>
      <w:r w:rsidRPr="006779A9">
        <w:instrText xml:space="preserve"> SEQ level0 \*arabic </w:instrText>
      </w:r>
      <w:r w:rsidRPr="006779A9">
        <w:fldChar w:fldCharType="separate"/>
      </w:r>
      <w:r w:rsidR="00830BEA">
        <w:rPr>
          <w:noProof/>
        </w:rPr>
        <w:t>22</w:t>
      </w:r>
      <w:r w:rsidRPr="006779A9">
        <w:fldChar w:fldCharType="end"/>
      </w:r>
      <w:r w:rsidRPr="006779A9">
        <w:t>.  On 28 May 2014 the applicant appealed against his daughter’s placement in foster care.</w:t>
      </w:r>
    </w:p>
    <w:p w:rsidRPr="006779A9" w:rsidR="00AC6045" w:rsidP="004A6EA7" w:rsidRDefault="00AC6045" w14:paraId="4F15E9D8" w14:textId="77777777">
      <w:pPr>
        <w:pStyle w:val="JuPara"/>
      </w:pPr>
      <w:r w:rsidRPr="006779A9">
        <w:fldChar w:fldCharType="begin"/>
      </w:r>
      <w:r w:rsidRPr="006779A9">
        <w:instrText xml:space="preserve"> SEQ level0 \*arabic </w:instrText>
      </w:r>
      <w:r w:rsidRPr="006779A9">
        <w:fldChar w:fldCharType="separate"/>
      </w:r>
      <w:r w:rsidR="00830BEA">
        <w:rPr>
          <w:noProof/>
        </w:rPr>
        <w:t>23</w:t>
      </w:r>
      <w:r w:rsidRPr="006779A9">
        <w:fldChar w:fldCharType="end"/>
      </w:r>
      <w:r w:rsidRPr="006779A9">
        <w:t>.  In a follow-up report of 18 December 2014 the child protection depa</w:t>
      </w:r>
      <w:r w:rsidRPr="006779A9" w:rsidR="008941E2">
        <w:t xml:space="preserve">rtment noted the emotional bond that had been formed </w:t>
      </w:r>
      <w:r w:rsidRPr="006779A9">
        <w:t>between the young girl and her foster family and the degree to which she had adjusted to her new social and family environment.</w:t>
      </w:r>
    </w:p>
    <w:p w:rsidRPr="006779A9" w:rsidR="0039652F" w:rsidP="004A6EA7" w:rsidRDefault="0039652F" w14:paraId="16B8F0CB" w14:textId="77777777">
      <w:pPr>
        <w:pStyle w:val="JuPara"/>
      </w:pPr>
      <w:r w:rsidRPr="006779A9">
        <w:fldChar w:fldCharType="begin"/>
      </w:r>
      <w:r w:rsidRPr="006779A9">
        <w:instrText xml:space="preserve"> SEQ level0 \*arabic </w:instrText>
      </w:r>
      <w:r w:rsidRPr="006779A9">
        <w:fldChar w:fldCharType="separate"/>
      </w:r>
      <w:r w:rsidR="00830BEA">
        <w:rPr>
          <w:noProof/>
        </w:rPr>
        <w:t>24</w:t>
      </w:r>
      <w:r w:rsidRPr="006779A9">
        <w:fldChar w:fldCharType="end"/>
      </w:r>
      <w:r w:rsidRPr="006779A9">
        <w:t xml:space="preserve">.  On 2 February 2015 the psychologist and the welfare assistant from child welfare centre II in Madrid issued a report concerning the applicant, noting the lack of </w:t>
      </w:r>
      <w:r w:rsidRPr="006779A9" w:rsidR="006958F8">
        <w:t xml:space="preserve">an </w:t>
      </w:r>
      <w:r w:rsidRPr="006779A9">
        <w:t xml:space="preserve">emotional </w:t>
      </w:r>
      <w:r w:rsidRPr="006779A9" w:rsidR="006958F8">
        <w:t>bond</w:t>
      </w:r>
      <w:r w:rsidRPr="006779A9">
        <w:t xml:space="preserve"> between the father and his daughter and the fact that the father’s request to </w:t>
      </w:r>
      <w:r w:rsidRPr="006779A9" w:rsidR="00670CCF">
        <w:t xml:space="preserve">resume contact with his children </w:t>
      </w:r>
      <w:r w:rsidRPr="006779A9" w:rsidR="008941E2">
        <w:t xml:space="preserve">had </w:t>
      </w:r>
      <w:r w:rsidRPr="006779A9" w:rsidR="00670CCF">
        <w:t xml:space="preserve">focused on the two older children. According to the report, the applicant understood the impact which the separation had had on his children and claimed </w:t>
      </w:r>
      <w:r w:rsidRPr="006779A9" w:rsidR="008941E2">
        <w:t>that he was</w:t>
      </w:r>
      <w:r w:rsidRPr="006779A9" w:rsidR="00670CCF">
        <w:t xml:space="preserve"> capable of balancing his private and working life in order to meet the children’s needs.</w:t>
      </w:r>
    </w:p>
    <w:p w:rsidRPr="006779A9" w:rsidR="00670CCF" w:rsidP="004A6EA7" w:rsidRDefault="00670CCF" w14:paraId="4FFA4FBF" w14:textId="77777777">
      <w:pPr>
        <w:pStyle w:val="JuPara"/>
      </w:pPr>
      <w:r w:rsidRPr="006779A9">
        <w:fldChar w:fldCharType="begin"/>
      </w:r>
      <w:r w:rsidRPr="006779A9">
        <w:instrText xml:space="preserve"> SEQ level0 \*arabic </w:instrText>
      </w:r>
      <w:r w:rsidRPr="006779A9">
        <w:fldChar w:fldCharType="separate"/>
      </w:r>
      <w:r w:rsidR="00830BEA">
        <w:rPr>
          <w:noProof/>
        </w:rPr>
        <w:t>25</w:t>
      </w:r>
      <w:r w:rsidRPr="006779A9">
        <w:fldChar w:fldCharType="end"/>
      </w:r>
      <w:r w:rsidRPr="006779A9">
        <w:t>.  </w:t>
      </w:r>
      <w:r w:rsidRPr="006779A9" w:rsidR="008941E2">
        <w:t>On 11 February 2015, i</w:t>
      </w:r>
      <w:r w:rsidRPr="006779A9">
        <w:t xml:space="preserve">n response to </w:t>
      </w:r>
      <w:r w:rsidRPr="006779A9" w:rsidR="008941E2">
        <w:t>a</w:t>
      </w:r>
      <w:r w:rsidRPr="006779A9">
        <w:t xml:space="preserve"> request from the directorate</w:t>
      </w:r>
      <w:r w:rsidR="00DA1679">
        <w:noBreakHyphen/>
      </w:r>
      <w:r w:rsidRPr="006779A9">
        <w:t>general of social affairs, the Murcia first-instance judge no. 3 authorised the placement of the applicant’s daughter in foster care with a view to her adoption</w:t>
      </w:r>
      <w:r w:rsidRPr="006779A9" w:rsidR="00C45410">
        <w:t>,</w:t>
      </w:r>
      <w:r w:rsidRPr="006779A9">
        <w:t xml:space="preserve"> under Article 173 § 1 of the Civil Code. The decision gave the following reasons:</w:t>
      </w:r>
    </w:p>
    <w:p w:rsidRPr="006779A9" w:rsidR="00670CCF" w:rsidP="004A6EA7" w:rsidRDefault="00EC37F2" w14:paraId="50D22E79" w14:textId="77777777">
      <w:pPr>
        <w:pStyle w:val="JuQuot"/>
      </w:pPr>
      <w:r w:rsidRPr="006779A9">
        <w:t>“</w:t>
      </w:r>
      <w:r w:rsidRPr="006779A9" w:rsidR="00670CCF">
        <w:t xml:space="preserve">The present case satisfies the statutory conditions for placement in foster care in </w:t>
      </w:r>
      <w:r w:rsidRPr="006779A9" w:rsidR="002D0B7D">
        <w:t>so far as</w:t>
      </w:r>
      <w:r w:rsidRPr="006779A9" w:rsidR="00670CCF">
        <w:t xml:space="preserve"> the public child protection agency and the foster family have given their consent and the</w:t>
      </w:r>
      <w:r w:rsidRPr="006779A9" w:rsidR="002D0B7D">
        <w:t xml:space="preserve"> parents’</w:t>
      </w:r>
      <w:r w:rsidRPr="006779A9" w:rsidR="00670CCF">
        <w:t xml:space="preserve"> lack of consent can be remedied by means of a judicial decision. In the child’s circumstances, her placement in a family which will take care of her, feed and educate her and </w:t>
      </w:r>
      <w:r w:rsidRPr="006779A9">
        <w:t xml:space="preserve">include her in family life would be of great benefit </w:t>
      </w:r>
      <w:r w:rsidRPr="006779A9" w:rsidR="002D0B7D">
        <w:t>in terms of</w:t>
      </w:r>
      <w:r w:rsidRPr="006779A9">
        <w:t xml:space="preserve"> her physical, intellectual and moral development </w:t>
      </w:r>
      <w:r w:rsidRPr="006779A9" w:rsidR="002D0B7D">
        <w:t>[</w:t>
      </w:r>
      <w:r w:rsidRPr="006779A9">
        <w:t>and</w:t>
      </w:r>
      <w:r w:rsidRPr="006779A9" w:rsidR="002D0B7D">
        <w:t>]</w:t>
      </w:r>
      <w:r w:rsidRPr="006779A9">
        <w:t xml:space="preserve"> her upbringing in general.”</w:t>
      </w:r>
    </w:p>
    <w:p w:rsidRPr="006779A9" w:rsidR="00EC37F2" w:rsidP="004A6EA7" w:rsidRDefault="00EC37F2" w14:paraId="2A4DBADD" w14:textId="77777777">
      <w:pPr>
        <w:pStyle w:val="JuPara"/>
      </w:pPr>
      <w:r w:rsidRPr="006779A9">
        <w:fldChar w:fldCharType="begin"/>
      </w:r>
      <w:r w:rsidRPr="006779A9">
        <w:instrText xml:space="preserve"> SEQ level0 \*arabic </w:instrText>
      </w:r>
      <w:r w:rsidRPr="006779A9">
        <w:fldChar w:fldCharType="separate"/>
      </w:r>
      <w:r w:rsidR="00830BEA">
        <w:rPr>
          <w:noProof/>
        </w:rPr>
        <w:t>26</w:t>
      </w:r>
      <w:r w:rsidRPr="006779A9">
        <w:fldChar w:fldCharType="end"/>
      </w:r>
      <w:r w:rsidRPr="006779A9">
        <w:t>.  On 13 March 2015 the applicant appealed against the decision of 11</w:t>
      </w:r>
      <w:r w:rsidR="00DA1679">
        <w:t> </w:t>
      </w:r>
      <w:r w:rsidRPr="006779A9">
        <w:t xml:space="preserve">February 2015 authorising his daughter’s placement in foster care with a view to her adoption. His wife </w:t>
      </w:r>
      <w:r w:rsidRPr="006779A9" w:rsidR="00CB5610">
        <w:t xml:space="preserve">did likewise. The applicant argued, in particular, that the judgment in question did not </w:t>
      </w:r>
      <w:r w:rsidRPr="006779A9" w:rsidR="002D0B7D">
        <w:t>give any</w:t>
      </w:r>
      <w:r w:rsidRPr="006779A9" w:rsidR="00CB5610">
        <w:t xml:space="preserve"> reasons why the child should not be </w:t>
      </w:r>
      <w:r w:rsidRPr="006779A9" w:rsidR="00AD1DBB">
        <w:t>entrusted to</w:t>
      </w:r>
      <w:r w:rsidRPr="006779A9" w:rsidR="00CB5610">
        <w:t xml:space="preserve"> his care</w:t>
      </w:r>
      <w:r w:rsidRPr="006779A9" w:rsidR="00561A98">
        <w:t xml:space="preserve"> </w:t>
      </w:r>
      <w:r w:rsidRPr="006779A9" w:rsidR="00BE7232">
        <w:t>given that he had</w:t>
      </w:r>
      <w:r w:rsidRPr="006779A9" w:rsidR="00CB5610">
        <w:t xml:space="preserve"> been acquitted of all the charges against him. He stated that </w:t>
      </w:r>
      <w:r w:rsidRPr="006779A9" w:rsidR="00AD1DBB">
        <w:t xml:space="preserve">the declaration that </w:t>
      </w:r>
      <w:r w:rsidRPr="006779A9" w:rsidR="002D0B7D">
        <w:t>his children</w:t>
      </w:r>
      <w:r w:rsidRPr="006779A9" w:rsidR="00AD1DBB">
        <w:t xml:space="preserve"> had been abandoned</w:t>
      </w:r>
      <w:r w:rsidRPr="006779A9" w:rsidR="002D0B7D">
        <w:t xml:space="preserve"> </w:t>
      </w:r>
      <w:r w:rsidRPr="006779A9" w:rsidR="00AD1DBB">
        <w:t>had resulted from</w:t>
      </w:r>
      <w:r w:rsidRPr="006779A9" w:rsidR="002D0B7D">
        <w:t xml:space="preserve"> </w:t>
      </w:r>
      <w:r w:rsidRPr="006779A9" w:rsidR="00CB5610">
        <w:t xml:space="preserve">his wife’s </w:t>
      </w:r>
      <w:r w:rsidRPr="006779A9" w:rsidR="002D0B7D">
        <w:t>conduct</w:t>
      </w:r>
      <w:r w:rsidRPr="006779A9" w:rsidR="00CB5610">
        <w:t xml:space="preserve">, </w:t>
      </w:r>
      <w:r w:rsidRPr="006779A9" w:rsidR="002D0B7D">
        <w:t>her</w:t>
      </w:r>
      <w:r w:rsidRPr="006779A9" w:rsidR="00CB5610">
        <w:t xml:space="preserve"> particular personality</w:t>
      </w:r>
      <w:r w:rsidRPr="006779A9" w:rsidR="002D0B7D">
        <w:t xml:space="preserve"> traits</w:t>
      </w:r>
      <w:r w:rsidRPr="006779A9" w:rsidR="00CB5610">
        <w:t xml:space="preserve"> and the war in Syria which they had escaped by leaving the country. He considered himself a victim of the inability of the girl’s mother to look after her; his own ability to bring up his daughter and take care of her had never been examined</w:t>
      </w:r>
      <w:r w:rsidRPr="006779A9" w:rsidR="00BE7232">
        <w:t xml:space="preserve"> by</w:t>
      </w:r>
      <w:r w:rsidRPr="006779A9" w:rsidR="00CB5610">
        <w:t xml:space="preserve"> either the administrative </w:t>
      </w:r>
      <w:r w:rsidRPr="006779A9" w:rsidR="00BE7232">
        <w:t xml:space="preserve">or the judicial </w:t>
      </w:r>
      <w:r w:rsidRPr="006779A9" w:rsidR="00CB5610">
        <w:t>authorities.</w:t>
      </w:r>
    </w:p>
    <w:p w:rsidRPr="006779A9" w:rsidR="00CB5610" w:rsidP="004A6EA7" w:rsidRDefault="00CB5610" w14:paraId="03068123" w14:textId="77777777">
      <w:pPr>
        <w:pStyle w:val="JuPara"/>
      </w:pPr>
      <w:r w:rsidRPr="006779A9">
        <w:fldChar w:fldCharType="begin"/>
      </w:r>
      <w:r w:rsidRPr="006779A9">
        <w:instrText xml:space="preserve"> SEQ level0 \*arabic </w:instrText>
      </w:r>
      <w:r w:rsidRPr="006779A9">
        <w:fldChar w:fldCharType="separate"/>
      </w:r>
      <w:r w:rsidR="00830BEA">
        <w:rPr>
          <w:noProof/>
        </w:rPr>
        <w:t>27</w:t>
      </w:r>
      <w:r w:rsidRPr="006779A9">
        <w:fldChar w:fldCharType="end"/>
      </w:r>
      <w:r w:rsidRPr="006779A9">
        <w:t>.  In her written objection to the applicant’s appeal against the decision of 11 February 2015 by the first-instance judge no. 3, the lawyer representing the regional government noted that the applicant had shown no interest in his children after they had been placed in</w:t>
      </w:r>
      <w:r w:rsidRPr="006779A9" w:rsidR="002E0543">
        <w:t xml:space="preserve"> residential</w:t>
      </w:r>
      <w:r w:rsidRPr="006779A9">
        <w:t xml:space="preserve"> </w:t>
      </w:r>
      <w:r w:rsidRPr="006779A9" w:rsidR="002E0543">
        <w:t>care</w:t>
      </w:r>
      <w:r w:rsidRPr="006779A9">
        <w:t xml:space="preserve"> in Murcia on 28 June 2012. She also observed that the applicant had not appealed against the administrative decision confirming the children’s placement in care.</w:t>
      </w:r>
    </w:p>
    <w:p w:rsidRPr="006779A9" w:rsidR="00CB5610" w:rsidP="004A6EA7" w:rsidRDefault="00CB5610" w14:paraId="2B94CED1" w14:textId="77777777">
      <w:pPr>
        <w:pStyle w:val="JuPara"/>
      </w:pPr>
      <w:r w:rsidRPr="006779A9">
        <w:fldChar w:fldCharType="begin"/>
      </w:r>
      <w:r w:rsidRPr="006779A9">
        <w:instrText xml:space="preserve"> SEQ level0 \*arabic </w:instrText>
      </w:r>
      <w:r w:rsidRPr="006779A9">
        <w:fldChar w:fldCharType="separate"/>
      </w:r>
      <w:r w:rsidR="00830BEA">
        <w:rPr>
          <w:noProof/>
        </w:rPr>
        <w:t>28</w:t>
      </w:r>
      <w:r w:rsidRPr="006779A9">
        <w:fldChar w:fldCharType="end"/>
      </w:r>
      <w:r w:rsidRPr="006779A9">
        <w:t xml:space="preserve">.  On 7 April 2016 the Murcia </w:t>
      </w:r>
      <w:r w:rsidRPr="006779A9">
        <w:rPr>
          <w:i/>
        </w:rPr>
        <w:t xml:space="preserve">Audiencia </w:t>
      </w:r>
      <w:r w:rsidRPr="006779A9" w:rsidR="002E0543">
        <w:rPr>
          <w:i/>
        </w:rPr>
        <w:t>P</w:t>
      </w:r>
      <w:r w:rsidRPr="006779A9">
        <w:rPr>
          <w:i/>
        </w:rPr>
        <w:t xml:space="preserve">rovincial </w:t>
      </w:r>
      <w:r w:rsidRPr="006779A9" w:rsidR="0051141C">
        <w:t>dismissed the appeals lodged by the applicant and his wife and upheld the impugned decision</w:t>
      </w:r>
      <w:r w:rsidRPr="006779A9" w:rsidR="002E0543">
        <w:t xml:space="preserve"> in the following terms</w:t>
      </w:r>
      <w:r w:rsidRPr="006779A9" w:rsidR="0051141C">
        <w:t>:</w:t>
      </w:r>
    </w:p>
    <w:p w:rsidRPr="006779A9" w:rsidR="0051141C" w:rsidP="004A6EA7" w:rsidRDefault="0051141C" w14:paraId="06CEFD20" w14:textId="77777777">
      <w:pPr>
        <w:pStyle w:val="JuQuot"/>
      </w:pPr>
      <w:r w:rsidRPr="006779A9">
        <w:t xml:space="preserve"> “</w:t>
      </w:r>
      <w:r w:rsidRPr="006779A9" w:rsidR="004A6EA7">
        <w:t xml:space="preserve">... </w:t>
      </w:r>
      <w:r w:rsidRPr="006779A9">
        <w:t xml:space="preserve">according to the decision under appeal, such a measure [the placement of the child in foster care with a view to adoption] </w:t>
      </w:r>
      <w:r w:rsidRPr="006779A9" w:rsidR="00561A98">
        <w:t xml:space="preserve">will </w:t>
      </w:r>
      <w:r w:rsidRPr="006779A9">
        <w:t xml:space="preserve">safeguard the child’s best interests and </w:t>
      </w:r>
      <w:r w:rsidRPr="006779A9" w:rsidR="002E0543">
        <w:t>contribute effectively</w:t>
      </w:r>
      <w:r w:rsidRPr="006779A9">
        <w:t xml:space="preserve"> to her overall development.</w:t>
      </w:r>
    </w:p>
    <w:p w:rsidRPr="006779A9" w:rsidR="004A6EA7" w:rsidP="004A6EA7" w:rsidRDefault="004A6EA7" w14:paraId="4DD16CE5" w14:textId="77777777">
      <w:pPr>
        <w:pStyle w:val="JuQuot"/>
      </w:pPr>
      <w:r w:rsidRPr="006779A9">
        <w:t>...</w:t>
      </w:r>
    </w:p>
    <w:p w:rsidRPr="006779A9" w:rsidR="0051141C" w:rsidP="004A6EA7" w:rsidRDefault="00561A98" w14:paraId="764B76D6" w14:textId="77777777">
      <w:pPr>
        <w:pStyle w:val="JuQuot"/>
      </w:pPr>
      <w:r w:rsidRPr="006779A9">
        <w:t>Account should be taken</w:t>
      </w:r>
      <w:r w:rsidRPr="006779A9" w:rsidR="0051141C">
        <w:t xml:space="preserve"> of the assessment made by the administrative authorities regarding the </w:t>
      </w:r>
      <w:r w:rsidRPr="006779A9">
        <w:t>appellant’s</w:t>
      </w:r>
      <w:r w:rsidRPr="006779A9" w:rsidR="0051141C">
        <w:t xml:space="preserve"> lack of interest. Firstly, he did not take any action after requesting information regarding his children’s situation and being provided with that information in February 2013. Secondly, he did not intervene in the proceedings, with the exception of one written submission filed on 19 November 2013, despite being informed on several occasions of the confirmation of the decision to place his children in State care in April 2013 …</w:t>
      </w:r>
    </w:p>
    <w:p w:rsidRPr="006779A9" w:rsidR="0051141C" w:rsidP="004A6EA7" w:rsidRDefault="0051141C" w14:paraId="481AF44A" w14:textId="77777777">
      <w:pPr>
        <w:pStyle w:val="JuQuot"/>
      </w:pPr>
      <w:r w:rsidRPr="006779A9">
        <w:t xml:space="preserve">It was </w:t>
      </w:r>
      <w:r w:rsidRPr="006779A9" w:rsidR="002E0543">
        <w:t>only on</w:t>
      </w:r>
      <w:r w:rsidRPr="006779A9">
        <w:t xml:space="preserve"> 28 May 2014, after several unsuccessful attempts </w:t>
      </w:r>
      <w:r w:rsidRPr="006779A9" w:rsidR="002E0543">
        <w:t xml:space="preserve">had been made </w:t>
      </w:r>
      <w:r w:rsidRPr="006779A9">
        <w:t xml:space="preserve">to notify the </w:t>
      </w:r>
      <w:r w:rsidRPr="006779A9" w:rsidR="00561A98">
        <w:t>appellant</w:t>
      </w:r>
      <w:r w:rsidRPr="006779A9">
        <w:t>, that he intervened in the proceedings to appeal against the decision to place A. [his daughter] with a foster family.</w:t>
      </w:r>
    </w:p>
    <w:p w:rsidRPr="006779A9" w:rsidR="00064DC4" w:rsidP="004A6EA7" w:rsidRDefault="00064DC4" w14:paraId="4D1AA129" w14:textId="77777777">
      <w:pPr>
        <w:pStyle w:val="JuQuot"/>
      </w:pPr>
      <w:r w:rsidRPr="006779A9">
        <w:t xml:space="preserve">… It appears from the </w:t>
      </w:r>
      <w:r w:rsidRPr="006779A9" w:rsidR="008C00EF">
        <w:t>orientation report</w:t>
      </w:r>
      <w:r w:rsidRPr="006779A9">
        <w:t xml:space="preserve"> of 28 February 2014 that the child lived in the child protection centre for a year and three months and has no contact with her father. Furthermore, the evidence examined, and in particular the follow-up report of 18 December 2014, show</w:t>
      </w:r>
      <w:r w:rsidRPr="006779A9" w:rsidR="00C45410">
        <w:t>s</w:t>
      </w:r>
      <w:r w:rsidRPr="006779A9">
        <w:t xml:space="preserve"> that strong emotional bonds have </w:t>
      </w:r>
      <w:r w:rsidRPr="006779A9" w:rsidR="00A418CB">
        <w:t>been formed</w:t>
      </w:r>
      <w:r w:rsidRPr="006779A9">
        <w:t xml:space="preserve"> and that the child identifies as a member of the foster family and has adjusted to her new social and family environment. The report finds that this environment meets A.’s needs and that the foster care is having a beneficial impact on her personal development. It adds that the best outcome for her would be for her to be adopted by her foster parents, [and that it is necessary] to assess the possible negative consequences if her foster care were </w:t>
      </w:r>
      <w:r w:rsidRPr="006779A9" w:rsidR="00C45410">
        <w:t xml:space="preserve">to be </w:t>
      </w:r>
      <w:r w:rsidRPr="006779A9">
        <w:t xml:space="preserve">terminated. Specifically, the report states that this would be tantamount to an attack on the child in all </w:t>
      </w:r>
      <w:r w:rsidRPr="006779A9" w:rsidR="00C45410">
        <w:t>aspects</w:t>
      </w:r>
      <w:r w:rsidRPr="006779A9">
        <w:t xml:space="preserve"> of her physical, intellectual and moral development. This would pose a serious threat to her mental health and </w:t>
      </w:r>
      <w:r w:rsidRPr="006779A9" w:rsidR="005D0478">
        <w:t>would affect the development of her personality and her ability to form personal relationships throughout her life.</w:t>
      </w:r>
    </w:p>
    <w:p w:rsidRPr="006779A9" w:rsidR="004A6EA7" w:rsidP="004A6EA7" w:rsidRDefault="004A6EA7" w14:paraId="11A5796A" w14:textId="77777777">
      <w:pPr>
        <w:pStyle w:val="JuQuot"/>
      </w:pPr>
      <w:r w:rsidRPr="006779A9">
        <w:t>...</w:t>
      </w:r>
    </w:p>
    <w:p w:rsidRPr="006779A9" w:rsidR="005D0478" w:rsidP="004A6EA7" w:rsidRDefault="005D0478" w14:paraId="142F90FB" w14:textId="77777777">
      <w:pPr>
        <w:pStyle w:val="JuQuot"/>
      </w:pPr>
      <w:r w:rsidRPr="006779A9">
        <w:t xml:space="preserve">It should be added that the document submitted by [the applicant] (Mr Haddad) in the appeal proceedings, in which the child protection department stated that A.’s two brothers (L., aged thirteen and Ad., aged ten) </w:t>
      </w:r>
      <w:r w:rsidRPr="006779A9" w:rsidR="002E0543">
        <w:t>were being taken out of State</w:t>
      </w:r>
      <w:r w:rsidRPr="006779A9">
        <w:t xml:space="preserve"> care </w:t>
      </w:r>
      <w:r w:rsidRPr="006779A9" w:rsidR="002E0543">
        <w:t>because</w:t>
      </w:r>
      <w:r w:rsidRPr="006779A9">
        <w:t xml:space="preserve"> they had gone back to live with their father, is completely irrelevant. Firstly, the document makes no mention of the reasons for </w:t>
      </w:r>
      <w:r w:rsidRPr="006779A9" w:rsidR="002E0543">
        <w:t>taking the children out of</w:t>
      </w:r>
      <w:r w:rsidRPr="006779A9">
        <w:t xml:space="preserve"> care</w:t>
      </w:r>
      <w:r w:rsidRPr="006779A9" w:rsidR="00503B7A">
        <w:t>.</w:t>
      </w:r>
      <w:r w:rsidRPr="006779A9">
        <w:t xml:space="preserve"> </w:t>
      </w:r>
      <w:r w:rsidRPr="006779A9" w:rsidR="00503B7A">
        <w:t>Secondly</w:t>
      </w:r>
      <w:r w:rsidRPr="006779A9">
        <w:t xml:space="preserve">, the current situation with regard to A., who is four years old, </w:t>
      </w:r>
      <w:r w:rsidRPr="006779A9" w:rsidR="00BE7232">
        <w:t xml:space="preserve">does not militate in favour of a change of approach in her case, </w:t>
      </w:r>
      <w:r w:rsidRPr="006779A9">
        <w:t xml:space="preserve">in the </w:t>
      </w:r>
      <w:r w:rsidRPr="006779A9" w:rsidR="00503B7A">
        <w:t>light</w:t>
      </w:r>
      <w:r w:rsidRPr="006779A9">
        <w:t xml:space="preserve"> of </w:t>
      </w:r>
      <w:r w:rsidRPr="006779A9" w:rsidR="00503B7A">
        <w:t>her</w:t>
      </w:r>
      <w:r w:rsidRPr="006779A9" w:rsidR="00D660AC">
        <w:t xml:space="preserve"> ongoing</w:t>
      </w:r>
      <w:r w:rsidRPr="006779A9" w:rsidR="00503B7A">
        <w:t xml:space="preserve"> placement in foster care </w:t>
      </w:r>
      <w:r w:rsidRPr="006779A9">
        <w:t>with a view to her adoption, [the process] of integration [in</w:t>
      </w:r>
      <w:r w:rsidRPr="006779A9" w:rsidR="00BE7232">
        <w:t>to</w:t>
      </w:r>
      <w:r w:rsidRPr="006779A9">
        <w:t xml:space="preserve"> the family] and the negative and damaging consequences which would result from the termination of </w:t>
      </w:r>
      <w:r w:rsidRPr="006779A9" w:rsidR="00503B7A">
        <w:t>the foster care</w:t>
      </w:r>
      <w:r w:rsidRPr="006779A9" w:rsidR="00C53297">
        <w:t>, as established by the expert reports …”</w:t>
      </w:r>
    </w:p>
    <w:p w:rsidRPr="006779A9" w:rsidR="00C53297" w:rsidP="004A6EA7" w:rsidRDefault="00C53297" w14:paraId="7FD9ACDE" w14:textId="77777777">
      <w:pPr>
        <w:pStyle w:val="JuPara"/>
      </w:pPr>
      <w:r w:rsidRPr="006779A9">
        <w:fldChar w:fldCharType="begin"/>
      </w:r>
      <w:r w:rsidRPr="006779A9">
        <w:instrText xml:space="preserve"> SEQ level0 \*arabic </w:instrText>
      </w:r>
      <w:r w:rsidRPr="006779A9">
        <w:fldChar w:fldCharType="separate"/>
      </w:r>
      <w:r w:rsidR="00830BEA">
        <w:rPr>
          <w:noProof/>
        </w:rPr>
        <w:t>29</w:t>
      </w:r>
      <w:r w:rsidRPr="006779A9">
        <w:fldChar w:fldCharType="end"/>
      </w:r>
      <w:r w:rsidRPr="006779A9">
        <w:t>.  On 26 February 2016 the regional government terminated the placement of the applicant’s two sons in the care of the child protection department and authorised their return to their father. They have been living with him since that date.</w:t>
      </w:r>
    </w:p>
    <w:p w:rsidRPr="006779A9" w:rsidR="00C53297" w:rsidP="004A6EA7" w:rsidRDefault="00C53297" w14:paraId="5CC9CFFC" w14:textId="77777777">
      <w:pPr>
        <w:pStyle w:val="JuPara"/>
      </w:pPr>
      <w:r w:rsidRPr="006779A9">
        <w:fldChar w:fldCharType="begin"/>
      </w:r>
      <w:r w:rsidRPr="006779A9">
        <w:instrText xml:space="preserve"> SEQ level0 \*arabic </w:instrText>
      </w:r>
      <w:r w:rsidRPr="006779A9">
        <w:fldChar w:fldCharType="separate"/>
      </w:r>
      <w:r w:rsidR="00830BEA">
        <w:rPr>
          <w:noProof/>
        </w:rPr>
        <w:t>30</w:t>
      </w:r>
      <w:r w:rsidRPr="006779A9">
        <w:fldChar w:fldCharType="end"/>
      </w:r>
      <w:r w:rsidRPr="006779A9">
        <w:t xml:space="preserve">.  On 13 June 2016 the applicant lodged an </w:t>
      </w:r>
      <w:r w:rsidRPr="006779A9">
        <w:rPr>
          <w:i/>
        </w:rPr>
        <w:t xml:space="preserve">amparo </w:t>
      </w:r>
      <w:r w:rsidRPr="006779A9">
        <w:t xml:space="preserve">appeal with the Constitutional Court in which he set out, in a </w:t>
      </w:r>
      <w:r w:rsidRPr="006779A9" w:rsidR="005C4C98">
        <w:t>separate</w:t>
      </w:r>
      <w:r w:rsidRPr="006779A9">
        <w:t xml:space="preserve"> section, the re</w:t>
      </w:r>
      <w:r w:rsidRPr="006779A9" w:rsidR="005C4C98">
        <w:t>a</w:t>
      </w:r>
      <w:r w:rsidRPr="006779A9">
        <w:t>sons why</w:t>
      </w:r>
      <w:r w:rsidRPr="006779A9" w:rsidR="005C4C98">
        <w:t xml:space="preserve"> he considered his</w:t>
      </w:r>
      <w:r w:rsidRPr="006779A9">
        <w:t xml:space="preserve"> action </w:t>
      </w:r>
      <w:r w:rsidRPr="006779A9" w:rsidR="005C4C98">
        <w:t>to have</w:t>
      </w:r>
      <w:r w:rsidRPr="006779A9">
        <w:t xml:space="preserve"> special constitutional significance. He relied on Article 24 (right to a fair trial) and </w:t>
      </w:r>
      <w:r w:rsidRPr="006779A9" w:rsidR="00BE7232">
        <w:t xml:space="preserve">Article </w:t>
      </w:r>
      <w:r w:rsidRPr="006779A9">
        <w:t xml:space="preserve">39 of the Constitution and on Article 8 of the Convention, </w:t>
      </w:r>
      <w:r w:rsidRPr="006779A9" w:rsidR="005C4C98">
        <w:t>arguing</w:t>
      </w:r>
      <w:r w:rsidRPr="006779A9">
        <w:t xml:space="preserve"> that the judicial decisions had prevented him </w:t>
      </w:r>
      <w:r w:rsidRPr="006779A9" w:rsidR="004B132D">
        <w:t>from being reunited with</w:t>
      </w:r>
      <w:r w:rsidRPr="006779A9">
        <w:t xml:space="preserve"> his daughter owing to serious errors in the various reports </w:t>
      </w:r>
      <w:r w:rsidRPr="006779A9" w:rsidR="00D660AC">
        <w:t>by</w:t>
      </w:r>
      <w:r w:rsidRPr="006779A9">
        <w:t xml:space="preserve"> the administrative authorities that had served as the basis for the domestic courts’ reasoning. In a decision served on 19 October 2016 the Constitutional Court declared the </w:t>
      </w:r>
      <w:r w:rsidRPr="006779A9">
        <w:rPr>
          <w:i/>
        </w:rPr>
        <w:t xml:space="preserve">amparo </w:t>
      </w:r>
      <w:r w:rsidRPr="006779A9">
        <w:t>appeal inadmissible on the grounds that the applicant had not demonstrated the constitutional significance of his appeal.</w:t>
      </w:r>
    </w:p>
    <w:p w:rsidRPr="006779A9" w:rsidR="004A6EA7" w:rsidP="005E7BAD" w:rsidRDefault="004A6EA7" w14:paraId="453CE2D1" w14:textId="77777777">
      <w:pPr>
        <w:pStyle w:val="JuHIRoman"/>
      </w:pPr>
      <w:r w:rsidRPr="006779A9">
        <w:t>RELEVANT DOMESTIC LAW</w:t>
      </w:r>
    </w:p>
    <w:p w:rsidRPr="006779A9" w:rsidR="005C4C98" w:rsidP="004A6EA7" w:rsidRDefault="005C4C98" w14:paraId="4BD657D2" w14:textId="77777777">
      <w:pPr>
        <w:pStyle w:val="JuPara"/>
      </w:pPr>
      <w:r w:rsidRPr="006779A9">
        <w:fldChar w:fldCharType="begin"/>
      </w:r>
      <w:r w:rsidRPr="006779A9">
        <w:instrText xml:space="preserve"> SEQ level0 \*arabic </w:instrText>
      </w:r>
      <w:r w:rsidRPr="006779A9">
        <w:fldChar w:fldCharType="separate"/>
      </w:r>
      <w:r w:rsidR="00830BEA">
        <w:rPr>
          <w:noProof/>
        </w:rPr>
        <w:t>31</w:t>
      </w:r>
      <w:r w:rsidRPr="006779A9">
        <w:fldChar w:fldCharType="end"/>
      </w:r>
      <w:r w:rsidRPr="006779A9">
        <w:t>.  The provisions of the Constitution of relevance to the present case read as follows:</w:t>
      </w:r>
    </w:p>
    <w:p w:rsidRPr="006779A9" w:rsidR="004A6EA7" w:rsidP="00663410" w:rsidRDefault="004A6EA7" w14:paraId="78F402B4" w14:textId="77777777">
      <w:pPr>
        <w:pStyle w:val="JuHArticle"/>
      </w:pPr>
      <w:r w:rsidRPr="006779A9">
        <w:t>Article 24</w:t>
      </w:r>
    </w:p>
    <w:p w:rsidRPr="006779A9" w:rsidR="004A6EA7" w:rsidP="004A6EA7" w:rsidRDefault="005C4C98" w14:paraId="4418B76A" w14:textId="77777777">
      <w:pPr>
        <w:pStyle w:val="JuQuot"/>
        <w:tabs>
          <w:tab w:val="left" w:pos="6804"/>
        </w:tabs>
      </w:pPr>
      <w:bookmarkStart w:name="lt_pId158" w:id="2"/>
      <w:r w:rsidRPr="006779A9">
        <w:t xml:space="preserve">“1. Everyone shall have the right to effective protection by the judges and courts in the exercise of his </w:t>
      </w:r>
      <w:r w:rsidRPr="006779A9" w:rsidR="00663410">
        <w:t xml:space="preserve">or her </w:t>
      </w:r>
      <w:r w:rsidRPr="006779A9">
        <w:t>rights and legitimate interests; in no circumstances may there be any denial of defence rights.</w:t>
      </w:r>
      <w:bookmarkEnd w:id="2"/>
    </w:p>
    <w:p w:rsidRPr="006779A9" w:rsidR="005C4C98" w:rsidP="004A6EA7" w:rsidRDefault="005C4C98" w14:paraId="03413973" w14:textId="77777777">
      <w:pPr>
        <w:pStyle w:val="JuQuot"/>
        <w:tabs>
          <w:tab w:val="left" w:pos="6804"/>
        </w:tabs>
      </w:pPr>
      <w:r w:rsidRPr="006779A9">
        <w:t>…”</w:t>
      </w:r>
    </w:p>
    <w:p w:rsidRPr="006779A9" w:rsidR="004A6EA7" w:rsidP="00663410" w:rsidRDefault="004A6EA7" w14:paraId="78459F61" w14:textId="77777777">
      <w:pPr>
        <w:pStyle w:val="JuHArticle"/>
      </w:pPr>
      <w:r w:rsidRPr="006779A9">
        <w:t>Article 39</w:t>
      </w:r>
    </w:p>
    <w:p w:rsidRPr="006779A9" w:rsidR="005C4C98" w:rsidP="005C4C98" w:rsidRDefault="005C4C98" w14:paraId="22004BB2" w14:textId="77777777">
      <w:pPr>
        <w:pStyle w:val="JuQuot"/>
      </w:pPr>
      <w:r w:rsidRPr="006779A9">
        <w:t>“</w:t>
      </w:r>
      <w:r w:rsidRPr="006779A9" w:rsidR="004A6EA7">
        <w:t xml:space="preserve">1. </w:t>
      </w:r>
      <w:r w:rsidRPr="006779A9">
        <w:t>The State authorities shall ensure that the family is afforded social, economic and legal protection.</w:t>
      </w:r>
    </w:p>
    <w:p w:rsidRPr="006779A9" w:rsidR="005C4C98" w:rsidP="004A6EA7" w:rsidRDefault="005C4C98" w14:paraId="0064B506" w14:textId="77777777">
      <w:pPr>
        <w:pStyle w:val="JuQuot"/>
      </w:pPr>
    </w:p>
    <w:p w:rsidRPr="006779A9" w:rsidR="005C4C98" w:rsidP="004A6EA7" w:rsidRDefault="004A6EA7" w14:paraId="328153FD" w14:textId="77777777">
      <w:pPr>
        <w:pStyle w:val="JuQuot"/>
      </w:pPr>
      <w:r w:rsidRPr="006779A9">
        <w:t xml:space="preserve">2. </w:t>
      </w:r>
      <w:r w:rsidRPr="006779A9" w:rsidR="005C4C98">
        <w:t>The authorities shall also afford full protection to children, who shall be equal before the law irrespective of their parentage, and to mothers, irrespective of marital status. The law shall make it possible to investigate one’s paternity.</w:t>
      </w:r>
    </w:p>
    <w:p w:rsidRPr="006779A9" w:rsidR="005C4C98" w:rsidP="004A6EA7" w:rsidRDefault="004A6EA7" w14:paraId="267FDC37" w14:textId="77777777">
      <w:pPr>
        <w:pStyle w:val="JuQuot"/>
      </w:pPr>
      <w:r w:rsidRPr="006779A9">
        <w:t xml:space="preserve">3. </w:t>
      </w:r>
      <w:r w:rsidRPr="006779A9" w:rsidR="005C4C98">
        <w:t>Parents must lend assistance to their children in all spheres, whether the children were born within or outside marriage, until they reach full age and in the other cases provided for by law.</w:t>
      </w:r>
    </w:p>
    <w:p w:rsidRPr="006779A9" w:rsidR="004A6EA7" w:rsidP="004A6EA7" w:rsidRDefault="004A6EA7" w14:paraId="123000E7" w14:textId="77777777">
      <w:pPr>
        <w:pStyle w:val="JuQuot"/>
      </w:pPr>
      <w:r w:rsidRPr="006779A9">
        <w:t xml:space="preserve">4. </w:t>
      </w:r>
      <w:r w:rsidRPr="006779A9" w:rsidR="005C4C98">
        <w:t>Children shall enjoy the protection provided for in the international agreements safeguarding their rights.” </w:t>
      </w:r>
    </w:p>
    <w:p w:rsidRPr="006779A9" w:rsidR="005C4C98" w:rsidP="004A6EA7" w:rsidRDefault="00D41989" w14:paraId="569F4601" w14:textId="77777777">
      <w:pPr>
        <w:pStyle w:val="JuPara"/>
      </w:pPr>
      <w:r w:rsidRPr="006779A9">
        <w:fldChar w:fldCharType="begin"/>
      </w:r>
      <w:r w:rsidRPr="006779A9">
        <w:instrText xml:space="preserve"> SEQ level0 \*arabic </w:instrText>
      </w:r>
      <w:r w:rsidRPr="006779A9">
        <w:fldChar w:fldCharType="separate"/>
      </w:r>
      <w:r w:rsidR="00830BEA">
        <w:rPr>
          <w:noProof/>
        </w:rPr>
        <w:t>32</w:t>
      </w:r>
      <w:r w:rsidRPr="006779A9">
        <w:fldChar w:fldCharType="end"/>
      </w:r>
      <w:r w:rsidRPr="006779A9">
        <w:t>.  </w:t>
      </w:r>
      <w:r w:rsidRPr="006779A9" w:rsidR="005C4C98">
        <w:t>Section 17 of Institutional Law no. 1/1996 of 15 January 1996 on the legal protection of minors provides as follows:</w:t>
      </w:r>
    </w:p>
    <w:p w:rsidRPr="006779A9" w:rsidR="00AC5737" w:rsidP="00AC5737" w:rsidRDefault="005C4C98" w14:paraId="374D7506" w14:textId="77777777">
      <w:pPr>
        <w:pStyle w:val="JuQuot"/>
        <w:rPr>
          <w:rFonts w:eastAsia="Times New Roman" w:cs="Times New Roman"/>
        </w:rPr>
      </w:pPr>
      <w:r w:rsidRPr="006779A9">
        <w:t xml:space="preserve"> </w:t>
      </w:r>
      <w:r w:rsidRPr="006779A9" w:rsidR="00AC5737">
        <w:rPr>
          <w:rFonts w:eastAsia="Times New Roman" w:cs="Times New Roman"/>
        </w:rPr>
        <w:t xml:space="preserve"> “In any risk situation, whatever</w:t>
      </w:r>
      <w:r w:rsidRPr="006779A9" w:rsidR="00663410">
        <w:rPr>
          <w:rFonts w:eastAsia="Times New Roman" w:cs="Times New Roman"/>
        </w:rPr>
        <w:t xml:space="preserve"> its</w:t>
      </w:r>
      <w:r w:rsidRPr="006779A9" w:rsidR="00AC5737">
        <w:rPr>
          <w:rFonts w:eastAsia="Times New Roman" w:cs="Times New Roman"/>
        </w:rPr>
        <w:t xml:space="preserve"> nature, that is harmful to the </w:t>
      </w:r>
      <w:r w:rsidRPr="006779A9" w:rsidR="005E7BAD">
        <w:rPr>
          <w:rFonts w:eastAsia="Times New Roman" w:cs="Times New Roman"/>
        </w:rPr>
        <w:t>minor</w:t>
      </w:r>
      <w:r w:rsidRPr="006779A9" w:rsidR="00AC5737">
        <w:rPr>
          <w:rFonts w:eastAsia="Times New Roman" w:cs="Times New Roman"/>
        </w:rPr>
        <w:t>’s personal or social development and does not require a guardianship order under the law, the action</w:t>
      </w:r>
      <w:r w:rsidRPr="006779A9" w:rsidR="00BA006C">
        <w:rPr>
          <w:rFonts w:eastAsia="Times New Roman" w:cs="Times New Roman"/>
        </w:rPr>
        <w:t xml:space="preserve"> taken by</w:t>
      </w:r>
      <w:r w:rsidRPr="006779A9" w:rsidR="00AC5737">
        <w:rPr>
          <w:rFonts w:eastAsia="Times New Roman" w:cs="Times New Roman"/>
        </w:rPr>
        <w:t xml:space="preserve"> the </w:t>
      </w:r>
      <w:r w:rsidRPr="006779A9" w:rsidR="00AC5737">
        <w:t>public</w:t>
      </w:r>
      <w:r w:rsidRPr="006779A9" w:rsidR="00AC5737">
        <w:rPr>
          <w:rFonts w:eastAsia="Times New Roman" w:cs="Times New Roman"/>
        </w:rPr>
        <w:t xml:space="preserve"> authorities shall in all cases secure the </w:t>
      </w:r>
      <w:r w:rsidRPr="006779A9" w:rsidR="005E7BAD">
        <w:rPr>
          <w:rFonts w:eastAsia="Times New Roman" w:cs="Times New Roman"/>
        </w:rPr>
        <w:t>minor</w:t>
      </w:r>
      <w:r w:rsidRPr="006779A9" w:rsidR="00AC5737">
        <w:rPr>
          <w:rFonts w:eastAsia="Times New Roman" w:cs="Times New Roman"/>
        </w:rPr>
        <w:t xml:space="preserve">’s rights and be aimed at reducing the risk factors and social difficulties impacting on his or her personal and social situation, while providing the necessary protection to the </w:t>
      </w:r>
      <w:r w:rsidRPr="006779A9" w:rsidR="005E7BAD">
        <w:rPr>
          <w:rFonts w:eastAsia="Times New Roman" w:cs="Times New Roman"/>
        </w:rPr>
        <w:t>minor</w:t>
      </w:r>
      <w:r w:rsidRPr="006779A9" w:rsidR="00AC5737">
        <w:rPr>
          <w:rFonts w:eastAsia="Times New Roman" w:cs="Times New Roman"/>
        </w:rPr>
        <w:t xml:space="preserve"> and his or her family.</w:t>
      </w:r>
    </w:p>
    <w:p w:rsidRPr="006779A9" w:rsidR="00AC5737" w:rsidP="00AC5737" w:rsidRDefault="00AC5737" w14:paraId="318F26CC" w14:textId="77777777">
      <w:pPr>
        <w:pStyle w:val="JuQuot"/>
        <w:rPr>
          <w:rFonts w:eastAsia="Times New Roman" w:cs="Times New Roman"/>
        </w:rPr>
      </w:pPr>
      <w:r w:rsidRPr="006779A9">
        <w:rPr>
          <w:rFonts w:eastAsia="Times New Roman" w:cs="Times New Roman"/>
        </w:rPr>
        <w:t xml:space="preserve">Once the risk has been assessed the child protection authorities shall take the necessary steps to </w:t>
      </w:r>
      <w:r w:rsidRPr="006779A9">
        <w:t>attenuate</w:t>
      </w:r>
      <w:r w:rsidRPr="006779A9">
        <w:rPr>
          <w:rFonts w:eastAsia="Times New Roman" w:cs="Times New Roman"/>
        </w:rPr>
        <w:t xml:space="preserve"> the risk and shall monitor the </w:t>
      </w:r>
      <w:r w:rsidRPr="006779A9" w:rsidR="005E7BAD">
        <w:rPr>
          <w:rFonts w:eastAsia="Times New Roman" w:cs="Times New Roman"/>
        </w:rPr>
        <w:t>minor</w:t>
      </w:r>
      <w:r w:rsidRPr="006779A9">
        <w:rPr>
          <w:rFonts w:eastAsia="Times New Roman" w:cs="Times New Roman"/>
        </w:rPr>
        <w:t>’s progress within the family.”</w:t>
      </w:r>
    </w:p>
    <w:p w:rsidRPr="006779A9" w:rsidR="00AC5737" w:rsidP="00AC5737" w:rsidRDefault="00D41989" w14:paraId="5BD01BC0" w14:textId="77777777">
      <w:pPr>
        <w:pStyle w:val="JuPara"/>
        <w:rPr>
          <w:rFonts w:eastAsia="Times New Roman" w:cs="Times New Roman"/>
        </w:rPr>
      </w:pPr>
      <w:r w:rsidRPr="006779A9">
        <w:rPr>
          <w:rFonts w:eastAsia="Times New Roman" w:cs="Times New Roman"/>
        </w:rPr>
        <w:fldChar w:fldCharType="begin"/>
      </w:r>
      <w:r w:rsidRPr="006779A9">
        <w:rPr>
          <w:rFonts w:eastAsia="Times New Roman" w:cs="Times New Roman"/>
        </w:rPr>
        <w:instrText xml:space="preserve"> SEQ level0 \*arabic </w:instrText>
      </w:r>
      <w:r w:rsidRPr="006779A9">
        <w:rPr>
          <w:rFonts w:eastAsia="Times New Roman" w:cs="Times New Roman"/>
        </w:rPr>
        <w:fldChar w:fldCharType="separate"/>
      </w:r>
      <w:r w:rsidR="00830BEA">
        <w:rPr>
          <w:rFonts w:eastAsia="Times New Roman" w:cs="Times New Roman"/>
          <w:noProof/>
        </w:rPr>
        <w:t>33</w:t>
      </w:r>
      <w:r w:rsidRPr="006779A9">
        <w:rPr>
          <w:rFonts w:eastAsia="Times New Roman" w:cs="Times New Roman"/>
        </w:rPr>
        <w:fldChar w:fldCharType="end"/>
      </w:r>
      <w:r w:rsidRPr="006779A9">
        <w:rPr>
          <w:rFonts w:eastAsia="Times New Roman" w:cs="Times New Roman"/>
        </w:rPr>
        <w:t>.  </w:t>
      </w:r>
      <w:r w:rsidRPr="006779A9" w:rsidR="00AC5737">
        <w:rPr>
          <w:rFonts w:eastAsia="Times New Roman" w:cs="Times New Roman"/>
        </w:rPr>
        <w:t xml:space="preserve">The relevant provisions </w:t>
      </w:r>
      <w:r w:rsidRPr="006779A9" w:rsidR="00AC5737">
        <w:t>of</w:t>
      </w:r>
      <w:r w:rsidRPr="006779A9" w:rsidR="00AC5737">
        <w:rPr>
          <w:rFonts w:eastAsia="Times New Roman" w:cs="Times New Roman"/>
        </w:rPr>
        <w:t xml:space="preserve"> the Civil Code read as follows:</w:t>
      </w:r>
    </w:p>
    <w:p w:rsidRPr="006779A9" w:rsidR="00AC5737" w:rsidP="00AC5737" w:rsidRDefault="00AC5737" w14:paraId="59C58511" w14:textId="77777777">
      <w:pPr>
        <w:pStyle w:val="JuHArticle"/>
        <w:rPr>
          <w:rFonts w:eastAsia="Times New Roman"/>
        </w:rPr>
      </w:pPr>
      <w:r w:rsidRPr="006779A9">
        <w:rPr>
          <w:rFonts w:eastAsia="Times New Roman"/>
        </w:rPr>
        <w:t>Article 172</w:t>
      </w:r>
    </w:p>
    <w:p w:rsidRPr="006779A9" w:rsidR="00AC5737" w:rsidP="00AC5737" w:rsidRDefault="00AC5737" w14:paraId="098EC1BC" w14:textId="77777777">
      <w:pPr>
        <w:pStyle w:val="JuQuot"/>
        <w:rPr>
          <w:rFonts w:eastAsia="Times New Roman" w:cs="Times New Roman"/>
        </w:rPr>
      </w:pPr>
      <w:r w:rsidRPr="006779A9">
        <w:rPr>
          <w:rFonts w:eastAsia="Times New Roman" w:cs="Times New Roman"/>
        </w:rPr>
        <w:t>“1. Where the regional agency responsible for the protection of minors observes that a minor has been declared abandoned, it shall automatically take over his or her guardianship and shall put in place the necessary protective and guardianship arrangements … [The parents and guardians] shall, in so far as possible, be informed in person and in a clear and comprehensible manner of the reasons for the authorities’ intervention and the potential consequences of the decision adopted.</w:t>
      </w:r>
    </w:p>
    <w:p w:rsidRPr="006779A9" w:rsidR="00AC5737" w:rsidP="00AC5737" w:rsidRDefault="00AC5737" w14:paraId="44AAF3A2" w14:textId="77777777">
      <w:pPr>
        <w:pStyle w:val="JuQuot"/>
        <w:rPr>
          <w:rFonts w:eastAsia="Times New Roman" w:cs="Times New Roman"/>
        </w:rPr>
      </w:pPr>
      <w:r w:rsidRPr="006779A9">
        <w:rPr>
          <w:rFonts w:eastAsia="Times New Roman" w:cs="Times New Roman"/>
        </w:rPr>
        <w:t xml:space="preserve">A minor shall be </w:t>
      </w:r>
      <w:r w:rsidRPr="006779A9" w:rsidR="006B6519">
        <w:rPr>
          <w:rFonts w:eastAsia="Times New Roman" w:cs="Times New Roman"/>
        </w:rPr>
        <w:t xml:space="preserve">legally </w:t>
      </w:r>
      <w:r w:rsidRPr="006779A9">
        <w:rPr>
          <w:rFonts w:eastAsia="Times New Roman" w:cs="Times New Roman"/>
        </w:rPr>
        <w:t xml:space="preserve">considered abandoned where he or she is in a </w:t>
      </w:r>
      <w:r w:rsidRPr="006779A9">
        <w:rPr>
          <w:rFonts w:eastAsia="Times New Roman" w:cs="Times New Roman"/>
          <w:i/>
          <w:iCs/>
        </w:rPr>
        <w:t xml:space="preserve">de facto </w:t>
      </w:r>
      <w:r w:rsidRPr="006779A9">
        <w:rPr>
          <w:rFonts w:eastAsia="Times New Roman" w:cs="Times New Roman"/>
        </w:rPr>
        <w:t>situation stemming either from a failure to fulfil the protective duties set out in the legislation on the guardianship of minors, or from an inability to fulfil those duties or carry them out in the proper manner, and where he or she is deprived of the requisite moral or material assistance.</w:t>
      </w:r>
    </w:p>
    <w:p w:rsidRPr="006779A9" w:rsidR="00AC5737" w:rsidP="00AC5737" w:rsidRDefault="00AC5737" w14:paraId="6D515960" w14:textId="77777777">
      <w:pPr>
        <w:pStyle w:val="JuQuot"/>
        <w:rPr>
          <w:rFonts w:eastAsia="Times New Roman" w:cs="Times New Roman"/>
        </w:rPr>
      </w:pPr>
      <w:r w:rsidRPr="006779A9">
        <w:rPr>
          <w:rFonts w:eastAsia="Times New Roman" w:cs="Times New Roman"/>
        </w:rPr>
        <w:t xml:space="preserve">The exercise of guardianship by the authorities shall entail </w:t>
      </w:r>
      <w:r w:rsidRPr="006779A9" w:rsidR="00BA006C">
        <w:rPr>
          <w:rFonts w:eastAsia="Times New Roman" w:cs="Times New Roman"/>
        </w:rPr>
        <w:t xml:space="preserve">the </w:t>
      </w:r>
      <w:r w:rsidRPr="006779A9">
        <w:rPr>
          <w:rFonts w:eastAsia="Times New Roman" w:cs="Times New Roman"/>
        </w:rPr>
        <w:t>suspension of parental responsibility or ordinary guardianship …</w:t>
      </w:r>
    </w:p>
    <w:p w:rsidRPr="006779A9" w:rsidR="00AC5737" w:rsidP="00AC5737" w:rsidRDefault="00AC5737" w14:paraId="64DEBBAC" w14:textId="77777777">
      <w:pPr>
        <w:pStyle w:val="JuQuot"/>
        <w:rPr>
          <w:rFonts w:eastAsia="Times New Roman" w:cs="Times New Roman"/>
        </w:rPr>
      </w:pPr>
      <w:r w:rsidRPr="006779A9">
        <w:rPr>
          <w:rFonts w:eastAsia="Times New Roman" w:cs="Times New Roman"/>
        </w:rPr>
        <w:t xml:space="preserve">2. Where, owing to serious circumstances, the parents or guardians cannot take care of the minor, they may request the competent </w:t>
      </w:r>
      <w:r w:rsidRPr="006779A9" w:rsidR="00BA006C">
        <w:rPr>
          <w:rFonts w:eastAsia="Times New Roman" w:cs="Times New Roman"/>
        </w:rPr>
        <w:t xml:space="preserve">administrative </w:t>
      </w:r>
      <w:r w:rsidRPr="006779A9">
        <w:rPr>
          <w:rFonts w:eastAsia="Times New Roman" w:cs="Times New Roman"/>
        </w:rPr>
        <w:t>authority to take over the child’s guardianship for the required period.</w:t>
      </w:r>
    </w:p>
    <w:p w:rsidRPr="006779A9" w:rsidR="00AC5737" w:rsidP="00AC5737" w:rsidRDefault="00AC5737" w14:paraId="4FD2A2CE" w14:textId="77777777">
      <w:pPr>
        <w:pStyle w:val="JuQuot"/>
        <w:rPr>
          <w:rFonts w:eastAsia="Times New Roman" w:cs="Times New Roman"/>
        </w:rPr>
      </w:pPr>
      <w:r w:rsidRPr="006779A9">
        <w:rPr>
          <w:rFonts w:eastAsia="Times New Roman" w:cs="Times New Roman"/>
        </w:rPr>
        <w:t xml:space="preserve">The transfer of guardianship shall be in writing. The document shall note that the parents or guardians have been informed of their continuing responsibilities towards the child and of the manner in which the authority </w:t>
      </w:r>
      <w:r w:rsidRPr="006779A9" w:rsidR="0084736C">
        <w:rPr>
          <w:rFonts w:eastAsia="Times New Roman" w:cs="Times New Roman"/>
        </w:rPr>
        <w:t>will</w:t>
      </w:r>
      <w:r w:rsidRPr="006779A9">
        <w:rPr>
          <w:rFonts w:eastAsia="Times New Roman" w:cs="Times New Roman"/>
        </w:rPr>
        <w:t xml:space="preserve"> exercise guardianship.</w:t>
      </w:r>
    </w:p>
    <w:p w:rsidRPr="006779A9" w:rsidR="00AC5737" w:rsidP="00AC5737" w:rsidRDefault="00AC5737" w14:paraId="5EBC9333" w14:textId="77777777">
      <w:pPr>
        <w:spacing w:before="120" w:after="120"/>
        <w:ind w:left="425" w:firstLine="142"/>
        <w:jc w:val="both"/>
        <w:rPr>
          <w:rFonts w:eastAsia="Times New Roman" w:cs="Times New Roman"/>
          <w:sz w:val="20"/>
        </w:rPr>
      </w:pPr>
      <w:r w:rsidRPr="006779A9">
        <w:rPr>
          <w:rFonts w:eastAsia="Times New Roman" w:cs="Times New Roman"/>
          <w:sz w:val="20"/>
        </w:rPr>
        <w:t>...</w:t>
      </w:r>
    </w:p>
    <w:p w:rsidRPr="006779A9" w:rsidR="00AC5737" w:rsidP="00AC5737" w:rsidRDefault="00AC5737" w14:paraId="0367E79E" w14:textId="77777777">
      <w:pPr>
        <w:pStyle w:val="JuQuot"/>
        <w:rPr>
          <w:rFonts w:eastAsia="Times New Roman" w:cs="Times New Roman"/>
        </w:rPr>
      </w:pPr>
      <w:r w:rsidRPr="006779A9">
        <w:rPr>
          <w:rFonts w:eastAsia="Times New Roman" w:cs="Times New Roman"/>
        </w:rPr>
        <w:t>3. Where guardianship is assumed at the request of the parents or guardians or to comply with a statutory obligation, it shall take the form of foster care or residential care …</w:t>
      </w:r>
    </w:p>
    <w:p w:rsidRPr="006779A9" w:rsidR="00AC5737" w:rsidP="00AC5737" w:rsidRDefault="00AC5737" w14:paraId="442D54F1" w14:textId="77777777">
      <w:pPr>
        <w:pStyle w:val="JuQuot"/>
        <w:rPr>
          <w:rFonts w:eastAsia="Times New Roman" w:cs="Times New Roman"/>
        </w:rPr>
      </w:pPr>
      <w:r w:rsidRPr="006779A9">
        <w:rPr>
          <w:rFonts w:eastAsia="Times New Roman" w:cs="Times New Roman"/>
        </w:rPr>
        <w:t xml:space="preserve">4. The aim shall always be to ensure the minor’s best interests. Unless these interests dictate otherwise, [the authorities shall endeavour] to return the </w:t>
      </w:r>
      <w:r w:rsidRPr="006779A9" w:rsidR="005E7BAD">
        <w:rPr>
          <w:rFonts w:eastAsia="Times New Roman" w:cs="Times New Roman"/>
        </w:rPr>
        <w:t>minor</w:t>
      </w:r>
      <w:r w:rsidRPr="006779A9">
        <w:rPr>
          <w:rFonts w:eastAsia="Times New Roman" w:cs="Times New Roman"/>
        </w:rPr>
        <w:t xml:space="preserve"> to his or her family and to entrust the guardianship of any siblings to the same institution or person. </w:t>
      </w:r>
    </w:p>
    <w:p w:rsidRPr="006779A9" w:rsidR="00AC5737" w:rsidP="00AC5737" w:rsidRDefault="00AC5737" w14:paraId="1A207267" w14:textId="77777777">
      <w:pPr>
        <w:pStyle w:val="JuQuot"/>
        <w:rPr>
          <w:rFonts w:eastAsia="Times New Roman" w:cs="Times New Roman"/>
        </w:rPr>
      </w:pPr>
      <w:r w:rsidRPr="006779A9">
        <w:rPr>
          <w:rFonts w:eastAsia="Times New Roman" w:cs="Times New Roman"/>
        </w:rPr>
        <w:t>…</w:t>
      </w:r>
    </w:p>
    <w:p w:rsidRPr="006779A9" w:rsidR="00AC5737" w:rsidP="00AC5737" w:rsidRDefault="00AC5737" w14:paraId="69D18C84" w14:textId="77777777">
      <w:pPr>
        <w:pStyle w:val="JuQuot"/>
        <w:rPr>
          <w:rFonts w:eastAsia="Times New Roman" w:cs="Times New Roman"/>
        </w:rPr>
      </w:pPr>
      <w:r w:rsidRPr="006779A9">
        <w:rPr>
          <w:rFonts w:eastAsia="Times New Roman" w:cs="Times New Roman"/>
        </w:rPr>
        <w:t>7. Parents whose parental responsibility has been suspended under paragraph 1 of this Article may request that the suspension be lifted and that the declaration of abandonment be revoked, within two years from the administrative notification of the declaration, if they consider that they are again in a position to exercise parental responsibility owing to a change in the circumstances that led to the declaration.</w:t>
      </w:r>
    </w:p>
    <w:p w:rsidRPr="006779A9" w:rsidR="00AC5737" w:rsidP="00AC5737" w:rsidRDefault="00AC5737" w14:paraId="27089F83" w14:textId="77777777">
      <w:pPr>
        <w:pStyle w:val="JuQuot"/>
        <w:rPr>
          <w:rFonts w:eastAsia="Times New Roman" w:cs="Times New Roman"/>
        </w:rPr>
      </w:pPr>
      <w:r w:rsidRPr="006779A9">
        <w:rPr>
          <w:rFonts w:eastAsia="Times New Roman" w:cs="Times New Roman"/>
        </w:rPr>
        <w:t>They may also, during the same period, challenge the decisions taken in relation to protection</w:t>
      </w:r>
      <w:r w:rsidRPr="006779A9" w:rsidR="00E070B6">
        <w:rPr>
          <w:rFonts w:eastAsia="Times New Roman" w:cs="Times New Roman"/>
        </w:rPr>
        <w:t xml:space="preserve"> of the minor</w:t>
      </w:r>
      <w:r w:rsidRPr="006779A9">
        <w:rPr>
          <w:rFonts w:eastAsia="Times New Roman" w:cs="Times New Roman"/>
        </w:rPr>
        <w:t>.</w:t>
      </w:r>
    </w:p>
    <w:p w:rsidRPr="006779A9" w:rsidR="00AC5737" w:rsidP="00AC5737" w:rsidRDefault="00AC5737" w14:paraId="10DC2C39" w14:textId="77777777">
      <w:pPr>
        <w:pStyle w:val="JuQuot"/>
        <w:rPr>
          <w:rFonts w:eastAsia="Times New Roman" w:cs="Times New Roman"/>
        </w:rPr>
      </w:pPr>
      <w:r w:rsidRPr="006779A9">
        <w:rPr>
          <w:rFonts w:eastAsia="Times New Roman" w:cs="Times New Roman"/>
        </w:rPr>
        <w:t>...</w:t>
      </w:r>
    </w:p>
    <w:p w:rsidRPr="006779A9" w:rsidR="00AC5737" w:rsidP="00AC5737" w:rsidRDefault="00AC5737" w14:paraId="6999530F" w14:textId="77777777">
      <w:pPr>
        <w:pStyle w:val="JuQuot"/>
        <w:rPr>
          <w:rFonts w:eastAsia="Times New Roman" w:cs="Times New Roman"/>
        </w:rPr>
      </w:pPr>
      <w:r w:rsidRPr="006779A9">
        <w:rPr>
          <w:rFonts w:eastAsia="Times New Roman" w:cs="Times New Roman"/>
        </w:rPr>
        <w:t>Once this period has elapsed they shall no longer have the right to request or challenge</w:t>
      </w:r>
      <w:r w:rsidRPr="006779A9" w:rsidR="00E070B6">
        <w:rPr>
          <w:rFonts w:eastAsia="Times New Roman" w:cs="Times New Roman"/>
        </w:rPr>
        <w:t xml:space="preserve"> </w:t>
      </w:r>
      <w:r w:rsidRPr="006779A9">
        <w:rPr>
          <w:rFonts w:eastAsia="Times New Roman" w:cs="Times New Roman"/>
        </w:rPr>
        <w:t xml:space="preserve">decisions </w:t>
      </w:r>
      <w:r w:rsidRPr="006779A9" w:rsidR="00E070B6">
        <w:rPr>
          <w:rFonts w:eastAsia="Times New Roman" w:cs="Times New Roman"/>
        </w:rPr>
        <w:t xml:space="preserve">or measures </w:t>
      </w:r>
      <w:r w:rsidRPr="006779A9" w:rsidR="005E7BAD">
        <w:rPr>
          <w:rFonts w:eastAsia="Times New Roman" w:cs="Times New Roman"/>
        </w:rPr>
        <w:t>relating</w:t>
      </w:r>
      <w:r w:rsidRPr="006779A9">
        <w:rPr>
          <w:rFonts w:eastAsia="Times New Roman" w:cs="Times New Roman"/>
        </w:rPr>
        <w:t xml:space="preserve"> to protection</w:t>
      </w:r>
      <w:r w:rsidRPr="006779A9" w:rsidR="00E070B6">
        <w:rPr>
          <w:rFonts w:eastAsia="Times New Roman" w:cs="Times New Roman"/>
        </w:rPr>
        <w:t xml:space="preserve"> of the minor</w:t>
      </w:r>
      <w:r w:rsidRPr="006779A9">
        <w:rPr>
          <w:rFonts w:eastAsia="Times New Roman" w:cs="Times New Roman"/>
        </w:rPr>
        <w:t>. …</w:t>
      </w:r>
    </w:p>
    <w:p w:rsidRPr="006779A9" w:rsidR="00AC5737" w:rsidP="00AC5737" w:rsidRDefault="00AC5737" w14:paraId="3A1443D0" w14:textId="77777777">
      <w:pPr>
        <w:pStyle w:val="JuQuot"/>
        <w:rPr>
          <w:rFonts w:eastAsia="Times New Roman" w:cs="Times New Roman"/>
        </w:rPr>
      </w:pPr>
      <w:r w:rsidRPr="006779A9">
        <w:rPr>
          <w:rFonts w:eastAsia="Times New Roman" w:cs="Times New Roman"/>
        </w:rPr>
        <w:t xml:space="preserve">8. The administrative authority, of its own motion or at the request of the public prosecutor’s office or any interested person or institution, may at any time revoke the declaration of abandonment and order the return of the </w:t>
      </w:r>
      <w:r w:rsidRPr="006779A9" w:rsidR="00E070B6">
        <w:rPr>
          <w:rFonts w:eastAsia="Times New Roman" w:cs="Times New Roman"/>
        </w:rPr>
        <w:t>minor</w:t>
      </w:r>
      <w:r w:rsidRPr="006779A9">
        <w:rPr>
          <w:rFonts w:eastAsia="Times New Roman" w:cs="Times New Roman"/>
        </w:rPr>
        <w:t xml:space="preserve"> to his or her own family, if </w:t>
      </w:r>
      <w:r w:rsidRPr="006779A9" w:rsidR="00E070B6">
        <w:rPr>
          <w:rFonts w:eastAsia="Times New Roman" w:cs="Times New Roman"/>
        </w:rPr>
        <w:t>he or she</w:t>
      </w:r>
      <w:r w:rsidRPr="006779A9">
        <w:rPr>
          <w:rFonts w:eastAsia="Times New Roman" w:cs="Times New Roman"/>
        </w:rPr>
        <w:t xml:space="preserve"> has not settled in another family or if it considers this the most appropriate course of action in the </w:t>
      </w:r>
      <w:r w:rsidRPr="006779A9" w:rsidR="00E070B6">
        <w:rPr>
          <w:rFonts w:eastAsia="Times New Roman" w:cs="Times New Roman"/>
        </w:rPr>
        <w:t>minor</w:t>
      </w:r>
      <w:r w:rsidRPr="006779A9">
        <w:rPr>
          <w:rFonts w:eastAsia="Times New Roman" w:cs="Times New Roman"/>
        </w:rPr>
        <w:t>’s interest. The public prosecutor’s office shall be notified accordingly.”</w:t>
      </w:r>
    </w:p>
    <w:p w:rsidRPr="006779A9" w:rsidR="00AC5737" w:rsidP="00AC5737" w:rsidRDefault="00AC5737" w14:paraId="367A427A" w14:textId="77777777">
      <w:pPr>
        <w:pStyle w:val="JuHArticle"/>
        <w:rPr>
          <w:rFonts w:eastAsia="Times New Roman"/>
        </w:rPr>
      </w:pPr>
      <w:r w:rsidRPr="006779A9">
        <w:rPr>
          <w:rFonts w:eastAsia="Times New Roman"/>
        </w:rPr>
        <w:t>Article 173</w:t>
      </w:r>
    </w:p>
    <w:p w:rsidRPr="006779A9" w:rsidR="00AC5737" w:rsidP="00AC5737" w:rsidRDefault="00AC5737" w14:paraId="0B5519D7" w14:textId="77777777">
      <w:pPr>
        <w:pStyle w:val="JuQuot"/>
        <w:rPr>
          <w:rFonts w:eastAsia="Times New Roman" w:cs="Times New Roman"/>
        </w:rPr>
      </w:pPr>
      <w:r w:rsidRPr="006779A9">
        <w:rPr>
          <w:rFonts w:eastAsia="Times New Roman" w:cs="Times New Roman"/>
        </w:rPr>
        <w:t xml:space="preserve">“1. The placement of minors in foster care shall entail their full involvement in the life of the household and an obligation for the foster family to care for and provide for them, feed them, ensure their upbringing and provide them with a full education. </w:t>
      </w:r>
    </w:p>
    <w:p w:rsidRPr="006779A9" w:rsidR="00AC5737" w:rsidP="00AC5737" w:rsidRDefault="00AC5737" w14:paraId="5ACD0693" w14:textId="77777777">
      <w:pPr>
        <w:pStyle w:val="JuQuot"/>
        <w:rPr>
          <w:rFonts w:eastAsia="Times New Roman" w:cs="Times New Roman"/>
        </w:rPr>
      </w:pPr>
      <w:r w:rsidRPr="006779A9">
        <w:rPr>
          <w:rFonts w:eastAsia="Times New Roman" w:cs="Times New Roman"/>
        </w:rPr>
        <w:t>...</w:t>
      </w:r>
    </w:p>
    <w:p w:rsidRPr="006779A9" w:rsidR="00E070B6" w:rsidP="00AC5737" w:rsidRDefault="00AC5737" w14:paraId="06821B75" w14:textId="77777777">
      <w:pPr>
        <w:pStyle w:val="JuQuot"/>
        <w:rPr>
          <w:rFonts w:eastAsia="Times New Roman" w:cs="Times New Roman"/>
        </w:rPr>
      </w:pPr>
      <w:r w:rsidRPr="006779A9">
        <w:rPr>
          <w:rFonts w:eastAsia="Times New Roman" w:cs="Times New Roman"/>
        </w:rPr>
        <w:t xml:space="preserve">3. If the minor’s parents … oppose [his or her placement in foster care], the placement shall be the subject of a judicial </w:t>
      </w:r>
      <w:r w:rsidRPr="006779A9" w:rsidR="005E7BAD">
        <w:rPr>
          <w:rFonts w:eastAsia="Times New Roman" w:cs="Times New Roman"/>
        </w:rPr>
        <w:t>decision</w:t>
      </w:r>
      <w:r w:rsidRPr="006779A9">
        <w:rPr>
          <w:rFonts w:eastAsia="Times New Roman" w:cs="Times New Roman"/>
        </w:rPr>
        <w:t xml:space="preserve">, in the interests of the minor … </w:t>
      </w:r>
    </w:p>
    <w:p w:rsidRPr="006779A9" w:rsidR="00AC5737" w:rsidP="00AC5737" w:rsidRDefault="00AC5737" w14:paraId="48641A1D" w14:textId="77777777">
      <w:pPr>
        <w:pStyle w:val="JuQuot"/>
        <w:rPr>
          <w:rFonts w:eastAsia="Times New Roman" w:cs="Times New Roman"/>
        </w:rPr>
      </w:pPr>
      <w:r w:rsidRPr="006779A9">
        <w:rPr>
          <w:rFonts w:eastAsia="Times New Roman" w:cs="Times New Roman"/>
        </w:rPr>
        <w:t xml:space="preserve">However, the </w:t>
      </w:r>
      <w:r w:rsidRPr="006779A9" w:rsidR="00E070B6">
        <w:rPr>
          <w:rFonts w:eastAsia="Times New Roman" w:cs="Times New Roman"/>
        </w:rPr>
        <w:t>administrative authority</w:t>
      </w:r>
      <w:r w:rsidRPr="006779A9">
        <w:rPr>
          <w:rFonts w:eastAsia="Times New Roman" w:cs="Times New Roman"/>
        </w:rPr>
        <w:t xml:space="preserve"> may decide, in the child’s interests, to place him or her temporarily in foster care pending the judicial </w:t>
      </w:r>
      <w:r w:rsidRPr="006779A9" w:rsidR="005E7BAD">
        <w:rPr>
          <w:rFonts w:eastAsia="Times New Roman" w:cs="Times New Roman"/>
        </w:rPr>
        <w:t>decision</w:t>
      </w:r>
      <w:r w:rsidRPr="006779A9">
        <w:rPr>
          <w:rFonts w:eastAsia="Times New Roman" w:cs="Times New Roman"/>
        </w:rPr>
        <w:t>.</w:t>
      </w:r>
    </w:p>
    <w:p w:rsidRPr="006779A9" w:rsidR="00AC5737" w:rsidP="00AC5737" w:rsidRDefault="00AC5737" w14:paraId="434AB6BB" w14:textId="77777777">
      <w:pPr>
        <w:pStyle w:val="JuQuot"/>
        <w:rPr>
          <w:rFonts w:eastAsia="Times New Roman" w:cs="Times New Roman"/>
        </w:rPr>
      </w:pPr>
      <w:r w:rsidRPr="006779A9">
        <w:rPr>
          <w:rFonts w:eastAsia="Times New Roman" w:cs="Times New Roman"/>
        </w:rPr>
        <w:t>…”</w:t>
      </w:r>
    </w:p>
    <w:p w:rsidRPr="006779A9" w:rsidR="00AC5737" w:rsidP="00AC5737" w:rsidRDefault="00AC5737" w14:paraId="245108DD" w14:textId="77777777">
      <w:pPr>
        <w:pStyle w:val="JuHArticle"/>
        <w:rPr>
          <w:rFonts w:eastAsia="Times New Roman"/>
        </w:rPr>
      </w:pPr>
      <w:r w:rsidRPr="006779A9">
        <w:rPr>
          <w:rFonts w:eastAsia="Times New Roman"/>
        </w:rPr>
        <w:t xml:space="preserve">Article 173 </w:t>
      </w:r>
      <w:r w:rsidRPr="006779A9">
        <w:rPr>
          <w:rFonts w:eastAsia="Times New Roman"/>
          <w:i/>
        </w:rPr>
        <w:t>bis</w:t>
      </w:r>
    </w:p>
    <w:p w:rsidRPr="006779A9" w:rsidR="00AC5737" w:rsidP="00AC5737" w:rsidRDefault="00AC5737" w14:paraId="53CDD376" w14:textId="77777777">
      <w:pPr>
        <w:pStyle w:val="JuQuot"/>
        <w:rPr>
          <w:rFonts w:eastAsia="Times New Roman" w:cs="Times New Roman"/>
        </w:rPr>
      </w:pPr>
      <w:r w:rsidRPr="006779A9">
        <w:rPr>
          <w:rFonts w:eastAsia="Times New Roman" w:cs="Times New Roman"/>
        </w:rPr>
        <w:t>“Foster care may take one of the following forms, depending on its purpose</w:t>
      </w:r>
    </w:p>
    <w:p w:rsidRPr="006779A9" w:rsidR="00AC5737" w:rsidP="00AC5737" w:rsidRDefault="00AC5737" w14:paraId="1A363328" w14:textId="77777777">
      <w:pPr>
        <w:pStyle w:val="JuQuot"/>
        <w:rPr>
          <w:rFonts w:eastAsia="Times New Roman" w:cs="Times New Roman"/>
        </w:rPr>
      </w:pPr>
      <w:r w:rsidRPr="006779A9">
        <w:rPr>
          <w:rFonts w:eastAsia="Times New Roman" w:cs="Times New Roman"/>
        </w:rPr>
        <w:t xml:space="preserve">1. Simple foster care which is of a temporary nature, either because the </w:t>
      </w:r>
      <w:r w:rsidRPr="006779A9" w:rsidR="00E070B6">
        <w:rPr>
          <w:rFonts w:eastAsia="Times New Roman" w:cs="Times New Roman"/>
        </w:rPr>
        <w:t>minor’s</w:t>
      </w:r>
      <w:r w:rsidRPr="006779A9">
        <w:rPr>
          <w:rFonts w:eastAsia="Times New Roman" w:cs="Times New Roman"/>
        </w:rPr>
        <w:t xml:space="preserve"> situation is such that he or she may be able to return to his or her own family, or because another more permanent protective measure is in preparation.</w:t>
      </w:r>
    </w:p>
    <w:p w:rsidRPr="006779A9" w:rsidR="00AC5737" w:rsidP="00AC5737" w:rsidRDefault="00AC5737" w14:paraId="2C553E7A" w14:textId="77777777">
      <w:pPr>
        <w:pStyle w:val="JuQuot"/>
        <w:rPr>
          <w:rFonts w:eastAsia="Times New Roman" w:cs="Times New Roman"/>
        </w:rPr>
      </w:pPr>
      <w:r w:rsidRPr="006779A9">
        <w:rPr>
          <w:rFonts w:eastAsia="Times New Roman" w:cs="Times New Roman"/>
        </w:rPr>
        <w:t xml:space="preserve">2. Permanent foster care in cases where, </w:t>
      </w:r>
      <w:r w:rsidRPr="006779A9" w:rsidR="005E7BAD">
        <w:rPr>
          <w:rFonts w:eastAsia="Times New Roman" w:cs="Times New Roman"/>
        </w:rPr>
        <w:t>owing to</w:t>
      </w:r>
      <w:r w:rsidRPr="006779A9">
        <w:rPr>
          <w:rFonts w:eastAsia="Times New Roman" w:cs="Times New Roman"/>
        </w:rPr>
        <w:t xml:space="preserve"> the </w:t>
      </w:r>
      <w:r w:rsidRPr="006779A9" w:rsidR="00E070B6">
        <w:rPr>
          <w:rFonts w:eastAsia="Times New Roman" w:cs="Times New Roman"/>
        </w:rPr>
        <w:t>minor’s</w:t>
      </w:r>
      <w:r w:rsidRPr="006779A9">
        <w:rPr>
          <w:rFonts w:eastAsia="Times New Roman" w:cs="Times New Roman"/>
        </w:rPr>
        <w:t xml:space="preserve"> age or other circumstances relating to the </w:t>
      </w:r>
      <w:r w:rsidRPr="006779A9" w:rsidR="00C979C1">
        <w:rPr>
          <w:rFonts w:eastAsia="Times New Roman" w:cs="Times New Roman"/>
        </w:rPr>
        <w:t>minor</w:t>
      </w:r>
      <w:r w:rsidRPr="006779A9">
        <w:rPr>
          <w:rFonts w:eastAsia="Times New Roman" w:cs="Times New Roman"/>
        </w:rPr>
        <w:t xml:space="preserve"> or his or her family, [this approach] appears preferable and has thus been recommended by the child protection department. …</w:t>
      </w:r>
    </w:p>
    <w:p w:rsidRPr="006779A9" w:rsidR="00AC5737" w:rsidP="00AC5737" w:rsidRDefault="00AC5737" w14:paraId="5D4AA9F5" w14:textId="77777777">
      <w:pPr>
        <w:pStyle w:val="JuQuot"/>
        <w:rPr>
          <w:rFonts w:eastAsia="Times New Roman" w:cs="Times New Roman"/>
        </w:rPr>
      </w:pPr>
      <w:r w:rsidRPr="006779A9">
        <w:rPr>
          <w:rFonts w:eastAsia="Times New Roman" w:cs="Times New Roman"/>
        </w:rPr>
        <w:t xml:space="preserve">3. </w:t>
      </w:r>
      <w:r w:rsidRPr="006779A9" w:rsidR="00C979C1">
        <w:rPr>
          <w:rFonts w:eastAsia="Times New Roman" w:cs="Times New Roman"/>
        </w:rPr>
        <w:t>F</w:t>
      </w:r>
      <w:r w:rsidRPr="006779A9">
        <w:rPr>
          <w:rFonts w:eastAsia="Times New Roman" w:cs="Times New Roman"/>
        </w:rPr>
        <w:t>oster care</w:t>
      </w:r>
      <w:r w:rsidRPr="006779A9" w:rsidR="00C979C1">
        <w:rPr>
          <w:rFonts w:eastAsia="Times New Roman" w:cs="Times New Roman"/>
        </w:rPr>
        <w:t xml:space="preserve"> with a view to adoption</w:t>
      </w:r>
      <w:r w:rsidRPr="006779A9">
        <w:rPr>
          <w:rFonts w:eastAsia="Times New Roman" w:cs="Times New Roman"/>
        </w:rPr>
        <w:t>, which is formally arranged by the administrative authorities when they submit a proposal</w:t>
      </w:r>
      <w:r w:rsidRPr="006779A9" w:rsidR="00C979C1">
        <w:rPr>
          <w:rFonts w:eastAsia="Times New Roman" w:cs="Times New Roman"/>
        </w:rPr>
        <w:t xml:space="preserve"> to the judicial authority</w:t>
      </w:r>
      <w:r w:rsidRPr="006779A9">
        <w:rPr>
          <w:rFonts w:eastAsia="Times New Roman" w:cs="Times New Roman"/>
        </w:rPr>
        <w:t xml:space="preserve"> for the </w:t>
      </w:r>
      <w:r w:rsidRPr="006779A9" w:rsidR="00C979C1">
        <w:rPr>
          <w:rFonts w:eastAsia="Times New Roman" w:cs="Times New Roman"/>
        </w:rPr>
        <w:t>minor’s</w:t>
      </w:r>
      <w:r w:rsidRPr="006779A9">
        <w:rPr>
          <w:rFonts w:eastAsia="Times New Roman" w:cs="Times New Roman"/>
        </w:rPr>
        <w:t xml:space="preserve"> adoption</w:t>
      </w:r>
      <w:r w:rsidRPr="006779A9" w:rsidR="00C979C1">
        <w:rPr>
          <w:rFonts w:eastAsia="Times New Roman" w:cs="Times New Roman"/>
        </w:rPr>
        <w:t>,</w:t>
      </w:r>
      <w:r w:rsidRPr="006779A9">
        <w:rPr>
          <w:rFonts w:eastAsia="Times New Roman" w:cs="Times New Roman"/>
        </w:rPr>
        <w:t xml:space="preserve"> [which must be] approved by the child protection department, provided that the foster parents satisfy the conditions for adoption, have been selected and have given their consent to the administrative authorities, and that the child’s legal situation makes him or her eligible for adoption.</w:t>
      </w:r>
    </w:p>
    <w:p w:rsidRPr="006779A9" w:rsidR="00AC5737" w:rsidP="00AC5737" w:rsidRDefault="00AC5737" w14:paraId="1466FB77" w14:textId="77777777">
      <w:pPr>
        <w:pStyle w:val="JuQuot"/>
        <w:rPr>
          <w:rFonts w:eastAsia="Times New Roman" w:cs="Times New Roman"/>
        </w:rPr>
      </w:pPr>
      <w:r w:rsidRPr="006779A9">
        <w:rPr>
          <w:rFonts w:eastAsia="Times New Roman" w:cs="Times New Roman"/>
        </w:rPr>
        <w:t>The administrative authorities may also put pre-adoptive foster arrangements in place where they consider, before submitting the adoption proposal, that a settling-in period in the foster family is necessary. This period shall be as short as possible and shall not exceed one year.”</w:t>
      </w:r>
    </w:p>
    <w:p w:rsidRPr="006779A9" w:rsidR="00AC5737" w:rsidP="00AC5737" w:rsidRDefault="00AC5737" w14:paraId="4DC9C771" w14:textId="77777777">
      <w:pPr>
        <w:pStyle w:val="JuHArticle"/>
        <w:rPr>
          <w:rFonts w:eastAsia="Times New Roman" w:cs="Times New Roman" w:asciiTheme="majorHAnsi" w:hAnsiTheme="majorHAnsi"/>
          <w:color w:val="474747" w:themeColor="accent3" w:themeShade="BF"/>
        </w:rPr>
      </w:pPr>
      <w:r w:rsidRPr="006779A9">
        <w:rPr>
          <w:rFonts w:eastAsia="Times New Roman" w:cs="Times New Roman" w:asciiTheme="majorHAnsi" w:hAnsiTheme="majorHAnsi"/>
          <w:color w:val="474747" w:themeColor="accent3" w:themeShade="BF"/>
        </w:rPr>
        <w:t>Article 222</w:t>
      </w:r>
    </w:p>
    <w:p w:rsidRPr="006779A9" w:rsidR="00AC5737" w:rsidP="00AC5737" w:rsidRDefault="00AC5737" w14:paraId="50F51144" w14:textId="77777777">
      <w:pPr>
        <w:pStyle w:val="JuQuot"/>
        <w:rPr>
          <w:rFonts w:eastAsia="Times New Roman" w:cs="Times New Roman"/>
        </w:rPr>
      </w:pPr>
      <w:r w:rsidRPr="006779A9">
        <w:rPr>
          <w:rFonts w:eastAsia="Times New Roman" w:cs="Times New Roman"/>
        </w:rPr>
        <w:t>“The following persons shall be placed under guardianship:</w:t>
      </w:r>
    </w:p>
    <w:p w:rsidRPr="006779A9" w:rsidR="00AC5737" w:rsidP="00AC5737" w:rsidRDefault="00AC5737" w14:paraId="64A44806" w14:textId="77777777">
      <w:pPr>
        <w:pStyle w:val="JuQuot"/>
        <w:rPr>
          <w:rFonts w:eastAsia="Times New Roman" w:cs="Times New Roman"/>
        </w:rPr>
      </w:pPr>
      <w:r w:rsidRPr="006779A9">
        <w:rPr>
          <w:rFonts w:eastAsia="Times New Roman" w:cs="Times New Roman"/>
        </w:rPr>
        <w:t>...</w:t>
      </w:r>
    </w:p>
    <w:p w:rsidRPr="006779A9" w:rsidR="00AC5737" w:rsidP="00AC5737" w:rsidRDefault="00AC5737" w14:paraId="0D6C04B8" w14:textId="77777777">
      <w:pPr>
        <w:pStyle w:val="JuQuot"/>
        <w:rPr>
          <w:rFonts w:eastAsia="Times New Roman" w:cs="Times New Roman"/>
        </w:rPr>
      </w:pPr>
      <w:r w:rsidRPr="006779A9">
        <w:rPr>
          <w:rFonts w:eastAsia="Times New Roman" w:cs="Times New Roman"/>
        </w:rPr>
        <w:t>4. Minors who have been legally</w:t>
      </w:r>
      <w:r w:rsidRPr="006779A9" w:rsidR="006B6519">
        <w:rPr>
          <w:rFonts w:eastAsia="Times New Roman" w:cs="Times New Roman"/>
        </w:rPr>
        <w:t xml:space="preserve"> declared</w:t>
      </w:r>
      <w:r w:rsidRPr="006779A9">
        <w:rPr>
          <w:rFonts w:eastAsia="Times New Roman" w:cs="Times New Roman"/>
        </w:rPr>
        <w:t xml:space="preserve"> abandoned.”</w:t>
      </w:r>
    </w:p>
    <w:p w:rsidRPr="006779A9" w:rsidR="00AC5737" w:rsidP="00AC5737" w:rsidRDefault="00D41989" w14:paraId="03FDC7F6" w14:textId="77777777">
      <w:pPr>
        <w:pStyle w:val="JuPara"/>
        <w:rPr>
          <w:rFonts w:eastAsiaTheme="minorEastAsia"/>
        </w:rPr>
      </w:pPr>
      <w:r w:rsidRPr="006779A9">
        <w:rPr>
          <w:rFonts w:eastAsiaTheme="minorEastAsia"/>
        </w:rPr>
        <w:fldChar w:fldCharType="begin"/>
      </w:r>
      <w:r w:rsidRPr="006779A9">
        <w:rPr>
          <w:rFonts w:eastAsiaTheme="minorEastAsia"/>
        </w:rPr>
        <w:instrText xml:space="preserve"> SEQ level0 \*arabic </w:instrText>
      </w:r>
      <w:r w:rsidRPr="006779A9">
        <w:rPr>
          <w:rFonts w:eastAsiaTheme="minorEastAsia"/>
        </w:rPr>
        <w:fldChar w:fldCharType="separate"/>
      </w:r>
      <w:r w:rsidR="00830BEA">
        <w:rPr>
          <w:rFonts w:eastAsiaTheme="minorEastAsia"/>
          <w:noProof/>
        </w:rPr>
        <w:t>34</w:t>
      </w:r>
      <w:r w:rsidRPr="006779A9">
        <w:rPr>
          <w:rFonts w:eastAsiaTheme="minorEastAsia"/>
        </w:rPr>
        <w:fldChar w:fldCharType="end"/>
      </w:r>
      <w:r w:rsidRPr="006779A9">
        <w:rPr>
          <w:rFonts w:eastAsiaTheme="minorEastAsia"/>
        </w:rPr>
        <w:t>.  </w:t>
      </w:r>
      <w:r w:rsidRPr="006779A9" w:rsidR="00AC5737">
        <w:rPr>
          <w:rFonts w:eastAsiaTheme="minorEastAsia"/>
        </w:rPr>
        <w:t>Section 35 of Law 3/1995 on children, enacted by the Murcia region on 21 March 1995, reads as follows:</w:t>
      </w:r>
    </w:p>
    <w:p w:rsidRPr="006779A9" w:rsidR="00AC5737" w:rsidP="00AC5737" w:rsidRDefault="00AC5737" w14:paraId="39ECD5ED" w14:textId="77777777">
      <w:pPr>
        <w:pStyle w:val="JuQuot"/>
        <w:rPr>
          <w:rFonts w:eastAsia="Times New Roman" w:cs="Times New Roman"/>
        </w:rPr>
      </w:pPr>
      <w:r w:rsidRPr="006779A9">
        <w:rPr>
          <w:rFonts w:eastAsia="Times New Roman" w:cs="Times New Roman"/>
        </w:rPr>
        <w:t xml:space="preserve"> “1. Fostering arrangements may be put in place prior to adoption:</w:t>
      </w:r>
    </w:p>
    <w:p w:rsidRPr="006779A9" w:rsidR="00AC5737" w:rsidP="00AC5737" w:rsidRDefault="00AC5737" w14:paraId="4DD7A95B" w14:textId="77777777">
      <w:pPr>
        <w:pStyle w:val="JuQuot"/>
        <w:rPr>
          <w:rFonts w:eastAsia="Times New Roman" w:cs="Times New Roman"/>
        </w:rPr>
      </w:pPr>
      <w:r w:rsidRPr="006779A9">
        <w:rPr>
          <w:rFonts w:eastAsia="Times New Roman" w:cs="Times New Roman"/>
        </w:rPr>
        <w:t>(a) where the minor shows signs of physical or psychological ill-treatment, sexual abuse, exploitation or other [forms of ill-treatment] of a similar nature, or where for any other reason the parents or guardians are deprived of parental responsibility and that situation is expected to be permanent;</w:t>
      </w:r>
    </w:p>
    <w:p w:rsidRPr="006779A9" w:rsidR="00AC5737" w:rsidP="00AC5737" w:rsidRDefault="00AC5737" w14:paraId="6588F41A" w14:textId="77777777">
      <w:pPr>
        <w:pStyle w:val="JuQuot"/>
        <w:rPr>
          <w:rFonts w:eastAsia="Times New Roman" w:cs="Times New Roman"/>
        </w:rPr>
      </w:pPr>
      <w:r w:rsidRPr="006779A9">
        <w:rPr>
          <w:rFonts w:eastAsia="Times New Roman" w:cs="Times New Roman"/>
        </w:rPr>
        <w:t>(b) where the parents or guardians are prevented from exercising parental responsibility and that situation is expected to be permanent;</w:t>
      </w:r>
    </w:p>
    <w:p w:rsidRPr="006779A9" w:rsidR="00AC5737" w:rsidP="00AC5737" w:rsidRDefault="00AC5737" w14:paraId="520986CD" w14:textId="77777777">
      <w:pPr>
        <w:pStyle w:val="JuQuot"/>
        <w:rPr>
          <w:rFonts w:eastAsia="Times New Roman" w:cs="Times New Roman"/>
        </w:rPr>
      </w:pPr>
      <w:r w:rsidRPr="006779A9">
        <w:rPr>
          <w:rFonts w:eastAsia="Times New Roman" w:cs="Times New Roman"/>
        </w:rPr>
        <w:t>(c) where the parents or guardians make a request to that effect to the competent authority and have forfeited the rights and duties inherent in their function;</w:t>
      </w:r>
    </w:p>
    <w:p w:rsidRPr="006779A9" w:rsidR="00AC5737" w:rsidP="00AC5737" w:rsidRDefault="00AC5737" w14:paraId="52853BE4" w14:textId="77777777">
      <w:pPr>
        <w:pStyle w:val="JuQuot"/>
        <w:rPr>
          <w:rFonts w:eastAsia="Times New Roman" w:cs="Times New Roman"/>
        </w:rPr>
      </w:pPr>
      <w:r w:rsidRPr="006779A9">
        <w:rPr>
          <w:rFonts w:eastAsia="Times New Roman" w:cs="Times New Roman"/>
        </w:rPr>
        <w:t>(e) where the judicial authority so decides.</w:t>
      </w:r>
    </w:p>
    <w:p w:rsidRPr="006779A9" w:rsidR="00AC5737" w:rsidP="00AC5737" w:rsidRDefault="00AC5737" w14:paraId="5C57765D" w14:textId="77777777">
      <w:pPr>
        <w:pStyle w:val="JuQuot"/>
        <w:rPr>
          <w:rFonts w:eastAsia="Times New Roman" w:cs="Times New Roman"/>
        </w:rPr>
      </w:pPr>
      <w:r w:rsidRPr="006779A9">
        <w:rPr>
          <w:rFonts w:eastAsia="Times New Roman" w:cs="Times New Roman"/>
        </w:rPr>
        <w:t xml:space="preserve">2. In the cases defined in the first sub-section, and in order to facilitate integration into the foster family, visits and contact with the birth family shall be suspended if that is in the </w:t>
      </w:r>
      <w:r w:rsidRPr="006779A9" w:rsidR="005E7BAD">
        <w:rPr>
          <w:rFonts w:eastAsia="Times New Roman" w:cs="Times New Roman"/>
        </w:rPr>
        <w:t>minor</w:t>
      </w:r>
      <w:r w:rsidRPr="006779A9">
        <w:rPr>
          <w:rFonts w:eastAsia="Times New Roman" w:cs="Times New Roman"/>
        </w:rPr>
        <w:t>’s best interests.”</w:t>
      </w:r>
    </w:p>
    <w:p w:rsidRPr="006779A9" w:rsidR="00AC5737" w:rsidP="00D41989" w:rsidRDefault="00AC5737" w14:paraId="2264B424" w14:textId="77777777">
      <w:pPr>
        <w:pStyle w:val="JuHHead"/>
        <w:rPr>
          <w:rFonts w:eastAsia="Times New Roman"/>
        </w:rPr>
      </w:pPr>
      <w:r w:rsidRPr="006779A9">
        <w:rPr>
          <w:rFonts w:eastAsia="Times New Roman"/>
        </w:rPr>
        <w:t>THE LAW</w:t>
      </w:r>
    </w:p>
    <w:p w:rsidRPr="006779A9" w:rsidR="00AC5737" w:rsidP="00D41989" w:rsidRDefault="00AC5737" w14:paraId="0C5F8134" w14:textId="77777777">
      <w:pPr>
        <w:pStyle w:val="JuHIRoman"/>
        <w:rPr>
          <w:rFonts w:eastAsia="Times New Roman"/>
        </w:rPr>
      </w:pPr>
      <w:r w:rsidRPr="006779A9">
        <w:rPr>
          <w:rFonts w:eastAsia="Times New Roman"/>
        </w:rPr>
        <w:t>ALLEGED VIOLATION OF ARTICLE 8 OF THE CONVENTION</w:t>
      </w:r>
    </w:p>
    <w:p w:rsidRPr="006779A9" w:rsidR="00AC5737" w:rsidP="00D41989" w:rsidRDefault="00D41989" w14:paraId="46EC5D3D" w14:textId="77777777">
      <w:pPr>
        <w:pStyle w:val="JuPara"/>
        <w:rPr>
          <w:rFonts w:eastAsia="Times New Roman"/>
        </w:rPr>
      </w:pPr>
      <w:r w:rsidRPr="006779A9">
        <w:rPr>
          <w:rFonts w:eastAsia="Times New Roman"/>
        </w:rPr>
        <w:fldChar w:fldCharType="begin"/>
      </w:r>
      <w:r w:rsidRPr="006779A9">
        <w:rPr>
          <w:rFonts w:eastAsia="Times New Roman"/>
        </w:rPr>
        <w:instrText xml:space="preserve"> SEQ level0 \*arabic </w:instrText>
      </w:r>
      <w:r w:rsidRPr="006779A9">
        <w:rPr>
          <w:rFonts w:eastAsia="Times New Roman"/>
        </w:rPr>
        <w:fldChar w:fldCharType="separate"/>
      </w:r>
      <w:r w:rsidR="00830BEA">
        <w:rPr>
          <w:rFonts w:eastAsia="Times New Roman"/>
          <w:noProof/>
        </w:rPr>
        <w:t>35</w:t>
      </w:r>
      <w:r w:rsidRPr="006779A9">
        <w:rPr>
          <w:rFonts w:eastAsia="Times New Roman"/>
        </w:rPr>
        <w:fldChar w:fldCharType="end"/>
      </w:r>
      <w:r w:rsidRPr="006779A9">
        <w:rPr>
          <w:rFonts w:eastAsia="Times New Roman"/>
        </w:rPr>
        <w:t>.  </w:t>
      </w:r>
      <w:r w:rsidRPr="006779A9" w:rsidR="00AC5737">
        <w:rPr>
          <w:rFonts w:eastAsia="Times New Roman"/>
        </w:rPr>
        <w:t xml:space="preserve">The applicant complained that the child protection department had not taken any </w:t>
      </w:r>
      <w:r w:rsidRPr="006779A9" w:rsidR="004D31C8">
        <w:rPr>
          <w:rFonts w:eastAsia="Times New Roman"/>
        </w:rPr>
        <w:t>steps</w:t>
      </w:r>
      <w:r w:rsidRPr="006779A9" w:rsidR="00AC5737">
        <w:rPr>
          <w:rFonts w:eastAsia="Times New Roman"/>
        </w:rPr>
        <w:t xml:space="preserve"> to help him to re-establish contact with his daughter following his acquittal and the lifting of the</w:t>
      </w:r>
      <w:r w:rsidRPr="006779A9" w:rsidR="00406AF8">
        <w:rPr>
          <w:rFonts w:eastAsia="Times New Roman"/>
        </w:rPr>
        <w:t xml:space="preserve"> temporary</w:t>
      </w:r>
      <w:r w:rsidRPr="006779A9" w:rsidR="00AC5737">
        <w:rPr>
          <w:rFonts w:eastAsia="Times New Roman"/>
        </w:rPr>
        <w:t xml:space="preserve"> barring order against him. He relied on Article 8 of the Convention, which provides:</w:t>
      </w:r>
    </w:p>
    <w:p w:rsidRPr="006779A9" w:rsidR="00AC5737" w:rsidP="00AC5737" w:rsidRDefault="00AC5737" w14:paraId="74C1D396" w14:textId="77777777">
      <w:pPr>
        <w:pStyle w:val="JuQuot"/>
        <w:rPr>
          <w:rFonts w:eastAsia="Times New Roman" w:cs="Times New Roman"/>
        </w:rPr>
      </w:pPr>
      <w:r w:rsidRPr="006779A9">
        <w:rPr>
          <w:rFonts w:eastAsia="Times New Roman" w:cs="Times New Roman"/>
        </w:rPr>
        <w:t xml:space="preserve"> “1. Everyone has the right to respect for his private and family life, his home and his correspondence. </w:t>
      </w:r>
    </w:p>
    <w:p w:rsidRPr="006779A9" w:rsidR="00AC5737" w:rsidP="00AC5737" w:rsidRDefault="00AC5737" w14:paraId="4ADF06F2" w14:textId="77777777">
      <w:pPr>
        <w:pStyle w:val="JuQuot"/>
        <w:rPr>
          <w:rFonts w:eastAsia="Times New Roman" w:cs="Times New Roman"/>
        </w:rPr>
      </w:pPr>
      <w:r w:rsidRPr="006779A9">
        <w:rPr>
          <w:rFonts w:eastAsia="Times New Roman" w:cs="Times New Roman"/>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779A9" w:rsidR="00AC5737" w:rsidP="00D41989" w:rsidRDefault="00AC5737" w14:paraId="691A49A7" w14:textId="77777777">
      <w:pPr>
        <w:pStyle w:val="JuHA"/>
        <w:rPr>
          <w:rFonts w:eastAsia="Times New Roman"/>
        </w:rPr>
      </w:pPr>
      <w:r w:rsidRPr="006779A9">
        <w:rPr>
          <w:rFonts w:eastAsia="Times New Roman"/>
        </w:rPr>
        <w:t>Admissibility</w:t>
      </w:r>
    </w:p>
    <w:p w:rsidRPr="006779A9" w:rsidR="00AC5737" w:rsidP="00D41989" w:rsidRDefault="00D41989" w14:paraId="30888068" w14:textId="77777777">
      <w:pPr>
        <w:pStyle w:val="JuPara"/>
        <w:rPr>
          <w:rFonts w:eastAsiaTheme="majorEastAsia"/>
        </w:rPr>
      </w:pPr>
      <w:r w:rsidRPr="006779A9">
        <w:rPr>
          <w:rFonts w:eastAsiaTheme="majorEastAsia"/>
        </w:rPr>
        <w:fldChar w:fldCharType="begin"/>
      </w:r>
      <w:r w:rsidRPr="006779A9">
        <w:rPr>
          <w:rFonts w:eastAsiaTheme="majorEastAsia"/>
        </w:rPr>
        <w:instrText xml:space="preserve"> SEQ level0 \*arabic </w:instrText>
      </w:r>
      <w:r w:rsidRPr="006779A9">
        <w:rPr>
          <w:rFonts w:eastAsiaTheme="majorEastAsia"/>
        </w:rPr>
        <w:fldChar w:fldCharType="separate"/>
      </w:r>
      <w:r w:rsidR="00830BEA">
        <w:rPr>
          <w:rFonts w:eastAsiaTheme="majorEastAsia"/>
          <w:noProof/>
        </w:rPr>
        <w:t>36</w:t>
      </w:r>
      <w:r w:rsidRPr="006779A9">
        <w:rPr>
          <w:rFonts w:eastAsiaTheme="majorEastAsia"/>
        </w:rPr>
        <w:fldChar w:fldCharType="end"/>
      </w:r>
      <w:r w:rsidRPr="006779A9">
        <w:rPr>
          <w:rFonts w:eastAsiaTheme="majorEastAsia"/>
        </w:rPr>
        <w:t>.  </w:t>
      </w:r>
      <w:r w:rsidRPr="006779A9" w:rsidR="00AC5737">
        <w:rPr>
          <w:rFonts w:eastAsiaTheme="majorEastAsia"/>
        </w:rPr>
        <w:t xml:space="preserve">The Government pleaded failure to exhaust domestic remedies. They argued, firstly, that the applicant had not filed a plea of nullity with the </w:t>
      </w:r>
      <w:r w:rsidRPr="006779A9" w:rsidR="00AC5737">
        <w:rPr>
          <w:rFonts w:eastAsiaTheme="majorEastAsia"/>
          <w:i/>
          <w:iCs/>
        </w:rPr>
        <w:t>Audiencia Provincial</w:t>
      </w:r>
      <w:r w:rsidRPr="006779A9" w:rsidR="00AC5737">
        <w:rPr>
          <w:rFonts w:eastAsiaTheme="majorEastAsia"/>
        </w:rPr>
        <w:t xml:space="preserve"> before lodging his </w:t>
      </w:r>
      <w:r w:rsidRPr="006779A9" w:rsidR="00AC5737">
        <w:rPr>
          <w:rFonts w:eastAsiaTheme="majorEastAsia"/>
          <w:i/>
          <w:iCs/>
        </w:rPr>
        <w:t xml:space="preserve">amparo </w:t>
      </w:r>
      <w:r w:rsidRPr="006779A9" w:rsidR="00AC5737">
        <w:rPr>
          <w:rFonts w:eastAsiaTheme="majorEastAsia"/>
        </w:rPr>
        <w:t xml:space="preserve">appeal with the Constitutional Court. Secondly, they noted that the </w:t>
      </w:r>
      <w:r w:rsidRPr="006779A9" w:rsidR="00AC5737">
        <w:rPr>
          <w:rFonts w:eastAsiaTheme="majorEastAsia"/>
          <w:i/>
          <w:iCs/>
        </w:rPr>
        <w:t xml:space="preserve">amparo </w:t>
      </w:r>
      <w:r w:rsidRPr="006779A9" w:rsidR="00AC5737">
        <w:rPr>
          <w:rFonts w:eastAsiaTheme="majorEastAsia"/>
        </w:rPr>
        <w:t>appeal had been declared inadmissible by the Constitutional Court because the applicant had failed to comply with the requirement to demonstrate that his appeal had special constitutional significance, as stipulated by section 49(1) of Institutional Law no. 2/1979 on the Constitutional Court (</w:t>
      </w:r>
      <w:r w:rsidRPr="006779A9" w:rsidR="0033379A">
        <w:rPr>
          <w:rFonts w:eastAsiaTheme="majorEastAsia"/>
        </w:rPr>
        <w:t xml:space="preserve">“the </w:t>
      </w:r>
      <w:r w:rsidRPr="006779A9" w:rsidR="00AC5737">
        <w:rPr>
          <w:rFonts w:eastAsiaTheme="majorEastAsia"/>
        </w:rPr>
        <w:t>LOTC</w:t>
      </w:r>
      <w:r w:rsidRPr="006779A9" w:rsidR="0033379A">
        <w:rPr>
          <w:rFonts w:eastAsiaTheme="majorEastAsia"/>
        </w:rPr>
        <w:t>”</w:t>
      </w:r>
      <w:r w:rsidRPr="006779A9" w:rsidR="00AC5737">
        <w:rPr>
          <w:rFonts w:eastAsiaTheme="majorEastAsia"/>
        </w:rPr>
        <w:t xml:space="preserve">) as amended by Institutional Law no. 6/2007 of 24 May 2007. </w:t>
      </w:r>
    </w:p>
    <w:p w:rsidRPr="006779A9" w:rsidR="00AC5737" w:rsidP="00D41989" w:rsidRDefault="00D41989" w14:paraId="7FB2EF78" w14:textId="77777777">
      <w:pPr>
        <w:pStyle w:val="JuPara"/>
        <w:rPr>
          <w:rFonts w:cs="Times New Roman" w:eastAsiaTheme="majorEastAsia"/>
        </w:rPr>
      </w:pPr>
      <w:r w:rsidRPr="006779A9">
        <w:rPr>
          <w:rFonts w:cs="Times New Roman" w:eastAsiaTheme="majorEastAsia"/>
        </w:rPr>
        <w:fldChar w:fldCharType="begin"/>
      </w:r>
      <w:r w:rsidRPr="006779A9">
        <w:rPr>
          <w:rFonts w:cs="Times New Roman" w:eastAsiaTheme="majorEastAsia"/>
        </w:rPr>
        <w:instrText xml:space="preserve"> SEQ level0 \*arabic </w:instrText>
      </w:r>
      <w:r w:rsidRPr="006779A9">
        <w:rPr>
          <w:rFonts w:cs="Times New Roman" w:eastAsiaTheme="majorEastAsia"/>
        </w:rPr>
        <w:fldChar w:fldCharType="separate"/>
      </w:r>
      <w:r w:rsidR="00830BEA">
        <w:rPr>
          <w:rFonts w:cs="Times New Roman" w:eastAsiaTheme="majorEastAsia"/>
          <w:noProof/>
        </w:rPr>
        <w:t>37</w:t>
      </w:r>
      <w:r w:rsidRPr="006779A9">
        <w:rPr>
          <w:rFonts w:cs="Times New Roman" w:eastAsiaTheme="majorEastAsia"/>
        </w:rPr>
        <w:fldChar w:fldCharType="end"/>
      </w:r>
      <w:r w:rsidRPr="006779A9">
        <w:rPr>
          <w:rFonts w:cs="Times New Roman" w:eastAsiaTheme="majorEastAsia"/>
        </w:rPr>
        <w:t>.  </w:t>
      </w:r>
      <w:r w:rsidRPr="006779A9" w:rsidR="00AC5737">
        <w:rPr>
          <w:rFonts w:cs="Times New Roman" w:eastAsiaTheme="majorEastAsia"/>
        </w:rPr>
        <w:t xml:space="preserve">The applicant submitted that the issue of a plea of nullity was irrelevant; the same view had been taken by the Constitutional Court, which had not </w:t>
      </w:r>
      <w:r w:rsidRPr="006779A9" w:rsidR="00AC5737">
        <w:rPr>
          <w:rFonts w:eastAsiaTheme="majorEastAsia"/>
        </w:rPr>
        <w:t>dismissed</w:t>
      </w:r>
      <w:r w:rsidRPr="006779A9" w:rsidR="00AC5737">
        <w:rPr>
          <w:rFonts w:cs="Times New Roman" w:eastAsiaTheme="majorEastAsia"/>
        </w:rPr>
        <w:t xml:space="preserve"> his </w:t>
      </w:r>
      <w:r w:rsidRPr="006779A9" w:rsidR="00AC5737">
        <w:rPr>
          <w:rFonts w:cs="Times New Roman" w:eastAsiaTheme="majorEastAsia"/>
          <w:i/>
          <w:iCs/>
        </w:rPr>
        <w:t xml:space="preserve">amparo </w:t>
      </w:r>
      <w:r w:rsidRPr="006779A9" w:rsidR="00AC5737">
        <w:rPr>
          <w:rFonts w:cs="Times New Roman" w:eastAsiaTheme="majorEastAsia"/>
        </w:rPr>
        <w:t xml:space="preserve">appeal on that ground. He added that the decision declaring his </w:t>
      </w:r>
      <w:r w:rsidRPr="006779A9" w:rsidR="00AC5737">
        <w:rPr>
          <w:rFonts w:cs="Times New Roman" w:eastAsiaTheme="majorEastAsia"/>
          <w:i/>
          <w:iCs/>
        </w:rPr>
        <w:t xml:space="preserve">amparo </w:t>
      </w:r>
      <w:r w:rsidRPr="006779A9" w:rsidR="00AC5737">
        <w:rPr>
          <w:rFonts w:cs="Times New Roman" w:eastAsiaTheme="majorEastAsia"/>
        </w:rPr>
        <w:t xml:space="preserve">appeal inadmissible on the grounds of failure to demonstrate that his complaints were of constitutional significance had been given in error, as in the case of </w:t>
      </w:r>
      <w:r w:rsidRPr="006779A9" w:rsidR="00AC5737">
        <w:rPr>
          <w:rFonts w:cs="Times New Roman" w:eastAsiaTheme="majorEastAsia"/>
          <w:i/>
          <w:iCs/>
        </w:rPr>
        <w:t xml:space="preserve">R.M.S. v. Spain </w:t>
      </w:r>
      <w:r w:rsidRPr="006779A9" w:rsidR="00AC5737">
        <w:rPr>
          <w:rFonts w:cs="Times New Roman" w:eastAsiaTheme="majorEastAsia"/>
        </w:rPr>
        <w:t xml:space="preserve">(no. 28775/12, 18 June 2013), in which the Court had found a violation of Article 8 of the Convention.  </w:t>
      </w:r>
    </w:p>
    <w:p w:rsidRPr="006779A9" w:rsidR="00AC5737" w:rsidP="00D41989" w:rsidRDefault="00D41989" w14:paraId="0E99B8B2" w14:textId="77777777">
      <w:pPr>
        <w:pStyle w:val="JuPara"/>
        <w:rPr>
          <w:rFonts w:eastAsia="Times New Roman" w:cs="Times New Roman"/>
        </w:rPr>
      </w:pPr>
      <w:r w:rsidRPr="006779A9">
        <w:rPr>
          <w:rFonts w:cs="Times New Roman" w:eastAsiaTheme="majorEastAsia"/>
        </w:rPr>
        <w:fldChar w:fldCharType="begin"/>
      </w:r>
      <w:r w:rsidRPr="006779A9">
        <w:rPr>
          <w:rFonts w:cs="Times New Roman" w:eastAsiaTheme="majorEastAsia"/>
        </w:rPr>
        <w:instrText xml:space="preserve"> SEQ level0 \*arabic </w:instrText>
      </w:r>
      <w:r w:rsidRPr="006779A9">
        <w:rPr>
          <w:rFonts w:cs="Times New Roman" w:eastAsiaTheme="majorEastAsia"/>
        </w:rPr>
        <w:fldChar w:fldCharType="separate"/>
      </w:r>
      <w:r w:rsidR="00830BEA">
        <w:rPr>
          <w:rFonts w:cs="Times New Roman" w:eastAsiaTheme="majorEastAsia"/>
          <w:noProof/>
        </w:rPr>
        <w:t>38</w:t>
      </w:r>
      <w:r w:rsidRPr="006779A9">
        <w:rPr>
          <w:rFonts w:cs="Times New Roman" w:eastAsiaTheme="majorEastAsia"/>
        </w:rPr>
        <w:fldChar w:fldCharType="end"/>
      </w:r>
      <w:r w:rsidRPr="006779A9">
        <w:rPr>
          <w:rFonts w:cs="Times New Roman" w:eastAsiaTheme="majorEastAsia"/>
        </w:rPr>
        <w:t>.  </w:t>
      </w:r>
      <w:r w:rsidRPr="006779A9" w:rsidR="00AC5737">
        <w:rPr>
          <w:rFonts w:cs="Times New Roman" w:eastAsiaTheme="majorEastAsia"/>
        </w:rPr>
        <w:t xml:space="preserve">As regards the first part of the Government’s objection, the Court considers that the applicant gave the domestic courts and, at last instance, the Constitutional Court, the opportunity to remedy the alleged violation. As to the Government’s </w:t>
      </w:r>
      <w:r w:rsidRPr="006779A9" w:rsidR="0033379A">
        <w:rPr>
          <w:rFonts w:cs="Times New Roman" w:eastAsiaTheme="majorEastAsia"/>
        </w:rPr>
        <w:t xml:space="preserve">argument </w:t>
      </w:r>
      <w:r w:rsidRPr="006779A9" w:rsidR="00AC5737">
        <w:rPr>
          <w:rFonts w:cs="Times New Roman" w:eastAsiaTheme="majorEastAsia"/>
        </w:rPr>
        <w:t xml:space="preserve">that the applicant had failed to exhaust domestic remedies </w:t>
      </w:r>
      <w:r w:rsidRPr="006779A9" w:rsidR="00AC5737">
        <w:rPr>
          <w:rFonts w:eastAsiaTheme="majorEastAsia"/>
        </w:rPr>
        <w:t>because</w:t>
      </w:r>
      <w:r w:rsidRPr="006779A9" w:rsidR="00AC5737">
        <w:rPr>
          <w:rFonts w:cs="Times New Roman" w:eastAsiaTheme="majorEastAsia"/>
        </w:rPr>
        <w:t xml:space="preserve"> he had not filed a plea of nullity, it observes that the Constitutional Court did not declare the applicant’s </w:t>
      </w:r>
      <w:r w:rsidRPr="006779A9" w:rsidR="00AC5737">
        <w:rPr>
          <w:rFonts w:cs="Times New Roman" w:eastAsiaTheme="majorEastAsia"/>
          <w:i/>
          <w:iCs/>
        </w:rPr>
        <w:t xml:space="preserve">amparo </w:t>
      </w:r>
      <w:r w:rsidRPr="006779A9" w:rsidR="00AC5737">
        <w:rPr>
          <w:rFonts w:cs="Times New Roman" w:eastAsiaTheme="majorEastAsia"/>
        </w:rPr>
        <w:t xml:space="preserve">appeal inadmissible on that ground, and that it made no mention </w:t>
      </w:r>
      <w:r w:rsidRPr="006779A9" w:rsidR="00406AF8">
        <w:rPr>
          <w:rFonts w:cs="Times New Roman" w:eastAsiaTheme="majorEastAsia"/>
        </w:rPr>
        <w:t xml:space="preserve">at any stage </w:t>
      </w:r>
      <w:r w:rsidRPr="006779A9" w:rsidR="00AC5737">
        <w:rPr>
          <w:rFonts w:cs="Times New Roman" w:eastAsiaTheme="majorEastAsia"/>
        </w:rPr>
        <w:t xml:space="preserve">of a </w:t>
      </w:r>
      <w:r w:rsidRPr="006779A9" w:rsidR="0033379A">
        <w:rPr>
          <w:rFonts w:cs="Times New Roman" w:eastAsiaTheme="majorEastAsia"/>
        </w:rPr>
        <w:t xml:space="preserve">prior </w:t>
      </w:r>
      <w:r w:rsidRPr="006779A9" w:rsidR="00AC5737">
        <w:rPr>
          <w:rFonts w:cs="Times New Roman" w:eastAsiaTheme="majorEastAsia"/>
        </w:rPr>
        <w:t xml:space="preserve">requirement to have filed such a plea. The Court reiterates that it is primarily for the national authorities, notably the courts, to resolve problems of interpretation of domestic legislation </w:t>
      </w:r>
      <w:r w:rsidRPr="006779A9" w:rsidR="00AC5737">
        <w:rPr>
          <w:rFonts w:eastAsia="Times New Roman" w:cs="Times New Roman"/>
        </w:rPr>
        <w:t xml:space="preserve">(see </w:t>
      </w:r>
      <w:r w:rsidRPr="006779A9" w:rsidR="00AC5737">
        <w:rPr>
          <w:rFonts w:eastAsia="Times New Roman" w:cs="Times New Roman"/>
          <w:i/>
        </w:rPr>
        <w:t>Brualla Gómez de la Torre v.</w:t>
      </w:r>
      <w:r w:rsidR="00DA1679">
        <w:rPr>
          <w:rFonts w:eastAsia="Times New Roman" w:cs="Times New Roman"/>
          <w:i/>
        </w:rPr>
        <w:t> </w:t>
      </w:r>
      <w:r w:rsidRPr="006779A9" w:rsidR="00AC5737">
        <w:rPr>
          <w:rFonts w:eastAsia="Times New Roman" w:cs="Times New Roman"/>
          <w:i/>
        </w:rPr>
        <w:t>Spain</w:t>
      </w:r>
      <w:r w:rsidRPr="006779A9" w:rsidR="00AC5737">
        <w:rPr>
          <w:rFonts w:eastAsia="Times New Roman" w:cs="Times New Roman"/>
        </w:rPr>
        <w:t xml:space="preserve">, 19 December 1997, § 31, </w:t>
      </w:r>
      <w:r w:rsidRPr="006779A9" w:rsidR="00AC5737">
        <w:rPr>
          <w:rFonts w:eastAsia="Times New Roman" w:cs="Times New Roman"/>
          <w:i/>
        </w:rPr>
        <w:t>Reports of Judgments and Decisions</w:t>
      </w:r>
      <w:r w:rsidRPr="006779A9" w:rsidR="00AC5737">
        <w:rPr>
          <w:rFonts w:eastAsia="Times New Roman" w:cs="Times New Roman"/>
        </w:rPr>
        <w:t xml:space="preserve"> 1997</w:t>
      </w:r>
      <w:r w:rsidRPr="006779A9" w:rsidR="00AC5737">
        <w:rPr>
          <w:rFonts w:eastAsia="Times New Roman" w:cs="Times New Roman"/>
        </w:rPr>
        <w:noBreakHyphen/>
        <w:t>VIII), including procedural issues, and that the Court will not substitute its own interpretation for theirs in the absence of arbitrariness. Hence, it cannot require the applicant to exhaust a remedy which the Constitutional Court itself did not consider to be required in the present case. </w:t>
      </w:r>
    </w:p>
    <w:p w:rsidRPr="006779A9" w:rsidR="00AC5737" w:rsidP="00D41989" w:rsidRDefault="00D41989" w14:paraId="3A4F3FEF" w14:textId="475CD7D6">
      <w:pPr>
        <w:pStyle w:val="JuPara"/>
        <w:rPr>
          <w:rFonts w:eastAsia="Times New Roman" w:cs="Times New Roman"/>
        </w:rPr>
      </w:pPr>
      <w:r w:rsidRPr="006779A9">
        <w:rPr>
          <w:rFonts w:eastAsia="Times New Roman" w:cs="Times New Roman"/>
        </w:rPr>
        <w:fldChar w:fldCharType="begin"/>
      </w:r>
      <w:r w:rsidRPr="006779A9">
        <w:rPr>
          <w:rFonts w:eastAsia="Times New Roman" w:cs="Times New Roman"/>
        </w:rPr>
        <w:instrText xml:space="preserve"> SEQ level0 \*arabic </w:instrText>
      </w:r>
      <w:r w:rsidRPr="006779A9">
        <w:rPr>
          <w:rFonts w:eastAsia="Times New Roman" w:cs="Times New Roman"/>
        </w:rPr>
        <w:fldChar w:fldCharType="separate"/>
      </w:r>
      <w:r w:rsidR="00830BEA">
        <w:rPr>
          <w:rFonts w:eastAsia="Times New Roman" w:cs="Times New Roman"/>
          <w:noProof/>
        </w:rPr>
        <w:t>39</w:t>
      </w:r>
      <w:r w:rsidRPr="006779A9">
        <w:rPr>
          <w:rFonts w:eastAsia="Times New Roman" w:cs="Times New Roman"/>
        </w:rPr>
        <w:fldChar w:fldCharType="end"/>
      </w:r>
      <w:r w:rsidRPr="006779A9">
        <w:rPr>
          <w:rFonts w:eastAsia="Times New Roman" w:cs="Times New Roman"/>
        </w:rPr>
        <w:t>.  </w:t>
      </w:r>
      <w:r w:rsidRPr="006779A9" w:rsidR="00AC5737">
        <w:rPr>
          <w:rFonts w:eastAsia="Times New Roman" w:cs="Times New Roman"/>
        </w:rPr>
        <w:t xml:space="preserve">As to the second part of the objection, the Government submitted that domestic remedies had not been properly exhausted in so far as the </w:t>
      </w:r>
      <w:r w:rsidRPr="006779A9" w:rsidR="00AC5737">
        <w:rPr>
          <w:rFonts w:eastAsia="Times New Roman" w:cs="Times New Roman"/>
          <w:i/>
          <w:iCs/>
        </w:rPr>
        <w:t xml:space="preserve">amparo </w:t>
      </w:r>
      <w:r w:rsidRPr="006779A9" w:rsidR="00AC5737">
        <w:rPr>
          <w:rFonts w:eastAsia="Times New Roman" w:cs="Times New Roman"/>
        </w:rPr>
        <w:t xml:space="preserve">appeal had been declared inadmissible by the </w:t>
      </w:r>
      <w:r w:rsidRPr="006779A9" w:rsidR="00AC5737">
        <w:rPr>
          <w:rFonts w:eastAsiaTheme="majorEastAsia"/>
        </w:rPr>
        <w:t>Constitutional</w:t>
      </w:r>
      <w:r w:rsidRPr="006779A9" w:rsidR="00AC5737">
        <w:rPr>
          <w:rFonts w:eastAsia="Times New Roman" w:cs="Times New Roman"/>
        </w:rPr>
        <w:t xml:space="preserve"> Court </w:t>
      </w:r>
      <w:r w:rsidRPr="006779A9" w:rsidR="00A320D5">
        <w:rPr>
          <w:rFonts w:eastAsia="Times New Roman" w:cs="Times New Roman"/>
        </w:rPr>
        <w:t>owing to the applicant’s failure to comply</w:t>
      </w:r>
      <w:r w:rsidRPr="006779A9" w:rsidR="00AC5737">
        <w:rPr>
          <w:rFonts w:eastAsia="Times New Roman" w:cs="Times New Roman"/>
        </w:rPr>
        <w:t xml:space="preserve"> with the statutory obligation to demonstrate that his appeal had special constitutional significance, as required by section 49(1) of the LOTC as amended by Institutional Law no.</w:t>
      </w:r>
      <w:r w:rsidR="005E7DE4">
        <w:rPr>
          <w:rFonts w:eastAsia="Times New Roman" w:cs="Times New Roman"/>
        </w:rPr>
        <w:t> </w:t>
      </w:r>
      <w:r w:rsidRPr="006779A9" w:rsidR="00AC5737">
        <w:rPr>
          <w:rFonts w:eastAsia="Times New Roman" w:cs="Times New Roman"/>
        </w:rPr>
        <w:t>6/2007 of 24 May 2007.</w:t>
      </w:r>
    </w:p>
    <w:p w:rsidRPr="006779A9" w:rsidR="00887169" w:rsidP="00887169" w:rsidRDefault="00D41989" w14:paraId="0D54814E" w14:textId="77777777">
      <w:pPr>
        <w:pStyle w:val="JuPara"/>
      </w:pPr>
      <w:r w:rsidRPr="006779A9">
        <w:fldChar w:fldCharType="begin"/>
      </w:r>
      <w:r w:rsidRPr="006779A9">
        <w:instrText xml:space="preserve"> SEQ level0 \*arabic </w:instrText>
      </w:r>
      <w:r w:rsidRPr="006779A9">
        <w:fldChar w:fldCharType="separate"/>
      </w:r>
      <w:r w:rsidR="00830BEA">
        <w:rPr>
          <w:noProof/>
        </w:rPr>
        <w:t>40</w:t>
      </w:r>
      <w:r w:rsidRPr="006779A9">
        <w:fldChar w:fldCharType="end"/>
      </w:r>
      <w:r w:rsidRPr="006779A9">
        <w:t xml:space="preserve">.  In that connection, as </w:t>
      </w:r>
      <w:r w:rsidRPr="006779A9" w:rsidR="00834C4B">
        <w:t>it did previously</w:t>
      </w:r>
      <w:r w:rsidRPr="006779A9">
        <w:t xml:space="preserve"> in the case of </w:t>
      </w:r>
      <w:r w:rsidRPr="006779A9" w:rsidR="004A6EA7">
        <w:rPr>
          <w:i/>
        </w:rPr>
        <w:t>Arribas Antón</w:t>
      </w:r>
      <w:r w:rsidRPr="006779A9" w:rsidR="004A6EA7">
        <w:t xml:space="preserve"> </w:t>
      </w:r>
      <w:r w:rsidRPr="006779A9" w:rsidR="002D1AC6">
        <w:rPr>
          <w:i/>
        </w:rPr>
        <w:t>v. Spain</w:t>
      </w:r>
      <w:r w:rsidRPr="006779A9" w:rsidR="004A6EA7">
        <w:t xml:space="preserve"> (</w:t>
      </w:r>
      <w:r w:rsidRPr="006779A9" w:rsidR="002D1AC6">
        <w:t>no.</w:t>
      </w:r>
      <w:r w:rsidRPr="006779A9" w:rsidR="004A6EA7">
        <w:t> 16563/11</w:t>
      </w:r>
      <w:r w:rsidRPr="006779A9" w:rsidR="004A6EA7">
        <w:rPr>
          <w:snapToGrid w:val="0"/>
        </w:rPr>
        <w:t>, 20 </w:t>
      </w:r>
      <w:r w:rsidRPr="006779A9" w:rsidR="002D1AC6">
        <w:t>January</w:t>
      </w:r>
      <w:r w:rsidRPr="006779A9" w:rsidR="004A6EA7">
        <w:rPr>
          <w:snapToGrid w:val="0"/>
        </w:rPr>
        <w:t xml:space="preserve"> 2015)</w:t>
      </w:r>
      <w:r w:rsidRPr="006779A9" w:rsidR="004A6EA7">
        <w:t xml:space="preserve">, </w:t>
      </w:r>
      <w:r w:rsidRPr="006779A9" w:rsidR="00834C4B">
        <w:t xml:space="preserve">the Court emphasises that the fact that the Constitutional Court declared an </w:t>
      </w:r>
      <w:r w:rsidRPr="006779A9" w:rsidR="00834C4B">
        <w:rPr>
          <w:i/>
        </w:rPr>
        <w:t xml:space="preserve">amparo </w:t>
      </w:r>
      <w:r w:rsidRPr="006779A9" w:rsidR="00834C4B">
        <w:t xml:space="preserve">appeal inadmissible on the grounds that it did not have special constitutional significance as required or, </w:t>
      </w:r>
      <w:r w:rsidRPr="006779A9" w:rsidR="00C45410">
        <w:t>as the case may be</w:t>
      </w:r>
      <w:r w:rsidRPr="006779A9" w:rsidR="00834C4B">
        <w:t xml:space="preserve">, that the appellant had not demonstrated the existence of such significance, does not prevent the Court from ruling on the admissibility and merits of an application (ibid., § 51, with </w:t>
      </w:r>
      <w:r w:rsidRPr="006779A9" w:rsidR="00A320D5">
        <w:t xml:space="preserve">its </w:t>
      </w:r>
      <w:r w:rsidRPr="006779A9" w:rsidR="00834C4B">
        <w:t xml:space="preserve">references to </w:t>
      </w:r>
      <w:r w:rsidRPr="006779A9" w:rsidR="004F7981">
        <w:t xml:space="preserve">the </w:t>
      </w:r>
      <w:r w:rsidR="00816E2C">
        <w:t xml:space="preserve">following </w:t>
      </w:r>
      <w:r w:rsidRPr="006779A9" w:rsidR="00A320D5">
        <w:t xml:space="preserve">Court </w:t>
      </w:r>
      <w:r w:rsidRPr="006779A9" w:rsidR="004F7981">
        <w:t>judgments</w:t>
      </w:r>
      <w:r w:rsidRPr="006779A9" w:rsidR="00A320D5">
        <w:t xml:space="preserve"> delivered in the wake of</w:t>
      </w:r>
      <w:r w:rsidRPr="006779A9" w:rsidR="004F7981">
        <w:t xml:space="preserve"> Constitutional Court</w:t>
      </w:r>
      <w:r w:rsidRPr="006779A9" w:rsidR="00A320D5">
        <w:t xml:space="preserve"> rulings declaring</w:t>
      </w:r>
      <w:r w:rsidRPr="006779A9" w:rsidR="004F7981">
        <w:t xml:space="preserve"> </w:t>
      </w:r>
      <w:r w:rsidRPr="006779A9" w:rsidR="004F7981">
        <w:rPr>
          <w:i/>
        </w:rPr>
        <w:t xml:space="preserve">amparo </w:t>
      </w:r>
      <w:r w:rsidRPr="006779A9" w:rsidR="004F7981">
        <w:t>appeals inadmissible on the basis of this criterion</w:t>
      </w:r>
      <w:r w:rsidRPr="006779A9" w:rsidR="00406AF8">
        <w:t>:</w:t>
      </w:r>
      <w:r w:rsidRPr="006779A9" w:rsidR="004F7981">
        <w:t xml:space="preserve"> </w:t>
      </w:r>
      <w:r w:rsidRPr="006779A9" w:rsidR="004F7981">
        <w:rPr>
          <w:i/>
        </w:rPr>
        <w:t>Del Río Prada</w:t>
      </w:r>
      <w:r w:rsidRPr="006779A9" w:rsidR="004F7981">
        <w:t xml:space="preserve"> </w:t>
      </w:r>
      <w:r w:rsidRPr="006779A9" w:rsidR="004F7981">
        <w:rPr>
          <w:i/>
        </w:rPr>
        <w:t>v. Spain</w:t>
      </w:r>
      <w:r w:rsidRPr="006779A9" w:rsidR="004F7981">
        <w:t xml:space="preserve"> [GC], no. 42750/09, § 22, ECHR 2013; </w:t>
      </w:r>
      <w:r w:rsidRPr="006779A9" w:rsidR="004F7981">
        <w:rPr>
          <w:i/>
        </w:rPr>
        <w:t>Varela Geis v. Spain</w:t>
      </w:r>
      <w:r w:rsidRPr="006779A9" w:rsidR="004F7981">
        <w:t xml:space="preserve">, no. 61005/09, 5 March 2013; </w:t>
      </w:r>
      <w:r w:rsidRPr="006779A9" w:rsidR="004F7981">
        <w:rPr>
          <w:i/>
        </w:rPr>
        <w:t>Manzanas Martín v.</w:t>
      </w:r>
      <w:r w:rsidR="00F41F99">
        <w:rPr>
          <w:i/>
        </w:rPr>
        <w:t> </w:t>
      </w:r>
      <w:r w:rsidRPr="006779A9" w:rsidR="004F7981">
        <w:rPr>
          <w:i/>
        </w:rPr>
        <w:t>Spain</w:t>
      </w:r>
      <w:r w:rsidRPr="006779A9" w:rsidR="004F7981">
        <w:t xml:space="preserve">, no. 17966/10, § 14, 3 April 2012; and </w:t>
      </w:r>
      <w:r w:rsidRPr="006779A9" w:rsidR="004F7981">
        <w:rPr>
          <w:i/>
        </w:rPr>
        <w:t>R.M.S. v. Spain</w:t>
      </w:r>
      <w:r w:rsidRPr="006779A9" w:rsidR="004F7981">
        <w:t>, cited above, § 45</w:t>
      </w:r>
      <w:r w:rsidRPr="006779A9" w:rsidR="00406AF8">
        <w:t>; see</w:t>
      </w:r>
      <w:r w:rsidRPr="006779A9" w:rsidR="004F7981">
        <w:t xml:space="preserve"> also the more recent case of </w:t>
      </w:r>
      <w:r w:rsidRPr="006779A9" w:rsidR="004F7981">
        <w:rPr>
          <w:i/>
        </w:rPr>
        <w:t>Rodriguez Ravelo</w:t>
      </w:r>
      <w:r w:rsidRPr="006779A9" w:rsidR="004F7981">
        <w:t xml:space="preserve"> </w:t>
      </w:r>
      <w:r w:rsidRPr="006779A9" w:rsidR="004F7981">
        <w:rPr>
          <w:i/>
        </w:rPr>
        <w:t>v. Spain</w:t>
      </w:r>
      <w:r w:rsidRPr="006779A9" w:rsidR="004F7981">
        <w:t>, no.</w:t>
      </w:r>
      <w:r w:rsidR="00F41F99">
        <w:t> </w:t>
      </w:r>
      <w:r w:rsidRPr="006779A9" w:rsidR="004F7981">
        <w:t>48074/10, § 24, 12 January 2016</w:t>
      </w:r>
      <w:r w:rsidRPr="006779A9" w:rsidR="00406AF8">
        <w:t>,</w:t>
      </w:r>
      <w:r w:rsidRPr="006779A9" w:rsidR="004F7981">
        <w:t xml:space="preserve"> and, most recently, </w:t>
      </w:r>
      <w:r w:rsidRPr="006779A9" w:rsidR="004F7981">
        <w:rPr>
          <w:i/>
          <w:iCs/>
        </w:rPr>
        <w:t>Saber and Boughassal v. Spain</w:t>
      </w:r>
      <w:r w:rsidRPr="006779A9" w:rsidR="004F7981">
        <w:t>, nos.</w:t>
      </w:r>
      <w:r w:rsidRPr="006779A9" w:rsidR="004F7981">
        <w:rPr>
          <w:lang w:eastAsia="en-GB"/>
        </w:rPr>
        <w:t xml:space="preserve"> </w:t>
      </w:r>
      <w:r w:rsidRPr="006779A9" w:rsidR="004F7981">
        <w:t xml:space="preserve">76550/13 and 45938/14, § 30, 18 December 2018). The Court notes that in the present case the applicant set out, in a </w:t>
      </w:r>
      <w:r w:rsidRPr="006779A9" w:rsidR="00406AF8">
        <w:t>separate</w:t>
      </w:r>
      <w:r w:rsidRPr="006779A9" w:rsidR="004F7981">
        <w:t xml:space="preserve"> section, the reasons why his </w:t>
      </w:r>
      <w:r w:rsidRPr="006779A9" w:rsidR="004F7981">
        <w:rPr>
          <w:i/>
        </w:rPr>
        <w:t xml:space="preserve">amparo </w:t>
      </w:r>
      <w:r w:rsidRPr="006779A9" w:rsidR="004F7981">
        <w:t xml:space="preserve">appeal had special constitutional significance for him. He </w:t>
      </w:r>
      <w:r w:rsidRPr="006779A9" w:rsidR="00C45410">
        <w:t>argued</w:t>
      </w:r>
      <w:r w:rsidRPr="006779A9" w:rsidR="004F7981">
        <w:t xml:space="preserve"> that the appeal satisfied that criterion in so far as it was based on the case-law of </w:t>
      </w:r>
      <w:r w:rsidRPr="006779A9" w:rsidR="00E71A0E">
        <w:t>the “bodies responsible for interpreting international treaties and agreements referred to in Article 10(2) of the EC Treaty”</w:t>
      </w:r>
      <w:r w:rsidRPr="006779A9" w:rsidR="00887169">
        <w:t xml:space="preserve">. He referred to the judgment in </w:t>
      </w:r>
      <w:r w:rsidRPr="006779A9" w:rsidR="00887169">
        <w:rPr>
          <w:i/>
        </w:rPr>
        <w:t>R.M.S. v. Spain</w:t>
      </w:r>
      <w:r w:rsidRPr="006779A9" w:rsidR="00887169">
        <w:t xml:space="preserve">, cited above, and relied on the provisions of the Spanish Constitution which he considered relevant and on Article 8 of the Convention, </w:t>
      </w:r>
      <w:r w:rsidRPr="006779A9" w:rsidR="008428C7">
        <w:t>arguing</w:t>
      </w:r>
      <w:r w:rsidRPr="006779A9" w:rsidR="00887169">
        <w:t xml:space="preserve"> that the judicial decisions in question had prevented him from being reunited with his daughter owing to serious errors in the reports by the various administrative bodies that had formed the basis for the domestic courts’ reasoning.</w:t>
      </w:r>
    </w:p>
    <w:p w:rsidRPr="006779A9" w:rsidR="00887169" w:rsidP="004A6EA7" w:rsidRDefault="004100C2" w14:paraId="7DF139C4" w14:textId="77777777">
      <w:pPr>
        <w:pStyle w:val="JuPara"/>
        <w:rPr>
          <w:rFonts w:eastAsiaTheme="majorEastAsia"/>
        </w:rPr>
      </w:pPr>
      <w:r w:rsidRPr="006779A9">
        <w:rPr>
          <w:rFonts w:eastAsiaTheme="majorEastAsia"/>
        </w:rPr>
        <w:fldChar w:fldCharType="begin"/>
      </w:r>
      <w:r w:rsidRPr="006779A9">
        <w:rPr>
          <w:rFonts w:eastAsiaTheme="majorEastAsia"/>
        </w:rPr>
        <w:instrText xml:space="preserve"> SEQ level0 \*arabic </w:instrText>
      </w:r>
      <w:r w:rsidRPr="006779A9">
        <w:rPr>
          <w:rFonts w:eastAsiaTheme="majorEastAsia"/>
        </w:rPr>
        <w:fldChar w:fldCharType="separate"/>
      </w:r>
      <w:r w:rsidR="00830BEA">
        <w:rPr>
          <w:rFonts w:eastAsiaTheme="majorEastAsia"/>
          <w:noProof/>
        </w:rPr>
        <w:t>41</w:t>
      </w:r>
      <w:r w:rsidRPr="006779A9">
        <w:rPr>
          <w:rFonts w:eastAsiaTheme="majorEastAsia"/>
        </w:rPr>
        <w:fldChar w:fldCharType="end"/>
      </w:r>
      <w:r w:rsidRPr="006779A9">
        <w:rPr>
          <w:rFonts w:eastAsiaTheme="majorEastAsia"/>
        </w:rPr>
        <w:t>.  </w:t>
      </w:r>
      <w:r w:rsidRPr="006779A9" w:rsidR="00887169">
        <w:rPr>
          <w:rFonts w:eastAsiaTheme="majorEastAsia"/>
        </w:rPr>
        <w:t>Accordingly, the Government’s objection cannot be allowed.</w:t>
      </w:r>
    </w:p>
    <w:p w:rsidRPr="006779A9" w:rsidR="00887169" w:rsidP="004A6EA7" w:rsidRDefault="004100C2" w14:paraId="2A420965" w14:textId="77777777">
      <w:pPr>
        <w:pStyle w:val="JuPara"/>
      </w:pPr>
      <w:r w:rsidRPr="006779A9">
        <w:fldChar w:fldCharType="begin"/>
      </w:r>
      <w:r w:rsidRPr="006779A9">
        <w:instrText xml:space="preserve"> SEQ level0 \*arabic </w:instrText>
      </w:r>
      <w:r w:rsidRPr="006779A9">
        <w:fldChar w:fldCharType="separate"/>
      </w:r>
      <w:r w:rsidR="00830BEA">
        <w:rPr>
          <w:noProof/>
        </w:rPr>
        <w:t>42</w:t>
      </w:r>
      <w:r w:rsidRPr="006779A9">
        <w:fldChar w:fldCharType="end"/>
      </w:r>
      <w:r w:rsidRPr="006779A9">
        <w:t>.  </w:t>
      </w:r>
      <w:r w:rsidRPr="006779A9" w:rsidR="00887169">
        <w:t>The Court notes that the application is not manifestly ill-founded within the meaning of Article 35 § 3 (a) of the Convention. It further notes that it is not inadmissible on any other grounds. It must therefore be declared admissible.</w:t>
      </w:r>
    </w:p>
    <w:p w:rsidRPr="006779A9" w:rsidR="004A6EA7" w:rsidP="004A6EA7" w:rsidRDefault="00887169" w14:paraId="426F1E77" w14:textId="77777777">
      <w:pPr>
        <w:pStyle w:val="JuHA"/>
      </w:pPr>
      <w:r w:rsidRPr="006779A9">
        <w:t>Merits</w:t>
      </w:r>
    </w:p>
    <w:p w:rsidRPr="006779A9" w:rsidR="004A6EA7" w:rsidP="004A6EA7" w:rsidRDefault="00887169" w14:paraId="3BF08C9A" w14:textId="77777777">
      <w:pPr>
        <w:pStyle w:val="JuH1"/>
      </w:pPr>
      <w:r w:rsidRPr="006779A9">
        <w:t>The parties’ submissions</w:t>
      </w:r>
    </w:p>
    <w:p w:rsidRPr="006779A9" w:rsidR="004A6EA7" w:rsidP="004A6EA7" w:rsidRDefault="00887169" w14:paraId="164ED3D4" w14:textId="77777777">
      <w:pPr>
        <w:pStyle w:val="JuHa0"/>
      </w:pPr>
      <w:r w:rsidRPr="006779A9">
        <w:t>The Government</w:t>
      </w:r>
    </w:p>
    <w:p w:rsidRPr="006779A9" w:rsidR="00D9348D" w:rsidP="004A6EA7" w:rsidRDefault="004100C2" w14:paraId="6921245C" w14:textId="77777777">
      <w:pPr>
        <w:pStyle w:val="JuPara"/>
      </w:pPr>
      <w:r w:rsidRPr="006779A9">
        <w:fldChar w:fldCharType="begin"/>
      </w:r>
      <w:r w:rsidRPr="006779A9">
        <w:instrText xml:space="preserve"> SEQ level0 \*arabic </w:instrText>
      </w:r>
      <w:r w:rsidRPr="006779A9">
        <w:fldChar w:fldCharType="separate"/>
      </w:r>
      <w:r w:rsidR="00830BEA">
        <w:rPr>
          <w:noProof/>
        </w:rPr>
        <w:t>43</w:t>
      </w:r>
      <w:r w:rsidRPr="006779A9">
        <w:fldChar w:fldCharType="end"/>
      </w:r>
      <w:r w:rsidRPr="006779A9">
        <w:t>.  </w:t>
      </w:r>
      <w:r w:rsidRPr="006779A9" w:rsidR="00D9348D">
        <w:t xml:space="preserve">The Government conceded that there had been interference by the public authorities with the applicant’s right to respect for his private and family life. However, in their submission, the interference was justified by an overriding requirement pertaining to the child’s best interests, and was an appropriate use of the national authorities’ margin of appreciation. In the present case the applicant’s daughter had </w:t>
      </w:r>
      <w:r w:rsidRPr="006779A9" w:rsidR="008428C7">
        <w:t xml:space="preserve">had </w:t>
      </w:r>
      <w:r w:rsidRPr="006779A9" w:rsidR="00D9348D">
        <w:t xml:space="preserve">an interest in the consolidation of her situation in foster care, after spending </w:t>
      </w:r>
      <w:r w:rsidRPr="006779A9" w:rsidR="00C45410">
        <w:t>fifteen</w:t>
      </w:r>
      <w:r w:rsidRPr="006779A9" w:rsidR="00D9348D">
        <w:t xml:space="preserve"> months in residential care. Moreover, the Court was not a court of fourth instance and must respect the margin of appreciation left to the member States in regulating parent-child relationships.</w:t>
      </w:r>
    </w:p>
    <w:p w:rsidRPr="006779A9" w:rsidR="00D9348D" w:rsidP="004A6EA7" w:rsidRDefault="004100C2" w14:paraId="377CCE0A" w14:textId="77777777">
      <w:pPr>
        <w:pStyle w:val="JuPara"/>
      </w:pPr>
      <w:r w:rsidRPr="006779A9">
        <w:fldChar w:fldCharType="begin"/>
      </w:r>
      <w:r w:rsidRPr="006779A9">
        <w:instrText xml:space="preserve"> SEQ level0 \*arabic </w:instrText>
      </w:r>
      <w:r w:rsidRPr="006779A9">
        <w:fldChar w:fldCharType="separate"/>
      </w:r>
      <w:r w:rsidR="00830BEA">
        <w:rPr>
          <w:noProof/>
        </w:rPr>
        <w:t>44</w:t>
      </w:r>
      <w:r w:rsidRPr="006779A9">
        <w:fldChar w:fldCharType="end"/>
      </w:r>
      <w:r w:rsidRPr="006779A9">
        <w:t>.  </w:t>
      </w:r>
      <w:r w:rsidRPr="006779A9" w:rsidR="00D9348D">
        <w:t xml:space="preserve">The Government averred that the local authority’s decision to place the child in foster care with a view to </w:t>
      </w:r>
      <w:r w:rsidRPr="006779A9" w:rsidR="00FF17AB">
        <w:t xml:space="preserve">her </w:t>
      </w:r>
      <w:r w:rsidRPr="006779A9" w:rsidR="00D9348D">
        <w:t>adoption had been taken in strict compliance with the child protection legislation, had been duly accompanied by reasons and had been reviewed by the Spanish judicial authorities in accordance with the law. The decision had not been taken arbitrarily</w:t>
      </w:r>
      <w:r w:rsidRPr="006779A9" w:rsidR="0012411F">
        <w:t>, but rather had been based on the applicant’s lack of interest in his daughter.</w:t>
      </w:r>
      <w:r w:rsidRPr="006779A9" w:rsidR="008E7A82">
        <w:t xml:space="preserve"> Although the barring order </w:t>
      </w:r>
      <w:r w:rsidRPr="006779A9" w:rsidR="004B132D">
        <w:t xml:space="preserve">in respect of the applicant had </w:t>
      </w:r>
      <w:r w:rsidR="009E1006">
        <w:t>been valid until</w:t>
      </w:r>
      <w:r w:rsidRPr="006779A9" w:rsidR="008E7A82">
        <w:t xml:space="preserve"> September 2013, he had had no contact with his children between 2012 and 2015 and had not travelled to Murcia in person, but instead had dealt with the matter in writing through an association (see paragraph 11 above). The applicant’s situation therefore differed from that of the applicant in the case of </w:t>
      </w:r>
      <w:r w:rsidRPr="006779A9" w:rsidR="008E7A82">
        <w:rPr>
          <w:i/>
        </w:rPr>
        <w:t xml:space="preserve">R.M.S. v. Spain </w:t>
      </w:r>
      <w:r w:rsidRPr="006779A9" w:rsidR="008E7A82">
        <w:t>(cited above, § 76), in which the Court had found a violation of Article 8 of the Convention</w:t>
      </w:r>
      <w:r w:rsidRPr="006779A9" w:rsidR="00F616D7">
        <w:t xml:space="preserve"> because a child had been declared abandoned even though the applicant “[had gone] to the Granada children</w:t>
      </w:r>
      <w:r w:rsidRPr="006779A9" w:rsidR="004B132D">
        <w:t>’</w:t>
      </w:r>
      <w:r w:rsidRPr="006779A9" w:rsidR="00F616D7">
        <w:t xml:space="preserve">s home on at least seventeen occasions, despite the fact that the home was some distance from where she lived, and … </w:t>
      </w:r>
      <w:r w:rsidRPr="006779A9" w:rsidR="00FF17AB">
        <w:t>[had]</w:t>
      </w:r>
      <w:r w:rsidRPr="006779A9" w:rsidR="00F616D7">
        <w:t xml:space="preserve"> not even </w:t>
      </w:r>
      <w:r w:rsidRPr="006779A9" w:rsidR="00FF17AB">
        <w:t xml:space="preserve">[been] </w:t>
      </w:r>
      <w:r w:rsidRPr="006779A9" w:rsidR="00F616D7">
        <w:t xml:space="preserve">informed that her daughter had left there”. Moreover, in the present case, the decision in question had been preceded by a thorough assessment based on the reports drawn up by the Murcia child protection department. The Government referred to the </w:t>
      </w:r>
      <w:r w:rsidRPr="006779A9" w:rsidR="008C00EF">
        <w:t>orientation report</w:t>
      </w:r>
      <w:r w:rsidRPr="006779A9" w:rsidR="00F616D7">
        <w:t xml:space="preserve"> of</w:t>
      </w:r>
      <w:r w:rsidRPr="006779A9" w:rsidR="00FF17AB">
        <w:t xml:space="preserve"> 20 June 2013, the psychosocial report of 19 July 2013, </w:t>
      </w:r>
      <w:r w:rsidRPr="006779A9" w:rsidR="00F616D7">
        <w:t xml:space="preserve"> </w:t>
      </w:r>
      <w:r w:rsidRPr="006779A9" w:rsidR="00FF17AB">
        <w:t xml:space="preserve">the </w:t>
      </w:r>
      <w:r w:rsidRPr="006779A9" w:rsidR="008C00EF">
        <w:t>orientation report</w:t>
      </w:r>
      <w:r w:rsidRPr="006779A9" w:rsidR="00FF17AB">
        <w:t xml:space="preserve"> of </w:t>
      </w:r>
      <w:r w:rsidRPr="006779A9" w:rsidR="00F616D7">
        <w:t>28</w:t>
      </w:r>
      <w:r w:rsidR="00F41F99">
        <w:t> </w:t>
      </w:r>
      <w:r w:rsidRPr="006779A9" w:rsidR="00F616D7">
        <w:t>February 2014 and the report of 2 February 2015 (see paragraphs 14 et seq. above).</w:t>
      </w:r>
    </w:p>
    <w:p w:rsidRPr="006779A9" w:rsidR="00F616D7" w:rsidP="00F616D7" w:rsidRDefault="004100C2" w14:paraId="49F92FB2" w14:textId="77777777">
      <w:pPr>
        <w:pStyle w:val="JuPara"/>
      </w:pPr>
      <w:r w:rsidRPr="006779A9">
        <w:fldChar w:fldCharType="begin"/>
      </w:r>
      <w:r w:rsidRPr="006779A9">
        <w:instrText xml:space="preserve"> SEQ level0 \*arabic </w:instrText>
      </w:r>
      <w:r w:rsidRPr="006779A9">
        <w:fldChar w:fldCharType="separate"/>
      </w:r>
      <w:r w:rsidR="00830BEA">
        <w:rPr>
          <w:noProof/>
        </w:rPr>
        <w:t>45</w:t>
      </w:r>
      <w:r w:rsidRPr="006779A9">
        <w:fldChar w:fldCharType="end"/>
      </w:r>
      <w:r w:rsidRPr="006779A9">
        <w:t>.  </w:t>
      </w:r>
      <w:r w:rsidRPr="006779A9" w:rsidR="00F616D7">
        <w:t xml:space="preserve">In the Government’s view, the decisions taken by the authorities in the present case had not been disproportionate, as they had also secured the interests of the birth parents by </w:t>
      </w:r>
      <w:r w:rsidRPr="006779A9" w:rsidR="00681D50">
        <w:t>affording them</w:t>
      </w:r>
      <w:r w:rsidRPr="006779A9" w:rsidR="004B132D">
        <w:t xml:space="preserve"> sufficient</w:t>
      </w:r>
      <w:r w:rsidRPr="006779A9" w:rsidR="00681D50">
        <w:t xml:space="preserve"> procedural safeguards and </w:t>
      </w:r>
      <w:r w:rsidRPr="006779A9" w:rsidR="00F616D7">
        <w:t>involving them in the decision-making process (</w:t>
      </w:r>
      <w:r w:rsidRPr="006779A9" w:rsidR="00C45410">
        <w:t>the Government</w:t>
      </w:r>
      <w:r w:rsidRPr="006779A9" w:rsidR="00F616D7">
        <w:t xml:space="preserve"> referred to the judgment in </w:t>
      </w:r>
      <w:r w:rsidRPr="006779A9" w:rsidR="00F616D7">
        <w:rPr>
          <w:i/>
        </w:rPr>
        <w:t>W. v. the United Kingdom</w:t>
      </w:r>
      <w:r w:rsidRPr="006779A9" w:rsidR="00F616D7">
        <w:t xml:space="preserve">, 8 July 1987, § 63, Series A no. 121). The authorities had </w:t>
      </w:r>
      <w:r w:rsidRPr="006779A9" w:rsidR="00681D50">
        <w:t xml:space="preserve">at all times </w:t>
      </w:r>
      <w:r w:rsidRPr="006779A9" w:rsidR="00800E28">
        <w:t>been mindful of</w:t>
      </w:r>
      <w:r w:rsidRPr="006779A9" w:rsidR="00681D50">
        <w:t xml:space="preserve"> the child’</w:t>
      </w:r>
      <w:r w:rsidRPr="006779A9" w:rsidR="00800E28">
        <w:t xml:space="preserve">s best interests, the situation of her immediate and extended family and the principles of proportionality and necessity. The Government noted the efforts made by the Murcia social services to contact the applicant (see paragraphs 12 and 13 above) and the fact that the judicial authorities had </w:t>
      </w:r>
      <w:r w:rsidRPr="006779A9" w:rsidR="00BD0CE3">
        <w:t>upheld the rights of the defence by allowing the child’s parents the opportunity to express their point of view and, if applicable, their objections, by means of the procedures and remedies made available to them.</w:t>
      </w:r>
    </w:p>
    <w:p w:rsidRPr="006779A9" w:rsidR="00BD0CE3" w:rsidP="004A6EA7" w:rsidRDefault="004100C2" w14:paraId="77A7A63D" w14:textId="77777777">
      <w:pPr>
        <w:pStyle w:val="JuPara"/>
      </w:pPr>
      <w:r w:rsidRPr="006779A9">
        <w:fldChar w:fldCharType="begin"/>
      </w:r>
      <w:r w:rsidRPr="006779A9">
        <w:instrText xml:space="preserve"> SEQ level0 \*arabic </w:instrText>
      </w:r>
      <w:r w:rsidRPr="006779A9">
        <w:fldChar w:fldCharType="separate"/>
      </w:r>
      <w:r w:rsidR="00830BEA">
        <w:rPr>
          <w:noProof/>
        </w:rPr>
        <w:t>46</w:t>
      </w:r>
      <w:r w:rsidRPr="006779A9">
        <w:fldChar w:fldCharType="end"/>
      </w:r>
      <w:r w:rsidRPr="006779A9">
        <w:t>.  </w:t>
      </w:r>
      <w:r w:rsidRPr="006779A9" w:rsidR="00BD0CE3">
        <w:t xml:space="preserve">The Government observed that the interests of each child had to be assessed on a case-by-case basis. Consequently, the fact that the applicant had regained custody of his two sons did not alter the judicial bodies’ decisions, since his daughter had not been in a comparable situation to that of her brothers owing to her age and her personal circumstances. Referring to the decision of the Murcia </w:t>
      </w:r>
      <w:r w:rsidRPr="006779A9" w:rsidR="00BD0CE3">
        <w:rPr>
          <w:i/>
        </w:rPr>
        <w:t xml:space="preserve">Audiencia Provincial </w:t>
      </w:r>
      <w:r w:rsidRPr="006779A9" w:rsidR="00BD0CE3">
        <w:t xml:space="preserve">of 7 April 2016, the Government argued that the child’s reintegration into her birth family had no longer been possible as it </w:t>
      </w:r>
      <w:r w:rsidRPr="006779A9" w:rsidR="004B132D">
        <w:t>had been</w:t>
      </w:r>
      <w:r w:rsidRPr="006779A9" w:rsidR="00BD0CE3">
        <w:t xml:space="preserve"> liable to do her more harm than good. Furthermore, the child’s extended family had not demonstrated to the social services that they were capable of taking care of her.</w:t>
      </w:r>
    </w:p>
    <w:p w:rsidRPr="006779A9" w:rsidR="00BD0CE3" w:rsidP="004A6EA7" w:rsidRDefault="004100C2" w14:paraId="75A1658C" w14:textId="77777777">
      <w:pPr>
        <w:pStyle w:val="JuPara"/>
      </w:pPr>
      <w:r w:rsidRPr="006779A9">
        <w:fldChar w:fldCharType="begin"/>
      </w:r>
      <w:r w:rsidRPr="006779A9">
        <w:instrText xml:space="preserve"> SEQ level0 \*arabic </w:instrText>
      </w:r>
      <w:r w:rsidRPr="006779A9">
        <w:fldChar w:fldCharType="separate"/>
      </w:r>
      <w:r w:rsidR="00830BEA">
        <w:rPr>
          <w:noProof/>
        </w:rPr>
        <w:t>47</w:t>
      </w:r>
      <w:r w:rsidRPr="006779A9">
        <w:fldChar w:fldCharType="end"/>
      </w:r>
      <w:r w:rsidRPr="006779A9">
        <w:t>.  </w:t>
      </w:r>
      <w:r w:rsidRPr="006779A9" w:rsidR="00BD0CE3">
        <w:t>Lastly, the Government noted that the rights enshrined in Article 8 of the Convention applied equally to the birth family and the foster family</w:t>
      </w:r>
      <w:r w:rsidRPr="006779A9" w:rsidR="004B132D">
        <w:t>;</w:t>
      </w:r>
      <w:r w:rsidRPr="006779A9" w:rsidR="00BD0CE3">
        <w:t xml:space="preserve"> </w:t>
      </w:r>
      <w:r w:rsidRPr="006779A9" w:rsidR="004B132D">
        <w:t>the latter</w:t>
      </w:r>
      <w:r w:rsidRPr="006779A9" w:rsidR="00BD0CE3">
        <w:t xml:space="preserve"> had </w:t>
      </w:r>
      <w:r w:rsidRPr="006779A9" w:rsidR="004B132D">
        <w:t>established</w:t>
      </w:r>
      <w:r w:rsidRPr="006779A9" w:rsidR="00BD0CE3">
        <w:t xml:space="preserve"> emotional ties with the child </w:t>
      </w:r>
      <w:r w:rsidRPr="006779A9" w:rsidR="00F76C03">
        <w:t>that</w:t>
      </w:r>
      <w:r w:rsidRPr="006779A9" w:rsidR="0057010D">
        <w:t xml:space="preserve"> had to be taken into consideration by</w:t>
      </w:r>
      <w:r w:rsidRPr="006779A9" w:rsidR="00BD0CE3">
        <w:t xml:space="preserve"> the Court.</w:t>
      </w:r>
    </w:p>
    <w:p w:rsidRPr="006779A9" w:rsidR="004A6EA7" w:rsidP="004A6EA7" w:rsidRDefault="00BD0CE3" w14:paraId="4BC1A192" w14:textId="77777777">
      <w:pPr>
        <w:pStyle w:val="JuHa0"/>
      </w:pPr>
      <w:r w:rsidRPr="006779A9">
        <w:t>The applicant</w:t>
      </w:r>
    </w:p>
    <w:p w:rsidRPr="006779A9" w:rsidR="00365522" w:rsidP="004A6EA7" w:rsidRDefault="004100C2" w14:paraId="5E6045AA" w14:textId="77777777">
      <w:pPr>
        <w:pStyle w:val="JuPara"/>
      </w:pPr>
      <w:r w:rsidRPr="006779A9">
        <w:fldChar w:fldCharType="begin"/>
      </w:r>
      <w:r w:rsidRPr="006779A9">
        <w:instrText xml:space="preserve"> SEQ level0 \*arabic </w:instrText>
      </w:r>
      <w:r w:rsidRPr="006779A9">
        <w:fldChar w:fldCharType="separate"/>
      </w:r>
      <w:r w:rsidR="00830BEA">
        <w:rPr>
          <w:noProof/>
        </w:rPr>
        <w:t>48</w:t>
      </w:r>
      <w:r w:rsidRPr="006779A9">
        <w:fldChar w:fldCharType="end"/>
      </w:r>
      <w:r w:rsidRPr="006779A9">
        <w:t>.  </w:t>
      </w:r>
      <w:r w:rsidRPr="006779A9" w:rsidR="00365522">
        <w:t xml:space="preserve">In the applicant’s submission, while foster care may have been the best solution in the past in order to </w:t>
      </w:r>
      <w:r w:rsidRPr="006779A9" w:rsidR="000B2F18">
        <w:t xml:space="preserve">consolidate his daughter’s family situation, that had ceased to be the case once he had </w:t>
      </w:r>
      <w:r w:rsidR="009E1006">
        <w:t>regained</w:t>
      </w:r>
      <w:r w:rsidRPr="006779A9" w:rsidR="000B2F18">
        <w:t xml:space="preserve"> custody of the two older children with the permission of the child protection authorities. In his view, justifying his daughter’s placement in foster care on the grounds of his alleged “lack of interest” made no sense, given that he had been deprived of parental responsibility for his children and of the </w:t>
      </w:r>
      <w:r w:rsidRPr="006779A9" w:rsidR="00432245">
        <w:t>corresponding</w:t>
      </w:r>
      <w:r w:rsidRPr="006779A9" w:rsidR="000B2F18">
        <w:t xml:space="preserve"> rights and duties. That measure, which had formed the basis for the declaration that his children were abandoned, had </w:t>
      </w:r>
      <w:r w:rsidRPr="006779A9" w:rsidR="0057010D">
        <w:t>ceased to have any relevance</w:t>
      </w:r>
      <w:r w:rsidRPr="006779A9" w:rsidR="000B2F18">
        <w:t xml:space="preserve"> as he had been acquitted of the criminal charges </w:t>
      </w:r>
      <w:r w:rsidRPr="006779A9" w:rsidR="0057010D">
        <w:t>of ill-treatment of</w:t>
      </w:r>
      <w:r w:rsidRPr="006779A9" w:rsidR="000B2F18">
        <w:t xml:space="preserve"> his wife. Once he had managed to resume contact with his older children, he had </w:t>
      </w:r>
      <w:r w:rsidRPr="006779A9" w:rsidR="0057010D">
        <w:t xml:space="preserve">again </w:t>
      </w:r>
      <w:r w:rsidRPr="006779A9" w:rsidR="000B2F18">
        <w:t xml:space="preserve">been barred from </w:t>
      </w:r>
      <w:r w:rsidRPr="006779A9" w:rsidR="00794D21">
        <w:t xml:space="preserve">having </w:t>
      </w:r>
      <w:r w:rsidRPr="006779A9" w:rsidR="000B2F18">
        <w:t>the same</w:t>
      </w:r>
      <w:r w:rsidRPr="006779A9" w:rsidR="004B132D">
        <w:t xml:space="preserve"> contact</w:t>
      </w:r>
      <w:r w:rsidRPr="006779A9" w:rsidR="000B2F18">
        <w:t xml:space="preserve"> </w:t>
      </w:r>
      <w:r w:rsidRPr="006779A9" w:rsidR="00794D21">
        <w:t xml:space="preserve">arrangements with his daughter. Moreover, as a foreign national with a limited command of Spanish, it had been difficult for him to consult the notice to appear published in the Murcia </w:t>
      </w:r>
      <w:r w:rsidRPr="006779A9" w:rsidR="00C45410">
        <w:t>r</w:t>
      </w:r>
      <w:r w:rsidRPr="006779A9" w:rsidR="00794D21">
        <w:t>egion official gazette (see paragraph 13 above); that should not have been interpreted as a lack of interest on his part.</w:t>
      </w:r>
    </w:p>
    <w:p w:rsidRPr="006779A9" w:rsidR="00794D21" w:rsidP="004A6EA7" w:rsidRDefault="004100C2" w14:paraId="2E5D6C9E" w14:textId="77777777">
      <w:pPr>
        <w:pStyle w:val="JuPara"/>
      </w:pPr>
      <w:r w:rsidRPr="006779A9">
        <w:fldChar w:fldCharType="begin"/>
      </w:r>
      <w:r w:rsidRPr="006779A9">
        <w:instrText xml:space="preserve"> SEQ level0 \*arabic </w:instrText>
      </w:r>
      <w:r w:rsidRPr="006779A9">
        <w:fldChar w:fldCharType="separate"/>
      </w:r>
      <w:r w:rsidR="00830BEA">
        <w:rPr>
          <w:noProof/>
        </w:rPr>
        <w:t>49</w:t>
      </w:r>
      <w:r w:rsidRPr="006779A9">
        <w:fldChar w:fldCharType="end"/>
      </w:r>
      <w:r w:rsidRPr="006779A9">
        <w:t>.  </w:t>
      </w:r>
      <w:r w:rsidRPr="006779A9" w:rsidR="00794D21">
        <w:t>The applicant submitted that the Spanish child protection services and courts had discriminated against him because he was a foreign national. He had been living in Madrid and had a poor command of Spanish at the time. He rejected the Government’s argument that the authorities had observed the principle of lawfulness and his procedural rights, given that they had based their decisions on unsubstantiated arguments and on reports drawn up while criminal proceedings</w:t>
      </w:r>
      <w:r w:rsidRPr="006779A9" w:rsidR="0057010D">
        <w:t xml:space="preserve"> had been pending against him</w:t>
      </w:r>
      <w:r w:rsidRPr="006779A9" w:rsidR="00794D21">
        <w:t xml:space="preserve"> and </w:t>
      </w:r>
      <w:r w:rsidRPr="006779A9" w:rsidR="0057010D">
        <w:t xml:space="preserve">he </w:t>
      </w:r>
      <w:r w:rsidRPr="006779A9" w:rsidR="00794D21">
        <w:t>had not been in a position to defend his suitability as a father.</w:t>
      </w:r>
    </w:p>
    <w:p w:rsidRPr="006779A9" w:rsidR="00794D21" w:rsidP="004A6EA7" w:rsidRDefault="004100C2" w14:paraId="511CA56A" w14:textId="77777777">
      <w:pPr>
        <w:pStyle w:val="JuPara"/>
      </w:pPr>
      <w:r w:rsidRPr="006779A9">
        <w:fldChar w:fldCharType="begin"/>
      </w:r>
      <w:r w:rsidRPr="006779A9">
        <w:instrText xml:space="preserve"> SEQ level0 \*arabic </w:instrText>
      </w:r>
      <w:r w:rsidRPr="006779A9">
        <w:fldChar w:fldCharType="separate"/>
      </w:r>
      <w:r w:rsidR="00830BEA">
        <w:rPr>
          <w:noProof/>
        </w:rPr>
        <w:t>50</w:t>
      </w:r>
      <w:r w:rsidRPr="006779A9">
        <w:fldChar w:fldCharType="end"/>
      </w:r>
      <w:r w:rsidRPr="006779A9">
        <w:t>.  </w:t>
      </w:r>
      <w:r w:rsidRPr="006779A9" w:rsidR="00794D21">
        <w:t xml:space="preserve">The applicant criticised the reasons given by the Murcia </w:t>
      </w:r>
      <w:r w:rsidRPr="006779A9" w:rsidR="00794D21">
        <w:rPr>
          <w:i/>
        </w:rPr>
        <w:t xml:space="preserve">Audiencia Provincial </w:t>
      </w:r>
      <w:r w:rsidRPr="006779A9" w:rsidR="00794D21">
        <w:t xml:space="preserve">in </w:t>
      </w:r>
      <w:r w:rsidRPr="006779A9" w:rsidR="009B6EAF">
        <w:t xml:space="preserve">dismissing as </w:t>
      </w:r>
      <w:r w:rsidRPr="006779A9" w:rsidR="00774BA2">
        <w:t>irrelevant</w:t>
      </w:r>
      <w:r w:rsidRPr="006779A9" w:rsidR="00794D21">
        <w:t xml:space="preserve"> the fact that he had only regained custody of his sons and not of his daughter </w:t>
      </w:r>
      <w:r w:rsidRPr="006779A9" w:rsidR="009B6EAF">
        <w:t>“because that would be counter</w:t>
      </w:r>
      <w:r w:rsidR="00F41F99">
        <w:noBreakHyphen/>
      </w:r>
      <w:r w:rsidRPr="006779A9" w:rsidR="009B6EAF">
        <w:t xml:space="preserve">productive for [her]”. The fact that the two boys had been returned to him demonstrated that he was interested in his children and capable of taking care of them. The decision of the Murcia </w:t>
      </w:r>
      <w:r w:rsidRPr="006779A9" w:rsidR="009B6EAF">
        <w:rPr>
          <w:i/>
        </w:rPr>
        <w:t>Audiencia Provincial</w:t>
      </w:r>
      <w:r w:rsidRPr="006779A9" w:rsidR="009B6EAF">
        <w:t xml:space="preserve">, which had been echoed by the Government in their observations, had wrongly found him </w:t>
      </w:r>
      <w:r w:rsidRPr="006779A9" w:rsidR="00774BA2">
        <w:t>to have ill-treated</w:t>
      </w:r>
      <w:r w:rsidRPr="006779A9" w:rsidR="009B6EAF">
        <w:t xml:space="preserve"> his children and had projected onto him</w:t>
      </w:r>
      <w:r w:rsidRPr="006779A9" w:rsidR="00EC0732">
        <w:t xml:space="preserve"> </w:t>
      </w:r>
      <w:r w:rsidRPr="006779A9" w:rsidR="009B6EAF">
        <w:t xml:space="preserve">the inadequate </w:t>
      </w:r>
      <w:r w:rsidRPr="006779A9" w:rsidR="00774BA2">
        <w:t>parenting</w:t>
      </w:r>
      <w:r w:rsidRPr="006779A9" w:rsidR="009B6EAF">
        <w:t xml:space="preserve"> </w:t>
      </w:r>
      <w:r w:rsidRPr="006779A9" w:rsidR="00EC0732">
        <w:t>of</w:t>
      </w:r>
      <w:r w:rsidRPr="006779A9" w:rsidR="009B6EAF">
        <w:t xml:space="preserve"> the children’s mother.</w:t>
      </w:r>
    </w:p>
    <w:p w:rsidRPr="006779A9" w:rsidR="004A6EA7" w:rsidP="004A6EA7" w:rsidRDefault="009B6EAF" w14:paraId="5302C04E" w14:textId="77777777">
      <w:pPr>
        <w:pStyle w:val="JuH1"/>
      </w:pPr>
      <w:r w:rsidRPr="006779A9">
        <w:t>The Court’s assessment</w:t>
      </w:r>
    </w:p>
    <w:p w:rsidRPr="006779A9" w:rsidR="00E6059D" w:rsidP="004A6EA7" w:rsidRDefault="00E6059D" w14:paraId="2B984049" w14:textId="77777777">
      <w:pPr>
        <w:pStyle w:val="JuHa0"/>
      </w:pPr>
      <w:r w:rsidRPr="006779A9">
        <w:t>General principles concerning respondent States’ positive obligations under Article 8 of the Convention</w:t>
      </w:r>
    </w:p>
    <w:p w:rsidRPr="006779A9" w:rsidR="00D65E51" w:rsidP="00D65E51" w:rsidRDefault="004100C2" w14:paraId="0AE70318" w14:textId="77777777">
      <w:pPr>
        <w:pStyle w:val="JuPara"/>
      </w:pPr>
      <w:r w:rsidRPr="006779A9">
        <w:fldChar w:fldCharType="begin"/>
      </w:r>
      <w:r w:rsidRPr="006779A9">
        <w:instrText xml:space="preserve"> SEQ level0 \*arabic </w:instrText>
      </w:r>
      <w:r w:rsidRPr="006779A9">
        <w:fldChar w:fldCharType="separate"/>
      </w:r>
      <w:r w:rsidR="00830BEA">
        <w:rPr>
          <w:noProof/>
        </w:rPr>
        <w:t>51</w:t>
      </w:r>
      <w:r w:rsidRPr="006779A9">
        <w:fldChar w:fldCharType="end"/>
      </w:r>
      <w:r w:rsidRPr="006779A9">
        <w:t>.  </w:t>
      </w:r>
      <w:r w:rsidRPr="006779A9" w:rsidR="0014259D">
        <w:t>The Court reiterates that the enjoyment by parent and child of each other’s company constitutes a fundamental element of family life (see </w:t>
      </w:r>
      <w:r w:rsidRPr="006779A9" w:rsidR="0014259D">
        <w:rPr>
          <w:i/>
          <w:iCs/>
        </w:rPr>
        <w:t>Buscemi v. Italy</w:t>
      </w:r>
      <w:r w:rsidRPr="006779A9" w:rsidR="0014259D">
        <w:t>, no. 29569/95, § 53, ECHR 1999</w:t>
      </w:r>
      <w:r w:rsidRPr="006779A9" w:rsidR="0014259D">
        <w:noBreakHyphen/>
        <w:t xml:space="preserve">VI; </w:t>
      </w:r>
      <w:r w:rsidRPr="006779A9" w:rsidR="0014259D">
        <w:rPr>
          <w:i/>
          <w:iCs/>
        </w:rPr>
        <w:t>Saleck Bardi v.</w:t>
      </w:r>
      <w:r w:rsidR="00F41F99">
        <w:rPr>
          <w:i/>
          <w:iCs/>
        </w:rPr>
        <w:t> </w:t>
      </w:r>
      <w:r w:rsidRPr="006779A9" w:rsidR="0014259D">
        <w:rPr>
          <w:i/>
          <w:iCs/>
        </w:rPr>
        <w:t>Spain</w:t>
      </w:r>
      <w:r w:rsidRPr="006779A9" w:rsidR="0014259D">
        <w:t xml:space="preserve">, no. 66167/09, §§ 49 and 50, 24 May 2011; and </w:t>
      </w:r>
      <w:r w:rsidRPr="006779A9" w:rsidR="0014259D">
        <w:rPr>
          <w:i/>
        </w:rPr>
        <w:t xml:space="preserve">R.M.S. v. </w:t>
      </w:r>
      <w:r w:rsidRPr="006779A9" w:rsidR="0014259D">
        <w:t xml:space="preserve">Spain, cited above, § 68) and that domestic measures hindering such enjoyment amount to an interference with the right protected by Article 8 of the Convention (see </w:t>
      </w:r>
      <w:r w:rsidRPr="006779A9" w:rsidR="00D65E51">
        <w:rPr>
          <w:i/>
        </w:rPr>
        <w:t>K. and T. v. Finland</w:t>
      </w:r>
      <w:r w:rsidRPr="006779A9" w:rsidR="00D65E51">
        <w:t xml:space="preserve"> [GC], no. 25702/94, § 151, ECHR</w:t>
      </w:r>
      <w:r w:rsidR="00F41F99">
        <w:t> </w:t>
      </w:r>
      <w:r w:rsidRPr="006779A9" w:rsidR="00D65E51">
        <w:t>2001</w:t>
      </w:r>
      <w:r w:rsidRPr="006779A9" w:rsidR="00D65E51">
        <w:noBreakHyphen/>
        <w:t xml:space="preserve">VII, and </w:t>
      </w:r>
      <w:r w:rsidRPr="006779A9" w:rsidR="00D65E51">
        <w:rPr>
          <w:i/>
          <w:iCs/>
        </w:rPr>
        <w:t>Barnea and Caldararu v. Italy</w:t>
      </w:r>
      <w:r w:rsidRPr="006779A9" w:rsidR="00D65E51">
        <w:rPr>
          <w:iCs/>
        </w:rPr>
        <w:t>, no.</w:t>
      </w:r>
      <w:r w:rsidRPr="006779A9" w:rsidR="00D65E51">
        <w:t xml:space="preserve"> 37931/15, § 63, 22</w:t>
      </w:r>
      <w:r w:rsidR="00F41F99">
        <w:t> </w:t>
      </w:r>
      <w:r w:rsidRPr="006779A9" w:rsidR="00D65E51">
        <w:t>June 2017).</w:t>
      </w:r>
    </w:p>
    <w:bookmarkStart w:name="motA3req12" w:id="3"/>
    <w:p w:rsidRPr="006779A9" w:rsidR="00852D87" w:rsidP="00852D87" w:rsidRDefault="004100C2" w14:paraId="5B6E69A3" w14:textId="28670553">
      <w:pPr>
        <w:pStyle w:val="JuPara"/>
      </w:pPr>
      <w:r w:rsidRPr="006779A9">
        <w:fldChar w:fldCharType="begin"/>
      </w:r>
      <w:r w:rsidRPr="006779A9">
        <w:instrText xml:space="preserve"> SEQ level0 \*arabic </w:instrText>
      </w:r>
      <w:r w:rsidRPr="006779A9">
        <w:fldChar w:fldCharType="separate"/>
      </w:r>
      <w:r w:rsidR="00830BEA">
        <w:rPr>
          <w:noProof/>
        </w:rPr>
        <w:t>52</w:t>
      </w:r>
      <w:r w:rsidRPr="006779A9">
        <w:fldChar w:fldCharType="end"/>
      </w:r>
      <w:r w:rsidRPr="006779A9">
        <w:t>.  </w:t>
      </w:r>
      <w:r w:rsidRPr="006779A9" w:rsidR="00D65E51">
        <w:t>As the Court has held on a number of occasions, although the object of Article 8 is essentially that of protecting the individual against arbitrary interference by the public authorities, it does not merely compel the State to abstain from such interference.</w:t>
      </w:r>
      <w:r w:rsidRPr="006779A9" w:rsidR="002256D9">
        <w:t xml:space="preserve"> </w:t>
      </w:r>
      <w:r w:rsidRPr="006779A9" w:rsidR="007A34A4">
        <w:t>While a decision by the competent authority resulting in a child being taken into care constitutes interference with a parent</w:t>
      </w:r>
      <w:r w:rsidRPr="006779A9" w:rsidR="007D11BF">
        <w:t>’</w:t>
      </w:r>
      <w:r w:rsidRPr="006779A9" w:rsidR="007A34A4">
        <w:t xml:space="preserve">s right to respect for his or her family life (see </w:t>
      </w:r>
      <w:r w:rsidRPr="006779A9" w:rsidR="007A34A4">
        <w:rPr>
          <w:i/>
        </w:rPr>
        <w:t>W. v. the United Kingdom</w:t>
      </w:r>
      <w:r w:rsidRPr="006779A9" w:rsidR="007A34A4">
        <w:t xml:space="preserve">, </w:t>
      </w:r>
      <w:r w:rsidRPr="006779A9" w:rsidR="007D11BF">
        <w:t>cited above</w:t>
      </w:r>
      <w:r w:rsidRPr="006779A9" w:rsidR="007A34A4">
        <w:t>, § 59), the positive obligations inherent in the right to effective respect for private</w:t>
      </w:r>
      <w:r w:rsidRPr="006779A9" w:rsidR="004B132D">
        <w:t xml:space="preserve"> or family</w:t>
      </w:r>
      <w:r w:rsidRPr="006779A9" w:rsidR="007A34A4">
        <w:t xml:space="preserve"> life may involve the adoption of measures even in the sphere of the relations of individuals between themselves (see </w:t>
      </w:r>
      <w:r w:rsidRPr="006779A9" w:rsidR="007A34A4">
        <w:rPr>
          <w:i/>
        </w:rPr>
        <w:t>X and Y v. the Netherlands</w:t>
      </w:r>
      <w:r w:rsidRPr="006779A9" w:rsidR="007A34A4">
        <w:t xml:space="preserve">, 26 March 1985, § 23, Series A no. 91, and </w:t>
      </w:r>
      <w:r w:rsidRPr="006779A9" w:rsidR="007A34A4">
        <w:rPr>
          <w:i/>
        </w:rPr>
        <w:t>Mincheva v. Bulgaria</w:t>
      </w:r>
      <w:r w:rsidRPr="006779A9" w:rsidR="007A34A4">
        <w:t xml:space="preserve">, no. 21558/03, § 81, 2 September 2010). In both cases, regard must be had to the fair balance </w:t>
      </w:r>
      <w:r w:rsidRPr="006779A9" w:rsidR="007D11BF">
        <w:t xml:space="preserve">that has to be struck </w:t>
      </w:r>
      <w:r w:rsidRPr="006779A9" w:rsidR="007A34A4">
        <w:t>between the competing interests – those of the child, of the two parents, and of public order</w:t>
      </w:r>
      <w:r w:rsidRPr="006779A9" w:rsidR="00567905">
        <w:t xml:space="preserve"> </w:t>
      </w:r>
      <w:r w:rsidRPr="006779A9" w:rsidR="007A34A4">
        <w:t xml:space="preserve">(see </w:t>
      </w:r>
      <w:r w:rsidRPr="006779A9" w:rsidR="007A34A4">
        <w:rPr>
          <w:i/>
        </w:rPr>
        <w:t>Maumousseau and Washington v. France</w:t>
      </w:r>
      <w:r w:rsidRPr="006779A9" w:rsidR="007A34A4">
        <w:t>, no.</w:t>
      </w:r>
      <w:r w:rsidR="005E7DE4">
        <w:t> </w:t>
      </w:r>
      <w:r w:rsidRPr="006779A9" w:rsidR="007A34A4">
        <w:t>39388/05, § 62, 6 December 2007)</w:t>
      </w:r>
      <w:r w:rsidRPr="006779A9" w:rsidR="007D11BF">
        <w:t xml:space="preserve"> – </w:t>
      </w:r>
      <w:r w:rsidRPr="006779A9" w:rsidR="00637D31">
        <w:t>while attaching particular importance to the</w:t>
      </w:r>
      <w:r w:rsidRPr="006779A9" w:rsidR="00FF373A">
        <w:t xml:space="preserve"> best interests of the</w:t>
      </w:r>
      <w:r w:rsidRPr="006779A9" w:rsidR="00637D31">
        <w:t xml:space="preserve"> child</w:t>
      </w:r>
      <w:r w:rsidRPr="006779A9" w:rsidR="00852D87">
        <w:t xml:space="preserve"> (see, to similar effect, </w:t>
      </w:r>
      <w:r w:rsidRPr="006779A9" w:rsidR="00852D87">
        <w:rPr>
          <w:i/>
        </w:rPr>
        <w:t>Gnahoré v. France</w:t>
      </w:r>
      <w:r w:rsidRPr="006779A9" w:rsidR="00852D87">
        <w:t>, no. 40031/98, § 59, ECHR 2000</w:t>
      </w:r>
      <w:r w:rsidRPr="006779A9" w:rsidR="00852D87">
        <w:noBreakHyphen/>
        <w:t>IX</w:t>
      </w:r>
      <w:r w:rsidRPr="006779A9" w:rsidR="00567905">
        <w:t>)</w:t>
      </w:r>
      <w:r w:rsidRPr="006779A9" w:rsidR="00637D31">
        <w:t>,</w:t>
      </w:r>
      <w:r w:rsidRPr="006779A9" w:rsidR="00567905">
        <w:t xml:space="preserve"> </w:t>
      </w:r>
      <w:r w:rsidRPr="006779A9" w:rsidR="00637D31">
        <w:t>which</w:t>
      </w:r>
      <w:r w:rsidRPr="006779A9" w:rsidR="00852D87">
        <w:t xml:space="preserve">, depending on their nature and seriousness, </w:t>
      </w:r>
      <w:r w:rsidRPr="006779A9" w:rsidR="00637D31">
        <w:t xml:space="preserve">may </w:t>
      </w:r>
      <w:r w:rsidRPr="006779A9" w:rsidR="00852D87">
        <w:t xml:space="preserve">override those of the parents (see </w:t>
      </w:r>
      <w:r w:rsidRPr="006779A9" w:rsidR="00852D87">
        <w:rPr>
          <w:i/>
        </w:rPr>
        <w:t>Sahin v.</w:t>
      </w:r>
      <w:r w:rsidR="005E7DE4">
        <w:rPr>
          <w:i/>
        </w:rPr>
        <w:t> </w:t>
      </w:r>
      <w:r w:rsidRPr="006779A9" w:rsidR="00852D87">
        <w:rPr>
          <w:i/>
        </w:rPr>
        <w:t>Germany</w:t>
      </w:r>
      <w:r w:rsidRPr="006779A9" w:rsidR="00852D87">
        <w:t xml:space="preserve"> [GC], no. 30943/96, § 66, ECHR 2003</w:t>
      </w:r>
      <w:r w:rsidRPr="006779A9" w:rsidR="00852D87">
        <w:noBreakHyphen/>
        <w:t xml:space="preserve">VIII). Again, in both contexts, the State enjoys a certain margin of appreciation (see </w:t>
      </w:r>
      <w:r w:rsidRPr="006779A9" w:rsidR="00852D87">
        <w:rPr>
          <w:i/>
        </w:rPr>
        <w:t>Saleck Bardi</w:t>
      </w:r>
      <w:r w:rsidRPr="006779A9" w:rsidR="00852D87">
        <w:t xml:space="preserve">, cited above, § 50, and </w:t>
      </w:r>
      <w:r w:rsidRPr="006779A9" w:rsidR="00852D87">
        <w:rPr>
          <w:i/>
        </w:rPr>
        <w:t>K.A.B. v. Spain</w:t>
      </w:r>
      <w:r w:rsidRPr="006779A9" w:rsidR="00852D87">
        <w:t xml:space="preserve">, </w:t>
      </w:r>
      <w:r w:rsidRPr="006779A9" w:rsidR="00FE3E39">
        <w:t>no. 59819/08, § 95, 10 April 2012).</w:t>
      </w:r>
    </w:p>
    <w:p w:rsidRPr="006779A9" w:rsidR="003F6BC0" w:rsidP="004A6EA7" w:rsidRDefault="00665A63" w14:paraId="35D77BB7" w14:textId="77777777">
      <w:pPr>
        <w:pStyle w:val="JuPara"/>
      </w:pPr>
      <w:r w:rsidRPr="006779A9">
        <w:fldChar w:fldCharType="begin"/>
      </w:r>
      <w:r w:rsidRPr="006779A9">
        <w:instrText xml:space="preserve"> SEQ level0 \*arabic </w:instrText>
      </w:r>
      <w:r w:rsidRPr="006779A9">
        <w:fldChar w:fldCharType="separate"/>
      </w:r>
      <w:r w:rsidR="00830BEA">
        <w:rPr>
          <w:noProof/>
        </w:rPr>
        <w:t>53</w:t>
      </w:r>
      <w:r w:rsidRPr="006779A9">
        <w:fldChar w:fldCharType="end"/>
      </w:r>
      <w:r w:rsidRPr="006779A9">
        <w:t>.  </w:t>
      </w:r>
      <w:r w:rsidRPr="006779A9" w:rsidR="00E014B6">
        <w:t>The Court reaffirms the principle, well-established in its case-law, according to which the Convention is intended to guarantee rights that are practical and effective</w:t>
      </w:r>
      <w:r w:rsidRPr="006779A9" w:rsidR="00556758">
        <w:t xml:space="preserve"> (see </w:t>
      </w:r>
      <w:r w:rsidRPr="006779A9" w:rsidR="00556758">
        <w:rPr>
          <w:i/>
        </w:rPr>
        <w:t>K. and T. v. Finland</w:t>
      </w:r>
      <w:r w:rsidRPr="006779A9" w:rsidR="00556758">
        <w:t>, cited above, § 154)</w:t>
      </w:r>
      <w:r w:rsidRPr="006779A9" w:rsidR="00E014B6">
        <w:t>. It reiterates that the Court’s task is not to substitute itself for the domestic authorities, but rather to review under the Convention the decisions taken by those authorities in the exercise of their power of appreciation</w:t>
      </w:r>
      <w:r w:rsidRPr="006779A9" w:rsidR="00556758">
        <w:t>.</w:t>
      </w:r>
    </w:p>
    <w:p w:rsidRPr="006779A9" w:rsidR="006D7124" w:rsidP="006D7124" w:rsidRDefault="00665A63" w14:paraId="26B1EBBB" w14:textId="77777777">
      <w:pPr>
        <w:pStyle w:val="JuPara"/>
        <w:rPr>
          <w:rFonts w:ascii="Times New Roman" w:hAnsi="Times New Roman" w:eastAsia="Times New Roman" w:cs="Times New Roman"/>
          <w:lang w:eastAsia="fr-FR"/>
        </w:rPr>
      </w:pPr>
      <w:r w:rsidRPr="006779A9">
        <w:fldChar w:fldCharType="begin"/>
      </w:r>
      <w:r w:rsidRPr="006779A9">
        <w:instrText xml:space="preserve"> SEQ level0 \*arabic </w:instrText>
      </w:r>
      <w:r w:rsidRPr="006779A9">
        <w:fldChar w:fldCharType="separate"/>
      </w:r>
      <w:r w:rsidR="00830BEA">
        <w:rPr>
          <w:noProof/>
        </w:rPr>
        <w:t>54</w:t>
      </w:r>
      <w:r w:rsidRPr="006779A9">
        <w:fldChar w:fldCharType="end"/>
      </w:r>
      <w:r w:rsidRPr="006779A9">
        <w:t>.  </w:t>
      </w:r>
      <w:r w:rsidRPr="006779A9" w:rsidR="00BD000F">
        <w:t>As the Court has held on numerous occasions, it is a measure of a very serious order to split up a family. Such a step must be supported by sufficiently sound and weighty considerations in the interests of the child</w:t>
      </w:r>
      <w:r w:rsidRPr="006779A9" w:rsidR="004A6EA7">
        <w:t xml:space="preserve"> (</w:t>
      </w:r>
      <w:r w:rsidRPr="006779A9" w:rsidR="00BD000F">
        <w:t xml:space="preserve">see </w:t>
      </w:r>
      <w:r w:rsidRPr="006779A9" w:rsidR="00382FED">
        <w:rPr>
          <w:i/>
        </w:rPr>
        <w:t>Scozzari and Giunta v. Italy</w:t>
      </w:r>
      <w:r w:rsidRPr="006779A9" w:rsidR="00382FED">
        <w:t xml:space="preserve"> [GC], nos. 39221/98 and 41963/98, § 148, ECHR 2000</w:t>
      </w:r>
      <w:r w:rsidRPr="006779A9" w:rsidR="00382FED">
        <w:noBreakHyphen/>
        <w:t xml:space="preserve">VIII). </w:t>
      </w:r>
      <w:r w:rsidRPr="006779A9" w:rsidR="00556758">
        <w:t>I</w:t>
      </w:r>
      <w:r w:rsidRPr="006779A9" w:rsidR="00DE6306">
        <w:t xml:space="preserve">n </w:t>
      </w:r>
      <w:r w:rsidRPr="006779A9" w:rsidR="00FF373A">
        <w:t xml:space="preserve">that </w:t>
      </w:r>
      <w:r w:rsidRPr="006779A9" w:rsidR="00DE6306">
        <w:t>connection</w:t>
      </w:r>
      <w:r w:rsidRPr="006779A9" w:rsidR="00FF373A">
        <w:t xml:space="preserve"> and</w:t>
      </w:r>
      <w:r w:rsidRPr="006779A9" w:rsidR="00DE6306">
        <w:t xml:space="preserve"> with </w:t>
      </w:r>
      <w:r w:rsidRPr="006779A9" w:rsidR="00FF373A">
        <w:t xml:space="preserve">reference to </w:t>
      </w:r>
      <w:r w:rsidRPr="006779A9" w:rsidR="00DE6306">
        <w:t xml:space="preserve">the State’s obligation to adopt positive measures, the Court has </w:t>
      </w:r>
      <w:r w:rsidRPr="006779A9" w:rsidR="00556758">
        <w:t>repeatedly</w:t>
      </w:r>
      <w:r w:rsidRPr="006779A9" w:rsidR="00DE6306">
        <w:t xml:space="preserve"> held that Article 8 includes both a</w:t>
      </w:r>
      <w:r w:rsidRPr="006779A9" w:rsidR="00556758">
        <w:t xml:space="preserve"> parent’s</w:t>
      </w:r>
      <w:r w:rsidRPr="006779A9" w:rsidR="00DE6306">
        <w:t xml:space="preserve"> right to the taking of measures </w:t>
      </w:r>
      <w:r w:rsidRPr="006779A9" w:rsidR="00556758">
        <w:t xml:space="preserve">with a view to being reunited with his or her child and an obligation on the national authorities to take such action </w:t>
      </w:r>
      <w:r w:rsidRPr="006779A9" w:rsidR="006D7124">
        <w:t xml:space="preserve">(see, for example, </w:t>
      </w:r>
      <w:r w:rsidRPr="006779A9" w:rsidR="006D7124">
        <w:rPr>
          <w:i/>
        </w:rPr>
        <w:t>Eriksson v. Sweden</w:t>
      </w:r>
      <w:r w:rsidRPr="006779A9" w:rsidR="006D7124">
        <w:t>, 22</w:t>
      </w:r>
      <w:r w:rsidR="00F41F99">
        <w:t> </w:t>
      </w:r>
      <w:r w:rsidRPr="006779A9" w:rsidR="006D7124">
        <w:t xml:space="preserve">June 1989, § 71, Series A no. 156, and </w:t>
      </w:r>
      <w:r w:rsidRPr="006779A9" w:rsidR="006D7124">
        <w:rPr>
          <w:i/>
        </w:rPr>
        <w:t>Olsson v. Sweden (no. 2)</w:t>
      </w:r>
      <w:r w:rsidRPr="006779A9" w:rsidR="006D7124">
        <w:t>, 27</w:t>
      </w:r>
      <w:r w:rsidR="00F41F99">
        <w:t> </w:t>
      </w:r>
      <w:r w:rsidRPr="006779A9" w:rsidR="006D7124">
        <w:t xml:space="preserve">November 1992, § 90, Series A no. 250). In this kind of case, the adequacy of a measure is to be judged by the swiftness of its implementation, as the passage of time can have irremediable consequences for relations between the child and the parent with whom it does not live (see </w:t>
      </w:r>
      <w:r w:rsidRPr="006779A9" w:rsidR="006D7124">
        <w:rPr>
          <w:i/>
        </w:rPr>
        <w:t>Maumousseau and Washington</w:t>
      </w:r>
      <w:r w:rsidRPr="006779A9" w:rsidR="006D7124">
        <w:t xml:space="preserve">, cited above, § 83, and </w:t>
      </w:r>
      <w:r w:rsidRPr="006779A9" w:rsidR="00DE6306">
        <w:rPr>
          <w:i/>
        </w:rPr>
        <w:t>S.H.</w:t>
      </w:r>
      <w:r w:rsidRPr="006779A9" w:rsidR="00DE6306">
        <w:t xml:space="preserve"> </w:t>
      </w:r>
      <w:r w:rsidRPr="006779A9" w:rsidR="00DE6306">
        <w:rPr>
          <w:i/>
        </w:rPr>
        <w:t>v. Italy</w:t>
      </w:r>
      <w:r w:rsidRPr="006779A9" w:rsidR="00DE6306">
        <w:t>, no.</w:t>
      </w:r>
      <w:r w:rsidR="00F41F99">
        <w:t> </w:t>
      </w:r>
      <w:r w:rsidRPr="006779A9" w:rsidR="00DE6306">
        <w:t>52557/14, § 42, 13 October 2015).</w:t>
      </w:r>
      <w:r w:rsidRPr="006779A9" w:rsidR="00310F3F">
        <w:t xml:space="preserve"> </w:t>
      </w:r>
      <w:r w:rsidRPr="006779A9" w:rsidR="00310F3F">
        <w:rPr>
          <w:color w:val="000000"/>
        </w:rPr>
        <w:t xml:space="preserve">Taking a child into care should normally be regarded as a temporary measure to be discontinued as soon as circumstances permit, and any measures implementing temporary care should be consistent with the ultimate aim of reuniting the natural parents and the child (see </w:t>
      </w:r>
      <w:r w:rsidRPr="006779A9" w:rsidR="00310F3F">
        <w:rPr>
          <w:i/>
          <w:color w:val="000000"/>
        </w:rPr>
        <w:t>K. and T. v. Finland</w:t>
      </w:r>
      <w:r w:rsidRPr="006779A9" w:rsidR="00310F3F">
        <w:rPr>
          <w:color w:val="000000"/>
        </w:rPr>
        <w:t>, cited above, § 178). When a considerable period of time has passed since the child was originally taken into public care, the interest of a child not to have his or her </w:t>
      </w:r>
      <w:r w:rsidRPr="006779A9" w:rsidR="00310F3F">
        <w:rPr>
          <w:i/>
          <w:iCs/>
          <w:color w:val="000000"/>
        </w:rPr>
        <w:t>de facto</w:t>
      </w:r>
      <w:r w:rsidRPr="006779A9" w:rsidR="00310F3F">
        <w:rPr>
          <w:color w:val="000000"/>
        </w:rPr>
        <w:t xml:space="preserve"> family situation changed again may override the interests of the parents to have their family reunited. The Court thus recognises that the authorities enjoy a wide margin of appreciation in assessing the necessity of taking a child into care. However, a stricter scrutiny is called for in respect of any further limitations, such as restrictions placed by the authorities on parental rights of access, and of any legal safeguards designed to secure an effective protection of the right of parents and children to respect for their family life (see </w:t>
      </w:r>
      <w:r w:rsidRPr="006779A9" w:rsidR="00310F3F">
        <w:rPr>
          <w:i/>
          <w:color w:val="000000"/>
        </w:rPr>
        <w:t>K. and T. v. Finland</w:t>
      </w:r>
      <w:r w:rsidRPr="006779A9" w:rsidR="00310F3F">
        <w:rPr>
          <w:color w:val="000000"/>
        </w:rPr>
        <w:t xml:space="preserve">, cited above, § 155).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Furthermore, the positive obligations are not confined to ensuring that children can rejoin their parents or have contact with them, but also extend to all the preparatory steps to be taken to that end (see, </w:t>
      </w:r>
      <w:r w:rsidRPr="006779A9" w:rsidR="00310F3F">
        <w:rPr>
          <w:i/>
          <w:color w:val="000000"/>
        </w:rPr>
        <w:t>mutatis mutandis</w:t>
      </w:r>
      <w:r w:rsidRPr="006779A9" w:rsidR="00310F3F">
        <w:rPr>
          <w:color w:val="000000"/>
        </w:rPr>
        <w:t xml:space="preserve">, </w:t>
      </w:r>
      <w:r w:rsidRPr="006779A9" w:rsidR="00310F3F">
        <w:rPr>
          <w:i/>
          <w:color w:val="000000"/>
        </w:rPr>
        <w:t>Kosmopoulou v. Greece</w:t>
      </w:r>
      <w:r w:rsidRPr="006779A9" w:rsidR="00310F3F">
        <w:rPr>
          <w:color w:val="000000"/>
        </w:rPr>
        <w:t xml:space="preserve">, no. 60457/00, § 45, 5 February 2004, and </w:t>
      </w:r>
      <w:r w:rsidRPr="006779A9" w:rsidR="00310F3F">
        <w:rPr>
          <w:i/>
          <w:color w:val="000000"/>
        </w:rPr>
        <w:t>Amanalachioai v. Romania</w:t>
      </w:r>
      <w:r w:rsidRPr="006779A9" w:rsidR="00310F3F">
        <w:rPr>
          <w:color w:val="000000"/>
        </w:rPr>
        <w:t>, no. 4023/04, § 95, 26 May 2009).</w:t>
      </w:r>
    </w:p>
    <w:p w:rsidRPr="006779A9" w:rsidR="00DA78E5" w:rsidP="004A6EA7" w:rsidRDefault="00310F3F" w14:paraId="12AD2D05" w14:textId="77777777">
      <w:pPr>
        <w:pStyle w:val="JuPara"/>
      </w:pPr>
      <w:r w:rsidRPr="006779A9">
        <w:fldChar w:fldCharType="begin"/>
      </w:r>
      <w:r w:rsidRPr="006779A9">
        <w:instrText xml:space="preserve"> SEQ level0 \*arabic </w:instrText>
      </w:r>
      <w:r w:rsidRPr="006779A9">
        <w:fldChar w:fldCharType="separate"/>
      </w:r>
      <w:r w:rsidR="00830BEA">
        <w:rPr>
          <w:noProof/>
        </w:rPr>
        <w:t>55</w:t>
      </w:r>
      <w:r w:rsidRPr="006779A9">
        <w:fldChar w:fldCharType="end"/>
      </w:r>
      <w:r w:rsidRPr="006779A9">
        <w:t>.  </w:t>
      </w:r>
      <w:r w:rsidRPr="006779A9" w:rsidR="00DA78E5">
        <w:t xml:space="preserve">It is the Court’s task to assess whether the Spanish authorities acted in breach of their positive obligations under Article 8 of the Convention (see </w:t>
      </w:r>
      <w:r w:rsidRPr="006779A9" w:rsidR="00DA78E5">
        <w:rPr>
          <w:i/>
        </w:rPr>
        <w:t>Hokkanen v. Finland</w:t>
      </w:r>
      <w:r w:rsidRPr="006779A9" w:rsidR="00DA78E5">
        <w:t xml:space="preserve">, 23 September 1994, § 55, Series A no. 299-A; </w:t>
      </w:r>
      <w:r w:rsidRPr="006779A9" w:rsidR="00DA78E5">
        <w:rPr>
          <w:i/>
        </w:rPr>
        <w:t>Mikulić v. Croatia</w:t>
      </w:r>
      <w:r w:rsidRPr="006779A9" w:rsidR="00DA78E5">
        <w:t xml:space="preserve">, no. 53176/99, § 59, ECHR 2002-I; </w:t>
      </w:r>
      <w:r w:rsidRPr="006779A9" w:rsidR="00DA78E5">
        <w:rPr>
          <w:i/>
        </w:rPr>
        <w:t>P., C. and S. v. the United Kingdom</w:t>
      </w:r>
      <w:r w:rsidRPr="006779A9" w:rsidR="00DA78E5">
        <w:t xml:space="preserve">, no. 56547/00, § 122, ECHR 2002-VI; </w:t>
      </w:r>
      <w:r w:rsidRPr="006779A9" w:rsidR="00DA78E5">
        <w:rPr>
          <w:i/>
        </w:rPr>
        <w:t>Evans v. the United Kingdom</w:t>
      </w:r>
      <w:r w:rsidRPr="006779A9" w:rsidR="00DA78E5">
        <w:t xml:space="preserve"> [GC], no. 6339/05, § 76, ECHR 2007-IV; and </w:t>
      </w:r>
      <w:r w:rsidRPr="006779A9" w:rsidR="00DA78E5">
        <w:rPr>
          <w:i/>
        </w:rPr>
        <w:t>K.A.B. v. Spain</w:t>
      </w:r>
      <w:r w:rsidRPr="006779A9" w:rsidR="00DA78E5">
        <w:t>, cited above, § 98).</w:t>
      </w:r>
    </w:p>
    <w:p w:rsidRPr="006779A9" w:rsidR="00DA78E5" w:rsidP="004A6EA7" w:rsidRDefault="00DA78E5" w14:paraId="18A4C241" w14:textId="3ADC6652">
      <w:pPr>
        <w:pStyle w:val="JuPara"/>
      </w:pPr>
      <w:r w:rsidRPr="006779A9">
        <w:fldChar w:fldCharType="begin"/>
      </w:r>
      <w:r w:rsidRPr="006779A9">
        <w:instrText xml:space="preserve"> SEQ level0 \*arabic </w:instrText>
      </w:r>
      <w:r w:rsidRPr="006779A9">
        <w:fldChar w:fldCharType="separate"/>
      </w:r>
      <w:r w:rsidR="00830BEA">
        <w:rPr>
          <w:noProof/>
        </w:rPr>
        <w:t>56</w:t>
      </w:r>
      <w:r w:rsidRPr="006779A9">
        <w:fldChar w:fldCharType="end"/>
      </w:r>
      <w:r w:rsidRPr="006779A9">
        <w:t xml:space="preserve">.  Each Contracting State must equip itself with an adequate and sufficient legal arsenal to ensure compliance with the positive obligations imposed on it under Article 8 of the Convention, and it is for the Court to ascertain whether the domestic authorities, in applying and interpreting the applicable legal provisions, secured the guarantees set forth in Article 8 of the Convention, particularly taking into account the child’s best interests (see, </w:t>
      </w:r>
      <w:r w:rsidRPr="006779A9">
        <w:rPr>
          <w:i/>
        </w:rPr>
        <w:t>mutatis mutandis</w:t>
      </w:r>
      <w:r w:rsidRPr="006779A9">
        <w:t xml:space="preserve">, </w:t>
      </w:r>
      <w:r w:rsidRPr="006779A9">
        <w:rPr>
          <w:i/>
        </w:rPr>
        <w:t>Neulinger and Shuruk v. Switzerland</w:t>
      </w:r>
      <w:r w:rsidRPr="006779A9">
        <w:t xml:space="preserve"> [GC], no.</w:t>
      </w:r>
      <w:r w:rsidR="005E7DE4">
        <w:t> </w:t>
      </w:r>
      <w:r w:rsidRPr="006779A9">
        <w:t xml:space="preserve">41615/07, § 141, ECHR 2010;  </w:t>
      </w:r>
      <w:r w:rsidRPr="006779A9">
        <w:rPr>
          <w:i/>
        </w:rPr>
        <w:t>Barnea and Caldararu</w:t>
      </w:r>
      <w:r w:rsidRPr="006779A9">
        <w:t>, cited above, §</w:t>
      </w:r>
      <w:r w:rsidR="005E7DE4">
        <w:t> </w:t>
      </w:r>
      <w:r w:rsidRPr="006779A9">
        <w:t>65;</w:t>
      </w:r>
      <w:r w:rsidRPr="006779A9">
        <w:rPr>
          <w:i/>
        </w:rPr>
        <w:t xml:space="preserve"> K.A.B. v. Spain</w:t>
      </w:r>
      <w:r w:rsidRPr="006779A9">
        <w:t xml:space="preserve">, cited above, § 115; and </w:t>
      </w:r>
      <w:r w:rsidRPr="006779A9">
        <w:rPr>
          <w:i/>
        </w:rPr>
        <w:t>R.M.S.</w:t>
      </w:r>
      <w:r w:rsidRPr="006779A9" w:rsidR="00FF373A">
        <w:rPr>
          <w:i/>
        </w:rPr>
        <w:t xml:space="preserve"> v. Spain</w:t>
      </w:r>
      <w:r w:rsidRPr="006779A9">
        <w:t>, cited above, §  72).</w:t>
      </w:r>
    </w:p>
    <w:bookmarkEnd w:id="3"/>
    <w:p w:rsidRPr="006779A9" w:rsidR="004A6EA7" w:rsidP="004A6EA7" w:rsidRDefault="00DA78E5" w14:paraId="03BCFC40" w14:textId="77777777">
      <w:pPr>
        <w:pStyle w:val="JuHa0"/>
      </w:pPr>
      <w:r w:rsidRPr="006779A9">
        <w:t>Application of these principles in the present case</w:t>
      </w:r>
    </w:p>
    <w:p w:rsidRPr="006779A9" w:rsidR="0058697A" w:rsidP="004A6EA7" w:rsidRDefault="00DA78E5" w14:paraId="0425E56A" w14:textId="77777777">
      <w:pPr>
        <w:pStyle w:val="JuPara"/>
      </w:pPr>
      <w:r w:rsidRPr="006779A9">
        <w:fldChar w:fldCharType="begin"/>
      </w:r>
      <w:r w:rsidRPr="006779A9">
        <w:instrText xml:space="preserve"> SEQ level0 \*arabic </w:instrText>
      </w:r>
      <w:r w:rsidRPr="006779A9">
        <w:fldChar w:fldCharType="separate"/>
      </w:r>
      <w:r w:rsidR="00830BEA">
        <w:rPr>
          <w:noProof/>
        </w:rPr>
        <w:t>57</w:t>
      </w:r>
      <w:r w:rsidRPr="006779A9">
        <w:fldChar w:fldCharType="end"/>
      </w:r>
      <w:r w:rsidRPr="006779A9">
        <w:t>.  </w:t>
      </w:r>
      <w:r w:rsidRPr="006779A9" w:rsidR="0058697A">
        <w:t xml:space="preserve">The Court notes that on 15 June 2012 the applicant’s three children, including his minor daughter, aged one and a half at the time, were placed in residential care in Madrid at their mother’s request and declared abandoned. When their mother </w:t>
      </w:r>
      <w:r w:rsidRPr="006779A9" w:rsidR="00FF373A">
        <w:t>moved to Murcia</w:t>
      </w:r>
      <w:r w:rsidRPr="006779A9" w:rsidR="0058697A">
        <w:t xml:space="preserve"> the children were placed in residential facilities </w:t>
      </w:r>
      <w:r w:rsidRPr="006779A9" w:rsidR="00FF373A">
        <w:t>there</w:t>
      </w:r>
      <w:r w:rsidRPr="006779A9" w:rsidR="0058697A">
        <w:t>. The applicant was not informed (see paragraphs 8 and 9 above).</w:t>
      </w:r>
    </w:p>
    <w:p w:rsidRPr="006779A9" w:rsidR="0058697A" w:rsidP="004A6EA7" w:rsidRDefault="0058697A" w14:paraId="3CDED5E5" w14:textId="77777777">
      <w:pPr>
        <w:pStyle w:val="JuPara"/>
        <w:rPr>
          <w:rFonts w:eastAsia="Times New Roman"/>
          <w:lang w:eastAsia="en-GB"/>
        </w:rPr>
      </w:pPr>
      <w:r w:rsidRPr="006779A9">
        <w:rPr>
          <w:rFonts w:eastAsia="Times New Roman"/>
          <w:lang w:eastAsia="en-GB"/>
        </w:rPr>
        <w:fldChar w:fldCharType="begin"/>
      </w:r>
      <w:r w:rsidRPr="006779A9">
        <w:rPr>
          <w:rFonts w:eastAsia="Times New Roman"/>
          <w:lang w:eastAsia="en-GB"/>
        </w:rPr>
        <w:instrText xml:space="preserve"> SEQ level0 \*arabic </w:instrText>
      </w:r>
      <w:r w:rsidRPr="006779A9">
        <w:rPr>
          <w:rFonts w:eastAsia="Times New Roman"/>
          <w:lang w:eastAsia="en-GB"/>
        </w:rPr>
        <w:fldChar w:fldCharType="separate"/>
      </w:r>
      <w:r w:rsidR="00830BEA">
        <w:rPr>
          <w:rFonts w:eastAsia="Times New Roman"/>
          <w:noProof/>
          <w:lang w:eastAsia="en-GB"/>
        </w:rPr>
        <w:t>58</w:t>
      </w:r>
      <w:r w:rsidRPr="006779A9">
        <w:rPr>
          <w:rFonts w:eastAsia="Times New Roman"/>
          <w:lang w:eastAsia="en-GB"/>
        </w:rPr>
        <w:fldChar w:fldCharType="end"/>
      </w:r>
      <w:r w:rsidRPr="006779A9">
        <w:rPr>
          <w:rFonts w:eastAsia="Times New Roman"/>
          <w:lang w:eastAsia="en-GB"/>
        </w:rPr>
        <w:t xml:space="preserve">.  In a case such as the present one the courts are faced with interests that are often difficult to reconcile, namely the interests of the child and those of its birth parents. In the pursuit of a balance between these different interests, the child’s best interests must be a </w:t>
      </w:r>
      <w:r w:rsidRPr="006779A9" w:rsidR="00637CFC">
        <w:rPr>
          <w:rFonts w:eastAsia="Times New Roman"/>
          <w:lang w:eastAsia="en-GB"/>
        </w:rPr>
        <w:t>primary</w:t>
      </w:r>
      <w:r w:rsidRPr="006779A9">
        <w:rPr>
          <w:rFonts w:eastAsia="Times New Roman"/>
          <w:lang w:eastAsia="en-GB"/>
        </w:rPr>
        <w:t xml:space="preserve"> consideration (see </w:t>
      </w:r>
      <w:r w:rsidRPr="006779A9">
        <w:rPr>
          <w:rFonts w:eastAsia="Times New Roman"/>
          <w:i/>
          <w:lang w:eastAsia="en-GB"/>
        </w:rPr>
        <w:t>Moretti and Benedetti</w:t>
      </w:r>
      <w:r w:rsidRPr="006779A9">
        <w:rPr>
          <w:rFonts w:eastAsia="Times New Roman"/>
          <w:lang w:eastAsia="en-GB"/>
        </w:rPr>
        <w:t>, no. 16318/07, § 67, 27 April 2010).</w:t>
      </w:r>
    </w:p>
    <w:p w:rsidRPr="006779A9" w:rsidR="005626BA" w:rsidP="004A6EA7" w:rsidRDefault="005626BA" w14:paraId="4BC0897C"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59</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xml:space="preserve">.  In the present </w:t>
      </w:r>
      <w:r w:rsidRPr="006779A9" w:rsidR="00AD0A19">
        <w:rPr>
          <w:rFonts w:ascii="Times New Roman" w:hAnsi="Times New Roman" w:eastAsia="Times New Roman" w:cs="Times New Roman"/>
          <w:szCs w:val="20"/>
          <w:lang w:eastAsia="fr-FR"/>
        </w:rPr>
        <w:t>case</w:t>
      </w:r>
      <w:r w:rsidRPr="006779A9">
        <w:rPr>
          <w:rFonts w:ascii="Times New Roman" w:hAnsi="Times New Roman" w:eastAsia="Times New Roman" w:cs="Times New Roman"/>
          <w:szCs w:val="20"/>
          <w:lang w:eastAsia="fr-FR"/>
        </w:rPr>
        <w:t xml:space="preserve"> the Court observes that the administrative authorities, in finding that the applicant’s daughter should be placed in foster care with a view to her adoption, based their decisions on the serious physical and emotional </w:t>
      </w:r>
      <w:r w:rsidRPr="006779A9" w:rsidR="006958F8">
        <w:rPr>
          <w:rFonts w:ascii="Times New Roman" w:hAnsi="Times New Roman" w:eastAsia="Times New Roman" w:cs="Times New Roman"/>
          <w:szCs w:val="20"/>
          <w:lang w:eastAsia="fr-FR"/>
        </w:rPr>
        <w:t>abuse</w:t>
      </w:r>
      <w:r w:rsidRPr="006779A9">
        <w:rPr>
          <w:rFonts w:ascii="Times New Roman" w:hAnsi="Times New Roman" w:eastAsia="Times New Roman" w:cs="Times New Roman"/>
          <w:szCs w:val="20"/>
          <w:lang w:eastAsia="fr-FR"/>
        </w:rPr>
        <w:t xml:space="preserve"> to which the applicant had allegedly subjected his children</w:t>
      </w:r>
      <w:r w:rsidRPr="006779A9" w:rsidR="006958F8">
        <w:rPr>
          <w:rFonts w:ascii="Times New Roman" w:hAnsi="Times New Roman" w:eastAsia="Times New Roman" w:cs="Times New Roman"/>
          <w:szCs w:val="20"/>
          <w:lang w:eastAsia="fr-FR"/>
        </w:rPr>
        <w:t xml:space="preserve">, the emotional instability and limited intellectual capacities of their mother (see paragraphs 14 and 21 above), the lack of contact between the applicant and his children between 28 June 2012, the date of their placement in residential care, and 19 November 2013, when the applicant first had contact with the child protection services (see paragraph 21 above), and the lack of an emotional bond between the applicant and his daughter (see paragraph 24 above). The Court notes that at no point in the administrative proceedings was </w:t>
      </w:r>
      <w:r w:rsidRPr="006779A9" w:rsidR="006B6519">
        <w:rPr>
          <w:rFonts w:ascii="Times New Roman" w:hAnsi="Times New Roman" w:eastAsia="Times New Roman" w:cs="Times New Roman"/>
          <w:szCs w:val="20"/>
          <w:lang w:eastAsia="fr-FR"/>
        </w:rPr>
        <w:t>consideration given to</w:t>
      </w:r>
      <w:r w:rsidRPr="006779A9" w:rsidR="006958F8">
        <w:rPr>
          <w:rFonts w:ascii="Times New Roman" w:hAnsi="Times New Roman" w:eastAsia="Times New Roman" w:cs="Times New Roman"/>
          <w:szCs w:val="20"/>
          <w:lang w:eastAsia="fr-FR"/>
        </w:rPr>
        <w:t xml:space="preserve"> the applicant’s acquittal on 27 September 2013 of all the charges against him or </w:t>
      </w:r>
      <w:r w:rsidRPr="006779A9" w:rsidR="006B6519">
        <w:rPr>
          <w:rFonts w:ascii="Times New Roman" w:hAnsi="Times New Roman" w:eastAsia="Times New Roman" w:cs="Times New Roman"/>
          <w:szCs w:val="20"/>
          <w:lang w:eastAsia="fr-FR"/>
        </w:rPr>
        <w:t>to</w:t>
      </w:r>
      <w:r w:rsidRPr="006779A9" w:rsidR="006958F8">
        <w:rPr>
          <w:rFonts w:ascii="Times New Roman" w:hAnsi="Times New Roman" w:eastAsia="Times New Roman" w:cs="Times New Roman"/>
          <w:szCs w:val="20"/>
          <w:lang w:eastAsia="fr-FR"/>
        </w:rPr>
        <w:t xml:space="preserve"> the lifting of the </w:t>
      </w:r>
      <w:r w:rsidRPr="006779A9" w:rsidR="00AD0A19">
        <w:rPr>
          <w:rFonts w:ascii="Times New Roman" w:hAnsi="Times New Roman" w:eastAsia="Times New Roman" w:cs="Times New Roman"/>
          <w:szCs w:val="20"/>
          <w:lang w:eastAsia="fr-FR"/>
        </w:rPr>
        <w:t xml:space="preserve">initial </w:t>
      </w:r>
      <w:r w:rsidRPr="006779A9" w:rsidR="006958F8">
        <w:rPr>
          <w:rFonts w:ascii="Times New Roman" w:hAnsi="Times New Roman" w:eastAsia="Times New Roman" w:cs="Times New Roman"/>
          <w:szCs w:val="20"/>
          <w:lang w:eastAsia="fr-FR"/>
        </w:rPr>
        <w:t>barring order against him</w:t>
      </w:r>
      <w:r w:rsidRPr="006779A9" w:rsidR="00AD0A19">
        <w:rPr>
          <w:rFonts w:ascii="Times New Roman" w:hAnsi="Times New Roman" w:eastAsia="Times New Roman" w:cs="Times New Roman"/>
          <w:szCs w:val="20"/>
          <w:lang w:eastAsia="fr-FR"/>
        </w:rPr>
        <w:t xml:space="preserve"> which had prevented him from maintaining contact with his children </w:t>
      </w:r>
      <w:r w:rsidRPr="006779A9" w:rsidR="00637CFC">
        <w:rPr>
          <w:rFonts w:ascii="Times New Roman" w:hAnsi="Times New Roman" w:eastAsia="Times New Roman" w:cs="Times New Roman"/>
          <w:szCs w:val="20"/>
          <w:lang w:eastAsia="fr-FR"/>
        </w:rPr>
        <w:t xml:space="preserve">in the meantime </w:t>
      </w:r>
      <w:r w:rsidRPr="006779A9" w:rsidR="00AD0A19">
        <w:rPr>
          <w:rFonts w:ascii="Times New Roman" w:hAnsi="Times New Roman" w:eastAsia="Times New Roman" w:cs="Times New Roman"/>
          <w:szCs w:val="20"/>
          <w:lang w:eastAsia="fr-FR"/>
        </w:rPr>
        <w:t>(see paragraph 20 above).</w:t>
      </w:r>
    </w:p>
    <w:p w:rsidRPr="006779A9" w:rsidR="00AD0A19" w:rsidP="004A6EA7" w:rsidRDefault="00AD0A19" w14:paraId="346724FA"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60</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xml:space="preserve">.  The Court observes that the decision of 11 February 2015 of the Murcia first-instance judge (see paragraph 25 above) approving the decision </w:t>
      </w:r>
      <w:r w:rsidR="0023508B">
        <w:rPr>
          <w:rFonts w:ascii="Times New Roman" w:hAnsi="Times New Roman" w:eastAsia="Times New Roman" w:cs="Times New Roman"/>
          <w:szCs w:val="20"/>
          <w:lang w:eastAsia="fr-FR"/>
        </w:rPr>
        <w:t>by</w:t>
      </w:r>
      <w:r w:rsidRPr="006779A9">
        <w:rPr>
          <w:rFonts w:ascii="Times New Roman" w:hAnsi="Times New Roman" w:eastAsia="Times New Roman" w:cs="Times New Roman"/>
          <w:szCs w:val="20"/>
          <w:lang w:eastAsia="fr-FR"/>
        </w:rPr>
        <w:t xml:space="preserve"> the directorate-general of social affairs concerning the placement of the applicant’s daughter in pre-adoption foster care still did not take account of the </w:t>
      </w:r>
      <w:r w:rsidRPr="006779A9" w:rsidR="001C299A">
        <w:rPr>
          <w:rFonts w:ascii="Times New Roman" w:hAnsi="Times New Roman" w:eastAsia="Times New Roman" w:cs="Times New Roman"/>
          <w:szCs w:val="20"/>
          <w:lang w:eastAsia="fr-FR"/>
        </w:rPr>
        <w:t>change in</w:t>
      </w:r>
      <w:r w:rsidRPr="006779A9">
        <w:rPr>
          <w:rFonts w:ascii="Times New Roman" w:hAnsi="Times New Roman" w:eastAsia="Times New Roman" w:cs="Times New Roman"/>
          <w:szCs w:val="20"/>
          <w:lang w:eastAsia="fr-FR"/>
        </w:rPr>
        <w:t xml:space="preserve"> the applicant’s position </w:t>
      </w:r>
      <w:r w:rsidRPr="006779A9" w:rsidR="001C299A">
        <w:rPr>
          <w:rFonts w:ascii="Times New Roman" w:hAnsi="Times New Roman" w:eastAsia="Times New Roman" w:cs="Times New Roman"/>
          <w:szCs w:val="20"/>
          <w:lang w:eastAsia="fr-FR"/>
        </w:rPr>
        <w:t>with regard to</w:t>
      </w:r>
      <w:r w:rsidRPr="006779A9">
        <w:rPr>
          <w:rFonts w:ascii="Times New Roman" w:hAnsi="Times New Roman" w:eastAsia="Times New Roman" w:cs="Times New Roman"/>
          <w:szCs w:val="20"/>
          <w:lang w:eastAsia="fr-FR"/>
        </w:rPr>
        <w:t xml:space="preserve"> the criminal </w:t>
      </w:r>
      <w:r w:rsidRPr="006779A9" w:rsidR="001C299A">
        <w:rPr>
          <w:rFonts w:ascii="Times New Roman" w:hAnsi="Times New Roman" w:eastAsia="Times New Roman" w:cs="Times New Roman"/>
          <w:szCs w:val="20"/>
          <w:lang w:eastAsia="fr-FR"/>
        </w:rPr>
        <w:t xml:space="preserve">proceedings </w:t>
      </w:r>
      <w:r w:rsidRPr="006779A9">
        <w:rPr>
          <w:rFonts w:ascii="Times New Roman" w:hAnsi="Times New Roman" w:eastAsia="Times New Roman" w:cs="Times New Roman"/>
          <w:szCs w:val="20"/>
          <w:lang w:eastAsia="fr-FR"/>
        </w:rPr>
        <w:t xml:space="preserve">since </w:t>
      </w:r>
      <w:r w:rsidRPr="006779A9" w:rsidR="001C299A">
        <w:rPr>
          <w:rFonts w:ascii="Times New Roman" w:hAnsi="Times New Roman" w:eastAsia="Times New Roman" w:cs="Times New Roman"/>
          <w:szCs w:val="20"/>
          <w:lang w:eastAsia="fr-FR"/>
        </w:rPr>
        <w:t xml:space="preserve">his acquittal on </w:t>
      </w:r>
      <w:r w:rsidRPr="006779A9">
        <w:rPr>
          <w:rFonts w:ascii="Times New Roman" w:hAnsi="Times New Roman" w:eastAsia="Times New Roman" w:cs="Times New Roman"/>
          <w:szCs w:val="20"/>
          <w:lang w:eastAsia="fr-FR"/>
        </w:rPr>
        <w:t xml:space="preserve">27 September 2013. It notes, moreover, that the Murcia first-instance judge did not rule on the applicant’s </w:t>
      </w:r>
      <w:r w:rsidRPr="006779A9" w:rsidR="00AD5C2E">
        <w:rPr>
          <w:rFonts w:ascii="Times New Roman" w:hAnsi="Times New Roman" w:eastAsia="Times New Roman" w:cs="Times New Roman"/>
          <w:szCs w:val="20"/>
          <w:lang w:eastAsia="fr-FR"/>
        </w:rPr>
        <w:t xml:space="preserve">aptitude in </w:t>
      </w:r>
      <w:r w:rsidRPr="006779A9" w:rsidR="0091258E">
        <w:rPr>
          <w:rFonts w:ascii="Times New Roman" w:hAnsi="Times New Roman" w:eastAsia="Times New Roman" w:cs="Times New Roman"/>
          <w:szCs w:val="20"/>
          <w:lang w:eastAsia="fr-FR"/>
        </w:rPr>
        <w:t xml:space="preserve">educational or </w:t>
      </w:r>
      <w:r w:rsidRPr="006779A9" w:rsidR="00AD5C2E">
        <w:rPr>
          <w:rFonts w:ascii="Times New Roman" w:hAnsi="Times New Roman" w:eastAsia="Times New Roman" w:cs="Times New Roman"/>
          <w:szCs w:val="20"/>
          <w:lang w:eastAsia="fr-FR"/>
        </w:rPr>
        <w:t>psych</w:t>
      </w:r>
      <w:r w:rsidRPr="006779A9" w:rsidR="008C3355">
        <w:rPr>
          <w:rFonts w:ascii="Times New Roman" w:hAnsi="Times New Roman" w:eastAsia="Times New Roman" w:cs="Times New Roman"/>
          <w:szCs w:val="20"/>
          <w:lang w:eastAsia="fr-FR"/>
        </w:rPr>
        <w:t>o</w:t>
      </w:r>
      <w:r w:rsidRPr="006779A9" w:rsidR="00AD5C2E">
        <w:rPr>
          <w:rFonts w:ascii="Times New Roman" w:hAnsi="Times New Roman" w:eastAsia="Times New Roman" w:cs="Times New Roman"/>
          <w:szCs w:val="20"/>
          <w:lang w:eastAsia="fr-FR"/>
        </w:rPr>
        <w:t xml:space="preserve">social terms to regain custody of his minor daughter. Instead, the judge’s decision simply took </w:t>
      </w:r>
      <w:r w:rsidRPr="006779A9" w:rsidR="001C299A">
        <w:rPr>
          <w:rFonts w:ascii="Times New Roman" w:hAnsi="Times New Roman" w:eastAsia="Times New Roman" w:cs="Times New Roman"/>
          <w:szCs w:val="20"/>
          <w:lang w:eastAsia="fr-FR"/>
        </w:rPr>
        <w:t>into consideration</w:t>
      </w:r>
      <w:r w:rsidRPr="006779A9" w:rsidR="00AD5C2E">
        <w:rPr>
          <w:rFonts w:ascii="Times New Roman" w:hAnsi="Times New Roman" w:eastAsia="Times New Roman" w:cs="Times New Roman"/>
          <w:szCs w:val="20"/>
          <w:lang w:eastAsia="fr-FR"/>
        </w:rPr>
        <w:t xml:space="preserve"> the arguments set out in the reports drawn up by the administrative authorities.</w:t>
      </w:r>
    </w:p>
    <w:p w:rsidRPr="006779A9" w:rsidR="00883E3B" w:rsidP="00883E3B" w:rsidRDefault="009F1054" w14:paraId="740256DF" w14:textId="77777777">
      <w:pPr>
        <w:pStyle w:val="JuPara"/>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61</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1202EA">
        <w:rPr>
          <w:rFonts w:ascii="Times New Roman" w:hAnsi="Times New Roman" w:eastAsia="Times New Roman" w:cs="Times New Roman"/>
          <w:szCs w:val="20"/>
          <w:lang w:eastAsia="fr-FR"/>
        </w:rPr>
        <w:t xml:space="preserve">The Court observes that the question whether a parent’s interests have been sufficiently protected in the decision-making process will depend on the specific circumstances of each case (see </w:t>
      </w:r>
      <w:r w:rsidRPr="006779A9" w:rsidR="002314B1">
        <w:rPr>
          <w:i/>
        </w:rPr>
        <w:t>W. v. the United Kingdom</w:t>
      </w:r>
      <w:r w:rsidRPr="006779A9" w:rsidR="002314B1">
        <w:t xml:space="preserve">, </w:t>
      </w:r>
      <w:r w:rsidRPr="006779A9" w:rsidR="001C299A">
        <w:t>cited above</w:t>
      </w:r>
      <w:r w:rsidRPr="006779A9" w:rsidR="002314B1">
        <w:t xml:space="preserve">, § 64, and </w:t>
      </w:r>
      <w:r w:rsidRPr="006779A9" w:rsidR="002314B1">
        <w:rPr>
          <w:i/>
        </w:rPr>
        <w:t>Elsholz v. Germany</w:t>
      </w:r>
      <w:r w:rsidRPr="006779A9" w:rsidR="002314B1">
        <w:t xml:space="preserve"> [GC], no. 25735/94, § 52, ECHR</w:t>
      </w:r>
      <w:r w:rsidR="00F41F99">
        <w:t> </w:t>
      </w:r>
      <w:r w:rsidRPr="006779A9" w:rsidR="002314B1">
        <w:t>2000</w:t>
      </w:r>
      <w:r w:rsidRPr="006779A9" w:rsidR="002314B1">
        <w:noBreakHyphen/>
        <w:t xml:space="preserve">VIII). </w:t>
      </w:r>
      <w:r w:rsidRPr="006779A9" w:rsidR="00883E3B">
        <w:t xml:space="preserve">To that end the Court must ascertain whether the domestic courts conducted an in-depth examination of the entire family situation and of a whole series of factors, in particular of a factual, emotional, psychological, material and medical nature, and made a balanced and reasonable assessment of the respective interests of each person (see, </w:t>
      </w:r>
      <w:r w:rsidRPr="006779A9" w:rsidR="00883E3B">
        <w:rPr>
          <w:i/>
        </w:rPr>
        <w:t>mutatis mutandis</w:t>
      </w:r>
      <w:r w:rsidRPr="006779A9" w:rsidR="00883E3B">
        <w:t xml:space="preserve">, </w:t>
      </w:r>
      <w:r w:rsidRPr="006779A9" w:rsidR="00883E3B">
        <w:rPr>
          <w:i/>
        </w:rPr>
        <w:t>Neulinger and Shuruk</w:t>
      </w:r>
      <w:r w:rsidRPr="006779A9" w:rsidR="00883E3B">
        <w:t xml:space="preserve">, </w:t>
      </w:r>
      <w:r w:rsidR="0023508B">
        <w:t xml:space="preserve">cited above, </w:t>
      </w:r>
      <w:r w:rsidRPr="006779A9" w:rsidR="00883E3B">
        <w:t xml:space="preserve">§ 139). The Court notes in that connection that during the proceedings before the first-instance judge and the </w:t>
      </w:r>
      <w:r w:rsidRPr="006779A9" w:rsidR="00883E3B">
        <w:rPr>
          <w:i/>
        </w:rPr>
        <w:t>Audiencia Provincial</w:t>
      </w:r>
      <w:r w:rsidRPr="006779A9" w:rsidR="00883E3B">
        <w:t xml:space="preserve"> the applicant had the opportunity to present submissions in support of his case, in the context of judicial proceedings in which he was represented by a lawyer, at least from 19</w:t>
      </w:r>
      <w:r w:rsidR="00F41F99">
        <w:t> </w:t>
      </w:r>
      <w:r w:rsidRPr="006779A9" w:rsidR="00883E3B">
        <w:t xml:space="preserve">November 2013 onwards (see paragraph 20 above). Accordingly, the Court does not discern any failings that could be formally attributed to the domestic courts in that regard; </w:t>
      </w:r>
      <w:r w:rsidRPr="006779A9" w:rsidR="0091258E">
        <w:t>however</w:t>
      </w:r>
      <w:r w:rsidRPr="006779A9" w:rsidR="00883E3B">
        <w:t xml:space="preserve">, the latter displayed </w:t>
      </w:r>
      <w:r w:rsidRPr="006779A9" w:rsidR="00032568">
        <w:t>inaction</w:t>
      </w:r>
      <w:r w:rsidRPr="006779A9" w:rsidR="00883E3B">
        <w:t xml:space="preserve"> </w:t>
      </w:r>
      <w:r w:rsidRPr="006779A9" w:rsidR="00032568">
        <w:t>when</w:t>
      </w:r>
      <w:r w:rsidRPr="006779A9" w:rsidR="00883E3B">
        <w:t xml:space="preserve"> taking into account the findings of the reports drawn up by the different administrative bodies which</w:t>
      </w:r>
      <w:r w:rsidRPr="006779A9" w:rsidR="001C299A">
        <w:t xml:space="preserve"> had</w:t>
      </w:r>
      <w:r w:rsidRPr="006779A9" w:rsidR="00883E3B">
        <w:t xml:space="preserve"> intervened </w:t>
      </w:r>
      <w:r w:rsidRPr="006779A9" w:rsidR="001C299A">
        <w:t>during</w:t>
      </w:r>
      <w:r w:rsidRPr="006779A9" w:rsidR="00883E3B">
        <w:t xml:space="preserve"> the examination of the case.</w:t>
      </w:r>
    </w:p>
    <w:p w:rsidRPr="006779A9" w:rsidR="00155A14" w:rsidP="004A6EA7" w:rsidRDefault="009F1054" w14:paraId="18CB90DD"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62</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155A14">
        <w:rPr>
          <w:rFonts w:ascii="Times New Roman" w:hAnsi="Times New Roman" w:eastAsia="Times New Roman" w:cs="Times New Roman"/>
          <w:szCs w:val="20"/>
          <w:lang w:eastAsia="fr-FR"/>
        </w:rPr>
        <w:t>The Court reiterates that in cases concerning family life</w:t>
      </w:r>
      <w:r w:rsidRPr="006779A9" w:rsidR="00BB703E">
        <w:rPr>
          <w:rFonts w:ascii="Times New Roman" w:hAnsi="Times New Roman" w:eastAsia="Times New Roman" w:cs="Times New Roman"/>
          <w:szCs w:val="20"/>
          <w:lang w:eastAsia="fr-FR"/>
        </w:rPr>
        <w:t xml:space="preserve"> </w:t>
      </w:r>
      <w:r w:rsidRPr="006779A9" w:rsidR="00155A14">
        <w:rPr>
          <w:rFonts w:ascii="Times New Roman" w:hAnsi="Times New Roman" w:eastAsia="Times New Roman" w:cs="Times New Roman"/>
          <w:szCs w:val="20"/>
          <w:lang w:eastAsia="fr-FR"/>
        </w:rPr>
        <w:t xml:space="preserve">the breaking-off of contact with a very young child may result in the progressive deterioration of the child’s relationship with his or her parent (see, among other authorities, </w:t>
      </w:r>
      <w:r w:rsidRPr="006779A9" w:rsidR="00155A14">
        <w:rPr>
          <w:rFonts w:ascii="Times New Roman" w:hAnsi="Times New Roman" w:eastAsia="Times New Roman" w:cs="Times New Roman"/>
          <w:i/>
          <w:szCs w:val="20"/>
          <w:lang w:eastAsia="fr-FR"/>
        </w:rPr>
        <w:t>Pini and Others v. Romania</w:t>
      </w:r>
      <w:r w:rsidRPr="006779A9" w:rsidR="00155A14">
        <w:rPr>
          <w:rFonts w:ascii="Times New Roman" w:hAnsi="Times New Roman" w:eastAsia="Times New Roman" w:cs="Times New Roman"/>
          <w:szCs w:val="20"/>
          <w:lang w:eastAsia="fr-FR"/>
        </w:rPr>
        <w:t xml:space="preserve">, nos. 78028/01 and 78030/01, § 175, ECHR 2004-V (extracts), and </w:t>
      </w:r>
      <w:r w:rsidRPr="006779A9" w:rsidR="00155A14">
        <w:rPr>
          <w:rFonts w:ascii="Times New Roman" w:hAnsi="Times New Roman" w:eastAsia="Times New Roman" w:cs="Times New Roman"/>
          <w:i/>
          <w:szCs w:val="20"/>
          <w:lang w:eastAsia="fr-FR"/>
        </w:rPr>
        <w:t>K.A.B. v. Spain</w:t>
      </w:r>
      <w:r w:rsidRPr="006779A9" w:rsidR="00155A14">
        <w:rPr>
          <w:rFonts w:ascii="Times New Roman" w:hAnsi="Times New Roman" w:eastAsia="Times New Roman" w:cs="Times New Roman"/>
          <w:szCs w:val="20"/>
          <w:lang w:eastAsia="fr-FR"/>
        </w:rPr>
        <w:t>, cited above, § 103). This also holds true in the present case. The reports of 28</w:t>
      </w:r>
      <w:r w:rsidR="00F41F99">
        <w:rPr>
          <w:rFonts w:ascii="Times New Roman" w:hAnsi="Times New Roman" w:eastAsia="Times New Roman" w:cs="Times New Roman"/>
          <w:szCs w:val="20"/>
          <w:lang w:eastAsia="fr-FR"/>
        </w:rPr>
        <w:t> </w:t>
      </w:r>
      <w:r w:rsidRPr="006779A9" w:rsidR="00155A14">
        <w:rPr>
          <w:rFonts w:ascii="Times New Roman" w:hAnsi="Times New Roman" w:eastAsia="Times New Roman" w:cs="Times New Roman"/>
          <w:szCs w:val="20"/>
          <w:lang w:eastAsia="fr-FR"/>
        </w:rPr>
        <w:t>February and 18 December 2014 (see paragraphs 21 and 23 above) showed that the applicant’s daughter had settled well in her foster family since being placed there on 24 September 2013 (see paragraph 17 above). The passage of time had the effect of making permanent a situation that was intended to be temporary, in view of the very young age of the child when she was legally declared abandoned and the guardianship order was made (see paragraph 8 above).</w:t>
      </w:r>
    </w:p>
    <w:p w:rsidRPr="006779A9" w:rsidR="00155A14" w:rsidP="004A6EA7" w:rsidRDefault="009F1054" w14:paraId="54813ED5"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63</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155A14">
        <w:rPr>
          <w:rFonts w:ascii="Times New Roman" w:hAnsi="Times New Roman" w:eastAsia="Times New Roman" w:cs="Times New Roman"/>
          <w:szCs w:val="20"/>
          <w:lang w:eastAsia="fr-FR"/>
        </w:rPr>
        <w:t xml:space="preserve">The Court reiterates </w:t>
      </w:r>
      <w:r w:rsidRPr="006779A9" w:rsidR="00FF43CE">
        <w:rPr>
          <w:rFonts w:ascii="Times New Roman" w:hAnsi="Times New Roman" w:eastAsia="Times New Roman" w:cs="Times New Roman"/>
          <w:szCs w:val="20"/>
          <w:lang w:eastAsia="fr-FR"/>
        </w:rPr>
        <w:t>t</w:t>
      </w:r>
      <w:r w:rsidRPr="006779A9" w:rsidR="00155A14">
        <w:rPr>
          <w:rFonts w:ascii="Times New Roman" w:hAnsi="Times New Roman" w:eastAsia="Times New Roman" w:cs="Times New Roman"/>
          <w:szCs w:val="20"/>
          <w:lang w:eastAsia="fr-FR"/>
        </w:rPr>
        <w:t>hat it is not its role to substitute its assessment for that of the relevant national authorities regarding the measures which should have been taken, since the authorities are in principle better placed to carry out such an assessment</w:t>
      </w:r>
      <w:r w:rsidRPr="006779A9" w:rsidR="00FF43CE">
        <w:rPr>
          <w:rFonts w:ascii="Times New Roman" w:hAnsi="Times New Roman" w:eastAsia="Times New Roman" w:cs="Times New Roman"/>
          <w:szCs w:val="20"/>
          <w:lang w:eastAsia="fr-FR"/>
        </w:rPr>
        <w:t>. Whilst acknowledging that the domestic courts endeavoured in good faith in the pres</w:t>
      </w:r>
      <w:r w:rsidRPr="006779A9" w:rsidR="0038241C">
        <w:rPr>
          <w:rFonts w:ascii="Times New Roman" w:hAnsi="Times New Roman" w:eastAsia="Times New Roman" w:cs="Times New Roman"/>
          <w:szCs w:val="20"/>
          <w:lang w:eastAsia="fr-FR"/>
        </w:rPr>
        <w:t>e</w:t>
      </w:r>
      <w:r w:rsidRPr="006779A9" w:rsidR="00FF43CE">
        <w:rPr>
          <w:rFonts w:ascii="Times New Roman" w:hAnsi="Times New Roman" w:eastAsia="Times New Roman" w:cs="Times New Roman"/>
          <w:szCs w:val="20"/>
          <w:lang w:eastAsia="fr-FR"/>
        </w:rPr>
        <w:t>n</w:t>
      </w:r>
      <w:r w:rsidRPr="006779A9" w:rsidR="0038241C">
        <w:rPr>
          <w:rFonts w:ascii="Times New Roman" w:hAnsi="Times New Roman" w:eastAsia="Times New Roman" w:cs="Times New Roman"/>
          <w:szCs w:val="20"/>
          <w:lang w:eastAsia="fr-FR"/>
        </w:rPr>
        <w:t xml:space="preserve">t case to safeguard the child’s well-being, the Court </w:t>
      </w:r>
      <w:r w:rsidRPr="006779A9" w:rsidR="00ED472F">
        <w:rPr>
          <w:rFonts w:ascii="Times New Roman" w:hAnsi="Times New Roman" w:eastAsia="Times New Roman" w:cs="Times New Roman"/>
          <w:szCs w:val="20"/>
          <w:lang w:eastAsia="fr-FR"/>
        </w:rPr>
        <w:t xml:space="preserve">notes a serious lack of diligence in the procedure implemented by the authorities responsible for the child’s guardianship, placement and possible adoption (see </w:t>
      </w:r>
      <w:r w:rsidRPr="006779A9" w:rsidR="00ED472F">
        <w:rPr>
          <w:rFonts w:ascii="Times New Roman" w:hAnsi="Times New Roman" w:eastAsia="Times New Roman" w:cs="Times New Roman"/>
          <w:i/>
          <w:szCs w:val="20"/>
          <w:lang w:eastAsia="fr-FR"/>
        </w:rPr>
        <w:t>K.A.B. v. Spain</w:t>
      </w:r>
      <w:r w:rsidRPr="006779A9" w:rsidR="00ED472F">
        <w:rPr>
          <w:rFonts w:ascii="Times New Roman" w:hAnsi="Times New Roman" w:eastAsia="Times New Roman" w:cs="Times New Roman"/>
          <w:szCs w:val="20"/>
          <w:lang w:eastAsia="fr-FR"/>
        </w:rPr>
        <w:t xml:space="preserve">, cited above, § 104). This is true, in particular, as regards the manner in which they took into account the new circumstances </w:t>
      </w:r>
      <w:r w:rsidRPr="006779A9" w:rsidR="00BB703E">
        <w:rPr>
          <w:rFonts w:ascii="Times New Roman" w:hAnsi="Times New Roman" w:eastAsia="Times New Roman" w:cs="Times New Roman"/>
          <w:szCs w:val="20"/>
          <w:lang w:eastAsia="fr-FR"/>
        </w:rPr>
        <w:t>in relation to</w:t>
      </w:r>
      <w:r w:rsidRPr="006779A9" w:rsidR="00ED472F">
        <w:rPr>
          <w:rFonts w:ascii="Times New Roman" w:hAnsi="Times New Roman" w:eastAsia="Times New Roman" w:cs="Times New Roman"/>
          <w:szCs w:val="20"/>
          <w:lang w:eastAsia="fr-FR"/>
        </w:rPr>
        <w:t xml:space="preserve"> the criminal proceedings against the applicant and his final acquittal of the offences which had been the reason for the </w:t>
      </w:r>
      <w:r w:rsidRPr="006779A9">
        <w:rPr>
          <w:rFonts w:ascii="Times New Roman" w:hAnsi="Times New Roman" w:eastAsia="Times New Roman" w:cs="Times New Roman"/>
          <w:szCs w:val="20"/>
          <w:lang w:eastAsia="fr-FR"/>
        </w:rPr>
        <w:t>temporary removal of</w:t>
      </w:r>
      <w:r w:rsidRPr="006779A9" w:rsidR="00032568">
        <w:rPr>
          <w:rFonts w:ascii="Times New Roman" w:hAnsi="Times New Roman" w:eastAsia="Times New Roman" w:cs="Times New Roman"/>
          <w:szCs w:val="20"/>
          <w:lang w:eastAsia="fr-FR"/>
        </w:rPr>
        <w:t xml:space="preserve"> access to</w:t>
      </w:r>
      <w:r w:rsidRPr="006779A9">
        <w:rPr>
          <w:rFonts w:ascii="Times New Roman" w:hAnsi="Times New Roman" w:eastAsia="Times New Roman" w:cs="Times New Roman"/>
          <w:szCs w:val="20"/>
          <w:lang w:eastAsia="fr-FR"/>
        </w:rPr>
        <w:t xml:space="preserve"> his children.</w:t>
      </w:r>
    </w:p>
    <w:p w:rsidRPr="006779A9" w:rsidR="004A6EA7" w:rsidP="009F1054" w:rsidRDefault="009F1054" w14:paraId="7D545554"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64</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xml:space="preserve">.  In that connection, and as mentioned in paragraph 54 above, the Court reiterates that Article 8 of the Convention includes a parent’s right to the taking of measures with a view to his or her being reunited with the child and an obligation on the national authorities to take such action. However, </w:t>
      </w:r>
      <w:r w:rsidRPr="006779A9" w:rsidR="00125905">
        <w:rPr>
          <w:rFonts w:ascii="Times New Roman" w:hAnsi="Times New Roman" w:eastAsia="Times New Roman" w:cs="Times New Roman"/>
          <w:szCs w:val="20"/>
          <w:lang w:eastAsia="fr-FR"/>
        </w:rPr>
        <w:t>the</w:t>
      </w:r>
      <w:r w:rsidRPr="006779A9">
        <w:rPr>
          <w:rFonts w:ascii="Times New Roman" w:hAnsi="Times New Roman" w:eastAsia="Times New Roman" w:cs="Times New Roman"/>
          <w:szCs w:val="20"/>
          <w:lang w:eastAsia="fr-FR"/>
        </w:rPr>
        <w:t xml:space="preserve"> obligation </w:t>
      </w:r>
      <w:r w:rsidRPr="006779A9" w:rsidR="00125905">
        <w:rPr>
          <w:rFonts w:ascii="Times New Roman" w:hAnsi="Times New Roman" w:eastAsia="Times New Roman" w:cs="Times New Roman"/>
          <w:szCs w:val="20"/>
          <w:lang w:eastAsia="fr-FR"/>
        </w:rPr>
        <w:t xml:space="preserve">for the national authorities to take </w:t>
      </w:r>
      <w:r w:rsidRPr="006779A9" w:rsidR="001A18B9">
        <w:rPr>
          <w:rFonts w:ascii="Times New Roman" w:hAnsi="Times New Roman" w:eastAsia="Times New Roman" w:cs="Times New Roman"/>
          <w:szCs w:val="20"/>
          <w:lang w:eastAsia="fr-FR"/>
        </w:rPr>
        <w:t xml:space="preserve">measures to that end </w:t>
      </w:r>
      <w:r w:rsidRPr="006779A9">
        <w:rPr>
          <w:rFonts w:ascii="Times New Roman" w:hAnsi="Times New Roman" w:eastAsia="Times New Roman" w:cs="Times New Roman"/>
          <w:szCs w:val="20"/>
          <w:lang w:eastAsia="fr-FR"/>
        </w:rPr>
        <w:t xml:space="preserve">is not absolute, since the reunion of a parent with his or her child may not be able to take place immediately and may require preparation. The nature and extent of such preparation will depend on the circumstances of each case, but the understanding and cooperation of all concerned are always important ingredients. Whilst </w:t>
      </w:r>
      <w:r w:rsidRPr="006779A9" w:rsidR="001A18B9">
        <w:rPr>
          <w:rFonts w:ascii="Times New Roman" w:hAnsi="Times New Roman" w:eastAsia="Times New Roman" w:cs="Times New Roman"/>
          <w:szCs w:val="20"/>
          <w:lang w:eastAsia="fr-FR"/>
        </w:rPr>
        <w:t xml:space="preserve">the </w:t>
      </w:r>
      <w:r w:rsidRPr="006779A9">
        <w:rPr>
          <w:rFonts w:ascii="Times New Roman" w:hAnsi="Times New Roman" w:eastAsia="Times New Roman" w:cs="Times New Roman"/>
          <w:szCs w:val="20"/>
          <w:lang w:eastAsia="fr-FR"/>
        </w:rPr>
        <w:t>national authorities must do their utmost to facilitate such cooperation, any obligation to apply coercion in this area must be limited, since the interests as well as the rights and freedoms of all concerned must be taken into account, and more particularly the best interests of the child and his or her rights under Article 8 of the Convention.</w:t>
      </w:r>
      <w:r w:rsidRPr="006779A9">
        <w:rPr>
          <w:color w:val="000000"/>
        </w:rPr>
        <w:t xml:space="preserve"> </w:t>
      </w:r>
      <w:r w:rsidRPr="006779A9">
        <w:rPr>
          <w:rFonts w:ascii="Times New Roman" w:hAnsi="Times New Roman" w:eastAsia="Times New Roman" w:cs="Times New Roman"/>
          <w:szCs w:val="20"/>
          <w:lang w:eastAsia="fr-FR"/>
        </w:rPr>
        <w:t xml:space="preserve">In this type of case the adequacy of a measure is to be judged by the swiftness of its implementation (see </w:t>
      </w:r>
      <w:r w:rsidRPr="006779A9">
        <w:rPr>
          <w:rFonts w:ascii="Times New Roman" w:hAnsi="Times New Roman" w:eastAsia="Times New Roman" w:cs="Times New Roman"/>
          <w:i/>
          <w:szCs w:val="20"/>
          <w:lang w:eastAsia="fr-FR"/>
        </w:rPr>
        <w:t>Maumousseau and Washington</w:t>
      </w:r>
      <w:r w:rsidRPr="006779A9">
        <w:rPr>
          <w:rFonts w:ascii="Times New Roman" w:hAnsi="Times New Roman" w:eastAsia="Times New Roman" w:cs="Times New Roman"/>
          <w:szCs w:val="20"/>
          <w:lang w:eastAsia="fr-FR"/>
        </w:rPr>
        <w:t xml:space="preserve">, cited above § 83, and </w:t>
      </w:r>
      <w:r w:rsidRPr="006779A9" w:rsidR="004A6EA7">
        <w:rPr>
          <w:rFonts w:ascii="Times New Roman" w:hAnsi="Times New Roman" w:eastAsia="Times New Roman" w:cs="Times New Roman"/>
          <w:i/>
          <w:szCs w:val="20"/>
        </w:rPr>
        <w:t>Mincheva</w:t>
      </w:r>
      <w:r w:rsidRPr="006779A9" w:rsidR="004A6EA7">
        <w:rPr>
          <w:rFonts w:ascii="Times New Roman" w:hAnsi="Times New Roman" w:eastAsia="Times New Roman" w:cs="Times New Roman"/>
          <w:szCs w:val="20"/>
        </w:rPr>
        <w:t xml:space="preserve">, </w:t>
      </w:r>
      <w:r w:rsidRPr="006779A9">
        <w:rPr>
          <w:rFonts w:ascii="Times New Roman" w:hAnsi="Times New Roman" w:eastAsia="Times New Roman" w:cs="Times New Roman"/>
          <w:szCs w:val="20"/>
        </w:rPr>
        <w:t>cited above</w:t>
      </w:r>
      <w:r w:rsidRPr="006779A9" w:rsidR="004A6EA7">
        <w:rPr>
          <w:rFonts w:ascii="Times New Roman" w:hAnsi="Times New Roman" w:eastAsia="Times New Roman" w:cs="Times New Roman"/>
          <w:szCs w:val="20"/>
        </w:rPr>
        <w:t>, § 86</w:t>
      </w:r>
      <w:r w:rsidRPr="006779A9" w:rsidR="004A6EA7">
        <w:rPr>
          <w:rFonts w:ascii="Times New Roman" w:hAnsi="Times New Roman" w:eastAsia="Times New Roman" w:cs="Times New Roman"/>
          <w:szCs w:val="20"/>
          <w:lang w:eastAsia="fr-FR"/>
        </w:rPr>
        <w:t>).</w:t>
      </w:r>
    </w:p>
    <w:p w:rsidRPr="006779A9" w:rsidR="009F1054" w:rsidP="004A6EA7" w:rsidRDefault="009F1054" w14:paraId="275A838F"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65</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xml:space="preserve">.  Hence, the decisive </w:t>
      </w:r>
      <w:r w:rsidRPr="006779A9" w:rsidR="00AA6CCE">
        <w:rPr>
          <w:rFonts w:ascii="Times New Roman" w:hAnsi="Times New Roman" w:eastAsia="Times New Roman" w:cs="Times New Roman"/>
          <w:szCs w:val="20"/>
          <w:lang w:eastAsia="fr-FR"/>
        </w:rPr>
        <w:t>question in the present case is whether the national authorities</w:t>
      </w:r>
      <w:r w:rsidRPr="006779A9" w:rsidR="00432245">
        <w:rPr>
          <w:rFonts w:ascii="Times New Roman" w:hAnsi="Times New Roman" w:eastAsia="Times New Roman" w:cs="Times New Roman"/>
          <w:szCs w:val="20"/>
          <w:lang w:eastAsia="fr-FR"/>
        </w:rPr>
        <w:t>, before deciding to place the applicant’s daughter with an adoptive family,</w:t>
      </w:r>
      <w:r w:rsidRPr="006779A9" w:rsidR="00AA6CCE">
        <w:rPr>
          <w:rFonts w:ascii="Times New Roman" w:hAnsi="Times New Roman" w:eastAsia="Times New Roman" w:cs="Times New Roman"/>
          <w:szCs w:val="20"/>
          <w:lang w:eastAsia="fr-FR"/>
        </w:rPr>
        <w:t xml:space="preserve"> </w:t>
      </w:r>
      <w:r w:rsidRPr="006779A9" w:rsidR="001A18B9">
        <w:rPr>
          <w:rFonts w:ascii="Times New Roman" w:hAnsi="Times New Roman" w:eastAsia="Times New Roman" w:cs="Times New Roman"/>
          <w:szCs w:val="20"/>
          <w:lang w:eastAsia="fr-FR"/>
        </w:rPr>
        <w:t>took</w:t>
      </w:r>
      <w:r w:rsidRPr="006779A9" w:rsidR="00AA6CCE">
        <w:rPr>
          <w:rFonts w:ascii="Times New Roman" w:hAnsi="Times New Roman" w:eastAsia="Times New Roman" w:cs="Times New Roman"/>
          <w:szCs w:val="20"/>
          <w:lang w:eastAsia="fr-FR"/>
        </w:rPr>
        <w:t xml:space="preserve"> all the necessary and appropriate measures that could reasonably be expected of them to facilitate </w:t>
      </w:r>
      <w:r w:rsidRPr="006779A9" w:rsidR="00432245">
        <w:rPr>
          <w:rFonts w:ascii="Times New Roman" w:hAnsi="Times New Roman" w:eastAsia="Times New Roman" w:cs="Times New Roman"/>
          <w:szCs w:val="20"/>
          <w:lang w:eastAsia="fr-FR"/>
        </w:rPr>
        <w:t>her</w:t>
      </w:r>
      <w:r w:rsidRPr="006779A9" w:rsidR="00AA6CCE">
        <w:rPr>
          <w:rFonts w:ascii="Times New Roman" w:hAnsi="Times New Roman" w:eastAsia="Times New Roman" w:cs="Times New Roman"/>
          <w:szCs w:val="20"/>
          <w:lang w:eastAsia="fr-FR"/>
        </w:rPr>
        <w:t xml:space="preserve"> return</w:t>
      </w:r>
      <w:r w:rsidRPr="006779A9" w:rsidR="001A18B9">
        <w:rPr>
          <w:rFonts w:ascii="Times New Roman" w:hAnsi="Times New Roman" w:eastAsia="Times New Roman" w:cs="Times New Roman"/>
          <w:szCs w:val="20"/>
          <w:lang w:eastAsia="fr-FR"/>
        </w:rPr>
        <w:t xml:space="preserve"> </w:t>
      </w:r>
      <w:r w:rsidRPr="006779A9" w:rsidR="00AA6CCE">
        <w:rPr>
          <w:rFonts w:ascii="Times New Roman" w:hAnsi="Times New Roman" w:eastAsia="Times New Roman" w:cs="Times New Roman"/>
          <w:szCs w:val="20"/>
          <w:lang w:eastAsia="fr-FR"/>
        </w:rPr>
        <w:t xml:space="preserve">to her father as soon as possible, as he had requested, so that they could lead a normal family life together with the </w:t>
      </w:r>
      <w:r w:rsidRPr="006779A9" w:rsidR="001A18B9">
        <w:rPr>
          <w:rFonts w:ascii="Times New Roman" w:hAnsi="Times New Roman" w:eastAsia="Times New Roman" w:cs="Times New Roman"/>
          <w:szCs w:val="20"/>
          <w:lang w:eastAsia="fr-FR"/>
        </w:rPr>
        <w:t>girl</w:t>
      </w:r>
      <w:r w:rsidRPr="006779A9" w:rsidR="00AA6CCE">
        <w:rPr>
          <w:rFonts w:ascii="Times New Roman" w:hAnsi="Times New Roman" w:eastAsia="Times New Roman" w:cs="Times New Roman"/>
          <w:szCs w:val="20"/>
          <w:lang w:eastAsia="fr-FR"/>
        </w:rPr>
        <w:t>’s brothers.</w:t>
      </w:r>
    </w:p>
    <w:p w:rsidRPr="006779A9" w:rsidR="00F61E25" w:rsidP="004A6EA7" w:rsidRDefault="00AA6CCE" w14:paraId="5675CB28"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66</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1A18B9">
        <w:rPr>
          <w:rFonts w:ascii="Times New Roman" w:hAnsi="Times New Roman" w:eastAsia="Times New Roman" w:cs="Times New Roman"/>
          <w:szCs w:val="20"/>
          <w:lang w:eastAsia="fr-FR"/>
        </w:rPr>
        <w:t>I</w:t>
      </w:r>
      <w:r w:rsidRPr="006779A9">
        <w:rPr>
          <w:rFonts w:ascii="Times New Roman" w:hAnsi="Times New Roman" w:eastAsia="Times New Roman" w:cs="Times New Roman"/>
          <w:szCs w:val="20"/>
          <w:lang w:eastAsia="fr-FR"/>
        </w:rPr>
        <w:t xml:space="preserve">n the circumstances of the present case, </w:t>
      </w:r>
      <w:r w:rsidRPr="006779A9" w:rsidR="001A18B9">
        <w:rPr>
          <w:rFonts w:ascii="Times New Roman" w:hAnsi="Times New Roman" w:eastAsia="Times New Roman" w:cs="Times New Roman"/>
          <w:szCs w:val="20"/>
          <w:lang w:eastAsia="fr-FR"/>
        </w:rPr>
        <w:t>the decision to take the applicant’s</w:t>
      </w:r>
      <w:r w:rsidRPr="006779A9">
        <w:rPr>
          <w:rFonts w:ascii="Times New Roman" w:hAnsi="Times New Roman" w:eastAsia="Times New Roman" w:cs="Times New Roman"/>
          <w:szCs w:val="20"/>
          <w:lang w:eastAsia="fr-FR"/>
        </w:rPr>
        <w:t xml:space="preserve"> three children </w:t>
      </w:r>
      <w:r w:rsidRPr="006779A9" w:rsidR="001A18B9">
        <w:rPr>
          <w:rFonts w:ascii="Times New Roman" w:hAnsi="Times New Roman" w:eastAsia="Times New Roman" w:cs="Times New Roman"/>
          <w:szCs w:val="20"/>
          <w:lang w:eastAsia="fr-FR"/>
        </w:rPr>
        <w:t>into care is understandable</w:t>
      </w:r>
      <w:r w:rsidRPr="006779A9">
        <w:rPr>
          <w:rFonts w:ascii="Times New Roman" w:hAnsi="Times New Roman" w:eastAsia="Times New Roman" w:cs="Times New Roman"/>
          <w:szCs w:val="20"/>
          <w:lang w:eastAsia="fr-FR"/>
        </w:rPr>
        <w:t xml:space="preserve">, </w:t>
      </w:r>
      <w:r w:rsidRPr="006779A9" w:rsidR="001A18B9">
        <w:rPr>
          <w:rFonts w:ascii="Times New Roman" w:hAnsi="Times New Roman" w:eastAsia="Times New Roman" w:cs="Times New Roman"/>
          <w:szCs w:val="20"/>
          <w:lang w:eastAsia="fr-FR"/>
        </w:rPr>
        <w:t>given that</w:t>
      </w:r>
      <w:r w:rsidRPr="006779A9">
        <w:rPr>
          <w:rFonts w:ascii="Times New Roman" w:hAnsi="Times New Roman" w:eastAsia="Times New Roman" w:cs="Times New Roman"/>
          <w:szCs w:val="20"/>
          <w:lang w:eastAsia="fr-FR"/>
        </w:rPr>
        <w:t xml:space="preserve"> it was their own mother who had requested it. However, that decision should have been followed swiftly by appropriate measures to examine in depth the children’s situation and their relationship with their parents – if necessary, with the father and mother separately – while complying with the rules in force. The children </w:t>
      </w:r>
      <w:r w:rsidRPr="006779A9" w:rsidR="001A18B9">
        <w:rPr>
          <w:rFonts w:ascii="Times New Roman" w:hAnsi="Times New Roman" w:eastAsia="Times New Roman" w:cs="Times New Roman"/>
          <w:szCs w:val="20"/>
          <w:lang w:eastAsia="fr-FR"/>
        </w:rPr>
        <w:t>had been</w:t>
      </w:r>
      <w:r w:rsidRPr="006779A9">
        <w:rPr>
          <w:rFonts w:ascii="Times New Roman" w:hAnsi="Times New Roman" w:eastAsia="Times New Roman" w:cs="Times New Roman"/>
          <w:szCs w:val="20"/>
          <w:lang w:eastAsia="fr-FR"/>
        </w:rPr>
        <w:t xml:space="preserve"> separate</w:t>
      </w:r>
      <w:r w:rsidRPr="006779A9" w:rsidR="001A18B9">
        <w:rPr>
          <w:rFonts w:ascii="Times New Roman" w:hAnsi="Times New Roman" w:eastAsia="Times New Roman" w:cs="Times New Roman"/>
          <w:szCs w:val="20"/>
          <w:lang w:eastAsia="fr-FR"/>
        </w:rPr>
        <w:t>d</w:t>
      </w:r>
      <w:r w:rsidRPr="006779A9">
        <w:rPr>
          <w:rFonts w:ascii="Times New Roman" w:hAnsi="Times New Roman" w:eastAsia="Times New Roman" w:cs="Times New Roman"/>
          <w:szCs w:val="20"/>
          <w:lang w:eastAsia="fr-FR"/>
        </w:rPr>
        <w:t xml:space="preserve"> from their father</w:t>
      </w:r>
      <w:r w:rsidRPr="006779A9" w:rsidR="001A18B9">
        <w:rPr>
          <w:rFonts w:ascii="Times New Roman" w:hAnsi="Times New Roman" w:eastAsia="Times New Roman" w:cs="Times New Roman"/>
          <w:szCs w:val="20"/>
          <w:lang w:eastAsia="fr-FR"/>
        </w:rPr>
        <w:t>,</w:t>
      </w:r>
      <w:r w:rsidRPr="006779A9">
        <w:rPr>
          <w:rFonts w:ascii="Times New Roman" w:hAnsi="Times New Roman" w:eastAsia="Times New Roman" w:cs="Times New Roman"/>
          <w:szCs w:val="20"/>
          <w:lang w:eastAsia="fr-FR"/>
        </w:rPr>
        <w:t xml:space="preserve"> apparently against the latter’s wishes</w:t>
      </w:r>
      <w:r w:rsidRPr="006779A9" w:rsidR="001A18B9">
        <w:rPr>
          <w:rFonts w:ascii="Times New Roman" w:hAnsi="Times New Roman" w:eastAsia="Times New Roman" w:cs="Times New Roman"/>
          <w:szCs w:val="20"/>
          <w:lang w:eastAsia="fr-FR"/>
        </w:rPr>
        <w:t>,</w:t>
      </w:r>
      <w:r w:rsidRPr="006779A9" w:rsidR="00F61E25">
        <w:rPr>
          <w:rFonts w:ascii="Times New Roman" w:hAnsi="Times New Roman" w:eastAsia="Times New Roman" w:cs="Times New Roman"/>
          <w:szCs w:val="20"/>
          <w:lang w:eastAsia="fr-FR"/>
        </w:rPr>
        <w:t xml:space="preserve"> when he faced criminal prosecution for domestic violence following a complaint lodged by their mother. Although it is clear from the case file that he was not detained in prison, it must not be overlooked that the applicant was </w:t>
      </w:r>
      <w:r w:rsidRPr="006779A9" w:rsidR="00A74D50">
        <w:rPr>
          <w:rFonts w:ascii="Times New Roman" w:hAnsi="Times New Roman" w:eastAsia="Times New Roman" w:cs="Times New Roman"/>
          <w:szCs w:val="20"/>
          <w:lang w:eastAsia="fr-FR"/>
        </w:rPr>
        <w:t>not allowed</w:t>
      </w:r>
      <w:r w:rsidRPr="006779A9" w:rsidR="00F61E25">
        <w:rPr>
          <w:rFonts w:ascii="Times New Roman" w:hAnsi="Times New Roman" w:eastAsia="Times New Roman" w:cs="Times New Roman"/>
          <w:szCs w:val="20"/>
          <w:lang w:eastAsia="fr-FR"/>
        </w:rPr>
        <w:t xml:space="preserve"> to approach his children and that he was therefore kept away from them, without any contact, </w:t>
      </w:r>
      <w:r w:rsidRPr="006779A9" w:rsidR="00A74D50">
        <w:rPr>
          <w:rFonts w:ascii="Times New Roman" w:hAnsi="Times New Roman" w:eastAsia="Times New Roman" w:cs="Times New Roman"/>
          <w:szCs w:val="20"/>
          <w:lang w:eastAsia="fr-FR"/>
        </w:rPr>
        <w:t>for the entire duration of</w:t>
      </w:r>
      <w:r w:rsidRPr="006779A9" w:rsidR="00F61E25">
        <w:rPr>
          <w:rFonts w:ascii="Times New Roman" w:hAnsi="Times New Roman" w:eastAsia="Times New Roman" w:cs="Times New Roman"/>
          <w:szCs w:val="20"/>
          <w:lang w:eastAsia="fr-FR"/>
        </w:rPr>
        <w:t xml:space="preserve"> the criminal proceedings. This situation was particularly serious given the age of his daughter, who had been just one and a half when she was </w:t>
      </w:r>
      <w:r w:rsidRPr="006779A9" w:rsidR="00C039F5">
        <w:rPr>
          <w:rFonts w:ascii="Times New Roman" w:hAnsi="Times New Roman" w:eastAsia="Times New Roman" w:cs="Times New Roman"/>
          <w:szCs w:val="20"/>
          <w:lang w:eastAsia="fr-FR"/>
        </w:rPr>
        <w:t>placed under guardianship</w:t>
      </w:r>
      <w:r w:rsidRPr="006779A9" w:rsidR="00F61E25">
        <w:rPr>
          <w:rFonts w:ascii="Times New Roman" w:hAnsi="Times New Roman" w:eastAsia="Times New Roman" w:cs="Times New Roman"/>
          <w:szCs w:val="20"/>
          <w:lang w:eastAsia="fr-FR"/>
        </w:rPr>
        <w:t xml:space="preserve"> in Madrid. The Court is not persuaded by the reasons </w:t>
      </w:r>
      <w:r w:rsidRPr="006779A9" w:rsidR="00A74D50">
        <w:rPr>
          <w:rFonts w:ascii="Times New Roman" w:hAnsi="Times New Roman" w:eastAsia="Times New Roman" w:cs="Times New Roman"/>
          <w:szCs w:val="20"/>
          <w:lang w:eastAsia="fr-FR"/>
        </w:rPr>
        <w:t>which</w:t>
      </w:r>
      <w:r w:rsidRPr="006779A9" w:rsidR="00F61E25">
        <w:rPr>
          <w:rFonts w:ascii="Times New Roman" w:hAnsi="Times New Roman" w:eastAsia="Times New Roman" w:cs="Times New Roman"/>
          <w:szCs w:val="20"/>
          <w:lang w:eastAsia="fr-FR"/>
        </w:rPr>
        <w:t xml:space="preserve"> the administrative authorities and the domestic courts </w:t>
      </w:r>
      <w:r w:rsidRPr="006779A9" w:rsidR="00A74D50">
        <w:rPr>
          <w:rFonts w:ascii="Times New Roman" w:hAnsi="Times New Roman" w:eastAsia="Times New Roman" w:cs="Times New Roman"/>
          <w:szCs w:val="20"/>
          <w:lang w:eastAsia="fr-FR"/>
        </w:rPr>
        <w:t>considered</w:t>
      </w:r>
      <w:r w:rsidRPr="006779A9" w:rsidR="00F61E25">
        <w:rPr>
          <w:rFonts w:ascii="Times New Roman" w:hAnsi="Times New Roman" w:eastAsia="Times New Roman" w:cs="Times New Roman"/>
          <w:szCs w:val="20"/>
          <w:lang w:eastAsia="fr-FR"/>
        </w:rPr>
        <w:t xml:space="preserve"> sufficient to justify placing the child </w:t>
      </w:r>
      <w:r w:rsidRPr="006779A9" w:rsidR="00A74D50">
        <w:rPr>
          <w:rFonts w:ascii="Times New Roman" w:hAnsi="Times New Roman" w:eastAsia="Times New Roman" w:cs="Times New Roman"/>
          <w:szCs w:val="20"/>
          <w:lang w:eastAsia="fr-FR"/>
        </w:rPr>
        <w:t>in foster care</w:t>
      </w:r>
      <w:r w:rsidRPr="006779A9" w:rsidR="00F61E25">
        <w:rPr>
          <w:rFonts w:ascii="Times New Roman" w:hAnsi="Times New Roman" w:eastAsia="Times New Roman" w:cs="Times New Roman"/>
          <w:szCs w:val="20"/>
          <w:lang w:eastAsia="fr-FR"/>
        </w:rPr>
        <w:t xml:space="preserve"> with a view to her adoption. It observes that no consideration was given at any stage of the administrative procedure </w:t>
      </w:r>
      <w:r w:rsidRPr="006779A9" w:rsidR="00A74D50">
        <w:rPr>
          <w:rFonts w:ascii="Times New Roman" w:hAnsi="Times New Roman" w:eastAsia="Times New Roman" w:cs="Times New Roman"/>
          <w:szCs w:val="20"/>
          <w:lang w:eastAsia="fr-FR"/>
        </w:rPr>
        <w:t>to the</w:t>
      </w:r>
      <w:r w:rsidRPr="006779A9" w:rsidR="00F61E25">
        <w:rPr>
          <w:rFonts w:ascii="Times New Roman" w:hAnsi="Times New Roman" w:eastAsia="Times New Roman" w:cs="Times New Roman"/>
          <w:szCs w:val="20"/>
          <w:lang w:eastAsia="fr-FR"/>
        </w:rPr>
        <w:t xml:space="preserve"> very young </w:t>
      </w:r>
      <w:r w:rsidRPr="006779A9" w:rsidR="003A1780">
        <w:rPr>
          <w:rFonts w:ascii="Times New Roman" w:hAnsi="Times New Roman" w:eastAsia="Times New Roman" w:cs="Times New Roman"/>
          <w:szCs w:val="20"/>
          <w:lang w:eastAsia="fr-FR"/>
        </w:rPr>
        <w:t xml:space="preserve">age of the child </w:t>
      </w:r>
      <w:r w:rsidRPr="006779A9" w:rsidR="00F61E25">
        <w:rPr>
          <w:rFonts w:ascii="Times New Roman" w:hAnsi="Times New Roman" w:eastAsia="Times New Roman" w:cs="Times New Roman"/>
          <w:szCs w:val="20"/>
          <w:lang w:eastAsia="fr-FR"/>
        </w:rPr>
        <w:t>when she was separated from her father and his wife, the</w:t>
      </w:r>
      <w:r w:rsidRPr="006779A9" w:rsidR="003A1780">
        <w:rPr>
          <w:rFonts w:ascii="Times New Roman" w:hAnsi="Times New Roman" w:eastAsia="Times New Roman" w:cs="Times New Roman"/>
          <w:szCs w:val="20"/>
          <w:lang w:eastAsia="fr-FR"/>
        </w:rPr>
        <w:t xml:space="preserve"> pre-existing</w:t>
      </w:r>
      <w:r w:rsidRPr="006779A9" w:rsidR="00F61E25">
        <w:rPr>
          <w:rFonts w:ascii="Times New Roman" w:hAnsi="Times New Roman" w:eastAsia="Times New Roman" w:cs="Times New Roman"/>
          <w:szCs w:val="20"/>
          <w:lang w:eastAsia="fr-FR"/>
        </w:rPr>
        <w:t xml:space="preserve"> emotional bond between the child and her parents</w:t>
      </w:r>
      <w:r w:rsidRPr="006779A9" w:rsidR="00C039F5">
        <w:rPr>
          <w:rFonts w:ascii="Times New Roman" w:hAnsi="Times New Roman" w:eastAsia="Times New Roman" w:cs="Times New Roman"/>
          <w:szCs w:val="20"/>
          <w:lang w:eastAsia="fr-FR"/>
        </w:rPr>
        <w:t>,</w:t>
      </w:r>
      <w:r w:rsidRPr="006779A9" w:rsidR="00F61E25">
        <w:rPr>
          <w:rFonts w:ascii="Times New Roman" w:hAnsi="Times New Roman" w:eastAsia="Times New Roman" w:cs="Times New Roman"/>
          <w:szCs w:val="20"/>
          <w:lang w:eastAsia="fr-FR"/>
        </w:rPr>
        <w:t xml:space="preserve"> the </w:t>
      </w:r>
      <w:r w:rsidRPr="006779A9" w:rsidR="003A1780">
        <w:rPr>
          <w:rFonts w:ascii="Times New Roman" w:hAnsi="Times New Roman" w:eastAsia="Times New Roman" w:cs="Times New Roman"/>
          <w:szCs w:val="20"/>
          <w:lang w:eastAsia="fr-FR"/>
        </w:rPr>
        <w:t>passage</w:t>
      </w:r>
      <w:r w:rsidRPr="006779A9" w:rsidR="00F61E25">
        <w:rPr>
          <w:rFonts w:ascii="Times New Roman" w:hAnsi="Times New Roman" w:eastAsia="Times New Roman" w:cs="Times New Roman"/>
          <w:szCs w:val="20"/>
          <w:lang w:eastAsia="fr-FR"/>
        </w:rPr>
        <w:t xml:space="preserve"> of time</w:t>
      </w:r>
      <w:r w:rsidRPr="006779A9" w:rsidR="00A74D50">
        <w:rPr>
          <w:rFonts w:ascii="Times New Roman" w:hAnsi="Times New Roman" w:eastAsia="Times New Roman" w:cs="Times New Roman"/>
          <w:szCs w:val="20"/>
          <w:lang w:eastAsia="fr-FR"/>
        </w:rPr>
        <w:t xml:space="preserve"> </w:t>
      </w:r>
      <w:r w:rsidRPr="006779A9" w:rsidR="00F61E25">
        <w:rPr>
          <w:rFonts w:ascii="Times New Roman" w:hAnsi="Times New Roman" w:eastAsia="Times New Roman" w:cs="Times New Roman"/>
          <w:szCs w:val="20"/>
          <w:lang w:eastAsia="fr-FR"/>
        </w:rPr>
        <w:t>since their separation</w:t>
      </w:r>
      <w:r w:rsidRPr="006779A9" w:rsidR="00C039F5">
        <w:rPr>
          <w:rFonts w:ascii="Times New Roman" w:hAnsi="Times New Roman" w:eastAsia="Times New Roman" w:cs="Times New Roman"/>
          <w:szCs w:val="20"/>
          <w:lang w:eastAsia="fr-FR"/>
        </w:rPr>
        <w:t>,</w:t>
      </w:r>
      <w:r w:rsidRPr="006779A9" w:rsidR="00F61E25">
        <w:rPr>
          <w:rFonts w:ascii="Times New Roman" w:hAnsi="Times New Roman" w:eastAsia="Times New Roman" w:cs="Times New Roman"/>
          <w:szCs w:val="20"/>
          <w:lang w:eastAsia="fr-FR"/>
        </w:rPr>
        <w:t xml:space="preserve"> </w:t>
      </w:r>
      <w:r w:rsidRPr="006779A9" w:rsidR="00C039F5">
        <w:rPr>
          <w:rFonts w:ascii="Times New Roman" w:hAnsi="Times New Roman" w:eastAsia="Times New Roman" w:cs="Times New Roman"/>
          <w:szCs w:val="20"/>
          <w:lang w:eastAsia="fr-FR"/>
        </w:rPr>
        <w:t>or the ensuing</w:t>
      </w:r>
      <w:r w:rsidRPr="006779A9" w:rsidR="00F61E25">
        <w:rPr>
          <w:rFonts w:ascii="Times New Roman" w:hAnsi="Times New Roman" w:eastAsia="Times New Roman" w:cs="Times New Roman"/>
          <w:szCs w:val="20"/>
          <w:lang w:eastAsia="fr-FR"/>
        </w:rPr>
        <w:t xml:space="preserve"> consequences for all three of them and for the child’s relationship with her brothers.</w:t>
      </w:r>
    </w:p>
    <w:p w:rsidRPr="006779A9" w:rsidR="003C1F2A" w:rsidP="001C58C5" w:rsidRDefault="00F61E25" w14:paraId="7FFF9EEF" w14:textId="77777777">
      <w:pPr>
        <w:pStyle w:val="JuPara"/>
        <w:rPr>
          <w:rFonts w:ascii="Times New Roman" w:hAnsi="Times New Roman" w:eastAsia="Times New Roman" w:cs="Times New Roman"/>
          <w:szCs w:val="20"/>
          <w:lang w:eastAsia="en-GB"/>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67</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xml:space="preserve">.  Nevertheless, it is important to bear in mind the reference made in the </w:t>
      </w:r>
      <w:r w:rsidRPr="006779A9" w:rsidR="008C00EF">
        <w:rPr>
          <w:rFonts w:ascii="Times New Roman" w:hAnsi="Times New Roman" w:eastAsia="Times New Roman" w:cs="Times New Roman"/>
          <w:szCs w:val="20"/>
          <w:lang w:eastAsia="fr-FR"/>
        </w:rPr>
        <w:t>orientation report</w:t>
      </w:r>
      <w:r w:rsidRPr="006779A9">
        <w:rPr>
          <w:rFonts w:ascii="Times New Roman" w:hAnsi="Times New Roman" w:eastAsia="Times New Roman" w:cs="Times New Roman"/>
          <w:szCs w:val="20"/>
          <w:lang w:eastAsia="fr-FR"/>
        </w:rPr>
        <w:t xml:space="preserve"> of 20 June 2013 to the </w:t>
      </w:r>
      <w:r w:rsidRPr="006779A9" w:rsidR="001C58C5">
        <w:rPr>
          <w:rFonts w:ascii="Times New Roman" w:hAnsi="Times New Roman" w:eastAsia="Times New Roman" w:cs="Times New Roman"/>
          <w:szCs w:val="20"/>
          <w:lang w:eastAsia="fr-FR"/>
        </w:rPr>
        <w:t>applicant’s physical ill</w:t>
      </w:r>
      <w:r w:rsidR="00F41F99">
        <w:rPr>
          <w:rFonts w:ascii="Times New Roman" w:hAnsi="Times New Roman" w:eastAsia="Times New Roman" w:cs="Times New Roman"/>
          <w:szCs w:val="20"/>
          <w:lang w:eastAsia="fr-FR"/>
        </w:rPr>
        <w:noBreakHyphen/>
      </w:r>
      <w:r w:rsidRPr="006779A9" w:rsidR="001C58C5">
        <w:rPr>
          <w:rFonts w:ascii="Times New Roman" w:hAnsi="Times New Roman" w:eastAsia="Times New Roman" w:cs="Times New Roman"/>
          <w:szCs w:val="20"/>
          <w:lang w:eastAsia="fr-FR"/>
        </w:rPr>
        <w:t xml:space="preserve">treatment of his children – which he disputed – and the psychological instability of the applicant’s wife (see </w:t>
      </w:r>
      <w:r w:rsidRPr="006779A9" w:rsidR="004A6EA7">
        <w:rPr>
          <w:rFonts w:ascii="Times New Roman" w:hAnsi="Times New Roman" w:eastAsia="Times New Roman" w:cs="Times New Roman"/>
          <w:i/>
          <w:szCs w:val="20"/>
          <w:lang w:eastAsia="en-GB"/>
        </w:rPr>
        <w:t xml:space="preserve">Bertrand </w:t>
      </w:r>
      <w:r w:rsidRPr="006779A9" w:rsidR="001C58C5">
        <w:rPr>
          <w:rFonts w:ascii="Times New Roman" w:hAnsi="Times New Roman" w:eastAsia="Times New Roman" w:cs="Times New Roman"/>
          <w:i/>
          <w:szCs w:val="20"/>
          <w:lang w:eastAsia="en-GB"/>
        </w:rPr>
        <w:t>v</w:t>
      </w:r>
      <w:r w:rsidRPr="006779A9" w:rsidR="004A6EA7">
        <w:rPr>
          <w:rFonts w:ascii="Times New Roman" w:hAnsi="Times New Roman" w:eastAsia="Times New Roman" w:cs="Times New Roman"/>
          <w:i/>
          <w:szCs w:val="20"/>
          <w:lang w:eastAsia="en-GB"/>
        </w:rPr>
        <w:t>. France</w:t>
      </w:r>
      <w:r w:rsidRPr="006779A9" w:rsidR="004A6EA7">
        <w:rPr>
          <w:rFonts w:ascii="Times New Roman" w:hAnsi="Times New Roman" w:eastAsia="Times New Roman" w:cs="Times New Roman"/>
          <w:szCs w:val="20"/>
          <w:lang w:eastAsia="en-GB"/>
        </w:rPr>
        <w:t xml:space="preserve"> (d</w:t>
      </w:r>
      <w:r w:rsidRPr="006779A9" w:rsidR="001C58C5">
        <w:rPr>
          <w:rFonts w:ascii="Times New Roman" w:hAnsi="Times New Roman" w:eastAsia="Times New Roman" w:cs="Times New Roman"/>
          <w:szCs w:val="20"/>
          <w:lang w:eastAsia="en-GB"/>
        </w:rPr>
        <w:t>e</w:t>
      </w:r>
      <w:r w:rsidRPr="006779A9" w:rsidR="004A6EA7">
        <w:rPr>
          <w:rFonts w:ascii="Times New Roman" w:hAnsi="Times New Roman" w:eastAsia="Times New Roman" w:cs="Times New Roman"/>
          <w:szCs w:val="20"/>
          <w:lang w:eastAsia="en-GB"/>
        </w:rPr>
        <w:t xml:space="preserve">c.), </w:t>
      </w:r>
      <w:r w:rsidRPr="006779A9" w:rsidR="001C58C5">
        <w:rPr>
          <w:rFonts w:ascii="Times New Roman" w:hAnsi="Times New Roman" w:eastAsia="Times New Roman" w:cs="Times New Roman"/>
          <w:szCs w:val="20"/>
          <w:lang w:eastAsia="en-GB"/>
        </w:rPr>
        <w:t>no.</w:t>
      </w:r>
      <w:r w:rsidR="00F41F99">
        <w:rPr>
          <w:rFonts w:ascii="Times New Roman" w:hAnsi="Times New Roman" w:eastAsia="Times New Roman" w:cs="Times New Roman"/>
          <w:szCs w:val="20"/>
          <w:lang w:eastAsia="en-GB"/>
        </w:rPr>
        <w:t> </w:t>
      </w:r>
      <w:r w:rsidRPr="006779A9" w:rsidR="004A6EA7">
        <w:rPr>
          <w:rFonts w:ascii="Times New Roman" w:hAnsi="Times New Roman" w:eastAsia="Times New Roman" w:cs="Times New Roman"/>
          <w:szCs w:val="20"/>
          <w:lang w:eastAsia="en-GB"/>
        </w:rPr>
        <w:t>57376/00, 19 </w:t>
      </w:r>
      <w:r w:rsidRPr="006779A9" w:rsidR="001C58C5">
        <w:rPr>
          <w:rFonts w:ascii="Times New Roman" w:hAnsi="Times New Roman" w:eastAsia="Times New Roman" w:cs="Times New Roman"/>
          <w:szCs w:val="20"/>
          <w:lang w:eastAsia="en-GB"/>
        </w:rPr>
        <w:t>February</w:t>
      </w:r>
      <w:r w:rsidRPr="006779A9" w:rsidR="004A6EA7">
        <w:rPr>
          <w:rFonts w:ascii="Times New Roman" w:hAnsi="Times New Roman" w:eastAsia="Times New Roman" w:cs="Times New Roman"/>
          <w:szCs w:val="20"/>
          <w:lang w:eastAsia="en-GB"/>
        </w:rPr>
        <w:t xml:space="preserve"> 2002, </w:t>
      </w:r>
      <w:r w:rsidRPr="006779A9" w:rsidR="001C58C5">
        <w:rPr>
          <w:rFonts w:ascii="Times New Roman" w:hAnsi="Times New Roman" w:eastAsia="Times New Roman" w:cs="Times New Roman"/>
          <w:szCs w:val="20"/>
          <w:lang w:eastAsia="en-GB"/>
        </w:rPr>
        <w:t>and</w:t>
      </w:r>
      <w:r w:rsidRPr="006779A9" w:rsidR="004A6EA7">
        <w:rPr>
          <w:rFonts w:ascii="Times New Roman" w:hAnsi="Times New Roman" w:eastAsia="Times New Roman" w:cs="Times New Roman"/>
          <w:szCs w:val="20"/>
          <w:lang w:eastAsia="en-GB"/>
        </w:rPr>
        <w:t xml:space="preserve"> </w:t>
      </w:r>
      <w:r w:rsidRPr="006779A9" w:rsidR="004A6EA7">
        <w:rPr>
          <w:rFonts w:ascii="Times New Roman" w:hAnsi="Times New Roman" w:eastAsia="Times New Roman" w:cs="Times New Roman"/>
          <w:i/>
          <w:szCs w:val="20"/>
        </w:rPr>
        <w:t xml:space="preserve">Couillard Maugery </w:t>
      </w:r>
      <w:r w:rsidRPr="006779A9" w:rsidR="001C58C5">
        <w:rPr>
          <w:rFonts w:ascii="Times New Roman" w:hAnsi="Times New Roman" w:eastAsia="Times New Roman" w:cs="Times New Roman"/>
          <w:i/>
          <w:szCs w:val="20"/>
        </w:rPr>
        <w:t>v</w:t>
      </w:r>
      <w:r w:rsidRPr="006779A9" w:rsidR="004A6EA7">
        <w:rPr>
          <w:rFonts w:ascii="Times New Roman" w:hAnsi="Times New Roman" w:eastAsia="Times New Roman" w:cs="Times New Roman"/>
          <w:i/>
          <w:szCs w:val="20"/>
        </w:rPr>
        <w:t>. France</w:t>
      </w:r>
      <w:r w:rsidRPr="006779A9" w:rsidR="004A6EA7">
        <w:rPr>
          <w:rFonts w:ascii="Times New Roman" w:hAnsi="Times New Roman" w:eastAsia="Times New Roman" w:cs="Times New Roman"/>
          <w:szCs w:val="20"/>
        </w:rPr>
        <w:t xml:space="preserve">, </w:t>
      </w:r>
      <w:r w:rsidRPr="006779A9" w:rsidR="001C58C5">
        <w:rPr>
          <w:rFonts w:ascii="Times New Roman" w:hAnsi="Times New Roman" w:eastAsia="Times New Roman" w:cs="Times New Roman"/>
          <w:szCs w:val="20"/>
        </w:rPr>
        <w:t>no.</w:t>
      </w:r>
      <w:r w:rsidR="00F41F99">
        <w:rPr>
          <w:rFonts w:ascii="Times New Roman" w:hAnsi="Times New Roman" w:eastAsia="Times New Roman" w:cs="Times New Roman"/>
          <w:szCs w:val="20"/>
        </w:rPr>
        <w:t> </w:t>
      </w:r>
      <w:r w:rsidRPr="006779A9" w:rsidR="004A6EA7">
        <w:rPr>
          <w:rFonts w:ascii="Times New Roman" w:hAnsi="Times New Roman" w:eastAsia="Times New Roman" w:cs="Times New Roman"/>
          <w:szCs w:val="20"/>
        </w:rPr>
        <w:t xml:space="preserve">64796/01, § 261, </w:t>
      </w:r>
      <w:r w:rsidRPr="006779A9" w:rsidR="001C58C5">
        <w:rPr>
          <w:rFonts w:ascii="Times New Roman" w:hAnsi="Times New Roman" w:eastAsia="Times New Roman" w:cs="Times New Roman"/>
          <w:szCs w:val="20"/>
        </w:rPr>
        <w:t>1 July</w:t>
      </w:r>
      <w:r w:rsidRPr="006779A9" w:rsidR="004A6EA7">
        <w:rPr>
          <w:rFonts w:ascii="Times New Roman" w:hAnsi="Times New Roman" w:eastAsia="Times New Roman" w:cs="Times New Roman"/>
          <w:szCs w:val="20"/>
        </w:rPr>
        <w:t xml:space="preserve"> 2004</w:t>
      </w:r>
      <w:r w:rsidRPr="006779A9" w:rsidR="004A6EA7">
        <w:rPr>
          <w:rFonts w:ascii="Times New Roman" w:hAnsi="Times New Roman" w:eastAsia="Times New Roman" w:cs="Times New Roman"/>
          <w:szCs w:val="20"/>
          <w:lang w:eastAsia="en-GB"/>
        </w:rPr>
        <w:t xml:space="preserve">). </w:t>
      </w:r>
      <w:r w:rsidRPr="006779A9" w:rsidR="00432245">
        <w:rPr>
          <w:rFonts w:ascii="Times New Roman" w:hAnsi="Times New Roman" w:eastAsia="Times New Roman" w:cs="Times New Roman"/>
          <w:szCs w:val="20"/>
          <w:lang w:eastAsia="en-GB"/>
        </w:rPr>
        <w:t>T</w:t>
      </w:r>
      <w:r w:rsidRPr="006779A9" w:rsidR="001C58C5">
        <w:rPr>
          <w:rFonts w:ascii="Times New Roman" w:hAnsi="Times New Roman" w:eastAsia="Times New Roman" w:cs="Times New Roman"/>
          <w:szCs w:val="20"/>
          <w:lang w:eastAsia="en-GB"/>
        </w:rPr>
        <w:t>he supposed ill-treatment was not proven</w:t>
      </w:r>
      <w:r w:rsidRPr="006779A9" w:rsidR="00432245">
        <w:rPr>
          <w:rFonts w:ascii="Times New Roman" w:hAnsi="Times New Roman" w:eastAsia="Times New Roman" w:cs="Times New Roman"/>
          <w:szCs w:val="20"/>
          <w:lang w:eastAsia="en-GB"/>
        </w:rPr>
        <w:t>, however,</w:t>
      </w:r>
      <w:r w:rsidRPr="006779A9" w:rsidR="001C58C5">
        <w:rPr>
          <w:rFonts w:ascii="Times New Roman" w:hAnsi="Times New Roman" w:eastAsia="Times New Roman" w:cs="Times New Roman"/>
          <w:szCs w:val="20"/>
          <w:lang w:eastAsia="en-GB"/>
        </w:rPr>
        <w:t xml:space="preserve"> and is referred to only in the above-mentioned report (see paragraph 14 above); the Government did not submit any further information in this connection. The reference appears to be based on the content of the criminal complaint </w:t>
      </w:r>
      <w:r w:rsidRPr="006779A9" w:rsidR="00592083">
        <w:rPr>
          <w:rFonts w:ascii="Times New Roman" w:hAnsi="Times New Roman" w:eastAsia="Times New Roman" w:cs="Times New Roman"/>
          <w:szCs w:val="20"/>
          <w:lang w:eastAsia="en-GB"/>
        </w:rPr>
        <w:t>of</w:t>
      </w:r>
      <w:r w:rsidRPr="006779A9" w:rsidR="001C58C5">
        <w:rPr>
          <w:rFonts w:ascii="Times New Roman" w:hAnsi="Times New Roman" w:eastAsia="Times New Roman" w:cs="Times New Roman"/>
          <w:szCs w:val="20"/>
          <w:lang w:eastAsia="en-GB"/>
        </w:rPr>
        <w:t xml:space="preserve"> domestic violence lodged by the applicant’s wife, a charge of which he was subsequently acquitted. As to the </w:t>
      </w:r>
      <w:r w:rsidRPr="006779A9" w:rsidR="00032568">
        <w:rPr>
          <w:rFonts w:ascii="Times New Roman" w:hAnsi="Times New Roman" w:eastAsia="Times New Roman" w:cs="Times New Roman"/>
          <w:szCs w:val="20"/>
          <w:lang w:eastAsia="en-GB"/>
        </w:rPr>
        <w:t>mental</w:t>
      </w:r>
      <w:r w:rsidRPr="006779A9" w:rsidR="001C58C5">
        <w:rPr>
          <w:rFonts w:ascii="Times New Roman" w:hAnsi="Times New Roman" w:eastAsia="Times New Roman" w:cs="Times New Roman"/>
          <w:szCs w:val="20"/>
          <w:lang w:eastAsia="en-GB"/>
        </w:rPr>
        <w:t xml:space="preserve"> instability of the applicant’s wife, this </w:t>
      </w:r>
      <w:r w:rsidRPr="006779A9" w:rsidR="00B53BBC">
        <w:rPr>
          <w:rFonts w:ascii="Times New Roman" w:hAnsi="Times New Roman" w:eastAsia="Times New Roman" w:cs="Times New Roman"/>
          <w:szCs w:val="20"/>
          <w:lang w:eastAsia="en-GB"/>
        </w:rPr>
        <w:t>does not</w:t>
      </w:r>
      <w:r w:rsidRPr="006779A9" w:rsidR="001C58C5">
        <w:rPr>
          <w:rFonts w:ascii="Times New Roman" w:hAnsi="Times New Roman" w:eastAsia="Times New Roman" w:cs="Times New Roman"/>
          <w:szCs w:val="20"/>
          <w:lang w:eastAsia="en-GB"/>
        </w:rPr>
        <w:t xml:space="preserve"> demonstrate that the applicant exercised a negative influence</w:t>
      </w:r>
      <w:r w:rsidRPr="006779A9" w:rsidR="00B53BBC">
        <w:rPr>
          <w:rFonts w:ascii="Times New Roman" w:hAnsi="Times New Roman" w:eastAsia="Times New Roman" w:cs="Times New Roman"/>
          <w:szCs w:val="20"/>
          <w:lang w:eastAsia="en-GB"/>
        </w:rPr>
        <w:t>, but</w:t>
      </w:r>
      <w:r w:rsidRPr="006779A9" w:rsidR="001C58C5">
        <w:rPr>
          <w:rFonts w:ascii="Times New Roman" w:hAnsi="Times New Roman" w:eastAsia="Times New Roman" w:cs="Times New Roman"/>
          <w:szCs w:val="20"/>
          <w:lang w:eastAsia="en-GB"/>
        </w:rPr>
        <w:t xml:space="preserve"> rather the opposite</w:t>
      </w:r>
      <w:r w:rsidRPr="006779A9" w:rsidR="00B53BBC">
        <w:rPr>
          <w:rFonts w:ascii="Times New Roman" w:hAnsi="Times New Roman" w:eastAsia="Times New Roman" w:cs="Times New Roman"/>
          <w:szCs w:val="20"/>
          <w:lang w:eastAsia="en-GB"/>
        </w:rPr>
        <w:t xml:space="preserve">, especially following his acquittal. This is borne out by the fact that the applicant was awarded custody of his two sons and has continued his endeavours to </w:t>
      </w:r>
      <w:r w:rsidR="00F206A3">
        <w:rPr>
          <w:rFonts w:ascii="Times New Roman" w:hAnsi="Times New Roman" w:eastAsia="Times New Roman" w:cs="Times New Roman"/>
          <w:szCs w:val="20"/>
          <w:lang w:eastAsia="en-GB"/>
        </w:rPr>
        <w:t>regain</w:t>
      </w:r>
      <w:r w:rsidRPr="006779A9" w:rsidR="00B53BBC">
        <w:rPr>
          <w:rFonts w:ascii="Times New Roman" w:hAnsi="Times New Roman" w:eastAsia="Times New Roman" w:cs="Times New Roman"/>
          <w:szCs w:val="20"/>
          <w:lang w:eastAsia="en-GB"/>
        </w:rPr>
        <w:t xml:space="preserve"> custody of his minor daughter</w:t>
      </w:r>
      <w:r w:rsidRPr="006779A9" w:rsidR="003C1F2A">
        <w:rPr>
          <w:rFonts w:ascii="Times New Roman" w:hAnsi="Times New Roman" w:eastAsia="Times New Roman" w:cs="Times New Roman"/>
          <w:szCs w:val="20"/>
          <w:lang w:eastAsia="en-GB"/>
        </w:rPr>
        <w:t xml:space="preserve">. The courts did not note any lack of emotional development (see, conversely, </w:t>
      </w:r>
      <w:r w:rsidRPr="006779A9" w:rsidR="00E46C91">
        <w:rPr>
          <w:i/>
        </w:rPr>
        <w:t>Kutzner v. Germany</w:t>
      </w:r>
      <w:r w:rsidRPr="006779A9" w:rsidR="00E46C91">
        <w:t>, no.</w:t>
      </w:r>
      <w:r w:rsidR="00F41F99">
        <w:t> </w:t>
      </w:r>
      <w:r w:rsidRPr="006779A9" w:rsidR="00E46C91">
        <w:t>46544/99, § 68, ECHR 2002</w:t>
      </w:r>
      <w:r w:rsidRPr="006779A9" w:rsidR="00E46C91">
        <w:noBreakHyphen/>
        <w:t xml:space="preserve">I), an issue which they failed to examine in the case of the applicant, or any </w:t>
      </w:r>
      <w:r w:rsidRPr="006779A9" w:rsidR="003A1780">
        <w:t>concerns about</w:t>
      </w:r>
      <w:r w:rsidRPr="006779A9" w:rsidR="00E46C91">
        <w:t xml:space="preserve"> the children</w:t>
      </w:r>
      <w:r w:rsidRPr="006779A9" w:rsidR="003A1780">
        <w:t>’s health</w:t>
      </w:r>
      <w:r w:rsidRPr="006779A9" w:rsidR="00E46C91">
        <w:t xml:space="preserve">. While it is true that in some cases </w:t>
      </w:r>
      <w:r w:rsidRPr="006779A9" w:rsidR="00432245">
        <w:t xml:space="preserve">that were </w:t>
      </w:r>
      <w:r w:rsidRPr="006779A9" w:rsidR="00E46C91">
        <w:t xml:space="preserve">declared inadmissible by the Court, the children concerned may have been placed in care because of unsatisfactory living conditions or material deprivation, this was never the sole reason on which the decision of the domestic courts was based, since </w:t>
      </w:r>
      <w:r w:rsidRPr="006779A9" w:rsidR="00032568">
        <w:t xml:space="preserve">it was compounded by </w:t>
      </w:r>
      <w:r w:rsidRPr="006779A9" w:rsidR="00E46C91">
        <w:t xml:space="preserve">other factors such as the psychological state of the parents or their inability to provide their child with emotional and educational support (see </w:t>
      </w:r>
      <w:r w:rsidRPr="006779A9" w:rsidR="00E46C91">
        <w:rPr>
          <w:i/>
        </w:rPr>
        <w:t>Rampogna and Murgia v. Italy</w:t>
      </w:r>
      <w:r w:rsidRPr="006779A9" w:rsidR="00E46C91">
        <w:t xml:space="preserve"> (dec.), no. 40753/98, 11 May 1999; </w:t>
      </w:r>
      <w:r w:rsidRPr="006779A9" w:rsidR="00E46C91">
        <w:rPr>
          <w:i/>
        </w:rPr>
        <w:t>M.G. and M.T.A. v. Italy</w:t>
      </w:r>
      <w:r w:rsidRPr="006779A9" w:rsidR="00E46C91">
        <w:t xml:space="preserve"> (dec.), no. 17421/02, 28 June 2005; and </w:t>
      </w:r>
      <w:r w:rsidRPr="006779A9" w:rsidR="00E46C91">
        <w:rPr>
          <w:i/>
        </w:rPr>
        <w:t>Wallová and Walla v. the Czech Republic</w:t>
      </w:r>
      <w:r w:rsidRPr="006779A9" w:rsidR="00E46C91">
        <w:t>, no. 23848/04, §§ 72-74, 26</w:t>
      </w:r>
      <w:r w:rsidR="00F41F99">
        <w:t> </w:t>
      </w:r>
      <w:r w:rsidRPr="006779A9" w:rsidR="00E46C91">
        <w:t xml:space="preserve">October 2006). This was not the situation in the present case, at least with regard to the applicant. His </w:t>
      </w:r>
      <w:r w:rsidRPr="006779A9" w:rsidR="00405B69">
        <w:t xml:space="preserve">ability to provide his minor daughter with educational and emotional support was not formally at issue, and his other two minor children are now living with him again. The placement in care of the applicant’s daughter was ordered at her mother’s request on account of the very specific problems </w:t>
      </w:r>
      <w:r w:rsidRPr="006779A9" w:rsidR="00432245">
        <w:t>the latter</w:t>
      </w:r>
      <w:r w:rsidRPr="006779A9" w:rsidR="00405B69">
        <w:t xml:space="preserve"> was encountering at the time, and without the applicant’s requests being taken into account.</w:t>
      </w:r>
    </w:p>
    <w:p w:rsidRPr="006779A9" w:rsidR="00A22265" w:rsidP="004A6EA7" w:rsidRDefault="00405B69" w14:paraId="0C813C20" w14:textId="77777777">
      <w:pPr>
        <w:pStyle w:val="JuPara"/>
        <w:rPr>
          <w:rFonts w:ascii="Times New Roman" w:hAnsi="Times New Roman" w:eastAsia="Times New Roman" w:cs="Times New Roman"/>
          <w:szCs w:val="20"/>
          <w:lang w:eastAsia="en-GB"/>
        </w:rPr>
      </w:pPr>
      <w:r w:rsidRPr="006779A9">
        <w:rPr>
          <w:rFonts w:ascii="Times New Roman" w:hAnsi="Times New Roman" w:eastAsia="Times New Roman" w:cs="Times New Roman"/>
          <w:szCs w:val="20"/>
          <w:lang w:eastAsia="en-GB"/>
        </w:rPr>
        <w:fldChar w:fldCharType="begin"/>
      </w:r>
      <w:r w:rsidRPr="006779A9">
        <w:rPr>
          <w:rFonts w:ascii="Times New Roman" w:hAnsi="Times New Roman" w:eastAsia="Times New Roman" w:cs="Times New Roman"/>
          <w:szCs w:val="20"/>
          <w:lang w:eastAsia="en-GB"/>
        </w:rPr>
        <w:instrText xml:space="preserve"> SEQ level0 \*arabic </w:instrText>
      </w:r>
      <w:r w:rsidRPr="006779A9">
        <w:rPr>
          <w:rFonts w:ascii="Times New Roman" w:hAnsi="Times New Roman" w:eastAsia="Times New Roman" w:cs="Times New Roman"/>
          <w:szCs w:val="20"/>
          <w:lang w:eastAsia="en-GB"/>
        </w:rPr>
        <w:fldChar w:fldCharType="separate"/>
      </w:r>
      <w:r w:rsidR="00830BEA">
        <w:rPr>
          <w:rFonts w:ascii="Times New Roman" w:hAnsi="Times New Roman" w:eastAsia="Times New Roman" w:cs="Times New Roman"/>
          <w:noProof/>
          <w:szCs w:val="20"/>
          <w:lang w:eastAsia="en-GB"/>
        </w:rPr>
        <w:t>68</w:t>
      </w:r>
      <w:r w:rsidRPr="006779A9">
        <w:rPr>
          <w:rFonts w:ascii="Times New Roman" w:hAnsi="Times New Roman" w:eastAsia="Times New Roman" w:cs="Times New Roman"/>
          <w:szCs w:val="20"/>
          <w:lang w:eastAsia="en-GB"/>
        </w:rPr>
        <w:fldChar w:fldCharType="end"/>
      </w:r>
      <w:r w:rsidRPr="006779A9">
        <w:rPr>
          <w:rFonts w:ascii="Times New Roman" w:hAnsi="Times New Roman" w:eastAsia="Times New Roman" w:cs="Times New Roman"/>
          <w:szCs w:val="20"/>
          <w:lang w:eastAsia="en-GB"/>
        </w:rPr>
        <w:t>.  In the Court</w:t>
      </w:r>
      <w:r w:rsidRPr="006779A9" w:rsidR="00A22265">
        <w:rPr>
          <w:rFonts w:ascii="Times New Roman" w:hAnsi="Times New Roman" w:eastAsia="Times New Roman" w:cs="Times New Roman"/>
          <w:szCs w:val="20"/>
          <w:lang w:eastAsia="en-GB"/>
        </w:rPr>
        <w:t>’</w:t>
      </w:r>
      <w:r w:rsidRPr="006779A9">
        <w:rPr>
          <w:rFonts w:ascii="Times New Roman" w:hAnsi="Times New Roman" w:eastAsia="Times New Roman" w:cs="Times New Roman"/>
          <w:szCs w:val="20"/>
          <w:lang w:eastAsia="en-GB"/>
        </w:rPr>
        <w:t>s view, the Spanish administrative authorities should have considered other less drastic measures than</w:t>
      </w:r>
      <w:r w:rsidRPr="006779A9" w:rsidR="00A22265">
        <w:rPr>
          <w:rFonts w:ascii="Times New Roman" w:hAnsi="Times New Roman" w:eastAsia="Times New Roman" w:cs="Times New Roman"/>
          <w:szCs w:val="20"/>
          <w:lang w:eastAsia="en-GB"/>
        </w:rPr>
        <w:t xml:space="preserve"> placing the applicant’s minor daughter in foster care with a view to her adoption and should, in any event, have taken her father’s requests into consideration once his position with regard to the criminal proceedings had been clarified. The Court considers that the role of the social welfare authorities is precisely to help persons in difficulty –</w:t>
      </w:r>
      <w:r w:rsidRPr="006779A9" w:rsidR="00032568">
        <w:rPr>
          <w:rFonts w:ascii="Times New Roman" w:hAnsi="Times New Roman" w:eastAsia="Times New Roman" w:cs="Times New Roman"/>
          <w:szCs w:val="20"/>
          <w:lang w:eastAsia="en-GB"/>
        </w:rPr>
        <w:t xml:space="preserve"> </w:t>
      </w:r>
      <w:r w:rsidRPr="006779A9" w:rsidR="00A22265">
        <w:rPr>
          <w:rFonts w:ascii="Times New Roman" w:hAnsi="Times New Roman" w:eastAsia="Times New Roman" w:cs="Times New Roman"/>
          <w:szCs w:val="20"/>
          <w:lang w:eastAsia="en-GB"/>
        </w:rPr>
        <w:t xml:space="preserve">in particular, in the present case, the children’s mother, who was obliged to take the decision to place her children in care in view of her serious family situation – </w:t>
      </w:r>
      <w:r w:rsidRPr="006779A9" w:rsidR="00032568">
        <w:rPr>
          <w:rFonts w:ascii="Times New Roman" w:hAnsi="Times New Roman" w:eastAsia="Times New Roman" w:cs="Times New Roman"/>
          <w:szCs w:val="20"/>
          <w:lang w:eastAsia="en-GB"/>
        </w:rPr>
        <w:t xml:space="preserve">and </w:t>
      </w:r>
      <w:r w:rsidRPr="006779A9" w:rsidR="00A22265">
        <w:rPr>
          <w:rFonts w:ascii="Times New Roman" w:hAnsi="Times New Roman" w:eastAsia="Times New Roman" w:cs="Times New Roman"/>
          <w:szCs w:val="20"/>
          <w:lang w:eastAsia="en-GB"/>
        </w:rPr>
        <w:t xml:space="preserve">to provide them with guidance and advise them. It also observes that both the Murcia first-instance judge no. 3 in his judgment of 11 February 2015, and the </w:t>
      </w:r>
      <w:r w:rsidRPr="006779A9" w:rsidR="00A22265">
        <w:rPr>
          <w:rFonts w:ascii="Times New Roman" w:hAnsi="Times New Roman" w:eastAsia="Times New Roman" w:cs="Times New Roman"/>
          <w:i/>
          <w:szCs w:val="20"/>
          <w:lang w:eastAsia="en-GB"/>
        </w:rPr>
        <w:t xml:space="preserve">Audiencia Provincial </w:t>
      </w:r>
      <w:r w:rsidRPr="006779A9" w:rsidR="00A22265">
        <w:rPr>
          <w:rFonts w:ascii="Times New Roman" w:hAnsi="Times New Roman" w:eastAsia="Times New Roman" w:cs="Times New Roman"/>
          <w:szCs w:val="20"/>
          <w:lang w:eastAsia="en-GB"/>
        </w:rPr>
        <w:t>in its judgment of 7 April 2016</w:t>
      </w:r>
      <w:r w:rsidRPr="006779A9" w:rsidR="00B34B9D">
        <w:rPr>
          <w:rFonts w:ascii="Times New Roman" w:hAnsi="Times New Roman" w:eastAsia="Times New Roman" w:cs="Times New Roman"/>
          <w:szCs w:val="20"/>
          <w:lang w:eastAsia="en-GB"/>
        </w:rPr>
        <w:t>,</w:t>
      </w:r>
      <w:r w:rsidRPr="006779A9" w:rsidR="00A22265">
        <w:rPr>
          <w:rFonts w:ascii="Times New Roman" w:hAnsi="Times New Roman" w:eastAsia="Times New Roman" w:cs="Times New Roman"/>
          <w:szCs w:val="20"/>
          <w:lang w:eastAsia="en-GB"/>
        </w:rPr>
        <w:t xml:space="preserve"> refused to consider the arguments which the applicant wished to raise </w:t>
      </w:r>
      <w:r w:rsidRPr="006779A9" w:rsidR="00CD4303">
        <w:rPr>
          <w:rFonts w:ascii="Times New Roman" w:hAnsi="Times New Roman" w:eastAsia="Times New Roman" w:cs="Times New Roman"/>
          <w:szCs w:val="20"/>
          <w:lang w:eastAsia="en-GB"/>
        </w:rPr>
        <w:t>against his daughter’s placement</w:t>
      </w:r>
      <w:r w:rsidRPr="006779A9" w:rsidR="003A1780">
        <w:rPr>
          <w:rFonts w:ascii="Times New Roman" w:hAnsi="Times New Roman" w:eastAsia="Times New Roman" w:cs="Times New Roman"/>
          <w:szCs w:val="20"/>
          <w:lang w:eastAsia="en-GB"/>
        </w:rPr>
        <w:t xml:space="preserve"> in foster care with a view to adoption</w:t>
      </w:r>
      <w:r w:rsidRPr="006779A9" w:rsidR="00194838">
        <w:rPr>
          <w:rFonts w:ascii="Times New Roman" w:hAnsi="Times New Roman" w:eastAsia="Times New Roman" w:cs="Times New Roman"/>
          <w:szCs w:val="20"/>
          <w:lang w:eastAsia="en-GB"/>
        </w:rPr>
        <w:t xml:space="preserve"> (see paragraph 26 above)</w:t>
      </w:r>
      <w:r w:rsidRPr="006779A9" w:rsidR="003A1780">
        <w:rPr>
          <w:rFonts w:ascii="Times New Roman" w:hAnsi="Times New Roman" w:eastAsia="Times New Roman" w:cs="Times New Roman"/>
          <w:szCs w:val="20"/>
          <w:lang w:eastAsia="en-GB"/>
        </w:rPr>
        <w:t>,</w:t>
      </w:r>
      <w:r w:rsidRPr="006779A9" w:rsidR="00194838">
        <w:rPr>
          <w:rFonts w:ascii="Times New Roman" w:hAnsi="Times New Roman" w:eastAsia="Times New Roman" w:cs="Times New Roman"/>
          <w:szCs w:val="20"/>
          <w:lang w:eastAsia="en-GB"/>
        </w:rPr>
        <w:t xml:space="preserve"> and merely upheld the decisions </w:t>
      </w:r>
      <w:r w:rsidRPr="006779A9" w:rsidR="00BB2D28">
        <w:rPr>
          <w:rFonts w:ascii="Times New Roman" w:hAnsi="Times New Roman" w:eastAsia="Times New Roman" w:cs="Times New Roman"/>
          <w:szCs w:val="20"/>
          <w:lang w:eastAsia="en-GB"/>
        </w:rPr>
        <w:t>taken</w:t>
      </w:r>
      <w:r w:rsidRPr="006779A9" w:rsidR="00194838">
        <w:rPr>
          <w:rFonts w:ascii="Times New Roman" w:hAnsi="Times New Roman" w:eastAsia="Times New Roman" w:cs="Times New Roman"/>
          <w:szCs w:val="20"/>
          <w:lang w:eastAsia="en-GB"/>
        </w:rPr>
        <w:t xml:space="preserve"> by the administrative authorities</w:t>
      </w:r>
      <w:r w:rsidRPr="006779A9" w:rsidR="00BB2D28">
        <w:rPr>
          <w:rFonts w:ascii="Times New Roman" w:hAnsi="Times New Roman" w:eastAsia="Times New Roman" w:cs="Times New Roman"/>
          <w:szCs w:val="20"/>
          <w:lang w:eastAsia="en-GB"/>
        </w:rPr>
        <w:t xml:space="preserve"> on the basis of the arguments used by the latter, which were reproduced mechanically throughout the subsequent proceedings. In the Court’s view, the administrative authorities simply</w:t>
      </w:r>
      <w:r w:rsidRPr="006779A9" w:rsidR="00194838">
        <w:rPr>
          <w:rFonts w:ascii="Times New Roman" w:hAnsi="Times New Roman" w:eastAsia="Times New Roman" w:cs="Times New Roman"/>
          <w:szCs w:val="20"/>
          <w:lang w:eastAsia="en-GB"/>
        </w:rPr>
        <w:t xml:space="preserve"> reproduced the successive decisions without making any new findings or assessing on the basis of tangible evidence</w:t>
      </w:r>
      <w:r w:rsidRPr="006779A9" w:rsidR="00BB2D28">
        <w:rPr>
          <w:rFonts w:ascii="Times New Roman" w:hAnsi="Times New Roman" w:eastAsia="Times New Roman" w:cs="Times New Roman"/>
          <w:szCs w:val="20"/>
          <w:lang w:eastAsia="en-GB"/>
        </w:rPr>
        <w:t xml:space="preserve"> how the circumstances might have changed</w:t>
      </w:r>
      <w:r w:rsidRPr="006779A9" w:rsidR="00194838">
        <w:rPr>
          <w:rFonts w:ascii="Times New Roman" w:hAnsi="Times New Roman" w:eastAsia="Times New Roman" w:cs="Times New Roman"/>
          <w:szCs w:val="20"/>
          <w:lang w:eastAsia="en-GB"/>
        </w:rPr>
        <w:t xml:space="preserve">. This demonstrated clearly the </w:t>
      </w:r>
      <w:r w:rsidRPr="006779A9" w:rsidR="00BB2D28">
        <w:rPr>
          <w:rFonts w:ascii="Times New Roman" w:hAnsi="Times New Roman" w:eastAsia="Times New Roman" w:cs="Times New Roman"/>
          <w:szCs w:val="20"/>
          <w:lang w:eastAsia="en-GB"/>
        </w:rPr>
        <w:t xml:space="preserve">authorities’ </w:t>
      </w:r>
      <w:r w:rsidRPr="006779A9" w:rsidR="00234F3B">
        <w:rPr>
          <w:rFonts w:ascii="Times New Roman" w:hAnsi="Times New Roman" w:eastAsia="Times New Roman" w:cs="Times New Roman"/>
          <w:szCs w:val="20"/>
          <w:lang w:eastAsia="en-GB"/>
        </w:rPr>
        <w:t>determination</w:t>
      </w:r>
      <w:r w:rsidRPr="006779A9" w:rsidR="00194838">
        <w:rPr>
          <w:rFonts w:ascii="Times New Roman" w:hAnsi="Times New Roman" w:eastAsia="Times New Roman" w:cs="Times New Roman"/>
          <w:szCs w:val="20"/>
          <w:lang w:eastAsia="en-GB"/>
        </w:rPr>
        <w:t xml:space="preserve"> to place the child in a foster family with a view to her adoption.</w:t>
      </w:r>
    </w:p>
    <w:p w:rsidRPr="006779A9" w:rsidR="005956AA" w:rsidP="005956AA" w:rsidRDefault="005956AA" w14:paraId="54EC507F" w14:textId="77777777">
      <w:pPr>
        <w:pStyle w:val="JuPara"/>
        <w:rPr>
          <w:color w:val="0072BC" w:themeColor="background1"/>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69</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8C41DB">
        <w:rPr>
          <w:rFonts w:ascii="Times New Roman" w:hAnsi="Times New Roman" w:eastAsia="Times New Roman" w:cs="Times New Roman"/>
          <w:szCs w:val="20"/>
          <w:lang w:eastAsia="fr-FR"/>
        </w:rPr>
        <w:t xml:space="preserve">The Court points to its case-law cited at paragraph 54 above, according to which Article 8 of the Convention implies </w:t>
      </w:r>
      <w:r w:rsidRPr="006779A9" w:rsidR="00086B9B">
        <w:rPr>
          <w:rFonts w:ascii="Times New Roman" w:hAnsi="Times New Roman" w:eastAsia="Times New Roman" w:cs="Times New Roman"/>
          <w:szCs w:val="20"/>
          <w:lang w:eastAsia="fr-FR"/>
        </w:rPr>
        <w:t>a parent’s right to the taking of measures with a view to being reunited with his or her child and an obligation on the national authorities to take such action</w:t>
      </w:r>
      <w:r w:rsidRPr="006779A9" w:rsidR="008C41DB">
        <w:rPr>
          <w:rFonts w:ascii="Times New Roman" w:hAnsi="Times New Roman" w:eastAsia="Times New Roman" w:cs="Times New Roman"/>
          <w:szCs w:val="20"/>
          <w:lang w:eastAsia="fr-FR"/>
        </w:rPr>
        <w:t xml:space="preserve">. It observes that, despite the applicant’s objection to his daughter’s placement in foster care with a view to adoption (see paragraphs 22 and 26 above), that option was chosen on the sole ground that there had been no contact between the child and her father for several years, although the actual reason for </w:t>
      </w:r>
      <w:r w:rsidRPr="006779A9" w:rsidR="00086B9B">
        <w:rPr>
          <w:rFonts w:ascii="Times New Roman" w:hAnsi="Times New Roman" w:eastAsia="Times New Roman" w:cs="Times New Roman"/>
          <w:szCs w:val="20"/>
          <w:lang w:eastAsia="fr-FR"/>
        </w:rPr>
        <w:t>the discontinuation of contact</w:t>
      </w:r>
      <w:r w:rsidRPr="006779A9" w:rsidR="008C41DB">
        <w:rPr>
          <w:rFonts w:ascii="Times New Roman" w:hAnsi="Times New Roman" w:eastAsia="Times New Roman" w:cs="Times New Roman"/>
          <w:szCs w:val="20"/>
          <w:lang w:eastAsia="fr-FR"/>
        </w:rPr>
        <w:t xml:space="preserve"> was the order made by the Coslada judge no. 1 in response to a complaint of domestic violence. The competent authorities were therefore responsible for the </w:t>
      </w:r>
      <w:r w:rsidRPr="006779A9" w:rsidR="00EF478C">
        <w:rPr>
          <w:rFonts w:ascii="Times New Roman" w:hAnsi="Times New Roman" w:eastAsia="Times New Roman" w:cs="Times New Roman"/>
          <w:szCs w:val="20"/>
          <w:lang w:eastAsia="fr-FR"/>
        </w:rPr>
        <w:t>breakdown in</w:t>
      </w:r>
      <w:r w:rsidRPr="006779A9" w:rsidR="008C41DB">
        <w:rPr>
          <w:rFonts w:ascii="Times New Roman" w:hAnsi="Times New Roman" w:eastAsia="Times New Roman" w:cs="Times New Roman"/>
          <w:szCs w:val="20"/>
          <w:lang w:eastAsia="fr-FR"/>
        </w:rPr>
        <w:t xml:space="preserve"> contact between the applicant and his daughter, at least after the applicant’s acquittal, and </w:t>
      </w:r>
      <w:r w:rsidRPr="006779A9" w:rsidR="00EF478C">
        <w:rPr>
          <w:rFonts w:ascii="Times New Roman" w:hAnsi="Times New Roman" w:eastAsia="Times New Roman" w:cs="Times New Roman"/>
          <w:szCs w:val="20"/>
          <w:lang w:eastAsia="fr-FR"/>
        </w:rPr>
        <w:t xml:space="preserve">failed to fulfil their positive obligation to take measures in order to allow the applicant to enjoy regular contact with the child (see </w:t>
      </w:r>
      <w:r w:rsidRPr="006779A9">
        <w:rPr>
          <w:i/>
        </w:rPr>
        <w:t>Pontes v. Portugal</w:t>
      </w:r>
      <w:r w:rsidRPr="006779A9">
        <w:t>, no.</w:t>
      </w:r>
      <w:r w:rsidR="00F41F99">
        <w:t> </w:t>
      </w:r>
      <w:r w:rsidRPr="006779A9">
        <w:t xml:space="preserve">19554/09, § 92, 10 April 2012). The Court considers that taking a child into care should normally be regarded as a temporary measure to be discontinued as soon as circumstances permit and that any measures of implementation of temporary care should be consistent with the ultimate aim of reuniting the natural parent and the child (see </w:t>
      </w:r>
      <w:r w:rsidRPr="006779A9">
        <w:rPr>
          <w:i/>
        </w:rPr>
        <w:t>Johansen v. Norway</w:t>
      </w:r>
      <w:r w:rsidRPr="006779A9">
        <w:t>, 7</w:t>
      </w:r>
      <w:r w:rsidR="00F41F99">
        <w:t> </w:t>
      </w:r>
      <w:r w:rsidRPr="006779A9">
        <w:t xml:space="preserve">August 1996, § 78, </w:t>
      </w:r>
      <w:r w:rsidRPr="006779A9">
        <w:rPr>
          <w:i/>
        </w:rPr>
        <w:t xml:space="preserve">Reports </w:t>
      </w:r>
      <w:r w:rsidRPr="006779A9">
        <w:t>1996</w:t>
      </w:r>
      <w:r w:rsidRPr="006779A9">
        <w:noBreakHyphen/>
        <w:t>III).</w:t>
      </w:r>
      <w:r w:rsidRPr="006779A9" w:rsidR="00856BAD">
        <w:t xml:space="preserve"> </w:t>
      </w:r>
    </w:p>
    <w:p w:rsidRPr="006779A9" w:rsidR="007B6869" w:rsidP="007B6869" w:rsidRDefault="00A54963" w14:paraId="08D8ECCF"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70</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5956AA">
        <w:rPr>
          <w:rFonts w:ascii="Times New Roman" w:hAnsi="Times New Roman" w:eastAsia="Times New Roman" w:cs="Times New Roman"/>
          <w:szCs w:val="20"/>
          <w:lang w:eastAsia="fr-FR"/>
        </w:rPr>
        <w:t xml:space="preserve">In the Court’s view, consideration of the vulnerability of the applicant’s wife at the time of </w:t>
      </w:r>
      <w:r w:rsidRPr="006779A9" w:rsidR="00086B9B">
        <w:rPr>
          <w:rFonts w:ascii="Times New Roman" w:hAnsi="Times New Roman" w:eastAsia="Times New Roman" w:cs="Times New Roman"/>
          <w:szCs w:val="20"/>
          <w:lang w:eastAsia="fr-FR"/>
        </w:rPr>
        <w:t>her daughter’s</w:t>
      </w:r>
      <w:r w:rsidRPr="006779A9" w:rsidR="005956AA">
        <w:rPr>
          <w:rFonts w:ascii="Times New Roman" w:hAnsi="Times New Roman" w:eastAsia="Times New Roman" w:cs="Times New Roman"/>
          <w:szCs w:val="20"/>
          <w:lang w:eastAsia="fr-FR"/>
        </w:rPr>
        <w:t xml:space="preserve"> placement in care could have made a </w:t>
      </w:r>
      <w:r w:rsidRPr="006779A9" w:rsidR="00086B9B">
        <w:rPr>
          <w:rFonts w:ascii="Times New Roman" w:hAnsi="Times New Roman" w:eastAsia="Times New Roman" w:cs="Times New Roman"/>
          <w:szCs w:val="20"/>
          <w:lang w:eastAsia="fr-FR"/>
        </w:rPr>
        <w:t>key</w:t>
      </w:r>
      <w:r w:rsidRPr="006779A9" w:rsidR="005956AA">
        <w:rPr>
          <w:rFonts w:ascii="Times New Roman" w:hAnsi="Times New Roman" w:eastAsia="Times New Roman" w:cs="Times New Roman"/>
          <w:szCs w:val="20"/>
          <w:lang w:eastAsia="fr-FR"/>
        </w:rPr>
        <w:t xml:space="preserve"> contribution to understanding the situation of the child and her mother. Likewise, the applicant’s final acquittal and the lifting of the prohibition on contact with his children – a prohibition which </w:t>
      </w:r>
      <w:r w:rsidRPr="006779A9" w:rsidR="00726BE9">
        <w:rPr>
          <w:rFonts w:ascii="Times New Roman" w:hAnsi="Times New Roman" w:eastAsia="Times New Roman" w:cs="Times New Roman"/>
          <w:szCs w:val="20"/>
          <w:lang w:eastAsia="fr-FR"/>
        </w:rPr>
        <w:t>was the precise reason for</w:t>
      </w:r>
      <w:r w:rsidRPr="006779A9" w:rsidR="005956AA">
        <w:rPr>
          <w:rFonts w:ascii="Times New Roman" w:hAnsi="Times New Roman" w:eastAsia="Times New Roman" w:cs="Times New Roman"/>
          <w:szCs w:val="20"/>
          <w:lang w:eastAsia="fr-FR"/>
        </w:rPr>
        <w:t xml:space="preserve"> the lack of contact which was held against the applicant – appear not to have been considered by the judge. Instead, the judge merely took into consideration, in his judgment of 11 February 2015, the approval </w:t>
      </w:r>
      <w:r w:rsidRPr="006779A9" w:rsidR="00086B9B">
        <w:rPr>
          <w:rFonts w:ascii="Times New Roman" w:hAnsi="Times New Roman" w:eastAsia="Times New Roman" w:cs="Times New Roman"/>
          <w:szCs w:val="20"/>
          <w:lang w:eastAsia="fr-FR"/>
        </w:rPr>
        <w:t>by</w:t>
      </w:r>
      <w:r w:rsidRPr="006779A9" w:rsidR="005956AA">
        <w:rPr>
          <w:rFonts w:ascii="Times New Roman" w:hAnsi="Times New Roman" w:eastAsia="Times New Roman" w:cs="Times New Roman"/>
          <w:szCs w:val="20"/>
          <w:lang w:eastAsia="fr-FR"/>
        </w:rPr>
        <w:t xml:space="preserve"> the child protection </w:t>
      </w:r>
      <w:r w:rsidRPr="006779A9" w:rsidR="00086B9B">
        <w:rPr>
          <w:rFonts w:ascii="Times New Roman" w:hAnsi="Times New Roman" w:eastAsia="Times New Roman" w:cs="Times New Roman"/>
          <w:szCs w:val="20"/>
          <w:lang w:eastAsia="fr-FR"/>
        </w:rPr>
        <w:t>authority</w:t>
      </w:r>
      <w:r w:rsidRPr="006779A9" w:rsidR="005956AA">
        <w:rPr>
          <w:rFonts w:ascii="Times New Roman" w:hAnsi="Times New Roman" w:eastAsia="Times New Roman" w:cs="Times New Roman"/>
          <w:szCs w:val="20"/>
          <w:lang w:eastAsia="fr-FR"/>
        </w:rPr>
        <w:t xml:space="preserve"> and the foster family </w:t>
      </w:r>
      <w:r w:rsidRPr="006779A9" w:rsidR="007B6869">
        <w:rPr>
          <w:rFonts w:ascii="Times New Roman" w:hAnsi="Times New Roman" w:eastAsia="Times New Roman" w:cs="Times New Roman"/>
          <w:szCs w:val="20"/>
          <w:lang w:eastAsia="fr-FR"/>
        </w:rPr>
        <w:t>of the child’s placement in foster care</w:t>
      </w:r>
      <w:r w:rsidRPr="006779A9" w:rsidR="00086B9B">
        <w:rPr>
          <w:rFonts w:ascii="Times New Roman" w:hAnsi="Times New Roman" w:eastAsia="Times New Roman" w:cs="Times New Roman"/>
          <w:szCs w:val="20"/>
          <w:lang w:eastAsia="fr-FR"/>
        </w:rPr>
        <w:t>,</w:t>
      </w:r>
      <w:r w:rsidRPr="006779A9" w:rsidR="007B6869">
        <w:rPr>
          <w:rFonts w:ascii="Times New Roman" w:hAnsi="Times New Roman" w:eastAsia="Times New Roman" w:cs="Times New Roman"/>
          <w:szCs w:val="20"/>
          <w:lang w:eastAsia="fr-FR"/>
        </w:rPr>
        <w:t xml:space="preserve"> despite the fact that the biological parents had not consented to the move. </w:t>
      </w:r>
      <w:r w:rsidRPr="006779A9">
        <w:rPr>
          <w:rFonts w:ascii="Times New Roman" w:hAnsi="Times New Roman" w:eastAsia="Times New Roman" w:cs="Times New Roman"/>
          <w:szCs w:val="20"/>
          <w:lang w:eastAsia="fr-FR"/>
        </w:rPr>
        <w:t xml:space="preserve">The child protection services, the domestic courts and the Government relied primarily on the reports prepared by the various administrative bodies which had intervened throughout the procedure, and hence also during the period when the applicant was unable to demonstrate his suitability as a father since he was deprived of parental responsibility and criminal proceedings were pending against him. </w:t>
      </w:r>
      <w:r w:rsidRPr="006779A9" w:rsidR="00432245">
        <w:rPr>
          <w:rFonts w:ascii="Times New Roman" w:hAnsi="Times New Roman" w:eastAsia="Times New Roman" w:cs="Times New Roman"/>
          <w:szCs w:val="20"/>
          <w:lang w:eastAsia="fr-FR"/>
        </w:rPr>
        <w:t>T</w:t>
      </w:r>
      <w:r w:rsidRPr="006779A9">
        <w:rPr>
          <w:rFonts w:ascii="Times New Roman" w:hAnsi="Times New Roman" w:eastAsia="Times New Roman" w:cs="Times New Roman"/>
          <w:szCs w:val="20"/>
          <w:lang w:eastAsia="fr-FR"/>
        </w:rPr>
        <w:t>his attitude on the part of the administrative authorities did not change when the applicant was finally acquitted.</w:t>
      </w:r>
    </w:p>
    <w:p w:rsidRPr="006779A9" w:rsidR="00A54963" w:rsidP="004A6EA7" w:rsidRDefault="00CA27C2" w14:paraId="05017E6B" w14:textId="77777777">
      <w:pPr>
        <w:pStyle w:val="JuPara"/>
        <w:rPr>
          <w:rFonts w:ascii="Times New Roman" w:hAnsi="Times New Roman" w:eastAsia="Times New Roman" w:cs="Times New Roman"/>
          <w:szCs w:val="20"/>
          <w:lang w:eastAsia="fr-FR"/>
        </w:rPr>
      </w:pPr>
      <w:r w:rsidRPr="006779A9">
        <w:rPr>
          <w:rFonts w:ascii="Times New Roman" w:hAnsi="Times New Roman" w:eastAsia="Times New Roman" w:cs="Times New Roman"/>
          <w:szCs w:val="20"/>
          <w:lang w:eastAsia="fr-FR"/>
        </w:rPr>
        <w:fldChar w:fldCharType="begin"/>
      </w:r>
      <w:r w:rsidRPr="006779A9">
        <w:rPr>
          <w:rFonts w:ascii="Times New Roman" w:hAnsi="Times New Roman" w:eastAsia="Times New Roman" w:cs="Times New Roman"/>
          <w:szCs w:val="20"/>
          <w:lang w:eastAsia="fr-FR"/>
        </w:rPr>
        <w:instrText xml:space="preserve"> SEQ level0 \*arabic </w:instrText>
      </w:r>
      <w:r w:rsidRPr="006779A9">
        <w:rPr>
          <w:rFonts w:ascii="Times New Roman" w:hAnsi="Times New Roman" w:eastAsia="Times New Roman" w:cs="Times New Roman"/>
          <w:szCs w:val="20"/>
          <w:lang w:eastAsia="fr-FR"/>
        </w:rPr>
        <w:fldChar w:fldCharType="separate"/>
      </w:r>
      <w:r w:rsidR="00830BEA">
        <w:rPr>
          <w:rFonts w:ascii="Times New Roman" w:hAnsi="Times New Roman" w:eastAsia="Times New Roman" w:cs="Times New Roman"/>
          <w:noProof/>
          <w:szCs w:val="20"/>
          <w:lang w:eastAsia="fr-FR"/>
        </w:rPr>
        <w:t>71</w:t>
      </w:r>
      <w:r w:rsidRPr="006779A9">
        <w:rPr>
          <w:rFonts w:ascii="Times New Roman" w:hAnsi="Times New Roman" w:eastAsia="Times New Roman" w:cs="Times New Roman"/>
          <w:szCs w:val="20"/>
          <w:lang w:eastAsia="fr-FR"/>
        </w:rPr>
        <w:fldChar w:fldCharType="end"/>
      </w:r>
      <w:r w:rsidRPr="006779A9">
        <w:rPr>
          <w:rFonts w:ascii="Times New Roman" w:hAnsi="Times New Roman" w:eastAsia="Times New Roman" w:cs="Times New Roman"/>
          <w:szCs w:val="20"/>
          <w:lang w:eastAsia="fr-FR"/>
        </w:rPr>
        <w:t>.  </w:t>
      </w:r>
      <w:r w:rsidRPr="006779A9" w:rsidR="00A54963">
        <w:rPr>
          <w:rFonts w:ascii="Times New Roman" w:hAnsi="Times New Roman" w:eastAsia="Times New Roman" w:cs="Times New Roman"/>
          <w:szCs w:val="20"/>
          <w:lang w:eastAsia="fr-FR"/>
        </w:rPr>
        <w:t xml:space="preserve">The Court also notes that the </w:t>
      </w:r>
      <w:r w:rsidRPr="006779A9" w:rsidR="008C00EF">
        <w:rPr>
          <w:rFonts w:ascii="Times New Roman" w:hAnsi="Times New Roman" w:eastAsia="Times New Roman" w:cs="Times New Roman"/>
          <w:szCs w:val="20"/>
          <w:lang w:eastAsia="fr-FR"/>
        </w:rPr>
        <w:t>orientation report</w:t>
      </w:r>
      <w:r w:rsidRPr="006779A9" w:rsidR="00A54963">
        <w:rPr>
          <w:rFonts w:ascii="Times New Roman" w:hAnsi="Times New Roman" w:eastAsia="Times New Roman" w:cs="Times New Roman"/>
          <w:szCs w:val="20"/>
          <w:lang w:eastAsia="fr-FR"/>
        </w:rPr>
        <w:t xml:space="preserve"> issued by the child protection department </w:t>
      </w:r>
      <w:r w:rsidRPr="006779A9" w:rsidR="008C00EF">
        <w:rPr>
          <w:rFonts w:ascii="Times New Roman" w:hAnsi="Times New Roman" w:eastAsia="Times New Roman" w:cs="Times New Roman"/>
          <w:szCs w:val="20"/>
          <w:lang w:eastAsia="fr-FR"/>
        </w:rPr>
        <w:t xml:space="preserve">on 28 February 2014 </w:t>
      </w:r>
      <w:r w:rsidRPr="006779A9" w:rsidR="00A54963">
        <w:rPr>
          <w:rFonts w:ascii="Times New Roman" w:hAnsi="Times New Roman" w:eastAsia="Times New Roman" w:cs="Times New Roman"/>
          <w:szCs w:val="20"/>
          <w:lang w:eastAsia="fr-FR"/>
        </w:rPr>
        <w:t xml:space="preserve">concluded that the applicant should not be allowed to visit his daughter </w:t>
      </w:r>
      <w:r w:rsidRPr="006779A9" w:rsidR="00726BE9">
        <w:rPr>
          <w:rFonts w:ascii="Times New Roman" w:hAnsi="Times New Roman" w:eastAsia="Times New Roman" w:cs="Times New Roman"/>
          <w:szCs w:val="20"/>
          <w:lang w:eastAsia="fr-FR"/>
        </w:rPr>
        <w:t>because</w:t>
      </w:r>
      <w:r w:rsidRPr="006779A9" w:rsidR="00A54963">
        <w:rPr>
          <w:rFonts w:ascii="Times New Roman" w:hAnsi="Times New Roman" w:eastAsia="Times New Roman" w:cs="Times New Roman"/>
          <w:szCs w:val="20"/>
          <w:lang w:eastAsia="fr-FR"/>
        </w:rPr>
        <w:t xml:space="preserve"> </w:t>
      </w:r>
      <w:r w:rsidRPr="006779A9">
        <w:rPr>
          <w:rFonts w:ascii="Times New Roman" w:hAnsi="Times New Roman" w:eastAsia="Times New Roman" w:cs="Times New Roman"/>
          <w:szCs w:val="20"/>
          <w:lang w:eastAsia="fr-FR"/>
        </w:rPr>
        <w:t>almost two years had elapsed since she had been placed in care and they had not seen each other at all during that time. According to this report, the child had “</w:t>
      </w:r>
      <w:r w:rsidRPr="006779A9">
        <w:t xml:space="preserve">adjusted very well during the pre-adoption fostering process” (see paragraph 21 above). It is worth emphasising that, while the report noted that the other two children still showed signs of “fear and a lack of trust where their father [was] concerned”, the applicant was quickly able to </w:t>
      </w:r>
      <w:r w:rsidRPr="006779A9" w:rsidR="00432245">
        <w:t>regain</w:t>
      </w:r>
      <w:r w:rsidRPr="006779A9">
        <w:t xml:space="preserve"> custody of his sons, who had not undergone a pre-adoption process.</w:t>
      </w:r>
    </w:p>
    <w:p w:rsidRPr="006779A9" w:rsidR="00104C1A" w:rsidP="004A6EA7" w:rsidRDefault="00CA27C2" w14:paraId="255B91B6" w14:textId="77777777">
      <w:pPr>
        <w:pStyle w:val="JuPara"/>
      </w:pPr>
      <w:r w:rsidRPr="006779A9">
        <w:fldChar w:fldCharType="begin"/>
      </w:r>
      <w:r w:rsidRPr="006779A9">
        <w:instrText xml:space="preserve"> SEQ level0 \*arabic </w:instrText>
      </w:r>
      <w:r w:rsidRPr="006779A9">
        <w:fldChar w:fldCharType="separate"/>
      </w:r>
      <w:r w:rsidR="00830BEA">
        <w:rPr>
          <w:noProof/>
        </w:rPr>
        <w:t>72</w:t>
      </w:r>
      <w:r w:rsidRPr="006779A9">
        <w:fldChar w:fldCharType="end"/>
      </w:r>
      <w:r w:rsidRPr="006779A9">
        <w:t xml:space="preserve">.  In the Court’s view, the procedure should have been </w:t>
      </w:r>
      <w:r w:rsidRPr="006779A9" w:rsidR="00726BE9">
        <w:t>accompanied</w:t>
      </w:r>
      <w:r w:rsidRPr="006779A9">
        <w:t xml:space="preserve"> by appropriate safeguards to protect the applicant’s rights and take his interests into account. </w:t>
      </w:r>
      <w:r w:rsidRPr="006779A9" w:rsidR="00104C1A">
        <w:t xml:space="preserve">Hence, the length of time that elapsed – a consequence of the administrative authorities’ inaction – coupled with the inaction of the domestic courts, which did not </w:t>
      </w:r>
      <w:r w:rsidRPr="006779A9" w:rsidR="008C00EF">
        <w:t>regard as</w:t>
      </w:r>
      <w:r w:rsidRPr="006779A9" w:rsidR="00104C1A">
        <w:t xml:space="preserve"> unreasonable the </w:t>
      </w:r>
      <w:r w:rsidRPr="006779A9" w:rsidR="008C00EF">
        <w:t>reasons</w:t>
      </w:r>
      <w:r w:rsidRPr="006779A9" w:rsidR="00104C1A">
        <w:t xml:space="preserve"> advanced by the authorities for depriving a father of his daughter on the sole </w:t>
      </w:r>
      <w:r w:rsidRPr="006779A9" w:rsidR="008C00EF">
        <w:t>basis</w:t>
      </w:r>
      <w:r w:rsidRPr="006779A9" w:rsidR="00104C1A">
        <w:t xml:space="preserve"> </w:t>
      </w:r>
      <w:r w:rsidRPr="006779A9" w:rsidR="008C00EF">
        <w:t>of the lack of</w:t>
      </w:r>
      <w:r w:rsidRPr="006779A9" w:rsidR="00104C1A">
        <w:t xml:space="preserve"> contact between them (such contact having been prohibited by court order)</w:t>
      </w:r>
      <w:r w:rsidRPr="006779A9" w:rsidR="00432245">
        <w:t>,</w:t>
      </w:r>
      <w:r w:rsidRPr="006779A9" w:rsidR="00104C1A">
        <w:t xml:space="preserve"> were decisive factors in precluding any possibility of the applicant and his daughter being reunited as a family.</w:t>
      </w:r>
    </w:p>
    <w:p w:rsidRPr="006779A9" w:rsidR="00104C1A" w:rsidP="004A6EA7" w:rsidRDefault="00CA27C2" w14:paraId="44F1A77E" w14:textId="77777777">
      <w:pPr>
        <w:pStyle w:val="JuPara"/>
      </w:pPr>
      <w:r w:rsidRPr="006779A9">
        <w:fldChar w:fldCharType="begin"/>
      </w:r>
      <w:r w:rsidRPr="006779A9">
        <w:instrText xml:space="preserve"> SEQ level0 \*arabic </w:instrText>
      </w:r>
      <w:r w:rsidRPr="006779A9">
        <w:fldChar w:fldCharType="separate"/>
      </w:r>
      <w:r w:rsidR="00830BEA">
        <w:rPr>
          <w:noProof/>
        </w:rPr>
        <w:t>73</w:t>
      </w:r>
      <w:r w:rsidRPr="006779A9">
        <w:fldChar w:fldCharType="end"/>
      </w:r>
      <w:r w:rsidRPr="006779A9">
        <w:t>.  </w:t>
      </w:r>
      <w:r w:rsidRPr="006779A9" w:rsidR="00104C1A">
        <w:t xml:space="preserve">In view of these considerations and notwithstanding the margin of appreciation enjoyed by the respondent State in the matter, the Court concludes that the Spanish authorities failed to </w:t>
      </w:r>
      <w:r w:rsidRPr="006779A9" w:rsidR="008C00EF">
        <w:t>take</w:t>
      </w:r>
      <w:r w:rsidRPr="006779A9" w:rsidR="00104C1A">
        <w:t xml:space="preserve"> </w:t>
      </w:r>
      <w:r w:rsidRPr="006779A9" w:rsidR="008C00EF">
        <w:t>adequate</w:t>
      </w:r>
      <w:r w:rsidRPr="006779A9" w:rsidR="00104C1A">
        <w:t xml:space="preserve"> and sufficient </w:t>
      </w:r>
      <w:r w:rsidRPr="006779A9" w:rsidR="008C00EF">
        <w:t>steps</w:t>
      </w:r>
      <w:r w:rsidRPr="006779A9" w:rsidR="00104C1A">
        <w:t xml:space="preserve"> to secure the applicant’s right to live with his child together with the child’s brothers, in breach of his right to respect for his private and family life under Article 8 of the Convention.</w:t>
      </w:r>
    </w:p>
    <w:p w:rsidRPr="006779A9" w:rsidR="004A6EA7" w:rsidP="004A6EA7" w:rsidRDefault="004A6EA7" w14:paraId="05B36558" w14:textId="77777777">
      <w:pPr>
        <w:pStyle w:val="JuPara"/>
      </w:pPr>
      <w:r w:rsidRPr="006779A9">
        <w:fldChar w:fldCharType="begin"/>
      </w:r>
      <w:r w:rsidRPr="006779A9">
        <w:instrText xml:space="preserve"> SEQ level0 \*arabic </w:instrText>
      </w:r>
      <w:r w:rsidRPr="006779A9">
        <w:fldChar w:fldCharType="separate"/>
      </w:r>
      <w:r w:rsidR="00830BEA">
        <w:rPr>
          <w:noProof/>
        </w:rPr>
        <w:t>74</w:t>
      </w:r>
      <w:r w:rsidRPr="006779A9">
        <w:fldChar w:fldCharType="end"/>
      </w:r>
      <w:r w:rsidRPr="006779A9">
        <w:t>.  </w:t>
      </w:r>
      <w:r w:rsidRPr="006779A9" w:rsidR="00104C1A">
        <w:t>There has therefore been a violation of Article</w:t>
      </w:r>
      <w:r w:rsidRPr="006779A9">
        <w:t xml:space="preserve"> 8.</w:t>
      </w:r>
    </w:p>
    <w:p w:rsidRPr="006779A9" w:rsidR="00085C12" w:rsidP="00085C12" w:rsidRDefault="00085C12" w14:paraId="4E4388E8" w14:textId="77777777">
      <w:pPr>
        <w:pStyle w:val="JuHIRoman"/>
        <w:numPr>
          <w:ilvl w:val="1"/>
          <w:numId w:val="22"/>
        </w:numPr>
        <w:jc w:val="left"/>
      </w:pPr>
      <w:r w:rsidRPr="006779A9">
        <w:t>APPLICATION OF ARTICLE 41 OF THE CONVENTION</w:t>
      </w:r>
    </w:p>
    <w:p w:rsidRPr="006779A9" w:rsidR="00085C12" w:rsidP="00085C12" w:rsidRDefault="00085C12" w14:paraId="0FE7FF01" w14:textId="77777777">
      <w:pPr>
        <w:pStyle w:val="JuPara"/>
      </w:pPr>
      <w:r w:rsidRPr="006779A9">
        <w:fldChar w:fldCharType="begin"/>
      </w:r>
      <w:r w:rsidRPr="006779A9">
        <w:instrText xml:space="preserve"> SEQ level0 \*arabic </w:instrText>
      </w:r>
      <w:r w:rsidRPr="006779A9">
        <w:fldChar w:fldCharType="separate"/>
      </w:r>
      <w:r w:rsidR="00830BEA">
        <w:rPr>
          <w:noProof/>
        </w:rPr>
        <w:t>75</w:t>
      </w:r>
      <w:r w:rsidRPr="006779A9">
        <w:fldChar w:fldCharType="end"/>
      </w:r>
      <w:r w:rsidRPr="006779A9">
        <w:t>.  Article 41 of the Convention provides:</w:t>
      </w:r>
    </w:p>
    <w:p w:rsidRPr="006779A9" w:rsidR="00085C12" w:rsidP="00085C12" w:rsidRDefault="00085C12" w14:paraId="522E9138" w14:textId="77777777">
      <w:pPr>
        <w:pStyle w:val="JuQuot"/>
      </w:pPr>
      <w:r w:rsidRPr="006779A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779A9" w:rsidR="00085C12" w:rsidP="007E5812" w:rsidRDefault="00085C12" w14:paraId="5F85F299" w14:textId="77777777">
      <w:pPr>
        <w:pStyle w:val="JuHA"/>
        <w:numPr>
          <w:ilvl w:val="0"/>
          <w:numId w:val="0"/>
        </w:numPr>
        <w:ind w:left="232"/>
        <w:jc w:val="left"/>
      </w:pPr>
      <w:r w:rsidRPr="006779A9">
        <w:t>Damage</w:t>
      </w:r>
    </w:p>
    <w:p w:rsidRPr="006779A9" w:rsidR="00104C1A" w:rsidP="007E5812" w:rsidRDefault="00CA27C2" w14:paraId="30B8CEF2" w14:textId="77777777">
      <w:pPr>
        <w:pStyle w:val="JuPara"/>
      </w:pPr>
      <w:r w:rsidRPr="006779A9">
        <w:fldChar w:fldCharType="begin"/>
      </w:r>
      <w:r w:rsidRPr="006779A9">
        <w:instrText xml:space="preserve"> SEQ level0 \*arabic </w:instrText>
      </w:r>
      <w:r w:rsidRPr="006779A9">
        <w:fldChar w:fldCharType="separate"/>
      </w:r>
      <w:r w:rsidR="00830BEA">
        <w:rPr>
          <w:noProof/>
        </w:rPr>
        <w:t>76</w:t>
      </w:r>
      <w:r w:rsidRPr="006779A9">
        <w:fldChar w:fldCharType="end"/>
      </w:r>
      <w:r w:rsidRPr="006779A9">
        <w:t>.  </w:t>
      </w:r>
      <w:r w:rsidRPr="006779A9" w:rsidR="00104C1A">
        <w:t>The applicant sought to have his daughter returned to him.</w:t>
      </w:r>
    </w:p>
    <w:p w:rsidRPr="006779A9" w:rsidR="00104C1A" w:rsidP="007E5812" w:rsidRDefault="00CA27C2" w14:paraId="3CE7DAF4" w14:textId="77777777">
      <w:pPr>
        <w:pStyle w:val="JuPara"/>
      </w:pPr>
      <w:r w:rsidRPr="006779A9">
        <w:fldChar w:fldCharType="begin"/>
      </w:r>
      <w:r w:rsidRPr="006779A9">
        <w:instrText xml:space="preserve"> SEQ level0 \*arabic </w:instrText>
      </w:r>
      <w:r w:rsidRPr="006779A9">
        <w:fldChar w:fldCharType="separate"/>
      </w:r>
      <w:r w:rsidR="00830BEA">
        <w:rPr>
          <w:noProof/>
        </w:rPr>
        <w:t>77</w:t>
      </w:r>
      <w:r w:rsidRPr="006779A9">
        <w:fldChar w:fldCharType="end"/>
      </w:r>
      <w:r w:rsidRPr="006779A9">
        <w:t>.  </w:t>
      </w:r>
      <w:r w:rsidRPr="006779A9" w:rsidR="00104C1A">
        <w:t>The Government did not comment on the applicant’s claim for just satisfaction.</w:t>
      </w:r>
    </w:p>
    <w:p w:rsidRPr="006779A9" w:rsidR="00513B23" w:rsidP="00513B23" w:rsidRDefault="00CA27C2" w14:paraId="25C78F98" w14:textId="77777777">
      <w:pPr>
        <w:pStyle w:val="JuPara"/>
      </w:pPr>
      <w:r w:rsidRPr="006779A9">
        <w:fldChar w:fldCharType="begin"/>
      </w:r>
      <w:r w:rsidRPr="006779A9">
        <w:instrText xml:space="preserve"> SEQ level0 \*arabic </w:instrText>
      </w:r>
      <w:r w:rsidRPr="006779A9">
        <w:fldChar w:fldCharType="separate"/>
      </w:r>
      <w:r w:rsidR="00830BEA">
        <w:rPr>
          <w:noProof/>
        </w:rPr>
        <w:t>78</w:t>
      </w:r>
      <w:r w:rsidRPr="006779A9">
        <w:fldChar w:fldCharType="end"/>
      </w:r>
      <w:r w:rsidRPr="006779A9">
        <w:t>.  </w:t>
      </w:r>
      <w:r w:rsidRPr="006779A9" w:rsidR="00104C1A">
        <w:t xml:space="preserve">The Court considers, in the particular circumstances of the case, that it is not its place as such to act on this request. It </w:t>
      </w:r>
      <w:r w:rsidRPr="006779A9" w:rsidR="00726BE9">
        <w:t>reiterates</w:t>
      </w:r>
      <w:r w:rsidRPr="006779A9" w:rsidR="00104C1A">
        <w:t xml:space="preserve"> that</w:t>
      </w:r>
      <w:r w:rsidRPr="006779A9" w:rsidR="000D75BE">
        <w:t>,</w:t>
      </w:r>
      <w:r w:rsidRPr="006779A9" w:rsidR="00104C1A">
        <w:t xml:space="preserve"> </w:t>
      </w:r>
      <w:r w:rsidRPr="006779A9" w:rsidR="000D75BE">
        <w:t xml:space="preserve">subject to monitoring by the Committee of Ministers, the respondent State remains free in principle to choose the means by which it will discharge its obligations under Article 46 § 1 of the Convention, provided that such means are compatible with the conclusions set out in the Court’s judgment (see </w:t>
      </w:r>
      <w:r w:rsidRPr="006779A9" w:rsidR="00513B23">
        <w:rPr>
          <w:i/>
        </w:rPr>
        <w:t>Verein gegen Tierfabriken Schweiz (VgT) v. Switzerland (no. 2)</w:t>
      </w:r>
      <w:r w:rsidRPr="006779A9" w:rsidR="00513B23">
        <w:t xml:space="preserve"> [GC], no. 32772/02, § 88, ECHR 2009; </w:t>
      </w:r>
      <w:r w:rsidRPr="006779A9" w:rsidR="00513B23">
        <w:rPr>
          <w:i/>
        </w:rPr>
        <w:t>Ferré Gisbert v. Spain</w:t>
      </w:r>
      <w:r w:rsidRPr="006779A9" w:rsidR="00513B23">
        <w:t>, no. 39590/05, §</w:t>
      </w:r>
      <w:r w:rsidR="00F41F99">
        <w:t> </w:t>
      </w:r>
      <w:r w:rsidRPr="006779A9" w:rsidR="00513B23">
        <w:t xml:space="preserve">46, 13 October 2009; and </w:t>
      </w:r>
      <w:r w:rsidRPr="006779A9" w:rsidR="00513B23">
        <w:rPr>
          <w:i/>
        </w:rPr>
        <w:t>Bondavalli v. Italy</w:t>
      </w:r>
      <w:r w:rsidRPr="006779A9" w:rsidR="00513B23">
        <w:t>, no. 35532/12, § 91, 17</w:t>
      </w:r>
      <w:r w:rsidR="00F41F99">
        <w:t> </w:t>
      </w:r>
      <w:r w:rsidRPr="006779A9" w:rsidR="00513B23">
        <w:t xml:space="preserve">November 2015). The Court refers in any </w:t>
      </w:r>
      <w:r w:rsidRPr="006779A9" w:rsidR="00A55034">
        <w:t>event</w:t>
      </w:r>
      <w:r w:rsidRPr="006779A9" w:rsidR="00513B23">
        <w:t xml:space="preserve"> to the requirements of promptness referred to in paragraph 72 above. </w:t>
      </w:r>
    </w:p>
    <w:p w:rsidRPr="006779A9" w:rsidR="0018033E" w:rsidP="0018033E" w:rsidRDefault="00CA27C2" w14:paraId="73DC8299" w14:textId="77777777">
      <w:pPr>
        <w:pStyle w:val="JuPara"/>
      </w:pPr>
      <w:r w:rsidRPr="006779A9">
        <w:fldChar w:fldCharType="begin"/>
      </w:r>
      <w:r w:rsidRPr="006779A9">
        <w:instrText xml:space="preserve"> SEQ level0 \*arabic </w:instrText>
      </w:r>
      <w:r w:rsidRPr="006779A9">
        <w:fldChar w:fldCharType="separate"/>
      </w:r>
      <w:r w:rsidR="00830BEA">
        <w:rPr>
          <w:noProof/>
        </w:rPr>
        <w:t>79</w:t>
      </w:r>
      <w:r w:rsidRPr="006779A9">
        <w:fldChar w:fldCharType="end"/>
      </w:r>
      <w:r w:rsidRPr="006779A9">
        <w:t>.  </w:t>
      </w:r>
      <w:r w:rsidRPr="006779A9" w:rsidR="00513B23">
        <w:t xml:space="preserve">Nevertheless, in view of the specific circumstances of the present case and the urgent need to put an end to the violation of the applicant’s right to respect for his family life, the Court </w:t>
      </w:r>
      <w:r w:rsidRPr="006779A9" w:rsidR="00A55034">
        <w:t>asks</w:t>
      </w:r>
      <w:r w:rsidRPr="006779A9" w:rsidR="00513B23">
        <w:t xml:space="preserve"> the domestic authorities to re-examine, in a timely manner, the situation of the applicant and his minor daughter in the light of the present judgment</w:t>
      </w:r>
      <w:r w:rsidRPr="006779A9" w:rsidR="00432245">
        <w:t>,</w:t>
      </w:r>
      <w:r w:rsidRPr="006779A9" w:rsidR="00513B23">
        <w:t xml:space="preserve"> and </w:t>
      </w:r>
      <w:r w:rsidRPr="006779A9" w:rsidR="0018033E">
        <w:t xml:space="preserve">the possibility of establishing some form of contact between them taking into consideration the child’s current situation and her best interests, and </w:t>
      </w:r>
      <w:r w:rsidRPr="006779A9" w:rsidR="00513B23">
        <w:t xml:space="preserve">to take </w:t>
      </w:r>
      <w:r w:rsidRPr="006779A9" w:rsidR="00A55034">
        <w:t>any other measures that may be</w:t>
      </w:r>
      <w:r w:rsidRPr="006779A9" w:rsidR="00513B23">
        <w:t xml:space="preserve"> appropriate in the child’s best interests</w:t>
      </w:r>
      <w:r w:rsidRPr="006779A9" w:rsidR="0018033E">
        <w:t xml:space="preserve"> (see </w:t>
      </w:r>
      <w:r w:rsidRPr="006779A9" w:rsidR="0018033E">
        <w:rPr>
          <w:i/>
        </w:rPr>
        <w:t>Soares de Melo v. Portugal</w:t>
      </w:r>
      <w:r w:rsidRPr="006779A9" w:rsidR="0018033E">
        <w:t xml:space="preserve">, no. 72850/14, § 130, 16 February 2016; </w:t>
      </w:r>
      <w:r w:rsidRPr="006779A9" w:rsidR="0018033E">
        <w:rPr>
          <w:i/>
          <w:iCs/>
        </w:rPr>
        <w:t>Bondavalli</w:t>
      </w:r>
      <w:r w:rsidRPr="006779A9" w:rsidR="0018033E">
        <w:t xml:space="preserve">, cited above, § 83; and </w:t>
      </w:r>
      <w:r w:rsidRPr="006779A9" w:rsidR="0018033E">
        <w:rPr>
          <w:i/>
        </w:rPr>
        <w:t>Ageyevy v. Russia</w:t>
      </w:r>
      <w:r w:rsidRPr="006779A9" w:rsidR="0018033E">
        <w:t>, no. 7075/10, § 244, 18 April 2013).</w:t>
      </w:r>
    </w:p>
    <w:p w:rsidRPr="006779A9" w:rsidR="00B111E2" w:rsidP="00B111E2" w:rsidRDefault="00CA27C2" w14:paraId="6D8B1340" w14:textId="77777777">
      <w:pPr>
        <w:pStyle w:val="JuPara"/>
      </w:pPr>
      <w:r w:rsidRPr="006779A9">
        <w:fldChar w:fldCharType="begin"/>
      </w:r>
      <w:r w:rsidRPr="006779A9">
        <w:instrText xml:space="preserve"> SEQ level0 \*arabic </w:instrText>
      </w:r>
      <w:r w:rsidRPr="006779A9">
        <w:fldChar w:fldCharType="separate"/>
      </w:r>
      <w:r w:rsidR="00830BEA">
        <w:rPr>
          <w:noProof/>
        </w:rPr>
        <w:t>80</w:t>
      </w:r>
      <w:r w:rsidRPr="006779A9">
        <w:fldChar w:fldCharType="end"/>
      </w:r>
      <w:r w:rsidRPr="006779A9">
        <w:t>.  </w:t>
      </w:r>
      <w:r w:rsidRPr="006779A9" w:rsidR="0018033E">
        <w:t xml:space="preserve">The Court considers that the most appropriate form of redress for a violation of Article 8 of the Convention in a case such as the present one, where the decision-making process by the administrative authorities and the domestic courts is liable to result in the adoption of the applicant’s daughter by her foster family, would be to ensure that the applicant, as far as possible, is put in the position in which he would have been had this provision not been disregarded (see </w:t>
      </w:r>
      <w:r w:rsidRPr="006779A9" w:rsidR="0018033E">
        <w:rPr>
          <w:i/>
          <w:iCs/>
        </w:rPr>
        <w:t>Atutxa Mendiola and Others v. Spain</w:t>
      </w:r>
      <w:r w:rsidRPr="006779A9" w:rsidR="0018033E">
        <w:t xml:space="preserve">, no. 41427/14, § 51, 13 June 2017, and </w:t>
      </w:r>
      <w:r w:rsidRPr="006779A9" w:rsidR="00B111E2">
        <w:rPr>
          <w:i/>
          <w:iCs/>
        </w:rPr>
        <w:t>Otegi Mondragon v. Spain</w:t>
      </w:r>
      <w:r w:rsidRPr="006779A9" w:rsidR="00B111E2">
        <w:rPr>
          <w:lang w:eastAsia="en-GB"/>
        </w:rPr>
        <w:t>, nos.</w:t>
      </w:r>
      <w:r w:rsidR="00F41F99">
        <w:t> </w:t>
      </w:r>
      <w:r w:rsidRPr="006779A9" w:rsidR="00B111E2">
        <w:t>4184/15 and 4 others</w:t>
      </w:r>
      <w:r w:rsidRPr="006779A9" w:rsidR="00B111E2">
        <w:rPr>
          <w:lang w:eastAsia="en-GB"/>
        </w:rPr>
        <w:t xml:space="preserve">, </w:t>
      </w:r>
      <w:r w:rsidRPr="006779A9" w:rsidR="00B111E2">
        <w:t xml:space="preserve">§§ 74 and 75, 6 November 2018). It notes that domestic law provides for the possibility of reviewing final decisions which have been declared in breach of Convention rights by a judgment of the Court, </w:t>
      </w:r>
      <w:r w:rsidRPr="006779A9" w:rsidR="00726BE9">
        <w:t>under</w:t>
      </w:r>
      <w:r w:rsidRPr="006779A9" w:rsidR="00B111E2">
        <w:t xml:space="preserve"> Articles 510 and 511 of the Code of Civil Procedure, “provided that this does not adversely affect the rights acquired in good faith by third parties”. </w:t>
      </w:r>
    </w:p>
    <w:p w:rsidRPr="006779A9" w:rsidR="007E5812" w:rsidP="007E5812" w:rsidRDefault="007E5812" w14:paraId="0B6E7F35" w14:textId="77777777">
      <w:pPr>
        <w:pStyle w:val="JuPara"/>
      </w:pPr>
    </w:p>
    <w:p w:rsidRPr="006779A9" w:rsidR="00085C12" w:rsidP="00085C12" w:rsidRDefault="00085C12" w14:paraId="2912B899" w14:textId="77777777">
      <w:pPr>
        <w:pStyle w:val="JuHHead"/>
        <w:numPr>
          <w:ilvl w:val="0"/>
          <w:numId w:val="22"/>
        </w:numPr>
        <w:jc w:val="left"/>
      </w:pPr>
      <w:r w:rsidRPr="006779A9">
        <w:t>FOR THESE REASONS, THE COURT, UNANIMOUSLY,</w:t>
      </w:r>
    </w:p>
    <w:p w:rsidRPr="006779A9" w:rsidR="00085C12" w:rsidP="00085C12" w:rsidRDefault="004A6EA7" w14:paraId="4E407CBB" w14:textId="77777777">
      <w:pPr>
        <w:pStyle w:val="JuList"/>
        <w:ind w:left="0" w:firstLine="0"/>
      </w:pPr>
      <w:r w:rsidRPr="006779A9">
        <w:rPr>
          <w:i/>
        </w:rPr>
        <w:t>Declares</w:t>
      </w:r>
      <w:r w:rsidRPr="006779A9" w:rsidR="00085C12">
        <w:rPr>
          <w:i/>
        </w:rPr>
        <w:t xml:space="preserve"> </w:t>
      </w:r>
      <w:r w:rsidRPr="006779A9" w:rsidR="00085C12">
        <w:t xml:space="preserve"> the </w:t>
      </w:r>
      <w:r w:rsidRPr="006779A9">
        <w:t>application admissible</w:t>
      </w:r>
      <w:r w:rsidRPr="006779A9" w:rsidR="00085C12">
        <w:t>;</w:t>
      </w:r>
    </w:p>
    <w:p w:rsidRPr="006779A9" w:rsidR="00085C12" w:rsidP="00085C12" w:rsidRDefault="00085C12" w14:paraId="1AFDDFC9" w14:textId="77777777">
      <w:pPr>
        <w:pStyle w:val="JuList"/>
      </w:pPr>
      <w:r w:rsidRPr="006779A9">
        <w:rPr>
          <w:i/>
        </w:rPr>
        <w:t>Holds</w:t>
      </w:r>
      <w:r w:rsidRPr="006779A9">
        <w:t xml:space="preserve"> that there has been a violation of Article </w:t>
      </w:r>
      <w:r w:rsidRPr="006779A9" w:rsidR="004A6EA7">
        <w:t>8</w:t>
      </w:r>
      <w:r w:rsidRPr="006779A9">
        <w:t xml:space="preserve"> of the Convention;</w:t>
      </w:r>
    </w:p>
    <w:p w:rsidRPr="006779A9" w:rsidR="00085C12" w:rsidP="004A6EA7" w:rsidRDefault="00085C12" w14:paraId="187EF14C" w14:textId="77777777">
      <w:pPr>
        <w:pStyle w:val="JuList"/>
      </w:pPr>
      <w:r w:rsidRPr="006779A9">
        <w:rPr>
          <w:i/>
        </w:rPr>
        <w:t>Holds</w:t>
      </w:r>
      <w:r w:rsidRPr="006779A9">
        <w:t xml:space="preserve"> </w:t>
      </w:r>
      <w:r w:rsidRPr="006779A9" w:rsidR="00A55034">
        <w:t xml:space="preserve">that it is desirable, in view of the specific circumstances of the present case and the urgent need to put an end to the violation of the applicant’s right to respect for his family life, </w:t>
      </w:r>
      <w:r w:rsidRPr="006779A9" w:rsidR="007E3D71">
        <w:t>for the</w:t>
      </w:r>
      <w:r w:rsidRPr="006779A9" w:rsidR="00A55034">
        <w:t xml:space="preserve"> domestic authorities to re-examine, in a timely manner, the situation of the applicant and his minor daughter in the light of the present judgment and to take </w:t>
      </w:r>
      <w:r w:rsidRPr="006779A9" w:rsidR="007E3D71">
        <w:t>the appropriate</w:t>
      </w:r>
      <w:r w:rsidRPr="006779A9" w:rsidR="00A55034">
        <w:t xml:space="preserve"> measures in the child’s best interests</w:t>
      </w:r>
      <w:r w:rsidRPr="006779A9" w:rsidR="007E3D71">
        <w:t>;</w:t>
      </w:r>
    </w:p>
    <w:p w:rsidRPr="006779A9" w:rsidR="007E3D71" w:rsidP="004A6EA7" w:rsidRDefault="007E3D71" w14:paraId="58FBAAD4" w14:textId="77777777">
      <w:pPr>
        <w:pStyle w:val="JuList"/>
      </w:pPr>
      <w:r w:rsidRPr="006779A9">
        <w:rPr>
          <w:i/>
          <w:iCs/>
        </w:rPr>
        <w:t xml:space="preserve">Takes note </w:t>
      </w:r>
      <w:r w:rsidRPr="006779A9">
        <w:t>of the review procedure provided for by Articles 510 and 511 of the Code of Civil Procedure.</w:t>
      </w:r>
    </w:p>
    <w:p w:rsidRPr="006779A9" w:rsidR="007E3D71" w:rsidP="007E3D71" w:rsidRDefault="007E3D71" w14:paraId="49D56606" w14:textId="77777777">
      <w:pPr>
        <w:pStyle w:val="JuParaLast"/>
        <w:keepNext w:val="0"/>
        <w:keepLines w:val="0"/>
        <w:rPr>
          <w:b/>
          <w:bCs/>
          <w:highlight w:val="yellow"/>
        </w:rPr>
      </w:pPr>
      <w:r w:rsidRPr="006779A9">
        <w:t xml:space="preserve">Done in French, and notified in writing on </w:t>
      </w:r>
      <w:r w:rsidRPr="006779A9">
        <w:rPr>
          <w:rFonts w:ascii="Times New Roman" w:hAnsi="Times New Roman" w:cs="Times New Roman"/>
        </w:rPr>
        <w:t>18 June 2019</w:t>
      </w:r>
      <w:r w:rsidRPr="006779A9">
        <w:t>, pursuant to Rule 77 §§ 2 and 3 of the Rules of Court.</w:t>
      </w:r>
    </w:p>
    <w:p w:rsidRPr="006779A9" w:rsidR="001C055B" w:rsidP="0049310E" w:rsidRDefault="004A6EA7" w14:paraId="1AB7DA4F" w14:textId="77777777">
      <w:pPr>
        <w:pStyle w:val="JuSigned"/>
      </w:pPr>
      <w:r w:rsidRPr="006779A9">
        <w:t>Stephen Phillips</w:t>
      </w:r>
      <w:r w:rsidRPr="006779A9" w:rsidR="005879A2">
        <w:t xml:space="preserve"> </w:t>
      </w:r>
      <w:r w:rsidRPr="006779A9" w:rsidR="009F4C8F">
        <w:tab/>
      </w:r>
      <w:r w:rsidRPr="006779A9" w:rsidR="00085C12">
        <w:t>Vincent A. De Gaetano</w:t>
      </w:r>
      <w:r w:rsidRPr="006779A9" w:rsidR="009F4C8F">
        <w:br/>
      </w:r>
      <w:r w:rsidRPr="006779A9" w:rsidR="009F4C8F">
        <w:tab/>
      </w:r>
      <w:r w:rsidRPr="006779A9" w:rsidR="00085C12">
        <w:rPr>
          <w:iCs/>
        </w:rPr>
        <w:t>Registrar</w:t>
      </w:r>
      <w:r w:rsidRPr="006779A9" w:rsidR="009F4C8F">
        <w:tab/>
        <w:t>President</w:t>
      </w:r>
    </w:p>
    <w:p w:rsidRPr="006779A9" w:rsidR="002A613A" w:rsidP="00D26E72" w:rsidRDefault="002A613A" w14:paraId="1A3ED248" w14:textId="77777777">
      <w:pPr>
        <w:rPr>
          <w:highlight w:val="yellow"/>
        </w:rPr>
      </w:pPr>
    </w:p>
    <w:sectPr w:rsidRPr="006779A9"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0E5010" w14:textId="77777777" w:rsidR="00E27597" w:rsidRPr="006779A9" w:rsidRDefault="00E27597" w:rsidP="0098410D">
      <w:r w:rsidRPr="006779A9">
        <w:separator/>
      </w:r>
    </w:p>
  </w:endnote>
  <w:endnote w:type="continuationSeparator" w:id="0">
    <w:p w14:paraId="27B7C46A" w14:textId="77777777" w:rsidR="00E27597" w:rsidRPr="006779A9" w:rsidRDefault="00E27597" w:rsidP="0098410D">
      <w:r w:rsidRPr="00677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4D790" w14:textId="77777777" w:rsidR="00C23945" w:rsidRDefault="00C23945">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D6E0C" w14:textId="77777777" w:rsidR="00E27597" w:rsidRPr="006779A9" w:rsidRDefault="00E27597" w:rsidP="00DA25C2">
    <w:pPr>
      <w:jc w:val="center"/>
    </w:pPr>
    <w:r w:rsidRPr="006779A9">
      <w:rPr>
        <w:noProof/>
        <w:lang w:val="en-US" w:eastAsia="ja-JP"/>
      </w:rPr>
      <w:drawing>
        <wp:inline distT="0" distB="0" distL="0" distR="0" wp14:anchorId="4002BBF4" wp14:editId="43F15522">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44390F6" w14:textId="77777777" w:rsidR="00E27597" w:rsidRPr="006779A9" w:rsidRDefault="00E27597" w:rsidP="00DA25C2">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B061F" w14:textId="3826932D" w:rsidR="00C23945" w:rsidRDefault="00C23945" w:rsidP="00C23945">
    <w:pPr>
      <w:pStyle w:val="Footer0"/>
      <w:jc w:val="center"/>
    </w:pPr>
    <w:r>
      <w:rPr>
        <w:noProof/>
        <w:lang w:val="en-US" w:eastAsia="ja-JP"/>
      </w:rPr>
      <w:drawing>
        <wp:inline distT="0" distB="0" distL="0" distR="0" wp14:anchorId="3AE8FCDD" wp14:editId="17398A1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670005"/>
      <w:docPartObj>
        <w:docPartGallery w:val="Page Numbers (Bottom of Page)"/>
        <w:docPartUnique/>
      </w:docPartObj>
    </w:sdtPr>
    <w:sdtEndPr>
      <w:rPr>
        <w:lang w:val="fr-FR"/>
      </w:rPr>
    </w:sdtEndPr>
    <w:sdtContent>
      <w:p w14:paraId="24D77DC8" w14:textId="77777777" w:rsidR="006779A9" w:rsidRDefault="006779A9" w:rsidP="00A64699">
        <w:pPr>
          <w:pStyle w:val="Footer0"/>
        </w:pPr>
        <w:r>
          <w:tab/>
        </w:r>
        <w:r w:rsidRPr="006779A9">
          <w:rPr>
            <w:sz w:val="18"/>
            <w:szCs w:val="18"/>
            <w:lang w:val="fr-FR"/>
          </w:rPr>
          <w:fldChar w:fldCharType="begin"/>
        </w:r>
        <w:r w:rsidRPr="006779A9">
          <w:rPr>
            <w:sz w:val="18"/>
            <w:szCs w:val="18"/>
          </w:rPr>
          <w:instrText xml:space="preserve"> PAGE </w:instrText>
        </w:r>
        <w:r w:rsidRPr="006779A9">
          <w:rPr>
            <w:sz w:val="18"/>
            <w:szCs w:val="18"/>
            <w:lang w:val="fr-FR"/>
          </w:rPr>
          <w:fldChar w:fldCharType="separate"/>
        </w:r>
        <w:r w:rsidRPr="006779A9">
          <w:rPr>
            <w:noProof/>
            <w:sz w:val="18"/>
            <w:szCs w:val="18"/>
          </w:rPr>
          <w:t>14</w:t>
        </w:r>
        <w:r w:rsidRPr="006779A9">
          <w:rPr>
            <w:sz w:val="18"/>
            <w:szCs w:val="18"/>
            <w:lang w:val="fr-FR"/>
          </w:rPr>
          <w:fldChar w:fldCharType="end"/>
        </w:r>
      </w:p>
    </w:sdtContent>
  </w:sdt>
  <w:p w14:paraId="7A0123E4" w14:textId="77777777" w:rsidR="00E27597" w:rsidRDefault="00E27597">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5BB1B" w14:textId="77777777" w:rsidR="00E27597" w:rsidRPr="000B7195" w:rsidRDefault="00E27597" w:rsidP="007D3701">
    <w:pPr>
      <w:pStyle w:val="JuHeader"/>
    </w:pPr>
    <w:r>
      <w:fldChar w:fldCharType="begin"/>
    </w:r>
    <w:r>
      <w:instrText xml:space="preserve"> PAGE </w:instrText>
    </w:r>
    <w:r>
      <w:fldChar w:fldCharType="separate"/>
    </w:r>
    <w:r>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5D5DE" w14:textId="77777777" w:rsidR="00E27597" w:rsidRPr="006779A9" w:rsidRDefault="00E27597" w:rsidP="0098410D">
      <w:r w:rsidRPr="006779A9">
        <w:separator/>
      </w:r>
    </w:p>
  </w:footnote>
  <w:footnote w:type="continuationSeparator" w:id="0">
    <w:p w14:paraId="5E717C4B" w14:textId="77777777" w:rsidR="00E27597" w:rsidRPr="006779A9" w:rsidRDefault="00E27597" w:rsidP="0098410D">
      <w:r w:rsidRPr="006779A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4BCA4" w14:textId="77777777" w:rsidR="00C23945" w:rsidRDefault="00C239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28EE5" w14:textId="77777777" w:rsidR="00E27597" w:rsidRPr="006779A9" w:rsidRDefault="00E27597" w:rsidP="00DA25C2">
    <w:pPr>
      <w:jc w:val="center"/>
    </w:pPr>
    <w:r w:rsidRPr="006779A9">
      <w:rPr>
        <w:noProof/>
        <w:lang w:val="en-US" w:eastAsia="ja-JP"/>
      </w:rPr>
      <w:drawing>
        <wp:inline distT="0" distB="0" distL="0" distR="0" wp14:anchorId="54FB4A40" wp14:editId="475C6E5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EE0C11B" w14:textId="77777777" w:rsidR="00E27597" w:rsidRPr="006779A9" w:rsidRDefault="00E27597" w:rsidP="00DA25C2">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6CC52" w14:textId="77777777" w:rsidR="00E27597" w:rsidRPr="006779A9" w:rsidRDefault="00E27597" w:rsidP="00DA25C2">
    <w:pPr>
      <w:jc w:val="center"/>
    </w:pPr>
    <w:r w:rsidRPr="006779A9">
      <w:rPr>
        <w:noProof/>
        <w:lang w:val="en-US" w:eastAsia="ja-JP"/>
      </w:rPr>
      <w:drawing>
        <wp:inline distT="0" distB="0" distL="0" distR="0" wp14:anchorId="1C5BDCDC" wp14:editId="0B349FCB">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0D9222F" w14:textId="77777777" w:rsidR="00E27597" w:rsidRPr="006779A9" w:rsidRDefault="00E2759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7D041" w14:textId="77777777" w:rsidR="00E27597" w:rsidRPr="0049161B" w:rsidRDefault="00E27597" w:rsidP="0049161B">
    <w:pPr>
      <w:pStyle w:val="JuHeader"/>
    </w:pPr>
    <w:r w:rsidRPr="0049161B">
      <w:tab/>
      <w:t>HADDAD v. SPAIN JUDGMENT</w:t>
    </w:r>
    <w:r w:rsidRPr="0049161B">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0681F" w14:textId="77777777" w:rsidR="00E27597" w:rsidRPr="0049161B" w:rsidRDefault="00E27597" w:rsidP="0049161B">
    <w:pPr>
      <w:pStyle w:val="JuHeader"/>
    </w:pPr>
    <w:r w:rsidRPr="0049161B">
      <w:tab/>
      <w:t>HADDAD v. SPAIN JUDGMENT</w:t>
    </w:r>
    <w:r>
      <w:tab/>
    </w:r>
  </w:p>
  <w:p w14:paraId="7CA762D2" w14:textId="77777777" w:rsidR="00E27597" w:rsidRPr="0032724B" w:rsidRDefault="00E27597" w:rsidP="003272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8296"/>
        </w:tabs>
        <w:ind w:left="8296"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B38E3"/>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48F2261"/>
    <w:multiLevelType w:val="multilevel"/>
    <w:tmpl w:val="C8FE6436"/>
    <w:numStyleLink w:val="ECHRA1StyleList"/>
  </w:abstractNum>
  <w:abstractNum w:abstractNumId="12" w15:restartNumberingAfterBreak="0">
    <w:nsid w:val="089C7394"/>
    <w:multiLevelType w:val="hybridMultilevel"/>
    <w:tmpl w:val="C79AE6B6"/>
    <w:lvl w:ilvl="0" w:tplc="ED5ED2FC">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3" w15:restartNumberingAfterBreak="0">
    <w:nsid w:val="092A490D"/>
    <w:multiLevelType w:val="hybridMultilevel"/>
    <w:tmpl w:val="6302D79A"/>
    <w:lvl w:ilvl="0" w:tplc="4BE8759C">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15:restartNumberingAfterBreak="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2"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3"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5" w15:restartNumberingAfterBreak="0">
    <w:nsid w:val="59E316F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7507F13"/>
    <w:multiLevelType w:val="hybridMultilevel"/>
    <w:tmpl w:val="3A7634B2"/>
    <w:lvl w:ilvl="0" w:tplc="82CAE5E6">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0" w15:restartNumberingAfterBreak="0">
    <w:nsid w:val="7B3E594C"/>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0"/>
  </w:num>
  <w:num w:numId="2">
    <w:abstractNumId w:val="16"/>
  </w:num>
  <w:num w:numId="3">
    <w:abstractNumId w:val="15"/>
  </w:num>
  <w:num w:numId="4">
    <w:abstractNumId w:val="21"/>
  </w:num>
  <w:num w:numId="5">
    <w:abstractNumId w:val="18"/>
  </w:num>
  <w:num w:numId="6">
    <w:abstractNumId w:val="23"/>
  </w:num>
  <w:num w:numId="7">
    <w:abstractNumId w:val="21"/>
  </w:num>
  <w:num w:numId="8">
    <w:abstractNumId w:val="23"/>
  </w:num>
  <w:num w:numId="9">
    <w:abstractNumId w:val="27"/>
  </w:num>
  <w:num w:numId="10">
    <w:abstractNumId w:val="24"/>
  </w:num>
  <w:num w:numId="11">
    <w:abstractNumId w:val="11"/>
  </w:num>
  <w:num w:numId="12">
    <w:abstractNumId w:val="26"/>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2"/>
  </w:num>
  <w:num w:numId="26">
    <w:abstractNumId w:val="17"/>
  </w:num>
  <w:num w:numId="27">
    <w:abstractNumId w:val="9"/>
  </w:num>
  <w:num w:numId="28">
    <w:abstractNumId w:val="28"/>
  </w:num>
  <w:num w:numId="29">
    <w:abstractNumId w:val="31"/>
  </w:num>
  <w:num w:numId="30">
    <w:abstractNumId w:val="12"/>
  </w:num>
  <w:num w:numId="31">
    <w:abstractNumId w:val="13"/>
  </w:num>
  <w:num w:numId="32">
    <w:abstractNumId w:val="29"/>
  </w:num>
  <w:num w:numId="33">
    <w:abstractNumId w:val="10"/>
  </w:num>
  <w:num w:numId="34">
    <w:abstractNumId w:val="25"/>
  </w:num>
  <w:num w:numId="35">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324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85C12"/>
    <w:rsid w:val="000041F8"/>
    <w:rsid w:val="000042A8"/>
    <w:rsid w:val="00004308"/>
    <w:rsid w:val="00005BF0"/>
    <w:rsid w:val="00007154"/>
    <w:rsid w:val="000103AE"/>
    <w:rsid w:val="00011D69"/>
    <w:rsid w:val="00012AD3"/>
    <w:rsid w:val="00015C2D"/>
    <w:rsid w:val="00015F00"/>
    <w:rsid w:val="00022C1D"/>
    <w:rsid w:val="00031428"/>
    <w:rsid w:val="00032568"/>
    <w:rsid w:val="00034987"/>
    <w:rsid w:val="00041560"/>
    <w:rsid w:val="00047845"/>
    <w:rsid w:val="00050D55"/>
    <w:rsid w:val="000602DF"/>
    <w:rsid w:val="00061B05"/>
    <w:rsid w:val="000632D5"/>
    <w:rsid w:val="000644EE"/>
    <w:rsid w:val="00064DC4"/>
    <w:rsid w:val="0007780A"/>
    <w:rsid w:val="00085457"/>
    <w:rsid w:val="00085C12"/>
    <w:rsid w:val="00086B9B"/>
    <w:rsid w:val="000925AD"/>
    <w:rsid w:val="00096FE1"/>
    <w:rsid w:val="00097A62"/>
    <w:rsid w:val="000A1B68"/>
    <w:rsid w:val="000A24EB"/>
    <w:rsid w:val="000B2F18"/>
    <w:rsid w:val="000B686A"/>
    <w:rsid w:val="000B6923"/>
    <w:rsid w:val="000B7195"/>
    <w:rsid w:val="000C5F3C"/>
    <w:rsid w:val="000C6DCC"/>
    <w:rsid w:val="000D47AA"/>
    <w:rsid w:val="000D6CF6"/>
    <w:rsid w:val="000D721F"/>
    <w:rsid w:val="000D75BE"/>
    <w:rsid w:val="000E069B"/>
    <w:rsid w:val="000E0E82"/>
    <w:rsid w:val="000E1DC5"/>
    <w:rsid w:val="000E223F"/>
    <w:rsid w:val="000E46B8"/>
    <w:rsid w:val="000E7D45"/>
    <w:rsid w:val="000F7851"/>
    <w:rsid w:val="00101505"/>
    <w:rsid w:val="00104C1A"/>
    <w:rsid w:val="00104E23"/>
    <w:rsid w:val="00110DA8"/>
    <w:rsid w:val="00111B0C"/>
    <w:rsid w:val="001202EA"/>
    <w:rsid w:val="00120D6C"/>
    <w:rsid w:val="0012411F"/>
    <w:rsid w:val="001257EC"/>
    <w:rsid w:val="00125905"/>
    <w:rsid w:val="00125960"/>
    <w:rsid w:val="00133D33"/>
    <w:rsid w:val="00134B6A"/>
    <w:rsid w:val="00134D64"/>
    <w:rsid w:val="00135A30"/>
    <w:rsid w:val="0013612C"/>
    <w:rsid w:val="00137FF6"/>
    <w:rsid w:val="00141650"/>
    <w:rsid w:val="0014259D"/>
    <w:rsid w:val="00155A14"/>
    <w:rsid w:val="001561B6"/>
    <w:rsid w:val="00162A12"/>
    <w:rsid w:val="00166530"/>
    <w:rsid w:val="00170027"/>
    <w:rsid w:val="0018033E"/>
    <w:rsid w:val="001832BD"/>
    <w:rsid w:val="001943B5"/>
    <w:rsid w:val="00194838"/>
    <w:rsid w:val="00195134"/>
    <w:rsid w:val="001A145B"/>
    <w:rsid w:val="001A18B9"/>
    <w:rsid w:val="001A3E09"/>
    <w:rsid w:val="001A674C"/>
    <w:rsid w:val="001B3B24"/>
    <w:rsid w:val="001B4BE6"/>
    <w:rsid w:val="001C055B"/>
    <w:rsid w:val="001C0F98"/>
    <w:rsid w:val="001C299A"/>
    <w:rsid w:val="001C2A42"/>
    <w:rsid w:val="001C58C5"/>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56D9"/>
    <w:rsid w:val="002300A1"/>
    <w:rsid w:val="00230D00"/>
    <w:rsid w:val="002314B1"/>
    <w:rsid w:val="00231DF7"/>
    <w:rsid w:val="00231FD1"/>
    <w:rsid w:val="002339E0"/>
    <w:rsid w:val="00233CF8"/>
    <w:rsid w:val="00234F3B"/>
    <w:rsid w:val="0023508B"/>
    <w:rsid w:val="0023575D"/>
    <w:rsid w:val="00237148"/>
    <w:rsid w:val="0024222D"/>
    <w:rsid w:val="002422B6"/>
    <w:rsid w:val="00244B0E"/>
    <w:rsid w:val="00244F6C"/>
    <w:rsid w:val="00246B89"/>
    <w:rsid w:val="00252C4E"/>
    <w:rsid w:val="002532C5"/>
    <w:rsid w:val="00254DF2"/>
    <w:rsid w:val="00260C03"/>
    <w:rsid w:val="002647C5"/>
    <w:rsid w:val="0026540E"/>
    <w:rsid w:val="002746F1"/>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0B7D"/>
    <w:rsid w:val="002D1AC6"/>
    <w:rsid w:val="002D24BB"/>
    <w:rsid w:val="002D2FA7"/>
    <w:rsid w:val="002D47BA"/>
    <w:rsid w:val="002D515B"/>
    <w:rsid w:val="002D77B9"/>
    <w:rsid w:val="002E0543"/>
    <w:rsid w:val="002E46DA"/>
    <w:rsid w:val="002F2AF7"/>
    <w:rsid w:val="002F69C4"/>
    <w:rsid w:val="002F7D9E"/>
    <w:rsid w:val="002F7E1C"/>
    <w:rsid w:val="00301A75"/>
    <w:rsid w:val="00302F70"/>
    <w:rsid w:val="0030336F"/>
    <w:rsid w:val="0030375E"/>
    <w:rsid w:val="00310F3F"/>
    <w:rsid w:val="00312A30"/>
    <w:rsid w:val="003201D8"/>
    <w:rsid w:val="00320F72"/>
    <w:rsid w:val="0032463E"/>
    <w:rsid w:val="00326224"/>
    <w:rsid w:val="0032724B"/>
    <w:rsid w:val="0033379A"/>
    <w:rsid w:val="00335E45"/>
    <w:rsid w:val="00337EE4"/>
    <w:rsid w:val="00340FFD"/>
    <w:rsid w:val="00345C41"/>
    <w:rsid w:val="003506B1"/>
    <w:rsid w:val="00355877"/>
    <w:rsid w:val="00356AC7"/>
    <w:rsid w:val="003609FA"/>
    <w:rsid w:val="00365522"/>
    <w:rsid w:val="003710C8"/>
    <w:rsid w:val="003750BE"/>
    <w:rsid w:val="00380C1B"/>
    <w:rsid w:val="0038241C"/>
    <w:rsid w:val="00382FED"/>
    <w:rsid w:val="00385A36"/>
    <w:rsid w:val="00385F3D"/>
    <w:rsid w:val="00387B9D"/>
    <w:rsid w:val="00387C70"/>
    <w:rsid w:val="00390294"/>
    <w:rsid w:val="003919BD"/>
    <w:rsid w:val="0039364F"/>
    <w:rsid w:val="0039652F"/>
    <w:rsid w:val="00396686"/>
    <w:rsid w:val="0039778E"/>
    <w:rsid w:val="003A1780"/>
    <w:rsid w:val="003B4941"/>
    <w:rsid w:val="003C1F2A"/>
    <w:rsid w:val="003C5714"/>
    <w:rsid w:val="003C6B9F"/>
    <w:rsid w:val="003C6E2A"/>
    <w:rsid w:val="003D0299"/>
    <w:rsid w:val="003E6D80"/>
    <w:rsid w:val="003F05FA"/>
    <w:rsid w:val="003F244A"/>
    <w:rsid w:val="003F2517"/>
    <w:rsid w:val="003F30B8"/>
    <w:rsid w:val="003F4C45"/>
    <w:rsid w:val="003F5F7B"/>
    <w:rsid w:val="003F6BC0"/>
    <w:rsid w:val="003F7D64"/>
    <w:rsid w:val="0040433A"/>
    <w:rsid w:val="00405B69"/>
    <w:rsid w:val="00406AF8"/>
    <w:rsid w:val="004100C2"/>
    <w:rsid w:val="004111F5"/>
    <w:rsid w:val="00414300"/>
    <w:rsid w:val="00414F27"/>
    <w:rsid w:val="00415F88"/>
    <w:rsid w:val="00420703"/>
    <w:rsid w:val="00425C67"/>
    <w:rsid w:val="00427E7A"/>
    <w:rsid w:val="00432245"/>
    <w:rsid w:val="004355AC"/>
    <w:rsid w:val="00436C49"/>
    <w:rsid w:val="00443D98"/>
    <w:rsid w:val="00445366"/>
    <w:rsid w:val="00447F5B"/>
    <w:rsid w:val="00453548"/>
    <w:rsid w:val="00461DB0"/>
    <w:rsid w:val="00463926"/>
    <w:rsid w:val="00464C9A"/>
    <w:rsid w:val="00474F3D"/>
    <w:rsid w:val="00477E3A"/>
    <w:rsid w:val="00483E5F"/>
    <w:rsid w:val="00485FF9"/>
    <w:rsid w:val="004907F0"/>
    <w:rsid w:val="0049140B"/>
    <w:rsid w:val="0049161B"/>
    <w:rsid w:val="004923A5"/>
    <w:rsid w:val="0049310E"/>
    <w:rsid w:val="004950E2"/>
    <w:rsid w:val="00496BFB"/>
    <w:rsid w:val="004A15C7"/>
    <w:rsid w:val="004A3201"/>
    <w:rsid w:val="004A6EA7"/>
    <w:rsid w:val="004B013B"/>
    <w:rsid w:val="004B112B"/>
    <w:rsid w:val="004B132D"/>
    <w:rsid w:val="004B444E"/>
    <w:rsid w:val="004C01E4"/>
    <w:rsid w:val="004C086C"/>
    <w:rsid w:val="004C1F56"/>
    <w:rsid w:val="004C27BC"/>
    <w:rsid w:val="004C6621"/>
    <w:rsid w:val="004D0EC7"/>
    <w:rsid w:val="004D15F3"/>
    <w:rsid w:val="004D31C8"/>
    <w:rsid w:val="004D3B3D"/>
    <w:rsid w:val="004D4EF1"/>
    <w:rsid w:val="004D5311"/>
    <w:rsid w:val="004D5DCC"/>
    <w:rsid w:val="004D7E45"/>
    <w:rsid w:val="004E0B89"/>
    <w:rsid w:val="004F10AF"/>
    <w:rsid w:val="004F11A4"/>
    <w:rsid w:val="004F2389"/>
    <w:rsid w:val="004F304D"/>
    <w:rsid w:val="004F4290"/>
    <w:rsid w:val="004F61BE"/>
    <w:rsid w:val="004F66B1"/>
    <w:rsid w:val="004F7981"/>
    <w:rsid w:val="00503B7A"/>
    <w:rsid w:val="0051141C"/>
    <w:rsid w:val="00511C07"/>
    <w:rsid w:val="005125CB"/>
    <w:rsid w:val="00512EC4"/>
    <w:rsid w:val="00513B23"/>
    <w:rsid w:val="0051725A"/>
    <w:rsid w:val="005173A6"/>
    <w:rsid w:val="00520354"/>
    <w:rsid w:val="00520BAA"/>
    <w:rsid w:val="005217D8"/>
    <w:rsid w:val="00521F3A"/>
    <w:rsid w:val="00525208"/>
    <w:rsid w:val="005257A5"/>
    <w:rsid w:val="00526066"/>
    <w:rsid w:val="005264C0"/>
    <w:rsid w:val="00526A8A"/>
    <w:rsid w:val="00530FE6"/>
    <w:rsid w:val="00531DF2"/>
    <w:rsid w:val="0053315C"/>
    <w:rsid w:val="00537476"/>
    <w:rsid w:val="00541BC5"/>
    <w:rsid w:val="005442EE"/>
    <w:rsid w:val="00545291"/>
    <w:rsid w:val="00545DA6"/>
    <w:rsid w:val="00547353"/>
    <w:rsid w:val="005474E7"/>
    <w:rsid w:val="005512A3"/>
    <w:rsid w:val="00556758"/>
    <w:rsid w:val="005578CE"/>
    <w:rsid w:val="00561A98"/>
    <w:rsid w:val="005626BA"/>
    <w:rsid w:val="00562781"/>
    <w:rsid w:val="00562B6C"/>
    <w:rsid w:val="00567905"/>
    <w:rsid w:val="0057010D"/>
    <w:rsid w:val="0057271C"/>
    <w:rsid w:val="00572845"/>
    <w:rsid w:val="0058697A"/>
    <w:rsid w:val="005879A2"/>
    <w:rsid w:val="00592083"/>
    <w:rsid w:val="00592772"/>
    <w:rsid w:val="005956AA"/>
    <w:rsid w:val="0059574A"/>
    <w:rsid w:val="00596C07"/>
    <w:rsid w:val="005A1B9B"/>
    <w:rsid w:val="005A2E79"/>
    <w:rsid w:val="005A6751"/>
    <w:rsid w:val="005B092E"/>
    <w:rsid w:val="005B152C"/>
    <w:rsid w:val="005B1EE0"/>
    <w:rsid w:val="005B2B24"/>
    <w:rsid w:val="005B4425"/>
    <w:rsid w:val="005B4B94"/>
    <w:rsid w:val="005C3EE8"/>
    <w:rsid w:val="005C4C98"/>
    <w:rsid w:val="005D0478"/>
    <w:rsid w:val="005D2F2A"/>
    <w:rsid w:val="005D34F9"/>
    <w:rsid w:val="005D4190"/>
    <w:rsid w:val="005D67A3"/>
    <w:rsid w:val="005E2988"/>
    <w:rsid w:val="005E3085"/>
    <w:rsid w:val="005E7B3E"/>
    <w:rsid w:val="005E7BAD"/>
    <w:rsid w:val="005E7DE4"/>
    <w:rsid w:val="005F51E1"/>
    <w:rsid w:val="00604D67"/>
    <w:rsid w:val="00611C80"/>
    <w:rsid w:val="00620692"/>
    <w:rsid w:val="006242CA"/>
    <w:rsid w:val="00627507"/>
    <w:rsid w:val="00633717"/>
    <w:rsid w:val="006344E1"/>
    <w:rsid w:val="00637CFC"/>
    <w:rsid w:val="00637D31"/>
    <w:rsid w:val="00640CA8"/>
    <w:rsid w:val="00643524"/>
    <w:rsid w:val="0064393B"/>
    <w:rsid w:val="006545C4"/>
    <w:rsid w:val="00661971"/>
    <w:rsid w:val="00661CE8"/>
    <w:rsid w:val="006623D9"/>
    <w:rsid w:val="00663410"/>
    <w:rsid w:val="006642A5"/>
    <w:rsid w:val="0066550C"/>
    <w:rsid w:val="00665A63"/>
    <w:rsid w:val="00665BD2"/>
    <w:rsid w:val="00670CCF"/>
    <w:rsid w:val="006716F2"/>
    <w:rsid w:val="006779A9"/>
    <w:rsid w:val="00681D50"/>
    <w:rsid w:val="00682BF2"/>
    <w:rsid w:val="0068573E"/>
    <w:rsid w:val="006859CE"/>
    <w:rsid w:val="00691270"/>
    <w:rsid w:val="00694BA8"/>
    <w:rsid w:val="006958F8"/>
    <w:rsid w:val="006A037C"/>
    <w:rsid w:val="006A36F4"/>
    <w:rsid w:val="006A406F"/>
    <w:rsid w:val="006A5D3A"/>
    <w:rsid w:val="006B6519"/>
    <w:rsid w:val="006C23D4"/>
    <w:rsid w:val="006C7BB0"/>
    <w:rsid w:val="006D3237"/>
    <w:rsid w:val="006D7124"/>
    <w:rsid w:val="006E2E37"/>
    <w:rsid w:val="006E3CF1"/>
    <w:rsid w:val="006E68A3"/>
    <w:rsid w:val="006E7E80"/>
    <w:rsid w:val="006F1C2D"/>
    <w:rsid w:val="006F48CA"/>
    <w:rsid w:val="006F64DD"/>
    <w:rsid w:val="006F65A2"/>
    <w:rsid w:val="006F712D"/>
    <w:rsid w:val="0070558C"/>
    <w:rsid w:val="00715127"/>
    <w:rsid w:val="00715E8E"/>
    <w:rsid w:val="00723580"/>
    <w:rsid w:val="00723755"/>
    <w:rsid w:val="00726BE9"/>
    <w:rsid w:val="0073136C"/>
    <w:rsid w:val="00731F0F"/>
    <w:rsid w:val="00733250"/>
    <w:rsid w:val="00741404"/>
    <w:rsid w:val="007449E5"/>
    <w:rsid w:val="0074750E"/>
    <w:rsid w:val="00747FF0"/>
    <w:rsid w:val="0075566E"/>
    <w:rsid w:val="00763602"/>
    <w:rsid w:val="00764D4E"/>
    <w:rsid w:val="00765A1F"/>
    <w:rsid w:val="00774BA2"/>
    <w:rsid w:val="00775B6D"/>
    <w:rsid w:val="00776D68"/>
    <w:rsid w:val="007805D4"/>
    <w:rsid w:val="0078323E"/>
    <w:rsid w:val="007850EE"/>
    <w:rsid w:val="00785B95"/>
    <w:rsid w:val="00790E96"/>
    <w:rsid w:val="00793366"/>
    <w:rsid w:val="00794D21"/>
    <w:rsid w:val="007A34A4"/>
    <w:rsid w:val="007A716F"/>
    <w:rsid w:val="007B1979"/>
    <w:rsid w:val="007B270A"/>
    <w:rsid w:val="007B4182"/>
    <w:rsid w:val="007B6869"/>
    <w:rsid w:val="007C0695"/>
    <w:rsid w:val="007C419A"/>
    <w:rsid w:val="007C4CC8"/>
    <w:rsid w:val="007C5426"/>
    <w:rsid w:val="007C5798"/>
    <w:rsid w:val="007D11BF"/>
    <w:rsid w:val="007D1ECD"/>
    <w:rsid w:val="007D3701"/>
    <w:rsid w:val="007D4832"/>
    <w:rsid w:val="007D6287"/>
    <w:rsid w:val="007E21B2"/>
    <w:rsid w:val="007E2C4E"/>
    <w:rsid w:val="007E2C8C"/>
    <w:rsid w:val="007E3D71"/>
    <w:rsid w:val="007E51BA"/>
    <w:rsid w:val="007E5812"/>
    <w:rsid w:val="007E73D7"/>
    <w:rsid w:val="007F1905"/>
    <w:rsid w:val="007F27E4"/>
    <w:rsid w:val="007F3437"/>
    <w:rsid w:val="00800E28"/>
    <w:rsid w:val="00802C64"/>
    <w:rsid w:val="00805E52"/>
    <w:rsid w:val="008061D0"/>
    <w:rsid w:val="00810B38"/>
    <w:rsid w:val="00816E2C"/>
    <w:rsid w:val="008204C7"/>
    <w:rsid w:val="00820992"/>
    <w:rsid w:val="00823602"/>
    <w:rsid w:val="008255F5"/>
    <w:rsid w:val="0083014E"/>
    <w:rsid w:val="00830BEA"/>
    <w:rsid w:val="0083214A"/>
    <w:rsid w:val="00834220"/>
    <w:rsid w:val="00834C4B"/>
    <w:rsid w:val="008428C7"/>
    <w:rsid w:val="00845723"/>
    <w:rsid w:val="0084736C"/>
    <w:rsid w:val="008519E7"/>
    <w:rsid w:val="00851EF9"/>
    <w:rsid w:val="00852D87"/>
    <w:rsid w:val="00856BAD"/>
    <w:rsid w:val="008577FD"/>
    <w:rsid w:val="00860B03"/>
    <w:rsid w:val="0086497A"/>
    <w:rsid w:val="00867066"/>
    <w:rsid w:val="008713A1"/>
    <w:rsid w:val="00872584"/>
    <w:rsid w:val="008754AB"/>
    <w:rsid w:val="0088060C"/>
    <w:rsid w:val="008829CD"/>
    <w:rsid w:val="00882CD5"/>
    <w:rsid w:val="00883151"/>
    <w:rsid w:val="00883E3B"/>
    <w:rsid w:val="00887169"/>
    <w:rsid w:val="00893576"/>
    <w:rsid w:val="00893945"/>
    <w:rsid w:val="00893E73"/>
    <w:rsid w:val="008941E2"/>
    <w:rsid w:val="008B02DC"/>
    <w:rsid w:val="008B57CE"/>
    <w:rsid w:val="008C00EF"/>
    <w:rsid w:val="008C26DE"/>
    <w:rsid w:val="008C3355"/>
    <w:rsid w:val="008C41DB"/>
    <w:rsid w:val="008C70F1"/>
    <w:rsid w:val="008D2225"/>
    <w:rsid w:val="008D4752"/>
    <w:rsid w:val="008D5A13"/>
    <w:rsid w:val="008E271C"/>
    <w:rsid w:val="008E3A08"/>
    <w:rsid w:val="008E418E"/>
    <w:rsid w:val="008E5BC6"/>
    <w:rsid w:val="008E6217"/>
    <w:rsid w:val="008E6A25"/>
    <w:rsid w:val="008E7A82"/>
    <w:rsid w:val="008F2554"/>
    <w:rsid w:val="008F3AEC"/>
    <w:rsid w:val="008F4D80"/>
    <w:rsid w:val="008F5193"/>
    <w:rsid w:val="008F6B36"/>
    <w:rsid w:val="009013A7"/>
    <w:rsid w:val="009017FB"/>
    <w:rsid w:val="009017FC"/>
    <w:rsid w:val="0090506B"/>
    <w:rsid w:val="009050C9"/>
    <w:rsid w:val="009066FC"/>
    <w:rsid w:val="0091258E"/>
    <w:rsid w:val="009140A3"/>
    <w:rsid w:val="009144A2"/>
    <w:rsid w:val="0091510C"/>
    <w:rsid w:val="009259AC"/>
    <w:rsid w:val="00926F38"/>
    <w:rsid w:val="00927BEB"/>
    <w:rsid w:val="00931726"/>
    <w:rsid w:val="009333DC"/>
    <w:rsid w:val="00934301"/>
    <w:rsid w:val="00936CD1"/>
    <w:rsid w:val="00941747"/>
    <w:rsid w:val="00941EFB"/>
    <w:rsid w:val="00944701"/>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B6EAF"/>
    <w:rsid w:val="009C191B"/>
    <w:rsid w:val="009C2BD6"/>
    <w:rsid w:val="009E1006"/>
    <w:rsid w:val="009E1F32"/>
    <w:rsid w:val="009E2CC2"/>
    <w:rsid w:val="009E776C"/>
    <w:rsid w:val="009F1054"/>
    <w:rsid w:val="009F4C8F"/>
    <w:rsid w:val="00A05588"/>
    <w:rsid w:val="00A15601"/>
    <w:rsid w:val="00A1726E"/>
    <w:rsid w:val="00A204CF"/>
    <w:rsid w:val="00A21D2B"/>
    <w:rsid w:val="00A22265"/>
    <w:rsid w:val="00A22745"/>
    <w:rsid w:val="00A23D49"/>
    <w:rsid w:val="00A27004"/>
    <w:rsid w:val="00A308CE"/>
    <w:rsid w:val="00A30C29"/>
    <w:rsid w:val="00A320D5"/>
    <w:rsid w:val="00A34DD6"/>
    <w:rsid w:val="00A35683"/>
    <w:rsid w:val="00A36819"/>
    <w:rsid w:val="00A36989"/>
    <w:rsid w:val="00A37435"/>
    <w:rsid w:val="00A418CB"/>
    <w:rsid w:val="00A43628"/>
    <w:rsid w:val="00A51D0F"/>
    <w:rsid w:val="00A54192"/>
    <w:rsid w:val="00A54963"/>
    <w:rsid w:val="00A55034"/>
    <w:rsid w:val="00A57147"/>
    <w:rsid w:val="00A6035E"/>
    <w:rsid w:val="00A6144C"/>
    <w:rsid w:val="00A66617"/>
    <w:rsid w:val="00A671F8"/>
    <w:rsid w:val="00A673A4"/>
    <w:rsid w:val="00A724AE"/>
    <w:rsid w:val="00A73329"/>
    <w:rsid w:val="00A74D50"/>
    <w:rsid w:val="00A82359"/>
    <w:rsid w:val="00A865D2"/>
    <w:rsid w:val="00A90BCD"/>
    <w:rsid w:val="00A94C20"/>
    <w:rsid w:val="00AA1B09"/>
    <w:rsid w:val="00AA227F"/>
    <w:rsid w:val="00AA3BC7"/>
    <w:rsid w:val="00AA6CCE"/>
    <w:rsid w:val="00AA754A"/>
    <w:rsid w:val="00AB099E"/>
    <w:rsid w:val="00AB4328"/>
    <w:rsid w:val="00AC4CD4"/>
    <w:rsid w:val="00AC5737"/>
    <w:rsid w:val="00AC6045"/>
    <w:rsid w:val="00AD0A19"/>
    <w:rsid w:val="00AD1DBB"/>
    <w:rsid w:val="00AD5C2E"/>
    <w:rsid w:val="00AE0A2E"/>
    <w:rsid w:val="00AE354C"/>
    <w:rsid w:val="00AF4B07"/>
    <w:rsid w:val="00AF6186"/>
    <w:rsid w:val="00AF7A3A"/>
    <w:rsid w:val="00B02587"/>
    <w:rsid w:val="00B111E2"/>
    <w:rsid w:val="00B160DB"/>
    <w:rsid w:val="00B203D7"/>
    <w:rsid w:val="00B20836"/>
    <w:rsid w:val="00B235BB"/>
    <w:rsid w:val="00B27A44"/>
    <w:rsid w:val="00B30BBF"/>
    <w:rsid w:val="00B33C03"/>
    <w:rsid w:val="00B34B9D"/>
    <w:rsid w:val="00B36708"/>
    <w:rsid w:val="00B4421F"/>
    <w:rsid w:val="00B44E56"/>
    <w:rsid w:val="00B45917"/>
    <w:rsid w:val="00B46543"/>
    <w:rsid w:val="00B47D33"/>
    <w:rsid w:val="00B52BE0"/>
    <w:rsid w:val="00B53BBC"/>
    <w:rsid w:val="00B54133"/>
    <w:rsid w:val="00B701ED"/>
    <w:rsid w:val="00B748F7"/>
    <w:rsid w:val="00B8086C"/>
    <w:rsid w:val="00B81C58"/>
    <w:rsid w:val="00B861B4"/>
    <w:rsid w:val="00B86DFE"/>
    <w:rsid w:val="00B90990"/>
    <w:rsid w:val="00B922FF"/>
    <w:rsid w:val="00B9281E"/>
    <w:rsid w:val="00B93925"/>
    <w:rsid w:val="00B95187"/>
    <w:rsid w:val="00BA006C"/>
    <w:rsid w:val="00BA2D55"/>
    <w:rsid w:val="00BA71B1"/>
    <w:rsid w:val="00BB0637"/>
    <w:rsid w:val="00BB2D28"/>
    <w:rsid w:val="00BB345F"/>
    <w:rsid w:val="00BB68EA"/>
    <w:rsid w:val="00BB703E"/>
    <w:rsid w:val="00BC0B99"/>
    <w:rsid w:val="00BC1C27"/>
    <w:rsid w:val="00BC6BBF"/>
    <w:rsid w:val="00BD000F"/>
    <w:rsid w:val="00BD0CE3"/>
    <w:rsid w:val="00BD1572"/>
    <w:rsid w:val="00BE14E3"/>
    <w:rsid w:val="00BE3774"/>
    <w:rsid w:val="00BE41E5"/>
    <w:rsid w:val="00BE7232"/>
    <w:rsid w:val="00BF118F"/>
    <w:rsid w:val="00BF4109"/>
    <w:rsid w:val="00BF4CC3"/>
    <w:rsid w:val="00C039F5"/>
    <w:rsid w:val="00C054C7"/>
    <w:rsid w:val="00C057B5"/>
    <w:rsid w:val="00C115C3"/>
    <w:rsid w:val="00C15547"/>
    <w:rsid w:val="00C1672D"/>
    <w:rsid w:val="00C22687"/>
    <w:rsid w:val="00C23945"/>
    <w:rsid w:val="00C26A92"/>
    <w:rsid w:val="00C26B1C"/>
    <w:rsid w:val="00C32E4D"/>
    <w:rsid w:val="00C333A0"/>
    <w:rsid w:val="00C36A81"/>
    <w:rsid w:val="00C41974"/>
    <w:rsid w:val="00C44A2C"/>
    <w:rsid w:val="00C45410"/>
    <w:rsid w:val="00C45E33"/>
    <w:rsid w:val="00C477F7"/>
    <w:rsid w:val="00C509A6"/>
    <w:rsid w:val="00C53297"/>
    <w:rsid w:val="00C53F4A"/>
    <w:rsid w:val="00C54125"/>
    <w:rsid w:val="00C55B54"/>
    <w:rsid w:val="00C6098E"/>
    <w:rsid w:val="00C6152C"/>
    <w:rsid w:val="00C74810"/>
    <w:rsid w:val="00C772D3"/>
    <w:rsid w:val="00C90D68"/>
    <w:rsid w:val="00C939FE"/>
    <w:rsid w:val="00C979C1"/>
    <w:rsid w:val="00CA27C2"/>
    <w:rsid w:val="00CA4BDA"/>
    <w:rsid w:val="00CB13E3"/>
    <w:rsid w:val="00CB1F66"/>
    <w:rsid w:val="00CB232C"/>
    <w:rsid w:val="00CB2951"/>
    <w:rsid w:val="00CB377E"/>
    <w:rsid w:val="00CB4277"/>
    <w:rsid w:val="00CB5610"/>
    <w:rsid w:val="00CC5067"/>
    <w:rsid w:val="00CD11D3"/>
    <w:rsid w:val="00CD282B"/>
    <w:rsid w:val="00CD4303"/>
    <w:rsid w:val="00CD4C35"/>
    <w:rsid w:val="00CD7369"/>
    <w:rsid w:val="00CE0B0E"/>
    <w:rsid w:val="00CE3831"/>
    <w:rsid w:val="00CF2397"/>
    <w:rsid w:val="00D00ABB"/>
    <w:rsid w:val="00D02EEC"/>
    <w:rsid w:val="00D03551"/>
    <w:rsid w:val="00D06A63"/>
    <w:rsid w:val="00D07E0E"/>
    <w:rsid w:val="00D10CD6"/>
    <w:rsid w:val="00D11478"/>
    <w:rsid w:val="00D148A4"/>
    <w:rsid w:val="00D15ED0"/>
    <w:rsid w:val="00D164BF"/>
    <w:rsid w:val="00D21B3E"/>
    <w:rsid w:val="00D21FED"/>
    <w:rsid w:val="00D23048"/>
    <w:rsid w:val="00D24251"/>
    <w:rsid w:val="00D26E72"/>
    <w:rsid w:val="00D343E2"/>
    <w:rsid w:val="00D361A2"/>
    <w:rsid w:val="00D41989"/>
    <w:rsid w:val="00D44C2E"/>
    <w:rsid w:val="00D45414"/>
    <w:rsid w:val="00D50A0A"/>
    <w:rsid w:val="00D53548"/>
    <w:rsid w:val="00D566BD"/>
    <w:rsid w:val="00D57A4D"/>
    <w:rsid w:val="00D60AA7"/>
    <w:rsid w:val="00D6435F"/>
    <w:rsid w:val="00D65E51"/>
    <w:rsid w:val="00D660AC"/>
    <w:rsid w:val="00D66471"/>
    <w:rsid w:val="00D70641"/>
    <w:rsid w:val="00D74888"/>
    <w:rsid w:val="00D75E28"/>
    <w:rsid w:val="00D772C2"/>
    <w:rsid w:val="00D8008E"/>
    <w:rsid w:val="00D82C45"/>
    <w:rsid w:val="00D908A8"/>
    <w:rsid w:val="00D9348D"/>
    <w:rsid w:val="00D977B6"/>
    <w:rsid w:val="00DA1223"/>
    <w:rsid w:val="00DA1679"/>
    <w:rsid w:val="00DA25C2"/>
    <w:rsid w:val="00DA4A31"/>
    <w:rsid w:val="00DA78E5"/>
    <w:rsid w:val="00DA7B04"/>
    <w:rsid w:val="00DB36C2"/>
    <w:rsid w:val="00DC169B"/>
    <w:rsid w:val="00DC2AB9"/>
    <w:rsid w:val="00DC63F0"/>
    <w:rsid w:val="00DD37EA"/>
    <w:rsid w:val="00DD6EE5"/>
    <w:rsid w:val="00DE386C"/>
    <w:rsid w:val="00DE4D35"/>
    <w:rsid w:val="00DE6306"/>
    <w:rsid w:val="00DF098B"/>
    <w:rsid w:val="00DF11C4"/>
    <w:rsid w:val="00DF210C"/>
    <w:rsid w:val="00DF4B6A"/>
    <w:rsid w:val="00E004C0"/>
    <w:rsid w:val="00E014B6"/>
    <w:rsid w:val="00E02C09"/>
    <w:rsid w:val="00E04D59"/>
    <w:rsid w:val="00E070B6"/>
    <w:rsid w:val="00E07DA1"/>
    <w:rsid w:val="00E123CB"/>
    <w:rsid w:val="00E13B09"/>
    <w:rsid w:val="00E20E13"/>
    <w:rsid w:val="00E21DBC"/>
    <w:rsid w:val="00E25FC9"/>
    <w:rsid w:val="00E27597"/>
    <w:rsid w:val="00E275D7"/>
    <w:rsid w:val="00E27DBE"/>
    <w:rsid w:val="00E32AB1"/>
    <w:rsid w:val="00E36C71"/>
    <w:rsid w:val="00E40404"/>
    <w:rsid w:val="00E4126A"/>
    <w:rsid w:val="00E42A06"/>
    <w:rsid w:val="00E459C6"/>
    <w:rsid w:val="00E46C91"/>
    <w:rsid w:val="00E47589"/>
    <w:rsid w:val="00E6059D"/>
    <w:rsid w:val="00E63EC7"/>
    <w:rsid w:val="00E64915"/>
    <w:rsid w:val="00E64D3A"/>
    <w:rsid w:val="00E661D4"/>
    <w:rsid w:val="00E70091"/>
    <w:rsid w:val="00E70D2E"/>
    <w:rsid w:val="00E71A0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0732"/>
    <w:rsid w:val="00EC315E"/>
    <w:rsid w:val="00EC37F2"/>
    <w:rsid w:val="00ED077C"/>
    <w:rsid w:val="00ED10A9"/>
    <w:rsid w:val="00ED1190"/>
    <w:rsid w:val="00ED34AC"/>
    <w:rsid w:val="00ED472F"/>
    <w:rsid w:val="00ED6544"/>
    <w:rsid w:val="00EE0277"/>
    <w:rsid w:val="00EE2899"/>
    <w:rsid w:val="00EE3E00"/>
    <w:rsid w:val="00EE5DD2"/>
    <w:rsid w:val="00EF3DB4"/>
    <w:rsid w:val="00EF478C"/>
    <w:rsid w:val="00F00A79"/>
    <w:rsid w:val="00F00D13"/>
    <w:rsid w:val="00F00E86"/>
    <w:rsid w:val="00F07C1E"/>
    <w:rsid w:val="00F105DB"/>
    <w:rsid w:val="00F132BC"/>
    <w:rsid w:val="00F13D80"/>
    <w:rsid w:val="00F15B4D"/>
    <w:rsid w:val="00F16A7C"/>
    <w:rsid w:val="00F16AAA"/>
    <w:rsid w:val="00F1709C"/>
    <w:rsid w:val="00F206A3"/>
    <w:rsid w:val="00F21161"/>
    <w:rsid w:val="00F218EF"/>
    <w:rsid w:val="00F21BC7"/>
    <w:rsid w:val="00F266A2"/>
    <w:rsid w:val="00F32269"/>
    <w:rsid w:val="00F35B7A"/>
    <w:rsid w:val="00F41F99"/>
    <w:rsid w:val="00F5056A"/>
    <w:rsid w:val="00F56A6F"/>
    <w:rsid w:val="00F5709C"/>
    <w:rsid w:val="00F60B85"/>
    <w:rsid w:val="00F616D7"/>
    <w:rsid w:val="00F61E25"/>
    <w:rsid w:val="00F64EF1"/>
    <w:rsid w:val="00F7349B"/>
    <w:rsid w:val="00F744E6"/>
    <w:rsid w:val="00F76C03"/>
    <w:rsid w:val="00F868B6"/>
    <w:rsid w:val="00F8765F"/>
    <w:rsid w:val="00F90767"/>
    <w:rsid w:val="00F9263C"/>
    <w:rsid w:val="00FA1637"/>
    <w:rsid w:val="00FA685B"/>
    <w:rsid w:val="00FB0C01"/>
    <w:rsid w:val="00FB5934"/>
    <w:rsid w:val="00FB60F2"/>
    <w:rsid w:val="00FC18F2"/>
    <w:rsid w:val="00FC2A17"/>
    <w:rsid w:val="00FC38CF"/>
    <w:rsid w:val="00FC39E5"/>
    <w:rsid w:val="00FC3A78"/>
    <w:rsid w:val="00FD1005"/>
    <w:rsid w:val="00FD1F7F"/>
    <w:rsid w:val="00FD6C75"/>
    <w:rsid w:val="00FD7972"/>
    <w:rsid w:val="00FE0401"/>
    <w:rsid w:val="00FE3E39"/>
    <w:rsid w:val="00FE71B3"/>
    <w:rsid w:val="00FF17AB"/>
    <w:rsid w:val="00FF373A"/>
    <w:rsid w:val="00FF42C5"/>
    <w:rsid w:val="00FF43CE"/>
    <w:rsid w:val="00FF4D9C"/>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27CE0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57" w:unhideWhenUsed="1"/>
    <w:lsdException w:name="footer" w:semiHidden="1" w:uiPriority="98"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lsdException w:name="toa heading" w:semiHidden="1" w:unhideWhenUsed="1"/>
    <w:lsdException w:name="List" w:semiHidden="1" w:uiPriority="0" w:unhideWhenUsed="1"/>
    <w:lsdException w:name="List Bullet" w:semiHidden="1" w:uiPriority="0"/>
    <w:lsdException w:name="List Number" w:semiHidden="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lsdException w:name="List Continue 4" w:semiHidden="1" w:uiPriority="0"/>
    <w:lsdException w:name="List Continue 5" w:semiHidden="1" w:uiPriority="0"/>
    <w:lsdException w:name="Message Header" w:semiHidden="1" w:uiPriority="0"/>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ECHR_Header"/>
    <w:basedOn w:val="Header"/>
    <w:uiPriority w:val="4"/>
    <w:qFormat/>
    <w:rsid w:val="007D3701"/>
    <w:pPr>
      <w:tabs>
        <w:tab w:val="clear" w:pos="4536"/>
        <w:tab w:val="clear" w:pos="9072"/>
      </w:tabs>
      <w:jc w:val="center"/>
    </w:pPr>
    <w:rPr>
      <w:sz w:val="18"/>
    </w:rPr>
  </w:style>
  <w:style w:type="paragraph" w:customStyle="1" w:styleId="NormalJustified">
    <w:name w:val="Normal_Justified"/>
    <w:basedOn w:val="Normal"/>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9"/>
    <w:qFormat/>
    <w:rsid w:val="007D3701"/>
    <w:pPr>
      <w:numPr>
        <w:numId w:val="0"/>
      </w:numPr>
      <w:ind w:left="284"/>
    </w:pPr>
  </w:style>
  <w:style w:type="paragraph" w:customStyle="1" w:styleId="JuList">
    <w:name w:val="Ju_List"/>
    <w:aliases w:val="_List_1"/>
    <w:basedOn w:val="NormalJustified"/>
    <w:uiPriority w:val="28"/>
    <w:qFormat/>
    <w:rsid w:val="007D3701"/>
    <w:pPr>
      <w:numPr>
        <w:numId w:val="11"/>
      </w:numPr>
      <w:spacing w:before="280" w:after="60"/>
    </w:pPr>
  </w:style>
  <w:style w:type="paragraph" w:customStyle="1" w:styleId="JuLista">
    <w:name w:val="Ju_List_a"/>
    <w:aliases w:val="_List_2"/>
    <w:basedOn w:val="NormalJustified"/>
    <w:uiPriority w:val="28"/>
    <w:qFormat/>
    <w:rsid w:val="007D3701"/>
    <w:pPr>
      <w:numPr>
        <w:ilvl w:val="1"/>
        <w:numId w:val="11"/>
      </w:numPr>
    </w:pPr>
  </w:style>
  <w:style w:type="paragraph" w:customStyle="1" w:styleId="JuListi">
    <w:name w:val="Ju_List_i"/>
    <w:aliases w:val="_List_3"/>
    <w:basedOn w:val="NormalJustified"/>
    <w:uiPriority w:val="28"/>
    <w:qFormat/>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7"/>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16"/>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link w:val="JuHIRomanChar"/>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link w:val="JuHAChar"/>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link w:val="JuH1Char"/>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30"/>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17"/>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semiHidden/>
    <w:rsid w:val="007D3701"/>
    <w:pPr>
      <w:spacing w:after="120"/>
    </w:pPr>
  </w:style>
  <w:style w:type="character" w:customStyle="1" w:styleId="BodyTextChar">
    <w:name w:val="Body Text Char"/>
    <w:basedOn w:val="DefaultParagraphFont"/>
    <w:link w:val="BodyText"/>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10"/>
    <w:rsid w:val="007D3701"/>
    <w:pPr>
      <w:ind w:firstLine="284"/>
    </w:pPr>
    <w:rPr>
      <w:b/>
    </w:rPr>
  </w:style>
  <w:style w:type="character" w:styleId="PageNumber">
    <w:name w:val="page number"/>
    <w:semiHidden/>
    <w:rsid w:val="007D3701"/>
    <w:rPr>
      <w:sz w:val="18"/>
    </w:rPr>
  </w:style>
  <w:style w:type="paragraph" w:styleId="ListBullet">
    <w:name w:val="List Bullet"/>
    <w:basedOn w:val="Normal"/>
    <w:semiHidden/>
    <w:rsid w:val="007D3701"/>
    <w:pPr>
      <w:numPr>
        <w:numId w:val="12"/>
      </w:numPr>
    </w:pPr>
  </w:style>
  <w:style w:type="paragraph" w:styleId="ListBullet3">
    <w:name w:val="List Bullet 3"/>
    <w:basedOn w:val="Normal"/>
    <w:semiHidden/>
    <w:rsid w:val="007D3701"/>
    <w:pPr>
      <w:numPr>
        <w:numId w:val="14"/>
      </w:numPr>
      <w:contextualSpacing/>
    </w:pPr>
  </w:style>
  <w:style w:type="character" w:customStyle="1" w:styleId="BodyText2Char">
    <w:name w:val="Body Text 2 Char"/>
    <w:basedOn w:val="DefaultParagraphFont"/>
    <w:link w:val="BodyText2"/>
    <w:rsid w:val="007D3701"/>
    <w:rPr>
      <w:sz w:val="24"/>
      <w:szCs w:val="24"/>
      <w:lang w:val="en-GB"/>
    </w:rPr>
  </w:style>
  <w:style w:type="paragraph" w:styleId="BodyText3">
    <w:name w:val="Body Text 3"/>
    <w:basedOn w:val="Normal"/>
    <w:link w:val="BodyText3Char"/>
    <w:semiHidden/>
    <w:rsid w:val="007D3701"/>
    <w:pPr>
      <w:spacing w:after="120"/>
    </w:pPr>
    <w:rPr>
      <w:sz w:val="16"/>
      <w:szCs w:val="16"/>
    </w:rPr>
  </w:style>
  <w:style w:type="character" w:customStyle="1" w:styleId="BodyText3Char">
    <w:name w:val="Body Text 3 Char"/>
    <w:basedOn w:val="DefaultParagraphFont"/>
    <w:link w:val="BodyText3"/>
    <w:rsid w:val="007D3701"/>
    <w:rPr>
      <w:sz w:val="16"/>
      <w:szCs w:val="16"/>
      <w:lang w:val="en-GB"/>
    </w:rPr>
  </w:style>
  <w:style w:type="paragraph" w:styleId="BodyTextFirstIndent">
    <w:name w:val="Body Text First Indent"/>
    <w:basedOn w:val="BodyText"/>
    <w:link w:val="BodyTextFirstIndentChar"/>
    <w:semiHidden/>
    <w:rsid w:val="007D3701"/>
    <w:pPr>
      <w:spacing w:after="0"/>
      <w:ind w:firstLine="360"/>
    </w:pPr>
  </w:style>
  <w:style w:type="character" w:customStyle="1" w:styleId="BodyTextFirstIndentChar">
    <w:name w:val="Body Text First Indent Char"/>
    <w:basedOn w:val="BodyTextChar"/>
    <w:link w:val="BodyTextFirstIndent"/>
    <w:rsid w:val="007D3701"/>
    <w:rPr>
      <w:sz w:val="24"/>
      <w:szCs w:val="24"/>
      <w:lang w:val="en-GB"/>
    </w:rPr>
  </w:style>
  <w:style w:type="paragraph" w:styleId="BodyTextIndent">
    <w:name w:val="Body Text Indent"/>
    <w:basedOn w:val="Normal"/>
    <w:link w:val="BodyTextIndentChar"/>
    <w:semiHidden/>
    <w:rsid w:val="007D3701"/>
    <w:pPr>
      <w:spacing w:after="120"/>
      <w:ind w:left="283"/>
    </w:pPr>
  </w:style>
  <w:style w:type="character" w:customStyle="1" w:styleId="BodyTextIndentChar">
    <w:name w:val="Body Text Indent Char"/>
    <w:basedOn w:val="DefaultParagraphFont"/>
    <w:link w:val="BodyTextIndent"/>
    <w:rsid w:val="007D3701"/>
    <w:rPr>
      <w:sz w:val="24"/>
      <w:szCs w:val="24"/>
      <w:lang w:val="en-GB"/>
    </w:rPr>
  </w:style>
  <w:style w:type="paragraph" w:styleId="BodyTextFirstIndent2">
    <w:name w:val="Body Text First Indent 2"/>
    <w:basedOn w:val="BodyTextIndent"/>
    <w:link w:val="BodyTextFirstIndent2Char"/>
    <w:semiHidden/>
    <w:rsid w:val="007D3701"/>
    <w:pPr>
      <w:spacing w:after="0"/>
      <w:ind w:left="360" w:firstLine="360"/>
    </w:pPr>
  </w:style>
  <w:style w:type="character" w:customStyle="1" w:styleId="BodyTextFirstIndent2Char">
    <w:name w:val="Body Text First Indent 2 Char"/>
    <w:basedOn w:val="BodyTextIndentChar"/>
    <w:link w:val="BodyTextFirstIndent2"/>
    <w:rsid w:val="007D3701"/>
    <w:rPr>
      <w:sz w:val="24"/>
      <w:szCs w:val="24"/>
      <w:lang w:val="en-GB"/>
    </w:rPr>
  </w:style>
  <w:style w:type="paragraph" w:styleId="BodyTextIndent2">
    <w:name w:val="Body Text Indent 2"/>
    <w:basedOn w:val="Normal"/>
    <w:link w:val="BodyTextIndent2Char"/>
    <w:semiHidden/>
    <w:rsid w:val="007D3701"/>
    <w:pPr>
      <w:spacing w:after="120" w:line="480" w:lineRule="auto"/>
      <w:ind w:left="283"/>
    </w:pPr>
  </w:style>
  <w:style w:type="character" w:customStyle="1" w:styleId="BodyTextIndent2Char">
    <w:name w:val="Body Text Indent 2 Char"/>
    <w:basedOn w:val="DefaultParagraphFont"/>
    <w:link w:val="BodyTextIndent2"/>
    <w:rsid w:val="007D3701"/>
    <w:rPr>
      <w:sz w:val="24"/>
      <w:szCs w:val="24"/>
      <w:lang w:val="en-GB"/>
    </w:rPr>
  </w:style>
  <w:style w:type="paragraph" w:styleId="BodyTextIndent3">
    <w:name w:val="Body Text Indent 3"/>
    <w:basedOn w:val="Normal"/>
    <w:link w:val="BodyTextIndent3Char"/>
    <w:semiHidden/>
    <w:rsid w:val="007D3701"/>
    <w:pPr>
      <w:spacing w:after="120"/>
      <w:ind w:left="283"/>
    </w:pPr>
    <w:rPr>
      <w:sz w:val="16"/>
      <w:szCs w:val="16"/>
    </w:rPr>
  </w:style>
  <w:style w:type="character" w:customStyle="1" w:styleId="BodyTextIndent3Char">
    <w:name w:val="Body Text Indent 3 Char"/>
    <w:basedOn w:val="DefaultParagraphFont"/>
    <w:link w:val="BodyTextIndent3"/>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semiHidden/>
    <w:rsid w:val="007D3701"/>
    <w:pPr>
      <w:ind w:left="4252"/>
    </w:pPr>
  </w:style>
  <w:style w:type="character" w:customStyle="1" w:styleId="ClosingChar">
    <w:name w:val="Closing Char"/>
    <w:basedOn w:val="DefaultParagraphFont"/>
    <w:link w:val="Closing"/>
    <w:rsid w:val="007D3701"/>
    <w:rPr>
      <w:sz w:val="24"/>
      <w:szCs w:val="24"/>
      <w:lang w:val="en-GB"/>
    </w:rPr>
  </w:style>
  <w:style w:type="table" w:styleId="ColorfulGrid">
    <w:name w:val="Colorful Grid"/>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semiHidden/>
    <w:rsid w:val="007D3701"/>
    <w:rPr>
      <w:b/>
      <w:bCs/>
    </w:rPr>
  </w:style>
  <w:style w:type="character" w:customStyle="1" w:styleId="CommentSubjectChar">
    <w:name w:val="Comment Subject Char"/>
    <w:basedOn w:val="CommentTextChar"/>
    <w:link w:val="CommentSubject"/>
    <w:semiHidden/>
    <w:rsid w:val="007D3701"/>
    <w:rPr>
      <w:b/>
      <w:bCs/>
      <w:sz w:val="20"/>
      <w:szCs w:val="20"/>
      <w:lang w:val="en-GB"/>
    </w:rPr>
  </w:style>
  <w:style w:type="table" w:styleId="DarkList">
    <w:name w:val="Dark List"/>
    <w:basedOn w:val="TableNormal"/>
    <w:uiPriority w:val="99"/>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7D3701"/>
  </w:style>
  <w:style w:type="character" w:customStyle="1" w:styleId="DateChar">
    <w:name w:val="Date Char"/>
    <w:basedOn w:val="DefaultParagraphFont"/>
    <w:link w:val="Date"/>
    <w:rsid w:val="007D3701"/>
    <w:rPr>
      <w:sz w:val="24"/>
      <w:szCs w:val="24"/>
      <w:lang w:val="en-GB"/>
    </w:rPr>
  </w:style>
  <w:style w:type="paragraph" w:styleId="DocumentMap">
    <w:name w:val="Document Map"/>
    <w:basedOn w:val="Normal"/>
    <w:link w:val="DocumentMapChar"/>
    <w:semiHidden/>
    <w:rsid w:val="007D3701"/>
    <w:rPr>
      <w:rFonts w:ascii="Tahoma" w:hAnsi="Tahoma" w:cs="Tahoma"/>
      <w:sz w:val="16"/>
      <w:szCs w:val="16"/>
    </w:rPr>
  </w:style>
  <w:style w:type="character" w:customStyle="1" w:styleId="DocumentMapChar">
    <w:name w:val="Document Map Char"/>
    <w:basedOn w:val="DefaultParagraphFont"/>
    <w:link w:val="DocumentMap"/>
    <w:semiHidden/>
    <w:rsid w:val="007D3701"/>
    <w:rPr>
      <w:rFonts w:ascii="Tahoma" w:hAnsi="Tahoma" w:cs="Tahoma"/>
      <w:sz w:val="16"/>
      <w:szCs w:val="16"/>
      <w:lang w:val="en-GB"/>
    </w:rPr>
  </w:style>
  <w:style w:type="paragraph" w:styleId="E-mailSignature">
    <w:name w:val="E-mail Signature"/>
    <w:basedOn w:val="Normal"/>
    <w:link w:val="E-mailSignatureChar"/>
    <w:semiHidden/>
    <w:rsid w:val="007D3701"/>
  </w:style>
  <w:style w:type="character" w:customStyle="1" w:styleId="E-mailSignatureChar">
    <w:name w:val="E-mail Signature Char"/>
    <w:basedOn w:val="DefaultParagraphFont"/>
    <w:link w:val="E-mailSignature"/>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semiHidden/>
    <w:rsid w:val="007D3701"/>
    <w:rPr>
      <w:color w:val="7030A0" w:themeColor="followedHyperlink"/>
      <w:u w:val="single"/>
    </w:rPr>
  </w:style>
  <w:style w:type="character" w:styleId="HTMLAcronym">
    <w:name w:val="HTML Acronym"/>
    <w:basedOn w:val="DefaultParagraphFont"/>
    <w:semiHidden/>
    <w:rsid w:val="007D3701"/>
  </w:style>
  <w:style w:type="paragraph" w:styleId="HTMLAddress">
    <w:name w:val="HTML Address"/>
    <w:basedOn w:val="Normal"/>
    <w:link w:val="HTMLAddressChar"/>
    <w:semiHidden/>
    <w:rsid w:val="007D3701"/>
    <w:rPr>
      <w:i/>
      <w:iCs/>
    </w:rPr>
  </w:style>
  <w:style w:type="character" w:customStyle="1" w:styleId="HTMLAddressChar">
    <w:name w:val="HTML Address Char"/>
    <w:basedOn w:val="DefaultParagraphFont"/>
    <w:link w:val="HTMLAddress"/>
    <w:rsid w:val="007D3701"/>
    <w:rPr>
      <w:i/>
      <w:iCs/>
      <w:sz w:val="24"/>
      <w:szCs w:val="24"/>
      <w:lang w:val="en-GB"/>
    </w:rPr>
  </w:style>
  <w:style w:type="character" w:styleId="HTMLCite">
    <w:name w:val="HTML Cite"/>
    <w:basedOn w:val="DefaultParagraphFont"/>
    <w:semiHidden/>
    <w:rsid w:val="007D3701"/>
    <w:rPr>
      <w:i/>
      <w:iCs/>
    </w:rPr>
  </w:style>
  <w:style w:type="character" w:styleId="HTMLCode">
    <w:name w:val="HTML Code"/>
    <w:basedOn w:val="DefaultParagraphFont"/>
    <w:semiHidden/>
    <w:rsid w:val="007D3701"/>
    <w:rPr>
      <w:rFonts w:ascii="Consolas" w:hAnsi="Consolas" w:cs="Consolas"/>
      <w:sz w:val="20"/>
      <w:szCs w:val="20"/>
    </w:rPr>
  </w:style>
  <w:style w:type="character" w:styleId="HTMLDefinition">
    <w:name w:val="HTML Definition"/>
    <w:basedOn w:val="DefaultParagraphFont"/>
    <w:semiHidden/>
    <w:rsid w:val="007D3701"/>
    <w:rPr>
      <w:i/>
      <w:iCs/>
    </w:rPr>
  </w:style>
  <w:style w:type="character" w:styleId="HTMLKeyboard">
    <w:name w:val="HTML Keyboard"/>
    <w:basedOn w:val="DefaultParagraphFont"/>
    <w:semiHidden/>
    <w:rsid w:val="007D3701"/>
    <w:rPr>
      <w:rFonts w:ascii="Consolas" w:hAnsi="Consolas" w:cs="Consolas"/>
      <w:sz w:val="20"/>
      <w:szCs w:val="20"/>
    </w:rPr>
  </w:style>
  <w:style w:type="paragraph" w:styleId="HTMLPreformatted">
    <w:name w:val="HTML Preformatted"/>
    <w:basedOn w:val="Normal"/>
    <w:link w:val="HTMLPreformattedChar"/>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rsid w:val="007D3701"/>
    <w:rPr>
      <w:rFonts w:ascii="Consolas" w:hAnsi="Consolas" w:cs="Consolas"/>
      <w:sz w:val="20"/>
      <w:szCs w:val="20"/>
      <w:lang w:val="en-GB"/>
    </w:rPr>
  </w:style>
  <w:style w:type="character" w:styleId="HTMLSample">
    <w:name w:val="HTML Sample"/>
    <w:basedOn w:val="DefaultParagraphFont"/>
    <w:semiHidden/>
    <w:rsid w:val="007D3701"/>
    <w:rPr>
      <w:rFonts w:ascii="Consolas" w:hAnsi="Consolas" w:cs="Consolas"/>
      <w:sz w:val="24"/>
      <w:szCs w:val="24"/>
    </w:rPr>
  </w:style>
  <w:style w:type="character" w:styleId="HTMLTypewriter">
    <w:name w:val="HTML Typewriter"/>
    <w:basedOn w:val="DefaultParagraphFont"/>
    <w:semiHidden/>
    <w:rsid w:val="007D3701"/>
    <w:rPr>
      <w:rFonts w:ascii="Consolas" w:hAnsi="Consolas" w:cs="Consolas"/>
      <w:sz w:val="20"/>
      <w:szCs w:val="20"/>
    </w:rPr>
  </w:style>
  <w:style w:type="character" w:styleId="HTMLVariable">
    <w:name w:val="HTML Variable"/>
    <w:basedOn w:val="DefaultParagraphFont"/>
    <w:semiHidden/>
    <w:rsid w:val="007D3701"/>
    <w:rPr>
      <w:i/>
      <w:iCs/>
    </w:rPr>
  </w:style>
  <w:style w:type="paragraph" w:styleId="Index1">
    <w:name w:val="index 1"/>
    <w:basedOn w:val="Normal"/>
    <w:next w:val="Normal"/>
    <w:autoRedefine/>
    <w:semiHidden/>
    <w:rsid w:val="007D3701"/>
    <w:pPr>
      <w:ind w:left="240" w:hanging="240"/>
    </w:pPr>
  </w:style>
  <w:style w:type="paragraph" w:styleId="Index2">
    <w:name w:val="index 2"/>
    <w:basedOn w:val="Normal"/>
    <w:next w:val="Normal"/>
    <w:autoRedefine/>
    <w:semiHidden/>
    <w:rsid w:val="007D3701"/>
    <w:pPr>
      <w:ind w:left="480" w:hanging="240"/>
    </w:pPr>
  </w:style>
  <w:style w:type="paragraph" w:styleId="Index3">
    <w:name w:val="index 3"/>
    <w:basedOn w:val="Normal"/>
    <w:next w:val="Normal"/>
    <w:autoRedefine/>
    <w:semiHidden/>
    <w:rsid w:val="007D3701"/>
    <w:pPr>
      <w:ind w:left="720" w:hanging="240"/>
    </w:pPr>
  </w:style>
  <w:style w:type="paragraph" w:styleId="Index4">
    <w:name w:val="index 4"/>
    <w:basedOn w:val="Normal"/>
    <w:next w:val="Normal"/>
    <w:autoRedefine/>
    <w:semiHidden/>
    <w:rsid w:val="007D3701"/>
    <w:pPr>
      <w:ind w:left="960" w:hanging="240"/>
    </w:pPr>
  </w:style>
  <w:style w:type="paragraph" w:styleId="Index5">
    <w:name w:val="index 5"/>
    <w:basedOn w:val="Normal"/>
    <w:next w:val="Normal"/>
    <w:autoRedefine/>
    <w:semiHidden/>
    <w:rsid w:val="007D3701"/>
    <w:pPr>
      <w:ind w:left="1200" w:hanging="240"/>
    </w:pPr>
  </w:style>
  <w:style w:type="paragraph" w:styleId="Index6">
    <w:name w:val="index 6"/>
    <w:basedOn w:val="Normal"/>
    <w:next w:val="Normal"/>
    <w:autoRedefine/>
    <w:semiHidden/>
    <w:rsid w:val="007D3701"/>
    <w:pPr>
      <w:ind w:left="1440" w:hanging="240"/>
    </w:pPr>
  </w:style>
  <w:style w:type="paragraph" w:styleId="Index7">
    <w:name w:val="index 7"/>
    <w:basedOn w:val="Normal"/>
    <w:next w:val="Normal"/>
    <w:autoRedefine/>
    <w:semiHidden/>
    <w:rsid w:val="007D3701"/>
    <w:pPr>
      <w:ind w:left="1680" w:hanging="240"/>
    </w:pPr>
  </w:style>
  <w:style w:type="paragraph" w:styleId="Index8">
    <w:name w:val="index 8"/>
    <w:basedOn w:val="Normal"/>
    <w:next w:val="Normal"/>
    <w:autoRedefine/>
    <w:semiHidden/>
    <w:rsid w:val="007D3701"/>
    <w:pPr>
      <w:ind w:left="1920" w:hanging="240"/>
    </w:pPr>
  </w:style>
  <w:style w:type="paragraph" w:styleId="Index9">
    <w:name w:val="index 9"/>
    <w:basedOn w:val="Normal"/>
    <w:next w:val="Normal"/>
    <w:autoRedefine/>
    <w:semiHidden/>
    <w:rsid w:val="007D3701"/>
    <w:pPr>
      <w:ind w:left="2160" w:hanging="240"/>
    </w:pPr>
  </w:style>
  <w:style w:type="paragraph" w:styleId="IndexHeading">
    <w:name w:val="index heading"/>
    <w:basedOn w:val="Normal"/>
    <w:next w:val="Index1"/>
    <w:semiHidden/>
    <w:rsid w:val="007D3701"/>
    <w:rPr>
      <w:rFonts w:asciiTheme="majorHAnsi" w:eastAsiaTheme="majorEastAsia" w:hAnsiTheme="majorHAnsi" w:cstheme="majorBidi"/>
      <w:b/>
      <w:bCs/>
    </w:rPr>
  </w:style>
  <w:style w:type="table" w:styleId="LightGrid">
    <w:name w:val="Light Grid"/>
    <w:basedOn w:val="TableNormal"/>
    <w:uiPriority w:val="99"/>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7D3701"/>
  </w:style>
  <w:style w:type="paragraph" w:styleId="List">
    <w:name w:val="List"/>
    <w:basedOn w:val="Normal"/>
    <w:semiHidden/>
    <w:rsid w:val="007D3701"/>
    <w:pPr>
      <w:ind w:left="283" w:hanging="283"/>
      <w:contextualSpacing/>
    </w:pPr>
  </w:style>
  <w:style w:type="paragraph" w:styleId="List2">
    <w:name w:val="List 2"/>
    <w:basedOn w:val="Normal"/>
    <w:semiHidden/>
    <w:rsid w:val="007D3701"/>
    <w:pPr>
      <w:ind w:left="566" w:hanging="283"/>
      <w:contextualSpacing/>
    </w:pPr>
  </w:style>
  <w:style w:type="paragraph" w:styleId="List3">
    <w:name w:val="List 3"/>
    <w:basedOn w:val="Normal"/>
    <w:semiHidden/>
    <w:rsid w:val="007D3701"/>
    <w:pPr>
      <w:ind w:left="849" w:hanging="283"/>
      <w:contextualSpacing/>
    </w:pPr>
  </w:style>
  <w:style w:type="paragraph" w:styleId="List4">
    <w:name w:val="List 4"/>
    <w:basedOn w:val="Normal"/>
    <w:semiHidden/>
    <w:rsid w:val="007D3701"/>
    <w:pPr>
      <w:ind w:left="1132" w:hanging="283"/>
      <w:contextualSpacing/>
    </w:pPr>
  </w:style>
  <w:style w:type="paragraph" w:styleId="List5">
    <w:name w:val="List 5"/>
    <w:basedOn w:val="Normal"/>
    <w:semiHidden/>
    <w:rsid w:val="007D3701"/>
    <w:pPr>
      <w:ind w:left="1415" w:hanging="283"/>
      <w:contextualSpacing/>
    </w:pPr>
  </w:style>
  <w:style w:type="paragraph" w:styleId="ListBullet2">
    <w:name w:val="List Bullet 2"/>
    <w:basedOn w:val="Normal"/>
    <w:semiHidden/>
    <w:rsid w:val="007D3701"/>
    <w:pPr>
      <w:numPr>
        <w:numId w:val="13"/>
      </w:numPr>
      <w:contextualSpacing/>
    </w:pPr>
  </w:style>
  <w:style w:type="paragraph" w:styleId="ListBullet4">
    <w:name w:val="List Bullet 4"/>
    <w:basedOn w:val="Normal"/>
    <w:semiHidden/>
    <w:rsid w:val="007D3701"/>
    <w:pPr>
      <w:numPr>
        <w:numId w:val="15"/>
      </w:numPr>
      <w:contextualSpacing/>
    </w:pPr>
  </w:style>
  <w:style w:type="paragraph" w:styleId="ListBullet5">
    <w:name w:val="List Bullet 5"/>
    <w:basedOn w:val="Normal"/>
    <w:semiHidden/>
    <w:rsid w:val="007D3701"/>
    <w:pPr>
      <w:numPr>
        <w:numId w:val="16"/>
      </w:numPr>
      <w:contextualSpacing/>
    </w:pPr>
  </w:style>
  <w:style w:type="paragraph" w:styleId="ListContinue">
    <w:name w:val="List Continue"/>
    <w:basedOn w:val="Normal"/>
    <w:semiHidden/>
    <w:rsid w:val="007D3701"/>
    <w:pPr>
      <w:spacing w:after="120"/>
      <w:ind w:left="283"/>
      <w:contextualSpacing/>
    </w:pPr>
  </w:style>
  <w:style w:type="paragraph" w:styleId="ListContinue2">
    <w:name w:val="List Continue 2"/>
    <w:basedOn w:val="Normal"/>
    <w:semiHidden/>
    <w:rsid w:val="007D3701"/>
    <w:pPr>
      <w:spacing w:after="120"/>
      <w:ind w:left="566"/>
      <w:contextualSpacing/>
    </w:pPr>
  </w:style>
  <w:style w:type="paragraph" w:styleId="ListContinue3">
    <w:name w:val="List Continue 3"/>
    <w:basedOn w:val="Normal"/>
    <w:semiHidden/>
    <w:rsid w:val="007D3701"/>
    <w:pPr>
      <w:spacing w:after="120"/>
      <w:ind w:left="849"/>
      <w:contextualSpacing/>
    </w:pPr>
  </w:style>
  <w:style w:type="paragraph" w:styleId="ListContinue4">
    <w:name w:val="List Continue 4"/>
    <w:basedOn w:val="Normal"/>
    <w:semiHidden/>
    <w:rsid w:val="007D3701"/>
    <w:pPr>
      <w:spacing w:after="120"/>
      <w:ind w:left="1132"/>
      <w:contextualSpacing/>
    </w:pPr>
  </w:style>
  <w:style w:type="paragraph" w:styleId="ListContinue5">
    <w:name w:val="List Continue 5"/>
    <w:basedOn w:val="Normal"/>
    <w:semiHidden/>
    <w:rsid w:val="007D3701"/>
    <w:pPr>
      <w:spacing w:after="120"/>
      <w:ind w:left="1415"/>
      <w:contextualSpacing/>
    </w:pPr>
  </w:style>
  <w:style w:type="paragraph" w:styleId="ListNumber">
    <w:name w:val="List Number"/>
    <w:basedOn w:val="Normal"/>
    <w:semiHidden/>
    <w:rsid w:val="007D3701"/>
    <w:pPr>
      <w:numPr>
        <w:numId w:val="17"/>
      </w:numPr>
      <w:contextualSpacing/>
    </w:pPr>
  </w:style>
  <w:style w:type="paragraph" w:styleId="ListNumber2">
    <w:name w:val="List Number 2"/>
    <w:basedOn w:val="Normal"/>
    <w:semiHidden/>
    <w:rsid w:val="007D3701"/>
    <w:pPr>
      <w:numPr>
        <w:numId w:val="18"/>
      </w:numPr>
      <w:contextualSpacing/>
    </w:pPr>
  </w:style>
  <w:style w:type="paragraph" w:styleId="ListNumber3">
    <w:name w:val="List Number 3"/>
    <w:basedOn w:val="Normal"/>
    <w:semiHidden/>
    <w:rsid w:val="007D3701"/>
    <w:pPr>
      <w:numPr>
        <w:numId w:val="19"/>
      </w:numPr>
      <w:contextualSpacing/>
    </w:pPr>
  </w:style>
  <w:style w:type="paragraph" w:styleId="ListNumber4">
    <w:name w:val="List Number 4"/>
    <w:basedOn w:val="Normal"/>
    <w:semiHidden/>
    <w:rsid w:val="007D3701"/>
    <w:pPr>
      <w:numPr>
        <w:numId w:val="20"/>
      </w:numPr>
      <w:contextualSpacing/>
    </w:pPr>
  </w:style>
  <w:style w:type="paragraph" w:styleId="ListNumber5">
    <w:name w:val="List Number 5"/>
    <w:basedOn w:val="Normal"/>
    <w:semiHidden/>
    <w:rsid w:val="007D3701"/>
    <w:pPr>
      <w:numPr>
        <w:numId w:val="21"/>
      </w:numPr>
      <w:contextualSpacing/>
    </w:pPr>
  </w:style>
  <w:style w:type="paragraph" w:styleId="MacroText">
    <w:name w:val="macro"/>
    <w:link w:val="MacroTextChar"/>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semiHidden/>
    <w:rsid w:val="007D3701"/>
    <w:rPr>
      <w:rFonts w:ascii="Consolas" w:eastAsiaTheme="minorEastAsia" w:hAnsi="Consolas" w:cs="Consolas"/>
      <w:sz w:val="20"/>
      <w:szCs w:val="20"/>
    </w:rPr>
  </w:style>
  <w:style w:type="table" w:styleId="MediumGrid1">
    <w:name w:val="Medium Grid 1"/>
    <w:basedOn w:val="TableNormal"/>
    <w:uiPriority w:val="99"/>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semiHidden/>
    <w:rsid w:val="007D3701"/>
    <w:pPr>
      <w:ind w:left="720"/>
    </w:pPr>
  </w:style>
  <w:style w:type="paragraph" w:styleId="NoteHeading">
    <w:name w:val="Note Heading"/>
    <w:basedOn w:val="Normal"/>
    <w:next w:val="Normal"/>
    <w:link w:val="NoteHeadingChar"/>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semiHidden/>
    <w:rsid w:val="007D3701"/>
    <w:rPr>
      <w:rFonts w:ascii="Consolas" w:hAnsi="Consolas" w:cs="Consolas"/>
      <w:sz w:val="21"/>
      <w:szCs w:val="21"/>
    </w:rPr>
  </w:style>
  <w:style w:type="character" w:customStyle="1" w:styleId="PlainTextChar">
    <w:name w:val="Plain Text Char"/>
    <w:basedOn w:val="DefaultParagraphFont"/>
    <w:link w:val="PlainText"/>
    <w:rsid w:val="007D3701"/>
    <w:rPr>
      <w:rFonts w:ascii="Consolas" w:hAnsi="Consolas" w:cs="Consolas"/>
      <w:sz w:val="21"/>
      <w:szCs w:val="21"/>
      <w:lang w:val="en-GB"/>
    </w:rPr>
  </w:style>
  <w:style w:type="paragraph" w:styleId="Salutation">
    <w:name w:val="Salutation"/>
    <w:basedOn w:val="Normal"/>
    <w:next w:val="Normal"/>
    <w:link w:val="SalutationChar"/>
    <w:semiHidden/>
    <w:rsid w:val="007D3701"/>
  </w:style>
  <w:style w:type="character" w:customStyle="1" w:styleId="SalutationChar">
    <w:name w:val="Salutation Char"/>
    <w:basedOn w:val="DefaultParagraphFont"/>
    <w:link w:val="Salutation"/>
    <w:rsid w:val="007D3701"/>
    <w:rPr>
      <w:sz w:val="24"/>
      <w:szCs w:val="24"/>
      <w:lang w:val="en-GB"/>
    </w:rPr>
  </w:style>
  <w:style w:type="paragraph" w:styleId="Signature">
    <w:name w:val="Signature"/>
    <w:basedOn w:val="Normal"/>
    <w:link w:val="SignatureChar"/>
    <w:semiHidden/>
    <w:rsid w:val="007D3701"/>
    <w:pPr>
      <w:ind w:left="4252"/>
    </w:pPr>
  </w:style>
  <w:style w:type="character" w:customStyle="1" w:styleId="SignatureChar">
    <w:name w:val="Signature Char"/>
    <w:basedOn w:val="DefaultParagraphFont"/>
    <w:link w:val="Signature"/>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7D3701"/>
    <w:pPr>
      <w:ind w:left="240" w:hanging="240"/>
    </w:pPr>
  </w:style>
  <w:style w:type="paragraph" w:styleId="TableofFigures">
    <w:name w:val="table of figures"/>
    <w:basedOn w:val="Normal"/>
    <w:next w:val="Normal"/>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semiHidden/>
    <w:rsid w:val="007D3701"/>
    <w:pPr>
      <w:spacing w:after="100"/>
      <w:ind w:left="1680"/>
    </w:pPr>
  </w:style>
  <w:style w:type="paragraph" w:styleId="TOC9">
    <w:name w:val="toc 9"/>
    <w:basedOn w:val="Normal"/>
    <w:next w:val="Normal"/>
    <w:autoRedefine/>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11"/>
    <w:qFormat/>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18"/>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Opi_H_Head"/>
    <w:basedOn w:val="Normal"/>
    <w:next w:val="Normal"/>
    <w:uiPriority w:val="39"/>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8"/>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7"/>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12"/>
    <w:rsid w:val="00085C12"/>
    <w:rPr>
      <w:sz w:val="24"/>
      <w:szCs w:val="24"/>
      <w:lang w:val="en-GB"/>
    </w:rPr>
  </w:style>
  <w:style w:type="paragraph" w:customStyle="1" w:styleId="jupara0">
    <w:name w:val="jupara"/>
    <w:basedOn w:val="Normal"/>
    <w:rsid w:val="00335E45"/>
    <w:pPr>
      <w:ind w:firstLine="284"/>
      <w:jc w:val="both"/>
    </w:pPr>
    <w:rPr>
      <w:rFonts w:ascii="Times New Roman" w:eastAsia="Times New Roman" w:hAnsi="Times New Roman" w:cs="Times New Roman"/>
      <w:lang w:eastAsia="en-GB"/>
    </w:rPr>
  </w:style>
  <w:style w:type="paragraph" w:customStyle="1" w:styleId="jucase0">
    <w:name w:val="jucase"/>
    <w:basedOn w:val="Normal"/>
    <w:rsid w:val="00335E45"/>
    <w:pPr>
      <w:ind w:firstLine="284"/>
      <w:jc w:val="both"/>
    </w:pPr>
    <w:rPr>
      <w:rFonts w:ascii="Times New Roman" w:eastAsia="Times New Roman" w:hAnsi="Times New Roman" w:cs="Times New Roman"/>
      <w:b/>
      <w:bCs/>
      <w:lang w:eastAsia="en-GB"/>
    </w:rPr>
  </w:style>
  <w:style w:type="paragraph" w:customStyle="1" w:styleId="JuParaSub">
    <w:name w:val="Ju_Para_Sub"/>
    <w:basedOn w:val="JuPara"/>
    <w:uiPriority w:val="13"/>
    <w:qFormat/>
    <w:rsid w:val="004A6EA7"/>
    <w:pPr>
      <w:ind w:left="284"/>
    </w:pPr>
    <w:rPr>
      <w:rFonts w:eastAsiaTheme="minorEastAsia"/>
      <w:szCs w:val="22"/>
    </w:rPr>
  </w:style>
  <w:style w:type="paragraph" w:customStyle="1" w:styleId="JuQuotSub">
    <w:name w:val="Ju_Quot_Sub"/>
    <w:basedOn w:val="JuQuot"/>
    <w:uiPriority w:val="15"/>
    <w:qFormat/>
    <w:rsid w:val="004A6EA7"/>
    <w:pPr>
      <w:ind w:left="567"/>
    </w:pPr>
    <w:rPr>
      <w:rFonts w:eastAsiaTheme="minorEastAsia"/>
      <w:szCs w:val="22"/>
    </w:rPr>
  </w:style>
  <w:style w:type="paragraph" w:customStyle="1" w:styleId="JuAppQuestion">
    <w:name w:val="Ju_App_Question"/>
    <w:basedOn w:val="Normal"/>
    <w:uiPriority w:val="5"/>
    <w:qFormat/>
    <w:rsid w:val="004A6EA7"/>
    <w:pPr>
      <w:numPr>
        <w:numId w:val="28"/>
      </w:numPr>
    </w:pPr>
    <w:rPr>
      <w:rFonts w:eastAsiaTheme="minorEastAsia"/>
      <w:b/>
      <w:szCs w:val="22"/>
    </w:rPr>
  </w:style>
  <w:style w:type="paragraph" w:customStyle="1" w:styleId="JuHeaderLandscape">
    <w:name w:val="Ju_Header_Landscape"/>
    <w:basedOn w:val="JuHeader"/>
    <w:uiPriority w:val="4"/>
    <w:qFormat/>
    <w:rsid w:val="004A6EA7"/>
    <w:pPr>
      <w:tabs>
        <w:tab w:val="center" w:pos="6146"/>
        <w:tab w:val="right" w:pos="12293"/>
      </w:tabs>
      <w:jc w:val="left"/>
    </w:pPr>
    <w:rPr>
      <w:szCs w:val="22"/>
    </w:rPr>
  </w:style>
  <w:style w:type="character" w:customStyle="1" w:styleId="JuNames0">
    <w:name w:val="Ju_Names"/>
    <w:rsid w:val="004A6EA7"/>
    <w:rPr>
      <w:rFonts w:ascii="Times New Roman" w:hAnsi="Times New Roman" w:cs="Times New Roman"/>
      <w:smallCaps/>
    </w:rPr>
  </w:style>
  <w:style w:type="character" w:customStyle="1" w:styleId="JuHIRomanChar">
    <w:name w:val="Ju_H_I_Roman Char"/>
    <w:link w:val="JuHIRoman"/>
    <w:uiPriority w:val="19"/>
    <w:rsid w:val="004A6EA7"/>
    <w:rPr>
      <w:caps/>
      <w:sz w:val="24"/>
      <w:szCs w:val="24"/>
      <w:lang w:val="en-GB"/>
    </w:rPr>
  </w:style>
  <w:style w:type="character" w:customStyle="1" w:styleId="JuHAChar">
    <w:name w:val="Ju_H_A Char"/>
    <w:link w:val="JuHA"/>
    <w:uiPriority w:val="20"/>
    <w:rsid w:val="004A6EA7"/>
    <w:rPr>
      <w:b/>
      <w:sz w:val="24"/>
      <w:szCs w:val="24"/>
      <w:lang w:val="en-GB"/>
    </w:rPr>
  </w:style>
  <w:style w:type="character" w:customStyle="1" w:styleId="JuH1Char">
    <w:name w:val="Ju_H_1. Char"/>
    <w:link w:val="JuH1"/>
    <w:uiPriority w:val="21"/>
    <w:rsid w:val="004A6EA7"/>
    <w:rPr>
      <w:i/>
      <w:sz w:val="24"/>
      <w:szCs w:val="24"/>
      <w:lang w:val="en-GB"/>
    </w:rPr>
  </w:style>
  <w:style w:type="table" w:customStyle="1" w:styleId="Table3Deffects11">
    <w:name w:val="Table 3D effects 11"/>
    <w:basedOn w:val="TableNormal"/>
    <w:next w:val="Table3Deffects1"/>
    <w:rsid w:val="004A6EA7"/>
    <w:pPr>
      <w:suppressAutoHyphens/>
    </w:pPr>
    <w:rPr>
      <w:rFonts w:ascii="Times New Roman" w:eastAsia="Times New Roman" w:hAnsi="Times New Roman" w:cs="Times New Roman"/>
      <w:sz w:val="20"/>
      <w:szCs w:val="20"/>
      <w:lang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4A6EA7"/>
    <w:pPr>
      <w:suppressAutoHyphens/>
    </w:pPr>
    <w:rPr>
      <w:rFonts w:ascii="Times New Roman" w:eastAsia="Times New Roman" w:hAnsi="Times New Roman" w:cs="Times New Roman"/>
      <w:sz w:val="20"/>
      <w:szCs w:val="20"/>
      <w:lang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4A6EA7"/>
    <w:pPr>
      <w:suppressAutoHyphens/>
    </w:pPr>
    <w:rPr>
      <w:rFonts w:ascii="Times New Roman" w:eastAsia="Times New Roman" w:hAnsi="Times New Roman" w:cs="Times New Roman"/>
      <w:sz w:val="20"/>
      <w:szCs w:val="20"/>
      <w:lang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4A6EA7"/>
    <w:pPr>
      <w:suppressAutoHyphens/>
    </w:pPr>
    <w:rPr>
      <w:rFonts w:ascii="Times New Roman" w:eastAsia="Times New Roman" w:hAnsi="Times New Roman" w:cs="Times New Roman"/>
      <w:sz w:val="20"/>
      <w:szCs w:val="20"/>
      <w:lang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4A6EA7"/>
    <w:pPr>
      <w:suppressAutoHyphens/>
    </w:pPr>
    <w:rPr>
      <w:rFonts w:ascii="Times New Roman" w:eastAsia="Times New Roman" w:hAnsi="Times New Roman" w:cs="Times New Roman"/>
      <w:sz w:val="20"/>
      <w:szCs w:val="20"/>
      <w:lang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4A6EA7"/>
    <w:pPr>
      <w:suppressAutoHyphens/>
    </w:pPr>
    <w:rPr>
      <w:rFonts w:ascii="Times New Roman" w:eastAsia="Times New Roman" w:hAnsi="Times New Roman" w:cs="Times New Roman"/>
      <w:color w:val="000080"/>
      <w:sz w:val="20"/>
      <w:szCs w:val="2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4A6EA7"/>
    <w:pPr>
      <w:suppressAutoHyphens/>
    </w:pPr>
    <w:rPr>
      <w:rFonts w:ascii="Times New Roman" w:eastAsia="Times New Roman" w:hAnsi="Times New Roman" w:cs="Times New Roman"/>
      <w:sz w:val="20"/>
      <w:szCs w:val="20"/>
      <w:lang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4A6EA7"/>
    <w:pPr>
      <w:suppressAutoHyphens/>
    </w:pPr>
    <w:rPr>
      <w:rFonts w:ascii="Times New Roman" w:eastAsia="Times New Roman" w:hAnsi="Times New Roman" w:cs="Times New Roman"/>
      <w:color w:val="FFFFFF"/>
      <w:sz w:val="20"/>
      <w:szCs w:val="20"/>
      <w:lang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4A6EA7"/>
    <w:pPr>
      <w:suppressAutoHyphens/>
    </w:pPr>
    <w:rPr>
      <w:rFonts w:ascii="Times New Roman" w:eastAsia="Times New Roman" w:hAnsi="Times New Roman" w:cs="Times New Roman"/>
      <w:sz w:val="20"/>
      <w:szCs w:val="20"/>
      <w:lang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rsid w:val="004A6EA7"/>
    <w:pPr>
      <w:suppressAutoHyphens/>
    </w:pPr>
    <w:rPr>
      <w:rFonts w:ascii="Times New Roman" w:eastAsia="Times New Roman" w:hAnsi="Times New Roman" w:cs="Times New Roman"/>
      <w:sz w:val="20"/>
      <w:szCs w:val="20"/>
      <w:lang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rsid w:val="004A6EA7"/>
    <w:pPr>
      <w:suppressAutoHyphens/>
    </w:pPr>
    <w:rPr>
      <w:rFonts w:ascii="Times New Roman" w:eastAsia="Times New Roman" w:hAnsi="Times New Roman" w:cs="Times New Roman"/>
      <w:b/>
      <w:bCs/>
      <w:sz w:val="20"/>
      <w:szCs w:val="20"/>
      <w:lang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4A6EA7"/>
    <w:pPr>
      <w:suppressAutoHyphens/>
    </w:pPr>
    <w:rPr>
      <w:rFonts w:ascii="Times New Roman" w:eastAsia="Times New Roman" w:hAnsi="Times New Roman" w:cs="Times New Roman"/>
      <w:b/>
      <w:bCs/>
      <w:sz w:val="20"/>
      <w:szCs w:val="20"/>
      <w:lang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rsid w:val="004A6EA7"/>
    <w:pPr>
      <w:suppressAutoHyphens/>
    </w:pPr>
    <w:rPr>
      <w:rFonts w:ascii="Times New Roman" w:eastAsia="Times New Roman" w:hAnsi="Times New Roman" w:cs="Times New Roman"/>
      <w:b/>
      <w:bCs/>
      <w:sz w:val="20"/>
      <w:szCs w:val="20"/>
      <w:lang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4A6EA7"/>
    <w:pPr>
      <w:suppressAutoHyphens/>
    </w:pPr>
    <w:rPr>
      <w:rFonts w:ascii="Times New Roman" w:eastAsia="Times New Roman" w:hAnsi="Times New Roman" w:cs="Times New Roman"/>
      <w:sz w:val="20"/>
      <w:szCs w:val="20"/>
      <w:lang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rsid w:val="004A6EA7"/>
    <w:pPr>
      <w:suppressAutoHyphens/>
    </w:pPr>
    <w:rPr>
      <w:rFonts w:ascii="Times New Roman" w:eastAsia="Times New Roman" w:hAnsi="Times New Roman" w:cs="Times New Roman"/>
      <w:sz w:val="20"/>
      <w:szCs w:val="20"/>
      <w:lang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rsid w:val="004A6EA7"/>
    <w:pPr>
      <w:suppressAutoHyphens/>
    </w:pPr>
    <w:rPr>
      <w:rFonts w:ascii="Times New Roman" w:eastAsia="Times New Roman" w:hAnsi="Times New Roman" w:cs="Times New Roman"/>
      <w:sz w:val="20"/>
      <w:szCs w:val="20"/>
      <w:lang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rsid w:val="004A6EA7"/>
    <w:pPr>
      <w:suppressAutoHyphens/>
    </w:pPr>
    <w:rPr>
      <w:rFonts w:ascii="Times New Roman" w:eastAsia="Times New Roman" w:hAnsi="Times New Roman" w:cs="Times New Roman"/>
      <w:sz w:val="20"/>
      <w:szCs w:val="20"/>
      <w:lang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4A6EA7"/>
    <w:pPr>
      <w:suppressAutoHyphens/>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rsid w:val="004A6EA7"/>
    <w:pPr>
      <w:suppressAutoHyphens/>
    </w:pPr>
    <w:rPr>
      <w:rFonts w:ascii="Times New Roman" w:eastAsia="Times New Roman" w:hAnsi="Times New Roman" w:cs="Times New Roman"/>
      <w:sz w:val="20"/>
      <w:szCs w:val="20"/>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rsid w:val="004A6EA7"/>
    <w:pPr>
      <w:suppressAutoHyphens/>
    </w:pPr>
    <w:rPr>
      <w:rFonts w:ascii="Times New Roman" w:eastAsia="Times New Roman" w:hAnsi="Times New Roman" w:cs="Times New Roman"/>
      <w:sz w:val="20"/>
      <w:szCs w:val="20"/>
      <w:lang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rsid w:val="004A6EA7"/>
    <w:pPr>
      <w:suppressAutoHyphens/>
    </w:pPr>
    <w:rPr>
      <w:rFonts w:ascii="Times New Roman" w:eastAsia="Times New Roman" w:hAnsi="Times New Roman" w:cs="Times New Roman"/>
      <w:sz w:val="20"/>
      <w:szCs w:val="20"/>
      <w:lang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rsid w:val="004A6EA7"/>
    <w:pPr>
      <w:suppressAutoHyphens/>
    </w:pPr>
    <w:rPr>
      <w:rFonts w:ascii="Times New Roman" w:eastAsia="Times New Roman" w:hAnsi="Times New Roman" w:cs="Times New Roman"/>
      <w:sz w:val="20"/>
      <w:szCs w:val="20"/>
      <w:lang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rsid w:val="004A6EA7"/>
    <w:pPr>
      <w:suppressAutoHyphens/>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rsid w:val="004A6EA7"/>
    <w:pPr>
      <w:suppressAutoHyphens/>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rsid w:val="004A6EA7"/>
    <w:pPr>
      <w:suppressAutoHyphens/>
    </w:pPr>
    <w:rPr>
      <w:rFonts w:ascii="Times New Roman" w:eastAsia="Times New Roman" w:hAnsi="Times New Roman" w:cs="Times New Roman"/>
      <w:b/>
      <w:bCs/>
      <w:sz w:val="20"/>
      <w:szCs w:val="20"/>
      <w:lang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rsid w:val="004A6EA7"/>
    <w:pPr>
      <w:suppressAutoHyphens/>
    </w:pPr>
    <w:rPr>
      <w:rFonts w:ascii="Times New Roman" w:eastAsia="Times New Roman" w:hAnsi="Times New Roman" w:cs="Times New Roman"/>
      <w:sz w:val="20"/>
      <w:szCs w:val="20"/>
      <w:lang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4A6EA7"/>
    <w:pPr>
      <w:suppressAutoHyphens/>
    </w:pPr>
    <w:rPr>
      <w:rFonts w:ascii="Times New Roman" w:eastAsia="Times New Roman" w:hAnsi="Times New Roman" w:cs="Times New Roman"/>
      <w:sz w:val="20"/>
      <w:szCs w:val="20"/>
      <w:lang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rsid w:val="004A6EA7"/>
    <w:pPr>
      <w:suppressAutoHyphens/>
    </w:pPr>
    <w:rPr>
      <w:rFonts w:ascii="Times New Roman" w:eastAsia="Times New Roman" w:hAnsi="Times New Roman" w:cs="Times New Roman"/>
      <w:sz w:val="20"/>
      <w:szCs w:val="20"/>
      <w:lang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4A6EA7"/>
    <w:pPr>
      <w:suppressAutoHyphens/>
    </w:pPr>
    <w:rPr>
      <w:rFonts w:ascii="Times New Roman" w:eastAsia="Times New Roman" w:hAnsi="Times New Roman" w:cs="Times New Roman"/>
      <w:sz w:val="20"/>
      <w:szCs w:val="20"/>
      <w:lang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4A6EA7"/>
    <w:pPr>
      <w:suppressAutoHyphens/>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4A6EA7"/>
    <w:pPr>
      <w:suppressAutoHyphens/>
    </w:pPr>
    <w:rPr>
      <w:rFonts w:ascii="Times New Roman" w:eastAsia="Times New Roman" w:hAnsi="Times New Roman" w:cs="Times New Roman"/>
      <w:sz w:val="20"/>
      <w:szCs w:val="20"/>
      <w:lang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4A6EA7"/>
    <w:pPr>
      <w:suppressAutoHyphens/>
    </w:pPr>
    <w:rPr>
      <w:rFonts w:ascii="Times New Roman" w:eastAsia="Times New Roman" w:hAnsi="Times New Roman" w:cs="Times New Roman"/>
      <w:sz w:val="20"/>
      <w:szCs w:val="20"/>
      <w:lang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rsid w:val="004A6EA7"/>
    <w:pPr>
      <w:suppressAutoHyphens/>
    </w:pPr>
    <w:rPr>
      <w:rFonts w:ascii="Times New Roman" w:eastAsia="Times New Roman" w:hAnsi="Times New Roman" w:cs="Times New Roman"/>
      <w:sz w:val="20"/>
      <w:szCs w:val="20"/>
      <w:lang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4A6EA7"/>
    <w:pPr>
      <w:suppressAutoHyphens/>
    </w:pPr>
    <w:rPr>
      <w:rFonts w:ascii="Times New Roman" w:eastAsia="Times New Roman" w:hAnsi="Times New Roman" w:cs="Times New Roman"/>
      <w:sz w:val="20"/>
      <w:szCs w:val="20"/>
      <w:lang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rsid w:val="004A6EA7"/>
    <w:pPr>
      <w:suppressAutoHyphens/>
    </w:pPr>
    <w:rPr>
      <w:rFonts w:ascii="Times New Roman" w:eastAsia="Times New Roman" w:hAnsi="Times New Roman" w:cs="Times New Roman"/>
      <w:sz w:val="20"/>
      <w:szCs w:val="20"/>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rsid w:val="004A6EA7"/>
    <w:pPr>
      <w:suppressAutoHyphens/>
    </w:pPr>
    <w:rPr>
      <w:rFonts w:ascii="Times New Roman" w:eastAsia="Times New Roman" w:hAnsi="Times New Roman" w:cs="Times New Roman"/>
      <w:sz w:val="20"/>
      <w:szCs w:val="20"/>
      <w:lang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rsid w:val="004A6EA7"/>
    <w:pPr>
      <w:suppressAutoHyphens/>
    </w:pPr>
    <w:rPr>
      <w:rFonts w:ascii="Times New Roman" w:eastAsia="Times New Roman" w:hAnsi="Times New Roman" w:cs="Times New Roman"/>
      <w:sz w:val="20"/>
      <w:szCs w:val="20"/>
      <w:lang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rsid w:val="004A6EA7"/>
    <w:pPr>
      <w:suppressAutoHyphens/>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4A6EA7"/>
    <w:pPr>
      <w:suppressAutoHyphens/>
    </w:pPr>
    <w:rPr>
      <w:rFonts w:ascii="Times New Roman" w:eastAsia="Times New Roman" w:hAnsi="Times New Roman" w:cs="Times New Roman"/>
      <w:sz w:val="20"/>
      <w:szCs w:val="20"/>
      <w:lang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4A6EA7"/>
    <w:pPr>
      <w:suppressAutoHyphens/>
    </w:pPr>
    <w:rPr>
      <w:rFonts w:ascii="Times New Roman" w:eastAsia="Times New Roman" w:hAnsi="Times New Roman" w:cs="Times New Roman"/>
      <w:sz w:val="20"/>
      <w:szCs w:val="20"/>
      <w:lang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rsid w:val="004A6EA7"/>
    <w:pPr>
      <w:suppressAutoHyphens/>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rsid w:val="004A6EA7"/>
    <w:pPr>
      <w:suppressAutoHyphens/>
    </w:pPr>
    <w:rPr>
      <w:rFonts w:ascii="Times New Roman" w:eastAsia="Times New Roman" w:hAnsi="Times New Roman" w:cs="Times New Roman"/>
      <w:sz w:val="20"/>
      <w:szCs w:val="20"/>
      <w:lang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4A6EA7"/>
    <w:pPr>
      <w:suppressAutoHyphens/>
    </w:pPr>
    <w:rPr>
      <w:rFonts w:ascii="Times New Roman" w:eastAsia="Times New Roman" w:hAnsi="Times New Roman" w:cs="Times New Roman"/>
      <w:sz w:val="20"/>
      <w:szCs w:val="20"/>
      <w:lang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4A6EA7"/>
    <w:pPr>
      <w:suppressAutoHyphens/>
    </w:pPr>
    <w:rPr>
      <w:rFonts w:ascii="Times New Roman" w:eastAsia="Times New Roman" w:hAnsi="Times New Roman" w:cs="Times New Roman"/>
      <w:sz w:val="20"/>
      <w:szCs w:val="20"/>
      <w:lang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HeaderTable1">
    <w:name w:val="ECHR_Header_Table1"/>
    <w:basedOn w:val="TableGrid"/>
    <w:rsid w:val="004A6EA7"/>
    <w:rPr>
      <w:rFonts w:ascii="Verdana" w:eastAsia="Times New Roman" w:hAnsi="Verdana" w:cs="Times New Roman"/>
      <w:sz w:val="20"/>
      <w:szCs w:val="20"/>
      <w:lang w:eastAsia="ja-JP"/>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paragraph" w:styleId="Revision">
    <w:name w:val="Revision"/>
    <w:hidden/>
    <w:uiPriority w:val="99"/>
    <w:semiHidden/>
    <w:rsid w:val="004A6EA7"/>
    <w:rPr>
      <w:rFonts w:ascii="Times New Roman" w:eastAsia="Times New Roman" w:hAnsi="Times New Roman" w:cs="Times New Roman"/>
      <w:sz w:val="24"/>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147140">
      <w:bodyDiv w:val="1"/>
      <w:marLeft w:val="0"/>
      <w:marRight w:val="0"/>
      <w:marTop w:val="0"/>
      <w:marBottom w:val="0"/>
      <w:divBdr>
        <w:top w:val="none" w:sz="0" w:space="0" w:color="auto"/>
        <w:left w:val="none" w:sz="0" w:space="0" w:color="auto"/>
        <w:bottom w:val="none" w:sz="0" w:space="0" w:color="auto"/>
        <w:right w:val="none" w:sz="0" w:space="0" w:color="auto"/>
      </w:divBdr>
    </w:div>
    <w:div w:id="105959900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134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1538FC-DF6D-44B0-B11D-724414D5D2A5}">
  <ds:schemaRefs>
    <ds:schemaRef ds:uri="http://schemas.openxmlformats.org/officeDocument/2006/bibliography"/>
  </ds:schemaRefs>
</ds:datastoreItem>
</file>

<file path=customXml/itemProps2.xml><?xml version="1.0" encoding="utf-8"?>
<ds:datastoreItem xmlns:ds="http://schemas.openxmlformats.org/officeDocument/2006/customXml" ds:itemID="{826B304C-370E-4C50-A1F9-0A1D600DADD4}"/>
</file>

<file path=customXml/itemProps3.xml><?xml version="1.0" encoding="utf-8"?>
<ds:datastoreItem xmlns:ds="http://schemas.openxmlformats.org/officeDocument/2006/customXml" ds:itemID="{5FEB74B4-51B3-4132-A689-24BAAAEB01F4}"/>
</file>

<file path=customXml/itemProps4.xml><?xml version="1.0" encoding="utf-8"?>
<ds:datastoreItem xmlns:ds="http://schemas.openxmlformats.org/officeDocument/2006/customXml" ds:itemID="{8BC3CCD2-97B1-4197-B0C0-79322F4BA474}"/>
</file>

<file path=docProps/app.xml><?xml version="1.0" encoding="utf-8"?>
<Properties xmlns="http://schemas.openxmlformats.org/officeDocument/2006/extended-properties" xmlns:vt="http://schemas.openxmlformats.org/officeDocument/2006/docPropsVTypes">
  <Template>Normal.dotm</Template>
  <TotalTime>0</TotalTime>
  <Pages>1</Pages>
  <Words>10410</Words>
  <Characters>59342</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2022-04-25T07:42:00Z</dcterms:created>
  <dcterms:modified xsi:type="dcterms:W3CDTF">2022-04-25T07:42:00Z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16572/17</vt:lpwstr>
  </property>
  <property fmtid="{D5CDD505-2E9C-101B-9397-08002B2CF9AE}" pid="4" name="CASEID">
    <vt:lpwstr>1289828</vt:lpwstr>
  </property>
  <property fmtid="{D5CDD505-2E9C-101B-9397-08002B2CF9AE}" pid="5" name="ContentTypeId">
    <vt:lpwstr>0x010100558EB02BDB9E204AB350EDD385B68E10</vt:lpwstr>
  </property>
</Properties>
</file>