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37885" w:rsidR="002934D0" w:rsidP="00A37885" w14:paraId="2AF61C72" w14:textId="569F2CA2">
      <w:pPr>
        <w:jc w:val="center"/>
      </w:pPr>
    </w:p>
    <w:p w:rsidRPr="00A37885" w:rsidR="0098410D" w:rsidP="00A37885" w14:paraId="3EADFFE8" w14:textId="77777777">
      <w:pPr>
        <w:jc w:val="center"/>
      </w:pPr>
    </w:p>
    <w:p w:rsidRPr="00A37885" w:rsidR="0098410D" w:rsidP="00A37885" w14:paraId="343F2D7D" w14:textId="5574BCFD">
      <w:pPr>
        <w:pStyle w:val="DecHCase"/>
      </w:pPr>
      <w:r w:rsidRPr="00A37885">
        <w:t>FIRST SECTION</w:t>
      </w:r>
    </w:p>
    <w:p w:rsidRPr="00A37885" w:rsidR="008E6217" w:rsidP="00A37885" w14:paraId="76C0F5D0" w14:textId="226023BB">
      <w:pPr>
        <w:pStyle w:val="JuTitle"/>
      </w:pPr>
      <w:bookmarkStart w:name="To" w:id="0"/>
      <w:r w:rsidRPr="00A37885">
        <w:rPr>
          <w:color w:val="000000" w:themeColor="text1"/>
        </w:rPr>
        <w:t xml:space="preserve">CASE OF </w:t>
      </w:r>
      <w:bookmarkEnd w:id="0"/>
      <w:r w:rsidRPr="00A37885" w:rsidR="00055E7A">
        <w:t>MARCELLO VIOLA v. ITALY (N</w:t>
      </w:r>
      <w:r w:rsidRPr="00A37885" w:rsidR="00C7636E">
        <w:t>o</w:t>
      </w:r>
      <w:r w:rsidRPr="00A37885" w:rsidR="00055E7A">
        <w:t>. 2)</w:t>
      </w:r>
    </w:p>
    <w:p w:rsidRPr="00A37885" w:rsidR="00D74888" w:rsidP="00A37885" w14:paraId="63A331DC" w14:textId="75CA2A8D">
      <w:pPr>
        <w:pStyle w:val="ECHRCoverTitle4"/>
      </w:pPr>
      <w:r w:rsidRPr="00A37885">
        <w:t>(</w:t>
      </w:r>
      <w:r w:rsidRPr="00A37885" w:rsidR="00055E7A">
        <w:t>Application no.</w:t>
      </w:r>
      <w:r w:rsidRPr="00A37885">
        <w:t xml:space="preserve"> </w:t>
      </w:r>
      <w:r w:rsidRPr="00A37885" w:rsidR="00055E7A">
        <w:t>77633/16</w:t>
      </w:r>
      <w:r w:rsidRPr="00A37885">
        <w:t>)</w:t>
      </w:r>
    </w:p>
    <w:p w:rsidRPr="00A37885" w:rsidR="0098410D" w:rsidP="00A37885" w14:paraId="06BCA429" w14:textId="77777777">
      <w:pPr>
        <w:pStyle w:val="DecHCase"/>
      </w:pPr>
    </w:p>
    <w:p w:rsidRPr="00A37885" w:rsidR="0098410D" w:rsidP="00A37885" w14:paraId="0DF26734" w14:textId="77777777">
      <w:pPr>
        <w:pStyle w:val="DecHCase"/>
      </w:pPr>
    </w:p>
    <w:p w:rsidRPr="00A37885" w:rsidR="00AC4CD4" w:rsidP="00A37885" w14:paraId="276DF31C" w14:textId="77777777">
      <w:pPr>
        <w:pStyle w:val="DecHCase"/>
      </w:pPr>
    </w:p>
    <w:p w:rsidRPr="00A37885" w:rsidR="0098410D" w:rsidP="00A37885" w14:paraId="40143C02" w14:textId="0BCD461C">
      <w:pPr>
        <w:pStyle w:val="DecHCase"/>
      </w:pPr>
    </w:p>
    <w:p w:rsidRPr="00A37885" w:rsidR="004F563A" w:rsidP="00A37885" w14:paraId="5D074BB4" w14:textId="7BF026AF">
      <w:pPr>
        <w:pStyle w:val="JuPara"/>
      </w:pPr>
    </w:p>
    <w:p w:rsidRPr="00A37885" w:rsidR="004F563A" w:rsidP="00A37885" w14:paraId="4708EFCD" w14:textId="77777777">
      <w:pPr>
        <w:pStyle w:val="JuPara"/>
      </w:pPr>
    </w:p>
    <w:p w:rsidRPr="00A37885" w:rsidR="0098410D" w:rsidP="00A37885" w14:paraId="634EF377" w14:textId="3CE4586D">
      <w:pPr>
        <w:pStyle w:val="DecHCase"/>
      </w:pPr>
      <w:r w:rsidRPr="00A37885">
        <w:t>JUDGMENT</w:t>
      </w:r>
      <w:r w:rsidRPr="00A37885" w:rsidR="00AC4CD4">
        <w:br/>
      </w:r>
    </w:p>
    <w:p w:rsidRPr="00A37885" w:rsidR="004F563A" w:rsidP="00A37885" w14:paraId="1F2115FB" w14:textId="77777777">
      <w:pPr>
        <w:pStyle w:val="JuPara"/>
      </w:pPr>
    </w:p>
    <w:p w:rsidRPr="00A37885" w:rsidR="0098410D" w:rsidP="00A37885" w14:paraId="66DEF4CB" w14:textId="77777777">
      <w:pPr>
        <w:pStyle w:val="DecHCase"/>
      </w:pPr>
      <w:r w:rsidRPr="00A37885">
        <w:t>STRASBOURG</w:t>
      </w:r>
    </w:p>
    <w:p w:rsidRPr="00A37885" w:rsidR="0098410D" w:rsidP="00A37885" w14:paraId="1262046A" w14:textId="6685B117">
      <w:pPr>
        <w:pStyle w:val="DecHCase"/>
      </w:pPr>
      <w:r w:rsidRPr="00A37885">
        <w:rPr>
          <w:rFonts w:ascii="Times New Roman" w:hAnsi="Times New Roman" w:cs="Times New Roman"/>
        </w:rPr>
        <w:t>13 June 2019</w:t>
      </w:r>
    </w:p>
    <w:p w:rsidRPr="00A37885" w:rsidR="00AC4CD4" w:rsidP="00A37885" w14:paraId="555002DD" w14:textId="77777777">
      <w:pPr>
        <w:pStyle w:val="JuPara"/>
      </w:pPr>
    </w:p>
    <w:p w:rsidRPr="00A37885" w:rsidR="002422B6" w:rsidP="00A37885" w14:paraId="798AC680" w14:textId="667DA7DA">
      <w:pPr>
        <w:rPr>
          <w:i/>
          <w:sz w:val="22"/>
        </w:rPr>
      </w:pPr>
      <w:r w:rsidRPr="00A37885">
        <w:rPr>
          <w:i/>
          <w:sz w:val="22"/>
        </w:rPr>
        <w:t xml:space="preserve">This judgment </w:t>
      </w:r>
      <w:r w:rsidRPr="00A37885" w:rsidR="00055E7A">
        <w:rPr>
          <w:i/>
          <w:sz w:val="22"/>
        </w:rPr>
        <w:t>will become final in the circumstances set out in Article 44 § 2 of the Convention. It</w:t>
      </w:r>
      <w:r w:rsidRPr="00A37885">
        <w:rPr>
          <w:i/>
          <w:sz w:val="22"/>
        </w:rPr>
        <w:t xml:space="preserve"> may be subject to editorial revision.</w:t>
      </w:r>
    </w:p>
    <w:p w:rsidRPr="00A37885" w:rsidR="0098410D" w:rsidP="00A37885" w14:paraId="5BEE241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37885" w:rsidR="0098410D" w:rsidP="00A37885" w14:paraId="59EC8A68" w14:textId="15E3516E">
      <w:pPr>
        <w:pStyle w:val="JuCase"/>
      </w:pPr>
      <w:r w:rsidRPr="00A37885">
        <w:t xml:space="preserve">In the case of </w:t>
      </w:r>
      <w:r w:rsidRPr="00A37885" w:rsidR="00055E7A">
        <w:t>Marcello Viola v. Italy (no. 2)</w:t>
      </w:r>
      <w:r w:rsidRPr="00A37885">
        <w:t>,</w:t>
      </w:r>
    </w:p>
    <w:p w:rsidRPr="00A37885" w:rsidR="009F4C8F" w:rsidP="00A37885" w14:paraId="6286AD1E" w14:textId="3232329A">
      <w:pPr>
        <w:pStyle w:val="JuPara"/>
      </w:pPr>
      <w:r w:rsidRPr="00A37885">
        <w:t>The European Court of Human Rights (</w:t>
      </w:r>
      <w:r w:rsidRPr="00A37885" w:rsidR="00055E7A">
        <w:t>First Section</w:t>
      </w:r>
      <w:r w:rsidRPr="00A37885">
        <w:t xml:space="preserve">), sitting as a </w:t>
      </w:r>
      <w:r w:rsidRPr="00A37885" w:rsidR="00055E7A">
        <w:t>Chamber</w:t>
      </w:r>
      <w:r w:rsidRPr="00A37885">
        <w:t xml:space="preserve"> composed of:</w:t>
      </w:r>
    </w:p>
    <w:p w:rsidRPr="00A37885" w:rsidR="009F4C8F" w:rsidP="00A37885" w14:paraId="63AC42F8" w14:textId="5191E90F">
      <w:pPr>
        <w:pStyle w:val="JuJudges"/>
      </w:pPr>
      <w:r w:rsidRPr="00A37885">
        <w:tab/>
        <w:t>Linos-Alexandre Sicilianos,</w:t>
      </w:r>
      <w:r w:rsidRPr="00A37885">
        <w:rPr>
          <w:i/>
        </w:rPr>
        <w:t xml:space="preserve"> President,</w:t>
      </w:r>
      <w:r w:rsidRPr="00A37885">
        <w:rPr>
          <w:i/>
        </w:rPr>
        <w:br/>
      </w:r>
      <w:r w:rsidRPr="00A37885">
        <w:tab/>
        <w:t>Ksenija Turković,</w:t>
      </w:r>
      <w:r w:rsidRPr="00A37885">
        <w:rPr>
          <w:i/>
        </w:rPr>
        <w:br/>
      </w:r>
      <w:r w:rsidRPr="00A37885">
        <w:tab/>
        <w:t>Guido Raimondi,</w:t>
      </w:r>
      <w:r w:rsidRPr="00A37885">
        <w:rPr>
          <w:i/>
        </w:rPr>
        <w:br/>
      </w:r>
      <w:r w:rsidRPr="00A37885">
        <w:tab/>
        <w:t>Krzysztof Wojtyczek,</w:t>
      </w:r>
      <w:r w:rsidRPr="00A37885">
        <w:rPr>
          <w:i/>
        </w:rPr>
        <w:br/>
      </w:r>
      <w:r w:rsidRPr="00A37885">
        <w:tab/>
        <w:t>Armen Harutyunyan,</w:t>
      </w:r>
      <w:r w:rsidRPr="00A37885">
        <w:rPr>
          <w:i/>
        </w:rPr>
        <w:br/>
      </w:r>
      <w:r w:rsidRPr="00A37885">
        <w:tab/>
        <w:t>Pauliine Koskelo,</w:t>
      </w:r>
      <w:r w:rsidRPr="00A37885">
        <w:rPr>
          <w:i/>
        </w:rPr>
        <w:br/>
      </w:r>
      <w:r w:rsidRPr="00A37885">
        <w:tab/>
        <w:t>Gilberto Felici,</w:t>
      </w:r>
      <w:r w:rsidRPr="00A37885">
        <w:rPr>
          <w:i/>
        </w:rPr>
        <w:t xml:space="preserve"> judges,</w:t>
      </w:r>
      <w:r w:rsidRPr="00A37885">
        <w:br/>
        <w:t xml:space="preserve">and </w:t>
      </w:r>
      <w:r w:rsidRPr="00A37885" w:rsidR="00055E7A">
        <w:t>Renata Degener</w:t>
      </w:r>
      <w:r w:rsidRPr="00A37885">
        <w:t xml:space="preserve">, </w:t>
      </w:r>
      <w:r w:rsidRPr="00A37885">
        <w:rPr>
          <w:i/>
          <w:iCs/>
        </w:rPr>
        <w:t xml:space="preserve">Deputy </w:t>
      </w:r>
      <w:r w:rsidRPr="00A37885" w:rsidR="00055E7A">
        <w:rPr>
          <w:i/>
        </w:rPr>
        <w:t xml:space="preserve">Section </w:t>
      </w:r>
      <w:r w:rsidRPr="00A37885" w:rsidR="00055E7A">
        <w:rPr>
          <w:i/>
          <w:iCs/>
        </w:rPr>
        <w:t>Registrar</w:t>
      </w:r>
      <w:r w:rsidRPr="00A37885">
        <w:rPr>
          <w:i/>
        </w:rPr>
        <w:t>,</w:t>
      </w:r>
    </w:p>
    <w:p w:rsidRPr="00A37885" w:rsidR="009F4C8F" w:rsidP="00A37885" w14:paraId="57E3173A" w14:textId="3F92988D">
      <w:pPr>
        <w:pStyle w:val="JuPara"/>
      </w:pPr>
      <w:r w:rsidRPr="00A37885">
        <w:t xml:space="preserve">Having deliberated in private on </w:t>
      </w:r>
      <w:r w:rsidRPr="00A37885" w:rsidR="00055E7A">
        <w:t>3</w:t>
      </w:r>
      <w:r w:rsidRPr="00A37885" w:rsidR="004F563A">
        <w:t>0 April</w:t>
      </w:r>
      <w:r w:rsidRPr="00A37885" w:rsidR="00055E7A">
        <w:t xml:space="preserve"> 2019</w:t>
      </w:r>
      <w:r w:rsidRPr="00A37885">
        <w:t>,</w:t>
      </w:r>
    </w:p>
    <w:p w:rsidRPr="00A37885" w:rsidR="009F4C8F" w:rsidP="00A37885" w14:paraId="3DFEF14D" w14:textId="77777777">
      <w:pPr>
        <w:pStyle w:val="JuPara"/>
      </w:pPr>
      <w:r w:rsidRPr="00A37885">
        <w:t>Delivers the following judgment, which was adopted on that date:</w:t>
      </w:r>
    </w:p>
    <w:p w:rsidRPr="00A37885" w:rsidR="002545B9" w:rsidP="00A37885" w14:paraId="16816B2D" w14:textId="2859A0A7">
      <w:pPr>
        <w:pStyle w:val="JuHHead"/>
      </w:pPr>
      <w:r w:rsidRPr="00A37885">
        <w:t>PROCEDURE</w:t>
      </w:r>
    </w:p>
    <w:p w:rsidRPr="00A37885" w:rsidR="000D7E9B" w:rsidP="00A37885" w14:paraId="3FB92C3D" w14:textId="6133A2BB">
      <w:pPr>
        <w:pStyle w:val="JuPara"/>
      </w:pPr>
      <w:r w:rsidRPr="00A37885">
        <w:fldChar w:fldCharType="begin"/>
      </w:r>
      <w:r w:rsidRPr="00A37885">
        <w:instrText xml:space="preserve"> SEQ level0 \*arabic </w:instrText>
      </w:r>
      <w:r w:rsidRPr="00A37885">
        <w:fldChar w:fldCharType="separate"/>
      </w:r>
      <w:r w:rsidRPr="00A37885" w:rsidR="00A37885">
        <w:rPr>
          <w:noProof/>
        </w:rPr>
        <w:t>1</w:t>
      </w:r>
      <w:r w:rsidRPr="00A37885">
        <w:fldChar w:fldCharType="end"/>
      </w:r>
      <w:r w:rsidRPr="00A37885">
        <w:t>.  </w:t>
      </w:r>
      <w:r w:rsidRPr="00A37885">
        <w:t>The case originated in an application (no. 77633/16) against the Italian Republic lodged with the Court under Article 34 of the Convention for the Protection of Human Rights and Fundamental Freedoms (“the Convention”) by an Italian national, Mr Marcello Viola (“the applicant”), on 12 December 2016.</w:t>
      </w:r>
    </w:p>
    <w:p w:rsidRPr="00A37885" w:rsidR="004965A9" w:rsidP="00A37885" w14:paraId="5DEB2047" w14:textId="6EA19BEE">
      <w:pPr>
        <w:pStyle w:val="JuPara"/>
      </w:pPr>
      <w:r w:rsidRPr="00A37885">
        <w:fldChar w:fldCharType="begin"/>
      </w:r>
      <w:r w:rsidRPr="00A37885">
        <w:instrText xml:space="preserve"> SEQ level0 \*arabic </w:instrText>
      </w:r>
      <w:r w:rsidRPr="00A37885">
        <w:fldChar w:fldCharType="separate"/>
      </w:r>
      <w:r w:rsidRPr="00A37885" w:rsidR="00A37885">
        <w:rPr>
          <w:noProof/>
        </w:rPr>
        <w:t>2</w:t>
      </w:r>
      <w:r w:rsidRPr="00A37885">
        <w:fldChar w:fldCharType="end"/>
      </w:r>
      <w:r w:rsidRPr="00A37885">
        <w:t>.  </w:t>
      </w:r>
      <w:r w:rsidRPr="00A37885" w:rsidR="000D7E9B">
        <w:t>The applicant was represented by Mr</w:t>
      </w:r>
      <w:r w:rsidRPr="00A37885">
        <w:t> A.</w:t>
      </w:r>
      <w:r w:rsidRPr="00A37885" w:rsidR="006A40AD">
        <w:t xml:space="preserve"> </w:t>
      </w:r>
      <w:r w:rsidRPr="00A37885">
        <w:t xml:space="preserve">Mascia, </w:t>
      </w:r>
      <w:r w:rsidRPr="00A37885" w:rsidR="000D7E9B">
        <w:t>a lawyer practising in Verona</w:t>
      </w:r>
      <w:r w:rsidRPr="00A37885">
        <w:t xml:space="preserve">, </w:t>
      </w:r>
      <w:r w:rsidRPr="00A37885" w:rsidR="000D7E9B">
        <w:t>and by M</w:t>
      </w:r>
      <w:r w:rsidRPr="00A37885" w:rsidR="00F109E9">
        <w:t>s</w:t>
      </w:r>
      <w:r w:rsidRPr="00A37885">
        <w:t xml:space="preserve"> B. Randazzo</w:t>
      </w:r>
      <w:r w:rsidRPr="00A37885" w:rsidR="00F109E9">
        <w:t xml:space="preserve"> and</w:t>
      </w:r>
      <w:r w:rsidRPr="00A37885">
        <w:t xml:space="preserve"> </w:t>
      </w:r>
      <w:r w:rsidRPr="00A37885" w:rsidR="000D7E9B">
        <w:t>Mr</w:t>
      </w:r>
      <w:r w:rsidRPr="00A37885">
        <w:t xml:space="preserve"> V. Onida, </w:t>
      </w:r>
      <w:r w:rsidRPr="00A37885" w:rsidR="000D7E9B">
        <w:t xml:space="preserve">lawyers practising in </w:t>
      </w:r>
      <w:r w:rsidRPr="00A37885">
        <w:t xml:space="preserve">Milan. </w:t>
      </w:r>
      <w:r w:rsidRPr="00A37885" w:rsidR="000D7E9B">
        <w:t>The Italian Government</w:t>
      </w:r>
      <w:r w:rsidRPr="00A37885">
        <w:t xml:space="preserve"> (</w:t>
      </w:r>
      <w:r w:rsidRPr="00A37885" w:rsidR="000D7E9B">
        <w:t>“the Government”</w:t>
      </w:r>
      <w:r w:rsidRPr="00A37885">
        <w:t xml:space="preserve">) </w:t>
      </w:r>
      <w:r w:rsidRPr="00A37885" w:rsidR="000D7E9B">
        <w:t>were represented by their former Agent</w:t>
      </w:r>
      <w:r w:rsidRPr="00A37885">
        <w:t xml:space="preserve">, </w:t>
      </w:r>
      <w:r w:rsidRPr="00A37885" w:rsidR="000D7E9B">
        <w:t xml:space="preserve">Ms </w:t>
      </w:r>
      <w:r w:rsidRPr="00A37885">
        <w:t xml:space="preserve">E. Spatafora, </w:t>
      </w:r>
      <w:r w:rsidRPr="00A37885" w:rsidR="000D7E9B">
        <w:t>and by their co-Agent</w:t>
      </w:r>
      <w:r w:rsidRPr="00A37885">
        <w:t xml:space="preserve">, </w:t>
      </w:r>
      <w:r w:rsidRPr="00A37885" w:rsidR="000D7E9B">
        <w:t>Ms</w:t>
      </w:r>
      <w:r w:rsidRPr="00A37885" w:rsidR="00E64A62">
        <w:t> </w:t>
      </w:r>
      <w:r w:rsidRPr="00A37885">
        <w:t>M.</w:t>
      </w:r>
      <w:r w:rsidRPr="00A37885" w:rsidR="00E64A62">
        <w:t> </w:t>
      </w:r>
      <w:r w:rsidRPr="00A37885">
        <w:t>Aversano.</w:t>
      </w:r>
    </w:p>
    <w:p w:rsidRPr="00A37885" w:rsidR="000D7E9B" w:rsidP="00A37885" w14:paraId="5C705D34" w14:textId="14ABF195">
      <w:pPr>
        <w:pStyle w:val="JuPara"/>
      </w:pPr>
      <w:r w:rsidRPr="00A37885">
        <w:fldChar w:fldCharType="begin"/>
      </w:r>
      <w:r w:rsidRPr="00A37885">
        <w:instrText xml:space="preserve"> SEQ level0 \*arabic </w:instrText>
      </w:r>
      <w:r w:rsidRPr="00A37885">
        <w:fldChar w:fldCharType="separate"/>
      </w:r>
      <w:r w:rsidRPr="00A37885" w:rsidR="00A37885">
        <w:rPr>
          <w:noProof/>
        </w:rPr>
        <w:t>3</w:t>
      </w:r>
      <w:r w:rsidRPr="00A37885">
        <w:fldChar w:fldCharType="end"/>
      </w:r>
      <w:r w:rsidRPr="00A37885">
        <w:t>.  </w:t>
      </w:r>
      <w:r w:rsidRPr="00A37885">
        <w:t xml:space="preserve">The applicant alleged that </w:t>
      </w:r>
      <w:r w:rsidRPr="00A37885" w:rsidR="00761DF0">
        <w:t>he had been sentenced to an</w:t>
      </w:r>
      <w:r w:rsidRPr="00A37885">
        <w:t xml:space="preserve"> irreducible </w:t>
      </w:r>
      <w:r w:rsidRPr="00A37885" w:rsidR="00761DF0">
        <w:t>term</w:t>
      </w:r>
      <w:r w:rsidRPr="00A37885">
        <w:t xml:space="preserve"> of</w:t>
      </w:r>
      <w:r w:rsidRPr="00A37885" w:rsidR="00126A3D">
        <w:t xml:space="preserve"> life</w:t>
      </w:r>
      <w:r w:rsidRPr="00A37885">
        <w:t xml:space="preserve"> imprisonment</w:t>
      </w:r>
      <w:r w:rsidRPr="00A37885" w:rsidR="00DC52F5">
        <w:t>,</w:t>
      </w:r>
      <w:r w:rsidRPr="00A37885">
        <w:t xml:space="preserve"> which he considered inhuman and degrading.</w:t>
      </w:r>
    </w:p>
    <w:p w:rsidRPr="00A37885" w:rsidR="004965A9" w:rsidP="00A37885" w14:paraId="25D0667F" w14:textId="092FFB7B">
      <w:pPr>
        <w:pStyle w:val="JuPara"/>
      </w:pPr>
      <w:r w:rsidRPr="00A37885">
        <w:fldChar w:fldCharType="begin"/>
      </w:r>
      <w:r w:rsidRPr="00A37885">
        <w:instrText xml:space="preserve"> SEQ level0 \*arabic </w:instrText>
      </w:r>
      <w:r w:rsidRPr="00A37885">
        <w:fldChar w:fldCharType="separate"/>
      </w:r>
      <w:r w:rsidRPr="00A37885" w:rsidR="00A37885">
        <w:rPr>
          <w:noProof/>
        </w:rPr>
        <w:t>4</w:t>
      </w:r>
      <w:r w:rsidRPr="00A37885">
        <w:fldChar w:fldCharType="end"/>
      </w:r>
      <w:r w:rsidRPr="00A37885">
        <w:t>.  </w:t>
      </w:r>
      <w:r w:rsidRPr="00A37885" w:rsidR="000D7E9B">
        <w:t>On 30 May</w:t>
      </w:r>
      <w:r w:rsidRPr="00A37885">
        <w:t xml:space="preserve"> 2017 </w:t>
      </w:r>
      <w:r w:rsidRPr="00A37885" w:rsidR="000D7E9B">
        <w:t>the Government were given notice of the complaints under Articles 3 and 8 of the Convention and the remainder of the application was declared inadmis</w:t>
      </w:r>
      <w:r w:rsidRPr="00A37885" w:rsidR="00FC4681">
        <w:t>sible pursuant to Rule 54 § 3 of the Rules of Court</w:t>
      </w:r>
      <w:r w:rsidRPr="00A37885">
        <w:t>.</w:t>
      </w:r>
    </w:p>
    <w:p w:rsidRPr="00A37885" w:rsidR="00520905" w:rsidP="00A37885" w14:paraId="1BC2B189" w14:textId="29E2DBBB">
      <w:pPr>
        <w:pStyle w:val="JuPara"/>
      </w:pPr>
      <w:r w:rsidRPr="00A37885">
        <w:fldChar w:fldCharType="begin"/>
      </w:r>
      <w:r w:rsidRPr="00A37885">
        <w:instrText xml:space="preserve"> SEQ level0 \*arabic </w:instrText>
      </w:r>
      <w:r w:rsidRPr="00A37885">
        <w:fldChar w:fldCharType="separate"/>
      </w:r>
      <w:r w:rsidRPr="00A37885" w:rsidR="00A37885">
        <w:rPr>
          <w:noProof/>
        </w:rPr>
        <w:t>5</w:t>
      </w:r>
      <w:r w:rsidRPr="00A37885">
        <w:fldChar w:fldCharType="end"/>
      </w:r>
      <w:r w:rsidRPr="00A37885">
        <w:t>.  </w:t>
      </w:r>
      <w:r w:rsidRPr="00A37885">
        <w:t xml:space="preserve">Third-party comments were received from the </w:t>
      </w:r>
      <w:r w:rsidRPr="00A37885">
        <w:rPr>
          <w:i/>
          <w:iCs/>
        </w:rPr>
        <w:t>L</w:t>
      </w:r>
      <w:r w:rsidRPr="00A37885" w:rsidR="00A37885">
        <w:rPr>
          <w:i/>
          <w:iCs/>
        </w:rPr>
        <w:t>’</w:t>
      </w:r>
      <w:r w:rsidRPr="00A37885">
        <w:rPr>
          <w:i/>
          <w:iCs/>
        </w:rPr>
        <w:t xml:space="preserve">altro diritto onlus </w:t>
      </w:r>
      <w:r w:rsidRPr="00A37885">
        <w:t>documentation centre of the University of Florence, the European Prison Litigation Network, and a group of academics and experts coordinated by the University of Milan, all of whom had been given leave by the President to intervene</w:t>
      </w:r>
      <w:r w:rsidRPr="00A37885" w:rsidR="00DC6F34">
        <w:t xml:space="preserve"> as third parties</w:t>
      </w:r>
      <w:r w:rsidRPr="00A37885">
        <w:t xml:space="preserve"> in the written procedure (Article 36 § 2 of the Convention and Rule 44 § 3 (a) of the Rules of Court).</w:t>
      </w:r>
    </w:p>
    <w:p w:rsidRPr="00A37885" w:rsidR="00055E7A" w:rsidP="00A37885" w14:paraId="1020600D" w14:textId="6DE69FF6">
      <w:pPr>
        <w:pStyle w:val="JuHHead"/>
      </w:pPr>
      <w:r w:rsidRPr="00A37885">
        <w:t>THE FACTS</w:t>
      </w:r>
    </w:p>
    <w:p w:rsidRPr="00A37885" w:rsidR="00E44127" w:rsidP="00A37885" w14:paraId="146FB540" w14:textId="2AAA73C5">
      <w:pPr>
        <w:pStyle w:val="JuHIRoman"/>
      </w:pPr>
      <w:r w:rsidRPr="00A37885">
        <w:t>The CIRCUMSTANCES OF THE CASE</w:t>
      </w:r>
    </w:p>
    <w:p w:rsidRPr="00A37885" w:rsidR="001121F8" w:rsidP="00A37885" w14:paraId="2E8FB373" w14:textId="1BA5EB86">
      <w:pPr>
        <w:pStyle w:val="JuPara"/>
      </w:pPr>
      <w:r>
        <w:fldChar w:fldCharType="begin"/>
      </w:r>
      <w:r>
        <w:instrText xml:space="preserve"> SEQ level0 \*arabic \* MERGEFORMAT </w:instrText>
      </w:r>
      <w:r>
        <w:fldChar w:fldCharType="separate"/>
      </w:r>
      <w:r w:rsidRPr="00A37885" w:rsidR="00A37885">
        <w:rPr>
          <w:noProof/>
        </w:rPr>
        <w:t>6</w:t>
      </w:r>
      <w:r w:rsidRPr="00A37885" w:rsidR="00A37885">
        <w:rPr>
          <w:noProof/>
        </w:rPr>
        <w:fldChar w:fldCharType="end"/>
      </w:r>
      <w:r w:rsidRPr="00A37885" w:rsidR="004965A9">
        <w:t>.  </w:t>
      </w:r>
      <w:r w:rsidRPr="00A37885">
        <w:t>The applicant was born in 1959 and is currently detained in Sulmona Prison.</w:t>
      </w:r>
    </w:p>
    <w:p w:rsidRPr="00A37885" w:rsidR="001121F8" w:rsidP="00A37885" w14:paraId="59E4023E" w14:textId="79F8FE91">
      <w:pPr>
        <w:pStyle w:val="JuPara"/>
      </w:pPr>
      <w:r>
        <w:fldChar w:fldCharType="begin"/>
      </w:r>
      <w:r>
        <w:instrText xml:space="preserve"> SEQ level0 \*arabic \* MERGEFORMAT </w:instrText>
      </w:r>
      <w:r>
        <w:fldChar w:fldCharType="separate"/>
      </w:r>
      <w:r w:rsidRPr="00A37885" w:rsidR="00A37885">
        <w:rPr>
          <w:noProof/>
        </w:rPr>
        <w:t>7</w:t>
      </w:r>
      <w:r w:rsidRPr="00A37885" w:rsidR="00A37885">
        <w:rPr>
          <w:noProof/>
        </w:rPr>
        <w:fldChar w:fldCharType="end"/>
      </w:r>
      <w:r w:rsidRPr="00A37885">
        <w:t>.  </w:t>
      </w:r>
      <w:r w:rsidRPr="00A37885" w:rsidR="00DC52F5">
        <w:t xml:space="preserve">Between the mid-1980s and October 1996 (a period known as the </w:t>
      </w:r>
      <w:r w:rsidRPr="00A37885" w:rsidR="00DC52F5">
        <w:rPr>
          <w:i/>
          <w:iCs/>
        </w:rPr>
        <w:t>seconda faida di Taurianova</w:t>
      </w:r>
      <w:r w:rsidRPr="00A37885" w:rsidR="00DC52F5">
        <w:t>) h</w:t>
      </w:r>
      <w:r w:rsidRPr="00A37885">
        <w:t xml:space="preserve">e was </w:t>
      </w:r>
      <w:r w:rsidRPr="00A37885" w:rsidR="00310780">
        <w:t>implicated</w:t>
      </w:r>
      <w:r w:rsidRPr="00A37885">
        <w:t xml:space="preserve"> in a series of </w:t>
      </w:r>
      <w:r w:rsidRPr="00A37885" w:rsidR="00DC52F5">
        <w:t>events</w:t>
      </w:r>
      <w:r w:rsidRPr="00A37885">
        <w:t xml:space="preserve"> </w:t>
      </w:r>
      <w:r w:rsidRPr="00A37885" w:rsidR="00310780">
        <w:t>involving</w:t>
      </w:r>
      <w:r w:rsidRPr="00A37885">
        <w:t xml:space="preserve"> the Radicena </w:t>
      </w:r>
      <w:r w:rsidRPr="00A37885" w:rsidR="00310780">
        <w:t>m</w:t>
      </w:r>
      <w:r w:rsidRPr="00A37885">
        <w:t>afia clan (</w:t>
      </w:r>
      <w:r w:rsidRPr="00A37885">
        <w:rPr>
          <w:i/>
          <w:iCs/>
        </w:rPr>
        <w:t>la cosca Radicena</w:t>
      </w:r>
      <w:r w:rsidRPr="00A37885">
        <w:t xml:space="preserve">) and </w:t>
      </w:r>
      <w:r w:rsidRPr="00A37885" w:rsidR="00310780">
        <w:t>the rival</w:t>
      </w:r>
      <w:r w:rsidRPr="00A37885">
        <w:t xml:space="preserve"> Iatrinoli clan (</w:t>
      </w:r>
      <w:r w:rsidRPr="00A37885">
        <w:rPr>
          <w:i/>
          <w:iCs/>
        </w:rPr>
        <w:t>la cosca Iatrinoli</w:t>
      </w:r>
      <w:r w:rsidRPr="00A37885">
        <w:t>).</w:t>
      </w:r>
    </w:p>
    <w:p w:rsidRPr="00A37885" w:rsidR="00AE2115" w:rsidP="00A37885" w14:paraId="77A46138" w14:textId="2BA4D9CD">
      <w:pPr>
        <w:pStyle w:val="JuHA"/>
      </w:pPr>
      <w:r w:rsidRPr="00A37885">
        <w:t>The criminal proceedings against the applicant</w:t>
      </w:r>
    </w:p>
    <w:p w:rsidRPr="00A37885" w:rsidR="001121F8" w:rsidP="00A37885" w14:paraId="387BD80F" w14:textId="040D71E4">
      <w:pPr>
        <w:pStyle w:val="JuPara"/>
      </w:pPr>
      <w:r>
        <w:fldChar w:fldCharType="begin"/>
      </w:r>
      <w:r>
        <w:instrText xml:space="preserve"> SEQ level0 \*arabic \* MERGEFORMAT </w:instrText>
      </w:r>
      <w:r>
        <w:fldChar w:fldCharType="separate"/>
      </w:r>
      <w:r w:rsidRPr="00A37885" w:rsidR="00A37885">
        <w:rPr>
          <w:noProof/>
        </w:rPr>
        <w:t>8</w:t>
      </w:r>
      <w:r w:rsidRPr="00A37885" w:rsidR="00A37885">
        <w:rPr>
          <w:noProof/>
        </w:rPr>
        <w:fldChar w:fldCharType="end"/>
      </w:r>
      <w:r w:rsidRPr="00A37885">
        <w:t>.  The first set of criminal proceedings against the applicant</w:t>
      </w:r>
      <w:r w:rsidRPr="00A37885" w:rsidR="00922778">
        <w:t xml:space="preserve"> and</w:t>
      </w:r>
      <w:r w:rsidRPr="00A37885">
        <w:t xml:space="preserve"> other </w:t>
      </w:r>
      <w:r w:rsidRPr="00A37885" w:rsidR="00922778">
        <w:t>defendants</w:t>
      </w:r>
      <w:r w:rsidRPr="00A37885">
        <w:t>, known as the “Marcello Viola + 24” trial (criminal case no.</w:t>
      </w:r>
      <w:r w:rsidRPr="00A37885" w:rsidR="00E64A62">
        <w:t> </w:t>
      </w:r>
      <w:r w:rsidRPr="00A37885">
        <w:t xml:space="preserve">144/92), covered events between January 1990 and March 1992. In particular, it identified the perpetrators of four killings that had taken place on 3 May 1991 (“Black Friday”) and shed light on the networks of two </w:t>
      </w:r>
      <w:r w:rsidRPr="00A37885" w:rsidR="00310780">
        <w:t>m</w:t>
      </w:r>
      <w:r w:rsidRPr="00A37885">
        <w:t>afia clans that were competing for control over the town of Taurianova and the surrounding areas.</w:t>
      </w:r>
    </w:p>
    <w:p w:rsidRPr="00A37885" w:rsidR="001121F8" w:rsidP="00A37885" w14:paraId="021C792A" w14:textId="11A2F957">
      <w:pPr>
        <w:pStyle w:val="JuPara"/>
      </w:pPr>
      <w:r>
        <w:fldChar w:fldCharType="begin"/>
      </w:r>
      <w:r>
        <w:instrText xml:space="preserve"> SEQ level0 \*arabic \* MERGEFORMAT </w:instrText>
      </w:r>
      <w:r>
        <w:fldChar w:fldCharType="separate"/>
      </w:r>
      <w:r w:rsidRPr="00A37885" w:rsidR="00A37885">
        <w:rPr>
          <w:noProof/>
        </w:rPr>
        <w:t>9</w:t>
      </w:r>
      <w:r w:rsidRPr="00A37885" w:rsidR="00A37885">
        <w:rPr>
          <w:noProof/>
        </w:rPr>
        <w:fldChar w:fldCharType="end"/>
      </w:r>
      <w:r w:rsidRPr="00A37885">
        <w:t>.  On 16 October 1995 the Palmi Assize Court sentenced the applicant to fifteen years</w:t>
      </w:r>
      <w:r w:rsidRPr="00A37885" w:rsidR="00A37885">
        <w:t>’</w:t>
      </w:r>
      <w:r w:rsidRPr="00A37885">
        <w:t xml:space="preserve"> imprisonment for membership of a </w:t>
      </w:r>
      <w:r w:rsidRPr="00A37885" w:rsidR="00310780">
        <w:t>m</w:t>
      </w:r>
      <w:r w:rsidRPr="00A37885">
        <w:t xml:space="preserve">afia-type criminal organisation. The fact that he was the head of the </w:t>
      </w:r>
      <w:r w:rsidRPr="00A37885" w:rsidR="00310780">
        <w:t>m</w:t>
      </w:r>
      <w:r w:rsidRPr="00A37885">
        <w:t>afia group and the instigator (</w:t>
      </w:r>
      <w:r w:rsidRPr="00A37885">
        <w:rPr>
          <w:i/>
          <w:iCs/>
        </w:rPr>
        <w:t>promotore</w:t>
      </w:r>
      <w:r w:rsidRPr="00A37885">
        <w:t xml:space="preserve">) of its criminal activities was </w:t>
      </w:r>
      <w:r w:rsidRPr="00A37885" w:rsidR="00310780">
        <w:t>taken into consideration</w:t>
      </w:r>
      <w:r w:rsidRPr="00A37885">
        <w:t xml:space="preserve"> by the court as an aggravating circumstance. With regard to the nature of the links to </w:t>
      </w:r>
      <w:r w:rsidRPr="00A37885" w:rsidR="00310780">
        <w:t>m</w:t>
      </w:r>
      <w:r w:rsidRPr="00A37885">
        <w:t>afia</w:t>
      </w:r>
      <w:r w:rsidRPr="00A37885" w:rsidR="00310780">
        <w:t xml:space="preserve"> organisations</w:t>
      </w:r>
      <w:r w:rsidRPr="00A37885">
        <w:t xml:space="preserve">, the Assize Court highlighted several factors including “the close ties between members, the internal hierarchy, the different roles and tasks assigned to members, the control over territory, the unspecified criminal </w:t>
      </w:r>
      <w:r w:rsidRPr="00A37885" w:rsidR="00310780">
        <w:t>design</w:t>
      </w:r>
      <w:r w:rsidRPr="00A37885">
        <w:t>, the practice of intimidation and, in a more modern approach, not just the harassment of businesses but also direct participation in the area</w:t>
      </w:r>
      <w:r w:rsidRPr="00A37885" w:rsidR="00A37885">
        <w:t>’</w:t>
      </w:r>
      <w:r w:rsidRPr="00A37885">
        <w:t xml:space="preserve">s economy </w:t>
      </w:r>
      <w:r w:rsidRPr="00A37885" w:rsidR="00DC6F34">
        <w:t>through</w:t>
      </w:r>
      <w:r w:rsidRPr="00A37885">
        <w:t xml:space="preserve"> effective control over legal economic activities</w:t>
      </w:r>
      <w:r w:rsidRPr="00A37885" w:rsidR="00F61E77">
        <w:t>.</w:t>
      </w:r>
      <w:r w:rsidRPr="00A37885">
        <w:t>”</w:t>
      </w:r>
    </w:p>
    <w:p w:rsidRPr="00A37885" w:rsidR="001121F8" w:rsidP="00A37885" w14:paraId="1960FF33" w14:textId="55E90C3D">
      <w:pPr>
        <w:pStyle w:val="JuPara"/>
      </w:pPr>
      <w:r>
        <w:fldChar w:fldCharType="begin"/>
      </w:r>
      <w:r>
        <w:instrText xml:space="preserve"> SEQ level0 \*arabic \* MERGEFORMAT </w:instrText>
      </w:r>
      <w:r>
        <w:fldChar w:fldCharType="separate"/>
      </w:r>
      <w:r w:rsidRPr="00A37885" w:rsidR="00A37885">
        <w:rPr>
          <w:noProof/>
        </w:rPr>
        <w:t>10</w:t>
      </w:r>
      <w:r w:rsidRPr="00A37885" w:rsidR="00A37885">
        <w:rPr>
          <w:noProof/>
        </w:rPr>
        <w:fldChar w:fldCharType="end"/>
      </w:r>
      <w:r w:rsidRPr="00A37885">
        <w:t>.  In judgment no. 3 of 10 February 1999 (deposited with the registry on 29 March 1999), the Reggio Calabria Assize Court of Appeal upheld the applicant</w:t>
      </w:r>
      <w:r w:rsidRPr="00A37885" w:rsidR="00A37885">
        <w:t>’</w:t>
      </w:r>
      <w:r w:rsidRPr="00A37885">
        <w:t>s conviction but reduced the sentence to twelve years</w:t>
      </w:r>
      <w:r w:rsidRPr="00A37885" w:rsidR="00A37885">
        <w:t>’</w:t>
      </w:r>
      <w:r w:rsidRPr="00A37885">
        <w:t xml:space="preserve"> imprisonment. The applicant did not appeal on points of law.</w:t>
      </w:r>
    </w:p>
    <w:p w:rsidRPr="00A37885" w:rsidR="00312965" w:rsidP="00A37885" w14:paraId="4BA97FB6" w14:textId="7072C698">
      <w:pPr>
        <w:pStyle w:val="JuPara"/>
      </w:pPr>
      <w:r>
        <w:fldChar w:fldCharType="begin"/>
      </w:r>
      <w:r>
        <w:instrText xml:space="preserve"> SEQ level0 \*arabic \* MERGEFORMAT </w:instrText>
      </w:r>
      <w:r>
        <w:fldChar w:fldCharType="separate"/>
      </w:r>
      <w:r w:rsidRPr="00A37885" w:rsidR="00A37885">
        <w:rPr>
          <w:noProof/>
        </w:rPr>
        <w:t>11</w:t>
      </w:r>
      <w:r w:rsidRPr="00A37885" w:rsidR="00A37885">
        <w:rPr>
          <w:noProof/>
        </w:rPr>
        <w:fldChar w:fldCharType="end"/>
      </w:r>
      <w:r w:rsidRPr="00A37885" w:rsidR="001121F8">
        <w:t>.  The second set of proceedings against the applicant</w:t>
      </w:r>
      <w:r w:rsidRPr="00A37885" w:rsidR="00922778">
        <w:t xml:space="preserve"> and</w:t>
      </w:r>
      <w:r w:rsidRPr="00A37885" w:rsidR="001121F8">
        <w:t xml:space="preserve"> other </w:t>
      </w:r>
      <w:r w:rsidRPr="00A37885" w:rsidR="00922778">
        <w:t>defendants</w:t>
      </w:r>
      <w:r w:rsidRPr="00A37885" w:rsidR="001121F8">
        <w:t xml:space="preserve">, known as the “Taurus trial” (criminal </w:t>
      </w:r>
      <w:r w:rsidRPr="00A37885" w:rsidR="00310780">
        <w:t>cases</w:t>
      </w:r>
      <w:r w:rsidRPr="00A37885" w:rsidR="001121F8">
        <w:t xml:space="preserve"> nos. 1/97 – 12/97 – 18/97) concerned other facts relating to the criminal activities of the two Taurianova clans. On 22 September 1999 the Palmi Assize Court, in judgment no. 10/99, sentenced the applicant to life imprisonment. The judgment was upheld by the Reggio Calabria Assize Court of Appeal on 5</w:t>
      </w:r>
      <w:r w:rsidRPr="00A37885" w:rsidR="00E64A62">
        <w:t> </w:t>
      </w:r>
      <w:r w:rsidRPr="00A37885" w:rsidR="001121F8">
        <w:t xml:space="preserve">March 2002. In particular, the applicant was found guilty of the offence of membership of a </w:t>
      </w:r>
      <w:r w:rsidRPr="00A37885" w:rsidR="00310780">
        <w:t>m</w:t>
      </w:r>
      <w:r w:rsidRPr="00A37885" w:rsidR="001121F8">
        <w:t xml:space="preserve">afia-type criminal organisation within the meaning of </w:t>
      </w:r>
      <w:r w:rsidRPr="00A37885" w:rsidR="001121F8">
        <w:t xml:space="preserve">Article 416 </w:t>
      </w:r>
      <w:r w:rsidRPr="00A37885" w:rsidR="001121F8">
        <w:rPr>
          <w:i/>
          <w:iCs/>
        </w:rPr>
        <w:t xml:space="preserve">bis </w:t>
      </w:r>
      <w:r w:rsidRPr="00A37885" w:rsidR="001121F8">
        <w:t>of the Criminal Code, and of other offences (murder, abduction and false imprisonment resulting in the victim</w:t>
      </w:r>
      <w:r w:rsidRPr="00A37885" w:rsidR="00A37885">
        <w:t>’</w:t>
      </w:r>
      <w:r w:rsidRPr="00A37885" w:rsidR="001121F8">
        <w:t>s death, and unlawful possession of firearms), aggravated by “</w:t>
      </w:r>
      <w:r w:rsidRPr="00A37885" w:rsidR="00310780">
        <w:t>m</w:t>
      </w:r>
      <w:r w:rsidRPr="00A37885" w:rsidR="001121F8">
        <w:t xml:space="preserve">afia-type” circumstances as set out in </w:t>
      </w:r>
      <w:r w:rsidRPr="00A37885" w:rsidR="00310780">
        <w:t xml:space="preserve">section 7 of </w:t>
      </w:r>
      <w:r w:rsidRPr="00A37885" w:rsidR="001121F8">
        <w:t>Decree-Law no. 152 of 13 May 1991, converted into a Law on 12 July 1991 (Conversion Law no. 203/1991). The applicant</w:t>
      </w:r>
      <w:r w:rsidRPr="00A37885" w:rsidR="00A37885">
        <w:t>’</w:t>
      </w:r>
      <w:r w:rsidRPr="00A37885" w:rsidR="001121F8">
        <w:t xml:space="preserve">s role as head of the criminal organisation and the instigator of its activities was also </w:t>
      </w:r>
      <w:r w:rsidRPr="00A37885" w:rsidR="002A671A">
        <w:t>taken into consideration as</w:t>
      </w:r>
      <w:r w:rsidRPr="00A37885" w:rsidR="001121F8">
        <w:t xml:space="preserve"> an aggravating circumstance in his case.</w:t>
      </w:r>
    </w:p>
    <w:p w:rsidRPr="00A37885" w:rsidR="00312965" w:rsidP="00A37885" w14:paraId="3A58D59D" w14:textId="04905D67">
      <w:pPr>
        <w:pStyle w:val="JuPara"/>
      </w:pPr>
      <w:r w:rsidRPr="00A37885">
        <w:t>Applying the rules concerning a “continu</w:t>
      </w:r>
      <w:r w:rsidRPr="00A37885" w:rsidR="003F4FB5">
        <w:t>ing</w:t>
      </w:r>
      <w:r w:rsidRPr="00A37885">
        <w:t xml:space="preserve"> offence” (</w:t>
      </w:r>
      <w:r w:rsidRPr="00A37885">
        <w:rPr>
          <w:i/>
          <w:iCs/>
        </w:rPr>
        <w:t>reato continuato</w:t>
      </w:r>
      <w:r w:rsidRPr="00A37885">
        <w:t>), the Assize Court of Appeal sentenced the applicant to life imprisonment</w:t>
      </w:r>
      <w:r w:rsidRPr="00A37885" w:rsidR="002A671A">
        <w:t>,</w:t>
      </w:r>
      <w:r w:rsidRPr="00A37885">
        <w:t xml:space="preserve"> with two years</w:t>
      </w:r>
      <w:r w:rsidRPr="00A37885" w:rsidR="00A37885">
        <w:t>’</w:t>
      </w:r>
      <w:r w:rsidRPr="00A37885">
        <w:t xml:space="preserve"> daytime isolation.</w:t>
      </w:r>
    </w:p>
    <w:p w:rsidRPr="00A37885" w:rsidR="001121F8" w:rsidP="00A37885" w14:paraId="437F4598" w14:textId="4A69134A">
      <w:pPr>
        <w:pStyle w:val="JuPara"/>
      </w:pPr>
      <w:r>
        <w:fldChar w:fldCharType="begin"/>
      </w:r>
      <w:r>
        <w:instrText xml:space="preserve"> SEQ level0 \*arabic \* MERGEFORMAT </w:instrText>
      </w:r>
      <w:r>
        <w:fldChar w:fldCharType="separate"/>
      </w:r>
      <w:r w:rsidRPr="00A37885" w:rsidR="00A37885">
        <w:rPr>
          <w:noProof/>
        </w:rPr>
        <w:t>12</w:t>
      </w:r>
      <w:r w:rsidRPr="00A37885" w:rsidR="00A37885">
        <w:rPr>
          <w:noProof/>
        </w:rPr>
        <w:fldChar w:fldCharType="end"/>
      </w:r>
      <w:r w:rsidRPr="00A37885">
        <w:t>.  The applicant lodged an appeal on points of law which was dismissed on 26 February 2004.</w:t>
      </w:r>
    </w:p>
    <w:p w:rsidRPr="00A37885" w:rsidR="001121F8" w:rsidP="00A37885" w14:paraId="049DA313" w14:textId="17EE934E">
      <w:pPr>
        <w:pStyle w:val="JuPara"/>
      </w:pPr>
      <w:r>
        <w:fldChar w:fldCharType="begin"/>
      </w:r>
      <w:r>
        <w:instrText xml:space="preserve"> SEQ level0 \*arabic \* MERGEFORMAT </w:instrText>
      </w:r>
      <w:r>
        <w:fldChar w:fldCharType="separate"/>
      </w:r>
      <w:r w:rsidRPr="00A37885" w:rsidR="00A37885">
        <w:rPr>
          <w:noProof/>
        </w:rPr>
        <w:t>13</w:t>
      </w:r>
      <w:r w:rsidRPr="00A37885" w:rsidR="00A37885">
        <w:rPr>
          <w:noProof/>
        </w:rPr>
        <w:fldChar w:fldCharType="end"/>
      </w:r>
      <w:r w:rsidRPr="00A37885">
        <w:t>.  After the applicant</w:t>
      </w:r>
      <w:r w:rsidRPr="00A37885" w:rsidR="002A671A">
        <w:t xml:space="preserve"> had</w:t>
      </w:r>
      <w:r w:rsidRPr="00A37885">
        <w:t xml:space="preserve"> submitted a request for fresh determination of the overall prison sentence, based on the </w:t>
      </w:r>
      <w:r w:rsidRPr="00A37885" w:rsidR="002A671A">
        <w:t>alleged continuity between</w:t>
      </w:r>
      <w:r w:rsidRPr="00A37885" w:rsidR="00A95CC6">
        <w:t xml:space="preserve"> the facts giving rise to the “Marcello Viola + 24” trial (judgment of 10 February 1999) and those </w:t>
      </w:r>
      <w:r w:rsidRPr="00A37885" w:rsidR="002A671A">
        <w:t>in</w:t>
      </w:r>
      <w:r w:rsidRPr="00A37885" w:rsidR="00A95CC6">
        <w:t xml:space="preserve"> issue in the “Taurus</w:t>
      </w:r>
      <w:r w:rsidRPr="00A37885" w:rsidR="00F61E77">
        <w:t>”</w:t>
      </w:r>
      <w:r w:rsidRPr="00A37885" w:rsidR="00A95CC6">
        <w:t xml:space="preserve"> trial (judgment of 5 March 2002), the Reggio Calabria Assize Court of Appeal, in a ruling of 12 December 2008, found that the criminal </w:t>
      </w:r>
      <w:r w:rsidRPr="00A37885" w:rsidR="002A671A">
        <w:t>design</w:t>
      </w:r>
      <w:r w:rsidRPr="00A37885" w:rsidR="00A95CC6">
        <w:t xml:space="preserve"> was one and the same, and recognised the continuity between the facts </w:t>
      </w:r>
      <w:r w:rsidRPr="00A37885" w:rsidR="002A671A">
        <w:t>in</w:t>
      </w:r>
      <w:r w:rsidRPr="00A37885" w:rsidR="00A95CC6">
        <w:t xml:space="preserve"> issue in the two sets of proceedings. The overall sentence was therefore recalculated and set at life imprisonment</w:t>
      </w:r>
      <w:r w:rsidRPr="00A37885" w:rsidR="002A671A">
        <w:t>,</w:t>
      </w:r>
      <w:r w:rsidRPr="00A37885" w:rsidR="00A95CC6">
        <w:t xml:space="preserve"> with daytime isolation for a period of two years and two months.</w:t>
      </w:r>
    </w:p>
    <w:p w:rsidRPr="00A37885" w:rsidR="00774EAA" w:rsidP="00A37885" w14:paraId="4393928F" w14:textId="2E25057C">
      <w:pPr>
        <w:pStyle w:val="JuHA"/>
      </w:pPr>
      <w:r w:rsidRPr="00A37885">
        <w:t>The applicant</w:t>
      </w:r>
      <w:r w:rsidRPr="00A37885" w:rsidR="00A37885">
        <w:t>’</w:t>
      </w:r>
      <w:r w:rsidRPr="00A37885">
        <w:t>s detention</w:t>
      </w:r>
    </w:p>
    <w:p w:rsidRPr="00A37885" w:rsidR="002E1414" w:rsidP="00A37885" w14:paraId="16D37EDA" w14:textId="60E1A245">
      <w:pPr>
        <w:pStyle w:val="JuPara"/>
      </w:pPr>
      <w:r w:rsidRPr="00A37885">
        <w:fldChar w:fldCharType="begin"/>
      </w:r>
      <w:r w:rsidRPr="00A37885">
        <w:instrText xml:space="preserve"> SEQ level0 \*arabic </w:instrText>
      </w:r>
      <w:r w:rsidRPr="00A37885">
        <w:fldChar w:fldCharType="separate"/>
      </w:r>
      <w:r w:rsidRPr="00A37885" w:rsidR="00A37885">
        <w:rPr>
          <w:noProof/>
        </w:rPr>
        <w:t>14</w:t>
      </w:r>
      <w:r w:rsidRPr="00A37885">
        <w:fldChar w:fldCharType="end"/>
      </w:r>
      <w:r w:rsidRPr="00A37885">
        <w:t>.  </w:t>
      </w:r>
      <w:r w:rsidRPr="00A37885">
        <w:t xml:space="preserve">Between June 2000 and March 2006 the applicant was detained under the special </w:t>
      </w:r>
      <w:r w:rsidRPr="00A37885" w:rsidR="002A671A">
        <w:t>prison</w:t>
      </w:r>
      <w:r w:rsidRPr="00A37885">
        <w:t xml:space="preserve"> regime provided for in section 41 </w:t>
      </w:r>
      <w:r w:rsidRPr="00A37885">
        <w:rPr>
          <w:i/>
          <w:iCs/>
        </w:rPr>
        <w:t>bis</w:t>
      </w:r>
      <w:r w:rsidRPr="00A37885" w:rsidR="005C1BF1">
        <w:t>, subsection</w:t>
      </w:r>
      <w:r w:rsidRPr="00A37885">
        <w:rPr>
          <w:i/>
          <w:iCs/>
        </w:rPr>
        <w:t xml:space="preserve"> </w:t>
      </w:r>
      <w:r w:rsidRPr="00A37885">
        <w:t>2</w:t>
      </w:r>
      <w:r w:rsidRPr="00A37885" w:rsidR="005C1BF1">
        <w:t>,</w:t>
      </w:r>
      <w:r w:rsidRPr="00A37885">
        <w:t xml:space="preserve"> of Law no. 354 of 26 July 1975 (</w:t>
      </w:r>
      <w:r w:rsidRPr="00A37885" w:rsidR="003A7AF3">
        <w:t xml:space="preserve">hereafter </w:t>
      </w:r>
      <w:r w:rsidRPr="00A37885">
        <w:t xml:space="preserve">“section 41 </w:t>
      </w:r>
      <w:r w:rsidRPr="00A37885">
        <w:rPr>
          <w:i/>
          <w:iCs/>
        </w:rPr>
        <w:t>bis</w:t>
      </w:r>
      <w:r w:rsidRPr="00A37885">
        <w:t>”)</w:t>
      </w:r>
      <w:r w:rsidRPr="00A37885" w:rsidR="002A671A">
        <w:t>.</w:t>
      </w:r>
      <w:r w:rsidRPr="00A37885">
        <w:t xml:space="preserve"> </w:t>
      </w:r>
      <w:r w:rsidRPr="00A37885" w:rsidR="002A671A">
        <w:t>That</w:t>
      </w:r>
      <w:r w:rsidRPr="00A37885">
        <w:t xml:space="preserve"> provision gives the prison authorities the power to suspend application of the ordinary prison regime </w:t>
      </w:r>
      <w:r w:rsidRPr="00A37885" w:rsidR="00C94055">
        <w:t xml:space="preserve">in whole or in part </w:t>
      </w:r>
      <w:r w:rsidRPr="00A37885">
        <w:t xml:space="preserve">for reasons of public order and </w:t>
      </w:r>
      <w:r w:rsidRPr="00A37885" w:rsidR="00C94055">
        <w:t>safety</w:t>
      </w:r>
      <w:r w:rsidRPr="00A37885">
        <w:t>.</w:t>
      </w:r>
    </w:p>
    <w:p w:rsidRPr="00A37885" w:rsidR="002E1414" w:rsidP="00A37885" w14:paraId="37E3AEAD" w14:textId="202832A1">
      <w:pPr>
        <w:pStyle w:val="JuPara"/>
      </w:pPr>
      <w:r w:rsidRPr="00A37885">
        <w:fldChar w:fldCharType="begin"/>
      </w:r>
      <w:r w:rsidRPr="00A37885">
        <w:instrText xml:space="preserve"> SEQ level0 \*arabic </w:instrText>
      </w:r>
      <w:r w:rsidRPr="00A37885">
        <w:fldChar w:fldCharType="separate"/>
      </w:r>
      <w:r w:rsidRPr="00A37885" w:rsidR="00A37885">
        <w:rPr>
          <w:noProof/>
        </w:rPr>
        <w:t>15</w:t>
      </w:r>
      <w:r w:rsidRPr="00A37885">
        <w:fldChar w:fldCharType="end"/>
      </w:r>
      <w:r w:rsidRPr="00A37885">
        <w:t>.  </w:t>
      </w:r>
      <w:r w:rsidRPr="00A37885">
        <w:t xml:space="preserve">In particular, on 14 December 2005 the Ministry of Justice issued an order extending the “41 </w:t>
      </w:r>
      <w:r w:rsidRPr="00A37885">
        <w:rPr>
          <w:i/>
          <w:iCs/>
        </w:rPr>
        <w:t>bis</w:t>
      </w:r>
      <w:r w:rsidRPr="00A37885">
        <w:t>” regime for one year</w:t>
      </w:r>
      <w:r w:rsidRPr="00A37885" w:rsidR="004C7548">
        <w:t xml:space="preserve"> in the applicant</w:t>
      </w:r>
      <w:r w:rsidRPr="00A37885" w:rsidR="00A37885">
        <w:t>’</w:t>
      </w:r>
      <w:r w:rsidRPr="00A37885" w:rsidR="004C7548">
        <w:t>s case</w:t>
      </w:r>
      <w:r w:rsidRPr="00A37885">
        <w:t>. The applicant appealed against the order to the L</w:t>
      </w:r>
      <w:r w:rsidRPr="00A37885" w:rsidR="00A37885">
        <w:t>’</w:t>
      </w:r>
      <w:r w:rsidRPr="00A37885">
        <w:t xml:space="preserve">Aquila </w:t>
      </w:r>
      <w:r w:rsidRPr="00A37885" w:rsidR="007B10A7">
        <w:t xml:space="preserve">Sentence Supervision Court, complaining of a lack of reasons for the order, which he alleged was based on information that did not reflect his actual situation at the time, and </w:t>
      </w:r>
      <w:r w:rsidRPr="00A37885" w:rsidR="004B10BF">
        <w:t xml:space="preserve">maintaining that he had severed his </w:t>
      </w:r>
      <w:r w:rsidRPr="00A37885" w:rsidR="004C7548">
        <w:t>ties</w:t>
      </w:r>
      <w:r w:rsidRPr="00A37885" w:rsidR="004B10BF">
        <w:t xml:space="preserve"> to the </w:t>
      </w:r>
      <w:r w:rsidRPr="00A37885" w:rsidR="004C7548">
        <w:t>m</w:t>
      </w:r>
      <w:r w:rsidRPr="00A37885" w:rsidR="004B10BF">
        <w:t>afia organisation.</w:t>
      </w:r>
    </w:p>
    <w:bookmarkStart w:name="Ordonnance_TAP_41bis" w:id="1"/>
    <w:p w:rsidRPr="00A37885" w:rsidR="004B10BF" w:rsidP="00A37885" w14:paraId="3C2584D4" w14:textId="7B9D1E2D">
      <w:pPr>
        <w:pStyle w:val="JuPara"/>
      </w:pPr>
      <w:r w:rsidRPr="00A37885">
        <w:fldChar w:fldCharType="begin"/>
      </w:r>
      <w:r w:rsidRPr="00A37885">
        <w:instrText xml:space="preserve"> SEQ level0 \*arabic </w:instrText>
      </w:r>
      <w:r w:rsidRPr="00A37885">
        <w:fldChar w:fldCharType="separate"/>
      </w:r>
      <w:r w:rsidRPr="00A37885" w:rsidR="00A37885">
        <w:rPr>
          <w:noProof/>
        </w:rPr>
        <w:t>16</w:t>
      </w:r>
      <w:r w:rsidRPr="00A37885">
        <w:fldChar w:fldCharType="end"/>
      </w:r>
      <w:bookmarkEnd w:id="1"/>
      <w:r w:rsidRPr="00A37885">
        <w:t>.  </w:t>
      </w:r>
      <w:r w:rsidRPr="00A37885">
        <w:t>In an order of 14 March 2006 the Sentence Supervision Court allowed the applicant</w:t>
      </w:r>
      <w:r w:rsidRPr="00A37885" w:rsidR="00A37885">
        <w:t>’</w:t>
      </w:r>
      <w:r w:rsidRPr="00A37885">
        <w:t xml:space="preserve">s request and ended the application of the special prison regime in his case. The court reiterated that the “41 </w:t>
      </w:r>
      <w:r w:rsidRPr="00A37885">
        <w:rPr>
          <w:i/>
          <w:iCs/>
        </w:rPr>
        <w:t>bis</w:t>
      </w:r>
      <w:r w:rsidRPr="00A37885">
        <w:t xml:space="preserve">” regime did not require the prisoner to prove that he or she had severed links to the </w:t>
      </w:r>
      <w:r w:rsidRPr="00A37885" w:rsidR="004C7548">
        <w:t>m</w:t>
      </w:r>
      <w:r w:rsidRPr="00A37885">
        <w:t>afia organisation, as the burden of proof lay with the authorities. In the court</w:t>
      </w:r>
      <w:r w:rsidRPr="00A37885" w:rsidR="00A37885">
        <w:t>’</w:t>
      </w:r>
      <w:r w:rsidRPr="00A37885">
        <w:t xml:space="preserve">s view, it was for the latter to provide reasons, based on </w:t>
      </w:r>
      <w:r w:rsidRPr="00A37885" w:rsidR="00F6462E">
        <w:t xml:space="preserve">detailed, specific and current factual information, indicating that the prisoner in question still had contact with the </w:t>
      </w:r>
      <w:r w:rsidRPr="00A37885" w:rsidR="004C7548">
        <w:t>m</w:t>
      </w:r>
      <w:r w:rsidRPr="00A37885" w:rsidR="00F6462E">
        <w:t>afia organisation.</w:t>
      </w:r>
    </w:p>
    <w:p w:rsidRPr="00A37885" w:rsidR="00F6462E" w:rsidP="00A37885" w14:paraId="786BBA25" w14:textId="503ECD89">
      <w:pPr>
        <w:pStyle w:val="JuPara"/>
      </w:pPr>
      <w:r w:rsidRPr="00A37885">
        <w:t xml:space="preserve">The Sentence Supervision Court found that in the instant case the authorities had simply </w:t>
      </w:r>
      <w:r w:rsidRPr="00A37885" w:rsidR="00574582">
        <w:t>observed</w:t>
      </w:r>
      <w:r w:rsidRPr="00A37885">
        <w:t xml:space="preserve"> that the criminal organisation in question was still active and that the applicant had not shown any signs of </w:t>
      </w:r>
      <w:r w:rsidRPr="00A37885" w:rsidR="00574582">
        <w:t>striving for rehabilitation,</w:t>
      </w:r>
      <w:r w:rsidRPr="00A37885">
        <w:t xml:space="preserve"> </w:t>
      </w:r>
      <w:r w:rsidRPr="00A37885" w:rsidR="00574582">
        <w:t>n</w:t>
      </w:r>
      <w:r w:rsidRPr="00A37885">
        <w:t>or</w:t>
      </w:r>
      <w:r w:rsidRPr="00A37885" w:rsidR="00574582">
        <w:t xml:space="preserve"> had he</w:t>
      </w:r>
      <w:r w:rsidRPr="00A37885">
        <w:t xml:space="preserve"> displayed any willingness to cooperate with the judicial authorities. The court noted that the authorities had not provided any specific evidence </w:t>
      </w:r>
      <w:r w:rsidRPr="00A37885" w:rsidR="00574582">
        <w:t xml:space="preserve">that the applicant was able </w:t>
      </w:r>
      <w:r w:rsidRPr="00A37885" w:rsidR="00783CA0">
        <w:t xml:space="preserve">to maintain contact with the organisation in question, and </w:t>
      </w:r>
      <w:r w:rsidRPr="00A37885" w:rsidR="00574582">
        <w:t xml:space="preserve">found </w:t>
      </w:r>
      <w:r w:rsidRPr="00A37885" w:rsidR="00783CA0">
        <w:t>that the order had not taken sufficient account of the progress he had made towards rehabilitation.</w:t>
      </w:r>
    </w:p>
    <w:p w:rsidRPr="00A37885" w:rsidR="00783CA0" w:rsidP="00A37885" w14:paraId="738C35F2" w14:textId="1610B767">
      <w:pPr>
        <w:pStyle w:val="JuPara"/>
      </w:pPr>
      <w:r w:rsidRPr="00A37885">
        <w:fldChar w:fldCharType="begin"/>
      </w:r>
      <w:r w:rsidRPr="00A37885">
        <w:instrText xml:space="preserve"> SEQ level0 \*arabic </w:instrText>
      </w:r>
      <w:r w:rsidRPr="00A37885">
        <w:fldChar w:fldCharType="separate"/>
      </w:r>
      <w:r w:rsidRPr="00A37885" w:rsidR="00A37885">
        <w:rPr>
          <w:noProof/>
        </w:rPr>
        <w:t>17</w:t>
      </w:r>
      <w:r w:rsidRPr="00A37885">
        <w:fldChar w:fldCharType="end"/>
      </w:r>
      <w:r w:rsidRPr="00A37885">
        <w:t>.  </w:t>
      </w:r>
      <w:r w:rsidRPr="00A37885">
        <w:t xml:space="preserve">The applicant subsequently made two </w:t>
      </w:r>
      <w:r w:rsidRPr="00A37885" w:rsidR="007F3863">
        <w:t>requests</w:t>
      </w:r>
      <w:r w:rsidRPr="00A37885">
        <w:t xml:space="preserve"> for prison leave </w:t>
      </w:r>
      <w:r w:rsidRPr="00A37885">
        <w:t>(</w:t>
      </w:r>
      <w:r w:rsidRPr="00A37885">
        <w:rPr>
          <w:i/>
        </w:rPr>
        <w:t>permesso premio</w:t>
      </w:r>
      <w:r w:rsidRPr="00A37885">
        <w:t xml:space="preserve">), </w:t>
      </w:r>
      <w:r w:rsidRPr="00A37885" w:rsidR="00574582">
        <w:t xml:space="preserve">a </w:t>
      </w:r>
      <w:r w:rsidRPr="00A37885" w:rsidR="00653E86">
        <w:t>measure</w:t>
      </w:r>
      <w:r w:rsidRPr="00A37885">
        <w:t xml:space="preserve"> granted to prisoners in specific circumstances (see paragraph 34 below).</w:t>
      </w:r>
    </w:p>
    <w:p w:rsidRPr="00A37885" w:rsidR="00312965" w:rsidP="00A37885" w14:paraId="2E7196DE" w14:textId="5085B5A4">
      <w:pPr>
        <w:pStyle w:val="JuPara"/>
      </w:pPr>
      <w:r w:rsidRPr="00A37885">
        <w:fldChar w:fldCharType="begin"/>
      </w:r>
      <w:r w:rsidRPr="00A37885">
        <w:instrText xml:space="preserve"> SEQ level0 \*arabic </w:instrText>
      </w:r>
      <w:r w:rsidRPr="00A37885">
        <w:fldChar w:fldCharType="separate"/>
      </w:r>
      <w:r w:rsidRPr="00A37885" w:rsidR="00A37885">
        <w:rPr>
          <w:noProof/>
        </w:rPr>
        <w:t>18</w:t>
      </w:r>
      <w:r w:rsidRPr="00A37885">
        <w:fldChar w:fldCharType="end"/>
      </w:r>
      <w:r w:rsidRPr="00A37885">
        <w:t>.  </w:t>
      </w:r>
      <w:r w:rsidRPr="00A37885" w:rsidR="00783CA0">
        <w:t xml:space="preserve">His first </w:t>
      </w:r>
      <w:r w:rsidRPr="00A37885" w:rsidR="007F3863">
        <w:t>request was refused</w:t>
      </w:r>
      <w:r w:rsidRPr="00A37885" w:rsidR="00783CA0">
        <w:t xml:space="preserve"> by the L</w:t>
      </w:r>
      <w:r w:rsidRPr="00A37885" w:rsidR="00A37885">
        <w:t>’</w:t>
      </w:r>
      <w:r w:rsidRPr="00A37885" w:rsidR="00783CA0">
        <w:t>Aquila post-sentencing judge</w:t>
      </w:r>
      <w:r w:rsidRPr="00A37885" w:rsidR="00DF546A">
        <w:t xml:space="preserve"> on 13 July 2011. In the reasoning of his decision, the judge observed that prison leave </w:t>
      </w:r>
      <w:r w:rsidRPr="00A37885" w:rsidR="00574582">
        <w:t>could</w:t>
      </w:r>
      <w:r w:rsidRPr="00A37885" w:rsidR="00DF546A">
        <w:t xml:space="preserve"> not </w:t>
      </w:r>
      <w:r w:rsidRPr="00A37885" w:rsidR="00574582">
        <w:t xml:space="preserve">be </w:t>
      </w:r>
      <w:r w:rsidRPr="00A37885" w:rsidR="00DF546A">
        <w:t xml:space="preserve">granted to individuals sentenced to life imprisonment for one of the offences referred to in section 4 </w:t>
      </w:r>
      <w:r w:rsidRPr="00A37885" w:rsidR="00DF546A">
        <w:rPr>
          <w:i/>
          <w:iCs/>
        </w:rPr>
        <w:t xml:space="preserve">bis </w:t>
      </w:r>
      <w:r w:rsidRPr="00A37885" w:rsidR="00DF546A">
        <w:t>of Law no. 354 of 26 July 1975 (</w:t>
      </w:r>
      <w:r w:rsidRPr="00A37885" w:rsidR="003A7AF3">
        <w:t xml:space="preserve">hereafter </w:t>
      </w:r>
      <w:r w:rsidRPr="00A37885" w:rsidR="00DF546A">
        <w:t>“</w:t>
      </w:r>
      <w:r w:rsidRPr="00A37885" w:rsidR="003A7AF3">
        <w:t xml:space="preserve">section 4 </w:t>
      </w:r>
      <w:r w:rsidRPr="00A37885" w:rsidR="003A7AF3">
        <w:rPr>
          <w:i/>
          <w:iCs/>
        </w:rPr>
        <w:t>bis</w:t>
      </w:r>
      <w:r w:rsidRPr="00A37885" w:rsidR="00DF546A">
        <w:t xml:space="preserve">”) </w:t>
      </w:r>
      <w:r w:rsidRPr="00A37885" w:rsidR="00574582">
        <w:t>in the absence of</w:t>
      </w:r>
      <w:r w:rsidRPr="00A37885" w:rsidR="00DF546A">
        <w:t xml:space="preserve"> “cooperat</w:t>
      </w:r>
      <w:r w:rsidRPr="00A37885" w:rsidR="00574582">
        <w:t>ion</w:t>
      </w:r>
      <w:r w:rsidRPr="00A37885" w:rsidR="00DF546A">
        <w:t xml:space="preserve"> with the judicial authorities” </w:t>
      </w:r>
      <w:r w:rsidRPr="00A37885" w:rsidR="00574582">
        <w:t>within the meaning</w:t>
      </w:r>
      <w:r w:rsidRPr="00A37885" w:rsidR="00DF546A">
        <w:t xml:space="preserve"> of section 58 </w:t>
      </w:r>
      <w:r w:rsidRPr="00A37885" w:rsidR="00DF546A">
        <w:rPr>
          <w:i/>
          <w:iCs/>
        </w:rPr>
        <w:t xml:space="preserve">ter </w:t>
      </w:r>
      <w:r w:rsidRPr="00A37885" w:rsidR="00DF546A">
        <w:t xml:space="preserve">of </w:t>
      </w:r>
      <w:r w:rsidRPr="00A37885" w:rsidR="003A7AF3">
        <w:t>the</w:t>
      </w:r>
      <w:r w:rsidRPr="00A37885" w:rsidR="00DF546A">
        <w:t xml:space="preserve"> </w:t>
      </w:r>
      <w:r w:rsidRPr="00A37885" w:rsidR="003A7AF3">
        <w:t xml:space="preserve">same </w:t>
      </w:r>
      <w:r w:rsidRPr="00A37885" w:rsidR="005C1BF1">
        <w:t>Act</w:t>
      </w:r>
      <w:r w:rsidRPr="00A37885" w:rsidR="003A7AF3">
        <w:t xml:space="preserve"> (hereafter “the Prison Administration Act”)</w:t>
      </w:r>
      <w:r w:rsidRPr="00A37885" w:rsidR="00DF546A">
        <w:t>.</w:t>
      </w:r>
    </w:p>
    <w:p w:rsidRPr="00A37885" w:rsidR="00DF546A" w:rsidP="00A37885" w14:paraId="2446AEBB" w14:textId="7F34FF69">
      <w:pPr>
        <w:pStyle w:val="JuPara"/>
      </w:pPr>
      <w:r w:rsidRPr="00A37885">
        <w:fldChar w:fldCharType="begin"/>
      </w:r>
      <w:r w:rsidRPr="00A37885">
        <w:instrText xml:space="preserve"> SEQ level0 \*arabic </w:instrText>
      </w:r>
      <w:r w:rsidRPr="00A37885">
        <w:fldChar w:fldCharType="separate"/>
      </w:r>
      <w:r w:rsidRPr="00A37885" w:rsidR="00A37885">
        <w:rPr>
          <w:noProof/>
        </w:rPr>
        <w:t>19</w:t>
      </w:r>
      <w:r w:rsidRPr="00A37885">
        <w:fldChar w:fldCharType="end"/>
      </w:r>
      <w:r w:rsidRPr="00A37885">
        <w:t>.  </w:t>
      </w:r>
      <w:r w:rsidRPr="00A37885">
        <w:t>The applicant lodged an appeal against that decision with the L</w:t>
      </w:r>
      <w:r w:rsidRPr="00A37885" w:rsidR="00A37885">
        <w:t>’</w:t>
      </w:r>
      <w:r w:rsidRPr="00A37885">
        <w:t xml:space="preserve">Aquila Sentence Supervision Court, </w:t>
      </w:r>
      <w:r w:rsidRPr="00A37885" w:rsidR="003A7AF3">
        <w:t>citing</w:t>
      </w:r>
      <w:r w:rsidRPr="00A37885">
        <w:t xml:space="preserve"> the progress he had allegedly made towards rehabilitation and </w:t>
      </w:r>
      <w:r w:rsidRPr="00A37885" w:rsidR="00574582">
        <w:t>contending</w:t>
      </w:r>
      <w:r w:rsidRPr="00A37885">
        <w:t xml:space="preserve"> that he had severed his links with </w:t>
      </w:r>
      <w:r w:rsidRPr="00A37885" w:rsidR="00574582">
        <w:t>m</w:t>
      </w:r>
      <w:r w:rsidRPr="00A37885">
        <w:t xml:space="preserve">afia circles. He also raised a question of constitutionality concerning </w:t>
      </w:r>
      <w:r w:rsidRPr="00A37885" w:rsidR="003A7AF3">
        <w:t xml:space="preserve">section 4 </w:t>
      </w:r>
      <w:r w:rsidRPr="00A37885" w:rsidR="003A7AF3">
        <w:rPr>
          <w:i/>
          <w:iCs/>
        </w:rPr>
        <w:t>bis</w:t>
      </w:r>
      <w:r w:rsidRPr="00A37885" w:rsidR="00574582">
        <w:t>,</w:t>
      </w:r>
      <w:r w:rsidRPr="00A37885" w:rsidR="003A7AF3">
        <w:t xml:space="preserve"> in so far as the latter made no provision for prison leave to be granted to life prisoners who had not cooperated with the judicial authorities </w:t>
      </w:r>
      <w:r w:rsidRPr="00A37885" w:rsidR="001A0E05">
        <w:t>and</w:t>
      </w:r>
      <w:r w:rsidRPr="00A37885" w:rsidR="003A7AF3">
        <w:t xml:space="preserve"> </w:t>
      </w:r>
      <w:r w:rsidRPr="00A37885" w:rsidR="001A0E05">
        <w:t xml:space="preserve">whose situation did not make cooperation “impossible” or “unenforceable”, but who had made progress towards rehabilitation and maintained </w:t>
      </w:r>
      <w:r w:rsidRPr="00A37885" w:rsidR="003F78EE">
        <w:t>their innocence</w:t>
      </w:r>
      <w:r w:rsidRPr="00A37885" w:rsidR="001A0E05">
        <w:t xml:space="preserve">, and in </w:t>
      </w:r>
      <w:r w:rsidRPr="00A37885" w:rsidR="00F61E77">
        <w:t>respect of</w:t>
      </w:r>
      <w:r w:rsidRPr="00A37885" w:rsidR="001A0E05">
        <w:t xml:space="preserve"> whom there was reliable evidence ruling out any links to the criminal organisation.</w:t>
      </w:r>
    </w:p>
    <w:p w:rsidRPr="00A37885" w:rsidR="001A0E05" w:rsidP="00A37885" w14:paraId="4D97DE50" w14:textId="5D0D53D7">
      <w:pPr>
        <w:pStyle w:val="JuPara"/>
      </w:pPr>
      <w:r w:rsidRPr="00A37885">
        <w:fldChar w:fldCharType="begin"/>
      </w:r>
      <w:r w:rsidRPr="00A37885">
        <w:instrText xml:space="preserve"> SEQ level0 \*arabic </w:instrText>
      </w:r>
      <w:r w:rsidRPr="00A37885">
        <w:fldChar w:fldCharType="separate"/>
      </w:r>
      <w:r w:rsidRPr="00A37885" w:rsidR="00A37885">
        <w:rPr>
          <w:noProof/>
        </w:rPr>
        <w:t>20</w:t>
      </w:r>
      <w:r w:rsidRPr="00A37885">
        <w:fldChar w:fldCharType="end"/>
      </w:r>
      <w:r w:rsidRPr="00A37885">
        <w:t>.  </w:t>
      </w:r>
      <w:r w:rsidRPr="00A37885">
        <w:t>In order no.</w:t>
      </w:r>
      <w:r w:rsidRPr="00A37885">
        <w:rPr>
          <w:vertAlign w:val="superscript"/>
        </w:rPr>
        <w:t> </w:t>
      </w:r>
      <w:r w:rsidRPr="00A37885">
        <w:t xml:space="preserve">22/12 </w:t>
      </w:r>
      <w:r w:rsidRPr="00A37885">
        <w:t>of</w:t>
      </w:r>
      <w:r w:rsidRPr="00A37885">
        <w:t xml:space="preserve"> 29 </w:t>
      </w:r>
      <w:r w:rsidRPr="00A37885">
        <w:t>November</w:t>
      </w:r>
      <w:r w:rsidRPr="00A37885">
        <w:t xml:space="preserve"> 2011</w:t>
      </w:r>
      <w:r w:rsidRPr="00A37885">
        <w:t xml:space="preserve"> (published on 9 January 2012), the Sentence Supervision Court </w:t>
      </w:r>
      <w:r w:rsidRPr="00A37885" w:rsidR="007F3863">
        <w:t>refused the request</w:t>
      </w:r>
      <w:r w:rsidRPr="00A37885">
        <w:t xml:space="preserve"> for prison leave on the grounds that the condition of “cooperation with the judicial authorities” was not satisfied.</w:t>
      </w:r>
    </w:p>
    <w:p w:rsidRPr="00A37885" w:rsidR="00312965" w:rsidP="00A37885" w14:paraId="0C98233F" w14:textId="77777777">
      <w:pPr>
        <w:pStyle w:val="JuPara"/>
      </w:pPr>
      <w:r w:rsidRPr="00A37885">
        <w:t>Regarding</w:t>
      </w:r>
      <w:r w:rsidRPr="00A37885" w:rsidR="001A0E05">
        <w:t xml:space="preserve"> the constitutionality of section 4 </w:t>
      </w:r>
      <w:r w:rsidRPr="00A37885" w:rsidR="001A0E05">
        <w:rPr>
          <w:i/>
          <w:iCs/>
        </w:rPr>
        <w:t>bis</w:t>
      </w:r>
      <w:r w:rsidRPr="00A37885" w:rsidR="001A0E05">
        <w:t xml:space="preserve">, the court </w:t>
      </w:r>
      <w:r w:rsidRPr="00A37885" w:rsidR="00322F64">
        <w:t xml:space="preserve">considered, before ruling on the merits of the question, that it was first necessary to determine whether the other criteria </w:t>
      </w:r>
      <w:r w:rsidRPr="00A37885" w:rsidR="00696CC6">
        <w:t xml:space="preserve">governing eligibility </w:t>
      </w:r>
      <w:r w:rsidRPr="00A37885" w:rsidR="00322F64">
        <w:t xml:space="preserve">for prison leave were satisfied. In particular, the court focused its assessment on the existence of </w:t>
      </w:r>
      <w:r w:rsidRPr="00A37885" w:rsidR="00C544CB">
        <w:t xml:space="preserve">positive </w:t>
      </w:r>
      <w:r w:rsidRPr="00A37885">
        <w:t>evidence</w:t>
      </w:r>
      <w:r w:rsidRPr="00A37885" w:rsidR="00C544CB">
        <w:t xml:space="preserve"> ruling out any current links with the criminal organisation.</w:t>
      </w:r>
    </w:p>
    <w:p w:rsidRPr="00A37885" w:rsidR="00C544CB" w:rsidP="00A37885" w14:paraId="737C8433" w14:textId="7C48B485">
      <w:pPr>
        <w:pStyle w:val="JuPara"/>
      </w:pPr>
      <w:r w:rsidRPr="00A37885">
        <w:fldChar w:fldCharType="begin"/>
      </w:r>
      <w:r w:rsidRPr="00A37885">
        <w:instrText xml:space="preserve"> SEQ level0 \*arabic </w:instrText>
      </w:r>
      <w:r w:rsidRPr="00A37885">
        <w:fldChar w:fldCharType="separate"/>
      </w:r>
      <w:r w:rsidRPr="00A37885" w:rsidR="00A37885">
        <w:rPr>
          <w:noProof/>
        </w:rPr>
        <w:t>21</w:t>
      </w:r>
      <w:r w:rsidRPr="00A37885">
        <w:fldChar w:fldCharType="end"/>
      </w:r>
      <w:r w:rsidRPr="00A37885">
        <w:t>.  </w:t>
      </w:r>
      <w:r w:rsidRPr="00A37885">
        <w:t xml:space="preserve">The court specified at the outset that the order of 14 March 2006 (see paragraph 16 above) lifting the “41 </w:t>
      </w:r>
      <w:r w:rsidRPr="00A37885">
        <w:rPr>
          <w:i/>
          <w:iCs/>
        </w:rPr>
        <w:t>bis</w:t>
      </w:r>
      <w:r w:rsidRPr="00A37885">
        <w:t xml:space="preserve">” prison regime had no legal implications for the </w:t>
      </w:r>
      <w:r w:rsidRPr="00A37885" w:rsidR="00D24889">
        <w:t>proceedings at hand, as the judges</w:t>
      </w:r>
      <w:r w:rsidRPr="00A37885" w:rsidR="00A37885">
        <w:t>’</w:t>
      </w:r>
      <w:r w:rsidRPr="00A37885" w:rsidR="00D24889">
        <w:t xml:space="preserve"> assessment concerned two different situations. In the view of the Sentence Supervision Court, the 2006 order had concerned the determination of whether or not the applicant </w:t>
      </w:r>
      <w:r w:rsidRPr="00A37885" w:rsidR="00986D3C">
        <w:t>was</w:t>
      </w:r>
      <w:r w:rsidRPr="00A37885" w:rsidR="00D24889">
        <w:t xml:space="preserve"> capable of maintaining links with the </w:t>
      </w:r>
      <w:r w:rsidRPr="00A37885" w:rsidR="00C24621">
        <w:t>m</w:t>
      </w:r>
      <w:r w:rsidRPr="00A37885" w:rsidR="00D24889">
        <w:t>afia organisation</w:t>
      </w:r>
      <w:r w:rsidRPr="00A37885" w:rsidR="00986D3C">
        <w:t xml:space="preserve"> </w:t>
      </w:r>
      <w:r w:rsidRPr="00A37885" w:rsidR="00986D3C">
        <w:t>while in prison</w:t>
      </w:r>
      <w:r w:rsidRPr="00A37885" w:rsidR="00D24889">
        <w:t>, whereas in the proceedings at hand the aim was to ascertain whether it could be established with certainty that the applicant no longer had links to the criminal organisation.</w:t>
      </w:r>
    </w:p>
    <w:p w:rsidRPr="00A37885" w:rsidR="00D24889" w:rsidP="00A37885" w14:paraId="10BEA45C" w14:textId="0CD8D58D">
      <w:pPr>
        <w:pStyle w:val="JuPara"/>
      </w:pPr>
      <w:r w:rsidRPr="00A37885">
        <w:fldChar w:fldCharType="begin"/>
      </w:r>
      <w:r w:rsidRPr="00A37885">
        <w:instrText xml:space="preserve"> SEQ level0 \*arabic </w:instrText>
      </w:r>
      <w:r w:rsidRPr="00A37885">
        <w:fldChar w:fldCharType="separate"/>
      </w:r>
      <w:r w:rsidRPr="00A37885" w:rsidR="00A37885">
        <w:rPr>
          <w:noProof/>
        </w:rPr>
        <w:t>22</w:t>
      </w:r>
      <w:r w:rsidRPr="00A37885">
        <w:fldChar w:fldCharType="end"/>
      </w:r>
      <w:r w:rsidRPr="00A37885">
        <w:t>.  </w:t>
      </w:r>
      <w:r w:rsidRPr="00A37885">
        <w:t xml:space="preserve">In the case before it the Sentence Supervision Court considered that the severing of those links had not been positively established. On the contrary, it noted that the mafia group was still active in the Taurianova area, that the applicant had been the acknowledged head of a criminal organisation and that it </w:t>
      </w:r>
      <w:r w:rsidRPr="00A37885" w:rsidR="00C24621">
        <w:t>was not apparent</w:t>
      </w:r>
      <w:r w:rsidRPr="00A37885">
        <w:t xml:space="preserve"> from the observation of his day-to-day conduct that he had engaged in a critical </w:t>
      </w:r>
      <w:r w:rsidRPr="00A37885" w:rsidR="00C24621">
        <w:t>appraisal</w:t>
      </w:r>
      <w:r w:rsidRPr="00A37885">
        <w:t xml:space="preserve"> of his criminal past. Accordingly, the court rejected the </w:t>
      </w:r>
      <w:r w:rsidRPr="00A37885" w:rsidR="007F3863">
        <w:t>applicant</w:t>
      </w:r>
      <w:r w:rsidRPr="00A37885" w:rsidR="00A37885">
        <w:t>’</w:t>
      </w:r>
      <w:r w:rsidRPr="00A37885" w:rsidR="007F3863">
        <w:t>s request without examining the merits of the question of constitutionality raised by him. The court</w:t>
      </w:r>
      <w:r w:rsidRPr="00A37885" w:rsidR="00A37885">
        <w:t>’</w:t>
      </w:r>
      <w:r w:rsidRPr="00A37885" w:rsidR="007F3863">
        <w:t>s order was upheld by the Court of Cassation on 7 November 2012 (judgment no. 3107/12).</w:t>
      </w:r>
    </w:p>
    <w:p w:rsidRPr="00A37885" w:rsidR="00312965" w:rsidP="00A37885" w14:paraId="0DD3CFF1" w14:textId="36C81E70">
      <w:pPr>
        <w:pStyle w:val="JuPara"/>
      </w:pPr>
      <w:r w:rsidRPr="00A37885">
        <w:fldChar w:fldCharType="begin"/>
      </w:r>
      <w:r w:rsidRPr="00A37885">
        <w:instrText xml:space="preserve"> SEQ level0 \*arabic </w:instrText>
      </w:r>
      <w:r w:rsidRPr="00A37885">
        <w:fldChar w:fldCharType="separate"/>
      </w:r>
      <w:r w:rsidRPr="00A37885" w:rsidR="00A37885">
        <w:rPr>
          <w:noProof/>
        </w:rPr>
        <w:t>23</w:t>
      </w:r>
      <w:r w:rsidRPr="00A37885">
        <w:fldChar w:fldCharType="end"/>
      </w:r>
      <w:r w:rsidRPr="00A37885">
        <w:t>.  </w:t>
      </w:r>
      <w:r w:rsidRPr="00A37885" w:rsidR="007F3863">
        <w:t>The second request for prison leave was refused by the L</w:t>
      </w:r>
      <w:r w:rsidRPr="00A37885" w:rsidR="00A37885">
        <w:t>’</w:t>
      </w:r>
      <w:r w:rsidRPr="00A37885" w:rsidR="007F3863">
        <w:t>Aquila post-sentencing judge on 4 June 2015 and by the L</w:t>
      </w:r>
      <w:r w:rsidRPr="00A37885" w:rsidR="00A37885">
        <w:t>’</w:t>
      </w:r>
      <w:r w:rsidRPr="00A37885" w:rsidR="007F3863">
        <w:t>Aquila Sentence Supervision Court on 13 October 2015, on the grounds of failure to cooperate with the authorities.</w:t>
      </w:r>
    </w:p>
    <w:bookmarkStart w:name="FAITS_PROGRES_REQUERANT" w:id="2"/>
    <w:p w:rsidRPr="00A37885" w:rsidR="008F0106" w:rsidP="00A37885" w14:paraId="4C1BF5DA" w14:textId="7D78D440">
      <w:pPr>
        <w:pStyle w:val="JuPara"/>
      </w:pPr>
      <w:r w:rsidRPr="00A37885">
        <w:fldChar w:fldCharType="begin"/>
      </w:r>
      <w:r w:rsidRPr="00A37885">
        <w:instrText xml:space="preserve"> SEQ level0 \*arabic </w:instrText>
      </w:r>
      <w:r w:rsidRPr="00A37885">
        <w:fldChar w:fldCharType="separate"/>
      </w:r>
      <w:r w:rsidRPr="00A37885" w:rsidR="00A37885">
        <w:rPr>
          <w:noProof/>
        </w:rPr>
        <w:t>24</w:t>
      </w:r>
      <w:r w:rsidRPr="00A37885">
        <w:fldChar w:fldCharType="end"/>
      </w:r>
      <w:bookmarkEnd w:id="2"/>
      <w:r w:rsidRPr="00A37885">
        <w:t>.  </w:t>
      </w:r>
      <w:r w:rsidRPr="00A37885">
        <w:t>In the meantime, in March 2015, the applicant had submitted an application to the L</w:t>
      </w:r>
      <w:r w:rsidRPr="00A37885" w:rsidR="00A37885">
        <w:t>’</w:t>
      </w:r>
      <w:r w:rsidRPr="00A37885">
        <w:t xml:space="preserve">Aquila Sentence Supervision Court for </w:t>
      </w:r>
      <w:r w:rsidRPr="00A37885" w:rsidR="00EA32C5">
        <w:t>conditional release</w:t>
      </w:r>
      <w:r w:rsidRPr="00A37885">
        <w:t xml:space="preserve"> under Article 176 of the Criminal Code. He pointed to his progress towards rehabilitation in prison as noted in observation reports dated 1</w:t>
      </w:r>
      <w:r w:rsidRPr="00A37885" w:rsidR="00E64A62">
        <w:t> </w:t>
      </w:r>
      <w:r w:rsidRPr="00A37885">
        <w:t xml:space="preserve">March 2011, 20 August 2014 and 27 January 2015, to the </w:t>
      </w:r>
      <w:r w:rsidRPr="00A37885" w:rsidR="00986D3C">
        <w:t>absence of any</w:t>
      </w:r>
      <w:r w:rsidRPr="00A37885">
        <w:t xml:space="preserve"> links to organised crime and to his inability to obtain a reduction of sentence </w:t>
      </w:r>
      <w:r w:rsidRPr="00A37885" w:rsidR="00C24621">
        <w:t>through</w:t>
      </w:r>
      <w:r w:rsidRPr="00A37885">
        <w:t xml:space="preserve"> </w:t>
      </w:r>
      <w:r w:rsidRPr="00A37885" w:rsidR="00986D3C">
        <w:t>early</w:t>
      </w:r>
      <w:r w:rsidRPr="00A37885" w:rsidR="00EA32C5">
        <w:t xml:space="preserve"> release</w:t>
      </w:r>
      <w:r w:rsidRPr="00A37885">
        <w:t xml:space="preserve"> (according to the applicant, he had accrued entitlement to over 1,600 days by the date of submission of the application). He also maintained that, owing to the existence of </w:t>
      </w:r>
      <w:r w:rsidRPr="00A37885" w:rsidR="00381C91">
        <w:t>the</w:t>
      </w:r>
      <w:r w:rsidRPr="00A37885">
        <w:t xml:space="preserve"> aggravating circumstance taken into </w:t>
      </w:r>
      <w:r w:rsidRPr="00A37885" w:rsidR="00C24621">
        <w:t>consideration</w:t>
      </w:r>
      <w:r w:rsidRPr="00A37885">
        <w:t xml:space="preserve"> in the judgments convicting him</w:t>
      </w:r>
      <w:r w:rsidRPr="00A37885" w:rsidR="00381C91">
        <w:t>,</w:t>
      </w:r>
      <w:r w:rsidRPr="00A37885" w:rsidR="00C24621">
        <w:t xml:space="preserve"> </w:t>
      </w:r>
      <w:r w:rsidRPr="00A37885">
        <w:t xml:space="preserve">based on his role as head of the criminal organisation, </w:t>
      </w:r>
      <w:r w:rsidRPr="00A37885" w:rsidR="00C24621">
        <w:t>there was no prospect that</w:t>
      </w:r>
      <w:r w:rsidRPr="00A37885">
        <w:t xml:space="preserve"> </w:t>
      </w:r>
      <w:r w:rsidRPr="00A37885" w:rsidR="00F804FB">
        <w:t xml:space="preserve">cooperation </w:t>
      </w:r>
      <w:r w:rsidRPr="00A37885" w:rsidR="00C24621">
        <w:t>would be deemed in his case to be</w:t>
      </w:r>
      <w:r w:rsidRPr="00A37885" w:rsidR="00F804FB">
        <w:t xml:space="preserve"> “impossible” or “unenforceable” within the meaning of section 4 </w:t>
      </w:r>
      <w:r w:rsidRPr="00A37885" w:rsidR="00F804FB">
        <w:rPr>
          <w:i/>
          <w:iCs/>
        </w:rPr>
        <w:t xml:space="preserve">bis </w:t>
      </w:r>
      <w:r w:rsidRPr="00A37885" w:rsidR="00F804FB">
        <w:t xml:space="preserve">of the Prison Administration Act. Lastly, he requested the Sentence Supervision Court to raise a question </w:t>
      </w:r>
      <w:r w:rsidRPr="00A37885" w:rsidR="00C24621">
        <w:t>as to</w:t>
      </w:r>
      <w:r w:rsidRPr="00A37885" w:rsidR="00F804FB">
        <w:t xml:space="preserve"> the constitutionality of section 4 </w:t>
      </w:r>
      <w:r w:rsidRPr="00A37885" w:rsidR="00F804FB">
        <w:rPr>
          <w:i/>
          <w:iCs/>
        </w:rPr>
        <w:t xml:space="preserve">bis </w:t>
      </w:r>
      <w:r w:rsidRPr="00A37885" w:rsidR="00F804FB">
        <w:t>in relation to Article 27 § 3 of the Constitution and Article 117 § 1 of the Constitution read in conjunction with Article 3 of the Convention.</w:t>
      </w:r>
    </w:p>
    <w:bookmarkStart w:name="FAITS_REJET_REEXAMEN" w:id="3"/>
    <w:p w:rsidRPr="00A37885" w:rsidR="00F013CE" w:rsidP="00A37885" w14:paraId="676FB581" w14:textId="3036AD70">
      <w:pPr>
        <w:pStyle w:val="JuPara"/>
      </w:pPr>
      <w:r w:rsidRPr="00A37885">
        <w:fldChar w:fldCharType="begin"/>
      </w:r>
      <w:r w:rsidRPr="00A37885">
        <w:instrText xml:space="preserve"> SEQ level0 \*arabic </w:instrText>
      </w:r>
      <w:r w:rsidRPr="00A37885">
        <w:fldChar w:fldCharType="separate"/>
      </w:r>
      <w:r w:rsidRPr="00A37885" w:rsidR="00A37885">
        <w:rPr>
          <w:noProof/>
        </w:rPr>
        <w:t>25</w:t>
      </w:r>
      <w:r w:rsidRPr="00A37885">
        <w:fldChar w:fldCharType="end"/>
      </w:r>
      <w:bookmarkEnd w:id="3"/>
      <w:r w:rsidRPr="00A37885">
        <w:t>.  </w:t>
      </w:r>
      <w:r w:rsidRPr="00A37885">
        <w:t xml:space="preserve">In a decision of 26 May 2015 the Sentence Supervision Court rejected the application for </w:t>
      </w:r>
      <w:r w:rsidRPr="00A37885" w:rsidR="00EA32C5">
        <w:t>conditional release</w:t>
      </w:r>
      <w:r w:rsidRPr="00A37885">
        <w:t xml:space="preserve">, observing that the applicant had been convicted of membership of a </w:t>
      </w:r>
      <w:r w:rsidRPr="00A37885" w:rsidR="00C24621">
        <w:t>m</w:t>
      </w:r>
      <w:r w:rsidRPr="00A37885">
        <w:t xml:space="preserve">afia-type criminal organisation and </w:t>
      </w:r>
      <w:r w:rsidRPr="00A37885" w:rsidR="00C24621">
        <w:t>o</w:t>
      </w:r>
      <w:r w:rsidRPr="00A37885" w:rsidR="00322EE8">
        <w:t>f</w:t>
      </w:r>
      <w:r w:rsidRPr="00A37885" w:rsidR="00C24621">
        <w:t xml:space="preserve"> </w:t>
      </w:r>
      <w:r w:rsidRPr="00A37885">
        <w:t xml:space="preserve">other offences committed through intimidation based on links to the </w:t>
      </w:r>
      <w:r w:rsidRPr="00A37885" w:rsidR="00C24621">
        <w:t>m</w:t>
      </w:r>
      <w:r w:rsidRPr="00A37885">
        <w:t xml:space="preserve">afia or with the aim of contributing to the </w:t>
      </w:r>
      <w:r w:rsidRPr="00A37885" w:rsidR="00C24621">
        <w:t>organisatio</w:t>
      </w:r>
      <w:r w:rsidRPr="00A37885">
        <w:t>n</w:t>
      </w:r>
      <w:r w:rsidRPr="00A37885" w:rsidR="00A37885">
        <w:t>’</w:t>
      </w:r>
      <w:r w:rsidRPr="00A37885">
        <w:t>s activities (section 7 of Decree-Law no. 152 of 13 May 1991, converted into Law no. 203 of 12</w:t>
      </w:r>
      <w:r w:rsidRPr="00A37885" w:rsidR="00E64A62">
        <w:t> </w:t>
      </w:r>
      <w:r w:rsidRPr="00A37885">
        <w:t xml:space="preserve">July 1991). According to the court, </w:t>
      </w:r>
      <w:r w:rsidRPr="00A37885" w:rsidR="00C24621">
        <w:t>as the applicant had committed</w:t>
      </w:r>
      <w:r w:rsidRPr="00A37885">
        <w:t xml:space="preserve"> offences </w:t>
      </w:r>
      <w:r w:rsidRPr="00A37885" w:rsidR="00322EE8">
        <w:t>covered by</w:t>
      </w:r>
      <w:r w:rsidRPr="00A37885">
        <w:t xml:space="preserve"> section 4 </w:t>
      </w:r>
      <w:r w:rsidRPr="00A37885">
        <w:rPr>
          <w:i/>
          <w:iCs/>
        </w:rPr>
        <w:t>bis</w:t>
      </w:r>
      <w:r w:rsidRPr="00A37885">
        <w:t xml:space="preserve">, </w:t>
      </w:r>
      <w:r w:rsidRPr="00A37885" w:rsidR="00C24621">
        <w:t>he</w:t>
      </w:r>
      <w:r w:rsidRPr="00A37885">
        <w:t xml:space="preserve"> was not eligible for </w:t>
      </w:r>
      <w:r w:rsidRPr="00A37885" w:rsidR="00EA32C5">
        <w:t>conditional release</w:t>
      </w:r>
      <w:r w:rsidRPr="00A37885">
        <w:t xml:space="preserve"> if he had not cooperated with the judicial authorities; in </w:t>
      </w:r>
      <w:r w:rsidRPr="00A37885" w:rsidR="00C24621">
        <w:t>his</w:t>
      </w:r>
      <w:r w:rsidRPr="00A37885">
        <w:t xml:space="preserve"> case, such </w:t>
      </w:r>
      <w:r w:rsidRPr="00A37885">
        <w:t xml:space="preserve">cooperation was neither “impossible” nor “unenforceable” within the meaning of </w:t>
      </w:r>
      <w:r w:rsidRPr="00A37885" w:rsidR="005C1BF1">
        <w:t>subsection</w:t>
      </w:r>
      <w:r w:rsidRPr="00A37885">
        <w:t xml:space="preserve"> 1 </w:t>
      </w:r>
      <w:r w:rsidRPr="00A37885">
        <w:rPr>
          <w:i/>
          <w:iCs/>
        </w:rPr>
        <w:t xml:space="preserve">bis </w:t>
      </w:r>
      <w:r w:rsidRPr="00A37885">
        <w:t>of the above-mentioned section.</w:t>
      </w:r>
    </w:p>
    <w:p w:rsidRPr="00A37885" w:rsidR="00AD4B9F" w:rsidP="00A37885" w14:paraId="66576E17" w14:textId="1ECA134F">
      <w:pPr>
        <w:pStyle w:val="JuPara"/>
      </w:pPr>
      <w:r w:rsidRPr="00A37885">
        <w:fldChar w:fldCharType="begin"/>
      </w:r>
      <w:r w:rsidRPr="00A37885">
        <w:instrText xml:space="preserve"> SEQ level0 \*arabic </w:instrText>
      </w:r>
      <w:r w:rsidRPr="00A37885">
        <w:fldChar w:fldCharType="separate"/>
      </w:r>
      <w:r w:rsidRPr="00A37885" w:rsidR="00A37885">
        <w:rPr>
          <w:noProof/>
        </w:rPr>
        <w:t>26</w:t>
      </w:r>
      <w:r w:rsidRPr="00A37885">
        <w:fldChar w:fldCharType="end"/>
      </w:r>
      <w:r w:rsidRPr="00A37885">
        <w:t>.  </w:t>
      </w:r>
      <w:r w:rsidRPr="00A37885" w:rsidR="004A2BB7">
        <w:t xml:space="preserve">As to the question of constitutionality raised by the applicant, the court held that the provision in issue was </w:t>
      </w:r>
      <w:r w:rsidRPr="00A37885" w:rsidR="00322EE8">
        <w:t>consistent</w:t>
      </w:r>
      <w:r w:rsidRPr="00A37885" w:rsidR="004A2BB7">
        <w:t xml:space="preserve"> with the principles </w:t>
      </w:r>
      <w:r w:rsidRPr="00A37885" w:rsidR="00C24621">
        <w:t>derived</w:t>
      </w:r>
      <w:r w:rsidRPr="00A37885" w:rsidR="004A2BB7">
        <w:t xml:space="preserve"> from Article 27 § 3 of the Constitution. </w:t>
      </w:r>
      <w:r w:rsidRPr="00A37885" w:rsidR="009A7C58">
        <w:t xml:space="preserve">After </w:t>
      </w:r>
      <w:r w:rsidRPr="00A37885" w:rsidR="00C24621">
        <w:t>referring</w:t>
      </w:r>
      <w:r w:rsidRPr="00A37885" w:rsidR="009A7C58">
        <w:t xml:space="preserve"> to the case</w:t>
      </w:r>
      <w:r w:rsidRPr="00A37885" w:rsidR="00DA7D90">
        <w:noBreakHyphen/>
      </w:r>
      <w:r w:rsidRPr="00A37885" w:rsidR="009A7C58">
        <w:t xml:space="preserve">law of the Constitutional Court and the position taken by the Court in </w:t>
      </w:r>
      <w:r w:rsidRPr="00A37885">
        <w:rPr>
          <w:i/>
        </w:rPr>
        <w:t>Vinter and Others v. the United Kingdom</w:t>
      </w:r>
      <w:r w:rsidRPr="00A37885">
        <w:t xml:space="preserve"> </w:t>
      </w:r>
      <w:r w:rsidRPr="00A37885" w:rsidR="005C1BF1">
        <w:t>(</w:t>
      </w:r>
      <w:r w:rsidRPr="00A37885">
        <w:t>[GC], nos. 66069/09 and 2</w:t>
      </w:r>
      <w:r w:rsidRPr="00A37885" w:rsidR="00E64A62">
        <w:t> </w:t>
      </w:r>
      <w:r w:rsidRPr="00A37885">
        <w:t>others, ECHR 2013 (extracts)</w:t>
      </w:r>
      <w:r w:rsidRPr="00A37885" w:rsidR="005C1BF1">
        <w:t>)</w:t>
      </w:r>
      <w:r w:rsidRPr="00A37885">
        <w:t xml:space="preserve">, the </w:t>
      </w:r>
      <w:r w:rsidRPr="00A37885" w:rsidR="00F61E77">
        <w:t>Sentence Supervision C</w:t>
      </w:r>
      <w:r w:rsidRPr="00A37885">
        <w:t xml:space="preserve">ourt stated that the legislation afforded prisoners sentenced to life imprisonment for one of the offences referred to in section 4 </w:t>
      </w:r>
      <w:r w:rsidRPr="00A37885">
        <w:rPr>
          <w:i/>
          <w:iCs/>
        </w:rPr>
        <w:t xml:space="preserve">bis </w:t>
      </w:r>
      <w:r w:rsidRPr="00A37885">
        <w:t xml:space="preserve">a practical possibility of release </w:t>
      </w:r>
      <w:r w:rsidRPr="00A37885" w:rsidR="00270C47">
        <w:t>which</w:t>
      </w:r>
      <w:r w:rsidRPr="00A37885" w:rsidR="00DA7223">
        <w:t xml:space="preserve"> demonstrated</w:t>
      </w:r>
      <w:r w:rsidRPr="00A37885">
        <w:t xml:space="preserve"> that the sentence had achieved its aim and that the convicted offender </w:t>
      </w:r>
      <w:r w:rsidRPr="00A37885" w:rsidR="00D05CFD">
        <w:t>could reintegrate into society.</w:t>
      </w:r>
      <w:r w:rsidRPr="00A37885" w:rsidR="00A72AE4">
        <w:t xml:space="preserve"> According to the court, that possibility was subject to </w:t>
      </w:r>
      <w:r w:rsidRPr="00A37885" w:rsidR="00DA7223">
        <w:t>a</w:t>
      </w:r>
      <w:r w:rsidRPr="00A37885" w:rsidR="00A72AE4">
        <w:t xml:space="preserve"> specific requirement</w:t>
      </w:r>
      <w:r w:rsidRPr="00A37885" w:rsidR="00DA7223">
        <w:t xml:space="preserve"> for the prisoner concerned to have</w:t>
      </w:r>
      <w:r w:rsidRPr="00A37885" w:rsidR="00322EE8">
        <w:t xml:space="preserve"> permanently</w:t>
      </w:r>
      <w:r w:rsidRPr="00A37885" w:rsidR="00DA7223">
        <w:t xml:space="preserve"> severed </w:t>
      </w:r>
      <w:r w:rsidRPr="00A37885" w:rsidR="00322EE8">
        <w:t>his or her</w:t>
      </w:r>
      <w:r w:rsidRPr="00A37885" w:rsidR="00DA7223">
        <w:t xml:space="preserve"> links with </w:t>
      </w:r>
      <w:r w:rsidRPr="00A37885" w:rsidR="00C24621">
        <w:t>m</w:t>
      </w:r>
      <w:r w:rsidRPr="00A37885" w:rsidR="00DA7223">
        <w:t>afia circles; this had to be manifested in practice through meaningful cooperation with the judicial authorities.</w:t>
      </w:r>
    </w:p>
    <w:p w:rsidRPr="00A37885" w:rsidR="003B369D" w:rsidP="00A37885" w14:paraId="6A7CB3B6" w14:textId="0B3E4BC5">
      <w:pPr>
        <w:pStyle w:val="JuPara"/>
      </w:pPr>
      <w:r w:rsidRPr="00A37885">
        <w:fldChar w:fldCharType="begin"/>
      </w:r>
      <w:r w:rsidRPr="00A37885">
        <w:instrText xml:space="preserve"> SEQ level0 \*arabic </w:instrText>
      </w:r>
      <w:r w:rsidRPr="00A37885">
        <w:fldChar w:fldCharType="separate"/>
      </w:r>
      <w:r w:rsidRPr="00A37885" w:rsidR="00A37885">
        <w:rPr>
          <w:noProof/>
        </w:rPr>
        <w:t>27</w:t>
      </w:r>
      <w:r w:rsidRPr="00A37885">
        <w:fldChar w:fldCharType="end"/>
      </w:r>
      <w:r w:rsidRPr="00A37885">
        <w:t>.  </w:t>
      </w:r>
      <w:r w:rsidRPr="00A37885">
        <w:t xml:space="preserve">The applicant appealed on points of law against that decision, arguing in particular that the provision establishing an automatic statutory mechanism </w:t>
      </w:r>
      <w:r w:rsidRPr="00A37885" w:rsidR="00322EE8">
        <w:t>preventing</w:t>
      </w:r>
      <w:r w:rsidRPr="00A37885">
        <w:t xml:space="preserve"> “non-cooperating” prisoners from being granted </w:t>
      </w:r>
      <w:r w:rsidRPr="00A37885" w:rsidR="00EA32C5">
        <w:t>conditional release</w:t>
      </w:r>
      <w:r w:rsidRPr="00A37885">
        <w:t xml:space="preserve"> was unconstitutional.</w:t>
      </w:r>
    </w:p>
    <w:bookmarkStart w:name="FAITS_REJET_REEXAMEN_CASSATION" w:id="4"/>
    <w:p w:rsidRPr="00A37885" w:rsidR="003B369D" w:rsidP="00A37885" w14:paraId="3A3B3BA0" w14:textId="26E5583A">
      <w:pPr>
        <w:pStyle w:val="JuPara"/>
      </w:pPr>
      <w:r w:rsidRPr="00A37885">
        <w:fldChar w:fldCharType="begin"/>
      </w:r>
      <w:r w:rsidRPr="00A37885">
        <w:instrText xml:space="preserve"> SEQ level0 \*arabic </w:instrText>
      </w:r>
      <w:r w:rsidRPr="00A37885">
        <w:fldChar w:fldCharType="separate"/>
      </w:r>
      <w:r w:rsidRPr="00A37885" w:rsidR="00A37885">
        <w:rPr>
          <w:noProof/>
        </w:rPr>
        <w:t>28</w:t>
      </w:r>
      <w:r w:rsidRPr="00A37885">
        <w:fldChar w:fldCharType="end"/>
      </w:r>
      <w:bookmarkEnd w:id="4"/>
      <w:r w:rsidRPr="00A37885">
        <w:t>.  </w:t>
      </w:r>
      <w:r w:rsidRPr="00A37885">
        <w:t>In judgment no.</w:t>
      </w:r>
      <w:r w:rsidRPr="00A37885">
        <w:t xml:space="preserve"> 1153/16 </w:t>
      </w:r>
      <w:r w:rsidRPr="00A37885">
        <w:t>of 22 March</w:t>
      </w:r>
      <w:r w:rsidRPr="00A37885">
        <w:t xml:space="preserve"> 2016</w:t>
      </w:r>
      <w:r w:rsidRPr="00A37885">
        <w:t xml:space="preserve"> (published on 1 July 2016), the Court of Cassation dismissed the applicant</w:t>
      </w:r>
      <w:r w:rsidRPr="00A37885" w:rsidR="00A37885">
        <w:t>’</w:t>
      </w:r>
      <w:r w:rsidRPr="00A37885">
        <w:t>s appeal. With regard to the question of constitutionality he had raised, it pointed to the case-law of the Constitutional Court, and in particular judgment no.</w:t>
      </w:r>
      <w:r w:rsidRPr="00A37885" w:rsidR="0070026C">
        <w:t xml:space="preserve"> 1</w:t>
      </w:r>
      <w:r w:rsidRPr="00A37885">
        <w:t xml:space="preserve">35/2003, according to which the fact of making </w:t>
      </w:r>
      <w:r w:rsidRPr="00A37885" w:rsidR="00EA32C5">
        <w:t>conditional release</w:t>
      </w:r>
      <w:r w:rsidRPr="00A37885">
        <w:t xml:space="preserve"> contingent on cooperation with the judicial authorities did not run counter to the rehabilitative purpose of the sentence. According to the Constitutional Court, </w:t>
      </w:r>
      <w:r w:rsidRPr="00A37885" w:rsidR="00F43797">
        <w:t>convicted prisoners were free to choose</w:t>
      </w:r>
      <w:r w:rsidRPr="00A37885" w:rsidR="004F6B36">
        <w:t xml:space="preserve"> whether to cooperate with the judicial authorities</w:t>
      </w:r>
      <w:r w:rsidRPr="00A37885" w:rsidR="00F43797">
        <w:t xml:space="preserve"> and</w:t>
      </w:r>
      <w:r w:rsidRPr="00A37885" w:rsidR="004F6B36">
        <w:t xml:space="preserve"> were not subjected to any form of coercion.</w:t>
      </w:r>
    </w:p>
    <w:p w:rsidRPr="00A37885" w:rsidR="004F6B36" w:rsidP="00A37885" w14:paraId="1C8F4AD0" w14:textId="1F988376">
      <w:pPr>
        <w:pStyle w:val="JuPara"/>
      </w:pPr>
      <w:r w:rsidRPr="00A37885">
        <w:t>As to the applicant</w:t>
      </w:r>
      <w:r w:rsidRPr="00A37885" w:rsidR="00A37885">
        <w:t>’</w:t>
      </w:r>
      <w:r w:rsidRPr="00A37885">
        <w:t xml:space="preserve">s claim to be innocent, the Constitutional Court referred to another ruling of the same court (no. 306/1993), in which it had held that the section 4 </w:t>
      </w:r>
      <w:r w:rsidRPr="00A37885">
        <w:rPr>
          <w:i/>
          <w:iCs/>
        </w:rPr>
        <w:t xml:space="preserve">bis </w:t>
      </w:r>
      <w:r w:rsidRPr="00A37885">
        <w:t xml:space="preserve">regime did not </w:t>
      </w:r>
      <w:r w:rsidRPr="00A37885" w:rsidR="0070026C">
        <w:t>adversely affect</w:t>
      </w:r>
      <w:r w:rsidRPr="00A37885" w:rsidR="000E341C">
        <w:t xml:space="preserve"> convicted prisoners who protested their innocence, as this circumstance had legal relevance only in the context of a retrial. Lastly, the Court of Cassation stressed the absolute nature of the presumption of dangerousness to society in the absence of cooperation with the judicial authorities. In the court</w:t>
      </w:r>
      <w:r w:rsidRPr="00A37885" w:rsidR="00A37885">
        <w:t>’</w:t>
      </w:r>
      <w:r w:rsidRPr="00A37885" w:rsidR="000E341C">
        <w:t>s view, the legislature was free to lay down conditions for</w:t>
      </w:r>
      <w:r w:rsidRPr="00A37885" w:rsidR="00F43797">
        <w:t xml:space="preserve"> the</w:t>
      </w:r>
      <w:r w:rsidRPr="00A37885" w:rsidR="000E341C">
        <w:t xml:space="preserve"> release of prisoners who had been convicted of particularly serious offences such as those linked to mafia-type activities. </w:t>
      </w:r>
      <w:r w:rsidRPr="00A37885" w:rsidR="00657AD4">
        <w:t>P</w:t>
      </w:r>
      <w:r w:rsidRPr="00A37885" w:rsidR="000E341C">
        <w:t xml:space="preserve">ersons </w:t>
      </w:r>
      <w:r w:rsidRPr="00A37885" w:rsidR="00657AD4">
        <w:t>serving a life sentence</w:t>
      </w:r>
      <w:r w:rsidRPr="00A37885" w:rsidR="000E341C">
        <w:t xml:space="preserve"> under section 4 </w:t>
      </w:r>
      <w:r w:rsidRPr="00A37885" w:rsidR="000E341C">
        <w:rPr>
          <w:i/>
          <w:iCs/>
        </w:rPr>
        <w:t>bis</w:t>
      </w:r>
      <w:r w:rsidRPr="00A37885" w:rsidR="00657AD4">
        <w:t xml:space="preserve"> </w:t>
      </w:r>
      <w:r w:rsidRPr="00A37885" w:rsidR="005C1BF1">
        <w:t>posed a greater risk</w:t>
      </w:r>
      <w:r w:rsidRPr="00A37885" w:rsidR="00657AD4">
        <w:t xml:space="preserve"> on account of the offence</w:t>
      </w:r>
      <w:r w:rsidRPr="00A37885" w:rsidR="00F43797">
        <w:t xml:space="preserve"> they had</w:t>
      </w:r>
      <w:r w:rsidRPr="00A37885" w:rsidR="00657AD4">
        <w:t xml:space="preserve"> committed rather than their individual personality. That being so, </w:t>
      </w:r>
      <w:r w:rsidRPr="00A37885" w:rsidR="00F43797">
        <w:t xml:space="preserve">it was legitimate for </w:t>
      </w:r>
      <w:r w:rsidRPr="00A37885" w:rsidR="00657AD4">
        <w:t xml:space="preserve">the legislature </w:t>
      </w:r>
      <w:r w:rsidRPr="00A37885" w:rsidR="00F43797">
        <w:t>to require</w:t>
      </w:r>
      <w:r w:rsidRPr="00A37885" w:rsidR="00657AD4">
        <w:t xml:space="preserve"> positive </w:t>
      </w:r>
      <w:r w:rsidRPr="00A37885" w:rsidR="00322EE8">
        <w:t>evidence</w:t>
      </w:r>
      <w:r w:rsidRPr="00A37885" w:rsidR="00657AD4">
        <w:t xml:space="preserve"> that the person concerned had</w:t>
      </w:r>
      <w:r w:rsidRPr="00A37885" w:rsidR="00126A3D">
        <w:t xml:space="preserve"> permanently</w:t>
      </w:r>
      <w:r w:rsidRPr="00A37885" w:rsidR="00657AD4">
        <w:t xml:space="preserve"> severed </w:t>
      </w:r>
      <w:r w:rsidRPr="00A37885" w:rsidR="00126A3D">
        <w:t>contact</w:t>
      </w:r>
      <w:r w:rsidRPr="00A37885" w:rsidR="00657AD4">
        <w:t xml:space="preserve"> with the mafia group </w:t>
      </w:r>
      <w:r w:rsidRPr="00A37885" w:rsidR="00322EE8">
        <w:t>in question</w:t>
      </w:r>
      <w:r w:rsidRPr="00A37885" w:rsidR="00126A3D">
        <w:t>.</w:t>
      </w:r>
    </w:p>
    <w:p w:rsidRPr="00A37885" w:rsidR="00055E7A" w:rsidP="00A37885" w14:paraId="61E5A822" w14:textId="06EBF568">
      <w:pPr>
        <w:pStyle w:val="JuHIRoman"/>
      </w:pPr>
      <w:r w:rsidRPr="00A37885">
        <w:t>RELEVANT LEGAL FRAMEWORK AND PRACTICE</w:t>
      </w:r>
    </w:p>
    <w:p w:rsidRPr="00A37885" w:rsidR="001F17E7" w:rsidP="00A37885" w14:paraId="163D8D4E" w14:textId="465BE68E">
      <w:pPr>
        <w:pStyle w:val="JuHA"/>
      </w:pPr>
      <w:r w:rsidRPr="00A37885">
        <w:t>Positive law</w:t>
      </w:r>
    </w:p>
    <w:p w:rsidRPr="00A37885" w:rsidR="001F17E7" w:rsidP="00A37885" w14:paraId="32F545D6" w14:textId="2B01C4F8">
      <w:pPr>
        <w:pStyle w:val="JuH1"/>
      </w:pPr>
      <w:r w:rsidRPr="00A37885">
        <w:t>The Constitution</w:t>
      </w:r>
    </w:p>
    <w:p w:rsidRPr="00A37885" w:rsidR="00126A3D" w:rsidP="00A37885" w14:paraId="48663C78" w14:textId="07CE8392">
      <w:pPr>
        <w:pStyle w:val="JuPara"/>
      </w:pPr>
      <w:r w:rsidRPr="00A37885">
        <w:fldChar w:fldCharType="begin"/>
      </w:r>
      <w:r w:rsidRPr="00A37885">
        <w:instrText xml:space="preserve"> SEQ level0 \*arabic </w:instrText>
      </w:r>
      <w:r w:rsidRPr="00A37885">
        <w:fldChar w:fldCharType="separate"/>
      </w:r>
      <w:r w:rsidRPr="00A37885" w:rsidR="00A37885">
        <w:rPr>
          <w:noProof/>
        </w:rPr>
        <w:t>29</w:t>
      </w:r>
      <w:r w:rsidRPr="00A37885">
        <w:fldChar w:fldCharType="end"/>
      </w:r>
      <w:r w:rsidRPr="00A37885">
        <w:t>.  </w:t>
      </w:r>
      <w:r w:rsidRPr="00A37885">
        <w:t>A</w:t>
      </w:r>
      <w:r w:rsidRPr="00A37885">
        <w:t>rticle 27</w:t>
      </w:r>
      <w:r w:rsidRPr="00A37885">
        <w:t xml:space="preserve"> §</w:t>
      </w:r>
      <w:r w:rsidRPr="00A37885">
        <w:t xml:space="preserve"> 3</w:t>
      </w:r>
      <w:r w:rsidRPr="00A37885">
        <w:t xml:space="preserve"> of the Italian Constitution provides that punishments must not be inhuman and must be aimed at rehabilitating the convicted offender.</w:t>
      </w:r>
    </w:p>
    <w:p w:rsidRPr="00A37885" w:rsidR="001F17E7" w:rsidP="00A37885" w14:paraId="1D6E7E70" w14:textId="4811F9A0">
      <w:pPr>
        <w:pStyle w:val="JuH1"/>
        <w:rPr>
          <w:lang w:val="fr-FR"/>
        </w:rPr>
      </w:pPr>
      <w:r w:rsidRPr="00A37885">
        <w:rPr>
          <w:lang w:val="fr-FR"/>
        </w:rPr>
        <w:t>The Criminal Code</w:t>
      </w:r>
    </w:p>
    <w:p w:rsidRPr="00A37885" w:rsidR="004965A9" w:rsidP="00A37885" w14:paraId="4C818C78" w14:textId="414914D0">
      <w:pPr>
        <w:pStyle w:val="JuPara"/>
      </w:pPr>
      <w:r w:rsidRPr="00A37885">
        <w:fldChar w:fldCharType="begin"/>
      </w:r>
      <w:r w:rsidRPr="00A37885">
        <w:instrText xml:space="preserve"> SEQ level0 \*arabic </w:instrText>
      </w:r>
      <w:r w:rsidRPr="00A37885">
        <w:fldChar w:fldCharType="separate"/>
      </w:r>
      <w:r w:rsidRPr="00A37885" w:rsidR="00A37885">
        <w:rPr>
          <w:noProof/>
        </w:rPr>
        <w:t>30</w:t>
      </w:r>
      <w:r w:rsidRPr="00A37885">
        <w:fldChar w:fldCharType="end"/>
      </w:r>
      <w:r w:rsidRPr="00A37885">
        <w:t>.  </w:t>
      </w:r>
      <w:r w:rsidRPr="00A37885" w:rsidR="00283ACA">
        <w:t>The provisions of the Criminal Code of relevance to the present case read as follows</w:t>
      </w:r>
      <w:r w:rsidRPr="00A37885">
        <w:t> :</w:t>
      </w:r>
    </w:p>
    <w:p w:rsidRPr="00A37885" w:rsidR="004965A9" w:rsidP="00A37885" w14:paraId="20F6B089" w14:textId="356095CC">
      <w:pPr>
        <w:pStyle w:val="JuHArticle"/>
        <w:keepNext w:val="0"/>
      </w:pPr>
      <w:r w:rsidRPr="00A37885">
        <w:t xml:space="preserve">Article 22 – </w:t>
      </w:r>
      <w:r w:rsidRPr="00A37885" w:rsidR="00283ACA">
        <w:t>Life imprisonment</w:t>
      </w:r>
      <w:r w:rsidRPr="00A37885">
        <w:t xml:space="preserve"> (</w:t>
      </w:r>
      <w:r w:rsidRPr="00A37885">
        <w:rPr>
          <w:i/>
        </w:rPr>
        <w:t>ergastolo</w:t>
      </w:r>
      <w:r w:rsidRPr="00A37885">
        <w:t>)</w:t>
      </w:r>
    </w:p>
    <w:p w:rsidRPr="00A37885" w:rsidR="00312965" w:rsidP="00A37885" w14:paraId="2FAA61BB" w14:textId="77777777">
      <w:pPr>
        <w:pStyle w:val="JuQuot"/>
      </w:pPr>
      <w:r w:rsidRPr="00A37885">
        <w:t>“</w:t>
      </w:r>
      <w:r w:rsidRPr="00A37885">
        <w:rPr>
          <w:i/>
          <w:iCs/>
        </w:rPr>
        <w:t>E</w:t>
      </w:r>
      <w:r w:rsidRPr="00A37885" w:rsidR="004965A9">
        <w:rPr>
          <w:i/>
        </w:rPr>
        <w:t>rgastolo</w:t>
      </w:r>
      <w:r w:rsidRPr="00A37885" w:rsidR="004965A9">
        <w:t xml:space="preserve"> </w:t>
      </w:r>
      <w:r w:rsidRPr="00A37885" w:rsidR="004238EC">
        <w:t>is</w:t>
      </w:r>
      <w:r w:rsidRPr="00A37885">
        <w:t xml:space="preserve"> a life sentence, to be served in one of the specially designated prisons </w:t>
      </w:r>
      <w:r w:rsidRPr="00A37885">
        <w:t>...</w:t>
      </w:r>
    </w:p>
    <w:p w:rsidRPr="00A37885" w:rsidR="00283ACA" w:rsidP="00A37885" w14:paraId="028BC5D3" w14:textId="5F392E19">
      <w:pPr>
        <w:pStyle w:val="JuQuot"/>
      </w:pPr>
      <w:r w:rsidRPr="00A37885">
        <w:t>Persons sentenced to life imprisonment may be authorised to work outside prison.”</w:t>
      </w:r>
    </w:p>
    <w:p w:rsidRPr="00A37885" w:rsidR="004965A9" w:rsidP="00A37885" w14:paraId="0086A857" w14:textId="7D5D28F8">
      <w:pPr>
        <w:pStyle w:val="JuHArticle"/>
      </w:pPr>
      <w:r w:rsidRPr="00A37885">
        <w:t xml:space="preserve">Article 176 – </w:t>
      </w:r>
      <w:r w:rsidRPr="00A37885" w:rsidR="00EA32C5">
        <w:t>Conditional release</w:t>
      </w:r>
    </w:p>
    <w:p w:rsidRPr="00A37885" w:rsidR="00283ACA" w:rsidP="00A37885" w14:paraId="1E68E031" w14:textId="414D36A8">
      <w:pPr>
        <w:pStyle w:val="JuQuot"/>
      </w:pPr>
      <w:r w:rsidRPr="00A37885">
        <w:t xml:space="preserve">“Persons sentenced to imprisonment whose conduct while serving their sentence </w:t>
      </w:r>
      <w:r w:rsidRPr="00A37885" w:rsidR="005C1BF1">
        <w:t>demonstrates</w:t>
      </w:r>
      <w:r w:rsidRPr="00A37885">
        <w:t xml:space="preserve"> that they have repented </w:t>
      </w:r>
      <w:r w:rsidRPr="00A37885" w:rsidR="00A5275C">
        <w:t>may be considered</w:t>
      </w:r>
      <w:r w:rsidRPr="00A37885" w:rsidR="001D70D2">
        <w:t xml:space="preserve"> for</w:t>
      </w:r>
      <w:r w:rsidRPr="00A37885">
        <w:t xml:space="preserve"> </w:t>
      </w:r>
      <w:r w:rsidRPr="00A37885" w:rsidR="00EA32C5">
        <w:t>conditional release</w:t>
      </w:r>
      <w:r w:rsidRPr="00A37885">
        <w:t xml:space="preserve"> if they have already served at least thirty months or, in any event, half of the sentence where the remainder of the sentence [to be served] is not more than five years.</w:t>
      </w:r>
    </w:p>
    <w:p w:rsidRPr="00A37885" w:rsidR="004965A9" w:rsidP="00A37885" w14:paraId="6FB299E3" w14:textId="6557D99D">
      <w:pPr>
        <w:pStyle w:val="JuQuot"/>
      </w:pPr>
      <w:r w:rsidRPr="00A37885">
        <w:t>...</w:t>
      </w:r>
    </w:p>
    <w:p w:rsidRPr="00A37885" w:rsidR="001D70D2" w:rsidP="00A37885" w14:paraId="0CBB3F69" w14:textId="7E186F7A">
      <w:pPr>
        <w:pStyle w:val="JuQuot"/>
      </w:pPr>
      <w:r w:rsidRPr="00A37885">
        <w:t xml:space="preserve">Persons sentenced to life imprisonment </w:t>
      </w:r>
      <w:r w:rsidRPr="00A37885" w:rsidR="00A5275C">
        <w:t>may be considered</w:t>
      </w:r>
      <w:r w:rsidRPr="00A37885">
        <w:t xml:space="preserve"> for </w:t>
      </w:r>
      <w:r w:rsidRPr="00A37885" w:rsidR="00EA32C5">
        <w:t>conditional release</w:t>
      </w:r>
      <w:r w:rsidRPr="00A37885">
        <w:t xml:space="preserve"> when they have served at least twenty-six years in prison.</w:t>
      </w:r>
    </w:p>
    <w:p w:rsidRPr="00A37885" w:rsidR="00312965" w:rsidP="00A37885" w14:paraId="1BEE92BB" w14:textId="77777777">
      <w:pPr>
        <w:pStyle w:val="JuQuot"/>
      </w:pPr>
      <w:r w:rsidRPr="00A37885">
        <w:t xml:space="preserve">Eligibility for </w:t>
      </w:r>
      <w:r w:rsidRPr="00A37885" w:rsidR="00EA32C5">
        <w:t>conditional release</w:t>
      </w:r>
      <w:r w:rsidRPr="00A37885">
        <w:t xml:space="preserve"> shall </w:t>
      </w:r>
      <w:r w:rsidRPr="00A37885" w:rsidR="0070026C">
        <w:t>depend</w:t>
      </w:r>
      <w:r w:rsidRPr="00A37885">
        <w:t xml:space="preserve"> on the performance of the civic duties arising out of the criminal offence, unless the convicted prisoner can prove that it is impossible for him or her to comply with those duties.</w:t>
      </w:r>
    </w:p>
    <w:p w:rsidRPr="00A37885" w:rsidR="004965A9" w:rsidP="00A37885" w14:paraId="333D46AC" w14:textId="367404F2">
      <w:pPr>
        <w:pStyle w:val="JuHArticle"/>
      </w:pPr>
      <w:r w:rsidRPr="00A37885">
        <w:t>Article 416 </w:t>
      </w:r>
      <w:r w:rsidRPr="00A37885">
        <w:rPr>
          <w:i/>
        </w:rPr>
        <w:t>bis</w:t>
      </w:r>
      <w:r w:rsidRPr="00A37885">
        <w:t xml:space="preserve"> – </w:t>
      </w:r>
      <w:r w:rsidRPr="00A37885" w:rsidR="001D70D2">
        <w:t>Membership of a mafia-type organisation</w:t>
      </w:r>
    </w:p>
    <w:p w:rsidRPr="00A37885" w:rsidR="001D70D2" w:rsidP="00A37885" w14:paraId="1554A579" w14:textId="54B86455">
      <w:pPr>
        <w:pStyle w:val="JuQuot"/>
      </w:pPr>
      <w:r w:rsidRPr="00A37885">
        <w:t>“A</w:t>
      </w:r>
      <w:r w:rsidRPr="00A37885" w:rsidR="00A5275C">
        <w:t>ny</w:t>
      </w:r>
      <w:r w:rsidRPr="00A37885">
        <w:t xml:space="preserve"> person who is a member of a mafia-type organisation of three or more persons shall be liable to imprisonment.</w:t>
      </w:r>
    </w:p>
    <w:p w:rsidRPr="00A37885" w:rsidR="001D70D2" w:rsidP="00A37885" w14:paraId="139A8BCE" w14:textId="1F0B1547">
      <w:pPr>
        <w:pStyle w:val="JuQuot"/>
      </w:pPr>
      <w:r w:rsidRPr="00A37885">
        <w:t>Persons who promote, lead or manage [such an] organisation shall be liable to between twelve and eighteen years</w:t>
      </w:r>
      <w:r w:rsidRPr="00A37885" w:rsidR="00A37885">
        <w:t>’</w:t>
      </w:r>
      <w:r w:rsidRPr="00A37885">
        <w:t xml:space="preserve"> imprisonment </w:t>
      </w:r>
      <w:r w:rsidRPr="00A37885" w:rsidR="00A347DD">
        <w:t>on this account alone.</w:t>
      </w:r>
    </w:p>
    <w:p w:rsidRPr="00A37885" w:rsidR="00A347DD" w:rsidP="00A37885" w14:paraId="3B51ECC7" w14:textId="288E5437">
      <w:pPr>
        <w:pStyle w:val="JuQuot"/>
      </w:pPr>
      <w:r w:rsidRPr="00A37885">
        <w:t>An organisation is of a mafia type if its members use the intimidatory power of the bonds of membership and the resulting vows of obedience and silence in order to commit an offence, to acquire (directly or indirectly) the management, or other form of control, of economic activities, licences, permits, public contracts or services or to gain unfair advantages or profits for its members or other persons, or to prevent or hinder the free exercise of the right to vote, or to secure votes for members or other persons in elections</w:t>
      </w:r>
      <w:r w:rsidRPr="00A37885" w:rsidR="009928A6">
        <w:t xml:space="preserve"> ..</w:t>
      </w:r>
      <w:r w:rsidRPr="00A37885">
        <w:t>.”</w:t>
      </w:r>
    </w:p>
    <w:p w:rsidRPr="00A37885" w:rsidR="009A376D" w:rsidP="00A37885" w14:paraId="4F8A220E" w14:textId="2337252C">
      <w:pPr>
        <w:pStyle w:val="JuH1"/>
      </w:pPr>
      <w:r w:rsidRPr="00A37885">
        <w:t>The Prison Administration Act</w:t>
      </w:r>
    </w:p>
    <w:p w:rsidRPr="00A37885" w:rsidR="00A347DD" w:rsidP="00A37885" w14:paraId="6ED38283" w14:textId="2442AEA2">
      <w:pPr>
        <w:pStyle w:val="JuPara"/>
      </w:pPr>
      <w:r w:rsidRPr="00A37885">
        <w:fldChar w:fldCharType="begin"/>
      </w:r>
      <w:r w:rsidRPr="00A37885">
        <w:instrText xml:space="preserve"> SEQ level0 \*arabic </w:instrText>
      </w:r>
      <w:r w:rsidRPr="00A37885">
        <w:fldChar w:fldCharType="separate"/>
      </w:r>
      <w:r w:rsidRPr="00A37885" w:rsidR="00A37885">
        <w:rPr>
          <w:noProof/>
        </w:rPr>
        <w:t>31</w:t>
      </w:r>
      <w:r w:rsidRPr="00A37885">
        <w:fldChar w:fldCharType="end"/>
      </w:r>
      <w:r w:rsidRPr="00A37885">
        <w:t>.  </w:t>
      </w:r>
      <w:r w:rsidRPr="00A37885">
        <w:t>Law no.</w:t>
      </w:r>
      <w:r w:rsidRPr="00A37885">
        <w:t xml:space="preserve"> 354 </w:t>
      </w:r>
      <w:r w:rsidRPr="00A37885">
        <w:t>of</w:t>
      </w:r>
      <w:r w:rsidRPr="00A37885">
        <w:t xml:space="preserve"> 26 </w:t>
      </w:r>
      <w:r w:rsidRPr="00A37885">
        <w:t>July</w:t>
      </w:r>
      <w:r w:rsidRPr="00A37885">
        <w:t xml:space="preserve"> 1975 (</w:t>
      </w:r>
      <w:r w:rsidRPr="00A37885">
        <w:rPr>
          <w:i/>
        </w:rPr>
        <w:t>legge sull</w:t>
      </w:r>
      <w:r w:rsidRPr="00A37885" w:rsidR="00A37885">
        <w:rPr>
          <w:i/>
        </w:rPr>
        <w:t>’</w:t>
      </w:r>
      <w:r w:rsidRPr="00A37885">
        <w:rPr>
          <w:i/>
        </w:rPr>
        <w:t>ordinamento penitenziario</w:t>
      </w:r>
      <w:r w:rsidRPr="00A37885">
        <w:rPr>
          <w:iCs/>
        </w:rPr>
        <w:t xml:space="preserve">, </w:t>
      </w:r>
      <w:r w:rsidRPr="00A37885" w:rsidR="0033774A">
        <w:rPr>
          <w:iCs/>
        </w:rPr>
        <w:t>“</w:t>
      </w:r>
      <w:r w:rsidRPr="00A37885">
        <w:rPr>
          <w:iCs/>
        </w:rPr>
        <w:t>the Prison Administration Act</w:t>
      </w:r>
      <w:r w:rsidRPr="00A37885" w:rsidR="0033774A">
        <w:rPr>
          <w:iCs/>
        </w:rPr>
        <w:t>”</w:t>
      </w:r>
      <w:r w:rsidRPr="00A37885">
        <w:t xml:space="preserve">), </w:t>
      </w:r>
      <w:r w:rsidRPr="00A37885" w:rsidR="0033774A">
        <w:t xml:space="preserve">regulates the treatment of prisoners and the execution of measures entailing deprivation </w:t>
      </w:r>
      <w:r w:rsidRPr="00A37885" w:rsidR="006A5B71">
        <w:t>or restriction of</w:t>
      </w:r>
      <w:r w:rsidRPr="00A37885" w:rsidR="0033774A">
        <w:t xml:space="preserve"> liberty. The first subsection of section 1 provides that treatment in prison must </w:t>
      </w:r>
      <w:r w:rsidRPr="00A37885" w:rsidR="009928A6">
        <w:t xml:space="preserve">be </w:t>
      </w:r>
      <w:r w:rsidRPr="00A37885" w:rsidR="00A5275C">
        <w:t>consistent</w:t>
      </w:r>
      <w:r w:rsidRPr="00A37885" w:rsidR="0033774A">
        <w:t xml:space="preserve"> with the principles of humanity and personal dignity.</w:t>
      </w:r>
    </w:p>
    <w:bookmarkStart w:name="ARTICLE_4BIS_OP" w:id="5"/>
    <w:p w:rsidRPr="00A37885" w:rsidR="0033774A" w:rsidP="00A37885" w14:paraId="5F0B117B" w14:textId="43EFBC77">
      <w:pPr>
        <w:pStyle w:val="JuPara"/>
      </w:pPr>
      <w:r w:rsidRPr="00A37885">
        <w:fldChar w:fldCharType="begin"/>
      </w:r>
      <w:r w:rsidRPr="00A37885">
        <w:instrText xml:space="preserve"> SEQ level0 \*arabic </w:instrText>
      </w:r>
      <w:r w:rsidRPr="00A37885">
        <w:fldChar w:fldCharType="separate"/>
      </w:r>
      <w:r w:rsidRPr="00A37885" w:rsidR="00A37885">
        <w:rPr>
          <w:noProof/>
        </w:rPr>
        <w:t>32</w:t>
      </w:r>
      <w:r w:rsidRPr="00A37885">
        <w:fldChar w:fldCharType="end"/>
      </w:r>
      <w:bookmarkEnd w:id="5"/>
      <w:r w:rsidRPr="00A37885">
        <w:t>.  </w:t>
      </w:r>
      <w:r w:rsidRPr="00A37885">
        <w:t xml:space="preserve">The </w:t>
      </w:r>
      <w:r w:rsidRPr="00A37885" w:rsidR="0070026C">
        <w:t xml:space="preserve">regime of </w:t>
      </w:r>
      <w:r w:rsidRPr="00A37885">
        <w:t xml:space="preserve">life imprisonment </w:t>
      </w:r>
      <w:r w:rsidRPr="00A37885" w:rsidR="0070026C">
        <w:t xml:space="preserve">known as </w:t>
      </w:r>
      <w:r w:rsidRPr="00A37885">
        <w:rPr>
          <w:i/>
        </w:rPr>
        <w:t>ergastolo ostativo</w:t>
      </w:r>
      <w:r w:rsidRPr="00A37885">
        <w:t xml:space="preserve"> </w:t>
      </w:r>
      <w:r w:rsidRPr="00A37885" w:rsidR="0070026C">
        <w:t>is</w:t>
      </w:r>
      <w:r w:rsidRPr="00A37885" w:rsidR="006A5B71">
        <w:t xml:space="preserve"> the result</w:t>
      </w:r>
      <w:r w:rsidRPr="00A37885">
        <w:t xml:space="preserve"> </w:t>
      </w:r>
      <w:r w:rsidRPr="00A37885" w:rsidR="00543973">
        <w:t xml:space="preserve">of </w:t>
      </w:r>
      <w:r w:rsidRPr="00A37885">
        <w:t xml:space="preserve">the legislative reform introduced by Law no. 356 of 7 August 1992 (converting Decree-Law no. 306 of 8 June 1992). </w:t>
      </w:r>
      <w:r w:rsidRPr="00A37885" w:rsidR="0070026C">
        <w:t>It is</w:t>
      </w:r>
      <w:r w:rsidRPr="00A37885" w:rsidR="006A5B71">
        <w:t xml:space="preserve"> based on a combined reading of </w:t>
      </w:r>
      <w:r w:rsidRPr="00A37885" w:rsidR="00543973">
        <w:t xml:space="preserve">Article 22 of the Criminal Code and sections 4 </w:t>
      </w:r>
      <w:r w:rsidRPr="00A37885" w:rsidR="00543973">
        <w:rPr>
          <w:i/>
          <w:iCs/>
        </w:rPr>
        <w:t xml:space="preserve">bis </w:t>
      </w:r>
      <w:r w:rsidRPr="00A37885" w:rsidR="00543973">
        <w:t xml:space="preserve">and 58 </w:t>
      </w:r>
      <w:r w:rsidRPr="00A37885" w:rsidR="00543973">
        <w:rPr>
          <w:i/>
          <w:iCs/>
        </w:rPr>
        <w:t xml:space="preserve">ter </w:t>
      </w:r>
      <w:r w:rsidRPr="00A37885" w:rsidR="00543973">
        <w:t xml:space="preserve">of the Prison Administration Act. According to those provisions, persons who </w:t>
      </w:r>
      <w:r w:rsidRPr="00A37885" w:rsidR="00A5275C">
        <w:t>do not</w:t>
      </w:r>
      <w:r w:rsidRPr="00A37885" w:rsidR="00543973">
        <w:t xml:space="preserve"> “cooperate with the judicial authorities” are not entitled to </w:t>
      </w:r>
      <w:r w:rsidRPr="00A37885" w:rsidR="00EA32C5">
        <w:t>conditional release</w:t>
      </w:r>
      <w:r w:rsidRPr="00A37885" w:rsidR="00543973">
        <w:t xml:space="preserve"> or to other adjustments of sentence</w:t>
      </w:r>
      <w:r w:rsidRPr="00A37885" w:rsidR="001F6FAD">
        <w:t>.</w:t>
      </w:r>
    </w:p>
    <w:p w:rsidRPr="00A37885" w:rsidR="001F6FAD" w:rsidP="00A37885" w14:paraId="6D8DAB71" w14:textId="234D5CE4">
      <w:pPr>
        <w:pStyle w:val="JuPara"/>
      </w:pPr>
      <w:r w:rsidRPr="00A37885">
        <w:t xml:space="preserve">Section 4 </w:t>
      </w:r>
      <w:r w:rsidRPr="00A37885">
        <w:rPr>
          <w:i/>
          <w:iCs/>
        </w:rPr>
        <w:t xml:space="preserve">bis </w:t>
      </w:r>
      <w:r w:rsidRPr="00A37885">
        <w:t xml:space="preserve">deals more specifically with the </w:t>
      </w:r>
      <w:r w:rsidRPr="00A37885" w:rsidR="0070026C">
        <w:t>ban on eligibility for</w:t>
      </w:r>
      <w:r w:rsidRPr="00A37885">
        <w:t xml:space="preserve"> sentence adjustments</w:t>
      </w:r>
      <w:r w:rsidRPr="00A37885" w:rsidR="009928A6">
        <w:t>,</w:t>
      </w:r>
      <w:r w:rsidRPr="00A37885">
        <w:t xml:space="preserve"> and</w:t>
      </w:r>
      <w:r w:rsidRPr="00A37885" w:rsidR="009928A6">
        <w:t xml:space="preserve"> with the </w:t>
      </w:r>
      <w:r w:rsidRPr="00A37885">
        <w:t>verification of dangerousness to society</w:t>
      </w:r>
      <w:r w:rsidRPr="00A37885" w:rsidR="009928A6">
        <w:t>,</w:t>
      </w:r>
      <w:r w:rsidRPr="00A37885">
        <w:t xml:space="preserve"> in relation to a particular category of prisoners. The parts relevant to the present case read as follows:</w:t>
      </w:r>
    </w:p>
    <w:p w:rsidRPr="00A37885" w:rsidR="001F6FAD" w:rsidP="00A37885" w14:paraId="6B8B2902" w14:textId="0125B3C3">
      <w:pPr>
        <w:pStyle w:val="JuQuot"/>
      </w:pPr>
      <w:r w:rsidRPr="00A37885">
        <w:t>“</w:t>
      </w:r>
      <w:r w:rsidRPr="00A37885" w:rsidR="001E7843">
        <w:t>1.  </w:t>
      </w:r>
      <w:r w:rsidRPr="00A37885">
        <w:t xml:space="preserve">Permission to work outside prison [section 21], prison leave [section 30 </w:t>
      </w:r>
      <w:r w:rsidRPr="00A37885">
        <w:rPr>
          <w:i/>
          <w:iCs/>
        </w:rPr>
        <w:t>ter</w:t>
      </w:r>
      <w:r w:rsidRPr="00A37885">
        <w:t xml:space="preserve">] and the alternatives to detention provided for in Chapter VI [of Title I], with the exception of early release [section 54], may be granted to prisoners and persons </w:t>
      </w:r>
      <w:r w:rsidRPr="00A37885" w:rsidR="005C1BF1">
        <w:t xml:space="preserve">held </w:t>
      </w:r>
      <w:r w:rsidRPr="00A37885">
        <w:t xml:space="preserve">in compulsory confinement for the </w:t>
      </w:r>
      <w:r w:rsidRPr="00A37885">
        <w:t xml:space="preserve">following </w:t>
      </w:r>
      <w:r w:rsidRPr="00A37885">
        <w:t xml:space="preserve">offences, only </w:t>
      </w:r>
      <w:r w:rsidRPr="00A37885">
        <w:t xml:space="preserve">in cases </w:t>
      </w:r>
      <w:r w:rsidRPr="00A37885">
        <w:t xml:space="preserve">where the person concerned </w:t>
      </w:r>
      <w:r w:rsidRPr="00A37885">
        <w:t>has</w:t>
      </w:r>
      <w:r w:rsidRPr="00A37885">
        <w:t xml:space="preserve"> cooperated with the judicial authorities for the purposes of section 58 </w:t>
      </w:r>
      <w:r w:rsidRPr="00A37885">
        <w:rPr>
          <w:i/>
          <w:iCs/>
        </w:rPr>
        <w:t xml:space="preserve">ter </w:t>
      </w:r>
      <w:r w:rsidRPr="00A37885">
        <w:t>of the present Act</w:t>
      </w:r>
      <w:r w:rsidRPr="00A37885">
        <w:t xml:space="preserve">: offences committed for the purpose of terrorism, including international terrorism, or subversion of the democratic order through acts of violence; any of the offences dealt with in Articles 416 </w:t>
      </w:r>
      <w:r w:rsidRPr="00A37885">
        <w:rPr>
          <w:i/>
          <w:iCs/>
        </w:rPr>
        <w:t>bis</w:t>
      </w:r>
      <w:r w:rsidRPr="00A37885" w:rsidR="00312965">
        <w:rPr>
          <w:i/>
          <w:iCs/>
        </w:rPr>
        <w:t xml:space="preserve"> </w:t>
      </w:r>
      <w:r w:rsidRPr="00A37885">
        <w:t xml:space="preserve">and 416 </w:t>
      </w:r>
      <w:r w:rsidRPr="00A37885">
        <w:rPr>
          <w:i/>
          <w:iCs/>
        </w:rPr>
        <w:t xml:space="preserve">ter </w:t>
      </w:r>
      <w:r w:rsidRPr="00A37885">
        <w:t xml:space="preserve">of the Criminal Code or offences </w:t>
      </w:r>
      <w:r w:rsidRPr="00A37885" w:rsidR="009B265D">
        <w:t>taking advantage of the conditions laid down by that Article or</w:t>
      </w:r>
      <w:r w:rsidRPr="00A37885" w:rsidR="00A5275C">
        <w:t xml:space="preserve"> committed</w:t>
      </w:r>
      <w:r w:rsidRPr="00A37885" w:rsidR="009B265D">
        <w:t xml:space="preserve"> with the aim of facilitating the activities of the organisations referred to therein </w:t>
      </w:r>
      <w:r w:rsidRPr="00A37885" w:rsidR="00312965">
        <w:t>...</w:t>
      </w:r>
    </w:p>
    <w:p w:rsidRPr="00A37885" w:rsidR="009B265D" w:rsidP="00A37885" w14:paraId="0BE280AB" w14:textId="7EE9D955">
      <w:pPr>
        <w:pStyle w:val="JuQuot"/>
      </w:pPr>
      <w:r w:rsidRPr="00A37885">
        <w:t>1 </w:t>
      </w:r>
      <w:r w:rsidRPr="00A37885">
        <w:rPr>
          <w:i/>
        </w:rPr>
        <w:t>bis</w:t>
      </w:r>
      <w:r w:rsidRPr="00A37885">
        <w:t>.  </w:t>
      </w:r>
      <w:r w:rsidRPr="00A37885">
        <w:t>The sentence adjustments referred to in subsection 1 may also be granted to prisoners or persons</w:t>
      </w:r>
      <w:r w:rsidRPr="00A37885" w:rsidR="005C1BF1">
        <w:t xml:space="preserve"> held</w:t>
      </w:r>
      <w:r w:rsidRPr="00A37885">
        <w:t xml:space="preserve"> in compulsory confinement for the above-mentioned offences, provided that evidence exists ruling out any current ties to organised crime, terrorism-related crime or subversive crime, where the person</w:t>
      </w:r>
      <w:r w:rsidRPr="00A37885" w:rsidR="00A37885">
        <w:t>’</w:t>
      </w:r>
      <w:r w:rsidRPr="00A37885">
        <w:t xml:space="preserve">s limited involvement in the offence </w:t>
      </w:r>
      <w:r w:rsidRPr="00A37885" w:rsidR="009928A6">
        <w:t xml:space="preserve">as </w:t>
      </w:r>
      <w:r w:rsidRPr="00A37885">
        <w:t>established by the judgment convicting him or her</w:t>
      </w:r>
      <w:r w:rsidRPr="00A37885" w:rsidR="009928A6">
        <w:t>,</w:t>
      </w:r>
      <w:r w:rsidRPr="00A37885">
        <w:t xml:space="preserve"> or thorough verification of the facts and</w:t>
      </w:r>
      <w:r w:rsidRPr="00A37885" w:rsidR="00344B05">
        <w:t xml:space="preserve"> respective</w:t>
      </w:r>
      <w:r w:rsidRPr="00A37885">
        <w:t xml:space="preserve"> </w:t>
      </w:r>
      <w:r w:rsidRPr="00A37885" w:rsidR="00344B05">
        <w:t>responsibilities</w:t>
      </w:r>
      <w:r w:rsidRPr="00A37885" w:rsidR="009928A6">
        <w:t xml:space="preserve"> as</w:t>
      </w:r>
      <w:r w:rsidRPr="00A37885" w:rsidR="00344B05">
        <w:t xml:space="preserve"> established by a final ruling, make meaningful cooperation with the judicial authorities in any event impossible, or where the cooperation offered is not objectively relevant and where one of the mitigating circumstances referred to in Article 62</w:t>
      </w:r>
      <w:r w:rsidRPr="00A37885" w:rsidR="00E60FA6">
        <w:t>, no.</w:t>
      </w:r>
      <w:r w:rsidRPr="00A37885" w:rsidR="00312965">
        <w:t xml:space="preserve"> </w:t>
      </w:r>
      <w:r w:rsidRPr="00A37885" w:rsidR="00344B05">
        <w:t xml:space="preserve">6 </w:t>
      </w:r>
      <w:r w:rsidRPr="00A37885" w:rsidR="00312965">
        <w:t>...</w:t>
      </w:r>
      <w:r w:rsidRPr="00A37885" w:rsidR="00344B05">
        <w:t>, Article 114 or Article</w:t>
      </w:r>
      <w:r w:rsidRPr="00A37885" w:rsidR="00265C0F">
        <w:t> </w:t>
      </w:r>
      <w:r w:rsidRPr="00A37885" w:rsidR="00344B05">
        <w:t>116</w:t>
      </w:r>
      <w:r w:rsidRPr="00A37885" w:rsidR="00265C0F">
        <w:t> </w:t>
      </w:r>
      <w:r w:rsidRPr="00A37885" w:rsidR="00344B05">
        <w:t>§ 2 of the Criminal Code appl</w:t>
      </w:r>
      <w:r w:rsidRPr="00A37885" w:rsidR="00E62EF6">
        <w:t xml:space="preserve">ies </w:t>
      </w:r>
      <w:r w:rsidRPr="00A37885" w:rsidR="00344B05">
        <w:t>to the prisoner or person</w:t>
      </w:r>
      <w:r w:rsidRPr="00A37885" w:rsidR="0070026C">
        <w:t xml:space="preserve"> held</w:t>
      </w:r>
      <w:r w:rsidRPr="00A37885" w:rsidR="00344B05">
        <w:t xml:space="preserve"> in compulsory confinement.</w:t>
      </w:r>
    </w:p>
    <w:p w:rsidRPr="00A37885" w:rsidR="00344B05" w:rsidP="00A37885" w14:paraId="75A84B6E" w14:textId="2DCB41D0">
      <w:pPr>
        <w:pStyle w:val="JuQuot"/>
      </w:pPr>
      <w:r w:rsidRPr="00A37885">
        <w:t>...</w:t>
      </w:r>
      <w:r w:rsidRPr="00A37885">
        <w:t>”</w:t>
      </w:r>
    </w:p>
    <w:bookmarkStart w:name="ARTICLE_58TER_OP" w:id="6"/>
    <w:p w:rsidRPr="00A37885" w:rsidR="00E60FA6" w:rsidP="00A37885" w14:paraId="45A16ED3" w14:textId="746925CB">
      <w:pPr>
        <w:pStyle w:val="JuPara"/>
      </w:pPr>
      <w:r w:rsidRPr="00A37885">
        <w:fldChar w:fldCharType="begin"/>
      </w:r>
      <w:r w:rsidRPr="00A37885">
        <w:instrText xml:space="preserve"> SEQ level0 \*arabic </w:instrText>
      </w:r>
      <w:r w:rsidRPr="00A37885">
        <w:fldChar w:fldCharType="separate"/>
      </w:r>
      <w:r w:rsidRPr="00A37885" w:rsidR="00A37885">
        <w:rPr>
          <w:noProof/>
        </w:rPr>
        <w:t>33</w:t>
      </w:r>
      <w:r w:rsidRPr="00A37885">
        <w:fldChar w:fldCharType="end"/>
      </w:r>
      <w:bookmarkEnd w:id="6"/>
      <w:r w:rsidRPr="00A37885">
        <w:t>.  </w:t>
      </w:r>
      <w:r w:rsidRPr="00A37885" w:rsidR="00344B05">
        <w:t>Section</w:t>
      </w:r>
      <w:r w:rsidRPr="00A37885">
        <w:t xml:space="preserve"> 58 </w:t>
      </w:r>
      <w:r w:rsidRPr="00A37885">
        <w:rPr>
          <w:i/>
        </w:rPr>
        <w:t>ter</w:t>
      </w:r>
      <w:r w:rsidRPr="00A37885">
        <w:t xml:space="preserve"> </w:t>
      </w:r>
      <w:r w:rsidRPr="00A37885" w:rsidR="00344B05">
        <w:t>of the Act</w:t>
      </w:r>
      <w:r w:rsidRPr="00A37885">
        <w:t xml:space="preserve">, </w:t>
      </w:r>
      <w:r w:rsidRPr="00A37885">
        <w:t>which deals with “cooperation with the judicial authorities”, provides:</w:t>
      </w:r>
    </w:p>
    <w:p w:rsidRPr="00A37885" w:rsidR="00E60FA6" w:rsidP="00A37885" w14:paraId="1C5D039C" w14:textId="5C4EF746">
      <w:pPr>
        <w:pStyle w:val="JuQuot"/>
      </w:pPr>
      <w:r w:rsidRPr="00A37885">
        <w:t>“</w:t>
      </w:r>
      <w:r w:rsidRPr="00A37885" w:rsidR="001E7843">
        <w:t>1.  </w:t>
      </w:r>
      <w:r w:rsidRPr="00A37885">
        <w:t xml:space="preserve">The maximum sentences laid down in sections 21(1), 30 </w:t>
      </w:r>
      <w:r w:rsidRPr="00A37885">
        <w:rPr>
          <w:i/>
          <w:iCs/>
        </w:rPr>
        <w:t xml:space="preserve">ter </w:t>
      </w:r>
      <w:r w:rsidRPr="00A37885">
        <w:t xml:space="preserve">(4) and 50(2) [of Law no. 354/1975] for persons convicted of one of the offences referred to in subsections 1, 1 </w:t>
      </w:r>
      <w:r w:rsidRPr="00A37885">
        <w:rPr>
          <w:i/>
          <w:iCs/>
        </w:rPr>
        <w:t xml:space="preserve">ter </w:t>
      </w:r>
      <w:r w:rsidRPr="00A37885">
        <w:t xml:space="preserve">and 1 </w:t>
      </w:r>
      <w:r w:rsidRPr="00A37885">
        <w:rPr>
          <w:i/>
          <w:iCs/>
        </w:rPr>
        <w:t xml:space="preserve">quater </w:t>
      </w:r>
      <w:r w:rsidRPr="00A37885">
        <w:t xml:space="preserve">of section 4 </w:t>
      </w:r>
      <w:r w:rsidRPr="00A37885">
        <w:rPr>
          <w:i/>
          <w:iCs/>
        </w:rPr>
        <w:t>bis</w:t>
      </w:r>
      <w:r w:rsidRPr="00A37885">
        <w:t xml:space="preserve"> shall not apply to those who, even after being convicted, have [</w:t>
      </w:r>
      <w:r w:rsidRPr="00A37885" w:rsidR="002955A2">
        <w:t>made efforts</w:t>
      </w:r>
      <w:r w:rsidRPr="00A37885">
        <w:t xml:space="preserve">] either to prevent </w:t>
      </w:r>
      <w:r w:rsidRPr="00A37885" w:rsidR="00775D23">
        <w:t>any</w:t>
      </w:r>
      <w:r w:rsidRPr="00A37885">
        <w:t xml:space="preserve"> further consequences of the offence or to </w:t>
      </w:r>
      <w:r w:rsidRPr="00A37885" w:rsidR="002955A2">
        <w:t xml:space="preserve">provide the police or judicial authorities with evidence that is </w:t>
      </w:r>
      <w:r w:rsidRPr="00A37885" w:rsidR="002955A2">
        <w:t>decisive for</w:t>
      </w:r>
      <w:r w:rsidRPr="00A37885" w:rsidR="007131C1">
        <w:t xml:space="preserve"> the</w:t>
      </w:r>
      <w:r w:rsidRPr="00A37885" w:rsidR="002955A2">
        <w:t xml:space="preserve"> establishment of the facts </w:t>
      </w:r>
      <w:r w:rsidRPr="00A37885" w:rsidR="00E62EF6">
        <w:t>and</w:t>
      </w:r>
      <w:r w:rsidRPr="00A37885" w:rsidR="002955A2">
        <w:t xml:space="preserve"> for the identification and arrest of the perpetrators of criminal offences.</w:t>
      </w:r>
    </w:p>
    <w:p w:rsidRPr="00A37885" w:rsidR="002955A2" w:rsidP="00A37885" w14:paraId="66C63DD6" w14:textId="76060FDB">
      <w:pPr>
        <w:pStyle w:val="JuQuot"/>
      </w:pPr>
      <w:r w:rsidRPr="00A37885">
        <w:t>2.  </w:t>
      </w:r>
      <w:r w:rsidRPr="00A37885">
        <w:t>The conduct referred to in subsection 1 shall be assessed by the sentence supervision court after obtaining the requisite information and hearing evidence from the public prosecutor</w:t>
      </w:r>
      <w:r w:rsidRPr="00A37885" w:rsidR="00A37885">
        <w:t>’</w:t>
      </w:r>
      <w:r w:rsidRPr="00A37885">
        <w:t xml:space="preserve">s office attached to the </w:t>
      </w:r>
      <w:r w:rsidRPr="00A37885" w:rsidR="00E62EF6">
        <w:t>judicial body</w:t>
      </w:r>
      <w:r w:rsidRPr="00A37885">
        <w:t xml:space="preserve"> with jurisdiction in respect of the offences to which the cooperation relates.”</w:t>
      </w:r>
    </w:p>
    <w:bookmarkStart w:name="ARTICLE_21_30TER" w:id="7"/>
    <w:p w:rsidRPr="00A37885" w:rsidR="002955A2" w:rsidP="00A37885" w14:paraId="4EA84D67" w14:textId="1DD4B124">
      <w:pPr>
        <w:pStyle w:val="JuPara"/>
      </w:pPr>
      <w:r w:rsidRPr="00A37885">
        <w:fldChar w:fldCharType="begin"/>
      </w:r>
      <w:r w:rsidRPr="00A37885">
        <w:instrText xml:space="preserve"> SEQ level0 \*arabic </w:instrText>
      </w:r>
      <w:r w:rsidRPr="00A37885">
        <w:fldChar w:fldCharType="separate"/>
      </w:r>
      <w:r w:rsidRPr="00A37885" w:rsidR="00A37885">
        <w:rPr>
          <w:noProof/>
        </w:rPr>
        <w:t>34</w:t>
      </w:r>
      <w:r w:rsidRPr="00A37885">
        <w:fldChar w:fldCharType="end"/>
      </w:r>
      <w:bookmarkEnd w:id="7"/>
      <w:r w:rsidRPr="00A37885">
        <w:t>.  </w:t>
      </w:r>
      <w:r w:rsidRPr="00A37885">
        <w:t xml:space="preserve">Section 21 and section 30 </w:t>
      </w:r>
      <w:r w:rsidRPr="00A37885">
        <w:rPr>
          <w:i/>
          <w:iCs/>
        </w:rPr>
        <w:t xml:space="preserve">ter </w:t>
      </w:r>
      <w:r w:rsidRPr="00A37885">
        <w:t xml:space="preserve">of the Act deal respectively with permission to work outside prison </w:t>
      </w:r>
      <w:r w:rsidRPr="00A37885">
        <w:t>(</w:t>
      </w:r>
      <w:r w:rsidRPr="00A37885">
        <w:rPr>
          <w:i/>
        </w:rPr>
        <w:t>lavoro esterno</w:t>
      </w:r>
      <w:r w:rsidRPr="00A37885">
        <w:t xml:space="preserve">) </w:t>
      </w:r>
      <w:r w:rsidRPr="00A37885">
        <w:t xml:space="preserve">and prison leave </w:t>
      </w:r>
      <w:r w:rsidRPr="00A37885">
        <w:t>(</w:t>
      </w:r>
      <w:r w:rsidRPr="00A37885">
        <w:rPr>
          <w:i/>
        </w:rPr>
        <w:t>permessi premio</w:t>
      </w:r>
      <w:r w:rsidRPr="00A37885">
        <w:t xml:space="preserve">). </w:t>
      </w:r>
      <w:r w:rsidRPr="00A37885">
        <w:t xml:space="preserve">In particular, section 30 </w:t>
      </w:r>
      <w:r w:rsidRPr="00A37885">
        <w:rPr>
          <w:i/>
          <w:iCs/>
        </w:rPr>
        <w:t xml:space="preserve">ter </w:t>
      </w:r>
      <w:r w:rsidRPr="00A37885">
        <w:t>provides for the possibility of granting prisoners who have demonstrated good behaviour (</w:t>
      </w:r>
      <w:r w:rsidRPr="00A37885">
        <w:rPr>
          <w:i/>
        </w:rPr>
        <w:t>condotta regolare</w:t>
      </w:r>
      <w:r w:rsidRPr="00A37885">
        <w:t>) in prison</w:t>
      </w:r>
      <w:r w:rsidRPr="00A37885" w:rsidR="00CC2112">
        <w:t>,</w:t>
      </w:r>
      <w:r w:rsidRPr="00A37885">
        <w:t xml:space="preserve"> and who do not pose a danger to society</w:t>
      </w:r>
      <w:r w:rsidRPr="00A37885" w:rsidR="00CC2112">
        <w:t>, a maximum of fifteen days</w:t>
      </w:r>
      <w:r w:rsidRPr="00A37885" w:rsidR="00A37885">
        <w:t>’</w:t>
      </w:r>
      <w:r w:rsidRPr="00A37885" w:rsidR="00CC2112">
        <w:t xml:space="preserve"> prison leave. Depending on the seriousness of the offence, the prisoner concerned must have served a certain </w:t>
      </w:r>
      <w:r w:rsidRPr="00A37885" w:rsidR="00E62EF6">
        <w:t>period</w:t>
      </w:r>
      <w:r w:rsidRPr="00A37885" w:rsidR="00CC2112">
        <w:t xml:space="preserve"> of time in prison in order to qualify for such a measure. The assessment as to whether the prisoner poses a danger to society is a matter for the post-sentencing judge, who must consult the prison authorities.</w:t>
      </w:r>
    </w:p>
    <w:p w:rsidRPr="00A37885" w:rsidR="00CC2112" w:rsidP="00A37885" w14:paraId="1A353BD7" w14:textId="21EDEA64">
      <w:pPr>
        <w:pStyle w:val="JuPara"/>
      </w:pPr>
      <w:r w:rsidRPr="00A37885">
        <w:fldChar w:fldCharType="begin"/>
      </w:r>
      <w:r w:rsidRPr="00A37885">
        <w:instrText xml:space="preserve"> SEQ level0 \*arabic </w:instrText>
      </w:r>
      <w:r w:rsidRPr="00A37885">
        <w:fldChar w:fldCharType="separate"/>
      </w:r>
      <w:r w:rsidRPr="00A37885" w:rsidR="00A37885">
        <w:rPr>
          <w:noProof/>
        </w:rPr>
        <w:t>35</w:t>
      </w:r>
      <w:r w:rsidRPr="00A37885">
        <w:fldChar w:fldCharType="end"/>
      </w:r>
      <w:r w:rsidRPr="00A37885">
        <w:t>.  </w:t>
      </w:r>
      <w:r w:rsidRPr="00A37885">
        <w:t>Chapter</w:t>
      </w:r>
      <w:r w:rsidRPr="00A37885">
        <w:t xml:space="preserve"> VI </w:t>
      </w:r>
      <w:r w:rsidRPr="00A37885">
        <w:t>of Title</w:t>
      </w:r>
      <w:r w:rsidRPr="00A37885">
        <w:t xml:space="preserve"> I </w:t>
      </w:r>
      <w:r w:rsidRPr="00A37885">
        <w:t xml:space="preserve">of this Act lists the full range of alternatives to detention, including probation </w:t>
      </w:r>
      <w:r w:rsidRPr="00A37885">
        <w:t>(</w:t>
      </w:r>
      <w:r w:rsidRPr="00A37885">
        <w:rPr>
          <w:i/>
        </w:rPr>
        <w:t>l</w:t>
      </w:r>
      <w:r w:rsidRPr="00A37885" w:rsidR="00A37885">
        <w:rPr>
          <w:i/>
        </w:rPr>
        <w:t>’</w:t>
      </w:r>
      <w:r w:rsidRPr="00A37885">
        <w:rPr>
          <w:i/>
        </w:rPr>
        <w:t>affidamento in prova ai servizi sociali</w:t>
      </w:r>
      <w:r w:rsidRPr="00A37885">
        <w:t xml:space="preserve">), </w:t>
      </w:r>
      <w:r w:rsidRPr="00A37885">
        <w:t xml:space="preserve">home detention, </w:t>
      </w:r>
      <w:r w:rsidRPr="00A37885" w:rsidR="00E62EF6">
        <w:t xml:space="preserve">a </w:t>
      </w:r>
      <w:r w:rsidRPr="00A37885" w:rsidR="003E1886">
        <w:t>semi-custodial regime</w:t>
      </w:r>
      <w:r w:rsidRPr="00A37885" w:rsidR="00E62EF6">
        <w:t xml:space="preserve"> (</w:t>
      </w:r>
      <w:r w:rsidRPr="00A37885" w:rsidR="00E62EF6">
        <w:rPr>
          <w:i/>
        </w:rPr>
        <w:t>semilibertà</w:t>
      </w:r>
      <w:r w:rsidRPr="00A37885" w:rsidR="00E62EF6">
        <w:rPr>
          <w:iCs/>
        </w:rPr>
        <w:t>)</w:t>
      </w:r>
      <w:r w:rsidRPr="00A37885" w:rsidR="003E1886">
        <w:t xml:space="preserve">, and early release. In particular, section 54 provides for </w:t>
      </w:r>
      <w:r w:rsidRPr="00A37885" w:rsidR="007131C1">
        <w:t>“</w:t>
      </w:r>
      <w:r w:rsidRPr="00A37885" w:rsidR="003E1886">
        <w:t>early release</w:t>
      </w:r>
      <w:r w:rsidRPr="00A37885" w:rsidR="007131C1">
        <w:t>”</w:t>
      </w:r>
      <w:r w:rsidRPr="00A37885" w:rsidR="003E1886">
        <w:t>, which allows prisoners who can demonstrate that they have followed the rehabilitation programme to have their sentence reduced by forty-five days for each six</w:t>
      </w:r>
      <w:r w:rsidRPr="00A37885" w:rsidR="007131C1">
        <w:t>-</w:t>
      </w:r>
      <w:r w:rsidRPr="00A37885" w:rsidR="003E1886">
        <w:t>month</w:t>
      </w:r>
      <w:r w:rsidRPr="00A37885" w:rsidR="007131C1">
        <w:t xml:space="preserve"> period</w:t>
      </w:r>
      <w:r w:rsidRPr="00A37885" w:rsidR="003E1886">
        <w:t xml:space="preserve"> served.</w:t>
      </w:r>
    </w:p>
    <w:p w:rsidRPr="00A37885" w:rsidR="003E1886" w:rsidP="00A37885" w14:paraId="0D8219F7" w14:textId="1DF2737B">
      <w:pPr>
        <w:pStyle w:val="JuPara"/>
      </w:pPr>
      <w:r w:rsidRPr="00A37885">
        <w:fldChar w:fldCharType="begin"/>
      </w:r>
      <w:r w:rsidRPr="00A37885">
        <w:instrText xml:space="preserve"> SEQ level0 \*arabic </w:instrText>
      </w:r>
      <w:r w:rsidRPr="00A37885">
        <w:fldChar w:fldCharType="separate"/>
      </w:r>
      <w:r w:rsidRPr="00A37885" w:rsidR="00A37885">
        <w:rPr>
          <w:noProof/>
        </w:rPr>
        <w:t>36</w:t>
      </w:r>
      <w:r w:rsidRPr="00A37885">
        <w:fldChar w:fldCharType="end"/>
      </w:r>
      <w:r w:rsidRPr="00A37885">
        <w:t>.  </w:t>
      </w:r>
      <w:r w:rsidRPr="00A37885">
        <w:t xml:space="preserve">As regards </w:t>
      </w:r>
      <w:r w:rsidRPr="00A37885" w:rsidR="00EA32C5">
        <w:t>conditional release</w:t>
      </w:r>
      <w:r w:rsidRPr="00A37885">
        <w:t xml:space="preserve">, section 2(1) of Decree-Law no. 152 of 13 May 1991 (amended by Conversion </w:t>
      </w:r>
      <w:r w:rsidRPr="00A37885" w:rsidR="00E62EF6">
        <w:t>Law</w:t>
      </w:r>
      <w:r w:rsidRPr="00A37885">
        <w:t xml:space="preserve"> no. 203 of 12 July 1991) provides that “prisoners convicted of the offences referred to in the first subsection of section 4 </w:t>
      </w:r>
      <w:r w:rsidRPr="00A37885">
        <w:rPr>
          <w:i/>
          <w:iCs/>
        </w:rPr>
        <w:t xml:space="preserve">bis </w:t>
      </w:r>
      <w:r w:rsidRPr="00A37885">
        <w:t xml:space="preserve">of the [Prison Administration] Act </w:t>
      </w:r>
      <w:r w:rsidRPr="00A37885" w:rsidR="00E62EF6">
        <w:t>may</w:t>
      </w:r>
      <w:r w:rsidRPr="00A37885">
        <w:t xml:space="preserve"> be </w:t>
      </w:r>
      <w:r w:rsidRPr="00A37885" w:rsidR="00E62EF6">
        <w:t>considered</w:t>
      </w:r>
      <w:r w:rsidRPr="00A37885">
        <w:t xml:space="preserve"> for </w:t>
      </w:r>
      <w:r w:rsidRPr="00A37885" w:rsidR="00EA32C5">
        <w:t>conditional release</w:t>
      </w:r>
      <w:r w:rsidRPr="00A37885">
        <w:t xml:space="preserve"> only if the conditions stipulated [in the Act] for the granting of the other statutory adjustments of sentence have been </w:t>
      </w:r>
      <w:r w:rsidRPr="00A37885" w:rsidR="005C1BF1">
        <w:t>satisfied</w:t>
      </w:r>
      <w:r w:rsidRPr="00A37885">
        <w:t>.”</w:t>
      </w:r>
    </w:p>
    <w:p w:rsidRPr="00A37885" w:rsidR="001F17E7" w:rsidP="00A37885" w14:paraId="25325041" w14:textId="4BE96D4A">
      <w:pPr>
        <w:pStyle w:val="JuHA"/>
      </w:pPr>
      <w:r w:rsidRPr="00A37885">
        <w:t>Constitutional case-law</w:t>
      </w:r>
    </w:p>
    <w:bookmarkStart w:name="COUR_COST_FONCTIONS_PEINE" w:id="8"/>
    <w:p w:rsidRPr="00A37885" w:rsidR="008F5042" w:rsidP="00A37885" w14:paraId="17389CA7" w14:textId="693064E7">
      <w:pPr>
        <w:pStyle w:val="JuPara"/>
      </w:pPr>
      <w:r w:rsidRPr="00A37885">
        <w:fldChar w:fldCharType="begin"/>
      </w:r>
      <w:r w:rsidRPr="00A37885">
        <w:instrText xml:space="preserve"> SEQ level0 \*arabic </w:instrText>
      </w:r>
      <w:r w:rsidRPr="00A37885">
        <w:fldChar w:fldCharType="separate"/>
      </w:r>
      <w:r w:rsidRPr="00A37885" w:rsidR="00A37885">
        <w:rPr>
          <w:noProof/>
        </w:rPr>
        <w:t>37</w:t>
      </w:r>
      <w:r w:rsidRPr="00A37885">
        <w:fldChar w:fldCharType="end"/>
      </w:r>
      <w:bookmarkEnd w:id="8"/>
      <w:r w:rsidRPr="00A37885">
        <w:t>.  </w:t>
      </w:r>
      <w:r w:rsidRPr="00A37885">
        <w:t>Constitutional Court judgment</w:t>
      </w:r>
      <w:r w:rsidRPr="00A37885">
        <w:t xml:space="preserve"> </w:t>
      </w:r>
      <w:r w:rsidRPr="00A37885">
        <w:t xml:space="preserve">no. </w:t>
      </w:r>
      <w:r w:rsidRPr="00A37885">
        <w:t xml:space="preserve">12 </w:t>
      </w:r>
      <w:r w:rsidRPr="00A37885">
        <w:t>of</w:t>
      </w:r>
      <w:r w:rsidRPr="00A37885">
        <w:t xml:space="preserve"> 4 </w:t>
      </w:r>
      <w:r w:rsidRPr="00A37885">
        <w:t>February</w:t>
      </w:r>
      <w:r w:rsidRPr="00A37885">
        <w:t xml:space="preserve"> 19</w:t>
      </w:r>
      <w:r w:rsidRPr="00A37885">
        <w:t>6</w:t>
      </w:r>
      <w:r w:rsidRPr="00A37885">
        <w:t xml:space="preserve">6 </w:t>
      </w:r>
      <w:r w:rsidRPr="00A37885">
        <w:t xml:space="preserve">provided an interpretation of Article 27 § 3 of the Constitution which </w:t>
      </w:r>
      <w:r w:rsidRPr="00A37885" w:rsidR="00CE4093">
        <w:t xml:space="preserve">clarified the balance to be struck between the different functions assigned to </w:t>
      </w:r>
      <w:r w:rsidRPr="00A37885" w:rsidR="00115ECA">
        <w:t>punishment</w:t>
      </w:r>
      <w:r w:rsidRPr="00A37885" w:rsidR="00CE4093">
        <w:t>. The relevant parts of the judgment read as follows:</w:t>
      </w:r>
    </w:p>
    <w:p w:rsidRPr="00A37885" w:rsidR="00CE4093" w:rsidP="00A37885" w14:paraId="3FD8DB0C" w14:textId="5CC81D46">
      <w:pPr>
        <w:pStyle w:val="JuQuot"/>
      </w:pPr>
      <w:r w:rsidRPr="00A37885">
        <w:t>“</w:t>
      </w:r>
      <w:r w:rsidRPr="00A37885" w:rsidR="001E7843">
        <w:t xml:space="preserve">... </w:t>
      </w:r>
      <w:r w:rsidRPr="00A37885">
        <w:t xml:space="preserve">the provision in question [Article 27 § 3] </w:t>
      </w:r>
      <w:r w:rsidRPr="00A37885" w:rsidR="00237324">
        <w:t xml:space="preserve">does not </w:t>
      </w:r>
      <w:r w:rsidRPr="00A37885" w:rsidR="00115ECA">
        <w:t>confine</w:t>
      </w:r>
      <w:r w:rsidRPr="00A37885" w:rsidR="00237324">
        <w:t xml:space="preserve"> itself </w:t>
      </w:r>
      <w:r w:rsidRPr="00A37885" w:rsidR="00115ECA">
        <w:t>to</w:t>
      </w:r>
      <w:r w:rsidRPr="00A37885">
        <w:t xml:space="preserve"> stating purely and simply that </w:t>
      </w:r>
      <w:r w:rsidRPr="00A37885" w:rsidR="00A37885">
        <w:t>‘</w:t>
      </w:r>
      <w:r w:rsidRPr="00A37885" w:rsidR="005E2955">
        <w:t xml:space="preserve">the </w:t>
      </w:r>
      <w:r w:rsidRPr="00A37885" w:rsidR="00115ECA">
        <w:t>punishment</w:t>
      </w:r>
      <w:r w:rsidRPr="00A37885">
        <w:t xml:space="preserve"> should be aimed at rehabilitating the </w:t>
      </w:r>
      <w:r w:rsidRPr="00A37885" w:rsidR="00E62EF6">
        <w:t xml:space="preserve">convicted </w:t>
      </w:r>
      <w:r w:rsidRPr="00A37885" w:rsidR="0015192E">
        <w:t>offender</w:t>
      </w:r>
      <w:r w:rsidRPr="00A37885" w:rsidR="00A37885">
        <w:t>’</w:t>
      </w:r>
      <w:r w:rsidRPr="00A37885">
        <w:t>. On the contrary</w:t>
      </w:r>
      <w:r w:rsidRPr="00A37885" w:rsidR="00237324">
        <w:t xml:space="preserve">, it states that </w:t>
      </w:r>
      <w:r w:rsidRPr="00A37885" w:rsidR="00A37885">
        <w:t>‘</w:t>
      </w:r>
      <w:r w:rsidRPr="00A37885" w:rsidR="005E2955">
        <w:t xml:space="preserve">the </w:t>
      </w:r>
      <w:r w:rsidRPr="00A37885" w:rsidR="00115ECA">
        <w:t>punishment</w:t>
      </w:r>
      <w:r w:rsidRPr="00A37885" w:rsidR="00237324">
        <w:t xml:space="preserve"> may not constitute treatment contrary to the principle of humanity and must be aimed at rehabilitating the offender</w:t>
      </w:r>
      <w:r w:rsidRPr="00A37885" w:rsidR="00A37885">
        <w:t>’</w:t>
      </w:r>
      <w:r w:rsidRPr="00A37885" w:rsidR="00237324">
        <w:t xml:space="preserve">: </w:t>
      </w:r>
      <w:r w:rsidRPr="00A37885" w:rsidR="004F2C0F">
        <w:t>these elements</w:t>
      </w:r>
      <w:r w:rsidRPr="00A37885" w:rsidR="0015192E">
        <w:t xml:space="preserve"> clearly</w:t>
      </w:r>
      <w:r w:rsidRPr="00A37885" w:rsidR="004F2C0F">
        <w:t xml:space="preserve"> form a single indissociable whole </w:t>
      </w:r>
      <w:r w:rsidRPr="00A37885" w:rsidR="00312965">
        <w:t>...</w:t>
      </w:r>
      <w:r w:rsidRPr="00A37885" w:rsidR="004F2C0F">
        <w:t xml:space="preserve"> Furthermore, the two parts of the sentence are united in logical terms and not just in terms of their literal meaning. On the one hand, the treatment of offenders based on the principle of </w:t>
      </w:r>
      <w:r w:rsidRPr="00A37885" w:rsidR="004F2C0F">
        <w:t xml:space="preserve">humanity is necessary for rehabilitation, and on the other hand rehabilitative action is the expression of humane and civilised treatment </w:t>
      </w:r>
      <w:r w:rsidRPr="00A37885" w:rsidR="00312965">
        <w:t>...</w:t>
      </w:r>
    </w:p>
    <w:p w:rsidRPr="00A37885" w:rsidR="004F2C0F" w:rsidP="00A37885" w14:paraId="5802F09A" w14:textId="244E19DE">
      <w:pPr>
        <w:pStyle w:val="JuQuot"/>
      </w:pPr>
      <w:r w:rsidRPr="00A37885">
        <w:t xml:space="preserve">When the norm is thus defined as a whole, its true value emerges. </w:t>
      </w:r>
      <w:r w:rsidRPr="00A37885" w:rsidR="00390290">
        <w:t xml:space="preserve">In view of its constitutional significance, the rehabilitation of convicted </w:t>
      </w:r>
      <w:r w:rsidRPr="00A37885" w:rsidR="0015192E">
        <w:t>offenders</w:t>
      </w:r>
      <w:r w:rsidRPr="00A37885" w:rsidR="00390290">
        <w:t xml:space="preserve"> must always be seen in the context of the </w:t>
      </w:r>
      <w:r w:rsidRPr="00A37885" w:rsidR="00115ECA">
        <w:t xml:space="preserve">actual </w:t>
      </w:r>
      <w:r w:rsidRPr="00A37885" w:rsidR="00390290">
        <w:t>treatment of offenders. That, moreover, is the legislature</w:t>
      </w:r>
      <w:r w:rsidRPr="00A37885" w:rsidR="00A37885">
        <w:t>’</w:t>
      </w:r>
      <w:r w:rsidRPr="00A37885" w:rsidR="00390290">
        <w:t xml:space="preserve">s true objective </w:t>
      </w:r>
      <w:r w:rsidRPr="00A37885" w:rsidR="00312965">
        <w:t>...</w:t>
      </w:r>
      <w:r w:rsidRPr="00A37885" w:rsidR="00390290">
        <w:t xml:space="preserve"> The legislature sought to assign limits to </w:t>
      </w:r>
      <w:r w:rsidRPr="00A37885" w:rsidR="00115ECA">
        <w:t>punishment</w:t>
      </w:r>
      <w:r w:rsidRPr="00A37885" w:rsidR="00390290">
        <w:t xml:space="preserve">, designed mainly to ensure that </w:t>
      </w:r>
      <w:r w:rsidRPr="00A37885" w:rsidR="00115ECA">
        <w:t>its</w:t>
      </w:r>
      <w:r w:rsidRPr="00A37885" w:rsidR="00390290">
        <w:t xml:space="preserve"> </w:t>
      </w:r>
      <w:r w:rsidRPr="00A37885" w:rsidR="00C035CA">
        <w:t>retributive</w:t>
      </w:r>
      <w:r w:rsidRPr="00A37885" w:rsidR="00390290">
        <w:t xml:space="preserve"> </w:t>
      </w:r>
      <w:r w:rsidRPr="00A37885" w:rsidR="00C035CA">
        <w:t>aspect</w:t>
      </w:r>
      <w:r w:rsidRPr="00A37885" w:rsidR="00390290">
        <w:t xml:space="preserve"> did not exceed the threshold beyond which </w:t>
      </w:r>
      <w:r w:rsidRPr="00A37885" w:rsidR="00115ECA">
        <w:t xml:space="preserve">it </w:t>
      </w:r>
      <w:r w:rsidRPr="00A37885" w:rsidR="0015192E">
        <w:t>would be</w:t>
      </w:r>
      <w:r w:rsidRPr="00A37885" w:rsidR="00115ECA">
        <w:t xml:space="preserve"> </w:t>
      </w:r>
      <w:r w:rsidRPr="00A37885" w:rsidR="005E2955">
        <w:t>contrary to</w:t>
      </w:r>
      <w:r w:rsidRPr="00A37885" w:rsidR="00390290">
        <w:t xml:space="preserve"> the principle of humanity.</w:t>
      </w:r>
    </w:p>
    <w:p w:rsidRPr="00A37885" w:rsidR="004F2C0F" w:rsidP="00A37885" w14:paraId="7C4F2DEE" w14:textId="73FFD79E">
      <w:pPr>
        <w:pStyle w:val="JuQuot"/>
      </w:pPr>
      <w:r w:rsidRPr="00A37885">
        <w:t xml:space="preserve">Hence, the true content of the rehabilitative principle is established. It must interact with the other functions of </w:t>
      </w:r>
      <w:r w:rsidRPr="00A37885" w:rsidR="00115ECA">
        <w:t>punishment</w:t>
      </w:r>
      <w:r w:rsidRPr="00A37885">
        <w:t xml:space="preserve"> and, accordingly, cannot be construed in an absolute and exclusive manner. Rehabilitation is certainly </w:t>
      </w:r>
      <w:r w:rsidRPr="00A37885" w:rsidR="0015192E">
        <w:t>the aim</w:t>
      </w:r>
      <w:r w:rsidRPr="00A37885">
        <w:t xml:space="preserve">, but </w:t>
      </w:r>
      <w:r w:rsidRPr="00A37885" w:rsidR="00115ECA">
        <w:t>in the context of</w:t>
      </w:r>
      <w:r w:rsidRPr="00A37885">
        <w:t xml:space="preserve"> the treatment of offenders </w:t>
      </w:r>
      <w:r w:rsidRPr="00A37885" w:rsidR="00312965">
        <w:t>...</w:t>
      </w:r>
    </w:p>
    <w:p w:rsidRPr="00A37885" w:rsidR="00390290" w:rsidP="00A37885" w14:paraId="0448064F" w14:textId="75A58C38">
      <w:pPr>
        <w:pStyle w:val="JuQuot"/>
      </w:pPr>
      <w:r w:rsidRPr="00A37885">
        <w:t xml:space="preserve">Furthermore, the scope and limits of the rehabilitative function enshrined in the Constitution emerge from this Article itself, when it states that </w:t>
      </w:r>
      <w:r w:rsidRPr="00A37885" w:rsidR="005E2955">
        <w:t xml:space="preserve">the </w:t>
      </w:r>
      <w:r w:rsidRPr="00A37885" w:rsidR="001600B8">
        <w:t>punishment</w:t>
      </w:r>
      <w:r w:rsidRPr="00A37885">
        <w:t xml:space="preserve"> </w:t>
      </w:r>
      <w:r w:rsidRPr="00A37885" w:rsidR="00A37885">
        <w:t>‘</w:t>
      </w:r>
      <w:r w:rsidRPr="00A37885">
        <w:t>should be aimed at</w:t>
      </w:r>
      <w:r w:rsidRPr="00A37885" w:rsidR="00A37885">
        <w:t>’</w:t>
      </w:r>
      <w:r w:rsidRPr="00A37885" w:rsidR="00595000">
        <w:t xml:space="preserve"> rehabilitating the offender. This phrase, taken in both its literal and logical sense, merely articulates the legislature</w:t>
      </w:r>
      <w:r w:rsidRPr="00A37885" w:rsidR="00A37885">
        <w:t>’</w:t>
      </w:r>
      <w:r w:rsidRPr="00A37885" w:rsidR="00595000">
        <w:t xml:space="preserve">s duty to be mindful of the rehabilitative </w:t>
      </w:r>
      <w:r w:rsidRPr="00A37885" w:rsidR="001600B8">
        <w:t>aim</w:t>
      </w:r>
      <w:r w:rsidRPr="00A37885" w:rsidR="00595000">
        <w:t xml:space="preserve"> and to put in place the tools needed to achieve it </w:t>
      </w:r>
      <w:r w:rsidRPr="00A37885" w:rsidR="00312965">
        <w:t>...</w:t>
      </w:r>
    </w:p>
    <w:p w:rsidRPr="00A37885" w:rsidR="00595000" w:rsidP="00A37885" w14:paraId="00B6E23A" w14:textId="1F83E078">
      <w:pPr>
        <w:pStyle w:val="JuQuot"/>
      </w:pPr>
      <w:r w:rsidRPr="00A37885">
        <w:t>In sum, in enacting the above-mentioned constitutional norm</w:t>
      </w:r>
      <w:r w:rsidRPr="00A37885" w:rsidR="005E2955">
        <w:t>,</w:t>
      </w:r>
      <w:r w:rsidRPr="00A37885">
        <w:t xml:space="preserve"> [the constitutional legislature] sought to give the rehabilitative </w:t>
      </w:r>
      <w:r w:rsidRPr="00A37885" w:rsidR="001600B8">
        <w:t>function</w:t>
      </w:r>
      <w:r w:rsidRPr="00A37885">
        <w:t xml:space="preserve"> of </w:t>
      </w:r>
      <w:r w:rsidRPr="00A37885" w:rsidR="001600B8">
        <w:t>punishment</w:t>
      </w:r>
      <w:r w:rsidRPr="00A37885">
        <w:t xml:space="preserve"> the status of a constitutional principle without denying the existence and legitimacy of</w:t>
      </w:r>
      <w:r w:rsidRPr="00A37885" w:rsidR="005E2955">
        <w:t xml:space="preserve"> </w:t>
      </w:r>
      <w:r w:rsidRPr="00A37885" w:rsidR="0015192E">
        <w:t>punishments</w:t>
      </w:r>
      <w:r w:rsidRPr="00A37885" w:rsidR="005E2955">
        <w:t xml:space="preserve"> that do not incorporate, or </w:t>
      </w:r>
      <w:r w:rsidRPr="00A37885" w:rsidR="0015192E">
        <w:t xml:space="preserve">only </w:t>
      </w:r>
      <w:r w:rsidRPr="00A37885" w:rsidR="005E2955">
        <w:t xml:space="preserve">partly incorporate, this </w:t>
      </w:r>
      <w:r w:rsidRPr="00A37885" w:rsidR="001600B8">
        <w:t>aim</w:t>
      </w:r>
      <w:r w:rsidRPr="00A37885" w:rsidR="005E2955">
        <w:t xml:space="preserve">. This takes account of the other functions </w:t>
      </w:r>
      <w:r w:rsidRPr="00A37885" w:rsidR="001600B8">
        <w:t>of punishment</w:t>
      </w:r>
      <w:r w:rsidRPr="00A37885" w:rsidR="005E2955">
        <w:t xml:space="preserve">, which </w:t>
      </w:r>
      <w:r w:rsidRPr="00A37885" w:rsidR="00312965">
        <w:t>...</w:t>
      </w:r>
      <w:r w:rsidRPr="00A37885" w:rsidR="005E2955">
        <w:t xml:space="preserve"> are also vital to the protection of citizens and of the legal system </w:t>
      </w:r>
      <w:r w:rsidRPr="00A37885" w:rsidR="00312965">
        <w:t>...</w:t>
      </w:r>
      <w:r w:rsidRPr="00A37885" w:rsidR="005E2955">
        <w:t>”</w:t>
      </w:r>
    </w:p>
    <w:bookmarkStart w:name="COUR_COST_FONCTION_REEDUCATION" w:id="9"/>
    <w:p w:rsidRPr="00A37885" w:rsidR="001E7843" w:rsidP="00A37885" w14:paraId="196040BB" w14:textId="2A63A931">
      <w:pPr>
        <w:pStyle w:val="JuPara"/>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38</w:t>
      </w:r>
      <w:r w:rsidRPr="00A37885">
        <w:fldChar w:fldCharType="end"/>
      </w:r>
      <w:bookmarkEnd w:id="9"/>
      <w:r w:rsidRPr="00A37885">
        <w:rPr>
          <w:lang w:val="en-IE"/>
        </w:rPr>
        <w:t>.  </w:t>
      </w:r>
      <w:r w:rsidRPr="00A37885" w:rsidR="005E2955">
        <w:t>Since judgment no. 313 of 4 July 1990 the Constitutional Court</w:t>
      </w:r>
      <w:r w:rsidRPr="00A37885" w:rsidR="00A37885">
        <w:t>’</w:t>
      </w:r>
      <w:r w:rsidRPr="00A37885" w:rsidR="005E2955">
        <w:t xml:space="preserve">s rulings have tended to attribute a more central role to the resocialisation </w:t>
      </w:r>
      <w:r w:rsidRPr="00A37885" w:rsidR="0015192E">
        <w:t>function</w:t>
      </w:r>
      <w:r w:rsidRPr="00A37885" w:rsidR="005E2955">
        <w:t xml:space="preserve"> of </w:t>
      </w:r>
      <w:r w:rsidRPr="00A37885" w:rsidR="001600B8">
        <w:t>punishment</w:t>
      </w:r>
      <w:r w:rsidRPr="00A37885" w:rsidR="005E2955">
        <w:t xml:space="preserve">, stating that this function must </w:t>
      </w:r>
      <w:r w:rsidRPr="00A37885" w:rsidR="00A6766B">
        <w:t xml:space="preserve">be a part of the </w:t>
      </w:r>
      <w:r w:rsidRPr="00A37885" w:rsidR="001600B8">
        <w:t>punishment</w:t>
      </w:r>
      <w:r w:rsidRPr="00A37885" w:rsidR="00A6766B">
        <w:t xml:space="preserve"> from its normative inception until the sentence has been served. Accordingly, this </w:t>
      </w:r>
      <w:r w:rsidRPr="00A37885" w:rsidR="001600B8">
        <w:t>function</w:t>
      </w:r>
      <w:r w:rsidRPr="00A37885" w:rsidR="00A6766B">
        <w:t xml:space="preserve"> must guide the actions of the legislature, the trial courts, the post-sentencing courts and the prison authorities (see also judgments nos. </w:t>
      </w:r>
      <w:r w:rsidRPr="00A37885">
        <w:t xml:space="preserve">343/1993, 422/1993, 283/1994, 341/1994, 85/1997, 345/2002, 257/2006, 322/2007, 129/2008 </w:t>
      </w:r>
      <w:r w:rsidRPr="00A37885" w:rsidR="00A6766B">
        <w:t>and</w:t>
      </w:r>
      <w:r w:rsidRPr="00A37885">
        <w:t xml:space="preserve"> 183/2011).</w:t>
      </w:r>
    </w:p>
    <w:bookmarkStart w:name="COUR_COST_4BIS_1" w:id="10"/>
    <w:p w:rsidRPr="00A37885" w:rsidR="003C0F29" w:rsidP="00A37885" w14:paraId="307A3B63" w14:textId="2011BB44">
      <w:pPr>
        <w:pStyle w:val="JuPara"/>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39</w:t>
      </w:r>
      <w:r w:rsidRPr="00A37885">
        <w:fldChar w:fldCharType="end"/>
      </w:r>
      <w:bookmarkEnd w:id="10"/>
      <w:r w:rsidRPr="00A37885">
        <w:rPr>
          <w:lang w:val="en-IE"/>
        </w:rPr>
        <w:t>.  </w:t>
      </w:r>
      <w:r w:rsidRPr="00A37885">
        <w:t xml:space="preserve">The constitutionality of section 4 </w:t>
      </w:r>
      <w:r w:rsidRPr="00A37885">
        <w:rPr>
          <w:i/>
          <w:iCs/>
        </w:rPr>
        <w:t xml:space="preserve">bis </w:t>
      </w:r>
      <w:r w:rsidRPr="00A37885">
        <w:t xml:space="preserve">was specifically addressed by the Constitutional Court in judgment no. 306 of 11 June 1993. The court reiterated the criminal-policy choices made by the legislature, observing how the latter, by making eligibility for </w:t>
      </w:r>
      <w:r w:rsidRPr="00A37885" w:rsidR="00EA32C5">
        <w:t>conditional release</w:t>
      </w:r>
      <w:r w:rsidRPr="00A37885">
        <w:t xml:space="preserve"> and all other sentence adjustments dependent on cooperation by the prisoner concerned, had give</w:t>
      </w:r>
      <w:r w:rsidRPr="00A37885" w:rsidR="001600B8">
        <w:t>n</w:t>
      </w:r>
      <w:r w:rsidRPr="00A37885">
        <w:t xml:space="preserve"> </w:t>
      </w:r>
      <w:r w:rsidRPr="00A37885" w:rsidR="001600B8">
        <w:t>express</w:t>
      </w:r>
      <w:r w:rsidRPr="00A37885">
        <w:t xml:space="preserve"> priority to </w:t>
      </w:r>
      <w:r w:rsidRPr="00A37885" w:rsidR="001A6A87">
        <w:t>general</w:t>
      </w:r>
      <w:r w:rsidRPr="00A37885">
        <w:t xml:space="preserve"> prevention and </w:t>
      </w:r>
      <w:r w:rsidRPr="00A37885" w:rsidR="0015192E">
        <w:t xml:space="preserve">the </w:t>
      </w:r>
      <w:r w:rsidRPr="00A37885">
        <w:t xml:space="preserve">protection of the community </w:t>
      </w:r>
      <w:r w:rsidRPr="00A37885" w:rsidR="00CF1600">
        <w:t>through a requirement for the members of mafia organisations to cooperate, something which represented an essential tool for the prosecuting authorities</w:t>
      </w:r>
      <w:r w:rsidRPr="00A37885" w:rsidR="0070026C">
        <w:t xml:space="preserve"> in combating organised crime</w:t>
      </w:r>
      <w:r w:rsidRPr="00A37885" w:rsidR="00CF1600">
        <w:t>.</w:t>
      </w:r>
    </w:p>
    <w:p w:rsidRPr="00A37885" w:rsidR="00CF1600" w:rsidP="00A37885" w14:paraId="239E225A" w14:textId="6C8AAF8B">
      <w:pPr>
        <w:pStyle w:val="JuPara"/>
      </w:pPr>
      <w:r w:rsidRPr="00A37885">
        <w:t>The Constitutional Court also held that, while cooperation with the judicial authorities entailed a presumption that the individual concerned had “dissociated” him or herself from mafia circles</w:t>
      </w:r>
      <w:r w:rsidRPr="00A37885" w:rsidR="00321991">
        <w:t>,</w:t>
      </w:r>
      <w:r w:rsidRPr="00A37885">
        <w:t xml:space="preserve"> and constituted an indicator of the success of the rehabilitative process, the reverse was not true, that is to say, the absence of cooperation could not be taken as an unequivocal </w:t>
      </w:r>
      <w:r w:rsidRPr="00A37885" w:rsidR="001600B8">
        <w:t>sign</w:t>
      </w:r>
      <w:r w:rsidRPr="00A37885">
        <w:t xml:space="preserve"> that the person </w:t>
      </w:r>
      <w:r w:rsidRPr="00A37885" w:rsidR="0015192E">
        <w:t xml:space="preserve">concerned </w:t>
      </w:r>
      <w:r w:rsidRPr="00A37885">
        <w:t xml:space="preserve">still had links to the criminal organisation. The </w:t>
      </w:r>
      <w:r w:rsidRPr="00A37885">
        <w:t xml:space="preserve">court also recognised that the choice to cooperate could be the result of a self-interested assessment </w:t>
      </w:r>
      <w:r w:rsidRPr="00A37885" w:rsidR="0015192E">
        <w:t>aimed at</w:t>
      </w:r>
      <w:r w:rsidRPr="00A37885" w:rsidR="00321991">
        <w:t xml:space="preserve"> taking</w:t>
      </w:r>
      <w:r w:rsidRPr="00A37885">
        <w:t xml:space="preserve"> advantage of </w:t>
      </w:r>
      <w:r w:rsidRPr="00A37885" w:rsidR="00321991">
        <w:t>statutory</w:t>
      </w:r>
      <w:r w:rsidRPr="00A37885">
        <w:t xml:space="preserve"> </w:t>
      </w:r>
      <w:r w:rsidRPr="00A37885" w:rsidR="002A020D">
        <w:t>adjustments of sentence</w:t>
      </w:r>
      <w:r w:rsidRPr="00A37885">
        <w:t xml:space="preserve"> </w:t>
      </w:r>
      <w:r w:rsidRPr="00A37885" w:rsidR="00BE4952">
        <w:t>rather than a sign of successful rehabilitation.</w:t>
      </w:r>
    </w:p>
    <w:p w:rsidRPr="00A37885" w:rsidR="00321991" w:rsidP="00A37885" w14:paraId="2F9729DD" w14:textId="60A10776">
      <w:pPr>
        <w:pStyle w:val="JuPara"/>
      </w:pPr>
      <w:r w:rsidRPr="00A37885">
        <w:t>Nevertheless, in the Constitutional Court</w:t>
      </w:r>
      <w:r w:rsidRPr="00A37885" w:rsidR="00A37885">
        <w:t>’</w:t>
      </w:r>
      <w:r w:rsidRPr="00A37885">
        <w:t xml:space="preserve">s view, in the absence of a strict hierarchy among the aims of punishment laid down by the Constitution, the rules in force, </w:t>
      </w:r>
      <w:r w:rsidRPr="00A37885" w:rsidR="00D85CF7">
        <w:t>although they resulted</w:t>
      </w:r>
      <w:r w:rsidRPr="00A37885">
        <w:t xml:space="preserve"> in significant impairment of the rehabilitative purpose of </w:t>
      </w:r>
      <w:r w:rsidRPr="00A37885" w:rsidR="0070026C">
        <w:t>the sentence</w:t>
      </w:r>
      <w:r w:rsidRPr="00A37885">
        <w:t xml:space="preserve">, did not restrict it in an unreasonable and disproportionate manner since </w:t>
      </w:r>
      <w:r w:rsidRPr="00A37885" w:rsidR="00D85CF7">
        <w:t>they</w:t>
      </w:r>
      <w:r w:rsidRPr="00A37885">
        <w:t xml:space="preserve"> left open the possibility of following a </w:t>
      </w:r>
      <w:r w:rsidRPr="00A37885" w:rsidR="00D85CF7">
        <w:t>rehabilitation</w:t>
      </w:r>
      <w:r w:rsidRPr="00A37885">
        <w:t xml:space="preserve"> programme.</w:t>
      </w:r>
    </w:p>
    <w:bookmarkStart w:name="COUR_COST_4BIS_2" w:id="11"/>
    <w:p w:rsidRPr="00A37885" w:rsidR="00BE4952" w:rsidP="00A37885" w14:paraId="4BB01C07" w14:textId="776A9407">
      <w:pPr>
        <w:pStyle w:val="JuPara"/>
        <w:tabs>
          <w:tab w:val="left" w:pos="5670"/>
        </w:tabs>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40</w:t>
      </w:r>
      <w:r w:rsidRPr="00A37885">
        <w:fldChar w:fldCharType="end"/>
      </w:r>
      <w:bookmarkEnd w:id="11"/>
      <w:r w:rsidRPr="00A37885">
        <w:rPr>
          <w:lang w:val="en-IE"/>
        </w:rPr>
        <w:t>.  </w:t>
      </w:r>
      <w:r w:rsidRPr="00A37885">
        <w:t>In judgment no.</w:t>
      </w:r>
      <w:r w:rsidRPr="00A37885">
        <w:t xml:space="preserve"> 273 </w:t>
      </w:r>
      <w:r w:rsidRPr="00A37885">
        <w:t>of</w:t>
      </w:r>
      <w:r w:rsidRPr="00A37885">
        <w:t xml:space="preserve"> 5 </w:t>
      </w:r>
      <w:r w:rsidRPr="00A37885">
        <w:t>July</w:t>
      </w:r>
      <w:r w:rsidRPr="00A37885">
        <w:t xml:space="preserve"> 2001</w:t>
      </w:r>
      <w:r w:rsidRPr="00A37885">
        <w:t xml:space="preserve"> the Constitutional Court again examined the constitutionality of section 4 </w:t>
      </w:r>
      <w:r w:rsidRPr="00A37885">
        <w:rPr>
          <w:i/>
          <w:iCs/>
        </w:rPr>
        <w:t>bis</w:t>
      </w:r>
      <w:r w:rsidRPr="00A37885">
        <w:t xml:space="preserve">. Referring to the explanatory report on the </w:t>
      </w:r>
      <w:r w:rsidRPr="00A37885" w:rsidR="008A0A81">
        <w:t>Act</w:t>
      </w:r>
      <w:r w:rsidRPr="00A37885">
        <w:t xml:space="preserve"> converting Decree-Law no. 306/1992, according to which convicted prisoners could only demonstrate conclusively that they had severed links with the criminal organisation by cooperating with the judicial authorities, the court considered that this choice by the legislature was </w:t>
      </w:r>
      <w:r w:rsidRPr="00A37885" w:rsidR="00D85CF7">
        <w:t>consistent</w:t>
      </w:r>
      <w:r w:rsidRPr="00A37885">
        <w:t xml:space="preserve"> with the rehabilitative </w:t>
      </w:r>
      <w:r w:rsidRPr="00A37885" w:rsidR="008A0A81">
        <w:t>function</w:t>
      </w:r>
      <w:r w:rsidRPr="00A37885">
        <w:t xml:space="preserve"> of </w:t>
      </w:r>
      <w:r w:rsidRPr="00A37885" w:rsidR="0070026C">
        <w:t>the sentence</w:t>
      </w:r>
      <w:r w:rsidRPr="00A37885">
        <w:t>, as it constituted an unambiguous expression of the individual</w:t>
      </w:r>
      <w:r w:rsidRPr="00A37885" w:rsidR="00A37885">
        <w:t>’</w:t>
      </w:r>
      <w:r w:rsidRPr="00A37885">
        <w:t xml:space="preserve">s intention to make amends for his or her criminal past. Accordingly, the Constitutional Court regarded a decision by a convicted prisoner not to cooperate with the authorities as “a </w:t>
      </w:r>
      <w:r w:rsidRPr="00A37885" w:rsidR="00D85CF7">
        <w:t>statutory</w:t>
      </w:r>
      <w:r w:rsidRPr="00A37885">
        <w:t xml:space="preserve"> presumption” that he or she had maintained criminal links and had not sought to make amends.</w:t>
      </w:r>
    </w:p>
    <w:bookmarkStart w:name="COUR_COST_4BIS_3" w:id="12"/>
    <w:p w:rsidRPr="00A37885" w:rsidR="00BE4952" w:rsidP="00A37885" w14:paraId="316E3FF8" w14:textId="39506C48">
      <w:pPr>
        <w:pStyle w:val="JuPara"/>
      </w:pPr>
      <w:r w:rsidRPr="00A37885">
        <w:fldChar w:fldCharType="begin"/>
      </w:r>
      <w:r w:rsidRPr="00A37885">
        <w:instrText xml:space="preserve"> SEQ level0 \*arabic </w:instrText>
      </w:r>
      <w:r w:rsidRPr="00A37885">
        <w:fldChar w:fldCharType="separate"/>
      </w:r>
      <w:r w:rsidRPr="00A37885" w:rsidR="00A37885">
        <w:rPr>
          <w:noProof/>
        </w:rPr>
        <w:t>41</w:t>
      </w:r>
      <w:r w:rsidRPr="00A37885">
        <w:fldChar w:fldCharType="end"/>
      </w:r>
      <w:bookmarkEnd w:id="12"/>
      <w:r w:rsidRPr="00A37885">
        <w:t>.  </w:t>
      </w:r>
      <w:r w:rsidRPr="00A37885">
        <w:t>Two years later, in judgment no. 135 of 24 April 2003,</w:t>
      </w:r>
      <w:r w:rsidRPr="00A37885" w:rsidR="008A0A81">
        <w:t xml:space="preserve"> </w:t>
      </w:r>
      <w:r w:rsidRPr="00A37885">
        <w:t>the Constitutional Court confirmed that the prohibition arising out of section</w:t>
      </w:r>
      <w:r w:rsidRPr="00A37885" w:rsidR="00265C0F">
        <w:t> </w:t>
      </w:r>
      <w:r w:rsidRPr="00A37885">
        <w:t>4</w:t>
      </w:r>
      <w:r w:rsidRPr="00A37885" w:rsidR="00265C0F">
        <w:t> </w:t>
      </w:r>
      <w:r w:rsidRPr="00A37885">
        <w:rPr>
          <w:i/>
          <w:iCs/>
        </w:rPr>
        <w:t xml:space="preserve">bis </w:t>
      </w:r>
      <w:r w:rsidRPr="00A37885">
        <w:t>did not constitute an automatic statutory mechanism. It held that the law</w:t>
      </w:r>
      <w:r w:rsidRPr="00A37885" w:rsidR="00846899">
        <w:t xml:space="preserve"> did not </w:t>
      </w:r>
      <w:r w:rsidRPr="00A37885" w:rsidR="00D85CF7">
        <w:t>lay down any</w:t>
      </w:r>
      <w:r w:rsidRPr="00A37885" w:rsidR="00846899">
        <w:t xml:space="preserve"> absolute prohibitions and merely made eligibility for </w:t>
      </w:r>
      <w:r w:rsidRPr="00A37885" w:rsidR="00EA32C5">
        <w:t>conditional release</w:t>
      </w:r>
      <w:r w:rsidRPr="00A37885" w:rsidR="00846899">
        <w:t xml:space="preserve"> dependent on “cooperation with the judicial authorities”, which was the expression of a deliberate and free choice on the part of the prisoner. In the Constitutional Court</w:t>
      </w:r>
      <w:r w:rsidRPr="00A37885" w:rsidR="00A37885">
        <w:t>’</w:t>
      </w:r>
      <w:r w:rsidRPr="00A37885" w:rsidR="00846899">
        <w:t xml:space="preserve">s view, the provision in question did not </w:t>
      </w:r>
      <w:r w:rsidRPr="00A37885" w:rsidR="002A020D">
        <w:t>act as an absolute, permanent bar to</w:t>
      </w:r>
      <w:r w:rsidRPr="00A37885" w:rsidR="00846899">
        <w:t xml:space="preserve"> </w:t>
      </w:r>
      <w:r w:rsidRPr="00A37885" w:rsidR="00EA32C5">
        <w:t>conditional release</w:t>
      </w:r>
      <w:r w:rsidRPr="00A37885" w:rsidR="00846899">
        <w:t xml:space="preserve"> and was therefore not contrary to the principle of rehabilitation in Article 27 § 3 of the Constitution. Accordingly, </w:t>
      </w:r>
      <w:r w:rsidRPr="00A37885" w:rsidR="0070026C">
        <w:t>the absence</w:t>
      </w:r>
      <w:r w:rsidRPr="00A37885" w:rsidR="00846899">
        <w:t xml:space="preserve"> of cooperation was </w:t>
      </w:r>
      <w:r w:rsidRPr="00A37885" w:rsidR="00D85CF7">
        <w:t>regarded</w:t>
      </w:r>
      <w:r w:rsidRPr="00A37885" w:rsidR="00846899">
        <w:t xml:space="preserve"> by the legislature as a </w:t>
      </w:r>
      <w:r w:rsidRPr="00A37885" w:rsidR="00D85CF7">
        <w:t>statutory</w:t>
      </w:r>
      <w:r w:rsidRPr="00A37885" w:rsidR="00846899">
        <w:t xml:space="preserve"> presumption that the prisoner</w:t>
      </w:r>
      <w:r w:rsidRPr="00A37885" w:rsidR="00A37885">
        <w:t>’</w:t>
      </w:r>
      <w:r w:rsidRPr="00A37885" w:rsidR="00846899">
        <w:t>s rehabilitation had failed.</w:t>
      </w:r>
    </w:p>
    <w:p w:rsidRPr="00A37885" w:rsidR="001E7843" w:rsidP="00A37885" w14:paraId="1F5DAE61" w14:textId="68047502">
      <w:pPr>
        <w:pStyle w:val="JuPara"/>
      </w:pPr>
      <w:r w:rsidRPr="00A37885">
        <w:fldChar w:fldCharType="begin"/>
      </w:r>
      <w:r w:rsidRPr="00A37885">
        <w:instrText xml:space="preserve"> SEQ level0 \*arabic </w:instrText>
      </w:r>
      <w:r w:rsidRPr="00A37885">
        <w:fldChar w:fldCharType="separate"/>
      </w:r>
      <w:r w:rsidRPr="00A37885" w:rsidR="00A37885">
        <w:rPr>
          <w:noProof/>
        </w:rPr>
        <w:t>42</w:t>
      </w:r>
      <w:r w:rsidRPr="00A37885">
        <w:fldChar w:fldCharType="end"/>
      </w:r>
      <w:r w:rsidRPr="00A37885">
        <w:t>.  </w:t>
      </w:r>
      <w:r w:rsidRPr="00A37885" w:rsidR="00846899">
        <w:t xml:space="preserve">With regard to “irrebuttable </w:t>
      </w:r>
      <w:r w:rsidRPr="00A37885" w:rsidR="00D85CF7">
        <w:t>statutory</w:t>
      </w:r>
      <w:r w:rsidRPr="00A37885" w:rsidR="00846899">
        <w:t xml:space="preserve"> presumptions” liable to affect an individual</w:t>
      </w:r>
      <w:r w:rsidRPr="00A37885" w:rsidR="00A37885">
        <w:t>’</w:t>
      </w:r>
      <w:r w:rsidRPr="00A37885" w:rsidR="00846899">
        <w:t xml:space="preserve">s fundamental rights (judgments nos. </w:t>
      </w:r>
      <w:r w:rsidRPr="00A37885">
        <w:t xml:space="preserve">41/1999, 139/2010 </w:t>
      </w:r>
      <w:r w:rsidRPr="00A37885" w:rsidR="00846899">
        <w:t>and</w:t>
      </w:r>
      <w:r w:rsidRPr="00A37885">
        <w:t xml:space="preserve"> 265/2010), </w:t>
      </w:r>
      <w:r w:rsidRPr="00A37885" w:rsidR="00846899">
        <w:t xml:space="preserve">the </w:t>
      </w:r>
      <w:r w:rsidRPr="00A37885" w:rsidR="008A0A81">
        <w:t>C</w:t>
      </w:r>
      <w:r w:rsidRPr="00A37885" w:rsidR="00846899">
        <w:t xml:space="preserve">onstitutional </w:t>
      </w:r>
      <w:r w:rsidRPr="00A37885" w:rsidR="008A0A81">
        <w:t>C</w:t>
      </w:r>
      <w:r w:rsidRPr="00A37885" w:rsidR="00846899">
        <w:t>ourt considered them to be contrary to the principle of equality if they were arbitrary and unreasonable or if they were not based on common practice in accordance with the maxim</w:t>
      </w:r>
      <w:r w:rsidRPr="00A37885">
        <w:t xml:space="preserve"> </w:t>
      </w:r>
      <w:r w:rsidRPr="00A37885">
        <w:rPr>
          <w:i/>
        </w:rPr>
        <w:t>id quod plerumque accidit</w:t>
      </w:r>
      <w:r w:rsidRPr="00A37885">
        <w:t>  (</w:t>
      </w:r>
      <w:r w:rsidRPr="00A37885" w:rsidR="00846899">
        <w:t>judgment no.</w:t>
      </w:r>
      <w:r w:rsidRPr="00A37885">
        <w:t xml:space="preserve"> 57 </w:t>
      </w:r>
      <w:r w:rsidRPr="00A37885" w:rsidR="00846899">
        <w:t>of</w:t>
      </w:r>
      <w:r w:rsidRPr="00A37885">
        <w:t xml:space="preserve"> 29 </w:t>
      </w:r>
      <w:r w:rsidRPr="00A37885" w:rsidR="00846899">
        <w:t>March</w:t>
      </w:r>
      <w:r w:rsidRPr="00A37885">
        <w:t xml:space="preserve"> 2013). </w:t>
      </w:r>
      <w:r w:rsidRPr="00A37885" w:rsidR="0070026C">
        <w:t>With more specific reference</w:t>
      </w:r>
      <w:r w:rsidRPr="00A37885" w:rsidR="00846899">
        <w:t xml:space="preserve"> to adjustments of sentence, the Constitutional Court stressed the need for the courts to be empowered to assess the evidence in the specific case before them,</w:t>
      </w:r>
      <w:r w:rsidRPr="00A37885" w:rsidR="008A0A81">
        <w:t xml:space="preserve"> so as</w:t>
      </w:r>
      <w:r w:rsidRPr="00A37885" w:rsidR="00747C96">
        <w:t xml:space="preserve"> to ensure that the granting of a particular </w:t>
      </w:r>
      <w:r w:rsidRPr="00A37885" w:rsidR="008A0A81">
        <w:t>adjustment</w:t>
      </w:r>
      <w:r w:rsidRPr="00A37885" w:rsidR="00747C96">
        <w:t xml:space="preserve"> had a reasonable prospect of assisting the prisoner</w:t>
      </w:r>
      <w:r w:rsidRPr="00A37885" w:rsidR="00430DDA">
        <w:t xml:space="preserve"> </w:t>
      </w:r>
      <w:r w:rsidRPr="00A37885" w:rsidR="00747C96">
        <w:t xml:space="preserve">in making progress towards rehabilitation </w:t>
      </w:r>
      <w:r w:rsidRPr="00A37885">
        <w:t>(</w:t>
      </w:r>
      <w:r w:rsidRPr="00A37885" w:rsidR="00747C96">
        <w:t>judgments nos.</w:t>
      </w:r>
      <w:r w:rsidRPr="00A37885">
        <w:rPr>
          <w:vertAlign w:val="superscript"/>
        </w:rPr>
        <w:t> </w:t>
      </w:r>
      <w:r w:rsidRPr="00A37885">
        <w:t xml:space="preserve">436/1999, 255/2006 </w:t>
      </w:r>
      <w:r w:rsidRPr="00A37885" w:rsidR="00747C96">
        <w:t>and</w:t>
      </w:r>
      <w:r w:rsidRPr="00A37885">
        <w:t xml:space="preserve"> 189/2010).</w:t>
      </w:r>
    </w:p>
    <w:bookmarkStart w:name="COUR_COST_AUTOMATISME_2018" w:id="13"/>
    <w:p w:rsidRPr="00A37885" w:rsidR="00430DDA" w:rsidP="00A37885" w14:paraId="0A90818D" w14:textId="1116D22C">
      <w:pPr>
        <w:pStyle w:val="JuPara"/>
        <w:rPr>
          <w:iCs/>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43</w:t>
      </w:r>
      <w:r w:rsidRPr="00A37885">
        <w:fldChar w:fldCharType="end"/>
      </w:r>
      <w:bookmarkEnd w:id="13"/>
      <w:r w:rsidRPr="00A37885">
        <w:rPr>
          <w:lang w:val="en-IE"/>
        </w:rPr>
        <w:t>.  </w:t>
      </w:r>
      <w:r w:rsidRPr="00A37885">
        <w:t xml:space="preserve">In its recent judgment no. </w:t>
      </w:r>
      <w:r w:rsidRPr="00A37885">
        <w:t xml:space="preserve">149 </w:t>
      </w:r>
      <w:r w:rsidRPr="00A37885">
        <w:t>of</w:t>
      </w:r>
      <w:r w:rsidRPr="00A37885">
        <w:t xml:space="preserve"> 11 </w:t>
      </w:r>
      <w:r w:rsidRPr="00A37885">
        <w:t>July</w:t>
      </w:r>
      <w:r w:rsidRPr="00A37885">
        <w:t xml:space="preserve"> 2018 (</w:t>
      </w:r>
      <w:r w:rsidRPr="00A37885">
        <w:t>see also judgments no.</w:t>
      </w:r>
      <w:r w:rsidRPr="00A37885">
        <w:t xml:space="preserve"> 239 </w:t>
      </w:r>
      <w:r w:rsidRPr="00A37885">
        <w:t>of 22 October</w:t>
      </w:r>
      <w:r w:rsidRPr="00A37885">
        <w:t xml:space="preserve"> 2014</w:t>
      </w:r>
      <w:r w:rsidRPr="00A37885" w:rsidR="00312965">
        <w:t xml:space="preserve"> </w:t>
      </w:r>
      <w:r w:rsidRPr="00A37885">
        <w:t>and no.</w:t>
      </w:r>
      <w:r w:rsidRPr="00A37885">
        <w:rPr>
          <w:vertAlign w:val="superscript"/>
        </w:rPr>
        <w:t xml:space="preserve"> </w:t>
      </w:r>
      <w:r w:rsidRPr="00A37885">
        <w:t xml:space="preserve">76 </w:t>
      </w:r>
      <w:r w:rsidRPr="00A37885">
        <w:t>of</w:t>
      </w:r>
      <w:r w:rsidRPr="00A37885">
        <w:t xml:space="preserve"> 12 </w:t>
      </w:r>
      <w:r w:rsidRPr="00A37885">
        <w:t>April</w:t>
      </w:r>
      <w:r w:rsidRPr="00A37885">
        <w:t xml:space="preserve"> 2017),</w:t>
      </w:r>
      <w:r w:rsidRPr="00A37885">
        <w:t xml:space="preserve"> the Constitutional Court ruled on the constitutionality of section 58</w:t>
      </w:r>
      <w:r w:rsidRPr="00A37885">
        <w:t xml:space="preserve"> </w:t>
      </w:r>
      <w:r w:rsidRPr="00A37885">
        <w:rPr>
          <w:i/>
        </w:rPr>
        <w:t xml:space="preserve">quarter </w:t>
      </w:r>
      <w:r w:rsidRPr="00A37885">
        <w:rPr>
          <w:iCs/>
        </w:rPr>
        <w:t xml:space="preserve">of the Prison Administration Act. That provision, which was found to be unconstitutional, stated that no adjustments of sentence could be granted to life prisoners convicted of the offence of abduction and false imprisonment resulting in the death of the victim, until the </w:t>
      </w:r>
      <w:r w:rsidRPr="00A37885" w:rsidR="005242F3">
        <w:rPr>
          <w:iCs/>
        </w:rPr>
        <w:t>prisoner</w:t>
      </w:r>
      <w:r w:rsidRPr="00A37885">
        <w:rPr>
          <w:iCs/>
        </w:rPr>
        <w:t xml:space="preserve"> concerned had served twenty-six years in prison.</w:t>
      </w:r>
    </w:p>
    <w:p w:rsidRPr="00A37885" w:rsidR="00D819DE" w:rsidP="00A37885" w14:paraId="0C87919A" w14:textId="23B05460">
      <w:pPr>
        <w:pStyle w:val="JuPara"/>
      </w:pPr>
      <w:r w:rsidRPr="00A37885">
        <w:t>In that judgment the Constitutional Court emphasised the fact that laying down a minimum period of this kind ran counter to the principles of</w:t>
      </w:r>
      <w:r w:rsidRPr="00A37885">
        <w:t xml:space="preserve"> the progressive treatment of offenders and the flexibility of sentences, which formed the basis for the process of gradual </w:t>
      </w:r>
      <w:r w:rsidRPr="00A37885" w:rsidR="002C4EE2">
        <w:t>rehabilitation</w:t>
      </w:r>
      <w:r w:rsidRPr="00A37885">
        <w:t xml:space="preserve">. The court added that this minimum period </w:t>
      </w:r>
      <w:r w:rsidRPr="00A37885" w:rsidR="002C4EE2">
        <w:t>erased</w:t>
      </w:r>
      <w:r w:rsidRPr="00A37885">
        <w:t xml:space="preserve"> the effects of “early release” (a reduction in sentence of forty-five days for each six months served), which had a negative impact on the prisoner</w:t>
      </w:r>
      <w:r w:rsidRPr="00A37885" w:rsidR="00A37885">
        <w:t>’</w:t>
      </w:r>
      <w:r w:rsidRPr="00A37885">
        <w:t>s motivation to complete the rehabilitative process. Lastly, referring to its previous rulings</w:t>
      </w:r>
      <w:r w:rsidRPr="00A37885" w:rsidR="001E7843">
        <w:t xml:space="preserve"> (</w:t>
      </w:r>
      <w:r w:rsidRPr="00A37885">
        <w:t>judgments nos.</w:t>
      </w:r>
      <w:r w:rsidRPr="00A37885" w:rsidR="001E7843">
        <w:rPr>
          <w:vertAlign w:val="superscript"/>
        </w:rPr>
        <w:t> </w:t>
      </w:r>
      <w:r w:rsidRPr="00A37885" w:rsidR="001E7843">
        <w:t xml:space="preserve">313/1990, 68/1995, 257/2006 </w:t>
      </w:r>
      <w:r w:rsidRPr="00A37885">
        <w:t>and</w:t>
      </w:r>
      <w:r w:rsidRPr="00A37885" w:rsidR="001E7843">
        <w:t xml:space="preserve"> 78/2007), </w:t>
      </w:r>
      <w:r w:rsidRPr="00A37885">
        <w:t>it criticised the automatic application</w:t>
      </w:r>
      <w:r w:rsidRPr="00A37885" w:rsidR="00967B4B">
        <w:t xml:space="preserve"> to all prisoners</w:t>
      </w:r>
      <w:r w:rsidRPr="00A37885">
        <w:t xml:space="preserve"> of this minimum period of </w:t>
      </w:r>
      <w:r w:rsidRPr="00A37885" w:rsidR="002C4EE2">
        <w:t>twenty-six</w:t>
      </w:r>
      <w:r w:rsidRPr="00A37885">
        <w:t xml:space="preserve"> years. It observed that this automatic </w:t>
      </w:r>
      <w:r w:rsidRPr="00A37885" w:rsidR="00967B4B">
        <w:t>statutory</w:t>
      </w:r>
      <w:r w:rsidRPr="00A37885">
        <w:t xml:space="preserve"> mechanism prevented the post-sentencing judge from making any assessment of the progress made by the prisoner throughout his or her time in prison, thereby giving precedence to the </w:t>
      </w:r>
      <w:r w:rsidRPr="00A37885" w:rsidR="00C035CA">
        <w:t>retributive</w:t>
      </w:r>
      <w:r w:rsidRPr="00A37885">
        <w:t xml:space="preserve"> aspect of the </w:t>
      </w:r>
      <w:r w:rsidRPr="00A37885" w:rsidR="00C035CA">
        <w:t>punishment</w:t>
      </w:r>
      <w:r w:rsidRPr="00A37885">
        <w:t xml:space="preserve"> to the detriment of its rehabilitative purpose. The court considered that “provisions imposing a blanket prohibition, for such an extended period, on sentence adjustments for certain categories of convicted prisoners – who </w:t>
      </w:r>
      <w:r w:rsidRPr="00A37885" w:rsidR="00967B4B">
        <w:t>[</w:t>
      </w:r>
      <w:r w:rsidRPr="00A37885">
        <w:t>had</w:t>
      </w:r>
      <w:r w:rsidRPr="00A37885" w:rsidR="00967B4B">
        <w:t>]</w:t>
      </w:r>
      <w:r w:rsidRPr="00A37885">
        <w:t xml:space="preserve"> engaged in a meaningful way with the rehabilitation process and </w:t>
      </w:r>
      <w:r w:rsidRPr="00A37885" w:rsidR="00967B4B">
        <w:t>[</w:t>
      </w:r>
      <w:r w:rsidRPr="00A37885">
        <w:t>did</w:t>
      </w:r>
      <w:r w:rsidRPr="00A37885" w:rsidR="00967B4B">
        <w:t>]</w:t>
      </w:r>
      <w:r w:rsidRPr="00A37885">
        <w:t xml:space="preserve"> not </w:t>
      </w:r>
      <w:r w:rsidRPr="00A37885" w:rsidR="00967B4B">
        <w:t>display</w:t>
      </w:r>
      <w:r w:rsidRPr="00A37885">
        <w:t xml:space="preserve"> any of the signs of danger to society identified by the legislature itself in section 4 </w:t>
      </w:r>
      <w:r w:rsidRPr="00A37885">
        <w:rPr>
          <w:i/>
          <w:iCs/>
        </w:rPr>
        <w:t>bis</w:t>
      </w:r>
      <w:r w:rsidRPr="00A37885">
        <w:t xml:space="preserve"> – solely because of the seriousness of the criminal offence or the need to send a general preventi</w:t>
      </w:r>
      <w:r w:rsidRPr="00A37885" w:rsidR="002C4EE2">
        <w:t>ve</w:t>
      </w:r>
      <w:r w:rsidRPr="00A37885">
        <w:t xml:space="preserve"> message to the population at large”</w:t>
      </w:r>
      <w:r w:rsidRPr="00A37885" w:rsidR="000A7333">
        <w:t xml:space="preserve"> were contrary to the constitutional principles of proportionality and individualised penalties (see also judgment no. 239 of 29 October 2014).</w:t>
      </w:r>
    </w:p>
    <w:bookmarkStart w:name="COUR_COST_GRACE_PRESIDENTIELLE" w:id="14"/>
    <w:p w:rsidRPr="00A37885" w:rsidR="000A7333" w:rsidP="00A37885" w14:paraId="72AD9567" w14:textId="4342B542">
      <w:pPr>
        <w:pStyle w:val="JuPara"/>
      </w:pPr>
      <w:r w:rsidRPr="00A37885">
        <w:fldChar w:fldCharType="begin"/>
      </w:r>
      <w:r w:rsidRPr="00A37885">
        <w:instrText xml:space="preserve"> SEQ level0 \*arabic </w:instrText>
      </w:r>
      <w:r w:rsidRPr="00A37885">
        <w:fldChar w:fldCharType="separate"/>
      </w:r>
      <w:r w:rsidRPr="00A37885" w:rsidR="00A37885">
        <w:rPr>
          <w:noProof/>
        </w:rPr>
        <w:t>44</w:t>
      </w:r>
      <w:r w:rsidRPr="00A37885">
        <w:fldChar w:fldCharType="end"/>
      </w:r>
      <w:bookmarkEnd w:id="14"/>
      <w:r w:rsidRPr="00A37885">
        <w:t>.  </w:t>
      </w:r>
      <w:r w:rsidRPr="00A37885">
        <w:t xml:space="preserve">With regard to </w:t>
      </w:r>
      <w:r w:rsidRPr="00A37885" w:rsidR="00967B4B">
        <w:t>the presidential power of clemency</w:t>
      </w:r>
      <w:r w:rsidRPr="00A37885">
        <w:t xml:space="preserve"> provided for in Article 87 § 11 of the Constitution, the Constitutional Court, in judgment no. 200 of 18 May 2006, </w:t>
      </w:r>
      <w:r w:rsidRPr="00A37885" w:rsidR="002C4EE2">
        <w:t>defined</w:t>
      </w:r>
      <w:r w:rsidRPr="00A37885">
        <w:t xml:space="preserve"> the nature of the decision to grant </w:t>
      </w:r>
      <w:r w:rsidRPr="00A37885" w:rsidR="00967B4B">
        <w:t>clemency</w:t>
      </w:r>
      <w:r w:rsidRPr="00A37885">
        <w:t xml:space="preserve"> and the scope of the powers of the head of State in </w:t>
      </w:r>
      <w:r w:rsidRPr="00A37885" w:rsidR="00EB55E6">
        <w:t>that</w:t>
      </w:r>
      <w:r w:rsidRPr="00A37885">
        <w:t xml:space="preserve"> regard. It held that the presidential power </w:t>
      </w:r>
      <w:r w:rsidRPr="00A37885" w:rsidR="00967B4B">
        <w:t>of clemency</w:t>
      </w:r>
      <w:r w:rsidRPr="00A37885">
        <w:t xml:space="preserve"> served a purely humanitarian purpose and was designed to </w:t>
      </w:r>
      <w:r w:rsidRPr="00A37885" w:rsidR="002C4EE2">
        <w:t>mitigate</w:t>
      </w:r>
      <w:r w:rsidRPr="00A37885">
        <w:t xml:space="preserve"> the rigid nature of the criminal law. It found in particular that since the enactment of </w:t>
      </w:r>
      <w:r w:rsidRPr="00A37885" w:rsidR="00EB55E6">
        <w:t>L</w:t>
      </w:r>
      <w:r w:rsidRPr="00A37885">
        <w:t xml:space="preserve">aw </w:t>
      </w:r>
      <w:r w:rsidRPr="00A37885" w:rsidR="00EB55E6">
        <w:t>no.</w:t>
      </w:r>
      <w:r w:rsidRPr="00A37885">
        <w:t xml:space="preserve"> 663 of 10 October 1986, presidential </w:t>
      </w:r>
      <w:r w:rsidRPr="00A37885" w:rsidR="00967B4B">
        <w:t>clemency</w:t>
      </w:r>
      <w:r w:rsidRPr="00A37885">
        <w:t xml:space="preserve">, which </w:t>
      </w:r>
      <w:r w:rsidRPr="00A37885" w:rsidR="00967B4B">
        <w:t>was</w:t>
      </w:r>
      <w:r w:rsidRPr="00A37885">
        <w:t xml:space="preserve"> “designed solely to address extraordinary humanitarian situations” had </w:t>
      </w:r>
      <w:r w:rsidRPr="00A37885" w:rsidR="002C4EE2">
        <w:t>resumed “its</w:t>
      </w:r>
      <w:r w:rsidRPr="00A37885">
        <w:t xml:space="preserve"> role of</w:t>
      </w:r>
      <w:r w:rsidRPr="00A37885" w:rsidR="00EB55E6">
        <w:t xml:space="preserve"> moderating or eliminating the criminal penalty”.</w:t>
      </w:r>
    </w:p>
    <w:p w:rsidRPr="00A37885" w:rsidR="009C2DA2" w:rsidP="00A37885" w14:paraId="40A459E5" w14:textId="44D5CC5B">
      <w:pPr>
        <w:pStyle w:val="JuHA"/>
      </w:pPr>
      <w:r w:rsidRPr="00A37885">
        <w:t>Case-law of the Court of Cassation</w:t>
      </w:r>
    </w:p>
    <w:p w:rsidRPr="00A37885" w:rsidR="001E7843" w:rsidP="00A37885" w14:paraId="5BAE3E72" w14:textId="2A189518">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45</w:t>
      </w:r>
      <w:r w:rsidRPr="00A37885">
        <w:fldChar w:fldCharType="end"/>
      </w:r>
      <w:r w:rsidRPr="00A37885">
        <w:rPr>
          <w:lang w:val="en-IE"/>
        </w:rPr>
        <w:t>.  </w:t>
      </w:r>
      <w:r w:rsidRPr="00A37885" w:rsidR="00DC7BF0">
        <w:rPr>
          <w:lang w:val="en-IE"/>
        </w:rPr>
        <w:t>In judgment no. 45978 of 26 November 2012 the Court of Cassation ruled on an order made by the Sentence Supervision Court refusing a request for prison leave on account of the prisoner</w:t>
      </w:r>
      <w:r w:rsidRPr="00A37885" w:rsidR="00A37885">
        <w:rPr>
          <w:lang w:val="en-IE"/>
        </w:rPr>
        <w:t>’</w:t>
      </w:r>
      <w:r w:rsidRPr="00A37885" w:rsidR="00DC7BF0">
        <w:rPr>
          <w:lang w:val="en-IE"/>
        </w:rPr>
        <w:t>s lack of “cooperation with the judicial authorities”. The Court of Cassation held that, in making provision for exemptions, for instance where such cooperation was “impossible” or “unenforceable”, the legislation allowed the judge to conduct an individual personalised assessment of the prisoner</w:t>
      </w:r>
      <w:r w:rsidRPr="00A37885" w:rsidR="00A37885">
        <w:rPr>
          <w:lang w:val="en-IE"/>
        </w:rPr>
        <w:t>’</w:t>
      </w:r>
      <w:r w:rsidRPr="00A37885" w:rsidR="00DC7BF0">
        <w:rPr>
          <w:lang w:val="en-IE"/>
        </w:rPr>
        <w:t xml:space="preserve">s </w:t>
      </w:r>
      <w:r w:rsidRPr="00A37885" w:rsidR="002C4EE2">
        <w:rPr>
          <w:lang w:val="en-IE"/>
        </w:rPr>
        <w:t>conduct</w:t>
      </w:r>
      <w:r w:rsidRPr="00A37885" w:rsidR="00DC7BF0">
        <w:rPr>
          <w:lang w:val="en-IE"/>
        </w:rPr>
        <w:t>, thereby ruling out rigid automatic mechanisms (see also judgments nos.</w:t>
      </w:r>
      <w:r w:rsidRPr="00A37885" w:rsidR="00E64A62">
        <w:rPr>
          <w:lang w:val="en-IE"/>
        </w:rPr>
        <w:t> </w:t>
      </w:r>
      <w:r w:rsidRPr="00A37885">
        <w:rPr>
          <w:lang w:val="en-IE"/>
        </w:rPr>
        <w:t xml:space="preserve">18206 </w:t>
      </w:r>
      <w:r w:rsidRPr="00A37885" w:rsidR="00DC7BF0">
        <w:rPr>
          <w:lang w:val="en-IE"/>
        </w:rPr>
        <w:t>of</w:t>
      </w:r>
      <w:r w:rsidRPr="00A37885">
        <w:rPr>
          <w:lang w:val="en-IE"/>
        </w:rPr>
        <w:t xml:space="preserve"> 30 </w:t>
      </w:r>
      <w:r w:rsidRPr="00A37885" w:rsidR="00DC7BF0">
        <w:rPr>
          <w:lang w:val="en-IE"/>
        </w:rPr>
        <w:t>April</w:t>
      </w:r>
      <w:r w:rsidRPr="00A37885">
        <w:rPr>
          <w:lang w:val="en-IE"/>
        </w:rPr>
        <w:t xml:space="preserve"> 2014, 34199 </w:t>
      </w:r>
      <w:r w:rsidRPr="00A37885" w:rsidR="00DC7BF0">
        <w:rPr>
          <w:lang w:val="en-IE"/>
        </w:rPr>
        <w:t>of</w:t>
      </w:r>
      <w:r w:rsidRPr="00A37885">
        <w:rPr>
          <w:lang w:val="en-IE"/>
        </w:rPr>
        <w:t xml:space="preserve"> 14 </w:t>
      </w:r>
      <w:r w:rsidRPr="00A37885" w:rsidR="00DC7BF0">
        <w:rPr>
          <w:lang w:val="en-IE"/>
        </w:rPr>
        <w:t>April</w:t>
      </w:r>
      <w:r w:rsidRPr="00A37885">
        <w:rPr>
          <w:lang w:val="en-IE"/>
        </w:rPr>
        <w:t xml:space="preserve"> 2016 </w:t>
      </w:r>
      <w:r w:rsidRPr="00A37885" w:rsidR="00DC7BF0">
        <w:rPr>
          <w:lang w:val="en-IE"/>
        </w:rPr>
        <w:t>and</w:t>
      </w:r>
      <w:r w:rsidRPr="00A37885">
        <w:rPr>
          <w:lang w:val="en-IE"/>
        </w:rPr>
        <w:t xml:space="preserve"> 9276 </w:t>
      </w:r>
      <w:r w:rsidRPr="00A37885" w:rsidR="00DC7BF0">
        <w:rPr>
          <w:lang w:val="en-IE"/>
        </w:rPr>
        <w:t>of</w:t>
      </w:r>
      <w:r w:rsidRPr="00A37885">
        <w:rPr>
          <w:lang w:val="en-IE"/>
        </w:rPr>
        <w:t xml:space="preserve"> 7</w:t>
      </w:r>
      <w:r w:rsidRPr="00A37885" w:rsidR="00E64A62">
        <w:rPr>
          <w:lang w:val="en-IE"/>
        </w:rPr>
        <w:t> </w:t>
      </w:r>
      <w:r w:rsidRPr="00A37885" w:rsidR="00DC7BF0">
        <w:rPr>
          <w:lang w:val="en-IE"/>
        </w:rPr>
        <w:t>November</w:t>
      </w:r>
      <w:r w:rsidRPr="00A37885">
        <w:rPr>
          <w:lang w:val="en-IE"/>
        </w:rPr>
        <w:t xml:space="preserve"> 2017).</w:t>
      </w:r>
    </w:p>
    <w:bookmarkStart w:name="CASSATION_COLLAB_IMP_INUTILE" w:id="15"/>
    <w:p w:rsidRPr="00A37885" w:rsidR="00C973F7" w:rsidP="00A37885" w14:paraId="57D6E51F" w14:textId="76DC9C32">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46</w:t>
      </w:r>
      <w:r w:rsidRPr="00A37885">
        <w:fldChar w:fldCharType="end"/>
      </w:r>
      <w:bookmarkEnd w:id="15"/>
      <w:r w:rsidRPr="00A37885">
        <w:rPr>
          <w:lang w:val="en-IE"/>
        </w:rPr>
        <w:t>.  </w:t>
      </w:r>
      <w:r w:rsidRPr="00A37885">
        <w:rPr>
          <w:lang w:val="en-IE"/>
        </w:rPr>
        <w:t>In judgment no. 47044 of 24 October 2017 the Court of Cassation reiterated its interpretation of the concepts of “impossible” and “unenforceable” cooperation (see also Constitutional Court judgments nos.</w:t>
      </w:r>
      <w:r w:rsidRPr="00A37885" w:rsidR="00E64A62">
        <w:rPr>
          <w:lang w:val="en-IE"/>
        </w:rPr>
        <w:t> </w:t>
      </w:r>
      <w:r w:rsidRPr="00A37885">
        <w:rPr>
          <w:lang w:val="en-IE"/>
        </w:rPr>
        <w:t xml:space="preserve">357/1994 and 68/1995). Thus, cooperation </w:t>
      </w:r>
      <w:r w:rsidRPr="00A37885" w:rsidR="001B0EFA">
        <w:rPr>
          <w:lang w:val="en-IE"/>
        </w:rPr>
        <w:t>was</w:t>
      </w:r>
      <w:r w:rsidRPr="00A37885">
        <w:rPr>
          <w:lang w:val="en-IE"/>
        </w:rPr>
        <w:t xml:space="preserve"> deemed “impossible” where the</w:t>
      </w:r>
      <w:r w:rsidRPr="00A37885" w:rsidR="002D4B59">
        <w:rPr>
          <w:lang w:val="en-IE"/>
        </w:rPr>
        <w:t xml:space="preserve"> information which the convicted prisoner might possess regarding the</w:t>
      </w:r>
      <w:r w:rsidRPr="00A37885">
        <w:rPr>
          <w:lang w:val="en-IE"/>
        </w:rPr>
        <w:t xml:space="preserve"> </w:t>
      </w:r>
      <w:r w:rsidRPr="00A37885" w:rsidR="002D4B59">
        <w:rPr>
          <w:lang w:val="en-IE"/>
        </w:rPr>
        <w:t>facts and the persons responsible ha</w:t>
      </w:r>
      <w:r w:rsidRPr="00A37885" w:rsidR="001B0EFA">
        <w:rPr>
          <w:lang w:val="en-IE"/>
        </w:rPr>
        <w:t>d</w:t>
      </w:r>
      <w:r w:rsidRPr="00A37885" w:rsidR="002D4B59">
        <w:rPr>
          <w:lang w:val="en-IE"/>
        </w:rPr>
        <w:t xml:space="preserve"> already been disclosed and elucidated; it </w:t>
      </w:r>
      <w:r w:rsidRPr="00A37885" w:rsidR="001B0EFA">
        <w:rPr>
          <w:lang w:val="en-IE"/>
        </w:rPr>
        <w:t>was</w:t>
      </w:r>
      <w:r w:rsidRPr="00A37885" w:rsidR="002D4B59">
        <w:rPr>
          <w:lang w:val="en-IE"/>
        </w:rPr>
        <w:t xml:space="preserve"> deemed “unenforceable” where the convicted prisoner, in view of his or her marginal role in the criminal organisation, did not have access to information </w:t>
      </w:r>
      <w:r w:rsidRPr="00A37885" w:rsidR="00AD46E1">
        <w:rPr>
          <w:lang w:val="en-IE"/>
        </w:rPr>
        <w:t>on</w:t>
      </w:r>
      <w:r w:rsidRPr="00A37885" w:rsidR="002D4B59">
        <w:rPr>
          <w:lang w:val="en-IE"/>
        </w:rPr>
        <w:t xml:space="preserve"> the facts and </w:t>
      </w:r>
      <w:r w:rsidRPr="00A37885" w:rsidR="00AD46E1">
        <w:rPr>
          <w:lang w:val="en-IE"/>
        </w:rPr>
        <w:t xml:space="preserve">the </w:t>
      </w:r>
      <w:r w:rsidRPr="00A37885" w:rsidR="002D4B59">
        <w:rPr>
          <w:lang w:val="en-IE"/>
        </w:rPr>
        <w:t xml:space="preserve">persons responsible </w:t>
      </w:r>
      <w:r w:rsidRPr="00A37885" w:rsidR="001B0EFA">
        <w:rPr>
          <w:lang w:val="en-IE"/>
        </w:rPr>
        <w:t xml:space="preserve">in </w:t>
      </w:r>
      <w:r w:rsidRPr="00A37885" w:rsidR="002D4B59">
        <w:rPr>
          <w:lang w:val="en-IE"/>
        </w:rPr>
        <w:t>the higher echelons of the organisation (see also, among many others, judgments nos.</w:t>
      </w:r>
      <w:r w:rsidRPr="00A37885" w:rsidR="00265C0F">
        <w:rPr>
          <w:lang w:val="en-IE"/>
        </w:rPr>
        <w:t> </w:t>
      </w:r>
      <w:r w:rsidRPr="00A37885" w:rsidR="002D4B59">
        <w:rPr>
          <w:lang w:val="en-IE"/>
        </w:rPr>
        <w:t>3034 of 18 May 1995 and 29217 of 6 June 2013).</w:t>
      </w:r>
    </w:p>
    <w:bookmarkStart w:name="CASSATION_LIEN_MAFIEUX" w:id="16"/>
    <w:p w:rsidRPr="00A37885" w:rsidR="00312965" w:rsidP="00A37885" w14:paraId="0352DAFE" w14:textId="3B593488">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47</w:t>
      </w:r>
      <w:r w:rsidRPr="00A37885">
        <w:fldChar w:fldCharType="end"/>
      </w:r>
      <w:bookmarkEnd w:id="16"/>
      <w:r w:rsidRPr="00A37885">
        <w:rPr>
          <w:lang w:val="en-IE"/>
        </w:rPr>
        <w:t>.  </w:t>
      </w:r>
      <w:r w:rsidRPr="00A37885" w:rsidR="002D4B59">
        <w:rPr>
          <w:lang w:val="en-IE"/>
        </w:rPr>
        <w:t>In judgment no.</w:t>
      </w:r>
      <w:r w:rsidRPr="00A37885">
        <w:rPr>
          <w:lang w:val="en-IE"/>
        </w:rPr>
        <w:t xml:space="preserve"> 46103 </w:t>
      </w:r>
      <w:r w:rsidRPr="00A37885" w:rsidR="006B3EBD">
        <w:rPr>
          <w:lang w:val="en-IE"/>
        </w:rPr>
        <w:t>of</w:t>
      </w:r>
      <w:r w:rsidRPr="00A37885">
        <w:rPr>
          <w:lang w:val="en-IE"/>
        </w:rPr>
        <w:t xml:space="preserve"> 7 </w:t>
      </w:r>
      <w:r w:rsidRPr="00A37885" w:rsidR="006B3EBD">
        <w:rPr>
          <w:lang w:val="en-IE"/>
        </w:rPr>
        <w:t>November</w:t>
      </w:r>
      <w:r w:rsidRPr="00A37885">
        <w:rPr>
          <w:lang w:val="en-IE"/>
        </w:rPr>
        <w:t xml:space="preserve"> 2014, </w:t>
      </w:r>
      <w:r w:rsidRPr="00A37885" w:rsidR="006B3EBD">
        <w:rPr>
          <w:lang w:val="en-IE"/>
        </w:rPr>
        <w:t xml:space="preserve">the Court of Cassation held that “where </w:t>
      </w:r>
      <w:r w:rsidRPr="00A37885" w:rsidR="001B0EFA">
        <w:rPr>
          <w:lang w:val="en-IE"/>
        </w:rPr>
        <w:t xml:space="preserve">membership of a </w:t>
      </w:r>
      <w:r w:rsidRPr="00A37885" w:rsidR="006B3EBD">
        <w:rPr>
          <w:lang w:val="en-IE"/>
        </w:rPr>
        <w:t xml:space="preserve">criminal </w:t>
      </w:r>
      <w:r w:rsidRPr="00A37885" w:rsidR="001B0EFA">
        <w:rPr>
          <w:lang w:val="en-IE"/>
        </w:rPr>
        <w:t>organisation</w:t>
      </w:r>
      <w:r w:rsidRPr="00A37885" w:rsidR="006B3EBD">
        <w:rPr>
          <w:lang w:val="en-IE"/>
        </w:rPr>
        <w:t xml:space="preserve"> is concerned, the fact that an individual is in prison does not necessarily mean that his or her involvement with the criminal organisation in question</w:t>
      </w:r>
      <w:r w:rsidRPr="00A37885" w:rsidR="0070026C">
        <w:rPr>
          <w:lang w:val="en-IE"/>
        </w:rPr>
        <w:t xml:space="preserve"> </w:t>
      </w:r>
      <w:r w:rsidRPr="00A37885" w:rsidR="006B3EBD">
        <w:rPr>
          <w:lang w:val="en-IE"/>
        </w:rPr>
        <w:t>ceases automatically, given that periods of detention are accepted by the remaining members of the organisation as a foreseeable eventuality and that, through possible contacts in prison, involvement in the activities of the criminal group does not end completely”. The court added that detention did not “put an end to [the prisoner</w:t>
      </w:r>
      <w:r w:rsidRPr="00A37885" w:rsidR="00A37885">
        <w:rPr>
          <w:lang w:val="en-IE"/>
        </w:rPr>
        <w:t>’</w:t>
      </w:r>
      <w:r w:rsidRPr="00A37885" w:rsidR="006B3EBD">
        <w:rPr>
          <w:lang w:val="en-IE"/>
        </w:rPr>
        <w:t xml:space="preserve">s] availability to resume an active role” in the organisation on his or her release. </w:t>
      </w:r>
      <w:r w:rsidRPr="00A37885" w:rsidR="007D2266">
        <w:rPr>
          <w:lang w:val="en-IE"/>
        </w:rPr>
        <w:t>In analysing</w:t>
      </w:r>
      <w:r w:rsidRPr="00A37885" w:rsidR="006B3EBD">
        <w:rPr>
          <w:lang w:val="en-IE"/>
        </w:rPr>
        <w:t xml:space="preserve"> the </w:t>
      </w:r>
      <w:r w:rsidRPr="00A37885" w:rsidR="007D2266">
        <w:rPr>
          <w:lang w:val="en-IE"/>
        </w:rPr>
        <w:t xml:space="preserve">characteristics of the offence of </w:t>
      </w:r>
      <w:r w:rsidRPr="00A37885" w:rsidR="001B0EFA">
        <w:rPr>
          <w:lang w:val="en-IE"/>
        </w:rPr>
        <w:t xml:space="preserve">membership of a </w:t>
      </w:r>
      <w:r w:rsidRPr="00A37885" w:rsidR="007D2266">
        <w:rPr>
          <w:lang w:val="en-IE"/>
        </w:rPr>
        <w:t xml:space="preserve">mafia-type criminal </w:t>
      </w:r>
      <w:r w:rsidRPr="00A37885" w:rsidR="001B0EFA">
        <w:rPr>
          <w:lang w:val="en-IE"/>
        </w:rPr>
        <w:t>organisation</w:t>
      </w:r>
      <w:r w:rsidRPr="00A37885" w:rsidR="007D2266">
        <w:rPr>
          <w:lang w:val="en-IE"/>
        </w:rPr>
        <w:t>, and in particular its structural element and the legal interest protected, the Court of Cassation pointed out that this was a “</w:t>
      </w:r>
      <w:r w:rsidRPr="00A37885" w:rsidR="003F4FB5">
        <w:rPr>
          <w:lang w:val="en-IE"/>
        </w:rPr>
        <w:t>permanent</w:t>
      </w:r>
      <w:r w:rsidRPr="00A37885" w:rsidR="007D2266">
        <w:rPr>
          <w:lang w:val="en-IE"/>
        </w:rPr>
        <w:t>” offence (</w:t>
      </w:r>
      <w:r w:rsidRPr="00A37885" w:rsidR="007D2266">
        <w:rPr>
          <w:i/>
          <w:iCs/>
          <w:lang w:val="en-IE"/>
        </w:rPr>
        <w:t>reato permanente</w:t>
      </w:r>
      <w:r w:rsidRPr="00A37885" w:rsidR="007D2266">
        <w:rPr>
          <w:lang w:val="en-IE"/>
        </w:rPr>
        <w:t>)</w:t>
      </w:r>
      <w:r w:rsidRPr="00A37885" w:rsidR="00D0417D">
        <w:rPr>
          <w:lang w:val="en-IE"/>
        </w:rPr>
        <w:t xml:space="preserve"> and that it presupposed the existence of a wide-ranging criminal design, projected into the future and without any limit in time. The offence of</w:t>
      </w:r>
      <w:r w:rsidRPr="00A37885" w:rsidR="007A7EDC">
        <w:rPr>
          <w:lang w:val="en-IE"/>
        </w:rPr>
        <w:t xml:space="preserve"> membership of a</w:t>
      </w:r>
      <w:r w:rsidRPr="00A37885" w:rsidR="00D0417D">
        <w:rPr>
          <w:lang w:val="en-IE"/>
        </w:rPr>
        <w:t xml:space="preserve"> criminal </w:t>
      </w:r>
      <w:r w:rsidRPr="00A37885" w:rsidR="007A7EDC">
        <w:rPr>
          <w:lang w:val="en-IE"/>
        </w:rPr>
        <w:t>organisation</w:t>
      </w:r>
      <w:r w:rsidRPr="00A37885" w:rsidR="00D0417D">
        <w:rPr>
          <w:lang w:val="en-IE"/>
        </w:rPr>
        <w:t xml:space="preserve"> was thus to be distinguished from an offence in the context of which several individuals were involved in committing a particular “continu</w:t>
      </w:r>
      <w:r w:rsidRPr="00A37885" w:rsidR="003F4FB5">
        <w:rPr>
          <w:lang w:val="en-IE"/>
        </w:rPr>
        <w:t>ing</w:t>
      </w:r>
      <w:r w:rsidRPr="00A37885" w:rsidR="00D0417D">
        <w:rPr>
          <w:lang w:val="en-IE"/>
        </w:rPr>
        <w:t xml:space="preserve"> offence” (</w:t>
      </w:r>
      <w:r w:rsidRPr="00A37885" w:rsidR="00D0417D">
        <w:rPr>
          <w:i/>
          <w:iCs/>
          <w:lang w:val="en-IE"/>
        </w:rPr>
        <w:t>reato continuato</w:t>
      </w:r>
      <w:r w:rsidRPr="00A37885" w:rsidR="00D0417D">
        <w:rPr>
          <w:lang w:val="en-IE"/>
        </w:rPr>
        <w:t xml:space="preserve">). As to the specific legal interest, the Court of Cassation held that it coincided with </w:t>
      </w:r>
      <w:r w:rsidRPr="00A37885" w:rsidR="000145F8">
        <w:rPr>
          <w:lang w:val="en-IE"/>
        </w:rPr>
        <w:t xml:space="preserve">the need to protect public order from the potential threat posed by the very existence of the criminal agreement and by the </w:t>
      </w:r>
      <w:r w:rsidRPr="00A37885" w:rsidR="000145F8">
        <w:rPr>
          <w:lang w:val="en-IE"/>
        </w:rPr>
        <w:t>intention of those involved to commit criminal acts. On the basis of these premises the Court of Cassation concluded that the “</w:t>
      </w:r>
      <w:r w:rsidRPr="00A37885" w:rsidR="003F4FB5">
        <w:rPr>
          <w:lang w:val="en-IE"/>
        </w:rPr>
        <w:t>permanent</w:t>
      </w:r>
      <w:r w:rsidRPr="00A37885" w:rsidR="000145F8">
        <w:rPr>
          <w:lang w:val="en-IE"/>
        </w:rPr>
        <w:t xml:space="preserve">” nature of the offence dealt with in Article 416 </w:t>
      </w:r>
      <w:r w:rsidRPr="00A37885" w:rsidR="000145F8">
        <w:rPr>
          <w:i/>
          <w:iCs/>
          <w:lang w:val="en-IE"/>
        </w:rPr>
        <w:t xml:space="preserve">bis </w:t>
      </w:r>
      <w:r w:rsidRPr="00A37885" w:rsidR="000145F8">
        <w:rPr>
          <w:lang w:val="en-IE"/>
        </w:rPr>
        <w:t xml:space="preserve">was </w:t>
      </w:r>
      <w:r w:rsidRPr="00A37885" w:rsidR="00AD46E1">
        <w:rPr>
          <w:lang w:val="en-IE"/>
        </w:rPr>
        <w:t>consistent</w:t>
      </w:r>
      <w:r w:rsidRPr="00A37885" w:rsidR="000145F8">
        <w:rPr>
          <w:lang w:val="en-IE"/>
        </w:rPr>
        <w:t xml:space="preserve"> with inactivity on the part of the member concerned or with the organisation being dormant, such that the organisational link ceased</w:t>
      </w:r>
      <w:r w:rsidRPr="00A37885" w:rsidR="007A7EDC">
        <w:rPr>
          <w:lang w:val="en-IE"/>
        </w:rPr>
        <w:t xml:space="preserve"> to exist</w:t>
      </w:r>
      <w:r w:rsidRPr="00A37885" w:rsidR="000145F8">
        <w:rPr>
          <w:lang w:val="en-IE"/>
        </w:rPr>
        <w:t xml:space="preserve"> only in the objective circumstance of termination of the agreement or the subjective circumstances of death, severance of the individual ties or exclusion by the other members of the organisation.</w:t>
      </w:r>
    </w:p>
    <w:bookmarkStart w:name="CASSATION_ORDONNANCE_RENVOI" w:id="17"/>
    <w:p w:rsidRPr="00A37885" w:rsidR="000145F8" w:rsidP="00A37885" w14:paraId="4CD6D490" w14:textId="59F4671D">
      <w:pPr>
        <w:pStyle w:val="JuPara"/>
      </w:pPr>
      <w:r w:rsidRPr="00A37885">
        <w:fldChar w:fldCharType="begin"/>
      </w:r>
      <w:r w:rsidRPr="00A37885">
        <w:instrText xml:space="preserve"> SEQ level0 \*arabic </w:instrText>
      </w:r>
      <w:r w:rsidRPr="00A37885">
        <w:fldChar w:fldCharType="separate"/>
      </w:r>
      <w:r w:rsidRPr="00A37885" w:rsidR="00A37885">
        <w:rPr>
          <w:noProof/>
        </w:rPr>
        <w:t>48</w:t>
      </w:r>
      <w:r w:rsidRPr="00A37885">
        <w:fldChar w:fldCharType="end"/>
      </w:r>
      <w:bookmarkEnd w:id="17"/>
      <w:r w:rsidRPr="00A37885">
        <w:t>.  </w:t>
      </w:r>
      <w:r w:rsidRPr="00A37885">
        <w:t>In its recent order no. 4474 of 20 December 2018</w:t>
      </w:r>
      <w:r w:rsidRPr="00A37885" w:rsidR="00933265">
        <w:t xml:space="preserve"> the Court of Cassation referred a question of constitutionality to the Constitutional Court concerning the disparity between section 4 </w:t>
      </w:r>
      <w:r w:rsidRPr="00A37885" w:rsidR="00933265">
        <w:rPr>
          <w:i/>
          <w:iCs/>
        </w:rPr>
        <w:t xml:space="preserve">bis </w:t>
      </w:r>
      <w:r w:rsidRPr="00A37885" w:rsidR="00933265">
        <w:t xml:space="preserve">and the </w:t>
      </w:r>
      <w:r w:rsidRPr="00A37885" w:rsidR="00AD46E1">
        <w:t>rehabilitative</w:t>
      </w:r>
      <w:r w:rsidRPr="00A37885" w:rsidR="00933265">
        <w:t xml:space="preserve"> function of </w:t>
      </w:r>
      <w:r w:rsidRPr="00A37885" w:rsidR="0070026C">
        <w:t>sentences</w:t>
      </w:r>
      <w:r w:rsidRPr="00A37885" w:rsidR="00933265">
        <w:t>. In particular, it ruled as follows:</w:t>
      </w:r>
    </w:p>
    <w:p w:rsidRPr="00A37885" w:rsidR="002953D4" w:rsidP="00A37885" w14:paraId="20C8BC25" w14:textId="32D5D496">
      <w:pPr>
        <w:pStyle w:val="JuQuot"/>
        <w:rPr>
          <w:lang w:val="en-IE"/>
        </w:rPr>
      </w:pPr>
      <w:r w:rsidRPr="00A37885">
        <w:rPr>
          <w:lang w:val="en-IE"/>
        </w:rPr>
        <w:t>“S</w:t>
      </w:r>
      <w:r w:rsidRPr="00A37885">
        <w:rPr>
          <w:lang w:val="en-IE"/>
        </w:rPr>
        <w:t xml:space="preserve">ection 4 </w:t>
      </w:r>
      <w:r w:rsidRPr="00A37885">
        <w:rPr>
          <w:i/>
          <w:iCs/>
          <w:lang w:val="en-IE"/>
        </w:rPr>
        <w:t>bis</w:t>
      </w:r>
      <w:r w:rsidRPr="00A37885">
        <w:rPr>
          <w:lang w:val="en-IE"/>
        </w:rPr>
        <w:t xml:space="preserve">, subsection 1, of the Prison Administration Act is problematic in this context, as regards the granting of prison leave, </w:t>
      </w:r>
      <w:r w:rsidRPr="00A37885" w:rsidR="00AD46E1">
        <w:rPr>
          <w:lang w:val="en-IE"/>
        </w:rPr>
        <w:t>because</w:t>
      </w:r>
      <w:r w:rsidRPr="00A37885">
        <w:rPr>
          <w:lang w:val="en-IE"/>
        </w:rPr>
        <w:t xml:space="preserve"> it imposes a blanket ban on </w:t>
      </w:r>
      <w:r w:rsidRPr="00A37885" w:rsidR="00AD46E1">
        <w:rPr>
          <w:lang w:val="en-IE"/>
        </w:rPr>
        <w:t>eligibility</w:t>
      </w:r>
      <w:r w:rsidRPr="00A37885">
        <w:rPr>
          <w:lang w:val="en-IE"/>
        </w:rPr>
        <w:t xml:space="preserve"> [</w:t>
      </w:r>
      <w:r w:rsidRPr="00A37885" w:rsidR="00AD46E1">
        <w:rPr>
          <w:lang w:val="en-IE"/>
        </w:rPr>
        <w:t>for</w:t>
      </w:r>
      <w:r w:rsidRPr="00A37885">
        <w:rPr>
          <w:lang w:val="en-IE"/>
        </w:rPr>
        <w:t xml:space="preserve"> prison leave] in respect of any person convicted of one of the offences referred to in the above-mentioned section who has not cooperated with the judicial authorities for the purposes of section 58 </w:t>
      </w:r>
      <w:r w:rsidRPr="00A37885">
        <w:rPr>
          <w:i/>
          <w:iCs/>
          <w:lang w:val="en-IE"/>
        </w:rPr>
        <w:t xml:space="preserve">ter </w:t>
      </w:r>
      <w:r w:rsidRPr="00A37885">
        <w:rPr>
          <w:lang w:val="en-IE"/>
        </w:rPr>
        <w:t>of the same Act.</w:t>
      </w:r>
    </w:p>
    <w:p w:rsidRPr="00A37885" w:rsidR="001E7843" w:rsidP="00A37885" w14:paraId="5A9E4870" w14:textId="3EC38F95">
      <w:pPr>
        <w:pStyle w:val="JuQuot"/>
        <w:rPr>
          <w:lang w:val="en-IE"/>
        </w:rPr>
      </w:pPr>
      <w:r w:rsidRPr="00A37885">
        <w:rPr>
          <w:lang w:val="en-IE"/>
        </w:rPr>
        <w:t>...</w:t>
      </w:r>
    </w:p>
    <w:p w:rsidRPr="00A37885" w:rsidR="0050397E" w:rsidP="00A37885" w14:paraId="25012FBE" w14:textId="06C312EB">
      <w:pPr>
        <w:pStyle w:val="JuQuot"/>
      </w:pPr>
      <w:r w:rsidRPr="00A37885">
        <w:rPr>
          <w:lang w:val="en-IE"/>
        </w:rPr>
        <w:t xml:space="preserve">After all, these </w:t>
      </w:r>
      <w:r w:rsidRPr="00A37885" w:rsidR="007A7EDC">
        <w:rPr>
          <w:lang w:val="en-IE"/>
        </w:rPr>
        <w:t>resocialisation</w:t>
      </w:r>
      <w:r w:rsidRPr="00A37885">
        <w:rPr>
          <w:lang w:val="en-IE"/>
        </w:rPr>
        <w:t xml:space="preserve"> aims, which preclude the application of irrebuttable presumptions with regard to adjustments of sentence, </w:t>
      </w:r>
      <w:r w:rsidRPr="00A37885" w:rsidR="00841F37">
        <w:rPr>
          <w:lang w:val="en-IE"/>
        </w:rPr>
        <w:t>have since found support in the case-law of the European Court of Human Rights</w:t>
      </w:r>
      <w:r w:rsidRPr="00A37885" w:rsidR="0070026C">
        <w:rPr>
          <w:lang w:val="en-IE"/>
        </w:rPr>
        <w:t>,</w:t>
      </w:r>
      <w:r w:rsidRPr="00A37885" w:rsidR="00841F37">
        <w:rPr>
          <w:lang w:val="en-IE"/>
        </w:rPr>
        <w:t xml:space="preserve"> in the Grand Chamber judgment in </w:t>
      </w:r>
      <w:r w:rsidRPr="00A37885">
        <w:rPr>
          <w:i/>
        </w:rPr>
        <w:t>Vinter and Others v. the United Kingdom</w:t>
      </w:r>
      <w:r w:rsidRPr="00A37885">
        <w:t xml:space="preserve"> [GC], nos. 66069/09 and 2 others, ECHR</w:t>
      </w:r>
      <w:r w:rsidRPr="00A37885" w:rsidR="00E64A62">
        <w:t> </w:t>
      </w:r>
      <w:r w:rsidRPr="00A37885">
        <w:t xml:space="preserve">2013 (extracts) </w:t>
      </w:r>
      <w:r w:rsidRPr="00A37885" w:rsidR="00312965">
        <w:t>...</w:t>
      </w:r>
    </w:p>
    <w:p w:rsidRPr="00A37885" w:rsidR="0050397E" w:rsidP="00A37885" w14:paraId="1945A93D" w14:textId="260D9D6A">
      <w:pPr>
        <w:pStyle w:val="JuQuot"/>
        <w:rPr>
          <w:lang w:val="en-IE"/>
        </w:rPr>
      </w:pPr>
      <w:r w:rsidRPr="00A37885">
        <w:rPr>
          <w:lang w:val="en-IE"/>
        </w:rPr>
        <w:t>Nevertheless, the assertion that the termination of a prisoner</w:t>
      </w:r>
      <w:r w:rsidRPr="00A37885" w:rsidR="00A37885">
        <w:rPr>
          <w:lang w:val="en-IE"/>
        </w:rPr>
        <w:t>’</w:t>
      </w:r>
      <w:r w:rsidRPr="00A37885">
        <w:rPr>
          <w:lang w:val="en-IE"/>
        </w:rPr>
        <w:t xml:space="preserve">s links with the criminal group of which he or she was a member can only be demonstrated, while the sentence is being served, by cooperation within the meaning of section 58 </w:t>
      </w:r>
      <w:r w:rsidRPr="00A37885">
        <w:rPr>
          <w:i/>
          <w:iCs/>
          <w:lang w:val="en-IE"/>
        </w:rPr>
        <w:t>ter</w:t>
      </w:r>
      <w:r w:rsidRPr="00A37885">
        <w:rPr>
          <w:lang w:val="en-IE"/>
        </w:rPr>
        <w:t xml:space="preserve"> cannot be said to be irrefutable, nor can it become an irrebuttable presumption that does not take account of the specific </w:t>
      </w:r>
      <w:r w:rsidRPr="00A37885" w:rsidR="007A7EDC">
        <w:rPr>
          <w:lang w:val="en-IE"/>
        </w:rPr>
        <w:t>circumstances</w:t>
      </w:r>
      <w:r w:rsidRPr="00A37885">
        <w:rPr>
          <w:lang w:val="en-IE"/>
        </w:rPr>
        <w:t>.</w:t>
      </w:r>
    </w:p>
    <w:p w:rsidRPr="00A37885" w:rsidR="0050397E" w:rsidP="00A37885" w14:paraId="30084C4F" w14:textId="5B066C05">
      <w:pPr>
        <w:pStyle w:val="JuQuot"/>
        <w:rPr>
          <w:lang w:val="en-IE"/>
        </w:rPr>
      </w:pPr>
      <w:r w:rsidRPr="00A37885">
        <w:rPr>
          <w:lang w:val="en-IE"/>
        </w:rPr>
        <w:t>...</w:t>
      </w:r>
    </w:p>
    <w:p w:rsidRPr="00A37885" w:rsidR="0050397E" w:rsidP="00A37885" w14:paraId="71976E71" w14:textId="14610610">
      <w:pPr>
        <w:pStyle w:val="JuQuot"/>
        <w:rPr>
          <w:lang w:val="en-IE"/>
        </w:rPr>
      </w:pPr>
      <w:r w:rsidRPr="00A37885">
        <w:rPr>
          <w:lang w:val="en-IE"/>
        </w:rPr>
        <w:t xml:space="preserve">In view of the considerations set out above, the question of constitutionality concerning section 4 </w:t>
      </w:r>
      <w:r w:rsidRPr="00A37885">
        <w:rPr>
          <w:i/>
          <w:iCs/>
          <w:lang w:val="en-IE"/>
        </w:rPr>
        <w:t>bis</w:t>
      </w:r>
      <w:r w:rsidRPr="00A37885">
        <w:rPr>
          <w:lang w:val="en-IE"/>
        </w:rPr>
        <w:t>, subsection 1</w:t>
      </w:r>
      <w:r w:rsidRPr="00A37885" w:rsidR="002A020D">
        <w:rPr>
          <w:lang w:val="en-IE"/>
        </w:rPr>
        <w:t>,</w:t>
      </w:r>
      <w:r w:rsidRPr="00A37885">
        <w:rPr>
          <w:lang w:val="en-IE"/>
        </w:rPr>
        <w:t xml:space="preserve"> of the [Prison Administration] Act must be </w:t>
      </w:r>
      <w:r w:rsidRPr="00A37885" w:rsidR="007A7EDC">
        <w:rPr>
          <w:lang w:val="en-IE"/>
        </w:rPr>
        <w:t>declared</w:t>
      </w:r>
      <w:r w:rsidRPr="00A37885">
        <w:rPr>
          <w:lang w:val="en-IE"/>
        </w:rPr>
        <w:t xml:space="preserve"> relevant and not manifestly unfounded with regard to Articles 3 and 27 of the Constitution, in so far as [the provision in question] </w:t>
      </w:r>
      <w:r w:rsidRPr="00A37885" w:rsidR="00EF7406">
        <w:rPr>
          <w:lang w:val="en-IE"/>
        </w:rPr>
        <w:t xml:space="preserve">precludes </w:t>
      </w:r>
      <w:r w:rsidRPr="00A37885" w:rsidR="009E16C7">
        <w:rPr>
          <w:lang w:val="en-IE"/>
        </w:rPr>
        <w:t>eligibility for</w:t>
      </w:r>
      <w:r w:rsidRPr="00A37885" w:rsidR="00EF7406">
        <w:rPr>
          <w:lang w:val="en-IE"/>
        </w:rPr>
        <w:t xml:space="preserve"> prison leave for life prisoners who have been convicted of </w:t>
      </w:r>
      <w:r w:rsidRPr="00A37885" w:rsidR="00EF7406">
        <w:t xml:space="preserve">offences committed by taking advantage of the conditions laid down by Article 416 </w:t>
      </w:r>
      <w:r w:rsidRPr="00A37885" w:rsidR="00EF7406">
        <w:rPr>
          <w:i/>
          <w:iCs/>
        </w:rPr>
        <w:t xml:space="preserve">bis </w:t>
      </w:r>
      <w:r w:rsidRPr="00A37885" w:rsidR="00EF7406">
        <w:t>of the Criminal Code or with the aim of facilitating the activities of the organisations referred to therein</w:t>
      </w:r>
      <w:r w:rsidRPr="00A37885" w:rsidR="00952423">
        <w:t>,</w:t>
      </w:r>
      <w:r w:rsidRPr="00A37885" w:rsidR="00EF7406">
        <w:t xml:space="preserve"> and who have not cooperated with the judicial authorities for the purposes of section 58 </w:t>
      </w:r>
      <w:r w:rsidRPr="00A37885" w:rsidR="00EF7406">
        <w:rPr>
          <w:i/>
          <w:iCs/>
        </w:rPr>
        <w:t xml:space="preserve">ter </w:t>
      </w:r>
      <w:r w:rsidRPr="00A37885" w:rsidR="00EF7406">
        <w:t>of the Prison Administration Act.”</w:t>
      </w:r>
    </w:p>
    <w:p w:rsidRPr="00A37885" w:rsidR="001E7843" w:rsidP="00A37885" w14:paraId="340C1512" w14:textId="709951D8">
      <w:pPr>
        <w:pStyle w:val="JuPara"/>
        <w:rPr>
          <w:lang w:val="en-IE"/>
        </w:rPr>
      </w:pPr>
      <w:r w:rsidRPr="00A37885">
        <w:rPr>
          <w:lang w:val="en-IE"/>
        </w:rPr>
        <w:t>The Constitutional Court has not yet ruled on this matter</w:t>
      </w:r>
      <w:r w:rsidRPr="00A37885">
        <w:rPr>
          <w:lang w:val="en-IE"/>
        </w:rPr>
        <w:t>.</w:t>
      </w:r>
    </w:p>
    <w:p w:rsidRPr="00A37885" w:rsidR="009C2DA2" w:rsidP="00A37885" w14:paraId="784BF058" w14:textId="24943B05">
      <w:pPr>
        <w:pStyle w:val="JuHA"/>
        <w:rPr>
          <w:i/>
        </w:rPr>
      </w:pPr>
      <w:r w:rsidRPr="00A37885">
        <w:t xml:space="preserve">Planned reforms of </w:t>
      </w:r>
      <w:r w:rsidRPr="00A37885" w:rsidR="00A72AE4">
        <w:t>section</w:t>
      </w:r>
      <w:r w:rsidRPr="00A37885" w:rsidR="001E7843">
        <w:t xml:space="preserve"> 4 </w:t>
      </w:r>
      <w:r w:rsidRPr="00A37885" w:rsidR="001E7843">
        <w:rPr>
          <w:i/>
        </w:rPr>
        <w:t>bis</w:t>
      </w:r>
    </w:p>
    <w:bookmarkStart w:name="REFORME_PALAZZO" w:id="18"/>
    <w:p w:rsidRPr="00A37885" w:rsidR="00952423" w:rsidP="00A37885" w14:paraId="3D47E84D" w14:textId="7AEBC440">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49</w:t>
      </w:r>
      <w:r w:rsidRPr="00A37885">
        <w:fldChar w:fldCharType="end"/>
      </w:r>
      <w:bookmarkEnd w:id="18"/>
      <w:r w:rsidRPr="00A37885">
        <w:rPr>
          <w:lang w:val="en-IE"/>
        </w:rPr>
        <w:t>.  </w:t>
      </w:r>
      <w:r w:rsidRPr="00A37885">
        <w:rPr>
          <w:lang w:val="en-IE"/>
        </w:rPr>
        <w:t xml:space="preserve">The “Palazzo </w:t>
      </w:r>
      <w:r w:rsidRPr="00A37885" w:rsidR="007A7EDC">
        <w:rPr>
          <w:lang w:val="en-IE"/>
        </w:rPr>
        <w:t>C</w:t>
      </w:r>
      <w:r w:rsidRPr="00A37885">
        <w:rPr>
          <w:lang w:val="en-IE"/>
        </w:rPr>
        <w:t xml:space="preserve">ommission”, which was tasked by a Ministry of Justice decree of 10 June 2013 with drafting proposals for reform of the criminal justice system, proposed, in particular, amending the provisions </w:t>
      </w:r>
      <w:r w:rsidRPr="00A37885">
        <w:rPr>
          <w:lang w:val="en-IE"/>
        </w:rPr>
        <w:t xml:space="preserve">governing life imprisonment in section 4 </w:t>
      </w:r>
      <w:r w:rsidRPr="00A37885">
        <w:rPr>
          <w:i/>
          <w:iCs/>
          <w:lang w:val="en-IE"/>
        </w:rPr>
        <w:t xml:space="preserve">bis </w:t>
      </w:r>
      <w:r w:rsidRPr="00A37885">
        <w:rPr>
          <w:lang w:val="en-IE"/>
        </w:rPr>
        <w:t>by replacing the irrebuttable presumption of danger</w:t>
      </w:r>
      <w:r w:rsidRPr="00A37885" w:rsidR="00C035CA">
        <w:rPr>
          <w:lang w:val="en-IE"/>
        </w:rPr>
        <w:t>ousness</w:t>
      </w:r>
      <w:r w:rsidRPr="00A37885">
        <w:rPr>
          <w:lang w:val="en-IE"/>
        </w:rPr>
        <w:t xml:space="preserve"> to society with a relative presumption. It thus suggested </w:t>
      </w:r>
      <w:r w:rsidRPr="00A37885" w:rsidR="00EB6E6A">
        <w:rPr>
          <w:lang w:val="en-IE"/>
        </w:rPr>
        <w:t>providing</w:t>
      </w:r>
      <w:r w:rsidRPr="00A37885">
        <w:rPr>
          <w:lang w:val="en-IE"/>
        </w:rPr>
        <w:t xml:space="preserve"> for other circumstances </w:t>
      </w:r>
      <w:r w:rsidRPr="00A37885" w:rsidR="0032096C">
        <w:rPr>
          <w:lang w:val="en-IE"/>
        </w:rPr>
        <w:t>on the basis of</w:t>
      </w:r>
      <w:r w:rsidRPr="00A37885">
        <w:rPr>
          <w:lang w:val="en-IE"/>
        </w:rPr>
        <w:t xml:space="preserve"> </w:t>
      </w:r>
      <w:r w:rsidRPr="00A37885" w:rsidR="00EB6E6A">
        <w:rPr>
          <w:lang w:val="en-IE"/>
        </w:rPr>
        <w:t>which</w:t>
      </w:r>
      <w:r w:rsidRPr="00A37885">
        <w:rPr>
          <w:lang w:val="en-IE"/>
        </w:rPr>
        <w:t xml:space="preserve"> the outcome of the rehabilitation process and the absence of links to the criminal group</w:t>
      </w:r>
      <w:r w:rsidRPr="00A37885" w:rsidR="00EB6E6A">
        <w:rPr>
          <w:lang w:val="en-IE"/>
        </w:rPr>
        <w:t xml:space="preserve"> could be assessed</w:t>
      </w:r>
      <w:r w:rsidRPr="00A37885">
        <w:rPr>
          <w:lang w:val="en-IE"/>
        </w:rPr>
        <w:t xml:space="preserve">, in order to enable the prisoners in question to qualify for </w:t>
      </w:r>
      <w:r w:rsidRPr="00A37885" w:rsidR="00EA32C5">
        <w:rPr>
          <w:lang w:val="en-IE"/>
        </w:rPr>
        <w:t>conditional release</w:t>
      </w:r>
      <w:r w:rsidRPr="00A37885">
        <w:rPr>
          <w:lang w:val="en-IE"/>
        </w:rPr>
        <w:t xml:space="preserve"> and the adjustments of sentence provided for by law.</w:t>
      </w:r>
    </w:p>
    <w:bookmarkStart w:name="REFORME_STATI_GENERALI" w:id="19"/>
    <w:p w:rsidRPr="00A37885" w:rsidR="00952423" w:rsidP="00A37885" w14:paraId="28D62984" w14:textId="1EF02BA3">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50</w:t>
      </w:r>
      <w:r w:rsidRPr="00A37885">
        <w:fldChar w:fldCharType="end"/>
      </w:r>
      <w:bookmarkEnd w:id="19"/>
      <w:r w:rsidRPr="00A37885">
        <w:rPr>
          <w:lang w:val="en-IE"/>
        </w:rPr>
        <w:t>.  </w:t>
      </w:r>
      <w:r w:rsidRPr="00A37885">
        <w:rPr>
          <w:lang w:val="en-IE"/>
        </w:rPr>
        <w:t>On 19 May 2015 the government launched a “</w:t>
      </w:r>
      <w:r w:rsidRPr="00A37885" w:rsidR="00E66F69">
        <w:rPr>
          <w:lang w:val="en-IE"/>
        </w:rPr>
        <w:t>summit</w:t>
      </w:r>
      <w:r w:rsidRPr="00A37885">
        <w:rPr>
          <w:lang w:val="en-IE"/>
        </w:rPr>
        <w:t xml:space="preserve"> on the execution of sentences”, an initiative </w:t>
      </w:r>
      <w:r w:rsidRPr="00A37885" w:rsidR="00E66F69">
        <w:rPr>
          <w:lang w:val="en-IE"/>
        </w:rPr>
        <w:t>bringing together</w:t>
      </w:r>
      <w:r w:rsidRPr="00A37885">
        <w:rPr>
          <w:lang w:val="en-IE"/>
        </w:rPr>
        <w:t xml:space="preserve"> </w:t>
      </w:r>
      <w:r w:rsidRPr="00A37885" w:rsidR="00E66F69">
        <w:rPr>
          <w:lang w:val="en-IE"/>
        </w:rPr>
        <w:t xml:space="preserve">representatives from </w:t>
      </w:r>
      <w:r w:rsidRPr="00A37885">
        <w:rPr>
          <w:lang w:val="en-IE"/>
        </w:rPr>
        <w:t>institutions</w:t>
      </w:r>
      <w:r w:rsidRPr="00A37885" w:rsidR="00E66F69">
        <w:rPr>
          <w:lang w:val="en-IE"/>
        </w:rPr>
        <w:t>, academia,</w:t>
      </w:r>
      <w:r w:rsidRPr="00A37885">
        <w:rPr>
          <w:lang w:val="en-IE"/>
        </w:rPr>
        <w:t xml:space="preserve"> and</w:t>
      </w:r>
      <w:r w:rsidRPr="00A37885" w:rsidR="00E66F69">
        <w:rPr>
          <w:lang w:val="en-IE"/>
        </w:rPr>
        <w:t xml:space="preserve"> the</w:t>
      </w:r>
      <w:r w:rsidRPr="00A37885">
        <w:rPr>
          <w:lang w:val="en-IE"/>
        </w:rPr>
        <w:t xml:space="preserve"> </w:t>
      </w:r>
      <w:r w:rsidRPr="00A37885" w:rsidR="00E66F69">
        <w:rPr>
          <w:lang w:val="en-IE"/>
        </w:rPr>
        <w:t>various professions involved in the prison system, with the aim of drawing up plans to reform the system. The final paper, published on 19 April 2016, included a proposal to reform section</w:t>
      </w:r>
      <w:r w:rsidRPr="00A37885" w:rsidR="00265C0F">
        <w:rPr>
          <w:lang w:val="en-IE"/>
        </w:rPr>
        <w:t> </w:t>
      </w:r>
      <w:r w:rsidRPr="00A37885" w:rsidR="00E66F69">
        <w:rPr>
          <w:lang w:val="en-IE"/>
        </w:rPr>
        <w:t>4</w:t>
      </w:r>
      <w:r w:rsidRPr="00A37885" w:rsidR="00265C0F">
        <w:t> </w:t>
      </w:r>
      <w:r w:rsidRPr="00A37885" w:rsidR="00E66F69">
        <w:rPr>
          <w:i/>
          <w:iCs/>
          <w:lang w:val="en-IE"/>
        </w:rPr>
        <w:t>bis</w:t>
      </w:r>
      <w:r w:rsidRPr="00A37885" w:rsidR="00E66F69">
        <w:rPr>
          <w:lang w:val="en-IE"/>
        </w:rPr>
        <w:t xml:space="preserve"> by introducing a new </w:t>
      </w:r>
      <w:r w:rsidRPr="00A37885" w:rsidR="002A020D">
        <w:rPr>
          <w:lang w:val="en-IE"/>
        </w:rPr>
        <w:t>subsection</w:t>
      </w:r>
      <w:r w:rsidRPr="00A37885" w:rsidR="00E66F69">
        <w:rPr>
          <w:lang w:val="en-IE"/>
        </w:rPr>
        <w:t xml:space="preserve"> designed to offer convicted prisoners an alternative to cooperation in order to qualify for adjustments of sentence and </w:t>
      </w:r>
      <w:r w:rsidRPr="00A37885" w:rsidR="00EA32C5">
        <w:rPr>
          <w:lang w:val="en-IE"/>
        </w:rPr>
        <w:t>conditional release</w:t>
      </w:r>
      <w:r w:rsidRPr="00A37885" w:rsidR="00E66F69">
        <w:rPr>
          <w:lang w:val="en-IE"/>
        </w:rPr>
        <w:t>. The alternative consisted in restorative action with regard to the victims and the wider society.</w:t>
      </w:r>
    </w:p>
    <w:p w:rsidRPr="00A37885" w:rsidR="00E66F69" w:rsidP="00A37885" w14:paraId="2166773D" w14:textId="4490CC9B">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51</w:t>
      </w:r>
      <w:r w:rsidRPr="00A37885">
        <w:fldChar w:fldCharType="end"/>
      </w:r>
      <w:r w:rsidRPr="00A37885">
        <w:rPr>
          <w:lang w:val="en-IE"/>
        </w:rPr>
        <w:t>.  </w:t>
      </w:r>
      <w:r w:rsidRPr="00A37885">
        <w:rPr>
          <w:lang w:val="en-IE"/>
        </w:rPr>
        <w:t xml:space="preserve">Enabling </w:t>
      </w:r>
      <w:r w:rsidRPr="00A37885" w:rsidR="0032096C">
        <w:rPr>
          <w:lang w:val="en-IE"/>
        </w:rPr>
        <w:t>Law</w:t>
      </w:r>
      <w:r w:rsidRPr="00A37885">
        <w:rPr>
          <w:lang w:val="en-IE"/>
        </w:rPr>
        <w:t xml:space="preserve"> no. 103 of 23 June 2017 (</w:t>
      </w:r>
      <w:r w:rsidRPr="00A37885" w:rsidR="0032096C">
        <w:rPr>
          <w:lang w:val="en-IE"/>
        </w:rPr>
        <w:t xml:space="preserve">the so-called </w:t>
      </w:r>
      <w:r w:rsidRPr="00A37885">
        <w:rPr>
          <w:i/>
          <w:lang w:val="en-IE"/>
        </w:rPr>
        <w:t>legge Orlando</w:t>
      </w:r>
      <w:r w:rsidRPr="00A37885">
        <w:rPr>
          <w:lang w:val="en-IE"/>
        </w:rPr>
        <w:t>)</w:t>
      </w:r>
      <w:r w:rsidRPr="00A37885">
        <w:rPr>
          <w:lang w:val="en-IE"/>
        </w:rPr>
        <w:t xml:space="preserve"> empowered</w:t>
      </w:r>
      <w:r w:rsidRPr="00A37885">
        <w:rPr>
          <w:lang w:val="en-IE"/>
        </w:rPr>
        <w:t xml:space="preserve"> </w:t>
      </w:r>
      <w:r w:rsidRPr="00A37885">
        <w:rPr>
          <w:lang w:val="en-IE"/>
        </w:rPr>
        <w:t>the government to reform the Criminal Code, the Code of Criminal Procedure and the Prison Administration Act. In particular, section 1(85)(e) delegated powers to the government to abolish</w:t>
      </w:r>
      <w:r w:rsidRPr="00A37885" w:rsidR="0010761D">
        <w:rPr>
          <w:lang w:val="en-IE"/>
        </w:rPr>
        <w:t xml:space="preserve"> the</w:t>
      </w:r>
      <w:r w:rsidRPr="00A37885">
        <w:rPr>
          <w:lang w:val="en-IE"/>
        </w:rPr>
        <w:t xml:space="preserve"> </w:t>
      </w:r>
      <w:r w:rsidRPr="00A37885" w:rsidR="0010761D">
        <w:rPr>
          <w:lang w:val="en-IE"/>
        </w:rPr>
        <w:t>automatic mechanisms precluding individualised rehabilitative treatment in prison</w:t>
      </w:r>
      <w:r w:rsidRPr="00A37885" w:rsidR="00EB6E6A">
        <w:rPr>
          <w:lang w:val="en-IE"/>
        </w:rPr>
        <w:t>,</w:t>
      </w:r>
      <w:r w:rsidRPr="00A37885" w:rsidR="0010761D">
        <w:rPr>
          <w:lang w:val="en-IE"/>
        </w:rPr>
        <w:t xml:space="preserve"> and to reform the rules governing life prisoners</w:t>
      </w:r>
      <w:r w:rsidRPr="00A37885" w:rsidR="00A37885">
        <w:rPr>
          <w:lang w:val="en-IE"/>
        </w:rPr>
        <w:t>’</w:t>
      </w:r>
      <w:r w:rsidRPr="00A37885" w:rsidR="0010761D">
        <w:rPr>
          <w:lang w:val="en-IE"/>
        </w:rPr>
        <w:t xml:space="preserve"> eligibility for sentence adjustments, save in exceptionally serious and dangerous cases and, in any event, </w:t>
      </w:r>
      <w:r w:rsidRPr="00A37885" w:rsidR="0032096C">
        <w:rPr>
          <w:lang w:val="en-IE"/>
        </w:rPr>
        <w:t xml:space="preserve">those </w:t>
      </w:r>
      <w:r w:rsidRPr="00A37885" w:rsidR="0070026C">
        <w:rPr>
          <w:lang w:val="en-IE"/>
        </w:rPr>
        <w:t>concerning</w:t>
      </w:r>
      <w:r w:rsidRPr="00A37885" w:rsidR="0010761D">
        <w:rPr>
          <w:lang w:val="en-IE"/>
        </w:rPr>
        <w:t xml:space="preserve"> offences </w:t>
      </w:r>
      <w:r w:rsidRPr="00A37885" w:rsidR="00EB6E6A">
        <w:rPr>
          <w:lang w:val="en-IE"/>
        </w:rPr>
        <w:t>linked to</w:t>
      </w:r>
      <w:r w:rsidRPr="00A37885" w:rsidR="0010761D">
        <w:rPr>
          <w:lang w:val="en-IE"/>
        </w:rPr>
        <w:t xml:space="preserve"> mafia-type or terrorist activities. On 2 October 2018 the government enacted Legislative Decree no. 214 on the reform of the prison system, without amending the rules concerning the individualisation of treatment in prison and eligibility for sentence adjustments.</w:t>
      </w:r>
    </w:p>
    <w:p w:rsidRPr="00A37885" w:rsidR="00141C2E" w:rsidP="00A37885" w14:paraId="03A72BA9" w14:textId="5A3658DF">
      <w:pPr>
        <w:pStyle w:val="JuHIRoman"/>
        <w:rPr>
          <w:lang w:val="fr-FR"/>
        </w:rPr>
      </w:pPr>
      <w:r w:rsidRPr="00A37885">
        <w:rPr>
          <w:lang w:val="fr-FR"/>
        </w:rPr>
        <w:t>relevant european and international instruments</w:t>
      </w:r>
    </w:p>
    <w:p w:rsidRPr="00A37885" w:rsidR="0010761D" w:rsidP="00A37885" w14:paraId="53EF9695" w14:textId="712F6F45">
      <w:pPr>
        <w:pStyle w:val="JuPara"/>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52</w:t>
      </w:r>
      <w:r w:rsidRPr="00A37885">
        <w:fldChar w:fldCharType="end"/>
      </w:r>
      <w:r w:rsidRPr="00A37885">
        <w:rPr>
          <w:lang w:val="en-IE"/>
        </w:rPr>
        <w:t>.  </w:t>
      </w:r>
      <w:r w:rsidRPr="00A37885">
        <w:rPr>
          <w:lang w:val="en-IE"/>
        </w:rPr>
        <w:tab/>
      </w:r>
      <w:r w:rsidRPr="00A37885">
        <w:rPr>
          <w:lang w:val="en-IE"/>
        </w:rPr>
        <w:t xml:space="preserve">The European and international instruments of relevance to the present case, with particular reference to life sentences and the principle of </w:t>
      </w:r>
      <w:r w:rsidRPr="00A37885" w:rsidR="009B21F2">
        <w:rPr>
          <w:lang w:val="en-IE"/>
        </w:rPr>
        <w:t>rehabilitation</w:t>
      </w:r>
      <w:r w:rsidRPr="00A37885">
        <w:rPr>
          <w:lang w:val="en-IE"/>
        </w:rPr>
        <w:t xml:space="preserve">, are set out in the judgments in </w:t>
      </w:r>
      <w:r w:rsidRPr="00A37885">
        <w:rPr>
          <w:i/>
        </w:rPr>
        <w:t>Vinter and Others v. the United Kingdom</w:t>
      </w:r>
      <w:r w:rsidRPr="00A37885">
        <w:t xml:space="preserve"> ([GC], nos. 66069/09 and 2 others, §§ 60-75 and 76-81, ECHR 2013 (extracts)); </w:t>
      </w:r>
      <w:r w:rsidRPr="00A37885">
        <w:rPr>
          <w:i/>
        </w:rPr>
        <w:t>Dickson v. the United Kingdom</w:t>
      </w:r>
      <w:r w:rsidRPr="00A37885">
        <w:t xml:space="preserve"> ([GC], no.</w:t>
      </w:r>
      <w:r w:rsidRPr="00A37885" w:rsidR="00E64A62">
        <w:t> </w:t>
      </w:r>
      <w:r w:rsidRPr="00A37885">
        <w:t>44362/04, §§ 28-36, ECHR 2007</w:t>
      </w:r>
      <w:r w:rsidRPr="00A37885">
        <w:noBreakHyphen/>
        <w:t xml:space="preserve">V); and </w:t>
      </w:r>
      <w:r w:rsidRPr="00A37885">
        <w:rPr>
          <w:i/>
        </w:rPr>
        <w:t>Murray v. the Netherlands</w:t>
      </w:r>
      <w:r w:rsidRPr="00A37885">
        <w:t xml:space="preserve"> </w:t>
      </w:r>
      <w:r w:rsidRPr="00A37885" w:rsidR="00293D53">
        <w:t>(</w:t>
      </w:r>
      <w:r w:rsidRPr="00A37885">
        <w:t>[GC], no. 10511/10, §§ 58-65 and 70-76, 26 April 2016).</w:t>
      </w:r>
    </w:p>
    <w:p w:rsidRPr="00A37885" w:rsidR="00055E7A" w:rsidP="00A37885" w14:paraId="61504842" w14:textId="234141F0">
      <w:pPr>
        <w:pStyle w:val="JuHHead"/>
        <w:numPr>
          <w:ilvl w:val="0"/>
          <w:numId w:val="21"/>
        </w:numPr>
        <w:ind w:left="360" w:hanging="360"/>
      </w:pPr>
      <w:r w:rsidRPr="00A37885">
        <w:t>THE LAW</w:t>
      </w:r>
    </w:p>
    <w:p w:rsidRPr="00A37885" w:rsidR="00055E7A" w:rsidP="00A37885" w14:paraId="22D66DD3" w14:textId="0C7D3860">
      <w:pPr>
        <w:pStyle w:val="JuHIRoman"/>
        <w:numPr>
          <w:ilvl w:val="1"/>
          <w:numId w:val="31"/>
        </w:numPr>
      </w:pPr>
      <w:r w:rsidRPr="00A37885">
        <w:t xml:space="preserve">ALLEGED VIOLATION OF ARTICLE </w:t>
      </w:r>
      <w:r w:rsidRPr="00A37885" w:rsidR="00A1566E">
        <w:t>3</w:t>
      </w:r>
      <w:r w:rsidRPr="00A37885">
        <w:t xml:space="preserve"> OF THE CONVENTION</w:t>
      </w:r>
    </w:p>
    <w:p w:rsidRPr="00A37885" w:rsidR="00312965" w:rsidP="00A37885" w14:paraId="05514E8D" w14:textId="4B0BF5D1">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53</w:t>
      </w:r>
      <w:r w:rsidRPr="00A37885">
        <w:fldChar w:fldCharType="end"/>
      </w:r>
      <w:r w:rsidRPr="00A37885">
        <w:t>.  </w:t>
      </w:r>
      <w:r w:rsidRPr="00A37885" w:rsidR="009B21F2">
        <w:rPr>
          <w:lang w:val="en-IE"/>
        </w:rPr>
        <w:t>Relying on Article 3 of the Convention, the applicant complained about the sentence of life imprisonment imposed on him, on the grounds that it was irreducible and afforded him no prospect of</w:t>
      </w:r>
      <w:r w:rsidRPr="00A37885" w:rsidR="00AA60EA">
        <w:rPr>
          <w:lang w:val="en-IE"/>
        </w:rPr>
        <w:t xml:space="preserve"> conditional</w:t>
      </w:r>
      <w:r w:rsidRPr="00A37885" w:rsidR="009B21F2">
        <w:rPr>
          <w:lang w:val="en-IE"/>
        </w:rPr>
        <w:t xml:space="preserve"> release, in breach of the requirements of Article 3. Under Articles 3 and 8 of the Convention, he also alleged that the prison regime was incompatible with the aim of rehabilitation and resocialisation of prisoners.</w:t>
      </w:r>
    </w:p>
    <w:p w:rsidRPr="00A37885" w:rsidR="00F71716" w:rsidP="00A37885" w14:paraId="39CA61D1" w14:textId="41977D4E">
      <w:pPr>
        <w:pStyle w:val="JuPara"/>
      </w:pPr>
      <w:r w:rsidRPr="00A37885">
        <w:rPr>
          <w:noProof/>
        </w:rPr>
        <w:fldChar w:fldCharType="begin"/>
      </w:r>
      <w:r w:rsidRPr="00A37885">
        <w:rPr>
          <w:noProof/>
          <w:lang w:val="en-IE"/>
        </w:rPr>
        <w:instrText xml:space="preserve"> SEQ level0 \*arabic </w:instrText>
      </w:r>
      <w:r w:rsidRPr="00A37885">
        <w:rPr>
          <w:noProof/>
        </w:rPr>
        <w:fldChar w:fldCharType="separate"/>
      </w:r>
      <w:r w:rsidRPr="00A37885" w:rsidR="00A37885">
        <w:rPr>
          <w:noProof/>
          <w:lang w:val="en-IE"/>
        </w:rPr>
        <w:t>54</w:t>
      </w:r>
      <w:r w:rsidRPr="00A37885">
        <w:rPr>
          <w:noProof/>
        </w:rPr>
        <w:fldChar w:fldCharType="end"/>
      </w:r>
      <w:r w:rsidRPr="00A37885">
        <w:rPr>
          <w:lang w:val="en-IE"/>
        </w:rPr>
        <w:t>.  </w:t>
      </w:r>
      <w:r w:rsidRPr="00A37885" w:rsidR="00D571E4">
        <w:rPr>
          <w:lang w:val="en-IE"/>
        </w:rPr>
        <w:t>The Court reiterates that it is</w:t>
      </w:r>
      <w:r w:rsidRPr="00A37885" w:rsidR="00D571E4">
        <w:t xml:space="preserve"> master of the characterisation to be given in law to the facts of the case</w:t>
      </w:r>
      <w:r w:rsidRPr="00A37885" w:rsidR="00340617">
        <w:t xml:space="preserve"> and is not</w:t>
      </w:r>
      <w:r w:rsidRPr="00A37885" w:rsidR="00D571E4">
        <w:t xml:space="preserve"> bound by the characterisation given by an applicant</w:t>
      </w:r>
      <w:r w:rsidRPr="00A37885" w:rsidR="00340617">
        <w:t xml:space="preserve"> (see, among other authorities,</w:t>
      </w:r>
      <w:r w:rsidRPr="00A37885">
        <w:rPr>
          <w:lang w:val="en-IE"/>
        </w:rPr>
        <w:t xml:space="preserve"> </w:t>
      </w:r>
      <w:r w:rsidRPr="00A37885">
        <w:rPr>
          <w:i/>
        </w:rPr>
        <w:t>Guerra and Others v.</w:t>
      </w:r>
      <w:r w:rsidRPr="00A37885" w:rsidR="00E64A62">
        <w:rPr>
          <w:i/>
        </w:rPr>
        <w:t> </w:t>
      </w:r>
      <w:r w:rsidRPr="00A37885">
        <w:rPr>
          <w:i/>
        </w:rPr>
        <w:t>Italy</w:t>
      </w:r>
      <w:r w:rsidRPr="00A37885">
        <w:t xml:space="preserve">, 19 February 1998, § 44, </w:t>
      </w:r>
      <w:r w:rsidRPr="00A37885">
        <w:rPr>
          <w:i/>
        </w:rPr>
        <w:t>Reports of Judgments and Decisions</w:t>
      </w:r>
      <w:r w:rsidRPr="00A37885">
        <w:t xml:space="preserve"> 1998</w:t>
      </w:r>
      <w:r w:rsidRPr="00A37885">
        <w:noBreakHyphen/>
        <w:t xml:space="preserve">I; </w:t>
      </w:r>
      <w:r w:rsidRPr="00A37885">
        <w:rPr>
          <w:i/>
          <w:lang w:val="en-IE"/>
        </w:rPr>
        <w:t>Scoppola v. Italy</w:t>
      </w:r>
      <w:r w:rsidRPr="00A37885">
        <w:rPr>
          <w:lang w:val="en-IE"/>
        </w:rPr>
        <w:t xml:space="preserve"> </w:t>
      </w:r>
      <w:r w:rsidRPr="00A37885">
        <w:rPr>
          <w:i/>
          <w:lang w:val="en-IE"/>
        </w:rPr>
        <w:t>(no. 2)</w:t>
      </w:r>
      <w:r w:rsidRPr="00A37885">
        <w:rPr>
          <w:lang w:val="en-IE"/>
        </w:rPr>
        <w:t xml:space="preserve"> [GC], no. 10249/03, § </w:t>
      </w:r>
      <w:r w:rsidRPr="00A37885" w:rsidR="00DA7D90">
        <w:rPr>
          <w:lang w:val="en-IE"/>
        </w:rPr>
        <w:t>54</w:t>
      </w:r>
      <w:r w:rsidRPr="00A37885">
        <w:rPr>
          <w:lang w:val="en-IE"/>
        </w:rPr>
        <w:t xml:space="preserve">, 17 September 2009; and </w:t>
      </w:r>
      <w:r w:rsidRPr="00A37885">
        <w:rPr>
          <w:i/>
          <w:iCs/>
        </w:rPr>
        <w:t>Radomilja and Others v. Croatia</w:t>
      </w:r>
      <w:r w:rsidRPr="00A37885">
        <w:t xml:space="preserve"> [GC]</w:t>
      </w:r>
      <w:r w:rsidRPr="00A37885">
        <w:rPr>
          <w:lang w:eastAsia="en-GB"/>
        </w:rPr>
        <w:t>, nos.</w:t>
      </w:r>
      <w:r w:rsidRPr="00A37885">
        <w:t xml:space="preserve"> 37685/10 and 22768/12</w:t>
      </w:r>
      <w:r w:rsidRPr="00A37885">
        <w:rPr>
          <w:lang w:eastAsia="en-GB"/>
        </w:rPr>
        <w:t xml:space="preserve">, </w:t>
      </w:r>
      <w:r w:rsidRPr="00A37885">
        <w:t>§ 126, 20 March 2018). Accordingly, in view of the manner in which the applicant</w:t>
      </w:r>
      <w:r w:rsidRPr="00A37885" w:rsidR="00A37885">
        <w:t>’</w:t>
      </w:r>
      <w:r w:rsidRPr="00A37885">
        <w:t>s complaints are framed, the Court shall examine them solely under Article 3 of the Convention, which provides:</w:t>
      </w:r>
    </w:p>
    <w:p w:rsidRPr="00A37885" w:rsidR="00F71716" w:rsidP="00A37885" w14:paraId="193F1411" w14:textId="57923021">
      <w:pPr>
        <w:pStyle w:val="JuQuot"/>
      </w:pPr>
      <w:r w:rsidRPr="00A37885">
        <w:t>“No one shall be subjected to torture or to inhuman or degrading treatment or punishment.”</w:t>
      </w:r>
    </w:p>
    <w:p w:rsidRPr="00A37885" w:rsidR="00055E7A" w:rsidP="00A37885" w14:paraId="69144FF9" w14:textId="451C42F6">
      <w:pPr>
        <w:pStyle w:val="JuHA"/>
      </w:pPr>
      <w:r w:rsidRPr="00A37885">
        <w:t>Admissibility</w:t>
      </w:r>
    </w:p>
    <w:p w:rsidRPr="00A37885" w:rsidR="005133A0" w:rsidP="00A37885" w14:paraId="6841B4E0" w14:textId="6C117D27">
      <w:pPr>
        <w:pStyle w:val="JuH1"/>
      </w:pPr>
      <w:r w:rsidRPr="00A37885">
        <w:t>Victim status</w:t>
      </w:r>
    </w:p>
    <w:p w:rsidRPr="00A37885" w:rsidR="00F71716" w:rsidP="00A37885" w14:paraId="14A97DEE" w14:textId="064BE039">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55</w:t>
      </w:r>
      <w:r w:rsidRPr="00A37885">
        <w:fldChar w:fldCharType="end"/>
      </w:r>
      <w:r w:rsidRPr="00A37885">
        <w:t>.  </w:t>
      </w:r>
      <w:r w:rsidRPr="00A37885">
        <w:rPr>
          <w:lang w:val="en-IE"/>
        </w:rPr>
        <w:t>The Government maintained that the applicant could not be considered a victim within the meaning of Article 34 of the Convention, since no violation of his Convention rights could be attributed to the authorities.</w:t>
      </w:r>
    </w:p>
    <w:bookmarkStart w:name="VICTIME_FOND" w:id="20"/>
    <w:p w:rsidRPr="00A37885" w:rsidR="00F71716" w:rsidP="00A37885" w14:paraId="78190584" w14:textId="685E6F99">
      <w:pPr>
        <w:pStyle w:val="JuPara"/>
      </w:pPr>
      <w:r w:rsidRPr="00A37885">
        <w:fldChar w:fldCharType="begin"/>
      </w:r>
      <w:r w:rsidRPr="00A37885">
        <w:instrText xml:space="preserve"> SEQ level0 \*arabic </w:instrText>
      </w:r>
      <w:r w:rsidRPr="00A37885">
        <w:fldChar w:fldCharType="separate"/>
      </w:r>
      <w:r w:rsidRPr="00A37885" w:rsidR="00A37885">
        <w:rPr>
          <w:noProof/>
        </w:rPr>
        <w:t>56</w:t>
      </w:r>
      <w:r w:rsidRPr="00A37885">
        <w:fldChar w:fldCharType="end"/>
      </w:r>
      <w:bookmarkEnd w:id="20"/>
      <w:r w:rsidRPr="00A37885">
        <w:t>.  </w:t>
      </w:r>
      <w:r w:rsidRPr="00A37885">
        <w:t>In the Court</w:t>
      </w:r>
      <w:r w:rsidRPr="00A37885" w:rsidR="00A37885">
        <w:t>’</w:t>
      </w:r>
      <w:r w:rsidRPr="00A37885">
        <w:t>s view, the Government</w:t>
      </w:r>
      <w:r w:rsidRPr="00A37885" w:rsidR="00A37885">
        <w:t>’</w:t>
      </w:r>
      <w:r w:rsidRPr="00A37885">
        <w:t xml:space="preserve">s objection is closely linked to the question whether the sentence of life imprisonment imposed on the applicant is </w:t>
      </w:r>
      <w:r w:rsidRPr="00A37885" w:rsidR="00342050">
        <w:t xml:space="preserve">reducible </w:t>
      </w:r>
      <w:r w:rsidRPr="00A37885" w:rsidR="00342050">
        <w:rPr>
          <w:i/>
          <w:iCs/>
        </w:rPr>
        <w:t xml:space="preserve">de jure </w:t>
      </w:r>
      <w:r w:rsidRPr="00A37885" w:rsidR="00342050">
        <w:t xml:space="preserve">and </w:t>
      </w:r>
      <w:r w:rsidRPr="00A37885" w:rsidR="00342050">
        <w:rPr>
          <w:i/>
          <w:iCs/>
        </w:rPr>
        <w:t>de facto</w:t>
      </w:r>
      <w:r w:rsidRPr="00A37885" w:rsidR="00342050">
        <w:t>, and thus to the merits of the complaint of a violation of Article 3. It therefore decides to join it to the merits.</w:t>
      </w:r>
    </w:p>
    <w:p w:rsidRPr="00A37885" w:rsidR="005133A0" w:rsidP="00A37885" w14:paraId="42B1B82A" w14:textId="372A3224">
      <w:pPr>
        <w:pStyle w:val="JuH1"/>
      </w:pPr>
      <w:r w:rsidRPr="00A37885">
        <w:t>Failure to exhaust domestic remedies</w:t>
      </w:r>
    </w:p>
    <w:p w:rsidRPr="00A37885" w:rsidR="00342050" w:rsidP="00A37885" w14:paraId="6FFAA1BF" w14:textId="49B37ED3">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57</w:t>
      </w:r>
      <w:r w:rsidRPr="00A37885">
        <w:fldChar w:fldCharType="end"/>
      </w:r>
      <w:r w:rsidRPr="00A37885">
        <w:t>.  </w:t>
      </w:r>
      <w:r w:rsidRPr="00A37885">
        <w:rPr>
          <w:lang w:val="en-IE"/>
        </w:rPr>
        <w:t xml:space="preserve">The Government also raised an objection of failure to exhaust domestic remedies. In their view, the applicant was complaining in substance of not being found innocent by the domestic courts. They maintained that he had erroneously applied to the post-sentencing judge for </w:t>
      </w:r>
      <w:r w:rsidRPr="00A37885" w:rsidR="00EA32C5">
        <w:rPr>
          <w:lang w:val="en-IE"/>
        </w:rPr>
        <w:t>conditional release</w:t>
      </w:r>
      <w:r w:rsidRPr="00A37885">
        <w:rPr>
          <w:lang w:val="en-IE"/>
        </w:rPr>
        <w:t xml:space="preserve">, whereas a specific and appropriate remedy had been available to him by which to plead his innocence, in the form of a </w:t>
      </w:r>
      <w:r w:rsidRPr="00A37885" w:rsidR="00064C62">
        <w:rPr>
          <w:lang w:val="en-IE"/>
        </w:rPr>
        <w:t>request</w:t>
      </w:r>
      <w:r w:rsidRPr="00A37885">
        <w:rPr>
          <w:lang w:val="en-IE"/>
        </w:rPr>
        <w:t xml:space="preserve"> </w:t>
      </w:r>
      <w:r w:rsidRPr="00A37885" w:rsidR="00064C62">
        <w:rPr>
          <w:lang w:val="en-IE"/>
        </w:rPr>
        <w:t>to reopen the</w:t>
      </w:r>
      <w:r w:rsidRPr="00A37885" w:rsidR="008263AC">
        <w:rPr>
          <w:lang w:val="en-IE"/>
        </w:rPr>
        <w:t xml:space="preserve"> proceedings </w:t>
      </w:r>
      <w:r w:rsidRPr="00A37885" w:rsidR="00064C62">
        <w:rPr>
          <w:lang w:val="en-IE"/>
        </w:rPr>
        <w:t>terminated by</w:t>
      </w:r>
      <w:r w:rsidRPr="00A37885">
        <w:rPr>
          <w:lang w:val="en-IE"/>
        </w:rPr>
        <w:t xml:space="preserve"> the final judgment in his case, under </w:t>
      </w:r>
      <w:r w:rsidRPr="00A37885">
        <w:rPr>
          <w:lang w:val="en-IE"/>
        </w:rPr>
        <w:t>Articles 629 et seq. of the Code of Criminal Procedure. Accordingly, the applicant was to be criticised for not making use of the remedy specifically provided for by that Code.</w:t>
      </w:r>
    </w:p>
    <w:p w:rsidRPr="00A37885" w:rsidR="00342050" w:rsidP="00A37885" w14:paraId="34381AE7" w14:textId="43DADA98">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58</w:t>
      </w:r>
      <w:r w:rsidRPr="00A37885">
        <w:fldChar w:fldCharType="end"/>
      </w:r>
      <w:r w:rsidRPr="00A37885">
        <w:rPr>
          <w:lang w:val="en-IE"/>
        </w:rPr>
        <w:t>.  </w:t>
      </w:r>
      <w:r w:rsidRPr="00A37885">
        <w:rPr>
          <w:lang w:val="en-IE"/>
        </w:rPr>
        <w:t>The applicant contested the Government</w:t>
      </w:r>
      <w:r w:rsidRPr="00A37885" w:rsidR="00A37885">
        <w:rPr>
          <w:lang w:val="en-IE"/>
        </w:rPr>
        <w:t>’</w:t>
      </w:r>
      <w:r w:rsidRPr="00A37885">
        <w:rPr>
          <w:lang w:val="en-IE"/>
        </w:rPr>
        <w:t>s argument</w:t>
      </w:r>
      <w:r w:rsidRPr="00A37885" w:rsidR="00F4217C">
        <w:rPr>
          <w:lang w:val="en-IE"/>
        </w:rPr>
        <w:t xml:space="preserve">, stating that his assertions clearly related to his allegation that the national system did not afford any possibility of a remission of sentence for persons sentenced to life imprisonment for one of the offences referred to in section 4 </w:t>
      </w:r>
      <w:r w:rsidRPr="00A37885" w:rsidR="00F4217C">
        <w:rPr>
          <w:i/>
          <w:iCs/>
          <w:lang w:val="en-IE"/>
        </w:rPr>
        <w:t>bis</w:t>
      </w:r>
      <w:r w:rsidRPr="00A37885" w:rsidR="00F4217C">
        <w:rPr>
          <w:lang w:val="en-IE"/>
        </w:rPr>
        <w:t xml:space="preserve">. Hence, </w:t>
      </w:r>
      <w:r w:rsidRPr="00A37885" w:rsidR="008263AC">
        <w:rPr>
          <w:lang w:val="en-IE"/>
        </w:rPr>
        <w:t>the</w:t>
      </w:r>
      <w:r w:rsidRPr="00A37885" w:rsidR="00F4217C">
        <w:rPr>
          <w:lang w:val="en-IE"/>
        </w:rPr>
        <w:t xml:space="preserve"> sentence of life imprisonment was irreducible </w:t>
      </w:r>
      <w:r w:rsidRPr="00A37885" w:rsidR="00F4217C">
        <w:rPr>
          <w:i/>
          <w:iCs/>
          <w:lang w:val="en-IE"/>
        </w:rPr>
        <w:t xml:space="preserve">de jure </w:t>
      </w:r>
      <w:r w:rsidRPr="00A37885" w:rsidR="00F4217C">
        <w:rPr>
          <w:lang w:val="en-IE"/>
        </w:rPr>
        <w:t xml:space="preserve">and </w:t>
      </w:r>
      <w:r w:rsidRPr="00A37885" w:rsidR="00F4217C">
        <w:rPr>
          <w:i/>
          <w:iCs/>
          <w:lang w:val="en-IE"/>
        </w:rPr>
        <w:t>de facto</w:t>
      </w:r>
      <w:r w:rsidRPr="00A37885" w:rsidR="00F4217C">
        <w:rPr>
          <w:lang w:val="en-IE"/>
        </w:rPr>
        <w:t>, in clear breach of Article 3 of the Convention.</w:t>
      </w:r>
    </w:p>
    <w:p w:rsidRPr="00A37885" w:rsidR="00312965" w:rsidP="00A37885" w14:paraId="62F0F434" w14:textId="3F7D05D4">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59</w:t>
      </w:r>
      <w:r w:rsidRPr="00A37885">
        <w:fldChar w:fldCharType="end"/>
      </w:r>
      <w:r w:rsidRPr="00A37885">
        <w:rPr>
          <w:lang w:val="en-IE"/>
        </w:rPr>
        <w:t>.  </w:t>
      </w:r>
      <w:r w:rsidRPr="00A37885" w:rsidR="00F4217C">
        <w:rPr>
          <w:lang w:val="en-IE"/>
        </w:rPr>
        <w:t>The applicant asserted that the purpose of his request to the post</w:t>
      </w:r>
      <w:r w:rsidRPr="00A37885" w:rsidR="00E64A62">
        <w:rPr>
          <w:lang w:val="en-IE"/>
        </w:rPr>
        <w:noBreakHyphen/>
      </w:r>
      <w:r w:rsidRPr="00A37885" w:rsidR="00F4217C">
        <w:rPr>
          <w:lang w:val="en-IE"/>
        </w:rPr>
        <w:t xml:space="preserve">sentencing judge had been to obtain a review of the penological grounds for his </w:t>
      </w:r>
      <w:r w:rsidRPr="00A37885" w:rsidR="003F4FB5">
        <w:rPr>
          <w:lang w:val="en-IE"/>
        </w:rPr>
        <w:t>continued</w:t>
      </w:r>
      <w:r w:rsidRPr="00A37885" w:rsidR="00F4217C">
        <w:rPr>
          <w:lang w:val="en-IE"/>
        </w:rPr>
        <w:t xml:space="preserve"> detention. However, in the absence of cooperation with the judicial authorities, the post-sentencing judge was not entitled to take into consideration the convicted prisoner</w:t>
      </w:r>
      <w:r w:rsidRPr="00A37885" w:rsidR="00A37885">
        <w:rPr>
          <w:lang w:val="en-IE"/>
        </w:rPr>
        <w:t>’</w:t>
      </w:r>
      <w:r w:rsidRPr="00A37885" w:rsidR="00F4217C">
        <w:rPr>
          <w:lang w:val="en-IE"/>
        </w:rPr>
        <w:t xml:space="preserve">s attempts </w:t>
      </w:r>
      <w:r w:rsidRPr="00A37885" w:rsidR="008263AC">
        <w:rPr>
          <w:lang w:val="en-IE"/>
        </w:rPr>
        <w:t>at making</w:t>
      </w:r>
      <w:r w:rsidRPr="00A37885" w:rsidR="00F4217C">
        <w:rPr>
          <w:lang w:val="en-IE"/>
        </w:rPr>
        <w:t xml:space="preserve"> amends and determine whether progress had been made.</w:t>
      </w:r>
    </w:p>
    <w:p w:rsidRPr="00A37885" w:rsidR="00F4217C" w:rsidP="00A37885" w14:paraId="01DBCF7C" w14:textId="5B9E179F">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60</w:t>
      </w:r>
      <w:r w:rsidRPr="00A37885">
        <w:fldChar w:fldCharType="end"/>
      </w:r>
      <w:r w:rsidRPr="00A37885">
        <w:rPr>
          <w:lang w:val="en-IE"/>
        </w:rPr>
        <w:t>.  </w:t>
      </w:r>
      <w:r w:rsidRPr="00A37885">
        <w:rPr>
          <w:lang w:val="en-IE"/>
        </w:rPr>
        <w:t xml:space="preserve">As to his claim </w:t>
      </w:r>
      <w:r w:rsidRPr="00A37885" w:rsidR="002A020D">
        <w:rPr>
          <w:lang w:val="en-IE"/>
        </w:rPr>
        <w:t>of innocence</w:t>
      </w:r>
      <w:r w:rsidRPr="00A37885">
        <w:rPr>
          <w:lang w:val="en-IE"/>
        </w:rPr>
        <w:t xml:space="preserve">, the applicant stated that this was a personal feeling and conviction </w:t>
      </w:r>
      <w:r w:rsidRPr="00A37885" w:rsidR="0010533C">
        <w:rPr>
          <w:lang w:val="en-IE"/>
        </w:rPr>
        <w:t>relating to</w:t>
      </w:r>
      <w:r w:rsidRPr="00A37885">
        <w:rPr>
          <w:lang w:val="en-IE"/>
        </w:rPr>
        <w:t xml:space="preserve"> his private sphere</w:t>
      </w:r>
      <w:r w:rsidRPr="00A37885" w:rsidR="0010533C">
        <w:rPr>
          <w:lang w:val="en-IE"/>
        </w:rPr>
        <w:t xml:space="preserve"> and was the expression of an aspect of his identity and his dignity as a human being.</w:t>
      </w:r>
      <w:r w:rsidRPr="00A37885">
        <w:rPr>
          <w:lang w:val="en-IE"/>
        </w:rPr>
        <w:t xml:space="preserve"> </w:t>
      </w:r>
      <w:r w:rsidRPr="00A37885" w:rsidR="0010533C">
        <w:rPr>
          <w:lang w:val="en-IE"/>
        </w:rPr>
        <w:t>In his view, the fact that he protested his innocence should therefore be viewed solely as one of the factors preventing him from cooperating with the judicial authorities.</w:t>
      </w:r>
    </w:p>
    <w:p w:rsidRPr="00A37885" w:rsidR="0010533C" w:rsidP="00A37885" w14:paraId="2E0A3B21" w14:textId="309A7836">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61</w:t>
      </w:r>
      <w:r w:rsidRPr="00A37885">
        <w:fldChar w:fldCharType="end"/>
      </w:r>
      <w:r w:rsidRPr="00A37885">
        <w:rPr>
          <w:lang w:val="en-IE"/>
        </w:rPr>
        <w:t>.  </w:t>
      </w:r>
      <w:r w:rsidRPr="00A37885">
        <w:rPr>
          <w:lang w:val="en-IE"/>
        </w:rPr>
        <w:t>The applicant concluded that</w:t>
      </w:r>
      <w:r w:rsidRPr="00A37885" w:rsidR="002A020D">
        <w:rPr>
          <w:lang w:val="en-IE"/>
        </w:rPr>
        <w:t xml:space="preserve"> the only domestic remedy available to him</w:t>
      </w:r>
      <w:r w:rsidRPr="00A37885">
        <w:rPr>
          <w:lang w:val="en-IE"/>
        </w:rPr>
        <w:t xml:space="preserve"> in order to enable the national authorities to afford redress for the alleged violations </w:t>
      </w:r>
      <w:r w:rsidRPr="00A37885" w:rsidR="00CD72C7">
        <w:rPr>
          <w:lang w:val="en-IE"/>
        </w:rPr>
        <w:t xml:space="preserve">was to apply to the post-sentencing judge for </w:t>
      </w:r>
      <w:r w:rsidRPr="00A37885" w:rsidR="00EA32C5">
        <w:rPr>
          <w:lang w:val="en-IE"/>
        </w:rPr>
        <w:t>conditional release</w:t>
      </w:r>
      <w:r w:rsidRPr="00A37885" w:rsidR="00CD72C7">
        <w:rPr>
          <w:lang w:val="en-IE"/>
        </w:rPr>
        <w:t>.</w:t>
      </w:r>
    </w:p>
    <w:p w:rsidRPr="00A37885" w:rsidR="001E6378" w:rsidP="00A37885" w14:paraId="01C82BA6" w14:textId="0F4CC2B4">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62</w:t>
      </w:r>
      <w:r w:rsidRPr="00A37885">
        <w:fldChar w:fldCharType="end"/>
      </w:r>
      <w:r w:rsidRPr="00A37885">
        <w:t>.  </w:t>
      </w:r>
      <w:r w:rsidRPr="00A37885" w:rsidR="00CD72C7">
        <w:rPr>
          <w:lang w:val="en-IE"/>
        </w:rPr>
        <w:t xml:space="preserve">The Court observes at the outset that </w:t>
      </w:r>
      <w:r w:rsidRPr="00A37885" w:rsidR="008263AC">
        <w:rPr>
          <w:lang w:val="en-IE"/>
        </w:rPr>
        <w:t>a request to reopen proceedings</w:t>
      </w:r>
      <w:r w:rsidRPr="00A37885" w:rsidR="00CD72C7">
        <w:rPr>
          <w:lang w:val="en-IE"/>
        </w:rPr>
        <w:t xml:space="preserve"> is an extraordinary remedy which can be exercised in respect of a final criminal conviction. It has previously found that applicants are not required to make use of this kind of extraordinary remedy</w:t>
      </w:r>
      <w:r w:rsidRPr="00A37885">
        <w:rPr>
          <w:lang w:val="en-IE"/>
        </w:rPr>
        <w:t xml:space="preserve"> for the purposes of </w:t>
      </w:r>
      <w:r w:rsidRPr="00A37885">
        <w:t xml:space="preserve">the exhaustion rule under Article 35 § 1 of the Convention (see </w:t>
      </w:r>
      <w:r w:rsidRPr="00A37885">
        <w:rPr>
          <w:i/>
        </w:rPr>
        <w:t xml:space="preserve">Sofri and Others v. Italy </w:t>
      </w:r>
      <w:r w:rsidRPr="00A37885">
        <w:t>(dec.), no. 37235/97, ECHR 2003</w:t>
      </w:r>
      <w:r w:rsidRPr="00A37885">
        <w:noBreakHyphen/>
        <w:t xml:space="preserve">VIII, and </w:t>
      </w:r>
      <w:r w:rsidRPr="00A37885">
        <w:rPr>
          <w:i/>
          <w:lang w:val="en-IE"/>
        </w:rPr>
        <w:t>Prystavska v.</w:t>
      </w:r>
      <w:r w:rsidRPr="00A37885" w:rsidR="00E64A62">
        <w:rPr>
          <w:i/>
          <w:lang w:val="en-IE"/>
        </w:rPr>
        <w:t> </w:t>
      </w:r>
      <w:r w:rsidRPr="00A37885">
        <w:rPr>
          <w:i/>
          <w:lang w:val="en-IE"/>
        </w:rPr>
        <w:t>Ukraine</w:t>
      </w:r>
      <w:r w:rsidRPr="00A37885">
        <w:rPr>
          <w:lang w:val="en-IE"/>
        </w:rPr>
        <w:t xml:space="preserve"> (dec.), no. 21287/02, ECHR 2002</w:t>
      </w:r>
      <w:r w:rsidRPr="00A37885">
        <w:rPr>
          <w:lang w:val="en-IE"/>
        </w:rPr>
        <w:noBreakHyphen/>
        <w:t>X).</w:t>
      </w:r>
    </w:p>
    <w:p w:rsidRPr="00A37885" w:rsidR="00D77BC5" w:rsidP="00A37885" w14:paraId="04E135C9" w14:textId="7CD8DD65">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63</w:t>
      </w:r>
      <w:r w:rsidRPr="00A37885">
        <w:fldChar w:fldCharType="end"/>
      </w:r>
      <w:r w:rsidRPr="00A37885">
        <w:rPr>
          <w:lang w:val="en-IE"/>
        </w:rPr>
        <w:t>.  </w:t>
      </w:r>
      <w:r w:rsidRPr="00A37885" w:rsidR="001D23A1">
        <w:rPr>
          <w:lang w:val="en-IE"/>
        </w:rPr>
        <w:t>It also stresse</w:t>
      </w:r>
      <w:r w:rsidRPr="00A37885" w:rsidR="00064C62">
        <w:rPr>
          <w:lang w:val="en-IE"/>
        </w:rPr>
        <w:t>s</w:t>
      </w:r>
      <w:r w:rsidRPr="00A37885" w:rsidR="001D23A1">
        <w:rPr>
          <w:lang w:val="en-IE"/>
        </w:rPr>
        <w:t xml:space="preserve"> that the situations in which a request to reopen the proceedings can be made are strictly defined as follows: </w:t>
      </w:r>
      <w:r w:rsidRPr="00A37885" w:rsidR="00064C62">
        <w:rPr>
          <w:lang w:val="en-IE"/>
        </w:rPr>
        <w:t xml:space="preserve">a </w:t>
      </w:r>
      <w:r w:rsidRPr="00A37885" w:rsidR="001D23A1">
        <w:rPr>
          <w:lang w:val="en-IE"/>
        </w:rPr>
        <w:t xml:space="preserve">discrepancy between the facts as established in two final judgments convicting the defendant; </w:t>
      </w:r>
      <w:r w:rsidRPr="00A37885" w:rsidR="00064C62">
        <w:rPr>
          <w:lang w:val="en-IE"/>
        </w:rPr>
        <w:t xml:space="preserve">the </w:t>
      </w:r>
      <w:r w:rsidRPr="00A37885" w:rsidR="001D23A1">
        <w:rPr>
          <w:lang w:val="en-IE"/>
        </w:rPr>
        <w:t>overturning (</w:t>
      </w:r>
      <w:r w:rsidRPr="00A37885" w:rsidR="001D23A1">
        <w:rPr>
          <w:i/>
          <w:iCs/>
          <w:lang w:val="en-IE"/>
        </w:rPr>
        <w:t>revocazione</w:t>
      </w:r>
      <w:r w:rsidRPr="00A37885" w:rsidR="001D23A1">
        <w:rPr>
          <w:lang w:val="en-IE"/>
        </w:rPr>
        <w:t xml:space="preserve">) of a civil or administrative judgment concerning a request for a preliminary ruling; </w:t>
      </w:r>
      <w:r w:rsidRPr="00A37885" w:rsidR="00064C62">
        <w:rPr>
          <w:lang w:val="en-IE"/>
        </w:rPr>
        <w:t xml:space="preserve">the </w:t>
      </w:r>
      <w:r w:rsidRPr="00A37885" w:rsidR="001D23A1">
        <w:rPr>
          <w:lang w:val="en-IE"/>
        </w:rPr>
        <w:t>existence of new evidence justifying the person</w:t>
      </w:r>
      <w:r w:rsidRPr="00A37885" w:rsidR="00A37885">
        <w:rPr>
          <w:lang w:val="en-IE"/>
        </w:rPr>
        <w:t>’</w:t>
      </w:r>
      <w:r w:rsidRPr="00A37885" w:rsidR="001D23A1">
        <w:rPr>
          <w:lang w:val="en-IE"/>
        </w:rPr>
        <w:t xml:space="preserve">s acquittal; </w:t>
      </w:r>
      <w:r w:rsidRPr="00A37885" w:rsidR="00064C62">
        <w:rPr>
          <w:lang w:val="en-IE"/>
        </w:rPr>
        <w:t xml:space="preserve">and a </w:t>
      </w:r>
      <w:r w:rsidRPr="00A37885" w:rsidR="001D23A1">
        <w:rPr>
          <w:lang w:val="en-IE"/>
        </w:rPr>
        <w:t xml:space="preserve">conviction handed down following </w:t>
      </w:r>
      <w:r w:rsidRPr="00A37885" w:rsidR="00064C62">
        <w:rPr>
          <w:lang w:val="en-IE"/>
        </w:rPr>
        <w:t xml:space="preserve">the </w:t>
      </w:r>
      <w:r w:rsidRPr="00A37885" w:rsidR="001D23A1">
        <w:rPr>
          <w:lang w:val="en-IE"/>
        </w:rPr>
        <w:t xml:space="preserve">forging of official documents, judicial forgery </w:t>
      </w:r>
      <w:r w:rsidRPr="00A37885">
        <w:rPr>
          <w:lang w:val="en-IE"/>
        </w:rPr>
        <w:t>(</w:t>
      </w:r>
      <w:r w:rsidRPr="00A37885">
        <w:rPr>
          <w:i/>
          <w:lang w:val="en-IE"/>
        </w:rPr>
        <w:t>falso in giudizio</w:t>
      </w:r>
      <w:r w:rsidRPr="00A37885">
        <w:rPr>
          <w:lang w:val="en-IE"/>
        </w:rPr>
        <w:t xml:space="preserve">) </w:t>
      </w:r>
      <w:r w:rsidRPr="00A37885" w:rsidR="001D23A1">
        <w:rPr>
          <w:lang w:val="en-IE"/>
        </w:rPr>
        <w:t>or another criminal offence</w:t>
      </w:r>
      <w:r w:rsidRPr="00A37885">
        <w:rPr>
          <w:lang w:val="en-IE"/>
        </w:rPr>
        <w:t>.</w:t>
      </w:r>
    </w:p>
    <w:p w:rsidRPr="00A37885" w:rsidR="00BC6909" w:rsidP="00A37885" w14:paraId="33A6A967" w14:textId="27F8A9E3">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64</w:t>
      </w:r>
      <w:r w:rsidRPr="00A37885">
        <w:fldChar w:fldCharType="end"/>
      </w:r>
      <w:r w:rsidRPr="00A37885">
        <w:t>.  </w:t>
      </w:r>
      <w:r w:rsidRPr="00A37885" w:rsidR="00064C62">
        <w:rPr>
          <w:lang w:val="en-IE"/>
        </w:rPr>
        <w:t>T</w:t>
      </w:r>
      <w:r w:rsidRPr="00A37885">
        <w:rPr>
          <w:lang w:val="en-IE"/>
        </w:rPr>
        <w:t>he Court notes that the applicant</w:t>
      </w:r>
      <w:r w:rsidRPr="00A37885" w:rsidR="00A37885">
        <w:rPr>
          <w:lang w:val="en-IE"/>
        </w:rPr>
        <w:t>’</w:t>
      </w:r>
      <w:r w:rsidRPr="00A37885">
        <w:rPr>
          <w:lang w:val="en-IE"/>
        </w:rPr>
        <w:t>s situation</w:t>
      </w:r>
      <w:r w:rsidRPr="00A37885" w:rsidR="00064C62">
        <w:rPr>
          <w:lang w:val="en-IE"/>
        </w:rPr>
        <w:t xml:space="preserve"> in the present case</w:t>
      </w:r>
      <w:r w:rsidRPr="00A37885">
        <w:rPr>
          <w:lang w:val="en-IE"/>
        </w:rPr>
        <w:t xml:space="preserve"> does not correspond to any of those outlined above. He complained, under Article 3 of the Convention, of his ineligibility for </w:t>
      </w:r>
      <w:r w:rsidRPr="00A37885" w:rsidR="00EA32C5">
        <w:rPr>
          <w:lang w:val="en-IE"/>
        </w:rPr>
        <w:t>conditional release</w:t>
      </w:r>
      <w:r w:rsidRPr="00A37885">
        <w:rPr>
          <w:lang w:val="en-IE"/>
        </w:rPr>
        <w:t xml:space="preserve"> on account of the irreducible nature of the sentence of life imprisonment </w:t>
      </w:r>
      <w:r w:rsidRPr="00A37885">
        <w:rPr>
          <w:lang w:val="en-IE"/>
        </w:rPr>
        <w:t xml:space="preserve">imposed on him, and </w:t>
      </w:r>
      <w:r w:rsidRPr="00A37885" w:rsidR="00064C62">
        <w:rPr>
          <w:lang w:val="en-IE"/>
        </w:rPr>
        <w:t>his claim</w:t>
      </w:r>
      <w:r w:rsidRPr="00A37885">
        <w:rPr>
          <w:lang w:val="en-IE"/>
        </w:rPr>
        <w:t xml:space="preserve"> to be innocent</w:t>
      </w:r>
      <w:r w:rsidRPr="00A37885" w:rsidR="002A020D">
        <w:rPr>
          <w:lang w:val="en-IE"/>
        </w:rPr>
        <w:t xml:space="preserve"> was just one of the circumstances on which he relied</w:t>
      </w:r>
      <w:r w:rsidRPr="00A37885">
        <w:rPr>
          <w:lang w:val="en-IE"/>
        </w:rPr>
        <w:t>.</w:t>
      </w:r>
    </w:p>
    <w:p w:rsidRPr="00A37885" w:rsidR="00BC6909" w:rsidP="00A37885" w14:paraId="437CDFAC" w14:textId="796BEEAD">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65</w:t>
      </w:r>
      <w:r w:rsidRPr="00A37885">
        <w:fldChar w:fldCharType="end"/>
      </w:r>
      <w:r w:rsidRPr="00A37885">
        <w:t>.  </w:t>
      </w:r>
      <w:r w:rsidRPr="00A37885">
        <w:rPr>
          <w:lang w:val="en-IE"/>
        </w:rPr>
        <w:t xml:space="preserve">Accordingly, the Court considers that the applicant was correct in applying to the post-sentencing judge, as the authority responsible for ordering </w:t>
      </w:r>
      <w:r w:rsidRPr="00A37885" w:rsidR="00EA32C5">
        <w:rPr>
          <w:lang w:val="en-IE"/>
        </w:rPr>
        <w:t>conditional release</w:t>
      </w:r>
      <w:r w:rsidRPr="00A37885">
        <w:rPr>
          <w:lang w:val="en-IE"/>
        </w:rPr>
        <w:t xml:space="preserve"> or any other form of adjustment of sentence for convicted persons, in order to request his release. In view of the foregoing considerations, the Court rejects the Government</w:t>
      </w:r>
      <w:r w:rsidRPr="00A37885" w:rsidR="00A37885">
        <w:rPr>
          <w:lang w:val="en-IE"/>
        </w:rPr>
        <w:t>’</w:t>
      </w:r>
      <w:r w:rsidRPr="00A37885">
        <w:rPr>
          <w:lang w:val="en-IE"/>
        </w:rPr>
        <w:t>s objection.</w:t>
      </w:r>
    </w:p>
    <w:p w:rsidRPr="00A37885" w:rsidR="005133A0" w:rsidP="00A37885" w14:paraId="251DA026" w14:textId="08C464A4">
      <w:pPr>
        <w:pStyle w:val="JuH1"/>
        <w:rPr>
          <w:lang w:val="fr-FR"/>
        </w:rPr>
      </w:pPr>
      <w:r w:rsidRPr="00A37885">
        <w:rPr>
          <w:lang w:val="fr-FR"/>
        </w:rPr>
        <w:t>Conclusion</w:t>
      </w:r>
    </w:p>
    <w:p w:rsidRPr="00A37885" w:rsidR="00D77BC5" w:rsidP="00A37885" w14:paraId="035BDC0F" w14:textId="42352074">
      <w:pPr>
        <w:pStyle w:val="JuPara"/>
      </w:pPr>
      <w:r w:rsidRPr="00A37885">
        <w:fldChar w:fldCharType="begin"/>
      </w:r>
      <w:r w:rsidRPr="00A37885">
        <w:instrText xml:space="preserve"> SEQ level0 \*arabic </w:instrText>
      </w:r>
      <w:r w:rsidRPr="00A37885">
        <w:fldChar w:fldCharType="separate"/>
      </w:r>
      <w:r w:rsidRPr="00A37885" w:rsidR="00A37885">
        <w:rPr>
          <w:noProof/>
        </w:rPr>
        <w:t>66</w:t>
      </w:r>
      <w:r w:rsidRPr="00A37885">
        <w:fldChar w:fldCharType="end"/>
      </w:r>
      <w:r w:rsidRPr="00A37885">
        <w:t>.  </w:t>
      </w:r>
      <w:r w:rsidRPr="00A37885" w:rsidR="00BC6909">
        <w:rPr>
          <w:lang w:val="en-IE"/>
        </w:rPr>
        <w:t>In the light of the material available to it, the Court considers that the applicant</w:t>
      </w:r>
      <w:r w:rsidRPr="00A37885" w:rsidR="00A37885">
        <w:rPr>
          <w:lang w:val="en-IE"/>
        </w:rPr>
        <w:t>’</w:t>
      </w:r>
      <w:r w:rsidRPr="00A37885" w:rsidR="00BC6909">
        <w:rPr>
          <w:lang w:val="en-IE"/>
        </w:rPr>
        <w:t xml:space="preserve">s complaint under Article 3 </w:t>
      </w:r>
      <w:r w:rsidRPr="00A37885" w:rsidR="00BC6909">
        <w:t>raises serious issues of fact and law</w:t>
      </w:r>
      <w:r w:rsidRPr="00A37885" w:rsidR="00015030">
        <w:t xml:space="preserve"> under the Convention</w:t>
      </w:r>
      <w:r w:rsidRPr="00A37885" w:rsidR="00BC6909">
        <w:t>, the determination of which requires an examination of the merits.</w:t>
      </w:r>
      <w:r w:rsidRPr="00A37885" w:rsidR="00EE47F8">
        <w:t xml:space="preserve"> It also joins to the merits the Government</w:t>
      </w:r>
      <w:r w:rsidRPr="00A37885" w:rsidR="00A37885">
        <w:t>’</w:t>
      </w:r>
      <w:r w:rsidRPr="00A37885" w:rsidR="00EE47F8">
        <w:t>s objection as to the applicant</w:t>
      </w:r>
      <w:r w:rsidRPr="00A37885" w:rsidR="00A37885">
        <w:t>’</w:t>
      </w:r>
      <w:r w:rsidRPr="00A37885" w:rsidR="00EE47F8">
        <w:t xml:space="preserve">s “victim” status (see paragraph 56 above). The </w:t>
      </w:r>
      <w:r w:rsidRPr="00A37885" w:rsidR="00745DC9">
        <w:t xml:space="preserve">Court </w:t>
      </w:r>
      <w:r w:rsidRPr="00A37885" w:rsidR="00EE47F8">
        <w:t xml:space="preserve">further </w:t>
      </w:r>
      <w:r w:rsidRPr="00A37885" w:rsidR="00745DC9">
        <w:t xml:space="preserve">notes that the application </w:t>
      </w:r>
      <w:r w:rsidRPr="00A37885" w:rsidR="00015030">
        <w:t>is not manifestly ill-founded within the meaning of Article 35 § 3 (</w:t>
      </w:r>
      <w:r w:rsidRPr="00A37885" w:rsidR="002A020D">
        <w:t>a</w:t>
      </w:r>
      <w:r w:rsidRPr="00A37885" w:rsidR="00015030">
        <w:t>) of the Convention and that it is not inadmissible on any other grounds. It must therefore be declared admissible</w:t>
      </w:r>
      <w:r w:rsidRPr="00A37885">
        <w:t>.</w:t>
      </w:r>
    </w:p>
    <w:p w:rsidRPr="00A37885" w:rsidR="00055E7A" w:rsidP="00A37885" w14:paraId="0C675913" w14:textId="12B9BB65">
      <w:pPr>
        <w:pStyle w:val="JuHA"/>
      </w:pPr>
      <w:r w:rsidRPr="00A37885">
        <w:t>Merits</w:t>
      </w:r>
    </w:p>
    <w:p w:rsidRPr="00A37885" w:rsidR="00A97A46" w:rsidP="00A37885" w14:paraId="7A56C577" w14:textId="081A88C7">
      <w:pPr>
        <w:pStyle w:val="JuH1"/>
      </w:pPr>
      <w:r w:rsidRPr="00A37885">
        <w:t>The parties</w:t>
      </w:r>
      <w:r w:rsidRPr="00A37885" w:rsidR="00A37885">
        <w:t>’</w:t>
      </w:r>
      <w:r w:rsidRPr="00A37885">
        <w:t xml:space="preserve"> submissions</w:t>
      </w:r>
    </w:p>
    <w:p w:rsidRPr="00A37885" w:rsidR="00A97A46" w:rsidP="00A37885" w14:paraId="5AE89BC7" w14:textId="0618842B">
      <w:pPr>
        <w:pStyle w:val="JuHa0"/>
      </w:pPr>
      <w:r w:rsidRPr="00A37885">
        <w:t>The applicant</w:t>
      </w:r>
    </w:p>
    <w:p w:rsidRPr="00A37885" w:rsidR="00EE47F8" w:rsidP="00A37885" w14:paraId="6420F03F" w14:textId="5620D480">
      <w:pPr>
        <w:pStyle w:val="JuPara"/>
        <w:rPr>
          <w:lang w:val="en-IE"/>
        </w:rPr>
      </w:pPr>
      <w:r w:rsidRPr="00A37885">
        <w:rPr>
          <w:lang w:val="en-IE"/>
        </w:rPr>
        <w:fldChar w:fldCharType="begin"/>
      </w:r>
      <w:r w:rsidRPr="00A37885">
        <w:rPr>
          <w:lang w:val="en-IE"/>
        </w:rPr>
        <w:instrText xml:space="preserve"> SEQ level0 \*arabic \* MERGEFORMAT </w:instrText>
      </w:r>
      <w:r w:rsidRPr="00A37885">
        <w:rPr>
          <w:lang w:val="en-IE"/>
        </w:rPr>
        <w:fldChar w:fldCharType="separate"/>
      </w:r>
      <w:r w:rsidRPr="00A37885" w:rsidR="00A37885">
        <w:rPr>
          <w:noProof/>
          <w:lang w:val="en-IE"/>
        </w:rPr>
        <w:t>67</w:t>
      </w:r>
      <w:r w:rsidRPr="00A37885">
        <w:rPr>
          <w:lang w:val="en-IE"/>
        </w:rPr>
        <w:fldChar w:fldCharType="end"/>
      </w:r>
      <w:r w:rsidRPr="00A37885">
        <w:rPr>
          <w:lang w:val="en-IE"/>
        </w:rPr>
        <w:t>.  </w:t>
      </w:r>
      <w:r w:rsidRPr="00A37885">
        <w:rPr>
          <w:lang w:val="en-IE"/>
        </w:rPr>
        <w:t xml:space="preserve">The applicant stated that there were two types of life imprisonment in the Italian system: an “ordinary” life sentence under Article 22 of the Criminal Code, which allowed for </w:t>
      </w:r>
      <w:r w:rsidRPr="00A37885" w:rsidR="000A53D3">
        <w:rPr>
          <w:lang w:val="en-IE"/>
        </w:rPr>
        <w:t>an adjustment</w:t>
      </w:r>
      <w:r w:rsidRPr="00A37885">
        <w:rPr>
          <w:lang w:val="en-IE"/>
        </w:rPr>
        <w:t xml:space="preserve"> of sentence after twenty</w:t>
      </w:r>
      <w:r w:rsidRPr="00A37885" w:rsidR="00E64A62">
        <w:rPr>
          <w:lang w:val="en-IE"/>
        </w:rPr>
        <w:noBreakHyphen/>
      </w:r>
      <w:r w:rsidRPr="00A37885">
        <w:rPr>
          <w:lang w:val="en-IE"/>
        </w:rPr>
        <w:t xml:space="preserve">six years had been served; and an irreducible life sentence known as </w:t>
      </w:r>
      <w:r w:rsidRPr="00A37885">
        <w:rPr>
          <w:i/>
          <w:iCs/>
          <w:lang w:val="en-IE"/>
        </w:rPr>
        <w:t>ergastolo ostativ</w:t>
      </w:r>
      <w:r w:rsidRPr="00A37885" w:rsidR="000A53D3">
        <w:rPr>
          <w:i/>
          <w:iCs/>
          <w:lang w:val="en-IE"/>
        </w:rPr>
        <w:t>o</w:t>
      </w:r>
      <w:r w:rsidRPr="00A37885">
        <w:rPr>
          <w:lang w:val="en-IE"/>
        </w:rPr>
        <w:t xml:space="preserve">, under section 4 </w:t>
      </w:r>
      <w:r w:rsidRPr="00A37885">
        <w:rPr>
          <w:i/>
          <w:iCs/>
          <w:lang w:val="en-IE"/>
        </w:rPr>
        <w:t>bis</w:t>
      </w:r>
      <w:r w:rsidRPr="00A37885">
        <w:rPr>
          <w:lang w:val="en-IE"/>
        </w:rPr>
        <w:t xml:space="preserve">. That provision entailed a prohibition on </w:t>
      </w:r>
      <w:r w:rsidRPr="00A37885" w:rsidR="00EA32C5">
        <w:rPr>
          <w:lang w:val="en-IE"/>
        </w:rPr>
        <w:t>conditional release</w:t>
      </w:r>
      <w:r w:rsidRPr="00A37885">
        <w:rPr>
          <w:lang w:val="en-IE"/>
        </w:rPr>
        <w:t xml:space="preserve"> and sentence adjustments</w:t>
      </w:r>
      <w:r w:rsidRPr="00A37885" w:rsidR="002A020D">
        <w:rPr>
          <w:lang w:val="en-IE"/>
        </w:rPr>
        <w:t>, based on</w:t>
      </w:r>
      <w:r w:rsidRPr="00A37885">
        <w:rPr>
          <w:lang w:val="en-IE"/>
        </w:rPr>
        <w:t xml:space="preserve"> an irrebuttable </w:t>
      </w:r>
      <w:r w:rsidRPr="00A37885">
        <w:rPr>
          <w:lang w:val="en-IE"/>
        </w:rPr>
        <w:t>statutory</w:t>
      </w:r>
      <w:r w:rsidRPr="00A37885">
        <w:rPr>
          <w:lang w:val="en-IE"/>
        </w:rPr>
        <w:t xml:space="preserve"> presumption of dangerousness, namely the persistence of links between the convicted prisoner and the mafia-type criminal organisation </w:t>
      </w:r>
      <w:r w:rsidRPr="00A37885" w:rsidR="002A020D">
        <w:rPr>
          <w:lang w:val="en-IE"/>
        </w:rPr>
        <w:t>to</w:t>
      </w:r>
      <w:r w:rsidRPr="00A37885">
        <w:rPr>
          <w:lang w:val="en-IE"/>
        </w:rPr>
        <w:t xml:space="preserve"> which he or she </w:t>
      </w:r>
      <w:r w:rsidRPr="00A37885" w:rsidR="002A020D">
        <w:rPr>
          <w:lang w:val="en-IE"/>
        </w:rPr>
        <w:t>had belonged</w:t>
      </w:r>
      <w:r w:rsidRPr="00A37885">
        <w:rPr>
          <w:lang w:val="en-IE"/>
        </w:rPr>
        <w:t xml:space="preserve">. </w:t>
      </w:r>
      <w:r w:rsidRPr="00A37885" w:rsidR="00704F7A">
        <w:rPr>
          <w:lang w:val="en-IE"/>
        </w:rPr>
        <w:t>That presumption could only be rebutted if the prisoner actually cooperated with the judicial authorities.</w:t>
      </w:r>
    </w:p>
    <w:bookmarkStart w:name="OBS_REQ_COLLAB_IMPOSSIBLE" w:id="21"/>
    <w:p w:rsidRPr="00A37885" w:rsidR="00704F7A" w:rsidP="00A37885" w14:paraId="6CCDF0A0" w14:textId="4E16DF88">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68</w:t>
      </w:r>
      <w:r w:rsidRPr="00A37885">
        <w:fldChar w:fldCharType="end"/>
      </w:r>
      <w:bookmarkEnd w:id="21"/>
      <w:r w:rsidRPr="00A37885">
        <w:rPr>
          <w:lang w:val="en-IE"/>
        </w:rPr>
        <w:t>. </w:t>
      </w:r>
      <w:r w:rsidRPr="00A37885">
        <w:rPr>
          <w:lang w:val="en-IE"/>
        </w:rPr>
        <w:t xml:space="preserve"> The applicant stated that </w:t>
      </w:r>
      <w:r w:rsidRPr="00A37885" w:rsidR="000E0701">
        <w:rPr>
          <w:lang w:val="en-IE"/>
        </w:rPr>
        <w:t>owing to the existence of the aggravating</w:t>
      </w:r>
      <w:r w:rsidRPr="00A37885" w:rsidR="00312965">
        <w:rPr>
          <w:lang w:val="en-IE"/>
        </w:rPr>
        <w:t xml:space="preserve"> </w:t>
      </w:r>
      <w:r w:rsidRPr="00A37885" w:rsidR="000E0701">
        <w:rPr>
          <w:lang w:val="en-IE"/>
        </w:rPr>
        <w:t xml:space="preserve">circumstance taken into account in convicting him, based on </w:t>
      </w:r>
      <w:r w:rsidRPr="00A37885" w:rsidR="002A020D">
        <w:rPr>
          <w:lang w:val="en-IE"/>
        </w:rPr>
        <w:t>his</w:t>
      </w:r>
      <w:r w:rsidRPr="00A37885" w:rsidR="000E0701">
        <w:rPr>
          <w:lang w:val="en-IE"/>
        </w:rPr>
        <w:t xml:space="preserve"> role </w:t>
      </w:r>
      <w:r w:rsidRPr="00A37885" w:rsidR="002A020D">
        <w:rPr>
          <w:lang w:val="en-IE"/>
        </w:rPr>
        <w:t>as</w:t>
      </w:r>
      <w:r w:rsidRPr="00A37885">
        <w:rPr>
          <w:lang w:val="en-IE"/>
        </w:rPr>
        <w:t xml:space="preserve"> head of the mafia clan and instigator of its activities</w:t>
      </w:r>
      <w:r w:rsidRPr="00A37885" w:rsidR="00ED7FD7">
        <w:rPr>
          <w:lang w:val="en-IE"/>
        </w:rPr>
        <w:t>, the courts could not consider cooperation on his part to be “impossible” or “unenforceable” (see paragraph 46 above).</w:t>
      </w:r>
    </w:p>
    <w:p w:rsidRPr="00A37885" w:rsidR="00ED7FD7" w:rsidP="00A37885" w14:paraId="09F7EB82" w14:textId="3757B08E">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69</w:t>
      </w:r>
      <w:r w:rsidRPr="00A37885">
        <w:fldChar w:fldCharType="end"/>
      </w:r>
      <w:r w:rsidRPr="00A37885">
        <w:rPr>
          <w:lang w:val="en-IE"/>
        </w:rPr>
        <w:t>.  </w:t>
      </w:r>
      <w:r w:rsidRPr="00A37885">
        <w:rPr>
          <w:lang w:val="en-IE"/>
        </w:rPr>
        <w:t>In the applicant</w:t>
      </w:r>
      <w:r w:rsidRPr="00A37885" w:rsidR="00A37885">
        <w:rPr>
          <w:lang w:val="en-IE"/>
        </w:rPr>
        <w:t>’</w:t>
      </w:r>
      <w:r w:rsidRPr="00A37885">
        <w:rPr>
          <w:lang w:val="en-IE"/>
        </w:rPr>
        <w:t xml:space="preserve">s view, he had no prospect of being released or obtaining a review of </w:t>
      </w:r>
      <w:r w:rsidRPr="00A37885" w:rsidR="002A020D">
        <w:rPr>
          <w:lang w:val="en-IE"/>
        </w:rPr>
        <w:t>his life</w:t>
      </w:r>
      <w:r w:rsidRPr="00A37885">
        <w:rPr>
          <w:lang w:val="en-IE"/>
        </w:rPr>
        <w:t xml:space="preserve"> sentence: irrespective of his behaviour in prison, his punishment remained immutable and incapable of being reviewed as the competent judge was not empowered to assess the results of his efforts to make amends.</w:t>
      </w:r>
    </w:p>
    <w:bookmarkStart w:name="OBS_REQ_INNOCENCE_PERIL_VIE" w:id="22"/>
    <w:p w:rsidRPr="00A37885" w:rsidR="00ED7FD7" w:rsidP="00A37885" w14:paraId="789F8FA7" w14:textId="001C7955">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70</w:t>
      </w:r>
      <w:r w:rsidRPr="00A37885">
        <w:fldChar w:fldCharType="end"/>
      </w:r>
      <w:bookmarkEnd w:id="22"/>
      <w:r w:rsidRPr="00A37885">
        <w:rPr>
          <w:lang w:val="en-IE"/>
        </w:rPr>
        <w:t>.  </w:t>
      </w:r>
      <w:r w:rsidRPr="00A37885">
        <w:rPr>
          <w:lang w:val="en-IE"/>
        </w:rPr>
        <w:t xml:space="preserve">The coercion to which he was </w:t>
      </w:r>
      <w:r w:rsidRPr="00A37885" w:rsidR="000E0701">
        <w:rPr>
          <w:lang w:val="en-IE"/>
        </w:rPr>
        <w:t>subjected</w:t>
      </w:r>
      <w:r w:rsidRPr="00A37885">
        <w:rPr>
          <w:lang w:val="en-IE"/>
        </w:rPr>
        <w:t xml:space="preserve">, </w:t>
      </w:r>
      <w:r w:rsidRPr="00A37885" w:rsidR="009C6950">
        <w:rPr>
          <w:lang w:val="en-IE"/>
        </w:rPr>
        <w:t>besides</w:t>
      </w:r>
      <w:r w:rsidRPr="00A37885">
        <w:rPr>
          <w:lang w:val="en-IE"/>
        </w:rPr>
        <w:t xml:space="preserve"> running counter to his personal conviction that he was innocent and thus to his moral freedom, presented him with a dilemma: he could either accept the risk to his own life and the lives of his loved ones by laying them open to typical mafia-style reprisals, or he could refuse to cooperate and </w:t>
      </w:r>
      <w:r w:rsidRPr="00A37885" w:rsidR="00A07039">
        <w:rPr>
          <w:lang w:val="en-IE"/>
        </w:rPr>
        <w:t xml:space="preserve">thus </w:t>
      </w:r>
      <w:r w:rsidRPr="00A37885">
        <w:rPr>
          <w:lang w:val="en-IE"/>
        </w:rPr>
        <w:t>forego any prospect of release.</w:t>
      </w:r>
    </w:p>
    <w:bookmarkStart w:name="OBS_REQ_ELARGISSEMENT" w:id="23"/>
    <w:p w:rsidRPr="00A37885" w:rsidR="00365EFC" w:rsidP="00A37885" w14:paraId="7C881AF6" w14:textId="7D1E18A9">
      <w:pPr>
        <w:pStyle w:val="JuPara"/>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71</w:t>
      </w:r>
      <w:r w:rsidRPr="00A37885">
        <w:fldChar w:fldCharType="end"/>
      </w:r>
      <w:bookmarkEnd w:id="23"/>
      <w:r w:rsidRPr="00A37885">
        <w:rPr>
          <w:lang w:val="en-IE"/>
        </w:rPr>
        <w:t>.  </w:t>
      </w:r>
      <w:r w:rsidRPr="00A37885" w:rsidR="00ED7FD7">
        <w:rPr>
          <w:lang w:val="en-IE"/>
        </w:rPr>
        <w:t>Cooperation with the judicial authorities could not be said to constitute a “prospect of release” on penological grounds for the purposes of Article 3 of the Convention.</w:t>
      </w:r>
      <w:r w:rsidRPr="00A37885" w:rsidR="00717F7F">
        <w:rPr>
          <w:lang w:val="en-IE"/>
        </w:rPr>
        <w:t xml:space="preserve"> In that connection </w:t>
      </w:r>
      <w:r w:rsidRPr="00A37885" w:rsidR="009C6950">
        <w:rPr>
          <w:lang w:val="en-IE"/>
        </w:rPr>
        <w:t>the applicant</w:t>
      </w:r>
      <w:r w:rsidRPr="00A37885" w:rsidR="00717F7F">
        <w:rPr>
          <w:lang w:val="en-IE"/>
        </w:rPr>
        <w:t xml:space="preserve"> argued that the Italian system obliged convicted prisoners to cooperate</w:t>
      </w:r>
      <w:r w:rsidRPr="00A37885" w:rsidR="00A07039">
        <w:rPr>
          <w:lang w:val="en-IE"/>
        </w:rPr>
        <w:t xml:space="preserve"> with the judicial authorities</w:t>
      </w:r>
      <w:r w:rsidRPr="00A37885" w:rsidR="00717F7F">
        <w:rPr>
          <w:lang w:val="en-IE"/>
        </w:rPr>
        <w:t xml:space="preserve">, since refusal to do so excluded them from all rehabilitation programmes and thus from </w:t>
      </w:r>
      <w:r w:rsidRPr="00A37885" w:rsidR="00A07039">
        <w:rPr>
          <w:lang w:val="en-IE"/>
        </w:rPr>
        <w:t>any prospect of being considered</w:t>
      </w:r>
      <w:r w:rsidRPr="00A37885" w:rsidR="00717F7F">
        <w:rPr>
          <w:lang w:val="en-IE"/>
        </w:rPr>
        <w:t xml:space="preserve"> for </w:t>
      </w:r>
      <w:r w:rsidRPr="00A37885" w:rsidR="00EA32C5">
        <w:rPr>
          <w:lang w:val="en-IE"/>
        </w:rPr>
        <w:t>conditional release</w:t>
      </w:r>
      <w:r w:rsidRPr="00A37885" w:rsidR="00717F7F">
        <w:rPr>
          <w:lang w:val="en-IE"/>
        </w:rPr>
        <w:t>. In the applicant</w:t>
      </w:r>
      <w:r w:rsidRPr="00A37885" w:rsidR="00A37885">
        <w:rPr>
          <w:lang w:val="en-IE"/>
        </w:rPr>
        <w:t>’</w:t>
      </w:r>
      <w:r w:rsidRPr="00A37885" w:rsidR="00717F7F">
        <w:rPr>
          <w:lang w:val="en-IE"/>
        </w:rPr>
        <w:t xml:space="preserve">s view, the mechanism in question bore strong similarities to the system at issue in the case of </w:t>
      </w:r>
      <w:r w:rsidRPr="00A37885">
        <w:rPr>
          <w:i/>
        </w:rPr>
        <w:t>Trabelsi v. Belgium</w:t>
      </w:r>
      <w:r w:rsidRPr="00A37885">
        <w:t xml:space="preserve"> (no.</w:t>
      </w:r>
      <w:r w:rsidRPr="00A37885" w:rsidR="00E64A62">
        <w:t> </w:t>
      </w:r>
      <w:r w:rsidRPr="00A37885">
        <w:t xml:space="preserve">140/10, §§ 134-39, ECHR 2014 (extracts)). Furthermore, the applicant argued that the automatic mechanism provided for by the Italian legislation gave undue </w:t>
      </w:r>
      <w:r w:rsidRPr="00A37885" w:rsidR="00A07039">
        <w:t>weight</w:t>
      </w:r>
      <w:r w:rsidRPr="00A37885">
        <w:t xml:space="preserve"> to criminal-policy</w:t>
      </w:r>
      <w:r w:rsidRPr="00A37885" w:rsidR="00A07039">
        <w:t xml:space="preserve"> considerations,</w:t>
      </w:r>
      <w:r w:rsidRPr="00A37885">
        <w:t xml:space="preserve"> to the detriment </w:t>
      </w:r>
      <w:r w:rsidRPr="00A37885" w:rsidR="00A07039">
        <w:t>of prisoners</w:t>
      </w:r>
      <w:r w:rsidRPr="00A37885" w:rsidR="00A37885">
        <w:t>’</w:t>
      </w:r>
      <w:r w:rsidRPr="00A37885">
        <w:t xml:space="preserve"> resocialisation needs; this was a violation of the human dignity of all prisoners. In his view, this mechanism reduced him to nothing more than the crime he had committed and meant that his release from prison was only possible if he </w:t>
      </w:r>
      <w:r w:rsidRPr="00A37885" w:rsidR="00A07039">
        <w:t>adopted</w:t>
      </w:r>
      <w:r w:rsidRPr="00A37885">
        <w:t xml:space="preserve"> an instrumental approach (</w:t>
      </w:r>
      <w:r w:rsidRPr="00A37885" w:rsidR="00855559">
        <w:t>consisting, in his case, of offering wholesale cooperation)</w:t>
      </w:r>
      <w:r w:rsidRPr="00A37885" w:rsidR="009C6950">
        <w:t>; at the same time, it disregarded any efforts on his part to rehabilitate</w:t>
      </w:r>
      <w:r w:rsidRPr="00A37885" w:rsidR="00855559">
        <w:t>.</w:t>
      </w:r>
    </w:p>
    <w:bookmarkStart w:name="OBS_REQ_OP_REINSERTION" w:id="24"/>
    <w:p w:rsidRPr="00A37885" w:rsidR="00855559" w:rsidP="00A37885" w14:paraId="3BB53DE2" w14:textId="050B3AB6">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72</w:t>
      </w:r>
      <w:r w:rsidRPr="00A37885">
        <w:fldChar w:fldCharType="end"/>
      </w:r>
      <w:bookmarkEnd w:id="24"/>
      <w:r w:rsidRPr="00A37885">
        <w:rPr>
          <w:lang w:val="en-IE"/>
        </w:rPr>
        <w:t>.  </w:t>
      </w:r>
      <w:r w:rsidRPr="00A37885">
        <w:rPr>
          <w:lang w:val="en-IE"/>
        </w:rPr>
        <w:t>Lastly, with regard to the aims of rehabilitation and reintegration</w:t>
      </w:r>
      <w:r w:rsidRPr="00A37885" w:rsidR="009C6950">
        <w:rPr>
          <w:lang w:val="en-IE"/>
        </w:rPr>
        <w:t xml:space="preserve"> of prisoners</w:t>
      </w:r>
      <w:r w:rsidRPr="00A37885">
        <w:rPr>
          <w:lang w:val="en-IE"/>
        </w:rPr>
        <w:t xml:space="preserve"> </w:t>
      </w:r>
      <w:r w:rsidRPr="00A37885" w:rsidR="000A53D3">
        <w:rPr>
          <w:lang w:val="en-IE"/>
        </w:rPr>
        <w:t>derived from</w:t>
      </w:r>
      <w:r w:rsidRPr="00A37885">
        <w:rPr>
          <w:lang w:val="en-IE"/>
        </w:rPr>
        <w:t xml:space="preserve"> the principles established by the Court (the applicant referred to </w:t>
      </w:r>
      <w:r w:rsidRPr="00A37885">
        <w:rPr>
          <w:i/>
          <w:iCs/>
          <w:lang w:val="en-IE"/>
        </w:rPr>
        <w:t>Murray</w:t>
      </w:r>
      <w:r w:rsidRPr="00A37885">
        <w:rPr>
          <w:lang w:val="en-IE"/>
        </w:rPr>
        <w:t xml:space="preserve">, cited above, §§ 102-04, and </w:t>
      </w:r>
      <w:r w:rsidRPr="00A37885">
        <w:rPr>
          <w:i/>
          <w:lang w:val="en-IE"/>
        </w:rPr>
        <w:t>Khoroshenko v. Russia</w:t>
      </w:r>
      <w:r w:rsidRPr="00A37885">
        <w:rPr>
          <w:lang w:val="en-IE"/>
        </w:rPr>
        <w:t xml:space="preserve"> [GC], no. 41418/04, § 121, ECHR 2015), </w:t>
      </w:r>
      <w:r w:rsidRPr="00A37885" w:rsidR="00A07039">
        <w:rPr>
          <w:lang w:val="en-IE"/>
        </w:rPr>
        <w:t>he</w:t>
      </w:r>
      <w:r w:rsidRPr="00A37885">
        <w:rPr>
          <w:lang w:val="en-IE"/>
        </w:rPr>
        <w:t xml:space="preserve"> alleged that the mechanism in question implied an irrebuttable presumption of non-rehabilitation </w:t>
      </w:r>
      <w:r w:rsidRPr="00A37885" w:rsidR="003F53CE">
        <w:rPr>
          <w:lang w:val="en-IE"/>
        </w:rPr>
        <w:t xml:space="preserve">and continuing dangerousness in the absence of cooperation. The possibility of working towards rehabilitation thus became meaningless for him and this prospect, in addition to causing him </w:t>
      </w:r>
      <w:r w:rsidRPr="00A37885" w:rsidR="000A53D3">
        <w:rPr>
          <w:lang w:val="en-IE"/>
        </w:rPr>
        <w:t>acute distress</w:t>
      </w:r>
      <w:r w:rsidRPr="00A37885" w:rsidR="003F53CE">
        <w:rPr>
          <w:lang w:val="en-IE"/>
        </w:rPr>
        <w:t>, deprived him of any opportunity to influence his reintegration into society through his behaviour. His capacity for self-determination was also affected. In the applicant</w:t>
      </w:r>
      <w:r w:rsidRPr="00A37885" w:rsidR="00A37885">
        <w:rPr>
          <w:lang w:val="en-IE"/>
        </w:rPr>
        <w:t>’</w:t>
      </w:r>
      <w:r w:rsidRPr="00A37885" w:rsidR="003F53CE">
        <w:rPr>
          <w:lang w:val="en-IE"/>
        </w:rPr>
        <w:t xml:space="preserve">s view, the Italian State </w:t>
      </w:r>
      <w:r w:rsidRPr="00A37885" w:rsidR="00A07039">
        <w:rPr>
          <w:lang w:val="en-IE"/>
        </w:rPr>
        <w:t>had not complied</w:t>
      </w:r>
      <w:r w:rsidRPr="00A37885" w:rsidR="003F53CE">
        <w:rPr>
          <w:lang w:val="en-IE"/>
        </w:rPr>
        <w:t xml:space="preserve"> with its positive obligation to afford him the possibility of working towards rehabilitation.</w:t>
      </w:r>
    </w:p>
    <w:bookmarkStart w:name="OBS_REQ_REEXAMEN" w:id="25"/>
    <w:p w:rsidRPr="00A37885" w:rsidR="00166CEB" w:rsidP="00A37885" w14:paraId="071BD314" w14:textId="0AAFBE12">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73</w:t>
      </w:r>
      <w:r w:rsidRPr="00A37885">
        <w:fldChar w:fldCharType="end"/>
      </w:r>
      <w:bookmarkEnd w:id="25"/>
      <w:r w:rsidRPr="00A37885">
        <w:rPr>
          <w:lang w:val="en-IE"/>
        </w:rPr>
        <w:t>.  </w:t>
      </w:r>
      <w:r w:rsidRPr="00A37885">
        <w:rPr>
          <w:lang w:val="en-IE"/>
        </w:rPr>
        <w:t xml:space="preserve">As to the procedure for </w:t>
      </w:r>
      <w:r w:rsidRPr="00A37885" w:rsidR="00EA32C5">
        <w:rPr>
          <w:lang w:val="en-IE"/>
        </w:rPr>
        <w:t>conditional release</w:t>
      </w:r>
      <w:r w:rsidRPr="00A37885">
        <w:rPr>
          <w:lang w:val="en-IE"/>
        </w:rPr>
        <w:t>, the applicant submitted that his conduct had been positive</w:t>
      </w:r>
      <w:r w:rsidRPr="00A37885" w:rsidR="00A07039">
        <w:rPr>
          <w:lang w:val="en-IE"/>
        </w:rPr>
        <w:t xml:space="preserve"> throughout his detention</w:t>
      </w:r>
      <w:r w:rsidRPr="00A37885">
        <w:rPr>
          <w:lang w:val="en-IE"/>
        </w:rPr>
        <w:t>, both in terms of his behaviour and in rehabilitative terms, and that he had taken part successfully in rehabilitation activities. As no disciplinary sanctions had ever been imposed on him, he had accumulated more than five years of “early release” credit (</w:t>
      </w:r>
      <w:r w:rsidRPr="00A37885" w:rsidR="009C6950">
        <w:rPr>
          <w:lang w:val="en-IE"/>
        </w:rPr>
        <w:t>as of</w:t>
      </w:r>
      <w:r w:rsidRPr="00A37885">
        <w:rPr>
          <w:lang w:val="en-IE"/>
        </w:rPr>
        <w:t xml:space="preserve"> 30 December 2013) on account of his participation in the activities offered by the prison management. However, he could not take advantage of </w:t>
      </w:r>
      <w:r w:rsidRPr="00A37885" w:rsidR="00A07039">
        <w:rPr>
          <w:lang w:val="en-IE"/>
        </w:rPr>
        <w:t>this credit</w:t>
      </w:r>
      <w:r w:rsidRPr="00A37885">
        <w:rPr>
          <w:lang w:val="en-IE"/>
        </w:rPr>
        <w:t xml:space="preserve"> because he was detained under the section 4 </w:t>
      </w:r>
      <w:r w:rsidRPr="00A37885">
        <w:rPr>
          <w:i/>
          <w:iCs/>
          <w:lang w:val="en-IE"/>
        </w:rPr>
        <w:t xml:space="preserve">bis </w:t>
      </w:r>
      <w:r w:rsidRPr="00A37885">
        <w:rPr>
          <w:lang w:val="en-IE"/>
        </w:rPr>
        <w:t>prison regime.</w:t>
      </w:r>
    </w:p>
    <w:p w:rsidRPr="00A37885" w:rsidR="00312965" w:rsidP="00A37885" w14:paraId="24EEB618" w14:textId="657A3666">
      <w:pPr>
        <w:pStyle w:val="JuPara"/>
        <w:rPr>
          <w:lang w:val="en-IE"/>
        </w:rPr>
      </w:pPr>
      <w:r w:rsidRPr="00A37885">
        <w:rPr>
          <w:lang w:val="en-IE"/>
        </w:rPr>
        <w:t xml:space="preserve">The applicant added that </w:t>
      </w:r>
      <w:r w:rsidRPr="00A37885" w:rsidR="000A53D3">
        <w:rPr>
          <w:lang w:val="en-IE"/>
        </w:rPr>
        <w:t>the</w:t>
      </w:r>
      <w:r w:rsidRPr="00A37885">
        <w:rPr>
          <w:lang w:val="en-IE"/>
        </w:rPr>
        <w:t xml:space="preserve"> progress</w:t>
      </w:r>
      <w:r w:rsidRPr="00A37885" w:rsidR="000A53D3">
        <w:rPr>
          <w:lang w:val="en-IE"/>
        </w:rPr>
        <w:t xml:space="preserve"> he had made</w:t>
      </w:r>
      <w:r w:rsidRPr="00A37885">
        <w:rPr>
          <w:lang w:val="en-IE"/>
        </w:rPr>
        <w:t xml:space="preserve"> in prison had been noted by the L</w:t>
      </w:r>
      <w:r w:rsidRPr="00A37885" w:rsidR="00A37885">
        <w:rPr>
          <w:lang w:val="en-IE"/>
        </w:rPr>
        <w:t>’</w:t>
      </w:r>
      <w:r w:rsidRPr="00A37885">
        <w:rPr>
          <w:lang w:val="en-IE"/>
        </w:rPr>
        <w:t>Aquila Sentence Supervision Court</w:t>
      </w:r>
      <w:r w:rsidRPr="00A37885" w:rsidR="002E677D">
        <w:rPr>
          <w:lang w:val="en-IE"/>
        </w:rPr>
        <w:t xml:space="preserve"> in its order ending the application of the “</w:t>
      </w:r>
      <w:r w:rsidRPr="00A37885" w:rsidR="00DC4C77">
        <w:rPr>
          <w:lang w:val="en-IE"/>
        </w:rPr>
        <w:t>section</w:t>
      </w:r>
      <w:r w:rsidRPr="00A37885" w:rsidR="002E677D">
        <w:rPr>
          <w:lang w:val="en-IE"/>
        </w:rPr>
        <w:t xml:space="preserve"> 41 </w:t>
      </w:r>
      <w:r w:rsidRPr="00A37885" w:rsidR="002E677D">
        <w:rPr>
          <w:i/>
          <w:iCs/>
          <w:lang w:val="en-IE"/>
        </w:rPr>
        <w:t xml:space="preserve">bis </w:t>
      </w:r>
      <w:r w:rsidRPr="00A37885" w:rsidR="002E677D">
        <w:rPr>
          <w:lang w:val="en-IE"/>
        </w:rPr>
        <w:t>regime” in his case.</w:t>
      </w:r>
      <w:r w:rsidRPr="00A37885">
        <w:rPr>
          <w:lang w:val="en-IE"/>
        </w:rPr>
        <w:t xml:space="preserve"> </w:t>
      </w:r>
      <w:r w:rsidRPr="00A37885" w:rsidR="002E677D">
        <w:rPr>
          <w:lang w:val="en-IE"/>
        </w:rPr>
        <w:t xml:space="preserve">However, even if he adduced concrete evidence in support of his application for release it would be impossible for him to have it </w:t>
      </w:r>
      <w:r w:rsidRPr="00A37885" w:rsidR="0046683F">
        <w:rPr>
          <w:lang w:val="en-IE"/>
        </w:rPr>
        <w:t>examined</w:t>
      </w:r>
      <w:r w:rsidRPr="00A37885" w:rsidR="00A07039">
        <w:rPr>
          <w:lang w:val="en-IE"/>
        </w:rPr>
        <w:t>, either</w:t>
      </w:r>
      <w:r w:rsidRPr="00A37885" w:rsidR="002E677D">
        <w:rPr>
          <w:lang w:val="en-IE"/>
        </w:rPr>
        <w:t xml:space="preserve"> under the procedure for </w:t>
      </w:r>
      <w:r w:rsidRPr="00A37885" w:rsidR="00EA32C5">
        <w:rPr>
          <w:lang w:val="en-IE"/>
        </w:rPr>
        <w:t>conditional release</w:t>
      </w:r>
      <w:r w:rsidRPr="00A37885" w:rsidR="002E677D">
        <w:rPr>
          <w:lang w:val="en-IE"/>
        </w:rPr>
        <w:t xml:space="preserve"> or </w:t>
      </w:r>
      <w:r w:rsidRPr="00A37885" w:rsidR="00A07039">
        <w:rPr>
          <w:lang w:val="en-IE"/>
        </w:rPr>
        <w:t xml:space="preserve">under </w:t>
      </w:r>
      <w:r w:rsidRPr="00A37885" w:rsidR="002E677D">
        <w:rPr>
          <w:lang w:val="en-IE"/>
        </w:rPr>
        <w:t>the procedure for requesting prison leave. Accordingly, the applicant alleged that the review procedure did not satisfy the procedural requirements laid down by the Court</w:t>
      </w:r>
      <w:r w:rsidRPr="00A37885" w:rsidR="00A37885">
        <w:rPr>
          <w:lang w:val="en-IE"/>
        </w:rPr>
        <w:t>’</w:t>
      </w:r>
      <w:r w:rsidRPr="00A37885" w:rsidR="002E677D">
        <w:rPr>
          <w:lang w:val="en-IE"/>
        </w:rPr>
        <w:t xml:space="preserve">s case-law on the subject (the applicant referred to </w:t>
      </w:r>
      <w:r w:rsidRPr="00A37885" w:rsidR="002E677D">
        <w:rPr>
          <w:i/>
          <w:iCs/>
          <w:lang w:val="en-IE"/>
        </w:rPr>
        <w:t>Murray</w:t>
      </w:r>
      <w:r w:rsidRPr="00A37885" w:rsidR="002E677D">
        <w:rPr>
          <w:lang w:val="en-IE"/>
        </w:rPr>
        <w:t>, cited above, § 99).</w:t>
      </w:r>
    </w:p>
    <w:bookmarkStart w:name="OBS_REQ_POUVOIR_GRACE" w:id="26"/>
    <w:p w:rsidRPr="00A37885" w:rsidR="002E677D" w:rsidP="00A37885" w14:paraId="4B02F488" w14:textId="3CA2E4F1">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74</w:t>
      </w:r>
      <w:r w:rsidRPr="00A37885">
        <w:fldChar w:fldCharType="end"/>
      </w:r>
      <w:bookmarkEnd w:id="26"/>
      <w:r w:rsidRPr="00A37885">
        <w:rPr>
          <w:lang w:val="en-IE"/>
        </w:rPr>
        <w:t>.  </w:t>
      </w:r>
      <w:r w:rsidRPr="00A37885">
        <w:rPr>
          <w:lang w:val="en-IE"/>
        </w:rPr>
        <w:t xml:space="preserve">Lastly, with regard to the </w:t>
      </w:r>
      <w:r w:rsidRPr="00A37885" w:rsidR="00A07039">
        <w:rPr>
          <w:lang w:val="en-IE"/>
        </w:rPr>
        <w:t>presidential</w:t>
      </w:r>
      <w:r w:rsidRPr="00A37885">
        <w:rPr>
          <w:lang w:val="en-IE"/>
        </w:rPr>
        <w:t xml:space="preserve"> power </w:t>
      </w:r>
      <w:r w:rsidRPr="00A37885" w:rsidR="00A07039">
        <w:rPr>
          <w:lang w:val="en-IE"/>
        </w:rPr>
        <w:t>of clemency</w:t>
      </w:r>
      <w:r w:rsidRPr="00A37885">
        <w:rPr>
          <w:lang w:val="en-IE"/>
        </w:rPr>
        <w:t xml:space="preserve">, the applicant asserted that no </w:t>
      </w:r>
      <w:r w:rsidRPr="00A37885" w:rsidR="0077459B">
        <w:rPr>
          <w:lang w:val="en-IE"/>
        </w:rPr>
        <w:t xml:space="preserve">prisoner sentenced to life imprisonment under section 4 </w:t>
      </w:r>
      <w:r w:rsidRPr="00A37885" w:rsidR="0077459B">
        <w:rPr>
          <w:i/>
          <w:iCs/>
          <w:lang w:val="en-IE"/>
        </w:rPr>
        <w:t xml:space="preserve">bis </w:t>
      </w:r>
      <w:r w:rsidRPr="00A37885" w:rsidR="0077459B">
        <w:rPr>
          <w:lang w:val="en-IE"/>
        </w:rPr>
        <w:t>had ever been pardoned by the President of the Republic.</w:t>
      </w:r>
    </w:p>
    <w:p w:rsidRPr="00A37885" w:rsidR="00A97A46" w:rsidP="00A37885" w14:paraId="12BD2FE7" w14:textId="79271DD6">
      <w:pPr>
        <w:pStyle w:val="JuHa0"/>
      </w:pPr>
      <w:r w:rsidRPr="00A37885">
        <w:t>The Government</w:t>
      </w:r>
    </w:p>
    <w:bookmarkStart w:name="OBS_GVT_SOLIDITE_LIEN_DESINTEGRATION" w:id="27"/>
    <w:p w:rsidRPr="00A37885" w:rsidR="008F670E" w:rsidP="00A37885" w14:paraId="727A24C3" w14:textId="525A01F5">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75</w:t>
      </w:r>
      <w:r w:rsidRPr="00A37885">
        <w:fldChar w:fldCharType="end"/>
      </w:r>
      <w:bookmarkEnd w:id="27"/>
      <w:r w:rsidRPr="00A37885">
        <w:t>.  </w:t>
      </w:r>
      <w:r w:rsidRPr="00A37885" w:rsidR="00CD3B64">
        <w:rPr>
          <w:lang w:val="en-IE"/>
        </w:rPr>
        <w:t>The</w:t>
      </w:r>
      <w:r w:rsidRPr="00A37885">
        <w:rPr>
          <w:lang w:val="en-IE"/>
        </w:rPr>
        <w:t xml:space="preserve"> Government began by pointing to the specific context in which section 4 </w:t>
      </w:r>
      <w:r w:rsidRPr="00A37885">
        <w:rPr>
          <w:i/>
          <w:iCs/>
          <w:lang w:val="en-IE"/>
        </w:rPr>
        <w:t xml:space="preserve">bis </w:t>
      </w:r>
      <w:r w:rsidRPr="00A37885">
        <w:rPr>
          <w:lang w:val="en-IE"/>
        </w:rPr>
        <w:t xml:space="preserve">was applied. Owing to the extremely serious nature of the offences concerned, in which the mafia element was characterised by the strength of the links and their stability over time, the regime in question </w:t>
      </w:r>
      <w:r w:rsidRPr="00A37885" w:rsidR="00CD3B64">
        <w:rPr>
          <w:lang w:val="en-IE"/>
        </w:rPr>
        <w:t>required</w:t>
      </w:r>
      <w:r w:rsidRPr="00A37885">
        <w:rPr>
          <w:lang w:val="en-IE"/>
        </w:rPr>
        <w:t xml:space="preserve"> the prisoner to demonstrate in a tangible manner, through cooperation with the authorities, that he or she had made progress towards rehabilitation in prison and had “dissociated” himself or herself from the criminal world. In other words, in the Government</w:t>
      </w:r>
      <w:r w:rsidRPr="00A37885" w:rsidR="00A37885">
        <w:rPr>
          <w:lang w:val="en-IE"/>
        </w:rPr>
        <w:t>’</w:t>
      </w:r>
      <w:r w:rsidRPr="00A37885">
        <w:rPr>
          <w:lang w:val="en-IE"/>
        </w:rPr>
        <w:t>s submission, the prisoner in question had to be able to prove, on completion of the process of resocialisation, that he or she had rejected “criminal values” by contributing to the “dismantling” of the mafia organisation and to restoring lawfulness.</w:t>
      </w:r>
    </w:p>
    <w:p w:rsidRPr="00A37885" w:rsidR="00DC4C77" w:rsidP="00A37885" w14:paraId="5336242F" w14:textId="449AB4AE">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76</w:t>
      </w:r>
      <w:r w:rsidRPr="00A37885">
        <w:fldChar w:fldCharType="end"/>
      </w:r>
      <w:r w:rsidRPr="00A37885">
        <w:rPr>
          <w:lang w:val="en-IE"/>
        </w:rPr>
        <w:t>.  </w:t>
      </w:r>
      <w:r w:rsidRPr="00A37885">
        <w:rPr>
          <w:lang w:val="en-IE"/>
        </w:rPr>
        <w:t xml:space="preserve">The Government added that there was a major difference between the 41 </w:t>
      </w:r>
      <w:r w:rsidRPr="00A37885">
        <w:rPr>
          <w:i/>
          <w:iCs/>
          <w:lang w:val="en-IE"/>
        </w:rPr>
        <w:t xml:space="preserve">bis </w:t>
      </w:r>
      <w:r w:rsidRPr="00A37885">
        <w:rPr>
          <w:lang w:val="en-IE"/>
        </w:rPr>
        <w:t xml:space="preserve">regime and the regime provided for in section 4 </w:t>
      </w:r>
      <w:r w:rsidRPr="00A37885">
        <w:rPr>
          <w:i/>
          <w:iCs/>
          <w:lang w:val="en-IE"/>
        </w:rPr>
        <w:t xml:space="preserve">bis. </w:t>
      </w:r>
      <w:r w:rsidRPr="00A37885">
        <w:rPr>
          <w:lang w:val="en-IE"/>
        </w:rPr>
        <w:t xml:space="preserve">In the present case, the post-sentencing judge had ended the application of the special prison regime under section 41 </w:t>
      </w:r>
      <w:r w:rsidRPr="00A37885">
        <w:rPr>
          <w:i/>
          <w:iCs/>
          <w:lang w:val="en-IE"/>
        </w:rPr>
        <w:t xml:space="preserve">bis </w:t>
      </w:r>
      <w:r w:rsidRPr="00A37885">
        <w:rPr>
          <w:lang w:val="en-IE"/>
        </w:rPr>
        <w:t>on the grounds that the applicant no longer had the capacity to maintain his conta</w:t>
      </w:r>
      <w:r w:rsidRPr="00A37885" w:rsidR="00A1054E">
        <w:rPr>
          <w:lang w:val="en-IE"/>
        </w:rPr>
        <w:t xml:space="preserve">cts with the criminal organisation from prison; under section 4 </w:t>
      </w:r>
      <w:r w:rsidRPr="00A37885" w:rsidR="00A1054E">
        <w:rPr>
          <w:i/>
          <w:iCs/>
          <w:lang w:val="en-IE"/>
        </w:rPr>
        <w:t>bis</w:t>
      </w:r>
      <w:r w:rsidRPr="00A37885" w:rsidR="00A1054E">
        <w:rPr>
          <w:lang w:val="en-IE"/>
        </w:rPr>
        <w:t xml:space="preserve">, meanwhile, prisoners had to provide positive </w:t>
      </w:r>
      <w:r w:rsidRPr="00A37885" w:rsidR="00CD3B64">
        <w:rPr>
          <w:lang w:val="en-IE"/>
        </w:rPr>
        <w:t>evidence</w:t>
      </w:r>
      <w:r w:rsidRPr="00A37885" w:rsidR="00A1054E">
        <w:rPr>
          <w:lang w:val="en-IE"/>
        </w:rPr>
        <w:t xml:space="preserve"> that they had broken off all links to the criminal organisation to which they had belonged.</w:t>
      </w:r>
    </w:p>
    <w:bookmarkStart w:name="OBS_GVT_EO_ACTIVITE_CLAN" w:id="28"/>
    <w:p w:rsidRPr="00A37885" w:rsidR="00A1054E" w:rsidP="00A37885" w14:paraId="70568F48" w14:textId="3A49895B">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77</w:t>
      </w:r>
      <w:r w:rsidRPr="00A37885">
        <w:fldChar w:fldCharType="end"/>
      </w:r>
      <w:bookmarkEnd w:id="28"/>
      <w:r w:rsidRPr="00A37885">
        <w:t>.  </w:t>
      </w:r>
      <w:r w:rsidRPr="00A37885">
        <w:rPr>
          <w:lang w:val="en-IE"/>
        </w:rPr>
        <w:t>In the Government</w:t>
      </w:r>
      <w:r w:rsidRPr="00A37885" w:rsidR="00A37885">
        <w:rPr>
          <w:lang w:val="en-IE"/>
        </w:rPr>
        <w:t>’</w:t>
      </w:r>
      <w:r w:rsidRPr="00A37885">
        <w:rPr>
          <w:lang w:val="en-IE"/>
        </w:rPr>
        <w:t>s view, this was a fundamental distinction, especially since the mafia clan in question, of which the applicant was acknowledged to have been a past leader, was still very active in Taurianova, as demonstrated by the pre-trial detention orders made against members of the clan and the arre</w:t>
      </w:r>
      <w:r w:rsidRPr="00A37885" w:rsidR="000A53D3">
        <w:rPr>
          <w:lang w:val="en-IE"/>
        </w:rPr>
        <w:t>s</w:t>
      </w:r>
      <w:r w:rsidRPr="00A37885">
        <w:rPr>
          <w:lang w:val="en-IE"/>
        </w:rPr>
        <w:t>t of the applicant</w:t>
      </w:r>
      <w:r w:rsidRPr="00A37885" w:rsidR="00A37885">
        <w:rPr>
          <w:lang w:val="en-IE"/>
        </w:rPr>
        <w:t>’</w:t>
      </w:r>
      <w:r w:rsidRPr="00A37885">
        <w:rPr>
          <w:lang w:val="en-IE"/>
        </w:rPr>
        <w:t>s wife on 12 December 2017.</w:t>
      </w:r>
    </w:p>
    <w:p w:rsidRPr="00A37885" w:rsidR="00AD1521" w:rsidP="00A37885" w14:paraId="7E9E8BC8" w14:textId="693E1FE9">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78</w:t>
      </w:r>
      <w:r w:rsidRPr="00A37885">
        <w:fldChar w:fldCharType="end"/>
      </w:r>
      <w:r w:rsidRPr="00A37885">
        <w:rPr>
          <w:lang w:val="en-IE"/>
        </w:rPr>
        <w:t>.  </w:t>
      </w:r>
      <w:r w:rsidRPr="00A37885">
        <w:rPr>
          <w:lang w:val="en-IE"/>
        </w:rPr>
        <w:t xml:space="preserve">As to the nature of the life sentences governed by section 4 </w:t>
      </w:r>
      <w:r w:rsidRPr="00A37885">
        <w:rPr>
          <w:i/>
          <w:iCs/>
          <w:lang w:val="en-IE"/>
        </w:rPr>
        <w:t>bis</w:t>
      </w:r>
      <w:r w:rsidRPr="00A37885">
        <w:rPr>
          <w:lang w:val="en-IE"/>
        </w:rPr>
        <w:t xml:space="preserve">, the Government, pointing to the case-law of the Italian Constitutional Court and Court of Cassation, maintained that these sentences were </w:t>
      </w:r>
      <w:r w:rsidRPr="00A37885">
        <w:rPr>
          <w:i/>
          <w:iCs/>
          <w:lang w:val="en-IE"/>
        </w:rPr>
        <w:t xml:space="preserve">de jure </w:t>
      </w:r>
      <w:r w:rsidRPr="00A37885">
        <w:rPr>
          <w:lang w:val="en-IE"/>
        </w:rPr>
        <w:t xml:space="preserve">and </w:t>
      </w:r>
      <w:r w:rsidRPr="00A37885">
        <w:rPr>
          <w:i/>
          <w:iCs/>
          <w:lang w:val="en-IE"/>
        </w:rPr>
        <w:t xml:space="preserve">de facto </w:t>
      </w:r>
      <w:r w:rsidRPr="00A37885">
        <w:rPr>
          <w:lang w:val="en-IE"/>
        </w:rPr>
        <w:t>reducible.</w:t>
      </w:r>
    </w:p>
    <w:bookmarkStart w:name="OBS_GVT_LIBRE_CHOIX" w:id="29"/>
    <w:p w:rsidRPr="00A37885" w:rsidR="00AD1521" w:rsidP="00A37885" w14:paraId="3A9DA909" w14:textId="50B520BA">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79</w:t>
      </w:r>
      <w:r w:rsidRPr="00A37885">
        <w:fldChar w:fldCharType="end"/>
      </w:r>
      <w:bookmarkEnd w:id="29"/>
      <w:r w:rsidRPr="00A37885">
        <w:t>.  </w:t>
      </w:r>
      <w:r w:rsidRPr="00A37885">
        <w:rPr>
          <w:lang w:val="en-IE"/>
        </w:rPr>
        <w:t xml:space="preserve">According to the Government, persons </w:t>
      </w:r>
      <w:r w:rsidRPr="00A37885" w:rsidR="00647022">
        <w:rPr>
          <w:lang w:val="en-IE"/>
        </w:rPr>
        <w:t xml:space="preserve">serving life sentences </w:t>
      </w:r>
      <w:r w:rsidRPr="00A37885">
        <w:rPr>
          <w:lang w:val="en-IE"/>
        </w:rPr>
        <w:t xml:space="preserve">could make an application to the post-sentencing judge for </w:t>
      </w:r>
      <w:r w:rsidRPr="00A37885" w:rsidR="00EA32C5">
        <w:rPr>
          <w:lang w:val="en-IE"/>
        </w:rPr>
        <w:t>conditional release</w:t>
      </w:r>
      <w:r w:rsidRPr="00A37885">
        <w:rPr>
          <w:lang w:val="en-IE"/>
        </w:rPr>
        <w:t xml:space="preserve"> on the basis of the results of the rehabilitation programme and </w:t>
      </w:r>
      <w:r w:rsidRPr="00A37885" w:rsidR="00647022">
        <w:rPr>
          <w:lang w:val="en-IE"/>
        </w:rPr>
        <w:t xml:space="preserve">their cooperation with the judicial authorities. The system also offered persons serving life sentences practical prospects, by </w:t>
      </w:r>
      <w:r w:rsidRPr="00A37885" w:rsidR="00CD3B64">
        <w:rPr>
          <w:lang w:val="en-IE"/>
        </w:rPr>
        <w:t>allowing them to be considered</w:t>
      </w:r>
      <w:r w:rsidRPr="00A37885" w:rsidR="00647022">
        <w:rPr>
          <w:lang w:val="en-IE"/>
        </w:rPr>
        <w:t xml:space="preserve"> for sentence adjustments if cooperation was “impossible” or “unenforceable” (the Government furnished a very detailed list of previous judicial decisions </w:t>
      </w:r>
      <w:r w:rsidRPr="00A37885" w:rsidR="00CD3B64">
        <w:rPr>
          <w:lang w:val="en-IE"/>
        </w:rPr>
        <w:t>concerning</w:t>
      </w:r>
      <w:r w:rsidRPr="00A37885" w:rsidR="00647022">
        <w:rPr>
          <w:lang w:val="en-IE"/>
        </w:rPr>
        <w:t xml:space="preserve"> this aspect), and by linking eligibility for such adjustments to the free choice of the individual concerned to cooperate rather than to an automatic </w:t>
      </w:r>
      <w:r w:rsidRPr="00A37885" w:rsidR="00CD3B64">
        <w:rPr>
          <w:lang w:val="en-IE"/>
        </w:rPr>
        <w:t>statutory</w:t>
      </w:r>
      <w:r w:rsidRPr="00A37885" w:rsidR="00647022">
        <w:rPr>
          <w:lang w:val="en-IE"/>
        </w:rPr>
        <w:t xml:space="preserve"> mechanism. The legislature regarded such cooperation as an objective indicator of the rejection of “criminal values” and of “dissociation” from the mafia group; that was why </w:t>
      </w:r>
      <w:r w:rsidRPr="00A37885" w:rsidR="00CD3B64">
        <w:rPr>
          <w:lang w:val="en-IE"/>
        </w:rPr>
        <w:t>it</w:t>
      </w:r>
      <w:r w:rsidRPr="00A37885" w:rsidR="00647022">
        <w:rPr>
          <w:lang w:val="en-IE"/>
        </w:rPr>
        <w:t xml:space="preserve"> had opted to give precedence to the requirements of general prevention and </w:t>
      </w:r>
      <w:r w:rsidRPr="00A37885" w:rsidR="00CD3B64">
        <w:rPr>
          <w:lang w:val="en-IE"/>
        </w:rPr>
        <w:t xml:space="preserve">the </w:t>
      </w:r>
      <w:r w:rsidRPr="00A37885" w:rsidR="00647022">
        <w:rPr>
          <w:lang w:val="en-IE"/>
        </w:rPr>
        <w:t>protection of society.</w:t>
      </w:r>
    </w:p>
    <w:bookmarkStart w:name="OBS_GVT_PREUVE_REEDUCATION" w:id="30"/>
    <w:p w:rsidRPr="00A37885" w:rsidR="00647022" w:rsidP="00A37885" w14:paraId="7748D9EC" w14:textId="24604587">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80</w:t>
      </w:r>
      <w:r w:rsidRPr="00A37885">
        <w:fldChar w:fldCharType="end"/>
      </w:r>
      <w:bookmarkEnd w:id="30"/>
      <w:r w:rsidRPr="00A37885">
        <w:rPr>
          <w:lang w:val="en-IE"/>
        </w:rPr>
        <w:t>.  </w:t>
      </w:r>
      <w:r w:rsidRPr="00A37885" w:rsidR="00207B46">
        <w:rPr>
          <w:lang w:val="en-IE"/>
        </w:rPr>
        <w:t>The Government submitted that i</w:t>
      </w:r>
      <w:r w:rsidRPr="00A37885">
        <w:rPr>
          <w:lang w:val="en-IE"/>
        </w:rPr>
        <w:t xml:space="preserve">n the present case the review procedure had </w:t>
      </w:r>
      <w:r w:rsidRPr="00A37885" w:rsidR="00207B46">
        <w:rPr>
          <w:lang w:val="en-IE"/>
        </w:rPr>
        <w:t>made it possible to take into account the applicant</w:t>
      </w:r>
      <w:r w:rsidRPr="00A37885" w:rsidR="00A37885">
        <w:rPr>
          <w:lang w:val="en-IE"/>
        </w:rPr>
        <w:t>’</w:t>
      </w:r>
      <w:r w:rsidRPr="00A37885" w:rsidR="00207B46">
        <w:rPr>
          <w:lang w:val="en-IE"/>
        </w:rPr>
        <w:t xml:space="preserve">s progress towards rehabilitation. The courts had been able to determine whether the applicant had made progress such that his </w:t>
      </w:r>
      <w:r w:rsidRPr="00A37885" w:rsidR="00207B46">
        <w:t>continued detention could no longer be justified on legitimate penological grounds</w:t>
      </w:r>
      <w:r w:rsidRPr="00A37885" w:rsidR="00207B46">
        <w:rPr>
          <w:lang w:val="en-IE"/>
        </w:rPr>
        <w:t>. Furthermore, the applicant had and continued to have the possibility of cooperati</w:t>
      </w:r>
      <w:r w:rsidRPr="00A37885" w:rsidR="00EF047F">
        <w:rPr>
          <w:lang w:val="en-IE"/>
        </w:rPr>
        <w:t>ng</w:t>
      </w:r>
      <w:r w:rsidRPr="00A37885" w:rsidR="00207B46">
        <w:rPr>
          <w:lang w:val="en-IE"/>
        </w:rPr>
        <w:t xml:space="preserve"> with the judicial authorities in order to furnish irrefutable </w:t>
      </w:r>
      <w:r w:rsidRPr="00A37885" w:rsidR="00EF047F">
        <w:rPr>
          <w:lang w:val="en-IE"/>
        </w:rPr>
        <w:t>evidence</w:t>
      </w:r>
      <w:r w:rsidRPr="00A37885" w:rsidR="00207B46">
        <w:rPr>
          <w:lang w:val="en-IE"/>
        </w:rPr>
        <w:t xml:space="preserve"> of his complete rehabilitation.</w:t>
      </w:r>
    </w:p>
    <w:bookmarkStart w:name="OBS_GVT_AUTRES_REMEDES" w:id="31"/>
    <w:p w:rsidRPr="00A37885" w:rsidR="00C20816" w:rsidP="00A37885" w14:paraId="3C9E418C" w14:textId="242510E0">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81</w:t>
      </w:r>
      <w:r w:rsidRPr="00A37885">
        <w:fldChar w:fldCharType="end"/>
      </w:r>
      <w:bookmarkEnd w:id="31"/>
      <w:r w:rsidRPr="00A37885">
        <w:rPr>
          <w:lang w:val="en-IE"/>
        </w:rPr>
        <w:t>.  </w:t>
      </w:r>
      <w:r w:rsidRPr="00A37885" w:rsidR="00EF047F">
        <w:rPr>
          <w:lang w:val="en-IE"/>
        </w:rPr>
        <w:t>In addition</w:t>
      </w:r>
      <w:r w:rsidRPr="00A37885">
        <w:rPr>
          <w:lang w:val="en-IE"/>
        </w:rPr>
        <w:t xml:space="preserve">, the domestic system provided for two alternative remedies to an application for </w:t>
      </w:r>
      <w:r w:rsidRPr="00A37885" w:rsidR="00EA32C5">
        <w:rPr>
          <w:lang w:val="en-IE"/>
        </w:rPr>
        <w:t>conditional release</w:t>
      </w:r>
      <w:r w:rsidRPr="00A37885">
        <w:rPr>
          <w:lang w:val="en-IE"/>
        </w:rPr>
        <w:t xml:space="preserve">: a request for presidential </w:t>
      </w:r>
      <w:r w:rsidRPr="00A37885" w:rsidR="00EF047F">
        <w:rPr>
          <w:lang w:val="en-IE"/>
        </w:rPr>
        <w:t>clemency</w:t>
      </w:r>
      <w:r w:rsidRPr="00A37885">
        <w:rPr>
          <w:lang w:val="en-IE"/>
        </w:rPr>
        <w:t xml:space="preserve"> under Article 174 of the Criminal Code, and an application for a stay of execution of the sentence on health grounds under Articles 147 and 148 of the same Code.</w:t>
      </w:r>
    </w:p>
    <w:p w:rsidRPr="00A37885" w:rsidR="007B5472" w:rsidP="00A37885" w14:paraId="01F9829C" w14:textId="5FC19FA6">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82</w:t>
      </w:r>
      <w:r w:rsidRPr="00A37885">
        <w:fldChar w:fldCharType="end"/>
      </w:r>
      <w:r w:rsidRPr="00A37885">
        <w:rPr>
          <w:lang w:val="en-IE"/>
        </w:rPr>
        <w:t>.  </w:t>
      </w:r>
      <w:r w:rsidRPr="00A37885">
        <w:rPr>
          <w:lang w:val="en-IE"/>
        </w:rPr>
        <w:t>As to the prospects for release on penological grounds, the Government disputed the applicant</w:t>
      </w:r>
      <w:r w:rsidRPr="00A37885" w:rsidR="00A37885">
        <w:rPr>
          <w:lang w:val="en-IE"/>
        </w:rPr>
        <w:t>’</w:t>
      </w:r>
      <w:r w:rsidRPr="00A37885">
        <w:rPr>
          <w:lang w:val="en-IE"/>
        </w:rPr>
        <w:t xml:space="preserve">s reading of the </w:t>
      </w:r>
      <w:r w:rsidRPr="00A37885">
        <w:rPr>
          <w:i/>
          <w:iCs/>
          <w:lang w:val="en-IE"/>
        </w:rPr>
        <w:t xml:space="preserve">Trabelsi </w:t>
      </w:r>
      <w:r w:rsidRPr="00A37885">
        <w:rPr>
          <w:lang w:val="en-IE"/>
        </w:rPr>
        <w:t>judgment (cited above), which related primarily to the lack of objective, pre</w:t>
      </w:r>
      <w:r w:rsidRPr="00A37885" w:rsidR="00265C0F">
        <w:rPr>
          <w:lang w:val="en-IE"/>
        </w:rPr>
        <w:noBreakHyphen/>
      </w:r>
      <w:r w:rsidRPr="00A37885">
        <w:rPr>
          <w:lang w:val="en-IE"/>
        </w:rPr>
        <w:t>established criteria in the review procedure in the United States.</w:t>
      </w:r>
      <w:r w:rsidRPr="00A37885" w:rsidR="009D0E8E">
        <w:rPr>
          <w:lang w:val="en-IE"/>
        </w:rPr>
        <w:t xml:space="preserve"> In the Government</w:t>
      </w:r>
      <w:r w:rsidRPr="00A37885" w:rsidR="00A37885">
        <w:rPr>
          <w:lang w:val="en-IE"/>
        </w:rPr>
        <w:t>’</w:t>
      </w:r>
      <w:r w:rsidRPr="00A37885" w:rsidR="009D0E8E">
        <w:rPr>
          <w:lang w:val="en-IE"/>
        </w:rPr>
        <w:t xml:space="preserve">s submission the Italian legislation, by contrast, provided for a procedure for reviewing life sentences based on clear and objective criteria. The effects of cooperation with the judicial authorities were also clearly set out in Article 58 </w:t>
      </w:r>
      <w:r w:rsidRPr="00A37885" w:rsidR="009D0E8E">
        <w:rPr>
          <w:i/>
          <w:iCs/>
          <w:lang w:val="en-IE"/>
        </w:rPr>
        <w:t xml:space="preserve">ter </w:t>
      </w:r>
      <w:r w:rsidRPr="00A37885" w:rsidR="009D0E8E">
        <w:rPr>
          <w:lang w:val="en-IE"/>
        </w:rPr>
        <w:t>of the Criminal Code and were known in advance to convicted prisoners.</w:t>
      </w:r>
    </w:p>
    <w:bookmarkStart w:name="OBS_GVT_COMPATIBLE_REINSERTION" w:id="32"/>
    <w:p w:rsidRPr="00A37885" w:rsidR="009D0E8E" w:rsidP="00A37885" w14:paraId="4C2E2208" w14:textId="56F381C6">
      <w:pPr>
        <w:pStyle w:val="JuPara"/>
        <w:rPr>
          <w:iCs/>
          <w:lang w:val="en-IE"/>
        </w:rPr>
      </w:pPr>
      <w:r w:rsidRPr="00A37885">
        <w:fldChar w:fldCharType="begin"/>
      </w:r>
      <w:r w:rsidRPr="00A37885">
        <w:instrText xml:space="preserve"> SEQ level0 \*arabic </w:instrText>
      </w:r>
      <w:r w:rsidRPr="00A37885">
        <w:fldChar w:fldCharType="separate"/>
      </w:r>
      <w:r w:rsidRPr="00A37885" w:rsidR="00A37885">
        <w:rPr>
          <w:noProof/>
        </w:rPr>
        <w:t>83</w:t>
      </w:r>
      <w:r w:rsidRPr="00A37885">
        <w:fldChar w:fldCharType="end"/>
      </w:r>
      <w:bookmarkEnd w:id="32"/>
      <w:r w:rsidRPr="00A37885">
        <w:t>.  </w:t>
      </w:r>
      <w:r w:rsidRPr="00A37885">
        <w:rPr>
          <w:lang w:val="en-IE"/>
        </w:rPr>
        <w:t xml:space="preserve">The Italian system guaranteed prisoners serving life sentences an opportunity to work towards rehabilitation, in accordance with the positive obligation arising under Articles 3 and 8 of the Convention. The goal of reintegration was pursued by the Prison Administration Act, even for prisoners serving life sentences </w:t>
      </w:r>
      <w:r w:rsidRPr="00A37885" w:rsidR="000A53D3">
        <w:rPr>
          <w:lang w:val="en-IE"/>
        </w:rPr>
        <w:t xml:space="preserve">under the </w:t>
      </w:r>
      <w:r w:rsidRPr="00A37885">
        <w:rPr>
          <w:i/>
          <w:lang w:val="en-IE"/>
        </w:rPr>
        <w:t>ergastolo ostativo</w:t>
      </w:r>
      <w:r w:rsidRPr="00A37885" w:rsidR="000A53D3">
        <w:rPr>
          <w:i/>
          <w:lang w:val="en-IE"/>
        </w:rPr>
        <w:t xml:space="preserve"> </w:t>
      </w:r>
      <w:r w:rsidRPr="00A37885" w:rsidR="000A53D3">
        <w:rPr>
          <w:iCs/>
          <w:lang w:val="en-IE"/>
        </w:rPr>
        <w:t>regime</w:t>
      </w:r>
      <w:r w:rsidRPr="00A37885" w:rsidR="00EF047F">
        <w:rPr>
          <w:iCs/>
          <w:lang w:val="en-IE"/>
        </w:rPr>
        <w:t>,</w:t>
      </w:r>
      <w:r w:rsidRPr="00A37885">
        <w:rPr>
          <w:iCs/>
          <w:lang w:val="en-IE"/>
        </w:rPr>
        <w:t xml:space="preserve"> </w:t>
      </w:r>
      <w:r w:rsidRPr="00A37885" w:rsidR="00EF047F">
        <w:rPr>
          <w:iCs/>
          <w:lang w:val="en-IE"/>
        </w:rPr>
        <w:t>through the</w:t>
      </w:r>
      <w:r w:rsidRPr="00A37885">
        <w:rPr>
          <w:iCs/>
          <w:lang w:val="en-IE"/>
        </w:rPr>
        <w:t xml:space="preserve"> individualised treatment of prisoners (lasting support for prisoners</w:t>
      </w:r>
      <w:r w:rsidRPr="00A37885" w:rsidR="00A37885">
        <w:rPr>
          <w:iCs/>
          <w:lang w:val="en-IE"/>
        </w:rPr>
        <w:t>’</w:t>
      </w:r>
      <w:r w:rsidRPr="00A37885">
        <w:rPr>
          <w:iCs/>
          <w:lang w:val="en-IE"/>
        </w:rPr>
        <w:t xml:space="preserve"> cultural, human and professional interests, removal of obstacles to personal development, and action to promote socialisation).</w:t>
      </w:r>
    </w:p>
    <w:bookmarkStart w:name="OBS_GVT_EO_CONDITION_PRELIMINAIRE" w:id="33"/>
    <w:p w:rsidRPr="00A37885" w:rsidR="009D0E8E" w:rsidP="00A37885" w14:paraId="4B5C8266" w14:textId="12A59E4E">
      <w:pPr>
        <w:pStyle w:val="JuPara"/>
        <w:rPr>
          <w:lang w:val="en-IE"/>
        </w:rPr>
      </w:pPr>
      <w:r w:rsidRPr="00A37885">
        <w:fldChar w:fldCharType="begin"/>
      </w:r>
      <w:r w:rsidRPr="00A37885">
        <w:rPr>
          <w:lang w:val="en-IE"/>
        </w:rPr>
        <w:instrText xml:space="preserve"> SEQ level0 \*arabic </w:instrText>
      </w:r>
      <w:r w:rsidRPr="00A37885">
        <w:fldChar w:fldCharType="separate"/>
      </w:r>
      <w:r w:rsidRPr="00A37885" w:rsidR="00A37885">
        <w:rPr>
          <w:noProof/>
          <w:lang w:val="en-IE"/>
        </w:rPr>
        <w:t>84</w:t>
      </w:r>
      <w:r w:rsidRPr="00A37885">
        <w:fldChar w:fldCharType="end"/>
      </w:r>
      <w:bookmarkEnd w:id="33"/>
      <w:r w:rsidRPr="00A37885">
        <w:rPr>
          <w:lang w:val="en-IE"/>
        </w:rPr>
        <w:t>.  </w:t>
      </w:r>
      <w:r w:rsidRPr="00A37885">
        <w:rPr>
          <w:lang w:val="en-IE"/>
        </w:rPr>
        <w:t xml:space="preserve">By way of conclusion, the Government submitted that the legislature had simply added a subsequent condition for prisoners serving life sentences under section 4 </w:t>
      </w:r>
      <w:r w:rsidRPr="00A37885">
        <w:rPr>
          <w:i/>
          <w:iCs/>
          <w:lang w:val="en-IE"/>
        </w:rPr>
        <w:t>bis</w:t>
      </w:r>
      <w:r w:rsidRPr="00A37885">
        <w:rPr>
          <w:lang w:val="en-IE"/>
        </w:rPr>
        <w:t xml:space="preserve">. Once </w:t>
      </w:r>
      <w:r w:rsidRPr="00A37885" w:rsidR="009B283A">
        <w:rPr>
          <w:lang w:val="en-IE"/>
        </w:rPr>
        <w:t xml:space="preserve">the prisoners concerned had fulfilled </w:t>
      </w:r>
      <w:r w:rsidRPr="00A37885">
        <w:rPr>
          <w:lang w:val="en-IE"/>
        </w:rPr>
        <w:t xml:space="preserve">that condition </w:t>
      </w:r>
      <w:r w:rsidRPr="00A37885" w:rsidR="009B283A">
        <w:rPr>
          <w:lang w:val="en-IE"/>
        </w:rPr>
        <w:t>–</w:t>
      </w:r>
      <w:r w:rsidRPr="00A37885">
        <w:rPr>
          <w:lang w:val="en-IE"/>
        </w:rPr>
        <w:t xml:space="preserve"> </w:t>
      </w:r>
      <w:r w:rsidRPr="00A37885" w:rsidR="009B283A">
        <w:rPr>
          <w:lang w:val="en-IE"/>
        </w:rPr>
        <w:t xml:space="preserve">which they were free to do by cooperating with the authorities – they could aspire to </w:t>
      </w:r>
      <w:r w:rsidRPr="00A37885" w:rsidR="00EA32C5">
        <w:rPr>
          <w:lang w:val="en-IE"/>
        </w:rPr>
        <w:t>conditional release</w:t>
      </w:r>
      <w:r w:rsidRPr="00A37885" w:rsidR="009B283A">
        <w:rPr>
          <w:lang w:val="en-IE"/>
        </w:rPr>
        <w:t xml:space="preserve"> and adjustments of sentence. Thus, in the Government</w:t>
      </w:r>
      <w:r w:rsidRPr="00A37885" w:rsidR="00A37885">
        <w:rPr>
          <w:lang w:val="en-IE"/>
        </w:rPr>
        <w:t>’</w:t>
      </w:r>
      <w:r w:rsidRPr="00A37885" w:rsidR="009B283A">
        <w:rPr>
          <w:lang w:val="en-IE"/>
        </w:rPr>
        <w:t>s view, the Italian system was compatible with Article 3 of the Convention.</w:t>
      </w:r>
    </w:p>
    <w:p w:rsidRPr="00A37885" w:rsidR="00A97A46" w:rsidP="00A37885" w14:paraId="739253BE" w14:textId="78A11ECF">
      <w:pPr>
        <w:pStyle w:val="JuHa0"/>
      </w:pPr>
      <w:r w:rsidRPr="00A37885">
        <w:t>The third-party interveners</w:t>
      </w:r>
    </w:p>
    <w:p w:rsidRPr="00A37885" w:rsidR="00D77BC5" w:rsidP="00A37885" w14:paraId="12100DA5" w14:textId="0F8085CF">
      <w:pPr>
        <w:pStyle w:val="JuHi"/>
      </w:pPr>
      <w:r w:rsidRPr="00A37885">
        <w:t>The academics and experts coordinated by the University of Milan (Department of International, Legal, Historical and Political Studies)</w:t>
      </w:r>
    </w:p>
    <w:bookmarkStart w:name="OBS_3_URGENCE" w:id="34"/>
    <w:p w:rsidRPr="00A37885" w:rsidR="009B283A" w:rsidP="00A37885" w14:paraId="3F277264" w14:textId="6D495B4F">
      <w:pPr>
        <w:pStyle w:val="JuPara"/>
      </w:pPr>
      <w:r w:rsidRPr="00A37885">
        <w:fldChar w:fldCharType="begin"/>
      </w:r>
      <w:r w:rsidRPr="00A37885">
        <w:instrText xml:space="preserve"> SEQ level0 \*arabic </w:instrText>
      </w:r>
      <w:r w:rsidRPr="00A37885">
        <w:fldChar w:fldCharType="separate"/>
      </w:r>
      <w:r w:rsidRPr="00A37885" w:rsidR="00A37885">
        <w:rPr>
          <w:noProof/>
        </w:rPr>
        <w:t>85</w:t>
      </w:r>
      <w:r w:rsidRPr="00A37885">
        <w:fldChar w:fldCharType="end"/>
      </w:r>
      <w:bookmarkEnd w:id="34"/>
      <w:r w:rsidRPr="00A37885">
        <w:t>.  </w:t>
      </w:r>
      <w:r w:rsidRPr="00A37885">
        <w:rPr>
          <w:lang w:val="en-IE"/>
        </w:rPr>
        <w:t xml:space="preserve">The academics and experts coordinated by the University of Milan began by </w:t>
      </w:r>
      <w:r w:rsidRPr="00A37885" w:rsidR="0092258F">
        <w:rPr>
          <w:lang w:val="en-IE"/>
        </w:rPr>
        <w:t>tracing</w:t>
      </w:r>
      <w:r w:rsidRPr="00A37885" w:rsidR="00A926D8">
        <w:rPr>
          <w:lang w:val="en-IE"/>
        </w:rPr>
        <w:t xml:space="preserve"> the legislative developments</w:t>
      </w:r>
      <w:r w:rsidRPr="00A37885" w:rsidR="005D35BB">
        <w:rPr>
          <w:lang w:val="en-IE"/>
        </w:rPr>
        <w:t xml:space="preserve"> in this sphere. </w:t>
      </w:r>
      <w:r w:rsidRPr="00A37885" w:rsidR="005D35BB">
        <w:t xml:space="preserve">Section 4 </w:t>
      </w:r>
      <w:r w:rsidRPr="00A37885" w:rsidR="005D35BB">
        <w:rPr>
          <w:i/>
          <w:iCs/>
        </w:rPr>
        <w:t>bis</w:t>
      </w:r>
      <w:r w:rsidRPr="00A37885" w:rsidR="005D35BB">
        <w:t xml:space="preserve"> had originally been designed to allow prisoners who had cooperated with the judicial authorities preferential access to adjustments of sentence compared with other prisoners, that is, before the usual period had elapsed. </w:t>
      </w:r>
      <w:r w:rsidRPr="00A37885" w:rsidR="00EF047F">
        <w:t>That</w:t>
      </w:r>
      <w:r w:rsidRPr="00A37885" w:rsidR="005D35BB">
        <w:t xml:space="preserve"> provision </w:t>
      </w:r>
      <w:r w:rsidRPr="00A37885" w:rsidR="00EF047F">
        <w:t>had been</w:t>
      </w:r>
      <w:r w:rsidRPr="00A37885" w:rsidR="005D35BB">
        <w:t xml:space="preserve"> amended by Decree-Law no. 306 of 8 June 1992 following the </w:t>
      </w:r>
      <w:r w:rsidRPr="00A37885" w:rsidR="00AE681A">
        <w:t xml:space="preserve">attack on Judge G. Falcone and his police escort; as a result of the amendment, “cooperation” became a </w:t>
      </w:r>
      <w:r w:rsidRPr="00A37885" w:rsidR="00EF047F">
        <w:t>prerequisite</w:t>
      </w:r>
      <w:r w:rsidRPr="00A37885" w:rsidR="00AE681A">
        <w:t xml:space="preserve"> in order to qualify for </w:t>
      </w:r>
      <w:r w:rsidRPr="00A37885" w:rsidR="00EA32C5">
        <w:t>conditional release</w:t>
      </w:r>
      <w:r w:rsidRPr="00A37885" w:rsidR="00AE681A">
        <w:t xml:space="preserve"> and adjustments of sentence.</w:t>
      </w:r>
    </w:p>
    <w:p w:rsidRPr="00A37885" w:rsidR="00A926D8" w:rsidP="00A37885" w14:paraId="57CB1279" w14:textId="064E299D">
      <w:pPr>
        <w:pStyle w:val="JuPara"/>
        <w:rPr>
          <w:iCs/>
        </w:rPr>
      </w:pPr>
      <w:r w:rsidRPr="00A37885">
        <w:fldChar w:fldCharType="begin"/>
      </w:r>
      <w:r w:rsidRPr="00A37885">
        <w:instrText xml:space="preserve"> SEQ level0 \*arabic </w:instrText>
      </w:r>
      <w:r w:rsidRPr="00A37885">
        <w:fldChar w:fldCharType="separate"/>
      </w:r>
      <w:r w:rsidRPr="00A37885" w:rsidR="00A37885">
        <w:rPr>
          <w:noProof/>
        </w:rPr>
        <w:t>86</w:t>
      </w:r>
      <w:r w:rsidRPr="00A37885">
        <w:fldChar w:fldCharType="end"/>
      </w:r>
      <w:r w:rsidRPr="00A37885">
        <w:t>.  </w:t>
      </w:r>
      <w:r w:rsidRPr="00A37885">
        <w:t>The third party also referred to the Court</w:t>
      </w:r>
      <w:r w:rsidRPr="00A37885" w:rsidR="00A37885">
        <w:t>’</w:t>
      </w:r>
      <w:r w:rsidRPr="00A37885">
        <w:t xml:space="preserve">s case-law, inferring from it that, while </w:t>
      </w:r>
      <w:r w:rsidRPr="00A37885" w:rsidR="00EF047F">
        <w:t xml:space="preserve">no </w:t>
      </w:r>
      <w:r w:rsidRPr="00A37885">
        <w:t xml:space="preserve">treatment or punishment </w:t>
      </w:r>
      <w:r w:rsidRPr="00A37885" w:rsidR="009C6950">
        <w:t>must</w:t>
      </w:r>
      <w:r w:rsidRPr="00A37885">
        <w:t xml:space="preserve"> ever be contrary to the principle of “human dignity” regardless of </w:t>
      </w:r>
      <w:r w:rsidRPr="00A37885" w:rsidR="009C6950">
        <w:t>its</w:t>
      </w:r>
      <w:r w:rsidRPr="00A37885">
        <w:t xml:space="preserve"> deterrent effect, </w:t>
      </w:r>
      <w:r w:rsidRPr="00A37885" w:rsidR="0092258F">
        <w:t>making no provision for prisoners “not to cooperate” and to remain silent was an infringement of individual dignity and the individual</w:t>
      </w:r>
      <w:r w:rsidRPr="00A37885" w:rsidR="00A37885">
        <w:t>’</w:t>
      </w:r>
      <w:r w:rsidRPr="00A37885" w:rsidR="0092258F">
        <w:t>s right to self</w:t>
      </w:r>
      <w:r w:rsidRPr="00A37885" w:rsidR="00E64A62">
        <w:noBreakHyphen/>
      </w:r>
      <w:r w:rsidRPr="00A37885" w:rsidR="0092258F">
        <w:t>determination. According to the third-party intervener, the automatic legislative mechanism whereby prisoners who did not cooperate were not entitled to any adjustment of sentence established an irrebuttable presumption of dangerousness linked to a broad, heterogeneous category of offences designated by the legal literature as “offender-based criminal law” (</w:t>
      </w:r>
      <w:r w:rsidRPr="00A37885" w:rsidR="0092258F">
        <w:rPr>
          <w:i/>
        </w:rPr>
        <w:t>diritto penale d</w:t>
      </w:r>
      <w:r w:rsidRPr="00A37885" w:rsidR="00A37885">
        <w:rPr>
          <w:i/>
        </w:rPr>
        <w:t>’</w:t>
      </w:r>
      <w:r w:rsidRPr="00A37885" w:rsidR="0092258F">
        <w:rPr>
          <w:i/>
        </w:rPr>
        <w:t>autore</w:t>
      </w:r>
      <w:r w:rsidRPr="00A37885" w:rsidR="0092258F">
        <w:rPr>
          <w:iCs/>
        </w:rPr>
        <w:t xml:space="preserve">). </w:t>
      </w:r>
      <w:r w:rsidRPr="00A37885" w:rsidR="00EF047F">
        <w:rPr>
          <w:iCs/>
        </w:rPr>
        <w:t>In practice, no court could reverse t</w:t>
      </w:r>
      <w:r w:rsidRPr="00A37885" w:rsidR="0092258F">
        <w:rPr>
          <w:iCs/>
        </w:rPr>
        <w:t>he presumption that the offender posed a danger to society</w:t>
      </w:r>
      <w:r w:rsidRPr="00A37885" w:rsidR="00E24AA9">
        <w:rPr>
          <w:iCs/>
        </w:rPr>
        <w:t>.</w:t>
      </w:r>
    </w:p>
    <w:p w:rsidRPr="00A37885" w:rsidR="00E24AA9" w:rsidP="00A37885" w14:paraId="0F6298DC" w14:textId="4E137A3B">
      <w:pPr>
        <w:pStyle w:val="JuPara"/>
      </w:pPr>
      <w:r w:rsidRPr="00A37885">
        <w:fldChar w:fldCharType="begin"/>
      </w:r>
      <w:r w:rsidRPr="00A37885">
        <w:instrText xml:space="preserve"> SEQ level0 \*arabic </w:instrText>
      </w:r>
      <w:r w:rsidRPr="00A37885">
        <w:fldChar w:fldCharType="separate"/>
      </w:r>
      <w:r w:rsidRPr="00A37885" w:rsidR="00A37885">
        <w:rPr>
          <w:noProof/>
        </w:rPr>
        <w:t>87</w:t>
      </w:r>
      <w:r w:rsidRPr="00A37885">
        <w:fldChar w:fldCharType="end"/>
      </w:r>
      <w:r w:rsidRPr="00A37885">
        <w:t>.  </w:t>
      </w:r>
      <w:r w:rsidRPr="00A37885">
        <w:t xml:space="preserve">In the view of this third party, the system of whole-life sentences was also contrary to the principles of individualised and progressive treatment of prisoners: </w:t>
      </w:r>
      <w:r w:rsidRPr="00A37885">
        <w:rPr>
          <w:i/>
          <w:iCs/>
        </w:rPr>
        <w:t xml:space="preserve">ergastolo ostativo </w:t>
      </w:r>
      <w:r w:rsidRPr="00A37885">
        <w:t>prevented prisoners who did not cooperate from making any progress towards gradual reintegration into society.</w:t>
      </w:r>
    </w:p>
    <w:p w:rsidRPr="00A37885" w:rsidR="006E6CC3" w:rsidP="00A37885" w14:paraId="4A764342" w14:textId="17CD9326">
      <w:pPr>
        <w:pStyle w:val="JuHi"/>
      </w:pPr>
      <w:r w:rsidRPr="00A37885">
        <w:rPr>
          <w:i w:val="0"/>
          <w:iCs w:val="0"/>
        </w:rPr>
        <w:t>L</w:t>
      </w:r>
      <w:r w:rsidRPr="00A37885" w:rsidR="00A37885">
        <w:rPr>
          <w:i w:val="0"/>
          <w:iCs w:val="0"/>
        </w:rPr>
        <w:t>’</w:t>
      </w:r>
      <w:r w:rsidRPr="00A37885">
        <w:rPr>
          <w:i w:val="0"/>
          <w:iCs w:val="0"/>
        </w:rPr>
        <w:t>altro diritto onlus</w:t>
      </w:r>
      <w:r w:rsidRPr="00A37885" w:rsidR="00E24AA9">
        <w:t xml:space="preserve"> documentation centre</w:t>
      </w:r>
      <w:r w:rsidRPr="00A37885">
        <w:t xml:space="preserve"> (Universit</w:t>
      </w:r>
      <w:r w:rsidRPr="00A37885" w:rsidR="00A926D8">
        <w:t>y</w:t>
      </w:r>
      <w:r w:rsidRPr="00A37885">
        <w:t xml:space="preserve"> </w:t>
      </w:r>
      <w:r w:rsidRPr="00A37885" w:rsidR="00A926D8">
        <w:t>of</w:t>
      </w:r>
      <w:r w:rsidRPr="00A37885">
        <w:t xml:space="preserve"> Florence)</w:t>
      </w:r>
    </w:p>
    <w:p w:rsidRPr="00A37885" w:rsidR="00312965" w:rsidP="00A37885" w14:paraId="069062F8" w14:textId="3A1F4FEE">
      <w:pPr>
        <w:pStyle w:val="JuPara"/>
        <w:rPr>
          <w:iCs/>
        </w:rPr>
      </w:pPr>
      <w:r w:rsidRPr="00A37885">
        <w:fldChar w:fldCharType="begin"/>
      </w:r>
      <w:r w:rsidRPr="00A37885">
        <w:instrText xml:space="preserve"> SEQ level0 \*arabic </w:instrText>
      </w:r>
      <w:r w:rsidRPr="00A37885">
        <w:fldChar w:fldCharType="separate"/>
      </w:r>
      <w:r w:rsidRPr="00A37885" w:rsidR="00A37885">
        <w:rPr>
          <w:noProof/>
        </w:rPr>
        <w:t>88</w:t>
      </w:r>
      <w:r w:rsidRPr="00A37885">
        <w:fldChar w:fldCharType="end"/>
      </w:r>
      <w:r w:rsidRPr="00A37885">
        <w:t>.  </w:t>
      </w:r>
      <w:r w:rsidRPr="00A37885" w:rsidR="00E24AA9">
        <w:t xml:space="preserve">The </w:t>
      </w:r>
      <w:r w:rsidRPr="00A37885">
        <w:rPr>
          <w:i/>
        </w:rPr>
        <w:t>L</w:t>
      </w:r>
      <w:r w:rsidRPr="00A37885" w:rsidR="00A37885">
        <w:rPr>
          <w:i/>
        </w:rPr>
        <w:t>’</w:t>
      </w:r>
      <w:r w:rsidRPr="00A37885">
        <w:rPr>
          <w:i/>
        </w:rPr>
        <w:t>altro diritto onlus</w:t>
      </w:r>
      <w:r w:rsidRPr="00A37885" w:rsidR="00E24AA9">
        <w:rPr>
          <w:i/>
        </w:rPr>
        <w:t xml:space="preserve"> </w:t>
      </w:r>
      <w:r w:rsidRPr="00A37885" w:rsidR="00E24AA9">
        <w:rPr>
          <w:iCs/>
        </w:rPr>
        <w:t xml:space="preserve">documentation centre began by stating that, according to the statistics furnished in 2016 by the Italian Ministry of Justice, 72.5% of life prisoners (that is, 1,216 individuals) were being detained for one of the offences referred to in section 4 </w:t>
      </w:r>
      <w:r w:rsidRPr="00A37885" w:rsidR="00E24AA9">
        <w:rPr>
          <w:i/>
        </w:rPr>
        <w:t xml:space="preserve">bis </w:t>
      </w:r>
      <w:r w:rsidRPr="00A37885" w:rsidR="00E24AA9">
        <w:rPr>
          <w:iCs/>
        </w:rPr>
        <w:t>(</w:t>
      </w:r>
      <w:r w:rsidRPr="00A37885" w:rsidR="00E24AA9">
        <w:rPr>
          <w:i/>
        </w:rPr>
        <w:t xml:space="preserve">ergastolo </w:t>
      </w:r>
      <w:r w:rsidRPr="00A37885" w:rsidR="00E24AA9">
        <w:rPr>
          <w:i/>
        </w:rPr>
        <w:t>ostativo</w:t>
      </w:r>
      <w:r w:rsidRPr="00A37885" w:rsidR="00E24AA9">
        <w:rPr>
          <w:iCs/>
        </w:rPr>
        <w:t>). According to the third-party intervener, in making “cooperation with the judicial authorities” a prerequisite for any assessment of a convicted prisoner</w:t>
      </w:r>
      <w:r w:rsidRPr="00A37885" w:rsidR="00A37885">
        <w:rPr>
          <w:iCs/>
        </w:rPr>
        <w:t>’</w:t>
      </w:r>
      <w:r w:rsidRPr="00A37885" w:rsidR="00E24AA9">
        <w:rPr>
          <w:iCs/>
        </w:rPr>
        <w:t xml:space="preserve">s progress towards rehabilitation, the national system </w:t>
      </w:r>
      <w:r w:rsidRPr="00A37885" w:rsidR="009C6950">
        <w:rPr>
          <w:iCs/>
        </w:rPr>
        <w:t>was incompatible with</w:t>
      </w:r>
      <w:r w:rsidRPr="00A37885" w:rsidR="006C7395">
        <w:rPr>
          <w:iCs/>
        </w:rPr>
        <w:t xml:space="preserve"> </w:t>
      </w:r>
      <w:r w:rsidRPr="00A37885" w:rsidR="00E24AA9">
        <w:rPr>
          <w:iCs/>
        </w:rPr>
        <w:t>prisoners</w:t>
      </w:r>
      <w:r w:rsidRPr="00A37885" w:rsidR="00A37885">
        <w:rPr>
          <w:iCs/>
        </w:rPr>
        <w:t>’</w:t>
      </w:r>
      <w:r w:rsidRPr="00A37885" w:rsidR="00E24AA9">
        <w:rPr>
          <w:iCs/>
        </w:rPr>
        <w:t xml:space="preserve"> right to self-determination. The prisoners in question were unable to determine </w:t>
      </w:r>
      <w:r w:rsidRPr="00A37885" w:rsidR="006C7395">
        <w:rPr>
          <w:iCs/>
        </w:rPr>
        <w:t xml:space="preserve">the course of </w:t>
      </w:r>
      <w:r w:rsidRPr="00A37885" w:rsidR="00E24AA9">
        <w:rPr>
          <w:iCs/>
        </w:rPr>
        <w:t xml:space="preserve">their own lives in prison or to have any influence over </w:t>
      </w:r>
      <w:r w:rsidRPr="00A37885" w:rsidR="00D25A46">
        <w:rPr>
          <w:iCs/>
        </w:rPr>
        <w:t xml:space="preserve">the course taken by their sentence, since their behaviour and actions were not taken into account by the judge if they had not cooperated. Furthermore, life sentences </w:t>
      </w:r>
      <w:r w:rsidRPr="00A37885" w:rsidR="000A53D3">
        <w:rPr>
          <w:iCs/>
        </w:rPr>
        <w:t xml:space="preserve">of this type </w:t>
      </w:r>
      <w:r w:rsidRPr="00A37885" w:rsidR="00D25A46">
        <w:rPr>
          <w:iCs/>
        </w:rPr>
        <w:t>were in breach of States</w:t>
      </w:r>
      <w:r w:rsidRPr="00A37885" w:rsidR="00A37885">
        <w:rPr>
          <w:iCs/>
        </w:rPr>
        <w:t>’</w:t>
      </w:r>
      <w:r w:rsidRPr="00A37885" w:rsidR="00D25A46">
        <w:rPr>
          <w:iCs/>
        </w:rPr>
        <w:t xml:space="preserve"> positive obligation to organise their prison system in such a way as to promote the rehabilitation and reintegration of prisoners.</w:t>
      </w:r>
    </w:p>
    <w:bookmarkStart w:name="OBS3_PERIL_VIE" w:id="35"/>
    <w:p w:rsidRPr="00A37885" w:rsidR="00D25A46" w:rsidP="00A37885" w14:paraId="0BF741ED" w14:textId="63F26EA8">
      <w:pPr>
        <w:pStyle w:val="JuPara"/>
      </w:pPr>
      <w:r w:rsidRPr="00A37885">
        <w:fldChar w:fldCharType="begin"/>
      </w:r>
      <w:r w:rsidRPr="00A37885">
        <w:instrText xml:space="preserve"> SEQ level0 \*arabic </w:instrText>
      </w:r>
      <w:r w:rsidRPr="00A37885">
        <w:fldChar w:fldCharType="separate"/>
      </w:r>
      <w:r w:rsidRPr="00A37885" w:rsidR="00A37885">
        <w:rPr>
          <w:noProof/>
        </w:rPr>
        <w:t>89</w:t>
      </w:r>
      <w:r w:rsidRPr="00A37885">
        <w:fldChar w:fldCharType="end"/>
      </w:r>
      <w:bookmarkEnd w:id="35"/>
      <w:r w:rsidRPr="00A37885">
        <w:t>.  </w:t>
      </w:r>
      <w:r w:rsidRPr="00A37885">
        <w:t xml:space="preserve">Lastly, the third-party intervener submitted that </w:t>
      </w:r>
      <w:r w:rsidRPr="00A37885" w:rsidR="00A81156">
        <w:t xml:space="preserve">the decision whether or not to cooperate forced prisoners serving life sentences to choose between their dignity (their ability to </w:t>
      </w:r>
      <w:r w:rsidRPr="00A37885" w:rsidR="00FC2896">
        <w:t>influence</w:t>
      </w:r>
      <w:r w:rsidRPr="00A37885" w:rsidR="00A81156">
        <w:t xml:space="preserve"> </w:t>
      </w:r>
      <w:r w:rsidRPr="00A37885" w:rsidR="00FC2896">
        <w:t>the process for their release, which was dependent on cooperation), on the one</w:t>
      </w:r>
      <w:r w:rsidRPr="00A37885" w:rsidR="00312965">
        <w:t xml:space="preserve"> </w:t>
      </w:r>
      <w:r w:rsidRPr="00A37885" w:rsidR="00FC2896">
        <w:t xml:space="preserve">hand, and their </w:t>
      </w:r>
      <w:r w:rsidRPr="00A37885" w:rsidR="006C7395">
        <w:t xml:space="preserve">own </w:t>
      </w:r>
      <w:r w:rsidRPr="00A37885" w:rsidR="00FC2896">
        <w:t>life and the lives of their loved ones (given the risk of reprisals from mafia circles) on the other. On the latter point in particular they submitted, on the basis of first-hand observation of the life prisoners they had been in contact with, that the main reason why prisoners refused to cooperate was their fear of endangering their own life or the lives of their loved ones.</w:t>
      </w:r>
    </w:p>
    <w:p w:rsidRPr="00A37885" w:rsidR="006E6CC3" w:rsidP="00A37885" w14:paraId="053B57EF" w14:textId="0F9481F1">
      <w:pPr>
        <w:pStyle w:val="JuHi"/>
      </w:pPr>
      <w:r w:rsidRPr="00A37885">
        <w:t>European Prison Litigation Network</w:t>
      </w:r>
      <w:r w:rsidRPr="00A37885">
        <w:t xml:space="preserve"> (</w:t>
      </w:r>
      <w:r w:rsidRPr="00A37885">
        <w:t>EPLN</w:t>
      </w:r>
      <w:r w:rsidRPr="00A37885">
        <w:t>)</w:t>
      </w:r>
    </w:p>
    <w:p w:rsidRPr="00A37885" w:rsidR="00FC2896" w:rsidP="00A37885" w14:paraId="5A1BC367" w14:textId="5DA33463">
      <w:pPr>
        <w:pStyle w:val="JuPara"/>
      </w:pPr>
      <w:r w:rsidRPr="00A37885">
        <w:fldChar w:fldCharType="begin"/>
      </w:r>
      <w:r w:rsidRPr="00A37885">
        <w:instrText xml:space="preserve"> SEQ level0 \*arabic </w:instrText>
      </w:r>
      <w:r w:rsidRPr="00A37885">
        <w:fldChar w:fldCharType="separate"/>
      </w:r>
      <w:r w:rsidRPr="00A37885" w:rsidR="00A37885">
        <w:rPr>
          <w:noProof/>
        </w:rPr>
        <w:t>90</w:t>
      </w:r>
      <w:r w:rsidRPr="00A37885">
        <w:fldChar w:fldCharType="end"/>
      </w:r>
      <w:r w:rsidRPr="00A37885">
        <w:t>.  </w:t>
      </w:r>
      <w:r w:rsidRPr="00A37885">
        <w:t>In the EPLN</w:t>
      </w:r>
      <w:r w:rsidRPr="00A37885" w:rsidR="00A37885">
        <w:t>’</w:t>
      </w:r>
      <w:r w:rsidRPr="00A37885">
        <w:t>s submission, the criterion of “</w:t>
      </w:r>
      <w:r w:rsidRPr="00A37885" w:rsidR="006C7395">
        <w:t>non-</w:t>
      </w:r>
      <w:r w:rsidRPr="00A37885">
        <w:t xml:space="preserve">cooperation” could not be regarded as a legitimate penological ground; in any event, the review procedure in Italy did not satisfy the Convention requirements. In particular, the domestic case-law </w:t>
      </w:r>
      <w:r w:rsidRPr="00A37885" w:rsidR="006C7395">
        <w:t>showed that</w:t>
      </w:r>
      <w:r w:rsidRPr="00A37885">
        <w:t xml:space="preserve"> </w:t>
      </w:r>
      <w:r w:rsidRPr="00A37885" w:rsidR="003945C6">
        <w:t xml:space="preserve">the post-sentencing judge was </w:t>
      </w:r>
      <w:r w:rsidRPr="00A37885" w:rsidR="006C7395">
        <w:t>obliged</w:t>
      </w:r>
      <w:r w:rsidRPr="00A37885" w:rsidR="003945C6">
        <w:t xml:space="preserve"> to carry out a virtually binary assessment (cooperation or no cooperation) that was far removed from </w:t>
      </w:r>
      <w:r w:rsidRPr="00A37885" w:rsidR="000A53D3">
        <w:t>a</w:t>
      </w:r>
      <w:r w:rsidRPr="00A37885" w:rsidR="003945C6">
        <w:t xml:space="preserve"> review </w:t>
      </w:r>
      <w:r w:rsidRPr="00A37885" w:rsidR="003945C6">
        <w:rPr>
          <w:i/>
          <w:iCs/>
        </w:rPr>
        <w:t xml:space="preserve">in concreto </w:t>
      </w:r>
      <w:r w:rsidRPr="00A37885" w:rsidR="003945C6">
        <w:t>of the penological grounds justifying continued detention.</w:t>
      </w:r>
    </w:p>
    <w:p w:rsidRPr="00A37885" w:rsidR="00312965" w:rsidP="00A37885" w14:paraId="57C2473D" w14:textId="62BB6977">
      <w:pPr>
        <w:pStyle w:val="JuPara"/>
      </w:pPr>
      <w:r w:rsidRPr="00A37885">
        <w:fldChar w:fldCharType="begin"/>
      </w:r>
      <w:r w:rsidRPr="00A37885">
        <w:instrText xml:space="preserve"> SEQ level0 \*arabic </w:instrText>
      </w:r>
      <w:r w:rsidRPr="00A37885">
        <w:fldChar w:fldCharType="separate"/>
      </w:r>
      <w:r w:rsidRPr="00A37885" w:rsidR="00A37885">
        <w:rPr>
          <w:noProof/>
        </w:rPr>
        <w:t>91</w:t>
      </w:r>
      <w:r w:rsidRPr="00A37885">
        <w:fldChar w:fldCharType="end"/>
      </w:r>
      <w:r w:rsidRPr="00A37885">
        <w:t>.  </w:t>
      </w:r>
      <w:r w:rsidRPr="00A37885" w:rsidR="003945C6">
        <w:t xml:space="preserve">The EPLN called on the Court to address two issues </w:t>
      </w:r>
      <w:r w:rsidRPr="00A37885" w:rsidR="000A53D3">
        <w:t>and thus</w:t>
      </w:r>
      <w:r w:rsidRPr="00A37885" w:rsidR="003945C6">
        <w:t xml:space="preserve"> clarify its case-law: the first </w:t>
      </w:r>
      <w:r w:rsidRPr="00A37885" w:rsidR="00BD00B1">
        <w:t>concerning the establishment of a requirement for rigorous judicial review, attended by procedural safeguards comparable to those that existed with regard to personal freedom; and the second relating to the establishment of a genuine “right to social reintegration” dictated by the principles of effectiveness (enabling the Court to clarify States</w:t>
      </w:r>
      <w:r w:rsidRPr="00A37885" w:rsidR="00A37885">
        <w:t>’</w:t>
      </w:r>
      <w:r w:rsidRPr="00A37885" w:rsidR="00BD00B1">
        <w:t xml:space="preserve"> obligations) and subsidiarity (resulting in the national courts </w:t>
      </w:r>
      <w:r w:rsidRPr="00A37885" w:rsidR="00C22142">
        <w:t>assessing compliance with the Convention at domestic level).</w:t>
      </w:r>
    </w:p>
    <w:p w:rsidRPr="00A37885" w:rsidR="00FD282E" w:rsidP="00A37885" w14:paraId="5C2C4685" w14:textId="402396CF">
      <w:pPr>
        <w:pStyle w:val="JuH1"/>
        <w:rPr>
          <w:lang w:bidi="en-US"/>
        </w:rPr>
      </w:pPr>
      <w:r w:rsidRPr="00A37885">
        <w:rPr>
          <w:lang w:bidi="en-US"/>
        </w:rPr>
        <w:t>The Court</w:t>
      </w:r>
      <w:r w:rsidRPr="00A37885" w:rsidR="00A37885">
        <w:rPr>
          <w:lang w:bidi="en-US"/>
        </w:rPr>
        <w:t>’</w:t>
      </w:r>
      <w:r w:rsidRPr="00A37885">
        <w:rPr>
          <w:lang w:bidi="en-US"/>
        </w:rPr>
        <w:t>s assessment</w:t>
      </w:r>
    </w:p>
    <w:p w:rsidRPr="00A37885" w:rsidR="00FD282E" w:rsidP="00A37885" w14:paraId="140F3086" w14:textId="2A6CC42C">
      <w:pPr>
        <w:pStyle w:val="JuHa0"/>
        <w:rPr>
          <w:lang w:bidi="en-US"/>
        </w:rPr>
      </w:pPr>
      <w:r w:rsidRPr="00A37885">
        <w:rPr>
          <w:lang w:bidi="en-US"/>
        </w:rPr>
        <w:t>Applicable principles</w:t>
      </w:r>
    </w:p>
    <w:p w:rsidRPr="00A37885" w:rsidR="00FE0653" w:rsidP="00A37885" w14:paraId="3157BC42" w14:textId="4379400E">
      <w:pPr>
        <w:pStyle w:val="JuPara"/>
      </w:pPr>
      <w:r w:rsidRPr="00A37885">
        <w:fldChar w:fldCharType="begin"/>
      </w:r>
      <w:r w:rsidRPr="00A37885">
        <w:instrText xml:space="preserve"> SEQ level0 \*arabic </w:instrText>
      </w:r>
      <w:r w:rsidRPr="00A37885">
        <w:fldChar w:fldCharType="separate"/>
      </w:r>
      <w:r w:rsidRPr="00A37885" w:rsidR="00A37885">
        <w:rPr>
          <w:noProof/>
        </w:rPr>
        <w:t>92</w:t>
      </w:r>
      <w:r w:rsidRPr="00A37885">
        <w:fldChar w:fldCharType="end"/>
      </w:r>
      <w:r w:rsidRPr="00A37885">
        <w:t>.  </w:t>
      </w:r>
      <w:r w:rsidRPr="00A37885" w:rsidR="00EA32C5">
        <w:t xml:space="preserve">The relevant principles as regards life sentences, rehabilitation and conditional release are set out in detail in the judgment in </w:t>
      </w:r>
      <w:r w:rsidRPr="00A37885" w:rsidR="00EA32C5">
        <w:rPr>
          <w:i/>
          <w:iCs/>
        </w:rPr>
        <w:t>Vinter</w:t>
      </w:r>
      <w:r w:rsidRPr="00A37885" w:rsidR="00426ADC">
        <w:rPr>
          <w:i/>
          <w:iCs/>
        </w:rPr>
        <w:t xml:space="preserve"> and Others</w:t>
      </w:r>
      <w:r w:rsidRPr="00A37885" w:rsidR="00EA32C5">
        <w:rPr>
          <w:i/>
          <w:iCs/>
        </w:rPr>
        <w:t xml:space="preserve"> </w:t>
      </w:r>
      <w:r w:rsidRPr="00A37885" w:rsidR="00EA32C5">
        <w:t xml:space="preserve">(cited above, §§ 103-22, with references to </w:t>
      </w:r>
      <w:r w:rsidRPr="00A37885" w:rsidR="002D0822">
        <w:rPr>
          <w:i/>
        </w:rPr>
        <w:t>Kafkaris v. Cyprus</w:t>
      </w:r>
      <w:r w:rsidRPr="00A37885" w:rsidR="002D0822">
        <w:t xml:space="preserve"> [GC], no.</w:t>
      </w:r>
      <w:r w:rsidRPr="00A37885" w:rsidR="00E64A62">
        <w:t> </w:t>
      </w:r>
      <w:r w:rsidRPr="00A37885" w:rsidR="002D0822">
        <w:t xml:space="preserve">21906/04, ECHR 2008), and were summarised recently in the judgments </w:t>
      </w:r>
      <w:r w:rsidRPr="00A37885" w:rsidR="002D0822">
        <w:t xml:space="preserve">in </w:t>
      </w:r>
      <w:r w:rsidRPr="00A37885" w:rsidR="002D0822">
        <w:rPr>
          <w:i/>
          <w:iCs/>
        </w:rPr>
        <w:t xml:space="preserve">Murray </w:t>
      </w:r>
      <w:r w:rsidRPr="00A37885" w:rsidR="002D0822">
        <w:t>(cited above</w:t>
      </w:r>
      <w:r w:rsidRPr="00A37885">
        <w:t xml:space="preserve">, §§ 99-100) and </w:t>
      </w:r>
      <w:r w:rsidRPr="00A37885">
        <w:rPr>
          <w:i/>
        </w:rPr>
        <w:t>Hutchinson v. the United Kingdom</w:t>
      </w:r>
      <w:r w:rsidRPr="00A37885">
        <w:t xml:space="preserve"> </w:t>
      </w:r>
      <w:r w:rsidRPr="00A37885" w:rsidR="00641D78">
        <w:t>(</w:t>
      </w:r>
      <w:r w:rsidRPr="00A37885">
        <w:t>[GC], no. 57592/08, §§ 42-45, 17 January 2017).</w:t>
      </w:r>
    </w:p>
    <w:p w:rsidRPr="00A37885" w:rsidR="00FA784A" w:rsidP="00A37885" w14:paraId="76033B8D" w14:textId="606941FD">
      <w:pPr>
        <w:pStyle w:val="JuHa0"/>
        <w:rPr>
          <w:lang w:bidi="en-US"/>
        </w:rPr>
      </w:pPr>
      <w:r w:rsidRPr="00A37885">
        <w:rPr>
          <w:lang w:bidi="en-US"/>
        </w:rPr>
        <w:t>Application of those principles to the present case</w:t>
      </w:r>
    </w:p>
    <w:p w:rsidRPr="00A37885" w:rsidR="00312965" w:rsidP="00A37885" w14:paraId="05AA0B8E" w14:textId="5C8F34CF">
      <w:pPr>
        <w:pStyle w:val="JuPara"/>
      </w:pPr>
      <w:r w:rsidRPr="00A37885">
        <w:fldChar w:fldCharType="begin"/>
      </w:r>
      <w:r w:rsidRPr="00A37885">
        <w:instrText xml:space="preserve"> SEQ level0 \*arabic </w:instrText>
      </w:r>
      <w:r w:rsidRPr="00A37885">
        <w:fldChar w:fldCharType="separate"/>
      </w:r>
      <w:r w:rsidRPr="00A37885" w:rsidR="00A37885">
        <w:rPr>
          <w:noProof/>
        </w:rPr>
        <w:t>93</w:t>
      </w:r>
      <w:r w:rsidRPr="00A37885">
        <w:fldChar w:fldCharType="end"/>
      </w:r>
      <w:r w:rsidRPr="00A37885">
        <w:t>.  </w:t>
      </w:r>
      <w:r w:rsidRPr="00A37885" w:rsidR="00E35167">
        <w:t>The Court observes at the outset that</w:t>
      </w:r>
      <w:r w:rsidRPr="00A37885" w:rsidR="000A53D3">
        <w:t xml:space="preserve"> the applicant</w:t>
      </w:r>
      <w:r w:rsidRPr="00A37885" w:rsidR="00E35167">
        <w:t xml:space="preserve"> in the present case did not seek to argue that his sentence of life imprisonment was grossly disproportionate (see, among other authorities, </w:t>
      </w:r>
      <w:r w:rsidRPr="00A37885" w:rsidR="0069232E">
        <w:rPr>
          <w:i/>
          <w:iCs/>
        </w:rPr>
        <w:t>Matiošaitis and Others v.</w:t>
      </w:r>
      <w:r w:rsidRPr="00A37885" w:rsidR="00E64A62">
        <w:rPr>
          <w:i/>
          <w:iCs/>
        </w:rPr>
        <w:t> </w:t>
      </w:r>
      <w:r w:rsidRPr="00A37885" w:rsidR="0069232E">
        <w:rPr>
          <w:i/>
          <w:iCs/>
        </w:rPr>
        <w:t>Lithuania</w:t>
      </w:r>
      <w:r w:rsidRPr="00A37885" w:rsidR="0069232E">
        <w:t xml:space="preserve">, nos. 22662/13 and 7 others, § 157, 23 May 2017, and </w:t>
      </w:r>
      <w:r w:rsidRPr="00A37885" w:rsidR="0069232E">
        <w:rPr>
          <w:i/>
          <w:iCs/>
        </w:rPr>
        <w:t>Vinter</w:t>
      </w:r>
      <w:r w:rsidRPr="00A37885" w:rsidR="00426ADC">
        <w:rPr>
          <w:i/>
          <w:iCs/>
        </w:rPr>
        <w:t xml:space="preserve"> and Others</w:t>
      </w:r>
      <w:r w:rsidRPr="00A37885" w:rsidR="0069232E">
        <w:t xml:space="preserve">, cited above, § 102), but complained of the alleged </w:t>
      </w:r>
      <w:r w:rsidRPr="00A37885" w:rsidR="0069232E">
        <w:rPr>
          <w:i/>
          <w:iCs/>
        </w:rPr>
        <w:t xml:space="preserve">de jure </w:t>
      </w:r>
      <w:r w:rsidRPr="00A37885" w:rsidR="0069232E">
        <w:t xml:space="preserve">and </w:t>
      </w:r>
      <w:r w:rsidRPr="00A37885" w:rsidR="0069232E">
        <w:rPr>
          <w:i/>
          <w:iCs/>
        </w:rPr>
        <w:t xml:space="preserve">de facto </w:t>
      </w:r>
      <w:r w:rsidRPr="00A37885" w:rsidR="0069232E">
        <w:t>irreducibility of the sentence.</w:t>
      </w:r>
    </w:p>
    <w:p w:rsidRPr="00A37885" w:rsidR="004B3BBE" w:rsidP="00A37885" w14:paraId="4636F5AB" w14:textId="6A30EED0">
      <w:pPr>
        <w:pStyle w:val="JuPara"/>
      </w:pPr>
      <w:r w:rsidRPr="00A37885">
        <w:fldChar w:fldCharType="begin"/>
      </w:r>
      <w:r w:rsidRPr="00A37885">
        <w:instrText xml:space="preserve"> SEQ level0 \*arabic </w:instrText>
      </w:r>
      <w:r w:rsidRPr="00A37885">
        <w:fldChar w:fldCharType="separate"/>
      </w:r>
      <w:r w:rsidRPr="00A37885" w:rsidR="00A37885">
        <w:rPr>
          <w:noProof/>
        </w:rPr>
        <w:t>94</w:t>
      </w:r>
      <w:r w:rsidRPr="00A37885">
        <w:fldChar w:fldCharType="end"/>
      </w:r>
      <w:r w:rsidRPr="00A37885">
        <w:t>.  </w:t>
      </w:r>
      <w:r w:rsidRPr="00A37885" w:rsidR="0069232E">
        <w:t xml:space="preserve">The Court further notes that the present case is to be distinguished from previous cases brought against Italy concerning </w:t>
      </w:r>
      <w:r w:rsidRPr="00A37885">
        <w:t xml:space="preserve">life sentences, in which the Court was called upon to examine the issue of life sentences governed by Article 22 of the Criminal Code. In its decision in </w:t>
      </w:r>
      <w:r w:rsidRPr="00A37885">
        <w:rPr>
          <w:i/>
          <w:iCs/>
        </w:rPr>
        <w:t>Garagin v.</w:t>
      </w:r>
      <w:r w:rsidRPr="00A37885" w:rsidR="00E64A62">
        <w:rPr>
          <w:i/>
          <w:iCs/>
        </w:rPr>
        <w:t> </w:t>
      </w:r>
      <w:r w:rsidRPr="00A37885">
        <w:rPr>
          <w:i/>
          <w:iCs/>
        </w:rPr>
        <w:t xml:space="preserve">Italy </w:t>
      </w:r>
      <w:r w:rsidRPr="00A37885" w:rsidR="00CB157A">
        <w:t>(</w:t>
      </w:r>
      <w:r w:rsidRPr="00A37885">
        <w:t xml:space="preserve">(dec.), no. 33290/07, 29 April 2008; see also </w:t>
      </w:r>
      <w:r w:rsidRPr="00A37885">
        <w:rPr>
          <w:i/>
        </w:rPr>
        <w:t xml:space="preserve">Scoppola </w:t>
      </w:r>
      <w:r w:rsidRPr="00A37885">
        <w:rPr>
          <w:i/>
        </w:rPr>
        <w:t>v</w:t>
      </w:r>
      <w:r w:rsidRPr="00A37885">
        <w:rPr>
          <w:i/>
        </w:rPr>
        <w:t>. Ital</w:t>
      </w:r>
      <w:r w:rsidRPr="00A37885">
        <w:rPr>
          <w:i/>
        </w:rPr>
        <w:t>y</w:t>
      </w:r>
      <w:r w:rsidRPr="00A37885">
        <w:rPr>
          <w:i/>
        </w:rPr>
        <w:t xml:space="preserve"> </w:t>
      </w:r>
      <w:r w:rsidRPr="00A37885">
        <w:t>(d</w:t>
      </w:r>
      <w:r w:rsidRPr="00A37885">
        <w:t>e</w:t>
      </w:r>
      <w:r w:rsidRPr="00A37885">
        <w:t xml:space="preserve">c.), </w:t>
      </w:r>
      <w:r w:rsidRPr="00A37885">
        <w:t xml:space="preserve">no. </w:t>
      </w:r>
      <w:r w:rsidRPr="00A37885">
        <w:t xml:space="preserve">10249/03, 8 </w:t>
      </w:r>
      <w:r w:rsidRPr="00A37885">
        <w:t>September</w:t>
      </w:r>
      <w:r w:rsidRPr="00A37885">
        <w:t xml:space="preserve"> 2005), </w:t>
      </w:r>
      <w:r w:rsidRPr="00A37885">
        <w:t xml:space="preserve">it held that life imprisonment </w:t>
      </w:r>
      <w:r w:rsidRPr="00A37885" w:rsidR="00CB157A">
        <w:t>remained</w:t>
      </w:r>
      <w:r w:rsidRPr="00A37885">
        <w:t xml:space="preserve"> compatible with Article 3 of the Convention, finding as follows:</w:t>
      </w:r>
    </w:p>
    <w:p w:rsidRPr="00A37885" w:rsidR="004B3BBE" w:rsidP="00A37885" w14:paraId="1C441BF0" w14:textId="08821D6A">
      <w:pPr>
        <w:pStyle w:val="JuQuot"/>
      </w:pPr>
      <w:r w:rsidRPr="00A37885">
        <w:t>“</w:t>
      </w:r>
      <w:r w:rsidRPr="00A37885" w:rsidR="00312965">
        <w:t>...</w:t>
      </w:r>
      <w:r w:rsidRPr="00A37885">
        <w:t xml:space="preserve"> life </w:t>
      </w:r>
      <w:r w:rsidRPr="00A37885" w:rsidR="00AB680B">
        <w:t xml:space="preserve">prisoners may be released [as confirmed by the wording of] Article 176 of the Criminal Code. Under that provision life prisoners whose behaviour demonstrates </w:t>
      </w:r>
      <w:r w:rsidRPr="00A37885">
        <w:t xml:space="preserve">a genuine desire to repent may be released </w:t>
      </w:r>
      <w:r w:rsidRPr="00A37885" w:rsidR="00CB157A">
        <w:t>after serving</w:t>
      </w:r>
      <w:r w:rsidRPr="00A37885">
        <w:t xml:space="preserve"> twenty-six years</w:t>
      </w:r>
      <w:r w:rsidRPr="00A37885" w:rsidR="00A37885">
        <w:t>’</w:t>
      </w:r>
      <w:r w:rsidRPr="00A37885">
        <w:t xml:space="preserve"> imprisonment. They are also eligible for the semi-custodial regime after serving twenty years in prison (section 50(5) of Law no. 354 of 1975 </w:t>
      </w:r>
      <w:r w:rsidRPr="00A37885" w:rsidR="00312965">
        <w:t>...</w:t>
      </w:r>
      <w:r w:rsidRPr="00A37885">
        <w:t xml:space="preserve">) </w:t>
      </w:r>
      <w:r w:rsidRPr="00A37885" w:rsidR="00312965">
        <w:t>...</w:t>
      </w:r>
      <w:r w:rsidRPr="00A37885">
        <w:t xml:space="preserve"> in Italy, life sentences are </w:t>
      </w:r>
      <w:r w:rsidRPr="00A37885" w:rsidR="00312965">
        <w:t>...</w:t>
      </w:r>
      <w:r w:rsidRPr="00A37885">
        <w:t xml:space="preserve"> reducible </w:t>
      </w:r>
      <w:r w:rsidRPr="00A37885">
        <w:rPr>
          <w:i/>
          <w:iCs/>
        </w:rPr>
        <w:t xml:space="preserve">de jure </w:t>
      </w:r>
      <w:r w:rsidRPr="00A37885">
        <w:t xml:space="preserve">and </w:t>
      </w:r>
      <w:r w:rsidRPr="00A37885">
        <w:rPr>
          <w:i/>
          <w:iCs/>
        </w:rPr>
        <w:t>de facto</w:t>
      </w:r>
      <w:r w:rsidRPr="00A37885">
        <w:t xml:space="preserve">. Accordingly, it cannot be said that </w:t>
      </w:r>
      <w:r w:rsidRPr="00A37885" w:rsidR="002F7756">
        <w:t xml:space="preserve">the applicant </w:t>
      </w:r>
      <w:r w:rsidRPr="00A37885">
        <w:t>has no prospect of release or that his continued detention, even for a lengthy period, in itself amounts to inhuman or degrading treatment.”</w:t>
      </w:r>
    </w:p>
    <w:p w:rsidRPr="00A37885" w:rsidR="002977F4" w:rsidP="00A37885" w14:paraId="7EF77AC7" w14:textId="74D42494">
      <w:pPr>
        <w:pStyle w:val="JuPara"/>
      </w:pPr>
      <w:r w:rsidRPr="00A37885">
        <w:t xml:space="preserve">Furthermore, in </w:t>
      </w:r>
      <w:r w:rsidRPr="00A37885">
        <w:rPr>
          <w:i/>
          <w:iCs/>
        </w:rPr>
        <w:t>Vinter</w:t>
      </w:r>
      <w:r w:rsidRPr="00A37885" w:rsidR="00426ADC">
        <w:rPr>
          <w:i/>
          <w:iCs/>
        </w:rPr>
        <w:t xml:space="preserve"> and Others</w:t>
      </w:r>
      <w:r w:rsidRPr="00A37885">
        <w:rPr>
          <w:i/>
          <w:iCs/>
        </w:rPr>
        <w:t xml:space="preserve"> </w:t>
      </w:r>
      <w:r w:rsidRPr="00A37885">
        <w:t xml:space="preserve">(cited above, § 117), the Court referred, among other authorities, to Italian domestic law – both the legislation and the case-law of the Constitutional Court – </w:t>
      </w:r>
      <w:r w:rsidRPr="00A37885" w:rsidR="00AA4F21">
        <w:t>in finding that the practice in the Contracting States demonstrated a commitment to both the rehabilitation of life sentence prisoners and the prospect of their eventual release.</w:t>
      </w:r>
    </w:p>
    <w:p w:rsidRPr="00A37885" w:rsidR="004C11C9" w:rsidP="00A37885" w14:paraId="2497FF4A" w14:textId="3E39555A">
      <w:pPr>
        <w:pStyle w:val="JuPara"/>
      </w:pPr>
      <w:r w:rsidRPr="00A37885">
        <w:fldChar w:fldCharType="begin"/>
      </w:r>
      <w:r w:rsidRPr="00A37885">
        <w:instrText xml:space="preserve"> SEQ level0 \*arabic </w:instrText>
      </w:r>
      <w:r w:rsidRPr="00A37885">
        <w:fldChar w:fldCharType="separate"/>
      </w:r>
      <w:r w:rsidRPr="00A37885" w:rsidR="00A37885">
        <w:rPr>
          <w:noProof/>
        </w:rPr>
        <w:t>95</w:t>
      </w:r>
      <w:r w:rsidRPr="00A37885">
        <w:fldChar w:fldCharType="end"/>
      </w:r>
      <w:r w:rsidRPr="00A37885">
        <w:t>.  </w:t>
      </w:r>
      <w:r w:rsidRPr="00A37885">
        <w:t xml:space="preserve">The </w:t>
      </w:r>
      <w:r w:rsidRPr="00A37885" w:rsidR="005B4752">
        <w:t>C</w:t>
      </w:r>
      <w:r w:rsidRPr="00A37885">
        <w:t xml:space="preserve">ourt observes that in the present case the regime </w:t>
      </w:r>
      <w:r w:rsidRPr="00A37885" w:rsidR="005B4752">
        <w:t xml:space="preserve">applicable to life imprisonment results from the combined application of Article 22 of the Criminal Code and sections 4 </w:t>
      </w:r>
      <w:r w:rsidRPr="00A37885" w:rsidR="005B4752">
        <w:rPr>
          <w:i/>
          <w:iCs/>
        </w:rPr>
        <w:t xml:space="preserve">bis </w:t>
      </w:r>
      <w:r w:rsidRPr="00A37885" w:rsidR="005B4752">
        <w:t xml:space="preserve">and 58 </w:t>
      </w:r>
      <w:r w:rsidRPr="00A37885" w:rsidR="005B4752">
        <w:rPr>
          <w:i/>
          <w:iCs/>
        </w:rPr>
        <w:t xml:space="preserve">ter </w:t>
      </w:r>
      <w:r w:rsidRPr="00A37885" w:rsidR="005B4752">
        <w:t xml:space="preserve">of the Prison Administration Act. This specific category of life sentence is </w:t>
      </w:r>
      <w:r w:rsidRPr="00A37885" w:rsidR="002F7756">
        <w:t>characterised</w:t>
      </w:r>
      <w:r w:rsidRPr="00A37885" w:rsidR="005B4752">
        <w:t xml:space="preserve"> in domestic law as </w:t>
      </w:r>
      <w:r w:rsidRPr="00A37885" w:rsidR="005B4752">
        <w:rPr>
          <w:i/>
          <w:iCs/>
        </w:rPr>
        <w:t>ergastolo ostativo</w:t>
      </w:r>
      <w:r w:rsidRPr="00A37885" w:rsidR="005B4752">
        <w:t>.</w:t>
      </w:r>
    </w:p>
    <w:p w:rsidRPr="00A37885" w:rsidR="005B4752" w:rsidP="00A37885" w14:paraId="63423F17" w14:textId="71C57E8C">
      <w:pPr>
        <w:pStyle w:val="JuPara"/>
      </w:pPr>
      <w:r w:rsidRPr="00A37885">
        <w:fldChar w:fldCharType="begin"/>
      </w:r>
      <w:r w:rsidRPr="00A37885">
        <w:instrText xml:space="preserve"> SEQ level0 \*arabic </w:instrText>
      </w:r>
      <w:r w:rsidRPr="00A37885">
        <w:fldChar w:fldCharType="separate"/>
      </w:r>
      <w:r w:rsidRPr="00A37885" w:rsidR="00A37885">
        <w:rPr>
          <w:noProof/>
        </w:rPr>
        <w:t>96</w:t>
      </w:r>
      <w:r w:rsidRPr="00A37885">
        <w:fldChar w:fldCharType="end"/>
      </w:r>
      <w:r w:rsidRPr="00A37885">
        <w:t>.  </w:t>
      </w:r>
      <w:r w:rsidRPr="00A37885">
        <w:t>It notes that the provisions in question provide for different treatment of prisoners</w:t>
      </w:r>
      <w:r w:rsidRPr="00A37885" w:rsidR="006464A7">
        <w:t xml:space="preserve"> who </w:t>
      </w:r>
      <w:r w:rsidRPr="00A37885" w:rsidR="002F7756">
        <w:t>have</w:t>
      </w:r>
      <w:r w:rsidRPr="00A37885" w:rsidR="006464A7">
        <w:t xml:space="preserve"> not satisf</w:t>
      </w:r>
      <w:r w:rsidRPr="00A37885" w:rsidR="002F7756">
        <w:t>ied</w:t>
      </w:r>
      <w:r w:rsidRPr="00A37885" w:rsidR="006464A7">
        <w:t xml:space="preserve"> the requirement to cooperate with the judicial authorities, precluding them from eligibility for conditional</w:t>
      </w:r>
      <w:r w:rsidRPr="00A37885">
        <w:t xml:space="preserve"> release</w:t>
      </w:r>
      <w:r w:rsidRPr="00A37885" w:rsidR="002F7756">
        <w:t>,</w:t>
      </w:r>
      <w:r w:rsidRPr="00A37885">
        <w:t xml:space="preserve"> other reductions of sentence and alternatives</w:t>
      </w:r>
      <w:r w:rsidRPr="00A37885" w:rsidR="006464A7">
        <w:t xml:space="preserve"> to detention (other than “early release”). </w:t>
      </w:r>
      <w:r w:rsidRPr="00A37885" w:rsidR="008557CC">
        <w:t xml:space="preserve">Although the legislature laid down certain criteria </w:t>
      </w:r>
      <w:r w:rsidRPr="00A37885" w:rsidR="002F7756">
        <w:t>governing eligibility for</w:t>
      </w:r>
      <w:r w:rsidRPr="00A37885" w:rsidR="008557CC">
        <w:t xml:space="preserve"> all measures assisting the gradual rehabilitation of life prisoners </w:t>
      </w:r>
      <w:r w:rsidRPr="00A37885" w:rsidR="002F7756">
        <w:t>u</w:t>
      </w:r>
      <w:r w:rsidRPr="00A37885" w:rsidR="008557CC">
        <w:t xml:space="preserve">nder Article 22 of the Criminal Code (good behaviour, participation in </w:t>
      </w:r>
      <w:r w:rsidRPr="00A37885" w:rsidR="002F7756">
        <w:t xml:space="preserve">the </w:t>
      </w:r>
      <w:r w:rsidRPr="00A37885" w:rsidR="008557CC">
        <w:t xml:space="preserve">rehabilitation programme, progress </w:t>
      </w:r>
      <w:r w:rsidRPr="00A37885" w:rsidR="002F7756">
        <w:t>during the</w:t>
      </w:r>
      <w:r w:rsidRPr="00A37885" w:rsidR="008557CC">
        <w:t xml:space="preserve"> treatment </w:t>
      </w:r>
      <w:r w:rsidRPr="00A37885" w:rsidR="008557CC">
        <w:t xml:space="preserve">programme, positive </w:t>
      </w:r>
      <w:r w:rsidRPr="00A37885" w:rsidR="002F7756">
        <w:t>evidence</w:t>
      </w:r>
      <w:r w:rsidRPr="00A37885" w:rsidR="008557CC">
        <w:t xml:space="preserve"> of </w:t>
      </w:r>
      <w:r w:rsidRPr="00A37885" w:rsidR="002F7756">
        <w:t xml:space="preserve">a </w:t>
      </w:r>
      <w:r w:rsidRPr="00A37885" w:rsidR="008557CC">
        <w:t xml:space="preserve">desire to make amends), depending on </w:t>
      </w:r>
      <w:r w:rsidRPr="00A37885" w:rsidR="002F7756">
        <w:t>the</w:t>
      </w:r>
      <w:r w:rsidRPr="00A37885" w:rsidR="008557CC">
        <w:t xml:space="preserve"> measure being applied for, it introduced a specific condition in section 4 </w:t>
      </w:r>
      <w:r w:rsidRPr="00A37885" w:rsidR="008557CC">
        <w:rPr>
          <w:i/>
          <w:iCs/>
        </w:rPr>
        <w:t xml:space="preserve">bis </w:t>
      </w:r>
      <w:r w:rsidRPr="00A37885" w:rsidR="002F7756">
        <w:t>(</w:t>
      </w:r>
      <w:r w:rsidRPr="00A37885" w:rsidR="008557CC">
        <w:t>see paragraph 32 above) preventing the domestic courts from granting adjustments of sentence.</w:t>
      </w:r>
    </w:p>
    <w:p w:rsidRPr="00A37885" w:rsidR="008557CC" w:rsidP="00A37885" w14:paraId="7D7DC19B" w14:textId="6885B068">
      <w:pPr>
        <w:pStyle w:val="JuPara"/>
      </w:pPr>
      <w:r w:rsidRPr="00A37885">
        <w:fldChar w:fldCharType="begin"/>
      </w:r>
      <w:r w:rsidRPr="00A37885">
        <w:instrText xml:space="preserve"> SEQ level0 \*arabic </w:instrText>
      </w:r>
      <w:r w:rsidRPr="00A37885">
        <w:fldChar w:fldCharType="separate"/>
      </w:r>
      <w:r w:rsidRPr="00A37885" w:rsidR="00A37885">
        <w:rPr>
          <w:noProof/>
        </w:rPr>
        <w:t>97</w:t>
      </w:r>
      <w:r w:rsidRPr="00A37885">
        <w:fldChar w:fldCharType="end"/>
      </w:r>
      <w:r w:rsidRPr="00A37885">
        <w:t>.  </w:t>
      </w:r>
      <w:r w:rsidRPr="00A37885">
        <w:t xml:space="preserve">The Court notes that the </w:t>
      </w:r>
      <w:r w:rsidRPr="00A37885" w:rsidR="00775D23">
        <w:t>form which</w:t>
      </w:r>
      <w:r w:rsidRPr="00A37885">
        <w:t xml:space="preserve"> this cooperation </w:t>
      </w:r>
      <w:r w:rsidRPr="00A37885" w:rsidR="00775D23">
        <w:t>must take is</w:t>
      </w:r>
      <w:r w:rsidRPr="00A37885">
        <w:t xml:space="preserve"> governed by section 58 </w:t>
      </w:r>
      <w:r w:rsidRPr="00A37885">
        <w:rPr>
          <w:i/>
          <w:iCs/>
        </w:rPr>
        <w:t>ter</w:t>
      </w:r>
      <w:r w:rsidRPr="00A37885">
        <w:t xml:space="preserve"> (see paragraph 33 above): the convicted prisoner must provide the authorities with information that is decisive in terms of preventing </w:t>
      </w:r>
      <w:r w:rsidRPr="00A37885" w:rsidR="00775D23">
        <w:t>any f</w:t>
      </w:r>
      <w:r w:rsidRPr="00A37885">
        <w:t xml:space="preserve">urther consequences of the offence or assisting in the </w:t>
      </w:r>
      <w:r w:rsidRPr="00A37885" w:rsidR="00775D23">
        <w:t>establishment of the facts and the identification of the perpetrators of criminal offences</w:t>
      </w:r>
      <w:r w:rsidRPr="00A37885" w:rsidR="00FD0F35">
        <w:t xml:space="preserve">. The prisoner is relieved of this obligation if such cooperation can be characterised as “impossible” or “unenforceable” (see paragraph 46 above) and if he or she can prove </w:t>
      </w:r>
      <w:r w:rsidRPr="00A37885" w:rsidR="009B7C42">
        <w:t>the severing of all current links with the mafia group (see paragraph 32 above).</w:t>
      </w:r>
    </w:p>
    <w:p w:rsidRPr="00A37885" w:rsidR="00312965" w:rsidP="00A37885" w14:paraId="31DB1A0A" w14:textId="77777777">
      <w:pPr>
        <w:pStyle w:val="JuHi"/>
      </w:pPr>
      <w:r w:rsidRPr="00A37885">
        <w:t>Prospect of release and possibility of applying for conditional release</w:t>
      </w:r>
    </w:p>
    <w:p w:rsidRPr="00A37885" w:rsidR="008A68ED" w:rsidP="00A37885" w14:paraId="058DA81C" w14:textId="31544083">
      <w:pPr>
        <w:pStyle w:val="JuPara"/>
      </w:pPr>
      <w:r w:rsidRPr="00A37885">
        <w:fldChar w:fldCharType="begin"/>
      </w:r>
      <w:r w:rsidRPr="00A37885">
        <w:instrText xml:space="preserve"> SEQ level0 \*arabic </w:instrText>
      </w:r>
      <w:r w:rsidRPr="00A37885">
        <w:fldChar w:fldCharType="separate"/>
      </w:r>
      <w:r w:rsidRPr="00A37885" w:rsidR="00A37885">
        <w:rPr>
          <w:noProof/>
        </w:rPr>
        <w:t>98</w:t>
      </w:r>
      <w:r w:rsidRPr="00A37885">
        <w:fldChar w:fldCharType="end"/>
      </w:r>
      <w:r w:rsidRPr="00A37885">
        <w:t>.  </w:t>
      </w:r>
      <w:r w:rsidRPr="00A37885">
        <w:t>The Court observes, like the applicant and the Government (see paragraphs 6</w:t>
      </w:r>
      <w:r w:rsidRPr="00A37885" w:rsidR="00775D23">
        <w:t>8</w:t>
      </w:r>
      <w:r w:rsidRPr="00A37885">
        <w:t xml:space="preserve"> and 7</w:t>
      </w:r>
      <w:r w:rsidRPr="00A37885" w:rsidR="00775D23">
        <w:t>7</w:t>
      </w:r>
      <w:r w:rsidRPr="00A37885">
        <w:t xml:space="preserve"> above) that, owing to the existence of the aggravating circumstance</w:t>
      </w:r>
      <w:r w:rsidRPr="00A37885" w:rsidR="00775D23">
        <w:t xml:space="preserve"> taken into account in the applicant</w:t>
      </w:r>
      <w:r w:rsidRPr="00A37885" w:rsidR="00A37885">
        <w:t>’</w:t>
      </w:r>
      <w:r w:rsidRPr="00A37885" w:rsidR="00775D23">
        <w:t>s case, based on</w:t>
      </w:r>
      <w:r w:rsidRPr="00A37885">
        <w:t xml:space="preserve"> </w:t>
      </w:r>
      <w:r w:rsidRPr="00A37885" w:rsidR="00775D23">
        <w:t>his</w:t>
      </w:r>
      <w:r w:rsidRPr="00A37885">
        <w:t xml:space="preserve"> role as head of the mafia group to which he belonged, cooperation </w:t>
      </w:r>
      <w:r w:rsidRPr="00A37885" w:rsidR="00775D23">
        <w:t xml:space="preserve">on his part </w:t>
      </w:r>
      <w:r w:rsidRPr="00A37885">
        <w:t xml:space="preserve">could not be characterised as “impossible” or “unenforceable” for the purposes of the legislation </w:t>
      </w:r>
      <w:r w:rsidRPr="00A37885" w:rsidR="009C6950">
        <w:t xml:space="preserve">in force </w:t>
      </w:r>
      <w:r w:rsidRPr="00A37885">
        <w:t>and the Court of Cassation</w:t>
      </w:r>
      <w:r w:rsidRPr="00A37885" w:rsidR="00A37885">
        <w:t>’</w:t>
      </w:r>
      <w:r w:rsidRPr="00A37885">
        <w:t>s case-law (see paragraphs 33 and 46 above).</w:t>
      </w:r>
    </w:p>
    <w:p w:rsidRPr="00A37885" w:rsidR="008A68ED" w:rsidP="00A37885" w14:paraId="39E12E26" w14:textId="7547AB81">
      <w:pPr>
        <w:pStyle w:val="JuPara"/>
      </w:pPr>
      <w:r w:rsidRPr="00A37885">
        <w:fldChar w:fldCharType="begin"/>
      </w:r>
      <w:r w:rsidRPr="00A37885">
        <w:instrText xml:space="preserve"> SEQ level0 \*arabic </w:instrText>
      </w:r>
      <w:r w:rsidRPr="00A37885">
        <w:fldChar w:fldCharType="separate"/>
      </w:r>
      <w:r w:rsidRPr="00A37885" w:rsidR="00A37885">
        <w:rPr>
          <w:noProof/>
        </w:rPr>
        <w:t>99</w:t>
      </w:r>
      <w:r w:rsidRPr="00A37885">
        <w:fldChar w:fldCharType="end"/>
      </w:r>
      <w:r w:rsidRPr="00A37885">
        <w:t>.  </w:t>
      </w:r>
      <w:r w:rsidRPr="00A37885">
        <w:t xml:space="preserve">Hence, in order to determine in the present case whether a life sentence </w:t>
      </w:r>
      <w:r w:rsidRPr="00A37885" w:rsidR="00775D23">
        <w:t>classified as</w:t>
      </w:r>
      <w:r w:rsidRPr="00A37885">
        <w:t xml:space="preserve"> </w:t>
      </w:r>
      <w:r w:rsidRPr="00A37885">
        <w:rPr>
          <w:i/>
          <w:iCs/>
        </w:rPr>
        <w:t xml:space="preserve">ergastolo ostativo </w:t>
      </w:r>
      <w:r w:rsidRPr="00A37885">
        <w:t xml:space="preserve">is reducible </w:t>
      </w:r>
      <w:r w:rsidRPr="00A37885">
        <w:rPr>
          <w:i/>
          <w:iCs/>
        </w:rPr>
        <w:t xml:space="preserve">de jure </w:t>
      </w:r>
      <w:r w:rsidRPr="00A37885">
        <w:t xml:space="preserve">and </w:t>
      </w:r>
      <w:r w:rsidRPr="00A37885">
        <w:rPr>
          <w:i/>
          <w:iCs/>
        </w:rPr>
        <w:t>de facto</w:t>
      </w:r>
      <w:r w:rsidRPr="00A37885">
        <w:t xml:space="preserve">, that is, whether it affords a prospect of release and a possibility of review (see, among many other authorities, </w:t>
      </w:r>
      <w:r w:rsidRPr="00A37885">
        <w:rPr>
          <w:i/>
          <w:iCs/>
        </w:rPr>
        <w:t>Hutchinson</w:t>
      </w:r>
      <w:r w:rsidRPr="00A37885">
        <w:t xml:space="preserve">, cited above, § 42), the Court will concentrate on the only option available to the applicant, namely to cooperate in the context of the </w:t>
      </w:r>
      <w:r w:rsidRPr="00A37885" w:rsidR="00A135A5">
        <w:t>judicial authorities</w:t>
      </w:r>
      <w:r w:rsidRPr="00A37885" w:rsidR="00A37885">
        <w:t>’</w:t>
      </w:r>
      <w:r w:rsidRPr="00A37885" w:rsidR="00A135A5">
        <w:t xml:space="preserve"> investigative and prosecution activities (see paragraph 7</w:t>
      </w:r>
      <w:r w:rsidRPr="00A37885" w:rsidR="00775D23">
        <w:t>7</w:t>
      </w:r>
      <w:r w:rsidRPr="00A37885" w:rsidR="00A135A5">
        <w:t xml:space="preserve"> above), in order to be able to apply for and be granted release.</w:t>
      </w:r>
    </w:p>
    <w:bookmarkStart w:name="FINALITES_POLITIQUE_CRIMINELLE" w:id="36"/>
    <w:p w:rsidRPr="00A37885" w:rsidR="006465F2" w:rsidP="00A37885" w14:paraId="5F894C9B" w14:textId="5CCF6C2F">
      <w:pPr>
        <w:pStyle w:val="JuPara"/>
      </w:pPr>
      <w:r w:rsidRPr="00A37885">
        <w:fldChar w:fldCharType="begin"/>
      </w:r>
      <w:r w:rsidRPr="00A37885">
        <w:instrText xml:space="preserve"> SEQ level0 \*arabic </w:instrText>
      </w:r>
      <w:r w:rsidRPr="00A37885">
        <w:fldChar w:fldCharType="separate"/>
      </w:r>
      <w:r w:rsidRPr="00A37885" w:rsidR="00A37885">
        <w:rPr>
          <w:noProof/>
        </w:rPr>
        <w:t>100</w:t>
      </w:r>
      <w:r w:rsidRPr="00A37885">
        <w:fldChar w:fldCharType="end"/>
      </w:r>
      <w:bookmarkEnd w:id="36"/>
      <w:r w:rsidRPr="00A37885">
        <w:t>.  </w:t>
      </w:r>
      <w:r w:rsidRPr="00A37885">
        <w:t>The Court notes that the situation in issue in the present case appear</w:t>
      </w:r>
      <w:r w:rsidRPr="00A37885" w:rsidR="00775D23">
        <w:t>s</w:t>
      </w:r>
      <w:r w:rsidRPr="00A37885">
        <w:t xml:space="preserve"> to </w:t>
      </w:r>
      <w:r w:rsidRPr="00A37885" w:rsidR="00775D23">
        <w:t>differ</w:t>
      </w:r>
      <w:r w:rsidRPr="00A37885">
        <w:t xml:space="preserve"> </w:t>
      </w:r>
      <w:r w:rsidRPr="00A37885" w:rsidR="00775D23">
        <w:t>from</w:t>
      </w:r>
      <w:r w:rsidRPr="00A37885">
        <w:t xml:space="preserve"> the facts underlying the case of </w:t>
      </w:r>
      <w:r w:rsidRPr="00A37885">
        <w:rPr>
          <w:i/>
        </w:rPr>
        <w:t>Öcalan v. Turkey (no.</w:t>
      </w:r>
      <w:r w:rsidRPr="00A37885" w:rsidR="00E64A62">
        <w:rPr>
          <w:i/>
        </w:rPr>
        <w:t> </w:t>
      </w:r>
      <w:r w:rsidRPr="00A37885">
        <w:rPr>
          <w:i/>
        </w:rPr>
        <w:t>2)</w:t>
      </w:r>
      <w:r w:rsidRPr="00A37885">
        <w:t xml:space="preserve"> </w:t>
      </w:r>
      <w:r w:rsidRPr="00A37885" w:rsidR="005B7C16">
        <w:t>(</w:t>
      </w:r>
      <w:r w:rsidRPr="00A37885">
        <w:t xml:space="preserve">nos. 24069/03 and 3 others, §§ 200-02, 18 March 2014). In that case, the </w:t>
      </w:r>
      <w:r w:rsidRPr="00A37885" w:rsidR="000A53D3">
        <w:t>incompatibility</w:t>
      </w:r>
      <w:r w:rsidRPr="00A37885">
        <w:t xml:space="preserve"> between the Turkish legal system and Article 3 of the Convention stemmed from the legislation in </w:t>
      </w:r>
      <w:r w:rsidRPr="00A37885" w:rsidR="009C6950">
        <w:t>force</w:t>
      </w:r>
      <w:r w:rsidRPr="00A37885">
        <w:t xml:space="preserve"> at the time, which prohibited the applicant, in his capacity as a person sentenced to aggravated life imprisonment for</w:t>
      </w:r>
      <w:r w:rsidRPr="00A37885" w:rsidR="005B7C16">
        <w:t xml:space="preserve"> </w:t>
      </w:r>
      <w:r w:rsidRPr="00A37885">
        <w:t>a</w:t>
      </w:r>
      <w:r w:rsidRPr="00A37885" w:rsidR="005B7C16">
        <w:t xml:space="preserve"> </w:t>
      </w:r>
      <w:r w:rsidRPr="00A37885">
        <w:t>crime</w:t>
      </w:r>
      <w:r w:rsidRPr="00A37885" w:rsidR="005B7C16">
        <w:t xml:space="preserve"> </w:t>
      </w:r>
      <w:r w:rsidRPr="00A37885">
        <w:t>against the</w:t>
      </w:r>
      <w:r w:rsidRPr="00A37885" w:rsidR="005B7C16">
        <w:t xml:space="preserve"> </w:t>
      </w:r>
      <w:r w:rsidRPr="00A37885">
        <w:t>security</w:t>
      </w:r>
      <w:r w:rsidRPr="00A37885" w:rsidR="005B7C16">
        <w:t xml:space="preserve"> </w:t>
      </w:r>
      <w:r w:rsidRPr="00A37885">
        <w:t>of the State</w:t>
      </w:r>
      <w:r w:rsidRPr="00A37885" w:rsidR="009C6950">
        <w:t>,</w:t>
      </w:r>
      <w:r w:rsidRPr="00A37885" w:rsidR="005B7C16">
        <w:t xml:space="preserve"> </w:t>
      </w:r>
      <w:r w:rsidRPr="00A37885">
        <w:t>from applying</w:t>
      </w:r>
      <w:r w:rsidRPr="00A37885" w:rsidR="005B7C16">
        <w:t xml:space="preserve"> </w:t>
      </w:r>
      <w:r w:rsidRPr="00A37885">
        <w:t>for release on</w:t>
      </w:r>
      <w:r w:rsidRPr="00A37885" w:rsidR="005B7C16">
        <w:t xml:space="preserve"> </w:t>
      </w:r>
      <w:r w:rsidRPr="00A37885">
        <w:t>legitimate</w:t>
      </w:r>
      <w:r w:rsidRPr="00A37885" w:rsidR="005B7C16">
        <w:t xml:space="preserve"> </w:t>
      </w:r>
      <w:r w:rsidRPr="00A37885">
        <w:t>penological grounds</w:t>
      </w:r>
      <w:r w:rsidRPr="00A37885" w:rsidR="005B7C16">
        <w:t xml:space="preserve"> at any time while serving his sentence</w:t>
      </w:r>
      <w:r w:rsidRPr="00A37885">
        <w:t xml:space="preserve">. This </w:t>
      </w:r>
      <w:r w:rsidRPr="00A37885" w:rsidR="00996F22">
        <w:t>was an automatic consequence of</w:t>
      </w:r>
      <w:r w:rsidRPr="00A37885">
        <w:t xml:space="preserve"> the legislation in question</w:t>
      </w:r>
      <w:r w:rsidRPr="00A37885" w:rsidR="005B7C16">
        <w:t>,</w:t>
      </w:r>
      <w:r w:rsidRPr="00A37885">
        <w:t xml:space="preserve"> which ruled out any possibility of obtaining a review of the sentence and was </w:t>
      </w:r>
      <w:r w:rsidRPr="00A37885" w:rsidR="00996F22">
        <w:t xml:space="preserve">linked to the nature of the criminal offence of which the applicant </w:t>
      </w:r>
      <w:r w:rsidRPr="00A37885" w:rsidR="005B7C16">
        <w:t>was</w:t>
      </w:r>
      <w:r w:rsidRPr="00A37885" w:rsidR="00996F22">
        <w:t xml:space="preserve"> accused.</w:t>
      </w:r>
    </w:p>
    <w:p w:rsidRPr="00A37885" w:rsidR="00D72E35" w:rsidP="00A37885" w14:paraId="396E00E6" w14:textId="55F0F71B">
      <w:pPr>
        <w:pStyle w:val="JuPara"/>
      </w:pPr>
      <w:r w:rsidRPr="00A37885">
        <w:fldChar w:fldCharType="begin"/>
      </w:r>
      <w:r w:rsidRPr="00A37885">
        <w:instrText xml:space="preserve"> SEQ level0 \*arabic </w:instrText>
      </w:r>
      <w:r w:rsidRPr="00A37885">
        <w:fldChar w:fldCharType="separate"/>
      </w:r>
      <w:r w:rsidRPr="00A37885" w:rsidR="00A37885">
        <w:rPr>
          <w:noProof/>
        </w:rPr>
        <w:t>101</w:t>
      </w:r>
      <w:r w:rsidRPr="00A37885">
        <w:fldChar w:fldCharType="end"/>
      </w:r>
      <w:r w:rsidRPr="00A37885">
        <w:t>.  </w:t>
      </w:r>
      <w:r w:rsidRPr="00A37885">
        <w:t>The Court observes that in the present case the domestic legislation does not prohibit</w:t>
      </w:r>
      <w:r w:rsidRPr="00A37885" w:rsidR="005B7C16">
        <w:t xml:space="preserve"> </w:t>
      </w:r>
      <w:r w:rsidRPr="00A37885">
        <w:t xml:space="preserve">access to conditional release and to other adjustments of </w:t>
      </w:r>
      <w:r w:rsidRPr="00A37885">
        <w:t>prison sentences</w:t>
      </w:r>
      <w:r w:rsidRPr="00A37885" w:rsidR="005B7C16">
        <w:t xml:space="preserve"> in absolute terms and with automatic effect</w:t>
      </w:r>
      <w:r w:rsidRPr="00A37885">
        <w:t xml:space="preserve">, but makes such access </w:t>
      </w:r>
      <w:r w:rsidRPr="00A37885" w:rsidR="005B7C16">
        <w:t>contingent on</w:t>
      </w:r>
      <w:r w:rsidRPr="00A37885">
        <w:t xml:space="preserve"> “cooperation with the judicial authorities”.</w:t>
      </w:r>
    </w:p>
    <w:p w:rsidRPr="00A37885" w:rsidR="00E82173" w:rsidP="00A37885" w14:paraId="453FA4BD" w14:textId="5227CD94">
      <w:pPr>
        <w:pStyle w:val="JuPara"/>
      </w:pPr>
      <w:r w:rsidRPr="00A37885">
        <w:fldChar w:fldCharType="begin"/>
      </w:r>
      <w:r w:rsidRPr="00A37885">
        <w:instrText xml:space="preserve"> SEQ level0 \*arabic </w:instrText>
      </w:r>
      <w:r w:rsidRPr="00A37885">
        <w:fldChar w:fldCharType="separate"/>
      </w:r>
      <w:r w:rsidRPr="00A37885" w:rsidR="00A37885">
        <w:rPr>
          <w:noProof/>
        </w:rPr>
        <w:t>102</w:t>
      </w:r>
      <w:r w:rsidRPr="00A37885">
        <w:fldChar w:fldCharType="end"/>
      </w:r>
      <w:r w:rsidRPr="00A37885">
        <w:t>.  </w:t>
      </w:r>
      <w:r w:rsidRPr="00A37885">
        <w:t>The applicant</w:t>
      </w:r>
      <w:r w:rsidRPr="00A37885" w:rsidR="00A37885">
        <w:t>’</w:t>
      </w:r>
      <w:r w:rsidRPr="00A37885">
        <w:t>s situation</w:t>
      </w:r>
      <w:r w:rsidRPr="00A37885" w:rsidR="00B00BBB">
        <w:t xml:space="preserve">, stemming from section 4 </w:t>
      </w:r>
      <w:r w:rsidRPr="00A37885" w:rsidR="00B00BBB">
        <w:rPr>
          <w:i/>
          <w:iCs/>
        </w:rPr>
        <w:t>bis</w:t>
      </w:r>
      <w:r w:rsidRPr="00A37885" w:rsidR="00B00BBB">
        <w:t xml:space="preserve">, therefore lies somewhere been that of a prisoner serving an ordinary life sentence under Article 22 of the Criminal Code, whose sentence is reducible </w:t>
      </w:r>
      <w:r w:rsidRPr="00A37885" w:rsidR="00B00BBB">
        <w:rPr>
          <w:i/>
          <w:iCs/>
        </w:rPr>
        <w:t xml:space="preserve">de jure </w:t>
      </w:r>
      <w:r w:rsidRPr="00A37885" w:rsidR="00B00BBB">
        <w:t xml:space="preserve">and </w:t>
      </w:r>
      <w:r w:rsidRPr="00A37885" w:rsidR="00B00BBB">
        <w:rPr>
          <w:i/>
          <w:iCs/>
        </w:rPr>
        <w:t>de facto</w:t>
      </w:r>
      <w:r w:rsidRPr="00A37885" w:rsidR="00B00BBB">
        <w:t xml:space="preserve">, and that of a prisoner who is </w:t>
      </w:r>
      <w:r w:rsidRPr="00A37885" w:rsidR="005B7C16">
        <w:t>barred</w:t>
      </w:r>
      <w:r w:rsidRPr="00A37885" w:rsidR="00B00BBB">
        <w:t xml:space="preserve"> by the system, owing to a legal or practical obstacle, from any possibility of release, in breach of Article 3 of the Convention.</w:t>
      </w:r>
    </w:p>
    <w:p w:rsidRPr="00A37885" w:rsidR="00030471" w:rsidP="00A37885" w14:paraId="6299C7DE" w14:textId="1FE48003">
      <w:pPr>
        <w:pStyle w:val="JuPara"/>
        <w:rPr>
          <w:lang w:val="en-IE"/>
        </w:rPr>
      </w:pPr>
      <w:r w:rsidRPr="00A37885">
        <w:fldChar w:fldCharType="begin"/>
      </w:r>
      <w:r w:rsidRPr="00A37885">
        <w:instrText xml:space="preserve"> SEQ level0 \*arabic </w:instrText>
      </w:r>
      <w:r w:rsidRPr="00A37885">
        <w:fldChar w:fldCharType="separate"/>
      </w:r>
      <w:r w:rsidRPr="00A37885" w:rsidR="00A37885">
        <w:rPr>
          <w:noProof/>
        </w:rPr>
        <w:t>103</w:t>
      </w:r>
      <w:r w:rsidRPr="00A37885">
        <w:fldChar w:fldCharType="end"/>
      </w:r>
      <w:r w:rsidRPr="00A37885">
        <w:t>.  </w:t>
      </w:r>
      <w:r w:rsidRPr="00A37885">
        <w:t>The Court takes note of the Government</w:t>
      </w:r>
      <w:r w:rsidRPr="00A37885" w:rsidR="00A37885">
        <w:t>’</w:t>
      </w:r>
      <w:r w:rsidRPr="00A37885">
        <w:t>s assertion (see paragraph 7</w:t>
      </w:r>
      <w:r w:rsidRPr="00A37885" w:rsidR="005B7C16">
        <w:t>5</w:t>
      </w:r>
      <w:r w:rsidRPr="00A37885">
        <w:t xml:space="preserve"> above) that the aim of section 4 </w:t>
      </w:r>
      <w:r w:rsidRPr="00A37885">
        <w:rPr>
          <w:i/>
          <w:iCs/>
        </w:rPr>
        <w:t xml:space="preserve">bis </w:t>
      </w:r>
      <w:r w:rsidRPr="00A37885" w:rsidR="00D2431D">
        <w:t>is</w:t>
      </w:r>
      <w:r w:rsidRPr="00A37885">
        <w:t xml:space="preserve"> to require convicted prisoners </w:t>
      </w:r>
      <w:r w:rsidRPr="00A37885">
        <w:rPr>
          <w:lang w:val="en-IE"/>
        </w:rPr>
        <w:t xml:space="preserve">to demonstrate in a tangible manner that they </w:t>
      </w:r>
      <w:r w:rsidRPr="00A37885" w:rsidR="00D2431D">
        <w:rPr>
          <w:lang w:val="en-IE"/>
        </w:rPr>
        <w:t>have “dissociated” themselves from the criminal world and have</w:t>
      </w:r>
      <w:r w:rsidRPr="00A37885">
        <w:rPr>
          <w:lang w:val="en-IE"/>
        </w:rPr>
        <w:t xml:space="preserve"> made progress towards rehabilitation</w:t>
      </w:r>
      <w:r w:rsidRPr="00A37885" w:rsidR="00D2431D">
        <w:rPr>
          <w:lang w:val="en-IE"/>
        </w:rPr>
        <w:t xml:space="preserve">, through meaningful cooperation with the </w:t>
      </w:r>
      <w:r w:rsidRPr="00A37885" w:rsidR="005B7C16">
        <w:rPr>
          <w:lang w:val="en-IE"/>
        </w:rPr>
        <w:t xml:space="preserve">judicial </w:t>
      </w:r>
      <w:r w:rsidRPr="00A37885" w:rsidR="00D2431D">
        <w:rPr>
          <w:lang w:val="en-IE"/>
        </w:rPr>
        <w:t>authorities aimed at</w:t>
      </w:r>
      <w:r w:rsidRPr="00A37885">
        <w:rPr>
          <w:lang w:val="en-IE"/>
        </w:rPr>
        <w:t xml:space="preserve"> “dismantling” the mafia organisation and restoring lawfulness</w:t>
      </w:r>
      <w:r w:rsidRPr="00A37885" w:rsidR="00D2431D">
        <w:rPr>
          <w:lang w:val="en-IE"/>
        </w:rPr>
        <w:t xml:space="preserve"> (see also the case-law of the Constitutional Court cited at paragraph 40 above)</w:t>
      </w:r>
      <w:r w:rsidRPr="00A37885">
        <w:rPr>
          <w:lang w:val="en-IE"/>
        </w:rPr>
        <w:t>.</w:t>
      </w:r>
      <w:r w:rsidRPr="00A37885" w:rsidR="00D2431D">
        <w:rPr>
          <w:lang w:val="en-IE"/>
        </w:rPr>
        <w:t xml:space="preserve"> In the Government</w:t>
      </w:r>
      <w:r w:rsidRPr="00A37885" w:rsidR="00A37885">
        <w:rPr>
          <w:lang w:val="en-IE"/>
        </w:rPr>
        <w:t>’</w:t>
      </w:r>
      <w:r w:rsidRPr="00A37885" w:rsidR="00D2431D">
        <w:rPr>
          <w:lang w:val="en-IE"/>
        </w:rPr>
        <w:t xml:space="preserve">s view, the criminal-policy objective underpinning section 4 </w:t>
      </w:r>
      <w:r w:rsidRPr="00A37885" w:rsidR="00D2431D">
        <w:rPr>
          <w:i/>
          <w:iCs/>
          <w:lang w:val="en-IE"/>
        </w:rPr>
        <w:t xml:space="preserve">bis </w:t>
      </w:r>
      <w:r w:rsidRPr="00A37885" w:rsidR="00D2431D">
        <w:rPr>
          <w:lang w:val="en-IE"/>
        </w:rPr>
        <w:t>is thus clearly defined, as emphasised</w:t>
      </w:r>
      <w:r w:rsidRPr="00A37885" w:rsidR="005B7C16">
        <w:rPr>
          <w:lang w:val="en-IE"/>
        </w:rPr>
        <w:t xml:space="preserve"> moreover</w:t>
      </w:r>
      <w:r w:rsidRPr="00A37885" w:rsidR="00D2431D">
        <w:rPr>
          <w:lang w:val="en-IE"/>
        </w:rPr>
        <w:t xml:space="preserve"> in Constitutional Court judgment no. 306/1993 (see paragraph 39 above): the legislature </w:t>
      </w:r>
      <w:r w:rsidRPr="00A37885" w:rsidR="001A6A87">
        <w:t xml:space="preserve">gave express </w:t>
      </w:r>
      <w:r w:rsidRPr="00A37885" w:rsidR="005B7C16">
        <w:t>precedence</w:t>
      </w:r>
      <w:r w:rsidRPr="00A37885" w:rsidR="001A6A87">
        <w:t xml:space="preserve"> to </w:t>
      </w:r>
      <w:r w:rsidRPr="00A37885" w:rsidR="005B7C16">
        <w:t xml:space="preserve">the goals of </w:t>
      </w:r>
      <w:r w:rsidRPr="00A37885" w:rsidR="001A6A87">
        <w:t>general prevention and protection of the community</w:t>
      </w:r>
      <w:r w:rsidRPr="00A37885" w:rsidR="005B7C16">
        <w:t>,</w:t>
      </w:r>
      <w:r w:rsidRPr="00A37885" w:rsidR="001A6A87">
        <w:t xml:space="preserve"> </w:t>
      </w:r>
      <w:r w:rsidRPr="00A37885" w:rsidR="00225197">
        <w:t xml:space="preserve">by requiring persons convicted of the offences in question to demonstrate that they had cooperated with the authorities, </w:t>
      </w:r>
      <w:r w:rsidRPr="00A37885" w:rsidR="00B04135">
        <w:t>such cooperation being</w:t>
      </w:r>
      <w:r w:rsidRPr="00A37885" w:rsidR="001A6A87">
        <w:t xml:space="preserve"> </w:t>
      </w:r>
      <w:r w:rsidRPr="00A37885" w:rsidR="00225197">
        <w:t>considered</w:t>
      </w:r>
      <w:r w:rsidRPr="00A37885" w:rsidR="001A6A87">
        <w:t xml:space="preserve"> an essential tool </w:t>
      </w:r>
      <w:r w:rsidRPr="00A37885" w:rsidR="00225197">
        <w:t xml:space="preserve">in tackling </w:t>
      </w:r>
      <w:r w:rsidRPr="00A37885" w:rsidR="009C6950">
        <w:t>mafia-type activities</w:t>
      </w:r>
      <w:r w:rsidRPr="00A37885" w:rsidR="00225197">
        <w:t xml:space="preserve">. According to the Government, </w:t>
      </w:r>
      <w:r w:rsidRPr="00A37885" w:rsidR="00B04135">
        <w:t>the</w:t>
      </w:r>
      <w:r w:rsidRPr="00A37885" w:rsidR="00225197">
        <w:t xml:space="preserve"> specific nature of </w:t>
      </w:r>
      <w:r w:rsidRPr="00A37885" w:rsidR="009C6950">
        <w:t>these activities</w:t>
      </w:r>
      <w:r w:rsidRPr="00A37885" w:rsidR="00225197">
        <w:t xml:space="preserve"> justifies a life-imprisonment regime that differs from the ordinary regime under Article 22 of the Criminal Code.</w:t>
      </w:r>
    </w:p>
    <w:p w:rsidRPr="00A37885" w:rsidR="006C1133" w:rsidP="00A37885" w14:paraId="4FD45957" w14:textId="2338CF07">
      <w:pPr>
        <w:pStyle w:val="JuPara"/>
      </w:pPr>
      <w:r w:rsidRPr="00A37885">
        <w:fldChar w:fldCharType="begin"/>
      </w:r>
      <w:r w:rsidRPr="00A37885">
        <w:instrText xml:space="preserve"> SEQ level0 \*arabic </w:instrText>
      </w:r>
      <w:r w:rsidRPr="00A37885">
        <w:fldChar w:fldCharType="separate"/>
      </w:r>
      <w:r w:rsidRPr="00A37885" w:rsidR="00A37885">
        <w:rPr>
          <w:noProof/>
        </w:rPr>
        <w:t>104</w:t>
      </w:r>
      <w:r w:rsidRPr="00A37885">
        <w:fldChar w:fldCharType="end"/>
      </w:r>
      <w:r w:rsidRPr="00A37885">
        <w:t>.  </w:t>
      </w:r>
      <w:r w:rsidRPr="00A37885">
        <w:t>With regard to the phenomenon</w:t>
      </w:r>
      <w:r w:rsidRPr="00A37885" w:rsidR="00B04135">
        <w:t xml:space="preserve"> of </w:t>
      </w:r>
      <w:r w:rsidRPr="00A37885" w:rsidR="009C6950">
        <w:t>mafia-type activities</w:t>
      </w:r>
      <w:r w:rsidRPr="00A37885">
        <w:t>, the Court considers it relevant to refer to the Government</w:t>
      </w:r>
      <w:r w:rsidRPr="00A37885" w:rsidR="00A37885">
        <w:t>’</w:t>
      </w:r>
      <w:r w:rsidRPr="00A37885">
        <w:t>s observations (see paragraph 7</w:t>
      </w:r>
      <w:r w:rsidRPr="00A37885" w:rsidR="00B04135">
        <w:t>5</w:t>
      </w:r>
      <w:r w:rsidRPr="00A37885">
        <w:t xml:space="preserve"> above) and to the judgment of the Palmi Assize Court (see paragraph 9 above) noting the specific nature of mafia-type criminal organisations and of the pact binding the</w:t>
      </w:r>
      <w:r w:rsidRPr="00A37885" w:rsidR="004E6DD4">
        <w:t>ir</w:t>
      </w:r>
      <w:r w:rsidRPr="00A37885">
        <w:t xml:space="preserve"> members, which is of a particularly solid and lasting nature.</w:t>
      </w:r>
    </w:p>
    <w:p w:rsidRPr="00A37885" w:rsidR="006E6CC3" w:rsidP="00A37885" w14:paraId="7DB79085" w14:textId="0682334F">
      <w:pPr>
        <w:pStyle w:val="JuPara"/>
      </w:pPr>
      <w:r w:rsidRPr="00A37885">
        <w:fldChar w:fldCharType="begin"/>
      </w:r>
      <w:r w:rsidRPr="00A37885">
        <w:instrText xml:space="preserve"> SEQ level0 \*arabic </w:instrText>
      </w:r>
      <w:r w:rsidRPr="00A37885">
        <w:fldChar w:fldCharType="separate"/>
      </w:r>
      <w:r w:rsidRPr="00A37885" w:rsidR="00A37885">
        <w:rPr>
          <w:noProof/>
        </w:rPr>
        <w:t>105</w:t>
      </w:r>
      <w:r w:rsidRPr="00A37885">
        <w:fldChar w:fldCharType="end"/>
      </w:r>
      <w:r w:rsidRPr="00A37885">
        <w:t>.  </w:t>
      </w:r>
      <w:r w:rsidRPr="00A37885" w:rsidR="00B04135">
        <w:t>The Court</w:t>
      </w:r>
      <w:r w:rsidRPr="00A37885" w:rsidR="003163C8">
        <w:t xml:space="preserve"> also refers to Court of Cassation judgment no. 46103 of 7 November 2014 (see paragraph 47 above), in which that court observed that the offence of membership of a mafia-type criminal organisation, a </w:t>
      </w:r>
      <w:r w:rsidRPr="00A37885" w:rsidR="009C6950">
        <w:t>“</w:t>
      </w:r>
      <w:r w:rsidRPr="00A37885" w:rsidR="003F4FB5">
        <w:t>permanent</w:t>
      </w:r>
      <w:r w:rsidRPr="00A37885" w:rsidR="009C6950">
        <w:t>”</w:t>
      </w:r>
      <w:r w:rsidRPr="00A37885" w:rsidR="003163C8">
        <w:t xml:space="preserve"> offence (</w:t>
      </w:r>
      <w:r w:rsidRPr="00A37885" w:rsidR="003163C8">
        <w:rPr>
          <w:i/>
          <w:iCs/>
        </w:rPr>
        <w:t>reato permanente</w:t>
      </w:r>
      <w:r w:rsidRPr="00A37885" w:rsidR="003163C8">
        <w:t xml:space="preserve">), presupposed the existence of a wide-ranging criminal design, projected into the future and without any limit in time. According to the Court of Cassation, the fact that a member of a mafia-type organisation </w:t>
      </w:r>
      <w:r w:rsidRPr="00A37885" w:rsidR="00B04135">
        <w:t>was</w:t>
      </w:r>
      <w:r w:rsidRPr="00A37885" w:rsidR="003163C8">
        <w:t xml:space="preserve"> incarcerated </w:t>
      </w:r>
      <w:r w:rsidRPr="00A37885" w:rsidR="00B04135">
        <w:t>did</w:t>
      </w:r>
      <w:r w:rsidRPr="00A37885" w:rsidR="003163C8">
        <w:t xml:space="preserve"> not imply the automatic cessation of his or her involvement with the organisation. The Court </w:t>
      </w:r>
      <w:r w:rsidRPr="00A37885" w:rsidR="00B04135">
        <w:t xml:space="preserve">of Cassation </w:t>
      </w:r>
      <w:r w:rsidRPr="00A37885" w:rsidR="003163C8">
        <w:t>infer</w:t>
      </w:r>
      <w:r w:rsidRPr="00A37885" w:rsidR="00B04135">
        <w:t>red</w:t>
      </w:r>
      <w:r w:rsidRPr="00A37885" w:rsidR="003163C8">
        <w:t xml:space="preserve"> from this that the “</w:t>
      </w:r>
      <w:r w:rsidRPr="00A37885" w:rsidR="003F4FB5">
        <w:t>permanent</w:t>
      </w:r>
      <w:r w:rsidRPr="00A37885" w:rsidR="003163C8">
        <w:t xml:space="preserve">” nature of the offence dealt with in Article 416 </w:t>
      </w:r>
      <w:r w:rsidRPr="00A37885" w:rsidR="003163C8">
        <w:rPr>
          <w:i/>
          <w:iCs/>
        </w:rPr>
        <w:t>bis</w:t>
      </w:r>
      <w:r w:rsidRPr="00A37885" w:rsidR="003163C8">
        <w:t xml:space="preserve"> </w:t>
      </w:r>
      <w:r w:rsidRPr="00A37885" w:rsidR="00B04135">
        <w:t>was consistent</w:t>
      </w:r>
      <w:r w:rsidRPr="00A37885" w:rsidR="003163C8">
        <w:t xml:space="preserve"> with </w:t>
      </w:r>
      <w:r w:rsidRPr="00A37885" w:rsidR="003163C8">
        <w:rPr>
          <w:lang w:val="en-IE"/>
        </w:rPr>
        <w:t>inactivity on the part of the member concerned or with the organisation being dormant, such that the organisational link cease</w:t>
      </w:r>
      <w:r w:rsidRPr="00A37885" w:rsidR="00B04135">
        <w:rPr>
          <w:lang w:val="en-IE"/>
        </w:rPr>
        <w:t>d</w:t>
      </w:r>
      <w:r w:rsidRPr="00A37885" w:rsidR="003163C8">
        <w:rPr>
          <w:lang w:val="en-IE"/>
        </w:rPr>
        <w:t xml:space="preserve"> to exist only in the objective circumstance of termination of the agreement or the subjective circumstances of death, </w:t>
      </w:r>
      <w:r w:rsidRPr="00A37885" w:rsidR="003163C8">
        <w:rPr>
          <w:lang w:val="en-IE"/>
        </w:rPr>
        <w:t>severance of the individual ties or exclusion by the other members of the organisation</w:t>
      </w:r>
      <w:r w:rsidRPr="00A37885">
        <w:t xml:space="preserve"> (</w:t>
      </w:r>
      <w:r w:rsidRPr="00A37885" w:rsidR="003163C8">
        <w:t xml:space="preserve">see </w:t>
      </w:r>
      <w:r w:rsidRPr="00A37885">
        <w:t xml:space="preserve">paragraph </w:t>
      </w:r>
      <w:r w:rsidRPr="00A37885">
        <w:fldChar w:fldCharType="begin"/>
      </w:r>
      <w:r w:rsidRPr="00A37885">
        <w:instrText xml:space="preserve"> REF CASSATION_LIEN_MAFIEUX \h  \* MERGEFORMAT </w:instrText>
      </w:r>
      <w:r w:rsidRPr="00A37885">
        <w:fldChar w:fldCharType="separate"/>
      </w:r>
      <w:r w:rsidRPr="00A37885" w:rsidR="00A37885">
        <w:rPr>
          <w:noProof/>
        </w:rPr>
        <w:t>47</w:t>
      </w:r>
      <w:r w:rsidRPr="00A37885">
        <w:fldChar w:fldCharType="end"/>
      </w:r>
      <w:r w:rsidRPr="00A37885">
        <w:t xml:space="preserve"> </w:t>
      </w:r>
      <w:r w:rsidRPr="00A37885" w:rsidR="003163C8">
        <w:t>above</w:t>
      </w:r>
      <w:r w:rsidRPr="00A37885">
        <w:t>).</w:t>
      </w:r>
    </w:p>
    <w:p w:rsidRPr="00A37885" w:rsidR="003163C8" w:rsidP="00A37885" w14:paraId="2C7E6802" w14:textId="1B8B32E8">
      <w:pPr>
        <w:pStyle w:val="JuPara"/>
        <w:rPr>
          <w:rFonts w:ascii="Times New Roman" w:hAnsi="Times New Roman" w:eastAsia="Times New Roman" w:cs="Times New Roman"/>
        </w:rPr>
      </w:pPr>
      <w:r w:rsidRPr="00A37885">
        <w:rPr>
          <w:rFonts w:ascii="Times New Roman" w:hAnsi="Times New Roman" w:eastAsia="Times New Roman" w:cs="Times New Roman"/>
        </w:rPr>
        <w:fldChar w:fldCharType="begin"/>
      </w:r>
      <w:r w:rsidRPr="00A37885">
        <w:rPr>
          <w:rFonts w:ascii="Times New Roman" w:hAnsi="Times New Roman" w:eastAsia="Times New Roman" w:cs="Times New Roman"/>
        </w:rPr>
        <w:instrText xml:space="preserve"> SEQ level0 \*arabic </w:instrText>
      </w:r>
      <w:r w:rsidRPr="00A37885">
        <w:rPr>
          <w:rFonts w:ascii="Times New Roman" w:hAnsi="Times New Roman" w:eastAsia="Times New Roman" w:cs="Times New Roman"/>
        </w:rPr>
        <w:fldChar w:fldCharType="separate"/>
      </w:r>
      <w:r w:rsidRPr="00A37885" w:rsidR="00A37885">
        <w:rPr>
          <w:rFonts w:ascii="Times New Roman" w:hAnsi="Times New Roman" w:eastAsia="Times New Roman" w:cs="Times New Roman"/>
          <w:noProof/>
        </w:rPr>
        <w:t>106</w:t>
      </w:r>
      <w:r w:rsidRPr="00A37885">
        <w:rPr>
          <w:rFonts w:ascii="Times New Roman" w:hAnsi="Times New Roman" w:eastAsia="Times New Roman" w:cs="Times New Roman"/>
        </w:rPr>
        <w:fldChar w:fldCharType="end"/>
      </w:r>
      <w:r w:rsidRPr="00A37885">
        <w:rPr>
          <w:rFonts w:ascii="Times New Roman" w:hAnsi="Times New Roman" w:eastAsia="Times New Roman" w:cs="Times New Roman"/>
        </w:rPr>
        <w:t>.  </w:t>
      </w:r>
      <w:r w:rsidRPr="00A37885">
        <w:rPr>
          <w:rFonts w:ascii="Times New Roman" w:hAnsi="Times New Roman" w:eastAsia="Times New Roman" w:cs="Times New Roman"/>
        </w:rPr>
        <w:t xml:space="preserve">Section 4 </w:t>
      </w:r>
      <w:r w:rsidRPr="00A37885">
        <w:rPr>
          <w:rFonts w:ascii="Times New Roman" w:hAnsi="Times New Roman" w:eastAsia="Times New Roman" w:cs="Times New Roman"/>
          <w:i/>
          <w:iCs/>
        </w:rPr>
        <w:t xml:space="preserve">bis </w:t>
      </w:r>
      <w:r w:rsidRPr="00A37885">
        <w:rPr>
          <w:rFonts w:ascii="Times New Roman" w:hAnsi="Times New Roman" w:eastAsia="Times New Roman" w:cs="Times New Roman"/>
        </w:rPr>
        <w:t xml:space="preserve">therefore entails a presumption </w:t>
      </w:r>
      <w:r w:rsidRPr="00A37885" w:rsidR="00625B8C">
        <w:rPr>
          <w:rFonts w:ascii="Times New Roman" w:hAnsi="Times New Roman" w:eastAsia="Times New Roman" w:cs="Times New Roman"/>
        </w:rPr>
        <w:t>that</w:t>
      </w:r>
      <w:r w:rsidRPr="00A37885">
        <w:rPr>
          <w:rFonts w:ascii="Times New Roman" w:hAnsi="Times New Roman" w:eastAsia="Times New Roman" w:cs="Times New Roman"/>
        </w:rPr>
        <w:t xml:space="preserve"> the convicted prisoner </w:t>
      </w:r>
      <w:r w:rsidRPr="00A37885" w:rsidR="009C6950">
        <w:rPr>
          <w:rFonts w:ascii="Times New Roman" w:hAnsi="Times New Roman" w:eastAsia="Times New Roman" w:cs="Times New Roman"/>
        </w:rPr>
        <w:t>poses</w:t>
      </w:r>
      <w:r w:rsidRPr="00A37885" w:rsidR="00625B8C">
        <w:rPr>
          <w:rFonts w:ascii="Times New Roman" w:hAnsi="Times New Roman" w:eastAsia="Times New Roman" w:cs="Times New Roman"/>
        </w:rPr>
        <w:t xml:space="preserve"> a </w:t>
      </w:r>
      <w:r w:rsidRPr="00A37885" w:rsidR="009C6950">
        <w:rPr>
          <w:rFonts w:ascii="Times New Roman" w:hAnsi="Times New Roman" w:eastAsia="Times New Roman" w:cs="Times New Roman"/>
        </w:rPr>
        <w:t>threat</w:t>
      </w:r>
      <w:r w:rsidRPr="00A37885" w:rsidR="00625B8C">
        <w:rPr>
          <w:rFonts w:ascii="Times New Roman" w:hAnsi="Times New Roman" w:eastAsia="Times New Roman" w:cs="Times New Roman"/>
        </w:rPr>
        <w:t xml:space="preserve"> </w:t>
      </w:r>
      <w:r w:rsidRPr="00A37885">
        <w:rPr>
          <w:rFonts w:ascii="Times New Roman" w:hAnsi="Times New Roman" w:eastAsia="Times New Roman" w:cs="Times New Roman"/>
        </w:rPr>
        <w:t xml:space="preserve">linked to the type of offence of which he or she is accused. </w:t>
      </w:r>
      <w:r w:rsidRPr="00A37885" w:rsidR="00095344">
        <w:rPr>
          <w:rFonts w:ascii="Times New Roman" w:hAnsi="Times New Roman" w:eastAsia="Times New Roman" w:cs="Times New Roman"/>
        </w:rPr>
        <w:t>According to this presumption, t</w:t>
      </w:r>
      <w:r w:rsidRPr="00A37885">
        <w:rPr>
          <w:rFonts w:ascii="Times New Roman" w:hAnsi="Times New Roman" w:eastAsia="Times New Roman" w:cs="Times New Roman"/>
        </w:rPr>
        <w:t>he danger posed and the links to t</w:t>
      </w:r>
      <w:r w:rsidRPr="00A37885" w:rsidR="00095344">
        <w:rPr>
          <w:rFonts w:ascii="Times New Roman" w:hAnsi="Times New Roman" w:eastAsia="Times New Roman" w:cs="Times New Roman"/>
        </w:rPr>
        <w:t>he criminal environment do not cease solely as a result of incarceration. The Court notes the Government</w:t>
      </w:r>
      <w:r w:rsidRPr="00A37885" w:rsidR="00A37885">
        <w:rPr>
          <w:rFonts w:ascii="Times New Roman" w:hAnsi="Times New Roman" w:eastAsia="Times New Roman" w:cs="Times New Roman"/>
        </w:rPr>
        <w:t>’</w:t>
      </w:r>
      <w:r w:rsidRPr="00A37885" w:rsidR="00095344">
        <w:rPr>
          <w:rFonts w:ascii="Times New Roman" w:hAnsi="Times New Roman" w:eastAsia="Times New Roman" w:cs="Times New Roman"/>
        </w:rPr>
        <w:t xml:space="preserve">s assertion that it is for this reason that the provision in question requires the prisoners </w:t>
      </w:r>
      <w:r w:rsidRPr="00A37885" w:rsidR="009C6950">
        <w:rPr>
          <w:rFonts w:ascii="Times New Roman" w:hAnsi="Times New Roman" w:eastAsia="Times New Roman" w:cs="Times New Roman"/>
        </w:rPr>
        <w:t>concerned</w:t>
      </w:r>
      <w:r w:rsidRPr="00A37885" w:rsidR="00095344">
        <w:rPr>
          <w:rFonts w:ascii="Times New Roman" w:hAnsi="Times New Roman" w:eastAsia="Times New Roman" w:cs="Times New Roman"/>
        </w:rPr>
        <w:t xml:space="preserve"> to furnish concrete </w:t>
      </w:r>
      <w:r w:rsidRPr="00A37885" w:rsidR="00625B8C">
        <w:rPr>
          <w:rFonts w:ascii="Times New Roman" w:hAnsi="Times New Roman" w:eastAsia="Times New Roman" w:cs="Times New Roman"/>
        </w:rPr>
        <w:t>evidence</w:t>
      </w:r>
      <w:r w:rsidRPr="00A37885" w:rsidR="00095344">
        <w:rPr>
          <w:rFonts w:ascii="Times New Roman" w:hAnsi="Times New Roman" w:eastAsia="Times New Roman" w:cs="Times New Roman"/>
        </w:rPr>
        <w:t xml:space="preserve">, by cooperating with the authorities, that they have severed links to their criminal environment, a circumstance which, in </w:t>
      </w:r>
      <w:r w:rsidRPr="00A37885" w:rsidR="00625B8C">
        <w:rPr>
          <w:rFonts w:ascii="Times New Roman" w:hAnsi="Times New Roman" w:eastAsia="Times New Roman" w:cs="Times New Roman"/>
        </w:rPr>
        <w:t>the Government</w:t>
      </w:r>
      <w:r w:rsidRPr="00A37885" w:rsidR="00A37885">
        <w:rPr>
          <w:rFonts w:ascii="Times New Roman" w:hAnsi="Times New Roman" w:eastAsia="Times New Roman" w:cs="Times New Roman"/>
        </w:rPr>
        <w:t>’</w:t>
      </w:r>
      <w:r w:rsidRPr="00A37885" w:rsidR="00625B8C">
        <w:rPr>
          <w:rFonts w:ascii="Times New Roman" w:hAnsi="Times New Roman" w:eastAsia="Times New Roman" w:cs="Times New Roman"/>
        </w:rPr>
        <w:t>s</w:t>
      </w:r>
      <w:r w:rsidRPr="00A37885" w:rsidR="00095344">
        <w:rPr>
          <w:rFonts w:ascii="Times New Roman" w:hAnsi="Times New Roman" w:eastAsia="Times New Roman" w:cs="Times New Roman"/>
        </w:rPr>
        <w:t xml:space="preserve"> view, is also </w:t>
      </w:r>
      <w:r w:rsidRPr="00A37885" w:rsidR="00AA4748">
        <w:rPr>
          <w:rFonts w:ascii="Times New Roman" w:hAnsi="Times New Roman" w:eastAsia="Times New Roman" w:cs="Times New Roman"/>
        </w:rPr>
        <w:t>an indicator of</w:t>
      </w:r>
      <w:r w:rsidRPr="00A37885" w:rsidR="00095344">
        <w:rPr>
          <w:rFonts w:ascii="Times New Roman" w:hAnsi="Times New Roman" w:eastAsia="Times New Roman" w:cs="Times New Roman"/>
        </w:rPr>
        <w:t xml:space="preserve"> successful rehabilitation.</w:t>
      </w:r>
    </w:p>
    <w:p w:rsidRPr="00A37885" w:rsidR="00095344" w:rsidP="00A37885" w14:paraId="6F7E27CE" w14:textId="3A1557D6">
      <w:pPr>
        <w:pStyle w:val="JuPara"/>
      </w:pPr>
      <w:r w:rsidRPr="00A37885">
        <w:fldChar w:fldCharType="begin"/>
      </w:r>
      <w:r w:rsidRPr="00A37885">
        <w:instrText xml:space="preserve"> SEQ level0 \*arabic </w:instrText>
      </w:r>
      <w:r w:rsidRPr="00A37885">
        <w:fldChar w:fldCharType="separate"/>
      </w:r>
      <w:r w:rsidRPr="00A37885" w:rsidR="00A37885">
        <w:rPr>
          <w:noProof/>
        </w:rPr>
        <w:t>107</w:t>
      </w:r>
      <w:r w:rsidRPr="00A37885">
        <w:fldChar w:fldCharType="end"/>
      </w:r>
      <w:r w:rsidRPr="00A37885">
        <w:t>.  </w:t>
      </w:r>
      <w:r w:rsidRPr="00A37885">
        <w:t>The Court reiterates that a State</w:t>
      </w:r>
      <w:r w:rsidRPr="00A37885" w:rsidR="00A37885">
        <w:t>’</w:t>
      </w:r>
      <w:r w:rsidRPr="00A37885">
        <w:t xml:space="preserve">s choice of a specific criminal justice system, including sentence review and release arrangements, is in principle outside the scope of the supervision the Court carries out at the European level, provided that the system does not contravene the principles set forth in the Convention (see </w:t>
      </w:r>
      <w:r w:rsidRPr="00A37885">
        <w:rPr>
          <w:i/>
          <w:iCs/>
        </w:rPr>
        <w:t>Vinter</w:t>
      </w:r>
      <w:r w:rsidRPr="00A37885" w:rsidR="00426ADC">
        <w:rPr>
          <w:i/>
          <w:iCs/>
        </w:rPr>
        <w:t xml:space="preserve"> and Others</w:t>
      </w:r>
      <w:r w:rsidRPr="00A37885">
        <w:t>, cited above, §</w:t>
      </w:r>
      <w:r w:rsidRPr="00A37885" w:rsidR="00312965">
        <w:t xml:space="preserve"> </w:t>
      </w:r>
      <w:r w:rsidRPr="00A37885">
        <w:t>104).</w:t>
      </w:r>
    </w:p>
    <w:p w:rsidRPr="00A37885" w:rsidR="006D5D05" w:rsidP="00A37885" w14:paraId="6B7BF429" w14:textId="6BC882FC">
      <w:pPr>
        <w:pStyle w:val="JuPara"/>
      </w:pPr>
      <w:r w:rsidRPr="00A37885">
        <w:fldChar w:fldCharType="begin"/>
      </w:r>
      <w:r w:rsidRPr="00A37885">
        <w:instrText xml:space="preserve"> SEQ level0 \*arabic </w:instrText>
      </w:r>
      <w:r w:rsidRPr="00A37885">
        <w:fldChar w:fldCharType="separate"/>
      </w:r>
      <w:r w:rsidRPr="00A37885" w:rsidR="00A37885">
        <w:rPr>
          <w:noProof/>
        </w:rPr>
        <w:t>108</w:t>
      </w:r>
      <w:r w:rsidRPr="00A37885">
        <w:fldChar w:fldCharType="end"/>
      </w:r>
      <w:r w:rsidRPr="00A37885">
        <w:t>.  </w:t>
      </w:r>
      <w:r w:rsidRPr="00A37885">
        <w:t xml:space="preserve">It has also held that, while punishment remains one of the aims of imprisonment, the emphasis in European penal policy is now on the rehabilitative aim of imprisonment, including in the case of life prisoners (ibid., §§ 115-18), particularly towards the end of a long prison sentence (see </w:t>
      </w:r>
      <w:r w:rsidRPr="00A37885">
        <w:rPr>
          <w:i/>
          <w:iCs/>
        </w:rPr>
        <w:t>Dickson</w:t>
      </w:r>
      <w:r w:rsidRPr="00A37885">
        <w:t>, cited above, §</w:t>
      </w:r>
      <w:r w:rsidRPr="00A37885" w:rsidR="00312965">
        <w:t xml:space="preserve"> </w:t>
      </w:r>
      <w:r w:rsidRPr="00A37885">
        <w:t>75, with its reference to paragraphs 28-36</w:t>
      </w:r>
      <w:r w:rsidRPr="00A37885" w:rsidR="00910F75">
        <w:t xml:space="preserve"> of the same judgment</w:t>
      </w:r>
      <w:r w:rsidRPr="00A37885">
        <w:t>). The principle of reintegration into society is reflected in international norms and is now recognised in the Court</w:t>
      </w:r>
      <w:r w:rsidRPr="00A37885" w:rsidR="00A37885">
        <w:t>’</w:t>
      </w:r>
      <w:r w:rsidRPr="00A37885">
        <w:t xml:space="preserve">s case-law (see </w:t>
      </w:r>
      <w:r w:rsidRPr="00A37885">
        <w:rPr>
          <w:i/>
          <w:iCs/>
        </w:rPr>
        <w:t>Murray</w:t>
      </w:r>
      <w:r w:rsidRPr="00A37885">
        <w:t>, cited above, § 102, and the case-law cited therein).</w:t>
      </w:r>
    </w:p>
    <w:p w:rsidRPr="00A37885" w:rsidR="006D5D05" w:rsidP="00A37885" w14:paraId="5F0FCE25" w14:textId="2C16FEF2">
      <w:pPr>
        <w:pStyle w:val="JuPara"/>
      </w:pPr>
      <w:r w:rsidRPr="00A37885">
        <w:fldChar w:fldCharType="begin"/>
      </w:r>
      <w:r w:rsidRPr="00A37885">
        <w:instrText xml:space="preserve"> SEQ level0 \*arabic </w:instrText>
      </w:r>
      <w:r w:rsidRPr="00A37885">
        <w:fldChar w:fldCharType="separate"/>
      </w:r>
      <w:r w:rsidRPr="00A37885" w:rsidR="00A37885">
        <w:rPr>
          <w:noProof/>
        </w:rPr>
        <w:t>109</w:t>
      </w:r>
      <w:r w:rsidRPr="00A37885">
        <w:fldChar w:fldCharType="end"/>
      </w:r>
      <w:r w:rsidRPr="00A37885">
        <w:t>.  </w:t>
      </w:r>
      <w:r w:rsidRPr="00A37885">
        <w:t>At the domestic level the Court notes that, since Constitutional Court judgment no. 313 of 1990 (see paragraph 38 above), that court</w:t>
      </w:r>
      <w:r w:rsidRPr="00A37885" w:rsidR="00A37885">
        <w:t>’</w:t>
      </w:r>
      <w:r w:rsidRPr="00A37885">
        <w:t xml:space="preserve">s </w:t>
      </w:r>
      <w:r w:rsidRPr="00A37885" w:rsidR="009E3BE1">
        <w:t xml:space="preserve">case-law on the </w:t>
      </w:r>
      <w:r w:rsidRPr="00A37885" w:rsidR="009A0BFB">
        <w:t>purpose</w:t>
      </w:r>
      <w:r w:rsidRPr="00A37885" w:rsidR="00910F75">
        <w:t xml:space="preserve"> of punishment</w:t>
      </w:r>
      <w:r w:rsidRPr="00A37885" w:rsidR="009E3BE1">
        <w:t xml:space="preserve"> reflects the central role of </w:t>
      </w:r>
      <w:r w:rsidRPr="00A37885" w:rsidR="00910F75">
        <w:t>resocialisation</w:t>
      </w:r>
      <w:r w:rsidRPr="00A37885" w:rsidR="009E3BE1">
        <w:t>, which must</w:t>
      </w:r>
      <w:r w:rsidRPr="00A37885" w:rsidR="00312965">
        <w:t xml:space="preserve"> </w:t>
      </w:r>
      <w:r w:rsidRPr="00A37885" w:rsidR="009E3BE1">
        <w:t xml:space="preserve">accompany the sentence from its formulation as an abstract rule until its completion in practice. The Constitutional Court ruled that this principle must guide the actions of the legislature, the ordinary courts, the post-sentencing </w:t>
      </w:r>
      <w:r w:rsidRPr="00A37885" w:rsidR="00910F75">
        <w:t>courts</w:t>
      </w:r>
      <w:r w:rsidRPr="00A37885" w:rsidR="009E3BE1">
        <w:t xml:space="preserve"> and the prison authorities.</w:t>
      </w:r>
    </w:p>
    <w:p w:rsidRPr="00A37885" w:rsidR="00312965" w:rsidP="00A37885" w14:paraId="5C4383F5" w14:textId="053CDA01">
      <w:pPr>
        <w:pStyle w:val="JuPara"/>
      </w:pPr>
      <w:r w:rsidRPr="00A37885">
        <w:fldChar w:fldCharType="begin"/>
      </w:r>
      <w:r w:rsidRPr="00A37885">
        <w:instrText xml:space="preserve"> SEQ level0 \*arabic </w:instrText>
      </w:r>
      <w:r w:rsidRPr="00A37885">
        <w:fldChar w:fldCharType="separate"/>
      </w:r>
      <w:r w:rsidRPr="00A37885" w:rsidR="00A37885">
        <w:rPr>
          <w:noProof/>
        </w:rPr>
        <w:t>110</w:t>
      </w:r>
      <w:r w:rsidRPr="00A37885">
        <w:fldChar w:fldCharType="end"/>
      </w:r>
      <w:r w:rsidRPr="00A37885">
        <w:t>.  </w:t>
      </w:r>
      <w:r w:rsidRPr="00A37885" w:rsidR="009E3BE1">
        <w:t>On the basis of these preliminary considerations, the Court will address the central issue that arises in the applicant</w:t>
      </w:r>
      <w:r w:rsidRPr="00A37885" w:rsidR="00A37885">
        <w:t>’</w:t>
      </w:r>
      <w:r w:rsidRPr="00A37885" w:rsidR="009E3BE1">
        <w:t xml:space="preserve">s case, namely whether the balance to be struck between the aims of criminal policy and the </w:t>
      </w:r>
      <w:r w:rsidRPr="00A37885" w:rsidR="00910F75">
        <w:t xml:space="preserve">rehabilitative function of </w:t>
      </w:r>
      <w:r w:rsidRPr="00A37885" w:rsidR="009A1A41">
        <w:t>sentences</w:t>
      </w:r>
      <w:r w:rsidRPr="00A37885" w:rsidR="009E3BE1">
        <w:t xml:space="preserve"> does not</w:t>
      </w:r>
      <w:r w:rsidRPr="00A37885" w:rsidR="000E6C7C">
        <w:t xml:space="preserve"> </w:t>
      </w:r>
      <w:r w:rsidRPr="00A37885" w:rsidR="009A0BFB">
        <w:t>result</w:t>
      </w:r>
      <w:r w:rsidRPr="00A37885" w:rsidR="000E6C7C">
        <w:t>,</w:t>
      </w:r>
      <w:r w:rsidRPr="00A37885" w:rsidR="009E3BE1">
        <w:t xml:space="preserve"> in practice</w:t>
      </w:r>
      <w:r w:rsidRPr="00A37885" w:rsidR="000E6C7C">
        <w:t>,</w:t>
      </w:r>
      <w:r w:rsidRPr="00A37885" w:rsidR="009E3BE1">
        <w:t xml:space="preserve"> </w:t>
      </w:r>
      <w:r w:rsidRPr="00A37885" w:rsidR="009A0BFB">
        <w:t>in</w:t>
      </w:r>
      <w:r w:rsidRPr="00A37885" w:rsidR="000E6C7C">
        <w:t xml:space="preserve"> unduly restricting individuals</w:t>
      </w:r>
      <w:r w:rsidRPr="00A37885" w:rsidR="00A37885">
        <w:t>’</w:t>
      </w:r>
      <w:r w:rsidRPr="00A37885" w:rsidR="000E6C7C">
        <w:t xml:space="preserve"> prospects of release and </w:t>
      </w:r>
      <w:r w:rsidRPr="00A37885" w:rsidR="00910F75">
        <w:t>the possibility for them</w:t>
      </w:r>
      <w:r w:rsidRPr="00A37885" w:rsidR="000E6C7C">
        <w:t xml:space="preserve"> to obtain a review of their sentence.</w:t>
      </w:r>
    </w:p>
    <w:bookmarkStart w:name="PROGRESSION_TRAITEMENT" w:id="37"/>
    <w:p w:rsidRPr="00A37885" w:rsidR="000E6C7C" w:rsidP="00A37885" w14:paraId="15C4F02F" w14:textId="57971EE4">
      <w:pPr>
        <w:pStyle w:val="JuPara"/>
      </w:pPr>
      <w:r w:rsidRPr="00A37885">
        <w:fldChar w:fldCharType="begin"/>
      </w:r>
      <w:r w:rsidRPr="00A37885">
        <w:instrText xml:space="preserve"> SEQ level0 \*arabic </w:instrText>
      </w:r>
      <w:r w:rsidRPr="00A37885">
        <w:fldChar w:fldCharType="separate"/>
      </w:r>
      <w:r w:rsidRPr="00A37885" w:rsidR="00A37885">
        <w:rPr>
          <w:noProof/>
        </w:rPr>
        <w:t>111</w:t>
      </w:r>
      <w:r w:rsidRPr="00A37885">
        <w:fldChar w:fldCharType="end"/>
      </w:r>
      <w:bookmarkEnd w:id="37"/>
      <w:r w:rsidRPr="00A37885">
        <w:t>.  </w:t>
      </w:r>
      <w:r w:rsidRPr="00A37885">
        <w:t xml:space="preserve">The Court observes that the Italian prison system is based on the principle of progressive treatment of prisoners </w:t>
      </w:r>
      <w:r w:rsidRPr="00A37885">
        <w:t>(</w:t>
      </w:r>
      <w:r w:rsidRPr="00A37885">
        <w:rPr>
          <w:i/>
        </w:rPr>
        <w:t>progressione trattamentale</w:t>
      </w:r>
      <w:r w:rsidRPr="00A37885">
        <w:t>)</w:t>
      </w:r>
      <w:r w:rsidRPr="00A37885">
        <w:t xml:space="preserve">, according to which active participation in an individual rehabilitation programme and the passage of time may have a positive effect on convicted prisoners and foster their full reintegration into society. </w:t>
      </w:r>
      <w:r w:rsidRPr="00A37885" w:rsidR="003F293A">
        <w:t>As convicted persons progress while in prison (assuming that this occurs), the system affords them the opportunity to apply for a range</w:t>
      </w:r>
      <w:r w:rsidRPr="00A37885" w:rsidR="009A0BFB">
        <w:t xml:space="preserve"> of</w:t>
      </w:r>
      <w:r w:rsidRPr="00A37885" w:rsidR="003F293A">
        <w:t xml:space="preserve"> </w:t>
      </w:r>
      <w:r w:rsidRPr="00A37885" w:rsidR="009A0BFB">
        <w:t xml:space="preserve">progressive </w:t>
      </w:r>
      <w:r w:rsidRPr="00A37885" w:rsidR="003F293A">
        <w:t xml:space="preserve">measures </w:t>
      </w:r>
      <w:r w:rsidRPr="00A37885" w:rsidR="003F293A">
        <w:t>(from outside work to conditional release) intended to accompany them on the “road to release”.</w:t>
      </w:r>
    </w:p>
    <w:p w:rsidRPr="00A37885" w:rsidR="003F293A" w:rsidP="00A37885" w14:paraId="4AA8D061" w14:textId="0515D232">
      <w:pPr>
        <w:pStyle w:val="JuPara"/>
      </w:pPr>
      <w:r w:rsidRPr="00A37885">
        <w:fldChar w:fldCharType="begin"/>
      </w:r>
      <w:r w:rsidRPr="00A37885">
        <w:instrText xml:space="preserve"> SEQ level0 \*arabic </w:instrText>
      </w:r>
      <w:r w:rsidRPr="00A37885">
        <w:fldChar w:fldCharType="separate"/>
      </w:r>
      <w:r w:rsidRPr="00A37885" w:rsidR="00A37885">
        <w:rPr>
          <w:noProof/>
        </w:rPr>
        <w:t>112</w:t>
      </w:r>
      <w:r w:rsidRPr="00A37885">
        <w:fldChar w:fldCharType="end"/>
      </w:r>
      <w:r w:rsidRPr="00A37885">
        <w:t>.  </w:t>
      </w:r>
      <w:r w:rsidRPr="00A37885">
        <w:t>This is a variant of the rehabilitati</w:t>
      </w:r>
      <w:r w:rsidRPr="00A37885" w:rsidR="00910F75">
        <w:t>on</w:t>
      </w:r>
      <w:r w:rsidRPr="00A37885">
        <w:t xml:space="preserve"> function of incarceration referred to in </w:t>
      </w:r>
      <w:r w:rsidRPr="00A37885">
        <w:rPr>
          <w:i/>
          <w:iCs/>
        </w:rPr>
        <w:t xml:space="preserve">Murray </w:t>
      </w:r>
      <w:r w:rsidRPr="00A37885">
        <w:t>(cited above, §</w:t>
      </w:r>
      <w:r w:rsidRPr="00A37885" w:rsidR="00312965">
        <w:t xml:space="preserve"> </w:t>
      </w:r>
      <w:r w:rsidRPr="00A37885">
        <w:t>101).</w:t>
      </w:r>
    </w:p>
    <w:p w:rsidRPr="00A37885" w:rsidR="008E217C" w:rsidP="00A37885" w14:paraId="45B91F69" w14:textId="79DACDF3">
      <w:pPr>
        <w:pStyle w:val="JuPara"/>
      </w:pPr>
      <w:r w:rsidRPr="00A37885">
        <w:fldChar w:fldCharType="begin"/>
      </w:r>
      <w:r w:rsidRPr="00A37885">
        <w:instrText xml:space="preserve"> SEQ level0 \*arabic </w:instrText>
      </w:r>
      <w:r w:rsidRPr="00A37885">
        <w:fldChar w:fldCharType="separate"/>
      </w:r>
      <w:r w:rsidRPr="00A37885" w:rsidR="00A37885">
        <w:rPr>
          <w:noProof/>
        </w:rPr>
        <w:t>113</w:t>
      </w:r>
      <w:r w:rsidRPr="00A37885">
        <w:fldChar w:fldCharType="end"/>
      </w:r>
      <w:r w:rsidRPr="00A37885">
        <w:t>.  </w:t>
      </w:r>
      <w:r w:rsidRPr="00A37885">
        <w:t xml:space="preserve">The Court also reiterates that it would be incompatible with human dignity forcefully to deprive a person of his freedom without striving towards his rehabilitation and providing him with the chance to regain that freedom at some future date. It has specified that “[a] whole life prisoner is entitled to know </w:t>
      </w:r>
      <w:r w:rsidRPr="00A37885" w:rsidR="00312965">
        <w:t>...</w:t>
      </w:r>
      <w:r w:rsidRPr="00A37885">
        <w:t xml:space="preserve"> what he must do to be considered for release and under what conditions” (see </w:t>
      </w:r>
      <w:r w:rsidRPr="00A37885">
        <w:rPr>
          <w:i/>
          <w:iCs/>
        </w:rPr>
        <w:t>Vinter</w:t>
      </w:r>
      <w:r w:rsidRPr="00A37885" w:rsidR="00426ADC">
        <w:rPr>
          <w:i/>
          <w:iCs/>
        </w:rPr>
        <w:t xml:space="preserve"> and Others</w:t>
      </w:r>
      <w:r w:rsidRPr="00A37885">
        <w:t>, cited above, §</w:t>
      </w:r>
      <w:r w:rsidRPr="00A37885" w:rsidR="00312965">
        <w:t xml:space="preserve"> </w:t>
      </w:r>
      <w:r w:rsidRPr="00A37885">
        <w:t>122).</w:t>
      </w:r>
    </w:p>
    <w:p w:rsidRPr="00A37885" w:rsidR="004D01F2" w:rsidP="00A37885" w14:paraId="3A9367B8" w14:textId="2A629CE3">
      <w:pPr>
        <w:pStyle w:val="JuPara"/>
        <w:rPr>
          <w:iCs/>
        </w:rPr>
      </w:pPr>
      <w:r w:rsidRPr="00A37885">
        <w:t>It has also held that the authorities must give life prisoners a real opportunity to rehabilitate themselves</w:t>
      </w:r>
      <w:r w:rsidRPr="00A37885" w:rsidR="003C77F4">
        <w:t xml:space="preserve"> (see </w:t>
      </w:r>
      <w:r w:rsidRPr="00A37885" w:rsidR="003C77F4">
        <w:rPr>
          <w:i/>
        </w:rPr>
        <w:t>Harakchiev and Tolumov</w:t>
      </w:r>
      <w:r w:rsidRPr="00A37885" w:rsidR="003C77F4">
        <w:t xml:space="preserve"> </w:t>
      </w:r>
      <w:r w:rsidRPr="00A37885" w:rsidR="003C77F4">
        <w:rPr>
          <w:i/>
        </w:rPr>
        <w:t>v. Bulgaria</w:t>
      </w:r>
      <w:r w:rsidRPr="00A37885" w:rsidR="003C77F4">
        <w:t xml:space="preserve">, nos. 15018/11 and 61199/12, § 264, ECHR 2014 (extracts)). This is clearly a positive obligation of means, not of result, entailing a requirement to secure prison regimes to life prisoners that are compatible with the aim of rehabilitation and enable such prisoners to make progress towards their rehabilitation (see </w:t>
      </w:r>
      <w:r w:rsidRPr="00A37885" w:rsidR="003C77F4">
        <w:rPr>
          <w:i/>
          <w:iCs/>
        </w:rPr>
        <w:t>Murray</w:t>
      </w:r>
      <w:r w:rsidRPr="00A37885" w:rsidR="003C77F4">
        <w:t xml:space="preserve">, cited above, § 104). In this context the Court has previously </w:t>
      </w:r>
      <w:r w:rsidRPr="00A37885" w:rsidR="006724FE">
        <w:t>found that</w:t>
      </w:r>
      <w:r w:rsidRPr="00A37885" w:rsidR="003C77F4">
        <w:t xml:space="preserve"> </w:t>
      </w:r>
      <w:r w:rsidRPr="00A37885" w:rsidR="009A0BFB">
        <w:t xml:space="preserve">this </w:t>
      </w:r>
      <w:r w:rsidRPr="00A37885" w:rsidR="003C77F4">
        <w:t xml:space="preserve">obligation </w:t>
      </w:r>
      <w:r w:rsidRPr="00A37885" w:rsidR="009A0BFB">
        <w:t xml:space="preserve">was not fulfilled </w:t>
      </w:r>
      <w:r w:rsidRPr="00A37885" w:rsidR="003C77F4">
        <w:t xml:space="preserve">in situations where it </w:t>
      </w:r>
      <w:r w:rsidRPr="00A37885" w:rsidR="006724FE">
        <w:t>was</w:t>
      </w:r>
      <w:r w:rsidRPr="00A37885" w:rsidR="003C77F4">
        <w:t xml:space="preserve"> the prison regime or the conditions of detention which obstruct</w:t>
      </w:r>
      <w:r w:rsidRPr="00A37885" w:rsidR="006724FE">
        <w:t>ed</w:t>
      </w:r>
      <w:r w:rsidRPr="00A37885" w:rsidR="003C77F4">
        <w:t xml:space="preserve"> rehabilitation</w:t>
      </w:r>
      <w:r w:rsidRPr="00A37885" w:rsidR="006724FE">
        <w:t xml:space="preserve"> (see </w:t>
      </w:r>
      <w:r w:rsidRPr="00A37885" w:rsidR="006724FE">
        <w:rPr>
          <w:i/>
        </w:rPr>
        <w:t>Harakchiev and Tolumov</w:t>
      </w:r>
      <w:r w:rsidRPr="00A37885" w:rsidR="006724FE">
        <w:rPr>
          <w:iCs/>
        </w:rPr>
        <w:t>, cited above, § 266).</w:t>
      </w:r>
    </w:p>
    <w:p w:rsidRPr="00A37885" w:rsidR="006724FE" w:rsidP="00A37885" w14:paraId="77D5AAAA" w14:textId="081D1964">
      <w:pPr>
        <w:pStyle w:val="JuPara"/>
      </w:pPr>
      <w:r w:rsidRPr="00A37885">
        <w:fldChar w:fldCharType="begin"/>
      </w:r>
      <w:r w:rsidRPr="00A37885">
        <w:instrText xml:space="preserve"> SEQ level0 \*arabic </w:instrText>
      </w:r>
      <w:r w:rsidRPr="00A37885">
        <w:fldChar w:fldCharType="separate"/>
      </w:r>
      <w:r w:rsidRPr="00A37885" w:rsidR="00A37885">
        <w:rPr>
          <w:noProof/>
        </w:rPr>
        <w:t>114</w:t>
      </w:r>
      <w:r w:rsidRPr="00A37885">
        <w:fldChar w:fldCharType="end"/>
      </w:r>
      <w:r w:rsidRPr="00A37885">
        <w:t>.  </w:t>
      </w:r>
      <w:r w:rsidRPr="00A37885">
        <w:t xml:space="preserve">The Court takes note of the position adopted in the present case by the Government, who argued that the obstruction </w:t>
      </w:r>
      <w:r w:rsidRPr="00A37885" w:rsidR="00B57E21">
        <w:t>stemming from</w:t>
      </w:r>
      <w:r w:rsidRPr="00A37885">
        <w:t xml:space="preserve"> the absence of “cooperation with the judicial authorities” was not the result of an automatic legislative mechanism depriving the applicant in absolute fashion of any prospect of release, but instead was the consequence of a personal choice. The central role assigned to the free will of the prisoner, who, in the Government</w:t>
      </w:r>
      <w:r w:rsidRPr="00A37885" w:rsidR="00A37885">
        <w:t>’</w:t>
      </w:r>
      <w:r w:rsidRPr="00A37885">
        <w:t xml:space="preserve">s submission, </w:t>
      </w:r>
      <w:r w:rsidRPr="00A37885" w:rsidR="00B57E21">
        <w:t>is</w:t>
      </w:r>
      <w:r w:rsidRPr="00A37885">
        <w:t xml:space="preserve"> solely responsible for his or her own destiny, constitute</w:t>
      </w:r>
      <w:r w:rsidRPr="00A37885" w:rsidR="00B57E21">
        <w:t>s</w:t>
      </w:r>
      <w:r w:rsidRPr="00A37885">
        <w:t xml:space="preserve"> one of the main arguments adduced by the Government (see paragraph </w:t>
      </w:r>
      <w:r w:rsidRPr="00A37885" w:rsidR="00B57E21">
        <w:t>79</w:t>
      </w:r>
      <w:r w:rsidRPr="00A37885">
        <w:t xml:space="preserve"> above), who also rel</w:t>
      </w:r>
      <w:r w:rsidRPr="00A37885" w:rsidR="00B57E21">
        <w:t>y</w:t>
      </w:r>
      <w:r w:rsidRPr="00A37885">
        <w:t xml:space="preserve"> on the case-law of the Constitutional Court (see paragraph 41 above).</w:t>
      </w:r>
    </w:p>
    <w:p w:rsidRPr="00A37885" w:rsidR="006724FE" w:rsidP="00A37885" w14:paraId="6281ECFE" w14:textId="12AFB6EF">
      <w:pPr>
        <w:pStyle w:val="JuPara"/>
      </w:pPr>
      <w:r w:rsidRPr="00A37885">
        <w:fldChar w:fldCharType="begin"/>
      </w:r>
      <w:r w:rsidRPr="00A37885">
        <w:instrText xml:space="preserve"> SEQ level0 \*arabic </w:instrText>
      </w:r>
      <w:r w:rsidRPr="00A37885">
        <w:fldChar w:fldCharType="separate"/>
      </w:r>
      <w:r w:rsidRPr="00A37885" w:rsidR="00A37885">
        <w:rPr>
          <w:noProof/>
        </w:rPr>
        <w:t>115</w:t>
      </w:r>
      <w:r w:rsidRPr="00A37885">
        <w:fldChar w:fldCharType="end"/>
      </w:r>
      <w:r w:rsidRPr="00A37885">
        <w:t>.  </w:t>
      </w:r>
      <w:r w:rsidRPr="00A37885">
        <w:t>The Court also takes note of the applicant</w:t>
      </w:r>
      <w:r w:rsidRPr="00A37885" w:rsidR="00A37885">
        <w:t>’</w:t>
      </w:r>
      <w:r w:rsidRPr="00A37885">
        <w:t xml:space="preserve">s argument that </w:t>
      </w:r>
      <w:r w:rsidRPr="00A37885" w:rsidR="00471DF1">
        <w:t xml:space="preserve">cooperation with the authorities would place him and his loved ones at risk of reprisals by the mafia organisation and would run </w:t>
      </w:r>
      <w:r w:rsidRPr="00A37885" w:rsidR="00471DF1">
        <w:rPr>
          <w:lang w:val="en-IE"/>
        </w:rPr>
        <w:t xml:space="preserve">counter to his personal conviction that he </w:t>
      </w:r>
      <w:r w:rsidRPr="00A37885" w:rsidR="00B57E21">
        <w:rPr>
          <w:lang w:val="en-IE"/>
        </w:rPr>
        <w:t>is</w:t>
      </w:r>
      <w:r w:rsidRPr="00A37885" w:rsidR="00471DF1">
        <w:rPr>
          <w:lang w:val="en-IE"/>
        </w:rPr>
        <w:t xml:space="preserve"> innocent (see paragraph </w:t>
      </w:r>
      <w:r w:rsidRPr="00A37885" w:rsidR="00B57E21">
        <w:rPr>
          <w:lang w:val="en-IE"/>
        </w:rPr>
        <w:t>70</w:t>
      </w:r>
      <w:r w:rsidRPr="00A37885" w:rsidR="00471DF1">
        <w:rPr>
          <w:lang w:val="en-IE"/>
        </w:rPr>
        <w:t xml:space="preserve"> above). The applicant also criticise</w:t>
      </w:r>
      <w:r w:rsidRPr="00A37885" w:rsidR="00B57E21">
        <w:rPr>
          <w:lang w:val="en-IE"/>
        </w:rPr>
        <w:t xml:space="preserve">s </w:t>
      </w:r>
      <w:r w:rsidRPr="00A37885" w:rsidR="00471DF1">
        <w:rPr>
          <w:lang w:val="en-IE"/>
        </w:rPr>
        <w:t xml:space="preserve">the instrumental approach of the system, which, in his submission, </w:t>
      </w:r>
      <w:r w:rsidRPr="00A37885" w:rsidR="00B57E21">
        <w:rPr>
          <w:lang w:val="en-IE"/>
        </w:rPr>
        <w:t>makes</w:t>
      </w:r>
      <w:r w:rsidRPr="00A37885" w:rsidR="00471DF1">
        <w:rPr>
          <w:lang w:val="en-IE"/>
        </w:rPr>
        <w:t xml:space="preserve"> </w:t>
      </w:r>
      <w:r w:rsidRPr="00A37885" w:rsidR="00027AE9">
        <w:rPr>
          <w:lang w:val="en-IE"/>
        </w:rPr>
        <w:t xml:space="preserve">his </w:t>
      </w:r>
      <w:r w:rsidRPr="00A37885" w:rsidR="00471DF1">
        <w:rPr>
          <w:lang w:val="en-IE"/>
        </w:rPr>
        <w:t xml:space="preserve">release conditional on wholesale cooperation </w:t>
      </w:r>
      <w:r w:rsidRPr="00A37885" w:rsidR="00027AE9">
        <w:rPr>
          <w:lang w:val="en-IE"/>
        </w:rPr>
        <w:t xml:space="preserve">on his part </w:t>
      </w:r>
      <w:r w:rsidRPr="00A37885" w:rsidR="00471DF1">
        <w:rPr>
          <w:lang w:val="en-IE"/>
        </w:rPr>
        <w:t xml:space="preserve">(see paragraph </w:t>
      </w:r>
      <w:r w:rsidRPr="00A37885" w:rsidR="00B57E21">
        <w:rPr>
          <w:lang w:val="en-IE"/>
        </w:rPr>
        <w:t>71</w:t>
      </w:r>
      <w:r w:rsidRPr="00A37885" w:rsidR="00471DF1">
        <w:rPr>
          <w:lang w:val="en-IE"/>
        </w:rPr>
        <w:t xml:space="preserve"> above).</w:t>
      </w:r>
    </w:p>
    <w:p w:rsidRPr="00A37885" w:rsidR="00312965" w:rsidP="00A37885" w14:paraId="7C962A8F" w14:textId="5CF7E8EA">
      <w:pPr>
        <w:pStyle w:val="JuPara"/>
      </w:pPr>
      <w:r w:rsidRPr="00A37885">
        <w:fldChar w:fldCharType="begin"/>
      </w:r>
      <w:r w:rsidRPr="00A37885">
        <w:instrText xml:space="preserve"> SEQ level0 \*arabic </w:instrText>
      </w:r>
      <w:r w:rsidRPr="00A37885">
        <w:fldChar w:fldCharType="separate"/>
      </w:r>
      <w:r w:rsidRPr="00A37885" w:rsidR="00A37885">
        <w:rPr>
          <w:noProof/>
        </w:rPr>
        <w:t>116</w:t>
      </w:r>
      <w:r w:rsidRPr="00A37885">
        <w:fldChar w:fldCharType="end"/>
      </w:r>
      <w:r w:rsidRPr="00A37885">
        <w:t>.  </w:t>
      </w:r>
      <w:r w:rsidRPr="00A37885" w:rsidR="00CC3AD6">
        <w:t xml:space="preserve">While it is true that the domestic system gives convicted prisoners a choice as to whether or not to cooperate with the judicial authorities, the Court </w:t>
      </w:r>
      <w:r w:rsidRPr="00A37885" w:rsidR="00E73D20">
        <w:t>has doubts as to the free nature of that choice and the appropriateness of equating a lack of cooperation with the</w:t>
      </w:r>
      <w:r w:rsidRPr="00A37885" w:rsidR="002B06C4">
        <w:t xml:space="preserve"> prisoner</w:t>
      </w:r>
      <w:r w:rsidRPr="00A37885" w:rsidR="00A37885">
        <w:t>’</w:t>
      </w:r>
      <w:r w:rsidRPr="00A37885" w:rsidR="002B06C4">
        <w:t>s</w:t>
      </w:r>
      <w:r w:rsidRPr="00A37885" w:rsidR="00E73D20">
        <w:t xml:space="preserve"> danger</w:t>
      </w:r>
      <w:r w:rsidRPr="00A37885" w:rsidR="002B06C4">
        <w:t>ousness to society.</w:t>
      </w:r>
    </w:p>
    <w:p w:rsidRPr="00A37885" w:rsidR="00200E44" w:rsidP="00A37885" w14:paraId="79657B13" w14:textId="2895216F">
      <w:pPr>
        <w:pStyle w:val="JuPara"/>
      </w:pPr>
      <w:r w:rsidRPr="00A37885">
        <w:fldChar w:fldCharType="begin"/>
      </w:r>
      <w:r w:rsidRPr="00A37885">
        <w:instrText xml:space="preserve"> SEQ level0 \*arabic </w:instrText>
      </w:r>
      <w:r w:rsidRPr="00A37885">
        <w:fldChar w:fldCharType="separate"/>
      </w:r>
      <w:r w:rsidRPr="00A37885" w:rsidR="00A37885">
        <w:rPr>
          <w:noProof/>
        </w:rPr>
        <w:t>117</w:t>
      </w:r>
      <w:r w:rsidRPr="00A37885">
        <w:fldChar w:fldCharType="end"/>
      </w:r>
      <w:r w:rsidRPr="00A37885">
        <w:t>.  </w:t>
      </w:r>
      <w:r w:rsidRPr="00A37885">
        <w:t>Without wishing to express a view on the merits of the applicant</w:t>
      </w:r>
      <w:r w:rsidRPr="00A37885" w:rsidR="00A37885">
        <w:t>’</w:t>
      </w:r>
      <w:r w:rsidRPr="00A37885">
        <w:t xml:space="preserve">s protestation of innocence – a matter which, moreover, it is not competent to determine – the Court notes that the applicant simply asserted that he had decided not to cooperate with the judicial authorities in order not to go against his own private conviction and to be spared </w:t>
      </w:r>
      <w:r w:rsidRPr="00A37885" w:rsidR="005F4D5E">
        <w:t>a</w:t>
      </w:r>
      <w:r w:rsidRPr="00A37885">
        <w:t xml:space="preserve"> violent reaction from his former associates (see paragraph 7</w:t>
      </w:r>
      <w:r w:rsidRPr="00A37885" w:rsidR="005F4D5E">
        <w:t>0</w:t>
      </w:r>
      <w:r w:rsidRPr="00A37885">
        <w:t xml:space="preserve"> above). In this connection, reference should be made to the submissions of the third-party intervener </w:t>
      </w:r>
      <w:r w:rsidRPr="00A37885">
        <w:rPr>
          <w:i/>
          <w:iCs/>
        </w:rPr>
        <w:t>L</w:t>
      </w:r>
      <w:r w:rsidRPr="00A37885" w:rsidR="00A37885">
        <w:rPr>
          <w:i/>
          <w:iCs/>
        </w:rPr>
        <w:t>’</w:t>
      </w:r>
      <w:r w:rsidRPr="00A37885">
        <w:rPr>
          <w:i/>
          <w:iCs/>
        </w:rPr>
        <w:t>altro diritto onlus</w:t>
      </w:r>
      <w:r w:rsidRPr="00A37885">
        <w:t xml:space="preserve"> concerning its first-hand observation of prisoners serving life sentences under the section 4 </w:t>
      </w:r>
      <w:r w:rsidRPr="00A37885">
        <w:rPr>
          <w:i/>
          <w:iCs/>
        </w:rPr>
        <w:t xml:space="preserve">bis </w:t>
      </w:r>
      <w:r w:rsidRPr="00A37885">
        <w:t xml:space="preserve">regime. According to the third-party intervener, the main reason why prisoners convicted of mafia-type offences refuse to cooperate with the judicial authorities </w:t>
      </w:r>
      <w:r w:rsidRPr="00A37885" w:rsidR="000A53D3">
        <w:t>is</w:t>
      </w:r>
      <w:r w:rsidRPr="00A37885">
        <w:t xml:space="preserve"> their fear </w:t>
      </w:r>
      <w:r w:rsidRPr="00A37885" w:rsidR="00B53A47">
        <w:t xml:space="preserve">for their own lives and </w:t>
      </w:r>
      <w:r w:rsidRPr="00A37885" w:rsidR="005F4D5E">
        <w:t>the lives</w:t>
      </w:r>
      <w:r w:rsidRPr="00A37885" w:rsidR="00B53A47">
        <w:t xml:space="preserve"> of their loved ones (see paragraph </w:t>
      </w:r>
      <w:r w:rsidRPr="00A37885" w:rsidR="005F4D5E">
        <w:t>89</w:t>
      </w:r>
      <w:r w:rsidRPr="00A37885" w:rsidR="00B53A47">
        <w:t xml:space="preserve"> above).</w:t>
      </w:r>
    </w:p>
    <w:p w:rsidRPr="00A37885" w:rsidR="00B53A47" w:rsidP="00A37885" w14:paraId="218FEC0C" w14:textId="419FBB2D">
      <w:pPr>
        <w:pStyle w:val="JuPara"/>
      </w:pPr>
      <w:r w:rsidRPr="00A37885">
        <w:fldChar w:fldCharType="begin"/>
      </w:r>
      <w:r w:rsidRPr="00A37885">
        <w:instrText xml:space="preserve"> SEQ level0 \*arabic </w:instrText>
      </w:r>
      <w:r w:rsidRPr="00A37885">
        <w:fldChar w:fldCharType="separate"/>
      </w:r>
      <w:r w:rsidRPr="00A37885" w:rsidR="00A37885">
        <w:rPr>
          <w:noProof/>
        </w:rPr>
        <w:t>118</w:t>
      </w:r>
      <w:r w:rsidRPr="00A37885">
        <w:fldChar w:fldCharType="end"/>
      </w:r>
      <w:r w:rsidRPr="00A37885">
        <w:t>.  </w:t>
      </w:r>
      <w:r w:rsidRPr="00A37885">
        <w:t xml:space="preserve">The Court infers from this that </w:t>
      </w:r>
      <w:r w:rsidRPr="00A37885" w:rsidR="0078395F">
        <w:t>failure to cooperate</w:t>
      </w:r>
      <w:r w:rsidRPr="00A37885">
        <w:t xml:space="preserve"> is not always the result of a free and deliberate choice, nor does it necessarily reflect continuing adherence to “criminal values” or ongoing links with the criminal organisation</w:t>
      </w:r>
      <w:r w:rsidRPr="00A37885" w:rsidR="005F4D5E">
        <w:t xml:space="preserve"> in question</w:t>
      </w:r>
      <w:r w:rsidRPr="00A37885">
        <w:t>. Indeed, this was acknowledged by the Constitutional Court in judgment no. 306 of 11 June 1993, in which it held that the absence of cooperation did not necessarily indicate that the person still had links to the mafia organisation (see paragraph 39 above).</w:t>
      </w:r>
    </w:p>
    <w:p w:rsidRPr="00A37885" w:rsidR="00775318" w:rsidP="00A37885" w14:paraId="4E6D7C5C" w14:textId="7F140DBF">
      <w:pPr>
        <w:pStyle w:val="JuPara"/>
      </w:pPr>
      <w:r w:rsidRPr="00A37885">
        <w:fldChar w:fldCharType="begin"/>
      </w:r>
      <w:r w:rsidRPr="00A37885">
        <w:instrText xml:space="preserve"> SEQ level0 \*arabic </w:instrText>
      </w:r>
      <w:r w:rsidRPr="00A37885">
        <w:fldChar w:fldCharType="separate"/>
      </w:r>
      <w:r w:rsidRPr="00A37885" w:rsidR="00A37885">
        <w:rPr>
          <w:noProof/>
        </w:rPr>
        <w:t>119</w:t>
      </w:r>
      <w:r w:rsidRPr="00A37885">
        <w:fldChar w:fldCharType="end"/>
      </w:r>
      <w:r w:rsidRPr="00A37885">
        <w:t>.  </w:t>
      </w:r>
      <w:r w:rsidRPr="00A37885">
        <w:t>The Court also notes, as did the Constitutional Court in the same judgment, that a situation could reasonably be imagined in which a convicted prisoner might cooperate with the authorities not as a result of any rehabilitation on his or her part or a genuine severing of contact with criminal circles, but solely in order to take advantage of the adjustments of sentence</w:t>
      </w:r>
      <w:r w:rsidRPr="00A37885" w:rsidR="005F4D5E">
        <w:t xml:space="preserve"> provided for by law</w:t>
      </w:r>
      <w:r w:rsidRPr="00A37885">
        <w:t>.</w:t>
      </w:r>
    </w:p>
    <w:p w:rsidRPr="00A37885" w:rsidR="00775318" w:rsidP="00A37885" w14:paraId="4A156CF1" w14:textId="167173FB">
      <w:pPr>
        <w:pStyle w:val="JuPara"/>
      </w:pPr>
      <w:r w:rsidRPr="00A37885">
        <w:fldChar w:fldCharType="begin"/>
      </w:r>
      <w:r w:rsidRPr="00A37885">
        <w:instrText xml:space="preserve"> SEQ level0 \*arabic </w:instrText>
      </w:r>
      <w:r w:rsidRPr="00A37885">
        <w:fldChar w:fldCharType="separate"/>
      </w:r>
      <w:r w:rsidRPr="00A37885" w:rsidR="00A37885">
        <w:rPr>
          <w:noProof/>
        </w:rPr>
        <w:t>120</w:t>
      </w:r>
      <w:r w:rsidRPr="00A37885">
        <w:fldChar w:fldCharType="end"/>
      </w:r>
      <w:r w:rsidRPr="00A37885">
        <w:t>.  </w:t>
      </w:r>
      <w:r w:rsidRPr="00A37885">
        <w:t xml:space="preserve">It notes that, if other circumstances or other considerations may prompt a convicted </w:t>
      </w:r>
      <w:r w:rsidRPr="00A37885" w:rsidR="005F4D5E">
        <w:t>prisoner</w:t>
      </w:r>
      <w:r w:rsidRPr="00A37885">
        <w:t xml:space="preserve"> to refuse to cooperate, or if cooperation may be offered for purely opportunistic reasons, </w:t>
      </w:r>
      <w:r w:rsidRPr="00A37885" w:rsidR="00984AD0">
        <w:t xml:space="preserve">the fact that </w:t>
      </w:r>
      <w:r w:rsidRPr="00A37885" w:rsidR="000A53D3">
        <w:t>the absence</w:t>
      </w:r>
      <w:r w:rsidRPr="00A37885" w:rsidR="00984AD0">
        <w:t xml:space="preserve"> of cooperation is directly equated with an irrebuttable presumption of dangerousness to society ultimately fails to reflect any actual progress made by the applicant towards rehabilitation.</w:t>
      </w:r>
    </w:p>
    <w:p w:rsidRPr="00A37885" w:rsidR="00312965" w:rsidP="00A37885" w14:paraId="15C0B1B7" w14:textId="4160F65C">
      <w:pPr>
        <w:pStyle w:val="JuPara"/>
      </w:pPr>
      <w:r w:rsidRPr="00A37885">
        <w:fldChar w:fldCharType="begin"/>
      </w:r>
      <w:r w:rsidRPr="00A37885">
        <w:instrText xml:space="preserve"> SEQ level0 \*arabic </w:instrText>
      </w:r>
      <w:r w:rsidRPr="00A37885">
        <w:fldChar w:fldCharType="separate"/>
      </w:r>
      <w:r w:rsidRPr="00A37885" w:rsidR="00A37885">
        <w:rPr>
          <w:noProof/>
        </w:rPr>
        <w:t>121</w:t>
      </w:r>
      <w:r w:rsidRPr="00A37885">
        <w:fldChar w:fldCharType="end"/>
      </w:r>
      <w:r w:rsidRPr="00A37885">
        <w:t>.  </w:t>
      </w:r>
      <w:r w:rsidRPr="00A37885" w:rsidR="0025651C">
        <w:t xml:space="preserve">The Court observes, indeed, </w:t>
      </w:r>
      <w:r w:rsidRPr="00A37885" w:rsidR="005F4D5E">
        <w:t xml:space="preserve">that the fact of </w:t>
      </w:r>
      <w:r w:rsidRPr="00A37885" w:rsidR="0025651C">
        <w:t>regarding cooperation with the authorities as the only possible demonstration of the convicted prisoner</w:t>
      </w:r>
      <w:r w:rsidRPr="00A37885" w:rsidR="00A37885">
        <w:t>’</w:t>
      </w:r>
      <w:r w:rsidRPr="00A37885" w:rsidR="0025651C">
        <w:t>s “dissociation” and rehabilitation fails to take account of other indicators that could be used to assess a prisoner</w:t>
      </w:r>
      <w:r w:rsidRPr="00A37885" w:rsidR="00A37885">
        <w:t>’</w:t>
      </w:r>
      <w:r w:rsidRPr="00A37885" w:rsidR="0025651C">
        <w:t>s progress</w:t>
      </w:r>
      <w:r w:rsidRPr="00A37885" w:rsidR="00A608A8">
        <w:t>. It cannot be ruled out that the severing of ties with mafia circles may be expressed in ways other than cooperation with the judicial authorities.</w:t>
      </w:r>
    </w:p>
    <w:p w:rsidRPr="00A37885" w:rsidR="007E0345" w:rsidP="00A37885" w14:paraId="338291C1" w14:textId="5E3667AE">
      <w:pPr>
        <w:pStyle w:val="JuPara"/>
      </w:pPr>
      <w:r w:rsidRPr="00A37885">
        <w:fldChar w:fldCharType="begin"/>
      </w:r>
      <w:r w:rsidRPr="00A37885">
        <w:instrText xml:space="preserve"> SEQ level0 \*arabic </w:instrText>
      </w:r>
      <w:r w:rsidRPr="00A37885">
        <w:fldChar w:fldCharType="separate"/>
      </w:r>
      <w:r w:rsidRPr="00A37885" w:rsidR="00A37885">
        <w:rPr>
          <w:noProof/>
        </w:rPr>
        <w:t>122</w:t>
      </w:r>
      <w:r w:rsidRPr="00A37885">
        <w:fldChar w:fldCharType="end"/>
      </w:r>
      <w:r w:rsidRPr="00A37885">
        <w:t>.  </w:t>
      </w:r>
      <w:r w:rsidRPr="00A37885">
        <w:t>As the Court observed earlier (see paragraph 11</w:t>
      </w:r>
      <w:r w:rsidRPr="00A37885" w:rsidR="00027AE9">
        <w:t>1</w:t>
      </w:r>
      <w:r w:rsidRPr="00A37885">
        <w:t xml:space="preserve"> above), the Italian prison system offers a range of progressive opportunities for contact with society – from work outside prison, through prison leave and the semi-custodial regime, to conditional release – designed to ease the prisoner</w:t>
      </w:r>
      <w:r w:rsidRPr="00A37885" w:rsidR="00A37885">
        <w:t>’</w:t>
      </w:r>
      <w:r w:rsidRPr="00A37885">
        <w:t xml:space="preserve">s reintegration into society. The applicant was not afforded these opportunities </w:t>
      </w:r>
      <w:r w:rsidRPr="00A37885" w:rsidR="00027AE9">
        <w:t>for progressive reintegration</w:t>
      </w:r>
      <w:r w:rsidRPr="00A37885">
        <w:t>.</w:t>
      </w:r>
    </w:p>
    <w:p w:rsidRPr="00A37885" w:rsidR="007E0345" w:rsidP="00A37885" w14:paraId="0D00DB9C" w14:textId="65C07899">
      <w:pPr>
        <w:pStyle w:val="JuPara"/>
      </w:pPr>
      <w:r w:rsidRPr="00A37885">
        <w:fldChar w:fldCharType="begin"/>
      </w:r>
      <w:r w:rsidRPr="00A37885">
        <w:instrText xml:space="preserve"> SEQ level0 \*arabic </w:instrText>
      </w:r>
      <w:r w:rsidRPr="00A37885">
        <w:fldChar w:fldCharType="separate"/>
      </w:r>
      <w:r w:rsidRPr="00A37885" w:rsidR="00A37885">
        <w:rPr>
          <w:noProof/>
        </w:rPr>
        <w:t>123</w:t>
      </w:r>
      <w:r w:rsidRPr="00A37885">
        <w:fldChar w:fldCharType="end"/>
      </w:r>
      <w:r w:rsidRPr="00A37885">
        <w:t>.  </w:t>
      </w:r>
      <w:r w:rsidRPr="00A37885">
        <w:t xml:space="preserve">The Court </w:t>
      </w:r>
      <w:r w:rsidRPr="00A37885" w:rsidR="005F4D5E">
        <w:t>notes</w:t>
      </w:r>
      <w:r w:rsidRPr="00A37885">
        <w:t xml:space="preserve"> that this was the case despite the fact that the reports on the applicant</w:t>
      </w:r>
      <w:r w:rsidRPr="00A37885" w:rsidR="00A37885">
        <w:t>’</w:t>
      </w:r>
      <w:r w:rsidRPr="00A37885">
        <w:t>s behaviour in prison submitted in support of his application for conditional release (see paragraph 24 above) observed a positive change in his personality. Likewise, it notes that – although it was issued in a different legal context – the order made by the L</w:t>
      </w:r>
      <w:r w:rsidRPr="00A37885" w:rsidR="00A37885">
        <w:t>’</w:t>
      </w:r>
      <w:r w:rsidRPr="00A37885">
        <w:t xml:space="preserve">Aquila Sentence Supervision Court ending the “section 41 </w:t>
      </w:r>
      <w:r w:rsidRPr="00A37885">
        <w:rPr>
          <w:i/>
          <w:iCs/>
        </w:rPr>
        <w:t>bis</w:t>
      </w:r>
      <w:r w:rsidRPr="00A37885">
        <w:t>” regime in the applicant</w:t>
      </w:r>
      <w:r w:rsidRPr="00A37885" w:rsidR="00A37885">
        <w:t>’</w:t>
      </w:r>
      <w:r w:rsidRPr="00A37885">
        <w:t xml:space="preserve">s case </w:t>
      </w:r>
      <w:r w:rsidRPr="00A37885" w:rsidR="00921A8B">
        <w:t>stated</w:t>
      </w:r>
      <w:r w:rsidRPr="00A37885" w:rsidR="00E11128">
        <w:t xml:space="preserve"> that he </w:t>
      </w:r>
      <w:r w:rsidRPr="00A37885" w:rsidR="00027AE9">
        <w:t xml:space="preserve">had </w:t>
      </w:r>
      <w:r w:rsidRPr="00A37885" w:rsidR="00E11128">
        <w:t>made progress towards rehabilitation (see paragraph 16 above).</w:t>
      </w:r>
    </w:p>
    <w:p w:rsidRPr="00A37885" w:rsidR="0002360E" w:rsidP="00A37885" w14:paraId="42551771" w14:textId="4B84C218">
      <w:pPr>
        <w:pStyle w:val="JuPara"/>
      </w:pPr>
      <w:r w:rsidRPr="00A37885">
        <w:fldChar w:fldCharType="begin"/>
      </w:r>
      <w:r w:rsidRPr="00A37885">
        <w:instrText xml:space="preserve"> SEQ level0 \*arabic </w:instrText>
      </w:r>
      <w:r w:rsidRPr="00A37885">
        <w:fldChar w:fldCharType="separate"/>
      </w:r>
      <w:r w:rsidRPr="00A37885" w:rsidR="00A37885">
        <w:rPr>
          <w:noProof/>
        </w:rPr>
        <w:t>124</w:t>
      </w:r>
      <w:r w:rsidRPr="00A37885">
        <w:fldChar w:fldCharType="end"/>
      </w:r>
      <w:r w:rsidRPr="00A37885">
        <w:t>.  </w:t>
      </w:r>
      <w:r w:rsidRPr="00A37885">
        <w:t>Furthermore, the Court notes the applicant</w:t>
      </w:r>
      <w:r w:rsidRPr="00A37885" w:rsidR="00A37885">
        <w:t>’</w:t>
      </w:r>
      <w:r w:rsidRPr="00A37885">
        <w:t>s assertion that he had never had disciplinary sanctions imposed on him and that since being convicted he had built up entitlement to be released approximately five years early on account of his participation in the rehabilitation programme</w:t>
      </w:r>
      <w:r w:rsidRPr="00A37885" w:rsidR="00312965">
        <w:t xml:space="preserve"> </w:t>
      </w:r>
      <w:r w:rsidRPr="00A37885">
        <w:t>(see paragraph 7</w:t>
      </w:r>
      <w:r w:rsidRPr="00A37885" w:rsidR="00921A8B">
        <w:t>3</w:t>
      </w:r>
      <w:r w:rsidRPr="00A37885">
        <w:t xml:space="preserve"> above), but that he could not take advantage of the reduction of sentence</w:t>
      </w:r>
      <w:r w:rsidRPr="00A37885" w:rsidR="002244CA">
        <w:t xml:space="preserve"> in practice</w:t>
      </w:r>
      <w:r w:rsidRPr="00A37885" w:rsidR="00921A8B">
        <w:t xml:space="preserve"> because of the </w:t>
      </w:r>
      <w:r w:rsidRPr="00A37885" w:rsidR="00027AE9">
        <w:t>absence</w:t>
      </w:r>
      <w:r w:rsidRPr="00A37885" w:rsidR="00921A8B">
        <w:t xml:space="preserve"> of cooperation on his part</w:t>
      </w:r>
      <w:r w:rsidRPr="00A37885">
        <w:t>.</w:t>
      </w:r>
    </w:p>
    <w:p w:rsidRPr="00A37885" w:rsidR="007F49E8" w:rsidP="00A37885" w14:paraId="046471B0" w14:textId="5A3A44C1">
      <w:pPr>
        <w:pStyle w:val="JuPara"/>
      </w:pPr>
      <w:r w:rsidRPr="00A37885">
        <w:fldChar w:fldCharType="begin"/>
      </w:r>
      <w:r w:rsidRPr="00A37885">
        <w:instrText xml:space="preserve"> SEQ level0 \*arabic </w:instrText>
      </w:r>
      <w:r w:rsidRPr="00A37885">
        <w:fldChar w:fldCharType="separate"/>
      </w:r>
      <w:r w:rsidRPr="00A37885" w:rsidR="00A37885">
        <w:rPr>
          <w:noProof/>
        </w:rPr>
        <w:t>125</w:t>
      </w:r>
      <w:r w:rsidRPr="00A37885">
        <w:fldChar w:fldCharType="end"/>
      </w:r>
      <w:r w:rsidRPr="00A37885">
        <w:t>.  </w:t>
      </w:r>
      <w:r w:rsidRPr="00A37885">
        <w:t>In the Court</w:t>
      </w:r>
      <w:r w:rsidRPr="00A37885" w:rsidR="00A37885">
        <w:t>’</w:t>
      </w:r>
      <w:r w:rsidRPr="00A37885">
        <w:t xml:space="preserve">s view, a </w:t>
      </w:r>
      <w:r w:rsidRPr="00A37885" w:rsidR="002B64DF">
        <w:t>convicted prisoner</w:t>
      </w:r>
      <w:r w:rsidRPr="00A37885" w:rsidR="00A37885">
        <w:t>’</w:t>
      </w:r>
      <w:r w:rsidRPr="00A37885" w:rsidR="002B64DF">
        <w:t xml:space="preserve">s personality does not remain unchanged from the time of commission of the offence. It may evolve in the course of his or her sentence, </w:t>
      </w:r>
      <w:r w:rsidRPr="00A37885" w:rsidR="002244CA">
        <w:t>in accordance with the principle of rehabilitation</w:t>
      </w:r>
      <w:r w:rsidRPr="00A37885" w:rsidR="002B64DF">
        <w:t xml:space="preserve">, which enables individuals to </w:t>
      </w:r>
      <w:r w:rsidRPr="00A37885" w:rsidR="00152E81">
        <w:t>reflect in a critical manner on</w:t>
      </w:r>
      <w:r w:rsidRPr="00A37885" w:rsidR="002B64DF">
        <w:t xml:space="preserve"> their criminal past and rebuild their personality (see </w:t>
      </w:r>
      <w:r w:rsidRPr="00A37885" w:rsidR="002B64DF">
        <w:rPr>
          <w:i/>
          <w:iCs/>
        </w:rPr>
        <w:t>Murray</w:t>
      </w:r>
      <w:r w:rsidRPr="00A37885" w:rsidR="002B64DF">
        <w:t>, cited above, §</w:t>
      </w:r>
      <w:r w:rsidRPr="00A37885" w:rsidR="00E64A62">
        <w:t> </w:t>
      </w:r>
      <w:r w:rsidRPr="00A37885" w:rsidR="002B64DF">
        <w:t>102).</w:t>
      </w:r>
    </w:p>
    <w:p w:rsidRPr="00A37885" w:rsidR="00312965" w:rsidP="00A37885" w14:paraId="52F7E8F1" w14:textId="191AD9F5">
      <w:pPr>
        <w:pStyle w:val="JuPara"/>
      </w:pPr>
      <w:r w:rsidRPr="00A37885">
        <w:fldChar w:fldCharType="begin"/>
      </w:r>
      <w:r w:rsidRPr="00A37885">
        <w:instrText xml:space="preserve"> SEQ level0 \*arabic </w:instrText>
      </w:r>
      <w:r w:rsidRPr="00A37885">
        <w:fldChar w:fldCharType="separate"/>
      </w:r>
      <w:r w:rsidRPr="00A37885" w:rsidR="00A37885">
        <w:rPr>
          <w:noProof/>
        </w:rPr>
        <w:t>126</w:t>
      </w:r>
      <w:r w:rsidRPr="00A37885">
        <w:fldChar w:fldCharType="end"/>
      </w:r>
      <w:r w:rsidRPr="00A37885">
        <w:t>.  </w:t>
      </w:r>
      <w:r w:rsidRPr="00A37885" w:rsidR="002B64DF">
        <w:t xml:space="preserve">The Court reiterates that prisoners are therefore entitled to know what they must do to be considered for release and under what conditions (see </w:t>
      </w:r>
      <w:r w:rsidRPr="00A37885" w:rsidR="002B64DF">
        <w:rPr>
          <w:i/>
          <w:iCs/>
        </w:rPr>
        <w:t>Vinter</w:t>
      </w:r>
      <w:r w:rsidRPr="00A37885" w:rsidR="00027AE9">
        <w:rPr>
          <w:i/>
          <w:iCs/>
        </w:rPr>
        <w:t xml:space="preserve"> and Others</w:t>
      </w:r>
      <w:r w:rsidRPr="00A37885" w:rsidR="002B64DF">
        <w:t xml:space="preserve">, cited above, § 122, and </w:t>
      </w:r>
      <w:r w:rsidRPr="00A37885" w:rsidR="002B64DF">
        <w:rPr>
          <w:i/>
          <w:iCs/>
        </w:rPr>
        <w:t>Trabelsi</w:t>
      </w:r>
      <w:r w:rsidRPr="00A37885" w:rsidR="002B64DF">
        <w:t>, cited above, §§</w:t>
      </w:r>
      <w:r w:rsidRPr="00A37885" w:rsidR="00E64A62">
        <w:t> </w:t>
      </w:r>
      <w:r w:rsidRPr="00A37885" w:rsidR="002B64DF">
        <w:t>115 and 137).</w:t>
      </w:r>
    </w:p>
    <w:p w:rsidRPr="00A37885" w:rsidR="00E72941" w:rsidP="00A37885" w14:paraId="46CE3F70" w14:textId="0CAA4338">
      <w:pPr>
        <w:pStyle w:val="JuPara"/>
      </w:pPr>
      <w:r w:rsidRPr="00A37885">
        <w:fldChar w:fldCharType="begin"/>
      </w:r>
      <w:r w:rsidRPr="00A37885">
        <w:instrText xml:space="preserve"> SEQ level0 \*arabic </w:instrText>
      </w:r>
      <w:r w:rsidRPr="00A37885">
        <w:fldChar w:fldCharType="separate"/>
      </w:r>
      <w:r w:rsidRPr="00A37885" w:rsidR="00A37885">
        <w:rPr>
          <w:noProof/>
        </w:rPr>
        <w:t>127</w:t>
      </w:r>
      <w:r w:rsidRPr="00A37885">
        <w:fldChar w:fldCharType="end"/>
      </w:r>
      <w:r w:rsidRPr="00A37885">
        <w:t>.  </w:t>
      </w:r>
      <w:r w:rsidRPr="00A37885" w:rsidR="001211FD">
        <w:t xml:space="preserve">In the instant case the Court considers that </w:t>
      </w:r>
      <w:r w:rsidRPr="00A37885" w:rsidR="00027AE9">
        <w:t>the absence</w:t>
      </w:r>
      <w:r w:rsidRPr="00A37885" w:rsidR="001211FD">
        <w:t xml:space="preserve"> of “cooperation with the judicial authorities” gives rise to an irrebuttable presumption of dangerousness which</w:t>
      </w:r>
      <w:r w:rsidRPr="00A37885" w:rsidR="00027AE9">
        <w:t xml:space="preserve"> has</w:t>
      </w:r>
      <w:r w:rsidRPr="00A37885" w:rsidR="001211FD">
        <w:t xml:space="preserve"> </w:t>
      </w:r>
      <w:r w:rsidRPr="00A37885" w:rsidR="00AC2F35">
        <w:t xml:space="preserve">effectively </w:t>
      </w:r>
      <w:r w:rsidRPr="00A37885" w:rsidR="001211FD">
        <w:t>deprive</w:t>
      </w:r>
      <w:r w:rsidRPr="00A37885" w:rsidR="00027AE9">
        <w:t>d</w:t>
      </w:r>
      <w:r w:rsidRPr="00A37885" w:rsidR="001211FD">
        <w:t xml:space="preserve"> the applicant of any realistic prospect of release (see, among other authorities, </w:t>
      </w:r>
      <w:r w:rsidRPr="00A37885" w:rsidR="001211FD">
        <w:rPr>
          <w:i/>
          <w:iCs/>
        </w:rPr>
        <w:t>Harakchiev and Tolumov</w:t>
      </w:r>
      <w:r w:rsidRPr="00A37885" w:rsidR="001211FD">
        <w:t xml:space="preserve">, cited above, § 264, and </w:t>
      </w:r>
      <w:r w:rsidRPr="00A37885" w:rsidR="001211FD">
        <w:rPr>
          <w:i/>
          <w:iCs/>
        </w:rPr>
        <w:t>Matiošaitis and Others</w:t>
      </w:r>
      <w:r w:rsidRPr="00A37885" w:rsidR="001211FD">
        <w:t>, cited above, § 177). There is a risk that he </w:t>
      </w:r>
      <w:r w:rsidRPr="00A37885" w:rsidR="002859A1">
        <w:t>will</w:t>
      </w:r>
      <w:r w:rsidRPr="00A37885" w:rsidR="001211FD">
        <w:t xml:space="preserve"> never </w:t>
      </w:r>
      <w:r w:rsidRPr="00A37885" w:rsidR="002859A1">
        <w:t xml:space="preserve">be able to </w:t>
      </w:r>
      <w:r w:rsidRPr="00A37885" w:rsidR="001211FD">
        <w:t xml:space="preserve">atone for his offence: whatever he does in prison, his punishment remains fixed and unreviewable and, if anything, will become greater with time (see </w:t>
      </w:r>
      <w:r w:rsidRPr="00A37885" w:rsidR="001211FD">
        <w:rPr>
          <w:i/>
          <w:iCs/>
        </w:rPr>
        <w:t>Vinter</w:t>
      </w:r>
      <w:r w:rsidRPr="00A37885" w:rsidR="00027AE9">
        <w:rPr>
          <w:i/>
          <w:iCs/>
        </w:rPr>
        <w:t xml:space="preserve"> and Others</w:t>
      </w:r>
      <w:r w:rsidRPr="00A37885" w:rsidR="001211FD">
        <w:t>, cited above, § 112).</w:t>
      </w:r>
    </w:p>
    <w:p w:rsidRPr="00A37885" w:rsidR="00DF66F0" w:rsidP="00A37885" w14:paraId="0AB78A26" w14:textId="44D73414">
      <w:pPr>
        <w:pStyle w:val="JuPara"/>
      </w:pPr>
      <w:r w:rsidRPr="00A37885">
        <w:fldChar w:fldCharType="begin"/>
      </w:r>
      <w:r w:rsidRPr="00A37885">
        <w:instrText xml:space="preserve"> SEQ level0 \*arabic </w:instrText>
      </w:r>
      <w:r w:rsidRPr="00A37885">
        <w:fldChar w:fldCharType="separate"/>
      </w:r>
      <w:r w:rsidRPr="00A37885" w:rsidR="00A37885">
        <w:rPr>
          <w:noProof/>
        </w:rPr>
        <w:t>128</w:t>
      </w:r>
      <w:r w:rsidRPr="00A37885">
        <w:fldChar w:fldCharType="end"/>
      </w:r>
      <w:r w:rsidRPr="00A37885">
        <w:t>.  </w:t>
      </w:r>
      <w:r w:rsidRPr="00A37885">
        <w:t>The Court observes that it is impossible for the applicant to demonstrate that his continued</w:t>
      </w:r>
      <w:r w:rsidRPr="00A37885" w:rsidR="00AC0776">
        <w:t xml:space="preserve"> </w:t>
      </w:r>
      <w:r w:rsidRPr="00A37885">
        <w:t>imprisonment</w:t>
      </w:r>
      <w:r w:rsidRPr="00A37885" w:rsidR="00AC0776">
        <w:t xml:space="preserve"> </w:t>
      </w:r>
      <w:r w:rsidRPr="00A37885">
        <w:t>is</w:t>
      </w:r>
      <w:r w:rsidRPr="00A37885" w:rsidR="00AC0776">
        <w:t xml:space="preserve"> </w:t>
      </w:r>
      <w:r w:rsidRPr="00A37885">
        <w:t>no longer justified on legitimate penological grounds</w:t>
      </w:r>
      <w:r w:rsidRPr="00A37885" w:rsidR="00AC0776">
        <w:t xml:space="preserve"> </w:t>
      </w:r>
      <w:r w:rsidRPr="00A37885">
        <w:t>and thus contrary to Article 3 of the Convention</w:t>
      </w:r>
      <w:r w:rsidRPr="00A37885" w:rsidR="00AC0776">
        <w:t xml:space="preserve"> (ibid., § 129), </w:t>
      </w:r>
      <w:r w:rsidRPr="00A37885" w:rsidR="00905A81">
        <w:t xml:space="preserve">since by continuing to equate the </w:t>
      </w:r>
      <w:r w:rsidRPr="00A37885" w:rsidR="00027AE9">
        <w:t>absence</w:t>
      </w:r>
      <w:r w:rsidRPr="00A37885" w:rsidR="00905A81">
        <w:t xml:space="preserve"> of cooperation with the irrebuttable presumption of dangerousness to society (see paragraphs 116 and 120 above), the </w:t>
      </w:r>
      <w:r w:rsidRPr="00A37885" w:rsidR="007A4C32">
        <w:t>rules</w:t>
      </w:r>
      <w:r w:rsidRPr="00A37885" w:rsidR="00905A81">
        <w:t xml:space="preserve"> in force effectively assess the person</w:t>
      </w:r>
      <w:r w:rsidRPr="00A37885" w:rsidR="00A37885">
        <w:t>’</w:t>
      </w:r>
      <w:r w:rsidRPr="00A37885" w:rsidR="00905A81">
        <w:t>s dangerousness by reference to the time when the offence was committed, instead of taking account of the rehabilitation process and a</w:t>
      </w:r>
      <w:r w:rsidRPr="00A37885" w:rsidR="007A4C32">
        <w:t>ny</w:t>
      </w:r>
      <w:r w:rsidRPr="00A37885" w:rsidR="00905A81">
        <w:t xml:space="preserve"> progress the </w:t>
      </w:r>
      <w:r w:rsidRPr="00A37885" w:rsidR="007A4C32">
        <w:t>prisoner</w:t>
      </w:r>
      <w:r w:rsidRPr="00A37885" w:rsidR="00905A81">
        <w:t xml:space="preserve"> </w:t>
      </w:r>
      <w:r w:rsidRPr="00A37885" w:rsidR="007A4C32">
        <w:t>may have</w:t>
      </w:r>
      <w:r w:rsidRPr="00A37885" w:rsidR="00905A81">
        <w:t xml:space="preserve"> made since being convicted.</w:t>
      </w:r>
    </w:p>
    <w:p w:rsidRPr="00A37885" w:rsidR="005B2208" w:rsidP="00A37885" w14:paraId="1C4DA223" w14:textId="3C749893">
      <w:pPr>
        <w:pStyle w:val="JuPara"/>
        <w:rPr>
          <w:rFonts w:ascii="Times New Roman" w:hAnsi="Times New Roman" w:eastAsia="Times New Roman" w:cs="Times New Roman"/>
          <w:szCs w:val="20"/>
          <w:lang w:eastAsia="fr-FR"/>
        </w:rPr>
      </w:pPr>
      <w:r w:rsidRPr="00A37885">
        <w:rPr>
          <w:rFonts w:ascii="Times New Roman" w:hAnsi="Times New Roman" w:eastAsia="Times New Roman" w:cs="Times New Roman"/>
          <w:szCs w:val="20"/>
          <w:lang w:eastAsia="fr-FR"/>
        </w:rPr>
        <w:fldChar w:fldCharType="begin"/>
      </w:r>
      <w:r w:rsidRPr="00A37885">
        <w:rPr>
          <w:rFonts w:ascii="Times New Roman" w:hAnsi="Times New Roman" w:eastAsia="Times New Roman" w:cs="Times New Roman"/>
          <w:szCs w:val="20"/>
          <w:lang w:eastAsia="fr-FR"/>
        </w:rPr>
        <w:instrText xml:space="preserve"> SEQ level0 \*arabic </w:instrText>
      </w:r>
      <w:r w:rsidRPr="00A37885">
        <w:rPr>
          <w:rFonts w:ascii="Times New Roman" w:hAnsi="Times New Roman" w:eastAsia="Times New Roman" w:cs="Times New Roman"/>
          <w:szCs w:val="20"/>
          <w:lang w:eastAsia="fr-FR"/>
        </w:rPr>
        <w:fldChar w:fldCharType="separate"/>
      </w:r>
      <w:r w:rsidRPr="00A37885" w:rsidR="00A37885">
        <w:rPr>
          <w:rFonts w:ascii="Times New Roman" w:hAnsi="Times New Roman" w:eastAsia="Times New Roman" w:cs="Times New Roman"/>
          <w:noProof/>
          <w:szCs w:val="20"/>
          <w:lang w:eastAsia="fr-FR"/>
        </w:rPr>
        <w:t>129</w:t>
      </w:r>
      <w:r w:rsidRPr="00A37885">
        <w:rPr>
          <w:rFonts w:ascii="Times New Roman" w:hAnsi="Times New Roman" w:eastAsia="Times New Roman" w:cs="Times New Roman"/>
          <w:szCs w:val="20"/>
          <w:lang w:eastAsia="fr-FR"/>
        </w:rPr>
        <w:fldChar w:fldCharType="end"/>
      </w:r>
      <w:r w:rsidRPr="00A37885">
        <w:rPr>
          <w:rFonts w:ascii="Times New Roman" w:hAnsi="Times New Roman" w:eastAsia="Times New Roman" w:cs="Times New Roman"/>
          <w:szCs w:val="20"/>
          <w:lang w:eastAsia="fr-FR"/>
        </w:rPr>
        <w:t>.  </w:t>
      </w:r>
      <w:r w:rsidRPr="00A37885">
        <w:rPr>
          <w:rFonts w:ascii="Times New Roman" w:hAnsi="Times New Roman" w:eastAsia="Times New Roman" w:cs="Times New Roman"/>
          <w:szCs w:val="20"/>
          <w:lang w:eastAsia="fr-FR"/>
        </w:rPr>
        <w:t xml:space="preserve">Furthermore, the Court stresses that this irrebuttable presumption effectively prevents the competent court from examining the application for conditional release and from ascertaining whether, in the course of his sentence, the applicant has changed and made progress towards rehabilitation to the extent that detention is no longer justified on penological grounds (see </w:t>
      </w:r>
      <w:r w:rsidRPr="00A37885">
        <w:rPr>
          <w:rFonts w:ascii="Times New Roman" w:hAnsi="Times New Roman" w:eastAsia="Times New Roman" w:cs="Times New Roman"/>
          <w:i/>
          <w:iCs/>
          <w:szCs w:val="20"/>
          <w:lang w:eastAsia="fr-FR"/>
        </w:rPr>
        <w:t>Murray</w:t>
      </w:r>
      <w:r w:rsidRPr="00A37885">
        <w:rPr>
          <w:rFonts w:ascii="Times New Roman" w:hAnsi="Times New Roman" w:eastAsia="Times New Roman" w:cs="Times New Roman"/>
          <w:szCs w:val="20"/>
          <w:lang w:eastAsia="fr-FR"/>
        </w:rPr>
        <w:t xml:space="preserve">, cited above, § 100, with the </w:t>
      </w:r>
      <w:r w:rsidRPr="00A37885" w:rsidR="007A4C32">
        <w:rPr>
          <w:rFonts w:ascii="Times New Roman" w:hAnsi="Times New Roman" w:eastAsia="Times New Roman" w:cs="Times New Roman"/>
          <w:szCs w:val="20"/>
          <w:lang w:eastAsia="fr-FR"/>
        </w:rPr>
        <w:t>case-law</w:t>
      </w:r>
      <w:r w:rsidRPr="00A37885">
        <w:rPr>
          <w:rFonts w:ascii="Times New Roman" w:hAnsi="Times New Roman" w:eastAsia="Times New Roman" w:cs="Times New Roman"/>
          <w:szCs w:val="20"/>
          <w:lang w:eastAsia="fr-FR"/>
        </w:rPr>
        <w:t xml:space="preserve"> cited therein). The court</w:t>
      </w:r>
      <w:r w:rsidRPr="00A37885" w:rsidR="00A37885">
        <w:rPr>
          <w:rFonts w:ascii="Times New Roman" w:hAnsi="Times New Roman" w:eastAsia="Times New Roman" w:cs="Times New Roman"/>
          <w:szCs w:val="20"/>
          <w:lang w:eastAsia="fr-FR"/>
        </w:rPr>
        <w:t>’</w:t>
      </w:r>
      <w:r w:rsidRPr="00A37885">
        <w:rPr>
          <w:rFonts w:ascii="Times New Roman" w:hAnsi="Times New Roman" w:eastAsia="Times New Roman" w:cs="Times New Roman"/>
          <w:szCs w:val="20"/>
          <w:lang w:eastAsia="fr-FR"/>
        </w:rPr>
        <w:t>s involvement is limited to finding that the requirement to cooperate has not been satisfied</w:t>
      </w:r>
      <w:r w:rsidRPr="00A37885" w:rsidR="00983499">
        <w:rPr>
          <w:rFonts w:ascii="Times New Roman" w:hAnsi="Times New Roman" w:eastAsia="Times New Roman" w:cs="Times New Roman"/>
          <w:szCs w:val="20"/>
          <w:lang w:eastAsia="fr-FR"/>
        </w:rPr>
        <w:t>; it is not empowered to assess the prisoner</w:t>
      </w:r>
      <w:r w:rsidRPr="00A37885" w:rsidR="00A37885">
        <w:rPr>
          <w:rFonts w:ascii="Times New Roman" w:hAnsi="Times New Roman" w:eastAsia="Times New Roman" w:cs="Times New Roman"/>
          <w:szCs w:val="20"/>
          <w:lang w:eastAsia="fr-FR"/>
        </w:rPr>
        <w:t>’</w:t>
      </w:r>
      <w:r w:rsidRPr="00A37885" w:rsidR="00983499">
        <w:rPr>
          <w:rFonts w:ascii="Times New Roman" w:hAnsi="Times New Roman" w:eastAsia="Times New Roman" w:cs="Times New Roman"/>
          <w:szCs w:val="20"/>
          <w:lang w:eastAsia="fr-FR"/>
        </w:rPr>
        <w:t xml:space="preserve">s individual history and progress towards rehabilitation. This is true of the assessment </w:t>
      </w:r>
      <w:r w:rsidRPr="00A37885" w:rsidR="007D098C">
        <w:rPr>
          <w:rFonts w:ascii="Times New Roman" w:hAnsi="Times New Roman" w:eastAsia="Times New Roman" w:cs="Times New Roman"/>
          <w:szCs w:val="20"/>
          <w:lang w:eastAsia="fr-FR"/>
        </w:rPr>
        <w:t>carried out</w:t>
      </w:r>
      <w:r w:rsidRPr="00A37885" w:rsidR="00983499">
        <w:rPr>
          <w:rFonts w:ascii="Times New Roman" w:hAnsi="Times New Roman" w:eastAsia="Times New Roman" w:cs="Times New Roman"/>
          <w:szCs w:val="20"/>
          <w:lang w:eastAsia="fr-FR"/>
        </w:rPr>
        <w:t xml:space="preserve"> by the L</w:t>
      </w:r>
      <w:r w:rsidRPr="00A37885" w:rsidR="00A37885">
        <w:rPr>
          <w:rFonts w:ascii="Times New Roman" w:hAnsi="Times New Roman" w:eastAsia="Times New Roman" w:cs="Times New Roman"/>
          <w:szCs w:val="20"/>
          <w:lang w:eastAsia="fr-FR"/>
        </w:rPr>
        <w:t>’</w:t>
      </w:r>
      <w:r w:rsidRPr="00A37885" w:rsidR="00983499">
        <w:rPr>
          <w:rFonts w:ascii="Times New Roman" w:hAnsi="Times New Roman" w:eastAsia="Times New Roman" w:cs="Times New Roman"/>
          <w:szCs w:val="20"/>
          <w:lang w:eastAsia="fr-FR"/>
        </w:rPr>
        <w:t>Aquila Sentence Supervision Court</w:t>
      </w:r>
      <w:r w:rsidRPr="00A37885" w:rsidR="007D098C">
        <w:rPr>
          <w:rFonts w:ascii="Times New Roman" w:hAnsi="Times New Roman" w:eastAsia="Times New Roman" w:cs="Times New Roman"/>
          <w:szCs w:val="20"/>
          <w:lang w:eastAsia="fr-FR"/>
        </w:rPr>
        <w:t xml:space="preserve"> </w:t>
      </w:r>
      <w:r w:rsidRPr="00A37885" w:rsidR="00983499">
        <w:rPr>
          <w:rFonts w:ascii="Times New Roman" w:hAnsi="Times New Roman" w:eastAsia="Times New Roman" w:cs="Times New Roman"/>
          <w:szCs w:val="20"/>
          <w:lang w:eastAsia="fr-FR"/>
        </w:rPr>
        <w:t>in the present case. The court rejected the applicant</w:t>
      </w:r>
      <w:r w:rsidRPr="00A37885" w:rsidR="00A37885">
        <w:rPr>
          <w:rFonts w:ascii="Times New Roman" w:hAnsi="Times New Roman" w:eastAsia="Times New Roman" w:cs="Times New Roman"/>
          <w:szCs w:val="20"/>
          <w:lang w:eastAsia="fr-FR"/>
        </w:rPr>
        <w:t>’</w:t>
      </w:r>
      <w:r w:rsidRPr="00A37885" w:rsidR="00983499">
        <w:rPr>
          <w:rFonts w:ascii="Times New Roman" w:hAnsi="Times New Roman" w:eastAsia="Times New Roman" w:cs="Times New Roman"/>
          <w:szCs w:val="20"/>
          <w:lang w:eastAsia="fr-FR"/>
        </w:rPr>
        <w:t>s application for conditional release after noting that he had not cooperated with the judicial authorities</w:t>
      </w:r>
      <w:r w:rsidRPr="00A37885" w:rsidR="007D098C">
        <w:rPr>
          <w:rFonts w:ascii="Times New Roman" w:hAnsi="Times New Roman" w:eastAsia="Times New Roman" w:cs="Times New Roman"/>
          <w:szCs w:val="20"/>
          <w:lang w:eastAsia="fr-FR"/>
        </w:rPr>
        <w:t xml:space="preserve"> (see paragraph 25 above)</w:t>
      </w:r>
      <w:r w:rsidRPr="00A37885" w:rsidR="00983499">
        <w:rPr>
          <w:rFonts w:ascii="Times New Roman" w:hAnsi="Times New Roman" w:eastAsia="Times New Roman" w:cs="Times New Roman"/>
          <w:szCs w:val="20"/>
          <w:lang w:eastAsia="fr-FR"/>
        </w:rPr>
        <w:t>, without assessing the progress which the applicant claimed to have made since his conviction.</w:t>
      </w:r>
    </w:p>
    <w:p w:rsidRPr="00A37885" w:rsidR="00F079C4" w:rsidP="00A37885" w14:paraId="6EDA3218" w14:textId="46D2EC32">
      <w:pPr>
        <w:pStyle w:val="JuPara"/>
      </w:pPr>
      <w:r w:rsidRPr="00A37885">
        <w:fldChar w:fldCharType="begin"/>
      </w:r>
      <w:r w:rsidRPr="00A37885">
        <w:instrText xml:space="preserve"> SEQ level0 \*arabic </w:instrText>
      </w:r>
      <w:r w:rsidRPr="00A37885">
        <w:fldChar w:fldCharType="separate"/>
      </w:r>
      <w:r w:rsidRPr="00A37885" w:rsidR="00A37885">
        <w:rPr>
          <w:noProof/>
        </w:rPr>
        <w:t>130</w:t>
      </w:r>
      <w:r w:rsidRPr="00A37885">
        <w:fldChar w:fldCharType="end"/>
      </w:r>
      <w:r w:rsidRPr="00A37885">
        <w:t>.  </w:t>
      </w:r>
      <w:r w:rsidRPr="00A37885">
        <w:t xml:space="preserve">The Court acknowledges the fact that the offences of which the applicant was convicted concern a phenomenon </w:t>
      </w:r>
      <w:r w:rsidRPr="00A37885" w:rsidR="00426ADC">
        <w:t>which</w:t>
      </w:r>
      <w:r w:rsidRPr="00A37885">
        <w:t xml:space="preserve"> poses a particular </w:t>
      </w:r>
      <w:r w:rsidRPr="00A37885" w:rsidR="007D098C">
        <w:t>threat</w:t>
      </w:r>
      <w:r w:rsidRPr="00A37885">
        <w:t xml:space="preserve"> to society. It notes</w:t>
      </w:r>
      <w:r w:rsidRPr="00A37885" w:rsidR="007D098C">
        <w:t>, too,</w:t>
      </w:r>
      <w:r w:rsidRPr="00A37885">
        <w:t xml:space="preserve"> that the introduction of section 4 </w:t>
      </w:r>
      <w:r w:rsidRPr="00A37885">
        <w:rPr>
          <w:i/>
          <w:iCs/>
        </w:rPr>
        <w:t xml:space="preserve">bis </w:t>
      </w:r>
      <w:r w:rsidRPr="00A37885">
        <w:t>arose out of the 1992 prison reform</w:t>
      </w:r>
      <w:r w:rsidRPr="00A37885" w:rsidR="00195D8C">
        <w:t>,</w:t>
      </w:r>
      <w:r w:rsidRPr="00A37885">
        <w:t xml:space="preserve"> carried out </w:t>
      </w:r>
      <w:r w:rsidRPr="00A37885" w:rsidR="00195D8C">
        <w:t>against the backdrop of an emergency</w:t>
      </w:r>
      <w:r w:rsidRPr="00A37885">
        <w:t xml:space="preserve"> in which the legislature was called upon </w:t>
      </w:r>
      <w:r w:rsidRPr="00A37885" w:rsidR="003C66CF">
        <w:t xml:space="preserve">to act </w:t>
      </w:r>
      <w:r w:rsidRPr="00A37885" w:rsidR="00195D8C">
        <w:t>following</w:t>
      </w:r>
      <w:r w:rsidRPr="00A37885" w:rsidR="003C66CF">
        <w:t xml:space="preserve"> </w:t>
      </w:r>
      <w:r w:rsidRPr="00A37885" w:rsidR="00195D8C">
        <w:t>an episode which had marked Italy profoundly (see paragraph 8</w:t>
      </w:r>
      <w:r w:rsidRPr="00A37885" w:rsidR="007D098C">
        <w:t>5 above</w:t>
      </w:r>
      <w:r w:rsidRPr="00A37885" w:rsidR="00195D8C">
        <w:t>), in</w:t>
      </w:r>
      <w:r w:rsidRPr="00A37885" w:rsidR="007D098C">
        <w:t xml:space="preserve"> a</w:t>
      </w:r>
      <w:r w:rsidRPr="00A37885" w:rsidR="00195D8C">
        <w:t xml:space="preserve"> particularly critical </w:t>
      </w:r>
      <w:r w:rsidRPr="00A37885" w:rsidR="007D098C">
        <w:t>situation</w:t>
      </w:r>
      <w:r w:rsidRPr="00A37885" w:rsidR="00195D8C">
        <w:t>. However, efforts to tackle that scourge cannot justify derogating from the provisions of Article 3 of the Convention, which prohibit in absolute terms</w:t>
      </w:r>
      <w:r w:rsidRPr="00A37885" w:rsidR="007D098C">
        <w:t xml:space="preserve"> inhuman or degrading punishment</w:t>
      </w:r>
      <w:r w:rsidRPr="00A37885" w:rsidR="00195D8C">
        <w:t xml:space="preserve">. </w:t>
      </w:r>
      <w:r w:rsidRPr="00A37885" w:rsidR="00426ADC">
        <w:t>T</w:t>
      </w:r>
      <w:r w:rsidRPr="00A37885" w:rsidR="00195D8C">
        <w:t>he nature of the offences with which the applicant was charged is therefore irrelevant to the assessment </w:t>
      </w:r>
      <w:r w:rsidRPr="00A37885" w:rsidR="00426ADC">
        <w:t xml:space="preserve">of the present application </w:t>
      </w:r>
      <w:r w:rsidRPr="00A37885" w:rsidR="00195D8C">
        <w:t xml:space="preserve">under Article 3 (see </w:t>
      </w:r>
      <w:r w:rsidRPr="00A37885" w:rsidR="00195D8C">
        <w:rPr>
          <w:i/>
          <w:iCs/>
        </w:rPr>
        <w:t>Öcalan</w:t>
      </w:r>
      <w:r w:rsidRPr="00A37885" w:rsidR="00195D8C">
        <w:t xml:space="preserve">, cited above, §§ 98 and 205, with the case-law </w:t>
      </w:r>
      <w:r w:rsidRPr="00A37885" w:rsidR="007D098C">
        <w:t>cited</w:t>
      </w:r>
      <w:r w:rsidRPr="00A37885" w:rsidR="00312965">
        <w:t xml:space="preserve"> </w:t>
      </w:r>
      <w:r w:rsidRPr="00A37885" w:rsidR="00195D8C">
        <w:t xml:space="preserve">therein). The Court </w:t>
      </w:r>
      <w:r w:rsidRPr="00A37885" w:rsidR="005A64FE">
        <w:t xml:space="preserve">has also previously held that the ultimate aim of rehabilitation is to prevent reoffending and ensure the protection of society (see </w:t>
      </w:r>
      <w:r w:rsidRPr="00A37885" w:rsidR="005A64FE">
        <w:rPr>
          <w:i/>
          <w:iCs/>
        </w:rPr>
        <w:t>Murray</w:t>
      </w:r>
      <w:r w:rsidRPr="00A37885" w:rsidR="005A64FE">
        <w:t>, cited above, §</w:t>
      </w:r>
      <w:r w:rsidRPr="00A37885" w:rsidR="00E64A62">
        <w:t> </w:t>
      </w:r>
      <w:r w:rsidRPr="00A37885" w:rsidR="005A64FE">
        <w:t>102).</w:t>
      </w:r>
    </w:p>
    <w:p w:rsidRPr="00A37885" w:rsidR="00DB089E" w:rsidP="00A37885" w14:paraId="4123F21B" w14:textId="769B472D">
      <w:pPr>
        <w:pStyle w:val="JuPara"/>
      </w:pPr>
      <w:r w:rsidRPr="00A37885">
        <w:fldChar w:fldCharType="begin"/>
      </w:r>
      <w:r w:rsidRPr="00A37885">
        <w:instrText xml:space="preserve"> SEQ level0 \*arabic </w:instrText>
      </w:r>
      <w:r w:rsidRPr="00A37885">
        <w:fldChar w:fldCharType="separate"/>
      </w:r>
      <w:r w:rsidRPr="00A37885" w:rsidR="00A37885">
        <w:rPr>
          <w:noProof/>
        </w:rPr>
        <w:t>131</w:t>
      </w:r>
      <w:r w:rsidRPr="00A37885">
        <w:fldChar w:fldCharType="end"/>
      </w:r>
      <w:r w:rsidRPr="00A37885">
        <w:t>.  </w:t>
      </w:r>
      <w:r w:rsidRPr="00A37885">
        <w:t xml:space="preserve">It should be </w:t>
      </w:r>
      <w:r w:rsidRPr="00A37885" w:rsidR="007D098C">
        <w:t>pointed out</w:t>
      </w:r>
      <w:r w:rsidRPr="00A37885">
        <w:t xml:space="preserve"> that the Court, in a case </w:t>
      </w:r>
      <w:r w:rsidRPr="00A37885" w:rsidR="007D098C">
        <w:t>relating to</w:t>
      </w:r>
      <w:r w:rsidRPr="00A37885">
        <w:t xml:space="preserve"> the length of pre-trial detention and thus </w:t>
      </w:r>
      <w:r w:rsidRPr="00A37885" w:rsidR="007D098C">
        <w:t>to</w:t>
      </w:r>
      <w:r w:rsidRPr="00A37885">
        <w:t xml:space="preserve"> Article 5 of the Convention, reiterated the principle whereby “a statutory presumption of danger</w:t>
      </w:r>
      <w:r w:rsidRPr="00A37885" w:rsidR="00480152">
        <w:t>ousness</w:t>
      </w:r>
      <w:r w:rsidRPr="00A37885">
        <w:t xml:space="preserve">, </w:t>
      </w:r>
      <w:r w:rsidRPr="00A37885" w:rsidR="000A53D3">
        <w:t xml:space="preserve">may be justified, particularly where it </w:t>
      </w:r>
      <w:r w:rsidRPr="00A37885">
        <w:t xml:space="preserve">is not absolute but may be rebutted by proof to the contrary” (see </w:t>
      </w:r>
      <w:r w:rsidRPr="00A37885">
        <w:rPr>
          <w:i/>
          <w:iCs/>
        </w:rPr>
        <w:t>Pantano v. Italy</w:t>
      </w:r>
      <w:r w:rsidRPr="00A37885">
        <w:t>, no. 60851/00, § 69, 6</w:t>
      </w:r>
      <w:r w:rsidRPr="00A37885" w:rsidR="00E64A62">
        <w:t> </w:t>
      </w:r>
      <w:r w:rsidRPr="00A37885">
        <w:t>November 2003).</w:t>
      </w:r>
      <w:r w:rsidRPr="00A37885" w:rsidR="00F777F6">
        <w:t xml:space="preserve"> This assertion </w:t>
      </w:r>
      <w:r w:rsidRPr="00A37885" w:rsidR="007D098C">
        <w:t>is even more valid</w:t>
      </w:r>
      <w:r w:rsidRPr="00A37885" w:rsidR="00F777F6">
        <w:t xml:space="preserve"> in the context of Article 3 of the Convention given the absolute nature of that provision, which brooks no exception (see, among many other authorities, </w:t>
      </w:r>
      <w:r w:rsidRPr="00A37885" w:rsidR="00F777F6">
        <w:rPr>
          <w:i/>
          <w:iCs/>
        </w:rPr>
        <w:t>Trabelsi</w:t>
      </w:r>
      <w:r w:rsidRPr="00A37885" w:rsidR="00F777F6">
        <w:t>, cited above, § 118).</w:t>
      </w:r>
    </w:p>
    <w:p w:rsidRPr="00A37885" w:rsidR="00F777F6" w:rsidP="00A37885" w14:paraId="2586F40A" w14:textId="152DD0C1">
      <w:pPr>
        <w:pStyle w:val="JuPara"/>
      </w:pPr>
      <w:r w:rsidRPr="00A37885">
        <w:fldChar w:fldCharType="begin"/>
      </w:r>
      <w:r w:rsidRPr="00A37885">
        <w:instrText xml:space="preserve"> SEQ level0 \*arabic </w:instrText>
      </w:r>
      <w:r w:rsidRPr="00A37885">
        <w:fldChar w:fldCharType="separate"/>
      </w:r>
      <w:r w:rsidRPr="00A37885" w:rsidR="00A37885">
        <w:rPr>
          <w:noProof/>
        </w:rPr>
        <w:t>132</w:t>
      </w:r>
      <w:r w:rsidRPr="00A37885">
        <w:fldChar w:fldCharType="end"/>
      </w:r>
      <w:r w:rsidRPr="00A37885">
        <w:t>.  </w:t>
      </w:r>
      <w:r w:rsidRPr="00A37885">
        <w:t xml:space="preserve">Moreover, the Court observes that </w:t>
      </w:r>
      <w:r w:rsidRPr="00A37885" w:rsidR="00904A28">
        <w:t>there appears to be a recent trend at domestic level towards questioning the irrebuttable presumption of danger</w:t>
      </w:r>
      <w:r w:rsidRPr="00A37885" w:rsidR="00480152">
        <w:t>ousness</w:t>
      </w:r>
      <w:r w:rsidRPr="00A37885" w:rsidR="00904A28">
        <w:t xml:space="preserve"> to society, as demonstrated by Constitutional Court judgment no. 149 of 11 July 2018 (see paragraph 43 above), the Court of Cassation</w:t>
      </w:r>
      <w:r w:rsidRPr="00A37885" w:rsidR="00A37885">
        <w:t>’</w:t>
      </w:r>
      <w:r w:rsidRPr="00A37885" w:rsidR="00904A28">
        <w:t xml:space="preserve">s referral to the Constitutional Court of a question concerning the constitutionality of section 4 </w:t>
      </w:r>
      <w:r w:rsidRPr="00A37885" w:rsidR="00904A28">
        <w:rPr>
          <w:i/>
          <w:iCs/>
        </w:rPr>
        <w:t xml:space="preserve">bis </w:t>
      </w:r>
      <w:r w:rsidRPr="00A37885" w:rsidR="00904A28">
        <w:t>(see paragraph 48 above)</w:t>
      </w:r>
      <w:r w:rsidRPr="00A37885" w:rsidR="00480152">
        <w:t>,</w:t>
      </w:r>
      <w:r w:rsidRPr="00A37885" w:rsidR="00904A28">
        <w:t xml:space="preserve"> and two recent </w:t>
      </w:r>
      <w:r w:rsidRPr="00A37885" w:rsidR="00904A28">
        <w:t>government proposals for reform of that provision (see paragraphs 49 and 50 above).</w:t>
      </w:r>
    </w:p>
    <w:p w:rsidRPr="00A37885" w:rsidR="006E6CC3" w:rsidP="00A37885" w14:paraId="69437F3F" w14:textId="38726DE9">
      <w:pPr>
        <w:pStyle w:val="JuHi"/>
      </w:pPr>
      <w:r w:rsidRPr="00A37885">
        <w:t xml:space="preserve">Other domestic remedies </w:t>
      </w:r>
      <w:r w:rsidRPr="00A37885" w:rsidR="00BD114B">
        <w:t>by which to obtain a</w:t>
      </w:r>
      <w:r w:rsidRPr="00A37885">
        <w:t xml:space="preserve"> review of sentence</w:t>
      </w:r>
    </w:p>
    <w:p w:rsidRPr="00A37885" w:rsidR="00802E03" w:rsidP="00A37885" w14:paraId="3AEA9BDC" w14:textId="4B89B856">
      <w:pPr>
        <w:pStyle w:val="JuPara"/>
      </w:pPr>
      <w:r w:rsidRPr="00A37885">
        <w:fldChar w:fldCharType="begin"/>
      </w:r>
      <w:r w:rsidRPr="00A37885">
        <w:instrText xml:space="preserve"> SEQ level0 \*arabic </w:instrText>
      </w:r>
      <w:r w:rsidRPr="00A37885">
        <w:fldChar w:fldCharType="separate"/>
      </w:r>
      <w:r w:rsidRPr="00A37885" w:rsidR="00A37885">
        <w:rPr>
          <w:noProof/>
        </w:rPr>
        <w:t>133</w:t>
      </w:r>
      <w:r w:rsidRPr="00A37885">
        <w:fldChar w:fldCharType="end"/>
      </w:r>
      <w:r w:rsidRPr="00A37885">
        <w:t>.  </w:t>
      </w:r>
      <w:r w:rsidRPr="00A37885" w:rsidR="000A6CDD">
        <w:t>Lastly, as regards the Government</w:t>
      </w:r>
      <w:r w:rsidRPr="00A37885" w:rsidR="00A37885">
        <w:t>’</w:t>
      </w:r>
      <w:r w:rsidRPr="00A37885" w:rsidR="000A6CDD">
        <w:t>s assertion that the domestic system provide</w:t>
      </w:r>
      <w:r w:rsidRPr="00A37885" w:rsidR="00480152">
        <w:t>s</w:t>
      </w:r>
      <w:r w:rsidRPr="00A37885" w:rsidR="000A6CDD">
        <w:t xml:space="preserve"> for two other remedies by which to obtain a review of sentence, namely a</w:t>
      </w:r>
      <w:r w:rsidRPr="00A37885" w:rsidR="00BE0141">
        <w:t xml:space="preserve"> request for </w:t>
      </w:r>
      <w:r w:rsidRPr="00A37885" w:rsidR="000A6CDD">
        <w:t xml:space="preserve">presidential </w:t>
      </w:r>
      <w:r w:rsidRPr="00A37885" w:rsidR="00480152">
        <w:t>clemency</w:t>
      </w:r>
      <w:r w:rsidRPr="00A37885" w:rsidR="000A6CDD">
        <w:t xml:space="preserve"> and an application for a stay of execution of the sentence on health grounds (see paragraph 8</w:t>
      </w:r>
      <w:r w:rsidRPr="00A37885" w:rsidR="00480152">
        <w:t>1</w:t>
      </w:r>
      <w:r w:rsidRPr="00A37885" w:rsidR="000A6CDD">
        <w:t xml:space="preserve"> above), </w:t>
      </w:r>
      <w:r w:rsidRPr="00A37885" w:rsidR="00BE0141">
        <w:t xml:space="preserve">the Court points to its relevant case-law, according to which </w:t>
      </w:r>
      <w:r w:rsidRPr="00A37885">
        <w:t xml:space="preserve">the possibility for a prisoner serving a life sentence </w:t>
      </w:r>
      <w:r w:rsidRPr="00A37885" w:rsidR="00253349">
        <w:t>to</w:t>
      </w:r>
      <w:r w:rsidRPr="00A37885">
        <w:t xml:space="preserve"> be granted </w:t>
      </w:r>
      <w:r w:rsidRPr="00A37885" w:rsidR="00480152">
        <w:t>clemency</w:t>
      </w:r>
      <w:r w:rsidRPr="00A37885">
        <w:t xml:space="preserve"> or release on compassionate grounds for reasons related to ill-health, physical incapacity or old age does not correspond to the notion of “prospect of release” as used since </w:t>
      </w:r>
      <w:r w:rsidRPr="00A37885">
        <w:rPr>
          <w:i/>
          <w:iCs/>
        </w:rPr>
        <w:t xml:space="preserve">Kafkaris </w:t>
      </w:r>
      <w:r w:rsidRPr="00A37885">
        <w:t>(</w:t>
      </w:r>
      <w:r w:rsidRPr="00A37885" w:rsidR="00DA7D90">
        <w:t xml:space="preserve">see </w:t>
      </w:r>
      <w:r w:rsidRPr="00A37885" w:rsidR="00DA7D90">
        <w:rPr>
          <w:i/>
          <w:iCs/>
        </w:rPr>
        <w:t>Vinter and Others</w:t>
      </w:r>
      <w:r w:rsidRPr="00A37885" w:rsidR="00DA7D90">
        <w:t xml:space="preserve">, </w:t>
      </w:r>
      <w:r w:rsidRPr="00A37885">
        <w:t xml:space="preserve">cited above, § 127; see also </w:t>
      </w:r>
      <w:r w:rsidRPr="00A37885">
        <w:rPr>
          <w:i/>
          <w:iCs/>
        </w:rPr>
        <w:t>Öcalan</w:t>
      </w:r>
      <w:r w:rsidRPr="00A37885">
        <w:t xml:space="preserve">, cited above, § 203, and </w:t>
      </w:r>
      <w:r w:rsidRPr="00A37885">
        <w:rPr>
          <w:i/>
        </w:rPr>
        <w:t>László Magyar</w:t>
      </w:r>
      <w:r w:rsidRPr="00A37885">
        <w:t xml:space="preserve"> </w:t>
      </w:r>
      <w:r w:rsidRPr="00A37885">
        <w:rPr>
          <w:i/>
        </w:rPr>
        <w:t>v. Hungary</w:t>
      </w:r>
      <w:r w:rsidRPr="00A37885">
        <w:t>, no.</w:t>
      </w:r>
      <w:r w:rsidRPr="00A37885" w:rsidR="00E64A62">
        <w:t> </w:t>
      </w:r>
      <w:r w:rsidRPr="00A37885">
        <w:t xml:space="preserve">73593/10, §§ 57 and </w:t>
      </w:r>
      <w:r w:rsidRPr="00A37885" w:rsidR="00C01155">
        <w:t>58</w:t>
      </w:r>
      <w:r w:rsidRPr="00A37885">
        <w:t>, 20 May 2014</w:t>
      </w:r>
      <w:r w:rsidRPr="00A37885" w:rsidR="00C01155">
        <w:t>).</w:t>
      </w:r>
    </w:p>
    <w:p w:rsidRPr="00A37885" w:rsidR="006E6CC3" w:rsidP="00A37885" w14:paraId="1539044C" w14:textId="5356D910">
      <w:pPr>
        <w:pStyle w:val="JuPara"/>
      </w:pPr>
      <w:r w:rsidRPr="00A37885">
        <w:rPr>
          <w:snapToGrid w:val="0"/>
          <w:color w:val="000000"/>
        </w:rPr>
        <w:fldChar w:fldCharType="begin"/>
      </w:r>
      <w:r w:rsidRPr="00A37885">
        <w:rPr>
          <w:snapToGrid w:val="0"/>
          <w:color w:val="000000"/>
        </w:rPr>
        <w:instrText xml:space="preserve"> SEQ level0 \*arabic </w:instrText>
      </w:r>
      <w:r w:rsidRPr="00A37885">
        <w:rPr>
          <w:snapToGrid w:val="0"/>
          <w:color w:val="000000"/>
        </w:rPr>
        <w:fldChar w:fldCharType="separate"/>
      </w:r>
      <w:r w:rsidRPr="00A37885" w:rsidR="00A37885">
        <w:rPr>
          <w:noProof/>
          <w:snapToGrid w:val="0"/>
          <w:color w:val="000000"/>
        </w:rPr>
        <w:t>134</w:t>
      </w:r>
      <w:r w:rsidRPr="00A37885">
        <w:rPr>
          <w:snapToGrid w:val="0"/>
          <w:color w:val="000000"/>
        </w:rPr>
        <w:fldChar w:fldCharType="end"/>
      </w:r>
      <w:r w:rsidRPr="00A37885">
        <w:rPr>
          <w:snapToGrid w:val="0"/>
          <w:color w:val="000000"/>
        </w:rPr>
        <w:t>.  </w:t>
      </w:r>
      <w:r w:rsidRPr="00A37885" w:rsidR="004B4ECC">
        <w:rPr>
          <w:snapToGrid w:val="0"/>
          <w:color w:val="000000"/>
        </w:rPr>
        <w:t xml:space="preserve">In particular, the Court observes that the Constitutional Court, in judgment no. 200 of 18 May 2006 (see paragraph 44 above), held that the presidential power </w:t>
      </w:r>
      <w:r w:rsidRPr="00A37885" w:rsidR="00BD114B">
        <w:rPr>
          <w:snapToGrid w:val="0"/>
          <w:color w:val="000000"/>
        </w:rPr>
        <w:t>of</w:t>
      </w:r>
      <w:r w:rsidRPr="00A37885" w:rsidR="004B4ECC">
        <w:rPr>
          <w:snapToGrid w:val="0"/>
          <w:color w:val="000000"/>
        </w:rPr>
        <w:t xml:space="preserve"> </w:t>
      </w:r>
      <w:r w:rsidRPr="00A37885" w:rsidR="00480152">
        <w:rPr>
          <w:snapToGrid w:val="0"/>
          <w:color w:val="000000"/>
        </w:rPr>
        <w:t>clemency</w:t>
      </w:r>
      <w:r w:rsidRPr="00A37885" w:rsidR="004B4ECC">
        <w:rPr>
          <w:snapToGrid w:val="0"/>
          <w:color w:val="000000"/>
        </w:rPr>
        <w:t xml:space="preserve"> had a purely humanitarian purpose and was designed to </w:t>
      </w:r>
      <w:r w:rsidRPr="00A37885" w:rsidR="00BD114B">
        <w:rPr>
          <w:snapToGrid w:val="0"/>
          <w:color w:val="000000"/>
        </w:rPr>
        <w:t>mitigate the rigid</w:t>
      </w:r>
      <w:r w:rsidRPr="00A37885" w:rsidR="00480152">
        <w:rPr>
          <w:snapToGrid w:val="0"/>
          <w:color w:val="000000"/>
        </w:rPr>
        <w:t xml:space="preserve"> nature</w:t>
      </w:r>
      <w:r w:rsidRPr="00A37885" w:rsidR="00BD114B">
        <w:rPr>
          <w:snapToGrid w:val="0"/>
          <w:color w:val="000000"/>
        </w:rPr>
        <w:t xml:space="preserve"> of the criminal law. As to applications for a stay of execution of sentence on health grounds, this corresponds to what the Court has defined as a “review limited to compassionate grounds” (see </w:t>
      </w:r>
      <w:r w:rsidRPr="00A37885" w:rsidR="00BD114B">
        <w:rPr>
          <w:i/>
          <w:iCs/>
          <w:snapToGrid w:val="0"/>
          <w:color w:val="000000"/>
        </w:rPr>
        <w:t>Hutchinson</w:t>
      </w:r>
      <w:r w:rsidRPr="00A37885" w:rsidR="00BD114B">
        <w:rPr>
          <w:snapToGrid w:val="0"/>
          <w:color w:val="000000"/>
        </w:rPr>
        <w:t>, § 43</w:t>
      </w:r>
      <w:r w:rsidRPr="00A37885" w:rsidR="00480152">
        <w:rPr>
          <w:snapToGrid w:val="0"/>
          <w:color w:val="000000"/>
        </w:rPr>
        <w:t>;</w:t>
      </w:r>
      <w:r w:rsidRPr="00A37885" w:rsidR="00BD114B">
        <w:rPr>
          <w:snapToGrid w:val="0"/>
          <w:color w:val="000000"/>
        </w:rPr>
        <w:t xml:space="preserve"> </w:t>
      </w:r>
      <w:r w:rsidRPr="00A37885" w:rsidR="00BD114B">
        <w:rPr>
          <w:i/>
          <w:iCs/>
          <w:snapToGrid w:val="0"/>
          <w:color w:val="000000"/>
        </w:rPr>
        <w:t>Vinter</w:t>
      </w:r>
      <w:r w:rsidRPr="00A37885" w:rsidR="00026A16">
        <w:rPr>
          <w:i/>
          <w:iCs/>
          <w:snapToGrid w:val="0"/>
          <w:color w:val="000000"/>
        </w:rPr>
        <w:t xml:space="preserve"> and Others</w:t>
      </w:r>
      <w:r w:rsidRPr="00A37885" w:rsidR="00BD114B">
        <w:rPr>
          <w:snapToGrid w:val="0"/>
          <w:color w:val="000000"/>
        </w:rPr>
        <w:t xml:space="preserve">, </w:t>
      </w:r>
      <w:r w:rsidRPr="00A37885" w:rsidR="00480152">
        <w:rPr>
          <w:snapToGrid w:val="0"/>
          <w:color w:val="000000"/>
        </w:rPr>
        <w:t xml:space="preserve">§ </w:t>
      </w:r>
      <w:r w:rsidRPr="00A37885" w:rsidR="00BD114B">
        <w:rPr>
          <w:snapToGrid w:val="0"/>
          <w:color w:val="000000"/>
        </w:rPr>
        <w:t>127</w:t>
      </w:r>
      <w:r w:rsidRPr="00A37885" w:rsidR="00480152">
        <w:rPr>
          <w:snapToGrid w:val="0"/>
          <w:color w:val="000000"/>
        </w:rPr>
        <w:t>;</w:t>
      </w:r>
      <w:r w:rsidRPr="00A37885" w:rsidR="00BD114B">
        <w:rPr>
          <w:snapToGrid w:val="0"/>
          <w:color w:val="000000"/>
        </w:rPr>
        <w:t xml:space="preserve"> and </w:t>
      </w:r>
      <w:r w:rsidRPr="00A37885">
        <w:rPr>
          <w:i/>
          <w:iCs/>
        </w:rPr>
        <w:t xml:space="preserve">Matiošaitis </w:t>
      </w:r>
      <w:r w:rsidRPr="00A37885" w:rsidR="00BD114B">
        <w:rPr>
          <w:i/>
          <w:iCs/>
        </w:rPr>
        <w:t>and Others</w:t>
      </w:r>
      <w:r w:rsidRPr="00A37885">
        <w:rPr>
          <w:iCs/>
        </w:rPr>
        <w:t>, § 173</w:t>
      </w:r>
      <w:r w:rsidRPr="00A37885" w:rsidR="00480152">
        <w:rPr>
          <w:iCs/>
        </w:rPr>
        <w:t>, all cited above</w:t>
      </w:r>
      <w:r w:rsidRPr="00A37885">
        <w:t>).</w:t>
      </w:r>
    </w:p>
    <w:p w:rsidRPr="00A37885" w:rsidR="00483013" w:rsidP="00A37885" w14:paraId="0CE8855A" w14:textId="099F163C">
      <w:pPr>
        <w:pStyle w:val="JuPara"/>
      </w:pPr>
      <w:r w:rsidRPr="00A37885">
        <w:fldChar w:fldCharType="begin"/>
      </w:r>
      <w:r w:rsidRPr="00A37885">
        <w:instrText xml:space="preserve"> SEQ level0 \*arabic </w:instrText>
      </w:r>
      <w:r w:rsidRPr="00A37885">
        <w:fldChar w:fldCharType="separate"/>
      </w:r>
      <w:r w:rsidRPr="00A37885" w:rsidR="00A37885">
        <w:rPr>
          <w:noProof/>
        </w:rPr>
        <w:t>135</w:t>
      </w:r>
      <w:r w:rsidRPr="00A37885">
        <w:fldChar w:fldCharType="end"/>
      </w:r>
      <w:r w:rsidRPr="00A37885">
        <w:t>.  </w:t>
      </w:r>
      <w:r w:rsidRPr="00A37885" w:rsidR="00BD114B">
        <w:t>The Court also takes note of the applicant</w:t>
      </w:r>
      <w:r w:rsidRPr="00A37885" w:rsidR="00A37885">
        <w:t>’</w:t>
      </w:r>
      <w:r w:rsidRPr="00A37885" w:rsidR="00BD114B">
        <w:t xml:space="preserve">s assertion that no prisoner sentenced to life imprisonment under section 4 </w:t>
      </w:r>
      <w:r w:rsidRPr="00A37885" w:rsidR="00BD114B">
        <w:rPr>
          <w:i/>
          <w:iCs/>
        </w:rPr>
        <w:t xml:space="preserve">bis </w:t>
      </w:r>
      <w:r w:rsidRPr="00A37885" w:rsidR="00BD114B">
        <w:t xml:space="preserve">has ever been granted presidential </w:t>
      </w:r>
      <w:r w:rsidRPr="00A37885" w:rsidR="00480152">
        <w:t>clemency</w:t>
      </w:r>
      <w:r w:rsidRPr="00A37885" w:rsidR="00BD114B">
        <w:t xml:space="preserve"> (see paragraph 7</w:t>
      </w:r>
      <w:r w:rsidRPr="00A37885" w:rsidR="00480152">
        <w:t>4</w:t>
      </w:r>
      <w:r w:rsidRPr="00A37885" w:rsidR="00BD114B">
        <w:t xml:space="preserve"> above). In that connection the Government have not provided any examples of convicted </w:t>
      </w:r>
      <w:r w:rsidRPr="00A37885" w:rsidR="00480152">
        <w:t>offenders</w:t>
      </w:r>
      <w:r w:rsidRPr="00A37885" w:rsidR="00BD114B">
        <w:t xml:space="preserve"> sentenced to this </w:t>
      </w:r>
      <w:r w:rsidRPr="00A37885" w:rsidR="00E10E28">
        <w:t>type</w:t>
      </w:r>
      <w:r w:rsidRPr="00A37885" w:rsidR="00BD114B">
        <w:t xml:space="preserve"> of life imprisonment who have obtained </w:t>
      </w:r>
      <w:r w:rsidRPr="00A37885" w:rsidR="000A53D3">
        <w:t>an adjustment</w:t>
      </w:r>
      <w:r w:rsidRPr="00A37885" w:rsidR="0073360A">
        <w:t xml:space="preserve"> </w:t>
      </w:r>
      <w:r w:rsidRPr="00A37885" w:rsidR="00BD114B">
        <w:t xml:space="preserve">of their sentence by means of presidential </w:t>
      </w:r>
      <w:r w:rsidRPr="00A37885" w:rsidR="00480152">
        <w:t>clemency</w:t>
      </w:r>
      <w:r w:rsidRPr="00A37885" w:rsidR="00BD114B">
        <w:t xml:space="preserve"> (see </w:t>
      </w:r>
      <w:r w:rsidRPr="00A37885">
        <w:rPr>
          <w:i/>
        </w:rPr>
        <w:t>Bodein v. France</w:t>
      </w:r>
      <w:r w:rsidRPr="00A37885">
        <w:t xml:space="preserve">, no. 40014/10, § 59, 13 November 2014, and, conversely, </w:t>
      </w:r>
      <w:r w:rsidRPr="00A37885">
        <w:rPr>
          <w:i/>
          <w:iCs/>
        </w:rPr>
        <w:t>Kafkaris</w:t>
      </w:r>
      <w:r w:rsidRPr="00A37885">
        <w:t>, cited above, § 103).</w:t>
      </w:r>
    </w:p>
    <w:p w:rsidRPr="00A37885" w:rsidR="00FA784A" w:rsidP="00A37885" w14:paraId="157C0EA0" w14:textId="714DA4B5">
      <w:pPr>
        <w:pStyle w:val="JuHi"/>
        <w:rPr>
          <w:lang w:val="fr-FR"/>
        </w:rPr>
      </w:pPr>
      <w:r w:rsidRPr="00A37885">
        <w:rPr>
          <w:lang w:val="fr-FR"/>
        </w:rPr>
        <w:t>Conclusion</w:t>
      </w:r>
    </w:p>
    <w:p w:rsidRPr="00A37885" w:rsidR="006E6CC3" w:rsidP="00A37885" w14:paraId="251D39E7" w14:textId="0EADD8BB">
      <w:pPr>
        <w:pStyle w:val="JuPara"/>
      </w:pPr>
      <w:r w:rsidRPr="00A37885">
        <w:fldChar w:fldCharType="begin"/>
      </w:r>
      <w:r w:rsidRPr="00A37885">
        <w:instrText xml:space="preserve"> SEQ level0 \*arabic </w:instrText>
      </w:r>
      <w:r w:rsidRPr="00A37885">
        <w:fldChar w:fldCharType="separate"/>
      </w:r>
      <w:r w:rsidRPr="00A37885" w:rsidR="00A37885">
        <w:rPr>
          <w:noProof/>
        </w:rPr>
        <w:t>136</w:t>
      </w:r>
      <w:r w:rsidRPr="00A37885">
        <w:fldChar w:fldCharType="end"/>
      </w:r>
      <w:r w:rsidRPr="00A37885">
        <w:t>.  </w:t>
      </w:r>
      <w:r w:rsidRPr="00A37885" w:rsidR="00483013">
        <w:t xml:space="preserve">The Court reiterates that </w:t>
      </w:r>
      <w:r w:rsidRPr="00A37885" w:rsidR="00480152">
        <w:t xml:space="preserve">it </w:t>
      </w:r>
      <w:r w:rsidRPr="00A37885" w:rsidR="0036008A">
        <w:t xml:space="preserve">would be incompatible with human dignity – which lies at the very essence of the Convention system – forcefully to deprive a person of his freedom without striving towards his rehabilitation and providing him with the chance to </w:t>
      </w:r>
      <w:r w:rsidRPr="00A37885" w:rsidR="00AF7EC2">
        <w:t xml:space="preserve">someday </w:t>
      </w:r>
      <w:r w:rsidRPr="00A37885" w:rsidR="0036008A">
        <w:t xml:space="preserve">regain that freedom </w:t>
      </w:r>
      <w:r w:rsidRPr="00A37885">
        <w:t>(</w:t>
      </w:r>
      <w:r w:rsidRPr="00A37885" w:rsidR="0036008A">
        <w:t xml:space="preserve">see </w:t>
      </w:r>
      <w:r w:rsidRPr="00A37885">
        <w:rPr>
          <w:i/>
        </w:rPr>
        <w:t>Vinter</w:t>
      </w:r>
      <w:r w:rsidRPr="00A37885" w:rsidR="00426ADC">
        <w:rPr>
          <w:i/>
        </w:rPr>
        <w:t xml:space="preserve"> and Others</w:t>
      </w:r>
      <w:r w:rsidRPr="00A37885">
        <w:t xml:space="preserve">, </w:t>
      </w:r>
      <w:r w:rsidRPr="00A37885" w:rsidR="0036008A">
        <w:t>cited above</w:t>
      </w:r>
      <w:r w:rsidRPr="00A37885">
        <w:t>, § 113).</w:t>
      </w:r>
    </w:p>
    <w:p w:rsidRPr="00A37885" w:rsidR="0036008A" w:rsidP="00A37885" w14:paraId="5B025FCC" w14:textId="1F41345B">
      <w:pPr>
        <w:pStyle w:val="JuPara"/>
      </w:pPr>
      <w:r w:rsidRPr="00A37885">
        <w:fldChar w:fldCharType="begin"/>
      </w:r>
      <w:r w:rsidRPr="00A37885">
        <w:instrText xml:space="preserve"> SEQ level0 \*arabic </w:instrText>
      </w:r>
      <w:r w:rsidRPr="00A37885">
        <w:fldChar w:fldCharType="separate"/>
      </w:r>
      <w:r w:rsidRPr="00A37885" w:rsidR="00A37885">
        <w:rPr>
          <w:noProof/>
        </w:rPr>
        <w:t>137</w:t>
      </w:r>
      <w:r w:rsidRPr="00A37885">
        <w:fldChar w:fldCharType="end"/>
      </w:r>
      <w:r w:rsidRPr="00A37885">
        <w:t>.  </w:t>
      </w:r>
      <w:r w:rsidRPr="00A37885">
        <w:t xml:space="preserve">In view of the above-mentioned principles, and for the reasons advanced above, the Court considers that the sentence of life imprisonment </w:t>
      </w:r>
      <w:r w:rsidRPr="00A37885" w:rsidR="00AF7EC2">
        <w:t>(</w:t>
      </w:r>
      <w:r w:rsidRPr="00A37885" w:rsidR="00AF7EC2">
        <w:rPr>
          <w:i/>
          <w:iCs/>
        </w:rPr>
        <w:t>ergastolo ostativo</w:t>
      </w:r>
      <w:r w:rsidRPr="00A37885" w:rsidR="00AF7EC2">
        <w:t xml:space="preserve">) </w:t>
      </w:r>
      <w:r w:rsidRPr="00A37885" w:rsidR="00D764FA">
        <w:t>being served by</w:t>
      </w:r>
      <w:r w:rsidRPr="00A37885">
        <w:t xml:space="preserve"> the applicant under section 4 </w:t>
      </w:r>
      <w:r w:rsidRPr="00A37885">
        <w:rPr>
          <w:i/>
          <w:iCs/>
        </w:rPr>
        <w:t xml:space="preserve">bis </w:t>
      </w:r>
      <w:r w:rsidRPr="00A37885">
        <w:t xml:space="preserve">of the Prison Administration Act restricts to an excessive degree his prospect of release and the possibility for him to obtain a review of his sentence. </w:t>
      </w:r>
      <w:r w:rsidRPr="00A37885">
        <w:t>Accordingly, this life sentence cannot be described as reducible for the purposes of Article 3 of the Convention. The Court thus rejects the Government</w:t>
      </w:r>
      <w:r w:rsidRPr="00A37885" w:rsidR="00A37885">
        <w:t>’</w:t>
      </w:r>
      <w:r w:rsidRPr="00A37885">
        <w:t>s objection as to the applicant</w:t>
      </w:r>
      <w:r w:rsidRPr="00A37885" w:rsidR="00A37885">
        <w:t>’</w:t>
      </w:r>
      <w:r w:rsidRPr="00A37885">
        <w:t xml:space="preserve">s victim status and holds that the requirements of Article 3 of the Convention have not been </w:t>
      </w:r>
      <w:r w:rsidRPr="00A37885" w:rsidR="00AF7EC2">
        <w:t>complied with</w:t>
      </w:r>
      <w:r w:rsidRPr="00A37885">
        <w:t xml:space="preserve"> in this regard.</w:t>
      </w:r>
    </w:p>
    <w:p w:rsidRPr="00A37885" w:rsidR="006E6CC3" w:rsidP="00A37885" w14:paraId="099EC61F" w14:textId="6AFC2B40">
      <w:pPr>
        <w:pStyle w:val="JuPara"/>
        <w:rPr>
          <w:lang w:bidi="en-US"/>
        </w:rPr>
      </w:pPr>
      <w:r w:rsidRPr="00A37885">
        <w:fldChar w:fldCharType="begin"/>
      </w:r>
      <w:r w:rsidRPr="00A37885">
        <w:instrText xml:space="preserve"> SEQ level0 \*arabic </w:instrText>
      </w:r>
      <w:r w:rsidRPr="00A37885">
        <w:fldChar w:fldCharType="separate"/>
      </w:r>
      <w:r w:rsidRPr="00A37885" w:rsidR="00A37885">
        <w:rPr>
          <w:noProof/>
        </w:rPr>
        <w:t>138</w:t>
      </w:r>
      <w:r w:rsidRPr="00A37885">
        <w:fldChar w:fldCharType="end"/>
      </w:r>
      <w:r w:rsidRPr="00A37885">
        <w:t>.  </w:t>
      </w:r>
      <w:r w:rsidRPr="00A37885" w:rsidR="0073360A">
        <w:t>Nevertheless</w:t>
      </w:r>
      <w:r w:rsidRPr="00A37885" w:rsidR="0036008A">
        <w:t>, the Court considers that the finding of a violation in the present case cannot be understood as giving the applicant the prospect of imminent release</w:t>
      </w:r>
      <w:r w:rsidRPr="00A37885">
        <w:t xml:space="preserve"> (</w:t>
      </w:r>
      <w:r w:rsidRPr="00A37885" w:rsidR="00BC35BD">
        <w:t>see, among other authorities</w:t>
      </w:r>
      <w:r w:rsidRPr="00A37885">
        <w:t xml:space="preserve">, </w:t>
      </w:r>
      <w:r w:rsidRPr="00A37885">
        <w:rPr>
          <w:i/>
        </w:rPr>
        <w:t xml:space="preserve">Harakchiev </w:t>
      </w:r>
      <w:r w:rsidRPr="00A37885" w:rsidR="00BC35BD">
        <w:rPr>
          <w:i/>
        </w:rPr>
        <w:t>and</w:t>
      </w:r>
      <w:r w:rsidRPr="00A37885">
        <w:rPr>
          <w:i/>
        </w:rPr>
        <w:t> Tolumov</w:t>
      </w:r>
      <w:r w:rsidRPr="00A37885">
        <w:rPr>
          <w:snapToGrid w:val="0"/>
        </w:rPr>
        <w:t xml:space="preserve">, </w:t>
      </w:r>
      <w:r w:rsidRPr="00A37885" w:rsidR="00BC35BD">
        <w:rPr>
          <w:snapToGrid w:val="0"/>
        </w:rPr>
        <w:t>cited above</w:t>
      </w:r>
      <w:r w:rsidRPr="00A37885">
        <w:rPr>
          <w:snapToGrid w:val="0"/>
        </w:rPr>
        <w:t xml:space="preserve">, § 268, </w:t>
      </w:r>
      <w:r w:rsidRPr="00A37885" w:rsidR="00BC35BD">
        <w:rPr>
          <w:snapToGrid w:val="0"/>
        </w:rPr>
        <w:t>and</w:t>
      </w:r>
      <w:r w:rsidRPr="00A37885">
        <w:rPr>
          <w:snapToGrid w:val="0"/>
        </w:rPr>
        <w:t xml:space="preserve"> </w:t>
      </w:r>
      <w:r w:rsidRPr="00A37885">
        <w:rPr>
          <w:i/>
        </w:rPr>
        <w:t>László Magyar</w:t>
      </w:r>
      <w:r w:rsidRPr="00A37885">
        <w:rPr>
          <w:snapToGrid w:val="0"/>
        </w:rPr>
        <w:t xml:space="preserve">, </w:t>
      </w:r>
      <w:r w:rsidRPr="00A37885" w:rsidR="00BC35BD">
        <w:rPr>
          <w:snapToGrid w:val="0"/>
        </w:rPr>
        <w:t>cited above</w:t>
      </w:r>
      <w:r w:rsidRPr="00A37885">
        <w:rPr>
          <w:snapToGrid w:val="0"/>
        </w:rPr>
        <w:t xml:space="preserve">, </w:t>
      </w:r>
      <w:r w:rsidRPr="00A37885">
        <w:t>§ 59).</w:t>
      </w:r>
    </w:p>
    <w:p w:rsidRPr="00A37885" w:rsidR="00907C7C" w:rsidP="00A37885" w14:paraId="30C26171" w14:textId="208AF8A4">
      <w:pPr>
        <w:pStyle w:val="JuHIRoman"/>
      </w:pPr>
      <w:r w:rsidRPr="00A37885">
        <w:t>APPLICATION of article 46 of the CONVENTION</w:t>
      </w:r>
    </w:p>
    <w:p w:rsidRPr="00A37885" w:rsidR="006E6CC3" w:rsidP="00A37885" w14:paraId="25F5FFD4" w14:textId="02A93B8A">
      <w:pPr>
        <w:pStyle w:val="JuPara"/>
      </w:pPr>
      <w:r w:rsidRPr="00A37885">
        <w:fldChar w:fldCharType="begin"/>
      </w:r>
      <w:r w:rsidRPr="00A37885">
        <w:instrText xml:space="preserve"> SEQ level0 \*arabic </w:instrText>
      </w:r>
      <w:r w:rsidRPr="00A37885">
        <w:fldChar w:fldCharType="separate"/>
      </w:r>
      <w:r w:rsidRPr="00A37885" w:rsidR="00A37885">
        <w:rPr>
          <w:noProof/>
        </w:rPr>
        <w:t>139</w:t>
      </w:r>
      <w:r w:rsidRPr="00A37885">
        <w:fldChar w:fldCharType="end"/>
      </w:r>
      <w:r w:rsidRPr="00A37885">
        <w:t>.  </w:t>
      </w:r>
      <w:r w:rsidRPr="00A37885" w:rsidR="00BC35BD">
        <w:t>A</w:t>
      </w:r>
      <w:r w:rsidRPr="00A37885">
        <w:t xml:space="preserve">rticle 46 </w:t>
      </w:r>
      <w:r w:rsidRPr="00A37885" w:rsidR="00BC35BD">
        <w:t>of the</w:t>
      </w:r>
      <w:r w:rsidRPr="00A37885">
        <w:t xml:space="preserve"> Convention</w:t>
      </w:r>
      <w:r w:rsidRPr="00A37885" w:rsidR="00BC35BD">
        <w:t xml:space="preserve"> provides</w:t>
      </w:r>
      <w:r w:rsidRPr="00A37885">
        <w:t>:</w:t>
      </w:r>
    </w:p>
    <w:p w:rsidRPr="00A37885" w:rsidR="00BC35BD" w:rsidP="00A37885" w14:paraId="6010B04D" w14:textId="77777777">
      <w:pPr>
        <w:pStyle w:val="JuQuot"/>
      </w:pPr>
      <w:r w:rsidRPr="00A37885">
        <w:t>“1.  The High Contracting Parties undertake to abide by the final judgment of the Court in any case to which they are parties.</w:t>
      </w:r>
    </w:p>
    <w:p w:rsidRPr="00A37885" w:rsidR="00BC35BD" w:rsidP="00A37885" w14:paraId="7B487514" w14:textId="5E758B65">
      <w:pPr>
        <w:pStyle w:val="JuQuot"/>
      </w:pPr>
      <w:r w:rsidRPr="00A37885">
        <w:t>2.  The final judgment of the Court shall be transmitted to the Committee of Ministers, which shall supervise its execution.</w:t>
      </w:r>
    </w:p>
    <w:p w:rsidRPr="00A37885" w:rsidR="00BC35BD" w:rsidP="00A37885" w14:paraId="5E71814C" w14:textId="7D2516F6">
      <w:pPr>
        <w:pStyle w:val="JuQuot"/>
      </w:pPr>
      <w:r w:rsidRPr="00A37885">
        <w:t>...</w:t>
      </w:r>
      <w:r w:rsidRPr="00A37885">
        <w:t>”</w:t>
      </w:r>
    </w:p>
    <w:p w:rsidRPr="00A37885" w:rsidR="00AD5386" w:rsidP="00A37885" w14:paraId="16A040EF" w14:textId="7845D05D">
      <w:pPr>
        <w:pStyle w:val="JuPara"/>
      </w:pPr>
      <w:r w:rsidRPr="00A37885">
        <w:fldChar w:fldCharType="begin"/>
      </w:r>
      <w:r w:rsidRPr="00A37885">
        <w:instrText xml:space="preserve"> SEQ level0 \*arabic </w:instrText>
      </w:r>
      <w:r w:rsidRPr="00A37885">
        <w:fldChar w:fldCharType="separate"/>
      </w:r>
      <w:r w:rsidRPr="00A37885" w:rsidR="00A37885">
        <w:rPr>
          <w:noProof/>
        </w:rPr>
        <w:t>140</w:t>
      </w:r>
      <w:r w:rsidRPr="00A37885">
        <w:fldChar w:fldCharType="end"/>
      </w:r>
      <w:r w:rsidRPr="00A37885">
        <w:t>.  </w:t>
      </w:r>
      <w:r w:rsidRPr="00A37885" w:rsidR="00BC35BD">
        <w:t xml:space="preserve">The Court reiterates that Article 46 of the Convention, as interpreted in the light of Article 1, imposes on the respondent State a legal obligation not just to pay those concerned the sums awarded by way of just satisfaction but also to </w:t>
      </w:r>
      <w:r w:rsidRPr="00A37885" w:rsidR="00D73DE3">
        <w:t>choose</w:t>
      </w:r>
      <w:r w:rsidRPr="00A37885" w:rsidR="00BC35BD">
        <w:t xml:space="preserve">, </w:t>
      </w:r>
      <w:r w:rsidRPr="00A37885" w:rsidR="00D73DE3">
        <w:t>subject to</w:t>
      </w:r>
      <w:r w:rsidRPr="00A37885" w:rsidR="00BC35BD">
        <w:t xml:space="preserve"> supervision </w:t>
      </w:r>
      <w:r w:rsidRPr="00A37885" w:rsidR="00D73DE3">
        <w:t>by</w:t>
      </w:r>
      <w:r w:rsidRPr="00A37885" w:rsidR="00BC35BD">
        <w:t xml:space="preserve"> the Committee of Ministers, </w:t>
      </w:r>
      <w:r w:rsidRPr="00A37885" w:rsidR="00D73DE3">
        <w:t>the</w:t>
      </w:r>
      <w:r w:rsidRPr="00A37885" w:rsidR="00BC35BD">
        <w:t xml:space="preserve"> general and/or individual measures</w:t>
      </w:r>
      <w:r w:rsidRPr="00A37885" w:rsidR="00216EB5">
        <w:t xml:space="preserve"> that should be taken</w:t>
      </w:r>
      <w:r w:rsidRPr="00A37885" w:rsidR="00BC35BD">
        <w:t xml:space="preserve"> </w:t>
      </w:r>
      <w:r w:rsidRPr="00A37885" w:rsidR="009B31CA">
        <w:t>to put an end to the violation found by the Court and to redress</w:t>
      </w:r>
      <w:r w:rsidRPr="00A37885" w:rsidR="00A251C0">
        <w:t xml:space="preserve"> </w:t>
      </w:r>
      <w:r w:rsidRPr="00A37885" w:rsidR="009B31CA">
        <w:t xml:space="preserve">the effects </w:t>
      </w:r>
      <w:r w:rsidRPr="00A37885" w:rsidR="004145DD">
        <w:t xml:space="preserve">(see </w:t>
      </w:r>
      <w:r w:rsidRPr="00A37885" w:rsidR="009B31CA">
        <w:rPr>
          <w:i/>
        </w:rPr>
        <w:t>Scozzari and Giunta v. Italy</w:t>
      </w:r>
      <w:r w:rsidRPr="00A37885" w:rsidR="009B31CA">
        <w:t xml:space="preserve"> [GC], nos. 39221/98 and 41963/98, § 249, ECHR 2000</w:t>
      </w:r>
      <w:r w:rsidRPr="00A37885" w:rsidR="009B31CA">
        <w:noBreakHyphen/>
        <w:t xml:space="preserve">VIII, and </w:t>
      </w:r>
      <w:r w:rsidRPr="00A37885">
        <w:rPr>
          <w:i/>
        </w:rPr>
        <w:t>László Magyar</w:t>
      </w:r>
      <w:r w:rsidRPr="00A37885">
        <w:t xml:space="preserve">, </w:t>
      </w:r>
      <w:r w:rsidRPr="00A37885" w:rsidR="009B31CA">
        <w:t>cited above</w:t>
      </w:r>
      <w:r w:rsidRPr="00A37885">
        <w:t xml:space="preserve">, § 70). </w:t>
      </w:r>
      <w:r w:rsidRPr="00A37885" w:rsidR="00216EB5">
        <w:t xml:space="preserve">Exceptionally, with a view to helping the respondent State to fulfil its obligations under Article 46, the Court may seek to indicate the type of individual and/or general measures that might be taken in order to put an end to the situation it has found to exist (see </w:t>
      </w:r>
      <w:r w:rsidRPr="00A37885" w:rsidR="00216EB5">
        <w:rPr>
          <w:i/>
        </w:rPr>
        <w:t>Broniowski v. Poland</w:t>
      </w:r>
      <w:r w:rsidRPr="00A37885" w:rsidR="00216EB5">
        <w:t xml:space="preserve"> [GC], no. 31443/96, §§</w:t>
      </w:r>
      <w:r w:rsidRPr="00A37885" w:rsidR="00E64A62">
        <w:t> </w:t>
      </w:r>
      <w:r w:rsidRPr="00A37885" w:rsidR="00216EB5">
        <w:t>189</w:t>
      </w:r>
      <w:r w:rsidRPr="00A37885" w:rsidR="00E64A62">
        <w:noBreakHyphen/>
      </w:r>
      <w:r w:rsidRPr="00A37885" w:rsidR="00216EB5">
        <w:t xml:space="preserve">94 and </w:t>
      </w:r>
      <w:r w:rsidRPr="00A37885" w:rsidR="00AF7EC2">
        <w:t>its</w:t>
      </w:r>
      <w:r w:rsidRPr="00A37885" w:rsidR="00216EB5">
        <w:t xml:space="preserve"> operative provisions, ECHR 2004</w:t>
      </w:r>
      <w:r w:rsidRPr="00A37885" w:rsidR="00216EB5">
        <w:noBreakHyphen/>
        <w:t>V</w:t>
      </w:r>
      <w:r w:rsidRPr="00A37885">
        <w:t xml:space="preserve">; </w:t>
      </w:r>
      <w:r w:rsidRPr="00A37885">
        <w:rPr>
          <w:i/>
          <w:iCs/>
        </w:rPr>
        <w:t>Scoppola</w:t>
      </w:r>
      <w:r w:rsidRPr="00A37885">
        <w:t xml:space="preserve">, cited above, § 148; and </w:t>
      </w:r>
      <w:r w:rsidRPr="00A37885">
        <w:rPr>
          <w:i/>
        </w:rPr>
        <w:t>Stanev v. Bulgaria</w:t>
      </w:r>
      <w:r w:rsidRPr="00A37885">
        <w:t xml:space="preserve"> [GC], no. 36760/06, § 255, ECHR</w:t>
      </w:r>
      <w:r w:rsidRPr="00A37885" w:rsidR="00E64A62">
        <w:t> </w:t>
      </w:r>
      <w:r w:rsidRPr="00A37885">
        <w:t>2012).</w:t>
      </w:r>
    </w:p>
    <w:p w:rsidRPr="00A37885" w:rsidR="000F5B70" w:rsidP="00A37885" w14:paraId="2EE53DB2" w14:textId="23ECF13D">
      <w:pPr>
        <w:pStyle w:val="JuPara"/>
      </w:pPr>
      <w:r w:rsidRPr="00A37885">
        <w:fldChar w:fldCharType="begin"/>
      </w:r>
      <w:r w:rsidRPr="00A37885">
        <w:instrText xml:space="preserve"> SEQ level0 \*arabic </w:instrText>
      </w:r>
      <w:r w:rsidRPr="00A37885">
        <w:fldChar w:fldCharType="separate"/>
      </w:r>
      <w:r w:rsidRPr="00A37885" w:rsidR="00A37885">
        <w:rPr>
          <w:noProof/>
        </w:rPr>
        <w:t>141</w:t>
      </w:r>
      <w:r w:rsidRPr="00A37885">
        <w:fldChar w:fldCharType="end"/>
      </w:r>
      <w:r w:rsidRPr="00A37885">
        <w:t>.  </w:t>
      </w:r>
      <w:r w:rsidRPr="00A37885">
        <w:t xml:space="preserve">The present case highlights a structural problem which has </w:t>
      </w:r>
      <w:r w:rsidRPr="00A37885" w:rsidR="00AF7EC2">
        <w:t>resulted in</w:t>
      </w:r>
      <w:r w:rsidRPr="00A37885">
        <w:t xml:space="preserve"> a</w:t>
      </w:r>
      <w:r w:rsidRPr="00A37885" w:rsidR="00312965">
        <w:t xml:space="preserve"> </w:t>
      </w:r>
      <w:r w:rsidRPr="00A37885">
        <w:t>number of applications currently pending before the Court. Looking to the future, it could give rise to numerous further applications concerning the same issue.</w:t>
      </w:r>
    </w:p>
    <w:p w:rsidRPr="00A37885" w:rsidR="000F5B70" w:rsidP="00A37885" w14:paraId="14E5AE7F" w14:textId="64632E81">
      <w:pPr>
        <w:pStyle w:val="JuPara"/>
      </w:pPr>
      <w:r w:rsidRPr="00A37885">
        <w:fldChar w:fldCharType="begin"/>
      </w:r>
      <w:r w:rsidRPr="00A37885">
        <w:instrText xml:space="preserve"> SEQ level0 \*arabic </w:instrText>
      </w:r>
      <w:r w:rsidRPr="00A37885">
        <w:fldChar w:fldCharType="separate"/>
      </w:r>
      <w:r w:rsidRPr="00A37885" w:rsidR="00A37885">
        <w:rPr>
          <w:noProof/>
        </w:rPr>
        <w:t>142</w:t>
      </w:r>
      <w:r w:rsidRPr="00A37885">
        <w:fldChar w:fldCharType="end"/>
      </w:r>
      <w:r w:rsidRPr="00A37885">
        <w:t>.  </w:t>
      </w:r>
      <w:r w:rsidRPr="00A37885">
        <w:t>The Court reiterates that the irrebuttable presumption that persons serving a sentence of life imprisonment for offences dealt with in section</w:t>
      </w:r>
      <w:r w:rsidRPr="00A37885" w:rsidR="00265C0F">
        <w:t> </w:t>
      </w:r>
      <w:r w:rsidRPr="00A37885">
        <w:t>4</w:t>
      </w:r>
      <w:r w:rsidRPr="00A37885" w:rsidR="00265C0F">
        <w:t> </w:t>
      </w:r>
      <w:r w:rsidRPr="00A37885">
        <w:rPr>
          <w:i/>
          <w:iCs/>
        </w:rPr>
        <w:t xml:space="preserve">bis </w:t>
      </w:r>
      <w:r w:rsidRPr="00A37885">
        <w:t xml:space="preserve">of the Prison Administration Act pose a </w:t>
      </w:r>
      <w:r w:rsidRPr="00A37885" w:rsidR="00FC384B">
        <w:t>danger</w:t>
      </w:r>
      <w:r w:rsidRPr="00A37885">
        <w:t xml:space="preserve"> if they </w:t>
      </w:r>
      <w:r w:rsidRPr="00A37885" w:rsidR="00FC384B">
        <w:t>have</w:t>
      </w:r>
      <w:r w:rsidRPr="00A37885">
        <w:t xml:space="preserve"> not cooperate</w:t>
      </w:r>
      <w:r w:rsidRPr="00A37885" w:rsidR="00FC384B">
        <w:t>d</w:t>
      </w:r>
      <w:r w:rsidRPr="00A37885">
        <w:t xml:space="preserve"> with the judicial authorities is liable to deprive persons convicted of those offences of any prospect of release and any possibility of obtaining a review of their sentence.</w:t>
      </w:r>
    </w:p>
    <w:p w:rsidRPr="00A37885" w:rsidR="000F5B70" w:rsidP="00A37885" w14:paraId="7EA8E2B4" w14:textId="77955817">
      <w:pPr>
        <w:pStyle w:val="JuPara"/>
      </w:pPr>
      <w:r w:rsidRPr="00A37885">
        <w:fldChar w:fldCharType="begin"/>
      </w:r>
      <w:r w:rsidRPr="00A37885">
        <w:instrText xml:space="preserve"> SEQ level0 \*arabic </w:instrText>
      </w:r>
      <w:r w:rsidRPr="00A37885">
        <w:fldChar w:fldCharType="separate"/>
      </w:r>
      <w:r w:rsidRPr="00A37885" w:rsidR="00A37885">
        <w:rPr>
          <w:noProof/>
        </w:rPr>
        <w:t>143</w:t>
      </w:r>
      <w:r w:rsidRPr="00A37885">
        <w:fldChar w:fldCharType="end"/>
      </w:r>
      <w:r w:rsidRPr="00A37885">
        <w:t>.  </w:t>
      </w:r>
      <w:r w:rsidRPr="00A37885" w:rsidR="00BF0D19">
        <w:t>T</w:t>
      </w:r>
      <w:r w:rsidRPr="00A37885">
        <w:t>he nature of the violation found under Article 3 of the Convention</w:t>
      </w:r>
      <w:r w:rsidRPr="00A37885" w:rsidR="00BF0D19">
        <w:t xml:space="preserve"> indicates that the State should undertake, preferably through legislation, a reform </w:t>
      </w:r>
      <w:r w:rsidRPr="00A37885" w:rsidR="00DD6327">
        <w:t xml:space="preserve">of the rules governing life imprisonment </w:t>
      </w:r>
      <w:r w:rsidRPr="00A37885" w:rsidR="00FC384B">
        <w:t>so as</w:t>
      </w:r>
      <w:r w:rsidRPr="00A37885" w:rsidR="00DD6327">
        <w:t xml:space="preserve"> to make it possible to have the sentence reviewed</w:t>
      </w:r>
      <w:r w:rsidRPr="00A37885" w:rsidR="008B2151">
        <w:t>.</w:t>
      </w:r>
      <w:r w:rsidRPr="00A37885" w:rsidR="00DD6327">
        <w:t xml:space="preserve"> </w:t>
      </w:r>
      <w:r w:rsidRPr="00A37885" w:rsidR="008B2151">
        <w:t>This would enable</w:t>
      </w:r>
      <w:r w:rsidRPr="00A37885" w:rsidR="00DD6327">
        <w:t xml:space="preserve"> the authorities to assess whether, </w:t>
      </w:r>
      <w:r w:rsidRPr="00A37885" w:rsidR="008B2151">
        <w:t xml:space="preserve">while serving his or her sentence, the prisoner has changed and </w:t>
      </w:r>
      <w:r w:rsidRPr="00A37885" w:rsidR="00FC384B">
        <w:t xml:space="preserve">made progress towards rehabilitation </w:t>
      </w:r>
      <w:r w:rsidRPr="00A37885" w:rsidR="008B2151">
        <w:t xml:space="preserve">to such an extent that </w:t>
      </w:r>
      <w:r w:rsidRPr="00A37885" w:rsidR="00FC384B">
        <w:t xml:space="preserve">his or her </w:t>
      </w:r>
      <w:r w:rsidRPr="00A37885" w:rsidR="008B2151">
        <w:t xml:space="preserve">continued detention can no longer be justified on legitimate penological grounds. </w:t>
      </w:r>
      <w:r w:rsidRPr="00A37885" w:rsidR="00FC384B">
        <w:t>Prisoners</w:t>
      </w:r>
      <w:r w:rsidRPr="00A37885" w:rsidR="008B2151">
        <w:t xml:space="preserve"> would</w:t>
      </w:r>
      <w:r w:rsidRPr="00A37885" w:rsidR="00FC384B">
        <w:t xml:space="preserve"> thus also</w:t>
      </w:r>
      <w:r w:rsidRPr="00A37885" w:rsidR="008B2151">
        <w:t xml:space="preserve"> be entitled to know what </w:t>
      </w:r>
      <w:r w:rsidRPr="00A37885" w:rsidR="00FC384B">
        <w:t>they</w:t>
      </w:r>
      <w:r w:rsidRPr="00A37885" w:rsidR="008B2151">
        <w:t xml:space="preserve"> must do to be considered for release and under what conditions. While </w:t>
      </w:r>
      <w:r w:rsidRPr="00A37885" w:rsidR="00FC384B">
        <w:t>the Court</w:t>
      </w:r>
      <w:r w:rsidRPr="00A37885" w:rsidR="008B2151">
        <w:t xml:space="preserve"> acknowledges that the State is entitled to require such prisoners to demonstrate that they have severed links with mafia circles, it </w:t>
      </w:r>
      <w:r w:rsidRPr="00A37885" w:rsidR="00FC384B">
        <w:t>is of the view</w:t>
      </w:r>
      <w:r w:rsidRPr="00A37885" w:rsidR="008B2151">
        <w:t xml:space="preserve"> that this may be expressed in ways other than through cooperation with the judicial authorities and the automatic mechanism under the legislation currently in force.</w:t>
      </w:r>
    </w:p>
    <w:p w:rsidRPr="00A37885" w:rsidR="008B2151" w:rsidP="00A37885" w14:paraId="1276F0A3" w14:textId="71F249C4">
      <w:pPr>
        <w:pStyle w:val="JuPara"/>
      </w:pPr>
      <w:r w:rsidRPr="00A37885">
        <w:fldChar w:fldCharType="begin"/>
      </w:r>
      <w:r w:rsidRPr="00A37885">
        <w:instrText xml:space="preserve"> SEQ level0 \*arabic </w:instrText>
      </w:r>
      <w:r w:rsidRPr="00A37885">
        <w:fldChar w:fldCharType="separate"/>
      </w:r>
      <w:r w:rsidRPr="00A37885" w:rsidR="00A37885">
        <w:rPr>
          <w:noProof/>
        </w:rPr>
        <w:t>144</w:t>
      </w:r>
      <w:r w:rsidRPr="00A37885">
        <w:fldChar w:fldCharType="end"/>
      </w:r>
      <w:r w:rsidRPr="00A37885">
        <w:t>.  </w:t>
      </w:r>
      <w:r w:rsidRPr="00A37885">
        <w:t xml:space="preserve">The Contracting States enjoy a wide margin of appreciation in deciding on the appropriate length of prison sentences for particular crimes. A life sentence does not become irreducible by the mere fact that in practice it may be served in full (see </w:t>
      </w:r>
      <w:r w:rsidRPr="00A37885">
        <w:rPr>
          <w:i/>
        </w:rPr>
        <w:t>László Magyar</w:t>
      </w:r>
      <w:r w:rsidRPr="00A37885">
        <w:rPr>
          <w:iCs/>
        </w:rPr>
        <w:t>, cited above, §</w:t>
      </w:r>
      <w:r w:rsidRPr="00A37885" w:rsidR="00E64A62">
        <w:rPr>
          <w:iCs/>
        </w:rPr>
        <w:t> </w:t>
      </w:r>
      <w:r w:rsidRPr="00A37885">
        <w:rPr>
          <w:iCs/>
        </w:rPr>
        <w:t>72)</w:t>
      </w:r>
      <w:r w:rsidRPr="00A37885">
        <w:t xml:space="preserve">. Accordingly, </w:t>
      </w:r>
      <w:r w:rsidRPr="00A37885" w:rsidR="00EC0F04">
        <w:t xml:space="preserve">the possibility of </w:t>
      </w:r>
      <w:r w:rsidRPr="00A37885">
        <w:t xml:space="preserve">review of </w:t>
      </w:r>
      <w:r w:rsidRPr="00A37885" w:rsidR="00EC0F04">
        <w:t>a</w:t>
      </w:r>
      <w:r w:rsidRPr="00A37885">
        <w:t xml:space="preserve"> life sentence</w:t>
      </w:r>
      <w:r w:rsidRPr="00A37885" w:rsidR="00EC0F04">
        <w:t xml:space="preserve"> </w:t>
      </w:r>
      <w:r w:rsidRPr="00A37885" w:rsidR="0073360A">
        <w:rPr>
          <w:color w:val="000000"/>
        </w:rPr>
        <w:t>implies</w:t>
      </w:r>
      <w:r w:rsidRPr="00A37885" w:rsidR="00EC0F04">
        <w:rPr>
          <w:color w:val="000000"/>
        </w:rPr>
        <w:t xml:space="preserve"> the possibility for the convicted person to apply for release but not necessarily to be released if he or she continued to pose a danger to society</w:t>
      </w:r>
      <w:r w:rsidRPr="00A37885" w:rsidR="00EC0F04">
        <w:t>.</w:t>
      </w:r>
    </w:p>
    <w:p w:rsidRPr="00A37885" w:rsidR="00055E7A" w:rsidP="00A37885" w14:paraId="398D08B2" w14:textId="77777777">
      <w:pPr>
        <w:pStyle w:val="JuHIRoman"/>
      </w:pPr>
      <w:r w:rsidRPr="00A37885">
        <w:t>APPLICATION OF ARTICLE 41 OF THE CONVENTION</w:t>
      </w:r>
    </w:p>
    <w:p w:rsidRPr="00A37885" w:rsidR="00055E7A" w:rsidP="00A37885" w14:paraId="729377F1" w14:textId="3F68077C">
      <w:pPr>
        <w:pStyle w:val="JuPara"/>
        <w:keepNext/>
        <w:keepLines/>
      </w:pPr>
      <w:r>
        <w:fldChar w:fldCharType="begin"/>
      </w:r>
      <w:r>
        <w:instrText xml:space="preserve"> SEQ level0 \*arabic \* MERGEFORMAT </w:instrText>
      </w:r>
      <w:r>
        <w:fldChar w:fldCharType="separate"/>
      </w:r>
      <w:r w:rsidRPr="00A37885" w:rsidR="00A37885">
        <w:rPr>
          <w:noProof/>
        </w:rPr>
        <w:t>145</w:t>
      </w:r>
      <w:r w:rsidRPr="00A37885" w:rsidR="00A37885">
        <w:rPr>
          <w:noProof/>
        </w:rPr>
        <w:fldChar w:fldCharType="end"/>
      </w:r>
      <w:r w:rsidRPr="00A37885" w:rsidR="006E6CC3">
        <w:t>.  </w:t>
      </w:r>
      <w:r w:rsidRPr="00A37885">
        <w:t>Article 41 of the Convention provides:</w:t>
      </w:r>
    </w:p>
    <w:p w:rsidRPr="00A37885" w:rsidR="00055E7A" w:rsidP="00A37885" w14:paraId="1E6D4C3E" w14:textId="77777777">
      <w:pPr>
        <w:pStyle w:val="JuQuot"/>
      </w:pPr>
      <w:r w:rsidRPr="00A3788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37885" w:rsidR="00055E7A" w:rsidP="00A37885" w14:paraId="0145A5AC" w14:textId="3FF17C20">
      <w:pPr>
        <w:pStyle w:val="JuHA"/>
        <w:numPr>
          <w:ilvl w:val="2"/>
          <w:numId w:val="22"/>
        </w:numPr>
        <w:ind w:left="1080" w:hanging="360"/>
      </w:pPr>
      <w:r w:rsidRPr="00A37885">
        <w:t>Damage</w:t>
      </w:r>
    </w:p>
    <w:p w:rsidRPr="00A37885" w:rsidR="006E6CC3" w:rsidP="00A37885" w14:paraId="6B4A6525" w14:textId="2FA118C3">
      <w:pPr>
        <w:pStyle w:val="JuPara"/>
      </w:pPr>
      <w:r w:rsidRPr="00A37885">
        <w:fldChar w:fldCharType="begin"/>
      </w:r>
      <w:r w:rsidRPr="00A37885">
        <w:instrText xml:space="preserve"> SEQ level0 \*arabic </w:instrText>
      </w:r>
      <w:r w:rsidRPr="00A37885">
        <w:fldChar w:fldCharType="separate"/>
      </w:r>
      <w:r w:rsidRPr="00A37885" w:rsidR="00A37885">
        <w:rPr>
          <w:noProof/>
        </w:rPr>
        <w:t>146</w:t>
      </w:r>
      <w:r w:rsidRPr="00A37885">
        <w:fldChar w:fldCharType="end"/>
      </w:r>
      <w:r w:rsidRPr="00A37885">
        <w:t>.  </w:t>
      </w:r>
      <w:r w:rsidRPr="00A37885" w:rsidR="00EC0F04">
        <w:t>The applicant claimed</w:t>
      </w:r>
      <w:r w:rsidRPr="00A37885">
        <w:t xml:space="preserve"> 50</w:t>
      </w:r>
      <w:r w:rsidRPr="00A37885" w:rsidR="00EC0F04">
        <w:t>,</w:t>
      </w:r>
      <w:r w:rsidRPr="00A37885">
        <w:t xml:space="preserve">000 euros (EUR) </w:t>
      </w:r>
      <w:r w:rsidRPr="00A37885" w:rsidR="00EC0F04">
        <w:t>in respect of non</w:t>
      </w:r>
      <w:r w:rsidRPr="00A37885" w:rsidR="00FC384B">
        <w:noBreakHyphen/>
      </w:r>
      <w:r w:rsidRPr="00A37885" w:rsidR="00EC0F04">
        <w:t>pecuniary damage</w:t>
      </w:r>
      <w:r w:rsidRPr="00A37885">
        <w:t>.</w:t>
      </w:r>
    </w:p>
    <w:p w:rsidRPr="00A37885" w:rsidR="00FA39F6" w:rsidP="00A37885" w14:paraId="33368C0D" w14:textId="5A8A37B6">
      <w:pPr>
        <w:pStyle w:val="JuPara"/>
      </w:pPr>
      <w:r w:rsidRPr="00A37885">
        <w:fldChar w:fldCharType="begin"/>
      </w:r>
      <w:r w:rsidRPr="00A37885">
        <w:instrText xml:space="preserve"> SEQ level0 \*arabic </w:instrText>
      </w:r>
      <w:r w:rsidRPr="00A37885">
        <w:fldChar w:fldCharType="separate"/>
      </w:r>
      <w:r w:rsidRPr="00A37885" w:rsidR="00A37885">
        <w:rPr>
          <w:noProof/>
        </w:rPr>
        <w:t>147</w:t>
      </w:r>
      <w:r w:rsidRPr="00A37885">
        <w:fldChar w:fldCharType="end"/>
      </w:r>
      <w:r w:rsidRPr="00A37885">
        <w:t>.  </w:t>
      </w:r>
      <w:r w:rsidRPr="00A37885">
        <w:t xml:space="preserve">The Government contested the claim, submitting that the alleged damage stemmed from the fact that the applicant had not yet completed the process of rehabilitation and that, in the absence of positive </w:t>
      </w:r>
      <w:r w:rsidRPr="00A37885" w:rsidR="00FC384B">
        <w:t>evidence</w:t>
      </w:r>
      <w:r w:rsidRPr="00A37885">
        <w:t xml:space="preserve"> that he had severed all links with the mafia organisation – which was a deliberate choice on his part – he continued to pose a threat to public safety. </w:t>
      </w:r>
      <w:r w:rsidRPr="00A37885" w:rsidR="0040086D">
        <w:t xml:space="preserve">They added that the alleged suffering </w:t>
      </w:r>
      <w:r w:rsidRPr="00A37885" w:rsidR="0073360A">
        <w:t>associated with</w:t>
      </w:r>
      <w:r w:rsidRPr="00A37885" w:rsidR="0040086D">
        <w:t xml:space="preserve"> the applicant</w:t>
      </w:r>
      <w:r w:rsidRPr="00A37885" w:rsidR="00A37885">
        <w:t>’</w:t>
      </w:r>
      <w:r w:rsidRPr="00A37885" w:rsidR="0040086D">
        <w:t xml:space="preserve">s situation as a life prisoner was not substantiated by any medical documents justifying the amount claimed. Lastly, in the alternative, the Government requested the Court to </w:t>
      </w:r>
      <w:r w:rsidRPr="00A37885" w:rsidR="00FC384B">
        <w:t>rule</w:t>
      </w:r>
      <w:r w:rsidRPr="00A37885" w:rsidR="0040086D">
        <w:t xml:space="preserve"> that the finding of a violation constituted in itself sufficient just satisfaction.</w:t>
      </w:r>
    </w:p>
    <w:p w:rsidRPr="00A37885" w:rsidR="0040086D" w:rsidP="00A37885" w14:paraId="5F2116E6" w14:textId="10FF8B9A">
      <w:pPr>
        <w:pStyle w:val="JuPara"/>
      </w:pPr>
      <w:r w:rsidRPr="00A37885">
        <w:fldChar w:fldCharType="begin"/>
      </w:r>
      <w:r w:rsidRPr="00A37885">
        <w:instrText xml:space="preserve"> SEQ level0 \*arabic </w:instrText>
      </w:r>
      <w:r w:rsidRPr="00A37885">
        <w:fldChar w:fldCharType="separate"/>
      </w:r>
      <w:r w:rsidRPr="00A37885" w:rsidR="00A37885">
        <w:rPr>
          <w:noProof/>
        </w:rPr>
        <w:t>148</w:t>
      </w:r>
      <w:r w:rsidRPr="00A37885">
        <w:fldChar w:fldCharType="end"/>
      </w:r>
      <w:r w:rsidRPr="00A37885">
        <w:t>.  </w:t>
      </w:r>
      <w:r w:rsidRPr="00A37885">
        <w:t xml:space="preserve">The Court considers in the circumstances of the present case that its finding of a violation of Article 3 of the Convention constitutes sufficient just satisfaction in respect of any non-pecuniary damage that may have been sustained by the applicant (see, among many other authorities, </w:t>
      </w:r>
      <w:r w:rsidRPr="00A37885">
        <w:rPr>
          <w:i/>
          <w:iCs/>
        </w:rPr>
        <w:t>Matiošaitis and Others</w:t>
      </w:r>
      <w:r w:rsidRPr="00A37885">
        <w:t>, cited above, § 199). Accordingly, it makes</w:t>
      </w:r>
      <w:r w:rsidRPr="00A37885" w:rsidR="00312965">
        <w:t xml:space="preserve"> </w:t>
      </w:r>
      <w:r w:rsidRPr="00A37885">
        <w:t>no award under that head.</w:t>
      </w:r>
    </w:p>
    <w:p w:rsidRPr="00A37885" w:rsidR="00055E7A" w:rsidP="00A37885" w14:paraId="1C10F584" w14:textId="77777777">
      <w:pPr>
        <w:pStyle w:val="JuHA"/>
        <w:numPr>
          <w:ilvl w:val="2"/>
          <w:numId w:val="22"/>
        </w:numPr>
        <w:ind w:left="1080" w:hanging="360"/>
      </w:pPr>
      <w:r w:rsidRPr="00A37885">
        <w:t>Costs and expenses</w:t>
      </w:r>
    </w:p>
    <w:p w:rsidRPr="00A37885" w:rsidR="0040086D" w:rsidP="00A37885" w14:paraId="706C477D" w14:textId="472DD270">
      <w:pPr>
        <w:pStyle w:val="JuPara"/>
      </w:pPr>
      <w:r w:rsidRPr="00A37885">
        <w:fldChar w:fldCharType="begin"/>
      </w:r>
      <w:r w:rsidRPr="00A37885">
        <w:instrText xml:space="preserve"> SEQ level0 \*arabic </w:instrText>
      </w:r>
      <w:r w:rsidRPr="00A37885">
        <w:fldChar w:fldCharType="separate"/>
      </w:r>
      <w:r w:rsidRPr="00A37885" w:rsidR="00A37885">
        <w:rPr>
          <w:noProof/>
        </w:rPr>
        <w:t>149</w:t>
      </w:r>
      <w:r w:rsidRPr="00A37885">
        <w:fldChar w:fldCharType="end"/>
      </w:r>
      <w:r w:rsidRPr="00A37885">
        <w:t>.  </w:t>
      </w:r>
      <w:r w:rsidRPr="00A37885">
        <w:t>The applicant also claimed EUR</w:t>
      </w:r>
      <w:r w:rsidRPr="00A37885" w:rsidR="00E30446">
        <w:t xml:space="preserve"> 17</w:t>
      </w:r>
      <w:r w:rsidRPr="00A37885">
        <w:t>,</w:t>
      </w:r>
      <w:r w:rsidRPr="00A37885" w:rsidR="00E30446">
        <w:t xml:space="preserve">600, </w:t>
      </w:r>
      <w:r w:rsidRPr="00A37885">
        <w:t xml:space="preserve">plus any tax that might be payable, in respect of the costs and expenses incurred before the domestic courts in the proceedings seeking conditional release, and EUR 42,500, plus any tax that might be payable, for the proceedings before the Court. He requested that any amounts awarded under this head be paid directly to his </w:t>
      </w:r>
      <w:r w:rsidRPr="00A37885" w:rsidR="00FC384B">
        <w:t>lawyers</w:t>
      </w:r>
      <w:r w:rsidRPr="00A37885">
        <w:t>, who had not yet been paid the sums in question.</w:t>
      </w:r>
    </w:p>
    <w:p w:rsidRPr="00A37885" w:rsidR="0040086D" w:rsidP="00A37885" w14:paraId="401E4CFA" w14:textId="11CF4C6B">
      <w:pPr>
        <w:pStyle w:val="JuPara"/>
      </w:pPr>
      <w:r w:rsidRPr="00A37885">
        <w:fldChar w:fldCharType="begin"/>
      </w:r>
      <w:r w:rsidRPr="00A37885">
        <w:instrText xml:space="preserve"> SEQ level0 \*arabic </w:instrText>
      </w:r>
      <w:r w:rsidRPr="00A37885">
        <w:fldChar w:fldCharType="separate"/>
      </w:r>
      <w:r w:rsidRPr="00A37885" w:rsidR="00A37885">
        <w:rPr>
          <w:noProof/>
        </w:rPr>
        <w:t>150</w:t>
      </w:r>
      <w:r w:rsidRPr="00A37885">
        <w:fldChar w:fldCharType="end"/>
      </w:r>
      <w:r w:rsidRPr="00A37885">
        <w:t>.  </w:t>
      </w:r>
      <w:r w:rsidRPr="00A37885">
        <w:t>The Government contested the applicant</w:t>
      </w:r>
      <w:r w:rsidRPr="00A37885" w:rsidR="00A37885">
        <w:t>’</w:t>
      </w:r>
      <w:r w:rsidRPr="00A37885">
        <w:t xml:space="preserve">s claims, submitting that they were abstract, unsubstantiated by any </w:t>
      </w:r>
      <w:r w:rsidRPr="00A37885" w:rsidR="00FC384B">
        <w:t xml:space="preserve">relevant </w:t>
      </w:r>
      <w:r w:rsidRPr="00A37885">
        <w:t xml:space="preserve">documentation and unrelated to the </w:t>
      </w:r>
      <w:r w:rsidRPr="00A37885" w:rsidR="00256BFE">
        <w:t>domestic fee scales, especially since the applicant had engaged the services of three lawyers.</w:t>
      </w:r>
      <w:r w:rsidRPr="00A37885" w:rsidR="00312965">
        <w:t xml:space="preserve"> </w:t>
      </w:r>
      <w:r w:rsidRPr="00A37885" w:rsidR="00256BFE">
        <w:t xml:space="preserve">They also alleged that the claim for reimbursement in respect of the </w:t>
      </w:r>
      <w:r w:rsidRPr="00A37885" w:rsidR="00256BFE">
        <w:rPr>
          <w:i/>
          <w:iCs/>
        </w:rPr>
        <w:t xml:space="preserve">pro veritate </w:t>
      </w:r>
      <w:r w:rsidRPr="00A37885" w:rsidR="00256BFE">
        <w:t>opinion written by one of the applicant</w:t>
      </w:r>
      <w:r w:rsidRPr="00A37885" w:rsidR="00A37885">
        <w:t>’</w:t>
      </w:r>
      <w:r w:rsidRPr="00A37885" w:rsidR="00256BFE">
        <w:t xml:space="preserve">s lawyers in the domestic proceedings was unjustified on ethical grounds. Lastly, they observed that the invoices produced by the applicant showed that he not yet incurred the </w:t>
      </w:r>
      <w:r w:rsidRPr="00A37885" w:rsidR="00950046">
        <w:t>expenses claimed</w:t>
      </w:r>
      <w:r w:rsidRPr="00A37885" w:rsidR="00256BFE">
        <w:t xml:space="preserve"> for the work of his lawyers.</w:t>
      </w:r>
    </w:p>
    <w:bookmarkStart w:name="MODALITES_VERSEMENT_FRAIS" w:id="38"/>
    <w:p w:rsidRPr="00A37885" w:rsidR="00256BFE" w:rsidP="00A37885" w14:paraId="3306DC83" w14:textId="71AD72E2">
      <w:pPr>
        <w:pStyle w:val="JuPara"/>
      </w:pPr>
      <w:r w:rsidRPr="00A37885">
        <w:fldChar w:fldCharType="begin"/>
      </w:r>
      <w:r w:rsidRPr="00A37885">
        <w:instrText xml:space="preserve"> SEQ level0 \*arabic </w:instrText>
      </w:r>
      <w:r w:rsidRPr="00A37885">
        <w:fldChar w:fldCharType="separate"/>
      </w:r>
      <w:r w:rsidRPr="00A37885" w:rsidR="00A37885">
        <w:rPr>
          <w:noProof/>
        </w:rPr>
        <w:t>151</w:t>
      </w:r>
      <w:r w:rsidRPr="00A37885">
        <w:fldChar w:fldCharType="end"/>
      </w:r>
      <w:bookmarkEnd w:id="38"/>
      <w:r w:rsidRPr="00A37885">
        <w:t>.  </w:t>
      </w:r>
      <w:r w:rsidRPr="00A37885">
        <w:t>According to the Court</w:t>
      </w:r>
      <w:r w:rsidRPr="00A37885" w:rsidR="00A37885">
        <w:t>’</w:t>
      </w:r>
      <w:r w:rsidRPr="00A37885">
        <w:t>s case-law, an applicant is entitled to the reimbursement of costs and expenses only in so far as it has been shown that these were actually and necessarily incurred and are reasonable as to quantum. In the present case, regard being had to the documents in its possession and its case-law, the Court considers it reasonable to award the applicant the sum of EUR 6,000</w:t>
      </w:r>
      <w:r w:rsidRPr="00A37885" w:rsidR="00204206">
        <w:t>, covering costs under all heads, to be paid into the bank accounts nominated by his representatives.</w:t>
      </w:r>
    </w:p>
    <w:p w:rsidRPr="00A37885" w:rsidR="00055E7A" w:rsidP="00A37885" w14:paraId="023F21DD" w14:textId="77777777">
      <w:pPr>
        <w:pStyle w:val="JuHA"/>
        <w:numPr>
          <w:ilvl w:val="2"/>
          <w:numId w:val="22"/>
        </w:numPr>
        <w:ind w:left="1080" w:hanging="360"/>
      </w:pPr>
      <w:r w:rsidRPr="00A37885">
        <w:t>Default interest</w:t>
      </w:r>
    </w:p>
    <w:p w:rsidRPr="00A37885" w:rsidR="00055E7A" w:rsidP="00A37885" w14:paraId="4B02CD43" w14:textId="60F318A0">
      <w:pPr>
        <w:pStyle w:val="JuPara"/>
      </w:pPr>
      <w:r w:rsidRPr="00A37885">
        <w:fldChar w:fldCharType="begin"/>
      </w:r>
      <w:r w:rsidRPr="00A37885">
        <w:instrText xml:space="preserve"> SEQ level0 \*arabic </w:instrText>
      </w:r>
      <w:r w:rsidRPr="00A37885">
        <w:fldChar w:fldCharType="separate"/>
      </w:r>
      <w:r w:rsidRPr="00A37885" w:rsidR="00A37885">
        <w:rPr>
          <w:noProof/>
        </w:rPr>
        <w:t>152</w:t>
      </w:r>
      <w:r w:rsidRPr="00A37885">
        <w:fldChar w:fldCharType="end"/>
      </w:r>
      <w:r w:rsidRPr="00A37885">
        <w:t>.  The Court considers it appropriate that the default interest rate should be based on the marginal lending rate of the European Central Bank, to which should be added three percentage points.</w:t>
      </w:r>
    </w:p>
    <w:p w:rsidRPr="00A37885" w:rsidR="00055E7A" w:rsidP="00A37885" w14:paraId="4589631A" w14:textId="36E3115A">
      <w:pPr>
        <w:pStyle w:val="JuHHead"/>
        <w:numPr>
          <w:ilvl w:val="0"/>
          <w:numId w:val="22"/>
        </w:numPr>
        <w:ind w:left="360" w:hanging="360"/>
      </w:pPr>
      <w:r w:rsidRPr="00A37885">
        <w:t>FOR THESE REASONS, THE COURT,</w:t>
      </w:r>
    </w:p>
    <w:p w:rsidRPr="00A37885" w:rsidR="00ED4E3E" w:rsidP="00A37885" w14:paraId="7D34B02C" w14:textId="79B85CF2">
      <w:pPr>
        <w:pStyle w:val="JuList"/>
      </w:pPr>
      <w:r w:rsidRPr="00A37885">
        <w:rPr>
          <w:i/>
          <w:iCs/>
        </w:rPr>
        <w:t xml:space="preserve">Joins </w:t>
      </w:r>
      <w:r w:rsidRPr="00A37885">
        <w:t>to the merit</w:t>
      </w:r>
      <w:r w:rsidRPr="00A37885" w:rsidR="00E16257">
        <w:t>s</w:t>
      </w:r>
      <w:r w:rsidRPr="00A37885" w:rsidR="00BD59FD">
        <w:t xml:space="preserve"> and </w:t>
      </w:r>
      <w:r w:rsidRPr="00A37885" w:rsidR="00BD59FD">
        <w:rPr>
          <w:i/>
          <w:iCs/>
        </w:rPr>
        <w:t>rejects</w:t>
      </w:r>
      <w:r w:rsidRPr="00A37885" w:rsidR="00BD59FD">
        <w:t xml:space="preserve">, unanimously, </w:t>
      </w:r>
      <w:r w:rsidRPr="00A37885" w:rsidR="00E30446">
        <w:t>the Government</w:t>
      </w:r>
      <w:r w:rsidRPr="00A37885" w:rsidR="00A37885">
        <w:t>’</w:t>
      </w:r>
      <w:r w:rsidRPr="00A37885" w:rsidR="00E30446">
        <w:t xml:space="preserve">s preliminary objection </w:t>
      </w:r>
      <w:r w:rsidRPr="00A37885" w:rsidR="00950046">
        <w:t>as</w:t>
      </w:r>
      <w:r w:rsidRPr="00A37885" w:rsidR="00E30446">
        <w:t xml:space="preserve"> to the applicant</w:t>
      </w:r>
      <w:r w:rsidRPr="00A37885" w:rsidR="00A37885">
        <w:t>’</w:t>
      </w:r>
      <w:r w:rsidRPr="00A37885" w:rsidR="00E30446">
        <w:t>s “victim” status;</w:t>
      </w:r>
    </w:p>
    <w:p w:rsidRPr="00A37885" w:rsidR="00055E7A" w:rsidP="00A37885" w14:paraId="3A8FB9F4" w14:textId="2112B84F">
      <w:pPr>
        <w:pStyle w:val="JuList"/>
      </w:pPr>
      <w:r w:rsidRPr="00A37885">
        <w:rPr>
          <w:i/>
        </w:rPr>
        <w:t>Declares</w:t>
      </w:r>
      <w:r w:rsidRPr="00A37885">
        <w:t xml:space="preserve">, unanimously, the </w:t>
      </w:r>
      <w:r w:rsidRPr="00A37885" w:rsidR="00770E36">
        <w:t xml:space="preserve">application </w:t>
      </w:r>
      <w:r w:rsidRPr="00A37885">
        <w:t>admissible;</w:t>
      </w:r>
    </w:p>
    <w:p w:rsidRPr="00A37885" w:rsidR="00055E7A" w:rsidP="00A37885" w14:paraId="36DD87A7" w14:textId="007C30EB">
      <w:pPr>
        <w:pStyle w:val="JuList"/>
      </w:pPr>
      <w:r w:rsidRPr="00A37885">
        <w:rPr>
          <w:i/>
        </w:rPr>
        <w:t>Holds</w:t>
      </w:r>
      <w:r w:rsidRPr="00A37885">
        <w:t xml:space="preserve">, by </w:t>
      </w:r>
      <w:r w:rsidRPr="00A37885" w:rsidR="00081371">
        <w:t xml:space="preserve">six </w:t>
      </w:r>
      <w:r w:rsidRPr="00A37885">
        <w:t xml:space="preserve">votes to </w:t>
      </w:r>
      <w:r w:rsidRPr="00A37885" w:rsidR="00081371">
        <w:t>one</w:t>
      </w:r>
      <w:r w:rsidRPr="00A37885">
        <w:t xml:space="preserve">, that there has been a violation of Article </w:t>
      </w:r>
      <w:r w:rsidRPr="00A37885" w:rsidR="00081371">
        <w:t>3</w:t>
      </w:r>
      <w:r w:rsidRPr="00A37885">
        <w:t xml:space="preserve"> of the Convention;</w:t>
      </w:r>
    </w:p>
    <w:p w:rsidRPr="00A37885" w:rsidR="00055E7A" w:rsidP="00A37885" w14:paraId="0F8557B9" w14:textId="087CD0DA">
      <w:pPr>
        <w:pStyle w:val="JuList"/>
      </w:pPr>
      <w:r w:rsidRPr="00A37885">
        <w:rPr>
          <w:i/>
        </w:rPr>
        <w:t>Holds</w:t>
      </w:r>
      <w:r w:rsidRPr="00A37885">
        <w:t xml:space="preserve">, by </w:t>
      </w:r>
      <w:r w:rsidRPr="00A37885" w:rsidR="00BB6295">
        <w:t>six</w:t>
      </w:r>
      <w:r w:rsidRPr="00A37885">
        <w:t xml:space="preserve"> votes to </w:t>
      </w:r>
      <w:r w:rsidRPr="00A37885" w:rsidR="00BB6295">
        <w:t>one</w:t>
      </w:r>
      <w:r w:rsidRPr="00A37885">
        <w:t>, that the finding of a violation constitutes in itself sufficient just satisfaction for the non-pecuniary damage sustained by the applicant;</w:t>
      </w:r>
    </w:p>
    <w:p w:rsidRPr="00A37885" w:rsidR="00055E7A" w:rsidP="00A37885" w14:paraId="09831B64" w14:textId="46EE0103">
      <w:pPr>
        <w:pStyle w:val="JuList"/>
      </w:pPr>
      <w:r w:rsidRPr="00A37885">
        <w:rPr>
          <w:i/>
        </w:rPr>
        <w:t>Holds</w:t>
      </w:r>
      <w:r w:rsidRPr="00A37885">
        <w:t xml:space="preserve">, by </w:t>
      </w:r>
      <w:r w:rsidRPr="00A37885" w:rsidR="00C560C0">
        <w:t>six</w:t>
      </w:r>
      <w:r w:rsidRPr="00A37885">
        <w:t xml:space="preserve"> votes to </w:t>
      </w:r>
      <w:r w:rsidRPr="00A37885" w:rsidR="00C560C0">
        <w:t>one</w:t>
      </w:r>
      <w:r w:rsidRPr="00A37885">
        <w:t>,</w:t>
      </w:r>
    </w:p>
    <w:p w:rsidRPr="00A37885" w:rsidR="00055E7A" w:rsidP="00A37885" w14:paraId="05BE943D" w14:textId="57C0AD49">
      <w:pPr>
        <w:pStyle w:val="JuLista"/>
      </w:pPr>
      <w:r w:rsidRPr="00A37885">
        <w:t xml:space="preserve">that the respondent State is to pay the applicant, </w:t>
      </w:r>
      <w:r w:rsidRPr="00A37885" w:rsidR="00204206">
        <w:t xml:space="preserve">in the manner set out in paragraph 151 of the present judgment, and </w:t>
      </w:r>
      <w:r w:rsidRPr="00A37885">
        <w:t xml:space="preserve">within three months from the date on which the judgment becomes final in accordance with Article 44 § 2 of the Convention, </w:t>
      </w:r>
      <w:r w:rsidRPr="00A37885" w:rsidR="00F55C58">
        <w:t>EUR 6,000 (six thousand euros)</w:t>
      </w:r>
      <w:r w:rsidRPr="00A37885">
        <w:rPr>
          <w:b/>
        </w:rPr>
        <w:t xml:space="preserve">, </w:t>
      </w:r>
      <w:r w:rsidRPr="00A37885" w:rsidR="00F55C58">
        <w:t>plus any tax that may be chargeable to the applicant, in respect of costs and expenses</w:t>
      </w:r>
      <w:r w:rsidRPr="00A37885" w:rsidR="00204206">
        <w:t>;</w:t>
      </w:r>
    </w:p>
    <w:p w:rsidRPr="00A37885" w:rsidR="00055E7A" w:rsidP="00A37885" w14:paraId="6E523247" w14:textId="63AD4F2D">
      <w:pPr>
        <w:pStyle w:val="JuLista"/>
      </w:pPr>
      <w:r w:rsidRPr="00A3788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37885" w:rsidR="004D0EC7" w:rsidP="00A37885" w14:paraId="625FCAD9" w14:textId="1E1CFC40">
      <w:pPr>
        <w:pStyle w:val="JuList"/>
      </w:pPr>
      <w:r w:rsidRPr="00A37885">
        <w:rPr>
          <w:i/>
        </w:rPr>
        <w:t>Dismisses</w:t>
      </w:r>
      <w:r w:rsidRPr="00A37885">
        <w:t>, unanimously, the remainder of the applicant</w:t>
      </w:r>
      <w:r w:rsidRPr="00A37885" w:rsidR="00A37885">
        <w:t>’</w:t>
      </w:r>
      <w:r w:rsidRPr="00A37885">
        <w:t>s claim for just satisfaction.</w:t>
      </w:r>
    </w:p>
    <w:p w:rsidRPr="00A37885" w:rsidR="00055E7A" w:rsidP="00A37885" w14:paraId="27DCE7BB" w14:textId="7AB6128A">
      <w:pPr>
        <w:pStyle w:val="JuParaLast"/>
        <w:rPr>
          <w:color w:val="F8F8F8" w:themeColor="background2"/>
        </w:rPr>
      </w:pPr>
      <w:r w:rsidRPr="00A37885">
        <w:t xml:space="preserve">Done in </w:t>
      </w:r>
      <w:r w:rsidRPr="00A37885" w:rsidR="00E30446">
        <w:t>French</w:t>
      </w:r>
      <w:r w:rsidRPr="00A37885">
        <w:t xml:space="preserve">, and notified in writing on </w:t>
      </w:r>
      <w:r w:rsidRPr="00A37885" w:rsidR="00777B59">
        <w:t>1</w:t>
      </w:r>
      <w:r w:rsidRPr="00A37885">
        <w:rPr>
          <w:rFonts w:ascii="Times New Roman" w:hAnsi="Times New Roman" w:cs="Times New Roman"/>
        </w:rPr>
        <w:t>3</w:t>
      </w:r>
      <w:r w:rsidRPr="00A37885" w:rsidR="00C5010D">
        <w:rPr>
          <w:rFonts w:ascii="Times New Roman" w:hAnsi="Times New Roman" w:cs="Times New Roman"/>
        </w:rPr>
        <w:t xml:space="preserve"> </w:t>
      </w:r>
      <w:r w:rsidRPr="00A37885" w:rsidR="00777B59">
        <w:rPr>
          <w:rFonts w:ascii="Times New Roman" w:hAnsi="Times New Roman" w:cs="Times New Roman"/>
        </w:rPr>
        <w:t>June</w:t>
      </w:r>
      <w:r w:rsidRPr="00A37885">
        <w:rPr>
          <w:rFonts w:ascii="Times New Roman" w:hAnsi="Times New Roman" w:cs="Times New Roman"/>
        </w:rPr>
        <w:t xml:space="preserve"> 2019</w:t>
      </w:r>
      <w:r w:rsidRPr="00A37885">
        <w:t>, pursuant to Rule 77 §§ 2 and 3 of the Rules of Court.</w:t>
      </w:r>
      <w:r w:rsidRPr="00A37885" w:rsidR="008B092C">
        <w:rPr>
          <w:color w:val="F8F8F8" w:themeColor="background2"/>
        </w:rPr>
        <w:t xml:space="preserve"> {snature_p_2}</w:t>
      </w:r>
    </w:p>
    <w:p w:rsidRPr="00A37885" w:rsidR="001C055B" w:rsidP="00A37885" w14:paraId="3BE9BAF5" w14:textId="03DB3582">
      <w:pPr>
        <w:pStyle w:val="JuSigned"/>
      </w:pPr>
      <w:r w:rsidRPr="00A37885">
        <w:t>Renata Degener</w:t>
      </w:r>
      <w:r w:rsidRPr="00A37885" w:rsidR="005879A2">
        <w:t xml:space="preserve"> </w:t>
      </w:r>
      <w:r w:rsidRPr="00A37885" w:rsidR="009F4C8F">
        <w:tab/>
      </w:r>
      <w:r w:rsidRPr="00A37885">
        <w:t>Linos-Alexandre Sicilianos</w:t>
      </w:r>
      <w:r w:rsidRPr="00A37885" w:rsidR="009F4C8F">
        <w:br/>
      </w:r>
      <w:r w:rsidRPr="00A37885" w:rsidR="009F4C8F">
        <w:tab/>
      </w:r>
      <w:r w:rsidRPr="00A37885" w:rsidR="005D1B2A">
        <w:t xml:space="preserve">Deputy </w:t>
      </w:r>
      <w:r w:rsidRPr="00A37885">
        <w:rPr>
          <w:iCs/>
        </w:rPr>
        <w:t>Registrar</w:t>
      </w:r>
      <w:r w:rsidRPr="00A37885" w:rsidR="009F4C8F">
        <w:tab/>
        <w:t>President</w:t>
      </w:r>
    </w:p>
    <w:p w:rsidRPr="00A37885" w:rsidR="006536F3" w:rsidP="00A37885" w14:paraId="4A22ECD4" w14:textId="466267D4">
      <w:pPr>
        <w:pStyle w:val="JuParaLast"/>
      </w:pPr>
      <w:r w:rsidRPr="00A37885">
        <w:t>In accordance with Article 45 § 2 of the Convention and Rule 74 § 2 of the Rules of Court, the separate opinion of Judge Wojtyczek is annexed to this judgment.</w:t>
      </w:r>
    </w:p>
    <w:p w:rsidRPr="00A37885" w:rsidR="006536F3" w:rsidP="00A37885" w14:paraId="38E44F2B" w14:textId="19F2A208">
      <w:pPr>
        <w:pStyle w:val="JuInitialled"/>
      </w:pPr>
      <w:r w:rsidRPr="00A37885">
        <w:t xml:space="preserve">L.-A.S. </w:t>
      </w:r>
      <w:r w:rsidRPr="00A37885">
        <w:br/>
      </w:r>
      <w:r w:rsidRPr="00A37885">
        <w:t>R.D.</w:t>
      </w:r>
      <w:r w:rsidRPr="00A37885">
        <w:br/>
      </w:r>
    </w:p>
    <w:p w:rsidRPr="00A37885" w:rsidR="006536F3" w:rsidP="00A37885" w14:paraId="7906206B" w14:textId="77777777">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A37885" w:rsidR="00E30446" w:rsidP="00A37885" w14:paraId="410B4516" w14:textId="646DE53F">
      <w:pPr>
        <w:pStyle w:val="DecHTitle"/>
      </w:pPr>
      <w:r w:rsidRPr="00A37885">
        <w:t xml:space="preserve">DISSENTING </w:t>
      </w:r>
      <w:r w:rsidRPr="00A37885">
        <w:t xml:space="preserve">OPINION </w:t>
      </w:r>
      <w:r w:rsidRPr="00A37885">
        <w:t>OF JUDGE</w:t>
      </w:r>
      <w:r w:rsidRPr="00A37885">
        <w:t xml:space="preserve"> WOJTYCZEK</w:t>
      </w:r>
    </w:p>
    <w:p w:rsidRPr="00A37885" w:rsidR="00BE2C51" w:rsidP="00A37885" w14:paraId="07C6E6EC" w14:textId="77777777">
      <w:pPr>
        <w:pStyle w:val="JuPara"/>
        <w:jc w:val="center"/>
        <w:rPr>
          <w:i/>
          <w:iCs/>
        </w:rPr>
      </w:pPr>
      <w:r w:rsidRPr="00A37885">
        <w:rPr>
          <w:i/>
          <w:iCs/>
        </w:rPr>
        <w:t>(Translation)</w:t>
      </w:r>
    </w:p>
    <w:p w:rsidRPr="00A37885" w:rsidR="00BE2C51" w:rsidP="00A37885" w14:paraId="7495A68D" w14:textId="77777777">
      <w:pPr>
        <w:pStyle w:val="JuPara"/>
      </w:pPr>
    </w:p>
    <w:p w:rsidRPr="00A37885" w:rsidR="00BE2C51" w:rsidP="00A37885" w14:paraId="2C235F9E" w14:textId="53052CF8">
      <w:pPr>
        <w:pStyle w:val="JuPara"/>
      </w:pPr>
      <w:r w:rsidRPr="00A37885">
        <w:fldChar w:fldCharType="begin"/>
      </w:r>
      <w:r w:rsidRPr="00A37885">
        <w:instrText xml:space="preserve"> SEQ level0 \*arabic \r1 </w:instrText>
      </w:r>
      <w:r w:rsidRPr="00A37885">
        <w:fldChar w:fldCharType="separate"/>
      </w:r>
      <w:r w:rsidRPr="00A37885" w:rsidR="00A37885">
        <w:rPr>
          <w:noProof/>
        </w:rPr>
        <w:t>1</w:t>
      </w:r>
      <w:r w:rsidRPr="00A37885">
        <w:fldChar w:fldCharType="end"/>
      </w:r>
      <w:r w:rsidRPr="00A37885">
        <w:t>.  To</w:t>
      </w:r>
      <w:r w:rsidRPr="00A37885">
        <w:t xml:space="preserve"> </w:t>
      </w:r>
      <w:r w:rsidRPr="00A37885">
        <w:t>my great regret I am unable to subscribe to the majority</w:t>
      </w:r>
      <w:r w:rsidRPr="00A37885" w:rsidR="00A37885">
        <w:t>’</w:t>
      </w:r>
      <w:r w:rsidRPr="00A37885">
        <w:t>s view that the Italian Republic has violated Article 3 of the European Convention on Human Rights in the present case.</w:t>
      </w:r>
    </w:p>
    <w:p w:rsidRPr="00A37885" w:rsidR="00BE2C51" w:rsidP="00A37885" w14:paraId="6417F58E" w14:textId="3B77FCBB">
      <w:pPr>
        <w:pStyle w:val="JuPara"/>
      </w:pPr>
      <w:r>
        <w:fldChar w:fldCharType="begin"/>
      </w:r>
      <w:r>
        <w:instrText xml:space="preserve"> SEQ level0 \*arabic \* MERGEFORMAT </w:instrText>
      </w:r>
      <w:r>
        <w:fldChar w:fldCharType="separate"/>
      </w:r>
      <w:r w:rsidRPr="00A37885" w:rsidR="00A37885">
        <w:rPr>
          <w:noProof/>
        </w:rPr>
        <w:t>2</w:t>
      </w:r>
      <w:r w:rsidRPr="00A37885" w:rsidR="00A37885">
        <w:rPr>
          <w:noProof/>
        </w:rPr>
        <w:fldChar w:fldCharType="end"/>
      </w:r>
      <w:r w:rsidRPr="00A37885">
        <w:t>.  Article 2 of the Convention imposes on the High Contracting Parties</w:t>
      </w:r>
      <w:r w:rsidRPr="00A37885" w:rsidR="00312965">
        <w:t xml:space="preserve"> </w:t>
      </w:r>
      <w:r w:rsidRPr="00A37885">
        <w:t xml:space="preserve">an obligation to take appropriate steps to safeguard human life. Thus, in the case of </w:t>
      </w:r>
      <w:r w:rsidRPr="00A37885">
        <w:rPr>
          <w:i/>
          <w:iCs/>
        </w:rPr>
        <w:t xml:space="preserve">Kayak v. Turkey </w:t>
      </w:r>
      <w:r w:rsidRPr="00A37885">
        <w:t>(no. 60444/08, § 53, 10 July 2012), for example, the Court reiterated as follows:</w:t>
      </w:r>
    </w:p>
    <w:p w:rsidRPr="00A37885" w:rsidR="00BE2C51" w:rsidP="00A37885" w14:paraId="06343B88" w14:textId="70D77CDE">
      <w:pPr>
        <w:pStyle w:val="JuQuot"/>
      </w:pPr>
      <w:r w:rsidRPr="00A37885">
        <w:t>“</w:t>
      </w:r>
      <w:r w:rsidRPr="00A37885" w:rsidR="00312965">
        <w:t>...</w:t>
      </w:r>
      <w:r w:rsidRPr="00A37885">
        <w:t xml:space="preserve"> that the first sentence of Article 2 § 1 enjoins the State not only to refrain from the intentional and unlawful taking of life, but also to take appropriate steps to safeguard the lives of those within its jurisdiction (see </w:t>
      </w:r>
      <w:r w:rsidRPr="00A37885">
        <w:rPr>
          <w:i/>
        </w:rPr>
        <w:t>L.C.B. v. the United Kingdom</w:t>
      </w:r>
      <w:r w:rsidRPr="00A37885">
        <w:t xml:space="preserve">, 9 June 1998, § 36, </w:t>
      </w:r>
      <w:r w:rsidRPr="00A37885">
        <w:rPr>
          <w:i/>
        </w:rPr>
        <w:t xml:space="preserve">Reports </w:t>
      </w:r>
      <w:r w:rsidRPr="00A37885">
        <w:t>1998</w:t>
      </w:r>
      <w:r w:rsidRPr="00A37885">
        <w:noBreakHyphen/>
        <w:t xml:space="preserve">III), and that this involves a primary duty on the State to secure the right to life by putting in place an appropriate legal and administrative framework to deter the commission of offences against the person, backed up by law-enforcement machinery for the prevention, suppression and punishment of breaches of such provisions (see </w:t>
      </w:r>
      <w:r w:rsidRPr="00A37885">
        <w:rPr>
          <w:i/>
        </w:rPr>
        <w:t>Makaratzis v. Greece</w:t>
      </w:r>
      <w:r w:rsidRPr="00A37885">
        <w:t xml:space="preserve"> [GC], no.</w:t>
      </w:r>
      <w:r w:rsidRPr="00A37885" w:rsidR="006F5B91">
        <w:t> </w:t>
      </w:r>
      <w:r w:rsidRPr="00A37885">
        <w:t>50385/99, § 57, ECHR 2004</w:t>
      </w:r>
      <w:r w:rsidRPr="00A37885">
        <w:noBreakHyphen/>
        <w:t>XI).”</w:t>
      </w:r>
    </w:p>
    <w:p w:rsidRPr="00A37885" w:rsidR="00BE2C51" w:rsidP="00A37885" w14:paraId="1CDC75F3" w14:textId="4058C2F7">
      <w:pPr>
        <w:pStyle w:val="JuPara"/>
      </w:pPr>
      <w:r w:rsidRPr="00A37885">
        <w:t>This obligation concerns, in particular, protection against organised crime. The High Contracting Parties have a duty to take effective measures to dismantle criminal organisations which pose a threat to people</w:t>
      </w:r>
      <w:r w:rsidRPr="00A37885" w:rsidR="00A37885">
        <w:t>’</w:t>
      </w:r>
      <w:r w:rsidRPr="00A37885">
        <w:t>s lives. To achieve that, it is vital to destroy the ties of solidarity between the members of such organisations and the code of silence that surrounds them. To that end, the national authorities must take the measures that are appropriate in view of the specific circumstances in their country.</w:t>
      </w:r>
    </w:p>
    <w:p w:rsidRPr="00A37885" w:rsidR="00BE2C51" w:rsidP="00A37885" w14:paraId="50A59ED4" w14:textId="2FBB9968">
      <w:pPr>
        <w:pStyle w:val="JuPara"/>
      </w:pPr>
      <w:r>
        <w:fldChar w:fldCharType="begin"/>
      </w:r>
      <w:r>
        <w:instrText xml:space="preserve"> SEQ level0 \*arabic \* MERGEFORMAT </w:instrText>
      </w:r>
      <w:r>
        <w:fldChar w:fldCharType="separate"/>
      </w:r>
      <w:r w:rsidRPr="00A37885" w:rsidR="00A37885">
        <w:rPr>
          <w:noProof/>
        </w:rPr>
        <w:t>3</w:t>
      </w:r>
      <w:r w:rsidRPr="00A37885" w:rsidR="00A37885">
        <w:rPr>
          <w:noProof/>
        </w:rPr>
        <w:fldChar w:fldCharType="end"/>
      </w:r>
      <w:r w:rsidRPr="00A37885">
        <w:t>.  The key elements of the present case can be summarised as follows. The applicant, who was sentenced to life imprisonment, was the head of a criminal organisation, one which continues to pose a threat to the lives and safety of persons in Italy. The applicant possesses information that could help the authorities to prosecute other individuals actively involved in that organisation and thus help to significantly reduce the threat to lives and prevent further crimes. However, he refuses to disclose the relevant information to the authorities, protesting his innocence and citing his fears for his own life and the lives of his family members. The L</w:t>
      </w:r>
      <w:r w:rsidRPr="00A37885" w:rsidR="00A37885">
        <w:t>’</w:t>
      </w:r>
      <w:r w:rsidRPr="00A37885">
        <w:t>Aquila Sentence Supervision Court found, in particular, as follows:</w:t>
      </w:r>
    </w:p>
    <w:p w:rsidRPr="00A37885" w:rsidR="00BE2C51" w:rsidP="00A37885" w14:paraId="7CCB03A7" w14:textId="0D51E70D">
      <w:pPr>
        <w:pStyle w:val="JuQuot"/>
      </w:pPr>
      <w:r w:rsidRPr="00A37885">
        <w:t>“</w:t>
      </w:r>
      <w:r w:rsidRPr="00A37885" w:rsidR="00312965">
        <w:t>...</w:t>
      </w:r>
      <w:r w:rsidRPr="00A37885">
        <w:t xml:space="preserve"> the mafia group was still active in the Taurianova area, that the applicant had been the acknowledged head of a criminal organisation and that it was not apparent from the observation of his day-to-day conduct that he had engaged in a critical appraisal of his criminal past” (see paragraph 22 of the present judgment).</w:t>
      </w:r>
    </w:p>
    <w:p w:rsidRPr="00A37885" w:rsidR="00BE2C51" w:rsidP="00A37885" w14:paraId="1358194D" w14:textId="77777777">
      <w:pPr>
        <w:pStyle w:val="JuPara"/>
      </w:pPr>
      <w:r w:rsidRPr="00A37885">
        <w:t>In the circumstances described above, it does not appear unreasonable to expect the applicant to assist the Italian authorities in saving lives by providing them with information.</w:t>
      </w:r>
    </w:p>
    <w:p w:rsidRPr="00A37885" w:rsidR="00BE2C51" w:rsidP="00A37885" w14:paraId="35CF6DB9" w14:textId="704E51CF">
      <w:pPr>
        <w:pStyle w:val="JuPara"/>
      </w:pPr>
      <w:r>
        <w:fldChar w:fldCharType="begin"/>
      </w:r>
      <w:r>
        <w:instrText xml:space="preserve"> SEQ level0 \*arabic \* MERGEFORMAT </w:instrText>
      </w:r>
      <w:r>
        <w:fldChar w:fldCharType="separate"/>
      </w:r>
      <w:r w:rsidRPr="00A37885" w:rsidR="00A37885">
        <w:rPr>
          <w:noProof/>
        </w:rPr>
        <w:t>4</w:t>
      </w:r>
      <w:r w:rsidRPr="00A37885" w:rsidR="00A37885">
        <w:rPr>
          <w:noProof/>
        </w:rPr>
        <w:fldChar w:fldCharType="end"/>
      </w:r>
      <w:r w:rsidRPr="00A37885">
        <w:t>.  The Italian legislation does not deprive persons sentenced to life imprisonment, for the most socially dangerous crimes, of any hope that they will one day be released. It provides for the possibility of conditional release but makes it contingent on cooperation with the judicial authorities. It should also be noted that, in practice, individuals who are not regarded as belonging to the upper echelons of the criminal organisation are not subject to this condition and serve their sentence under the ordinary prison regime.</w:t>
      </w:r>
    </w:p>
    <w:p w:rsidRPr="00A37885" w:rsidR="00BE2C51" w:rsidP="00A37885" w14:paraId="71B1285F" w14:textId="7A38908A">
      <w:pPr>
        <w:pStyle w:val="JuPara"/>
      </w:pPr>
      <w:r w:rsidRPr="00A37885">
        <w:t xml:space="preserve">The Italian legislation is not fixed and immutable: it has been amended and has been subjected on several occasions to constitutional review. It has also been debated and analysed in Parliament and in legal proceedings (compare with the standards set out in </w:t>
      </w:r>
      <w:r w:rsidRPr="00A37885">
        <w:rPr>
          <w:i/>
        </w:rPr>
        <w:t>Animal Defenders International v.</w:t>
      </w:r>
      <w:r w:rsidRPr="00A37885" w:rsidR="006F5B91">
        <w:rPr>
          <w:i/>
        </w:rPr>
        <w:t> </w:t>
      </w:r>
      <w:r w:rsidRPr="00A37885">
        <w:rPr>
          <w:i/>
        </w:rPr>
        <w:t>the United Kingdom</w:t>
      </w:r>
      <w:r w:rsidRPr="00A37885">
        <w:t xml:space="preserve"> ([GC], no. 48876/08, §§ 113-16, ECHR 2013 (extracts)); I note, incidentally, that the Court appears to overlook those standards in its case-law).</w:t>
      </w:r>
    </w:p>
    <w:p w:rsidRPr="00A37885" w:rsidR="00BE2C51" w:rsidP="00A37885" w14:paraId="3466C05F" w14:textId="73EF59D7">
      <w:pPr>
        <w:pStyle w:val="JuPara"/>
      </w:pPr>
      <w:r>
        <w:fldChar w:fldCharType="begin"/>
      </w:r>
      <w:r>
        <w:instrText xml:space="preserve"> SEQ level0 \*arabic \* MERGEFORMAT </w:instrText>
      </w:r>
      <w:r>
        <w:fldChar w:fldCharType="separate"/>
      </w:r>
      <w:r w:rsidRPr="00A37885" w:rsidR="00A37885">
        <w:rPr>
          <w:noProof/>
        </w:rPr>
        <w:t>5</w:t>
      </w:r>
      <w:r w:rsidRPr="00A37885" w:rsidR="00A37885">
        <w:rPr>
          <w:noProof/>
        </w:rPr>
        <w:fldChar w:fldCharType="end"/>
      </w:r>
      <w:r w:rsidRPr="00A37885">
        <w:t>.  I also note that the Italian authorities enacted legislation that allows criminals involved in organised crime to obtain a remission of sentence if they cooperate with the prosecuting authorities at the investigation stage. Over the years, thousands of criminals have cooperated with the authorities and benefited from these measures. The threat which organised crime poses to “criminals turned informers” is not so significant as to paralyse the implementation of these measures. The applicant himself was convicted as a result of the cooperation with the judicial authorities of two such persons.</w:t>
      </w:r>
    </w:p>
    <w:p w:rsidRPr="00A37885" w:rsidR="00BE2C51" w:rsidP="00A37885" w14:paraId="64EEB9BA" w14:textId="77777777">
      <w:pPr>
        <w:pStyle w:val="JuPara"/>
      </w:pPr>
      <w:r w:rsidRPr="00A37885">
        <w:t>Clearly, the situation of an accused is different from that of a person sentenced to life imprisonment. The former, by cooperating with the judicial authorities, stands to derive considerable benefits from doing so (a substantial remission of sentence), whereas the latter can only secure a benefit that is remote and uncertain (the possibility of one day being allowed to apply for conditional release). Hence, the manner in which the risks and benefits are weighed up will differ in the two cases. Nevertheless, the threat which organised crime poses to individuals who breach the code of silence does not appear to be an insurmountable obstacle in implementing the various measures aimed at securing the cooperation of the criminals concerned with the prosecuting authorities.</w:t>
      </w:r>
    </w:p>
    <w:p w:rsidRPr="00A37885" w:rsidR="00BE2C51" w:rsidP="00A37885" w14:paraId="3557FDC5" w14:textId="4EE83149">
      <w:pPr>
        <w:pStyle w:val="JuPara"/>
      </w:pPr>
      <w:r w:rsidRPr="00A37885">
        <w:t>The third-party interveners maintain that the measures complained of are ineffective and do not deliver the desired outcome as the persons concerned refuse in practice to cooperate with the judicial authorities. I note in that context that States have a certain margin of appreciation when it comes to criminal policy. While a review of the proportionality of restrictions on rights is a kind of review of the rationality of the interference in question, the Court is not competent to review as such the rationality of the criminal policies of the States Parties to the Convention. As has been emphasised in the case-law, “[a] State</w:t>
      </w:r>
      <w:r w:rsidRPr="00A37885" w:rsidR="00A37885">
        <w:t>’</w:t>
      </w:r>
      <w:r w:rsidRPr="00A37885">
        <w:t xml:space="preserve">s choice of criminal-justice system, including sentence review and release arrangements, is </w:t>
      </w:r>
      <w:r w:rsidRPr="00A37885" w:rsidR="00312965">
        <w:t>...</w:t>
      </w:r>
      <w:r w:rsidRPr="00A37885">
        <w:t xml:space="preserve"> in principle outside the scope of the supervision carried out by the Court” (see </w:t>
      </w:r>
      <w:r w:rsidRPr="00A37885">
        <w:rPr>
          <w:i/>
        </w:rPr>
        <w:t xml:space="preserve">Harakchiev and </w:t>
      </w:r>
      <w:r w:rsidRPr="00A37885">
        <w:rPr>
          <w:i/>
        </w:rPr>
        <w:t>Tolumov</w:t>
      </w:r>
      <w:r w:rsidRPr="00A37885">
        <w:t xml:space="preserve"> </w:t>
      </w:r>
      <w:r w:rsidRPr="00A37885">
        <w:rPr>
          <w:i/>
        </w:rPr>
        <w:t>v. Bulgaria</w:t>
      </w:r>
      <w:r w:rsidRPr="00A37885">
        <w:t>, nos. 15018/11 and 61199/12, § 250, ECHR 2014 (extracts)).</w:t>
      </w:r>
    </w:p>
    <w:p w:rsidRPr="00A37885" w:rsidR="00BE2C51" w:rsidP="00A37885" w14:paraId="0BAF494F" w14:textId="50AB8AC1">
      <w:pPr>
        <w:pStyle w:val="JuPara"/>
      </w:pPr>
      <w:r>
        <w:fldChar w:fldCharType="begin"/>
      </w:r>
      <w:r>
        <w:instrText xml:space="preserve"> SEQ level0 \*arabic \* MERGEFORMAT </w:instrText>
      </w:r>
      <w:r>
        <w:fldChar w:fldCharType="separate"/>
      </w:r>
      <w:r w:rsidRPr="00A37885" w:rsidR="00A37885">
        <w:rPr>
          <w:noProof/>
        </w:rPr>
        <w:t>6</w:t>
      </w:r>
      <w:r w:rsidRPr="00A37885" w:rsidR="00A37885">
        <w:rPr>
          <w:noProof/>
        </w:rPr>
        <w:fldChar w:fldCharType="end"/>
      </w:r>
      <w:r w:rsidRPr="00A37885">
        <w:t>.  The majority express the following view in paragraph 118 (emphasis added):</w:t>
      </w:r>
    </w:p>
    <w:p w:rsidRPr="00A37885" w:rsidR="00BE2C51" w:rsidP="00A37885" w14:paraId="5E9C0DE6" w14:textId="79867775">
      <w:pPr>
        <w:pStyle w:val="JuQuot"/>
      </w:pPr>
      <w:r w:rsidRPr="00A37885">
        <w:t xml:space="preserve">“The Court infers from this that failure to cooperate is not </w:t>
      </w:r>
      <w:r w:rsidRPr="00A37885">
        <w:rPr>
          <w:b/>
          <w:bCs/>
        </w:rPr>
        <w:t>always</w:t>
      </w:r>
      <w:r w:rsidRPr="00A37885">
        <w:t xml:space="preserve"> the result of a free and deliberate choice, nor does it necessarily reflect continuing adherence to </w:t>
      </w:r>
      <w:r w:rsidRPr="00A37885" w:rsidR="00A37885">
        <w:t>‘</w:t>
      </w:r>
      <w:r w:rsidRPr="00A37885">
        <w:t>criminal values</w:t>
      </w:r>
      <w:r w:rsidRPr="00A37885" w:rsidR="00A37885">
        <w:t>’</w:t>
      </w:r>
      <w:r w:rsidRPr="00A37885">
        <w:t xml:space="preserve"> or ongoing links with the criminal organisation in question. Indeed, this was acknowledged by the Constitutional Court in judgment no. 306 of 11 June 1993, in which it held that the absence of cooperation did not necessarily indicate that the person still had links to the mafia organisation </w:t>
      </w:r>
      <w:r w:rsidRPr="00A37885" w:rsidR="00312965">
        <w:t>...</w:t>
      </w:r>
      <w:r w:rsidRPr="00A37885">
        <w:t>”</w:t>
      </w:r>
    </w:p>
    <w:p w:rsidRPr="00A37885" w:rsidR="00BE2C51" w:rsidP="00A37885" w14:paraId="23CE2538" w14:textId="74B5E154">
      <w:pPr>
        <w:pStyle w:val="JuPara"/>
      </w:pPr>
      <w:r w:rsidRPr="00A37885">
        <w:t xml:space="preserve">If I understand my colleagues correctly, they are of the view that the conditions attached to the release of a life prisoner must </w:t>
      </w:r>
      <w:r w:rsidRPr="00A37885">
        <w:rPr>
          <w:b/>
          <w:bCs/>
        </w:rPr>
        <w:t>always</w:t>
      </w:r>
      <w:r w:rsidRPr="00A37885">
        <w:t>, by their very nature, be a matter of free choice for the prisoner. As the majority see it, failure to comply with these conditions must in all cases be the result of a free and deliberate choice. This is an astonishing line of argument. The approach taken by the majority consists in assessing the national legislation in the abstract and calling it into question as a whole simply because it can have problematic consequences in some cases. In my view the relevant issue, in the context of the Court</w:t>
      </w:r>
      <w:r w:rsidRPr="00A37885" w:rsidR="00A37885">
        <w:t>’</w:t>
      </w:r>
      <w:r w:rsidRPr="00A37885">
        <w:t>s examination of an individual application, is not whether the choice in question is always free and deliberate, but rather whether the specific choice made by the prisoner concerned is free and deliberate.</w:t>
      </w:r>
    </w:p>
    <w:p w:rsidRPr="00A37885" w:rsidR="00BE2C51" w:rsidP="00A37885" w14:paraId="3676A811" w14:textId="74B00703">
      <w:pPr>
        <w:pStyle w:val="JuPara"/>
      </w:pPr>
      <w:r>
        <w:fldChar w:fldCharType="begin"/>
      </w:r>
      <w:r>
        <w:instrText xml:space="preserve"> SEQ level0 \*arabic \* MERGEFORMAT </w:instrText>
      </w:r>
      <w:r>
        <w:fldChar w:fldCharType="separate"/>
      </w:r>
      <w:r w:rsidRPr="00A37885" w:rsidR="00A37885">
        <w:rPr>
          <w:noProof/>
        </w:rPr>
        <w:t>7</w:t>
      </w:r>
      <w:r w:rsidRPr="00A37885" w:rsidR="00A37885">
        <w:rPr>
          <w:noProof/>
        </w:rPr>
        <w:fldChar w:fldCharType="end"/>
      </w:r>
      <w:r w:rsidRPr="00A37885">
        <w:t>.  The Court reasoned as follows in its judgment in</w:t>
      </w:r>
      <w:r w:rsidRPr="00A37885" w:rsidR="00312965">
        <w:t xml:space="preserve"> </w:t>
      </w:r>
      <w:r w:rsidRPr="00A37885">
        <w:rPr>
          <w:i/>
        </w:rPr>
        <w:t>Hutchinson v. the United Kingdom</w:t>
      </w:r>
      <w:r w:rsidRPr="00A37885">
        <w:t xml:space="preserve"> ([GC], no. 57592/08, § 42, 17 January 2017):</w:t>
      </w:r>
    </w:p>
    <w:p w:rsidRPr="00A37885" w:rsidR="00BE2C51" w:rsidP="00A37885" w14:paraId="011A5C09" w14:textId="48E17AD4">
      <w:pPr>
        <w:pStyle w:val="JuQuot"/>
      </w:pPr>
      <w:r w:rsidRPr="00A37885">
        <w:t>“</w:t>
      </w:r>
      <w:r w:rsidRPr="00A37885" w:rsidR="00312965">
        <w:t>...</w:t>
      </w:r>
      <w:r w:rsidRPr="00A37885">
        <w:t xml:space="preserve"> to be compatible with Article 3 such a sentence must be reducible </w:t>
      </w:r>
      <w:r w:rsidRPr="00A37885">
        <w:rPr>
          <w:i/>
          <w:iCs/>
        </w:rPr>
        <w:t>de jure</w:t>
      </w:r>
      <w:r w:rsidRPr="00A37885">
        <w:t> and </w:t>
      </w:r>
      <w:r w:rsidRPr="00A37885">
        <w:rPr>
          <w:i/>
          <w:iCs/>
        </w:rPr>
        <w:t>de facto</w:t>
      </w:r>
      <w:r w:rsidRPr="00A37885">
        <w:t>, meaning that there must be both a prospect of release for the prisoner and a possibility of review. The basis of such review must extend to assessing whether there are legitimate penological grounds for the continued incarceration of the prisoner. These grounds include punishment, deterrence, public protection and rehabilitation.”</w:t>
      </w:r>
    </w:p>
    <w:p w:rsidRPr="00A37885" w:rsidR="00BE2C51" w:rsidP="00A37885" w14:paraId="6B498029" w14:textId="77777777">
      <w:pPr>
        <w:pStyle w:val="JuPara"/>
      </w:pPr>
      <w:r w:rsidRPr="00A37885">
        <w:t>This approach confirms that a sentence is a multi-dimensional legal instrument. The rehabilitation of the offender is a fundamental objective, but not the only one. The sentence imposed also has a retributive function, in giving a sense of justice not only to society but also, most importantly, to the victim. It also serves the purpose of deterring other potential offenders. It may pursue other aims and, in particular, may be regulated so as to reduce offending by helping the authorities to dismantle criminal organisations.</w:t>
      </w:r>
    </w:p>
    <w:p w:rsidRPr="00A37885" w:rsidR="00BE2C51" w:rsidP="00A37885" w14:paraId="7DC69C41" w14:textId="0774B940">
      <w:pPr>
        <w:pStyle w:val="JuPara"/>
      </w:pPr>
      <w:r w:rsidRPr="00A37885">
        <w:t>It should be pointed out at this juncture that international human rights law places very heavy emphasis on the deterrent function of sentences. There have been numerous judgments in which the Court found a particular sentence to be manifestly disproportionate to the seriousness of the offence. The sentence was held to be disproportionate to the nature of the offence committed, without the Court seeking to establish the applicant</w:t>
      </w:r>
      <w:r w:rsidRPr="00A37885" w:rsidR="00A37885">
        <w:t>’</w:t>
      </w:r>
      <w:r w:rsidRPr="00A37885">
        <w:t>s rehabilitation needs in the case in question. By way of example, the Court has previously adopted the following reasoning (emphasis added):</w:t>
      </w:r>
    </w:p>
    <w:p w:rsidRPr="00A37885" w:rsidR="00BE2C51" w:rsidP="00A37885" w14:paraId="47655CA1" w14:textId="502E3084">
      <w:pPr>
        <w:pStyle w:val="JuQuot"/>
      </w:pPr>
      <w:r w:rsidRPr="00A37885">
        <w:t>“</w:t>
      </w:r>
      <w:r w:rsidRPr="00A37885" w:rsidR="00312965">
        <w:t>...</w:t>
      </w:r>
      <w:r w:rsidRPr="00A37885">
        <w:t xml:space="preserve"> such a penalty cannot be considered apt to </w:t>
      </w:r>
      <w:r w:rsidRPr="00A37885">
        <w:rPr>
          <w:b/>
          <w:bCs/>
        </w:rPr>
        <w:t>deter</w:t>
      </w:r>
      <w:r w:rsidRPr="00A37885">
        <w:t xml:space="preserve"> the perpetrator or other State agents from committing similar offences, nor can it be perceived as </w:t>
      </w:r>
      <w:r w:rsidRPr="00A37885">
        <w:rPr>
          <w:b/>
          <w:bCs/>
        </w:rPr>
        <w:t>just by the victims</w:t>
      </w:r>
      <w:r w:rsidRPr="00A37885">
        <w:t>” (</w:t>
      </w:r>
      <w:r w:rsidRPr="00A37885">
        <w:rPr>
          <w:i/>
          <w:iCs/>
        </w:rPr>
        <w:t>Sidiropoulos and Papakostas v. Greece</w:t>
      </w:r>
      <w:r w:rsidRPr="00A37885">
        <w:t>, no. 33349/10, § 95, 25 January 2018);</w:t>
      </w:r>
    </w:p>
    <w:p w:rsidRPr="00A37885" w:rsidR="00BE2C51" w:rsidP="00A37885" w14:paraId="169F5F70" w14:textId="2A159C23">
      <w:pPr>
        <w:pStyle w:val="JuQuot"/>
      </w:pPr>
      <w:r w:rsidRPr="00A37885">
        <w:t>“</w:t>
      </w:r>
      <w:r w:rsidRPr="00A37885" w:rsidR="00312965">
        <w:t>...</w:t>
      </w:r>
      <w:r w:rsidRPr="00A37885">
        <w:t xml:space="preserve"> far from being rigorous, the penal and disciplinary system as applied in this case was not sufficiently </w:t>
      </w:r>
      <w:r w:rsidRPr="00A37885">
        <w:rPr>
          <w:b/>
          <w:bCs/>
        </w:rPr>
        <w:t>dissuasive</w:t>
      </w:r>
      <w:r w:rsidRPr="00A37885">
        <w:t xml:space="preserve"> to effectively prevent illegal acts of the type complained of by the applicant” (</w:t>
      </w:r>
      <w:r w:rsidRPr="00A37885">
        <w:rPr>
          <w:i/>
        </w:rPr>
        <w:t>Zeynep Özcan v. Turkey</w:t>
      </w:r>
      <w:r w:rsidRPr="00A37885">
        <w:t>, no. 45906/99, § 45, 20</w:t>
      </w:r>
      <w:r w:rsidRPr="00A37885" w:rsidR="006F5B91">
        <w:t> </w:t>
      </w:r>
      <w:r w:rsidRPr="00A37885">
        <w:t>February 2007).</w:t>
      </w:r>
    </w:p>
    <w:p w:rsidRPr="00A37885" w:rsidR="00BE2C51" w:rsidP="00A37885" w14:paraId="7B1D0215" w14:textId="77777777">
      <w:pPr>
        <w:pStyle w:val="JuPara"/>
      </w:pPr>
      <w:r w:rsidRPr="00A37885">
        <w:t>It is for the national legislature to implement penal policy by establishing the penalties that are deemed appropriate to the different crimes and offences and defining the specific aims of the penalty and their order of priority.</w:t>
      </w:r>
    </w:p>
    <w:p w:rsidRPr="00A37885" w:rsidR="00BE2C51" w:rsidP="00A37885" w14:paraId="22E5DAE3" w14:textId="77777777">
      <w:pPr>
        <w:pStyle w:val="JuPara"/>
      </w:pPr>
      <w:r w:rsidRPr="00A37885">
        <w:t xml:space="preserve">The reasoning of the present judgment suggests that rehabilitation has become the only legitimate aim of sentencing. I cannot agree with this approach, which leads to a tacit reversal of the </w:t>
      </w:r>
      <w:r w:rsidRPr="00A37885">
        <w:rPr>
          <w:i/>
          <w:iCs/>
        </w:rPr>
        <w:t xml:space="preserve">Hutchinson </w:t>
      </w:r>
      <w:r w:rsidRPr="00A37885">
        <w:t>case-law on this point. Furthermore, if the sole aim of the sentence is rehabilitation, how do we deal with individuals who committed a crime and are prosecuted many years later although they have repented of their crime in the meantime and completely changed personality?</w:t>
      </w:r>
    </w:p>
    <w:p w:rsidRPr="00A37885" w:rsidR="00BE2C51" w:rsidP="00A37885" w14:paraId="670B08A9" w14:textId="4D589830">
      <w:pPr>
        <w:pStyle w:val="JuPara"/>
      </w:pPr>
      <w:r>
        <w:fldChar w:fldCharType="begin"/>
      </w:r>
      <w:r>
        <w:instrText xml:space="preserve"> SEQ level0 \*arabic \* MERGEFORMAT </w:instrText>
      </w:r>
      <w:r>
        <w:fldChar w:fldCharType="separate"/>
      </w:r>
      <w:r w:rsidRPr="00A37885" w:rsidR="00A37885">
        <w:rPr>
          <w:noProof/>
        </w:rPr>
        <w:t>8</w:t>
      </w:r>
      <w:r w:rsidRPr="00A37885" w:rsidR="00A37885">
        <w:rPr>
          <w:noProof/>
        </w:rPr>
        <w:fldChar w:fldCharType="end"/>
      </w:r>
      <w:r w:rsidRPr="00A37885">
        <w:t>.  Central to the majority</w:t>
      </w:r>
      <w:r w:rsidRPr="00A37885" w:rsidR="00A37885">
        <w:t>’</w:t>
      </w:r>
      <w:r w:rsidRPr="00A37885">
        <w:t>s line of argument is the notion that the system is based on an “irrebuttable” presumption that a prisoner who refuses to cooperate with the authorities is a danger to society. The term “irrebuttable presumption” has generally negative connotations in criminal matters. It suggests at first glance that individuals are liable to be the victims of injustice because of their inability to furnish evidence to the contrary.</w:t>
      </w:r>
    </w:p>
    <w:p w:rsidRPr="00A37885" w:rsidR="00BE2C51" w:rsidP="00A37885" w14:paraId="2D581F33" w14:textId="50D05527">
      <w:pPr>
        <w:pStyle w:val="JuPara"/>
      </w:pPr>
      <w:r w:rsidRPr="00A37885">
        <w:t>I would observe in that connection that the very notion of an “irrebuttable presumption” is rightly criticised in the legal literature, which points out that rebuttable presumptions and “irrebuttable presumptions” comprise two entirely separate legal categories. An “irrebuttable presumption” is not a presumption that guides reasoning in order to justify a factual proposition on the basis of other factual propositions, but merely a legal rule which attributes certain legal consequences to certain factual circumstances (on this subject see, for instance, T. Gizbert-Studnicki, “Znaczenie terminu ,,domniemanie prawne</w:t>
      </w:r>
      <w:r w:rsidRPr="00A37885" w:rsidR="00A37885">
        <w:t>’’</w:t>
      </w:r>
      <w:r w:rsidRPr="00A37885">
        <w:t xml:space="preserve"> w języku prawnym i prawniczym” [The meaning of the term “statutory presumption” in legal language], </w:t>
      </w:r>
      <w:r w:rsidRPr="00A37885">
        <w:rPr>
          <w:i/>
        </w:rPr>
        <w:t>Ruch Prawniczy, Ekonomiczny i Socjologiczny</w:t>
      </w:r>
      <w:r w:rsidRPr="00A37885">
        <w:t>, vol. 36, 1974, no.</w:t>
      </w:r>
      <w:r w:rsidRPr="00A37885">
        <w:rPr>
          <w:vertAlign w:val="superscript"/>
        </w:rPr>
        <w:t> </w:t>
      </w:r>
      <w:r w:rsidRPr="00A37885">
        <w:t>1). An attempt can be made to present as an irrebuttable presumption any rule of law which provides for certain legal consequences whenever a particular set of factual circumstances occurs. However, such an approach adds nothing to our understanding of the law.</w:t>
      </w:r>
    </w:p>
    <w:p w:rsidRPr="00A37885" w:rsidR="00312965" w:rsidP="00A37885" w14:paraId="068D6DB3" w14:textId="77777777">
      <w:pPr>
        <w:pStyle w:val="JuPara"/>
      </w:pPr>
      <w:r w:rsidRPr="00A37885">
        <w:t xml:space="preserve">The applicant in the present case is still in prison not because he is presumed to be a danger to society, but because he received a specific sentence that took account of all the functions of sentences. He is </w:t>
      </w:r>
      <w:r w:rsidRPr="00A37885">
        <w:t>incarcerated, in particular, because this is necessary in order to allow the families of his victims, and Italian society in general, to feel that justice has been done, and to deter other potential offenders from committing similar crimes. There are therefore legitimate penological grounds for his continued detention.</w:t>
      </w:r>
    </w:p>
    <w:p w:rsidRPr="00A37885" w:rsidR="00BE2C51" w:rsidP="00A37885" w14:paraId="46038871" w14:textId="45332D7B">
      <w:pPr>
        <w:pStyle w:val="JuPara"/>
      </w:pPr>
      <w:r>
        <w:fldChar w:fldCharType="begin"/>
      </w:r>
      <w:r>
        <w:instrText xml:space="preserve"> SEQ level0 \*arabic \* MERGEFORMAT </w:instrText>
      </w:r>
      <w:r>
        <w:fldChar w:fldCharType="separate"/>
      </w:r>
      <w:r w:rsidRPr="00A37885" w:rsidR="00A37885">
        <w:rPr>
          <w:noProof/>
        </w:rPr>
        <w:t>9</w:t>
      </w:r>
      <w:r w:rsidRPr="00A37885" w:rsidR="00A37885">
        <w:rPr>
          <w:noProof/>
        </w:rPr>
        <w:fldChar w:fldCharType="end"/>
      </w:r>
      <w:r w:rsidRPr="00A37885">
        <w:t xml:space="preserve">.  In </w:t>
      </w:r>
      <w:r w:rsidRPr="00A37885">
        <w:rPr>
          <w:i/>
        </w:rPr>
        <w:t>Hutchinson</w:t>
      </w:r>
      <w:r w:rsidRPr="00A37885">
        <w:t>, cited above, the Court articulated the following principle (§ 44):</w:t>
      </w:r>
    </w:p>
    <w:p w:rsidRPr="00A37885" w:rsidR="00BE2C51" w:rsidP="00A37885" w14:paraId="109630BE" w14:textId="77777777">
      <w:pPr>
        <w:pStyle w:val="JuQuot"/>
      </w:pPr>
      <w:r w:rsidRPr="00A37885">
        <w:t>“Therefore prisoners who receive a whole life sentence are entitled to know from the outset what they must do in order to be considered for release and under what conditions.”</w:t>
      </w:r>
    </w:p>
    <w:p w:rsidRPr="00A37885" w:rsidR="00BE2C51" w:rsidP="00A37885" w14:paraId="6CD8ACC2" w14:textId="77777777">
      <w:pPr>
        <w:pStyle w:val="JuPara"/>
      </w:pPr>
      <w:r w:rsidRPr="00A37885">
        <w:t>In my view, the Italian legislation is sufficiently clear and enables prisoners to regulate their own conduct; it thus respects the principle of legal certainty.</w:t>
      </w:r>
    </w:p>
    <w:p w:rsidRPr="00A37885" w:rsidR="00BE2C51" w:rsidP="00A37885" w14:paraId="4F68701C" w14:textId="77992105">
      <w:pPr>
        <w:pStyle w:val="JuPara"/>
      </w:pPr>
      <w:r>
        <w:fldChar w:fldCharType="begin"/>
      </w:r>
      <w:r>
        <w:instrText xml:space="preserve"> SEQ level0 \*arabic \* MERGEFORMAT </w:instrText>
      </w:r>
      <w:r>
        <w:fldChar w:fldCharType="separate"/>
      </w:r>
      <w:r w:rsidRPr="00A37885" w:rsidR="00A37885">
        <w:rPr>
          <w:noProof/>
        </w:rPr>
        <w:t>10</w:t>
      </w:r>
      <w:r w:rsidRPr="00A37885" w:rsidR="00A37885">
        <w:rPr>
          <w:noProof/>
        </w:rPr>
        <w:fldChar w:fldCharType="end"/>
      </w:r>
      <w:r w:rsidRPr="00A37885">
        <w:t>.  In paragraph 133 of the present judgment the majority express the following view:</w:t>
      </w:r>
    </w:p>
    <w:p w:rsidRPr="00A37885" w:rsidR="00BE2C51" w:rsidP="00A37885" w14:paraId="74A1AFB8" w14:textId="581B5A1E">
      <w:pPr>
        <w:pStyle w:val="JuQuot"/>
      </w:pPr>
      <w:r w:rsidRPr="00A37885">
        <w:t>“Lastly, as regards the Government</w:t>
      </w:r>
      <w:r w:rsidRPr="00A37885" w:rsidR="00A37885">
        <w:t>’</w:t>
      </w:r>
      <w:r w:rsidRPr="00A37885">
        <w:t xml:space="preserve">s assertions that the domestic system provides for two other remedies by which to obtain a review of sentence, namely a request for presidential clemency and an application for a stay of execution of the sentence on health grounds </w:t>
      </w:r>
      <w:r w:rsidRPr="00A37885" w:rsidR="00312965">
        <w:t>...</w:t>
      </w:r>
      <w:r w:rsidRPr="00A37885">
        <w:t xml:space="preserve">, the Court points to its relevant case-law, according to which the possibility for a prisoner serving a life sentence to be granted clemency or release on compassionate grounds for reasons related to ill-health, physical incapacity or old age does not correspond to the notion of </w:t>
      </w:r>
      <w:r w:rsidRPr="00A37885" w:rsidR="00A37885">
        <w:t>‘</w:t>
      </w:r>
      <w:r w:rsidRPr="00A37885">
        <w:t>prospect of release</w:t>
      </w:r>
      <w:r w:rsidRPr="00A37885" w:rsidR="00A37885">
        <w:t>’</w:t>
      </w:r>
      <w:r w:rsidRPr="00A37885">
        <w:t xml:space="preserve"> as used since </w:t>
      </w:r>
      <w:r w:rsidRPr="00A37885">
        <w:rPr>
          <w:i/>
          <w:iCs/>
        </w:rPr>
        <w:t xml:space="preserve">Kafkaris </w:t>
      </w:r>
      <w:r w:rsidRPr="00A37885">
        <w:t xml:space="preserve">(cited above, § 127; see also </w:t>
      </w:r>
      <w:r w:rsidRPr="00A37885">
        <w:rPr>
          <w:i/>
          <w:iCs/>
        </w:rPr>
        <w:t>Öcalan</w:t>
      </w:r>
      <w:r w:rsidRPr="00A37885">
        <w:t xml:space="preserve">, cited above, § 203, and </w:t>
      </w:r>
      <w:r w:rsidRPr="00A37885">
        <w:rPr>
          <w:i/>
        </w:rPr>
        <w:t>László Magyar</w:t>
      </w:r>
      <w:r w:rsidRPr="00A37885">
        <w:t xml:space="preserve"> </w:t>
      </w:r>
      <w:r w:rsidRPr="00A37885">
        <w:rPr>
          <w:i/>
        </w:rPr>
        <w:t>v. Hungary</w:t>
      </w:r>
      <w:r w:rsidRPr="00A37885">
        <w:t>, no. 73593/10, §§ 57 and 58, 20 May 2014).”</w:t>
      </w:r>
    </w:p>
    <w:p w:rsidRPr="00A37885" w:rsidR="00BE2C51" w:rsidP="00A37885" w14:paraId="79DF25F8" w14:textId="77777777">
      <w:pPr>
        <w:pStyle w:val="JuPara"/>
        <w:rPr>
          <w:iCs/>
        </w:rPr>
      </w:pPr>
      <w:r w:rsidRPr="00A37885">
        <w:t xml:space="preserve">I note that in its judgment in </w:t>
      </w:r>
      <w:r w:rsidRPr="00A37885">
        <w:rPr>
          <w:i/>
        </w:rPr>
        <w:t>Iorgov v. Bulgaria (no.</w:t>
      </w:r>
      <w:r w:rsidRPr="00A37885">
        <w:rPr>
          <w:i/>
          <w:vertAlign w:val="superscript"/>
        </w:rPr>
        <w:t xml:space="preserve"> </w:t>
      </w:r>
      <w:r w:rsidRPr="00A37885">
        <w:rPr>
          <w:i/>
        </w:rPr>
        <w:t>2)</w:t>
      </w:r>
      <w:r w:rsidRPr="00A37885">
        <w:t xml:space="preserve"> (no. 36295/02, 2 September 2010), and subsequently in </w:t>
      </w:r>
      <w:r w:rsidRPr="00A37885">
        <w:rPr>
          <w:i/>
        </w:rPr>
        <w:t>Harakchiev and Tolumov</w:t>
      </w:r>
      <w:r w:rsidRPr="00A37885">
        <w:t xml:space="preserve"> (cited above), the Court described the methodology to be applied in ascertaining whether the existence of a presidential power of clemency means that a sentence is compatible with the reducibility requirement. In both these cases the Court analysed in detail the legal arrangements and the way in which the power of clemency was exercised in practice. In § 262 of </w:t>
      </w:r>
      <w:r w:rsidRPr="00A37885">
        <w:rPr>
          <w:i/>
        </w:rPr>
        <w:t>Harakchiev and Tolumov</w:t>
      </w:r>
      <w:r w:rsidRPr="00A37885">
        <w:rPr>
          <w:iCs/>
        </w:rPr>
        <w:t xml:space="preserve"> it found that “the absence of any examples tending to suggest that a person serving a whole life sentence would be able to obtain an adjustment of that sentence and under what circumstances” was in no sense sufficient to demonstrate that the life sentence was </w:t>
      </w:r>
      <w:r w:rsidRPr="00A37885">
        <w:rPr>
          <w:i/>
        </w:rPr>
        <w:t>de facto</w:t>
      </w:r>
      <w:r w:rsidRPr="00A37885">
        <w:rPr>
          <w:iCs/>
        </w:rPr>
        <w:t xml:space="preserve"> irreducible.</w:t>
      </w:r>
    </w:p>
    <w:p w:rsidRPr="00A37885" w:rsidR="00BE2C51" w:rsidP="00A37885" w14:paraId="00C08C51" w14:textId="77777777">
      <w:pPr>
        <w:pStyle w:val="JuPara"/>
      </w:pPr>
      <w:r w:rsidRPr="00A37885">
        <w:t>I observe that the majority declined to follow this methodology in the present case. The argument that the Government “have not provided any examples of convicted offenders sentenced to this type of life imprisonment who have obtained a reduction of their sentence by means of presidential clemency” (see paragraph 135 of the judgment) cannot be decisive. It is possible that no prisoner sentenced to life imprisonment has yet satisfied the criteria regarding rehabilitation such as to justify presidential clemency.</w:t>
      </w:r>
    </w:p>
    <w:p w:rsidRPr="00A37885" w:rsidR="00BE2C51" w:rsidP="00A37885" w14:paraId="75D39E38" w14:textId="0982DA0D">
      <w:pPr>
        <w:pStyle w:val="JuPara"/>
      </w:pPr>
      <w:r>
        <w:fldChar w:fldCharType="begin"/>
      </w:r>
      <w:r>
        <w:instrText xml:space="preserve"> SEQ level0 \*arabic \* MERGEFORMAT </w:instrText>
      </w:r>
      <w:r>
        <w:fldChar w:fldCharType="separate"/>
      </w:r>
      <w:r w:rsidRPr="00A37885" w:rsidR="00A37885">
        <w:rPr>
          <w:noProof/>
        </w:rPr>
        <w:t>11</w:t>
      </w:r>
      <w:r w:rsidRPr="00A37885" w:rsidR="00A37885">
        <w:rPr>
          <w:noProof/>
        </w:rPr>
        <w:fldChar w:fldCharType="end"/>
      </w:r>
      <w:r w:rsidRPr="00A37885">
        <w:t xml:space="preserve">.  As stated above, the present judgment tacitly overturns certain principles set out in </w:t>
      </w:r>
      <w:r w:rsidRPr="00A37885">
        <w:rPr>
          <w:i/>
          <w:iCs/>
        </w:rPr>
        <w:t>Hutchinson</w:t>
      </w:r>
      <w:r w:rsidRPr="00A37885">
        <w:t xml:space="preserve">. Moreover, it is difficult to reconcile those </w:t>
      </w:r>
      <w:r w:rsidRPr="00A37885">
        <w:t>judgments of the Court that place the emphasis on the deterrent effect of sentences with those concerning presidential clemency. The result is a situation in which the Court</w:t>
      </w:r>
      <w:r w:rsidRPr="00A37885" w:rsidR="00A37885">
        <w:t>’</w:t>
      </w:r>
      <w:r w:rsidRPr="00A37885">
        <w:t>s case-law concerning life imprisonment is becoming less and less readable and more and more unforeseeable.</w:t>
      </w:r>
    </w:p>
    <w:sectPr w:rsidSect="006536F3">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RPr="00150BFA" w:rsidP="006E6CC3" w14:paraId="16750CD1" w14:textId="695AE5A3">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A7D90" w:rsidRPr="00E67565" w:rsidP="006E6CC3" w14:paraId="7EE5AE93" w14:textId="72FCDA9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RPr="00150BFA" w:rsidP="006E6CC3" w14:paraId="176FA813" w14:textId="6A5B7DE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A7D90" w:rsidRPr="00E67565" w:rsidP="009E7A6F" w14:paraId="37B98E7B" w14:textId="2CC706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P="009A115C" w14:paraId="28D8BB4A" w14:textId="5D01258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RPr="000B7195" w:rsidP="007D3701" w14:paraId="1699C1A4" w14:textId="13EB9E9F">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RPr="00A45145" w:rsidP="006E6CC3" w14:paraId="3C8FD9D0" w14:textId="1D24D4F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A7D90" w:rsidRPr="00E67565" w:rsidP="006E6CC3" w14:paraId="6A0E6629" w14:textId="2A125A7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RPr="00A45145" w:rsidP="006E6CC3" w14:paraId="460F6AE9" w14:textId="759989D3">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A7D90" w:rsidRPr="00E67565" w14:paraId="12ABABBE" w14:textId="76E6215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RPr="004D0EC7" w:rsidP="004D0EC7" w14:paraId="7519EC16" w14:textId="56A5E5B4">
    <w:pPr>
      <w:pStyle w:val="JuHeader"/>
    </w:pPr>
    <w:r>
      <w:t>MARCELLO VIOLA v. ITALY (NO. 2)</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RPr="00882CD5" w:rsidP="007D3701" w14:paraId="0196B218" w14:textId="00FC5D1D">
    <w:pPr>
      <w:pStyle w:val="JuHeader"/>
    </w:pPr>
    <w:r>
      <w:t>MARCELLO VIOLA v. ITALY (N</w:t>
    </w:r>
    <w:r w:rsidR="00312965">
      <w:t>o</w:t>
    </w:r>
    <w:r>
      <w:t>. 2)</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D90" w:rsidRPr="00882CD5" w:rsidP="006536F3" w14:paraId="2829B7B7" w14:textId="5BC42B20">
    <w:pPr>
      <w:pStyle w:val="JuHeader"/>
      <w:tabs>
        <w:tab w:val="center" w:pos="3685"/>
        <w:tab w:val="right" w:pos="7370"/>
      </w:tabs>
    </w:pPr>
    <w:r>
      <w:t>MARCELLO VIOLA v. ITALY (N</w:t>
    </w:r>
    <w:r w:rsidR="00312965">
      <w:t>o</w:t>
    </w:r>
    <w:r>
      <w:t>. 2)</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68980CB2"/>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624" w:hanging="340"/>
      </w:pPr>
      <w:rPr>
        <w:rFonts w:hint="default"/>
        <w:i w:val="0"/>
        <w:iCs/>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9"/>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055E7A"/>
    <w:rsid w:val="000041F8"/>
    <w:rsid w:val="000042A8"/>
    <w:rsid w:val="00004308"/>
    <w:rsid w:val="00005BF0"/>
    <w:rsid w:val="0000617D"/>
    <w:rsid w:val="00007154"/>
    <w:rsid w:val="000103AE"/>
    <w:rsid w:val="00011D69"/>
    <w:rsid w:val="00012AD3"/>
    <w:rsid w:val="000145F8"/>
    <w:rsid w:val="00015030"/>
    <w:rsid w:val="00015C2D"/>
    <w:rsid w:val="00015F00"/>
    <w:rsid w:val="00022C1D"/>
    <w:rsid w:val="00022F50"/>
    <w:rsid w:val="0002360E"/>
    <w:rsid w:val="00026A16"/>
    <w:rsid w:val="00027AE9"/>
    <w:rsid w:val="00030471"/>
    <w:rsid w:val="00031428"/>
    <w:rsid w:val="00034987"/>
    <w:rsid w:val="00034A5F"/>
    <w:rsid w:val="00041560"/>
    <w:rsid w:val="00055E7A"/>
    <w:rsid w:val="000602DF"/>
    <w:rsid w:val="00061B05"/>
    <w:rsid w:val="0006299C"/>
    <w:rsid w:val="000632D5"/>
    <w:rsid w:val="000644EE"/>
    <w:rsid w:val="00064C62"/>
    <w:rsid w:val="0007780A"/>
    <w:rsid w:val="00081371"/>
    <w:rsid w:val="00085457"/>
    <w:rsid w:val="000925AD"/>
    <w:rsid w:val="00095344"/>
    <w:rsid w:val="00096FE1"/>
    <w:rsid w:val="00097A62"/>
    <w:rsid w:val="000A24EB"/>
    <w:rsid w:val="000A53D3"/>
    <w:rsid w:val="000A6CDD"/>
    <w:rsid w:val="000A7333"/>
    <w:rsid w:val="000B686A"/>
    <w:rsid w:val="000B6923"/>
    <w:rsid w:val="000B7195"/>
    <w:rsid w:val="000C17DD"/>
    <w:rsid w:val="000C52E3"/>
    <w:rsid w:val="000C5F3C"/>
    <w:rsid w:val="000C6DCC"/>
    <w:rsid w:val="000D47AA"/>
    <w:rsid w:val="000D721F"/>
    <w:rsid w:val="000D7E9B"/>
    <w:rsid w:val="000E069B"/>
    <w:rsid w:val="000E0701"/>
    <w:rsid w:val="000E0E82"/>
    <w:rsid w:val="000E1DC5"/>
    <w:rsid w:val="000E223F"/>
    <w:rsid w:val="000E341C"/>
    <w:rsid w:val="000E425E"/>
    <w:rsid w:val="000E46B8"/>
    <w:rsid w:val="000E6C7C"/>
    <w:rsid w:val="000E7D45"/>
    <w:rsid w:val="000F5B70"/>
    <w:rsid w:val="000F7851"/>
    <w:rsid w:val="00101505"/>
    <w:rsid w:val="00102A49"/>
    <w:rsid w:val="00104E23"/>
    <w:rsid w:val="0010533C"/>
    <w:rsid w:val="0010761D"/>
    <w:rsid w:val="00110DA8"/>
    <w:rsid w:val="00111B0C"/>
    <w:rsid w:val="001121F8"/>
    <w:rsid w:val="00115ECA"/>
    <w:rsid w:val="00120D6C"/>
    <w:rsid w:val="001211FD"/>
    <w:rsid w:val="001257EC"/>
    <w:rsid w:val="00126A3D"/>
    <w:rsid w:val="00133D33"/>
    <w:rsid w:val="00134B6A"/>
    <w:rsid w:val="00134D64"/>
    <w:rsid w:val="00135A30"/>
    <w:rsid w:val="0013612C"/>
    <w:rsid w:val="00137FF6"/>
    <w:rsid w:val="00141650"/>
    <w:rsid w:val="00141C2E"/>
    <w:rsid w:val="001509B8"/>
    <w:rsid w:val="00150BFA"/>
    <w:rsid w:val="0015192E"/>
    <w:rsid w:val="00152E81"/>
    <w:rsid w:val="001561B6"/>
    <w:rsid w:val="001600B8"/>
    <w:rsid w:val="00162A12"/>
    <w:rsid w:val="00166530"/>
    <w:rsid w:val="00166CEB"/>
    <w:rsid w:val="00170027"/>
    <w:rsid w:val="00182EBA"/>
    <w:rsid w:val="001832BD"/>
    <w:rsid w:val="001943B5"/>
    <w:rsid w:val="00195134"/>
    <w:rsid w:val="00195D8C"/>
    <w:rsid w:val="001A020C"/>
    <w:rsid w:val="001A0E05"/>
    <w:rsid w:val="001A145B"/>
    <w:rsid w:val="001A3E09"/>
    <w:rsid w:val="001A674C"/>
    <w:rsid w:val="001A6A87"/>
    <w:rsid w:val="001B0EFA"/>
    <w:rsid w:val="001B3B24"/>
    <w:rsid w:val="001B7143"/>
    <w:rsid w:val="001C055B"/>
    <w:rsid w:val="001C0F98"/>
    <w:rsid w:val="001C2A42"/>
    <w:rsid w:val="001D23A1"/>
    <w:rsid w:val="001D63ED"/>
    <w:rsid w:val="001D70D2"/>
    <w:rsid w:val="001D7348"/>
    <w:rsid w:val="001E035B"/>
    <w:rsid w:val="001E0961"/>
    <w:rsid w:val="001E1ADC"/>
    <w:rsid w:val="001E3EAE"/>
    <w:rsid w:val="001E6378"/>
    <w:rsid w:val="001E6857"/>
    <w:rsid w:val="001E6F32"/>
    <w:rsid w:val="001E7843"/>
    <w:rsid w:val="001F17E7"/>
    <w:rsid w:val="001F2145"/>
    <w:rsid w:val="001F61AF"/>
    <w:rsid w:val="001F6262"/>
    <w:rsid w:val="001F67B0"/>
    <w:rsid w:val="001F6FAD"/>
    <w:rsid w:val="001F7B3D"/>
    <w:rsid w:val="00200E44"/>
    <w:rsid w:val="00202752"/>
    <w:rsid w:val="0020335A"/>
    <w:rsid w:val="00204206"/>
    <w:rsid w:val="002052BC"/>
    <w:rsid w:val="00205F9F"/>
    <w:rsid w:val="00207B46"/>
    <w:rsid w:val="00210338"/>
    <w:rsid w:val="002115FC"/>
    <w:rsid w:val="00212F32"/>
    <w:rsid w:val="0021423C"/>
    <w:rsid w:val="00216EB5"/>
    <w:rsid w:val="002244CA"/>
    <w:rsid w:val="00225197"/>
    <w:rsid w:val="00226D3E"/>
    <w:rsid w:val="00230D00"/>
    <w:rsid w:val="00231DF7"/>
    <w:rsid w:val="00231FD1"/>
    <w:rsid w:val="002339E0"/>
    <w:rsid w:val="00233CF8"/>
    <w:rsid w:val="0023575D"/>
    <w:rsid w:val="00237148"/>
    <w:rsid w:val="00237324"/>
    <w:rsid w:val="00242003"/>
    <w:rsid w:val="0024222D"/>
    <w:rsid w:val="002422B6"/>
    <w:rsid w:val="00244B0E"/>
    <w:rsid w:val="00244F6C"/>
    <w:rsid w:val="00246B89"/>
    <w:rsid w:val="00252C4E"/>
    <w:rsid w:val="002532C5"/>
    <w:rsid w:val="00253349"/>
    <w:rsid w:val="002545B9"/>
    <w:rsid w:val="00254DF2"/>
    <w:rsid w:val="0025651C"/>
    <w:rsid w:val="00256BFE"/>
    <w:rsid w:val="00260C03"/>
    <w:rsid w:val="00264E58"/>
    <w:rsid w:val="0026540E"/>
    <w:rsid w:val="00265C0F"/>
    <w:rsid w:val="00270C47"/>
    <w:rsid w:val="00275123"/>
    <w:rsid w:val="00282240"/>
    <w:rsid w:val="00282BD8"/>
    <w:rsid w:val="00283ACA"/>
    <w:rsid w:val="00284DE9"/>
    <w:rsid w:val="002859A1"/>
    <w:rsid w:val="00287AD5"/>
    <w:rsid w:val="002934D0"/>
    <w:rsid w:val="00293676"/>
    <w:rsid w:val="00293BD9"/>
    <w:rsid w:val="00293D53"/>
    <w:rsid w:val="002948AD"/>
    <w:rsid w:val="002953D4"/>
    <w:rsid w:val="002955A2"/>
    <w:rsid w:val="002977F4"/>
    <w:rsid w:val="002A01CC"/>
    <w:rsid w:val="002A020D"/>
    <w:rsid w:val="002A0707"/>
    <w:rsid w:val="002A613A"/>
    <w:rsid w:val="002A61B1"/>
    <w:rsid w:val="002A663C"/>
    <w:rsid w:val="002A671A"/>
    <w:rsid w:val="002B06C4"/>
    <w:rsid w:val="002B444B"/>
    <w:rsid w:val="002B5887"/>
    <w:rsid w:val="002B64DF"/>
    <w:rsid w:val="002C0E27"/>
    <w:rsid w:val="002C3040"/>
    <w:rsid w:val="002C4433"/>
    <w:rsid w:val="002C4EE2"/>
    <w:rsid w:val="002C7826"/>
    <w:rsid w:val="002D022D"/>
    <w:rsid w:val="002D0822"/>
    <w:rsid w:val="002D24BB"/>
    <w:rsid w:val="002D2FA7"/>
    <w:rsid w:val="002D47BA"/>
    <w:rsid w:val="002D4B59"/>
    <w:rsid w:val="002D77B9"/>
    <w:rsid w:val="002E1414"/>
    <w:rsid w:val="002E46DA"/>
    <w:rsid w:val="002E677D"/>
    <w:rsid w:val="002F2AF7"/>
    <w:rsid w:val="002F69C4"/>
    <w:rsid w:val="002F7756"/>
    <w:rsid w:val="002F7D9E"/>
    <w:rsid w:val="002F7E1C"/>
    <w:rsid w:val="00301A75"/>
    <w:rsid w:val="00302F70"/>
    <w:rsid w:val="0030336F"/>
    <w:rsid w:val="0030375E"/>
    <w:rsid w:val="00310780"/>
    <w:rsid w:val="00312965"/>
    <w:rsid w:val="00312A30"/>
    <w:rsid w:val="00315481"/>
    <w:rsid w:val="003159CD"/>
    <w:rsid w:val="003163C8"/>
    <w:rsid w:val="003201D8"/>
    <w:rsid w:val="0032096C"/>
    <w:rsid w:val="00320F72"/>
    <w:rsid w:val="00321991"/>
    <w:rsid w:val="00322EE8"/>
    <w:rsid w:val="00322F64"/>
    <w:rsid w:val="003239F4"/>
    <w:rsid w:val="0032463E"/>
    <w:rsid w:val="00326224"/>
    <w:rsid w:val="003310C0"/>
    <w:rsid w:val="0033774A"/>
    <w:rsid w:val="00337EE4"/>
    <w:rsid w:val="003402ED"/>
    <w:rsid w:val="00340617"/>
    <w:rsid w:val="00340FFD"/>
    <w:rsid w:val="00342050"/>
    <w:rsid w:val="00344B05"/>
    <w:rsid w:val="00345C41"/>
    <w:rsid w:val="003506B1"/>
    <w:rsid w:val="00355877"/>
    <w:rsid w:val="00356AC7"/>
    <w:rsid w:val="0036008A"/>
    <w:rsid w:val="003609FA"/>
    <w:rsid w:val="00365EFC"/>
    <w:rsid w:val="00367A17"/>
    <w:rsid w:val="003710C8"/>
    <w:rsid w:val="003750BE"/>
    <w:rsid w:val="00381C91"/>
    <w:rsid w:val="00382B35"/>
    <w:rsid w:val="00385A36"/>
    <w:rsid w:val="00385F3D"/>
    <w:rsid w:val="00387B9D"/>
    <w:rsid w:val="00387C70"/>
    <w:rsid w:val="00390290"/>
    <w:rsid w:val="00390294"/>
    <w:rsid w:val="003906A3"/>
    <w:rsid w:val="0039364F"/>
    <w:rsid w:val="00394364"/>
    <w:rsid w:val="003945C6"/>
    <w:rsid w:val="00396686"/>
    <w:rsid w:val="0039778E"/>
    <w:rsid w:val="003A7AF3"/>
    <w:rsid w:val="003B2462"/>
    <w:rsid w:val="003B369D"/>
    <w:rsid w:val="003B4941"/>
    <w:rsid w:val="003C0F29"/>
    <w:rsid w:val="003C5714"/>
    <w:rsid w:val="003C66CF"/>
    <w:rsid w:val="003C6B9F"/>
    <w:rsid w:val="003C6E2A"/>
    <w:rsid w:val="003C77F4"/>
    <w:rsid w:val="003D023B"/>
    <w:rsid w:val="003D0299"/>
    <w:rsid w:val="003E1886"/>
    <w:rsid w:val="003E6D80"/>
    <w:rsid w:val="003F05FA"/>
    <w:rsid w:val="003F244A"/>
    <w:rsid w:val="003F2517"/>
    <w:rsid w:val="003F293A"/>
    <w:rsid w:val="003F30B8"/>
    <w:rsid w:val="003F4C45"/>
    <w:rsid w:val="003F4FB5"/>
    <w:rsid w:val="003F53CE"/>
    <w:rsid w:val="003F5F7B"/>
    <w:rsid w:val="003F78EE"/>
    <w:rsid w:val="003F7D64"/>
    <w:rsid w:val="004003B0"/>
    <w:rsid w:val="0040086D"/>
    <w:rsid w:val="0040433A"/>
    <w:rsid w:val="00414300"/>
    <w:rsid w:val="004145DD"/>
    <w:rsid w:val="00414F27"/>
    <w:rsid w:val="00420703"/>
    <w:rsid w:val="004238EC"/>
    <w:rsid w:val="00425C67"/>
    <w:rsid w:val="00426ADC"/>
    <w:rsid w:val="00427E7A"/>
    <w:rsid w:val="00430DDA"/>
    <w:rsid w:val="004355AC"/>
    <w:rsid w:val="00436C05"/>
    <w:rsid w:val="00436C49"/>
    <w:rsid w:val="004439CD"/>
    <w:rsid w:val="00443C72"/>
    <w:rsid w:val="00443D98"/>
    <w:rsid w:val="00444EA4"/>
    <w:rsid w:val="00445366"/>
    <w:rsid w:val="00447F5B"/>
    <w:rsid w:val="00454372"/>
    <w:rsid w:val="00461DB0"/>
    <w:rsid w:val="00463926"/>
    <w:rsid w:val="00464AB7"/>
    <w:rsid w:val="00464C9A"/>
    <w:rsid w:val="0046683F"/>
    <w:rsid w:val="00471DF1"/>
    <w:rsid w:val="00474F3D"/>
    <w:rsid w:val="00477E3A"/>
    <w:rsid w:val="00480152"/>
    <w:rsid w:val="00483013"/>
    <w:rsid w:val="004838DD"/>
    <w:rsid w:val="00483E5F"/>
    <w:rsid w:val="00485FF9"/>
    <w:rsid w:val="0049049B"/>
    <w:rsid w:val="004907F0"/>
    <w:rsid w:val="0049140B"/>
    <w:rsid w:val="004923A5"/>
    <w:rsid w:val="0049310E"/>
    <w:rsid w:val="004950E2"/>
    <w:rsid w:val="004965A9"/>
    <w:rsid w:val="00496BFB"/>
    <w:rsid w:val="004A15C7"/>
    <w:rsid w:val="004A2BB7"/>
    <w:rsid w:val="004A3201"/>
    <w:rsid w:val="004A7044"/>
    <w:rsid w:val="004B013B"/>
    <w:rsid w:val="004B06DC"/>
    <w:rsid w:val="004B10BF"/>
    <w:rsid w:val="004B112B"/>
    <w:rsid w:val="004B3BBE"/>
    <w:rsid w:val="004B444E"/>
    <w:rsid w:val="004B4ECC"/>
    <w:rsid w:val="004C01E4"/>
    <w:rsid w:val="004C086C"/>
    <w:rsid w:val="004C11C9"/>
    <w:rsid w:val="004C1408"/>
    <w:rsid w:val="004C1F56"/>
    <w:rsid w:val="004C27BC"/>
    <w:rsid w:val="004C6621"/>
    <w:rsid w:val="004C7548"/>
    <w:rsid w:val="004D01F2"/>
    <w:rsid w:val="004D0EC7"/>
    <w:rsid w:val="004D15F3"/>
    <w:rsid w:val="004D3B3D"/>
    <w:rsid w:val="004D4EF1"/>
    <w:rsid w:val="004D5311"/>
    <w:rsid w:val="004D5DCC"/>
    <w:rsid w:val="004D7E45"/>
    <w:rsid w:val="004E6DD4"/>
    <w:rsid w:val="004F10AF"/>
    <w:rsid w:val="004F11A4"/>
    <w:rsid w:val="004F2389"/>
    <w:rsid w:val="004F2C0F"/>
    <w:rsid w:val="004F304D"/>
    <w:rsid w:val="004F4290"/>
    <w:rsid w:val="004F563A"/>
    <w:rsid w:val="004F61BE"/>
    <w:rsid w:val="004F66B1"/>
    <w:rsid w:val="004F6B36"/>
    <w:rsid w:val="00502934"/>
    <w:rsid w:val="0050397E"/>
    <w:rsid w:val="00511C07"/>
    <w:rsid w:val="005125CB"/>
    <w:rsid w:val="00512EC4"/>
    <w:rsid w:val="005133A0"/>
    <w:rsid w:val="0051725A"/>
    <w:rsid w:val="005173A6"/>
    <w:rsid w:val="00520354"/>
    <w:rsid w:val="00520905"/>
    <w:rsid w:val="00520BAA"/>
    <w:rsid w:val="005217D8"/>
    <w:rsid w:val="005242F3"/>
    <w:rsid w:val="00525208"/>
    <w:rsid w:val="005257A5"/>
    <w:rsid w:val="005264C0"/>
    <w:rsid w:val="005265DD"/>
    <w:rsid w:val="00526A8A"/>
    <w:rsid w:val="00527FB1"/>
    <w:rsid w:val="00530FE6"/>
    <w:rsid w:val="00531DF2"/>
    <w:rsid w:val="0053315C"/>
    <w:rsid w:val="00536A3B"/>
    <w:rsid w:val="00537476"/>
    <w:rsid w:val="00543973"/>
    <w:rsid w:val="005442EE"/>
    <w:rsid w:val="00545DA6"/>
    <w:rsid w:val="00547353"/>
    <w:rsid w:val="005474E7"/>
    <w:rsid w:val="005512A3"/>
    <w:rsid w:val="00554FB6"/>
    <w:rsid w:val="005578CE"/>
    <w:rsid w:val="00562781"/>
    <w:rsid w:val="00562B6C"/>
    <w:rsid w:val="0057271C"/>
    <w:rsid w:val="00572845"/>
    <w:rsid w:val="00574582"/>
    <w:rsid w:val="005879A2"/>
    <w:rsid w:val="00592772"/>
    <w:rsid w:val="00595000"/>
    <w:rsid w:val="0059574A"/>
    <w:rsid w:val="005A1B9B"/>
    <w:rsid w:val="005A2E79"/>
    <w:rsid w:val="005A64FE"/>
    <w:rsid w:val="005A6751"/>
    <w:rsid w:val="005B092E"/>
    <w:rsid w:val="005B152C"/>
    <w:rsid w:val="005B1EE0"/>
    <w:rsid w:val="005B2208"/>
    <w:rsid w:val="005B2B24"/>
    <w:rsid w:val="005B4425"/>
    <w:rsid w:val="005B4752"/>
    <w:rsid w:val="005B4B94"/>
    <w:rsid w:val="005B7C16"/>
    <w:rsid w:val="005C1BF1"/>
    <w:rsid w:val="005C3EE8"/>
    <w:rsid w:val="005C5ED5"/>
    <w:rsid w:val="005D1B2A"/>
    <w:rsid w:val="005D2F2A"/>
    <w:rsid w:val="005D34F9"/>
    <w:rsid w:val="005D35BB"/>
    <w:rsid w:val="005D4190"/>
    <w:rsid w:val="005D67A3"/>
    <w:rsid w:val="005E2955"/>
    <w:rsid w:val="005E2988"/>
    <w:rsid w:val="005E3085"/>
    <w:rsid w:val="005E7851"/>
    <w:rsid w:val="005F0EB3"/>
    <w:rsid w:val="005F4D5E"/>
    <w:rsid w:val="005F51E1"/>
    <w:rsid w:val="00611C80"/>
    <w:rsid w:val="00620692"/>
    <w:rsid w:val="006242CA"/>
    <w:rsid w:val="00625B8C"/>
    <w:rsid w:val="00627507"/>
    <w:rsid w:val="00633717"/>
    <w:rsid w:val="006344E1"/>
    <w:rsid w:val="00641531"/>
    <w:rsid w:val="00641D78"/>
    <w:rsid w:val="00642E73"/>
    <w:rsid w:val="00643524"/>
    <w:rsid w:val="0064393B"/>
    <w:rsid w:val="00645CF2"/>
    <w:rsid w:val="006464A7"/>
    <w:rsid w:val="006465F2"/>
    <w:rsid w:val="00647022"/>
    <w:rsid w:val="006536F3"/>
    <w:rsid w:val="00653E86"/>
    <w:rsid w:val="006545C4"/>
    <w:rsid w:val="00657AD4"/>
    <w:rsid w:val="00661971"/>
    <w:rsid w:val="00661CE8"/>
    <w:rsid w:val="006623D9"/>
    <w:rsid w:val="006642A5"/>
    <w:rsid w:val="0066437A"/>
    <w:rsid w:val="0066550C"/>
    <w:rsid w:val="00665BD2"/>
    <w:rsid w:val="006716F2"/>
    <w:rsid w:val="006724FE"/>
    <w:rsid w:val="00675AF2"/>
    <w:rsid w:val="00676850"/>
    <w:rsid w:val="00682BF2"/>
    <w:rsid w:val="0068573E"/>
    <w:rsid w:val="006859CE"/>
    <w:rsid w:val="00691270"/>
    <w:rsid w:val="0069232E"/>
    <w:rsid w:val="00694BA8"/>
    <w:rsid w:val="00696CC6"/>
    <w:rsid w:val="006A037C"/>
    <w:rsid w:val="006A36F4"/>
    <w:rsid w:val="006A406F"/>
    <w:rsid w:val="006A40AD"/>
    <w:rsid w:val="006A5B71"/>
    <w:rsid w:val="006A5D3A"/>
    <w:rsid w:val="006B1942"/>
    <w:rsid w:val="006B3EBD"/>
    <w:rsid w:val="006C1133"/>
    <w:rsid w:val="006C23D4"/>
    <w:rsid w:val="006C7395"/>
    <w:rsid w:val="006C7BB0"/>
    <w:rsid w:val="006D3237"/>
    <w:rsid w:val="006D5D05"/>
    <w:rsid w:val="006E0C3F"/>
    <w:rsid w:val="006E2E37"/>
    <w:rsid w:val="006E3CF1"/>
    <w:rsid w:val="006E68A3"/>
    <w:rsid w:val="006E6CC3"/>
    <w:rsid w:val="006E7E80"/>
    <w:rsid w:val="006F1C2D"/>
    <w:rsid w:val="006F48CA"/>
    <w:rsid w:val="006F5B91"/>
    <w:rsid w:val="006F64DD"/>
    <w:rsid w:val="006F712D"/>
    <w:rsid w:val="0070026C"/>
    <w:rsid w:val="00702455"/>
    <w:rsid w:val="00704F7A"/>
    <w:rsid w:val="007131C1"/>
    <w:rsid w:val="00715127"/>
    <w:rsid w:val="00715E8E"/>
    <w:rsid w:val="00717F7F"/>
    <w:rsid w:val="00723580"/>
    <w:rsid w:val="00723755"/>
    <w:rsid w:val="0073136C"/>
    <w:rsid w:val="00731F0F"/>
    <w:rsid w:val="00733250"/>
    <w:rsid w:val="0073360A"/>
    <w:rsid w:val="00741404"/>
    <w:rsid w:val="007449E5"/>
    <w:rsid w:val="00745DC9"/>
    <w:rsid w:val="0074750E"/>
    <w:rsid w:val="00747C96"/>
    <w:rsid w:val="00747FF0"/>
    <w:rsid w:val="00752439"/>
    <w:rsid w:val="0075566E"/>
    <w:rsid w:val="00761DF0"/>
    <w:rsid w:val="00763602"/>
    <w:rsid w:val="00764D4E"/>
    <w:rsid w:val="00765A1F"/>
    <w:rsid w:val="00770E36"/>
    <w:rsid w:val="0077459B"/>
    <w:rsid w:val="00774EAA"/>
    <w:rsid w:val="00775318"/>
    <w:rsid w:val="00775B6D"/>
    <w:rsid w:val="00775D23"/>
    <w:rsid w:val="00776D68"/>
    <w:rsid w:val="00777B59"/>
    <w:rsid w:val="00782344"/>
    <w:rsid w:val="0078323E"/>
    <w:rsid w:val="0078395F"/>
    <w:rsid w:val="00783CA0"/>
    <w:rsid w:val="007850EE"/>
    <w:rsid w:val="00785B95"/>
    <w:rsid w:val="00790E96"/>
    <w:rsid w:val="007926FD"/>
    <w:rsid w:val="00793366"/>
    <w:rsid w:val="007960FB"/>
    <w:rsid w:val="0079666C"/>
    <w:rsid w:val="007A4C32"/>
    <w:rsid w:val="007A56FF"/>
    <w:rsid w:val="007A716F"/>
    <w:rsid w:val="007A7EDC"/>
    <w:rsid w:val="007B10A7"/>
    <w:rsid w:val="007B1A93"/>
    <w:rsid w:val="007B270A"/>
    <w:rsid w:val="007B4182"/>
    <w:rsid w:val="007B5472"/>
    <w:rsid w:val="007C0695"/>
    <w:rsid w:val="007C419A"/>
    <w:rsid w:val="007C4CC8"/>
    <w:rsid w:val="007C5426"/>
    <w:rsid w:val="007C5798"/>
    <w:rsid w:val="007D098C"/>
    <w:rsid w:val="007D1ECD"/>
    <w:rsid w:val="007D2266"/>
    <w:rsid w:val="007D3701"/>
    <w:rsid w:val="007D4832"/>
    <w:rsid w:val="007E0345"/>
    <w:rsid w:val="007E21B2"/>
    <w:rsid w:val="007E2C4E"/>
    <w:rsid w:val="007E2C8C"/>
    <w:rsid w:val="007E51BA"/>
    <w:rsid w:val="007E6C81"/>
    <w:rsid w:val="007E6D55"/>
    <w:rsid w:val="007E73D7"/>
    <w:rsid w:val="007F1905"/>
    <w:rsid w:val="007F27E4"/>
    <w:rsid w:val="007F3437"/>
    <w:rsid w:val="007F3863"/>
    <w:rsid w:val="007F49E8"/>
    <w:rsid w:val="00800D5A"/>
    <w:rsid w:val="00802C64"/>
    <w:rsid w:val="00802E03"/>
    <w:rsid w:val="0080573F"/>
    <w:rsid w:val="00805E52"/>
    <w:rsid w:val="008061D0"/>
    <w:rsid w:val="00810B38"/>
    <w:rsid w:val="008204C7"/>
    <w:rsid w:val="00820992"/>
    <w:rsid w:val="00823602"/>
    <w:rsid w:val="008255F5"/>
    <w:rsid w:val="008263AC"/>
    <w:rsid w:val="0083014E"/>
    <w:rsid w:val="0083214A"/>
    <w:rsid w:val="00834220"/>
    <w:rsid w:val="0083553A"/>
    <w:rsid w:val="00841F37"/>
    <w:rsid w:val="00845723"/>
    <w:rsid w:val="00846899"/>
    <w:rsid w:val="008519E7"/>
    <w:rsid w:val="00851EF9"/>
    <w:rsid w:val="0085512C"/>
    <w:rsid w:val="00855559"/>
    <w:rsid w:val="008557CC"/>
    <w:rsid w:val="008577FD"/>
    <w:rsid w:val="00860B03"/>
    <w:rsid w:val="0086497A"/>
    <w:rsid w:val="00867066"/>
    <w:rsid w:val="008713A1"/>
    <w:rsid w:val="00872584"/>
    <w:rsid w:val="008754AB"/>
    <w:rsid w:val="0088060C"/>
    <w:rsid w:val="00882CD5"/>
    <w:rsid w:val="00883151"/>
    <w:rsid w:val="00893576"/>
    <w:rsid w:val="00893E73"/>
    <w:rsid w:val="008A0A81"/>
    <w:rsid w:val="008A68ED"/>
    <w:rsid w:val="008B02DC"/>
    <w:rsid w:val="008B092C"/>
    <w:rsid w:val="008B1558"/>
    <w:rsid w:val="008B2151"/>
    <w:rsid w:val="008B57CE"/>
    <w:rsid w:val="008B69CD"/>
    <w:rsid w:val="008C26DE"/>
    <w:rsid w:val="008C7528"/>
    <w:rsid w:val="008D2225"/>
    <w:rsid w:val="008D4752"/>
    <w:rsid w:val="008D5A13"/>
    <w:rsid w:val="008E217C"/>
    <w:rsid w:val="008E271C"/>
    <w:rsid w:val="008E3A08"/>
    <w:rsid w:val="008E418E"/>
    <w:rsid w:val="008E5BC6"/>
    <w:rsid w:val="008E6217"/>
    <w:rsid w:val="008E6A25"/>
    <w:rsid w:val="008F0106"/>
    <w:rsid w:val="008F2554"/>
    <w:rsid w:val="008F3AEC"/>
    <w:rsid w:val="008F3AF5"/>
    <w:rsid w:val="008F4D80"/>
    <w:rsid w:val="008F5042"/>
    <w:rsid w:val="008F5193"/>
    <w:rsid w:val="008F670E"/>
    <w:rsid w:val="008F6B36"/>
    <w:rsid w:val="009013A7"/>
    <w:rsid w:val="009017FB"/>
    <w:rsid w:val="009017FC"/>
    <w:rsid w:val="00904A28"/>
    <w:rsid w:val="0090506B"/>
    <w:rsid w:val="009050C9"/>
    <w:rsid w:val="00905A81"/>
    <w:rsid w:val="009066FC"/>
    <w:rsid w:val="00907C7C"/>
    <w:rsid w:val="00910F75"/>
    <w:rsid w:val="009140A3"/>
    <w:rsid w:val="009144A2"/>
    <w:rsid w:val="0091510C"/>
    <w:rsid w:val="00921A8B"/>
    <w:rsid w:val="0092258F"/>
    <w:rsid w:val="00922778"/>
    <w:rsid w:val="009259AC"/>
    <w:rsid w:val="00926F38"/>
    <w:rsid w:val="00927BEB"/>
    <w:rsid w:val="00933265"/>
    <w:rsid w:val="009333DC"/>
    <w:rsid w:val="00934301"/>
    <w:rsid w:val="00936CD1"/>
    <w:rsid w:val="00941747"/>
    <w:rsid w:val="00941EFB"/>
    <w:rsid w:val="00947AFB"/>
    <w:rsid w:val="00950046"/>
    <w:rsid w:val="00951AA3"/>
    <w:rsid w:val="00951D7D"/>
    <w:rsid w:val="00952423"/>
    <w:rsid w:val="00956D0C"/>
    <w:rsid w:val="009630C7"/>
    <w:rsid w:val="00967B4B"/>
    <w:rsid w:val="00972B55"/>
    <w:rsid w:val="009743B7"/>
    <w:rsid w:val="009755FD"/>
    <w:rsid w:val="0098228B"/>
    <w:rsid w:val="009828DA"/>
    <w:rsid w:val="00983499"/>
    <w:rsid w:val="0098410D"/>
    <w:rsid w:val="00984AD0"/>
    <w:rsid w:val="00985BAB"/>
    <w:rsid w:val="00986B3C"/>
    <w:rsid w:val="00986D3C"/>
    <w:rsid w:val="009928A6"/>
    <w:rsid w:val="00996F22"/>
    <w:rsid w:val="009A0BFB"/>
    <w:rsid w:val="009A115C"/>
    <w:rsid w:val="009A1A41"/>
    <w:rsid w:val="009A376D"/>
    <w:rsid w:val="009A7C58"/>
    <w:rsid w:val="009B1606"/>
    <w:rsid w:val="009B1B5F"/>
    <w:rsid w:val="009B21F2"/>
    <w:rsid w:val="009B265D"/>
    <w:rsid w:val="009B283A"/>
    <w:rsid w:val="009B31CA"/>
    <w:rsid w:val="009B6673"/>
    <w:rsid w:val="009B7C42"/>
    <w:rsid w:val="009C191B"/>
    <w:rsid w:val="009C2B1C"/>
    <w:rsid w:val="009C2BD6"/>
    <w:rsid w:val="009C2DA2"/>
    <w:rsid w:val="009C6950"/>
    <w:rsid w:val="009D0E8E"/>
    <w:rsid w:val="009D5E10"/>
    <w:rsid w:val="009E16C7"/>
    <w:rsid w:val="009E1F32"/>
    <w:rsid w:val="009E2CC2"/>
    <w:rsid w:val="009E3BE1"/>
    <w:rsid w:val="009E47A2"/>
    <w:rsid w:val="009E776C"/>
    <w:rsid w:val="009E7A6F"/>
    <w:rsid w:val="009F4C8F"/>
    <w:rsid w:val="00A02972"/>
    <w:rsid w:val="00A05588"/>
    <w:rsid w:val="00A07039"/>
    <w:rsid w:val="00A1054E"/>
    <w:rsid w:val="00A135A5"/>
    <w:rsid w:val="00A15601"/>
    <w:rsid w:val="00A1566E"/>
    <w:rsid w:val="00A1726E"/>
    <w:rsid w:val="00A204CF"/>
    <w:rsid w:val="00A21D2B"/>
    <w:rsid w:val="00A22745"/>
    <w:rsid w:val="00A23D49"/>
    <w:rsid w:val="00A251C0"/>
    <w:rsid w:val="00A27004"/>
    <w:rsid w:val="00A308CE"/>
    <w:rsid w:val="00A30C29"/>
    <w:rsid w:val="00A347DD"/>
    <w:rsid w:val="00A34DD6"/>
    <w:rsid w:val="00A35683"/>
    <w:rsid w:val="00A36819"/>
    <w:rsid w:val="00A36989"/>
    <w:rsid w:val="00A37885"/>
    <w:rsid w:val="00A41D86"/>
    <w:rsid w:val="00A43628"/>
    <w:rsid w:val="00A45145"/>
    <w:rsid w:val="00A51D0F"/>
    <w:rsid w:val="00A5275C"/>
    <w:rsid w:val="00A54192"/>
    <w:rsid w:val="00A57147"/>
    <w:rsid w:val="00A6035E"/>
    <w:rsid w:val="00A608A8"/>
    <w:rsid w:val="00A6144C"/>
    <w:rsid w:val="00A66617"/>
    <w:rsid w:val="00A671F8"/>
    <w:rsid w:val="00A673A4"/>
    <w:rsid w:val="00A6766B"/>
    <w:rsid w:val="00A71AEA"/>
    <w:rsid w:val="00A724AE"/>
    <w:rsid w:val="00A72AE4"/>
    <w:rsid w:val="00A73329"/>
    <w:rsid w:val="00A81156"/>
    <w:rsid w:val="00A82359"/>
    <w:rsid w:val="00A865D2"/>
    <w:rsid w:val="00A90BCD"/>
    <w:rsid w:val="00A926D8"/>
    <w:rsid w:val="00A94C20"/>
    <w:rsid w:val="00A95CC6"/>
    <w:rsid w:val="00A97A46"/>
    <w:rsid w:val="00AA1B09"/>
    <w:rsid w:val="00AA227F"/>
    <w:rsid w:val="00AA3BC7"/>
    <w:rsid w:val="00AA4748"/>
    <w:rsid w:val="00AA4F21"/>
    <w:rsid w:val="00AA60EA"/>
    <w:rsid w:val="00AA63B5"/>
    <w:rsid w:val="00AA754A"/>
    <w:rsid w:val="00AB099E"/>
    <w:rsid w:val="00AB4328"/>
    <w:rsid w:val="00AB680B"/>
    <w:rsid w:val="00AC0776"/>
    <w:rsid w:val="00AC2F35"/>
    <w:rsid w:val="00AC4CD4"/>
    <w:rsid w:val="00AD1521"/>
    <w:rsid w:val="00AD46E1"/>
    <w:rsid w:val="00AD4B9F"/>
    <w:rsid w:val="00AD5386"/>
    <w:rsid w:val="00AE0A2E"/>
    <w:rsid w:val="00AE2115"/>
    <w:rsid w:val="00AE354C"/>
    <w:rsid w:val="00AE681A"/>
    <w:rsid w:val="00AE6E7F"/>
    <w:rsid w:val="00AE7E17"/>
    <w:rsid w:val="00AF4B07"/>
    <w:rsid w:val="00AF54F4"/>
    <w:rsid w:val="00AF6186"/>
    <w:rsid w:val="00AF7A3A"/>
    <w:rsid w:val="00AF7EC2"/>
    <w:rsid w:val="00B00BBB"/>
    <w:rsid w:val="00B02587"/>
    <w:rsid w:val="00B04135"/>
    <w:rsid w:val="00B1143A"/>
    <w:rsid w:val="00B1477A"/>
    <w:rsid w:val="00B160DB"/>
    <w:rsid w:val="00B206EF"/>
    <w:rsid w:val="00B20836"/>
    <w:rsid w:val="00B235BB"/>
    <w:rsid w:val="00B27A44"/>
    <w:rsid w:val="00B30BBF"/>
    <w:rsid w:val="00B33C03"/>
    <w:rsid w:val="00B4421F"/>
    <w:rsid w:val="00B44E56"/>
    <w:rsid w:val="00B45917"/>
    <w:rsid w:val="00B46543"/>
    <w:rsid w:val="00B47D33"/>
    <w:rsid w:val="00B52BE0"/>
    <w:rsid w:val="00B53A47"/>
    <w:rsid w:val="00B54133"/>
    <w:rsid w:val="00B57E21"/>
    <w:rsid w:val="00B64D55"/>
    <w:rsid w:val="00B701ED"/>
    <w:rsid w:val="00B748F7"/>
    <w:rsid w:val="00B8086C"/>
    <w:rsid w:val="00B81C58"/>
    <w:rsid w:val="00B861B4"/>
    <w:rsid w:val="00B86C6E"/>
    <w:rsid w:val="00B86DFE"/>
    <w:rsid w:val="00B90990"/>
    <w:rsid w:val="00B922FF"/>
    <w:rsid w:val="00B9281E"/>
    <w:rsid w:val="00B93925"/>
    <w:rsid w:val="00B94090"/>
    <w:rsid w:val="00B95187"/>
    <w:rsid w:val="00BA2D55"/>
    <w:rsid w:val="00BA71B1"/>
    <w:rsid w:val="00BB0637"/>
    <w:rsid w:val="00BB101B"/>
    <w:rsid w:val="00BB345F"/>
    <w:rsid w:val="00BB6295"/>
    <w:rsid w:val="00BB68EA"/>
    <w:rsid w:val="00BC07E4"/>
    <w:rsid w:val="00BC0B99"/>
    <w:rsid w:val="00BC1C27"/>
    <w:rsid w:val="00BC35BD"/>
    <w:rsid w:val="00BC6909"/>
    <w:rsid w:val="00BC6BBF"/>
    <w:rsid w:val="00BD00B1"/>
    <w:rsid w:val="00BD114B"/>
    <w:rsid w:val="00BD1572"/>
    <w:rsid w:val="00BD59FD"/>
    <w:rsid w:val="00BE0141"/>
    <w:rsid w:val="00BE14E3"/>
    <w:rsid w:val="00BE2C51"/>
    <w:rsid w:val="00BE3774"/>
    <w:rsid w:val="00BE41E5"/>
    <w:rsid w:val="00BE4952"/>
    <w:rsid w:val="00BF0D19"/>
    <w:rsid w:val="00BF118F"/>
    <w:rsid w:val="00BF1855"/>
    <w:rsid w:val="00BF4109"/>
    <w:rsid w:val="00BF4CC3"/>
    <w:rsid w:val="00BF4D6B"/>
    <w:rsid w:val="00C01155"/>
    <w:rsid w:val="00C035CA"/>
    <w:rsid w:val="00C054C7"/>
    <w:rsid w:val="00C057B5"/>
    <w:rsid w:val="00C07D0E"/>
    <w:rsid w:val="00C115C3"/>
    <w:rsid w:val="00C15547"/>
    <w:rsid w:val="00C15A10"/>
    <w:rsid w:val="00C1672D"/>
    <w:rsid w:val="00C20816"/>
    <w:rsid w:val="00C22142"/>
    <w:rsid w:val="00C22687"/>
    <w:rsid w:val="00C24621"/>
    <w:rsid w:val="00C26A92"/>
    <w:rsid w:val="00C26B1C"/>
    <w:rsid w:val="00C32E4D"/>
    <w:rsid w:val="00C333A0"/>
    <w:rsid w:val="00C34151"/>
    <w:rsid w:val="00C36A81"/>
    <w:rsid w:val="00C41974"/>
    <w:rsid w:val="00C44A2C"/>
    <w:rsid w:val="00C44F09"/>
    <w:rsid w:val="00C477F7"/>
    <w:rsid w:val="00C5010D"/>
    <w:rsid w:val="00C509A6"/>
    <w:rsid w:val="00C53F4A"/>
    <w:rsid w:val="00C54125"/>
    <w:rsid w:val="00C544CB"/>
    <w:rsid w:val="00C55B54"/>
    <w:rsid w:val="00C560C0"/>
    <w:rsid w:val="00C57367"/>
    <w:rsid w:val="00C6098E"/>
    <w:rsid w:val="00C6152C"/>
    <w:rsid w:val="00C74810"/>
    <w:rsid w:val="00C7636E"/>
    <w:rsid w:val="00C90D68"/>
    <w:rsid w:val="00C939FE"/>
    <w:rsid w:val="00C94055"/>
    <w:rsid w:val="00C973F7"/>
    <w:rsid w:val="00CA4BDA"/>
    <w:rsid w:val="00CB13E3"/>
    <w:rsid w:val="00CB157A"/>
    <w:rsid w:val="00CB1F66"/>
    <w:rsid w:val="00CB232C"/>
    <w:rsid w:val="00CB2951"/>
    <w:rsid w:val="00CB4277"/>
    <w:rsid w:val="00CC2112"/>
    <w:rsid w:val="00CC3AD6"/>
    <w:rsid w:val="00CC5067"/>
    <w:rsid w:val="00CD11D3"/>
    <w:rsid w:val="00CD282B"/>
    <w:rsid w:val="00CD3B64"/>
    <w:rsid w:val="00CD447B"/>
    <w:rsid w:val="00CD4C35"/>
    <w:rsid w:val="00CD72C7"/>
    <w:rsid w:val="00CD7369"/>
    <w:rsid w:val="00CE0B0E"/>
    <w:rsid w:val="00CE3831"/>
    <w:rsid w:val="00CE4093"/>
    <w:rsid w:val="00CE42C5"/>
    <w:rsid w:val="00CF1600"/>
    <w:rsid w:val="00CF2397"/>
    <w:rsid w:val="00D00ABB"/>
    <w:rsid w:val="00D02EEC"/>
    <w:rsid w:val="00D03551"/>
    <w:rsid w:val="00D037AD"/>
    <w:rsid w:val="00D0417D"/>
    <w:rsid w:val="00D05CFD"/>
    <w:rsid w:val="00D06A63"/>
    <w:rsid w:val="00D06C48"/>
    <w:rsid w:val="00D07E0E"/>
    <w:rsid w:val="00D10CD6"/>
    <w:rsid w:val="00D11478"/>
    <w:rsid w:val="00D15ED0"/>
    <w:rsid w:val="00D164BF"/>
    <w:rsid w:val="00D21B3E"/>
    <w:rsid w:val="00D21FED"/>
    <w:rsid w:val="00D23048"/>
    <w:rsid w:val="00D24251"/>
    <w:rsid w:val="00D2431D"/>
    <w:rsid w:val="00D24889"/>
    <w:rsid w:val="00D25A46"/>
    <w:rsid w:val="00D26E72"/>
    <w:rsid w:val="00D343E2"/>
    <w:rsid w:val="00D361A2"/>
    <w:rsid w:val="00D37272"/>
    <w:rsid w:val="00D44C2E"/>
    <w:rsid w:val="00D45414"/>
    <w:rsid w:val="00D50A0A"/>
    <w:rsid w:val="00D53548"/>
    <w:rsid w:val="00D566BD"/>
    <w:rsid w:val="00D571E4"/>
    <w:rsid w:val="00D57A4D"/>
    <w:rsid w:val="00D60AA7"/>
    <w:rsid w:val="00D6435F"/>
    <w:rsid w:val="00D66471"/>
    <w:rsid w:val="00D70641"/>
    <w:rsid w:val="00D71758"/>
    <w:rsid w:val="00D72E35"/>
    <w:rsid w:val="00D73DE3"/>
    <w:rsid w:val="00D74888"/>
    <w:rsid w:val="00D75E28"/>
    <w:rsid w:val="00D764FA"/>
    <w:rsid w:val="00D772C2"/>
    <w:rsid w:val="00D77BC5"/>
    <w:rsid w:val="00D8008E"/>
    <w:rsid w:val="00D819DE"/>
    <w:rsid w:val="00D82C45"/>
    <w:rsid w:val="00D85CF7"/>
    <w:rsid w:val="00D87D95"/>
    <w:rsid w:val="00D908A8"/>
    <w:rsid w:val="00D977B6"/>
    <w:rsid w:val="00DA1223"/>
    <w:rsid w:val="00DA38BF"/>
    <w:rsid w:val="00DA486B"/>
    <w:rsid w:val="00DA4A31"/>
    <w:rsid w:val="00DA7223"/>
    <w:rsid w:val="00DA7B04"/>
    <w:rsid w:val="00DA7D90"/>
    <w:rsid w:val="00DB089E"/>
    <w:rsid w:val="00DB2354"/>
    <w:rsid w:val="00DB36C2"/>
    <w:rsid w:val="00DC169B"/>
    <w:rsid w:val="00DC2AB9"/>
    <w:rsid w:val="00DC4C77"/>
    <w:rsid w:val="00DC52F5"/>
    <w:rsid w:val="00DC63F0"/>
    <w:rsid w:val="00DC6F34"/>
    <w:rsid w:val="00DC7BF0"/>
    <w:rsid w:val="00DD37EA"/>
    <w:rsid w:val="00DD6327"/>
    <w:rsid w:val="00DD6EE5"/>
    <w:rsid w:val="00DE386C"/>
    <w:rsid w:val="00DE4D35"/>
    <w:rsid w:val="00DF098B"/>
    <w:rsid w:val="00DF11C4"/>
    <w:rsid w:val="00DF210C"/>
    <w:rsid w:val="00DF2FA8"/>
    <w:rsid w:val="00DF4B6A"/>
    <w:rsid w:val="00DF546A"/>
    <w:rsid w:val="00DF66F0"/>
    <w:rsid w:val="00E004C0"/>
    <w:rsid w:val="00E02C09"/>
    <w:rsid w:val="00E04D59"/>
    <w:rsid w:val="00E07DA1"/>
    <w:rsid w:val="00E10E28"/>
    <w:rsid w:val="00E11128"/>
    <w:rsid w:val="00E123CB"/>
    <w:rsid w:val="00E13B09"/>
    <w:rsid w:val="00E16257"/>
    <w:rsid w:val="00E20E13"/>
    <w:rsid w:val="00E21DBC"/>
    <w:rsid w:val="00E21DCC"/>
    <w:rsid w:val="00E24AA9"/>
    <w:rsid w:val="00E275D7"/>
    <w:rsid w:val="00E27DBE"/>
    <w:rsid w:val="00E30446"/>
    <w:rsid w:val="00E32AB1"/>
    <w:rsid w:val="00E35167"/>
    <w:rsid w:val="00E36C71"/>
    <w:rsid w:val="00E40404"/>
    <w:rsid w:val="00E4126A"/>
    <w:rsid w:val="00E42A06"/>
    <w:rsid w:val="00E44127"/>
    <w:rsid w:val="00E459C6"/>
    <w:rsid w:val="00E47589"/>
    <w:rsid w:val="00E60FA6"/>
    <w:rsid w:val="00E62EF6"/>
    <w:rsid w:val="00E63EC7"/>
    <w:rsid w:val="00E64915"/>
    <w:rsid w:val="00E64A62"/>
    <w:rsid w:val="00E64D3A"/>
    <w:rsid w:val="00E661D4"/>
    <w:rsid w:val="00E66F69"/>
    <w:rsid w:val="00E67565"/>
    <w:rsid w:val="00E70091"/>
    <w:rsid w:val="00E70D2E"/>
    <w:rsid w:val="00E720F5"/>
    <w:rsid w:val="00E72941"/>
    <w:rsid w:val="00E73D20"/>
    <w:rsid w:val="00E74A5E"/>
    <w:rsid w:val="00E76D47"/>
    <w:rsid w:val="00E82173"/>
    <w:rsid w:val="00E827BC"/>
    <w:rsid w:val="00E849F7"/>
    <w:rsid w:val="00E90302"/>
    <w:rsid w:val="00E90F6B"/>
    <w:rsid w:val="00E91D05"/>
    <w:rsid w:val="00E95C1E"/>
    <w:rsid w:val="00E97396"/>
    <w:rsid w:val="00EA185E"/>
    <w:rsid w:val="00EA32C5"/>
    <w:rsid w:val="00EA592A"/>
    <w:rsid w:val="00EB06A6"/>
    <w:rsid w:val="00EB14E4"/>
    <w:rsid w:val="00EB32A5"/>
    <w:rsid w:val="00EB34ED"/>
    <w:rsid w:val="00EB447C"/>
    <w:rsid w:val="00EB55E6"/>
    <w:rsid w:val="00EB6E6A"/>
    <w:rsid w:val="00EB7BE0"/>
    <w:rsid w:val="00EC0F04"/>
    <w:rsid w:val="00EC2A05"/>
    <w:rsid w:val="00EC315E"/>
    <w:rsid w:val="00ED077C"/>
    <w:rsid w:val="00ED10A9"/>
    <w:rsid w:val="00ED1190"/>
    <w:rsid w:val="00ED34AC"/>
    <w:rsid w:val="00ED4E3E"/>
    <w:rsid w:val="00ED6544"/>
    <w:rsid w:val="00ED7FD7"/>
    <w:rsid w:val="00EE0277"/>
    <w:rsid w:val="00EE2899"/>
    <w:rsid w:val="00EE3E00"/>
    <w:rsid w:val="00EE47F8"/>
    <w:rsid w:val="00EE5DD2"/>
    <w:rsid w:val="00EF047F"/>
    <w:rsid w:val="00EF36C5"/>
    <w:rsid w:val="00EF3DB4"/>
    <w:rsid w:val="00EF7406"/>
    <w:rsid w:val="00F00A79"/>
    <w:rsid w:val="00F00D13"/>
    <w:rsid w:val="00F00E86"/>
    <w:rsid w:val="00F013CE"/>
    <w:rsid w:val="00F079C4"/>
    <w:rsid w:val="00F07C1E"/>
    <w:rsid w:val="00F105DB"/>
    <w:rsid w:val="00F109E9"/>
    <w:rsid w:val="00F132BC"/>
    <w:rsid w:val="00F13D80"/>
    <w:rsid w:val="00F15B4D"/>
    <w:rsid w:val="00F16A7C"/>
    <w:rsid w:val="00F16AAA"/>
    <w:rsid w:val="00F1709C"/>
    <w:rsid w:val="00F21161"/>
    <w:rsid w:val="00F218EF"/>
    <w:rsid w:val="00F21BC7"/>
    <w:rsid w:val="00F266A2"/>
    <w:rsid w:val="00F32269"/>
    <w:rsid w:val="00F35B7A"/>
    <w:rsid w:val="00F4217C"/>
    <w:rsid w:val="00F43797"/>
    <w:rsid w:val="00F55C58"/>
    <w:rsid w:val="00F56A6F"/>
    <w:rsid w:val="00F5709C"/>
    <w:rsid w:val="00F60B85"/>
    <w:rsid w:val="00F61E77"/>
    <w:rsid w:val="00F6462E"/>
    <w:rsid w:val="00F64EF1"/>
    <w:rsid w:val="00F71716"/>
    <w:rsid w:val="00F72B14"/>
    <w:rsid w:val="00F7349B"/>
    <w:rsid w:val="00F777F6"/>
    <w:rsid w:val="00F804FB"/>
    <w:rsid w:val="00F8765F"/>
    <w:rsid w:val="00F90767"/>
    <w:rsid w:val="00F9263C"/>
    <w:rsid w:val="00F95D99"/>
    <w:rsid w:val="00FA1637"/>
    <w:rsid w:val="00FA37DF"/>
    <w:rsid w:val="00FA39F6"/>
    <w:rsid w:val="00FA685B"/>
    <w:rsid w:val="00FA784A"/>
    <w:rsid w:val="00FB0C01"/>
    <w:rsid w:val="00FB2027"/>
    <w:rsid w:val="00FB22ED"/>
    <w:rsid w:val="00FB5934"/>
    <w:rsid w:val="00FC18F2"/>
    <w:rsid w:val="00FC2896"/>
    <w:rsid w:val="00FC2A17"/>
    <w:rsid w:val="00FC384B"/>
    <w:rsid w:val="00FC38CF"/>
    <w:rsid w:val="00FC39E5"/>
    <w:rsid w:val="00FC3A78"/>
    <w:rsid w:val="00FC4681"/>
    <w:rsid w:val="00FD0F35"/>
    <w:rsid w:val="00FD1005"/>
    <w:rsid w:val="00FD1F7F"/>
    <w:rsid w:val="00FD282E"/>
    <w:rsid w:val="00FD6C75"/>
    <w:rsid w:val="00FD7972"/>
    <w:rsid w:val="00FE0401"/>
    <w:rsid w:val="00FE0653"/>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C27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67565"/>
    <w:rPr>
      <w:sz w:val="24"/>
      <w:szCs w:val="24"/>
      <w:lang w:val="en-GB"/>
    </w:rPr>
  </w:style>
  <w:style w:type="paragraph" w:styleId="Heading1">
    <w:name w:val="heading 1"/>
    <w:basedOn w:val="Normal"/>
    <w:next w:val="Normal"/>
    <w:link w:val="Heading1Char"/>
    <w:uiPriority w:val="98"/>
    <w:semiHidden/>
    <w:rsid w:val="00E6756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6756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6756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6756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6756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6756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6756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6756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6756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67565"/>
    <w:rPr>
      <w:rFonts w:ascii="Tahoma" w:hAnsi="Tahoma" w:cs="Tahoma"/>
      <w:sz w:val="16"/>
      <w:szCs w:val="16"/>
    </w:rPr>
  </w:style>
  <w:style w:type="character" w:customStyle="1" w:styleId="BalloonTextChar">
    <w:name w:val="Balloon Text Char"/>
    <w:basedOn w:val="DefaultParagraphFont"/>
    <w:link w:val="BalloonText"/>
    <w:uiPriority w:val="98"/>
    <w:semiHidden/>
    <w:rsid w:val="00E67565"/>
    <w:rPr>
      <w:rFonts w:ascii="Tahoma" w:hAnsi="Tahoma" w:cs="Tahoma"/>
      <w:sz w:val="16"/>
      <w:szCs w:val="16"/>
      <w:lang w:val="en-GB"/>
    </w:rPr>
  </w:style>
  <w:style w:type="character" w:styleId="BookTitle">
    <w:name w:val="Book Title"/>
    <w:uiPriority w:val="98"/>
    <w:semiHidden/>
    <w:qFormat/>
    <w:rsid w:val="00E67565"/>
    <w:rPr>
      <w:i/>
      <w:iCs/>
      <w:smallCaps/>
      <w:spacing w:val="5"/>
    </w:rPr>
  </w:style>
  <w:style w:type="paragraph" w:customStyle="1" w:styleId="JuHeader">
    <w:name w:val="Ju_Header"/>
    <w:aliases w:val="_Header"/>
    <w:basedOn w:val="Header0"/>
    <w:uiPriority w:val="29"/>
    <w:qFormat/>
    <w:rsid w:val="00E67565"/>
    <w:pPr>
      <w:tabs>
        <w:tab w:val="clear" w:pos="4536"/>
        <w:tab w:val="clear" w:pos="9072"/>
      </w:tabs>
      <w:jc w:val="center"/>
    </w:pPr>
    <w:rPr>
      <w:sz w:val="18"/>
    </w:rPr>
  </w:style>
  <w:style w:type="paragraph" w:customStyle="1" w:styleId="NormalJustified">
    <w:name w:val="Normal_Justified"/>
    <w:basedOn w:val="Normal"/>
    <w:semiHidden/>
    <w:rsid w:val="00E67565"/>
    <w:pPr>
      <w:jc w:val="both"/>
    </w:pPr>
  </w:style>
  <w:style w:type="character" w:styleId="Strong">
    <w:name w:val="Strong"/>
    <w:uiPriority w:val="98"/>
    <w:semiHidden/>
    <w:qFormat/>
    <w:rsid w:val="00E67565"/>
    <w:rPr>
      <w:b/>
      <w:bCs/>
    </w:rPr>
  </w:style>
  <w:style w:type="paragraph" w:styleId="NoSpacing">
    <w:name w:val="No Spacing"/>
    <w:basedOn w:val="Normal"/>
    <w:link w:val="NoSpacingChar"/>
    <w:uiPriority w:val="98"/>
    <w:semiHidden/>
    <w:qFormat/>
    <w:rsid w:val="00E67565"/>
  </w:style>
  <w:style w:type="character" w:customStyle="1" w:styleId="NoSpacingChar">
    <w:name w:val="No Spacing Char"/>
    <w:basedOn w:val="DefaultParagraphFont"/>
    <w:link w:val="NoSpacing"/>
    <w:uiPriority w:val="98"/>
    <w:semiHidden/>
    <w:rsid w:val="00E67565"/>
    <w:rPr>
      <w:sz w:val="24"/>
      <w:szCs w:val="24"/>
      <w:lang w:val="en-GB"/>
    </w:rPr>
  </w:style>
  <w:style w:type="paragraph" w:customStyle="1" w:styleId="JuQuot">
    <w:name w:val="Ju_Quot"/>
    <w:aliases w:val="_Quote"/>
    <w:basedOn w:val="NormalJustified"/>
    <w:qFormat/>
    <w:rsid w:val="00E67565"/>
    <w:pPr>
      <w:spacing w:before="120" w:after="120"/>
      <w:ind w:left="425" w:firstLine="142"/>
    </w:pPr>
    <w:rPr>
      <w:sz w:val="20"/>
    </w:rPr>
  </w:style>
  <w:style w:type="paragraph" w:customStyle="1" w:styleId="DummyStyle">
    <w:name w:val="Dummy_Style"/>
    <w:aliases w:val="_Dummy"/>
    <w:basedOn w:val="Normal"/>
    <w:semiHidden/>
    <w:qFormat/>
    <w:rsid w:val="00E67565"/>
    <w:rPr>
      <w:color w:val="00B050"/>
      <w:sz w:val="22"/>
    </w:rPr>
  </w:style>
  <w:style w:type="paragraph" w:customStyle="1" w:styleId="JuList">
    <w:name w:val="Ju_List"/>
    <w:aliases w:val="_List_1"/>
    <w:basedOn w:val="NormalJustified"/>
    <w:uiPriority w:val="23"/>
    <w:qFormat/>
    <w:rsid w:val="00E67565"/>
    <w:pPr>
      <w:numPr>
        <w:numId w:val="10"/>
      </w:numPr>
      <w:spacing w:before="280" w:after="60"/>
    </w:pPr>
  </w:style>
  <w:style w:type="paragraph" w:customStyle="1" w:styleId="JuLista">
    <w:name w:val="Ju_List_a"/>
    <w:aliases w:val="_List_2"/>
    <w:basedOn w:val="NormalJustified"/>
    <w:uiPriority w:val="23"/>
    <w:rsid w:val="00E67565"/>
    <w:pPr>
      <w:numPr>
        <w:ilvl w:val="1"/>
        <w:numId w:val="10"/>
      </w:numPr>
    </w:pPr>
  </w:style>
  <w:style w:type="paragraph" w:customStyle="1" w:styleId="JuListi">
    <w:name w:val="Ju_List_i"/>
    <w:aliases w:val="_List_3"/>
    <w:basedOn w:val="NormalJustified"/>
    <w:uiPriority w:val="23"/>
    <w:rsid w:val="00E67565"/>
    <w:pPr>
      <w:numPr>
        <w:ilvl w:val="2"/>
        <w:numId w:val="10"/>
      </w:numPr>
    </w:pPr>
  </w:style>
  <w:style w:type="paragraph" w:customStyle="1" w:styleId="JuHArticle">
    <w:name w:val="Ju_H_Article"/>
    <w:aliases w:val="_Title_Quote"/>
    <w:basedOn w:val="Normal"/>
    <w:next w:val="JuQuot"/>
    <w:uiPriority w:val="20"/>
    <w:qFormat/>
    <w:rsid w:val="00E6756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E6756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67565"/>
    <w:pPr>
      <w:keepNext/>
      <w:keepLines/>
      <w:tabs>
        <w:tab w:val="right" w:pos="7938"/>
      </w:tabs>
      <w:ind w:firstLine="0"/>
      <w:jc w:val="center"/>
    </w:pPr>
    <w:rPr>
      <w:i/>
    </w:rPr>
  </w:style>
  <w:style w:type="paragraph" w:customStyle="1" w:styleId="JuHHead">
    <w:name w:val="Ju_H_Head"/>
    <w:aliases w:val="_Head_1"/>
    <w:basedOn w:val="Heading1"/>
    <w:next w:val="JuPara"/>
    <w:uiPriority w:val="19"/>
    <w:qFormat/>
    <w:rsid w:val="00E67565"/>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67565"/>
    <w:pPr>
      <w:numPr>
        <w:numId w:val="4"/>
      </w:numPr>
    </w:pPr>
  </w:style>
  <w:style w:type="paragraph" w:customStyle="1" w:styleId="JuSigned">
    <w:name w:val="Ju_Signed"/>
    <w:aliases w:val="_Signature"/>
    <w:basedOn w:val="Normal"/>
    <w:next w:val="JuPara"/>
    <w:uiPriority w:val="31"/>
    <w:qFormat/>
    <w:rsid w:val="00E67565"/>
    <w:pPr>
      <w:tabs>
        <w:tab w:val="center" w:pos="851"/>
        <w:tab w:val="center" w:pos="6407"/>
      </w:tabs>
      <w:spacing w:before="720"/>
    </w:pPr>
  </w:style>
  <w:style w:type="paragraph" w:styleId="Title">
    <w:name w:val="Title"/>
    <w:basedOn w:val="Normal"/>
    <w:next w:val="Normal"/>
    <w:link w:val="TitleChar"/>
    <w:uiPriority w:val="98"/>
    <w:semiHidden/>
    <w:qFormat/>
    <w:rsid w:val="00E6756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6756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67565"/>
    <w:pPr>
      <w:numPr>
        <w:numId w:val="5"/>
      </w:numPr>
    </w:pPr>
  </w:style>
  <w:style w:type="numbering" w:customStyle="1" w:styleId="ECHRA1StyleNumberedList">
    <w:name w:val="ECHR_A1_Style_Numbered_List"/>
    <w:basedOn w:val="NoList"/>
    <w:rsid w:val="00E67565"/>
    <w:pPr>
      <w:numPr>
        <w:numId w:val="6"/>
      </w:numPr>
    </w:pPr>
  </w:style>
  <w:style w:type="table" w:customStyle="1" w:styleId="ECHRTable2019">
    <w:name w:val="ECHR_Table_2019"/>
    <w:basedOn w:val="TableNormal"/>
    <w:uiPriority w:val="99"/>
    <w:rsid w:val="00E6756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6756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9"/>
    <w:qFormat/>
    <w:rsid w:val="00E67565"/>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9"/>
    <w:qFormat/>
    <w:rsid w:val="00E67565"/>
    <w:pPr>
      <w:keepNext/>
      <w:keepLines/>
      <w:numPr>
        <w:ilvl w:val="2"/>
        <w:numId w:val="9"/>
      </w:numPr>
      <w:spacing w:before="100" w:beforeAutospacing="1" w:after="240" w:line="240" w:lineRule="auto"/>
      <w:ind w:left="510"/>
      <w:jc w:val="both"/>
    </w:pPr>
    <w:rPr>
      <w:color w:val="auto"/>
      <w:sz w:val="24"/>
    </w:rPr>
  </w:style>
  <w:style w:type="paragraph" w:customStyle="1" w:styleId="JuH1">
    <w:name w:val="Ju_H_1."/>
    <w:aliases w:val="_Head_4"/>
    <w:basedOn w:val="Heading4"/>
    <w:next w:val="JuPara"/>
    <w:uiPriority w:val="19"/>
    <w:rsid w:val="00E67565"/>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E67565"/>
    <w:pPr>
      <w:tabs>
        <w:tab w:val="center" w:pos="4536"/>
        <w:tab w:val="right" w:pos="9072"/>
      </w:tabs>
    </w:pPr>
  </w:style>
  <w:style w:type="character" w:customStyle="1" w:styleId="HeaderChar">
    <w:name w:val="Header Char"/>
    <w:basedOn w:val="DefaultParagraphFont"/>
    <w:link w:val="Header0"/>
    <w:uiPriority w:val="98"/>
    <w:semiHidden/>
    <w:rsid w:val="00E67565"/>
    <w:rPr>
      <w:sz w:val="24"/>
      <w:szCs w:val="24"/>
      <w:lang w:val="en-GB"/>
    </w:rPr>
  </w:style>
  <w:style w:type="character" w:customStyle="1" w:styleId="Heading1Char">
    <w:name w:val="Heading 1 Char"/>
    <w:basedOn w:val="DefaultParagraphFont"/>
    <w:link w:val="Heading1"/>
    <w:uiPriority w:val="98"/>
    <w:semiHidden/>
    <w:rsid w:val="00E6756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E67565"/>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9"/>
    <w:rsid w:val="00E67565"/>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6756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E67565"/>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9"/>
    <w:rsid w:val="00E67565"/>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E6756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67565"/>
    <w:pPr>
      <w:keepNext/>
      <w:keepLines/>
      <w:spacing w:before="240" w:after="240"/>
      <w:ind w:firstLine="284"/>
    </w:pPr>
  </w:style>
  <w:style w:type="paragraph" w:customStyle="1" w:styleId="JuJudges">
    <w:name w:val="Ju_Judges"/>
    <w:aliases w:val="_Judges"/>
    <w:basedOn w:val="Normal"/>
    <w:uiPriority w:val="32"/>
    <w:qFormat/>
    <w:rsid w:val="00E67565"/>
    <w:pPr>
      <w:tabs>
        <w:tab w:val="left" w:pos="567"/>
        <w:tab w:val="left" w:pos="1134"/>
      </w:tabs>
    </w:pPr>
  </w:style>
  <w:style w:type="character" w:customStyle="1" w:styleId="Heading4Char">
    <w:name w:val="Heading 4 Char"/>
    <w:basedOn w:val="DefaultParagraphFont"/>
    <w:link w:val="Heading4"/>
    <w:uiPriority w:val="98"/>
    <w:semiHidden/>
    <w:rsid w:val="00E6756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67565"/>
    <w:pPr>
      <w:tabs>
        <w:tab w:val="center" w:pos="6407"/>
      </w:tabs>
      <w:spacing w:before="720"/>
      <w:jc w:val="right"/>
    </w:pPr>
  </w:style>
  <w:style w:type="character" w:customStyle="1" w:styleId="Heading5Char">
    <w:name w:val="Heading 5 Char"/>
    <w:basedOn w:val="DefaultParagraphFont"/>
    <w:link w:val="Heading5"/>
    <w:uiPriority w:val="98"/>
    <w:semiHidden/>
    <w:rsid w:val="00E6756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6756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67565"/>
    <w:rPr>
      <w:caps w:val="0"/>
      <w:smallCaps/>
    </w:rPr>
  </w:style>
  <w:style w:type="character" w:styleId="SubtleEmphasis">
    <w:name w:val="Subtle Emphasis"/>
    <w:uiPriority w:val="98"/>
    <w:semiHidden/>
    <w:qFormat/>
    <w:rsid w:val="00E67565"/>
    <w:rPr>
      <w:i/>
      <w:iCs/>
    </w:rPr>
  </w:style>
  <w:style w:type="table" w:customStyle="1" w:styleId="ECHRTable">
    <w:name w:val="ECHR_Table"/>
    <w:basedOn w:val="TableNormal"/>
    <w:rsid w:val="00E6756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6756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67565"/>
    <w:rPr>
      <w:b/>
      <w:bCs/>
      <w:i/>
      <w:iCs/>
      <w:spacing w:val="10"/>
      <w:bdr w:val="none" w:sz="0" w:space="0" w:color="auto"/>
      <w:shd w:val="clear" w:color="auto" w:fill="auto"/>
    </w:rPr>
  </w:style>
  <w:style w:type="paragraph" w:styleId="Footer1">
    <w:name w:val="footer"/>
    <w:basedOn w:val="Normal"/>
    <w:link w:val="FooterChar"/>
    <w:uiPriority w:val="98"/>
    <w:semiHidden/>
    <w:rsid w:val="00E67565"/>
    <w:pPr>
      <w:tabs>
        <w:tab w:val="center" w:pos="3686"/>
        <w:tab w:val="right" w:pos="7371"/>
      </w:tabs>
    </w:pPr>
  </w:style>
  <w:style w:type="character" w:customStyle="1" w:styleId="FooterChar">
    <w:name w:val="Footer Char"/>
    <w:basedOn w:val="DefaultParagraphFont"/>
    <w:link w:val="Footer1"/>
    <w:uiPriority w:val="98"/>
    <w:semiHidden/>
    <w:rsid w:val="00E67565"/>
    <w:rPr>
      <w:sz w:val="24"/>
      <w:szCs w:val="24"/>
      <w:lang w:val="en-GB"/>
    </w:rPr>
  </w:style>
  <w:style w:type="character" w:styleId="FootnoteReference">
    <w:name w:val="footnote reference"/>
    <w:basedOn w:val="DefaultParagraphFont"/>
    <w:uiPriority w:val="98"/>
    <w:semiHidden/>
    <w:rsid w:val="00E67565"/>
    <w:rPr>
      <w:vertAlign w:val="superscript"/>
    </w:rPr>
  </w:style>
  <w:style w:type="paragraph" w:styleId="FootnoteText">
    <w:name w:val="footnote text"/>
    <w:basedOn w:val="Normal"/>
    <w:link w:val="FootnoteTextChar"/>
    <w:uiPriority w:val="98"/>
    <w:semiHidden/>
    <w:rsid w:val="00E67565"/>
    <w:rPr>
      <w:sz w:val="20"/>
      <w:szCs w:val="20"/>
    </w:rPr>
  </w:style>
  <w:style w:type="character" w:customStyle="1" w:styleId="FootnoteTextChar">
    <w:name w:val="Footnote Text Char"/>
    <w:basedOn w:val="DefaultParagraphFont"/>
    <w:link w:val="FootnoteText"/>
    <w:uiPriority w:val="98"/>
    <w:semiHidden/>
    <w:rsid w:val="00E67565"/>
    <w:rPr>
      <w:sz w:val="20"/>
      <w:szCs w:val="20"/>
      <w:lang w:val="en-GB"/>
    </w:rPr>
  </w:style>
  <w:style w:type="character" w:customStyle="1" w:styleId="Heading6Char">
    <w:name w:val="Heading 6 Char"/>
    <w:basedOn w:val="DefaultParagraphFont"/>
    <w:link w:val="Heading6"/>
    <w:uiPriority w:val="98"/>
    <w:semiHidden/>
    <w:rsid w:val="00E6756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6756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6756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6756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67565"/>
    <w:rPr>
      <w:color w:val="0072BC" w:themeColor="hyperlink"/>
      <w:u w:val="single"/>
    </w:rPr>
  </w:style>
  <w:style w:type="character" w:styleId="IntenseEmphasis">
    <w:name w:val="Intense Emphasis"/>
    <w:uiPriority w:val="98"/>
    <w:semiHidden/>
    <w:qFormat/>
    <w:rsid w:val="00E67565"/>
    <w:rPr>
      <w:b/>
      <w:bCs/>
    </w:rPr>
  </w:style>
  <w:style w:type="paragraph" w:styleId="IntenseQuote">
    <w:name w:val="Intense Quote"/>
    <w:basedOn w:val="Normal"/>
    <w:next w:val="Normal"/>
    <w:link w:val="IntenseQuoteChar"/>
    <w:uiPriority w:val="98"/>
    <w:semiHidden/>
    <w:qFormat/>
    <w:rsid w:val="00E6756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67565"/>
    <w:rPr>
      <w:b/>
      <w:bCs/>
      <w:i/>
      <w:iCs/>
      <w:sz w:val="24"/>
      <w:szCs w:val="24"/>
      <w:lang w:val="en-GB" w:bidi="en-US"/>
    </w:rPr>
  </w:style>
  <w:style w:type="character" w:styleId="IntenseReference">
    <w:name w:val="Intense Reference"/>
    <w:uiPriority w:val="98"/>
    <w:semiHidden/>
    <w:qFormat/>
    <w:rsid w:val="00E67565"/>
    <w:rPr>
      <w:smallCaps/>
      <w:spacing w:val="5"/>
      <w:u w:val="single"/>
    </w:rPr>
  </w:style>
  <w:style w:type="paragraph" w:styleId="ListParagraph">
    <w:name w:val="List Paragraph"/>
    <w:basedOn w:val="Normal"/>
    <w:uiPriority w:val="98"/>
    <w:semiHidden/>
    <w:qFormat/>
    <w:rsid w:val="00E67565"/>
    <w:pPr>
      <w:ind w:left="720"/>
      <w:contextualSpacing/>
    </w:pPr>
  </w:style>
  <w:style w:type="table" w:customStyle="1" w:styleId="LtrTableAddress">
    <w:name w:val="Ltr_Table_Address"/>
    <w:aliases w:val="ECHR_Ltr_Table_Address"/>
    <w:basedOn w:val="TableNormal"/>
    <w:uiPriority w:val="99"/>
    <w:rsid w:val="00E67565"/>
    <w:rPr>
      <w:sz w:val="24"/>
      <w:szCs w:val="24"/>
    </w:rPr>
    <w:tblPr>
      <w:tblInd w:w="5103" w:type="dxa"/>
    </w:tblPr>
  </w:style>
  <w:style w:type="paragraph" w:styleId="Quote0">
    <w:name w:val="Quote"/>
    <w:basedOn w:val="Normal"/>
    <w:next w:val="Normal"/>
    <w:link w:val="QuoteChar"/>
    <w:uiPriority w:val="98"/>
    <w:semiHidden/>
    <w:qFormat/>
    <w:rsid w:val="00E67565"/>
    <w:pPr>
      <w:spacing w:before="200"/>
      <w:ind w:left="360" w:right="360"/>
    </w:pPr>
    <w:rPr>
      <w:i/>
      <w:iCs/>
      <w:lang w:bidi="en-US"/>
    </w:rPr>
  </w:style>
  <w:style w:type="character" w:customStyle="1" w:styleId="QuoteChar">
    <w:name w:val="Quote Char"/>
    <w:basedOn w:val="DefaultParagraphFont"/>
    <w:link w:val="Quote0"/>
    <w:uiPriority w:val="98"/>
    <w:semiHidden/>
    <w:rsid w:val="00E67565"/>
    <w:rPr>
      <w:i/>
      <w:iCs/>
      <w:sz w:val="24"/>
      <w:szCs w:val="24"/>
      <w:lang w:val="en-GB" w:bidi="en-US"/>
    </w:rPr>
  </w:style>
  <w:style w:type="character" w:styleId="SubtleReference">
    <w:name w:val="Subtle Reference"/>
    <w:uiPriority w:val="98"/>
    <w:semiHidden/>
    <w:qFormat/>
    <w:rsid w:val="00E67565"/>
    <w:rPr>
      <w:smallCaps/>
    </w:rPr>
  </w:style>
  <w:style w:type="table" w:styleId="TableGrid">
    <w:name w:val="Table Grid"/>
    <w:basedOn w:val="TableNormal"/>
    <w:uiPriority w:val="59"/>
    <w:semiHidden/>
    <w:rsid w:val="00E6756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6756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6756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6756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6756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6756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6756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6756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6756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6756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6756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6756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6756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6756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6756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6756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67565"/>
    <w:pPr>
      <w:numPr>
        <w:numId w:val="1"/>
      </w:numPr>
    </w:pPr>
  </w:style>
  <w:style w:type="paragraph" w:customStyle="1" w:styleId="JuPara">
    <w:name w:val="Ju_Para"/>
    <w:aliases w:val="_Para"/>
    <w:basedOn w:val="NormalJustified"/>
    <w:link w:val="JuParaChar"/>
    <w:uiPriority w:val="4"/>
    <w:qFormat/>
    <w:rsid w:val="00E67565"/>
    <w:pPr>
      <w:ind w:firstLine="284"/>
    </w:pPr>
  </w:style>
  <w:style w:type="numbering" w:styleId="1ai">
    <w:name w:val="Outline List 1"/>
    <w:basedOn w:val="NoList"/>
    <w:uiPriority w:val="99"/>
    <w:semiHidden/>
    <w:unhideWhenUsed/>
    <w:rsid w:val="00E67565"/>
    <w:pPr>
      <w:numPr>
        <w:numId w:val="2"/>
      </w:numPr>
    </w:pPr>
  </w:style>
  <w:style w:type="table" w:customStyle="1" w:styleId="ECHRTableSimpleBox">
    <w:name w:val="ECHR_Table_Simple_Box"/>
    <w:basedOn w:val="TableNormal"/>
    <w:uiPriority w:val="99"/>
    <w:rsid w:val="00E6756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6756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67565"/>
    <w:pPr>
      <w:numPr>
        <w:numId w:val="3"/>
      </w:numPr>
    </w:pPr>
  </w:style>
  <w:style w:type="table" w:customStyle="1" w:styleId="ECHRTableForInternalUse">
    <w:name w:val="ECHR_Table_For_Internal_Use"/>
    <w:basedOn w:val="TableNormal"/>
    <w:uiPriority w:val="99"/>
    <w:rsid w:val="00E6756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6756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67565"/>
  </w:style>
  <w:style w:type="paragraph" w:styleId="BlockText">
    <w:name w:val="Block Text"/>
    <w:basedOn w:val="Normal"/>
    <w:uiPriority w:val="98"/>
    <w:semiHidden/>
    <w:rsid w:val="00E6756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6756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67565"/>
    <w:pPr>
      <w:spacing w:after="120"/>
    </w:pPr>
  </w:style>
  <w:style w:type="character" w:customStyle="1" w:styleId="BodyTextChar">
    <w:name w:val="Body Text Char"/>
    <w:basedOn w:val="DefaultParagraphFont"/>
    <w:link w:val="BodyText"/>
    <w:uiPriority w:val="98"/>
    <w:semiHidden/>
    <w:rsid w:val="00E67565"/>
    <w:rPr>
      <w:sz w:val="24"/>
      <w:szCs w:val="24"/>
      <w:lang w:val="en-GB"/>
    </w:rPr>
  </w:style>
  <w:style w:type="table" w:customStyle="1" w:styleId="ECHRTableOddBanded">
    <w:name w:val="ECHR_Table_Odd_Banded"/>
    <w:basedOn w:val="TableNormal"/>
    <w:uiPriority w:val="99"/>
    <w:rsid w:val="00E6756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67565"/>
    <w:pPr>
      <w:spacing w:after="120" w:line="480" w:lineRule="auto"/>
    </w:pPr>
  </w:style>
  <w:style w:type="table" w:customStyle="1" w:styleId="ECHRHeaderTableReduced">
    <w:name w:val="ECHR_Header_Table_Reduced"/>
    <w:basedOn w:val="TableNormal"/>
    <w:uiPriority w:val="99"/>
    <w:rsid w:val="00E6756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67565"/>
    <w:pPr>
      <w:ind w:firstLine="284"/>
    </w:pPr>
    <w:rPr>
      <w:b/>
    </w:rPr>
  </w:style>
  <w:style w:type="character" w:styleId="PageNumber">
    <w:name w:val="page number"/>
    <w:uiPriority w:val="98"/>
    <w:semiHidden/>
    <w:rsid w:val="00E67565"/>
    <w:rPr>
      <w:sz w:val="18"/>
    </w:rPr>
  </w:style>
  <w:style w:type="paragraph" w:styleId="ListBullet">
    <w:name w:val="List Bullet"/>
    <w:basedOn w:val="Normal"/>
    <w:uiPriority w:val="99"/>
    <w:semiHidden/>
    <w:rsid w:val="00E67565"/>
    <w:pPr>
      <w:numPr>
        <w:numId w:val="11"/>
      </w:numPr>
    </w:pPr>
  </w:style>
  <w:style w:type="paragraph" w:styleId="ListBullet3">
    <w:name w:val="List Bullet 3"/>
    <w:basedOn w:val="Normal"/>
    <w:uiPriority w:val="98"/>
    <w:semiHidden/>
    <w:rsid w:val="00E67565"/>
    <w:pPr>
      <w:numPr>
        <w:numId w:val="13"/>
      </w:numPr>
      <w:contextualSpacing/>
    </w:pPr>
  </w:style>
  <w:style w:type="character" w:customStyle="1" w:styleId="BodyText2Char">
    <w:name w:val="Body Text 2 Char"/>
    <w:basedOn w:val="DefaultParagraphFont"/>
    <w:link w:val="BodyText2"/>
    <w:uiPriority w:val="98"/>
    <w:semiHidden/>
    <w:rsid w:val="00E67565"/>
    <w:rPr>
      <w:sz w:val="24"/>
      <w:szCs w:val="24"/>
      <w:lang w:val="en-GB"/>
    </w:rPr>
  </w:style>
  <w:style w:type="paragraph" w:styleId="BodyText3">
    <w:name w:val="Body Text 3"/>
    <w:basedOn w:val="Normal"/>
    <w:link w:val="BodyText3Char"/>
    <w:uiPriority w:val="98"/>
    <w:semiHidden/>
    <w:rsid w:val="00E67565"/>
    <w:pPr>
      <w:spacing w:after="120"/>
    </w:pPr>
    <w:rPr>
      <w:sz w:val="16"/>
      <w:szCs w:val="16"/>
    </w:rPr>
  </w:style>
  <w:style w:type="character" w:customStyle="1" w:styleId="BodyText3Char">
    <w:name w:val="Body Text 3 Char"/>
    <w:basedOn w:val="DefaultParagraphFont"/>
    <w:link w:val="BodyText3"/>
    <w:uiPriority w:val="98"/>
    <w:semiHidden/>
    <w:rsid w:val="00E67565"/>
    <w:rPr>
      <w:sz w:val="16"/>
      <w:szCs w:val="16"/>
      <w:lang w:val="en-GB"/>
    </w:rPr>
  </w:style>
  <w:style w:type="paragraph" w:styleId="BodyTextFirstIndent">
    <w:name w:val="Body Text First Indent"/>
    <w:basedOn w:val="BodyText"/>
    <w:link w:val="BodyTextFirstIndentChar"/>
    <w:uiPriority w:val="98"/>
    <w:semiHidden/>
    <w:rsid w:val="00E67565"/>
    <w:pPr>
      <w:spacing w:after="0"/>
      <w:ind w:firstLine="360"/>
    </w:pPr>
  </w:style>
  <w:style w:type="character" w:customStyle="1" w:styleId="BodyTextFirstIndentChar">
    <w:name w:val="Body Text First Indent Char"/>
    <w:basedOn w:val="BodyTextChar"/>
    <w:link w:val="BodyTextFirstIndent"/>
    <w:uiPriority w:val="98"/>
    <w:semiHidden/>
    <w:rsid w:val="00E67565"/>
    <w:rPr>
      <w:sz w:val="24"/>
      <w:szCs w:val="24"/>
      <w:lang w:val="en-GB"/>
    </w:rPr>
  </w:style>
  <w:style w:type="paragraph" w:styleId="BodyTextIndent">
    <w:name w:val="Body Text Indent"/>
    <w:basedOn w:val="Normal"/>
    <w:link w:val="BodyTextIndentChar"/>
    <w:uiPriority w:val="98"/>
    <w:semiHidden/>
    <w:rsid w:val="00E67565"/>
    <w:pPr>
      <w:spacing w:after="120"/>
      <w:ind w:left="283"/>
    </w:pPr>
  </w:style>
  <w:style w:type="character" w:customStyle="1" w:styleId="BodyTextIndentChar">
    <w:name w:val="Body Text Indent Char"/>
    <w:basedOn w:val="DefaultParagraphFont"/>
    <w:link w:val="BodyTextIndent"/>
    <w:uiPriority w:val="98"/>
    <w:semiHidden/>
    <w:rsid w:val="00E67565"/>
    <w:rPr>
      <w:sz w:val="24"/>
      <w:szCs w:val="24"/>
      <w:lang w:val="en-GB"/>
    </w:rPr>
  </w:style>
  <w:style w:type="paragraph" w:styleId="BodyTextFirstIndent2">
    <w:name w:val="Body Text First Indent 2"/>
    <w:basedOn w:val="BodyTextIndent"/>
    <w:link w:val="BodyTextFirstIndent2Char"/>
    <w:uiPriority w:val="98"/>
    <w:semiHidden/>
    <w:rsid w:val="00E67565"/>
    <w:pPr>
      <w:spacing w:after="0"/>
      <w:ind w:left="360" w:firstLine="360"/>
    </w:pPr>
  </w:style>
  <w:style w:type="character" w:customStyle="1" w:styleId="BodyTextFirstIndent2Char">
    <w:name w:val="Body Text First Indent 2 Char"/>
    <w:basedOn w:val="BodyTextIndentChar"/>
    <w:link w:val="BodyTextFirstIndent2"/>
    <w:uiPriority w:val="98"/>
    <w:semiHidden/>
    <w:rsid w:val="00E67565"/>
    <w:rPr>
      <w:sz w:val="24"/>
      <w:szCs w:val="24"/>
      <w:lang w:val="en-GB"/>
    </w:rPr>
  </w:style>
  <w:style w:type="paragraph" w:styleId="BodyTextIndent2">
    <w:name w:val="Body Text Indent 2"/>
    <w:basedOn w:val="Normal"/>
    <w:link w:val="BodyTextIndent2Char"/>
    <w:uiPriority w:val="98"/>
    <w:semiHidden/>
    <w:rsid w:val="00E67565"/>
    <w:pPr>
      <w:spacing w:after="120" w:line="480" w:lineRule="auto"/>
      <w:ind w:left="283"/>
    </w:pPr>
  </w:style>
  <w:style w:type="character" w:customStyle="1" w:styleId="BodyTextIndent2Char">
    <w:name w:val="Body Text Indent 2 Char"/>
    <w:basedOn w:val="DefaultParagraphFont"/>
    <w:link w:val="BodyTextIndent2"/>
    <w:uiPriority w:val="98"/>
    <w:semiHidden/>
    <w:rsid w:val="00E67565"/>
    <w:rPr>
      <w:sz w:val="24"/>
      <w:szCs w:val="24"/>
      <w:lang w:val="en-GB"/>
    </w:rPr>
  </w:style>
  <w:style w:type="paragraph" w:styleId="BodyTextIndent3">
    <w:name w:val="Body Text Indent 3"/>
    <w:basedOn w:val="Normal"/>
    <w:link w:val="BodyTextIndent3Char"/>
    <w:uiPriority w:val="98"/>
    <w:semiHidden/>
    <w:rsid w:val="00E6756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67565"/>
    <w:rPr>
      <w:sz w:val="16"/>
      <w:szCs w:val="16"/>
      <w:lang w:val="en-GB"/>
    </w:rPr>
  </w:style>
  <w:style w:type="paragraph" w:styleId="Caption">
    <w:name w:val="caption"/>
    <w:basedOn w:val="Normal"/>
    <w:next w:val="Normal"/>
    <w:uiPriority w:val="98"/>
    <w:semiHidden/>
    <w:qFormat/>
    <w:rsid w:val="00E67565"/>
    <w:pPr>
      <w:spacing w:after="200"/>
    </w:pPr>
    <w:rPr>
      <w:b/>
      <w:bCs/>
      <w:color w:val="0072BC" w:themeColor="accent1"/>
      <w:sz w:val="18"/>
      <w:szCs w:val="18"/>
    </w:rPr>
  </w:style>
  <w:style w:type="paragraph" w:styleId="Closing">
    <w:name w:val="Closing"/>
    <w:basedOn w:val="Normal"/>
    <w:link w:val="ClosingChar"/>
    <w:uiPriority w:val="98"/>
    <w:semiHidden/>
    <w:rsid w:val="00E67565"/>
    <w:pPr>
      <w:ind w:left="4252"/>
    </w:pPr>
  </w:style>
  <w:style w:type="character" w:customStyle="1" w:styleId="ClosingChar">
    <w:name w:val="Closing Char"/>
    <w:basedOn w:val="DefaultParagraphFont"/>
    <w:link w:val="Closing"/>
    <w:uiPriority w:val="98"/>
    <w:semiHidden/>
    <w:rsid w:val="00E67565"/>
    <w:rPr>
      <w:sz w:val="24"/>
      <w:szCs w:val="24"/>
      <w:lang w:val="en-GB"/>
    </w:rPr>
  </w:style>
  <w:style w:type="table" w:styleId="ColorfulGrid">
    <w:name w:val="Colorful Grid"/>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6756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6756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6756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6756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6756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6756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6756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6756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6756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6756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6756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67565"/>
    <w:rPr>
      <w:sz w:val="16"/>
      <w:szCs w:val="16"/>
    </w:rPr>
  </w:style>
  <w:style w:type="paragraph" w:styleId="CommentText">
    <w:name w:val="annotation text"/>
    <w:basedOn w:val="Normal"/>
    <w:link w:val="CommentTextChar"/>
    <w:uiPriority w:val="98"/>
    <w:semiHidden/>
    <w:rsid w:val="00E67565"/>
    <w:rPr>
      <w:sz w:val="20"/>
      <w:szCs w:val="20"/>
    </w:rPr>
  </w:style>
  <w:style w:type="character" w:customStyle="1" w:styleId="CommentTextChar">
    <w:name w:val="Comment Text Char"/>
    <w:basedOn w:val="DefaultParagraphFont"/>
    <w:link w:val="CommentText"/>
    <w:uiPriority w:val="98"/>
    <w:semiHidden/>
    <w:rsid w:val="00E67565"/>
    <w:rPr>
      <w:sz w:val="20"/>
      <w:szCs w:val="20"/>
      <w:lang w:val="en-GB"/>
    </w:rPr>
  </w:style>
  <w:style w:type="paragraph" w:styleId="CommentSubject">
    <w:name w:val="annotation subject"/>
    <w:basedOn w:val="CommentText"/>
    <w:next w:val="CommentText"/>
    <w:link w:val="CommentSubjectChar"/>
    <w:uiPriority w:val="98"/>
    <w:semiHidden/>
    <w:rsid w:val="00E67565"/>
    <w:rPr>
      <w:b/>
      <w:bCs/>
    </w:rPr>
  </w:style>
  <w:style w:type="character" w:customStyle="1" w:styleId="CommentSubjectChar">
    <w:name w:val="Comment Subject Char"/>
    <w:basedOn w:val="CommentTextChar"/>
    <w:link w:val="CommentSubject"/>
    <w:uiPriority w:val="98"/>
    <w:semiHidden/>
    <w:rsid w:val="00E67565"/>
    <w:rPr>
      <w:b/>
      <w:bCs/>
      <w:sz w:val="20"/>
      <w:szCs w:val="20"/>
      <w:lang w:val="en-GB"/>
    </w:rPr>
  </w:style>
  <w:style w:type="table" w:styleId="DarkList">
    <w:name w:val="Dark List"/>
    <w:basedOn w:val="TableNormal"/>
    <w:uiPriority w:val="70"/>
    <w:semiHidden/>
    <w:rsid w:val="00E6756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6756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6756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6756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6756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6756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6756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67565"/>
  </w:style>
  <w:style w:type="character" w:customStyle="1" w:styleId="DateChar">
    <w:name w:val="Date Char"/>
    <w:basedOn w:val="DefaultParagraphFont"/>
    <w:link w:val="Date"/>
    <w:uiPriority w:val="98"/>
    <w:semiHidden/>
    <w:rsid w:val="00E67565"/>
    <w:rPr>
      <w:sz w:val="24"/>
      <w:szCs w:val="24"/>
      <w:lang w:val="en-GB"/>
    </w:rPr>
  </w:style>
  <w:style w:type="paragraph" w:styleId="DocumentMap">
    <w:name w:val="Document Map"/>
    <w:basedOn w:val="Normal"/>
    <w:link w:val="DocumentMapChar"/>
    <w:uiPriority w:val="98"/>
    <w:semiHidden/>
    <w:rsid w:val="00E67565"/>
    <w:rPr>
      <w:rFonts w:ascii="Tahoma" w:hAnsi="Tahoma" w:cs="Tahoma"/>
      <w:sz w:val="16"/>
      <w:szCs w:val="16"/>
    </w:rPr>
  </w:style>
  <w:style w:type="character" w:customStyle="1" w:styleId="DocumentMapChar">
    <w:name w:val="Document Map Char"/>
    <w:basedOn w:val="DefaultParagraphFont"/>
    <w:link w:val="DocumentMap"/>
    <w:uiPriority w:val="98"/>
    <w:semiHidden/>
    <w:rsid w:val="00E67565"/>
    <w:rPr>
      <w:rFonts w:ascii="Tahoma" w:hAnsi="Tahoma" w:cs="Tahoma"/>
      <w:sz w:val="16"/>
      <w:szCs w:val="16"/>
      <w:lang w:val="en-GB"/>
    </w:rPr>
  </w:style>
  <w:style w:type="paragraph" w:styleId="E-mailSignature">
    <w:name w:val="E-mail Signature"/>
    <w:basedOn w:val="Normal"/>
    <w:link w:val="E-mailSignatureChar"/>
    <w:uiPriority w:val="98"/>
    <w:semiHidden/>
    <w:rsid w:val="00E67565"/>
  </w:style>
  <w:style w:type="character" w:customStyle="1" w:styleId="E-mailSignatureChar">
    <w:name w:val="E-mail Signature Char"/>
    <w:basedOn w:val="DefaultParagraphFont"/>
    <w:link w:val="E-mailSignature"/>
    <w:uiPriority w:val="98"/>
    <w:semiHidden/>
    <w:rsid w:val="00E67565"/>
    <w:rPr>
      <w:sz w:val="24"/>
      <w:szCs w:val="24"/>
      <w:lang w:val="en-GB"/>
    </w:rPr>
  </w:style>
  <w:style w:type="character" w:styleId="EndnoteReference">
    <w:name w:val="endnote reference"/>
    <w:basedOn w:val="DefaultParagraphFont"/>
    <w:uiPriority w:val="98"/>
    <w:semiHidden/>
    <w:rsid w:val="00E67565"/>
    <w:rPr>
      <w:vertAlign w:val="superscript"/>
    </w:rPr>
  </w:style>
  <w:style w:type="paragraph" w:styleId="EndnoteText">
    <w:name w:val="endnote text"/>
    <w:basedOn w:val="Normal"/>
    <w:link w:val="EndnoteTextChar"/>
    <w:uiPriority w:val="98"/>
    <w:semiHidden/>
    <w:rsid w:val="00E67565"/>
    <w:rPr>
      <w:sz w:val="20"/>
      <w:szCs w:val="20"/>
    </w:rPr>
  </w:style>
  <w:style w:type="character" w:customStyle="1" w:styleId="EndnoteTextChar">
    <w:name w:val="Endnote Text Char"/>
    <w:basedOn w:val="DefaultParagraphFont"/>
    <w:link w:val="EndnoteText"/>
    <w:uiPriority w:val="98"/>
    <w:semiHidden/>
    <w:rsid w:val="00E67565"/>
    <w:rPr>
      <w:sz w:val="20"/>
      <w:szCs w:val="20"/>
      <w:lang w:val="en-GB"/>
    </w:rPr>
  </w:style>
  <w:style w:type="paragraph" w:styleId="EnvelopeAddress">
    <w:name w:val="envelope address"/>
    <w:basedOn w:val="Normal"/>
    <w:uiPriority w:val="98"/>
    <w:semiHidden/>
    <w:rsid w:val="00E6756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6756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67565"/>
    <w:rPr>
      <w:color w:val="7030A0" w:themeColor="followedHyperlink"/>
      <w:u w:val="single"/>
    </w:rPr>
  </w:style>
  <w:style w:type="character" w:styleId="HTMLAcronym">
    <w:name w:val="HTML Acronym"/>
    <w:basedOn w:val="DefaultParagraphFont"/>
    <w:uiPriority w:val="98"/>
    <w:semiHidden/>
    <w:rsid w:val="00E67565"/>
  </w:style>
  <w:style w:type="paragraph" w:styleId="HTMLAddress">
    <w:name w:val="HTML Address"/>
    <w:basedOn w:val="Normal"/>
    <w:link w:val="HTMLAddressChar"/>
    <w:uiPriority w:val="98"/>
    <w:semiHidden/>
    <w:rsid w:val="00E67565"/>
    <w:rPr>
      <w:i/>
      <w:iCs/>
    </w:rPr>
  </w:style>
  <w:style w:type="character" w:customStyle="1" w:styleId="HTMLAddressChar">
    <w:name w:val="HTML Address Char"/>
    <w:basedOn w:val="DefaultParagraphFont"/>
    <w:link w:val="HTMLAddress"/>
    <w:uiPriority w:val="98"/>
    <w:semiHidden/>
    <w:rsid w:val="00E67565"/>
    <w:rPr>
      <w:i/>
      <w:iCs/>
      <w:sz w:val="24"/>
      <w:szCs w:val="24"/>
      <w:lang w:val="en-GB"/>
    </w:rPr>
  </w:style>
  <w:style w:type="character" w:styleId="HTMLCite">
    <w:name w:val="HTML Cite"/>
    <w:basedOn w:val="DefaultParagraphFont"/>
    <w:uiPriority w:val="98"/>
    <w:semiHidden/>
    <w:rsid w:val="00E67565"/>
    <w:rPr>
      <w:i/>
      <w:iCs/>
    </w:rPr>
  </w:style>
  <w:style w:type="character" w:styleId="HTMLCode">
    <w:name w:val="HTML Code"/>
    <w:basedOn w:val="DefaultParagraphFont"/>
    <w:uiPriority w:val="98"/>
    <w:semiHidden/>
    <w:rsid w:val="00E67565"/>
    <w:rPr>
      <w:rFonts w:ascii="Consolas" w:hAnsi="Consolas" w:cs="Consolas"/>
      <w:sz w:val="20"/>
      <w:szCs w:val="20"/>
    </w:rPr>
  </w:style>
  <w:style w:type="character" w:styleId="HTMLDefinition">
    <w:name w:val="HTML Definition"/>
    <w:basedOn w:val="DefaultParagraphFont"/>
    <w:uiPriority w:val="98"/>
    <w:semiHidden/>
    <w:rsid w:val="00E67565"/>
    <w:rPr>
      <w:i/>
      <w:iCs/>
    </w:rPr>
  </w:style>
  <w:style w:type="character" w:styleId="HTMLKeyboard">
    <w:name w:val="HTML Keyboard"/>
    <w:basedOn w:val="DefaultParagraphFont"/>
    <w:uiPriority w:val="98"/>
    <w:semiHidden/>
    <w:rsid w:val="00E67565"/>
    <w:rPr>
      <w:rFonts w:ascii="Consolas" w:hAnsi="Consolas" w:cs="Consolas"/>
      <w:sz w:val="20"/>
      <w:szCs w:val="20"/>
    </w:rPr>
  </w:style>
  <w:style w:type="paragraph" w:styleId="HTMLPreformatted">
    <w:name w:val="HTML Preformatted"/>
    <w:basedOn w:val="Normal"/>
    <w:link w:val="HTMLPreformattedChar"/>
    <w:uiPriority w:val="98"/>
    <w:semiHidden/>
    <w:rsid w:val="00E6756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67565"/>
    <w:rPr>
      <w:rFonts w:ascii="Consolas" w:hAnsi="Consolas" w:cs="Consolas"/>
      <w:sz w:val="20"/>
      <w:szCs w:val="20"/>
      <w:lang w:val="en-GB"/>
    </w:rPr>
  </w:style>
  <w:style w:type="character" w:styleId="HTMLSample">
    <w:name w:val="HTML Sample"/>
    <w:basedOn w:val="DefaultParagraphFont"/>
    <w:uiPriority w:val="98"/>
    <w:semiHidden/>
    <w:rsid w:val="00E67565"/>
    <w:rPr>
      <w:rFonts w:ascii="Consolas" w:hAnsi="Consolas" w:cs="Consolas"/>
      <w:sz w:val="24"/>
      <w:szCs w:val="24"/>
    </w:rPr>
  </w:style>
  <w:style w:type="character" w:styleId="HTMLTypewriter">
    <w:name w:val="HTML Typewriter"/>
    <w:basedOn w:val="DefaultParagraphFont"/>
    <w:uiPriority w:val="98"/>
    <w:semiHidden/>
    <w:rsid w:val="00E67565"/>
    <w:rPr>
      <w:rFonts w:ascii="Consolas" w:hAnsi="Consolas" w:cs="Consolas"/>
      <w:sz w:val="20"/>
      <w:szCs w:val="20"/>
    </w:rPr>
  </w:style>
  <w:style w:type="character" w:styleId="HTMLVariable">
    <w:name w:val="HTML Variable"/>
    <w:basedOn w:val="DefaultParagraphFont"/>
    <w:uiPriority w:val="98"/>
    <w:semiHidden/>
    <w:rsid w:val="00E67565"/>
    <w:rPr>
      <w:i/>
      <w:iCs/>
    </w:rPr>
  </w:style>
  <w:style w:type="paragraph" w:styleId="Index1">
    <w:name w:val="index 1"/>
    <w:basedOn w:val="Normal"/>
    <w:next w:val="Normal"/>
    <w:autoRedefine/>
    <w:uiPriority w:val="98"/>
    <w:semiHidden/>
    <w:rsid w:val="00E67565"/>
    <w:pPr>
      <w:ind w:left="240" w:hanging="240"/>
    </w:pPr>
  </w:style>
  <w:style w:type="paragraph" w:styleId="Index2">
    <w:name w:val="index 2"/>
    <w:basedOn w:val="Normal"/>
    <w:next w:val="Normal"/>
    <w:autoRedefine/>
    <w:uiPriority w:val="98"/>
    <w:semiHidden/>
    <w:rsid w:val="00E67565"/>
    <w:pPr>
      <w:ind w:left="480" w:hanging="240"/>
    </w:pPr>
  </w:style>
  <w:style w:type="paragraph" w:styleId="Index3">
    <w:name w:val="index 3"/>
    <w:basedOn w:val="Normal"/>
    <w:next w:val="Normal"/>
    <w:autoRedefine/>
    <w:uiPriority w:val="98"/>
    <w:semiHidden/>
    <w:rsid w:val="00E67565"/>
    <w:pPr>
      <w:ind w:left="720" w:hanging="240"/>
    </w:pPr>
  </w:style>
  <w:style w:type="paragraph" w:styleId="Index4">
    <w:name w:val="index 4"/>
    <w:basedOn w:val="Normal"/>
    <w:next w:val="Normal"/>
    <w:autoRedefine/>
    <w:uiPriority w:val="98"/>
    <w:semiHidden/>
    <w:rsid w:val="00E67565"/>
    <w:pPr>
      <w:ind w:left="960" w:hanging="240"/>
    </w:pPr>
  </w:style>
  <w:style w:type="paragraph" w:styleId="Index5">
    <w:name w:val="index 5"/>
    <w:basedOn w:val="Normal"/>
    <w:next w:val="Normal"/>
    <w:autoRedefine/>
    <w:uiPriority w:val="98"/>
    <w:semiHidden/>
    <w:rsid w:val="00E67565"/>
    <w:pPr>
      <w:ind w:left="1200" w:hanging="240"/>
    </w:pPr>
  </w:style>
  <w:style w:type="paragraph" w:styleId="Index6">
    <w:name w:val="index 6"/>
    <w:basedOn w:val="Normal"/>
    <w:next w:val="Normal"/>
    <w:autoRedefine/>
    <w:uiPriority w:val="98"/>
    <w:semiHidden/>
    <w:rsid w:val="00E67565"/>
    <w:pPr>
      <w:ind w:left="1440" w:hanging="240"/>
    </w:pPr>
  </w:style>
  <w:style w:type="paragraph" w:styleId="Index7">
    <w:name w:val="index 7"/>
    <w:basedOn w:val="Normal"/>
    <w:next w:val="Normal"/>
    <w:autoRedefine/>
    <w:uiPriority w:val="98"/>
    <w:semiHidden/>
    <w:rsid w:val="00E67565"/>
    <w:pPr>
      <w:ind w:left="1680" w:hanging="240"/>
    </w:pPr>
  </w:style>
  <w:style w:type="paragraph" w:styleId="Index8">
    <w:name w:val="index 8"/>
    <w:basedOn w:val="Normal"/>
    <w:next w:val="Normal"/>
    <w:autoRedefine/>
    <w:uiPriority w:val="98"/>
    <w:semiHidden/>
    <w:rsid w:val="00E67565"/>
    <w:pPr>
      <w:ind w:left="1920" w:hanging="240"/>
    </w:pPr>
  </w:style>
  <w:style w:type="paragraph" w:styleId="Index9">
    <w:name w:val="index 9"/>
    <w:basedOn w:val="Normal"/>
    <w:next w:val="Normal"/>
    <w:autoRedefine/>
    <w:uiPriority w:val="98"/>
    <w:semiHidden/>
    <w:rsid w:val="00E67565"/>
    <w:pPr>
      <w:ind w:left="2160" w:hanging="240"/>
    </w:pPr>
  </w:style>
  <w:style w:type="paragraph" w:styleId="IndexHeading">
    <w:name w:val="index heading"/>
    <w:basedOn w:val="Normal"/>
    <w:next w:val="Index1"/>
    <w:uiPriority w:val="98"/>
    <w:semiHidden/>
    <w:rsid w:val="00E67565"/>
    <w:rPr>
      <w:rFonts w:asciiTheme="majorHAnsi" w:eastAsiaTheme="majorEastAsia" w:hAnsiTheme="majorHAnsi" w:cstheme="majorBidi"/>
      <w:b/>
      <w:bCs/>
    </w:rPr>
  </w:style>
  <w:style w:type="table" w:styleId="LightGrid">
    <w:name w:val="Light Grid"/>
    <w:basedOn w:val="TableNormal"/>
    <w:uiPriority w:val="62"/>
    <w:semiHidden/>
    <w:rsid w:val="00E6756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6756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6756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6756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6756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6756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6756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6756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6756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6756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6756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6756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6756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6756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6756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6756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6756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6756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6756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6756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6756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67565"/>
  </w:style>
  <w:style w:type="paragraph" w:styleId="List">
    <w:name w:val="List"/>
    <w:basedOn w:val="Normal"/>
    <w:uiPriority w:val="98"/>
    <w:semiHidden/>
    <w:rsid w:val="00E67565"/>
    <w:pPr>
      <w:ind w:left="283" w:hanging="283"/>
      <w:contextualSpacing/>
    </w:pPr>
  </w:style>
  <w:style w:type="paragraph" w:styleId="List20">
    <w:name w:val="List 2"/>
    <w:basedOn w:val="Normal"/>
    <w:uiPriority w:val="98"/>
    <w:semiHidden/>
    <w:rsid w:val="00E67565"/>
    <w:pPr>
      <w:ind w:left="566" w:hanging="283"/>
      <w:contextualSpacing/>
    </w:pPr>
  </w:style>
  <w:style w:type="paragraph" w:styleId="List30">
    <w:name w:val="List 3"/>
    <w:basedOn w:val="Normal"/>
    <w:uiPriority w:val="98"/>
    <w:semiHidden/>
    <w:rsid w:val="00E67565"/>
    <w:pPr>
      <w:ind w:left="849" w:hanging="283"/>
      <w:contextualSpacing/>
    </w:pPr>
  </w:style>
  <w:style w:type="paragraph" w:styleId="List4">
    <w:name w:val="List 4"/>
    <w:basedOn w:val="Normal"/>
    <w:uiPriority w:val="98"/>
    <w:semiHidden/>
    <w:rsid w:val="00E67565"/>
    <w:pPr>
      <w:ind w:left="1132" w:hanging="283"/>
      <w:contextualSpacing/>
    </w:pPr>
  </w:style>
  <w:style w:type="paragraph" w:styleId="List5">
    <w:name w:val="List 5"/>
    <w:basedOn w:val="Normal"/>
    <w:uiPriority w:val="98"/>
    <w:semiHidden/>
    <w:rsid w:val="00E67565"/>
    <w:pPr>
      <w:ind w:left="1415" w:hanging="283"/>
      <w:contextualSpacing/>
    </w:pPr>
  </w:style>
  <w:style w:type="paragraph" w:styleId="ListBullet2">
    <w:name w:val="List Bullet 2"/>
    <w:basedOn w:val="Normal"/>
    <w:uiPriority w:val="98"/>
    <w:semiHidden/>
    <w:rsid w:val="00E67565"/>
    <w:pPr>
      <w:numPr>
        <w:numId w:val="12"/>
      </w:numPr>
      <w:contextualSpacing/>
    </w:pPr>
  </w:style>
  <w:style w:type="paragraph" w:styleId="ListBullet4">
    <w:name w:val="List Bullet 4"/>
    <w:basedOn w:val="Normal"/>
    <w:uiPriority w:val="98"/>
    <w:semiHidden/>
    <w:rsid w:val="00E67565"/>
    <w:pPr>
      <w:numPr>
        <w:numId w:val="14"/>
      </w:numPr>
      <w:contextualSpacing/>
    </w:pPr>
  </w:style>
  <w:style w:type="paragraph" w:styleId="ListBullet5">
    <w:name w:val="List Bullet 5"/>
    <w:basedOn w:val="Normal"/>
    <w:uiPriority w:val="98"/>
    <w:semiHidden/>
    <w:rsid w:val="00E67565"/>
    <w:pPr>
      <w:numPr>
        <w:numId w:val="15"/>
      </w:numPr>
      <w:contextualSpacing/>
    </w:pPr>
  </w:style>
  <w:style w:type="paragraph" w:styleId="ListContinue">
    <w:name w:val="List Continue"/>
    <w:basedOn w:val="Normal"/>
    <w:uiPriority w:val="98"/>
    <w:semiHidden/>
    <w:rsid w:val="00E67565"/>
    <w:pPr>
      <w:spacing w:after="120"/>
      <w:ind w:left="283"/>
      <w:contextualSpacing/>
    </w:pPr>
  </w:style>
  <w:style w:type="paragraph" w:styleId="ListContinue2">
    <w:name w:val="List Continue 2"/>
    <w:basedOn w:val="Normal"/>
    <w:uiPriority w:val="98"/>
    <w:semiHidden/>
    <w:rsid w:val="00E67565"/>
    <w:pPr>
      <w:spacing w:after="120"/>
      <w:ind w:left="566"/>
      <w:contextualSpacing/>
    </w:pPr>
  </w:style>
  <w:style w:type="paragraph" w:styleId="ListContinue3">
    <w:name w:val="List Continue 3"/>
    <w:basedOn w:val="Normal"/>
    <w:uiPriority w:val="98"/>
    <w:semiHidden/>
    <w:rsid w:val="00E67565"/>
    <w:pPr>
      <w:spacing w:after="120"/>
      <w:ind w:left="849"/>
      <w:contextualSpacing/>
    </w:pPr>
  </w:style>
  <w:style w:type="paragraph" w:styleId="ListContinue4">
    <w:name w:val="List Continue 4"/>
    <w:basedOn w:val="Normal"/>
    <w:uiPriority w:val="98"/>
    <w:semiHidden/>
    <w:rsid w:val="00E67565"/>
    <w:pPr>
      <w:spacing w:after="120"/>
      <w:ind w:left="1132"/>
      <w:contextualSpacing/>
    </w:pPr>
  </w:style>
  <w:style w:type="paragraph" w:styleId="ListContinue5">
    <w:name w:val="List Continue 5"/>
    <w:basedOn w:val="Normal"/>
    <w:uiPriority w:val="98"/>
    <w:semiHidden/>
    <w:rsid w:val="00E67565"/>
    <w:pPr>
      <w:spacing w:after="120"/>
      <w:ind w:left="1415"/>
      <w:contextualSpacing/>
    </w:pPr>
  </w:style>
  <w:style w:type="paragraph" w:styleId="ListNumber">
    <w:name w:val="List Number"/>
    <w:basedOn w:val="Normal"/>
    <w:uiPriority w:val="98"/>
    <w:semiHidden/>
    <w:rsid w:val="00E67565"/>
    <w:pPr>
      <w:numPr>
        <w:numId w:val="16"/>
      </w:numPr>
      <w:contextualSpacing/>
    </w:pPr>
  </w:style>
  <w:style w:type="paragraph" w:styleId="ListNumber2">
    <w:name w:val="List Number 2"/>
    <w:basedOn w:val="Normal"/>
    <w:uiPriority w:val="98"/>
    <w:semiHidden/>
    <w:rsid w:val="00E67565"/>
    <w:pPr>
      <w:numPr>
        <w:numId w:val="17"/>
      </w:numPr>
      <w:contextualSpacing/>
    </w:pPr>
  </w:style>
  <w:style w:type="paragraph" w:styleId="ListNumber3">
    <w:name w:val="List Number 3"/>
    <w:basedOn w:val="Normal"/>
    <w:uiPriority w:val="98"/>
    <w:semiHidden/>
    <w:rsid w:val="00E67565"/>
    <w:pPr>
      <w:numPr>
        <w:numId w:val="18"/>
      </w:numPr>
      <w:contextualSpacing/>
    </w:pPr>
  </w:style>
  <w:style w:type="paragraph" w:styleId="ListNumber4">
    <w:name w:val="List Number 4"/>
    <w:basedOn w:val="Normal"/>
    <w:uiPriority w:val="98"/>
    <w:semiHidden/>
    <w:rsid w:val="00E67565"/>
    <w:pPr>
      <w:numPr>
        <w:numId w:val="19"/>
      </w:numPr>
      <w:contextualSpacing/>
    </w:pPr>
  </w:style>
  <w:style w:type="paragraph" w:styleId="ListNumber5">
    <w:name w:val="List Number 5"/>
    <w:basedOn w:val="Normal"/>
    <w:uiPriority w:val="98"/>
    <w:semiHidden/>
    <w:rsid w:val="00E67565"/>
    <w:pPr>
      <w:numPr>
        <w:numId w:val="20"/>
      </w:numPr>
      <w:contextualSpacing/>
    </w:pPr>
  </w:style>
  <w:style w:type="paragraph" w:styleId="Macro">
    <w:name w:val="macro"/>
    <w:link w:val="MacroTextChar"/>
    <w:uiPriority w:val="98"/>
    <w:semiHidden/>
    <w:rsid w:val="00E6756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67565"/>
    <w:rPr>
      <w:rFonts w:ascii="Consolas" w:hAnsi="Consolas" w:eastAsiaTheme="minorEastAsia" w:cs="Consolas"/>
      <w:sz w:val="20"/>
      <w:szCs w:val="20"/>
    </w:rPr>
  </w:style>
  <w:style w:type="table" w:styleId="MediumGrid1">
    <w:name w:val="Medium Grid 1"/>
    <w:basedOn w:val="TableNormal"/>
    <w:uiPriority w:val="67"/>
    <w:semiHidden/>
    <w:rsid w:val="00E675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675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675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675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675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675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675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6756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6756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6756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6756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6756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6756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6756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675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675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675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675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675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675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675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6756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6756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67565"/>
    <w:rPr>
      <w:rFonts w:ascii="Times New Roman" w:hAnsi="Times New Roman" w:cs="Times New Roman"/>
    </w:rPr>
  </w:style>
  <w:style w:type="paragraph" w:styleId="NormalIndent">
    <w:name w:val="Normal Indent"/>
    <w:basedOn w:val="Normal"/>
    <w:uiPriority w:val="98"/>
    <w:semiHidden/>
    <w:rsid w:val="00E67565"/>
    <w:pPr>
      <w:ind w:left="720"/>
    </w:pPr>
  </w:style>
  <w:style w:type="paragraph" w:styleId="NoteHeading">
    <w:name w:val="Note Heading"/>
    <w:basedOn w:val="Normal"/>
    <w:next w:val="Normal"/>
    <w:link w:val="NoteHeadingChar"/>
    <w:uiPriority w:val="98"/>
    <w:semiHidden/>
    <w:rsid w:val="00E67565"/>
  </w:style>
  <w:style w:type="character" w:customStyle="1" w:styleId="NoteHeadingChar">
    <w:name w:val="Note Heading Char"/>
    <w:basedOn w:val="DefaultParagraphFont"/>
    <w:link w:val="NoteHeading"/>
    <w:uiPriority w:val="98"/>
    <w:semiHidden/>
    <w:rsid w:val="00E67565"/>
    <w:rPr>
      <w:sz w:val="24"/>
      <w:szCs w:val="24"/>
      <w:lang w:val="en-GB"/>
    </w:rPr>
  </w:style>
  <w:style w:type="character" w:styleId="PlaceholderText">
    <w:name w:val="Placeholder Text"/>
    <w:basedOn w:val="DefaultParagraphFont"/>
    <w:uiPriority w:val="98"/>
    <w:semiHidden/>
    <w:rsid w:val="00E6756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67565"/>
    <w:rPr>
      <w:rFonts w:ascii="Consolas" w:hAnsi="Consolas" w:cs="Consolas"/>
      <w:sz w:val="21"/>
      <w:szCs w:val="21"/>
    </w:rPr>
  </w:style>
  <w:style w:type="character" w:customStyle="1" w:styleId="PlainTextChar">
    <w:name w:val="Plain Text Char"/>
    <w:basedOn w:val="DefaultParagraphFont"/>
    <w:link w:val="PlainText"/>
    <w:uiPriority w:val="98"/>
    <w:semiHidden/>
    <w:rsid w:val="00E67565"/>
    <w:rPr>
      <w:rFonts w:ascii="Consolas" w:hAnsi="Consolas" w:cs="Consolas"/>
      <w:sz w:val="21"/>
      <w:szCs w:val="21"/>
      <w:lang w:val="en-GB"/>
    </w:rPr>
  </w:style>
  <w:style w:type="paragraph" w:styleId="Salutation">
    <w:name w:val="Salutation"/>
    <w:basedOn w:val="Normal"/>
    <w:next w:val="Normal"/>
    <w:link w:val="SalutationChar"/>
    <w:uiPriority w:val="98"/>
    <w:semiHidden/>
    <w:rsid w:val="00E67565"/>
  </w:style>
  <w:style w:type="character" w:customStyle="1" w:styleId="SalutationChar">
    <w:name w:val="Salutation Char"/>
    <w:basedOn w:val="DefaultParagraphFont"/>
    <w:link w:val="Salutation"/>
    <w:uiPriority w:val="98"/>
    <w:semiHidden/>
    <w:rsid w:val="00E67565"/>
    <w:rPr>
      <w:sz w:val="24"/>
      <w:szCs w:val="24"/>
      <w:lang w:val="en-GB"/>
    </w:rPr>
  </w:style>
  <w:style w:type="paragraph" w:styleId="Signature0">
    <w:name w:val="Signature"/>
    <w:basedOn w:val="Normal"/>
    <w:link w:val="SignatureChar"/>
    <w:uiPriority w:val="98"/>
    <w:semiHidden/>
    <w:rsid w:val="00E67565"/>
    <w:pPr>
      <w:ind w:left="4252"/>
    </w:pPr>
  </w:style>
  <w:style w:type="character" w:customStyle="1" w:styleId="SignatureChar">
    <w:name w:val="Signature Char"/>
    <w:basedOn w:val="DefaultParagraphFont"/>
    <w:link w:val="Signature0"/>
    <w:uiPriority w:val="98"/>
    <w:semiHidden/>
    <w:rsid w:val="00E67565"/>
    <w:rPr>
      <w:sz w:val="24"/>
      <w:szCs w:val="24"/>
      <w:lang w:val="en-GB"/>
    </w:rPr>
  </w:style>
  <w:style w:type="table" w:styleId="Table3Deffects1">
    <w:name w:val="Table 3D effects 1"/>
    <w:basedOn w:val="TableNormal"/>
    <w:uiPriority w:val="99"/>
    <w:semiHidden/>
    <w:unhideWhenUsed/>
    <w:rsid w:val="00E6756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756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756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756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756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756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756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756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756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756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756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756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756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756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756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756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756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756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756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756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756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756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6756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756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756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756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756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756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67565"/>
    <w:pPr>
      <w:ind w:left="240" w:hanging="240"/>
    </w:pPr>
  </w:style>
  <w:style w:type="paragraph" w:styleId="TableofFigures">
    <w:name w:val="table of figures"/>
    <w:basedOn w:val="Normal"/>
    <w:next w:val="Normal"/>
    <w:uiPriority w:val="98"/>
    <w:semiHidden/>
    <w:rsid w:val="00E67565"/>
  </w:style>
  <w:style w:type="table" w:styleId="TableProfessional">
    <w:name w:val="Table Professional"/>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756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756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756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756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756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756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756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756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6756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6756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67565"/>
    <w:pPr>
      <w:spacing w:after="100"/>
      <w:ind w:left="1680"/>
    </w:pPr>
  </w:style>
  <w:style w:type="paragraph" w:styleId="TOC9">
    <w:name w:val="toc 9"/>
    <w:basedOn w:val="Normal"/>
    <w:next w:val="Normal"/>
    <w:autoRedefine/>
    <w:uiPriority w:val="98"/>
    <w:semiHidden/>
    <w:rsid w:val="00E6756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6756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6756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6756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6756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67565"/>
    <w:pPr>
      <w:numPr>
        <w:numId w:val="7"/>
      </w:numPr>
      <w:tabs>
        <w:tab w:val="num" w:pos="397"/>
        <w:tab w:val="clear" w:pos="851"/>
      </w:tabs>
      <w:spacing w:before="60" w:after="60"/>
      <w:ind w:left="397" w:hanging="397"/>
    </w:pPr>
  </w:style>
  <w:style w:type="paragraph" w:customStyle="1" w:styleId="ECHRBullet2">
    <w:name w:val="ECHR_Bullet_2"/>
    <w:aliases w:val="_Bul_2"/>
    <w:basedOn w:val="ECHRBullet1"/>
    <w:uiPriority w:val="23"/>
    <w:semiHidden/>
    <w:rsid w:val="00E67565"/>
    <w:pPr>
      <w:numPr>
        <w:ilvl w:val="1"/>
      </w:numPr>
    </w:pPr>
  </w:style>
  <w:style w:type="paragraph" w:customStyle="1" w:styleId="ECHRBullet3">
    <w:name w:val="ECHR_Bullet_3"/>
    <w:aliases w:val="_Bul_3"/>
    <w:basedOn w:val="ECHRBullet2"/>
    <w:uiPriority w:val="23"/>
    <w:semiHidden/>
    <w:rsid w:val="00E67565"/>
    <w:pPr>
      <w:numPr>
        <w:ilvl w:val="2"/>
      </w:numPr>
    </w:pPr>
  </w:style>
  <w:style w:type="paragraph" w:customStyle="1" w:styleId="ECHRBullet4">
    <w:name w:val="ECHR_Bullet_4"/>
    <w:aliases w:val="_Bul_4"/>
    <w:basedOn w:val="ECHRBullet3"/>
    <w:uiPriority w:val="23"/>
    <w:semiHidden/>
    <w:rsid w:val="00E67565"/>
    <w:pPr>
      <w:numPr>
        <w:ilvl w:val="3"/>
      </w:numPr>
    </w:pPr>
  </w:style>
  <w:style w:type="paragraph" w:customStyle="1" w:styleId="ECHRConfidential">
    <w:name w:val="ECHR_Confidential"/>
    <w:aliases w:val="_Confidential"/>
    <w:basedOn w:val="Normal"/>
    <w:next w:val="Normal"/>
    <w:uiPriority w:val="42"/>
    <w:semiHidden/>
    <w:qFormat/>
    <w:rsid w:val="00E67565"/>
    <w:pPr>
      <w:jc w:val="right"/>
    </w:pPr>
    <w:rPr>
      <w:color w:val="C00000"/>
      <w:sz w:val="20"/>
    </w:rPr>
  </w:style>
  <w:style w:type="paragraph" w:customStyle="1" w:styleId="ECHRDecisionBody">
    <w:name w:val="ECHR_Decision_Body"/>
    <w:aliases w:val="_Decision_Body"/>
    <w:basedOn w:val="NormalJustified"/>
    <w:uiPriority w:val="54"/>
    <w:semiHidden/>
    <w:rsid w:val="00E6756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6756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6756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6756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67565"/>
    <w:pPr>
      <w:jc w:val="right"/>
    </w:pPr>
    <w:rPr>
      <w:sz w:val="20"/>
    </w:rPr>
  </w:style>
  <w:style w:type="paragraph" w:customStyle="1" w:styleId="ECHRHeaderRefIt">
    <w:name w:val="ECHR_Header_Ref_It"/>
    <w:aliases w:val="_Ref_Ital"/>
    <w:basedOn w:val="Normal"/>
    <w:next w:val="ECHRHeaderDate"/>
    <w:uiPriority w:val="43"/>
    <w:semiHidden/>
    <w:qFormat/>
    <w:rsid w:val="00E67565"/>
    <w:pPr>
      <w:jc w:val="right"/>
    </w:pPr>
    <w:rPr>
      <w:i/>
      <w:sz w:val="20"/>
    </w:rPr>
  </w:style>
  <w:style w:type="paragraph" w:customStyle="1" w:styleId="ECHRHeading9">
    <w:name w:val="ECHR_Heading_9"/>
    <w:aliases w:val="_Head_9"/>
    <w:basedOn w:val="Heading9"/>
    <w:uiPriority w:val="17"/>
    <w:semiHidden/>
    <w:rsid w:val="00E67565"/>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6756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67565"/>
    <w:pPr>
      <w:numPr>
        <w:numId w:val="8"/>
      </w:numPr>
      <w:spacing w:before="60" w:after="60"/>
    </w:pPr>
  </w:style>
  <w:style w:type="paragraph" w:customStyle="1" w:styleId="ECHRNumberedList2">
    <w:name w:val="ECHR_Numbered_List_2"/>
    <w:aliases w:val="_Num_2"/>
    <w:basedOn w:val="ECHRNumberedList1"/>
    <w:uiPriority w:val="23"/>
    <w:semiHidden/>
    <w:rsid w:val="00E67565"/>
    <w:pPr>
      <w:numPr>
        <w:ilvl w:val="1"/>
      </w:numPr>
    </w:pPr>
  </w:style>
  <w:style w:type="paragraph" w:customStyle="1" w:styleId="ECHRNumberedList3">
    <w:name w:val="ECHR_Numbered_List_3"/>
    <w:aliases w:val="_Num_3"/>
    <w:basedOn w:val="ECHRNumberedList2"/>
    <w:uiPriority w:val="23"/>
    <w:semiHidden/>
    <w:rsid w:val="00E67565"/>
    <w:pPr>
      <w:numPr>
        <w:ilvl w:val="2"/>
      </w:numPr>
    </w:pPr>
  </w:style>
  <w:style w:type="paragraph" w:customStyle="1" w:styleId="ECHRParaHanging">
    <w:name w:val="ECHR_Para_Hanging"/>
    <w:aliases w:val="_Hanging"/>
    <w:basedOn w:val="Normal"/>
    <w:uiPriority w:val="8"/>
    <w:semiHidden/>
    <w:qFormat/>
    <w:rsid w:val="00E67565"/>
    <w:pPr>
      <w:ind w:left="567" w:hanging="567"/>
      <w:jc w:val="both"/>
    </w:pPr>
  </w:style>
  <w:style w:type="paragraph" w:customStyle="1" w:styleId="ECHRParaIndent">
    <w:name w:val="ECHR_Para_Indent"/>
    <w:aliases w:val="_Indent"/>
    <w:basedOn w:val="Normal"/>
    <w:uiPriority w:val="7"/>
    <w:semiHidden/>
    <w:qFormat/>
    <w:rsid w:val="00E67565"/>
    <w:pPr>
      <w:spacing w:before="120" w:after="120"/>
      <w:ind w:left="284"/>
      <w:jc w:val="both"/>
    </w:pPr>
  </w:style>
  <w:style w:type="character" w:customStyle="1" w:styleId="ECHRRed">
    <w:name w:val="ECHR_Red"/>
    <w:aliases w:val="_Red"/>
    <w:basedOn w:val="DefaultParagraphFont"/>
    <w:uiPriority w:val="15"/>
    <w:semiHidden/>
    <w:qFormat/>
    <w:rsid w:val="00E67565"/>
    <w:rPr>
      <w:color w:val="C00000" w:themeColor="accent2"/>
    </w:rPr>
  </w:style>
  <w:style w:type="paragraph" w:customStyle="1" w:styleId="DecList">
    <w:name w:val="Dec_List"/>
    <w:aliases w:val="_List"/>
    <w:basedOn w:val="JuList"/>
    <w:uiPriority w:val="22"/>
    <w:rsid w:val="00E67565"/>
    <w:pPr>
      <w:numPr>
        <w:numId w:val="0"/>
      </w:numPr>
      <w:ind w:left="284"/>
    </w:pPr>
  </w:style>
  <w:style w:type="table" w:customStyle="1" w:styleId="ECHRTable2">
    <w:name w:val="ECHR_Table_2"/>
    <w:basedOn w:val="TableNormal"/>
    <w:uiPriority w:val="99"/>
    <w:rsid w:val="00E6756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6756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6756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6756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6756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6756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6756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6756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67565"/>
    <w:pPr>
      <w:outlineLvl w:val="0"/>
    </w:pPr>
  </w:style>
  <w:style w:type="paragraph" w:customStyle="1" w:styleId="ECHRTitleTOC1">
    <w:name w:val="ECHR_Title_TOC_1"/>
    <w:aliases w:val="_Title_L_TOC"/>
    <w:basedOn w:val="ECHRTitle1"/>
    <w:next w:val="Normal"/>
    <w:uiPriority w:val="27"/>
    <w:semiHidden/>
    <w:qFormat/>
    <w:rsid w:val="00E67565"/>
    <w:pPr>
      <w:outlineLvl w:val="0"/>
    </w:pPr>
  </w:style>
  <w:style w:type="paragraph" w:customStyle="1" w:styleId="ECHRPlaceholder">
    <w:name w:val="ECHR_Placeholder"/>
    <w:aliases w:val="_Placeholder"/>
    <w:basedOn w:val="JuSigned"/>
    <w:uiPriority w:val="31"/>
    <w:rsid w:val="00E67565"/>
    <w:rPr>
      <w:color w:val="FFFFFF"/>
    </w:rPr>
  </w:style>
  <w:style w:type="paragraph" w:customStyle="1" w:styleId="ECHRSpacer">
    <w:name w:val="ECHR_Spacer"/>
    <w:aliases w:val="_Spacer"/>
    <w:basedOn w:val="Normal"/>
    <w:uiPriority w:val="45"/>
    <w:semiHidden/>
    <w:rsid w:val="00E67565"/>
    <w:rPr>
      <w:sz w:val="4"/>
    </w:rPr>
  </w:style>
  <w:style w:type="table" w:customStyle="1" w:styleId="ECHRTableGrey">
    <w:name w:val="ECHR_Table_Grey"/>
    <w:basedOn w:val="TableNormal"/>
    <w:uiPriority w:val="99"/>
    <w:rsid w:val="00E6756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lqj4b">
    <w:name w:val="jlqj4b"/>
    <w:basedOn w:val="DefaultParagraphFont"/>
    <w:rsid w:val="00464AB7"/>
  </w:style>
  <w:style w:type="character" w:customStyle="1" w:styleId="JuParaChar">
    <w:name w:val="Ju_Para Char"/>
    <w:aliases w:val="ECHR_Para Char,_Para Char"/>
    <w:link w:val="JuPara"/>
    <w:uiPriority w:val="8"/>
    <w:rsid w:val="00055E7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19222</Words>
  <Characters>101496</Characters>
  <Application>Microsoft Office Word</Application>
  <DocSecurity>0</DocSecurity>
  <Lines>1812</Lines>
  <Paragraphs>366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2024-09-11T14:10:00Z</dcterms:created>
  <dcterms:modified xsi:type="dcterms:W3CDTF">2024-09-11T14:38:00Z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1270822</vt:lpwstr>
  </property>
  <property fmtid="{D5CDD505-2E9C-101B-9397-08002B2CF9AE}" pid="3" name="cstLanguage">
    <vt:i4>2057</vt:i4>
  </property>
  <property fmtid="{D5CDD505-2E9C-101B-9397-08002B2CF9AE}" pid="4" name="RegisteredNo">
    <vt:lpwstr>77633/16</vt:lpwstr>
  </property>
</Properties>
</file>