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C1856" w:rsidR="00D420F3" w:rsidP="006C1856" w:rsidRDefault="00D420F3">
      <w:pPr>
        <w:pStyle w:val="ECHRDecisionBody"/>
      </w:pPr>
      <w:bookmarkStart w:name="_GoBack" w:id="0"/>
      <w:bookmarkEnd w:id="0"/>
    </w:p>
    <w:p w:rsidRPr="006C1856" w:rsidR="00E80FB8" w:rsidP="006C1856" w:rsidRDefault="00E80FB8">
      <w:pPr>
        <w:pStyle w:val="ECHRDecisionBody"/>
      </w:pPr>
    </w:p>
    <w:p w:rsidRPr="006C1856" w:rsidR="00E80FB8" w:rsidP="006C1856" w:rsidRDefault="00E80FB8">
      <w:pPr>
        <w:pStyle w:val="ECHRDecisionBody"/>
      </w:pPr>
    </w:p>
    <w:p w:rsidRPr="006C1856" w:rsidR="00D420F3" w:rsidP="006C1856" w:rsidRDefault="00FB42C0">
      <w:pPr>
        <w:jc w:val="center"/>
      </w:pPr>
      <w:r w:rsidRPr="006C1856">
        <w:t>SECOND SECTION</w:t>
      </w:r>
    </w:p>
    <w:p w:rsidRPr="006C1856" w:rsidR="00D420F3" w:rsidP="006C1856" w:rsidRDefault="00D420F3">
      <w:pPr>
        <w:jc w:val="center"/>
      </w:pPr>
    </w:p>
    <w:p w:rsidRPr="006C1856" w:rsidR="00E80FB8" w:rsidP="006C1856" w:rsidRDefault="00E80FB8">
      <w:pPr>
        <w:jc w:val="center"/>
      </w:pPr>
    </w:p>
    <w:p w:rsidRPr="006C1856" w:rsidR="00E80FB8" w:rsidP="006C1856" w:rsidRDefault="00E80FB8">
      <w:pPr>
        <w:jc w:val="center"/>
      </w:pPr>
    </w:p>
    <w:p w:rsidRPr="006C1856" w:rsidR="003C00C7" w:rsidP="006C1856" w:rsidRDefault="003C00C7">
      <w:pPr>
        <w:jc w:val="center"/>
      </w:pPr>
    </w:p>
    <w:p w:rsidRPr="006C1856" w:rsidR="00E80FB8" w:rsidP="006C1856" w:rsidRDefault="00E80FB8">
      <w:pPr>
        <w:jc w:val="center"/>
      </w:pPr>
    </w:p>
    <w:p w:rsidRPr="006C1856" w:rsidR="00E80FB8" w:rsidP="006C1856" w:rsidRDefault="00E80FB8">
      <w:pPr>
        <w:jc w:val="center"/>
      </w:pPr>
    </w:p>
    <w:p w:rsidRPr="006C1856" w:rsidR="00E80FB8" w:rsidP="006C1856" w:rsidRDefault="00E80FB8">
      <w:pPr>
        <w:jc w:val="center"/>
      </w:pPr>
    </w:p>
    <w:p w:rsidRPr="006C1856" w:rsidR="00D420F3" w:rsidP="006C1856" w:rsidRDefault="0077175D">
      <w:pPr>
        <w:jc w:val="center"/>
        <w:rPr>
          <w:b/>
        </w:rPr>
      </w:pPr>
      <w:bookmarkStart w:name="To" w:id="1"/>
      <w:r w:rsidRPr="006C1856">
        <w:rPr>
          <w:b/>
        </w:rPr>
        <w:t xml:space="preserve">CASE OF </w:t>
      </w:r>
      <w:bookmarkEnd w:id="1"/>
      <w:r w:rsidRPr="006C1856" w:rsidR="00FB42C0">
        <w:rPr>
          <w:b/>
        </w:rPr>
        <w:t>CANTER AND MAGALEAS v. THE REPUBLIC OF MOLDOVA AND RUSSIA</w:t>
      </w:r>
    </w:p>
    <w:p w:rsidRPr="006C1856" w:rsidR="00D420F3" w:rsidP="006C1856" w:rsidRDefault="00D420F3">
      <w:pPr>
        <w:jc w:val="center"/>
      </w:pPr>
    </w:p>
    <w:p w:rsidRPr="006C1856" w:rsidR="00D420F3" w:rsidP="006C1856" w:rsidRDefault="0077175D">
      <w:pPr>
        <w:jc w:val="center"/>
        <w:rPr>
          <w:i/>
        </w:rPr>
      </w:pPr>
      <w:r w:rsidRPr="006C1856">
        <w:rPr>
          <w:i/>
        </w:rPr>
        <w:t>(</w:t>
      </w:r>
      <w:r w:rsidRPr="006C1856" w:rsidR="00FB42C0">
        <w:rPr>
          <w:i/>
        </w:rPr>
        <w:t>Application no. 7529/10</w:t>
      </w:r>
      <w:r w:rsidRPr="006C1856">
        <w:rPr>
          <w:i/>
        </w:rPr>
        <w:t>)</w:t>
      </w:r>
    </w:p>
    <w:p w:rsidRPr="006C1856" w:rsidR="00D420F3" w:rsidP="006C1856" w:rsidRDefault="00D420F3">
      <w:pPr>
        <w:jc w:val="center"/>
      </w:pPr>
    </w:p>
    <w:p w:rsidRPr="006C1856" w:rsidR="00D420F3" w:rsidP="006C1856" w:rsidRDefault="00D420F3">
      <w:pPr>
        <w:jc w:val="center"/>
      </w:pPr>
    </w:p>
    <w:p w:rsidRPr="006C1856" w:rsidR="003C00C7" w:rsidP="006C1856" w:rsidRDefault="003C00C7">
      <w:pPr>
        <w:jc w:val="center"/>
      </w:pPr>
    </w:p>
    <w:p w:rsidRPr="006C1856" w:rsidR="003C00C7" w:rsidP="006C1856" w:rsidRDefault="003C00C7">
      <w:pPr>
        <w:jc w:val="center"/>
      </w:pPr>
    </w:p>
    <w:p w:rsidRPr="006C1856" w:rsidR="00D420F3" w:rsidP="006C1856" w:rsidRDefault="00D420F3">
      <w:pPr>
        <w:jc w:val="center"/>
      </w:pPr>
    </w:p>
    <w:p w:rsidRPr="006C1856" w:rsidR="00D420F3" w:rsidP="006C1856" w:rsidRDefault="00D420F3">
      <w:pPr>
        <w:jc w:val="center"/>
      </w:pPr>
    </w:p>
    <w:p w:rsidRPr="006C1856" w:rsidR="00D420F3" w:rsidP="006C1856" w:rsidRDefault="00D420F3">
      <w:pPr>
        <w:jc w:val="center"/>
      </w:pPr>
    </w:p>
    <w:p w:rsidRPr="006C1856" w:rsidR="00D420F3" w:rsidP="006C1856" w:rsidRDefault="00D420F3">
      <w:pPr>
        <w:jc w:val="center"/>
      </w:pPr>
    </w:p>
    <w:p w:rsidRPr="006C1856" w:rsidR="00D420F3" w:rsidP="006C1856" w:rsidRDefault="00E80FB8">
      <w:pPr>
        <w:jc w:val="center"/>
        <w:rPr>
          <w:szCs w:val="24"/>
        </w:rPr>
      </w:pPr>
      <w:r w:rsidRPr="006C1856">
        <w:rPr>
          <w:szCs w:val="24"/>
        </w:rPr>
        <w:t>JUDGMENT</w:t>
      </w:r>
    </w:p>
    <w:p w:rsidRPr="006C1856" w:rsidR="00E80FB8" w:rsidP="006C1856" w:rsidRDefault="00E80FB8">
      <w:pPr>
        <w:pStyle w:val="JuCase"/>
        <w:ind w:firstLine="0"/>
        <w:jc w:val="center"/>
        <w:rPr>
          <w:b w:val="0"/>
        </w:rPr>
      </w:pPr>
    </w:p>
    <w:p w:rsidRPr="006C1856" w:rsidR="00E80FB8" w:rsidP="006C1856" w:rsidRDefault="00E80FB8">
      <w:pPr>
        <w:pStyle w:val="JuCase"/>
        <w:ind w:firstLine="0"/>
        <w:jc w:val="center"/>
        <w:rPr>
          <w:b w:val="0"/>
        </w:rPr>
      </w:pPr>
    </w:p>
    <w:p w:rsidRPr="006C1856" w:rsidR="00E80FB8" w:rsidP="006C1856" w:rsidRDefault="00E80FB8">
      <w:pPr>
        <w:pStyle w:val="JuCase"/>
        <w:ind w:firstLine="0"/>
        <w:jc w:val="center"/>
        <w:rPr>
          <w:b w:val="0"/>
        </w:rPr>
      </w:pPr>
      <w:r w:rsidRPr="006C1856">
        <w:rPr>
          <w:b w:val="0"/>
        </w:rPr>
        <w:t>STRASBOURG</w:t>
      </w:r>
    </w:p>
    <w:p w:rsidRPr="006C1856" w:rsidR="00E80FB8" w:rsidP="006C1856" w:rsidRDefault="00E80FB8">
      <w:pPr>
        <w:pStyle w:val="JuCase"/>
        <w:ind w:firstLine="0"/>
        <w:jc w:val="center"/>
        <w:rPr>
          <w:b w:val="0"/>
        </w:rPr>
      </w:pPr>
    </w:p>
    <w:p w:rsidRPr="006C1856" w:rsidR="00E80FB8" w:rsidP="006C1856" w:rsidRDefault="00E80FB8">
      <w:pPr>
        <w:pStyle w:val="JuCase"/>
        <w:ind w:firstLine="0"/>
        <w:jc w:val="center"/>
        <w:rPr>
          <w:b w:val="0"/>
        </w:rPr>
      </w:pPr>
      <w:r w:rsidRPr="006C1856">
        <w:rPr>
          <w:b w:val="0"/>
        </w:rPr>
        <w:t>18 June 2019</w:t>
      </w:r>
    </w:p>
    <w:p w:rsidRPr="006C1856" w:rsidR="00E80FB8" w:rsidP="006C1856" w:rsidRDefault="00E80FB8">
      <w:pPr>
        <w:pStyle w:val="JuCase"/>
        <w:ind w:firstLine="0"/>
        <w:jc w:val="center"/>
        <w:rPr>
          <w:b w:val="0"/>
        </w:rPr>
      </w:pPr>
    </w:p>
    <w:p w:rsidRPr="006C1856" w:rsidR="003C00C7" w:rsidP="006C1856" w:rsidRDefault="003C00C7">
      <w:pPr>
        <w:pStyle w:val="ECHRPara"/>
      </w:pPr>
    </w:p>
    <w:p w:rsidRPr="006C1856" w:rsidR="003C00C7" w:rsidP="006C1856" w:rsidRDefault="003C00C7">
      <w:pPr>
        <w:pStyle w:val="ECHRPara"/>
      </w:pPr>
    </w:p>
    <w:p w:rsidRPr="006C1856" w:rsidR="003C00C7" w:rsidP="006C1856" w:rsidRDefault="003C00C7">
      <w:pPr>
        <w:pStyle w:val="ECHRPara"/>
      </w:pPr>
    </w:p>
    <w:p w:rsidRPr="006C1856" w:rsidR="00E80FB8" w:rsidP="006C1856" w:rsidRDefault="00E80FB8">
      <w:pPr>
        <w:pStyle w:val="JuCase"/>
        <w:ind w:firstLine="0"/>
        <w:jc w:val="center"/>
        <w:rPr>
          <w:b w:val="0"/>
        </w:rPr>
      </w:pPr>
    </w:p>
    <w:p w:rsidRPr="006C1856" w:rsidR="00E80FB8" w:rsidP="006C1856" w:rsidRDefault="00E80FB8">
      <w:pPr>
        <w:pStyle w:val="JuCase"/>
        <w:ind w:firstLine="0"/>
        <w:rPr>
          <w:b w:val="0"/>
          <w:i/>
          <w:sz w:val="22"/>
        </w:rPr>
      </w:pPr>
      <w:r w:rsidRPr="006C1856">
        <w:rPr>
          <w:b w:val="0"/>
          <w:i/>
          <w:sz w:val="22"/>
        </w:rPr>
        <w:t>This judgment is final but it may be subject to editorial revision.</w:t>
      </w:r>
    </w:p>
    <w:p w:rsidRPr="006C1856" w:rsidR="00E80FB8" w:rsidP="006C1856" w:rsidRDefault="00E80FB8">
      <w:pPr>
        <w:pStyle w:val="ECHRPara"/>
      </w:pPr>
    </w:p>
    <w:p w:rsidRPr="006C1856" w:rsidR="003C00C7" w:rsidP="006C1856" w:rsidRDefault="003C00C7">
      <w:pPr>
        <w:pStyle w:val="ECHRPara"/>
        <w:sectPr w:rsidRPr="006C1856" w:rsidR="003C00C7" w:rsidSect="00E80FB8">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6C1856" w:rsidR="00D420F3" w:rsidP="006C1856" w:rsidRDefault="0077175D">
      <w:pPr>
        <w:pStyle w:val="JuCase"/>
        <w:rPr>
          <w:bCs/>
        </w:rPr>
      </w:pPr>
      <w:r w:rsidRPr="006C1856">
        <w:t xml:space="preserve">In the case of </w:t>
      </w:r>
      <w:r w:rsidRPr="006C1856" w:rsidR="00FB42C0">
        <w:t>Canter and Magaleas v. the Republic of Moldova and Russia</w:t>
      </w:r>
      <w:r w:rsidRPr="006C1856">
        <w:t>,</w:t>
      </w:r>
    </w:p>
    <w:p w:rsidRPr="006C1856" w:rsidR="00D420F3" w:rsidP="006C1856" w:rsidRDefault="0077175D">
      <w:pPr>
        <w:pStyle w:val="ECHRPara"/>
      </w:pPr>
      <w:r w:rsidRPr="006C1856">
        <w:t>The European Court of Human Rights (</w:t>
      </w:r>
      <w:r w:rsidRPr="006C1856" w:rsidR="00FB42C0">
        <w:t>Second Section</w:t>
      </w:r>
      <w:r w:rsidRPr="006C1856">
        <w:t xml:space="preserve">), sitting as a </w:t>
      </w:r>
      <w:r w:rsidRPr="006C1856" w:rsidR="00FB42C0">
        <w:t>Committee</w:t>
      </w:r>
      <w:r w:rsidRPr="006C1856">
        <w:t xml:space="preserve"> composed of:</w:t>
      </w:r>
    </w:p>
    <w:p w:rsidRPr="006C1856" w:rsidR="00D420F3" w:rsidP="006C1856" w:rsidRDefault="00E80FB8">
      <w:pPr>
        <w:pStyle w:val="ECHRDecisionBody"/>
      </w:pPr>
      <w:r w:rsidRPr="006C1856">
        <w:tab/>
        <w:t>Julia Laffranque,</w:t>
      </w:r>
      <w:r w:rsidRPr="006C1856">
        <w:rPr>
          <w:i/>
        </w:rPr>
        <w:t xml:space="preserve"> President,</w:t>
      </w:r>
      <w:r w:rsidRPr="006C1856">
        <w:rPr>
          <w:i/>
        </w:rPr>
        <w:br/>
      </w:r>
      <w:r w:rsidRPr="006C1856">
        <w:tab/>
        <w:t>Ivana Jelić,</w:t>
      </w:r>
      <w:r w:rsidRPr="006C1856">
        <w:rPr>
          <w:i/>
        </w:rPr>
        <w:br/>
      </w:r>
      <w:r w:rsidRPr="006C1856">
        <w:tab/>
        <w:t>Arnfinn Bårdsen,</w:t>
      </w:r>
      <w:r w:rsidRPr="006C1856">
        <w:rPr>
          <w:i/>
        </w:rPr>
        <w:t xml:space="preserve"> judges,</w:t>
      </w:r>
      <w:r w:rsidRPr="006C1856" w:rsidR="0077175D">
        <w:rPr>
          <w:szCs w:val="24"/>
        </w:rPr>
        <w:br/>
      </w:r>
      <w:r w:rsidRPr="006C1856" w:rsidR="0077175D">
        <w:t xml:space="preserve">and </w:t>
      </w:r>
      <w:r w:rsidRPr="006C1856" w:rsidR="00FB42C0">
        <w:t>Hasan Bakırcı</w:t>
      </w:r>
      <w:r w:rsidRPr="006C1856" w:rsidR="0077175D">
        <w:t xml:space="preserve">, </w:t>
      </w:r>
      <w:r w:rsidRPr="006C1856" w:rsidR="00FB42C0">
        <w:rPr>
          <w:i/>
        </w:rPr>
        <w:t xml:space="preserve">Deputy Section </w:t>
      </w:r>
      <w:r w:rsidRPr="006C1856" w:rsidR="00FB42C0">
        <w:rPr>
          <w:i/>
          <w:iCs/>
        </w:rPr>
        <w:t>Registrar</w:t>
      </w:r>
      <w:r w:rsidRPr="006C1856" w:rsidR="0077175D">
        <w:rPr>
          <w:i/>
        </w:rPr>
        <w:t>,</w:t>
      </w:r>
    </w:p>
    <w:p w:rsidRPr="006C1856" w:rsidR="00D420F3" w:rsidP="006C1856" w:rsidRDefault="0077175D">
      <w:pPr>
        <w:pStyle w:val="ECHRPara"/>
      </w:pPr>
      <w:r w:rsidRPr="006C1856">
        <w:t xml:space="preserve">Having deliberated in private on </w:t>
      </w:r>
      <w:r w:rsidRPr="006C1856" w:rsidR="00E80FB8">
        <w:t>28 May 2019</w:t>
      </w:r>
      <w:r w:rsidRPr="006C1856">
        <w:t>,</w:t>
      </w:r>
    </w:p>
    <w:p w:rsidRPr="006C1856" w:rsidR="00D420F3" w:rsidP="006C1856" w:rsidRDefault="0077175D">
      <w:pPr>
        <w:pStyle w:val="ECHRPara"/>
      </w:pPr>
      <w:r w:rsidRPr="006C1856">
        <w:t>Delivers the following judgment, which was adopted on that date:</w:t>
      </w:r>
    </w:p>
    <w:p w:rsidRPr="006C1856" w:rsidR="00D420F3" w:rsidP="006C1856" w:rsidRDefault="0077175D">
      <w:pPr>
        <w:pStyle w:val="ECHRTitle1"/>
      </w:pPr>
      <w:r w:rsidRPr="006C1856">
        <w:t>PROCEDURE</w:t>
      </w:r>
    </w:p>
    <w:p w:rsidRPr="006C1856" w:rsidR="00FB42C0" w:rsidP="006C1856" w:rsidRDefault="00FB42C0">
      <w:pPr>
        <w:pStyle w:val="ECHRPara"/>
      </w:pPr>
      <w:r w:rsidRPr="006C1856">
        <w:fldChar w:fldCharType="begin"/>
      </w:r>
      <w:r w:rsidRPr="006C1856">
        <w:instrText xml:space="preserve"> SEQ level0 \*arabic </w:instrText>
      </w:r>
      <w:r w:rsidRPr="006C1856">
        <w:fldChar w:fldCharType="separate"/>
      </w:r>
      <w:r w:rsidRPr="006C1856" w:rsidR="006C1856">
        <w:rPr>
          <w:noProof/>
        </w:rPr>
        <w:t>1</w:t>
      </w:r>
      <w:r w:rsidRPr="006C1856">
        <w:fldChar w:fldCharType="end"/>
      </w:r>
      <w:r w:rsidRPr="006C1856" w:rsidR="0077175D">
        <w:t xml:space="preserve">.  The case originated in </w:t>
      </w:r>
      <w:r w:rsidRPr="006C1856">
        <w:t>an application (no. 7529/10)</w:t>
      </w:r>
      <w:r w:rsidRPr="006C1856" w:rsidR="0077175D">
        <w:t xml:space="preserve"> against </w:t>
      </w:r>
      <w:r w:rsidRPr="006C1856">
        <w:t>the Republic of Moldova</w:t>
      </w:r>
      <w:r w:rsidRPr="006C1856" w:rsidR="00FC493E">
        <w:t xml:space="preserve"> and the Russian Federation</w:t>
      </w:r>
      <w:r w:rsidRPr="006C1856" w:rsidR="0077175D">
        <w:t xml:space="preserve"> lodged with the </w:t>
      </w:r>
      <w:r w:rsidRPr="006C1856">
        <w:t>Court under Article 34</w:t>
      </w:r>
      <w:r w:rsidRPr="006C1856" w:rsidR="0077175D">
        <w:t xml:space="preserve"> of the Convention for the Protection of Human Rights and Fundamental Freedoms (“the Convention”) by </w:t>
      </w:r>
      <w:r w:rsidRPr="006C1856" w:rsidR="00FC493E">
        <w:t>two</w:t>
      </w:r>
      <w:r w:rsidRPr="006C1856">
        <w:t xml:space="preserve"> Moldovan</w:t>
      </w:r>
      <w:r w:rsidRPr="006C1856" w:rsidR="00361851">
        <w:t xml:space="preserve"> </w:t>
      </w:r>
      <w:r w:rsidRPr="006C1856">
        <w:t>nationals, Mr</w:t>
      </w:r>
      <w:r w:rsidRPr="006C1856" w:rsidR="00361851">
        <w:t> </w:t>
      </w:r>
      <w:r w:rsidRPr="006C1856">
        <w:t xml:space="preserve">Roman Canter and Mr </w:t>
      </w:r>
      <w:r w:rsidRPr="006C1856" w:rsidR="0031280F">
        <w:t>Serghei Magaleas</w:t>
      </w:r>
      <w:r w:rsidRPr="006C1856">
        <w:t xml:space="preserve"> (“the applicants”), on 3</w:t>
      </w:r>
      <w:r w:rsidRPr="006C1856" w:rsidR="00361851">
        <w:t> </w:t>
      </w:r>
      <w:r w:rsidRPr="006C1856">
        <w:t>February 2010</w:t>
      </w:r>
      <w:r w:rsidRPr="006C1856" w:rsidR="0077175D">
        <w:t>.</w:t>
      </w:r>
    </w:p>
    <w:p w:rsidRPr="006C1856" w:rsidR="00D420F3" w:rsidP="006C1856" w:rsidRDefault="00FB42C0">
      <w:pPr>
        <w:pStyle w:val="ECHRPara"/>
      </w:pPr>
      <w:r w:rsidRPr="006C1856">
        <w:fldChar w:fldCharType="begin"/>
      </w:r>
      <w:r w:rsidRPr="006C1856">
        <w:instrText xml:space="preserve"> SEQ level0 \*arabic </w:instrText>
      </w:r>
      <w:r w:rsidRPr="006C1856">
        <w:fldChar w:fldCharType="separate"/>
      </w:r>
      <w:r w:rsidRPr="006C1856" w:rsidR="006C1856">
        <w:rPr>
          <w:noProof/>
        </w:rPr>
        <w:t>2</w:t>
      </w:r>
      <w:r w:rsidRPr="006C1856">
        <w:fldChar w:fldCharType="end"/>
      </w:r>
      <w:r w:rsidRPr="006C1856" w:rsidR="0077175D">
        <w:t>.  </w:t>
      </w:r>
      <w:r w:rsidRPr="006C1856">
        <w:t>The applicants were represented by Mr A. Postică</w:t>
      </w:r>
      <w:r w:rsidRPr="006C1856" w:rsidR="00EC1163">
        <w:t>,</w:t>
      </w:r>
      <w:r w:rsidRPr="006C1856">
        <w:t xml:space="preserve"> a lawyer practising in Chi</w:t>
      </w:r>
      <w:r w:rsidRPr="006C1856" w:rsidR="0001168B">
        <w:t>ș</w:t>
      </w:r>
      <w:r w:rsidRPr="006C1856">
        <w:t>in</w:t>
      </w:r>
      <w:r w:rsidRPr="006C1856" w:rsidR="0001168B">
        <w:t>ă</w:t>
      </w:r>
      <w:r w:rsidRPr="006C1856">
        <w:t xml:space="preserve">u. </w:t>
      </w:r>
      <w:r w:rsidRPr="006C1856" w:rsidR="0031280F">
        <w:t>The Moldovan Government (“the Government”) were represented by their Agent, Mr L. Apostol, and the Russian Government were represented by Mr G. Matyushkin, Representative of the Russian Federation at the European Court of Human Rights.</w:t>
      </w:r>
    </w:p>
    <w:p w:rsidRPr="006C1856" w:rsidR="004C31D8" w:rsidP="006C1856" w:rsidRDefault="004C31D8">
      <w:pPr>
        <w:pStyle w:val="ECHRPara"/>
      </w:pPr>
      <w:r w:rsidRPr="006C1856">
        <w:fldChar w:fldCharType="begin"/>
      </w:r>
      <w:r w:rsidRPr="006C1856">
        <w:instrText xml:space="preserve"> SEQ level0 \*arabic </w:instrText>
      </w:r>
      <w:r w:rsidRPr="006C1856">
        <w:fldChar w:fldCharType="separate"/>
      </w:r>
      <w:r w:rsidRPr="006C1856" w:rsidR="006C1856">
        <w:rPr>
          <w:noProof/>
        </w:rPr>
        <w:t>3</w:t>
      </w:r>
      <w:r w:rsidRPr="006C1856">
        <w:fldChar w:fldCharType="end"/>
      </w:r>
      <w:r w:rsidRPr="006C1856">
        <w:t xml:space="preserve">.  The applicants complained that </w:t>
      </w:r>
      <w:r w:rsidRPr="006C1856" w:rsidR="00D24A2B">
        <w:t xml:space="preserve">they had been denied a fair trial as a result of their </w:t>
      </w:r>
      <w:r w:rsidRPr="006C1856">
        <w:t xml:space="preserve">conviction </w:t>
      </w:r>
      <w:r w:rsidRPr="006C1856" w:rsidR="00D24A2B">
        <w:t xml:space="preserve">by a court which had not qualified as a tribunal within the meaning of </w:t>
      </w:r>
      <w:r w:rsidRPr="006C1856">
        <w:t xml:space="preserve">Article 6 </w:t>
      </w:r>
      <w:r w:rsidRPr="006C1856">
        <w:rPr>
          <w:rFonts w:cstheme="minorHAnsi"/>
        </w:rPr>
        <w:t>§</w:t>
      </w:r>
      <w:r w:rsidRPr="006C1856">
        <w:t xml:space="preserve"> 1 of the Contention.</w:t>
      </w:r>
    </w:p>
    <w:p w:rsidRPr="006C1856" w:rsidR="00D420F3" w:rsidP="006C1856" w:rsidRDefault="00FB42C0">
      <w:pPr>
        <w:pStyle w:val="ECHRPara"/>
      </w:pPr>
      <w:r w:rsidRPr="006C1856">
        <w:fldChar w:fldCharType="begin"/>
      </w:r>
      <w:r w:rsidRPr="006C1856">
        <w:instrText xml:space="preserve"> SEQ level0 \*arabic </w:instrText>
      </w:r>
      <w:r w:rsidRPr="006C1856">
        <w:fldChar w:fldCharType="separate"/>
      </w:r>
      <w:r w:rsidRPr="006C1856" w:rsidR="006C1856">
        <w:rPr>
          <w:noProof/>
        </w:rPr>
        <w:t>4</w:t>
      </w:r>
      <w:r w:rsidRPr="006C1856">
        <w:fldChar w:fldCharType="end"/>
      </w:r>
      <w:r w:rsidRPr="006C1856" w:rsidR="0077175D">
        <w:t>.  </w:t>
      </w:r>
      <w:r w:rsidRPr="006C1856">
        <w:t xml:space="preserve">On </w:t>
      </w:r>
      <w:r w:rsidRPr="006C1856">
        <w:rPr>
          <w:szCs w:val="24"/>
        </w:rPr>
        <w:t>13 June 2014</w:t>
      </w:r>
      <w:r w:rsidRPr="006C1856" w:rsidR="0077175D">
        <w:t xml:space="preserve"> the </w:t>
      </w:r>
      <w:r w:rsidRPr="006C1856">
        <w:t xml:space="preserve">complaint concerning </w:t>
      </w:r>
      <w:r w:rsidRPr="006C1856" w:rsidR="004C31D8">
        <w:t xml:space="preserve">Article 6 </w:t>
      </w:r>
      <w:r w:rsidRPr="006C1856" w:rsidR="004C31D8">
        <w:rPr>
          <w:rFonts w:cstheme="minorHAnsi"/>
        </w:rPr>
        <w:t>§</w:t>
      </w:r>
      <w:r w:rsidRPr="006C1856" w:rsidR="004C31D8">
        <w:t xml:space="preserve"> 1 of the Contention</w:t>
      </w:r>
      <w:r w:rsidRPr="006C1856">
        <w:t xml:space="preserve"> was communicated to the </w:t>
      </w:r>
      <w:r w:rsidRPr="006C1856" w:rsidR="004C31D8">
        <w:t xml:space="preserve">respondent </w:t>
      </w:r>
      <w:r w:rsidRPr="006C1856">
        <w:t>Government</w:t>
      </w:r>
      <w:r w:rsidRPr="006C1856" w:rsidR="004C31D8">
        <w:t>s</w:t>
      </w:r>
      <w:r w:rsidRPr="006C1856">
        <w:t xml:space="preserve"> and the remainder of the application was declared inadmissible</w:t>
      </w:r>
      <w:r w:rsidRPr="006C1856">
        <w:rPr>
          <w:szCs w:val="24"/>
        </w:rPr>
        <w:t xml:space="preserve"> </w:t>
      </w:r>
      <w:r w:rsidRPr="006C1856">
        <w:t>pursuant to Rule</w:t>
      </w:r>
      <w:r w:rsidRPr="006C1856" w:rsidR="0001168B">
        <w:t> </w:t>
      </w:r>
      <w:r w:rsidRPr="006C1856">
        <w:t>54</w:t>
      </w:r>
      <w:r w:rsidRPr="006C1856" w:rsidR="0001168B">
        <w:t> </w:t>
      </w:r>
      <w:r w:rsidRPr="006C1856">
        <w:t>§ 3 of the Rules of Court</w:t>
      </w:r>
      <w:r w:rsidRPr="006C1856" w:rsidR="0077175D">
        <w:t>.</w:t>
      </w:r>
    </w:p>
    <w:p w:rsidRPr="006C1856" w:rsidR="002129C4" w:rsidP="006C1856" w:rsidRDefault="002129C4">
      <w:pPr>
        <w:pStyle w:val="ECHRPara"/>
      </w:pPr>
      <w:r w:rsidRPr="006C1856">
        <w:fldChar w:fldCharType="begin"/>
      </w:r>
      <w:r w:rsidRPr="006C1856">
        <w:instrText xml:space="preserve"> SEQ level0 \*arabic </w:instrText>
      </w:r>
      <w:r w:rsidRPr="006C1856">
        <w:fldChar w:fldCharType="separate"/>
      </w:r>
      <w:r w:rsidRPr="006C1856" w:rsidR="006C1856">
        <w:rPr>
          <w:noProof/>
        </w:rPr>
        <w:t>5</w:t>
      </w:r>
      <w:r w:rsidRPr="006C1856">
        <w:fldChar w:fldCharType="end"/>
      </w:r>
      <w:r w:rsidRPr="006C1856">
        <w:t xml:space="preserve">.  The Russian Government objected to the examination of the application by a </w:t>
      </w:r>
      <w:r w:rsidRPr="006C1856" w:rsidR="00C74C6D">
        <w:t>C</w:t>
      </w:r>
      <w:r w:rsidRPr="006C1856">
        <w:t>ommittee. After having considered the objection, the Court rejects it.</w:t>
      </w:r>
    </w:p>
    <w:p w:rsidRPr="006C1856" w:rsidR="00D420F3" w:rsidP="006C1856" w:rsidRDefault="0077175D">
      <w:pPr>
        <w:pStyle w:val="ECHRTitle1"/>
      </w:pPr>
      <w:r w:rsidRPr="006C1856">
        <w:t>THE FACTS</w:t>
      </w:r>
    </w:p>
    <w:p w:rsidRPr="006C1856" w:rsidR="00D420F3" w:rsidP="006C1856" w:rsidRDefault="0077175D">
      <w:pPr>
        <w:pStyle w:val="ECHRHeading1"/>
      </w:pPr>
      <w:r w:rsidRPr="006C1856">
        <w:t>THE CIR</w:t>
      </w:r>
      <w:r w:rsidRPr="006C1856">
        <w:rPr>
          <w:rStyle w:val="JuHIRomanChar"/>
        </w:rPr>
        <w:t>C</w:t>
      </w:r>
      <w:r w:rsidRPr="006C1856">
        <w:t>UMSTANCES OF THE CASE</w:t>
      </w:r>
    </w:p>
    <w:p w:rsidRPr="006C1856" w:rsidR="00D420F3" w:rsidP="006C1856" w:rsidRDefault="00FB42C0">
      <w:pPr>
        <w:pStyle w:val="ECHRPara"/>
      </w:pPr>
      <w:r w:rsidRPr="006C1856">
        <w:fldChar w:fldCharType="begin"/>
      </w:r>
      <w:r w:rsidRPr="006C1856">
        <w:instrText xml:space="preserve"> SEQ level0 \*arabic </w:instrText>
      </w:r>
      <w:r w:rsidRPr="006C1856">
        <w:fldChar w:fldCharType="separate"/>
      </w:r>
      <w:r w:rsidRPr="006C1856" w:rsidR="006C1856">
        <w:rPr>
          <w:noProof/>
        </w:rPr>
        <w:t>6</w:t>
      </w:r>
      <w:r w:rsidRPr="006C1856">
        <w:fldChar w:fldCharType="end"/>
      </w:r>
      <w:r w:rsidRPr="006C1856" w:rsidR="0077175D">
        <w:t>.  </w:t>
      </w:r>
      <w:r w:rsidRPr="006C1856" w:rsidR="004C31D8">
        <w:t>The applicants</w:t>
      </w:r>
      <w:r w:rsidRPr="006C1856" w:rsidR="00D24A2B">
        <w:t>, who</w:t>
      </w:r>
      <w:r w:rsidRPr="006C1856" w:rsidR="004C31D8">
        <w:t xml:space="preserve"> were born in 1980 and 1977</w:t>
      </w:r>
      <w:r w:rsidRPr="006C1856" w:rsidR="00D24A2B">
        <w:t>,</w:t>
      </w:r>
      <w:r w:rsidRPr="006C1856" w:rsidR="004C31D8">
        <w:t xml:space="preserve"> respectively</w:t>
      </w:r>
      <w:r w:rsidRPr="006C1856" w:rsidR="00D24A2B">
        <w:t>,</w:t>
      </w:r>
      <w:r w:rsidRPr="006C1856" w:rsidR="004C31D8">
        <w:t xml:space="preserve"> live in Slobozia and Parcani, </w:t>
      </w:r>
      <w:r w:rsidRPr="006C1856" w:rsidR="00EC1163">
        <w:t>in the self-proclaimed “Moldovan Republic of Transdniestria” (“MRT”)</w:t>
      </w:r>
      <w:r w:rsidRPr="006C1856" w:rsidR="004C31D8">
        <w:t>.</w:t>
      </w:r>
      <w:r w:rsidRPr="006C1856" w:rsidR="00AE4A13">
        <w:t xml:space="preserve"> In view of the fact that, in the applicants</w:t>
      </w:r>
      <w:r w:rsidRPr="006C1856" w:rsidR="006C1856">
        <w:t>’</w:t>
      </w:r>
      <w:r w:rsidRPr="006C1856" w:rsidR="00AE4A13">
        <w:t xml:space="preserve"> submission, it was impossible for them to apply to the Court directly, the application was lodged by their mothers.</w:t>
      </w:r>
    </w:p>
    <w:p w:rsidRPr="006C1856" w:rsidR="00D420F3" w:rsidP="006C1856" w:rsidRDefault="00FB42C0">
      <w:pPr>
        <w:pStyle w:val="ECHRPara"/>
      </w:pPr>
      <w:r w:rsidRPr="006C1856">
        <w:fldChar w:fldCharType="begin"/>
      </w:r>
      <w:r w:rsidRPr="006C1856">
        <w:instrText xml:space="preserve"> SEQ level0 \*arabic </w:instrText>
      </w:r>
      <w:r w:rsidRPr="006C1856">
        <w:fldChar w:fldCharType="separate"/>
      </w:r>
      <w:r w:rsidRPr="006C1856" w:rsidR="006C1856">
        <w:rPr>
          <w:noProof/>
        </w:rPr>
        <w:t>7</w:t>
      </w:r>
      <w:r w:rsidRPr="006C1856">
        <w:fldChar w:fldCharType="end"/>
      </w:r>
      <w:r w:rsidRPr="006C1856" w:rsidR="0077175D">
        <w:t>.  </w:t>
      </w:r>
      <w:r w:rsidRPr="006C1856" w:rsidR="004C31D8">
        <w:t>On 2 March 2005 the applicants were arrested</w:t>
      </w:r>
      <w:r w:rsidRPr="006C1856" w:rsidR="00AE4A13">
        <w:t xml:space="preserve"> by the </w:t>
      </w:r>
      <w:r w:rsidRPr="006C1856" w:rsidR="00EC1163">
        <w:t>“MRT”</w:t>
      </w:r>
      <w:r w:rsidRPr="006C1856" w:rsidR="00AE4A13">
        <w:t xml:space="preserve"> authorities</w:t>
      </w:r>
      <w:r w:rsidRPr="006C1856" w:rsidR="004C31D8">
        <w:t xml:space="preserve"> and placed in detention on remand on suspicion of murder. </w:t>
      </w:r>
      <w:r w:rsidRPr="006C1856" w:rsidR="00D24A2B">
        <w:t>On 1</w:t>
      </w:r>
      <w:r w:rsidRPr="006C1856" w:rsidR="00EC1163">
        <w:t> </w:t>
      </w:r>
      <w:r w:rsidRPr="006C1856" w:rsidR="00D24A2B">
        <w:t>June 2009 t</w:t>
      </w:r>
      <w:r w:rsidRPr="006C1856" w:rsidR="004C31D8">
        <w:t>hey were convicted by</w:t>
      </w:r>
      <w:r w:rsidRPr="006C1856" w:rsidR="00F05087">
        <w:t xml:space="preserve"> a</w:t>
      </w:r>
      <w:r w:rsidRPr="006C1856" w:rsidR="00EC1163">
        <w:t>n “MRT”</w:t>
      </w:r>
      <w:r w:rsidRPr="006C1856" w:rsidR="00F05087">
        <w:t xml:space="preserve"> court and sentenced to </w:t>
      </w:r>
      <w:r w:rsidRPr="006C1856" w:rsidR="00D24A2B">
        <w:t>terms of fourteen years</w:t>
      </w:r>
      <w:r w:rsidRPr="006C1856" w:rsidR="00A10344">
        <w:t xml:space="preserve"> and a half</w:t>
      </w:r>
      <w:r w:rsidRPr="006C1856" w:rsidR="00D24A2B">
        <w:t>,</w:t>
      </w:r>
      <w:r w:rsidRPr="006C1856" w:rsidR="00A10344">
        <w:t xml:space="preserve"> and fourteen years</w:t>
      </w:r>
      <w:r w:rsidRPr="006C1856" w:rsidR="006C1856">
        <w:t>’</w:t>
      </w:r>
      <w:r w:rsidRPr="006C1856" w:rsidR="00F05087">
        <w:t xml:space="preserve"> imprisonment</w:t>
      </w:r>
      <w:r w:rsidRPr="006C1856" w:rsidR="00D24A2B">
        <w:t>,</w:t>
      </w:r>
      <w:r w:rsidRPr="006C1856" w:rsidR="00A10344">
        <w:t xml:space="preserve"> respectively</w:t>
      </w:r>
      <w:r w:rsidRPr="006C1856" w:rsidR="00F05087">
        <w:t>. On 4 August 2009</w:t>
      </w:r>
      <w:r w:rsidRPr="006C1856" w:rsidR="004C31D8">
        <w:t xml:space="preserve"> the Supreme Court of </w:t>
      </w:r>
      <w:r w:rsidRPr="006C1856" w:rsidR="00EC1163">
        <w:t>the “MRT</w:t>
      </w:r>
      <w:r w:rsidRPr="006C1856" w:rsidR="00BF1842">
        <w:t xml:space="preserve">” </w:t>
      </w:r>
      <w:r w:rsidRPr="006C1856" w:rsidR="00D24A2B">
        <w:t>upheld the</w:t>
      </w:r>
      <w:r w:rsidRPr="006C1856" w:rsidR="00EC1163">
        <w:t xml:space="preserve"> above</w:t>
      </w:r>
      <w:r w:rsidRPr="006C1856" w:rsidR="00D24A2B">
        <w:t xml:space="preserve"> judgment</w:t>
      </w:r>
      <w:r w:rsidRPr="006C1856" w:rsidR="00A10344">
        <w:t xml:space="preserve">, </w:t>
      </w:r>
      <w:r w:rsidRPr="006C1856" w:rsidR="00D24A2B">
        <w:t>but</w:t>
      </w:r>
      <w:r w:rsidRPr="006C1856" w:rsidR="00A10344">
        <w:t xml:space="preserve"> reduced the sentence of the first applicant to fourteen years</w:t>
      </w:r>
      <w:r w:rsidRPr="006C1856" w:rsidR="006C1856">
        <w:t>’</w:t>
      </w:r>
      <w:r w:rsidRPr="006C1856" w:rsidR="00A10344">
        <w:t xml:space="preserve"> imprisonment.</w:t>
      </w:r>
    </w:p>
    <w:p w:rsidRPr="006C1856" w:rsidR="00A923D9" w:rsidP="006C1856" w:rsidRDefault="00A923D9">
      <w:pPr>
        <w:pStyle w:val="ECHRPara"/>
      </w:pPr>
      <w:r w:rsidRPr="006C1856">
        <w:fldChar w:fldCharType="begin"/>
      </w:r>
      <w:r w:rsidRPr="006C1856">
        <w:instrText xml:space="preserve"> SEQ level0 \*arabic </w:instrText>
      </w:r>
      <w:r w:rsidRPr="006C1856">
        <w:fldChar w:fldCharType="separate"/>
      </w:r>
      <w:r w:rsidRPr="006C1856" w:rsidR="006C1856">
        <w:rPr>
          <w:noProof/>
        </w:rPr>
        <w:t>8</w:t>
      </w:r>
      <w:r w:rsidRPr="006C1856">
        <w:fldChar w:fldCharType="end"/>
      </w:r>
      <w:r w:rsidRPr="006C1856">
        <w:t xml:space="preserve">.  It </w:t>
      </w:r>
      <w:r w:rsidRPr="006C1856" w:rsidR="00EC1163">
        <w:t xml:space="preserve">does not </w:t>
      </w:r>
      <w:r w:rsidRPr="006C1856">
        <w:t>appear from the material in the case file and from the parties</w:t>
      </w:r>
      <w:r w:rsidRPr="006C1856" w:rsidR="006C1856">
        <w:t>’</w:t>
      </w:r>
      <w:r w:rsidRPr="006C1856">
        <w:t xml:space="preserve"> submissions that the applicants inform</w:t>
      </w:r>
      <w:r w:rsidRPr="006C1856" w:rsidR="00EC1163">
        <w:t>ed</w:t>
      </w:r>
      <w:r w:rsidRPr="006C1856">
        <w:t xml:space="preserve"> the authorities of</w:t>
      </w:r>
      <w:r w:rsidRPr="006C1856" w:rsidR="00EC1163">
        <w:t xml:space="preserve"> the Republic of</w:t>
      </w:r>
      <w:r w:rsidRPr="006C1856">
        <w:t xml:space="preserve"> Moldova about the</w:t>
      </w:r>
      <w:r w:rsidRPr="006C1856" w:rsidR="00AE4A13">
        <w:t xml:space="preserve"> proceedings against them and the</w:t>
      </w:r>
      <w:r w:rsidRPr="006C1856">
        <w:t xml:space="preserve"> conviction and detention in the “MRT”.</w:t>
      </w:r>
    </w:p>
    <w:p w:rsidRPr="006C1856" w:rsidR="00A923D9" w:rsidP="006C1856" w:rsidRDefault="00A923D9">
      <w:pPr>
        <w:pStyle w:val="ECHRPara"/>
      </w:pPr>
      <w:r w:rsidRPr="006C1856">
        <w:fldChar w:fldCharType="begin"/>
      </w:r>
      <w:r w:rsidRPr="006C1856">
        <w:instrText xml:space="preserve"> SEQ level0 \*arabic </w:instrText>
      </w:r>
      <w:r w:rsidRPr="006C1856">
        <w:fldChar w:fldCharType="separate"/>
      </w:r>
      <w:r w:rsidRPr="006C1856" w:rsidR="006C1856">
        <w:rPr>
          <w:noProof/>
        </w:rPr>
        <w:t>9</w:t>
      </w:r>
      <w:r w:rsidRPr="006C1856">
        <w:fldChar w:fldCharType="end"/>
      </w:r>
      <w:r w:rsidRPr="006C1856">
        <w:t xml:space="preserve">.  In December 2014 the applicants challenged their conviction by way of an extraordinary appeal before the Supreme Court of the Republic of Moldova which, on 14 February 2015, upheld their appeal and quashed the judgments of the </w:t>
      </w:r>
      <w:r w:rsidRPr="006C1856" w:rsidR="00EC1163">
        <w:t>“MRT”</w:t>
      </w:r>
      <w:r w:rsidRPr="006C1856">
        <w:t xml:space="preserve"> courts on the ground that they had been issued by unconstitutional tribunals.</w:t>
      </w:r>
    </w:p>
    <w:p w:rsidRPr="006C1856" w:rsidR="00280FD7" w:rsidP="006C1856" w:rsidRDefault="00280FD7">
      <w:pPr>
        <w:pStyle w:val="ECHRPara"/>
      </w:pPr>
      <w:r w:rsidRPr="006C1856">
        <w:fldChar w:fldCharType="begin"/>
      </w:r>
      <w:r w:rsidRPr="006C1856">
        <w:instrText xml:space="preserve"> SEQ level0 \*arabic </w:instrText>
      </w:r>
      <w:r w:rsidRPr="006C1856">
        <w:fldChar w:fldCharType="separate"/>
      </w:r>
      <w:r w:rsidRPr="006C1856" w:rsidR="006C1856">
        <w:rPr>
          <w:noProof/>
        </w:rPr>
        <w:t>10</w:t>
      </w:r>
      <w:r w:rsidRPr="006C1856">
        <w:fldChar w:fldCharType="end"/>
      </w:r>
      <w:r w:rsidRPr="006C1856">
        <w:t>.  </w:t>
      </w:r>
      <w:r w:rsidRPr="006C1856" w:rsidR="00A923D9">
        <w:t>The</w:t>
      </w:r>
      <w:r w:rsidRPr="006C1856">
        <w:t xml:space="preserve"> applicants were </w:t>
      </w:r>
      <w:r w:rsidRPr="006C1856" w:rsidR="00A923D9">
        <w:t>released from detention on 20 July and 20 August 2015</w:t>
      </w:r>
      <w:r w:rsidRPr="006C1856" w:rsidR="00EC1163">
        <w:t>, respectively,</w:t>
      </w:r>
      <w:r w:rsidRPr="006C1856" w:rsidR="00A923D9">
        <w:t xml:space="preserve"> </w:t>
      </w:r>
      <w:r w:rsidRPr="006C1856" w:rsidR="00D24A2B">
        <w:t>for reasons</w:t>
      </w:r>
      <w:r w:rsidRPr="006C1856" w:rsidR="00A923D9">
        <w:t xml:space="preserve"> which were not related </w:t>
      </w:r>
      <w:r w:rsidRPr="006C1856" w:rsidR="00D24A2B">
        <w:t>to</w:t>
      </w:r>
      <w:r w:rsidRPr="006C1856" w:rsidR="00A923D9">
        <w:t xml:space="preserve"> the Supreme Court of Moldova</w:t>
      </w:r>
      <w:r w:rsidRPr="006C1856" w:rsidR="006C1856">
        <w:t>’</w:t>
      </w:r>
      <w:r w:rsidRPr="006C1856" w:rsidR="00D24A2B">
        <w:t>s decision</w:t>
      </w:r>
      <w:r w:rsidRPr="006C1856" w:rsidR="00A923D9">
        <w:t xml:space="preserve"> of 14 February 2015.</w:t>
      </w:r>
    </w:p>
    <w:p w:rsidRPr="006C1856" w:rsidR="00D15445" w:rsidP="006C1856" w:rsidRDefault="00D15445">
      <w:pPr>
        <w:pStyle w:val="ECHRTitle1"/>
      </w:pPr>
      <w:r w:rsidRPr="006C1856">
        <w:t>THE LAW</w:t>
      </w:r>
    </w:p>
    <w:p w:rsidRPr="006C1856" w:rsidR="00D15445" w:rsidP="006C1856" w:rsidRDefault="00D15445">
      <w:pPr>
        <w:pStyle w:val="ECHRPara"/>
      </w:pPr>
      <w:r w:rsidRPr="006C1856">
        <w:fldChar w:fldCharType="begin"/>
      </w:r>
      <w:r w:rsidRPr="006C1856">
        <w:instrText xml:space="preserve"> SEQ level0 \*arabic </w:instrText>
      </w:r>
      <w:r w:rsidRPr="006C1856">
        <w:fldChar w:fldCharType="separate"/>
      </w:r>
      <w:r w:rsidRPr="006C1856" w:rsidR="006C1856">
        <w:rPr>
          <w:noProof/>
        </w:rPr>
        <w:t>11</w:t>
      </w:r>
      <w:r w:rsidRPr="006C1856">
        <w:fldChar w:fldCharType="end"/>
      </w:r>
      <w:r w:rsidRPr="006C1856">
        <w:t xml:space="preserve">.  The applicants complained under Article 6 </w:t>
      </w:r>
      <w:r w:rsidRPr="006C1856" w:rsidR="00487BF0">
        <w:rPr>
          <w:rFonts w:ascii="Times New Roman" w:hAnsi="Times New Roman" w:eastAsia="MS Mincho" w:cs="Times New Roman"/>
          <w:szCs w:val="24"/>
        </w:rPr>
        <w:t>of the Convention</w:t>
      </w:r>
      <w:r w:rsidRPr="006C1856" w:rsidR="00487BF0">
        <w:t xml:space="preserve"> </w:t>
      </w:r>
      <w:r w:rsidRPr="006C1856">
        <w:t>that their conviction had been carried out by a court which had not qualified as a tribunal established by law and that the proceedings had not been fair.</w:t>
      </w:r>
    </w:p>
    <w:p w:rsidRPr="006C1856" w:rsidR="00D15445" w:rsidP="006C1856" w:rsidRDefault="00D15445">
      <w:pPr>
        <w:pStyle w:val="ECHRHeading1"/>
      </w:pPr>
      <w:r w:rsidRPr="006C1856">
        <w:t>I.  JURISDICTION</w:t>
      </w:r>
    </w:p>
    <w:p w:rsidRPr="006C1856" w:rsidR="00D15445" w:rsidP="006C1856" w:rsidRDefault="00D15445">
      <w:pPr>
        <w:pStyle w:val="ECHRPara"/>
        <w:rPr>
          <w:rFonts w:eastAsia="MS Mincho"/>
        </w:rPr>
      </w:pPr>
      <w:r w:rsidRPr="006C1856">
        <w:rPr>
          <w:rFonts w:eastAsia="MS Mincho"/>
        </w:rPr>
        <w:fldChar w:fldCharType="begin"/>
      </w:r>
      <w:r w:rsidRPr="006C1856">
        <w:rPr>
          <w:rFonts w:eastAsia="MS Mincho"/>
        </w:rPr>
        <w:instrText xml:space="preserve"> SEQ level0 \*arabic </w:instrText>
      </w:r>
      <w:r w:rsidRPr="006C1856">
        <w:rPr>
          <w:rFonts w:eastAsia="MS Mincho"/>
        </w:rPr>
        <w:fldChar w:fldCharType="separate"/>
      </w:r>
      <w:r w:rsidRPr="006C1856" w:rsidR="006C1856">
        <w:rPr>
          <w:rFonts w:eastAsia="MS Mincho"/>
          <w:noProof/>
        </w:rPr>
        <w:t>12</w:t>
      </w:r>
      <w:r w:rsidRPr="006C1856">
        <w:rPr>
          <w:rFonts w:eastAsia="MS Mincho"/>
        </w:rPr>
        <w:fldChar w:fldCharType="end"/>
      </w:r>
      <w:r w:rsidRPr="006C1856">
        <w:rPr>
          <w:rFonts w:eastAsia="MS Mincho"/>
        </w:rPr>
        <w:t>.  The Court must first determine whether the applicants fell within the jurisdiction of the respondent States for the purposes of the matters complained of, within the meaning of Article 1 of the Convention.</w:t>
      </w:r>
    </w:p>
    <w:p w:rsidRPr="006C1856" w:rsidR="00D15445" w:rsidP="006C1856" w:rsidRDefault="00C10F75">
      <w:pPr>
        <w:pStyle w:val="ECHRHeading2"/>
      </w:pPr>
      <w:r w:rsidRPr="006C1856">
        <w:t>A.  </w:t>
      </w:r>
      <w:r w:rsidRPr="006C1856" w:rsidR="00D15445">
        <w:t>The parties</w:t>
      </w:r>
      <w:r w:rsidRPr="006C1856" w:rsidR="006C1856">
        <w:t>’</w:t>
      </w:r>
      <w:r w:rsidRPr="006C1856" w:rsidR="00D15445">
        <w:t xml:space="preserve"> submissions</w:t>
      </w:r>
    </w:p>
    <w:p w:rsidRPr="006C1856" w:rsidR="00D15445" w:rsidP="006C1856" w:rsidRDefault="00D15445">
      <w:pPr>
        <w:pStyle w:val="ECHRPara"/>
        <w:rPr>
          <w:snapToGrid w:val="0"/>
        </w:rPr>
      </w:pPr>
      <w:r w:rsidRPr="006C1856">
        <w:rPr>
          <w:rFonts w:ascii="Times New Roman" w:hAnsi="Times New Roman" w:eastAsia="MS Mincho" w:cs="Times New Roman"/>
          <w:szCs w:val="24"/>
        </w:rPr>
        <w:fldChar w:fldCharType="begin"/>
      </w:r>
      <w:r w:rsidRPr="006C1856">
        <w:rPr>
          <w:rFonts w:ascii="Times New Roman" w:hAnsi="Times New Roman" w:eastAsia="MS Mincho" w:cs="Times New Roman"/>
          <w:szCs w:val="24"/>
        </w:rPr>
        <w:instrText xml:space="preserve"> SEQ level0 \*arabic </w:instrText>
      </w:r>
      <w:r w:rsidRPr="006C1856">
        <w:rPr>
          <w:rFonts w:ascii="Times New Roman" w:hAnsi="Times New Roman" w:eastAsia="MS Mincho" w:cs="Times New Roman"/>
          <w:szCs w:val="24"/>
        </w:rPr>
        <w:fldChar w:fldCharType="separate"/>
      </w:r>
      <w:r w:rsidRPr="006C1856" w:rsidR="006C1856">
        <w:rPr>
          <w:rFonts w:ascii="Times New Roman" w:hAnsi="Times New Roman" w:eastAsia="MS Mincho" w:cs="Times New Roman"/>
          <w:noProof/>
          <w:szCs w:val="24"/>
        </w:rPr>
        <w:t>13</w:t>
      </w:r>
      <w:r w:rsidRPr="006C1856">
        <w:rPr>
          <w:rFonts w:ascii="Times New Roman" w:hAnsi="Times New Roman" w:eastAsia="MS Mincho" w:cs="Times New Roman"/>
          <w:szCs w:val="24"/>
        </w:rPr>
        <w:fldChar w:fldCharType="end"/>
      </w:r>
      <w:r w:rsidRPr="006C1856">
        <w:rPr>
          <w:rFonts w:ascii="Times New Roman" w:hAnsi="Times New Roman" w:eastAsia="MS Mincho" w:cs="Times New Roman"/>
          <w:szCs w:val="24"/>
        </w:rPr>
        <w:t xml:space="preserve">.  The applicants submitted that </w:t>
      </w:r>
      <w:r w:rsidRPr="006C1856">
        <w:rPr>
          <w:snapToGrid w:val="0"/>
        </w:rPr>
        <w:t>both respondent Governments had jurisdiction.</w:t>
      </w:r>
    </w:p>
    <w:p w:rsidRPr="006C1856" w:rsidR="00D15445" w:rsidP="006C1856" w:rsidRDefault="00D15445">
      <w:pPr>
        <w:pStyle w:val="ECHRPara"/>
        <w:rPr>
          <w:rFonts w:ascii="Times New Roman" w:hAnsi="Times New Roman" w:eastAsia="MS Mincho" w:cs="Times New Roman"/>
          <w:szCs w:val="24"/>
        </w:rPr>
      </w:pPr>
      <w:r w:rsidRPr="006C1856">
        <w:rPr>
          <w:snapToGrid w:val="0"/>
        </w:rPr>
        <w:fldChar w:fldCharType="begin"/>
      </w:r>
      <w:r w:rsidRPr="006C1856">
        <w:rPr>
          <w:snapToGrid w:val="0"/>
        </w:rPr>
        <w:instrText xml:space="preserve"> SEQ level0 \*arabic </w:instrText>
      </w:r>
      <w:r w:rsidRPr="006C1856">
        <w:rPr>
          <w:snapToGrid w:val="0"/>
        </w:rPr>
        <w:fldChar w:fldCharType="separate"/>
      </w:r>
      <w:r w:rsidRPr="006C1856" w:rsidR="006C1856">
        <w:rPr>
          <w:noProof/>
          <w:snapToGrid w:val="0"/>
        </w:rPr>
        <w:t>14</w:t>
      </w:r>
      <w:r w:rsidRPr="006C1856">
        <w:rPr>
          <w:snapToGrid w:val="0"/>
        </w:rPr>
        <w:fldChar w:fldCharType="end"/>
      </w:r>
      <w:r w:rsidRPr="006C1856">
        <w:rPr>
          <w:snapToGrid w:val="0"/>
        </w:rPr>
        <w:t>.  The Moldovan Government submitted that they had positive obligations to secure the applicants</w:t>
      </w:r>
      <w:r w:rsidRPr="006C1856" w:rsidR="006C1856">
        <w:rPr>
          <w:snapToGrid w:val="0"/>
        </w:rPr>
        <w:t>’</w:t>
      </w:r>
      <w:r w:rsidRPr="006C1856">
        <w:rPr>
          <w:snapToGrid w:val="0"/>
        </w:rPr>
        <w:t xml:space="preserve"> rights.</w:t>
      </w:r>
    </w:p>
    <w:p w:rsidRPr="006C1856" w:rsidR="00D15445" w:rsidP="006C1856" w:rsidRDefault="00D15445">
      <w:pPr>
        <w:pStyle w:val="ECHRPara"/>
      </w:pPr>
      <w:r w:rsidRPr="006C1856">
        <w:rPr>
          <w:rFonts w:ascii="Times New Roman" w:hAnsi="Times New Roman" w:eastAsia="MS Mincho" w:cs="Times New Roman"/>
          <w:szCs w:val="24"/>
        </w:rPr>
        <w:fldChar w:fldCharType="begin"/>
      </w:r>
      <w:r w:rsidRPr="006C1856">
        <w:rPr>
          <w:rFonts w:ascii="Times New Roman" w:hAnsi="Times New Roman" w:eastAsia="MS Mincho" w:cs="Times New Roman"/>
          <w:szCs w:val="24"/>
        </w:rPr>
        <w:instrText xml:space="preserve"> SEQ level0 \*arabic </w:instrText>
      </w:r>
      <w:r w:rsidRPr="006C1856">
        <w:rPr>
          <w:rFonts w:ascii="Times New Roman" w:hAnsi="Times New Roman" w:eastAsia="MS Mincho" w:cs="Times New Roman"/>
          <w:szCs w:val="24"/>
        </w:rPr>
        <w:fldChar w:fldCharType="separate"/>
      </w:r>
      <w:r w:rsidRPr="006C1856" w:rsidR="006C1856">
        <w:rPr>
          <w:rFonts w:ascii="Times New Roman" w:hAnsi="Times New Roman" w:eastAsia="MS Mincho" w:cs="Times New Roman"/>
          <w:noProof/>
          <w:szCs w:val="24"/>
        </w:rPr>
        <w:t>15</w:t>
      </w:r>
      <w:r w:rsidRPr="006C1856">
        <w:rPr>
          <w:rFonts w:ascii="Times New Roman" w:hAnsi="Times New Roman" w:eastAsia="MS Mincho" w:cs="Times New Roman"/>
          <w:szCs w:val="24"/>
        </w:rPr>
        <w:fldChar w:fldCharType="end"/>
      </w:r>
      <w:r w:rsidRPr="006C1856">
        <w:rPr>
          <w:rFonts w:ascii="Times New Roman" w:hAnsi="Times New Roman" w:eastAsia="MS Mincho" w:cs="Times New Roman"/>
          <w:szCs w:val="24"/>
        </w:rPr>
        <w:t xml:space="preserve">.  For their part, the Russian Government argued that the applicants did not </w:t>
      </w:r>
      <w:r w:rsidRPr="006C1856" w:rsidR="00EC1163">
        <w:rPr>
          <w:rFonts w:ascii="Times New Roman" w:hAnsi="Times New Roman" w:eastAsia="MS Mincho" w:cs="Times New Roman"/>
          <w:szCs w:val="24"/>
        </w:rPr>
        <w:t>come</w:t>
      </w:r>
      <w:r w:rsidRPr="006C1856">
        <w:rPr>
          <w:rFonts w:ascii="Times New Roman" w:hAnsi="Times New Roman" w:eastAsia="MS Mincho" w:cs="Times New Roman"/>
          <w:szCs w:val="24"/>
        </w:rPr>
        <w:t xml:space="preserve"> within their jurisdiction and that, consequently, the application should be declared inadmissible </w:t>
      </w:r>
      <w:r w:rsidRPr="006C1856">
        <w:rPr>
          <w:rFonts w:ascii="Times New Roman" w:hAnsi="Times New Roman" w:eastAsia="MS Mincho" w:cs="Times New Roman"/>
          <w:i/>
          <w:szCs w:val="24"/>
        </w:rPr>
        <w:t>ratione personae</w:t>
      </w:r>
      <w:r w:rsidRPr="006C1856">
        <w:rPr>
          <w:rFonts w:ascii="Times New Roman" w:hAnsi="Times New Roman" w:eastAsia="MS Mincho" w:cs="Times New Roman"/>
          <w:szCs w:val="24"/>
        </w:rPr>
        <w:t xml:space="preserve"> and </w:t>
      </w:r>
      <w:r w:rsidRPr="006C1856">
        <w:rPr>
          <w:rFonts w:ascii="Times New Roman" w:hAnsi="Times New Roman" w:eastAsia="MS Mincho" w:cs="Times New Roman"/>
          <w:i/>
          <w:szCs w:val="24"/>
        </w:rPr>
        <w:t>ratione loci</w:t>
      </w:r>
      <w:r w:rsidRPr="006C1856">
        <w:rPr>
          <w:rFonts w:ascii="Times New Roman" w:hAnsi="Times New Roman" w:eastAsia="MS Mincho" w:cs="Times New Roman"/>
          <w:szCs w:val="24"/>
        </w:rPr>
        <w:t xml:space="preserve"> in respect of the Russian Federation. </w:t>
      </w:r>
      <w:r w:rsidRPr="006C1856">
        <w:rPr>
          <w:rFonts w:ascii="Times New Roman" w:hAnsi="Times New Roman" w:eastAsia="MS Mincho" w:cs="Times New Roman"/>
          <w:snapToGrid w:val="0"/>
          <w:szCs w:val="24"/>
        </w:rPr>
        <w:t xml:space="preserve">As they did in </w:t>
      </w:r>
      <w:r w:rsidRPr="006C1856" w:rsidR="00D82052">
        <w:rPr>
          <w:i/>
        </w:rPr>
        <w:t xml:space="preserve">Mozer v. the Republic of Moldova and Russia </w:t>
      </w:r>
      <w:r w:rsidRPr="006C1856" w:rsidR="003A4569">
        <w:t>(</w:t>
      </w:r>
      <w:r w:rsidRPr="006C1856" w:rsidR="00D82052">
        <w:t xml:space="preserve">[GC], no. 11138/10, </w:t>
      </w:r>
      <w:r w:rsidRPr="006C1856" w:rsidR="00D82052">
        <w:rPr>
          <w:rFonts w:ascii="Times New Roman" w:hAnsi="Times New Roman" w:eastAsia="MS Mincho" w:cs="Times New Roman"/>
          <w:snapToGrid w:val="0"/>
          <w:szCs w:val="24"/>
        </w:rPr>
        <w:t>§§ 92-94</w:t>
      </w:r>
      <w:r w:rsidRPr="006C1856" w:rsidR="00D82052">
        <w:t>, 23 February 2016</w:t>
      </w:r>
      <w:r w:rsidRPr="006C1856" w:rsidR="003A4569">
        <w:t>)</w:t>
      </w:r>
      <w:r w:rsidRPr="006C1856" w:rsidR="00D82052">
        <w:t>,</w:t>
      </w:r>
      <w:r w:rsidRPr="006C1856">
        <w:rPr>
          <w:rFonts w:ascii="Times New Roman" w:hAnsi="Times New Roman" w:eastAsia="MS Mincho" w:cs="Times New Roman"/>
          <w:snapToGrid w:val="0"/>
          <w:szCs w:val="24"/>
        </w:rPr>
        <w:t xml:space="preserve"> the Russian Government expressed the view that the approach to the issue of jurisdiction taken by the Court in </w:t>
      </w:r>
      <w:r w:rsidRPr="006C1856" w:rsidR="00D82052">
        <w:rPr>
          <w:i/>
        </w:rPr>
        <w:t xml:space="preserve">Ilaşcu and Others v. Moldova and Russia </w:t>
      </w:r>
      <w:r w:rsidRPr="006C1856" w:rsidR="003A4569">
        <w:t>(</w:t>
      </w:r>
      <w:r w:rsidRPr="006C1856" w:rsidR="00D82052">
        <w:t>[GC] no.</w:t>
      </w:r>
      <w:r w:rsidRPr="006C1856" w:rsidR="0001168B">
        <w:t> </w:t>
      </w:r>
      <w:r w:rsidRPr="006C1856" w:rsidR="00D82052">
        <w:t>48787/99, ECHR 2004</w:t>
      </w:r>
      <w:r w:rsidRPr="006C1856" w:rsidR="00D82052">
        <w:noBreakHyphen/>
        <w:t>VII</w:t>
      </w:r>
      <w:r w:rsidRPr="006C1856" w:rsidR="00C10F75">
        <w:t>)</w:t>
      </w:r>
      <w:r w:rsidRPr="006C1856" w:rsidR="00010440">
        <w:t>,</w:t>
      </w:r>
      <w:r w:rsidRPr="006C1856">
        <w:rPr>
          <w:rFonts w:ascii="Times New Roman" w:hAnsi="Times New Roman" w:cs="Times New Roman"/>
          <w:szCs w:val="24"/>
        </w:rPr>
        <w:t xml:space="preserve"> </w:t>
      </w:r>
      <w:r w:rsidRPr="006C1856" w:rsidR="003A4569">
        <w:rPr>
          <w:rFonts w:ascii="Times New Roman" w:hAnsi="Times New Roman" w:eastAsia="MS Mincho" w:cs="Times New Roman"/>
          <w:i/>
          <w:szCs w:val="24"/>
        </w:rPr>
        <w:t>Ivanţoc and Others v. Moldova and Russia</w:t>
      </w:r>
      <w:r w:rsidRPr="006C1856" w:rsidR="003A4569">
        <w:rPr>
          <w:rFonts w:ascii="Times New Roman" w:hAnsi="Times New Roman" w:eastAsia="MS Mincho" w:cs="Times New Roman"/>
          <w:szCs w:val="24"/>
        </w:rPr>
        <w:t xml:space="preserve"> (</w:t>
      </w:r>
      <w:r w:rsidRPr="006C1856" w:rsidR="003A4569">
        <w:rPr>
          <w:rFonts w:ascii="Times New Roman" w:hAnsi="Times New Roman" w:eastAsia="MS Mincho" w:cs="Times New Roman"/>
          <w:snapToGrid w:val="0"/>
          <w:szCs w:val="24"/>
        </w:rPr>
        <w:t>no.</w:t>
      </w:r>
      <w:r w:rsidRPr="006C1856" w:rsidR="003A4569">
        <w:rPr>
          <w:rFonts w:ascii="Times New Roman" w:hAnsi="Times New Roman" w:eastAsia="MS Mincho" w:cs="Times New Roman"/>
          <w:szCs w:val="24"/>
        </w:rPr>
        <w:t xml:space="preserve"> 23687/05</w:t>
      </w:r>
      <w:r w:rsidRPr="006C1856" w:rsidR="003A4569">
        <w:rPr>
          <w:rFonts w:ascii="Times New Roman" w:hAnsi="Times New Roman" w:eastAsia="MS Mincho" w:cs="Times New Roman"/>
          <w:snapToGrid w:val="0"/>
          <w:szCs w:val="24"/>
        </w:rPr>
        <w:t>, 15 November 2011</w:t>
      </w:r>
      <w:r w:rsidRPr="006C1856" w:rsidR="003A4569">
        <w:rPr>
          <w:snapToGrid w:val="0"/>
        </w:rPr>
        <w:t xml:space="preserve">) and </w:t>
      </w:r>
      <w:r w:rsidRPr="006C1856" w:rsidR="00BB6C7C">
        <w:rPr>
          <w:i/>
        </w:rPr>
        <w:t>Catan and Others v. the Republic of Moldova and Russia</w:t>
      </w:r>
      <w:r w:rsidRPr="006C1856" w:rsidR="00BB6C7C">
        <w:t xml:space="preserve"> ([GC], nos. 43370/04 and 2 others</w:t>
      </w:r>
      <w:r w:rsidRPr="006C1856" w:rsidR="00BB6C7C">
        <w:rPr>
          <w:snapToGrid w:val="0"/>
        </w:rPr>
        <w:t>, ECHR 2012 (extracts)</w:t>
      </w:r>
      <w:r w:rsidRPr="006C1856">
        <w:rPr>
          <w:rFonts w:ascii="Times New Roman" w:hAnsi="Times New Roman" w:eastAsia="MS Mincho" w:cs="Times New Roman"/>
          <w:snapToGrid w:val="0"/>
          <w:szCs w:val="24"/>
        </w:rPr>
        <w:t xml:space="preserve"> was wrong and at variance with public international law.</w:t>
      </w:r>
    </w:p>
    <w:p w:rsidRPr="006C1856" w:rsidR="00D15445" w:rsidP="006C1856" w:rsidRDefault="00C10F75">
      <w:pPr>
        <w:pStyle w:val="ECHRHeading2"/>
      </w:pPr>
      <w:r w:rsidRPr="006C1856">
        <w:t>B.  </w:t>
      </w:r>
      <w:r w:rsidRPr="006C1856" w:rsidR="00D15445">
        <w:t>The Court</w:t>
      </w:r>
      <w:r w:rsidRPr="006C1856" w:rsidR="006C1856">
        <w:t>’</w:t>
      </w:r>
      <w:r w:rsidRPr="006C1856" w:rsidR="00D15445">
        <w:t>s assessment</w:t>
      </w:r>
    </w:p>
    <w:p w:rsidRPr="006C1856" w:rsidR="00D15445" w:rsidP="006C1856" w:rsidRDefault="00D15445">
      <w:pPr>
        <w:pStyle w:val="ECHRPara"/>
        <w:rPr>
          <w:rFonts w:eastAsia="MS Mincho"/>
          <w:snapToGrid w:val="0"/>
        </w:rPr>
      </w:pPr>
      <w:r w:rsidRPr="006C1856">
        <w:rPr>
          <w:rFonts w:eastAsia="MS Mincho"/>
          <w:snapToGrid w:val="0"/>
        </w:rPr>
        <w:fldChar w:fldCharType="begin"/>
      </w:r>
      <w:r w:rsidRPr="006C1856">
        <w:rPr>
          <w:rFonts w:eastAsia="MS Mincho"/>
          <w:snapToGrid w:val="0"/>
        </w:rPr>
        <w:instrText xml:space="preserve"> SEQ level0 \*arabic </w:instrText>
      </w:r>
      <w:r w:rsidRPr="006C1856">
        <w:rPr>
          <w:rFonts w:eastAsia="MS Mincho"/>
          <w:snapToGrid w:val="0"/>
        </w:rPr>
        <w:fldChar w:fldCharType="separate"/>
      </w:r>
      <w:r w:rsidRPr="006C1856" w:rsidR="006C1856">
        <w:rPr>
          <w:rFonts w:eastAsia="MS Mincho"/>
          <w:noProof/>
          <w:snapToGrid w:val="0"/>
        </w:rPr>
        <w:t>16</w:t>
      </w:r>
      <w:r w:rsidRPr="006C1856">
        <w:rPr>
          <w:rFonts w:eastAsia="MS Mincho"/>
          <w:snapToGrid w:val="0"/>
        </w:rPr>
        <w:fldChar w:fldCharType="end"/>
      </w:r>
      <w:r w:rsidRPr="006C1856">
        <w:rPr>
          <w:rFonts w:eastAsia="MS Mincho"/>
          <w:snapToGrid w:val="0"/>
        </w:rPr>
        <w:t xml:space="preserve">.  The Court recalls that the general principles concerning the issue of jurisdiction under Article 1 of the Convention in respect of acts and facts </w:t>
      </w:r>
      <w:r w:rsidRPr="006C1856" w:rsidR="003A4569">
        <w:rPr>
          <w:rFonts w:eastAsia="MS Mincho"/>
          <w:snapToGrid w:val="0"/>
        </w:rPr>
        <w:t>occurring in</w:t>
      </w:r>
      <w:r w:rsidRPr="006C1856">
        <w:rPr>
          <w:rFonts w:eastAsia="MS Mincho"/>
          <w:snapToGrid w:val="0"/>
        </w:rPr>
        <w:t xml:space="preserve"> the Transdniestrian region of Moldova were set out in </w:t>
      </w:r>
      <w:r w:rsidRPr="006C1856">
        <w:rPr>
          <w:rFonts w:eastAsia="MS Mincho"/>
          <w:i/>
        </w:rPr>
        <w:t xml:space="preserve">Ilaşcu and Others </w:t>
      </w:r>
      <w:r w:rsidRPr="006C1856">
        <w:rPr>
          <w:rFonts w:eastAsia="MS Mincho"/>
        </w:rPr>
        <w:t xml:space="preserve">(cited above, §§ 311-19), </w:t>
      </w:r>
      <w:r w:rsidRPr="006C1856">
        <w:rPr>
          <w:rFonts w:eastAsia="MS Mincho"/>
          <w:i/>
          <w:snapToGrid w:val="0"/>
        </w:rPr>
        <w:t xml:space="preserve">Catan and Others </w:t>
      </w:r>
      <w:r w:rsidRPr="006C1856">
        <w:rPr>
          <w:rFonts w:eastAsia="MS Mincho"/>
        </w:rPr>
        <w:t xml:space="preserve">(cited above, §§ 103-07) and, more recently, </w:t>
      </w:r>
      <w:r w:rsidRPr="006C1856">
        <w:rPr>
          <w:rFonts w:eastAsia="MS Mincho"/>
          <w:i/>
          <w:snapToGrid w:val="0"/>
        </w:rPr>
        <w:t xml:space="preserve">Mozer </w:t>
      </w:r>
      <w:r w:rsidRPr="006C1856">
        <w:rPr>
          <w:rFonts w:eastAsia="MS Mincho"/>
          <w:snapToGrid w:val="0"/>
        </w:rPr>
        <w:t>(cited above, §§ 97-98).</w:t>
      </w:r>
    </w:p>
    <w:p w:rsidRPr="006C1856" w:rsidR="00D15445" w:rsidP="006C1856" w:rsidRDefault="00D15445">
      <w:pPr>
        <w:pStyle w:val="ECHRPara"/>
        <w:rPr>
          <w:rFonts w:eastAsia="MS Mincho"/>
        </w:rPr>
      </w:pPr>
      <w:r w:rsidRPr="006C1856">
        <w:rPr>
          <w:rFonts w:eastAsia="MS Mincho"/>
          <w:snapToGrid w:val="0"/>
        </w:rPr>
        <w:fldChar w:fldCharType="begin"/>
      </w:r>
      <w:r w:rsidRPr="006C1856">
        <w:rPr>
          <w:rFonts w:eastAsia="MS Mincho"/>
          <w:snapToGrid w:val="0"/>
        </w:rPr>
        <w:instrText xml:space="preserve"> SEQ level0 \*arabic </w:instrText>
      </w:r>
      <w:r w:rsidRPr="006C1856">
        <w:rPr>
          <w:rFonts w:eastAsia="MS Mincho"/>
          <w:snapToGrid w:val="0"/>
        </w:rPr>
        <w:fldChar w:fldCharType="separate"/>
      </w:r>
      <w:r w:rsidRPr="006C1856" w:rsidR="006C1856">
        <w:rPr>
          <w:rFonts w:eastAsia="MS Mincho"/>
          <w:noProof/>
          <w:snapToGrid w:val="0"/>
        </w:rPr>
        <w:t>17</w:t>
      </w:r>
      <w:r w:rsidRPr="006C1856">
        <w:rPr>
          <w:rFonts w:eastAsia="MS Mincho"/>
          <w:snapToGrid w:val="0"/>
        </w:rPr>
        <w:fldChar w:fldCharType="end"/>
      </w:r>
      <w:r w:rsidRPr="006C1856">
        <w:rPr>
          <w:rFonts w:eastAsia="MS Mincho"/>
          <w:snapToGrid w:val="0"/>
        </w:rPr>
        <w:t xml:space="preserve">.  In so far as the Republic of Moldova is concerned, the Court notes that in </w:t>
      </w:r>
      <w:r w:rsidRPr="006C1856">
        <w:rPr>
          <w:rFonts w:eastAsia="MS Mincho"/>
          <w:i/>
        </w:rPr>
        <w:t>Ilaşcu</w:t>
      </w:r>
      <w:r w:rsidRPr="006C1856" w:rsidR="00C10F75">
        <w:rPr>
          <w:rFonts w:eastAsia="MS Mincho"/>
          <w:i/>
        </w:rPr>
        <w:t xml:space="preserve"> and Others</w:t>
      </w:r>
      <w:r w:rsidRPr="006C1856">
        <w:rPr>
          <w:rFonts w:eastAsia="MS Mincho"/>
          <w:i/>
        </w:rPr>
        <w:t>, Catan</w:t>
      </w:r>
      <w:r w:rsidRPr="006C1856" w:rsidR="00C10F75">
        <w:rPr>
          <w:rFonts w:eastAsia="MS Mincho"/>
          <w:i/>
        </w:rPr>
        <w:t xml:space="preserve"> and Others</w:t>
      </w:r>
      <w:r w:rsidRPr="006C1856">
        <w:rPr>
          <w:rFonts w:eastAsia="MS Mincho"/>
        </w:rPr>
        <w:t xml:space="preserve"> and</w:t>
      </w:r>
      <w:r w:rsidRPr="006C1856">
        <w:rPr>
          <w:rFonts w:eastAsia="MS Mincho"/>
          <w:i/>
        </w:rPr>
        <w:t xml:space="preserve"> </w:t>
      </w:r>
      <w:r w:rsidRPr="006C1856">
        <w:rPr>
          <w:rFonts w:eastAsia="MS Mincho"/>
          <w:i/>
          <w:snapToGrid w:val="0"/>
        </w:rPr>
        <w:t>Mozer</w:t>
      </w:r>
      <w:r w:rsidRPr="006C1856" w:rsidR="00C10F75">
        <w:rPr>
          <w:rFonts w:eastAsia="MS Mincho"/>
          <w:snapToGrid w:val="0"/>
        </w:rPr>
        <w:t xml:space="preserve"> </w:t>
      </w:r>
      <w:r w:rsidRPr="006C1856">
        <w:rPr>
          <w:rFonts w:eastAsia="MS Mincho"/>
          <w:snapToGrid w:val="0"/>
        </w:rPr>
        <w:t xml:space="preserve">it found that although Moldova had no effective control </w:t>
      </w:r>
      <w:r w:rsidRPr="006C1856">
        <w:t xml:space="preserve">over the Transdniestrian region, </w:t>
      </w:r>
      <w:r w:rsidRPr="006C1856">
        <w:rPr>
          <w:rFonts w:eastAsia="MS Mincho"/>
          <w:snapToGrid w:val="0"/>
        </w:rPr>
        <w:t xml:space="preserve">it followed from </w:t>
      </w:r>
      <w:r w:rsidRPr="006C1856">
        <w:rPr>
          <w:rFonts w:eastAsia="MS Mincho"/>
        </w:rPr>
        <w:t xml:space="preserve">the fact that Moldova was the territorial State that persons within that territory fell within its jurisdiction. However, its obligation, under Article 1 of the Convention, to secure to everyone within its jurisdiction the rights and freedoms defined in the Convention was limited to that of taking the diplomatic, economic, judicial and other measures that were both in its power and in accordance with international law (see </w:t>
      </w:r>
      <w:r w:rsidRPr="006C1856">
        <w:rPr>
          <w:rFonts w:eastAsia="MS Mincho"/>
          <w:i/>
        </w:rPr>
        <w:t>Ilaşcu and Others</w:t>
      </w:r>
      <w:r w:rsidRPr="006C1856">
        <w:rPr>
          <w:rFonts w:eastAsia="MS Mincho"/>
        </w:rPr>
        <w:t xml:space="preserve">, cited above, § 333; </w:t>
      </w:r>
      <w:r w:rsidRPr="006C1856">
        <w:rPr>
          <w:rFonts w:eastAsia="MS Mincho"/>
          <w:i/>
        </w:rPr>
        <w:t>Catan and Others</w:t>
      </w:r>
      <w:r w:rsidRPr="006C1856">
        <w:rPr>
          <w:rFonts w:eastAsia="MS Mincho"/>
        </w:rPr>
        <w:t xml:space="preserve">, cited above, § 109; and </w:t>
      </w:r>
      <w:r w:rsidRPr="006C1856">
        <w:rPr>
          <w:rFonts w:eastAsia="MS Mincho"/>
          <w:i/>
        </w:rPr>
        <w:t>Mozer</w:t>
      </w:r>
      <w:r w:rsidRPr="006C1856">
        <w:rPr>
          <w:rFonts w:eastAsia="MS Mincho"/>
        </w:rPr>
        <w:t>, cited above, § 100). Moldova</w:t>
      </w:r>
      <w:r w:rsidRPr="006C1856" w:rsidR="006C1856">
        <w:rPr>
          <w:rFonts w:eastAsia="MS Mincho"/>
        </w:rPr>
        <w:t>’</w:t>
      </w:r>
      <w:r w:rsidRPr="006C1856">
        <w:rPr>
          <w:rFonts w:eastAsia="MS Mincho"/>
        </w:rPr>
        <w:t xml:space="preserve">s obligations under Article 1 of the Convention were found to be positive obligations (see </w:t>
      </w:r>
      <w:r w:rsidRPr="006C1856">
        <w:rPr>
          <w:rFonts w:eastAsia="MS Mincho"/>
          <w:i/>
        </w:rPr>
        <w:t>Ilaşcu and Others</w:t>
      </w:r>
      <w:r w:rsidRPr="006C1856">
        <w:rPr>
          <w:rFonts w:eastAsia="MS Mincho"/>
        </w:rPr>
        <w:t xml:space="preserve">, cited above, §§ 322 and 330-31; </w:t>
      </w:r>
      <w:r w:rsidRPr="006C1856">
        <w:rPr>
          <w:rFonts w:eastAsia="MS Mincho"/>
          <w:i/>
        </w:rPr>
        <w:t>Catan and Others</w:t>
      </w:r>
      <w:r w:rsidRPr="006C1856">
        <w:rPr>
          <w:rFonts w:eastAsia="MS Mincho"/>
        </w:rPr>
        <w:t xml:space="preserve">, cited above, §§ 109-10; and </w:t>
      </w:r>
      <w:r w:rsidRPr="006C1856">
        <w:rPr>
          <w:rFonts w:eastAsia="MS Mincho"/>
          <w:i/>
        </w:rPr>
        <w:t>Mozer</w:t>
      </w:r>
      <w:r w:rsidRPr="006C1856">
        <w:rPr>
          <w:rFonts w:eastAsia="MS Mincho"/>
        </w:rPr>
        <w:t>, cited above, § 99).</w:t>
      </w:r>
    </w:p>
    <w:p w:rsidRPr="006C1856" w:rsidR="00D15445" w:rsidP="006C1856" w:rsidRDefault="00D15445">
      <w:pPr>
        <w:pStyle w:val="ECHRPara"/>
        <w:rPr>
          <w:rFonts w:eastAsia="MS Mincho"/>
        </w:rPr>
      </w:pPr>
      <w:r w:rsidRPr="006C1856">
        <w:rPr>
          <w:rFonts w:eastAsia="MS Mincho"/>
        </w:rPr>
        <w:fldChar w:fldCharType="begin"/>
      </w:r>
      <w:r w:rsidRPr="006C1856">
        <w:rPr>
          <w:rFonts w:eastAsia="MS Mincho"/>
        </w:rPr>
        <w:instrText xml:space="preserve"> SEQ level0 \*arabic </w:instrText>
      </w:r>
      <w:r w:rsidRPr="006C1856">
        <w:rPr>
          <w:rFonts w:eastAsia="MS Mincho"/>
        </w:rPr>
        <w:fldChar w:fldCharType="separate"/>
      </w:r>
      <w:r w:rsidRPr="006C1856" w:rsidR="006C1856">
        <w:rPr>
          <w:rFonts w:eastAsia="MS Mincho"/>
          <w:noProof/>
        </w:rPr>
        <w:t>18</w:t>
      </w:r>
      <w:r w:rsidRPr="006C1856">
        <w:rPr>
          <w:rFonts w:eastAsia="MS Mincho"/>
        </w:rPr>
        <w:fldChar w:fldCharType="end"/>
      </w:r>
      <w:r w:rsidRPr="006C1856">
        <w:rPr>
          <w:rFonts w:eastAsia="MS Mincho"/>
        </w:rPr>
        <w:t>.  The Court sees no reason to distinguish the present case from the above-mentioned cases</w:t>
      </w:r>
      <w:r w:rsidRPr="006C1856">
        <w:rPr>
          <w:rFonts w:eastAsia="MS Mincho"/>
          <w:snapToGrid w:val="0"/>
        </w:rPr>
        <w:t xml:space="preserve">. Besides, it notes that the Moldovan Government do not object to applying a similar approach in the present case. </w:t>
      </w:r>
      <w:r w:rsidRPr="006C1856">
        <w:rPr>
          <w:rFonts w:eastAsia="MS Mincho"/>
        </w:rPr>
        <w:t xml:space="preserve">Therefore, it finds that Moldova has jurisdiction for the purposes of Article 1 of the Convention, but that its responsibility for the acts complained of is to be assessed in the light of the above-mentioned positive obligations (see </w:t>
      </w:r>
      <w:r w:rsidRPr="006C1856">
        <w:rPr>
          <w:rFonts w:eastAsia="MS Mincho"/>
          <w:i/>
        </w:rPr>
        <w:t>Ilaşcu and Others</w:t>
      </w:r>
      <w:r w:rsidRPr="006C1856">
        <w:rPr>
          <w:rFonts w:eastAsia="MS Mincho"/>
        </w:rPr>
        <w:t>, cited above, § 335).</w:t>
      </w:r>
    </w:p>
    <w:p w:rsidRPr="006C1856" w:rsidR="00D15445" w:rsidP="006C1856" w:rsidRDefault="00D15445">
      <w:pPr>
        <w:pStyle w:val="ECHRPara"/>
        <w:rPr>
          <w:rFonts w:ascii="Times New Roman" w:hAnsi="Times New Roman" w:eastAsia="MS Mincho" w:cs="Times New Roman"/>
          <w:szCs w:val="24"/>
        </w:rPr>
      </w:pPr>
      <w:r w:rsidRPr="006C1856">
        <w:rPr>
          <w:rFonts w:ascii="Times New Roman" w:hAnsi="Times New Roman" w:eastAsia="MS Mincho" w:cs="Times New Roman"/>
          <w:szCs w:val="24"/>
        </w:rPr>
        <w:fldChar w:fldCharType="begin"/>
      </w:r>
      <w:r w:rsidRPr="006C1856">
        <w:rPr>
          <w:rFonts w:ascii="Times New Roman" w:hAnsi="Times New Roman" w:eastAsia="MS Mincho" w:cs="Times New Roman"/>
          <w:szCs w:val="24"/>
        </w:rPr>
        <w:instrText xml:space="preserve"> SEQ level0 \*arabic </w:instrText>
      </w:r>
      <w:r w:rsidRPr="006C1856">
        <w:rPr>
          <w:rFonts w:ascii="Times New Roman" w:hAnsi="Times New Roman" w:eastAsia="MS Mincho" w:cs="Times New Roman"/>
          <w:szCs w:val="24"/>
        </w:rPr>
        <w:fldChar w:fldCharType="separate"/>
      </w:r>
      <w:r w:rsidRPr="006C1856" w:rsidR="006C1856">
        <w:rPr>
          <w:rFonts w:ascii="Times New Roman" w:hAnsi="Times New Roman" w:eastAsia="MS Mincho" w:cs="Times New Roman"/>
          <w:noProof/>
          <w:szCs w:val="24"/>
        </w:rPr>
        <w:t>19</w:t>
      </w:r>
      <w:r w:rsidRPr="006C1856">
        <w:rPr>
          <w:rFonts w:ascii="Times New Roman" w:hAnsi="Times New Roman" w:eastAsia="MS Mincho" w:cs="Times New Roman"/>
          <w:szCs w:val="24"/>
        </w:rPr>
        <w:fldChar w:fldCharType="end"/>
      </w:r>
      <w:r w:rsidRPr="006C1856">
        <w:rPr>
          <w:rFonts w:ascii="Times New Roman" w:hAnsi="Times New Roman" w:eastAsia="MS Mincho" w:cs="Times New Roman"/>
          <w:szCs w:val="24"/>
        </w:rPr>
        <w:t xml:space="preserve">.  In so far as the Russian Federation is concerned, the Court notes that in </w:t>
      </w:r>
      <w:r w:rsidRPr="006C1856">
        <w:rPr>
          <w:rFonts w:ascii="Times New Roman" w:hAnsi="Times New Roman" w:eastAsia="MS Mincho" w:cs="Times New Roman"/>
          <w:i/>
          <w:szCs w:val="24"/>
        </w:rPr>
        <w:t>Ila</w:t>
      </w:r>
      <w:r w:rsidRPr="006C1856">
        <w:rPr>
          <w:rFonts w:ascii="Times New Roman" w:hAnsi="Times New Roman" w:eastAsia="MS Mincho" w:cs="Times New Roman"/>
          <w:i/>
          <w:szCs w:val="24"/>
          <w:lang w:val="ro-RO"/>
        </w:rPr>
        <w:t>ș</w:t>
      </w:r>
      <w:r w:rsidRPr="006C1856">
        <w:rPr>
          <w:rFonts w:ascii="Times New Roman" w:hAnsi="Times New Roman" w:eastAsia="MS Mincho" w:cs="Times New Roman"/>
          <w:i/>
          <w:szCs w:val="24"/>
        </w:rPr>
        <w:t>cu and Others</w:t>
      </w:r>
      <w:r w:rsidRPr="006C1856">
        <w:rPr>
          <w:rFonts w:ascii="Times New Roman" w:hAnsi="Times New Roman" w:eastAsia="MS Mincho" w:cs="Times New Roman"/>
          <w:szCs w:val="24"/>
        </w:rPr>
        <w:t xml:space="preserve"> it found that the Russian Federation contributed both militarily and politically to the creation of a separatist regime in the region of Transdniestria in 1991-1992 (see </w:t>
      </w:r>
      <w:r w:rsidRPr="006C1856">
        <w:rPr>
          <w:rFonts w:ascii="Times New Roman" w:hAnsi="Times New Roman" w:eastAsia="MS Mincho" w:cs="Times New Roman"/>
          <w:i/>
          <w:szCs w:val="24"/>
        </w:rPr>
        <w:t>Ila</w:t>
      </w:r>
      <w:r w:rsidRPr="006C1856">
        <w:rPr>
          <w:rFonts w:ascii="Times New Roman" w:hAnsi="Times New Roman" w:eastAsia="MS Mincho" w:cs="Times New Roman"/>
          <w:i/>
          <w:szCs w:val="24"/>
          <w:lang w:val="ro-RO"/>
        </w:rPr>
        <w:t>ș</w:t>
      </w:r>
      <w:r w:rsidRPr="006C1856">
        <w:rPr>
          <w:rFonts w:ascii="Times New Roman" w:hAnsi="Times New Roman" w:eastAsia="MS Mincho" w:cs="Times New Roman"/>
          <w:i/>
          <w:szCs w:val="24"/>
        </w:rPr>
        <w:t>cu and Others</w:t>
      </w:r>
      <w:r w:rsidRPr="006C1856">
        <w:rPr>
          <w:rFonts w:ascii="Times New Roman" w:hAnsi="Times New Roman" w:eastAsia="MS Mincho" w:cs="Times New Roman"/>
          <w:szCs w:val="24"/>
        </w:rPr>
        <w:t xml:space="preserve">, cited above, § 382). The Court also found in subsequent cases concerning the Transdniestrian region that up until July 2010, the “MRT” was only able to continue to exist, and to resist Moldovan and international efforts to resolve the conflict and bring democracy and the rule of law to the region, because of Russian military, economic and political support (see </w:t>
      </w:r>
      <w:r w:rsidRPr="006C1856">
        <w:rPr>
          <w:rFonts w:ascii="Times New Roman" w:hAnsi="Times New Roman" w:eastAsia="MS Mincho" w:cs="Times New Roman"/>
          <w:i/>
          <w:szCs w:val="24"/>
        </w:rPr>
        <w:t>Ivanţoc and Others</w:t>
      </w:r>
      <w:r w:rsidRPr="006C1856">
        <w:rPr>
          <w:rFonts w:ascii="Times New Roman" w:hAnsi="Times New Roman" w:eastAsia="MS Mincho" w:cs="Times New Roman"/>
          <w:szCs w:val="24"/>
        </w:rPr>
        <w:t>, cited above, §§</w:t>
      </w:r>
      <w:r w:rsidRPr="006C1856" w:rsidR="005F6A88">
        <w:rPr>
          <w:rFonts w:ascii="Times New Roman" w:hAnsi="Times New Roman" w:eastAsia="MS Mincho" w:cs="Times New Roman"/>
          <w:szCs w:val="24"/>
        </w:rPr>
        <w:t> </w:t>
      </w:r>
      <w:r w:rsidRPr="006C1856">
        <w:rPr>
          <w:rFonts w:ascii="Times New Roman" w:hAnsi="Times New Roman" w:eastAsia="MS Mincho" w:cs="Times New Roman"/>
          <w:szCs w:val="24"/>
        </w:rPr>
        <w:t>116</w:t>
      </w:r>
      <w:r w:rsidRPr="006C1856" w:rsidR="005F6A88">
        <w:rPr>
          <w:rFonts w:ascii="Times New Roman" w:hAnsi="Times New Roman" w:eastAsia="MS Mincho" w:cs="Times New Roman"/>
          <w:szCs w:val="24"/>
        </w:rPr>
        <w:noBreakHyphen/>
      </w:r>
      <w:r w:rsidRPr="006C1856">
        <w:rPr>
          <w:rFonts w:ascii="Times New Roman" w:hAnsi="Times New Roman" w:eastAsia="MS Mincho" w:cs="Times New Roman"/>
          <w:szCs w:val="24"/>
        </w:rPr>
        <w:t xml:space="preserve">20; </w:t>
      </w:r>
      <w:r w:rsidRPr="006C1856">
        <w:rPr>
          <w:rFonts w:ascii="Times New Roman" w:hAnsi="Times New Roman" w:eastAsia="MS Mincho" w:cs="Times New Roman"/>
          <w:i/>
          <w:szCs w:val="24"/>
        </w:rPr>
        <w:t>Catan and Others</w:t>
      </w:r>
      <w:r w:rsidRPr="006C1856">
        <w:rPr>
          <w:rFonts w:ascii="Times New Roman" w:hAnsi="Times New Roman" w:eastAsia="MS Mincho" w:cs="Times New Roman"/>
          <w:szCs w:val="24"/>
        </w:rPr>
        <w:t xml:space="preserve">, cited above, §§ 121-22; and </w:t>
      </w:r>
      <w:r w:rsidRPr="006C1856">
        <w:rPr>
          <w:rFonts w:ascii="Times New Roman" w:hAnsi="Times New Roman" w:eastAsia="MS Mincho" w:cs="Times New Roman"/>
          <w:i/>
          <w:szCs w:val="24"/>
        </w:rPr>
        <w:t>Mozer</w:t>
      </w:r>
      <w:r w:rsidRPr="006C1856">
        <w:rPr>
          <w:rFonts w:ascii="Times New Roman" w:hAnsi="Times New Roman" w:eastAsia="MS Mincho" w:cs="Times New Roman"/>
          <w:szCs w:val="24"/>
        </w:rPr>
        <w:t xml:space="preserve">, cited above, §§ 108 and 110). The Court concluded in </w:t>
      </w:r>
      <w:r w:rsidRPr="006C1856">
        <w:rPr>
          <w:rFonts w:ascii="Times New Roman" w:hAnsi="Times New Roman" w:eastAsia="MS Mincho" w:cs="Times New Roman"/>
          <w:i/>
          <w:szCs w:val="24"/>
        </w:rPr>
        <w:t>Mozer</w:t>
      </w:r>
      <w:r w:rsidRPr="006C1856">
        <w:rPr>
          <w:rFonts w:ascii="Times New Roman" w:hAnsi="Times New Roman" w:eastAsia="MS Mincho" w:cs="Times New Roman"/>
          <w:szCs w:val="24"/>
        </w:rPr>
        <w:t xml:space="preserve"> that the “MRT”</w:t>
      </w:r>
      <w:r w:rsidRPr="006C1856" w:rsidR="006C1856">
        <w:rPr>
          <w:rFonts w:ascii="Times New Roman" w:hAnsi="Times New Roman" w:eastAsia="MS Mincho" w:cs="Times New Roman"/>
          <w:szCs w:val="24"/>
        </w:rPr>
        <w:t>‘</w:t>
      </w:r>
      <w:r w:rsidRPr="006C1856">
        <w:rPr>
          <w:rFonts w:ascii="Times New Roman" w:hAnsi="Times New Roman" w:eastAsia="MS Mincho" w:cs="Times New Roman"/>
          <w:szCs w:val="24"/>
        </w:rPr>
        <w:t>s high level of dependency on Russian support provided a strong indication that the Russian Federation continued to exercise effective control and a decisive influence over the Transdniestrian authorities and that, therefore, the applicant fell within that State</w:t>
      </w:r>
      <w:r w:rsidRPr="006C1856" w:rsidR="006C1856">
        <w:rPr>
          <w:rFonts w:ascii="Times New Roman" w:hAnsi="Times New Roman" w:eastAsia="MS Mincho" w:cs="Times New Roman"/>
          <w:szCs w:val="24"/>
        </w:rPr>
        <w:t>’</w:t>
      </w:r>
      <w:r w:rsidRPr="006C1856">
        <w:rPr>
          <w:rFonts w:ascii="Times New Roman" w:hAnsi="Times New Roman" w:eastAsia="MS Mincho" w:cs="Times New Roman"/>
          <w:szCs w:val="24"/>
        </w:rPr>
        <w:t xml:space="preserve">s jurisdiction under Article 1 of the Convention (see </w:t>
      </w:r>
      <w:r w:rsidRPr="006C1856">
        <w:rPr>
          <w:rFonts w:ascii="Times New Roman" w:hAnsi="Times New Roman" w:eastAsia="MS Mincho" w:cs="Times New Roman"/>
          <w:i/>
          <w:szCs w:val="24"/>
        </w:rPr>
        <w:t>Mozer</w:t>
      </w:r>
      <w:r w:rsidRPr="006C1856">
        <w:rPr>
          <w:rFonts w:ascii="Times New Roman" w:hAnsi="Times New Roman" w:eastAsia="MS Mincho" w:cs="Times New Roman"/>
          <w:szCs w:val="24"/>
        </w:rPr>
        <w:t>, cited above, §§ 110-11).</w:t>
      </w:r>
    </w:p>
    <w:p w:rsidRPr="006C1856" w:rsidR="00D15445" w:rsidP="006C1856" w:rsidRDefault="00D15445">
      <w:pPr>
        <w:pStyle w:val="ECHRPara"/>
        <w:rPr>
          <w:rFonts w:ascii="Times New Roman" w:hAnsi="Times New Roman" w:cs="Times New Roman"/>
          <w:i/>
          <w:szCs w:val="24"/>
        </w:rPr>
      </w:pPr>
      <w:r w:rsidRPr="006C1856">
        <w:rPr>
          <w:rFonts w:ascii="Times New Roman" w:hAnsi="Times New Roman" w:eastAsia="MS Mincho" w:cs="Times New Roman"/>
          <w:szCs w:val="24"/>
        </w:rPr>
        <w:fldChar w:fldCharType="begin"/>
      </w:r>
      <w:r w:rsidRPr="006C1856">
        <w:rPr>
          <w:rFonts w:ascii="Times New Roman" w:hAnsi="Times New Roman" w:eastAsia="MS Mincho" w:cs="Times New Roman"/>
          <w:szCs w:val="24"/>
        </w:rPr>
        <w:instrText xml:space="preserve"> SEQ level0 \*arabic </w:instrText>
      </w:r>
      <w:r w:rsidRPr="006C1856">
        <w:rPr>
          <w:rFonts w:ascii="Times New Roman" w:hAnsi="Times New Roman" w:eastAsia="MS Mincho" w:cs="Times New Roman"/>
          <w:szCs w:val="24"/>
        </w:rPr>
        <w:fldChar w:fldCharType="separate"/>
      </w:r>
      <w:r w:rsidRPr="006C1856" w:rsidR="006C1856">
        <w:rPr>
          <w:rFonts w:ascii="Times New Roman" w:hAnsi="Times New Roman" w:eastAsia="MS Mincho" w:cs="Times New Roman"/>
          <w:noProof/>
          <w:szCs w:val="24"/>
        </w:rPr>
        <w:t>20</w:t>
      </w:r>
      <w:r w:rsidRPr="006C1856">
        <w:rPr>
          <w:rFonts w:ascii="Times New Roman" w:hAnsi="Times New Roman" w:eastAsia="MS Mincho" w:cs="Times New Roman"/>
          <w:szCs w:val="24"/>
        </w:rPr>
        <w:fldChar w:fldCharType="end"/>
      </w:r>
      <w:r w:rsidRPr="006C1856">
        <w:rPr>
          <w:rFonts w:ascii="Times New Roman" w:hAnsi="Times New Roman" w:eastAsia="MS Mincho" w:cs="Times New Roman"/>
          <w:szCs w:val="24"/>
        </w:rPr>
        <w:t xml:space="preserve">.  The Court sees no grounds on which to distinguish the present case from </w:t>
      </w:r>
      <w:r w:rsidRPr="006C1856">
        <w:rPr>
          <w:rFonts w:ascii="Times New Roman" w:hAnsi="Times New Roman" w:eastAsia="MS Mincho" w:cs="Times New Roman"/>
          <w:i/>
          <w:szCs w:val="24"/>
        </w:rPr>
        <w:t>Ila</w:t>
      </w:r>
      <w:r w:rsidRPr="006C1856">
        <w:rPr>
          <w:rFonts w:ascii="Times New Roman" w:hAnsi="Times New Roman" w:eastAsia="MS Mincho" w:cs="Times New Roman"/>
          <w:i/>
          <w:szCs w:val="24"/>
          <w:lang w:val="ro-RO"/>
        </w:rPr>
        <w:t>șcu and Others</w:t>
      </w:r>
      <w:r w:rsidRPr="006C1856">
        <w:rPr>
          <w:rFonts w:ascii="Times New Roman" w:hAnsi="Times New Roman" w:eastAsia="MS Mincho" w:cs="Times New Roman"/>
          <w:szCs w:val="24"/>
        </w:rPr>
        <w:t xml:space="preserve">, </w:t>
      </w:r>
      <w:r w:rsidRPr="006C1856">
        <w:rPr>
          <w:rFonts w:ascii="Times New Roman" w:hAnsi="Times New Roman" w:eastAsia="MS Mincho" w:cs="Times New Roman"/>
          <w:i/>
          <w:szCs w:val="24"/>
        </w:rPr>
        <w:t>Ivanţoc and Others</w:t>
      </w:r>
      <w:r w:rsidRPr="006C1856">
        <w:rPr>
          <w:rFonts w:ascii="Times New Roman" w:hAnsi="Times New Roman" w:eastAsia="MS Mincho" w:cs="Times New Roman"/>
          <w:szCs w:val="24"/>
        </w:rPr>
        <w:t xml:space="preserve">, </w:t>
      </w:r>
      <w:r w:rsidRPr="006C1856">
        <w:rPr>
          <w:rFonts w:ascii="Times New Roman" w:hAnsi="Times New Roman" w:eastAsia="MS Mincho" w:cs="Times New Roman"/>
          <w:i/>
          <w:szCs w:val="24"/>
        </w:rPr>
        <w:t>Catan and Others</w:t>
      </w:r>
      <w:r w:rsidRPr="006C1856">
        <w:rPr>
          <w:rFonts w:ascii="Times New Roman" w:hAnsi="Times New Roman" w:eastAsia="MS Mincho" w:cs="Times New Roman"/>
          <w:szCs w:val="24"/>
        </w:rPr>
        <w:t xml:space="preserve">, and </w:t>
      </w:r>
      <w:r w:rsidRPr="006C1856">
        <w:rPr>
          <w:rFonts w:ascii="Times New Roman" w:hAnsi="Times New Roman" w:eastAsia="MS Mincho" w:cs="Times New Roman"/>
          <w:i/>
          <w:szCs w:val="24"/>
        </w:rPr>
        <w:t xml:space="preserve">Mozer </w:t>
      </w:r>
      <w:r w:rsidRPr="006C1856">
        <w:rPr>
          <w:rFonts w:ascii="Times New Roman" w:hAnsi="Times New Roman" w:eastAsia="MS Mincho" w:cs="Times New Roman"/>
          <w:szCs w:val="24"/>
        </w:rPr>
        <w:t>(all cited above).</w:t>
      </w:r>
    </w:p>
    <w:p w:rsidRPr="006C1856" w:rsidR="00D15445" w:rsidP="006C1856" w:rsidRDefault="00D15445">
      <w:pPr>
        <w:pStyle w:val="ECHRPara"/>
        <w:rPr>
          <w:rFonts w:eastAsia="MS Mincho"/>
        </w:rPr>
      </w:pPr>
      <w:r w:rsidRPr="006C1856">
        <w:rPr>
          <w:rFonts w:eastAsia="MS Mincho"/>
        </w:rPr>
        <w:fldChar w:fldCharType="begin"/>
      </w:r>
      <w:r w:rsidRPr="006C1856">
        <w:rPr>
          <w:rFonts w:eastAsia="MS Mincho"/>
        </w:rPr>
        <w:instrText xml:space="preserve"> SEQ level0 \*arabic </w:instrText>
      </w:r>
      <w:r w:rsidRPr="006C1856">
        <w:rPr>
          <w:rFonts w:eastAsia="MS Mincho"/>
        </w:rPr>
        <w:fldChar w:fldCharType="separate"/>
      </w:r>
      <w:r w:rsidRPr="006C1856" w:rsidR="006C1856">
        <w:rPr>
          <w:rFonts w:eastAsia="MS Mincho"/>
          <w:noProof/>
        </w:rPr>
        <w:t>21</w:t>
      </w:r>
      <w:r w:rsidRPr="006C1856">
        <w:rPr>
          <w:rFonts w:eastAsia="MS Mincho"/>
        </w:rPr>
        <w:fldChar w:fldCharType="end"/>
      </w:r>
      <w:r w:rsidRPr="006C1856">
        <w:rPr>
          <w:rFonts w:eastAsia="MS Mincho"/>
        </w:rPr>
        <w:t>.  It follows that the applicants in the present case fell within the jurisdiction of the Russian Federation under Article 1 of the Convention. Consequently, the Court dismisses the Russian Government</w:t>
      </w:r>
      <w:r w:rsidRPr="006C1856" w:rsidR="006C1856">
        <w:rPr>
          <w:rFonts w:eastAsia="MS Mincho"/>
        </w:rPr>
        <w:t>’</w:t>
      </w:r>
      <w:r w:rsidRPr="006C1856">
        <w:rPr>
          <w:rFonts w:eastAsia="MS Mincho"/>
        </w:rPr>
        <w:t xml:space="preserve">s objections </w:t>
      </w:r>
      <w:r w:rsidRPr="006C1856">
        <w:rPr>
          <w:rFonts w:eastAsia="MS Mincho"/>
          <w:i/>
        </w:rPr>
        <w:t>ratione personae</w:t>
      </w:r>
      <w:r w:rsidRPr="006C1856">
        <w:rPr>
          <w:rFonts w:eastAsia="MS Mincho"/>
        </w:rPr>
        <w:t xml:space="preserve"> and </w:t>
      </w:r>
      <w:r w:rsidRPr="006C1856">
        <w:rPr>
          <w:rFonts w:eastAsia="MS Mincho"/>
          <w:i/>
        </w:rPr>
        <w:t>ratione loci</w:t>
      </w:r>
      <w:r w:rsidRPr="006C1856">
        <w:rPr>
          <w:rFonts w:eastAsia="MS Mincho"/>
        </w:rPr>
        <w:t>.</w:t>
      </w:r>
    </w:p>
    <w:p w:rsidRPr="006C1856" w:rsidR="00D420F3" w:rsidP="006C1856" w:rsidRDefault="00D15445">
      <w:pPr>
        <w:pStyle w:val="ECHRPara"/>
        <w:rPr>
          <w:rFonts w:eastAsia="MS Mincho"/>
          <w:noProof/>
        </w:rPr>
      </w:pPr>
      <w:r w:rsidRPr="006C1856">
        <w:rPr>
          <w:rFonts w:eastAsia="MS Mincho"/>
          <w:noProof/>
        </w:rPr>
        <w:fldChar w:fldCharType="begin"/>
      </w:r>
      <w:r w:rsidRPr="006C1856">
        <w:rPr>
          <w:rFonts w:eastAsia="MS Mincho"/>
          <w:noProof/>
        </w:rPr>
        <w:instrText xml:space="preserve"> SEQ level0 \*arabic </w:instrText>
      </w:r>
      <w:r w:rsidRPr="006C1856">
        <w:rPr>
          <w:rFonts w:eastAsia="MS Mincho"/>
          <w:noProof/>
        </w:rPr>
        <w:fldChar w:fldCharType="separate"/>
      </w:r>
      <w:r w:rsidRPr="006C1856" w:rsidR="006C1856">
        <w:rPr>
          <w:rFonts w:eastAsia="MS Mincho"/>
          <w:noProof/>
        </w:rPr>
        <w:t>22</w:t>
      </w:r>
      <w:r w:rsidRPr="006C1856">
        <w:rPr>
          <w:rFonts w:eastAsia="MS Mincho"/>
          <w:noProof/>
        </w:rPr>
        <w:fldChar w:fldCharType="end"/>
      </w:r>
      <w:r w:rsidRPr="006C1856">
        <w:rPr>
          <w:rFonts w:eastAsia="MS Mincho"/>
          <w:noProof/>
        </w:rPr>
        <w:t>.  The Court will hereafter determine whether there has been any violation of the applicants</w:t>
      </w:r>
      <w:r w:rsidRPr="006C1856" w:rsidR="006C1856">
        <w:rPr>
          <w:rFonts w:eastAsia="MS Mincho"/>
          <w:noProof/>
        </w:rPr>
        <w:t>’</w:t>
      </w:r>
      <w:r w:rsidRPr="006C1856">
        <w:rPr>
          <w:rFonts w:eastAsia="MS Mincho"/>
          <w:noProof/>
        </w:rPr>
        <w:t xml:space="preserve"> rights under the Convention such as to engage the responsibility of either respondent State (see </w:t>
      </w:r>
      <w:r w:rsidRPr="006C1856">
        <w:rPr>
          <w:rFonts w:eastAsia="MS Mincho"/>
          <w:i/>
          <w:noProof/>
        </w:rPr>
        <w:t>Mozer</w:t>
      </w:r>
      <w:r w:rsidRPr="006C1856">
        <w:rPr>
          <w:rFonts w:eastAsia="MS Mincho"/>
          <w:noProof/>
        </w:rPr>
        <w:t>, cited above, § 112).</w:t>
      </w:r>
    </w:p>
    <w:p w:rsidRPr="006C1856" w:rsidR="00F949F6" w:rsidP="006C1856" w:rsidRDefault="00F949F6">
      <w:pPr>
        <w:pStyle w:val="ECHRHeading1"/>
      </w:pPr>
      <w:r w:rsidRPr="006C1856">
        <w:t xml:space="preserve">II.  ALLEGED VIOLATION OF ARTICLE 6 </w:t>
      </w:r>
      <w:r w:rsidRPr="006C1856">
        <w:rPr>
          <w:rFonts w:cstheme="majorHAnsi"/>
        </w:rPr>
        <w:t>§ 1 OF THE CONVENTION</w:t>
      </w:r>
    </w:p>
    <w:p w:rsidRPr="006C1856" w:rsidR="00F949F6" w:rsidP="006C1856" w:rsidRDefault="00F949F6">
      <w:pPr>
        <w:pStyle w:val="ECHRPara"/>
      </w:pPr>
      <w:r w:rsidRPr="006C1856">
        <w:fldChar w:fldCharType="begin"/>
      </w:r>
      <w:r w:rsidRPr="006C1856">
        <w:instrText xml:space="preserve"> SEQ level0 \*arabic </w:instrText>
      </w:r>
      <w:r w:rsidRPr="006C1856">
        <w:fldChar w:fldCharType="separate"/>
      </w:r>
      <w:r w:rsidRPr="006C1856" w:rsidR="006C1856">
        <w:rPr>
          <w:noProof/>
        </w:rPr>
        <w:t>23</w:t>
      </w:r>
      <w:r w:rsidRPr="006C1856">
        <w:fldChar w:fldCharType="end"/>
      </w:r>
      <w:r w:rsidRPr="006C1856">
        <w:t>.  </w:t>
      </w:r>
      <w:r w:rsidRPr="006C1856">
        <w:rPr>
          <w:rFonts w:ascii="Times New Roman" w:hAnsi="Times New Roman" w:eastAsia="Times New Roman" w:cs="Times New Roman"/>
          <w:szCs w:val="24"/>
        </w:rPr>
        <w:t>The applicant</w:t>
      </w:r>
      <w:r w:rsidRPr="006C1856" w:rsidR="00531719">
        <w:rPr>
          <w:rFonts w:ascii="Times New Roman" w:hAnsi="Times New Roman" w:eastAsia="Times New Roman" w:cs="Times New Roman"/>
          <w:szCs w:val="24"/>
        </w:rPr>
        <w:t>s</w:t>
      </w:r>
      <w:r w:rsidRPr="006C1856">
        <w:rPr>
          <w:rFonts w:ascii="Times New Roman" w:hAnsi="Times New Roman" w:eastAsia="Times New Roman" w:cs="Times New Roman"/>
          <w:szCs w:val="24"/>
        </w:rPr>
        <w:t xml:space="preserve"> complained that there had been a violation of Article</w:t>
      </w:r>
      <w:r w:rsidRPr="006C1856" w:rsidR="00734C5F">
        <w:rPr>
          <w:rFonts w:ascii="Times New Roman" w:hAnsi="Times New Roman" w:eastAsia="Times New Roman" w:cs="Times New Roman"/>
          <w:szCs w:val="24"/>
        </w:rPr>
        <w:t> </w:t>
      </w:r>
      <w:r w:rsidRPr="006C1856">
        <w:rPr>
          <w:rFonts w:ascii="Times New Roman" w:hAnsi="Times New Roman" w:eastAsia="Times New Roman" w:cs="Times New Roman"/>
          <w:szCs w:val="24"/>
        </w:rPr>
        <w:t>6</w:t>
      </w:r>
      <w:r w:rsidRPr="006C1856" w:rsidR="00734C5F">
        <w:rPr>
          <w:rFonts w:ascii="Times New Roman" w:hAnsi="Times New Roman" w:eastAsia="Times New Roman" w:cs="Times New Roman"/>
          <w:szCs w:val="24"/>
        </w:rPr>
        <w:t> </w:t>
      </w:r>
      <w:r w:rsidRPr="006C1856" w:rsidR="00531719">
        <w:rPr>
          <w:rFonts w:ascii="Times New Roman" w:hAnsi="Times New Roman" w:eastAsia="Times New Roman" w:cs="Times New Roman"/>
          <w:szCs w:val="24"/>
        </w:rPr>
        <w:t>§ 1 since they</w:t>
      </w:r>
      <w:r w:rsidRPr="006C1856">
        <w:rPr>
          <w:rFonts w:ascii="Times New Roman" w:hAnsi="Times New Roman" w:eastAsia="Times New Roman" w:cs="Times New Roman"/>
          <w:szCs w:val="24"/>
        </w:rPr>
        <w:t xml:space="preserve"> had been convicted by a court that could not qualify as an “independent tribunal established by law” and that </w:t>
      </w:r>
      <w:r w:rsidRPr="006C1856" w:rsidR="00531719">
        <w:rPr>
          <w:rFonts w:ascii="Times New Roman" w:hAnsi="Times New Roman" w:eastAsia="Times New Roman" w:cs="Times New Roman"/>
          <w:szCs w:val="24"/>
        </w:rPr>
        <w:t xml:space="preserve">moreover </w:t>
      </w:r>
      <w:r w:rsidRPr="006C1856" w:rsidR="003A4569">
        <w:rPr>
          <w:rFonts w:ascii="Times New Roman" w:hAnsi="Times New Roman" w:eastAsia="Times New Roman" w:cs="Times New Roman"/>
          <w:szCs w:val="24"/>
        </w:rPr>
        <w:t>that court</w:t>
      </w:r>
      <w:r w:rsidRPr="006C1856" w:rsidR="00531719">
        <w:rPr>
          <w:rFonts w:ascii="Times New Roman" w:hAnsi="Times New Roman" w:eastAsia="Times New Roman" w:cs="Times New Roman"/>
          <w:szCs w:val="24"/>
        </w:rPr>
        <w:t xml:space="preserve"> had not afforded them</w:t>
      </w:r>
      <w:r w:rsidRPr="006C1856">
        <w:rPr>
          <w:rFonts w:ascii="Times New Roman" w:hAnsi="Times New Roman" w:eastAsia="Times New Roman" w:cs="Times New Roman"/>
          <w:szCs w:val="24"/>
        </w:rPr>
        <w:t xml:space="preserve"> a fair trial.</w:t>
      </w:r>
      <w:r w:rsidRPr="006C1856">
        <w:t xml:space="preserve"> </w:t>
      </w:r>
      <w:r w:rsidRPr="006C1856">
        <w:rPr>
          <w:noProof/>
        </w:rPr>
        <w:t>The relevant part of Article 6 of the Convention read as follows:</w:t>
      </w:r>
    </w:p>
    <w:p w:rsidRPr="006C1856" w:rsidR="00F949F6" w:rsidP="006C1856" w:rsidRDefault="00F949F6">
      <w:pPr>
        <w:pStyle w:val="ECHRTitleCentre3"/>
      </w:pPr>
      <w:r w:rsidRPr="006C1856">
        <w:t>Article 6</w:t>
      </w:r>
    </w:p>
    <w:p w:rsidRPr="006C1856" w:rsidR="00F949F6" w:rsidP="006C1856" w:rsidRDefault="00F949F6">
      <w:pPr>
        <w:pStyle w:val="ECHRParaQuote"/>
        <w:rPr>
          <w:sz w:val="24"/>
          <w:lang w:eastAsia="fr-FR"/>
        </w:rPr>
      </w:pPr>
      <w:r w:rsidRPr="006C1856">
        <w:rPr>
          <w:lang w:eastAsia="fr-FR"/>
        </w:rPr>
        <w:t>“1.  In the determination of ... any criminal charge against him, everyone is entitled to a fair ... hearing ... by [a] ... tribunal ...”</w:t>
      </w:r>
    </w:p>
    <w:p w:rsidRPr="006C1856" w:rsidR="00F949F6" w:rsidP="006C1856" w:rsidRDefault="00F949F6">
      <w:pPr>
        <w:pStyle w:val="ECHRHeading2"/>
      </w:pPr>
      <w:r w:rsidRPr="006C1856">
        <w:t>A.  Admissibility</w:t>
      </w:r>
    </w:p>
    <w:p w:rsidRPr="006C1856" w:rsidR="00F949F6" w:rsidP="006C1856" w:rsidRDefault="00727CFB">
      <w:pPr>
        <w:pStyle w:val="ECHRPara"/>
      </w:pPr>
      <w:r w:rsidRPr="006C1856">
        <w:fldChar w:fldCharType="begin"/>
      </w:r>
      <w:r w:rsidRPr="006C1856">
        <w:instrText xml:space="preserve"> SEQ level0 \*arabic </w:instrText>
      </w:r>
      <w:r w:rsidRPr="006C1856">
        <w:fldChar w:fldCharType="separate"/>
      </w:r>
      <w:r w:rsidRPr="006C1856" w:rsidR="006C1856">
        <w:rPr>
          <w:noProof/>
        </w:rPr>
        <w:t>24</w:t>
      </w:r>
      <w:r w:rsidRPr="006C1856">
        <w:fldChar w:fldCharType="end"/>
      </w:r>
      <w:r w:rsidRPr="006C1856">
        <w:t>.  </w:t>
      </w:r>
      <w:r w:rsidRPr="006C1856" w:rsidR="00F949F6">
        <w:t xml:space="preserve">The </w:t>
      </w:r>
      <w:r w:rsidRPr="006C1856" w:rsidR="004A1C3E">
        <w:t xml:space="preserve">Russian Government </w:t>
      </w:r>
      <w:r w:rsidRPr="006C1856" w:rsidR="00AE3812">
        <w:t>questioned the validity of the application in view of the fact</w:t>
      </w:r>
      <w:r w:rsidRPr="006C1856" w:rsidR="004A1C3E">
        <w:t xml:space="preserve"> it </w:t>
      </w:r>
      <w:r w:rsidRPr="006C1856" w:rsidR="00AE3812">
        <w:t>had</w:t>
      </w:r>
      <w:r w:rsidRPr="006C1856" w:rsidR="004A1C3E">
        <w:t xml:space="preserve"> not</w:t>
      </w:r>
      <w:r w:rsidRPr="006C1856" w:rsidR="00AE3812">
        <w:t xml:space="preserve"> been</w:t>
      </w:r>
      <w:r w:rsidRPr="006C1856" w:rsidR="004A1C3E">
        <w:t xml:space="preserve"> introduced by the applicants</w:t>
      </w:r>
      <w:r w:rsidRPr="006C1856" w:rsidR="00C40F73">
        <w:t xml:space="preserve"> themselves</w:t>
      </w:r>
      <w:r w:rsidRPr="006C1856" w:rsidR="004A1C3E">
        <w:t xml:space="preserve"> but by their parents on the</w:t>
      </w:r>
      <w:r w:rsidRPr="006C1856" w:rsidR="00C40F73">
        <w:t>ir</w:t>
      </w:r>
      <w:r w:rsidRPr="006C1856" w:rsidR="004A1C3E">
        <w:t xml:space="preserve"> behalf. The Russian Government expressed doubt as to the fact that it </w:t>
      </w:r>
      <w:r w:rsidRPr="006C1856" w:rsidR="00AE3812">
        <w:t>had</w:t>
      </w:r>
      <w:r w:rsidRPr="006C1856" w:rsidR="004A1C3E">
        <w:t xml:space="preserve"> not</w:t>
      </w:r>
      <w:r w:rsidRPr="006C1856" w:rsidR="00AE3812">
        <w:t xml:space="preserve"> been</w:t>
      </w:r>
      <w:r w:rsidRPr="006C1856" w:rsidR="004A1C3E">
        <w:t xml:space="preserve"> open to the applicants themselves to introduce the application with the Court and pointed to the fact that the applicant</w:t>
      </w:r>
      <w:r w:rsidRPr="006C1856" w:rsidR="00C40F73">
        <w:t>s</w:t>
      </w:r>
      <w:r w:rsidRPr="006C1856" w:rsidR="004A1C3E">
        <w:t xml:space="preserve"> ha</w:t>
      </w:r>
      <w:r w:rsidRPr="006C1856" w:rsidR="00531719">
        <w:t>d been able to personally lodge</w:t>
      </w:r>
      <w:r w:rsidRPr="006C1856" w:rsidR="004A1C3E">
        <w:t xml:space="preserve"> appeals and other claims with the </w:t>
      </w:r>
      <w:r w:rsidRPr="006C1856" w:rsidR="0099797F">
        <w:t>“MRT”</w:t>
      </w:r>
      <w:r w:rsidRPr="006C1856" w:rsidR="004A1C3E">
        <w:t xml:space="preserve"> authorities.</w:t>
      </w:r>
    </w:p>
    <w:p w:rsidRPr="006C1856" w:rsidR="004A1C3E" w:rsidP="006C1856" w:rsidRDefault="00C40F73">
      <w:pPr>
        <w:pStyle w:val="ECHRPara"/>
      </w:pPr>
      <w:r w:rsidRPr="006C1856">
        <w:fldChar w:fldCharType="begin"/>
      </w:r>
      <w:r w:rsidRPr="006C1856">
        <w:instrText xml:space="preserve"> SEQ level0 \*arabic </w:instrText>
      </w:r>
      <w:r w:rsidRPr="006C1856">
        <w:fldChar w:fldCharType="separate"/>
      </w:r>
      <w:r w:rsidRPr="006C1856" w:rsidR="006C1856">
        <w:rPr>
          <w:noProof/>
        </w:rPr>
        <w:t>25</w:t>
      </w:r>
      <w:r w:rsidRPr="006C1856">
        <w:fldChar w:fldCharType="end"/>
      </w:r>
      <w:r w:rsidRPr="006C1856">
        <w:t>.  </w:t>
      </w:r>
      <w:r w:rsidRPr="006C1856" w:rsidR="004A1C3E">
        <w:t>The applicants submitted that all</w:t>
      </w:r>
      <w:r w:rsidRPr="006C1856">
        <w:t xml:space="preserve"> their</w:t>
      </w:r>
      <w:r w:rsidRPr="006C1856" w:rsidR="004A1C3E">
        <w:t xml:space="preserve"> correspondence</w:t>
      </w:r>
      <w:r w:rsidRPr="006C1856" w:rsidR="005C053D">
        <w:t>,</w:t>
      </w:r>
      <w:r w:rsidRPr="006C1856" w:rsidR="004A1C3E">
        <w:t xml:space="preserve"> which had not been addressed to the </w:t>
      </w:r>
      <w:r w:rsidRPr="006C1856" w:rsidR="0099797F">
        <w:t>“MRT”</w:t>
      </w:r>
      <w:r w:rsidRPr="006C1856" w:rsidR="004A1C3E">
        <w:t xml:space="preserve"> authorities</w:t>
      </w:r>
      <w:r w:rsidRPr="006C1856" w:rsidR="005C053D">
        <w:t>,</w:t>
      </w:r>
      <w:r w:rsidRPr="006C1856" w:rsidR="004A1C3E">
        <w:t xml:space="preserve"> had been stopped</w:t>
      </w:r>
      <w:r w:rsidRPr="006C1856">
        <w:t xml:space="preserve"> by the prison authorities</w:t>
      </w:r>
      <w:r w:rsidRPr="006C1856" w:rsidR="001D7B02">
        <w:t xml:space="preserve"> and that therefore they had no possibility to personally apply to the Court.</w:t>
      </w:r>
    </w:p>
    <w:p w:rsidRPr="006C1856" w:rsidR="004A1C3E" w:rsidP="006C1856" w:rsidRDefault="00C40F73">
      <w:pPr>
        <w:pStyle w:val="ECHRPara"/>
      </w:pPr>
      <w:r w:rsidRPr="006C1856">
        <w:fldChar w:fldCharType="begin"/>
      </w:r>
      <w:r w:rsidRPr="006C1856">
        <w:instrText xml:space="preserve"> SEQ level0 \*arabic </w:instrText>
      </w:r>
      <w:r w:rsidRPr="006C1856">
        <w:fldChar w:fldCharType="separate"/>
      </w:r>
      <w:r w:rsidRPr="006C1856" w:rsidR="006C1856">
        <w:rPr>
          <w:noProof/>
        </w:rPr>
        <w:t>26</w:t>
      </w:r>
      <w:r w:rsidRPr="006C1856">
        <w:fldChar w:fldCharType="end"/>
      </w:r>
      <w:r w:rsidRPr="006C1856">
        <w:t>.  </w:t>
      </w:r>
      <w:r w:rsidRPr="006C1856" w:rsidR="004A1C3E">
        <w:t>The Court notes that the applicants</w:t>
      </w:r>
      <w:r w:rsidRPr="006C1856" w:rsidR="006C1856">
        <w:t>’</w:t>
      </w:r>
      <w:r w:rsidRPr="006C1856" w:rsidR="004A1C3E">
        <w:t xml:space="preserve"> parents clearly stated in the application form that they acted on behalf of their children. </w:t>
      </w:r>
      <w:r w:rsidRPr="006C1856">
        <w:t>It also notes that a similar situation occurred in</w:t>
      </w:r>
      <w:r w:rsidRPr="006C1856" w:rsidR="00531719">
        <w:t xml:space="preserve"> the case of</w:t>
      </w:r>
      <w:r w:rsidRPr="006C1856">
        <w:t xml:space="preserve"> </w:t>
      </w:r>
      <w:r w:rsidRPr="006C1856">
        <w:rPr>
          <w:i/>
        </w:rPr>
        <w:t xml:space="preserve">Ilaşcu and Others </w:t>
      </w:r>
      <w:r w:rsidRPr="006C1856" w:rsidR="00531719">
        <w:t>(</w:t>
      </w:r>
      <w:r w:rsidRPr="006C1856" w:rsidR="0099797F">
        <w:t xml:space="preserve">cited above, </w:t>
      </w:r>
      <w:r w:rsidRPr="006C1856" w:rsidR="0099797F">
        <w:rPr>
          <w:rFonts w:cstheme="minorHAnsi"/>
        </w:rPr>
        <w:t>§</w:t>
      </w:r>
      <w:r w:rsidRPr="006C1856" w:rsidR="00010440">
        <w:t> </w:t>
      </w:r>
      <w:r w:rsidRPr="006C1856" w:rsidR="0099797F">
        <w:t>23</w:t>
      </w:r>
      <w:r w:rsidRPr="006C1856" w:rsidR="00531719">
        <w:t>)</w:t>
      </w:r>
      <w:r w:rsidRPr="006C1856">
        <w:t xml:space="preserve"> where the application had been introduced by the applica</w:t>
      </w:r>
      <w:r w:rsidRPr="006C1856" w:rsidR="001D7B02">
        <w:t>n</w:t>
      </w:r>
      <w:r w:rsidRPr="006C1856">
        <w:t>ts</w:t>
      </w:r>
      <w:r w:rsidRPr="006C1856" w:rsidR="006C1856">
        <w:t>’</w:t>
      </w:r>
      <w:r w:rsidRPr="006C1856">
        <w:t xml:space="preserve"> spouses and siblings and that the Court considered the application to have been validly introduced. In the light of the above, the Court</w:t>
      </w:r>
      <w:r w:rsidRPr="006C1856" w:rsidR="001D7B02">
        <w:t xml:space="preserve"> sees no reasons to distinguish the present case from</w:t>
      </w:r>
      <w:r w:rsidRPr="006C1856" w:rsidR="007B14F8">
        <w:t xml:space="preserve"> the case of</w:t>
      </w:r>
      <w:r w:rsidRPr="006C1856" w:rsidR="001D7B02">
        <w:t xml:space="preserve"> </w:t>
      </w:r>
      <w:r w:rsidRPr="006C1856" w:rsidR="001D7B02">
        <w:rPr>
          <w:i/>
        </w:rPr>
        <w:t>Ilaşcu and Others</w:t>
      </w:r>
      <w:r w:rsidRPr="006C1856">
        <w:t xml:space="preserve"> </w:t>
      </w:r>
      <w:r w:rsidRPr="006C1856" w:rsidR="001D7B02">
        <w:t xml:space="preserve">and </w:t>
      </w:r>
      <w:r w:rsidRPr="006C1856" w:rsidR="007B14F8">
        <w:t>therefore</w:t>
      </w:r>
      <w:r w:rsidRPr="006C1856">
        <w:t xml:space="preserve"> dismiss</w:t>
      </w:r>
      <w:r w:rsidRPr="006C1856" w:rsidR="007B14F8">
        <w:t>es</w:t>
      </w:r>
      <w:r w:rsidRPr="006C1856">
        <w:t xml:space="preserve"> the objection raised by the Russian Government.</w:t>
      </w:r>
    </w:p>
    <w:p w:rsidRPr="006C1856" w:rsidR="00C40F73" w:rsidP="006C1856" w:rsidRDefault="00464742">
      <w:pPr>
        <w:pStyle w:val="ECHRPara"/>
        <w:rPr>
          <w:noProof/>
        </w:rPr>
      </w:pPr>
      <w:r w:rsidRPr="006C1856">
        <w:fldChar w:fldCharType="begin"/>
      </w:r>
      <w:r w:rsidRPr="006C1856">
        <w:instrText xml:space="preserve"> SEQ level0 \*arabic </w:instrText>
      </w:r>
      <w:r w:rsidRPr="006C1856">
        <w:fldChar w:fldCharType="separate"/>
      </w:r>
      <w:r w:rsidRPr="006C1856" w:rsidR="006C1856">
        <w:rPr>
          <w:noProof/>
        </w:rPr>
        <w:t>27</w:t>
      </w:r>
      <w:r w:rsidRPr="006C1856">
        <w:fldChar w:fldCharType="end"/>
      </w:r>
      <w:r w:rsidRPr="006C1856">
        <w:t>.  </w:t>
      </w:r>
      <w:r w:rsidRPr="006C1856" w:rsidR="00C40F73">
        <w:t>The Russian Government further submitted that the applicants</w:t>
      </w:r>
      <w:r w:rsidRPr="006C1856" w:rsidR="001D7B02">
        <w:t xml:space="preserve"> had</w:t>
      </w:r>
      <w:r w:rsidRPr="006C1856" w:rsidR="00C40F73">
        <w:t xml:space="preserve"> failed to exhaust domestic remedies available to them in the Republic of Moldova and the Russian Federation. The Court recalls that it has already examined and dismissed a similar objection in</w:t>
      </w:r>
      <w:r w:rsidRPr="006C1856" w:rsidR="007B14F8">
        <w:t xml:space="preserve"> the case of</w:t>
      </w:r>
      <w:r w:rsidRPr="006C1856" w:rsidR="00C40F73">
        <w:t xml:space="preserve"> </w:t>
      </w:r>
      <w:r w:rsidRPr="006C1856" w:rsidR="00C40F73">
        <w:rPr>
          <w:i/>
        </w:rPr>
        <w:t xml:space="preserve">Vardanean v. </w:t>
      </w:r>
      <w:r w:rsidRPr="006C1856">
        <w:rPr>
          <w:i/>
        </w:rPr>
        <w:t>the Republic of Moldova and Russia</w:t>
      </w:r>
      <w:r w:rsidRPr="006C1856" w:rsidR="00C40F73">
        <w:t xml:space="preserve"> </w:t>
      </w:r>
      <w:r w:rsidRPr="006C1856" w:rsidR="007B14F8">
        <w:t>(</w:t>
      </w:r>
      <w:r w:rsidRPr="006C1856" w:rsidR="00C40F73">
        <w:t xml:space="preserve">no. </w:t>
      </w:r>
      <w:r w:rsidRPr="006C1856">
        <w:t>22200/10</w:t>
      </w:r>
      <w:r w:rsidRPr="006C1856" w:rsidR="00C40F73">
        <w:t>, §</w:t>
      </w:r>
      <w:r w:rsidRPr="006C1856">
        <w:t>§</w:t>
      </w:r>
      <w:r w:rsidRPr="006C1856" w:rsidR="005D0FF7">
        <w:t xml:space="preserve"> 27 and</w:t>
      </w:r>
      <w:r w:rsidRPr="006C1856" w:rsidR="00C40F73">
        <w:t xml:space="preserve"> </w:t>
      </w:r>
      <w:r w:rsidRPr="006C1856">
        <w:t>31</w:t>
      </w:r>
      <w:r w:rsidRPr="006C1856" w:rsidR="00C40F73">
        <w:t xml:space="preserve">, </w:t>
      </w:r>
      <w:r w:rsidRPr="006C1856">
        <w:t>30</w:t>
      </w:r>
      <w:r w:rsidRPr="006C1856" w:rsidR="00DF1E58">
        <w:t> </w:t>
      </w:r>
      <w:r w:rsidRPr="006C1856">
        <w:t>May 2017</w:t>
      </w:r>
      <w:r w:rsidRPr="006C1856" w:rsidR="007B14F8">
        <w:t>)</w:t>
      </w:r>
      <w:r w:rsidRPr="006C1856">
        <w:t xml:space="preserve">. Since no new arguments have been adduced by the Russian Government, the Court sees no reason to reach a different conclusion in this case. </w:t>
      </w:r>
      <w:r w:rsidRPr="006C1856">
        <w:rPr>
          <w:noProof/>
        </w:rPr>
        <w:t>It follows that the R</w:t>
      </w:r>
      <w:r w:rsidRPr="006C1856" w:rsidR="007B14F8">
        <w:rPr>
          <w:noProof/>
        </w:rPr>
        <w:t>ussian Government</w:t>
      </w:r>
      <w:r w:rsidRPr="006C1856" w:rsidR="006C1856">
        <w:rPr>
          <w:noProof/>
        </w:rPr>
        <w:t>’</w:t>
      </w:r>
      <w:r w:rsidRPr="006C1856" w:rsidR="007B14F8">
        <w:rPr>
          <w:noProof/>
        </w:rPr>
        <w:t>s objection o</w:t>
      </w:r>
      <w:r w:rsidRPr="006C1856" w:rsidR="001975F0">
        <w:rPr>
          <w:noProof/>
        </w:rPr>
        <w:t>f</w:t>
      </w:r>
      <w:r w:rsidRPr="006C1856">
        <w:rPr>
          <w:noProof/>
        </w:rPr>
        <w:t xml:space="preserve"> non-exhaustion of domestic remedies must</w:t>
      </w:r>
      <w:r w:rsidRPr="006C1856" w:rsidR="001D7B02">
        <w:rPr>
          <w:noProof/>
        </w:rPr>
        <w:t xml:space="preserve"> also</w:t>
      </w:r>
      <w:r w:rsidRPr="006C1856">
        <w:rPr>
          <w:noProof/>
        </w:rPr>
        <w:t xml:space="preserve"> be dismissed.</w:t>
      </w:r>
    </w:p>
    <w:p w:rsidRPr="006C1856" w:rsidR="005D0FF7" w:rsidP="006C1856" w:rsidRDefault="00727CFB">
      <w:pPr>
        <w:pStyle w:val="ECHRPara"/>
      </w:pPr>
      <w:r w:rsidRPr="006C1856">
        <w:rPr>
          <w:noProof/>
        </w:rPr>
        <w:fldChar w:fldCharType="begin"/>
      </w:r>
      <w:r w:rsidRPr="006C1856">
        <w:rPr>
          <w:noProof/>
        </w:rPr>
        <w:instrText xml:space="preserve"> SEQ level0 \*arabic </w:instrText>
      </w:r>
      <w:r w:rsidRPr="006C1856">
        <w:rPr>
          <w:noProof/>
        </w:rPr>
        <w:fldChar w:fldCharType="separate"/>
      </w:r>
      <w:r w:rsidRPr="006C1856" w:rsidR="006C1856">
        <w:rPr>
          <w:noProof/>
        </w:rPr>
        <w:t>28</w:t>
      </w:r>
      <w:r w:rsidRPr="006C1856">
        <w:rPr>
          <w:noProof/>
        </w:rPr>
        <w:fldChar w:fldCharType="end"/>
      </w:r>
      <w:r w:rsidRPr="006C1856">
        <w:rPr>
          <w:noProof/>
        </w:rPr>
        <w:t>.  </w:t>
      </w:r>
      <w:r w:rsidRPr="006C1856" w:rsidR="005D0FF7">
        <w:rPr>
          <w:noProof/>
        </w:rPr>
        <w:t xml:space="preserve">Finally, the Russian Government submitted that </w:t>
      </w:r>
      <w:r w:rsidRPr="006C1856" w:rsidR="007261E6">
        <w:rPr>
          <w:noProof/>
        </w:rPr>
        <w:t>since the applicants considered decisions issued by the “MRT” authorities illegal, they should not ha</w:t>
      </w:r>
      <w:r w:rsidRPr="006C1856" w:rsidR="007B14F8">
        <w:rPr>
          <w:noProof/>
        </w:rPr>
        <w:t>ve</w:t>
      </w:r>
      <w:r w:rsidRPr="006C1856" w:rsidR="007261E6">
        <w:rPr>
          <w:noProof/>
        </w:rPr>
        <w:t xml:space="preserve"> waited for the </w:t>
      </w:r>
      <w:r w:rsidRPr="006C1856" w:rsidR="001975F0">
        <w:rPr>
          <w:noProof/>
        </w:rPr>
        <w:t>“</w:t>
      </w:r>
      <w:r w:rsidRPr="006C1856" w:rsidR="007261E6">
        <w:rPr>
          <w:noProof/>
        </w:rPr>
        <w:t>MRT</w:t>
      </w:r>
      <w:r w:rsidRPr="006C1856" w:rsidR="001975F0">
        <w:rPr>
          <w:noProof/>
        </w:rPr>
        <w:t>”</w:t>
      </w:r>
      <w:r w:rsidRPr="006C1856" w:rsidR="007261E6">
        <w:rPr>
          <w:noProof/>
        </w:rPr>
        <w:t xml:space="preserve"> Supreme Court to give a final ruling on the case but</w:t>
      </w:r>
      <w:r w:rsidRPr="006C1856" w:rsidR="00EE4355">
        <w:rPr>
          <w:noProof/>
        </w:rPr>
        <w:t xml:space="preserve"> should </w:t>
      </w:r>
      <w:r w:rsidRPr="006C1856" w:rsidR="007261E6">
        <w:rPr>
          <w:noProof/>
        </w:rPr>
        <w:t xml:space="preserve">rather </w:t>
      </w:r>
      <w:r w:rsidRPr="006C1856" w:rsidR="007B14F8">
        <w:rPr>
          <w:noProof/>
        </w:rPr>
        <w:t xml:space="preserve">have </w:t>
      </w:r>
      <w:r w:rsidRPr="006C1856" w:rsidR="007261E6">
        <w:rPr>
          <w:noProof/>
        </w:rPr>
        <w:t>complain</w:t>
      </w:r>
      <w:r w:rsidRPr="006C1856" w:rsidR="00EE4355">
        <w:rPr>
          <w:noProof/>
        </w:rPr>
        <w:t>ed</w:t>
      </w:r>
      <w:r w:rsidRPr="006C1856" w:rsidR="007261E6">
        <w:rPr>
          <w:noProof/>
        </w:rPr>
        <w:t xml:space="preserve"> before the Court after their convi</w:t>
      </w:r>
      <w:r w:rsidRPr="006C1856" w:rsidR="00EE4355">
        <w:rPr>
          <w:noProof/>
        </w:rPr>
        <w:t>ct</w:t>
      </w:r>
      <w:r w:rsidRPr="006C1856" w:rsidR="007261E6">
        <w:rPr>
          <w:noProof/>
        </w:rPr>
        <w:t>ion at first</w:t>
      </w:r>
      <w:r w:rsidRPr="006C1856" w:rsidR="001975F0">
        <w:rPr>
          <w:noProof/>
        </w:rPr>
        <w:t xml:space="preserve"> </w:t>
      </w:r>
      <w:r w:rsidRPr="006C1856" w:rsidR="007261E6">
        <w:rPr>
          <w:noProof/>
        </w:rPr>
        <w:t xml:space="preserve">instance. Since the applicants </w:t>
      </w:r>
      <w:r w:rsidRPr="006C1856" w:rsidR="00EE4355">
        <w:rPr>
          <w:noProof/>
        </w:rPr>
        <w:t>had</w:t>
      </w:r>
      <w:r w:rsidRPr="006C1856" w:rsidR="007261E6">
        <w:rPr>
          <w:noProof/>
        </w:rPr>
        <w:t xml:space="preserve"> not do</w:t>
      </w:r>
      <w:r w:rsidRPr="006C1856" w:rsidR="00EE4355">
        <w:rPr>
          <w:noProof/>
        </w:rPr>
        <w:t>ne</w:t>
      </w:r>
      <w:r w:rsidRPr="006C1856" w:rsidR="007261E6">
        <w:rPr>
          <w:noProof/>
        </w:rPr>
        <w:t xml:space="preserve"> so, their application should be dismissed for </w:t>
      </w:r>
      <w:r w:rsidRPr="006C1856" w:rsidR="007261E6">
        <w:t xml:space="preserve">failure to submit </w:t>
      </w:r>
      <w:r w:rsidRPr="006C1856">
        <w:t>it</w:t>
      </w:r>
      <w:r w:rsidRPr="006C1856" w:rsidR="007261E6">
        <w:t xml:space="preserve"> within </w:t>
      </w:r>
      <w:r w:rsidRPr="006C1856" w:rsidR="007B14F8">
        <w:t xml:space="preserve">the </w:t>
      </w:r>
      <w:r w:rsidRPr="006C1856" w:rsidR="007261E6">
        <w:t>six</w:t>
      </w:r>
      <w:r w:rsidRPr="006C1856" w:rsidR="00DF1E58">
        <w:t> </w:t>
      </w:r>
      <w:r w:rsidRPr="006C1856" w:rsidR="007261E6">
        <w:t>months</w:t>
      </w:r>
      <w:r w:rsidRPr="006C1856" w:rsidR="006C1856">
        <w:t>’</w:t>
      </w:r>
      <w:r w:rsidRPr="006C1856" w:rsidR="007B14F8">
        <w:t xml:space="preserve"> time-limit</w:t>
      </w:r>
      <w:r w:rsidRPr="006C1856">
        <w:t>.</w:t>
      </w:r>
    </w:p>
    <w:p w:rsidRPr="006C1856" w:rsidR="00727CFB" w:rsidP="006C1856" w:rsidRDefault="00727CFB">
      <w:pPr>
        <w:pStyle w:val="ECHRPara"/>
        <w:rPr>
          <w:i/>
        </w:rPr>
      </w:pPr>
      <w:r w:rsidRPr="006C1856">
        <w:fldChar w:fldCharType="begin"/>
      </w:r>
      <w:r w:rsidRPr="006C1856">
        <w:instrText xml:space="preserve"> SEQ level0 \*arabic </w:instrText>
      </w:r>
      <w:r w:rsidRPr="006C1856">
        <w:fldChar w:fldCharType="separate"/>
      </w:r>
      <w:r w:rsidRPr="006C1856" w:rsidR="006C1856">
        <w:rPr>
          <w:noProof/>
        </w:rPr>
        <w:t>29</w:t>
      </w:r>
      <w:r w:rsidRPr="006C1856">
        <w:fldChar w:fldCharType="end"/>
      </w:r>
      <w:r w:rsidRPr="006C1856">
        <w:t xml:space="preserve">.  The Court reiterates that, as a rule, the six-month period runs from the date of the final decision in the process of exhaustion of domestic remedies. Where no effective remedy is available to the applicant, the period runs from the date of the acts or measures complained </w:t>
      </w:r>
      <w:r w:rsidRPr="006C1856" w:rsidR="004E1C3E">
        <w:t>of</w:t>
      </w:r>
      <w:r w:rsidRPr="006C1856">
        <w:t xml:space="preserve"> or from the date of knowledge of that act or its effect on or prejudice to the applicant. Moreover, Article 35 § 1 of the Convention cannot be interpreted in a manner which would require an applicant to seize the Court of his complaint before his position in connection with the matter has been finally settled at the domestic level. Where, therefore, an applicant avails himself of an apparently existing remedy and only subsequently becomes aware of circumstances which render the remedy ineffective, it may be appropriate for the purposes of Article 35 § 1 </w:t>
      </w:r>
      <w:r w:rsidRPr="006C1856" w:rsidR="00487BF0">
        <w:rPr>
          <w:rFonts w:ascii="Times New Roman" w:hAnsi="Times New Roman" w:eastAsia="MS Mincho" w:cs="Times New Roman"/>
          <w:szCs w:val="24"/>
        </w:rPr>
        <w:t>of the Convention</w:t>
      </w:r>
      <w:r w:rsidRPr="006C1856" w:rsidR="00487BF0">
        <w:t xml:space="preserve"> </w:t>
      </w:r>
      <w:r w:rsidRPr="006C1856">
        <w:t xml:space="preserve">to take the start of the six-month period from the date when the applicant first became or ought to have become aware of those circumstances (see </w:t>
      </w:r>
      <w:r w:rsidRPr="006C1856" w:rsidR="001975F0">
        <w:rPr>
          <w:i/>
          <w:snapToGrid w:val="0"/>
        </w:rPr>
        <w:t xml:space="preserve">Mocanu and Others v. Romania </w:t>
      </w:r>
      <w:r w:rsidRPr="006C1856" w:rsidR="001975F0">
        <w:rPr>
          <w:snapToGrid w:val="0"/>
        </w:rPr>
        <w:t>[GC], nos. 10865/09</w:t>
      </w:r>
      <w:r w:rsidRPr="006C1856" w:rsidR="001975F0">
        <w:t xml:space="preserve"> and 2 others, §§ 259-60, ECHR 2014 (extracts)</w:t>
      </w:r>
      <w:r w:rsidRPr="006C1856" w:rsidR="00010440">
        <w:t>;</w:t>
      </w:r>
      <w:r w:rsidRPr="006C1856" w:rsidR="001975F0">
        <w:t xml:space="preserve"> and </w:t>
      </w:r>
      <w:r w:rsidRPr="006C1856" w:rsidR="00777DE2">
        <w:rPr>
          <w:i/>
        </w:rPr>
        <w:t xml:space="preserve">Blokhin v. Russia </w:t>
      </w:r>
      <w:r w:rsidRPr="006C1856" w:rsidR="00777DE2">
        <w:t>[GC], no. 47152/06</w:t>
      </w:r>
      <w:r w:rsidRPr="006C1856" w:rsidR="00777DE2">
        <w:rPr>
          <w:snapToGrid w:val="0"/>
        </w:rPr>
        <w:t>, § 106, 2</w:t>
      </w:r>
      <w:r w:rsidRPr="006C1856" w:rsidR="00777DE2">
        <w:t>3</w:t>
      </w:r>
      <w:r w:rsidRPr="006C1856" w:rsidR="00DF1E58">
        <w:rPr>
          <w:snapToGrid w:val="0"/>
        </w:rPr>
        <w:t> </w:t>
      </w:r>
      <w:r w:rsidRPr="006C1856" w:rsidR="00777DE2">
        <w:rPr>
          <w:snapToGrid w:val="0"/>
        </w:rPr>
        <w:t>March 2016</w:t>
      </w:r>
      <w:r w:rsidRPr="006C1856">
        <w:rPr>
          <w:snapToGrid w:val="0"/>
        </w:rPr>
        <w:t>).</w:t>
      </w:r>
    </w:p>
    <w:p w:rsidRPr="006C1856" w:rsidR="00727CFB" w:rsidP="006C1856" w:rsidRDefault="00727CFB">
      <w:pPr>
        <w:pStyle w:val="ECHRPara"/>
      </w:pPr>
      <w:r w:rsidRPr="006C1856">
        <w:fldChar w:fldCharType="begin"/>
      </w:r>
      <w:r w:rsidRPr="006C1856">
        <w:instrText xml:space="preserve"> SEQ level0 \*arabic </w:instrText>
      </w:r>
      <w:r w:rsidRPr="006C1856">
        <w:fldChar w:fldCharType="separate"/>
      </w:r>
      <w:r w:rsidRPr="006C1856" w:rsidR="006C1856">
        <w:rPr>
          <w:noProof/>
        </w:rPr>
        <w:t>30</w:t>
      </w:r>
      <w:r w:rsidRPr="006C1856">
        <w:rPr>
          <w:noProof/>
        </w:rPr>
        <w:fldChar w:fldCharType="end"/>
      </w:r>
      <w:r w:rsidRPr="006C1856">
        <w:t xml:space="preserve">.  The Court notes that at the time of </w:t>
      </w:r>
      <w:r w:rsidRPr="006C1856" w:rsidR="00EE4355">
        <w:t xml:space="preserve">the </w:t>
      </w:r>
      <w:r w:rsidRPr="006C1856">
        <w:t xml:space="preserve">events the applicants could not know that the appeal proceedings before the </w:t>
      </w:r>
      <w:r w:rsidRPr="006C1856" w:rsidR="001975F0">
        <w:t>“</w:t>
      </w:r>
      <w:r w:rsidRPr="006C1856">
        <w:t>MRT</w:t>
      </w:r>
      <w:r w:rsidRPr="006C1856" w:rsidR="001975F0">
        <w:t>”</w:t>
      </w:r>
      <w:r w:rsidRPr="006C1856">
        <w:t xml:space="preserve"> Supreme Court were ineffective. The Court therefore does not consider it possible to blame the applicants for attempting to challenge their conviction before the hierarchically superior court. In such circumstances it cannot be said that the application was lodged out of time.</w:t>
      </w:r>
    </w:p>
    <w:p w:rsidRPr="006C1856" w:rsidR="00727CFB" w:rsidP="006C1856" w:rsidRDefault="00727CFB">
      <w:pPr>
        <w:pStyle w:val="ECHRPara"/>
      </w:pPr>
      <w:r w:rsidRPr="006C1856">
        <w:fldChar w:fldCharType="begin"/>
      </w:r>
      <w:r w:rsidRPr="006C1856">
        <w:instrText xml:space="preserve"> SEQ level0 \*arabic </w:instrText>
      </w:r>
      <w:r w:rsidRPr="006C1856">
        <w:fldChar w:fldCharType="separate"/>
      </w:r>
      <w:r w:rsidRPr="006C1856" w:rsidR="006C1856">
        <w:rPr>
          <w:noProof/>
        </w:rPr>
        <w:t>31</w:t>
      </w:r>
      <w:r w:rsidRPr="006C1856">
        <w:fldChar w:fldCharType="end"/>
      </w:r>
      <w:r w:rsidRPr="006C1856">
        <w:t>.  It follows from the above that the Russian Government</w:t>
      </w:r>
      <w:r w:rsidRPr="006C1856" w:rsidR="006C1856">
        <w:t>’</w:t>
      </w:r>
      <w:r w:rsidRPr="006C1856">
        <w:t>s objection in this regard must also be dismissed.</w:t>
      </w:r>
    </w:p>
    <w:p w:rsidRPr="006C1856" w:rsidR="00F949F6" w:rsidP="006C1856" w:rsidRDefault="00F949F6">
      <w:pPr>
        <w:pStyle w:val="ECHRHeading2"/>
      </w:pPr>
      <w:r w:rsidRPr="006C1856">
        <w:t>B.  Merits</w:t>
      </w:r>
    </w:p>
    <w:p w:rsidRPr="006C1856" w:rsidR="00F949F6" w:rsidP="006C1856" w:rsidRDefault="00F949F6">
      <w:pPr>
        <w:pStyle w:val="ECHRPara"/>
        <w:rPr>
          <w:rFonts w:eastAsia="Times New Roman"/>
        </w:rPr>
      </w:pPr>
      <w:r w:rsidRPr="006C1856">
        <w:fldChar w:fldCharType="begin"/>
      </w:r>
      <w:r w:rsidRPr="006C1856">
        <w:instrText xml:space="preserve"> SEQ level0 \*arabic </w:instrText>
      </w:r>
      <w:r w:rsidRPr="006C1856">
        <w:fldChar w:fldCharType="separate"/>
      </w:r>
      <w:r w:rsidRPr="006C1856" w:rsidR="006C1856">
        <w:rPr>
          <w:noProof/>
        </w:rPr>
        <w:t>32</w:t>
      </w:r>
      <w:r w:rsidRPr="006C1856">
        <w:fldChar w:fldCharType="end"/>
      </w:r>
      <w:r w:rsidRPr="006C1856">
        <w:t>.  </w:t>
      </w:r>
      <w:r w:rsidRPr="006C1856" w:rsidR="00D82052">
        <w:rPr>
          <w:rFonts w:eastAsia="Times New Roman"/>
        </w:rPr>
        <w:t>T</w:t>
      </w:r>
      <w:r w:rsidRPr="006C1856">
        <w:rPr>
          <w:rFonts w:eastAsia="Times New Roman"/>
        </w:rPr>
        <w:t>he applicant</w:t>
      </w:r>
      <w:r w:rsidRPr="006C1856" w:rsidR="00727CFB">
        <w:rPr>
          <w:rFonts w:eastAsia="Times New Roman"/>
        </w:rPr>
        <w:t>s complained</w:t>
      </w:r>
      <w:r w:rsidRPr="006C1856">
        <w:rPr>
          <w:rFonts w:eastAsia="Times New Roman"/>
        </w:rPr>
        <w:t xml:space="preserve"> that the “MRT” court</w:t>
      </w:r>
      <w:r w:rsidRPr="006C1856" w:rsidR="00727CFB">
        <w:rPr>
          <w:rFonts w:eastAsia="Times New Roman"/>
        </w:rPr>
        <w:t>s</w:t>
      </w:r>
      <w:r w:rsidRPr="006C1856">
        <w:rPr>
          <w:rFonts w:eastAsia="Times New Roman"/>
        </w:rPr>
        <w:t xml:space="preserve"> that had sentenced </w:t>
      </w:r>
      <w:r w:rsidRPr="006C1856" w:rsidR="00727CFB">
        <w:rPr>
          <w:rFonts w:eastAsia="Times New Roman"/>
        </w:rPr>
        <w:t>them</w:t>
      </w:r>
      <w:r w:rsidRPr="006C1856">
        <w:rPr>
          <w:rFonts w:eastAsia="Times New Roman"/>
        </w:rPr>
        <w:t xml:space="preserve"> could not be considered as “independent tribunal</w:t>
      </w:r>
      <w:r w:rsidRPr="006C1856" w:rsidR="00727CFB">
        <w:rPr>
          <w:rFonts w:eastAsia="Times New Roman"/>
        </w:rPr>
        <w:t>s</w:t>
      </w:r>
      <w:r w:rsidRPr="006C1856">
        <w:rPr>
          <w:rFonts w:eastAsia="Times New Roman"/>
        </w:rPr>
        <w:t xml:space="preserve"> established by law” </w:t>
      </w:r>
      <w:r w:rsidRPr="006C1856" w:rsidR="007B14F8">
        <w:rPr>
          <w:rFonts w:eastAsia="Times New Roman"/>
        </w:rPr>
        <w:t>within</w:t>
      </w:r>
      <w:r w:rsidRPr="006C1856" w:rsidR="00E80FB8">
        <w:rPr>
          <w:rFonts w:eastAsia="Times New Roman"/>
        </w:rPr>
        <w:t xml:space="preserve"> </w:t>
      </w:r>
      <w:r w:rsidRPr="006C1856" w:rsidR="007B14F8">
        <w:rPr>
          <w:rFonts w:eastAsia="Times New Roman"/>
        </w:rPr>
        <w:t>the meaning</w:t>
      </w:r>
      <w:r w:rsidRPr="006C1856">
        <w:rPr>
          <w:rFonts w:eastAsia="Times New Roman"/>
        </w:rPr>
        <w:t xml:space="preserve"> of Article 6 § 1</w:t>
      </w:r>
      <w:r w:rsidRPr="006C1856" w:rsidR="00EE4355">
        <w:rPr>
          <w:rFonts w:eastAsia="Times New Roman"/>
        </w:rPr>
        <w:t xml:space="preserve"> </w:t>
      </w:r>
      <w:r w:rsidRPr="006C1856" w:rsidR="00487BF0">
        <w:rPr>
          <w:rFonts w:ascii="Times New Roman" w:hAnsi="Times New Roman" w:eastAsia="MS Mincho" w:cs="Times New Roman"/>
          <w:szCs w:val="24"/>
        </w:rPr>
        <w:t>of the Convention</w:t>
      </w:r>
      <w:r w:rsidRPr="006C1856" w:rsidR="00487BF0">
        <w:rPr>
          <w:rFonts w:eastAsia="Times New Roman"/>
        </w:rPr>
        <w:t xml:space="preserve"> </w:t>
      </w:r>
      <w:r w:rsidRPr="006C1856" w:rsidR="00EE4355">
        <w:rPr>
          <w:rFonts w:eastAsia="Times New Roman"/>
        </w:rPr>
        <w:t xml:space="preserve">and that the criminal proceedings against them had been unfair </w:t>
      </w:r>
      <w:r w:rsidRPr="006C1856" w:rsidR="007B14F8">
        <w:rPr>
          <w:rFonts w:eastAsia="Times New Roman"/>
        </w:rPr>
        <w:t>and in breach of the aforementioned provision</w:t>
      </w:r>
      <w:r w:rsidRPr="006C1856">
        <w:rPr>
          <w:rFonts w:eastAsia="Times New Roman"/>
        </w:rPr>
        <w:t>.</w:t>
      </w:r>
    </w:p>
    <w:p w:rsidRPr="006C1856" w:rsidR="00F949F6" w:rsidP="006C1856" w:rsidRDefault="00F949F6">
      <w:pPr>
        <w:pStyle w:val="ECHRPara"/>
      </w:pPr>
      <w:r w:rsidRPr="006C1856">
        <w:fldChar w:fldCharType="begin"/>
      </w:r>
      <w:r w:rsidRPr="006C1856">
        <w:instrText xml:space="preserve"> SEQ level0 \*arabic </w:instrText>
      </w:r>
      <w:r w:rsidRPr="006C1856">
        <w:fldChar w:fldCharType="separate"/>
      </w:r>
      <w:r w:rsidRPr="006C1856" w:rsidR="006C1856">
        <w:rPr>
          <w:noProof/>
        </w:rPr>
        <w:t>33</w:t>
      </w:r>
      <w:r w:rsidRPr="006C1856">
        <w:fldChar w:fldCharType="end"/>
      </w:r>
      <w:r w:rsidRPr="006C1856">
        <w:t xml:space="preserve">.  The </w:t>
      </w:r>
      <w:r w:rsidRPr="006C1856" w:rsidR="00F42261">
        <w:t>Russian</w:t>
      </w:r>
      <w:r w:rsidRPr="006C1856">
        <w:t xml:space="preserve"> Government did not make any submissions on the merits of these complaints</w:t>
      </w:r>
      <w:r w:rsidRPr="006C1856" w:rsidR="00F42261">
        <w:t xml:space="preserve"> while the Moldovan Government submitted that the </w:t>
      </w:r>
      <w:r w:rsidRPr="006C1856" w:rsidR="00636F2E">
        <w:t>“MRT”</w:t>
      </w:r>
      <w:r w:rsidRPr="006C1856" w:rsidR="00F42261">
        <w:t xml:space="preserve"> courts could not be considered “tribunals established by law” within the meaning of Article 6 </w:t>
      </w:r>
      <w:r w:rsidRPr="006C1856" w:rsidR="00F42261">
        <w:rPr>
          <w:rFonts w:cstheme="minorHAnsi"/>
        </w:rPr>
        <w:t>§</w:t>
      </w:r>
      <w:r w:rsidRPr="006C1856" w:rsidR="00F42261">
        <w:t xml:space="preserve"> 1 of the Convention.</w:t>
      </w:r>
    </w:p>
    <w:p w:rsidRPr="006C1856" w:rsidR="00636F2E" w:rsidP="006C1856" w:rsidRDefault="00636F2E">
      <w:pPr>
        <w:pStyle w:val="ECHRPara"/>
      </w:pPr>
      <w:r w:rsidRPr="006C1856">
        <w:fldChar w:fldCharType="begin"/>
      </w:r>
      <w:r w:rsidRPr="006C1856">
        <w:instrText xml:space="preserve"> SEQ level0 \*arabic </w:instrText>
      </w:r>
      <w:r w:rsidRPr="006C1856">
        <w:fldChar w:fldCharType="separate"/>
      </w:r>
      <w:r w:rsidRPr="006C1856" w:rsidR="006C1856">
        <w:rPr>
          <w:noProof/>
        </w:rPr>
        <w:t>34</w:t>
      </w:r>
      <w:r w:rsidRPr="006C1856">
        <w:fldChar w:fldCharType="end"/>
      </w:r>
      <w:r w:rsidRPr="006C1856">
        <w:t xml:space="preserve">.  The Court reiterates </w:t>
      </w:r>
      <w:r w:rsidRPr="006C1856">
        <w:rPr>
          <w:rFonts w:eastAsia="MS Mincho"/>
        </w:rPr>
        <w:t>that</w:t>
      </w:r>
      <w:r w:rsidRPr="006C1856">
        <w:t xml:space="preserve"> in certain circumstances, a court belonging to the judicial system of an entity not recognised under international law may be regarded as a tribunal established by law provided that it forms part of a judicial system operating on a constitutional and legal basis reflecting a judicial tradition compatible with the Convention, in order to enable individuals to enjoy the Convention guarantees (see </w:t>
      </w:r>
      <w:r w:rsidRPr="006C1856">
        <w:rPr>
          <w:rFonts w:eastAsia="MS Mincho"/>
          <w:i/>
        </w:rPr>
        <w:t>Ilaşcu and Others</w:t>
      </w:r>
      <w:r w:rsidRPr="006C1856">
        <w:rPr>
          <w:rFonts w:eastAsia="MS Mincho"/>
        </w:rPr>
        <w:t>,</w:t>
      </w:r>
      <w:r w:rsidRPr="006C1856">
        <w:rPr>
          <w:rFonts w:eastAsia="MS Mincho"/>
          <w:i/>
        </w:rPr>
        <w:t xml:space="preserve"> </w:t>
      </w:r>
      <w:r w:rsidRPr="006C1856">
        <w:rPr>
          <w:rFonts w:eastAsia="MS Mincho"/>
        </w:rPr>
        <w:t>cited above, § 460)</w:t>
      </w:r>
      <w:r w:rsidRPr="006C1856">
        <w:t xml:space="preserve">. It further recalls that in </w:t>
      </w:r>
      <w:r w:rsidRPr="006C1856">
        <w:rPr>
          <w:i/>
        </w:rPr>
        <w:t>Mozer</w:t>
      </w:r>
      <w:r w:rsidRPr="006C1856">
        <w:t xml:space="preserve"> it held that the judicial system of the “MRT” was not a system reflecting a judicial tradition compatible with the Convention</w:t>
      </w:r>
      <w:r w:rsidRPr="006C1856">
        <w:rPr>
          <w:i/>
        </w:rPr>
        <w:t xml:space="preserve"> </w:t>
      </w:r>
      <w:r w:rsidRPr="006C1856">
        <w:t xml:space="preserve">(see </w:t>
      </w:r>
      <w:r w:rsidRPr="006C1856">
        <w:rPr>
          <w:i/>
        </w:rPr>
        <w:t>Mozer</w:t>
      </w:r>
      <w:r w:rsidRPr="006C1856">
        <w:t xml:space="preserve">, cited above, </w:t>
      </w:r>
      <w:r w:rsidRPr="006C1856">
        <w:rPr>
          <w:rFonts w:cstheme="minorHAnsi"/>
        </w:rPr>
        <w:t>§§</w:t>
      </w:r>
      <w:r w:rsidRPr="006C1856">
        <w:t xml:space="preserve"> 148-49).</w:t>
      </w:r>
    </w:p>
    <w:p w:rsidRPr="006C1856" w:rsidR="00F949F6" w:rsidP="006C1856" w:rsidRDefault="00636F2E">
      <w:pPr>
        <w:pStyle w:val="ECHRPara"/>
      </w:pPr>
      <w:r w:rsidRPr="006C1856">
        <w:fldChar w:fldCharType="begin"/>
      </w:r>
      <w:r w:rsidRPr="006C1856">
        <w:instrText xml:space="preserve"> SEQ level0 \*arabic </w:instrText>
      </w:r>
      <w:r w:rsidRPr="006C1856">
        <w:fldChar w:fldCharType="separate"/>
      </w:r>
      <w:r w:rsidRPr="006C1856" w:rsidR="006C1856">
        <w:rPr>
          <w:noProof/>
        </w:rPr>
        <w:t>35</w:t>
      </w:r>
      <w:r w:rsidRPr="006C1856">
        <w:fldChar w:fldCharType="end"/>
      </w:r>
      <w:r w:rsidRPr="006C1856">
        <w:t xml:space="preserve">.  In the absence of any new and pertinent information proving the contrary, the Court considers that the conclusion reached in </w:t>
      </w:r>
      <w:r w:rsidRPr="006C1856">
        <w:rPr>
          <w:i/>
        </w:rPr>
        <w:t>Mozer</w:t>
      </w:r>
      <w:r w:rsidRPr="006C1856">
        <w:t xml:space="preserve"> is valid in the present case too and that the “MRT” courts could not qualify as a “tribunal established by law” for the purposes of Article 6 § 1 of the Convention </w:t>
      </w:r>
      <w:r w:rsidRPr="006C1856">
        <w:rPr>
          <w:noProof/>
        </w:rPr>
        <w:t xml:space="preserve">(see </w:t>
      </w:r>
      <w:r w:rsidRPr="006C1856">
        <w:rPr>
          <w:i/>
        </w:rPr>
        <w:t>Vardanean v. the Republic of Moldova and Russia</w:t>
      </w:r>
      <w:r w:rsidRPr="006C1856">
        <w:t>, no.</w:t>
      </w:r>
      <w:r w:rsidRPr="006C1856" w:rsidR="00DF1E58">
        <w:t> </w:t>
      </w:r>
      <w:r w:rsidRPr="006C1856">
        <w:t>22200/10, § 39, 30 May 2017</w:t>
      </w:r>
      <w:r w:rsidRPr="006C1856" w:rsidR="00010440">
        <w:t>;</w:t>
      </w:r>
      <w:r w:rsidRPr="006C1856">
        <w:t xml:space="preserve"> and </w:t>
      </w:r>
      <w:r w:rsidRPr="006C1856">
        <w:rPr>
          <w:i/>
          <w:iCs/>
        </w:rPr>
        <w:t>Apcov v. the Republic of Moldova and Russia</w:t>
      </w:r>
      <w:r w:rsidRPr="006C1856">
        <w:t xml:space="preserve">, no. 13463/07, </w:t>
      </w:r>
      <w:r w:rsidRPr="006C1856">
        <w:rPr>
          <w:rFonts w:cstheme="minorHAnsi"/>
        </w:rPr>
        <w:t>§</w:t>
      </w:r>
      <w:r w:rsidRPr="006C1856">
        <w:t xml:space="preserve">57, 30 May 2017). The Court therefore considers that there has been a breach of Article 6 </w:t>
      </w:r>
      <w:r w:rsidRPr="006C1856">
        <w:rPr>
          <w:rFonts w:cstheme="minorHAnsi"/>
        </w:rPr>
        <w:t>§</w:t>
      </w:r>
      <w:r w:rsidRPr="006C1856">
        <w:t xml:space="preserve"> 1 of the Convention in the present case.</w:t>
      </w:r>
    </w:p>
    <w:p w:rsidRPr="006C1856" w:rsidR="00F949F6" w:rsidP="006C1856" w:rsidRDefault="00F949F6">
      <w:pPr>
        <w:pStyle w:val="ECHRPara"/>
      </w:pPr>
      <w:r w:rsidRPr="006C1856">
        <w:fldChar w:fldCharType="begin"/>
      </w:r>
      <w:r w:rsidRPr="006C1856">
        <w:instrText xml:space="preserve"> SEQ level0 \*arabic </w:instrText>
      </w:r>
      <w:r w:rsidRPr="006C1856">
        <w:fldChar w:fldCharType="separate"/>
      </w:r>
      <w:r w:rsidRPr="006C1856" w:rsidR="006C1856">
        <w:rPr>
          <w:noProof/>
        </w:rPr>
        <w:t>36</w:t>
      </w:r>
      <w:r w:rsidRPr="006C1856">
        <w:rPr>
          <w:noProof/>
        </w:rPr>
        <w:fldChar w:fldCharType="end"/>
      </w:r>
      <w:r w:rsidRPr="006C1856">
        <w:t>.  The Court must next determine whether the Republic of Moldova fulfilled its positive obligation to take appropriate and sufficient measures to secure the applicant</w:t>
      </w:r>
      <w:r w:rsidRPr="006C1856" w:rsidR="006C1856">
        <w:t>’</w:t>
      </w:r>
      <w:r w:rsidRPr="006C1856">
        <w:t xml:space="preserve">s rights (see paragraph </w:t>
      </w:r>
      <w:r w:rsidRPr="006C1856" w:rsidR="00D82052">
        <w:t>1</w:t>
      </w:r>
      <w:r w:rsidRPr="006C1856" w:rsidR="004E1C3E">
        <w:t>7</w:t>
      </w:r>
      <w:r w:rsidRPr="006C1856">
        <w:t xml:space="preserve"> above). In </w:t>
      </w:r>
      <w:r w:rsidRPr="006C1856">
        <w:rPr>
          <w:i/>
        </w:rPr>
        <w:t>Mozer</w:t>
      </w:r>
      <w:r w:rsidRPr="006C1856">
        <w:t>, the Court held that Moldova</w:t>
      </w:r>
      <w:r w:rsidRPr="006C1856" w:rsidR="006C1856">
        <w:t>’</w:t>
      </w:r>
      <w:r w:rsidRPr="006C1856">
        <w:t>s positive obligations related both to measures needed to re-establish its control over the Transdniestrian territory, as an expression of its jurisdiction, and to measures to ensure respect for individual applicants</w:t>
      </w:r>
      <w:r w:rsidRPr="006C1856" w:rsidR="006C1856">
        <w:t>’</w:t>
      </w:r>
      <w:r w:rsidRPr="006C1856">
        <w:t xml:space="preserve"> rights</w:t>
      </w:r>
      <w:r w:rsidRPr="006C1856">
        <w:rPr>
          <w:i/>
        </w:rPr>
        <w:t xml:space="preserve"> </w:t>
      </w:r>
      <w:r w:rsidRPr="006C1856">
        <w:t xml:space="preserve">(see </w:t>
      </w:r>
      <w:r w:rsidRPr="006C1856">
        <w:rPr>
          <w:i/>
        </w:rPr>
        <w:t>Mozer</w:t>
      </w:r>
      <w:r w:rsidRPr="006C1856">
        <w:t>, cited above, § 151).</w:t>
      </w:r>
    </w:p>
    <w:p w:rsidRPr="006C1856" w:rsidR="00F949F6" w:rsidP="006C1856" w:rsidRDefault="001A4196">
      <w:pPr>
        <w:pStyle w:val="ECHRPara"/>
      </w:pPr>
      <w:r w:rsidRPr="006C1856">
        <w:fldChar w:fldCharType="begin"/>
      </w:r>
      <w:r w:rsidRPr="006C1856">
        <w:instrText xml:space="preserve"> SEQ level0 \*arabic </w:instrText>
      </w:r>
      <w:r w:rsidRPr="006C1856">
        <w:fldChar w:fldCharType="separate"/>
      </w:r>
      <w:r w:rsidRPr="006C1856" w:rsidR="006C1856">
        <w:rPr>
          <w:noProof/>
        </w:rPr>
        <w:t>37</w:t>
      </w:r>
      <w:r w:rsidRPr="006C1856">
        <w:fldChar w:fldCharType="end"/>
      </w:r>
      <w:r w:rsidRPr="006C1856">
        <w:t>.  As regards the first aspect of Moldova</w:t>
      </w:r>
      <w:r w:rsidRPr="006C1856" w:rsidR="006C1856">
        <w:t>’</w:t>
      </w:r>
      <w:r w:rsidRPr="006C1856">
        <w:t xml:space="preserve">s obligation, to re-establish control, the Court found in </w:t>
      </w:r>
      <w:r w:rsidRPr="006C1856">
        <w:rPr>
          <w:i/>
        </w:rPr>
        <w:t>Mozer</w:t>
      </w:r>
      <w:r w:rsidRPr="006C1856">
        <w:t xml:space="preserve"> that, from the onset of the hostilities in 1991-1992 until July 2010, Moldova had taken all the measures in its power (see </w:t>
      </w:r>
      <w:r w:rsidRPr="006C1856">
        <w:rPr>
          <w:i/>
        </w:rPr>
        <w:t>Mozer</w:t>
      </w:r>
      <w:r w:rsidRPr="006C1856">
        <w:t>, cited above, § 152). Since the events complained of in the present case took place before the latter date, the Court sees no reason to reach a different conclusion (</w:t>
      </w:r>
      <w:r w:rsidRPr="006C1856">
        <w:rPr>
          <w:i/>
        </w:rPr>
        <w:t>ibid.</w:t>
      </w:r>
      <w:r w:rsidRPr="006C1856">
        <w:t>).</w:t>
      </w:r>
    </w:p>
    <w:p w:rsidRPr="006C1856" w:rsidR="00E80FB8" w:rsidP="006C1856" w:rsidRDefault="00F949F6">
      <w:pPr>
        <w:pStyle w:val="ECHRPara"/>
      </w:pPr>
      <w:r w:rsidRPr="006C1856">
        <w:rPr>
          <w:noProof/>
        </w:rPr>
        <w:fldChar w:fldCharType="begin"/>
      </w:r>
      <w:r w:rsidRPr="006C1856">
        <w:rPr>
          <w:noProof/>
        </w:rPr>
        <w:instrText xml:space="preserve"> SEQ level0 \*arabic </w:instrText>
      </w:r>
      <w:r w:rsidRPr="006C1856">
        <w:rPr>
          <w:noProof/>
        </w:rPr>
        <w:fldChar w:fldCharType="separate"/>
      </w:r>
      <w:r w:rsidRPr="006C1856" w:rsidR="006C1856">
        <w:rPr>
          <w:noProof/>
        </w:rPr>
        <w:t>38</w:t>
      </w:r>
      <w:r w:rsidRPr="006C1856">
        <w:rPr>
          <w:noProof/>
        </w:rPr>
        <w:fldChar w:fldCharType="end"/>
      </w:r>
      <w:r w:rsidRPr="006C1856">
        <w:rPr>
          <w:noProof/>
        </w:rPr>
        <w:t>.  </w:t>
      </w:r>
      <w:r w:rsidRPr="006C1856" w:rsidR="00280FD7">
        <w:t>Turning to the second part of the positive obligations, namely to ensure respect for the applicants</w:t>
      </w:r>
      <w:r w:rsidRPr="006C1856" w:rsidR="006C1856">
        <w:t>’</w:t>
      </w:r>
      <w:r w:rsidRPr="006C1856" w:rsidR="00280FD7">
        <w:t xml:space="preserve"> rights, the Court notes that the applicants</w:t>
      </w:r>
      <w:r w:rsidRPr="006C1856" w:rsidR="001A4196">
        <w:t xml:space="preserve"> advanced no evidence to the effect that they had informed</w:t>
      </w:r>
      <w:r w:rsidRPr="006C1856" w:rsidR="00280FD7">
        <w:t xml:space="preserve"> the Moldovan authorities of the alleged breach of their Convention rights (see paragraph</w:t>
      </w:r>
      <w:r w:rsidRPr="006C1856" w:rsidR="00DF1E58">
        <w:t> </w:t>
      </w:r>
      <w:r w:rsidRPr="006C1856" w:rsidR="004E1C3E">
        <w:t>8</w:t>
      </w:r>
      <w:r w:rsidRPr="006C1856" w:rsidR="00280FD7">
        <w:t xml:space="preserve"> above). In such circumstances, the non</w:t>
      </w:r>
      <w:r w:rsidRPr="006C1856" w:rsidR="0001168B">
        <w:noBreakHyphen/>
      </w:r>
      <w:r w:rsidRPr="006C1856" w:rsidR="00280FD7">
        <w:t>involvement of the Moldovan authorities in the case of the applicants cannot be held against them.</w:t>
      </w:r>
      <w:r w:rsidRPr="006C1856" w:rsidR="00745680">
        <w:t xml:space="preserve"> </w:t>
      </w:r>
      <w:r w:rsidRPr="006C1856" w:rsidR="007B14F8">
        <w:t>The</w:t>
      </w:r>
      <w:r w:rsidRPr="006C1856" w:rsidR="00745680">
        <w:t xml:space="preserve"> Court </w:t>
      </w:r>
      <w:r w:rsidRPr="006C1856" w:rsidR="007B14F8">
        <w:t xml:space="preserve">further </w:t>
      </w:r>
      <w:r w:rsidRPr="006C1856" w:rsidR="00745680">
        <w:t>notes that the Supreme Court of Moldova r</w:t>
      </w:r>
      <w:r w:rsidRPr="006C1856" w:rsidR="007B14F8">
        <w:t>eacted promptly after being seis</w:t>
      </w:r>
      <w:r w:rsidRPr="006C1856" w:rsidR="00745680">
        <w:t xml:space="preserve">ed by the applicants </w:t>
      </w:r>
      <w:r w:rsidRPr="006C1856" w:rsidR="007B14F8">
        <w:t>by way of an</w:t>
      </w:r>
      <w:r w:rsidRPr="006C1856" w:rsidR="00745680">
        <w:t xml:space="preserve"> extraordinary appeal against their conviction and quashed the decisions of the </w:t>
      </w:r>
      <w:r w:rsidRPr="006C1856" w:rsidR="001A4196">
        <w:t>“MRT”</w:t>
      </w:r>
      <w:r w:rsidRPr="006C1856" w:rsidR="00745680">
        <w:t xml:space="preserve"> courts.</w:t>
      </w:r>
    </w:p>
    <w:p w:rsidRPr="006C1856" w:rsidR="00F949F6" w:rsidP="006C1856" w:rsidRDefault="001A4196">
      <w:pPr>
        <w:pStyle w:val="ECHRPara"/>
        <w:rPr>
          <w:noProof/>
        </w:rPr>
      </w:pPr>
      <w:r w:rsidRPr="006C1856">
        <w:fldChar w:fldCharType="begin"/>
      </w:r>
      <w:r w:rsidRPr="006C1856">
        <w:instrText xml:space="preserve"> SEQ level0 \*arabic </w:instrText>
      </w:r>
      <w:r w:rsidRPr="006C1856">
        <w:fldChar w:fldCharType="separate"/>
      </w:r>
      <w:r w:rsidRPr="006C1856" w:rsidR="006C1856">
        <w:rPr>
          <w:noProof/>
        </w:rPr>
        <w:t>39</w:t>
      </w:r>
      <w:r w:rsidRPr="006C1856">
        <w:fldChar w:fldCharType="end"/>
      </w:r>
      <w:r w:rsidRPr="006C1856">
        <w:t>.  </w:t>
      </w:r>
      <w:r w:rsidRPr="006C1856" w:rsidR="00280FD7">
        <w:t>In the light of the foregoing, the Court concludes that the Republic of Moldova did not fail to fulfil its positive obligations in respect of the applicants</w:t>
      </w:r>
      <w:r w:rsidRPr="006C1856">
        <w:t>.</w:t>
      </w:r>
      <w:r w:rsidRPr="006C1856" w:rsidR="00280FD7">
        <w:t xml:space="preserve"> </w:t>
      </w:r>
      <w:r w:rsidRPr="006C1856">
        <w:t>There</w:t>
      </w:r>
      <w:r w:rsidRPr="006C1856" w:rsidR="00280FD7">
        <w:t xml:space="preserve"> has</w:t>
      </w:r>
      <w:r w:rsidRPr="006C1856">
        <w:t xml:space="preserve"> th</w:t>
      </w:r>
      <w:r w:rsidRPr="006C1856" w:rsidR="00010440">
        <w:t>erefore</w:t>
      </w:r>
      <w:r w:rsidRPr="006C1856" w:rsidR="00280FD7">
        <w:t xml:space="preserve"> been no violation of Article 6</w:t>
      </w:r>
      <w:r w:rsidRPr="006C1856">
        <w:t xml:space="preserve"> </w:t>
      </w:r>
      <w:r w:rsidRPr="006C1856">
        <w:rPr>
          <w:rFonts w:cstheme="minorHAnsi"/>
        </w:rPr>
        <w:t>§</w:t>
      </w:r>
      <w:r w:rsidRPr="006C1856">
        <w:t xml:space="preserve"> 1</w:t>
      </w:r>
      <w:r w:rsidRPr="006C1856" w:rsidR="00280FD7">
        <w:t xml:space="preserve"> of the Convention </w:t>
      </w:r>
      <w:r w:rsidRPr="006C1856">
        <w:t>by</w:t>
      </w:r>
      <w:r w:rsidRPr="006C1856" w:rsidR="00280FD7">
        <w:t xml:space="preserve"> the Republic of Moldova.</w:t>
      </w:r>
    </w:p>
    <w:p w:rsidRPr="006C1856" w:rsidR="00F949F6" w:rsidP="006C1856" w:rsidRDefault="00280FD7">
      <w:pPr>
        <w:pStyle w:val="ECHRPara"/>
      </w:pPr>
      <w:r w:rsidRPr="006C1856">
        <w:fldChar w:fldCharType="begin"/>
      </w:r>
      <w:r w:rsidRPr="006C1856">
        <w:instrText xml:space="preserve"> SEQ level0 \*arabic </w:instrText>
      </w:r>
      <w:r w:rsidRPr="006C1856">
        <w:fldChar w:fldCharType="separate"/>
      </w:r>
      <w:r w:rsidRPr="006C1856" w:rsidR="006C1856">
        <w:rPr>
          <w:noProof/>
        </w:rPr>
        <w:t>40</w:t>
      </w:r>
      <w:r w:rsidRPr="006C1856">
        <w:fldChar w:fldCharType="end"/>
      </w:r>
      <w:r w:rsidRPr="006C1856">
        <w:t>.  </w:t>
      </w:r>
      <w:r w:rsidRPr="006C1856" w:rsidR="00F949F6">
        <w:t>In so far as the responsibility of the Russian Federation is concerned,</w:t>
      </w:r>
      <w:r w:rsidRPr="006C1856" w:rsidR="004E1C3E">
        <w:t xml:space="preserve"> </w:t>
      </w:r>
      <w:r w:rsidRPr="006C1856" w:rsidR="00F949F6">
        <w:t xml:space="preserve">the Court has established that Russia exercised effective control over the “MRT” during the period in question (see paragraphs </w:t>
      </w:r>
      <w:r w:rsidRPr="006C1856" w:rsidR="004E1C3E">
        <w:rPr>
          <w:noProof/>
        </w:rPr>
        <w:t>19</w:t>
      </w:r>
      <w:r w:rsidRPr="006C1856">
        <w:rPr>
          <w:noProof/>
        </w:rPr>
        <w:t>-</w:t>
      </w:r>
      <w:r w:rsidRPr="006C1856" w:rsidR="00745680">
        <w:rPr>
          <w:noProof/>
        </w:rPr>
        <w:t>2</w:t>
      </w:r>
      <w:r w:rsidRPr="006C1856" w:rsidR="004E1C3E">
        <w:rPr>
          <w:noProof/>
        </w:rPr>
        <w:t>0</w:t>
      </w:r>
      <w:r w:rsidRPr="006C1856" w:rsidR="00F949F6">
        <w:t xml:space="preserve"> above). In the light of this conclusion, and in accordance with its case-law, it is not necessary to determine whether or not Russia exercise</w:t>
      </w:r>
      <w:r w:rsidRPr="006C1856" w:rsidR="001A4196">
        <w:t>d</w:t>
      </w:r>
      <w:r w:rsidRPr="006C1856" w:rsidR="00F949F6">
        <w:t xml:space="preserve"> detailed control over the policies and actions of the subordinate local administration (see </w:t>
      </w:r>
      <w:r w:rsidRPr="006C1856" w:rsidR="00F949F6">
        <w:rPr>
          <w:i/>
        </w:rPr>
        <w:t>Mozer</w:t>
      </w:r>
      <w:r w:rsidRPr="006C1856" w:rsidR="00F949F6">
        <w:t>, cited above, § 157). By virtue of its continued military, economic and political support for the “MRT”, which could not otherwise survive, Russia</w:t>
      </w:r>
      <w:r w:rsidRPr="006C1856" w:rsidR="006C1856">
        <w:t>’</w:t>
      </w:r>
      <w:r w:rsidRPr="006C1856" w:rsidR="00F949F6">
        <w:t>s responsibility under the Convention is engaged as regards the violation of the applicants</w:t>
      </w:r>
      <w:r w:rsidRPr="006C1856" w:rsidR="006C1856">
        <w:t>’</w:t>
      </w:r>
      <w:r w:rsidRPr="006C1856" w:rsidR="00F949F6">
        <w:t xml:space="preserve"> rights.</w:t>
      </w:r>
    </w:p>
    <w:p w:rsidRPr="006C1856" w:rsidR="00280FD7" w:rsidP="006C1856" w:rsidRDefault="00F949F6">
      <w:pPr>
        <w:pStyle w:val="ECHRPara"/>
        <w:keepNext/>
        <w:keepLines/>
        <w:tabs>
          <w:tab w:val="left" w:pos="6663"/>
        </w:tabs>
      </w:pPr>
      <w:r w:rsidRPr="006C1856">
        <w:fldChar w:fldCharType="begin"/>
      </w:r>
      <w:r w:rsidRPr="006C1856">
        <w:instrText xml:space="preserve"> SEQ level0 \*arabic </w:instrText>
      </w:r>
      <w:r w:rsidRPr="006C1856">
        <w:fldChar w:fldCharType="separate"/>
      </w:r>
      <w:r w:rsidRPr="006C1856" w:rsidR="006C1856">
        <w:rPr>
          <w:noProof/>
        </w:rPr>
        <w:t>41</w:t>
      </w:r>
      <w:r w:rsidRPr="006C1856">
        <w:fldChar w:fldCharType="end"/>
      </w:r>
      <w:r w:rsidRPr="006C1856">
        <w:t>.  In conclusion, and after having found that the applicants</w:t>
      </w:r>
      <w:r w:rsidRPr="006C1856" w:rsidR="006C1856">
        <w:t>’</w:t>
      </w:r>
      <w:r w:rsidRPr="006C1856">
        <w:t xml:space="preserve"> rights guaranteed by Article 6 </w:t>
      </w:r>
      <w:r w:rsidRPr="006C1856">
        <w:rPr>
          <w:rFonts w:cstheme="minorHAnsi"/>
        </w:rPr>
        <w:t>§</w:t>
      </w:r>
      <w:r w:rsidRPr="006C1856">
        <w:t xml:space="preserve"> 1 </w:t>
      </w:r>
      <w:r w:rsidRPr="006C1856" w:rsidR="00487BF0">
        <w:rPr>
          <w:rFonts w:ascii="Times New Roman" w:hAnsi="Times New Roman" w:eastAsia="MS Mincho" w:cs="Times New Roman"/>
          <w:szCs w:val="24"/>
        </w:rPr>
        <w:t>of the Convention</w:t>
      </w:r>
      <w:r w:rsidRPr="006C1856" w:rsidR="00487BF0">
        <w:t xml:space="preserve"> </w:t>
      </w:r>
      <w:r w:rsidRPr="006C1856">
        <w:t xml:space="preserve">have been breached (see paragraph </w:t>
      </w:r>
      <w:r w:rsidRPr="006C1856">
        <w:rPr>
          <w:noProof/>
        </w:rPr>
        <w:t>3</w:t>
      </w:r>
      <w:r w:rsidRPr="006C1856" w:rsidR="002129C4">
        <w:rPr>
          <w:noProof/>
        </w:rPr>
        <w:t>5</w:t>
      </w:r>
      <w:r w:rsidRPr="006C1856">
        <w:t xml:space="preserve"> above), the Court holds that there has been a violation of th</w:t>
      </w:r>
      <w:r w:rsidRPr="006C1856" w:rsidR="005C053D">
        <w:t>at provision</w:t>
      </w:r>
      <w:r w:rsidRPr="006C1856">
        <w:t xml:space="preserve"> by the Russian Federation.</w:t>
      </w:r>
    </w:p>
    <w:p w:rsidRPr="006C1856" w:rsidR="00464742" w:rsidP="006C1856" w:rsidRDefault="00F949F6">
      <w:pPr>
        <w:pStyle w:val="ECHRPara"/>
      </w:pPr>
      <w:r w:rsidRPr="006C1856">
        <w:fldChar w:fldCharType="begin"/>
      </w:r>
      <w:r w:rsidRPr="006C1856">
        <w:instrText xml:space="preserve"> SEQ level0 \*arabic </w:instrText>
      </w:r>
      <w:r w:rsidRPr="006C1856">
        <w:fldChar w:fldCharType="separate"/>
      </w:r>
      <w:r w:rsidRPr="006C1856" w:rsidR="006C1856">
        <w:rPr>
          <w:noProof/>
        </w:rPr>
        <w:t>42</w:t>
      </w:r>
      <w:r w:rsidRPr="006C1856">
        <w:fldChar w:fldCharType="end"/>
      </w:r>
      <w:r w:rsidRPr="006C1856" w:rsidR="005C053D">
        <w:t>.  In view of the above</w:t>
      </w:r>
      <w:r w:rsidRPr="006C1856">
        <w:t xml:space="preserve">, the Court does not consider it necessary to examine </w:t>
      </w:r>
      <w:r w:rsidRPr="006C1856" w:rsidR="001A4196">
        <w:t>separately any other issues under</w:t>
      </w:r>
      <w:r w:rsidRPr="006C1856">
        <w:t xml:space="preserve"> Article 6 </w:t>
      </w:r>
      <w:r w:rsidRPr="006C1856">
        <w:rPr>
          <w:rFonts w:cstheme="minorHAnsi"/>
        </w:rPr>
        <w:t>§</w:t>
      </w:r>
      <w:r w:rsidRPr="006C1856">
        <w:t xml:space="preserve"> 1 of the Convention.</w:t>
      </w:r>
    </w:p>
    <w:p w:rsidRPr="006C1856" w:rsidR="00745680" w:rsidP="006C1856" w:rsidRDefault="00AE4A13">
      <w:pPr>
        <w:pStyle w:val="ECHRHeading1"/>
        <w:keepNext w:val="0"/>
        <w:keepLines w:val="0"/>
      </w:pPr>
      <w:r w:rsidRPr="006C1856">
        <w:t>III</w:t>
      </w:r>
      <w:r w:rsidRPr="006C1856" w:rsidR="00745680">
        <w:t>.  APPLICATION OF ARTICLE 41 OF THE CONVENTION</w:t>
      </w:r>
    </w:p>
    <w:p w:rsidRPr="006C1856" w:rsidR="00745680" w:rsidP="006C1856" w:rsidRDefault="00745680">
      <w:pPr>
        <w:pStyle w:val="ECHRPara"/>
      </w:pPr>
      <w:r w:rsidRPr="006C1856">
        <w:fldChar w:fldCharType="begin"/>
      </w:r>
      <w:r w:rsidRPr="006C1856">
        <w:instrText xml:space="preserve"> SEQ level0 \*arabic </w:instrText>
      </w:r>
      <w:r w:rsidRPr="006C1856">
        <w:fldChar w:fldCharType="separate"/>
      </w:r>
      <w:r w:rsidRPr="006C1856" w:rsidR="006C1856">
        <w:rPr>
          <w:noProof/>
        </w:rPr>
        <w:t>43</w:t>
      </w:r>
      <w:r w:rsidRPr="006C1856">
        <w:fldChar w:fldCharType="end"/>
      </w:r>
      <w:r w:rsidRPr="006C1856">
        <w:t>.  Article 41 of the Convention provides:</w:t>
      </w:r>
    </w:p>
    <w:p w:rsidRPr="006C1856" w:rsidR="00745680" w:rsidP="006C1856" w:rsidRDefault="00745680">
      <w:pPr>
        <w:pStyle w:val="ECHRParaQuote"/>
      </w:pPr>
      <w:r w:rsidRPr="006C185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C1856" w:rsidR="00745680" w:rsidP="006C1856" w:rsidRDefault="00745680">
      <w:pPr>
        <w:pStyle w:val="ECHRHeading2"/>
      </w:pPr>
      <w:r w:rsidRPr="006C1856">
        <w:t>A.  Damage</w:t>
      </w:r>
    </w:p>
    <w:p w:rsidRPr="006C1856" w:rsidR="00745680" w:rsidP="006C1856" w:rsidRDefault="00745680">
      <w:pPr>
        <w:pStyle w:val="ECHRPara"/>
        <w:keepNext/>
        <w:keepLines/>
      </w:pPr>
      <w:r w:rsidRPr="006C1856">
        <w:fldChar w:fldCharType="begin"/>
      </w:r>
      <w:r w:rsidRPr="006C1856">
        <w:instrText xml:space="preserve"> SEQ level0 \*arabic </w:instrText>
      </w:r>
      <w:r w:rsidRPr="006C1856">
        <w:fldChar w:fldCharType="separate"/>
      </w:r>
      <w:r w:rsidRPr="006C1856" w:rsidR="006C1856">
        <w:rPr>
          <w:noProof/>
        </w:rPr>
        <w:t>44</w:t>
      </w:r>
      <w:r w:rsidRPr="006C1856">
        <w:fldChar w:fldCharType="end"/>
      </w:r>
      <w:r w:rsidRPr="006C1856">
        <w:t>.  The applicants claimed 10,000 euros (EUR) each in respect of non</w:t>
      </w:r>
      <w:r w:rsidRPr="006C1856" w:rsidR="0001168B">
        <w:noBreakHyphen/>
      </w:r>
      <w:r w:rsidRPr="006C1856">
        <w:t>pecuniary damage.</w:t>
      </w:r>
    </w:p>
    <w:p w:rsidRPr="006C1856" w:rsidR="00745680" w:rsidP="006C1856" w:rsidRDefault="00745680">
      <w:pPr>
        <w:pStyle w:val="ECHRPara"/>
        <w:keepNext/>
        <w:keepLines/>
      </w:pPr>
      <w:r w:rsidRPr="006C1856">
        <w:fldChar w:fldCharType="begin"/>
      </w:r>
      <w:r w:rsidRPr="006C1856">
        <w:instrText xml:space="preserve"> SEQ level0 \*arabic </w:instrText>
      </w:r>
      <w:r w:rsidRPr="006C1856">
        <w:fldChar w:fldCharType="separate"/>
      </w:r>
      <w:r w:rsidRPr="006C1856" w:rsidR="006C1856">
        <w:rPr>
          <w:noProof/>
        </w:rPr>
        <w:t>45</w:t>
      </w:r>
      <w:r w:rsidRPr="006C1856">
        <w:fldChar w:fldCharType="end"/>
      </w:r>
      <w:r w:rsidRPr="006C1856">
        <w:t>.  The Governments asked the Court to dismiss the applicants</w:t>
      </w:r>
      <w:r w:rsidRPr="006C1856" w:rsidR="006C1856">
        <w:t>’</w:t>
      </w:r>
      <w:r w:rsidRPr="006C1856">
        <w:t xml:space="preserve"> claims.</w:t>
      </w:r>
    </w:p>
    <w:p w:rsidRPr="006C1856" w:rsidR="00745680" w:rsidP="006C1856" w:rsidRDefault="00745680">
      <w:pPr>
        <w:pStyle w:val="ECHRPara"/>
        <w:keepNext/>
        <w:keepLines/>
      </w:pPr>
      <w:r w:rsidRPr="006C1856">
        <w:fldChar w:fldCharType="begin"/>
      </w:r>
      <w:r w:rsidRPr="006C1856">
        <w:instrText xml:space="preserve"> SEQ level0 \*arabic </w:instrText>
      </w:r>
      <w:r w:rsidRPr="006C1856">
        <w:fldChar w:fldCharType="separate"/>
      </w:r>
      <w:r w:rsidRPr="006C1856" w:rsidR="006C1856">
        <w:rPr>
          <w:noProof/>
        </w:rPr>
        <w:t>46</w:t>
      </w:r>
      <w:r w:rsidRPr="006C1856">
        <w:fldChar w:fldCharType="end"/>
      </w:r>
      <w:r w:rsidRPr="006C1856">
        <w:t>.  The Court has not found any violation of the Convention by Moldova in the present case. Accordingly, no award of compensation is to be made with regard to this respondent State.</w:t>
      </w:r>
    </w:p>
    <w:p w:rsidRPr="006C1856" w:rsidR="00745680" w:rsidP="006C1856" w:rsidRDefault="00745680">
      <w:pPr>
        <w:pStyle w:val="ECHRPara"/>
      </w:pPr>
      <w:r w:rsidRPr="006C1856">
        <w:fldChar w:fldCharType="begin"/>
      </w:r>
      <w:r w:rsidRPr="006C1856">
        <w:instrText xml:space="preserve"> SEQ level0 \*arabic </w:instrText>
      </w:r>
      <w:r w:rsidRPr="006C1856">
        <w:fldChar w:fldCharType="separate"/>
      </w:r>
      <w:r w:rsidRPr="006C1856" w:rsidR="006C1856">
        <w:rPr>
          <w:noProof/>
        </w:rPr>
        <w:t>47</w:t>
      </w:r>
      <w:r w:rsidRPr="006C1856">
        <w:fldChar w:fldCharType="end"/>
      </w:r>
      <w:r w:rsidRPr="006C1856">
        <w:t>.  Having</w:t>
      </w:r>
      <w:r w:rsidRPr="006C1856" w:rsidR="00E31159">
        <w:t xml:space="preserve"> regard to its finding of a violation of the applicant</w:t>
      </w:r>
      <w:r w:rsidRPr="006C1856" w:rsidR="006C1856">
        <w:t>’</w:t>
      </w:r>
      <w:r w:rsidRPr="006C1856" w:rsidR="00E31159">
        <w:t>s rights</w:t>
      </w:r>
      <w:r w:rsidRPr="006C1856">
        <w:t xml:space="preserve"> by th</w:t>
      </w:r>
      <w:r w:rsidRPr="006C1856" w:rsidR="00E31159">
        <w:t>e Russian Federation</w:t>
      </w:r>
      <w:r w:rsidRPr="006C1856">
        <w:t xml:space="preserve">, the Court considers </w:t>
      </w:r>
      <w:r w:rsidRPr="006C1856" w:rsidR="00E31159">
        <w:t>that an award in respect of non</w:t>
      </w:r>
      <w:r w:rsidRPr="006C1856" w:rsidR="00E31159">
        <w:noBreakHyphen/>
      </w:r>
      <w:r w:rsidRPr="006C1856">
        <w:t>pecuniary damage is justified in this case. Making its assessment on an equitable basis, the Court awards EUR </w:t>
      </w:r>
      <w:r w:rsidRPr="006C1856" w:rsidR="009C5EB2">
        <w:t>6,000</w:t>
      </w:r>
      <w:r w:rsidRPr="006C1856">
        <w:t xml:space="preserve"> to each applicant.</w:t>
      </w:r>
    </w:p>
    <w:p w:rsidRPr="006C1856" w:rsidR="00745680" w:rsidP="006C1856" w:rsidRDefault="00745680">
      <w:pPr>
        <w:pStyle w:val="ECHRHeading2"/>
      </w:pPr>
      <w:r w:rsidRPr="006C1856">
        <w:t>B.  Costs and expenses</w:t>
      </w:r>
    </w:p>
    <w:p w:rsidRPr="006C1856" w:rsidR="00745680" w:rsidP="006C1856" w:rsidRDefault="00745680">
      <w:pPr>
        <w:pStyle w:val="ECHRPara"/>
      </w:pPr>
      <w:r w:rsidRPr="006C1856">
        <w:fldChar w:fldCharType="begin"/>
      </w:r>
      <w:r w:rsidRPr="006C1856">
        <w:instrText xml:space="preserve"> SEQ level0 \*arabic </w:instrText>
      </w:r>
      <w:r w:rsidRPr="006C1856">
        <w:fldChar w:fldCharType="separate"/>
      </w:r>
      <w:r w:rsidRPr="006C1856" w:rsidR="006C1856">
        <w:rPr>
          <w:noProof/>
        </w:rPr>
        <w:t>48</w:t>
      </w:r>
      <w:r w:rsidRPr="006C1856">
        <w:fldChar w:fldCharType="end"/>
      </w:r>
      <w:r w:rsidRPr="006C1856">
        <w:t xml:space="preserve">.  The applicants also claimed EUR </w:t>
      </w:r>
      <w:r w:rsidRPr="006C1856" w:rsidR="009C5EB2">
        <w:t>4</w:t>
      </w:r>
      <w:r w:rsidRPr="006C1856">
        <w:t>,0</w:t>
      </w:r>
      <w:r w:rsidRPr="006C1856" w:rsidR="009C5EB2">
        <w:t>80</w:t>
      </w:r>
      <w:r w:rsidRPr="006C1856">
        <w:t xml:space="preserve"> for costs and expenses.</w:t>
      </w:r>
    </w:p>
    <w:p w:rsidRPr="006C1856" w:rsidR="00745680" w:rsidP="006C1856" w:rsidRDefault="00745680">
      <w:pPr>
        <w:pStyle w:val="ECHRPara"/>
      </w:pPr>
      <w:r w:rsidRPr="006C1856">
        <w:fldChar w:fldCharType="begin"/>
      </w:r>
      <w:r w:rsidRPr="006C1856">
        <w:instrText xml:space="preserve"> SEQ level0 \*arabic </w:instrText>
      </w:r>
      <w:r w:rsidRPr="006C1856">
        <w:fldChar w:fldCharType="separate"/>
      </w:r>
      <w:r w:rsidRPr="006C1856" w:rsidR="006C1856">
        <w:rPr>
          <w:noProof/>
        </w:rPr>
        <w:t>49</w:t>
      </w:r>
      <w:r w:rsidRPr="006C1856">
        <w:fldChar w:fldCharType="end"/>
      </w:r>
      <w:r w:rsidRPr="006C1856">
        <w:t>.  The respondent Governments asked the Court to dismiss the applicants</w:t>
      </w:r>
      <w:r w:rsidRPr="006C1856" w:rsidR="006C1856">
        <w:t>’</w:t>
      </w:r>
      <w:r w:rsidRPr="006C1856">
        <w:t xml:space="preserve"> claims.</w:t>
      </w:r>
    </w:p>
    <w:p w:rsidRPr="006C1856" w:rsidR="00745680" w:rsidP="006C1856" w:rsidRDefault="00745680">
      <w:pPr>
        <w:pStyle w:val="ECHRPara"/>
      </w:pPr>
      <w:r w:rsidRPr="006C1856">
        <w:fldChar w:fldCharType="begin"/>
      </w:r>
      <w:r w:rsidRPr="006C1856">
        <w:instrText xml:space="preserve"> SEQ level0 \*arabic </w:instrText>
      </w:r>
      <w:r w:rsidRPr="006C1856">
        <w:fldChar w:fldCharType="separate"/>
      </w:r>
      <w:r w:rsidRPr="006C1856" w:rsidR="006C1856">
        <w:rPr>
          <w:noProof/>
        </w:rPr>
        <w:t>50</w:t>
      </w:r>
      <w:r w:rsidRPr="006C1856">
        <w:rPr>
          <w:noProof/>
        </w:rPr>
        <w:fldChar w:fldCharType="end"/>
      </w:r>
      <w:r w:rsidRPr="006C1856">
        <w:t>.  The Court notes that it has found that Moldova</w:t>
      </w:r>
      <w:r w:rsidRPr="006C1856" w:rsidR="001A4196">
        <w:t>, having</w:t>
      </w:r>
      <w:r w:rsidRPr="006C1856">
        <w:t xml:space="preserve"> </w:t>
      </w:r>
      <w:r w:rsidRPr="006C1856" w:rsidR="00E31159">
        <w:t>fulfil</w:t>
      </w:r>
      <w:r w:rsidRPr="006C1856" w:rsidR="001A4196">
        <w:t>led</w:t>
      </w:r>
      <w:r w:rsidRPr="006C1856">
        <w:t xml:space="preserve"> its positive obligations</w:t>
      </w:r>
      <w:r w:rsidRPr="006C1856" w:rsidR="001A4196">
        <w:t>,</w:t>
      </w:r>
      <w:r w:rsidRPr="006C1856" w:rsidR="009C5EB2">
        <w:t xml:space="preserve"> </w:t>
      </w:r>
      <w:r w:rsidRPr="006C1856">
        <w:t>was</w:t>
      </w:r>
      <w:r w:rsidRPr="006C1856" w:rsidR="009C5EB2">
        <w:t xml:space="preserve"> </w:t>
      </w:r>
      <w:r w:rsidRPr="006C1856">
        <w:t xml:space="preserve">not responsible for </w:t>
      </w:r>
      <w:r w:rsidRPr="006C1856" w:rsidR="009C5EB2">
        <w:t>a</w:t>
      </w:r>
      <w:r w:rsidRPr="006C1856" w:rsidR="001A4196">
        <w:t>ny</w:t>
      </w:r>
      <w:r w:rsidRPr="006C1856" w:rsidR="009C5EB2">
        <w:t xml:space="preserve"> </w:t>
      </w:r>
      <w:r w:rsidRPr="006C1856">
        <w:t>violation of the Convention in the present case. Accordingly, no award of compensation for costs and expenses is to be made with regard to this respondent State.</w:t>
      </w:r>
    </w:p>
    <w:p w:rsidRPr="006C1856" w:rsidR="00745680" w:rsidP="006C1856" w:rsidRDefault="00745680">
      <w:pPr>
        <w:pStyle w:val="ECHRPara"/>
      </w:pPr>
      <w:r w:rsidRPr="006C1856">
        <w:rPr>
          <w:noProof/>
        </w:rPr>
        <w:fldChar w:fldCharType="begin"/>
      </w:r>
      <w:r w:rsidRPr="006C1856">
        <w:rPr>
          <w:noProof/>
        </w:rPr>
        <w:instrText xml:space="preserve"> SEQ level0 \*arabic </w:instrText>
      </w:r>
      <w:r w:rsidRPr="006C1856">
        <w:rPr>
          <w:noProof/>
        </w:rPr>
        <w:fldChar w:fldCharType="separate"/>
      </w:r>
      <w:r w:rsidRPr="006C1856" w:rsidR="006C1856">
        <w:rPr>
          <w:noProof/>
        </w:rPr>
        <w:t>51</w:t>
      </w:r>
      <w:r w:rsidRPr="006C1856">
        <w:rPr>
          <w:noProof/>
        </w:rPr>
        <w:fldChar w:fldCharType="end"/>
      </w:r>
      <w:r w:rsidRPr="006C1856">
        <w:rPr>
          <w:noProof/>
        </w:rPr>
        <w:t>.  </w:t>
      </w:r>
      <w:r w:rsidRPr="006C1856">
        <w:t xml:space="preserve">The Court reiterates that in order for costs and expenses to be included in an award under Article 41 of the Convention, it must be established that they were actually and necessarily incurred and were reasonable as to quantum (see, for example, </w:t>
      </w:r>
      <w:r w:rsidRPr="006C1856">
        <w:rPr>
          <w:i/>
          <w:szCs w:val="24"/>
        </w:rPr>
        <w:t>Mozer</w:t>
      </w:r>
      <w:r w:rsidRPr="006C1856">
        <w:rPr>
          <w:szCs w:val="24"/>
        </w:rPr>
        <w:t xml:space="preserve">, cited above, </w:t>
      </w:r>
      <w:r w:rsidRPr="006C1856">
        <w:rPr>
          <w:rFonts w:cstheme="minorHAnsi"/>
          <w:szCs w:val="24"/>
        </w:rPr>
        <w:t>§</w:t>
      </w:r>
      <w:r w:rsidRPr="006C1856">
        <w:rPr>
          <w:szCs w:val="24"/>
        </w:rPr>
        <w:t xml:space="preserve"> 240</w:t>
      </w:r>
      <w:r w:rsidRPr="006C1856">
        <w:t>). Having regard to all the relevant factors and to Rule 60 § 2 of the Rules of Court, the Court awards the entire amount claimed for costs and expenses, to be paid by the Russian Federation.</w:t>
      </w:r>
    </w:p>
    <w:p w:rsidRPr="006C1856" w:rsidR="00745680" w:rsidP="006C1856" w:rsidRDefault="00745680">
      <w:pPr>
        <w:pStyle w:val="ECHRHeading2"/>
      </w:pPr>
      <w:r w:rsidRPr="006C1856">
        <w:t>C.  Default interest</w:t>
      </w:r>
    </w:p>
    <w:p w:rsidRPr="006C1856" w:rsidR="00D420F3" w:rsidP="006C1856" w:rsidRDefault="00C10F75">
      <w:pPr>
        <w:pStyle w:val="ECHRPara"/>
      </w:pPr>
      <w:r w:rsidRPr="006C1856">
        <w:fldChar w:fldCharType="begin"/>
      </w:r>
      <w:r w:rsidRPr="006C1856">
        <w:instrText xml:space="preserve"> SEQ level0 \*arabic </w:instrText>
      </w:r>
      <w:r w:rsidRPr="006C1856">
        <w:fldChar w:fldCharType="separate"/>
      </w:r>
      <w:r w:rsidRPr="006C1856" w:rsidR="006C1856">
        <w:rPr>
          <w:noProof/>
        </w:rPr>
        <w:t>52</w:t>
      </w:r>
      <w:r w:rsidRPr="006C1856">
        <w:fldChar w:fldCharType="end"/>
      </w:r>
      <w:r w:rsidRPr="006C1856">
        <w:t>.  </w:t>
      </w:r>
      <w:r w:rsidRPr="006C1856" w:rsidR="00745680">
        <w:t>The Court considers it appropriate that the default interest rate should be based on the marginal lending rate of the European Central Bank, to which should be added three percentage points.</w:t>
      </w:r>
    </w:p>
    <w:p w:rsidRPr="006C1856" w:rsidR="009C5EB2" w:rsidP="006C1856" w:rsidRDefault="009C5EB2">
      <w:pPr>
        <w:pStyle w:val="ECHRTitle1"/>
        <w:spacing w:before="600"/>
      </w:pPr>
      <w:r w:rsidRPr="006C1856">
        <w:t>FOR THESE REASONS, THE COURT</w:t>
      </w:r>
      <w:r w:rsidRPr="006C1856" w:rsidR="00DF1E58">
        <w:t>, UNANIMOUSLY,</w:t>
      </w:r>
    </w:p>
    <w:p w:rsidRPr="006C1856" w:rsidR="009C5EB2" w:rsidP="006C1856" w:rsidRDefault="009C5EB2">
      <w:pPr>
        <w:pStyle w:val="JuList"/>
      </w:pPr>
      <w:r w:rsidRPr="006C1856">
        <w:t>1.  </w:t>
      </w:r>
      <w:r w:rsidRPr="006C1856">
        <w:rPr>
          <w:i/>
        </w:rPr>
        <w:t>Declares</w:t>
      </w:r>
      <w:r w:rsidRPr="006C1856">
        <w:t xml:space="preserve"> the application admissible in respect of the Republic of Moldova;</w:t>
      </w:r>
    </w:p>
    <w:p w:rsidRPr="006C1856" w:rsidR="009C5EB2" w:rsidP="006C1856" w:rsidRDefault="009C5EB2">
      <w:pPr>
        <w:pStyle w:val="JuList"/>
      </w:pPr>
    </w:p>
    <w:p w:rsidRPr="006C1856" w:rsidR="009C5EB2" w:rsidP="006C1856" w:rsidRDefault="00C10F75">
      <w:pPr>
        <w:pStyle w:val="JuList"/>
      </w:pPr>
      <w:r w:rsidRPr="006C1856">
        <w:t>2.  </w:t>
      </w:r>
      <w:r w:rsidRPr="006C1856" w:rsidR="009C5EB2">
        <w:rPr>
          <w:i/>
        </w:rPr>
        <w:t>Declares</w:t>
      </w:r>
      <w:r w:rsidRPr="006C1856" w:rsidR="009C5EB2">
        <w:t xml:space="preserve"> the application admissible in respect of the Russian Federation;</w:t>
      </w:r>
    </w:p>
    <w:p w:rsidRPr="006C1856" w:rsidR="009C5EB2" w:rsidP="006C1856" w:rsidRDefault="009C5EB2">
      <w:pPr>
        <w:pStyle w:val="JuList"/>
      </w:pPr>
    </w:p>
    <w:p w:rsidRPr="006C1856" w:rsidR="009C5EB2" w:rsidP="006C1856" w:rsidRDefault="00454C3F">
      <w:pPr>
        <w:pStyle w:val="JuList"/>
      </w:pPr>
      <w:r w:rsidRPr="006C1856">
        <w:t>3</w:t>
      </w:r>
      <w:r w:rsidRPr="006C1856" w:rsidR="009C5EB2">
        <w:t>.  </w:t>
      </w:r>
      <w:r w:rsidRPr="006C1856" w:rsidR="009C5EB2">
        <w:rPr>
          <w:i/>
        </w:rPr>
        <w:t>Holds</w:t>
      </w:r>
      <w:r w:rsidRPr="006C1856" w:rsidR="009C5EB2">
        <w:t xml:space="preserve"> that there has been no violation of Article 6 </w:t>
      </w:r>
      <w:r w:rsidRPr="006C1856" w:rsidR="009C5EB2">
        <w:rPr>
          <w:rFonts w:cstheme="minorHAnsi"/>
        </w:rPr>
        <w:t>§</w:t>
      </w:r>
      <w:r w:rsidRPr="006C1856" w:rsidR="009C5EB2">
        <w:t xml:space="preserve"> 1 of the Convention by the Republic of Moldova;</w:t>
      </w:r>
    </w:p>
    <w:p w:rsidRPr="006C1856" w:rsidR="009C5EB2" w:rsidP="006C1856" w:rsidRDefault="009C5EB2">
      <w:pPr>
        <w:pStyle w:val="JuList"/>
      </w:pPr>
    </w:p>
    <w:p w:rsidRPr="006C1856" w:rsidR="009C5EB2" w:rsidP="006C1856" w:rsidRDefault="00454C3F">
      <w:pPr>
        <w:pStyle w:val="JuList"/>
      </w:pPr>
      <w:r w:rsidRPr="006C1856">
        <w:t>4</w:t>
      </w:r>
      <w:r w:rsidRPr="006C1856" w:rsidR="009C5EB2">
        <w:t>.  </w:t>
      </w:r>
      <w:r w:rsidRPr="006C1856" w:rsidR="009C5EB2">
        <w:rPr>
          <w:i/>
        </w:rPr>
        <w:t>Holds</w:t>
      </w:r>
      <w:r w:rsidRPr="006C1856" w:rsidR="009C5EB2">
        <w:t xml:space="preserve"> that there has been a violation of Article 6 </w:t>
      </w:r>
      <w:r w:rsidRPr="006C1856" w:rsidR="009C5EB2">
        <w:rPr>
          <w:rFonts w:cstheme="minorHAnsi"/>
        </w:rPr>
        <w:t>§</w:t>
      </w:r>
      <w:r w:rsidRPr="006C1856" w:rsidR="009C5EB2">
        <w:t xml:space="preserve"> 1 of the Convention by the Russian Federation;</w:t>
      </w:r>
    </w:p>
    <w:p w:rsidRPr="006C1856" w:rsidR="009C5EB2" w:rsidP="006C1856" w:rsidRDefault="009C5EB2">
      <w:pPr>
        <w:pStyle w:val="JuList"/>
      </w:pPr>
    </w:p>
    <w:p w:rsidRPr="006C1856" w:rsidR="00E80FB8" w:rsidP="006C1856" w:rsidRDefault="00454C3F">
      <w:pPr>
        <w:pStyle w:val="JuList"/>
      </w:pPr>
      <w:r w:rsidRPr="006C1856">
        <w:t>5</w:t>
      </w:r>
      <w:r w:rsidRPr="006C1856" w:rsidR="009C5EB2">
        <w:t>.  </w:t>
      </w:r>
      <w:r w:rsidRPr="006C1856" w:rsidR="009C5EB2">
        <w:rPr>
          <w:i/>
        </w:rPr>
        <w:t>Holds</w:t>
      </w:r>
      <w:r w:rsidRPr="006C1856" w:rsidR="009C5EB2">
        <w:t>,</w:t>
      </w:r>
    </w:p>
    <w:p w:rsidRPr="006C1856" w:rsidR="009C5EB2" w:rsidP="006C1856" w:rsidRDefault="009C5EB2">
      <w:pPr>
        <w:pStyle w:val="JuLista"/>
      </w:pPr>
      <w:r w:rsidRPr="006C1856">
        <w:t>(a)  that the Russian Federation is to pay the applicants, within three months, the following amounts:</w:t>
      </w:r>
    </w:p>
    <w:p w:rsidRPr="006C1856" w:rsidR="009C5EB2" w:rsidP="006C1856" w:rsidRDefault="009C5EB2">
      <w:pPr>
        <w:pStyle w:val="JuListi"/>
      </w:pPr>
      <w:r w:rsidRPr="006C1856">
        <w:t>(i)  EUR 6,000 (six thousand euros), plus any tax that may be chargeable, in respect of non-pecuniary damage to Mr Canter;</w:t>
      </w:r>
    </w:p>
    <w:p w:rsidRPr="006C1856" w:rsidR="009C5EB2" w:rsidP="006C1856" w:rsidRDefault="00C10F75">
      <w:pPr>
        <w:pStyle w:val="JuListi"/>
      </w:pPr>
      <w:r w:rsidRPr="006C1856">
        <w:t>(ii)  </w:t>
      </w:r>
      <w:r w:rsidRPr="006C1856" w:rsidR="009C5EB2">
        <w:t>EUR 6,000 (six thousand euros), plus any tax that may be chargeable, in respect of non-pecuniary damage to Mr Magaleas;</w:t>
      </w:r>
    </w:p>
    <w:p w:rsidRPr="006C1856" w:rsidR="009C5EB2" w:rsidP="006C1856" w:rsidRDefault="009C5EB2">
      <w:pPr>
        <w:pStyle w:val="JuListi"/>
      </w:pPr>
      <w:r w:rsidRPr="006C1856">
        <w:t>(iii)  EUR 4,080 (four thousand and eighty euros), plus any tax that may be chargeable to the applicants, in respect of costs and expenses.</w:t>
      </w:r>
    </w:p>
    <w:p w:rsidRPr="006C1856" w:rsidR="009C5EB2" w:rsidP="006C1856" w:rsidRDefault="009C5EB2">
      <w:pPr>
        <w:pStyle w:val="JuLista"/>
        <w:ind w:left="284" w:firstLine="62"/>
      </w:pPr>
      <w:r w:rsidRPr="006C1856">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6C1856" w:rsidR="003C00C7" w:rsidP="006C1856" w:rsidRDefault="003C00C7">
      <w:pPr>
        <w:pStyle w:val="JuList"/>
        <w:keepNext/>
        <w:keepLines/>
      </w:pPr>
    </w:p>
    <w:p w:rsidRPr="006C1856" w:rsidR="009C5EB2" w:rsidP="006C1856" w:rsidRDefault="00454C3F">
      <w:pPr>
        <w:pStyle w:val="JuList"/>
        <w:keepNext/>
        <w:keepLines/>
      </w:pPr>
      <w:r w:rsidRPr="006C1856">
        <w:t>6</w:t>
      </w:r>
      <w:r w:rsidRPr="006C1856" w:rsidR="009C5EB2">
        <w:t>.  </w:t>
      </w:r>
      <w:r w:rsidRPr="006C1856" w:rsidR="009C5EB2">
        <w:rPr>
          <w:i/>
        </w:rPr>
        <w:t>Dismisses</w:t>
      </w:r>
      <w:r w:rsidRPr="006C1856" w:rsidR="009C5EB2">
        <w:t>, the remainder of the applicants</w:t>
      </w:r>
      <w:r w:rsidRPr="006C1856" w:rsidR="006C1856">
        <w:t>’</w:t>
      </w:r>
      <w:r w:rsidRPr="006C1856" w:rsidR="009C5EB2">
        <w:t xml:space="preserve"> claims for just satisfaction.</w:t>
      </w:r>
    </w:p>
    <w:p w:rsidRPr="006C1856" w:rsidR="009C5EB2" w:rsidP="006C1856" w:rsidRDefault="009C5EB2">
      <w:pPr>
        <w:pStyle w:val="JuList"/>
        <w:keepNext/>
        <w:keepLines/>
      </w:pPr>
    </w:p>
    <w:p w:rsidRPr="006C1856" w:rsidR="009C5EB2" w:rsidP="006C1856" w:rsidRDefault="009C5EB2">
      <w:pPr>
        <w:pStyle w:val="JuList"/>
        <w:keepNext/>
        <w:keepLines/>
        <w:ind w:left="0" w:firstLine="340"/>
      </w:pPr>
      <w:r w:rsidRPr="006C1856">
        <w:t xml:space="preserve">Done in English, and notified in writing on </w:t>
      </w:r>
      <w:r w:rsidRPr="006C1856" w:rsidR="00E80FB8">
        <w:t>18 June 2019</w:t>
      </w:r>
      <w:r w:rsidRPr="006C1856">
        <w:t>, pursuant to Rule 77 §§ 2 and 3 of the Rules of Court.</w:t>
      </w:r>
    </w:p>
    <w:p w:rsidRPr="006C1856" w:rsidR="00D420F3" w:rsidP="006C1856" w:rsidRDefault="009C5EB2">
      <w:pPr>
        <w:pStyle w:val="JuSigned"/>
        <w:keepNext/>
        <w:keepLines/>
        <w:spacing w:before="600"/>
      </w:pPr>
      <w:r w:rsidRPr="006C1856">
        <w:tab/>
      </w:r>
      <w:r w:rsidRPr="006C1856" w:rsidR="00454C3F">
        <w:t>Hasan Bakirci</w:t>
      </w:r>
      <w:r w:rsidRPr="006C1856">
        <w:tab/>
      </w:r>
      <w:r w:rsidRPr="006C1856" w:rsidR="00E80FB8">
        <w:t>Julia Laffranque</w:t>
      </w:r>
      <w:r w:rsidRPr="006C1856">
        <w:rPr>
          <w:szCs w:val="24"/>
        </w:rPr>
        <w:br/>
      </w:r>
      <w:r w:rsidRPr="006C1856">
        <w:tab/>
      </w:r>
      <w:r w:rsidRPr="006C1856" w:rsidR="00454C3F">
        <w:t xml:space="preserve">Deputy </w:t>
      </w:r>
      <w:r w:rsidRPr="006C1856">
        <w:rPr>
          <w:iCs/>
        </w:rPr>
        <w:t>Registrar</w:t>
      </w:r>
      <w:r w:rsidRPr="006C1856">
        <w:tab/>
        <w:t>President</w:t>
      </w:r>
    </w:p>
    <w:p w:rsidRPr="006C1856" w:rsidR="003C00C7" w:rsidP="006C1856" w:rsidRDefault="003C00C7">
      <w:pPr>
        <w:pStyle w:val="JuParaLast"/>
        <w:spacing w:before="0"/>
      </w:pPr>
    </w:p>
    <w:sectPr w:rsidRPr="006C1856" w:rsidR="003C00C7" w:rsidSect="00E80FB8">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C3E" w:rsidRDefault="004A1C3E">
      <w:r>
        <w:separator/>
      </w:r>
    </w:p>
  </w:endnote>
  <w:endnote w:type="continuationSeparator" w:id="0">
    <w:p w:rsidR="004A1C3E" w:rsidRDefault="004A1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C6D" w:rsidRDefault="00C74C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C6D" w:rsidRDefault="00C74C6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FB8" w:rsidRPr="00150BFA" w:rsidRDefault="00E80FB8" w:rsidP="0020718E">
    <w:pPr>
      <w:jc w:val="center"/>
    </w:pPr>
    <w:r>
      <w:rPr>
        <w:noProof/>
        <w:lang w:val="en-US" w:eastAsia="ja-JP"/>
      </w:rPr>
      <w:drawing>
        <wp:inline distT="0" distB="0" distL="0" distR="0" wp14:anchorId="7A2F5433" wp14:editId="04BE2D3B">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80FB8" w:rsidRDefault="00E80F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C3E" w:rsidRPr="003152BA" w:rsidRDefault="004A1C3E" w:rsidP="00D420F3">
      <w:r w:rsidRPr="003152BA">
        <w:separator/>
      </w:r>
    </w:p>
  </w:footnote>
  <w:footnote w:type="continuationSeparator" w:id="0">
    <w:p w:rsidR="004A1C3E" w:rsidRPr="003152BA" w:rsidRDefault="004A1C3E"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C6D" w:rsidRDefault="00C74C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1C3E" w:rsidRPr="00E80FB8" w:rsidRDefault="004A1C3E" w:rsidP="00E80FB8">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FB8" w:rsidRPr="00A45145" w:rsidRDefault="00E80FB8" w:rsidP="00A45145">
    <w:pPr>
      <w:jc w:val="center"/>
    </w:pPr>
    <w:r>
      <w:rPr>
        <w:noProof/>
        <w:lang w:val="en-US" w:eastAsia="ja-JP"/>
      </w:rPr>
      <w:drawing>
        <wp:inline distT="0" distB="0" distL="0" distR="0" wp14:anchorId="64CD7500" wp14:editId="390E71C5">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80FB8" w:rsidRDefault="00E80FB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FB8" w:rsidRPr="003152BA" w:rsidRDefault="00E80FB8"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6C1856">
      <w:rPr>
        <w:rStyle w:val="PageNumber"/>
        <w:noProof/>
        <w:szCs w:val="18"/>
      </w:rPr>
      <w:t>8</w:t>
    </w:r>
    <w:r>
      <w:rPr>
        <w:rStyle w:val="PageNumber"/>
        <w:szCs w:val="18"/>
      </w:rPr>
      <w:fldChar w:fldCharType="end"/>
    </w:r>
    <w:r w:rsidRPr="003152BA">
      <w:tab/>
    </w:r>
    <w:r>
      <w:t>CANTER AND MAGALEAS v. THE REPUBLIC OF MOLDOVA AND RUSSIA</w:t>
    </w:r>
    <w:r w:rsidRPr="003152BA">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FB8" w:rsidRPr="003152BA" w:rsidRDefault="00E80FB8" w:rsidP="00D420F3">
    <w:pPr>
      <w:pStyle w:val="ECHRHeader"/>
    </w:pPr>
    <w:r w:rsidRPr="003152BA">
      <w:tab/>
    </w:r>
    <w:r>
      <w:t>CANTER AND MAGALEAS v. THE REPUBLIC OF MOLDOVA AND RUSSIA</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6C1856">
      <w:rPr>
        <w:rStyle w:val="PageNumber"/>
        <w:noProof/>
        <w:szCs w:val="18"/>
      </w:rPr>
      <w:t>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B42C0"/>
    <w:rsid w:val="00010440"/>
    <w:rsid w:val="0001168B"/>
    <w:rsid w:val="001227D7"/>
    <w:rsid w:val="001975F0"/>
    <w:rsid w:val="001A31A6"/>
    <w:rsid w:val="001A4196"/>
    <w:rsid w:val="001D53B4"/>
    <w:rsid w:val="001D7B02"/>
    <w:rsid w:val="002129C4"/>
    <w:rsid w:val="00280FD7"/>
    <w:rsid w:val="002842EC"/>
    <w:rsid w:val="0031280F"/>
    <w:rsid w:val="00361851"/>
    <w:rsid w:val="003A4569"/>
    <w:rsid w:val="003C00C7"/>
    <w:rsid w:val="00454C3F"/>
    <w:rsid w:val="00464742"/>
    <w:rsid w:val="00487BF0"/>
    <w:rsid w:val="004A1C3E"/>
    <w:rsid w:val="004C31D8"/>
    <w:rsid w:val="004E1C3E"/>
    <w:rsid w:val="00501789"/>
    <w:rsid w:val="00507F5D"/>
    <w:rsid w:val="00531719"/>
    <w:rsid w:val="00563DED"/>
    <w:rsid w:val="005C053D"/>
    <w:rsid w:val="005D0FF7"/>
    <w:rsid w:val="005F6A88"/>
    <w:rsid w:val="00630F58"/>
    <w:rsid w:val="00636F2E"/>
    <w:rsid w:val="006C1856"/>
    <w:rsid w:val="006D5CE4"/>
    <w:rsid w:val="006E5708"/>
    <w:rsid w:val="00704D3E"/>
    <w:rsid w:val="00721E2B"/>
    <w:rsid w:val="00725156"/>
    <w:rsid w:val="007261E6"/>
    <w:rsid w:val="00727CFB"/>
    <w:rsid w:val="00734C5F"/>
    <w:rsid w:val="00745680"/>
    <w:rsid w:val="0077175D"/>
    <w:rsid w:val="00777DE2"/>
    <w:rsid w:val="007B14F8"/>
    <w:rsid w:val="0084588B"/>
    <w:rsid w:val="008756AE"/>
    <w:rsid w:val="008F6760"/>
    <w:rsid w:val="0099797F"/>
    <w:rsid w:val="009C5EB2"/>
    <w:rsid w:val="00A062F4"/>
    <w:rsid w:val="00A10344"/>
    <w:rsid w:val="00A923D9"/>
    <w:rsid w:val="00AC3529"/>
    <w:rsid w:val="00AE3812"/>
    <w:rsid w:val="00AE4A13"/>
    <w:rsid w:val="00BB6C7C"/>
    <w:rsid w:val="00BE185F"/>
    <w:rsid w:val="00BF1842"/>
    <w:rsid w:val="00C10F75"/>
    <w:rsid w:val="00C16B04"/>
    <w:rsid w:val="00C40F73"/>
    <w:rsid w:val="00C413D2"/>
    <w:rsid w:val="00C6189E"/>
    <w:rsid w:val="00C74C6D"/>
    <w:rsid w:val="00CB20C3"/>
    <w:rsid w:val="00CC3DE3"/>
    <w:rsid w:val="00CF56AC"/>
    <w:rsid w:val="00D15445"/>
    <w:rsid w:val="00D24A2B"/>
    <w:rsid w:val="00D420F3"/>
    <w:rsid w:val="00D82052"/>
    <w:rsid w:val="00DD27F3"/>
    <w:rsid w:val="00DD348E"/>
    <w:rsid w:val="00DF0A3F"/>
    <w:rsid w:val="00DF1E58"/>
    <w:rsid w:val="00E31159"/>
    <w:rsid w:val="00E80D02"/>
    <w:rsid w:val="00E80FB8"/>
    <w:rsid w:val="00E87134"/>
    <w:rsid w:val="00E87E9C"/>
    <w:rsid w:val="00EC1163"/>
    <w:rsid w:val="00EE4355"/>
    <w:rsid w:val="00F05087"/>
    <w:rsid w:val="00F11D8F"/>
    <w:rsid w:val="00F42261"/>
    <w:rsid w:val="00F62D54"/>
    <w:rsid w:val="00F900CC"/>
    <w:rsid w:val="00F949F6"/>
    <w:rsid w:val="00FA4F8F"/>
    <w:rsid w:val="00FB42C0"/>
    <w:rsid w:val="00FC49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74C6D"/>
    <w:pPr>
      <w:jc w:val="both"/>
    </w:pPr>
    <w:rPr>
      <w:rFonts w:eastAsiaTheme="minorEastAsia"/>
      <w:sz w:val="24"/>
      <w:lang w:val="en-GB"/>
    </w:rPr>
  </w:style>
  <w:style w:type="paragraph" w:styleId="Heading1">
    <w:name w:val="heading 1"/>
    <w:basedOn w:val="Normal"/>
    <w:next w:val="Normal"/>
    <w:link w:val="Heading1Char"/>
    <w:uiPriority w:val="99"/>
    <w:semiHidden/>
    <w:rsid w:val="00C74C6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74C6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74C6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74C6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74C6D"/>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74C6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74C6D"/>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74C6D"/>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74C6D"/>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74C6D"/>
    <w:rPr>
      <w:rFonts w:ascii="Tahoma" w:hAnsi="Tahoma" w:cs="Tahoma"/>
      <w:sz w:val="16"/>
      <w:szCs w:val="16"/>
    </w:rPr>
  </w:style>
  <w:style w:type="character" w:customStyle="1" w:styleId="BalloonTextChar">
    <w:name w:val="Balloon Text Char"/>
    <w:basedOn w:val="DefaultParagraphFont"/>
    <w:link w:val="BalloonText"/>
    <w:uiPriority w:val="99"/>
    <w:semiHidden/>
    <w:rsid w:val="00C74C6D"/>
    <w:rPr>
      <w:rFonts w:ascii="Tahoma" w:eastAsiaTheme="minorEastAsia" w:hAnsi="Tahoma" w:cs="Tahoma"/>
      <w:sz w:val="16"/>
      <w:szCs w:val="16"/>
      <w:lang w:val="en-GB"/>
    </w:rPr>
  </w:style>
  <w:style w:type="character" w:styleId="BookTitle">
    <w:name w:val="Book Title"/>
    <w:uiPriority w:val="99"/>
    <w:semiHidden/>
    <w:qFormat/>
    <w:rsid w:val="00C74C6D"/>
    <w:rPr>
      <w:i/>
      <w:iCs/>
      <w:smallCaps/>
      <w:spacing w:val="5"/>
    </w:rPr>
  </w:style>
  <w:style w:type="paragraph" w:customStyle="1" w:styleId="ECHRHeader">
    <w:name w:val="ECHR_Header"/>
    <w:aliases w:val="Ju_Header"/>
    <w:basedOn w:val="Header"/>
    <w:uiPriority w:val="4"/>
    <w:qFormat/>
    <w:rsid w:val="00C74C6D"/>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74C6D"/>
    <w:pPr>
      <w:jc w:val="left"/>
    </w:pPr>
    <w:rPr>
      <w:sz w:val="8"/>
    </w:rPr>
  </w:style>
  <w:style w:type="character" w:styleId="Strong">
    <w:name w:val="Strong"/>
    <w:uiPriority w:val="99"/>
    <w:semiHidden/>
    <w:qFormat/>
    <w:rsid w:val="00C74C6D"/>
    <w:rPr>
      <w:b/>
      <w:bCs/>
    </w:rPr>
  </w:style>
  <w:style w:type="paragraph" w:styleId="NoSpacing">
    <w:name w:val="No Spacing"/>
    <w:basedOn w:val="Normal"/>
    <w:link w:val="NoSpacingChar"/>
    <w:semiHidden/>
    <w:qFormat/>
    <w:rsid w:val="00C74C6D"/>
    <w:rPr>
      <w:sz w:val="22"/>
      <w:lang w:val="en-US"/>
    </w:rPr>
  </w:style>
  <w:style w:type="character" w:customStyle="1" w:styleId="NoSpacingChar">
    <w:name w:val="No Spacing Char"/>
    <w:basedOn w:val="DefaultParagraphFont"/>
    <w:link w:val="NoSpacing"/>
    <w:semiHidden/>
    <w:rsid w:val="00C74C6D"/>
    <w:rPr>
      <w:rFonts w:eastAsiaTheme="minorEastAsia"/>
    </w:rPr>
  </w:style>
  <w:style w:type="paragraph" w:customStyle="1" w:styleId="ECHRFooterLine">
    <w:name w:val="ECHR_Footer_Line"/>
    <w:aliases w:val="Footer_Line"/>
    <w:basedOn w:val="Normal"/>
    <w:next w:val="ECHRFooter"/>
    <w:uiPriority w:val="57"/>
    <w:semiHidden/>
    <w:rsid w:val="00C74C6D"/>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C74C6D"/>
    <w:pPr>
      <w:numPr>
        <w:numId w:val="24"/>
      </w:numPr>
      <w:jc w:val="left"/>
    </w:pPr>
    <w:rPr>
      <w:b/>
    </w:rPr>
  </w:style>
  <w:style w:type="paragraph" w:customStyle="1" w:styleId="DummyStyle">
    <w:name w:val="Dummy_Style"/>
    <w:basedOn w:val="Normal"/>
    <w:semiHidden/>
    <w:qFormat/>
    <w:rsid w:val="00C74C6D"/>
    <w:rPr>
      <w:color w:val="00B050"/>
    </w:rPr>
  </w:style>
  <w:style w:type="paragraph" w:customStyle="1" w:styleId="JuParaSub">
    <w:name w:val="Ju_Para_Sub"/>
    <w:basedOn w:val="ECHRPara"/>
    <w:uiPriority w:val="13"/>
    <w:qFormat/>
    <w:rsid w:val="00C74C6D"/>
    <w:pPr>
      <w:ind w:left="284"/>
    </w:pPr>
  </w:style>
  <w:style w:type="paragraph" w:customStyle="1" w:styleId="ECHRTitleCentre3">
    <w:name w:val="ECHR_Title_Centre_3"/>
    <w:aliases w:val="Ju_H_Article"/>
    <w:basedOn w:val="Normal"/>
    <w:next w:val="ECHRParaQuote"/>
    <w:uiPriority w:val="27"/>
    <w:qFormat/>
    <w:rsid w:val="00C74C6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74C6D"/>
    <w:pPr>
      <w:keepNext/>
      <w:keepLines/>
      <w:spacing w:after="240"/>
      <w:jc w:val="center"/>
      <w:outlineLvl w:val="0"/>
    </w:pPr>
    <w:rPr>
      <w:rFonts w:asciiTheme="majorHAnsi" w:hAnsiTheme="majorHAnsi"/>
      <w:sz w:val="28"/>
    </w:rPr>
  </w:style>
  <w:style w:type="paragraph" w:customStyle="1" w:styleId="OpiH1">
    <w:name w:val="Opi_H_1"/>
    <w:basedOn w:val="ECHRHeading2"/>
    <w:uiPriority w:val="42"/>
    <w:qFormat/>
    <w:rsid w:val="00C74C6D"/>
    <w:pPr>
      <w:ind w:left="635" w:hanging="357"/>
      <w:outlineLvl w:val="2"/>
    </w:pPr>
  </w:style>
  <w:style w:type="paragraph" w:customStyle="1" w:styleId="OpiHa">
    <w:name w:val="Opi_H_a"/>
    <w:basedOn w:val="ECHRHeading3"/>
    <w:uiPriority w:val="43"/>
    <w:qFormat/>
    <w:rsid w:val="00C74C6D"/>
    <w:pPr>
      <w:ind w:left="833" w:hanging="357"/>
      <w:outlineLvl w:val="3"/>
    </w:pPr>
    <w:rPr>
      <w:b/>
      <w:i w:val="0"/>
      <w:sz w:val="20"/>
    </w:rPr>
  </w:style>
  <w:style w:type="paragraph" w:customStyle="1" w:styleId="OpiHA0">
    <w:name w:val="Opi_H_A"/>
    <w:basedOn w:val="ECHRHeading1"/>
    <w:next w:val="OpiPara"/>
    <w:uiPriority w:val="41"/>
    <w:qFormat/>
    <w:rsid w:val="00C74C6D"/>
    <w:pPr>
      <w:tabs>
        <w:tab w:val="clear" w:pos="357"/>
      </w:tabs>
      <w:outlineLvl w:val="1"/>
    </w:pPr>
    <w:rPr>
      <w:b/>
    </w:rPr>
  </w:style>
  <w:style w:type="paragraph" w:customStyle="1" w:styleId="ECHRTitleCentre2">
    <w:name w:val="ECHR_Title_Centre_2"/>
    <w:aliases w:val="Dec_H_Case"/>
    <w:basedOn w:val="Normal"/>
    <w:next w:val="ECHRPara"/>
    <w:uiPriority w:val="8"/>
    <w:qFormat/>
    <w:rsid w:val="00C74C6D"/>
    <w:pPr>
      <w:spacing w:after="240"/>
      <w:jc w:val="center"/>
      <w:outlineLvl w:val="0"/>
    </w:pPr>
    <w:rPr>
      <w:rFonts w:asciiTheme="majorHAnsi" w:hAnsiTheme="majorHAnsi"/>
    </w:rPr>
  </w:style>
  <w:style w:type="paragraph" w:customStyle="1" w:styleId="JuTitle">
    <w:name w:val="Ju_Title"/>
    <w:basedOn w:val="Normal"/>
    <w:next w:val="ECHRPara"/>
    <w:uiPriority w:val="3"/>
    <w:semiHidden/>
    <w:qFormat/>
    <w:rsid w:val="00C74C6D"/>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C74C6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74C6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C74C6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74C6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74C6D"/>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74C6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74C6D"/>
    <w:pPr>
      <w:keepNext/>
      <w:keepLines/>
      <w:spacing w:before="240" w:after="120"/>
      <w:ind w:left="1236"/>
    </w:pPr>
    <w:rPr>
      <w:sz w:val="20"/>
      <w:lang w:val="en-GB"/>
    </w:rPr>
  </w:style>
  <w:style w:type="paragraph" w:customStyle="1" w:styleId="JuQuotSub">
    <w:name w:val="Ju_Quot_Sub"/>
    <w:basedOn w:val="ECHRParaQuote"/>
    <w:uiPriority w:val="15"/>
    <w:qFormat/>
    <w:rsid w:val="00C74C6D"/>
    <w:pPr>
      <w:ind w:left="567"/>
    </w:pPr>
  </w:style>
  <w:style w:type="paragraph" w:customStyle="1" w:styleId="JuInitialled">
    <w:name w:val="Ju_Initialled"/>
    <w:basedOn w:val="Normal"/>
    <w:uiPriority w:val="31"/>
    <w:qFormat/>
    <w:rsid w:val="00C74C6D"/>
    <w:pPr>
      <w:tabs>
        <w:tab w:val="center" w:pos="6407"/>
      </w:tabs>
      <w:spacing w:before="720"/>
      <w:jc w:val="right"/>
    </w:pPr>
  </w:style>
  <w:style w:type="paragraph" w:customStyle="1" w:styleId="OpiHi">
    <w:name w:val="Opi_H_i"/>
    <w:basedOn w:val="ECHRHeading4"/>
    <w:uiPriority w:val="44"/>
    <w:qFormat/>
    <w:rsid w:val="00C74C6D"/>
    <w:pPr>
      <w:ind w:left="1037" w:hanging="357"/>
      <w:outlineLvl w:val="4"/>
    </w:pPr>
    <w:rPr>
      <w:b w:val="0"/>
      <w:i/>
    </w:rPr>
  </w:style>
  <w:style w:type="paragraph" w:styleId="Header">
    <w:name w:val="header"/>
    <w:basedOn w:val="Normal"/>
    <w:link w:val="HeaderChar"/>
    <w:uiPriority w:val="57"/>
    <w:semiHidden/>
    <w:rsid w:val="00C74C6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74C6D"/>
    <w:rPr>
      <w:sz w:val="24"/>
      <w:lang w:val="en-GB"/>
    </w:rPr>
  </w:style>
  <w:style w:type="character" w:customStyle="1" w:styleId="Heading1Char">
    <w:name w:val="Heading 1 Char"/>
    <w:basedOn w:val="DefaultParagraphFont"/>
    <w:link w:val="Heading1"/>
    <w:uiPriority w:val="99"/>
    <w:semiHidden/>
    <w:rsid w:val="00C74C6D"/>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link w:val="JuHIRomanChar"/>
    <w:uiPriority w:val="19"/>
    <w:qFormat/>
    <w:rsid w:val="00C74C6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74C6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74C6D"/>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C74C6D"/>
    <w:rPr>
      <w:caps w:val="0"/>
      <w:smallCaps/>
    </w:rPr>
  </w:style>
  <w:style w:type="paragraph" w:customStyle="1" w:styleId="JuCase">
    <w:name w:val="Ju_Case"/>
    <w:basedOn w:val="Normal"/>
    <w:next w:val="ECHRPara"/>
    <w:uiPriority w:val="10"/>
    <w:rsid w:val="00C74C6D"/>
    <w:pPr>
      <w:ind w:firstLine="284"/>
    </w:pPr>
    <w:rPr>
      <w:b/>
    </w:rPr>
  </w:style>
  <w:style w:type="character" w:customStyle="1" w:styleId="Heading3Char">
    <w:name w:val="Heading 3 Char"/>
    <w:basedOn w:val="DefaultParagraphFont"/>
    <w:link w:val="Heading3"/>
    <w:uiPriority w:val="99"/>
    <w:semiHidden/>
    <w:rsid w:val="00C74C6D"/>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C74C6D"/>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C74C6D"/>
    <w:rPr>
      <w:rFonts w:asciiTheme="majorHAnsi" w:eastAsiaTheme="majorEastAsia" w:hAnsiTheme="majorHAnsi" w:cstheme="majorBidi"/>
      <w:b/>
      <w:bCs/>
      <w:color w:val="808080"/>
    </w:rPr>
  </w:style>
  <w:style w:type="character" w:styleId="SubtleEmphasis">
    <w:name w:val="Subtle Emphasis"/>
    <w:uiPriority w:val="99"/>
    <w:semiHidden/>
    <w:qFormat/>
    <w:rsid w:val="00C74C6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C74C6D"/>
    <w:pPr>
      <w:keepNext/>
      <w:keepLines/>
      <w:spacing w:before="720" w:after="240"/>
      <w:outlineLvl w:val="0"/>
    </w:pPr>
    <w:rPr>
      <w:rFonts w:asciiTheme="majorHAnsi" w:hAnsiTheme="majorHAnsi"/>
      <w:sz w:val="28"/>
    </w:rPr>
  </w:style>
  <w:style w:type="character" w:styleId="Emphasis">
    <w:name w:val="Emphasis"/>
    <w:uiPriority w:val="99"/>
    <w:semiHidden/>
    <w:qFormat/>
    <w:rsid w:val="00C74C6D"/>
    <w:rPr>
      <w:b/>
      <w:bCs/>
      <w:i/>
      <w:iCs/>
      <w:spacing w:val="10"/>
      <w:bdr w:val="none" w:sz="0" w:space="0" w:color="auto"/>
      <w:shd w:val="clear" w:color="auto" w:fill="auto"/>
    </w:rPr>
  </w:style>
  <w:style w:type="paragraph" w:styleId="Footer">
    <w:name w:val="footer"/>
    <w:basedOn w:val="Normal"/>
    <w:link w:val="FooterChar"/>
    <w:uiPriority w:val="57"/>
    <w:semiHidden/>
    <w:rsid w:val="00C74C6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74C6D"/>
    <w:rPr>
      <w:sz w:val="24"/>
      <w:lang w:val="en-GB"/>
    </w:rPr>
  </w:style>
  <w:style w:type="character" w:styleId="FootnoteReference">
    <w:name w:val="footnote reference"/>
    <w:basedOn w:val="DefaultParagraphFont"/>
    <w:uiPriority w:val="99"/>
    <w:semiHidden/>
    <w:rsid w:val="00C74C6D"/>
    <w:rPr>
      <w:vertAlign w:val="superscript"/>
    </w:rPr>
  </w:style>
  <w:style w:type="paragraph" w:styleId="FootnoteText">
    <w:name w:val="footnote text"/>
    <w:basedOn w:val="Normal"/>
    <w:link w:val="FootnoteTextChar"/>
    <w:uiPriority w:val="99"/>
    <w:semiHidden/>
    <w:rsid w:val="00C74C6D"/>
    <w:rPr>
      <w:sz w:val="20"/>
      <w:szCs w:val="20"/>
    </w:rPr>
  </w:style>
  <w:style w:type="character" w:customStyle="1" w:styleId="FootnoteTextChar">
    <w:name w:val="Footnote Text Char"/>
    <w:basedOn w:val="DefaultParagraphFont"/>
    <w:link w:val="FootnoteText"/>
    <w:uiPriority w:val="99"/>
    <w:semiHidden/>
    <w:rsid w:val="00C74C6D"/>
    <w:rPr>
      <w:rFonts w:eastAsiaTheme="minorEastAsia"/>
      <w:sz w:val="20"/>
      <w:szCs w:val="20"/>
      <w:lang w:val="en-GB"/>
    </w:rPr>
  </w:style>
  <w:style w:type="character" w:customStyle="1" w:styleId="Heading6Char">
    <w:name w:val="Heading 6 Char"/>
    <w:basedOn w:val="DefaultParagraphFont"/>
    <w:link w:val="Heading6"/>
    <w:uiPriority w:val="99"/>
    <w:semiHidden/>
    <w:rsid w:val="00C74C6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74C6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74C6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74C6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74C6D"/>
    <w:rPr>
      <w:color w:val="0072BC" w:themeColor="hyperlink"/>
      <w:u w:val="single"/>
    </w:rPr>
  </w:style>
  <w:style w:type="character" w:styleId="IntenseEmphasis">
    <w:name w:val="Intense Emphasis"/>
    <w:uiPriority w:val="99"/>
    <w:semiHidden/>
    <w:qFormat/>
    <w:rsid w:val="00C74C6D"/>
    <w:rPr>
      <w:b/>
      <w:bCs/>
    </w:rPr>
  </w:style>
  <w:style w:type="paragraph" w:styleId="IntenseQuote">
    <w:name w:val="Intense Quote"/>
    <w:basedOn w:val="Normal"/>
    <w:next w:val="Normal"/>
    <w:link w:val="IntenseQuoteChar"/>
    <w:uiPriority w:val="99"/>
    <w:semiHidden/>
    <w:qFormat/>
    <w:rsid w:val="00C74C6D"/>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74C6D"/>
    <w:rPr>
      <w:rFonts w:eastAsiaTheme="minorEastAsia"/>
      <w:b/>
      <w:bCs/>
      <w:i/>
      <w:iCs/>
      <w:lang w:bidi="en-US"/>
    </w:rPr>
  </w:style>
  <w:style w:type="character" w:styleId="IntenseReference">
    <w:name w:val="Intense Reference"/>
    <w:uiPriority w:val="99"/>
    <w:semiHidden/>
    <w:qFormat/>
    <w:rsid w:val="00C74C6D"/>
    <w:rPr>
      <w:smallCaps/>
      <w:spacing w:val="5"/>
      <w:u w:val="single"/>
    </w:rPr>
  </w:style>
  <w:style w:type="paragraph" w:styleId="ListParagraph">
    <w:name w:val="List Paragraph"/>
    <w:basedOn w:val="Normal"/>
    <w:uiPriority w:val="99"/>
    <w:semiHidden/>
    <w:qFormat/>
    <w:rsid w:val="00C74C6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74C6D"/>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74C6D"/>
    <w:rPr>
      <w:rFonts w:eastAsiaTheme="minorEastAsia"/>
      <w:i/>
      <w:iCs/>
      <w:lang w:bidi="en-US"/>
    </w:rPr>
  </w:style>
  <w:style w:type="character" w:styleId="SubtleReference">
    <w:name w:val="Subtle Reference"/>
    <w:uiPriority w:val="99"/>
    <w:semiHidden/>
    <w:qFormat/>
    <w:rsid w:val="00C74C6D"/>
    <w:rPr>
      <w:smallCaps/>
    </w:rPr>
  </w:style>
  <w:style w:type="table" w:styleId="TableGrid">
    <w:name w:val="Table Grid"/>
    <w:basedOn w:val="TableNormal"/>
    <w:uiPriority w:val="59"/>
    <w:semiHidden/>
    <w:rsid w:val="00C74C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74C6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74C6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74C6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74C6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74C6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74C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74C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C74C6D"/>
    <w:pPr>
      <w:spacing w:before="120" w:after="120"/>
      <w:ind w:left="425" w:firstLine="142"/>
    </w:pPr>
    <w:rPr>
      <w:sz w:val="20"/>
    </w:rPr>
  </w:style>
  <w:style w:type="paragraph" w:customStyle="1" w:styleId="ECHRPara">
    <w:name w:val="ECHR_Para"/>
    <w:aliases w:val="Ju_Para"/>
    <w:basedOn w:val="Normal"/>
    <w:link w:val="ECHRParaChar1"/>
    <w:uiPriority w:val="12"/>
    <w:qFormat/>
    <w:rsid w:val="00C74C6D"/>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74C6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C74C6D"/>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C74C6D"/>
    <w:pPr>
      <w:ind w:left="340" w:hanging="340"/>
    </w:pPr>
  </w:style>
  <w:style w:type="paragraph" w:customStyle="1" w:styleId="JuSigned">
    <w:name w:val="Ju_Signed"/>
    <w:basedOn w:val="Normal"/>
    <w:next w:val="JuParaLast"/>
    <w:uiPriority w:val="32"/>
    <w:qFormat/>
    <w:rsid w:val="00C74C6D"/>
    <w:pPr>
      <w:tabs>
        <w:tab w:val="center" w:pos="851"/>
        <w:tab w:val="center" w:pos="6407"/>
      </w:tabs>
      <w:spacing w:before="720"/>
      <w:jc w:val="left"/>
    </w:pPr>
  </w:style>
  <w:style w:type="paragraph" w:customStyle="1" w:styleId="OpiPara">
    <w:name w:val="Opi_Para"/>
    <w:basedOn w:val="ECHRPara"/>
    <w:uiPriority w:val="46"/>
    <w:qFormat/>
    <w:rsid w:val="00C74C6D"/>
  </w:style>
  <w:style w:type="paragraph" w:customStyle="1" w:styleId="DecHTitle">
    <w:name w:val="Dec_H_Title"/>
    <w:basedOn w:val="ECHRTitleCentre1"/>
    <w:uiPriority w:val="7"/>
    <w:semiHidden/>
    <w:qFormat/>
    <w:rsid w:val="00C74C6D"/>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C74C6D"/>
    <w:pPr>
      <w:ind w:left="346" w:firstLine="0"/>
    </w:pPr>
  </w:style>
  <w:style w:type="paragraph" w:customStyle="1" w:styleId="JuListi">
    <w:name w:val="Ju_List_i"/>
    <w:basedOn w:val="Normal"/>
    <w:next w:val="JuLista"/>
    <w:uiPriority w:val="28"/>
    <w:qFormat/>
    <w:rsid w:val="00C74C6D"/>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C74C6D"/>
    <w:rPr>
      <w:vertAlign w:val="superscript"/>
    </w:rPr>
  </w:style>
  <w:style w:type="paragraph" w:styleId="EndnoteText">
    <w:name w:val="endnote text"/>
    <w:basedOn w:val="Normal"/>
    <w:link w:val="EndnoteTextChar"/>
    <w:uiPriority w:val="99"/>
    <w:semiHidden/>
    <w:rsid w:val="00C74C6D"/>
    <w:rPr>
      <w:sz w:val="20"/>
      <w:szCs w:val="20"/>
    </w:rPr>
  </w:style>
  <w:style w:type="character" w:customStyle="1" w:styleId="EndnoteTextChar">
    <w:name w:val="Endnote Text Char"/>
    <w:basedOn w:val="DefaultParagraphFont"/>
    <w:link w:val="EndnoteText"/>
    <w:uiPriority w:val="99"/>
    <w:semiHidden/>
    <w:rsid w:val="00C74C6D"/>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JuCourt">
    <w:name w:val="Ju_Court"/>
    <w:basedOn w:val="Normal"/>
    <w:next w:val="Normal"/>
    <w:uiPriority w:val="16"/>
    <w:qFormat/>
    <w:rsid w:val="00C74C6D"/>
    <w:pPr>
      <w:tabs>
        <w:tab w:val="left" w:pos="907"/>
        <w:tab w:val="left" w:pos="1701"/>
        <w:tab w:val="right" w:pos="7371"/>
      </w:tabs>
      <w:spacing w:before="240"/>
      <w:ind w:left="397" w:hanging="397"/>
      <w:jc w:val="left"/>
    </w:pPr>
    <w:rPr>
      <w:lang w:bidi="en-U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C74C6D"/>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C74C6D"/>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74C6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JuParaLast">
    <w:name w:val="Ju_Para_Last"/>
    <w:basedOn w:val="Normal"/>
    <w:next w:val="ECHRPara"/>
    <w:uiPriority w:val="30"/>
    <w:qFormat/>
    <w:rsid w:val="00C74C6D"/>
    <w:pPr>
      <w:keepNext/>
      <w:keepLines/>
      <w:spacing w:before="240"/>
      <w:ind w:firstLine="284"/>
    </w:pPr>
  </w:style>
  <w:style w:type="paragraph" w:customStyle="1" w:styleId="DecList">
    <w:name w:val="Dec_List"/>
    <w:basedOn w:val="Normal"/>
    <w:uiPriority w:val="9"/>
    <w:semiHidden/>
    <w:qFormat/>
    <w:rsid w:val="00C74C6D"/>
    <w:pPr>
      <w:spacing w:before="240"/>
      <w:ind w:left="284"/>
    </w:pPr>
  </w:style>
  <w:style w:type="character" w:styleId="PlaceholderText">
    <w:name w:val="Placeholder Text"/>
    <w:basedOn w:val="DefaultParagraphFont"/>
    <w:uiPriority w:val="99"/>
    <w:semiHidden/>
    <w:rsid w:val="00C74C6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74C6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74C6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C74C6D"/>
  </w:style>
  <w:style w:type="paragraph" w:customStyle="1" w:styleId="OpiQuot">
    <w:name w:val="Opi_Quot"/>
    <w:basedOn w:val="ECHRParaQuote"/>
    <w:uiPriority w:val="48"/>
    <w:qFormat/>
    <w:rsid w:val="00C74C6D"/>
  </w:style>
  <w:style w:type="paragraph" w:customStyle="1" w:styleId="OpiQuotSub">
    <w:name w:val="Opi_Quot_Sub"/>
    <w:basedOn w:val="JuQuotSub"/>
    <w:uiPriority w:val="49"/>
    <w:qFormat/>
    <w:rsid w:val="00C74C6D"/>
  </w:style>
  <w:style w:type="paragraph" w:customStyle="1" w:styleId="OpiTranslation">
    <w:name w:val="Opi_Translation"/>
    <w:basedOn w:val="Normal"/>
    <w:next w:val="OpiPara"/>
    <w:uiPriority w:val="40"/>
    <w:qFormat/>
    <w:rsid w:val="00C74C6D"/>
    <w:pPr>
      <w:jc w:val="center"/>
      <w:outlineLvl w:val="0"/>
    </w:pPr>
    <w:rPr>
      <w:i/>
    </w:rPr>
  </w:style>
  <w:style w:type="paragraph" w:styleId="NoteHeading">
    <w:name w:val="Note Heading"/>
    <w:basedOn w:val="Normal"/>
    <w:next w:val="Normal"/>
    <w:link w:val="NoteHeadingChar"/>
    <w:uiPriority w:val="99"/>
    <w:semiHidden/>
    <w:rsid w:val="00C413D2"/>
  </w:style>
  <w:style w:type="character" w:customStyle="1" w:styleId="NoteHeadingChar">
    <w:name w:val="Note Heading Char"/>
    <w:basedOn w:val="DefaultParagraphFont"/>
    <w:link w:val="NoteHeading"/>
    <w:uiPriority w:val="99"/>
    <w:semiHidden/>
    <w:rsid w:val="00C413D2"/>
    <w:rPr>
      <w:rFonts w:eastAsiaTheme="minorEastAsia"/>
      <w:sz w:val="24"/>
    </w:rPr>
  </w:style>
  <w:style w:type="paragraph" w:customStyle="1" w:styleId="JuHeaderLandscape">
    <w:name w:val="Ju_Header_Landscape"/>
    <w:basedOn w:val="ECHRHeader"/>
    <w:uiPriority w:val="4"/>
    <w:qFormat/>
    <w:rsid w:val="00C74C6D"/>
    <w:pPr>
      <w:tabs>
        <w:tab w:val="clear" w:pos="3686"/>
        <w:tab w:val="clear" w:pos="7371"/>
        <w:tab w:val="center" w:pos="6146"/>
        <w:tab w:val="right" w:pos="12293"/>
      </w:tabs>
    </w:pPr>
  </w:style>
  <w:style w:type="character" w:customStyle="1" w:styleId="ECHRParaChar1">
    <w:name w:val="ECHR_Para Char1"/>
    <w:aliases w:val="Ju_Para Char1"/>
    <w:basedOn w:val="DefaultParagraphFont"/>
    <w:link w:val="ECHRPara"/>
    <w:uiPriority w:val="12"/>
    <w:rsid w:val="00D15445"/>
    <w:rPr>
      <w:rFonts w:eastAsiaTheme="minorEastAsia"/>
      <w:sz w:val="24"/>
      <w:lang w:val="en-GB"/>
    </w:rPr>
  </w:style>
  <w:style w:type="character" w:customStyle="1" w:styleId="JuHIRomanChar">
    <w:name w:val="Ju_H_I_Roman Char"/>
    <w:basedOn w:val="DefaultParagraphFont"/>
    <w:link w:val="ECHRHeading1"/>
    <w:uiPriority w:val="19"/>
    <w:rsid w:val="00D15445"/>
    <w:rPr>
      <w:rFonts w:asciiTheme="majorHAnsi" w:eastAsiaTheme="majorEastAsia" w:hAnsiTheme="majorHAnsi" w:cstheme="majorBidi"/>
      <w:bCs/>
      <w:sz w:val="24"/>
      <w:szCs w:val="28"/>
      <w:lang w:val="en-GB"/>
    </w:rPr>
  </w:style>
  <w:style w:type="character" w:customStyle="1" w:styleId="ECHRParaChar">
    <w:name w:val="ECHR_Para Char"/>
    <w:aliases w:val="Ju_Para Char"/>
    <w:uiPriority w:val="12"/>
    <w:rsid w:val="00EC1163"/>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974751">
      <w:bodyDiv w:val="1"/>
      <w:marLeft w:val="0"/>
      <w:marRight w:val="0"/>
      <w:marTop w:val="0"/>
      <w:marBottom w:val="0"/>
      <w:divBdr>
        <w:top w:val="none" w:sz="0" w:space="0" w:color="auto"/>
        <w:left w:val="none" w:sz="0" w:space="0" w:color="auto"/>
        <w:bottom w:val="none" w:sz="0" w:space="0" w:color="auto"/>
        <w:right w:val="none" w:sz="0" w:space="0" w:color="auto"/>
      </w:divBdr>
      <w:divsChild>
        <w:div w:id="2083328813">
          <w:marLeft w:val="0"/>
          <w:marRight w:val="0"/>
          <w:marTop w:val="0"/>
          <w:marBottom w:val="0"/>
          <w:divBdr>
            <w:top w:val="none" w:sz="0" w:space="0" w:color="auto"/>
            <w:left w:val="none" w:sz="0" w:space="0" w:color="auto"/>
            <w:bottom w:val="none" w:sz="0" w:space="0" w:color="auto"/>
            <w:right w:val="none" w:sz="0" w:space="0" w:color="auto"/>
          </w:divBdr>
          <w:divsChild>
            <w:div w:id="966854967">
              <w:marLeft w:val="0"/>
              <w:marRight w:val="0"/>
              <w:marTop w:val="0"/>
              <w:marBottom w:val="0"/>
              <w:divBdr>
                <w:top w:val="none" w:sz="0" w:space="0" w:color="auto"/>
                <w:left w:val="none" w:sz="0" w:space="0" w:color="auto"/>
                <w:bottom w:val="none" w:sz="0" w:space="0" w:color="auto"/>
                <w:right w:val="none" w:sz="0" w:space="0" w:color="auto"/>
              </w:divBdr>
              <w:divsChild>
                <w:div w:id="1157038402">
                  <w:marLeft w:val="0"/>
                  <w:marRight w:val="0"/>
                  <w:marTop w:val="0"/>
                  <w:marBottom w:val="0"/>
                  <w:divBdr>
                    <w:top w:val="none" w:sz="0" w:space="0" w:color="auto"/>
                    <w:left w:val="none" w:sz="0" w:space="0" w:color="auto"/>
                    <w:bottom w:val="none" w:sz="0" w:space="0" w:color="auto"/>
                    <w:right w:val="none" w:sz="0" w:space="0" w:color="auto"/>
                  </w:divBdr>
                  <w:divsChild>
                    <w:div w:id="2146462289">
                      <w:marLeft w:val="0"/>
                      <w:marRight w:val="0"/>
                      <w:marTop w:val="0"/>
                      <w:marBottom w:val="0"/>
                      <w:divBdr>
                        <w:top w:val="none" w:sz="0" w:space="0" w:color="auto"/>
                        <w:left w:val="none" w:sz="0" w:space="0" w:color="auto"/>
                        <w:bottom w:val="none" w:sz="0" w:space="0" w:color="auto"/>
                        <w:right w:val="none" w:sz="0" w:space="0" w:color="auto"/>
                      </w:divBdr>
                      <w:divsChild>
                        <w:div w:id="27805534">
                          <w:marLeft w:val="0"/>
                          <w:marRight w:val="0"/>
                          <w:marTop w:val="0"/>
                          <w:marBottom w:val="0"/>
                          <w:divBdr>
                            <w:top w:val="none" w:sz="0" w:space="0" w:color="auto"/>
                            <w:left w:val="none" w:sz="0" w:space="0" w:color="auto"/>
                            <w:bottom w:val="none" w:sz="0" w:space="0" w:color="auto"/>
                            <w:right w:val="none" w:sz="0" w:space="0" w:color="auto"/>
                          </w:divBdr>
                          <w:divsChild>
                            <w:div w:id="3430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0C2A5D-CD58-4EE4-BF60-7FE20FCC2640}"/>
</file>

<file path=customXml/itemProps2.xml><?xml version="1.0" encoding="utf-8"?>
<ds:datastoreItem xmlns:ds="http://schemas.openxmlformats.org/officeDocument/2006/customXml" ds:itemID="{DBFDF70E-137F-42E4-AC65-65597EA99DC8}"/>
</file>

<file path=customXml/itemProps3.xml><?xml version="1.0" encoding="utf-8"?>
<ds:datastoreItem xmlns:ds="http://schemas.openxmlformats.org/officeDocument/2006/customXml" ds:itemID="{2BDCB94D-8277-41E3-AED8-B8F1B169BEC0}"/>
</file>

<file path=customXml/itemProps4.xml><?xml version="1.0" encoding="utf-8"?>
<ds:datastoreItem xmlns:ds="http://schemas.openxmlformats.org/officeDocument/2006/customXml" ds:itemID="{EBCBB245-A0E7-4A99-ABB4-BCB940A79EEB}"/>
</file>

<file path=docProps/app.xml><?xml version="1.0" encoding="utf-8"?>
<Properties xmlns="http://schemas.openxmlformats.org/officeDocument/2006/extended-properties" xmlns:vt="http://schemas.openxmlformats.org/officeDocument/2006/docPropsVTypes">
  <Template>Normal.dotm</Template>
  <TotalTime>0</TotalTime>
  <Pages>1</Pages>
  <Words>3403</Words>
  <Characters>19401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2019-08-31T10:59:00Z</dcterms:created>
  <dcterms:modified xsi:type="dcterms:W3CDTF">2019-08-31T10:59:00Z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7529/10</vt:lpwstr>
  </property>
  <property fmtid="{D5CDD505-2E9C-101B-9397-08002B2CF9AE}" pid="4" name="CASEID">
    <vt:lpwstr>621536</vt:lpwstr>
  </property>
  <property fmtid="{D5CDD505-2E9C-101B-9397-08002B2CF9AE}" pid="5" name="ContentTypeId">
    <vt:lpwstr>0x010100558EB02BDB9E204AB350EDD385B68E10</vt:lpwstr>
  </property>
</Properties>
</file>