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5.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B38A0" w:rsidR="00C57B8D" w:rsidP="00DB38A0" w:rsidRDefault="00C57B8D">
      <w:pPr>
        <w:pStyle w:val="ECHRDecisionBody"/>
        <w:jc w:val="center"/>
        <w:rPr>
          <w:rFonts w:ascii="Times New Roman" w:hAnsi="Times New Roman" w:cs="Times New Roman"/>
        </w:rPr>
      </w:pPr>
    </w:p>
    <w:p w:rsidRPr="00DB38A0" w:rsidR="00FB2FC7" w:rsidP="00DB38A0" w:rsidRDefault="00FB2FC7">
      <w:pPr>
        <w:pStyle w:val="ECHRDecisionBody"/>
        <w:jc w:val="center"/>
        <w:rPr>
          <w:rFonts w:ascii="Times New Roman" w:hAnsi="Times New Roman" w:cs="Times New Roman"/>
        </w:rPr>
      </w:pPr>
    </w:p>
    <w:p w:rsidRPr="00DB38A0" w:rsidR="002D2C99" w:rsidP="00DB38A0" w:rsidRDefault="00F40B21">
      <w:pPr>
        <w:jc w:val="center"/>
        <w:rPr>
          <w:lang w:val="fr-FR"/>
        </w:rPr>
      </w:pPr>
    </w:p>
    <w:p w:rsidRPr="00DB38A0" w:rsidR="002D2C99" w:rsidP="00DB38A0" w:rsidRDefault="00C57B8D">
      <w:pPr>
        <w:tabs>
          <w:tab w:val="left" w:pos="5529"/>
        </w:tabs>
        <w:jc w:val="center"/>
        <w:rPr>
          <w:lang w:val="fr-FR"/>
        </w:rPr>
      </w:pPr>
      <w:r w:rsidRPr="00DB38A0">
        <w:rPr>
          <w:lang w:val="fr-FR"/>
        </w:rPr>
        <w:t>DEUXIÈME SECTION</w:t>
      </w:r>
    </w:p>
    <w:p w:rsidRPr="00DB38A0" w:rsidR="002D2C99" w:rsidP="00DB38A0" w:rsidRDefault="00F40B21">
      <w:pPr>
        <w:jc w:val="center"/>
        <w:rPr>
          <w:lang w:val="fr-FR"/>
        </w:rPr>
      </w:pPr>
    </w:p>
    <w:p w:rsidRPr="00DB38A0" w:rsidR="004840F1" w:rsidP="00DB38A0" w:rsidRDefault="00F40B21">
      <w:pPr>
        <w:jc w:val="center"/>
        <w:rPr>
          <w:lang w:val="fr-FR"/>
        </w:rPr>
      </w:pPr>
    </w:p>
    <w:p w:rsidRPr="00DB38A0" w:rsidR="00FB2FC7" w:rsidP="00DB38A0" w:rsidRDefault="00FB2FC7">
      <w:pPr>
        <w:jc w:val="center"/>
        <w:rPr>
          <w:lang w:val="fr-FR"/>
        </w:rPr>
      </w:pPr>
    </w:p>
    <w:p w:rsidRPr="00DB38A0" w:rsidR="00A93252" w:rsidP="00DB38A0" w:rsidRDefault="00A93252">
      <w:pPr>
        <w:jc w:val="center"/>
        <w:rPr>
          <w:lang w:val="fr-FR"/>
        </w:rPr>
      </w:pPr>
    </w:p>
    <w:p w:rsidRPr="00DB38A0" w:rsidR="00CA4473" w:rsidP="00DB38A0" w:rsidRDefault="00F40B21">
      <w:pPr>
        <w:jc w:val="center"/>
        <w:rPr>
          <w:lang w:val="fr-FR"/>
        </w:rPr>
      </w:pPr>
    </w:p>
    <w:p w:rsidRPr="00DB38A0" w:rsidR="002D2C99" w:rsidP="00DB38A0" w:rsidRDefault="00F40B21">
      <w:pPr>
        <w:jc w:val="center"/>
        <w:rPr>
          <w:lang w:val="fr-FR"/>
        </w:rPr>
      </w:pPr>
    </w:p>
    <w:p w:rsidRPr="00DB38A0" w:rsidR="002D2C99" w:rsidP="00DB38A0" w:rsidRDefault="00996FE8">
      <w:pPr>
        <w:jc w:val="center"/>
        <w:outlineLvl w:val="0"/>
        <w:rPr>
          <w:b/>
          <w:lang w:val="fr-FR"/>
        </w:rPr>
      </w:pPr>
      <w:r w:rsidRPr="00DB38A0">
        <w:rPr>
          <w:b/>
          <w:lang w:val="fr-FR"/>
        </w:rPr>
        <w:t xml:space="preserve">AFFAIRE </w:t>
      </w:r>
      <w:r w:rsidRPr="00DB38A0" w:rsidR="00C57B8D">
        <w:rPr>
          <w:b/>
          <w:lang w:val="fr-FR"/>
        </w:rPr>
        <w:t>LEYLA CAN c. TURQUIE</w:t>
      </w:r>
    </w:p>
    <w:p w:rsidRPr="00DB38A0" w:rsidR="002D2C99" w:rsidP="00DB38A0" w:rsidRDefault="00F40B21">
      <w:pPr>
        <w:jc w:val="center"/>
        <w:rPr>
          <w:lang w:val="fr-FR"/>
        </w:rPr>
      </w:pPr>
    </w:p>
    <w:p w:rsidRPr="00DB38A0" w:rsidR="002D2C99" w:rsidP="00DB38A0" w:rsidRDefault="00996FE8">
      <w:pPr>
        <w:jc w:val="center"/>
        <w:rPr>
          <w:i/>
          <w:lang w:val="fr-FR"/>
        </w:rPr>
      </w:pPr>
      <w:r w:rsidRPr="00DB38A0">
        <w:rPr>
          <w:i/>
          <w:lang w:val="fr-FR"/>
        </w:rPr>
        <w:t>(</w:t>
      </w:r>
      <w:r w:rsidRPr="00DB38A0" w:rsidR="00C57B8D">
        <w:rPr>
          <w:i/>
          <w:lang w:val="fr-FR"/>
        </w:rPr>
        <w:t>Requête n</w:t>
      </w:r>
      <w:r w:rsidRPr="00DB38A0" w:rsidR="00C57B8D">
        <w:rPr>
          <w:i/>
          <w:vertAlign w:val="superscript"/>
          <w:lang w:val="fr-FR"/>
        </w:rPr>
        <w:t>o</w:t>
      </w:r>
      <w:r w:rsidRPr="00DB38A0">
        <w:rPr>
          <w:i/>
          <w:lang w:val="fr-FR"/>
        </w:rPr>
        <w:t xml:space="preserve"> </w:t>
      </w:r>
      <w:r w:rsidRPr="00DB38A0" w:rsidR="00C57B8D">
        <w:rPr>
          <w:i/>
          <w:lang w:val="fr-FR"/>
        </w:rPr>
        <w:t>43140/08</w:t>
      </w:r>
      <w:r w:rsidRPr="00DB38A0">
        <w:rPr>
          <w:i/>
          <w:lang w:val="fr-FR"/>
        </w:rPr>
        <w:t>)</w:t>
      </w:r>
    </w:p>
    <w:p w:rsidRPr="00DB38A0" w:rsidR="002D2C99" w:rsidP="00DB38A0" w:rsidRDefault="00F40B21">
      <w:pPr>
        <w:jc w:val="center"/>
        <w:rPr>
          <w:lang w:val="fr-FR"/>
        </w:rPr>
      </w:pPr>
    </w:p>
    <w:p w:rsidRPr="00DB38A0" w:rsidR="002D2C99" w:rsidP="00DB38A0" w:rsidRDefault="00F40B21">
      <w:pPr>
        <w:jc w:val="center"/>
        <w:rPr>
          <w:lang w:val="fr-FR"/>
        </w:rPr>
      </w:pPr>
    </w:p>
    <w:p w:rsidRPr="00DB38A0" w:rsidR="002D2C99" w:rsidP="00DB38A0" w:rsidRDefault="00F40B21">
      <w:pPr>
        <w:jc w:val="center"/>
        <w:rPr>
          <w:lang w:val="fr-FR"/>
        </w:rPr>
      </w:pPr>
      <w:bookmarkStart w:name="_GoBack" w:id="0"/>
      <w:bookmarkEnd w:id="0"/>
    </w:p>
    <w:p w:rsidRPr="00DB38A0" w:rsidR="002D2C99" w:rsidP="00DB38A0" w:rsidRDefault="00F40B21">
      <w:pPr>
        <w:jc w:val="center"/>
        <w:rPr>
          <w:lang w:val="fr-FR"/>
        </w:rPr>
      </w:pPr>
    </w:p>
    <w:p w:rsidRPr="00DB38A0" w:rsidR="00FB2FC7" w:rsidP="00DB38A0" w:rsidRDefault="00FB2FC7">
      <w:pPr>
        <w:jc w:val="center"/>
        <w:rPr>
          <w:lang w:val="fr-FR"/>
        </w:rPr>
      </w:pPr>
    </w:p>
    <w:p w:rsidRPr="00DB38A0" w:rsidR="00FB2FC7" w:rsidP="00DB38A0" w:rsidRDefault="00FB2FC7">
      <w:pPr>
        <w:jc w:val="center"/>
        <w:rPr>
          <w:lang w:val="fr-FR"/>
        </w:rPr>
      </w:pPr>
    </w:p>
    <w:p w:rsidRPr="00DB38A0" w:rsidR="002D2C99" w:rsidP="00DB38A0" w:rsidRDefault="00F40B21">
      <w:pPr>
        <w:jc w:val="center"/>
        <w:rPr>
          <w:lang w:val="fr-FR"/>
        </w:rPr>
      </w:pPr>
    </w:p>
    <w:p w:rsidRPr="00DB38A0" w:rsidR="002D2C99" w:rsidP="00DB38A0" w:rsidRDefault="00F40B21">
      <w:pPr>
        <w:jc w:val="center"/>
        <w:rPr>
          <w:lang w:val="fr-FR"/>
        </w:rPr>
      </w:pPr>
    </w:p>
    <w:p w:rsidRPr="00DB38A0" w:rsidR="002D2C99" w:rsidP="00DB38A0" w:rsidRDefault="00F40B21">
      <w:pPr>
        <w:jc w:val="center"/>
        <w:rPr>
          <w:lang w:val="fr-FR"/>
        </w:rPr>
      </w:pPr>
    </w:p>
    <w:p w:rsidRPr="00DB38A0" w:rsidR="002D2C99" w:rsidP="00DB38A0" w:rsidRDefault="00996FE8">
      <w:pPr>
        <w:jc w:val="center"/>
        <w:outlineLvl w:val="0"/>
        <w:rPr>
          <w:lang w:val="fr-FR"/>
        </w:rPr>
      </w:pPr>
      <w:r w:rsidRPr="00DB38A0">
        <w:rPr>
          <w:lang w:val="fr-FR"/>
        </w:rPr>
        <w:t>ARRÊT</w:t>
      </w:r>
    </w:p>
    <w:p w:rsidRPr="00DB38A0" w:rsidR="002D2C99" w:rsidP="00DB38A0" w:rsidRDefault="00F40B21">
      <w:pPr>
        <w:jc w:val="center"/>
        <w:rPr>
          <w:i/>
          <w:lang w:val="fr-FR"/>
        </w:rPr>
      </w:pPr>
    </w:p>
    <w:p w:rsidRPr="00DB38A0" w:rsidR="00FB2FC7" w:rsidP="00DB38A0" w:rsidRDefault="00FB2FC7">
      <w:pPr>
        <w:jc w:val="center"/>
        <w:rPr>
          <w:i/>
          <w:lang w:val="fr-FR"/>
        </w:rPr>
      </w:pPr>
    </w:p>
    <w:p w:rsidRPr="00DB38A0" w:rsidR="002D2C99" w:rsidP="00DB38A0" w:rsidRDefault="00996FE8">
      <w:pPr>
        <w:jc w:val="center"/>
        <w:outlineLvl w:val="0"/>
        <w:rPr>
          <w:lang w:val="fr-FR"/>
        </w:rPr>
      </w:pPr>
      <w:r w:rsidRPr="00DB38A0">
        <w:rPr>
          <w:lang w:val="fr-FR"/>
        </w:rPr>
        <w:t>STRASBOURG</w:t>
      </w:r>
    </w:p>
    <w:p w:rsidRPr="00DB38A0" w:rsidR="002D2C99" w:rsidP="00DB38A0" w:rsidRDefault="00F40B21">
      <w:pPr>
        <w:jc w:val="center"/>
        <w:rPr>
          <w:lang w:val="fr-FR"/>
        </w:rPr>
      </w:pPr>
    </w:p>
    <w:p w:rsidRPr="00DB38A0" w:rsidR="00EA2502" w:rsidP="00DB38A0" w:rsidRDefault="004D2EDC">
      <w:pPr>
        <w:jc w:val="center"/>
        <w:rPr>
          <w:lang w:val="fr-FR"/>
        </w:rPr>
      </w:pPr>
      <w:r w:rsidRPr="00DB38A0">
        <w:rPr>
          <w:szCs w:val="24"/>
          <w:lang w:val="fr-FR"/>
        </w:rPr>
        <w:t>18</w:t>
      </w:r>
      <w:r w:rsidRPr="00DB38A0" w:rsidR="00C57B8D">
        <w:rPr>
          <w:szCs w:val="24"/>
          <w:lang w:val="fr-FR"/>
        </w:rPr>
        <w:t xml:space="preserve"> </w:t>
      </w:r>
      <w:proofErr w:type="spellStart"/>
      <w:r w:rsidRPr="00DB38A0">
        <w:rPr>
          <w:szCs w:val="24"/>
          <w:lang w:val="tr-TR"/>
        </w:rPr>
        <w:t>juin</w:t>
      </w:r>
      <w:proofErr w:type="spellEnd"/>
      <w:r w:rsidRPr="00DB38A0" w:rsidR="00C57B8D">
        <w:rPr>
          <w:szCs w:val="24"/>
          <w:lang w:val="fr-FR"/>
        </w:rPr>
        <w:t xml:space="preserve"> 2019</w:t>
      </w:r>
    </w:p>
    <w:p w:rsidRPr="00DB38A0" w:rsidR="002D2C99" w:rsidP="00DB38A0" w:rsidRDefault="00F40B21">
      <w:pPr>
        <w:jc w:val="center"/>
        <w:rPr>
          <w:lang w:val="fr-FR"/>
        </w:rPr>
      </w:pPr>
    </w:p>
    <w:p w:rsidRPr="00DB38A0" w:rsidR="004D2EDC" w:rsidP="00DB38A0" w:rsidRDefault="004D2EDC">
      <w:pPr>
        <w:jc w:val="center"/>
        <w:rPr>
          <w:lang w:val="fr-FR"/>
        </w:rPr>
      </w:pPr>
    </w:p>
    <w:p w:rsidR="000D76E7" w:rsidP="000D76E7" w:rsidRDefault="000D76E7">
      <w:pPr>
        <w:pStyle w:val="jucase0"/>
        <w:ind w:firstLine="0"/>
        <w:jc w:val="center"/>
        <w:rPr>
          <w:color w:val="FF0000"/>
          <w:sz w:val="28"/>
          <w:szCs w:val="28"/>
          <w:u w:val="single"/>
          <w:lang w:val="fr-FR"/>
        </w:rPr>
      </w:pPr>
      <w:r>
        <w:rPr>
          <w:color w:val="FF0000"/>
          <w:sz w:val="28"/>
          <w:szCs w:val="28"/>
          <w:u w:val="single"/>
          <w:lang w:val="fr-FR"/>
        </w:rPr>
        <w:t>DÉFINITIF</w:t>
      </w:r>
    </w:p>
    <w:p w:rsidR="000D76E7" w:rsidP="000D76E7" w:rsidRDefault="000D76E7">
      <w:pPr>
        <w:pStyle w:val="jupara"/>
        <w:tabs>
          <w:tab w:val="left" w:pos="3450"/>
        </w:tabs>
        <w:ind w:firstLine="0"/>
        <w:jc w:val="center"/>
        <w:rPr>
          <w:color w:val="FF0000"/>
          <w:sz w:val="28"/>
          <w:szCs w:val="28"/>
          <w:lang w:val="fr-FR"/>
        </w:rPr>
      </w:pPr>
    </w:p>
    <w:p w:rsidR="000D76E7" w:rsidP="000D76E7" w:rsidRDefault="000D76E7">
      <w:pPr>
        <w:pStyle w:val="jupara"/>
        <w:ind w:firstLine="0"/>
        <w:jc w:val="center"/>
        <w:rPr>
          <w:color w:val="FF0000"/>
          <w:sz w:val="28"/>
          <w:szCs w:val="28"/>
          <w:lang w:val="fr-FR"/>
        </w:rPr>
      </w:pPr>
      <w:r>
        <w:rPr>
          <w:color w:val="FF0000"/>
          <w:sz w:val="28"/>
          <w:szCs w:val="28"/>
          <w:lang w:val="fr-FR"/>
        </w:rPr>
        <w:t>04/11/2019</w:t>
      </w:r>
    </w:p>
    <w:p w:rsidR="000D76E7" w:rsidP="000D76E7" w:rsidRDefault="000D76E7">
      <w:pPr>
        <w:pStyle w:val="jupara"/>
        <w:ind w:firstLine="0"/>
        <w:jc w:val="center"/>
        <w:rPr>
          <w:u w:val="single"/>
          <w:lang w:val="fr-FR"/>
        </w:rPr>
      </w:pPr>
    </w:p>
    <w:p w:rsidR="000D76E7" w:rsidP="000D76E7" w:rsidRDefault="000D76E7">
      <w:pPr>
        <w:jc w:val="center"/>
        <w:rPr>
          <w:i/>
          <w:iCs/>
          <w:sz w:val="22"/>
          <w:lang w:val="fr-FR"/>
        </w:rPr>
      </w:pPr>
      <w:r>
        <w:rPr>
          <w:i/>
          <w:iCs/>
          <w:sz w:val="22"/>
          <w:lang w:val="fr-FR"/>
        </w:rPr>
        <w:t>Cet arrêt est devenu définitif en vertu de l’article 44 § 2 de la Convention. Il peut subir des retouches de forme.</w:t>
      </w:r>
    </w:p>
    <w:p w:rsidRPr="00DB38A0" w:rsidR="002D2C99" w:rsidP="00DB38A0" w:rsidRDefault="00F40B21">
      <w:pPr>
        <w:rPr>
          <w:lang w:val="fr-FR"/>
        </w:rPr>
      </w:pPr>
    </w:p>
    <w:p w:rsidRPr="00DB38A0" w:rsidR="00A93252" w:rsidP="00DB38A0" w:rsidRDefault="00A93252">
      <w:pPr>
        <w:rPr>
          <w:lang w:val="fr-FR"/>
        </w:rPr>
        <w:sectPr w:rsidRPr="00DB38A0" w:rsidR="00A93252" w:rsidSect="00F5432B">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DB38A0" w:rsidR="002D2C99" w:rsidP="00DB38A0" w:rsidRDefault="00996FE8">
      <w:pPr>
        <w:pStyle w:val="JuCase"/>
        <w:rPr>
          <w:lang w:val="fr-FR"/>
        </w:rPr>
      </w:pPr>
      <w:r w:rsidRPr="00DB38A0">
        <w:rPr>
          <w:lang w:val="fr-FR"/>
        </w:rPr>
        <w:t>En l</w:t>
      </w:r>
      <w:r w:rsidRPr="00DB38A0" w:rsidR="00DB38A0">
        <w:rPr>
          <w:lang w:val="fr-FR"/>
        </w:rPr>
        <w:t>’</w:t>
      </w:r>
      <w:r w:rsidRPr="00DB38A0">
        <w:rPr>
          <w:lang w:val="fr-FR"/>
        </w:rPr>
        <w:t xml:space="preserve">affaire </w:t>
      </w:r>
      <w:proofErr w:type="spellStart"/>
      <w:r w:rsidRPr="00DB38A0" w:rsidR="00C57B8D">
        <w:rPr>
          <w:lang w:val="fr-FR"/>
        </w:rPr>
        <w:t>Leyla</w:t>
      </w:r>
      <w:proofErr w:type="spellEnd"/>
      <w:r w:rsidRPr="00DB38A0" w:rsidR="00C57B8D">
        <w:rPr>
          <w:lang w:val="fr-FR"/>
        </w:rPr>
        <w:t xml:space="preserve"> Can c. Turquie</w:t>
      </w:r>
      <w:r w:rsidRPr="00DB38A0">
        <w:rPr>
          <w:lang w:val="fr-FR"/>
        </w:rPr>
        <w:t>,</w:t>
      </w:r>
    </w:p>
    <w:p w:rsidRPr="00DB38A0" w:rsidR="00777C71" w:rsidP="00DB38A0" w:rsidRDefault="00996FE8">
      <w:pPr>
        <w:pStyle w:val="ECHRPara"/>
        <w:rPr>
          <w:lang w:val="fr-FR"/>
        </w:rPr>
      </w:pPr>
      <w:r w:rsidRPr="00DB38A0">
        <w:rPr>
          <w:lang w:val="fr-FR"/>
        </w:rPr>
        <w:t>La Cour européenne des droits de l</w:t>
      </w:r>
      <w:r w:rsidRPr="00DB38A0" w:rsidR="00DB38A0">
        <w:rPr>
          <w:lang w:val="fr-FR"/>
        </w:rPr>
        <w:t>’</w:t>
      </w:r>
      <w:r w:rsidRPr="00DB38A0">
        <w:rPr>
          <w:lang w:val="fr-FR"/>
        </w:rPr>
        <w:t>homme (</w:t>
      </w:r>
      <w:r w:rsidRPr="00DB38A0" w:rsidR="00C57B8D">
        <w:rPr>
          <w:lang w:val="fr-FR"/>
        </w:rPr>
        <w:t>deuxième section</w:t>
      </w:r>
      <w:r w:rsidRPr="00DB38A0">
        <w:rPr>
          <w:lang w:val="fr-FR"/>
        </w:rPr>
        <w:t xml:space="preserve">), siégeant en </w:t>
      </w:r>
      <w:r w:rsidRPr="00DB38A0" w:rsidR="00C57B8D">
        <w:rPr>
          <w:color w:val="000000"/>
          <w:lang w:val="fr-FR"/>
        </w:rPr>
        <w:t>une</w:t>
      </w:r>
      <w:r w:rsidRPr="00DB38A0" w:rsidR="00C57B8D">
        <w:rPr>
          <w:lang w:val="fr-FR"/>
        </w:rPr>
        <w:t xml:space="preserve"> Chambre composée</w:t>
      </w:r>
      <w:r w:rsidRPr="00DB38A0">
        <w:rPr>
          <w:lang w:val="fr-FR"/>
        </w:rPr>
        <w:t xml:space="preserve"> de :</w:t>
      </w:r>
    </w:p>
    <w:p w:rsidRPr="00DB38A0" w:rsidR="00777C71" w:rsidP="00DB38A0" w:rsidRDefault="00FB2FC7">
      <w:pPr>
        <w:pStyle w:val="ECHRDecisionBody"/>
        <w:rPr>
          <w:lang w:val="fr-FR"/>
        </w:rPr>
      </w:pPr>
      <w:r w:rsidRPr="00DB38A0">
        <w:rPr>
          <w:lang w:val="fr-FR"/>
        </w:rPr>
        <w:tab/>
        <w:t>Robert Spano,</w:t>
      </w:r>
      <w:r w:rsidRPr="00DB38A0">
        <w:rPr>
          <w:i/>
          <w:lang w:val="fr-FR"/>
        </w:rPr>
        <w:t xml:space="preserve"> président,</w:t>
      </w:r>
      <w:r w:rsidRPr="00DB38A0">
        <w:rPr>
          <w:i/>
          <w:lang w:val="fr-FR"/>
        </w:rPr>
        <w:br/>
      </w:r>
      <w:r w:rsidRPr="00DB38A0">
        <w:rPr>
          <w:lang w:val="fr-FR"/>
        </w:rPr>
        <w:tab/>
        <w:t xml:space="preserve">Marko </w:t>
      </w:r>
      <w:proofErr w:type="spellStart"/>
      <w:r w:rsidRPr="00DB38A0">
        <w:rPr>
          <w:lang w:val="fr-FR"/>
        </w:rPr>
        <w:t>Bošnjak</w:t>
      </w:r>
      <w:proofErr w:type="spellEnd"/>
      <w:r w:rsidRPr="00DB38A0">
        <w:rPr>
          <w:lang w:val="fr-FR"/>
        </w:rPr>
        <w:t>,</w:t>
      </w:r>
      <w:r w:rsidRPr="00DB38A0">
        <w:rPr>
          <w:i/>
          <w:lang w:val="fr-FR"/>
        </w:rPr>
        <w:br/>
      </w:r>
      <w:r w:rsidRPr="00DB38A0">
        <w:rPr>
          <w:lang w:val="fr-FR"/>
        </w:rPr>
        <w:tab/>
      </w:r>
      <w:proofErr w:type="spellStart"/>
      <w:r w:rsidRPr="00DB38A0">
        <w:rPr>
          <w:lang w:val="fr-FR"/>
        </w:rPr>
        <w:t>Işıl</w:t>
      </w:r>
      <w:proofErr w:type="spellEnd"/>
      <w:r w:rsidRPr="00DB38A0">
        <w:rPr>
          <w:lang w:val="fr-FR"/>
        </w:rPr>
        <w:t xml:space="preserve"> </w:t>
      </w:r>
      <w:proofErr w:type="spellStart"/>
      <w:r w:rsidRPr="00DB38A0">
        <w:rPr>
          <w:lang w:val="fr-FR"/>
        </w:rPr>
        <w:t>Karakaş</w:t>
      </w:r>
      <w:proofErr w:type="spellEnd"/>
      <w:r w:rsidRPr="00DB38A0">
        <w:rPr>
          <w:lang w:val="fr-FR"/>
        </w:rPr>
        <w:t>,</w:t>
      </w:r>
      <w:r w:rsidRPr="00DB38A0">
        <w:rPr>
          <w:i/>
          <w:lang w:val="fr-FR"/>
        </w:rPr>
        <w:br/>
      </w:r>
      <w:r w:rsidRPr="00DB38A0">
        <w:rPr>
          <w:lang w:val="fr-FR"/>
        </w:rPr>
        <w:tab/>
        <w:t>Julia Laffranque,</w:t>
      </w:r>
      <w:r w:rsidRPr="00DB38A0">
        <w:rPr>
          <w:i/>
          <w:lang w:val="fr-FR"/>
        </w:rPr>
        <w:br/>
      </w:r>
      <w:r w:rsidRPr="00DB38A0">
        <w:rPr>
          <w:lang w:val="fr-FR"/>
        </w:rPr>
        <w:tab/>
        <w:t xml:space="preserve">Egidijus </w:t>
      </w:r>
      <w:proofErr w:type="spellStart"/>
      <w:r w:rsidRPr="00DB38A0">
        <w:rPr>
          <w:lang w:val="fr-FR"/>
        </w:rPr>
        <w:t>Kūris</w:t>
      </w:r>
      <w:proofErr w:type="spellEnd"/>
      <w:r w:rsidRPr="00DB38A0">
        <w:rPr>
          <w:lang w:val="fr-FR"/>
        </w:rPr>
        <w:t>,</w:t>
      </w:r>
      <w:r w:rsidRPr="00DB38A0">
        <w:rPr>
          <w:i/>
          <w:lang w:val="fr-FR"/>
        </w:rPr>
        <w:br/>
      </w:r>
      <w:r w:rsidRPr="00DB38A0">
        <w:rPr>
          <w:lang w:val="fr-FR"/>
        </w:rPr>
        <w:tab/>
      </w:r>
      <w:proofErr w:type="spellStart"/>
      <w:r w:rsidRPr="00DB38A0">
        <w:rPr>
          <w:lang w:val="fr-FR"/>
        </w:rPr>
        <w:t>Arnfinn</w:t>
      </w:r>
      <w:proofErr w:type="spellEnd"/>
      <w:r w:rsidRPr="00DB38A0">
        <w:rPr>
          <w:lang w:val="fr-FR"/>
        </w:rPr>
        <w:t xml:space="preserve"> </w:t>
      </w:r>
      <w:proofErr w:type="spellStart"/>
      <w:r w:rsidRPr="00DB38A0">
        <w:rPr>
          <w:lang w:val="fr-FR"/>
        </w:rPr>
        <w:t>Bårdsen</w:t>
      </w:r>
      <w:proofErr w:type="spellEnd"/>
      <w:r w:rsidRPr="00DB38A0">
        <w:rPr>
          <w:lang w:val="fr-FR"/>
        </w:rPr>
        <w:t>,</w:t>
      </w:r>
      <w:r w:rsidRPr="00DB38A0">
        <w:rPr>
          <w:i/>
          <w:lang w:val="fr-FR"/>
        </w:rPr>
        <w:br/>
      </w:r>
      <w:r w:rsidRPr="00DB38A0">
        <w:rPr>
          <w:lang w:val="fr-FR"/>
        </w:rPr>
        <w:tab/>
        <w:t>Darian Pavli,</w:t>
      </w:r>
      <w:r w:rsidRPr="00DB38A0">
        <w:rPr>
          <w:i/>
          <w:lang w:val="fr-FR"/>
        </w:rPr>
        <w:t xml:space="preserve"> juges</w:t>
      </w:r>
      <w:proofErr w:type="gramStart"/>
      <w:r w:rsidRPr="00DB38A0">
        <w:rPr>
          <w:i/>
          <w:lang w:val="fr-FR"/>
        </w:rPr>
        <w:t>,</w:t>
      </w:r>
      <w:proofErr w:type="gramEnd"/>
      <w:r w:rsidRPr="00DB38A0">
        <w:rPr>
          <w:i/>
          <w:lang w:val="fr-FR"/>
        </w:rPr>
        <w:br/>
      </w:r>
      <w:r w:rsidRPr="00DB38A0" w:rsidR="00996FE8">
        <w:rPr>
          <w:lang w:val="fr-FR"/>
        </w:rPr>
        <w:t xml:space="preserve">et de </w:t>
      </w:r>
      <w:r w:rsidRPr="00DB38A0" w:rsidR="00C57B8D">
        <w:rPr>
          <w:lang w:val="fr-FR"/>
        </w:rPr>
        <w:t>Stanley Naismith</w:t>
      </w:r>
      <w:r w:rsidRPr="00DB38A0" w:rsidR="00996FE8">
        <w:rPr>
          <w:lang w:val="fr-FR"/>
        </w:rPr>
        <w:t xml:space="preserve">, </w:t>
      </w:r>
      <w:r w:rsidRPr="00DB38A0" w:rsidR="00C57B8D">
        <w:rPr>
          <w:i/>
          <w:lang w:val="fr-FR"/>
        </w:rPr>
        <w:t>greffier</w:t>
      </w:r>
      <w:r w:rsidRPr="00DB38A0" w:rsidR="00C57B8D">
        <w:rPr>
          <w:iCs/>
          <w:lang w:val="fr-FR"/>
        </w:rPr>
        <w:t xml:space="preserve"> </w:t>
      </w:r>
      <w:r w:rsidRPr="00DB38A0" w:rsidR="00C57B8D">
        <w:rPr>
          <w:i/>
          <w:iCs/>
          <w:lang w:val="fr-FR"/>
        </w:rPr>
        <w:t>d</w:t>
      </w:r>
      <w:r w:rsidRPr="00DB38A0" w:rsidR="00C57B8D">
        <w:rPr>
          <w:i/>
          <w:lang w:val="fr-FR"/>
        </w:rPr>
        <w:t>e section</w:t>
      </w:r>
      <w:r w:rsidRPr="00DB38A0" w:rsidR="00996FE8">
        <w:rPr>
          <w:lang w:val="fr-FR"/>
        </w:rPr>
        <w:t>,</w:t>
      </w:r>
    </w:p>
    <w:p w:rsidRPr="00DB38A0" w:rsidR="00777C71" w:rsidP="00DB38A0" w:rsidRDefault="00996FE8">
      <w:pPr>
        <w:pStyle w:val="ECHRPara"/>
        <w:rPr>
          <w:lang w:val="fr-FR"/>
        </w:rPr>
      </w:pPr>
      <w:r w:rsidRPr="00DB38A0">
        <w:rPr>
          <w:lang w:val="fr-FR"/>
        </w:rPr>
        <w:t xml:space="preserve">Après en avoir délibéré en chambre du conseil le </w:t>
      </w:r>
      <w:r w:rsidRPr="00DB38A0" w:rsidR="00C57B8D">
        <w:rPr>
          <w:szCs w:val="24"/>
          <w:lang w:val="fr-FR"/>
        </w:rPr>
        <w:t>28 mai 2019</w:t>
      </w:r>
      <w:r w:rsidRPr="00DB38A0">
        <w:rPr>
          <w:lang w:val="fr-FR"/>
        </w:rPr>
        <w:t>,</w:t>
      </w:r>
    </w:p>
    <w:p w:rsidRPr="00DB38A0" w:rsidR="00777C71" w:rsidP="00DB38A0" w:rsidRDefault="00996FE8">
      <w:pPr>
        <w:pStyle w:val="ECHRPara"/>
        <w:rPr>
          <w:lang w:val="fr-FR"/>
        </w:rPr>
      </w:pPr>
      <w:r w:rsidRPr="00DB38A0">
        <w:rPr>
          <w:lang w:val="fr-FR"/>
        </w:rPr>
        <w:t>Rend l</w:t>
      </w:r>
      <w:r w:rsidRPr="00DB38A0" w:rsidR="00DB38A0">
        <w:rPr>
          <w:lang w:val="fr-FR"/>
        </w:rPr>
        <w:t>’</w:t>
      </w:r>
      <w:r w:rsidRPr="00DB38A0">
        <w:rPr>
          <w:lang w:val="fr-FR"/>
        </w:rPr>
        <w:t>arrêt que voici, adopté à cette date :</w:t>
      </w:r>
    </w:p>
    <w:p w:rsidRPr="00DB38A0" w:rsidR="00C57B8D" w:rsidP="00DB38A0" w:rsidRDefault="00C57B8D">
      <w:pPr>
        <w:pStyle w:val="ECHRTitle1"/>
        <w:rPr>
          <w:lang w:val="fr-FR"/>
        </w:rPr>
      </w:pPr>
      <w:r w:rsidRPr="00DB38A0">
        <w:rPr>
          <w:lang w:val="fr-FR"/>
        </w:rPr>
        <w:t>PROCÉDURE</w:t>
      </w:r>
    </w:p>
    <w:p w:rsidRPr="00DB38A0" w:rsidR="00C57B8D" w:rsidP="00DB38A0" w:rsidRDefault="00C57B8D">
      <w:pPr>
        <w:pStyle w:val="ECHRPara"/>
        <w:rPr>
          <w:lang w:val="fr-FR"/>
        </w:rPr>
      </w:pPr>
      <w:r w:rsidRPr="00DB38A0">
        <w:rPr>
          <w:lang w:val="fr-FR"/>
        </w:rPr>
        <w:t>1.  À l</w:t>
      </w:r>
      <w:r w:rsidRPr="00DB38A0" w:rsidR="00DB38A0">
        <w:rPr>
          <w:lang w:val="fr-FR"/>
        </w:rPr>
        <w:t>’</w:t>
      </w:r>
      <w:r w:rsidRPr="00DB38A0">
        <w:rPr>
          <w:lang w:val="fr-FR"/>
        </w:rPr>
        <w:t>origine de l</w:t>
      </w:r>
      <w:r w:rsidRPr="00DB38A0" w:rsidR="00DB38A0">
        <w:rPr>
          <w:lang w:val="fr-FR"/>
        </w:rPr>
        <w:t>’</w:t>
      </w:r>
      <w:r w:rsidRPr="00DB38A0">
        <w:rPr>
          <w:lang w:val="fr-FR"/>
        </w:rPr>
        <w:t>affaire se trouve une requête (n</w:t>
      </w:r>
      <w:r w:rsidRPr="00DB38A0">
        <w:rPr>
          <w:vertAlign w:val="superscript"/>
          <w:lang w:val="fr-FR"/>
        </w:rPr>
        <w:t>o</w:t>
      </w:r>
      <w:r w:rsidRPr="00DB38A0">
        <w:rPr>
          <w:lang w:val="fr-FR"/>
        </w:rPr>
        <w:t xml:space="preserve"> 43140/08) dirigée contre la République de Turquie et dont une ressortissante de cet État, M</w:t>
      </w:r>
      <w:r w:rsidRPr="00DB38A0">
        <w:rPr>
          <w:vertAlign w:val="superscript"/>
          <w:lang w:val="fr-FR"/>
        </w:rPr>
        <w:t>me</w:t>
      </w:r>
      <w:r w:rsidRPr="00DB38A0">
        <w:rPr>
          <w:lang w:val="fr-FR"/>
        </w:rPr>
        <w:t> </w:t>
      </w:r>
      <w:proofErr w:type="spellStart"/>
      <w:r w:rsidRPr="00DB38A0">
        <w:rPr>
          <w:lang w:val="fr-FR"/>
        </w:rPr>
        <w:t>Leyla</w:t>
      </w:r>
      <w:proofErr w:type="spellEnd"/>
      <w:r w:rsidRPr="00DB38A0">
        <w:rPr>
          <w:lang w:val="fr-FR"/>
        </w:rPr>
        <w:t xml:space="preserve"> Can (« la requérante »), a saisi la Cour le 30 août 2008 en vertu de l</w:t>
      </w:r>
      <w:r w:rsidRPr="00DB38A0" w:rsidR="00DB38A0">
        <w:rPr>
          <w:lang w:val="fr-FR"/>
        </w:rPr>
        <w:t>’</w:t>
      </w:r>
      <w:r w:rsidRPr="00DB38A0">
        <w:rPr>
          <w:lang w:val="fr-FR"/>
        </w:rPr>
        <w:t>article 34 de la Convention de sauvegarde des droits de l</w:t>
      </w:r>
      <w:r w:rsidRPr="00DB38A0" w:rsidR="00DB38A0">
        <w:rPr>
          <w:lang w:val="fr-FR"/>
        </w:rPr>
        <w:t>’</w:t>
      </w:r>
      <w:r w:rsidRPr="00DB38A0">
        <w:rPr>
          <w:lang w:val="fr-FR"/>
        </w:rPr>
        <w:t>homme et des libertés fondamentales (« la Convention »).</w:t>
      </w:r>
    </w:p>
    <w:p w:rsidRPr="00DB38A0" w:rsidR="00C57B8D" w:rsidP="00DB38A0" w:rsidRDefault="00C57B8D">
      <w:pPr>
        <w:pStyle w:val="ECHRPara"/>
        <w:rPr>
          <w:lang w:val="fr-FR"/>
        </w:rPr>
      </w:pPr>
      <w:r w:rsidRPr="00DB38A0">
        <w:rPr>
          <w:lang w:val="fr-FR"/>
        </w:rPr>
        <w:t>2.  La requérante a été représentée par M</w:t>
      </w:r>
      <w:r w:rsidRPr="00DB38A0">
        <w:rPr>
          <w:vertAlign w:val="superscript"/>
          <w:lang w:val="fr-FR"/>
        </w:rPr>
        <w:t>e</w:t>
      </w:r>
      <w:r w:rsidRPr="00DB38A0">
        <w:rPr>
          <w:lang w:val="fr-FR"/>
        </w:rPr>
        <w:t> </w:t>
      </w:r>
      <w:r w:rsidRPr="00DB38A0" w:rsidR="00110833">
        <w:rPr>
          <w:lang w:val="tr-TR"/>
        </w:rPr>
        <w:t>İ</w:t>
      </w:r>
      <w:r w:rsidRPr="00DB38A0">
        <w:rPr>
          <w:lang w:val="fr-FR"/>
        </w:rPr>
        <w:t>. Serin, avocat à Mersin. Le gouvernement turc (« le Gouvernement ») a été représenté par son agent.</w:t>
      </w:r>
    </w:p>
    <w:p w:rsidRPr="00DB38A0" w:rsidR="00C57B8D" w:rsidP="00DB38A0" w:rsidRDefault="00C57B8D">
      <w:pPr>
        <w:pStyle w:val="ECHRPara"/>
        <w:rPr>
          <w:szCs w:val="24"/>
          <w:lang w:val="fr-FR" w:eastAsia="en-GB"/>
        </w:rPr>
      </w:pPr>
      <w:r w:rsidRPr="00DB38A0">
        <w:rPr>
          <w:lang w:val="fr-FR"/>
        </w:rPr>
        <w:t xml:space="preserve">3.  Le </w:t>
      </w:r>
      <w:r w:rsidRPr="00DB38A0">
        <w:rPr>
          <w:szCs w:val="24"/>
          <w:lang w:val="fr-FR"/>
        </w:rPr>
        <w:t>11 septembre 2017</w:t>
      </w:r>
      <w:r w:rsidRPr="00DB38A0">
        <w:rPr>
          <w:lang w:val="fr-FR"/>
        </w:rPr>
        <w:t>, les griefs tirés des articles 8 et 14 de la Convention ont été communiqués au Gouvernement et la requête a été déclarée irrecevable</w:t>
      </w:r>
      <w:r w:rsidRPr="00DB38A0">
        <w:rPr>
          <w:szCs w:val="24"/>
          <w:lang w:val="fr-FR"/>
        </w:rPr>
        <w:t xml:space="preserve"> pour le surplus </w:t>
      </w:r>
      <w:r w:rsidRPr="00DB38A0">
        <w:rPr>
          <w:lang w:val="fr-FR"/>
        </w:rPr>
        <w:t>conformément à l</w:t>
      </w:r>
      <w:r w:rsidRPr="00DB38A0" w:rsidR="00DB38A0">
        <w:rPr>
          <w:lang w:val="fr-FR"/>
        </w:rPr>
        <w:t>’</w:t>
      </w:r>
      <w:r w:rsidRPr="00DB38A0">
        <w:rPr>
          <w:lang w:val="fr-FR"/>
        </w:rPr>
        <w:t>article 54 § 3 du règlement de la Cour.</w:t>
      </w:r>
    </w:p>
    <w:p w:rsidRPr="00DB38A0" w:rsidR="00C57B8D" w:rsidP="00DB38A0" w:rsidRDefault="00C57B8D">
      <w:pPr>
        <w:pStyle w:val="ECHRTitle1"/>
        <w:tabs>
          <w:tab w:val="left" w:pos="5387"/>
        </w:tabs>
        <w:rPr>
          <w:lang w:val="fr-FR"/>
        </w:rPr>
      </w:pPr>
      <w:r w:rsidRPr="00DB38A0">
        <w:rPr>
          <w:lang w:val="fr-FR"/>
        </w:rPr>
        <w:t>EN FAIT</w:t>
      </w:r>
    </w:p>
    <w:p w:rsidRPr="00DB38A0" w:rsidR="00C57B8D" w:rsidP="00DB38A0" w:rsidRDefault="00C57B8D">
      <w:pPr>
        <w:pStyle w:val="ECHRHeading1"/>
        <w:rPr>
          <w:lang w:val="fr-FR"/>
        </w:rPr>
      </w:pPr>
      <w:r w:rsidRPr="00DB38A0">
        <w:rPr>
          <w:lang w:val="fr-FR"/>
        </w:rPr>
        <w:t>I.  LES CIRCONSTANCES DE L</w:t>
      </w:r>
      <w:r w:rsidRPr="00DB38A0" w:rsidR="00DB38A0">
        <w:rPr>
          <w:lang w:val="fr-FR"/>
        </w:rPr>
        <w:t>’</w:t>
      </w:r>
      <w:r w:rsidRPr="00DB38A0">
        <w:rPr>
          <w:lang w:val="fr-FR"/>
        </w:rPr>
        <w:t>ESPÈCE</w:t>
      </w:r>
    </w:p>
    <w:p w:rsidRPr="00DB38A0" w:rsidR="00C57B8D" w:rsidP="00DB38A0" w:rsidRDefault="00C57B8D">
      <w:pPr>
        <w:pStyle w:val="ECHRPara"/>
        <w:rPr>
          <w:lang w:val="fr-FR"/>
        </w:rPr>
      </w:pPr>
      <w:r w:rsidRPr="00DB38A0">
        <w:rPr>
          <w:lang w:val="fr-FR"/>
        </w:rPr>
        <w:t>4.  La requérante est née en 1964 et réside à Mersin.</w:t>
      </w:r>
    </w:p>
    <w:p w:rsidRPr="00DB38A0" w:rsidR="00C57B8D" w:rsidP="00DB38A0" w:rsidRDefault="00C57B8D">
      <w:pPr>
        <w:pStyle w:val="ECHRPara"/>
        <w:rPr>
          <w:lang w:val="fr-FR"/>
        </w:rPr>
      </w:pPr>
      <w:r w:rsidRPr="00DB38A0">
        <w:rPr>
          <w:lang w:val="fr-FR"/>
        </w:rPr>
        <w:t>5.  En 2006, la requérante adopta une enfant née le 15 septembre 1999. Une fois l</w:t>
      </w:r>
      <w:r w:rsidRPr="00DB38A0" w:rsidR="00DB38A0">
        <w:rPr>
          <w:lang w:val="fr-FR"/>
        </w:rPr>
        <w:t>’</w:t>
      </w:r>
      <w:r w:rsidRPr="00DB38A0">
        <w:rPr>
          <w:lang w:val="fr-FR"/>
        </w:rPr>
        <w:t>adoption finalisée, son nom de famille fut enregistré comme étant le nom de famille de l</w:t>
      </w:r>
      <w:r w:rsidRPr="00DB38A0" w:rsidR="00DB38A0">
        <w:rPr>
          <w:lang w:val="fr-FR"/>
        </w:rPr>
        <w:t>’</w:t>
      </w:r>
      <w:r w:rsidRPr="00DB38A0">
        <w:rPr>
          <w:lang w:val="fr-FR"/>
        </w:rPr>
        <w:t>enfant adoptée. La requérante pu également modifier le prénom de l</w:t>
      </w:r>
      <w:r w:rsidRPr="00DB38A0" w:rsidR="00DB38A0">
        <w:rPr>
          <w:lang w:val="fr-FR"/>
        </w:rPr>
        <w:t>’</w:t>
      </w:r>
      <w:r w:rsidRPr="00DB38A0">
        <w:rPr>
          <w:lang w:val="fr-FR"/>
        </w:rPr>
        <w:t>enfant adoptée.</w:t>
      </w:r>
    </w:p>
    <w:p w:rsidRPr="00DB38A0" w:rsidR="00C57B8D" w:rsidP="00DB38A0" w:rsidRDefault="00C57B8D">
      <w:pPr>
        <w:pStyle w:val="ECHRPara"/>
        <w:rPr>
          <w:lang w:val="fr-FR"/>
        </w:rPr>
      </w:pPr>
      <w:r w:rsidRPr="00DB38A0">
        <w:rPr>
          <w:lang w:val="fr-FR"/>
        </w:rPr>
        <w:t>6.  Le 7 novembre 2006, la requérante saisit le tribunal de grande instance de Tarsus (« le TGI ») d</w:t>
      </w:r>
      <w:r w:rsidRPr="00DB38A0" w:rsidR="00DB38A0">
        <w:rPr>
          <w:lang w:val="fr-FR"/>
        </w:rPr>
        <w:t>’</w:t>
      </w:r>
      <w:r w:rsidRPr="00DB38A0">
        <w:rPr>
          <w:lang w:val="fr-FR"/>
        </w:rPr>
        <w:t>une demande tendant à obtenir la modification des mentions des prénoms des parents biologiques de l</w:t>
      </w:r>
      <w:r w:rsidRPr="00DB38A0" w:rsidR="00DB38A0">
        <w:rPr>
          <w:lang w:val="fr-FR"/>
        </w:rPr>
        <w:t>’</w:t>
      </w:r>
      <w:r w:rsidRPr="00DB38A0">
        <w:rPr>
          <w:lang w:val="fr-FR"/>
        </w:rPr>
        <w:t>enfant sur ses documents d</w:t>
      </w:r>
      <w:r w:rsidRPr="00DB38A0" w:rsidR="00DB38A0">
        <w:rPr>
          <w:lang w:val="fr-FR"/>
        </w:rPr>
        <w:t>’</w:t>
      </w:r>
      <w:r w:rsidRPr="00DB38A0">
        <w:rPr>
          <w:lang w:val="fr-FR"/>
        </w:rPr>
        <w:t xml:space="preserve">état civil. </w:t>
      </w:r>
      <w:r w:rsidRPr="00DB38A0">
        <w:rPr>
          <w:rFonts w:cstheme="minorHAnsi"/>
          <w:lang w:val="fr-FR"/>
        </w:rPr>
        <w:t>À</w:t>
      </w:r>
      <w:r w:rsidRPr="00DB38A0">
        <w:rPr>
          <w:lang w:val="fr-FR"/>
        </w:rPr>
        <w:t xml:space="preserve"> l</w:t>
      </w:r>
      <w:r w:rsidRPr="00DB38A0" w:rsidR="00DB38A0">
        <w:rPr>
          <w:lang w:val="fr-FR"/>
        </w:rPr>
        <w:t>’</w:t>
      </w:r>
      <w:r w:rsidRPr="00DB38A0">
        <w:rPr>
          <w:lang w:val="fr-FR"/>
        </w:rPr>
        <w:t>appui de sa demande, elle fit valoir qu</w:t>
      </w:r>
      <w:r w:rsidRPr="00DB38A0" w:rsidR="00DB38A0">
        <w:rPr>
          <w:lang w:val="fr-FR"/>
        </w:rPr>
        <w:t>’</w:t>
      </w:r>
      <w:r w:rsidRPr="00DB38A0">
        <w:rPr>
          <w:lang w:val="fr-FR"/>
        </w:rPr>
        <w:t>ayant adopté seule sa fille et, parce qu</w:t>
      </w:r>
      <w:r w:rsidRPr="00DB38A0" w:rsidR="00DB38A0">
        <w:rPr>
          <w:lang w:val="fr-FR"/>
        </w:rPr>
        <w:t>’</w:t>
      </w:r>
      <w:r w:rsidRPr="00DB38A0">
        <w:rPr>
          <w:lang w:val="fr-FR"/>
        </w:rPr>
        <w:t>elle était célibataire, les prénoms des père et mère de l</w:t>
      </w:r>
      <w:r w:rsidRPr="00DB38A0" w:rsidR="00DB38A0">
        <w:rPr>
          <w:lang w:val="fr-FR"/>
        </w:rPr>
        <w:t>’</w:t>
      </w:r>
      <w:r w:rsidRPr="00DB38A0">
        <w:rPr>
          <w:lang w:val="fr-FR"/>
        </w:rPr>
        <w:t>enfant mentionnés au registre d</w:t>
      </w:r>
      <w:r w:rsidRPr="00DB38A0" w:rsidR="00DB38A0">
        <w:rPr>
          <w:lang w:val="fr-FR"/>
        </w:rPr>
        <w:t>’</w:t>
      </w:r>
      <w:r w:rsidRPr="00DB38A0">
        <w:rPr>
          <w:lang w:val="fr-FR"/>
        </w:rPr>
        <w:t>état civil étaient encore les prénoms de ses parents biologiques. Elle soutint que la mention des prénoms des parents biologiques sur la pièce d</w:t>
      </w:r>
      <w:r w:rsidRPr="00DB38A0" w:rsidR="00DB38A0">
        <w:rPr>
          <w:lang w:val="fr-FR"/>
        </w:rPr>
        <w:t>’</w:t>
      </w:r>
      <w:r w:rsidRPr="00DB38A0">
        <w:rPr>
          <w:lang w:val="fr-FR"/>
        </w:rPr>
        <w:t>identité de l</w:t>
      </w:r>
      <w:r w:rsidRPr="00DB38A0" w:rsidR="00DB38A0">
        <w:rPr>
          <w:lang w:val="fr-FR"/>
        </w:rPr>
        <w:t>’</w:t>
      </w:r>
      <w:r w:rsidRPr="00DB38A0">
        <w:rPr>
          <w:lang w:val="fr-FR"/>
        </w:rPr>
        <w:t>enfant avec son propre nom de famille pouvait être de nature à semer la confusion et avoir des conséquences négatives pour l</w:t>
      </w:r>
      <w:r w:rsidRPr="00DB38A0" w:rsidR="00DB38A0">
        <w:rPr>
          <w:lang w:val="fr-FR"/>
        </w:rPr>
        <w:t>’</w:t>
      </w:r>
      <w:r w:rsidRPr="00DB38A0">
        <w:rPr>
          <w:lang w:val="fr-FR"/>
        </w:rPr>
        <w:t>enfant en âge d</w:t>
      </w:r>
      <w:r w:rsidRPr="00DB38A0" w:rsidR="00DB38A0">
        <w:rPr>
          <w:lang w:val="fr-FR"/>
        </w:rPr>
        <w:t>’</w:t>
      </w:r>
      <w:r w:rsidRPr="00DB38A0">
        <w:rPr>
          <w:lang w:val="fr-FR"/>
        </w:rPr>
        <w:t>être scolarisée. Pour préserver la santé psychologique de l</w:t>
      </w:r>
      <w:r w:rsidRPr="00DB38A0" w:rsidR="00DB38A0">
        <w:rPr>
          <w:lang w:val="fr-FR"/>
        </w:rPr>
        <w:t>’</w:t>
      </w:r>
      <w:r w:rsidRPr="00DB38A0">
        <w:rPr>
          <w:lang w:val="fr-FR"/>
        </w:rPr>
        <w:t>enfant, elle demanda que son prénom soit mentionné comme étant celui de la mère de l</w:t>
      </w:r>
      <w:r w:rsidRPr="00DB38A0" w:rsidR="00DB38A0">
        <w:rPr>
          <w:lang w:val="fr-FR"/>
        </w:rPr>
        <w:t>’</w:t>
      </w:r>
      <w:r w:rsidRPr="00DB38A0">
        <w:rPr>
          <w:lang w:val="fr-FR"/>
        </w:rPr>
        <w:t>enfant sur les documents d</w:t>
      </w:r>
      <w:r w:rsidRPr="00DB38A0" w:rsidR="00DB38A0">
        <w:rPr>
          <w:lang w:val="fr-FR"/>
        </w:rPr>
        <w:t>’</w:t>
      </w:r>
      <w:r w:rsidRPr="00DB38A0">
        <w:rPr>
          <w:lang w:val="fr-FR"/>
        </w:rPr>
        <w:t>état civil et que le prénom de son propre père remplace celui du père biologique de l</w:t>
      </w:r>
      <w:r w:rsidRPr="00DB38A0" w:rsidR="00DB38A0">
        <w:rPr>
          <w:lang w:val="fr-FR"/>
        </w:rPr>
        <w:t>’</w:t>
      </w:r>
      <w:r w:rsidRPr="00DB38A0">
        <w:rPr>
          <w:lang w:val="fr-FR"/>
        </w:rPr>
        <w:t>enfant. Au cours de la procédure, la requérante soutint également être contrainte d</w:t>
      </w:r>
      <w:r w:rsidRPr="00DB38A0" w:rsidR="00DB38A0">
        <w:rPr>
          <w:lang w:val="fr-FR"/>
        </w:rPr>
        <w:t>’</w:t>
      </w:r>
      <w:r w:rsidRPr="00DB38A0">
        <w:rPr>
          <w:lang w:val="fr-FR"/>
        </w:rPr>
        <w:t>avoir en permanence avec elle son livret de famille pour toute formalité concernant l</w:t>
      </w:r>
      <w:r w:rsidRPr="00DB38A0" w:rsidR="00DB38A0">
        <w:rPr>
          <w:lang w:val="fr-FR"/>
        </w:rPr>
        <w:t>’</w:t>
      </w:r>
      <w:r w:rsidRPr="00DB38A0">
        <w:rPr>
          <w:lang w:val="fr-FR"/>
        </w:rPr>
        <w:t>enfant et, qu</w:t>
      </w:r>
      <w:r w:rsidRPr="00DB38A0" w:rsidR="00DB38A0">
        <w:rPr>
          <w:lang w:val="fr-FR"/>
        </w:rPr>
        <w:t>’</w:t>
      </w:r>
      <w:r w:rsidRPr="00DB38A0">
        <w:rPr>
          <w:lang w:val="fr-FR"/>
        </w:rPr>
        <w:t>à défaut, elle ne parvenait pas à démontrer qu</w:t>
      </w:r>
      <w:r w:rsidRPr="00DB38A0" w:rsidR="00DB38A0">
        <w:rPr>
          <w:lang w:val="fr-FR"/>
        </w:rPr>
        <w:t>’</w:t>
      </w:r>
      <w:r w:rsidRPr="00DB38A0">
        <w:rPr>
          <w:lang w:val="fr-FR"/>
        </w:rPr>
        <w:t>elle était sa mère.</w:t>
      </w:r>
    </w:p>
    <w:p w:rsidRPr="00DB38A0" w:rsidR="00C57B8D" w:rsidP="00DB38A0" w:rsidRDefault="00C57B8D">
      <w:pPr>
        <w:pStyle w:val="ECHRPara"/>
        <w:rPr>
          <w:lang w:val="fr-FR"/>
        </w:rPr>
      </w:pPr>
      <w:r w:rsidRPr="00DB38A0">
        <w:rPr>
          <w:lang w:val="fr-FR"/>
        </w:rPr>
        <w:t>7.  Dans son avis sur l</w:t>
      </w:r>
      <w:r w:rsidRPr="00DB38A0" w:rsidR="00DB38A0">
        <w:rPr>
          <w:lang w:val="fr-FR"/>
        </w:rPr>
        <w:t>’</w:t>
      </w:r>
      <w:r w:rsidRPr="00DB38A0">
        <w:rPr>
          <w:lang w:val="fr-FR"/>
        </w:rPr>
        <w:t>affaire, le procureur de la République invita le TGI à rejeter la demande de la requérante pour défaut de base légale et argua également que l</w:t>
      </w:r>
      <w:r w:rsidRPr="00DB38A0" w:rsidR="00DB38A0">
        <w:rPr>
          <w:lang w:val="fr-FR"/>
        </w:rPr>
        <w:t>’</w:t>
      </w:r>
      <w:r w:rsidRPr="00DB38A0">
        <w:rPr>
          <w:lang w:val="fr-FR"/>
        </w:rPr>
        <w:t>acceptation de celle-ci porterait atteinte à la « lignée » de l</w:t>
      </w:r>
      <w:r w:rsidRPr="00DB38A0" w:rsidR="00DB38A0">
        <w:rPr>
          <w:lang w:val="fr-FR"/>
        </w:rPr>
        <w:t>’</w:t>
      </w:r>
      <w:r w:rsidRPr="00DB38A0">
        <w:rPr>
          <w:lang w:val="fr-FR"/>
        </w:rPr>
        <w:t>enfant.</w:t>
      </w:r>
    </w:p>
    <w:p w:rsidRPr="00DB38A0" w:rsidR="00C57B8D" w:rsidP="00DB38A0" w:rsidRDefault="00C57B8D">
      <w:pPr>
        <w:pStyle w:val="ECHRPara"/>
        <w:rPr>
          <w:lang w:val="fr-FR"/>
        </w:rPr>
      </w:pPr>
      <w:r w:rsidRPr="00DB38A0">
        <w:rPr>
          <w:lang w:val="fr-FR"/>
        </w:rPr>
        <w:t>8.  Le 13 mars 2007, le TGI rejeta la demande de la requérante aux motifs que la mineure adoptée n</w:t>
      </w:r>
      <w:r w:rsidRPr="00DB38A0" w:rsidR="00DB38A0">
        <w:rPr>
          <w:lang w:val="fr-FR"/>
        </w:rPr>
        <w:t>’</w:t>
      </w:r>
      <w:r w:rsidRPr="00DB38A0">
        <w:rPr>
          <w:lang w:val="fr-FR"/>
        </w:rPr>
        <w:t>était pas une enfant abandonnée, que l</w:t>
      </w:r>
      <w:r w:rsidRPr="00DB38A0" w:rsidR="00DB38A0">
        <w:rPr>
          <w:lang w:val="fr-FR"/>
        </w:rPr>
        <w:t>’</w:t>
      </w:r>
      <w:r w:rsidRPr="00DB38A0">
        <w:rPr>
          <w:lang w:val="fr-FR"/>
        </w:rPr>
        <w:t>identité de ses parents biologiques était connue, que sa filiation était établie, que la modification demandée risquait de créer une confusion quant à cette filiation et que la requérante, qui avait adopté seule l</w:t>
      </w:r>
      <w:r w:rsidRPr="00DB38A0" w:rsidR="00DB38A0">
        <w:rPr>
          <w:lang w:val="fr-FR"/>
        </w:rPr>
        <w:t>’</w:t>
      </w:r>
      <w:r w:rsidRPr="00DB38A0">
        <w:rPr>
          <w:lang w:val="fr-FR"/>
        </w:rPr>
        <w:t>enfant, ne pouvait demander la modification des prénoms des père et mère en vertu du code civil. Selon le TGI, si la modification de prénoms fictifs utilisés en lieu et place de ceux des parents lorsqu</w:t>
      </w:r>
      <w:r w:rsidRPr="00DB38A0" w:rsidR="00DB38A0">
        <w:rPr>
          <w:lang w:val="fr-FR"/>
        </w:rPr>
        <w:t>’</w:t>
      </w:r>
      <w:r w:rsidRPr="00DB38A0">
        <w:rPr>
          <w:lang w:val="fr-FR"/>
        </w:rPr>
        <w:t>un enfant avait été abandonné ne posait pas de problème, tel n</w:t>
      </w:r>
      <w:r w:rsidRPr="00DB38A0" w:rsidR="00DB38A0">
        <w:rPr>
          <w:lang w:val="fr-FR"/>
        </w:rPr>
        <w:t>’</w:t>
      </w:r>
      <w:r w:rsidRPr="00DB38A0">
        <w:rPr>
          <w:lang w:val="fr-FR"/>
        </w:rPr>
        <w:t>était pas le cas en l</w:t>
      </w:r>
      <w:r w:rsidRPr="00DB38A0" w:rsidR="00DB38A0">
        <w:rPr>
          <w:lang w:val="fr-FR"/>
        </w:rPr>
        <w:t>’</w:t>
      </w:r>
      <w:r w:rsidRPr="00DB38A0">
        <w:rPr>
          <w:lang w:val="fr-FR"/>
        </w:rPr>
        <w:t>espèce.</w:t>
      </w:r>
    </w:p>
    <w:p w:rsidRPr="00DB38A0" w:rsidR="00C57B8D" w:rsidP="00DB38A0" w:rsidRDefault="00C57B8D">
      <w:pPr>
        <w:pStyle w:val="ECHRPara"/>
        <w:rPr>
          <w:lang w:val="fr-FR"/>
        </w:rPr>
      </w:pPr>
      <w:r w:rsidRPr="00DB38A0">
        <w:rPr>
          <w:lang w:val="fr-FR"/>
        </w:rPr>
        <w:t>9.  Le 9 octobre 2007, la Cour de cassation rejeta le pourvoi de la requérante et rendit un arrêt confirmant la décision de première instance.</w:t>
      </w:r>
    </w:p>
    <w:p w:rsidRPr="00DB38A0" w:rsidR="00C57B8D" w:rsidP="00DB38A0" w:rsidRDefault="00C57B8D">
      <w:pPr>
        <w:pStyle w:val="ECHRPara"/>
        <w:rPr>
          <w:lang w:val="fr-FR"/>
        </w:rPr>
      </w:pPr>
      <w:r w:rsidRPr="00DB38A0">
        <w:rPr>
          <w:lang w:val="fr-FR"/>
        </w:rPr>
        <w:t>10.  Le 19 mars 2008, le recours en rectification formé par la requérante contre cet arrêt fut rejeté.</w:t>
      </w:r>
    </w:p>
    <w:p w:rsidRPr="00DB38A0" w:rsidR="00C57B8D" w:rsidP="00DB38A0" w:rsidRDefault="00C57B8D">
      <w:pPr>
        <w:pStyle w:val="ECHRHeading1"/>
        <w:rPr>
          <w:lang w:val="fr-FR"/>
        </w:rPr>
      </w:pPr>
      <w:r w:rsidRPr="00DB38A0">
        <w:rPr>
          <w:lang w:val="fr-FR"/>
        </w:rPr>
        <w:t>II.  LE DROIT ET LA PRATIQUE INTERNES PERTINENTS</w:t>
      </w:r>
    </w:p>
    <w:p w:rsidRPr="00DB38A0" w:rsidR="00C57B8D" w:rsidP="00DB38A0" w:rsidRDefault="00C57B8D">
      <w:pPr>
        <w:pStyle w:val="ECHRPara"/>
        <w:rPr>
          <w:snapToGrid w:val="0"/>
          <w:lang w:val="pt-PT"/>
        </w:rPr>
      </w:pPr>
      <w:r w:rsidRPr="00DB38A0">
        <w:rPr>
          <w:lang w:val="fr-FR"/>
        </w:rPr>
        <w:t>11.  Le droit et la pratique internes pertinents à l</w:t>
      </w:r>
      <w:r w:rsidRPr="00DB38A0" w:rsidR="00DB38A0">
        <w:rPr>
          <w:lang w:val="fr-FR"/>
        </w:rPr>
        <w:t>’</w:t>
      </w:r>
      <w:r w:rsidRPr="00DB38A0">
        <w:rPr>
          <w:lang w:val="fr-FR"/>
        </w:rPr>
        <w:t>époque des faits sont décrits dans l</w:t>
      </w:r>
      <w:r w:rsidRPr="00DB38A0" w:rsidR="00DB38A0">
        <w:rPr>
          <w:lang w:val="fr-FR"/>
        </w:rPr>
        <w:t>’</w:t>
      </w:r>
      <w:r w:rsidRPr="00DB38A0">
        <w:rPr>
          <w:lang w:val="fr-FR"/>
        </w:rPr>
        <w:t xml:space="preserve">affaire </w:t>
      </w:r>
      <w:proofErr w:type="spellStart"/>
      <w:r w:rsidRPr="00DB38A0">
        <w:rPr>
          <w:i/>
          <w:lang w:val="pt-PT"/>
        </w:rPr>
        <w:t>Gözüm</w:t>
      </w:r>
      <w:proofErr w:type="spellEnd"/>
      <w:r w:rsidRPr="00DB38A0">
        <w:rPr>
          <w:i/>
          <w:lang w:val="pt-PT"/>
        </w:rPr>
        <w:t xml:space="preserve"> c. </w:t>
      </w:r>
      <w:proofErr w:type="spellStart"/>
      <w:r w:rsidRPr="00DB38A0">
        <w:rPr>
          <w:i/>
          <w:lang w:val="pt-PT"/>
        </w:rPr>
        <w:t>Turquie</w:t>
      </w:r>
      <w:proofErr w:type="spellEnd"/>
      <w:r w:rsidRPr="00DB38A0">
        <w:rPr>
          <w:lang w:val="pt-PT"/>
        </w:rPr>
        <w:t xml:space="preserve"> (n</w:t>
      </w:r>
      <w:r w:rsidRPr="00DB38A0">
        <w:rPr>
          <w:vertAlign w:val="superscript"/>
          <w:lang w:val="pt-PT"/>
        </w:rPr>
        <w:t>o</w:t>
      </w:r>
      <w:r w:rsidRPr="00DB38A0">
        <w:rPr>
          <w:lang w:val="pt-PT"/>
        </w:rPr>
        <w:t xml:space="preserve"> 4789/10</w:t>
      </w:r>
      <w:r w:rsidRPr="00DB38A0">
        <w:rPr>
          <w:snapToGrid w:val="0"/>
          <w:lang w:val="pt-PT"/>
        </w:rPr>
        <w:t xml:space="preserve">, §§ 13-14, 20 </w:t>
      </w:r>
      <w:r w:rsidRPr="00DB38A0">
        <w:rPr>
          <w:lang w:val="fr-FR"/>
        </w:rPr>
        <w:t>janvier</w:t>
      </w:r>
      <w:r w:rsidRPr="00DB38A0">
        <w:rPr>
          <w:snapToGrid w:val="0"/>
          <w:lang w:val="pt-PT"/>
        </w:rPr>
        <w:t xml:space="preserve"> 2015).</w:t>
      </w:r>
    </w:p>
    <w:p w:rsidRPr="00DB38A0" w:rsidR="00C57B8D" w:rsidP="00DB38A0" w:rsidRDefault="00C57B8D">
      <w:pPr>
        <w:pStyle w:val="ECHRPara"/>
        <w:rPr>
          <w:lang w:val="fr-FR"/>
        </w:rPr>
      </w:pPr>
      <w:r w:rsidRPr="00DB38A0">
        <w:rPr>
          <w:lang w:val="fr-FR"/>
        </w:rPr>
        <w:t xml:space="preserve">12.  Le 19 octobre 2017, un article 10 provisoire a </w:t>
      </w:r>
      <w:r w:rsidRPr="00DB38A0" w:rsidR="00C35285">
        <w:rPr>
          <w:lang w:val="fr-FR"/>
        </w:rPr>
        <w:t>été ajouté à la loi </w:t>
      </w:r>
      <w:r w:rsidRPr="00DB38A0">
        <w:rPr>
          <w:lang w:val="fr-FR"/>
        </w:rPr>
        <w:t>n</w:t>
      </w:r>
      <w:r w:rsidRPr="00DB38A0">
        <w:rPr>
          <w:vertAlign w:val="superscript"/>
          <w:lang w:val="fr-FR"/>
        </w:rPr>
        <w:t>o</w:t>
      </w:r>
      <w:r w:rsidRPr="00DB38A0">
        <w:rPr>
          <w:lang w:val="fr-FR"/>
        </w:rPr>
        <w:t> 5490 relative aux services de l</w:t>
      </w:r>
      <w:r w:rsidRPr="00DB38A0" w:rsidR="00DB38A0">
        <w:rPr>
          <w:lang w:val="fr-FR"/>
        </w:rPr>
        <w:t>’</w:t>
      </w:r>
      <w:r w:rsidRPr="00DB38A0">
        <w:rPr>
          <w:lang w:val="fr-FR"/>
        </w:rPr>
        <w:t>état civil (« loi n</w:t>
      </w:r>
      <w:r w:rsidRPr="00DB38A0">
        <w:rPr>
          <w:vertAlign w:val="superscript"/>
          <w:lang w:val="fr-FR"/>
        </w:rPr>
        <w:t>o</w:t>
      </w:r>
      <w:r w:rsidRPr="00DB38A0">
        <w:rPr>
          <w:lang w:val="fr-FR"/>
        </w:rPr>
        <w:t xml:space="preserve"> 5490 ») lequel prévoit la possibilité pour les enfants ou adultes adoptés par un parent seul ou des parents conjointement avant l</w:t>
      </w:r>
      <w:r w:rsidRPr="00DB38A0" w:rsidR="00DB38A0">
        <w:rPr>
          <w:lang w:val="fr-FR"/>
        </w:rPr>
        <w:t>’</w:t>
      </w:r>
      <w:r w:rsidRPr="00DB38A0">
        <w:rPr>
          <w:lang w:val="fr-FR"/>
        </w:rPr>
        <w:t>entrée en vigueur de cet article, d</w:t>
      </w:r>
      <w:r w:rsidRPr="00DB38A0" w:rsidR="00DB38A0">
        <w:rPr>
          <w:lang w:val="fr-FR"/>
        </w:rPr>
        <w:t>’</w:t>
      </w:r>
      <w:r w:rsidRPr="00DB38A0">
        <w:rPr>
          <w:lang w:val="fr-FR"/>
        </w:rPr>
        <w:t>obtenir l</w:t>
      </w:r>
      <w:r w:rsidRPr="00DB38A0" w:rsidR="00DB38A0">
        <w:rPr>
          <w:lang w:val="fr-FR"/>
        </w:rPr>
        <w:t>’</w:t>
      </w:r>
      <w:r w:rsidRPr="00DB38A0">
        <w:rPr>
          <w:lang w:val="fr-FR"/>
        </w:rPr>
        <w:t>inscription au registre civil des prénoms ou noms des père et/ou mère adoptifs, en cas de saisine à cette fin des directions de l</w:t>
      </w:r>
      <w:r w:rsidRPr="00DB38A0" w:rsidR="00DB38A0">
        <w:rPr>
          <w:lang w:val="fr-FR"/>
        </w:rPr>
        <w:t>’</w:t>
      </w:r>
      <w:r w:rsidRPr="00DB38A0">
        <w:rPr>
          <w:lang w:val="fr-FR"/>
        </w:rPr>
        <w:t>état civil, dans les cinq ans suivants l</w:t>
      </w:r>
      <w:r w:rsidRPr="00DB38A0" w:rsidR="00DB38A0">
        <w:rPr>
          <w:lang w:val="fr-FR"/>
        </w:rPr>
        <w:t>’</w:t>
      </w:r>
      <w:r w:rsidRPr="00DB38A0">
        <w:rPr>
          <w:lang w:val="fr-FR"/>
        </w:rPr>
        <w:t>entrée en vigueur de cet article. Le consentement de l</w:t>
      </w:r>
      <w:r w:rsidRPr="00DB38A0" w:rsidR="00DB38A0">
        <w:rPr>
          <w:lang w:val="fr-FR"/>
        </w:rPr>
        <w:t>’</w:t>
      </w:r>
      <w:r w:rsidRPr="00DB38A0">
        <w:rPr>
          <w:lang w:val="fr-FR"/>
        </w:rPr>
        <w:t>enfant adolescent et ayant la capacité de discernement à la date d</w:t>
      </w:r>
      <w:r w:rsidRPr="00DB38A0" w:rsidR="00DB38A0">
        <w:rPr>
          <w:lang w:val="fr-FR"/>
        </w:rPr>
        <w:t>’</w:t>
      </w:r>
      <w:r w:rsidRPr="00DB38A0">
        <w:rPr>
          <w:lang w:val="fr-FR"/>
        </w:rPr>
        <w:t>entrée en vigueur de cette loi est recherché.</w:t>
      </w:r>
    </w:p>
    <w:p w:rsidRPr="00DB38A0" w:rsidR="00C57B8D" w:rsidP="00DB38A0" w:rsidRDefault="00C57B8D">
      <w:pPr>
        <w:pStyle w:val="ECHRTitle1"/>
        <w:rPr>
          <w:lang w:val="fr-FR"/>
        </w:rPr>
      </w:pPr>
      <w:r w:rsidRPr="00DB38A0">
        <w:rPr>
          <w:lang w:val="fr-FR"/>
        </w:rPr>
        <w:t>EN DROIT</w:t>
      </w:r>
    </w:p>
    <w:p w:rsidRPr="00DB38A0" w:rsidR="00C57B8D" w:rsidP="00DB38A0" w:rsidRDefault="00C57B8D">
      <w:pPr>
        <w:pStyle w:val="ECHRHeading1"/>
        <w:rPr>
          <w:lang w:val="fr-FR"/>
        </w:rPr>
      </w:pPr>
      <w:r w:rsidRPr="00DB38A0">
        <w:rPr>
          <w:lang w:val="fr-FR"/>
        </w:rPr>
        <w:t>I.  SUR LA VIOLATION ALLÉGUÉE DE L</w:t>
      </w:r>
      <w:r w:rsidRPr="00DB38A0" w:rsidR="00DB38A0">
        <w:rPr>
          <w:lang w:val="fr-FR"/>
        </w:rPr>
        <w:t>’</w:t>
      </w:r>
      <w:r w:rsidRPr="00DB38A0">
        <w:rPr>
          <w:lang w:val="fr-FR"/>
        </w:rPr>
        <w:t>ARTICLE 8 DE LA CONVENTION</w:t>
      </w:r>
    </w:p>
    <w:p w:rsidRPr="00DB38A0" w:rsidR="00C57B8D" w:rsidP="00DB38A0" w:rsidRDefault="00C57B8D">
      <w:pPr>
        <w:pStyle w:val="ECHRPara"/>
        <w:rPr>
          <w:lang w:val="fr-FR"/>
        </w:rPr>
      </w:pPr>
      <w:r w:rsidRPr="00DB38A0">
        <w:rPr>
          <w:lang w:val="fr-FR"/>
        </w:rPr>
        <w:t>13.  La requérante allègue une violation de son droit au respect de la vie familiale tel que prévu par l</w:t>
      </w:r>
      <w:r w:rsidRPr="00DB38A0" w:rsidR="00DB38A0">
        <w:rPr>
          <w:lang w:val="fr-FR"/>
        </w:rPr>
        <w:t>’</w:t>
      </w:r>
      <w:r w:rsidRPr="00DB38A0">
        <w:rPr>
          <w:lang w:val="fr-FR"/>
        </w:rPr>
        <w:t>article 8 de la Convention et dénonce également, en termes généraux, une violation de l</w:t>
      </w:r>
      <w:r w:rsidRPr="00DB38A0" w:rsidR="00DB38A0">
        <w:rPr>
          <w:lang w:val="fr-FR"/>
        </w:rPr>
        <w:t>’</w:t>
      </w:r>
      <w:r w:rsidRPr="00DB38A0">
        <w:rPr>
          <w:lang w:val="fr-FR"/>
        </w:rPr>
        <w:t>article 14 de la Convention. Maîtresse de la qualification juridique des faits de la cause, la Cour estime qu</w:t>
      </w:r>
      <w:r w:rsidRPr="00DB38A0" w:rsidR="00DB38A0">
        <w:rPr>
          <w:lang w:val="fr-FR"/>
        </w:rPr>
        <w:t>’</w:t>
      </w:r>
      <w:r w:rsidRPr="00DB38A0">
        <w:rPr>
          <w:lang w:val="fr-FR"/>
        </w:rPr>
        <w:t>eu égard à leur formulation, ces griefs doivent être examinés sous l</w:t>
      </w:r>
      <w:r w:rsidRPr="00DB38A0" w:rsidR="00DB38A0">
        <w:rPr>
          <w:lang w:val="fr-FR"/>
        </w:rPr>
        <w:t>’</w:t>
      </w:r>
      <w:r w:rsidRPr="00DB38A0">
        <w:rPr>
          <w:lang w:val="fr-FR"/>
        </w:rPr>
        <w:t>angle de l</w:t>
      </w:r>
      <w:r w:rsidRPr="00DB38A0" w:rsidR="00DB38A0">
        <w:rPr>
          <w:lang w:val="fr-FR"/>
        </w:rPr>
        <w:t>’</w:t>
      </w:r>
      <w:r w:rsidRPr="00DB38A0">
        <w:rPr>
          <w:lang w:val="fr-FR"/>
        </w:rPr>
        <w:t>article 8 de la Convention, ainsi libellé :</w:t>
      </w:r>
    </w:p>
    <w:p w:rsidRPr="00DB38A0" w:rsidR="00C57B8D" w:rsidP="00DB38A0" w:rsidRDefault="00C57B8D">
      <w:pPr>
        <w:pStyle w:val="ECHRParaQuote"/>
        <w:rPr>
          <w:lang w:val="fr-FR"/>
        </w:rPr>
      </w:pPr>
      <w:r w:rsidRPr="00DB38A0">
        <w:rPr>
          <w:lang w:val="fr-FR"/>
        </w:rPr>
        <w:t>« 1. Toute personne a droit au respect de sa vie privée et familiale (...)</w:t>
      </w:r>
    </w:p>
    <w:p w:rsidRPr="00DB38A0" w:rsidR="00C57B8D" w:rsidP="00DB38A0" w:rsidRDefault="00C57B8D">
      <w:pPr>
        <w:pStyle w:val="ECHRParaQuote"/>
        <w:rPr>
          <w:lang w:val="fr-FR"/>
        </w:rPr>
      </w:pPr>
      <w:r w:rsidRPr="00DB38A0">
        <w:rPr>
          <w:lang w:val="fr-FR"/>
        </w:rPr>
        <w:t>2. Il ne peut y avoir ingérence d</w:t>
      </w:r>
      <w:r w:rsidRPr="00DB38A0" w:rsidR="00DB38A0">
        <w:rPr>
          <w:lang w:val="fr-FR"/>
        </w:rPr>
        <w:t>’</w:t>
      </w:r>
      <w:r w:rsidRPr="00DB38A0">
        <w:rPr>
          <w:lang w:val="fr-FR"/>
        </w:rPr>
        <w:t>une autorité publique dans l</w:t>
      </w:r>
      <w:r w:rsidRPr="00DB38A0" w:rsidR="00DB38A0">
        <w:rPr>
          <w:lang w:val="fr-FR"/>
        </w:rPr>
        <w:t>’</w:t>
      </w:r>
      <w:r w:rsidRPr="00DB38A0">
        <w:rPr>
          <w:lang w:val="fr-FR"/>
        </w:rPr>
        <w:t>exercice de ce droit que pour autant que cette ingérence est prévue par la loi et qu</w:t>
      </w:r>
      <w:r w:rsidRPr="00DB38A0" w:rsidR="00DB38A0">
        <w:rPr>
          <w:lang w:val="fr-FR"/>
        </w:rPr>
        <w:t>’</w:t>
      </w:r>
      <w:r w:rsidRPr="00DB38A0">
        <w:rPr>
          <w:lang w:val="fr-FR"/>
        </w:rPr>
        <w:t>elle constitue une mesure qui, dans une société démocratique, est nécessaire à la sécurité nationale, à la sûreté publique, au bien-être économique du pays, à la défense de l</w:t>
      </w:r>
      <w:r w:rsidRPr="00DB38A0" w:rsidR="00DB38A0">
        <w:rPr>
          <w:lang w:val="fr-FR"/>
        </w:rPr>
        <w:t>’</w:t>
      </w:r>
      <w:r w:rsidRPr="00DB38A0">
        <w:rPr>
          <w:lang w:val="fr-FR"/>
        </w:rPr>
        <w:t>ordre et à la prévention des infractions pénales, à la protection de la santé ou de la morale, ou à la protection des droits et libertés d</w:t>
      </w:r>
      <w:r w:rsidRPr="00DB38A0" w:rsidR="00DB38A0">
        <w:rPr>
          <w:lang w:val="fr-FR"/>
        </w:rPr>
        <w:t>’</w:t>
      </w:r>
      <w:r w:rsidRPr="00DB38A0">
        <w:rPr>
          <w:lang w:val="fr-FR"/>
        </w:rPr>
        <w:t>autrui.»</w:t>
      </w:r>
    </w:p>
    <w:p w:rsidRPr="00DB38A0" w:rsidR="00C57B8D" w:rsidP="00DB38A0" w:rsidRDefault="00C57B8D">
      <w:pPr>
        <w:pStyle w:val="ECHRPara"/>
        <w:rPr>
          <w:lang w:val="fr-FR"/>
        </w:rPr>
      </w:pPr>
      <w:r w:rsidRPr="00DB38A0">
        <w:rPr>
          <w:lang w:val="fr-FR"/>
        </w:rPr>
        <w:t>14.  Le Gouvernement s</w:t>
      </w:r>
      <w:r w:rsidRPr="00DB38A0" w:rsidR="00DB38A0">
        <w:rPr>
          <w:lang w:val="fr-FR"/>
        </w:rPr>
        <w:t>’</w:t>
      </w:r>
      <w:r w:rsidRPr="00DB38A0">
        <w:rPr>
          <w:lang w:val="fr-FR"/>
        </w:rPr>
        <w:t>oppose à cette thèse.</w:t>
      </w:r>
    </w:p>
    <w:p w:rsidRPr="00DB38A0" w:rsidR="00C57B8D" w:rsidP="00DB38A0" w:rsidRDefault="00C57B8D">
      <w:pPr>
        <w:pStyle w:val="ECHRHeading2"/>
        <w:rPr>
          <w:lang w:val="fr-FR"/>
        </w:rPr>
      </w:pPr>
      <w:r w:rsidRPr="00DB38A0">
        <w:rPr>
          <w:lang w:val="fr-FR"/>
        </w:rPr>
        <w:t>A.  Sur la recevabilité</w:t>
      </w:r>
    </w:p>
    <w:p w:rsidRPr="00DB38A0" w:rsidR="00C57B8D" w:rsidP="00DB38A0" w:rsidRDefault="00C57B8D">
      <w:pPr>
        <w:pStyle w:val="ECHRPara"/>
        <w:rPr>
          <w:lang w:val="fr-FR"/>
        </w:rPr>
      </w:pPr>
      <w:r w:rsidRPr="00DB38A0">
        <w:rPr>
          <w:lang w:val="fr-FR"/>
        </w:rPr>
        <w:t>15.  Le Gouvernement excipe de plusieurs exceptions d</w:t>
      </w:r>
      <w:r w:rsidRPr="00DB38A0" w:rsidR="00DB38A0">
        <w:rPr>
          <w:lang w:val="fr-FR"/>
        </w:rPr>
        <w:t>’</w:t>
      </w:r>
      <w:r w:rsidRPr="00DB38A0">
        <w:rPr>
          <w:lang w:val="fr-FR"/>
        </w:rPr>
        <w:t>irrecevabilité. Il soutient tout d</w:t>
      </w:r>
      <w:r w:rsidRPr="00DB38A0" w:rsidR="00DB38A0">
        <w:rPr>
          <w:lang w:val="fr-FR"/>
        </w:rPr>
        <w:t>’</w:t>
      </w:r>
      <w:r w:rsidRPr="00DB38A0">
        <w:rPr>
          <w:lang w:val="fr-FR"/>
        </w:rPr>
        <w:t>abord que la requête est tardive faute pour la requérante d</w:t>
      </w:r>
      <w:r w:rsidRPr="00DB38A0" w:rsidR="00DB38A0">
        <w:rPr>
          <w:lang w:val="fr-FR"/>
        </w:rPr>
        <w:t>’</w:t>
      </w:r>
      <w:r w:rsidRPr="00DB38A0">
        <w:rPr>
          <w:lang w:val="fr-FR"/>
        </w:rPr>
        <w:t>avoir saisi la Cour dans les six mois suivant l</w:t>
      </w:r>
      <w:r w:rsidRPr="00DB38A0" w:rsidR="00DB38A0">
        <w:rPr>
          <w:lang w:val="fr-FR"/>
        </w:rPr>
        <w:t>’</w:t>
      </w:r>
      <w:r w:rsidRPr="00DB38A0">
        <w:rPr>
          <w:lang w:val="fr-FR"/>
        </w:rPr>
        <w:t>arrêt au fond de la Cour de cassation. À cet égard, il fait valoir que le recours en rectification d</w:t>
      </w:r>
      <w:r w:rsidRPr="00DB38A0" w:rsidR="00DB38A0">
        <w:rPr>
          <w:lang w:val="fr-FR"/>
        </w:rPr>
        <w:t>’</w:t>
      </w:r>
      <w:r w:rsidRPr="00DB38A0">
        <w:rPr>
          <w:lang w:val="fr-FR"/>
        </w:rPr>
        <w:t>arrêt n</w:t>
      </w:r>
      <w:r w:rsidRPr="00DB38A0" w:rsidR="00DB38A0">
        <w:rPr>
          <w:lang w:val="fr-FR"/>
        </w:rPr>
        <w:t>’</w:t>
      </w:r>
      <w:r w:rsidRPr="00DB38A0">
        <w:rPr>
          <w:lang w:val="fr-FR"/>
        </w:rPr>
        <w:t>est pas une voie de recours effective. Se prévalant ensuite de l</w:t>
      </w:r>
      <w:r w:rsidRPr="00DB38A0" w:rsidR="00DB38A0">
        <w:rPr>
          <w:lang w:val="fr-FR"/>
        </w:rPr>
        <w:t>’</w:t>
      </w:r>
      <w:r w:rsidRPr="00DB38A0">
        <w:rPr>
          <w:lang w:val="fr-FR"/>
        </w:rPr>
        <w:t>entrée en vigueur de l</w:t>
      </w:r>
      <w:r w:rsidRPr="00DB38A0" w:rsidR="00DB38A0">
        <w:rPr>
          <w:lang w:val="fr-FR"/>
        </w:rPr>
        <w:t>’</w:t>
      </w:r>
      <w:r w:rsidRPr="00DB38A0">
        <w:rPr>
          <w:lang w:val="fr-FR"/>
        </w:rPr>
        <w:t>article 10 provisoire de la loi n</w:t>
      </w:r>
      <w:r w:rsidRPr="00DB38A0">
        <w:rPr>
          <w:vertAlign w:val="superscript"/>
          <w:lang w:val="fr-FR"/>
        </w:rPr>
        <w:t>o</w:t>
      </w:r>
      <w:r w:rsidRPr="00DB38A0">
        <w:rPr>
          <w:lang w:val="fr-FR"/>
        </w:rPr>
        <w:t> 5490 qui permettrait à un parent adoptif seul d</w:t>
      </w:r>
      <w:r w:rsidRPr="00DB38A0" w:rsidR="00DB38A0">
        <w:rPr>
          <w:lang w:val="fr-FR"/>
        </w:rPr>
        <w:t>’</w:t>
      </w:r>
      <w:r w:rsidRPr="00DB38A0">
        <w:rPr>
          <w:lang w:val="fr-FR"/>
        </w:rPr>
        <w:t>obtenir l</w:t>
      </w:r>
      <w:r w:rsidRPr="00DB38A0" w:rsidR="00DB38A0">
        <w:rPr>
          <w:lang w:val="fr-FR"/>
        </w:rPr>
        <w:t>’</w:t>
      </w:r>
      <w:r w:rsidRPr="00DB38A0">
        <w:rPr>
          <w:lang w:val="fr-FR"/>
        </w:rPr>
        <w:t>inscription de son prénom en lieu et place de celui du parent biologique, le Gouvernement excipe également du non-épuisement des voies de recours internes. Il soutient que la requérante a omis de recourir à la possibilité qui lui était ainsi offerte. Enfin le Gouvernement argue de l</w:t>
      </w:r>
      <w:r w:rsidRPr="00DB38A0" w:rsidR="00DB38A0">
        <w:rPr>
          <w:lang w:val="fr-FR"/>
        </w:rPr>
        <w:t>’</w:t>
      </w:r>
      <w:r w:rsidRPr="00DB38A0">
        <w:rPr>
          <w:lang w:val="fr-FR"/>
        </w:rPr>
        <w:t xml:space="preserve">incompatibilité </w:t>
      </w:r>
      <w:proofErr w:type="spellStart"/>
      <w:r w:rsidRPr="00DB38A0">
        <w:rPr>
          <w:i/>
          <w:lang w:val="fr-FR"/>
        </w:rPr>
        <w:t>ratione</w:t>
      </w:r>
      <w:proofErr w:type="spellEnd"/>
      <w:r w:rsidRPr="00DB38A0">
        <w:rPr>
          <w:i/>
          <w:lang w:val="fr-FR"/>
        </w:rPr>
        <w:t xml:space="preserve"> personae</w:t>
      </w:r>
      <w:r w:rsidRPr="00DB38A0">
        <w:rPr>
          <w:lang w:val="fr-FR"/>
        </w:rPr>
        <w:t xml:space="preserve"> de la requête au motif que l</w:t>
      </w:r>
      <w:r w:rsidRPr="00DB38A0" w:rsidR="00DB38A0">
        <w:rPr>
          <w:lang w:val="fr-FR"/>
        </w:rPr>
        <w:t>’</w:t>
      </w:r>
      <w:r w:rsidRPr="00DB38A0">
        <w:rPr>
          <w:lang w:val="fr-FR"/>
        </w:rPr>
        <w:t>enfant était âgée de 9 ans au moment de l</w:t>
      </w:r>
      <w:r w:rsidRPr="00DB38A0" w:rsidR="00DB38A0">
        <w:rPr>
          <w:lang w:val="fr-FR"/>
        </w:rPr>
        <w:t>’</w:t>
      </w:r>
      <w:r w:rsidRPr="00DB38A0">
        <w:rPr>
          <w:lang w:val="fr-FR"/>
        </w:rPr>
        <w:t>introduction de celle</w:t>
      </w:r>
      <w:r w:rsidRPr="00DB38A0" w:rsidR="00C54354">
        <w:rPr>
          <w:lang w:val="fr-FR"/>
        </w:rPr>
        <w:noBreakHyphen/>
      </w:r>
      <w:r w:rsidRPr="00DB38A0">
        <w:rPr>
          <w:lang w:val="fr-FR"/>
        </w:rPr>
        <w:t>ci et qu</w:t>
      </w:r>
      <w:r w:rsidRPr="00DB38A0" w:rsidR="00DB38A0">
        <w:rPr>
          <w:lang w:val="fr-FR"/>
        </w:rPr>
        <w:t>’</w:t>
      </w:r>
      <w:r w:rsidRPr="00DB38A0">
        <w:rPr>
          <w:lang w:val="fr-FR"/>
        </w:rPr>
        <w:t>elle était donc en mesure de s</w:t>
      </w:r>
      <w:r w:rsidRPr="00DB38A0" w:rsidR="00DB38A0">
        <w:rPr>
          <w:lang w:val="fr-FR"/>
        </w:rPr>
        <w:t>’</w:t>
      </w:r>
      <w:r w:rsidRPr="00DB38A0">
        <w:rPr>
          <w:lang w:val="fr-FR"/>
        </w:rPr>
        <w:t>exprimer sur une telle question. Pour autant, elle n</w:t>
      </w:r>
      <w:r w:rsidRPr="00DB38A0" w:rsidR="00DB38A0">
        <w:rPr>
          <w:lang w:val="fr-FR"/>
        </w:rPr>
        <w:t>’</w:t>
      </w:r>
      <w:r w:rsidRPr="00DB38A0">
        <w:rPr>
          <w:lang w:val="fr-FR"/>
        </w:rPr>
        <w:t>est pas partie à la procédure devant la Cour.</w:t>
      </w:r>
    </w:p>
    <w:p w:rsidRPr="00DB38A0" w:rsidR="00C57B8D" w:rsidP="00DB38A0" w:rsidRDefault="00C57B8D">
      <w:pPr>
        <w:pStyle w:val="ECHRPara"/>
        <w:rPr>
          <w:lang w:val="fr-FR"/>
        </w:rPr>
      </w:pPr>
      <w:r w:rsidRPr="00DB38A0">
        <w:rPr>
          <w:lang w:val="fr-FR"/>
        </w:rPr>
        <w:t>16.  La requérante affirme quant à elle avoir saisi la Cour dans les délais prescrits pour ce faire.</w:t>
      </w:r>
    </w:p>
    <w:p w:rsidRPr="00DB38A0" w:rsidR="00C57B8D" w:rsidP="00DB38A0" w:rsidRDefault="00C57B8D">
      <w:pPr>
        <w:pStyle w:val="ECHRPara"/>
        <w:rPr>
          <w:lang w:val="fr-FR"/>
        </w:rPr>
      </w:pPr>
      <w:r w:rsidRPr="00DB38A0">
        <w:rPr>
          <w:lang w:val="fr-FR"/>
        </w:rPr>
        <w:t>17.  La Cour note tout d</w:t>
      </w:r>
      <w:r w:rsidRPr="00DB38A0" w:rsidR="00DB38A0">
        <w:rPr>
          <w:lang w:val="fr-FR"/>
        </w:rPr>
        <w:t>’</w:t>
      </w:r>
      <w:r w:rsidRPr="00DB38A0">
        <w:rPr>
          <w:lang w:val="fr-FR"/>
        </w:rPr>
        <w:t>abord que la décision interne définitive à prendre en compte en l</w:t>
      </w:r>
      <w:r w:rsidRPr="00DB38A0" w:rsidR="00DB38A0">
        <w:rPr>
          <w:lang w:val="fr-FR"/>
        </w:rPr>
        <w:t>’</w:t>
      </w:r>
      <w:r w:rsidRPr="00DB38A0">
        <w:rPr>
          <w:lang w:val="fr-FR"/>
        </w:rPr>
        <w:t>espèce est l</w:t>
      </w:r>
      <w:r w:rsidRPr="00DB38A0" w:rsidR="00DB38A0">
        <w:rPr>
          <w:lang w:val="fr-FR"/>
        </w:rPr>
        <w:t>’</w:t>
      </w:r>
      <w:r w:rsidRPr="00DB38A0">
        <w:rPr>
          <w:lang w:val="fr-FR"/>
        </w:rPr>
        <w:t>arrêt de la Cour de cassation du 19 mars 2008 portant rejet du recours en rectification d</w:t>
      </w:r>
      <w:r w:rsidRPr="00DB38A0" w:rsidR="00DB38A0">
        <w:rPr>
          <w:lang w:val="fr-FR"/>
        </w:rPr>
        <w:t>’</w:t>
      </w:r>
      <w:r w:rsidRPr="00DB38A0">
        <w:rPr>
          <w:lang w:val="fr-FR"/>
        </w:rPr>
        <w:t xml:space="preserve">arrêt introduit par la requérante (pour une approche similaire, voir </w:t>
      </w:r>
      <w:proofErr w:type="spellStart"/>
      <w:r w:rsidRPr="00DB38A0">
        <w:rPr>
          <w:i/>
          <w:iCs/>
          <w:lang w:val="fr-FR"/>
        </w:rPr>
        <w:t>Okan</w:t>
      </w:r>
      <w:proofErr w:type="spellEnd"/>
      <w:r w:rsidRPr="00DB38A0">
        <w:rPr>
          <w:i/>
          <w:iCs/>
          <w:lang w:val="fr-FR"/>
        </w:rPr>
        <w:t xml:space="preserve"> </w:t>
      </w:r>
      <w:proofErr w:type="spellStart"/>
      <w:r w:rsidRPr="00DB38A0">
        <w:rPr>
          <w:i/>
          <w:iCs/>
          <w:lang w:val="fr-FR"/>
        </w:rPr>
        <w:t>Güven</w:t>
      </w:r>
      <w:proofErr w:type="spellEnd"/>
      <w:r w:rsidRPr="00DB38A0">
        <w:rPr>
          <w:i/>
          <w:iCs/>
          <w:lang w:val="fr-FR"/>
        </w:rPr>
        <w:t xml:space="preserve"> et autres c. Turquie</w:t>
      </w:r>
      <w:r w:rsidRPr="00DB38A0">
        <w:rPr>
          <w:iCs/>
          <w:lang w:val="fr-FR"/>
        </w:rPr>
        <w:t>, n</w:t>
      </w:r>
      <w:r w:rsidRPr="00DB38A0">
        <w:rPr>
          <w:iCs/>
          <w:vertAlign w:val="superscript"/>
          <w:lang w:val="fr-FR"/>
        </w:rPr>
        <w:t>o</w:t>
      </w:r>
      <w:r w:rsidRPr="00DB38A0">
        <w:rPr>
          <w:iCs/>
          <w:lang w:val="fr-FR"/>
        </w:rPr>
        <w:t xml:space="preserve"> </w:t>
      </w:r>
      <w:r w:rsidRPr="00DB38A0">
        <w:rPr>
          <w:lang w:val="fr-FR"/>
        </w:rPr>
        <w:t>13476/05</w:t>
      </w:r>
      <w:r w:rsidRPr="00DB38A0">
        <w:rPr>
          <w:lang w:val="fr-FR" w:eastAsia="en-GB"/>
        </w:rPr>
        <w:t xml:space="preserve">, </w:t>
      </w:r>
      <w:r w:rsidRPr="00DB38A0">
        <w:rPr>
          <w:lang w:val="fr-FR"/>
        </w:rPr>
        <w:t>§ 60, 14 novembre 2017). Il convient donc de rejeter l</w:t>
      </w:r>
      <w:r w:rsidRPr="00DB38A0" w:rsidR="00DB38A0">
        <w:rPr>
          <w:lang w:val="fr-FR"/>
        </w:rPr>
        <w:t>’</w:t>
      </w:r>
      <w:r w:rsidRPr="00DB38A0">
        <w:rPr>
          <w:lang w:val="fr-FR"/>
        </w:rPr>
        <w:t>exception préliminaire de tardiveté de la requête soulevée par le Gouvernement.</w:t>
      </w:r>
    </w:p>
    <w:p w:rsidRPr="00DB38A0" w:rsidR="00C57B8D" w:rsidP="00DB38A0" w:rsidRDefault="00C57B8D">
      <w:pPr>
        <w:pStyle w:val="ECHRPara"/>
        <w:rPr>
          <w:i/>
          <w:lang w:val="fr-FR"/>
        </w:rPr>
      </w:pPr>
      <w:r w:rsidRPr="00DB38A0">
        <w:rPr>
          <w:lang w:val="fr-FR"/>
        </w:rPr>
        <w:t>18.  Ensuite, quant à la possibilité pour la requérante de bénéficier des dispositions de l</w:t>
      </w:r>
      <w:r w:rsidRPr="00DB38A0" w:rsidR="00DB38A0">
        <w:rPr>
          <w:lang w:val="fr-FR"/>
        </w:rPr>
        <w:t>’</w:t>
      </w:r>
      <w:r w:rsidRPr="00DB38A0">
        <w:rPr>
          <w:lang w:val="fr-FR"/>
        </w:rPr>
        <w:t>article 10 provisoire de la loi n</w:t>
      </w:r>
      <w:r w:rsidRPr="00DB38A0">
        <w:rPr>
          <w:vertAlign w:val="superscript"/>
          <w:lang w:val="fr-FR"/>
        </w:rPr>
        <w:t>o</w:t>
      </w:r>
      <w:r w:rsidRPr="00DB38A0">
        <w:rPr>
          <w:lang w:val="fr-FR"/>
        </w:rPr>
        <w:t xml:space="preserve"> 5490, la Cour rappelle sa jurisprudence constante selon laquelle l</w:t>
      </w:r>
      <w:r w:rsidRPr="00DB38A0" w:rsidR="00DB38A0">
        <w:rPr>
          <w:lang w:val="fr-FR"/>
        </w:rPr>
        <w:t>’</w:t>
      </w:r>
      <w:r w:rsidRPr="00DB38A0">
        <w:rPr>
          <w:lang w:val="fr-FR"/>
        </w:rPr>
        <w:t>article 35 § 1 de la Convention impose aux requérants l</w:t>
      </w:r>
      <w:r w:rsidRPr="00DB38A0" w:rsidR="00DB38A0">
        <w:rPr>
          <w:lang w:val="fr-FR"/>
        </w:rPr>
        <w:t>’</w:t>
      </w:r>
      <w:r w:rsidRPr="00DB38A0">
        <w:rPr>
          <w:lang w:val="fr-FR"/>
        </w:rPr>
        <w:t>épuisement des recours normalement disponibles et suffisants dans l</w:t>
      </w:r>
      <w:r w:rsidRPr="00DB38A0" w:rsidR="00DB38A0">
        <w:rPr>
          <w:lang w:val="fr-FR"/>
        </w:rPr>
        <w:t>’</w:t>
      </w:r>
      <w:r w:rsidRPr="00DB38A0">
        <w:rPr>
          <w:lang w:val="fr-FR"/>
        </w:rPr>
        <w:t>ordre juridique interne pour leur permettre d</w:t>
      </w:r>
      <w:r w:rsidRPr="00DB38A0" w:rsidR="00DB38A0">
        <w:rPr>
          <w:lang w:val="fr-FR"/>
        </w:rPr>
        <w:t>’</w:t>
      </w:r>
      <w:r w:rsidRPr="00DB38A0">
        <w:rPr>
          <w:lang w:val="fr-FR"/>
        </w:rPr>
        <w:t>obtenir réparation des violations qu</w:t>
      </w:r>
      <w:r w:rsidRPr="00DB38A0" w:rsidR="00DB38A0">
        <w:rPr>
          <w:lang w:val="fr-FR"/>
        </w:rPr>
        <w:t>’</w:t>
      </w:r>
      <w:r w:rsidRPr="00DB38A0">
        <w:rPr>
          <w:lang w:val="fr-FR"/>
        </w:rPr>
        <w:t>ils allèguent. Cependant, elle souligne qu</w:t>
      </w:r>
      <w:r w:rsidRPr="00DB38A0" w:rsidR="00DB38A0">
        <w:rPr>
          <w:lang w:val="fr-FR"/>
        </w:rPr>
        <w:t>’</w:t>
      </w:r>
      <w:r w:rsidRPr="00DB38A0">
        <w:rPr>
          <w:lang w:val="fr-FR"/>
        </w:rPr>
        <w:t>elle doit appliquer cette règle en tenant dûment compte du contexte, avec une certaine souplesse et sans formalisme excessif. Cela signifie notamment qu</w:t>
      </w:r>
      <w:r w:rsidRPr="00DB38A0" w:rsidR="00DB38A0">
        <w:rPr>
          <w:lang w:val="fr-FR"/>
        </w:rPr>
        <w:t>’</w:t>
      </w:r>
      <w:r w:rsidRPr="00DB38A0">
        <w:rPr>
          <w:lang w:val="fr-FR"/>
        </w:rPr>
        <w:t xml:space="preserve">elle doit analyser de manière réaliste non seulement les recours prévus en théorie dans le système juridique de la Partie contractante concernée, mais également la situation personnelle des requérants (entre autres, </w:t>
      </w:r>
      <w:proofErr w:type="spellStart"/>
      <w:r w:rsidRPr="00DB38A0">
        <w:rPr>
          <w:i/>
          <w:lang w:val="fr-FR"/>
        </w:rPr>
        <w:t>Stanca</w:t>
      </w:r>
      <w:proofErr w:type="spellEnd"/>
      <w:r w:rsidRPr="00DB38A0">
        <w:rPr>
          <w:i/>
          <w:lang w:val="fr-FR"/>
        </w:rPr>
        <w:t xml:space="preserve"> c. Roumanie</w:t>
      </w:r>
      <w:r w:rsidRPr="00DB38A0">
        <w:rPr>
          <w:lang w:val="fr-FR"/>
        </w:rPr>
        <w:t>, n</w:t>
      </w:r>
      <w:r w:rsidRPr="00DB38A0">
        <w:rPr>
          <w:vertAlign w:val="superscript"/>
          <w:lang w:val="fr-FR"/>
        </w:rPr>
        <w:t>o</w:t>
      </w:r>
      <w:r w:rsidRPr="00DB38A0">
        <w:rPr>
          <w:lang w:val="fr-FR"/>
        </w:rPr>
        <w:t xml:space="preserve"> 34116/04</w:t>
      </w:r>
      <w:r w:rsidRPr="00DB38A0">
        <w:rPr>
          <w:snapToGrid w:val="0"/>
          <w:lang w:val="fr-FR"/>
        </w:rPr>
        <w:t xml:space="preserve">, § 53, 24 </w:t>
      </w:r>
      <w:r w:rsidRPr="00DB38A0">
        <w:rPr>
          <w:lang w:val="fr-FR"/>
        </w:rPr>
        <w:t>juillet</w:t>
      </w:r>
      <w:r w:rsidRPr="00DB38A0">
        <w:rPr>
          <w:snapToGrid w:val="0"/>
          <w:lang w:val="fr-FR"/>
        </w:rPr>
        <w:t xml:space="preserve"> 2012).</w:t>
      </w:r>
    </w:p>
    <w:p w:rsidRPr="00DB38A0" w:rsidR="00C57B8D" w:rsidP="00DB38A0" w:rsidRDefault="00C57B8D">
      <w:pPr>
        <w:pStyle w:val="ECHRPara"/>
        <w:rPr>
          <w:lang w:val="fr-FR"/>
        </w:rPr>
      </w:pPr>
      <w:r w:rsidRPr="00DB38A0">
        <w:rPr>
          <w:lang w:val="fr-FR"/>
        </w:rPr>
        <w:t>19.  En l</w:t>
      </w:r>
      <w:r w:rsidRPr="00DB38A0" w:rsidR="00DB38A0">
        <w:rPr>
          <w:lang w:val="fr-FR"/>
        </w:rPr>
        <w:t>’</w:t>
      </w:r>
      <w:r w:rsidRPr="00DB38A0">
        <w:rPr>
          <w:lang w:val="fr-FR"/>
        </w:rPr>
        <w:t>espèce, à supposer même que les dispositions législatives dont se prévaut le Gouvernement aient été à même d</w:t>
      </w:r>
      <w:r w:rsidRPr="00DB38A0" w:rsidR="00DB38A0">
        <w:rPr>
          <w:lang w:val="fr-FR"/>
        </w:rPr>
        <w:t>’</w:t>
      </w:r>
      <w:r w:rsidRPr="00DB38A0">
        <w:rPr>
          <w:lang w:val="fr-FR"/>
        </w:rPr>
        <w:t>offrir à la requérante la possibilité d</w:t>
      </w:r>
      <w:r w:rsidRPr="00DB38A0" w:rsidR="00DB38A0">
        <w:rPr>
          <w:lang w:val="fr-FR"/>
        </w:rPr>
        <w:t>’</w:t>
      </w:r>
      <w:r w:rsidRPr="00DB38A0">
        <w:rPr>
          <w:lang w:val="fr-FR"/>
        </w:rPr>
        <w:t>obtenir les changements souhaités au registre d</w:t>
      </w:r>
      <w:r w:rsidRPr="00DB38A0" w:rsidR="00DB38A0">
        <w:rPr>
          <w:lang w:val="fr-FR"/>
        </w:rPr>
        <w:t>’</w:t>
      </w:r>
      <w:r w:rsidRPr="00DB38A0">
        <w:rPr>
          <w:lang w:val="fr-FR"/>
        </w:rPr>
        <w:t>état civil, force est de relever que ces dispositions sont entrées en vigueur plus de neuf ans après la saisine de la Cour par la requérante et alors que l</w:t>
      </w:r>
      <w:r w:rsidRPr="00DB38A0" w:rsidR="00DB38A0">
        <w:rPr>
          <w:lang w:val="fr-FR"/>
        </w:rPr>
        <w:t>’</w:t>
      </w:r>
      <w:r w:rsidRPr="00DB38A0">
        <w:rPr>
          <w:lang w:val="fr-FR"/>
        </w:rPr>
        <w:t>enfant adoptée avait 18 ans révolus. On ne saurait dès lors reprocher à la requérante de ne pas avoir cherché à se prévaloir des dispositions de cette loi. Partant, il convient de rejeter l</w:t>
      </w:r>
      <w:r w:rsidRPr="00DB38A0" w:rsidR="00DB38A0">
        <w:rPr>
          <w:lang w:val="fr-FR"/>
        </w:rPr>
        <w:t>’</w:t>
      </w:r>
      <w:r w:rsidRPr="00DB38A0">
        <w:rPr>
          <w:lang w:val="fr-FR"/>
        </w:rPr>
        <w:t>exception du Gouvernement à cet égard.</w:t>
      </w:r>
    </w:p>
    <w:p w:rsidRPr="00DB38A0" w:rsidR="00C57B8D" w:rsidP="00DB38A0" w:rsidRDefault="00C57B8D">
      <w:pPr>
        <w:pStyle w:val="ECHRPara"/>
        <w:rPr>
          <w:lang w:val="fr-FR"/>
        </w:rPr>
      </w:pPr>
      <w:r w:rsidRPr="00DB38A0">
        <w:rPr>
          <w:lang w:val="fr-FR"/>
        </w:rPr>
        <w:t>20.  Quant à l</w:t>
      </w:r>
      <w:r w:rsidRPr="00DB38A0" w:rsidR="00DB38A0">
        <w:rPr>
          <w:lang w:val="fr-FR"/>
        </w:rPr>
        <w:t>’</w:t>
      </w:r>
      <w:r w:rsidRPr="00DB38A0">
        <w:rPr>
          <w:lang w:val="fr-FR"/>
        </w:rPr>
        <w:t>exception tirée de l</w:t>
      </w:r>
      <w:r w:rsidRPr="00DB38A0" w:rsidR="00DB38A0">
        <w:rPr>
          <w:lang w:val="fr-FR"/>
        </w:rPr>
        <w:t>’</w:t>
      </w:r>
      <w:r w:rsidRPr="00DB38A0">
        <w:rPr>
          <w:lang w:val="fr-FR"/>
        </w:rPr>
        <w:t xml:space="preserve">incompatibilité </w:t>
      </w:r>
      <w:proofErr w:type="spellStart"/>
      <w:r w:rsidRPr="00DB38A0">
        <w:rPr>
          <w:i/>
          <w:lang w:val="fr-FR"/>
        </w:rPr>
        <w:t>ratione</w:t>
      </w:r>
      <w:proofErr w:type="spellEnd"/>
      <w:r w:rsidRPr="00DB38A0">
        <w:rPr>
          <w:i/>
          <w:lang w:val="fr-FR"/>
        </w:rPr>
        <w:t xml:space="preserve"> personae</w:t>
      </w:r>
      <w:r w:rsidRPr="00DB38A0">
        <w:rPr>
          <w:lang w:val="fr-FR"/>
        </w:rPr>
        <w:t xml:space="preserve"> de la requête, la Cour relève qu</w:t>
      </w:r>
      <w:r w:rsidRPr="00DB38A0" w:rsidR="00DB38A0">
        <w:rPr>
          <w:lang w:val="fr-FR"/>
        </w:rPr>
        <w:t>’</w:t>
      </w:r>
      <w:r w:rsidRPr="00DB38A0">
        <w:rPr>
          <w:lang w:val="fr-FR"/>
        </w:rPr>
        <w:t>en l</w:t>
      </w:r>
      <w:r w:rsidRPr="00DB38A0" w:rsidR="00DB38A0">
        <w:rPr>
          <w:lang w:val="fr-FR"/>
        </w:rPr>
        <w:t>’</w:t>
      </w:r>
      <w:r w:rsidRPr="00DB38A0">
        <w:rPr>
          <w:lang w:val="fr-FR"/>
        </w:rPr>
        <w:t>espèce la requérante – mère adoptive d</w:t>
      </w:r>
      <w:r w:rsidRPr="00DB38A0" w:rsidR="00DB38A0">
        <w:rPr>
          <w:lang w:val="fr-FR"/>
        </w:rPr>
        <w:t>’</w:t>
      </w:r>
      <w:r w:rsidRPr="00DB38A0">
        <w:rPr>
          <w:lang w:val="fr-FR"/>
        </w:rPr>
        <w:t>une enfant mineure à l</w:t>
      </w:r>
      <w:r w:rsidRPr="00DB38A0" w:rsidR="00DB38A0">
        <w:rPr>
          <w:lang w:val="fr-FR"/>
        </w:rPr>
        <w:t>’</w:t>
      </w:r>
      <w:r w:rsidRPr="00DB38A0">
        <w:rPr>
          <w:lang w:val="fr-FR"/>
        </w:rPr>
        <w:t xml:space="preserve">époque des faits – se </w:t>
      </w:r>
      <w:proofErr w:type="gramStart"/>
      <w:r w:rsidRPr="00DB38A0">
        <w:rPr>
          <w:lang w:val="fr-FR"/>
        </w:rPr>
        <w:t>plaint</w:t>
      </w:r>
      <w:proofErr w:type="gramEnd"/>
      <w:r w:rsidRPr="00DB38A0">
        <w:rPr>
          <w:lang w:val="fr-FR"/>
        </w:rPr>
        <w:t xml:space="preserve"> de n</w:t>
      </w:r>
      <w:r w:rsidRPr="00DB38A0" w:rsidR="00DB38A0">
        <w:rPr>
          <w:lang w:val="fr-FR"/>
        </w:rPr>
        <w:t>’</w:t>
      </w:r>
      <w:r w:rsidRPr="00DB38A0">
        <w:rPr>
          <w:lang w:val="fr-FR"/>
        </w:rPr>
        <w:t>avoir pu obtenir la modification des mentions à l</w:t>
      </w:r>
      <w:r w:rsidRPr="00DB38A0" w:rsidR="00DB38A0">
        <w:rPr>
          <w:lang w:val="fr-FR"/>
        </w:rPr>
        <w:t>’</w:t>
      </w:r>
      <w:r w:rsidRPr="00DB38A0">
        <w:rPr>
          <w:lang w:val="fr-FR"/>
        </w:rPr>
        <w:t>état civil des prénoms des parents biologiques de l</w:t>
      </w:r>
      <w:r w:rsidRPr="00DB38A0" w:rsidR="00DB38A0">
        <w:rPr>
          <w:lang w:val="fr-FR"/>
        </w:rPr>
        <w:t>’</w:t>
      </w:r>
      <w:r w:rsidRPr="00DB38A0">
        <w:rPr>
          <w:lang w:val="fr-FR"/>
        </w:rPr>
        <w:t>enfant. Elle a d</w:t>
      </w:r>
      <w:r w:rsidRPr="00DB38A0" w:rsidR="00DB38A0">
        <w:rPr>
          <w:lang w:val="fr-FR"/>
        </w:rPr>
        <w:t>’</w:t>
      </w:r>
      <w:r w:rsidRPr="00DB38A0">
        <w:rPr>
          <w:lang w:val="fr-FR"/>
        </w:rPr>
        <w:t>ailleurs diligenté une action civile à cette fin devant les instances nationales. À cet égard, la Cour rappelle avoir déjà souligné, dans une affaire sensiblement similaire, « l</w:t>
      </w:r>
      <w:r w:rsidRPr="00DB38A0" w:rsidR="00DB38A0">
        <w:rPr>
          <w:lang w:val="fr-FR"/>
        </w:rPr>
        <w:t>’</w:t>
      </w:r>
      <w:r w:rsidRPr="00DB38A0">
        <w:rPr>
          <w:lang w:val="fr-FR"/>
        </w:rPr>
        <w:t>importance subjective de la question » pour une mère adoptive (</w:t>
      </w:r>
      <w:proofErr w:type="spellStart"/>
      <w:r w:rsidRPr="00DB38A0">
        <w:rPr>
          <w:i/>
          <w:lang w:val="fr-FR"/>
        </w:rPr>
        <w:t>Gözüm</w:t>
      </w:r>
      <w:proofErr w:type="spellEnd"/>
      <w:r w:rsidRPr="00DB38A0">
        <w:rPr>
          <w:lang w:val="fr-FR"/>
        </w:rPr>
        <w:t xml:space="preserve"> </w:t>
      </w:r>
      <w:r w:rsidRPr="00DB38A0" w:rsidR="00E87798">
        <w:rPr>
          <w:i/>
          <w:lang w:val="pt-PT"/>
        </w:rPr>
        <w:t xml:space="preserve">c. </w:t>
      </w:r>
      <w:proofErr w:type="spellStart"/>
      <w:r w:rsidRPr="00DB38A0" w:rsidR="00E87798">
        <w:rPr>
          <w:i/>
          <w:lang w:val="pt-PT"/>
        </w:rPr>
        <w:t>Turquie</w:t>
      </w:r>
      <w:proofErr w:type="spellEnd"/>
      <w:r w:rsidRPr="00DB38A0" w:rsidR="00E87798">
        <w:rPr>
          <w:lang w:val="pt-PT"/>
        </w:rPr>
        <w:t xml:space="preserve"> (n</w:t>
      </w:r>
      <w:r w:rsidRPr="00DB38A0" w:rsidR="00E87798">
        <w:rPr>
          <w:vertAlign w:val="superscript"/>
          <w:lang w:val="pt-PT"/>
        </w:rPr>
        <w:t>o</w:t>
      </w:r>
      <w:r w:rsidRPr="00DB38A0" w:rsidR="00E87798">
        <w:rPr>
          <w:lang w:val="pt-PT"/>
        </w:rPr>
        <w:t xml:space="preserve"> 4789/10</w:t>
      </w:r>
      <w:r w:rsidRPr="00DB38A0">
        <w:rPr>
          <w:lang w:val="fr-FR"/>
        </w:rPr>
        <w:t>, § 36</w:t>
      </w:r>
      <w:r w:rsidRPr="00DB38A0" w:rsidR="00E87798">
        <w:rPr>
          <w:lang w:val="fr-FR"/>
        </w:rPr>
        <w:t xml:space="preserve">, </w:t>
      </w:r>
      <w:r w:rsidRPr="00DB38A0" w:rsidR="00E87798">
        <w:rPr>
          <w:lang w:val="pt-PT"/>
        </w:rPr>
        <w:t>20 </w:t>
      </w:r>
      <w:r w:rsidRPr="00DB38A0" w:rsidR="00E87798">
        <w:rPr>
          <w:lang w:val="fr-FR"/>
        </w:rPr>
        <w:t>janvier</w:t>
      </w:r>
      <w:r w:rsidRPr="00DB38A0" w:rsidR="00E87798">
        <w:rPr>
          <w:lang w:val="pt-PT"/>
        </w:rPr>
        <w:t xml:space="preserve"> 2015</w:t>
      </w:r>
      <w:r w:rsidRPr="00DB38A0">
        <w:rPr>
          <w:lang w:val="fr-FR"/>
        </w:rPr>
        <w:t xml:space="preserve">). </w:t>
      </w:r>
      <w:r w:rsidRPr="00DB38A0">
        <w:rPr>
          <w:rFonts w:cstheme="minorHAnsi"/>
          <w:lang w:val="fr-FR"/>
        </w:rPr>
        <w:t>À</w:t>
      </w:r>
      <w:r w:rsidRPr="00DB38A0">
        <w:rPr>
          <w:lang w:val="fr-FR"/>
        </w:rPr>
        <w:t xml:space="preserve"> la lumière des constats opérés dans l</w:t>
      </w:r>
      <w:r w:rsidRPr="00DB38A0" w:rsidR="00DB38A0">
        <w:rPr>
          <w:lang w:val="fr-FR"/>
        </w:rPr>
        <w:t>’</w:t>
      </w:r>
      <w:r w:rsidRPr="00DB38A0">
        <w:rPr>
          <w:lang w:val="fr-FR"/>
        </w:rPr>
        <w:t xml:space="preserve">affaire </w:t>
      </w:r>
      <w:proofErr w:type="spellStart"/>
      <w:r w:rsidRPr="00DB38A0">
        <w:rPr>
          <w:i/>
          <w:lang w:val="fr-FR"/>
        </w:rPr>
        <w:t>Gözüm</w:t>
      </w:r>
      <w:proofErr w:type="spellEnd"/>
      <w:r w:rsidRPr="00DB38A0">
        <w:rPr>
          <w:lang w:val="fr-FR"/>
        </w:rPr>
        <w:t>, la Cour ne saurait souscrire à la thèse du Gouvernement selon laquelle seuls les droits de l</w:t>
      </w:r>
      <w:r w:rsidRPr="00DB38A0" w:rsidR="00DB38A0">
        <w:rPr>
          <w:lang w:val="fr-FR"/>
        </w:rPr>
        <w:t>’</w:t>
      </w:r>
      <w:r w:rsidRPr="00DB38A0">
        <w:rPr>
          <w:lang w:val="fr-FR"/>
        </w:rPr>
        <w:t>enfant adopté auraient été en cause en l</w:t>
      </w:r>
      <w:r w:rsidRPr="00DB38A0" w:rsidR="00DB38A0">
        <w:rPr>
          <w:lang w:val="fr-FR"/>
        </w:rPr>
        <w:t>’</w:t>
      </w:r>
      <w:r w:rsidRPr="00DB38A0">
        <w:rPr>
          <w:lang w:val="fr-FR"/>
        </w:rPr>
        <w:t>espèce et rejette en conséquence cette exception du Gouvernement.</w:t>
      </w:r>
    </w:p>
    <w:p w:rsidRPr="00DB38A0" w:rsidR="00C57B8D" w:rsidP="00DB38A0" w:rsidRDefault="00C57B8D">
      <w:pPr>
        <w:pStyle w:val="ECHRPara"/>
        <w:rPr>
          <w:lang w:val="fr-FR"/>
        </w:rPr>
      </w:pPr>
      <w:r w:rsidRPr="00DB38A0">
        <w:rPr>
          <w:lang w:val="fr-FR"/>
        </w:rPr>
        <w:t>21.  Enfin, constatant que ce grief n</w:t>
      </w:r>
      <w:r w:rsidRPr="00DB38A0" w:rsidR="00DB38A0">
        <w:rPr>
          <w:lang w:val="fr-FR"/>
        </w:rPr>
        <w:t>’</w:t>
      </w:r>
      <w:r w:rsidRPr="00DB38A0">
        <w:rPr>
          <w:lang w:val="fr-FR"/>
        </w:rPr>
        <w:t>est pas manifestement mal fondé au sens de l</w:t>
      </w:r>
      <w:r w:rsidRPr="00DB38A0" w:rsidR="00DB38A0">
        <w:rPr>
          <w:lang w:val="fr-FR"/>
        </w:rPr>
        <w:t>’</w:t>
      </w:r>
      <w:r w:rsidRPr="00DB38A0">
        <w:rPr>
          <w:lang w:val="fr-FR"/>
        </w:rPr>
        <w:t>article 35 § 3 a) de la Convention et qu</w:t>
      </w:r>
      <w:r w:rsidRPr="00DB38A0" w:rsidR="00DB38A0">
        <w:rPr>
          <w:lang w:val="fr-FR"/>
        </w:rPr>
        <w:t>’</w:t>
      </w:r>
      <w:r w:rsidRPr="00DB38A0">
        <w:rPr>
          <w:lang w:val="fr-FR"/>
        </w:rPr>
        <w:t>il ne se heurte par ailleurs à aucun autre motif d</w:t>
      </w:r>
      <w:r w:rsidRPr="00DB38A0" w:rsidR="00DB38A0">
        <w:rPr>
          <w:lang w:val="fr-FR"/>
        </w:rPr>
        <w:t>’</w:t>
      </w:r>
      <w:r w:rsidRPr="00DB38A0">
        <w:rPr>
          <w:lang w:val="fr-FR"/>
        </w:rPr>
        <w:t>irrecevabilité, la Cour le déclare recevable.</w:t>
      </w:r>
    </w:p>
    <w:p w:rsidRPr="00DB38A0" w:rsidR="00C57B8D" w:rsidP="00DB38A0" w:rsidRDefault="00C57B8D">
      <w:pPr>
        <w:pStyle w:val="ECHRHeading2"/>
        <w:rPr>
          <w:lang w:val="fr-FR"/>
        </w:rPr>
      </w:pPr>
      <w:r w:rsidRPr="00DB38A0">
        <w:rPr>
          <w:lang w:val="fr-FR"/>
        </w:rPr>
        <w:t>B.  Sur le fond</w:t>
      </w:r>
    </w:p>
    <w:p w:rsidRPr="00DB38A0" w:rsidR="00C57B8D" w:rsidP="00DB38A0" w:rsidRDefault="00C57B8D">
      <w:pPr>
        <w:pStyle w:val="ECHRPara"/>
        <w:rPr>
          <w:lang w:val="fr-FR"/>
        </w:rPr>
      </w:pPr>
      <w:r w:rsidRPr="00DB38A0">
        <w:rPr>
          <w:lang w:val="fr-FR"/>
        </w:rPr>
        <w:t>22.  La requérante ne développe pas d</w:t>
      </w:r>
      <w:r w:rsidRPr="00DB38A0" w:rsidR="00DB38A0">
        <w:rPr>
          <w:lang w:val="fr-FR"/>
        </w:rPr>
        <w:t>’</w:t>
      </w:r>
      <w:r w:rsidRPr="00DB38A0">
        <w:rPr>
          <w:lang w:val="fr-FR"/>
        </w:rPr>
        <w:t>autres arguments que ceux avancés au moment de l</w:t>
      </w:r>
      <w:r w:rsidRPr="00DB38A0" w:rsidR="00DB38A0">
        <w:rPr>
          <w:lang w:val="fr-FR"/>
        </w:rPr>
        <w:t>’</w:t>
      </w:r>
      <w:r w:rsidRPr="00DB38A0">
        <w:rPr>
          <w:lang w:val="fr-FR"/>
        </w:rPr>
        <w:t>introduction de la requête. Dans ses observations sur la satisfaction équitable, elle soutient que l</w:t>
      </w:r>
      <w:r w:rsidRPr="00DB38A0" w:rsidR="00DB38A0">
        <w:rPr>
          <w:lang w:val="fr-FR"/>
        </w:rPr>
        <w:t>’</w:t>
      </w:r>
      <w:r w:rsidRPr="00DB38A0">
        <w:rPr>
          <w:lang w:val="fr-FR"/>
        </w:rPr>
        <w:t>absence d</w:t>
      </w:r>
      <w:r w:rsidRPr="00DB38A0" w:rsidR="00DB38A0">
        <w:rPr>
          <w:lang w:val="fr-FR"/>
        </w:rPr>
        <w:t>’</w:t>
      </w:r>
      <w:r w:rsidRPr="00DB38A0">
        <w:rPr>
          <w:lang w:val="fr-FR"/>
        </w:rPr>
        <w:t>enregistrement à l</w:t>
      </w:r>
      <w:r w:rsidRPr="00DB38A0" w:rsidR="00DB38A0">
        <w:rPr>
          <w:lang w:val="fr-FR"/>
        </w:rPr>
        <w:t>’</w:t>
      </w:r>
      <w:r w:rsidRPr="00DB38A0">
        <w:rPr>
          <w:lang w:val="fr-FR"/>
        </w:rPr>
        <w:t>état civil a été une cause de traumatisme et de souffrance psychologique pour son enfant et elle-même.</w:t>
      </w:r>
    </w:p>
    <w:p w:rsidRPr="00DB38A0" w:rsidR="00C57B8D" w:rsidP="00DB38A0" w:rsidRDefault="00C57B8D">
      <w:pPr>
        <w:pStyle w:val="ECHRPara"/>
        <w:rPr>
          <w:lang w:val="fr-FR"/>
        </w:rPr>
      </w:pPr>
      <w:r w:rsidRPr="00DB38A0">
        <w:rPr>
          <w:lang w:val="fr-FR"/>
        </w:rPr>
        <w:t>23.  Le Gouvernement argue qu</w:t>
      </w:r>
      <w:r w:rsidRPr="00DB38A0" w:rsidR="00DB38A0">
        <w:rPr>
          <w:lang w:val="fr-FR"/>
        </w:rPr>
        <w:t>’</w:t>
      </w:r>
      <w:r w:rsidRPr="00DB38A0">
        <w:rPr>
          <w:lang w:val="fr-FR"/>
        </w:rPr>
        <w:t>en vertu du droit applicable à l</w:t>
      </w:r>
      <w:r w:rsidRPr="00DB38A0" w:rsidR="00DB38A0">
        <w:rPr>
          <w:lang w:val="fr-FR"/>
        </w:rPr>
        <w:t>’</w:t>
      </w:r>
      <w:r w:rsidRPr="00DB38A0">
        <w:rPr>
          <w:lang w:val="fr-FR"/>
        </w:rPr>
        <w:t>époque pertinente, deux conditions cumulatives devaient être remplies pour que les prénoms des parents adoptifs soient inscrits au registre d</w:t>
      </w:r>
      <w:r w:rsidRPr="00DB38A0" w:rsidR="00DB38A0">
        <w:rPr>
          <w:lang w:val="fr-FR"/>
        </w:rPr>
        <w:t>’</w:t>
      </w:r>
      <w:r w:rsidRPr="00DB38A0">
        <w:rPr>
          <w:lang w:val="fr-FR"/>
        </w:rPr>
        <w:t>état civil : l</w:t>
      </w:r>
      <w:r w:rsidRPr="00DB38A0" w:rsidR="00DB38A0">
        <w:rPr>
          <w:lang w:val="fr-FR"/>
        </w:rPr>
        <w:t>’</w:t>
      </w:r>
      <w:r w:rsidRPr="00DB38A0">
        <w:rPr>
          <w:lang w:val="fr-FR"/>
        </w:rPr>
        <w:t>enfant devait avoir été adopté par deux parents et il ne devait pas avoir la capacité de discernement. Le rejet de la demande de la requérante n</w:t>
      </w:r>
      <w:r w:rsidRPr="00DB38A0" w:rsidR="00DB38A0">
        <w:rPr>
          <w:lang w:val="fr-FR"/>
        </w:rPr>
        <w:t>’</w:t>
      </w:r>
      <w:r w:rsidRPr="00DB38A0">
        <w:rPr>
          <w:lang w:val="fr-FR"/>
        </w:rPr>
        <w:t>était donc pas lié à son célibat. Le Gouvernement fait également valoir qu</w:t>
      </w:r>
      <w:r w:rsidRPr="00DB38A0" w:rsidR="00DB38A0">
        <w:rPr>
          <w:lang w:val="fr-FR"/>
        </w:rPr>
        <w:t>’</w:t>
      </w:r>
      <w:r w:rsidRPr="00DB38A0">
        <w:rPr>
          <w:lang w:val="fr-FR"/>
        </w:rPr>
        <w:t>en l</w:t>
      </w:r>
      <w:r w:rsidRPr="00DB38A0" w:rsidR="00DB38A0">
        <w:rPr>
          <w:lang w:val="fr-FR"/>
        </w:rPr>
        <w:t>’</w:t>
      </w:r>
      <w:r w:rsidRPr="00DB38A0">
        <w:rPr>
          <w:lang w:val="fr-FR"/>
        </w:rPr>
        <w:t>espèce l</w:t>
      </w:r>
      <w:r w:rsidRPr="00DB38A0" w:rsidR="00DB38A0">
        <w:rPr>
          <w:lang w:val="fr-FR"/>
        </w:rPr>
        <w:t>’</w:t>
      </w:r>
      <w:r w:rsidRPr="00DB38A0">
        <w:rPr>
          <w:lang w:val="fr-FR"/>
        </w:rPr>
        <w:t>enfant était âgée de 7 ans au moment de son adoption, qu</w:t>
      </w:r>
      <w:r w:rsidRPr="00DB38A0" w:rsidR="00DB38A0">
        <w:rPr>
          <w:lang w:val="fr-FR"/>
        </w:rPr>
        <w:t>’</w:t>
      </w:r>
      <w:r w:rsidRPr="00DB38A0">
        <w:rPr>
          <w:lang w:val="fr-FR"/>
        </w:rPr>
        <w:t>elle était en capacité de comprendre les liens qui l</w:t>
      </w:r>
      <w:r w:rsidRPr="00DB38A0" w:rsidR="00DB38A0">
        <w:rPr>
          <w:lang w:val="fr-FR"/>
        </w:rPr>
        <w:t>’</w:t>
      </w:r>
      <w:r w:rsidRPr="00DB38A0">
        <w:rPr>
          <w:lang w:val="fr-FR"/>
        </w:rPr>
        <w:t>unissaient à ses parents biologiques, que son intérêt supérieur primait et qu</w:t>
      </w:r>
      <w:r w:rsidRPr="00DB38A0" w:rsidR="00DB38A0">
        <w:rPr>
          <w:lang w:val="fr-FR"/>
        </w:rPr>
        <w:t>’</w:t>
      </w:r>
      <w:r w:rsidRPr="00DB38A0">
        <w:rPr>
          <w:lang w:val="fr-FR"/>
        </w:rPr>
        <w:t>il ne fallait pas créer à son endroit une situation d</w:t>
      </w:r>
      <w:r w:rsidRPr="00DB38A0" w:rsidR="00DB38A0">
        <w:rPr>
          <w:lang w:val="fr-FR"/>
        </w:rPr>
        <w:t>’</w:t>
      </w:r>
      <w:r w:rsidRPr="00DB38A0">
        <w:rPr>
          <w:lang w:val="fr-FR"/>
        </w:rPr>
        <w:t>insécurité. Il mentionne également le droit d</w:t>
      </w:r>
      <w:r w:rsidRPr="00DB38A0" w:rsidR="00DB38A0">
        <w:rPr>
          <w:lang w:val="fr-FR"/>
        </w:rPr>
        <w:t>’</w:t>
      </w:r>
      <w:r w:rsidRPr="00DB38A0">
        <w:rPr>
          <w:lang w:val="fr-FR"/>
        </w:rPr>
        <w:t>un enfant de connaître ses origines comme une des raisons justifiant les dispositions en vigueur à l</w:t>
      </w:r>
      <w:r w:rsidRPr="00DB38A0" w:rsidR="00DB38A0">
        <w:rPr>
          <w:lang w:val="fr-FR"/>
        </w:rPr>
        <w:t>’</w:t>
      </w:r>
      <w:r w:rsidRPr="00DB38A0">
        <w:rPr>
          <w:lang w:val="fr-FR"/>
        </w:rPr>
        <w:t>époque des faits.</w:t>
      </w:r>
    </w:p>
    <w:p w:rsidRPr="00DB38A0" w:rsidR="00C57B8D" w:rsidP="00DB38A0" w:rsidRDefault="00C57B8D">
      <w:pPr>
        <w:pStyle w:val="ECHRPara"/>
        <w:rPr>
          <w:lang w:val="fr-FR"/>
        </w:rPr>
      </w:pPr>
      <w:r w:rsidRPr="00DB38A0">
        <w:rPr>
          <w:lang w:val="fr-FR"/>
        </w:rPr>
        <w:t>24.  Le Gouvernement soutient par ailleurs que la mère biologique – pour avoir vécu avec l</w:t>
      </w:r>
      <w:r w:rsidRPr="00DB38A0" w:rsidR="00DB38A0">
        <w:rPr>
          <w:lang w:val="fr-FR"/>
        </w:rPr>
        <w:t>’</w:t>
      </w:r>
      <w:r w:rsidRPr="00DB38A0">
        <w:rPr>
          <w:lang w:val="fr-FR"/>
        </w:rPr>
        <w:t>enfant les six premières années de sa vie – conservait un intérêt au regard des mentions concernant son identité et ce d</w:t>
      </w:r>
      <w:r w:rsidRPr="00DB38A0" w:rsidR="00DB38A0">
        <w:rPr>
          <w:lang w:val="fr-FR"/>
        </w:rPr>
        <w:t>’</w:t>
      </w:r>
      <w:r w:rsidRPr="00DB38A0">
        <w:rPr>
          <w:lang w:val="fr-FR"/>
        </w:rPr>
        <w:t>autant que l</w:t>
      </w:r>
      <w:r w:rsidRPr="00DB38A0" w:rsidR="00DB38A0">
        <w:rPr>
          <w:lang w:val="fr-FR"/>
        </w:rPr>
        <w:t>’</w:t>
      </w:r>
      <w:r w:rsidRPr="00DB38A0">
        <w:rPr>
          <w:lang w:val="fr-FR"/>
        </w:rPr>
        <w:t>enfant adoptée demeurait, en vertu du code civil, son héritière. Il souligne de plus que la requérante avait pu modifier le prénom et le nom de famille de l</w:t>
      </w:r>
      <w:r w:rsidRPr="00DB38A0" w:rsidR="00DB38A0">
        <w:rPr>
          <w:lang w:val="fr-FR"/>
        </w:rPr>
        <w:t>’</w:t>
      </w:r>
      <w:r w:rsidRPr="00DB38A0">
        <w:rPr>
          <w:lang w:val="fr-FR"/>
        </w:rPr>
        <w:t>enfant et que le juste équilibre entre les différents intérêts en présence avait été respecté, compte tenu en particulier de la marge d</w:t>
      </w:r>
      <w:r w:rsidRPr="00DB38A0" w:rsidR="00DB38A0">
        <w:rPr>
          <w:lang w:val="fr-FR"/>
        </w:rPr>
        <w:t>’</w:t>
      </w:r>
      <w:r w:rsidRPr="00DB38A0">
        <w:rPr>
          <w:lang w:val="fr-FR"/>
        </w:rPr>
        <w:t>appréciation des États en la matière. Au demeurant, les évolutions législatives permettraient désormais à la requérante d</w:t>
      </w:r>
      <w:r w:rsidRPr="00DB38A0" w:rsidR="00DB38A0">
        <w:rPr>
          <w:lang w:val="fr-FR"/>
        </w:rPr>
        <w:t>’</w:t>
      </w:r>
      <w:r w:rsidRPr="00DB38A0">
        <w:rPr>
          <w:lang w:val="fr-FR"/>
        </w:rPr>
        <w:t>obtenir la mention de son prénom en tant que mère de l</w:t>
      </w:r>
      <w:r w:rsidRPr="00DB38A0" w:rsidR="00DB38A0">
        <w:rPr>
          <w:lang w:val="fr-FR"/>
        </w:rPr>
        <w:t>’</w:t>
      </w:r>
      <w:r w:rsidRPr="00DB38A0">
        <w:rPr>
          <w:lang w:val="fr-FR"/>
        </w:rPr>
        <w:t>enfant.</w:t>
      </w:r>
    </w:p>
    <w:p w:rsidRPr="00DB38A0" w:rsidR="00C57B8D" w:rsidP="00DB38A0" w:rsidRDefault="00C57B8D">
      <w:pPr>
        <w:pStyle w:val="ECHRPara"/>
        <w:rPr>
          <w:lang w:val="fr-FR"/>
        </w:rPr>
      </w:pPr>
      <w:r w:rsidRPr="00DB38A0">
        <w:rPr>
          <w:lang w:val="fr-FR"/>
        </w:rPr>
        <w:t>25.  La Cour rappelle avoir déjà eu l</w:t>
      </w:r>
      <w:r w:rsidRPr="00DB38A0" w:rsidR="00DB38A0">
        <w:rPr>
          <w:lang w:val="fr-FR"/>
        </w:rPr>
        <w:t>’</w:t>
      </w:r>
      <w:r w:rsidRPr="00DB38A0">
        <w:rPr>
          <w:lang w:val="fr-FR"/>
        </w:rPr>
        <w:t>occasion de se prononcer sur l</w:t>
      </w:r>
      <w:r w:rsidRPr="00DB38A0" w:rsidR="00DB38A0">
        <w:rPr>
          <w:lang w:val="fr-FR"/>
        </w:rPr>
        <w:t>’</w:t>
      </w:r>
      <w:r w:rsidRPr="00DB38A0">
        <w:rPr>
          <w:lang w:val="fr-FR"/>
        </w:rPr>
        <w:t>impossibilité pour une mère adoptive célibataire d</w:t>
      </w:r>
      <w:r w:rsidRPr="00DB38A0" w:rsidR="00DB38A0">
        <w:rPr>
          <w:lang w:val="fr-FR"/>
        </w:rPr>
        <w:t>’</w:t>
      </w:r>
      <w:r w:rsidRPr="00DB38A0">
        <w:rPr>
          <w:lang w:val="fr-FR"/>
        </w:rPr>
        <w:t>obtenir que son prénom remplace celui de la mère biologique de l</w:t>
      </w:r>
      <w:r w:rsidRPr="00DB38A0" w:rsidR="00DB38A0">
        <w:rPr>
          <w:lang w:val="fr-FR"/>
        </w:rPr>
        <w:t>’</w:t>
      </w:r>
      <w:r w:rsidRPr="00DB38A0">
        <w:rPr>
          <w:lang w:val="fr-FR"/>
        </w:rPr>
        <w:t>enfant au registre d</w:t>
      </w:r>
      <w:r w:rsidRPr="00DB38A0" w:rsidR="00DB38A0">
        <w:rPr>
          <w:lang w:val="fr-FR"/>
        </w:rPr>
        <w:t>’</w:t>
      </w:r>
      <w:r w:rsidRPr="00DB38A0">
        <w:rPr>
          <w:lang w:val="fr-FR"/>
        </w:rPr>
        <w:t>état civil (</w:t>
      </w:r>
      <w:proofErr w:type="spellStart"/>
      <w:r w:rsidRPr="00DB38A0">
        <w:rPr>
          <w:i/>
          <w:lang w:val="fr-FR"/>
        </w:rPr>
        <w:t>Gözüm</w:t>
      </w:r>
      <w:proofErr w:type="spellEnd"/>
      <w:r w:rsidRPr="00DB38A0">
        <w:rPr>
          <w:lang w:val="fr-FR"/>
        </w:rPr>
        <w:t xml:space="preserve"> précitée). Certes, les circonstances du cas d</w:t>
      </w:r>
      <w:r w:rsidRPr="00DB38A0" w:rsidR="00DB38A0">
        <w:rPr>
          <w:lang w:val="fr-FR"/>
        </w:rPr>
        <w:t>’</w:t>
      </w:r>
      <w:r w:rsidRPr="00DB38A0">
        <w:rPr>
          <w:lang w:val="fr-FR"/>
        </w:rPr>
        <w:t>espèce diffèrent quelque peu de celles dont elle avait alors été saisie en ce que notamment, dans la présente affaire, l</w:t>
      </w:r>
      <w:r w:rsidRPr="00DB38A0" w:rsidR="00DB38A0">
        <w:rPr>
          <w:lang w:val="fr-FR"/>
        </w:rPr>
        <w:t>’</w:t>
      </w:r>
      <w:r w:rsidRPr="00DB38A0">
        <w:rPr>
          <w:lang w:val="fr-FR"/>
        </w:rPr>
        <w:t>enfant était déjà âgée de 7 ans au moment de son adoption. Pour autant, la Cour estime que les critères et principes développés dans l</w:t>
      </w:r>
      <w:r w:rsidRPr="00DB38A0" w:rsidR="00DB38A0">
        <w:rPr>
          <w:lang w:val="fr-FR"/>
        </w:rPr>
        <w:t>’</w:t>
      </w:r>
      <w:r w:rsidRPr="00DB38A0">
        <w:rPr>
          <w:lang w:val="fr-FR"/>
        </w:rPr>
        <w:t xml:space="preserve">affaire </w:t>
      </w:r>
      <w:proofErr w:type="spellStart"/>
      <w:r w:rsidRPr="00DB38A0">
        <w:rPr>
          <w:i/>
          <w:lang w:val="fr-FR"/>
        </w:rPr>
        <w:t>Gözüm</w:t>
      </w:r>
      <w:proofErr w:type="spellEnd"/>
      <w:r w:rsidRPr="00DB38A0">
        <w:rPr>
          <w:lang w:val="fr-FR"/>
        </w:rPr>
        <w:t xml:space="preserve"> susmentionnée doivent la guider dans l</w:t>
      </w:r>
      <w:r w:rsidRPr="00DB38A0" w:rsidR="00DB38A0">
        <w:rPr>
          <w:lang w:val="fr-FR"/>
        </w:rPr>
        <w:t>’</w:t>
      </w:r>
      <w:r w:rsidRPr="00DB38A0">
        <w:rPr>
          <w:lang w:val="fr-FR"/>
        </w:rPr>
        <w:t>appréciation des circonstances de l</w:t>
      </w:r>
      <w:r w:rsidRPr="00DB38A0" w:rsidR="00DB38A0">
        <w:rPr>
          <w:lang w:val="fr-FR"/>
        </w:rPr>
        <w:t>’</w:t>
      </w:r>
      <w:r w:rsidRPr="00DB38A0">
        <w:rPr>
          <w:lang w:val="fr-FR"/>
        </w:rPr>
        <w:t>espèce.</w:t>
      </w:r>
    </w:p>
    <w:p w:rsidRPr="00DB38A0" w:rsidR="00C57B8D" w:rsidP="00DB38A0" w:rsidRDefault="00C57B8D">
      <w:pPr>
        <w:pStyle w:val="ECHRPara"/>
        <w:rPr>
          <w:lang w:val="fr-FR"/>
        </w:rPr>
      </w:pPr>
      <w:r w:rsidRPr="00DB38A0">
        <w:rPr>
          <w:lang w:val="fr-FR"/>
        </w:rPr>
        <w:t>26.  À cet égard, bien qu</w:t>
      </w:r>
      <w:r w:rsidRPr="00DB38A0" w:rsidR="00DB38A0">
        <w:rPr>
          <w:lang w:val="fr-FR"/>
        </w:rPr>
        <w:t>’</w:t>
      </w:r>
      <w:r w:rsidRPr="00DB38A0">
        <w:rPr>
          <w:lang w:val="fr-FR"/>
        </w:rPr>
        <w:t>à la lecture des demandes formulées par la requérante auprès des instances nationales – concernant en particulier la mention du prénom de son propre père en tant que prénom du père de l</w:t>
      </w:r>
      <w:r w:rsidRPr="00DB38A0" w:rsidR="00DB38A0">
        <w:rPr>
          <w:lang w:val="fr-FR"/>
        </w:rPr>
        <w:t>’</w:t>
      </w:r>
      <w:r w:rsidRPr="00DB38A0">
        <w:rPr>
          <w:lang w:val="fr-FR"/>
        </w:rPr>
        <w:t>enfant adoptée (paragraphe 6 ci-dessus) – la Cour puisse émettre de sérieux doutes quant au bien-fondé d</w:t>
      </w:r>
      <w:r w:rsidRPr="00DB38A0" w:rsidR="00DB38A0">
        <w:rPr>
          <w:lang w:val="fr-FR"/>
        </w:rPr>
        <w:t>’</w:t>
      </w:r>
      <w:r w:rsidRPr="00DB38A0">
        <w:rPr>
          <w:lang w:val="fr-FR"/>
        </w:rPr>
        <w:t>une partie de celles-ci au regard de l</w:t>
      </w:r>
      <w:r w:rsidRPr="00DB38A0" w:rsidR="00DB38A0">
        <w:rPr>
          <w:lang w:val="fr-FR"/>
        </w:rPr>
        <w:t>’</w:t>
      </w:r>
      <w:r w:rsidRPr="00DB38A0">
        <w:rPr>
          <w:lang w:val="fr-FR"/>
        </w:rPr>
        <w:t>article 8 de la Convention, elle estime utile de rappeler le constat auquel elle est parvenue dans l</w:t>
      </w:r>
      <w:r w:rsidRPr="00DB38A0" w:rsidR="00DB38A0">
        <w:rPr>
          <w:lang w:val="fr-FR"/>
        </w:rPr>
        <w:t>’</w:t>
      </w:r>
      <w:r w:rsidRPr="00DB38A0">
        <w:rPr>
          <w:lang w:val="fr-FR"/>
        </w:rPr>
        <w:t xml:space="preserve">affaire </w:t>
      </w:r>
      <w:proofErr w:type="spellStart"/>
      <w:r w:rsidRPr="00DB38A0">
        <w:rPr>
          <w:i/>
          <w:lang w:val="fr-FR"/>
        </w:rPr>
        <w:t>Gözüm</w:t>
      </w:r>
      <w:proofErr w:type="spellEnd"/>
      <w:r w:rsidRPr="00DB38A0">
        <w:rPr>
          <w:lang w:val="fr-FR"/>
        </w:rPr>
        <w:t xml:space="preserve"> (précité</w:t>
      </w:r>
      <w:r w:rsidRPr="00DB38A0" w:rsidR="00E87798">
        <w:rPr>
          <w:lang w:val="fr-FR"/>
        </w:rPr>
        <w:t>e</w:t>
      </w:r>
      <w:r w:rsidRPr="00DB38A0">
        <w:rPr>
          <w:lang w:val="fr-FR"/>
        </w:rPr>
        <w:t>, § 53) selon lequel, à l</w:t>
      </w:r>
      <w:r w:rsidRPr="00DB38A0" w:rsidR="00DB38A0">
        <w:rPr>
          <w:lang w:val="fr-FR"/>
        </w:rPr>
        <w:t>’</w:t>
      </w:r>
      <w:r w:rsidRPr="00DB38A0">
        <w:rPr>
          <w:lang w:val="fr-FR"/>
        </w:rPr>
        <w:t>époque pertinente : « en matière d</w:t>
      </w:r>
      <w:r w:rsidRPr="00DB38A0" w:rsidR="00DB38A0">
        <w:rPr>
          <w:lang w:val="fr-FR"/>
        </w:rPr>
        <w:t>’</w:t>
      </w:r>
      <w:r w:rsidRPr="00DB38A0">
        <w:rPr>
          <w:lang w:val="fr-FR"/>
        </w:rPr>
        <w:t>adoptions monoparentales, le droit civil turc présentait une lacune légale qui touchait les personnes se trouvant dans la situation de la requérante, dont la demande relevait d</w:t>
      </w:r>
      <w:r w:rsidRPr="00DB38A0" w:rsidR="00DB38A0">
        <w:rPr>
          <w:lang w:val="fr-FR"/>
        </w:rPr>
        <w:t>’</w:t>
      </w:r>
      <w:r w:rsidRPr="00DB38A0">
        <w:rPr>
          <w:lang w:val="fr-FR"/>
        </w:rPr>
        <w:t>une sphère juridique que le législateur turc n</w:t>
      </w:r>
      <w:r w:rsidRPr="00DB38A0" w:rsidR="00DB38A0">
        <w:rPr>
          <w:lang w:val="fr-FR"/>
        </w:rPr>
        <w:t>’</w:t>
      </w:r>
      <w:r w:rsidRPr="00DB38A0">
        <w:rPr>
          <w:lang w:val="fr-FR"/>
        </w:rPr>
        <w:t>avait assurément pas prévue et encadrée de manière à ménager un juste équilibre entre l</w:t>
      </w:r>
      <w:r w:rsidRPr="00DB38A0" w:rsidR="00DB38A0">
        <w:rPr>
          <w:lang w:val="fr-FR"/>
        </w:rPr>
        <w:t>’</w:t>
      </w:r>
      <w:r w:rsidRPr="00DB38A0">
        <w:rPr>
          <w:lang w:val="fr-FR"/>
        </w:rPr>
        <w:t>intérêt général et les intérêts concurrents des individus ».</w:t>
      </w:r>
    </w:p>
    <w:p w:rsidRPr="00DB38A0" w:rsidR="00C57B8D" w:rsidP="00DB38A0" w:rsidRDefault="00C57B8D">
      <w:pPr>
        <w:pStyle w:val="ECHRPara"/>
        <w:rPr>
          <w:lang w:val="fr-FR"/>
        </w:rPr>
      </w:pPr>
      <w:r w:rsidRPr="00DB38A0">
        <w:rPr>
          <w:lang w:val="fr-FR"/>
        </w:rPr>
        <w:t>27.  La Cour prend note avec intérêt des informations soumises par le Gouvernement concernant l</w:t>
      </w:r>
      <w:r w:rsidRPr="00DB38A0" w:rsidR="00DB38A0">
        <w:rPr>
          <w:lang w:val="fr-FR"/>
        </w:rPr>
        <w:t>’</w:t>
      </w:r>
      <w:r w:rsidRPr="00DB38A0">
        <w:rPr>
          <w:lang w:val="fr-FR"/>
        </w:rPr>
        <w:t>évolution législative intervenue en 2017 au regard de la loi n</w:t>
      </w:r>
      <w:r w:rsidRPr="00DB38A0">
        <w:rPr>
          <w:vertAlign w:val="superscript"/>
          <w:lang w:val="fr-FR"/>
        </w:rPr>
        <w:t>o</w:t>
      </w:r>
      <w:r w:rsidRPr="00DB38A0">
        <w:rPr>
          <w:lang w:val="fr-FR"/>
        </w:rPr>
        <w:t xml:space="preserve"> 5490, mais rappelle que celle-ci ne saurait avoir d</w:t>
      </w:r>
      <w:r w:rsidRPr="00DB38A0" w:rsidR="00DB38A0">
        <w:rPr>
          <w:lang w:val="fr-FR"/>
        </w:rPr>
        <w:t>’</w:t>
      </w:r>
      <w:r w:rsidRPr="00DB38A0">
        <w:rPr>
          <w:lang w:val="fr-FR"/>
        </w:rPr>
        <w:t>incidence sur la requête, étant donné qu</w:t>
      </w:r>
      <w:r w:rsidRPr="00DB38A0" w:rsidR="00DB38A0">
        <w:rPr>
          <w:lang w:val="fr-FR"/>
        </w:rPr>
        <w:t>’</w:t>
      </w:r>
      <w:r w:rsidRPr="00DB38A0">
        <w:rPr>
          <w:lang w:val="fr-FR"/>
        </w:rPr>
        <w:t>elle est intervenue postérieurement aux faits de la cause.</w:t>
      </w:r>
    </w:p>
    <w:p w:rsidRPr="00DB38A0" w:rsidR="00C57B8D" w:rsidP="00DB38A0" w:rsidRDefault="00C57B8D">
      <w:pPr>
        <w:pStyle w:val="ECHRPara"/>
        <w:rPr>
          <w:lang w:val="fr-FR"/>
        </w:rPr>
      </w:pPr>
      <w:r w:rsidRPr="00DB38A0">
        <w:rPr>
          <w:lang w:val="fr-FR"/>
        </w:rPr>
        <w:t>28.  De plus, la Cour est sensible aux arguments du Gouvernement, tenant en particulier à l</w:t>
      </w:r>
      <w:r w:rsidRPr="00DB38A0" w:rsidR="00DB38A0">
        <w:rPr>
          <w:lang w:val="fr-FR"/>
        </w:rPr>
        <w:t>’</w:t>
      </w:r>
      <w:r w:rsidRPr="00DB38A0">
        <w:rPr>
          <w:lang w:val="fr-FR"/>
        </w:rPr>
        <w:t>intérêt supérieur d</w:t>
      </w:r>
      <w:r w:rsidRPr="00DB38A0" w:rsidR="00DB38A0">
        <w:rPr>
          <w:lang w:val="fr-FR"/>
        </w:rPr>
        <w:t>’</w:t>
      </w:r>
      <w:r w:rsidRPr="00DB38A0">
        <w:rPr>
          <w:lang w:val="fr-FR"/>
        </w:rPr>
        <w:t>un enfant en âge de discernement et au droit d</w:t>
      </w:r>
      <w:r w:rsidRPr="00DB38A0" w:rsidR="00DB38A0">
        <w:rPr>
          <w:lang w:val="fr-FR"/>
        </w:rPr>
        <w:t>’</w:t>
      </w:r>
      <w:r w:rsidRPr="00DB38A0">
        <w:rPr>
          <w:lang w:val="fr-FR"/>
        </w:rPr>
        <w:t>un enfant de connaître ses origines. Pour autant, au vu des conclusions auxquelles elle est parvenue dans l</w:t>
      </w:r>
      <w:r w:rsidRPr="00DB38A0" w:rsidR="00DB38A0">
        <w:rPr>
          <w:lang w:val="fr-FR"/>
        </w:rPr>
        <w:t>’</w:t>
      </w:r>
      <w:r w:rsidRPr="00DB38A0">
        <w:rPr>
          <w:lang w:val="fr-FR"/>
        </w:rPr>
        <w:t xml:space="preserve">affaire </w:t>
      </w:r>
      <w:proofErr w:type="spellStart"/>
      <w:r w:rsidRPr="00DB38A0">
        <w:rPr>
          <w:i/>
          <w:lang w:val="fr-FR"/>
        </w:rPr>
        <w:t>Gözüm</w:t>
      </w:r>
      <w:proofErr w:type="spellEnd"/>
      <w:r w:rsidRPr="00DB38A0">
        <w:rPr>
          <w:lang w:val="fr-FR"/>
        </w:rPr>
        <w:t xml:space="preserve"> (précitée, § 53) selon lesquelles « la protection de droit civil, telle qu</w:t>
      </w:r>
      <w:r w:rsidRPr="00DB38A0" w:rsidR="00DB38A0">
        <w:rPr>
          <w:lang w:val="fr-FR"/>
        </w:rPr>
        <w:t>’</w:t>
      </w:r>
      <w:r w:rsidRPr="00DB38A0">
        <w:rPr>
          <w:lang w:val="fr-FR"/>
        </w:rPr>
        <w:t>elle avait été conçue à l</w:t>
      </w:r>
      <w:r w:rsidRPr="00DB38A0" w:rsidR="00DB38A0">
        <w:rPr>
          <w:lang w:val="fr-FR"/>
        </w:rPr>
        <w:t>’</w:t>
      </w:r>
      <w:r w:rsidRPr="00DB38A0">
        <w:rPr>
          <w:lang w:val="fr-FR"/>
        </w:rPr>
        <w:t>époque pertinente, ne pouvait passer pour suffisante au regard des obligations positives mise à la charge de l</w:t>
      </w:r>
      <w:r w:rsidRPr="00DB38A0" w:rsidR="00DB38A0">
        <w:rPr>
          <w:lang w:val="fr-FR"/>
        </w:rPr>
        <w:t>’</w:t>
      </w:r>
      <w:r w:rsidRPr="00DB38A0">
        <w:rPr>
          <w:lang w:val="fr-FR"/>
        </w:rPr>
        <w:t>État défendeur par l</w:t>
      </w:r>
      <w:r w:rsidRPr="00DB38A0" w:rsidR="00DB38A0">
        <w:rPr>
          <w:lang w:val="fr-FR"/>
        </w:rPr>
        <w:t>’</w:t>
      </w:r>
      <w:r w:rsidRPr="00DB38A0">
        <w:rPr>
          <w:lang w:val="fr-FR"/>
        </w:rPr>
        <w:t>article 8 de la Convention » et des motifs retenus par le TGI au regard, en particulier, de l</w:t>
      </w:r>
      <w:r w:rsidRPr="00DB38A0" w:rsidR="00DB38A0">
        <w:rPr>
          <w:lang w:val="fr-FR"/>
        </w:rPr>
        <w:t>’</w:t>
      </w:r>
      <w:r w:rsidRPr="00DB38A0">
        <w:rPr>
          <w:lang w:val="fr-FR"/>
        </w:rPr>
        <w:t>inapplicabilité des dispositions du code civil à la situation de la requérante (paragraphe 6 ci-dessus), la Cour conclut également en l</w:t>
      </w:r>
      <w:r w:rsidRPr="00DB38A0" w:rsidR="00DB38A0">
        <w:rPr>
          <w:lang w:val="fr-FR"/>
        </w:rPr>
        <w:t>’</w:t>
      </w:r>
      <w:r w:rsidRPr="00DB38A0">
        <w:rPr>
          <w:lang w:val="fr-FR"/>
        </w:rPr>
        <w:t>espèce à la violation de l</w:t>
      </w:r>
      <w:r w:rsidRPr="00DB38A0" w:rsidR="00DB38A0">
        <w:rPr>
          <w:lang w:val="fr-FR"/>
        </w:rPr>
        <w:t>’</w:t>
      </w:r>
      <w:r w:rsidRPr="00DB38A0">
        <w:rPr>
          <w:lang w:val="fr-FR"/>
        </w:rPr>
        <w:t xml:space="preserve">article 8 de la Convention en conséquence du refus des autorités turques de mentionner le prénom de la requérante comme étant </w:t>
      </w:r>
      <w:r w:rsidRPr="00DB38A0" w:rsidR="00523FFB">
        <w:rPr>
          <w:lang w:val="fr-FR"/>
        </w:rPr>
        <w:t xml:space="preserve">celui de </w:t>
      </w:r>
      <w:r w:rsidRPr="00DB38A0">
        <w:rPr>
          <w:lang w:val="fr-FR"/>
        </w:rPr>
        <w:t>la mère de l</w:t>
      </w:r>
      <w:r w:rsidRPr="00DB38A0" w:rsidR="00DB38A0">
        <w:rPr>
          <w:lang w:val="fr-FR"/>
        </w:rPr>
        <w:t>’</w:t>
      </w:r>
      <w:r w:rsidRPr="00DB38A0">
        <w:rPr>
          <w:lang w:val="fr-FR"/>
        </w:rPr>
        <w:t>enfant sur ses documents d</w:t>
      </w:r>
      <w:r w:rsidRPr="00DB38A0" w:rsidR="00DB38A0">
        <w:rPr>
          <w:lang w:val="fr-FR"/>
        </w:rPr>
        <w:t>’</w:t>
      </w:r>
      <w:r w:rsidRPr="00DB38A0">
        <w:rPr>
          <w:lang w:val="fr-FR"/>
        </w:rPr>
        <w:t>état civil.</w:t>
      </w:r>
    </w:p>
    <w:p w:rsidRPr="00DB38A0" w:rsidR="00C57B8D" w:rsidP="00DB38A0" w:rsidRDefault="00C57B8D">
      <w:pPr>
        <w:pStyle w:val="ECHRHeading1"/>
        <w:rPr>
          <w:lang w:val="fr-FR"/>
        </w:rPr>
      </w:pPr>
      <w:r w:rsidRPr="00DB38A0">
        <w:rPr>
          <w:lang w:val="fr-FR"/>
        </w:rPr>
        <w:t>II.  SUR L</w:t>
      </w:r>
      <w:r w:rsidRPr="00DB38A0" w:rsidR="00DB38A0">
        <w:rPr>
          <w:lang w:val="fr-FR"/>
        </w:rPr>
        <w:t>’</w:t>
      </w:r>
      <w:r w:rsidRPr="00DB38A0">
        <w:rPr>
          <w:lang w:val="fr-FR"/>
        </w:rPr>
        <w:t>APPLICATION DE L</w:t>
      </w:r>
      <w:r w:rsidRPr="00DB38A0" w:rsidR="00DB38A0">
        <w:rPr>
          <w:lang w:val="fr-FR"/>
        </w:rPr>
        <w:t>’</w:t>
      </w:r>
      <w:r w:rsidRPr="00DB38A0">
        <w:rPr>
          <w:lang w:val="fr-FR"/>
        </w:rPr>
        <w:t>ARTICLE 41 DE LA CONVENTION</w:t>
      </w:r>
    </w:p>
    <w:p w:rsidRPr="00DB38A0" w:rsidR="00C57B8D" w:rsidP="00DB38A0" w:rsidRDefault="00C57B8D">
      <w:pPr>
        <w:pStyle w:val="ECHRPara"/>
        <w:rPr>
          <w:lang w:val="fr-FR"/>
        </w:rPr>
      </w:pPr>
      <w:r w:rsidRPr="00DB38A0">
        <w:rPr>
          <w:lang w:val="fr-FR"/>
        </w:rPr>
        <w:t>29.  Aux termes de l</w:t>
      </w:r>
      <w:r w:rsidRPr="00DB38A0" w:rsidR="00DB38A0">
        <w:rPr>
          <w:lang w:val="fr-FR"/>
        </w:rPr>
        <w:t>’</w:t>
      </w:r>
      <w:r w:rsidRPr="00DB38A0">
        <w:rPr>
          <w:lang w:val="fr-FR"/>
        </w:rPr>
        <w:t>article 41 de la Convention,</w:t>
      </w:r>
    </w:p>
    <w:p w:rsidRPr="00DB38A0" w:rsidR="00C57B8D" w:rsidP="00DB38A0" w:rsidRDefault="00C57B8D">
      <w:pPr>
        <w:pStyle w:val="ECHRParaQuote"/>
        <w:keepNext/>
        <w:keepLines/>
        <w:rPr>
          <w:lang w:val="fr-FR"/>
        </w:rPr>
      </w:pPr>
      <w:r w:rsidRPr="00DB38A0">
        <w:rPr>
          <w:lang w:val="fr-FR"/>
        </w:rPr>
        <w:t>« Si la Cour déclare qu</w:t>
      </w:r>
      <w:r w:rsidRPr="00DB38A0" w:rsidR="00DB38A0">
        <w:rPr>
          <w:lang w:val="fr-FR"/>
        </w:rPr>
        <w:t>’</w:t>
      </w:r>
      <w:r w:rsidRPr="00DB38A0">
        <w:rPr>
          <w:lang w:val="fr-FR"/>
        </w:rPr>
        <w:t>il y a eu violation de la Convention ou de ses Protocoles, et si le droit interne de la Haute Partie contractante ne permet d</w:t>
      </w:r>
      <w:r w:rsidRPr="00DB38A0" w:rsidR="00DB38A0">
        <w:rPr>
          <w:lang w:val="fr-FR"/>
        </w:rPr>
        <w:t>’</w:t>
      </w:r>
      <w:r w:rsidRPr="00DB38A0">
        <w:rPr>
          <w:lang w:val="fr-FR"/>
        </w:rPr>
        <w:t>effacer qu</w:t>
      </w:r>
      <w:r w:rsidRPr="00DB38A0" w:rsidR="00DB38A0">
        <w:rPr>
          <w:lang w:val="fr-FR"/>
        </w:rPr>
        <w:t>’</w:t>
      </w:r>
      <w:r w:rsidRPr="00DB38A0">
        <w:rPr>
          <w:lang w:val="fr-FR"/>
        </w:rPr>
        <w:t>imparfaitement les conséquences de cette violation, la Cour accorde à la partie lésée, s</w:t>
      </w:r>
      <w:r w:rsidRPr="00DB38A0" w:rsidR="00DB38A0">
        <w:rPr>
          <w:lang w:val="fr-FR"/>
        </w:rPr>
        <w:t>’</w:t>
      </w:r>
      <w:r w:rsidRPr="00DB38A0">
        <w:rPr>
          <w:lang w:val="fr-FR"/>
        </w:rPr>
        <w:t>il y a lieu, une satisfaction équitable. »</w:t>
      </w:r>
    </w:p>
    <w:p w:rsidRPr="00DB38A0" w:rsidR="00C57B8D" w:rsidP="00DB38A0" w:rsidRDefault="00C57B8D">
      <w:pPr>
        <w:pStyle w:val="ECHRHeading2"/>
        <w:rPr>
          <w:lang w:val="fr-FR"/>
        </w:rPr>
      </w:pPr>
      <w:r w:rsidRPr="00DB38A0">
        <w:rPr>
          <w:lang w:val="fr-FR"/>
        </w:rPr>
        <w:t>A.  Dommage</w:t>
      </w:r>
    </w:p>
    <w:p w:rsidRPr="00DB38A0" w:rsidR="00C57B8D" w:rsidP="00DB38A0" w:rsidRDefault="00C57B8D">
      <w:pPr>
        <w:pStyle w:val="ECHRPara"/>
        <w:rPr>
          <w:lang w:val="fr-FR"/>
        </w:rPr>
      </w:pPr>
      <w:r w:rsidRPr="00DB38A0">
        <w:rPr>
          <w:lang w:val="fr-FR"/>
        </w:rPr>
        <w:t>30.  La requérante réclame 30 000 livres turques</w:t>
      </w:r>
      <w:r w:rsidRPr="00DB38A0">
        <w:rPr>
          <w:rStyle w:val="FootnoteReference"/>
          <w:lang w:val="fr-FR"/>
        </w:rPr>
        <w:footnoteReference w:id="1"/>
      </w:r>
      <w:r w:rsidRPr="00DB38A0">
        <w:rPr>
          <w:lang w:val="fr-FR"/>
        </w:rPr>
        <w:t xml:space="preserve"> (TRY) au titre du préjudice moral, faisant valoir le traumatisme subi par l</w:t>
      </w:r>
      <w:r w:rsidRPr="00DB38A0" w:rsidR="00DB38A0">
        <w:rPr>
          <w:lang w:val="fr-FR"/>
        </w:rPr>
        <w:t>’</w:t>
      </w:r>
      <w:r w:rsidRPr="00DB38A0">
        <w:rPr>
          <w:lang w:val="fr-FR"/>
        </w:rPr>
        <w:t>enfant adoptée du fait de l</w:t>
      </w:r>
      <w:r w:rsidRPr="00DB38A0" w:rsidR="00DB38A0">
        <w:rPr>
          <w:lang w:val="fr-FR"/>
        </w:rPr>
        <w:t>’</w:t>
      </w:r>
      <w:r w:rsidRPr="00DB38A0">
        <w:rPr>
          <w:lang w:val="fr-FR"/>
        </w:rPr>
        <w:t>impossibilité d</w:t>
      </w:r>
      <w:r w:rsidRPr="00DB38A0" w:rsidR="00DB38A0">
        <w:rPr>
          <w:lang w:val="fr-FR"/>
        </w:rPr>
        <w:t>’</w:t>
      </w:r>
      <w:r w:rsidRPr="00DB38A0">
        <w:rPr>
          <w:lang w:val="fr-FR"/>
        </w:rPr>
        <w:t>obtenir modification des mentions relatives à son identité, l</w:t>
      </w:r>
      <w:r w:rsidRPr="00DB38A0" w:rsidR="00DB38A0">
        <w:rPr>
          <w:lang w:val="fr-FR"/>
        </w:rPr>
        <w:t>’</w:t>
      </w:r>
      <w:r w:rsidRPr="00DB38A0">
        <w:rPr>
          <w:lang w:val="fr-FR"/>
        </w:rPr>
        <w:t>effet sur son propre statut social ainsi que sa propre souffrance psychologique.</w:t>
      </w:r>
    </w:p>
    <w:p w:rsidRPr="00DB38A0" w:rsidR="00C57B8D" w:rsidP="00DB38A0" w:rsidRDefault="00C57B8D">
      <w:pPr>
        <w:pStyle w:val="ECHRPara"/>
        <w:rPr>
          <w:lang w:val="fr-FR"/>
        </w:rPr>
      </w:pPr>
      <w:r w:rsidRPr="00DB38A0">
        <w:rPr>
          <w:lang w:val="fr-FR"/>
        </w:rPr>
        <w:t>31.  Le Gouvernement conteste ces prétentions.</w:t>
      </w:r>
    </w:p>
    <w:p w:rsidRPr="00DB38A0" w:rsidR="00C57B8D" w:rsidP="00DB38A0" w:rsidRDefault="00C57B8D">
      <w:pPr>
        <w:pStyle w:val="ECHRPara"/>
        <w:rPr>
          <w:lang w:val="fr-FR"/>
        </w:rPr>
      </w:pPr>
      <w:r w:rsidRPr="00DB38A0">
        <w:rPr>
          <w:lang w:val="fr-FR"/>
        </w:rPr>
        <w:t>32.  Statuant en équité, la Cour considère qu</w:t>
      </w:r>
      <w:r w:rsidRPr="00DB38A0" w:rsidR="00DB38A0">
        <w:rPr>
          <w:lang w:val="fr-FR"/>
        </w:rPr>
        <w:t>’</w:t>
      </w:r>
      <w:r w:rsidRPr="00DB38A0">
        <w:rPr>
          <w:lang w:val="fr-FR"/>
        </w:rPr>
        <w:t>il y a lieu d</w:t>
      </w:r>
      <w:r w:rsidRPr="00DB38A0" w:rsidR="00DB38A0">
        <w:rPr>
          <w:lang w:val="fr-FR"/>
        </w:rPr>
        <w:t>’</w:t>
      </w:r>
      <w:r w:rsidRPr="00DB38A0">
        <w:rPr>
          <w:lang w:val="fr-FR"/>
        </w:rPr>
        <w:t>octroyer à la requérante 2 500 EUR au titre du préjudice moral subi par la requérante.</w:t>
      </w:r>
    </w:p>
    <w:p w:rsidRPr="00DB38A0" w:rsidR="00C57B8D" w:rsidP="00DB38A0" w:rsidRDefault="00C57B8D">
      <w:pPr>
        <w:pStyle w:val="ECHRHeading2"/>
        <w:rPr>
          <w:lang w:val="fr-FR"/>
        </w:rPr>
      </w:pPr>
      <w:r w:rsidRPr="00DB38A0">
        <w:rPr>
          <w:lang w:val="fr-FR"/>
        </w:rPr>
        <w:t>B.  Frais et dépens</w:t>
      </w:r>
    </w:p>
    <w:p w:rsidRPr="00DB38A0" w:rsidR="00C57B8D" w:rsidP="00DB38A0" w:rsidRDefault="00C57B8D">
      <w:pPr>
        <w:pStyle w:val="ECHRPara"/>
        <w:rPr>
          <w:lang w:val="fr-FR"/>
        </w:rPr>
      </w:pPr>
      <w:r w:rsidRPr="00DB38A0">
        <w:rPr>
          <w:lang w:val="fr-FR"/>
        </w:rPr>
        <w:t>33.  La requérante demande également 3 000 TRY</w:t>
      </w:r>
      <w:r w:rsidRPr="00DB38A0">
        <w:rPr>
          <w:rStyle w:val="FootnoteReference"/>
          <w:lang w:val="fr-FR"/>
        </w:rPr>
        <w:footnoteReference w:id="2"/>
      </w:r>
      <w:r w:rsidRPr="00DB38A0">
        <w:rPr>
          <w:lang w:val="fr-FR"/>
        </w:rPr>
        <w:t xml:space="preserve"> pour les frais et dépens engagés au cours de la procédure.</w:t>
      </w:r>
    </w:p>
    <w:p w:rsidRPr="00DB38A0" w:rsidR="00C57B8D" w:rsidP="00DB38A0" w:rsidRDefault="00C57B8D">
      <w:pPr>
        <w:pStyle w:val="ECHRPara"/>
        <w:rPr>
          <w:lang w:val="fr-FR"/>
        </w:rPr>
      </w:pPr>
      <w:r w:rsidRPr="00DB38A0">
        <w:rPr>
          <w:lang w:val="fr-FR"/>
        </w:rPr>
        <w:t>34.  Le Gouvernement conteste ces prétentions soutenant que la requérante n</w:t>
      </w:r>
      <w:r w:rsidRPr="00DB38A0" w:rsidR="00DB38A0">
        <w:rPr>
          <w:lang w:val="fr-FR"/>
        </w:rPr>
        <w:t>’</w:t>
      </w:r>
      <w:r w:rsidRPr="00DB38A0">
        <w:rPr>
          <w:lang w:val="fr-FR"/>
        </w:rPr>
        <w:t>a soumis aucun document à l</w:t>
      </w:r>
      <w:r w:rsidRPr="00DB38A0" w:rsidR="00DB38A0">
        <w:rPr>
          <w:lang w:val="fr-FR"/>
        </w:rPr>
        <w:t>’</w:t>
      </w:r>
      <w:r w:rsidRPr="00DB38A0">
        <w:rPr>
          <w:lang w:val="fr-FR"/>
        </w:rPr>
        <w:t>appui de sa réclamation.</w:t>
      </w:r>
    </w:p>
    <w:p w:rsidRPr="00DB38A0" w:rsidR="00C57B8D" w:rsidP="00DB38A0" w:rsidRDefault="00C57B8D">
      <w:pPr>
        <w:pStyle w:val="ECHRPara"/>
        <w:rPr>
          <w:lang w:val="fr-FR"/>
        </w:rPr>
      </w:pPr>
      <w:r w:rsidRPr="00DB38A0">
        <w:rPr>
          <w:lang w:val="fr-FR"/>
        </w:rPr>
        <w:t>35.  La Cour rappelle que le remboursement des frais et dépens au titre de l</w:t>
      </w:r>
      <w:r w:rsidRPr="00DB38A0" w:rsidR="00DB38A0">
        <w:rPr>
          <w:lang w:val="fr-FR"/>
        </w:rPr>
        <w:t>’</w:t>
      </w:r>
      <w:r w:rsidRPr="00DB38A0">
        <w:rPr>
          <w:lang w:val="fr-FR"/>
        </w:rPr>
        <w:t>article 41 présuppose que se trouvent établis leur réalité, leur nécessité et, de plus, le caractère raisonnable de leur taux. Elle rappelle également qu</w:t>
      </w:r>
      <w:r w:rsidRPr="00DB38A0" w:rsidR="00DB38A0">
        <w:rPr>
          <w:lang w:val="fr-FR"/>
        </w:rPr>
        <w:t>’</w:t>
      </w:r>
      <w:r w:rsidRPr="00DB38A0">
        <w:rPr>
          <w:lang w:val="fr-FR"/>
        </w:rPr>
        <w:t>elle peut accorder à un requérant le paiement non seulement des frais et dépens qu</w:t>
      </w:r>
      <w:r w:rsidRPr="00DB38A0" w:rsidR="00DB38A0">
        <w:rPr>
          <w:lang w:val="fr-FR"/>
        </w:rPr>
        <w:t>’</w:t>
      </w:r>
      <w:r w:rsidRPr="00DB38A0">
        <w:rPr>
          <w:lang w:val="fr-FR"/>
        </w:rPr>
        <w:t>il a engagés aux fins de la procédure menée devant les organes de la Convention mais aussi de ceux qu</w:t>
      </w:r>
      <w:r w:rsidRPr="00DB38A0" w:rsidR="00DB38A0">
        <w:rPr>
          <w:lang w:val="fr-FR"/>
        </w:rPr>
        <w:t>’</w:t>
      </w:r>
      <w:r w:rsidRPr="00DB38A0">
        <w:rPr>
          <w:lang w:val="fr-FR"/>
        </w:rPr>
        <w:t>il avait engagés devant les juridictions nationales pour prévenir et faire corriger par celles-ci la violation qu</w:t>
      </w:r>
      <w:r w:rsidRPr="00DB38A0" w:rsidR="00DB38A0">
        <w:rPr>
          <w:lang w:val="fr-FR"/>
        </w:rPr>
        <w:t>’</w:t>
      </w:r>
      <w:r w:rsidRPr="00DB38A0">
        <w:rPr>
          <w:lang w:val="fr-FR"/>
        </w:rPr>
        <w:t>elle constate (</w:t>
      </w:r>
      <w:proofErr w:type="spellStart"/>
      <w:r w:rsidRPr="00DB38A0">
        <w:rPr>
          <w:i/>
          <w:lang w:val="fr-FR"/>
        </w:rPr>
        <w:t>Elsholz</w:t>
      </w:r>
      <w:proofErr w:type="spellEnd"/>
      <w:r w:rsidRPr="00DB38A0">
        <w:rPr>
          <w:i/>
          <w:lang w:val="fr-FR"/>
        </w:rPr>
        <w:t xml:space="preserve"> c. Allemagne</w:t>
      </w:r>
      <w:r w:rsidRPr="00DB38A0">
        <w:rPr>
          <w:lang w:val="fr-FR"/>
        </w:rPr>
        <w:t xml:space="preserve"> [GC], n</w:t>
      </w:r>
      <w:r w:rsidRPr="00DB38A0">
        <w:rPr>
          <w:vertAlign w:val="superscript"/>
          <w:lang w:val="fr-FR"/>
        </w:rPr>
        <w:t>o</w:t>
      </w:r>
      <w:r w:rsidRPr="00DB38A0">
        <w:rPr>
          <w:lang w:val="fr-FR"/>
        </w:rPr>
        <w:t xml:space="preserve"> 25735/94, § 73, CEDH 2000</w:t>
      </w:r>
      <w:r w:rsidRPr="00DB38A0">
        <w:rPr>
          <w:lang w:val="fr-FR"/>
        </w:rPr>
        <w:noBreakHyphen/>
        <w:t>VIII). En l</w:t>
      </w:r>
      <w:r w:rsidRPr="00DB38A0" w:rsidR="00DB38A0">
        <w:rPr>
          <w:lang w:val="fr-FR"/>
        </w:rPr>
        <w:t>’</w:t>
      </w:r>
      <w:r w:rsidRPr="00DB38A0">
        <w:rPr>
          <w:lang w:val="fr-FR"/>
        </w:rPr>
        <w:t>espèce, au vu des critères susmentionnés et faute de documents soumis par la requérante pour étayer sa réclamation, la Cour rejette sa demande.</w:t>
      </w:r>
    </w:p>
    <w:p w:rsidRPr="00DB38A0" w:rsidR="00C57B8D" w:rsidP="00DB38A0" w:rsidRDefault="00C57B8D">
      <w:pPr>
        <w:pStyle w:val="ECHRHeading2"/>
        <w:rPr>
          <w:lang w:val="fr-FR"/>
        </w:rPr>
      </w:pPr>
      <w:r w:rsidRPr="00DB38A0">
        <w:rPr>
          <w:lang w:val="fr-FR"/>
        </w:rPr>
        <w:t>C.  Intérêts moratoires</w:t>
      </w:r>
    </w:p>
    <w:p w:rsidRPr="00DB38A0" w:rsidR="00C57B8D" w:rsidP="00DB38A0" w:rsidRDefault="00C57B8D">
      <w:pPr>
        <w:pStyle w:val="ECHRPara"/>
        <w:rPr>
          <w:lang w:val="fr-FR"/>
        </w:rPr>
      </w:pPr>
      <w:r w:rsidRPr="00DB38A0">
        <w:rPr>
          <w:lang w:val="fr-FR"/>
        </w:rPr>
        <w:t>36.  La Cour juge approprié de calquer le taux des intérêts moratoires sur le taux d</w:t>
      </w:r>
      <w:r w:rsidRPr="00DB38A0" w:rsidR="00DB38A0">
        <w:rPr>
          <w:lang w:val="fr-FR"/>
        </w:rPr>
        <w:t>’</w:t>
      </w:r>
      <w:r w:rsidRPr="00DB38A0">
        <w:rPr>
          <w:lang w:val="fr-FR"/>
        </w:rPr>
        <w:t>intérêt de la facilité de prêt marginal de la Banque centrale européenne majoré de trois points de pourcentage.</w:t>
      </w:r>
    </w:p>
    <w:p w:rsidRPr="00DB38A0" w:rsidR="00C57B8D" w:rsidP="00DB38A0" w:rsidRDefault="00C57B8D">
      <w:pPr>
        <w:pStyle w:val="ECHRTitle1"/>
        <w:rPr>
          <w:lang w:val="fr-FR"/>
        </w:rPr>
      </w:pPr>
      <w:r w:rsidRPr="00DB38A0">
        <w:rPr>
          <w:lang w:val="fr-FR"/>
        </w:rPr>
        <w:t>PAR CES MOTIFS, LA COUR, À L</w:t>
      </w:r>
      <w:r w:rsidRPr="00DB38A0" w:rsidR="00DB38A0">
        <w:rPr>
          <w:lang w:val="fr-FR"/>
        </w:rPr>
        <w:t>’</w:t>
      </w:r>
      <w:r w:rsidRPr="00DB38A0">
        <w:rPr>
          <w:lang w:val="fr-FR"/>
        </w:rPr>
        <w:t>UNANIMITÉ,</w:t>
      </w:r>
    </w:p>
    <w:p w:rsidRPr="00DB38A0" w:rsidR="00C57B8D" w:rsidP="00DB38A0" w:rsidRDefault="00C57B8D">
      <w:pPr>
        <w:pStyle w:val="JuList"/>
        <w:ind w:left="0" w:firstLine="0"/>
        <w:rPr>
          <w:lang w:val="fr-FR"/>
        </w:rPr>
      </w:pPr>
      <w:r w:rsidRPr="00DB38A0">
        <w:rPr>
          <w:lang w:val="fr-FR"/>
        </w:rPr>
        <w:t>1.  </w:t>
      </w:r>
      <w:r w:rsidRPr="00DB38A0">
        <w:rPr>
          <w:i/>
          <w:lang w:val="fr-FR"/>
        </w:rPr>
        <w:t>Déclare</w:t>
      </w:r>
      <w:r w:rsidRPr="00DB38A0">
        <w:rPr>
          <w:lang w:val="fr-FR"/>
        </w:rPr>
        <w:t xml:space="preserve"> la requête recevable</w:t>
      </w:r>
      <w:r w:rsidRPr="00DB38A0" w:rsidR="00A05C98">
        <w:rPr>
          <w:lang w:val="fr-FR"/>
        </w:rPr>
        <w:t> </w:t>
      </w:r>
      <w:r w:rsidRPr="00DB38A0">
        <w:rPr>
          <w:lang w:val="fr-FR"/>
        </w:rPr>
        <w:t>;</w:t>
      </w:r>
    </w:p>
    <w:p w:rsidRPr="00DB38A0" w:rsidR="00C57B8D" w:rsidP="00DB38A0" w:rsidRDefault="00C57B8D">
      <w:pPr>
        <w:pStyle w:val="JuList"/>
        <w:rPr>
          <w:lang w:val="fr-FR"/>
        </w:rPr>
      </w:pPr>
    </w:p>
    <w:p w:rsidRPr="00DB38A0" w:rsidR="00C57B8D" w:rsidP="00DB38A0" w:rsidRDefault="00C57B8D">
      <w:pPr>
        <w:pStyle w:val="JuList"/>
        <w:rPr>
          <w:lang w:val="fr-FR"/>
        </w:rPr>
      </w:pPr>
      <w:r w:rsidRPr="00DB38A0">
        <w:rPr>
          <w:lang w:val="fr-FR"/>
        </w:rPr>
        <w:t>2.  </w:t>
      </w:r>
      <w:r w:rsidRPr="00DB38A0">
        <w:rPr>
          <w:i/>
          <w:lang w:val="fr-FR"/>
        </w:rPr>
        <w:t>Dit</w:t>
      </w:r>
      <w:r w:rsidRPr="00DB38A0">
        <w:rPr>
          <w:lang w:val="fr-FR"/>
        </w:rPr>
        <w:t xml:space="preserve"> qu</w:t>
      </w:r>
      <w:r w:rsidRPr="00DB38A0" w:rsidR="00DB38A0">
        <w:rPr>
          <w:lang w:val="fr-FR"/>
        </w:rPr>
        <w:t>’</w:t>
      </w:r>
      <w:r w:rsidRPr="00DB38A0">
        <w:rPr>
          <w:lang w:val="fr-FR"/>
        </w:rPr>
        <w:t>il y a eu violation de l</w:t>
      </w:r>
      <w:r w:rsidRPr="00DB38A0" w:rsidR="00DB38A0">
        <w:rPr>
          <w:lang w:val="fr-FR"/>
        </w:rPr>
        <w:t>’</w:t>
      </w:r>
      <w:r w:rsidRPr="00DB38A0">
        <w:rPr>
          <w:lang w:val="fr-FR"/>
        </w:rPr>
        <w:t>article 8 de la Convention ;</w:t>
      </w:r>
    </w:p>
    <w:p w:rsidRPr="00DB38A0" w:rsidR="00C57B8D" w:rsidP="00DB38A0" w:rsidRDefault="00C57B8D">
      <w:pPr>
        <w:pStyle w:val="JuList"/>
        <w:rPr>
          <w:lang w:val="fr-FR"/>
        </w:rPr>
      </w:pPr>
    </w:p>
    <w:p w:rsidRPr="00DB38A0" w:rsidR="00C57B8D" w:rsidP="00DB38A0" w:rsidRDefault="00C57B8D">
      <w:pPr>
        <w:pStyle w:val="JuList"/>
        <w:rPr>
          <w:i/>
          <w:lang w:val="fr-FR"/>
        </w:rPr>
      </w:pPr>
      <w:r w:rsidRPr="00DB38A0">
        <w:rPr>
          <w:lang w:val="fr-FR"/>
        </w:rPr>
        <w:t>3.</w:t>
      </w:r>
      <w:r w:rsidRPr="00DB38A0">
        <w:rPr>
          <w:i/>
          <w:lang w:val="fr-FR"/>
        </w:rPr>
        <w:t>  Dit</w:t>
      </w:r>
    </w:p>
    <w:p w:rsidRPr="00DB38A0" w:rsidR="00C57B8D" w:rsidP="00DB38A0" w:rsidRDefault="00C57B8D">
      <w:pPr>
        <w:pStyle w:val="JuLista"/>
        <w:rPr>
          <w:lang w:val="fr-FR"/>
        </w:rPr>
      </w:pPr>
      <w:r w:rsidRPr="00DB38A0">
        <w:rPr>
          <w:lang w:val="fr-FR"/>
        </w:rPr>
        <w:t>a)  que l</w:t>
      </w:r>
      <w:r w:rsidRPr="00DB38A0" w:rsidR="00DB38A0">
        <w:rPr>
          <w:lang w:val="fr-FR"/>
        </w:rPr>
        <w:t>’</w:t>
      </w:r>
      <w:r w:rsidRPr="00DB38A0">
        <w:rPr>
          <w:lang w:val="fr-FR"/>
        </w:rPr>
        <w:t>État défendeur doit verser à la requérante, dans les trois mois à compter du jour où l</w:t>
      </w:r>
      <w:r w:rsidRPr="00DB38A0" w:rsidR="00DB38A0">
        <w:rPr>
          <w:lang w:val="fr-FR"/>
        </w:rPr>
        <w:t>’</w:t>
      </w:r>
      <w:r w:rsidRPr="00DB38A0">
        <w:rPr>
          <w:lang w:val="fr-FR"/>
        </w:rPr>
        <w:t>arrêt sera devenu définitif conformément à l</w:t>
      </w:r>
      <w:r w:rsidRPr="00DB38A0" w:rsidR="00DB38A0">
        <w:rPr>
          <w:lang w:val="fr-FR"/>
        </w:rPr>
        <w:t>’</w:t>
      </w:r>
      <w:r w:rsidRPr="00DB38A0">
        <w:rPr>
          <w:lang w:val="fr-FR"/>
        </w:rPr>
        <w:t xml:space="preserve">article 44 § 2 de la Convention, 2500 EUR (deux mille cinq cents euros) pour dommage moral, à convertir en </w:t>
      </w:r>
      <w:r w:rsidRPr="00DB38A0">
        <w:rPr>
          <w:lang w:val="fr-FR" w:eastAsia="en-GB"/>
        </w:rPr>
        <w:t>livres turques</w:t>
      </w:r>
      <w:r w:rsidRPr="00DB38A0">
        <w:rPr>
          <w:lang w:val="fr-FR"/>
        </w:rPr>
        <w:t xml:space="preserve">, au taux applicable à la date du règlement, </w:t>
      </w:r>
      <w:r w:rsidRPr="00DB38A0">
        <w:rPr>
          <w:lang w:val="fr-FR" w:eastAsia="en-GB"/>
        </w:rPr>
        <w:t>plus tout montant pouvant être dû à titre d</w:t>
      </w:r>
      <w:r w:rsidRPr="00DB38A0" w:rsidR="00DB38A0">
        <w:rPr>
          <w:lang w:val="fr-FR" w:eastAsia="en-GB"/>
        </w:rPr>
        <w:t>’</w:t>
      </w:r>
      <w:r w:rsidRPr="00DB38A0">
        <w:rPr>
          <w:lang w:val="fr-FR" w:eastAsia="en-GB"/>
        </w:rPr>
        <w:t xml:space="preserve">impôt par </w:t>
      </w:r>
      <w:r w:rsidRPr="00DB38A0">
        <w:rPr>
          <w:lang w:val="fr-FR"/>
        </w:rPr>
        <w:t>la requérante</w:t>
      </w:r>
      <w:r w:rsidRPr="00DB38A0">
        <w:rPr>
          <w:lang w:val="fr-FR" w:eastAsia="en-GB"/>
        </w:rPr>
        <w:t>;</w:t>
      </w:r>
    </w:p>
    <w:p w:rsidRPr="00DB38A0" w:rsidR="00C57B8D" w:rsidP="00DB38A0" w:rsidRDefault="00C57B8D">
      <w:pPr>
        <w:pStyle w:val="JuLista"/>
        <w:rPr>
          <w:lang w:val="fr-FR"/>
        </w:rPr>
      </w:pPr>
      <w:r w:rsidRPr="00DB38A0">
        <w:rPr>
          <w:lang w:val="fr-FR"/>
        </w:rPr>
        <w:t>b)  qu</w:t>
      </w:r>
      <w:r w:rsidRPr="00DB38A0" w:rsidR="00DB38A0">
        <w:rPr>
          <w:lang w:val="fr-FR"/>
        </w:rPr>
        <w:t>’</w:t>
      </w:r>
      <w:r w:rsidRPr="00DB38A0">
        <w:rPr>
          <w:lang w:val="fr-FR"/>
        </w:rPr>
        <w:t>à compter de l</w:t>
      </w:r>
      <w:r w:rsidRPr="00DB38A0" w:rsidR="00DB38A0">
        <w:rPr>
          <w:lang w:val="fr-FR"/>
        </w:rPr>
        <w:t>’</w:t>
      </w:r>
      <w:r w:rsidRPr="00DB38A0">
        <w:rPr>
          <w:lang w:val="fr-FR"/>
        </w:rPr>
        <w:t>expiration dudit délai et jusqu</w:t>
      </w:r>
      <w:r w:rsidRPr="00DB38A0" w:rsidR="00DB38A0">
        <w:rPr>
          <w:lang w:val="fr-FR"/>
        </w:rPr>
        <w:t>’</w:t>
      </w:r>
      <w:r w:rsidRPr="00DB38A0">
        <w:rPr>
          <w:lang w:val="fr-FR"/>
        </w:rPr>
        <w:t>au versement, ces montants seront à majorer d</w:t>
      </w:r>
      <w:r w:rsidRPr="00DB38A0" w:rsidR="00DB38A0">
        <w:rPr>
          <w:lang w:val="fr-FR"/>
        </w:rPr>
        <w:t>’</w:t>
      </w:r>
      <w:r w:rsidRPr="00DB38A0">
        <w:rPr>
          <w:lang w:val="fr-FR"/>
        </w:rPr>
        <w:t>un intérêt simple à un taux égal à celui de la facilité de prêt marginal de la Banque centrale européenne applicable pendant cette période, augmenté de trois points de pourcentage ;</w:t>
      </w:r>
    </w:p>
    <w:p w:rsidRPr="00DB38A0" w:rsidR="00C57B8D" w:rsidP="00DB38A0" w:rsidRDefault="00C57B8D">
      <w:pPr>
        <w:pStyle w:val="JuLista"/>
        <w:rPr>
          <w:lang w:val="fr-FR"/>
        </w:rPr>
      </w:pPr>
    </w:p>
    <w:p w:rsidRPr="00DB38A0" w:rsidR="00021956" w:rsidP="00DB38A0" w:rsidRDefault="00C57B8D">
      <w:pPr>
        <w:pStyle w:val="JuList"/>
        <w:rPr>
          <w:lang w:val="fr-FR"/>
        </w:rPr>
      </w:pPr>
      <w:r w:rsidRPr="00DB38A0">
        <w:rPr>
          <w:lang w:val="fr-FR"/>
        </w:rPr>
        <w:t>4.  </w:t>
      </w:r>
      <w:r w:rsidRPr="00DB38A0">
        <w:rPr>
          <w:i/>
          <w:lang w:val="fr-FR"/>
        </w:rPr>
        <w:t>Rejette</w:t>
      </w:r>
      <w:r w:rsidRPr="00DB38A0">
        <w:rPr>
          <w:lang w:val="fr-FR"/>
        </w:rPr>
        <w:t xml:space="preserve"> la demande de satisfaction équitable pour le surplus.</w:t>
      </w:r>
    </w:p>
    <w:p w:rsidRPr="00DB38A0" w:rsidR="00102FB2" w:rsidP="00DB38A0" w:rsidRDefault="00996FE8">
      <w:pPr>
        <w:pStyle w:val="JuParaLast"/>
        <w:keepNext w:val="0"/>
        <w:keepLines w:val="0"/>
        <w:rPr>
          <w:lang w:val="fr-FR"/>
        </w:rPr>
      </w:pPr>
      <w:r w:rsidRPr="00DB38A0">
        <w:rPr>
          <w:lang w:val="fr-FR"/>
        </w:rPr>
        <w:t xml:space="preserve">Fait en français, puis communiqué par écrit le </w:t>
      </w:r>
      <w:r w:rsidRPr="00DB38A0">
        <w:rPr>
          <w:rFonts w:ascii="Times New Roman" w:hAnsi="Times New Roman" w:cs="Times New Roman"/>
          <w:lang w:val="fr-FR"/>
        </w:rPr>
        <w:t>18</w:t>
      </w:r>
      <w:r w:rsidRPr="00DB38A0" w:rsidR="00C57B8D">
        <w:rPr>
          <w:rFonts w:ascii="Times New Roman" w:hAnsi="Times New Roman" w:cs="Times New Roman"/>
          <w:lang w:val="fr-FR"/>
        </w:rPr>
        <w:t xml:space="preserve"> </w:t>
      </w:r>
      <w:r w:rsidRPr="00DB38A0">
        <w:rPr>
          <w:rFonts w:ascii="Times New Roman" w:hAnsi="Times New Roman" w:cs="Times New Roman"/>
          <w:lang w:val="fr-FR"/>
        </w:rPr>
        <w:t>juin</w:t>
      </w:r>
      <w:r w:rsidRPr="00DB38A0" w:rsidR="00C57B8D">
        <w:rPr>
          <w:rFonts w:ascii="Times New Roman" w:hAnsi="Times New Roman" w:cs="Times New Roman"/>
          <w:lang w:val="fr-FR"/>
        </w:rPr>
        <w:t xml:space="preserve"> 2019</w:t>
      </w:r>
      <w:r w:rsidRPr="00DB38A0">
        <w:rPr>
          <w:lang w:val="fr-FR"/>
        </w:rPr>
        <w:t>, en application de l</w:t>
      </w:r>
      <w:r w:rsidRPr="00DB38A0" w:rsidR="00DB38A0">
        <w:rPr>
          <w:lang w:val="fr-FR"/>
        </w:rPr>
        <w:t>’</w:t>
      </w:r>
      <w:r w:rsidRPr="00DB38A0">
        <w:rPr>
          <w:lang w:val="fr-FR"/>
        </w:rPr>
        <w:t>article 77 §§ 2 et 3 du règlement de la Cour.</w:t>
      </w:r>
    </w:p>
    <w:p w:rsidRPr="00DB38A0" w:rsidR="004D15F3" w:rsidP="00DB38A0" w:rsidRDefault="00C57B8D">
      <w:pPr>
        <w:pStyle w:val="JuSigned"/>
        <w:rPr>
          <w:szCs w:val="24"/>
          <w:lang w:val="fr-FR"/>
        </w:rPr>
      </w:pPr>
      <w:r w:rsidRPr="00DB38A0">
        <w:rPr>
          <w:lang w:val="fr-FR"/>
        </w:rPr>
        <w:tab/>
        <w:t>Stanley Naismith</w:t>
      </w:r>
      <w:r w:rsidRPr="00DB38A0" w:rsidR="00996FE8">
        <w:rPr>
          <w:lang w:val="fr-FR"/>
        </w:rPr>
        <w:tab/>
      </w:r>
      <w:r w:rsidRPr="00DB38A0">
        <w:rPr>
          <w:szCs w:val="24"/>
          <w:lang w:val="fr-FR"/>
        </w:rPr>
        <w:t>Robert Spano</w:t>
      </w:r>
      <w:r w:rsidRPr="00DB38A0" w:rsidR="00996FE8">
        <w:rPr>
          <w:lang w:val="fr-FR"/>
        </w:rPr>
        <w:br/>
      </w:r>
      <w:r w:rsidRPr="00DB38A0" w:rsidR="00996FE8">
        <w:rPr>
          <w:lang w:val="fr-FR"/>
        </w:rPr>
        <w:tab/>
      </w:r>
      <w:r w:rsidRPr="00DB38A0">
        <w:rPr>
          <w:lang w:val="fr-FR"/>
        </w:rPr>
        <w:t>Greffier</w:t>
      </w:r>
      <w:r w:rsidRPr="00DB38A0" w:rsidR="00996FE8">
        <w:rPr>
          <w:lang w:val="fr-FR"/>
        </w:rPr>
        <w:tab/>
      </w:r>
      <w:r w:rsidRPr="00DB38A0">
        <w:rPr>
          <w:lang w:val="fr-FR"/>
        </w:rPr>
        <w:t>Président</w:t>
      </w:r>
    </w:p>
    <w:p w:rsidRPr="00DB38A0" w:rsidR="00EA2502" w:rsidP="00DB38A0" w:rsidRDefault="00F40B21">
      <w:pPr>
        <w:pStyle w:val="JuParaLast"/>
      </w:pPr>
    </w:p>
    <w:sectPr w:rsidRPr="00DB38A0" w:rsidR="00EA2502" w:rsidSect="00153343">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7B8D" w:rsidRDefault="00C57B8D">
      <w:r>
        <w:separator/>
      </w:r>
    </w:p>
  </w:endnote>
  <w:endnote w:type="continuationSeparator" w:id="0">
    <w:p w:rsidR="00C57B8D" w:rsidRDefault="00C57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4354" w:rsidRDefault="00C5435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7B8D" w:rsidRPr="00150BFA" w:rsidRDefault="00C57B8D" w:rsidP="0020718E">
    <w:pPr>
      <w:jc w:val="center"/>
    </w:pPr>
    <w:r>
      <w:rPr>
        <w:noProof/>
        <w:lang w:val="en-US" w:eastAsia="ja-JP"/>
      </w:rPr>
      <w:drawing>
        <wp:inline distT="0" distB="0" distL="0" distR="0" wp14:anchorId="56B98A86" wp14:editId="27041936">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D2C99" w:rsidRPr="00EA4BD7" w:rsidRDefault="00F40B21" w:rsidP="005072EA">
    <w:pPr>
      <w:rPr>
        <w:lang w:val="fr-FR"/>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4354" w:rsidRDefault="00C5435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Default="00F40B21" w:rsidP="005072EA"/>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Default="00F40B21" w:rsidP="005072E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7B8D" w:rsidRPr="00EA4BD7" w:rsidRDefault="00C57B8D" w:rsidP="002D2C99">
      <w:pPr>
        <w:rPr>
          <w:lang w:val="fr-FR"/>
        </w:rPr>
      </w:pPr>
      <w:r w:rsidRPr="00EA4BD7">
        <w:rPr>
          <w:lang w:val="fr-FR"/>
        </w:rPr>
        <w:separator/>
      </w:r>
    </w:p>
  </w:footnote>
  <w:footnote w:type="continuationSeparator" w:id="0">
    <w:p w:rsidR="00C57B8D" w:rsidRPr="00EA4BD7" w:rsidRDefault="00C57B8D" w:rsidP="002D2C99">
      <w:pPr>
        <w:rPr>
          <w:lang w:val="fr-FR"/>
        </w:rPr>
      </w:pPr>
      <w:r w:rsidRPr="00EA4BD7">
        <w:rPr>
          <w:lang w:val="fr-FR"/>
        </w:rPr>
        <w:continuationSeparator/>
      </w:r>
    </w:p>
  </w:footnote>
  <w:footnote w:id="1">
    <w:p w:rsidR="00C57B8D" w:rsidRPr="00B02C6C" w:rsidRDefault="00C57B8D" w:rsidP="00C57B8D">
      <w:pPr>
        <w:pStyle w:val="FootnoteText"/>
        <w:rPr>
          <w:lang w:val="fr-FR"/>
        </w:rPr>
      </w:pPr>
      <w:r w:rsidRPr="00C54354">
        <w:footnoteRef/>
      </w:r>
      <w:r w:rsidRPr="00C54354">
        <w:rPr>
          <w:lang w:val="fr-FR"/>
        </w:rPr>
        <w:t>.  </w:t>
      </w:r>
      <w:r>
        <w:rPr>
          <w:lang w:val="fr-FR"/>
        </w:rPr>
        <w:t>Environ 5917 euros (à la date à laquelle</w:t>
      </w:r>
      <w:r w:rsidRPr="00410D72">
        <w:rPr>
          <w:lang w:val="fr-FR"/>
        </w:rPr>
        <w:t xml:space="preserve"> la demande a été formulée).</w:t>
      </w:r>
    </w:p>
  </w:footnote>
  <w:footnote w:id="2">
    <w:p w:rsidR="00C57B8D" w:rsidRPr="00410D72" w:rsidRDefault="00C57B8D" w:rsidP="00C57B8D">
      <w:pPr>
        <w:pStyle w:val="FootnoteText"/>
        <w:rPr>
          <w:lang w:val="fr-FR"/>
        </w:rPr>
      </w:pPr>
      <w:r w:rsidRPr="00C54354">
        <w:footnoteRef/>
      </w:r>
      <w:r w:rsidRPr="00C54354">
        <w:rPr>
          <w:lang w:val="fr-FR"/>
        </w:rPr>
        <w:t>.  </w:t>
      </w:r>
      <w:r>
        <w:rPr>
          <w:lang w:val="fr-FR"/>
        </w:rPr>
        <w:t xml:space="preserve">Environ 591 EUR (à la date à laquelle la demande a été formulée).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4354" w:rsidRDefault="00C543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7B8D" w:rsidRPr="00A45145" w:rsidRDefault="00C57B8D" w:rsidP="00A45145">
    <w:pPr>
      <w:jc w:val="center"/>
    </w:pPr>
    <w:r>
      <w:rPr>
        <w:noProof/>
        <w:lang w:val="en-US" w:eastAsia="ja-JP"/>
      </w:rPr>
      <w:drawing>
        <wp:inline distT="0" distB="0" distL="0" distR="0" wp14:anchorId="0BEC1E2A" wp14:editId="7C4DFB95">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2D2C99" w:rsidRPr="00EA4BD7" w:rsidRDefault="00F40B21" w:rsidP="00F5432B">
    <w:pPr>
      <w:jc w:val="center"/>
      <w:rPr>
        <w:lang w:val="fr-F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4354" w:rsidRDefault="00C5435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Pr="00F5432B" w:rsidRDefault="00153343" w:rsidP="00F5432B">
    <w:pPr>
      <w:pStyle w:val="ECHRHeader"/>
      <w:rPr>
        <w:lang w:val="fr-FR"/>
      </w:rPr>
    </w:pPr>
    <w:r w:rsidRPr="00153343">
      <w:rPr>
        <w:lang w:val="fr-FR"/>
      </w:rPr>
      <w:fldChar w:fldCharType="begin"/>
    </w:r>
    <w:r w:rsidRPr="00153343">
      <w:rPr>
        <w:lang w:val="fr-FR"/>
      </w:rPr>
      <w:instrText xml:space="preserve"> PAGE </w:instrText>
    </w:r>
    <w:r w:rsidRPr="00153343">
      <w:rPr>
        <w:lang w:val="fr-FR"/>
      </w:rPr>
      <w:fldChar w:fldCharType="separate"/>
    </w:r>
    <w:r w:rsidR="000D76E7">
      <w:rPr>
        <w:noProof/>
        <w:lang w:val="fr-FR"/>
      </w:rPr>
      <w:t>8</w:t>
    </w:r>
    <w:r w:rsidRPr="00153343">
      <w:rPr>
        <w:lang w:val="fr-FR"/>
      </w:rPr>
      <w:fldChar w:fldCharType="end"/>
    </w:r>
    <w:r w:rsidR="00996FE8" w:rsidRPr="00C57B8D">
      <w:rPr>
        <w:lang w:val="fr-FR"/>
      </w:rPr>
      <w:tab/>
      <w:t xml:space="preserve">ARRÊT </w:t>
    </w:r>
    <w:r w:rsidR="00C57B8D" w:rsidRPr="00C57B8D">
      <w:rPr>
        <w:lang w:val="fr-FR"/>
      </w:rPr>
      <w:t>LEYLA CAN c. TURQUIE</w:t>
    </w:r>
    <w:r w:rsidR="00996FE8" w:rsidRPr="00C57B8D">
      <w:rPr>
        <w:lang w:val="fr-FR"/>
      </w:rPr>
      <w:t xml:space="preserve"> </w:t>
    </w:r>
    <w:r>
      <w:rPr>
        <w:lang w:val="fr-FR"/>
      </w:rP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Pr="00C57B8D" w:rsidRDefault="00996FE8" w:rsidP="00420F04">
    <w:pPr>
      <w:pStyle w:val="ECHRHeader"/>
      <w:rPr>
        <w:lang w:val="fr-FR"/>
      </w:rPr>
    </w:pPr>
    <w:r>
      <w:tab/>
    </w:r>
    <w:r w:rsidRPr="00C57B8D">
      <w:rPr>
        <w:lang w:val="fr-FR"/>
      </w:rPr>
      <w:t xml:space="preserve">ARRÊT </w:t>
    </w:r>
    <w:r w:rsidR="00C57B8D" w:rsidRPr="00C57B8D">
      <w:rPr>
        <w:lang w:val="fr-FR"/>
      </w:rPr>
      <w:t>LEYLA CAN c. TURQUIE</w:t>
    </w:r>
    <w:r w:rsidRPr="00C57B8D">
      <w:rPr>
        <w:lang w:val="fr-FR"/>
      </w:rPr>
      <w:t xml:space="preserve"> </w:t>
    </w:r>
    <w:r w:rsidRPr="00C57B8D">
      <w:rPr>
        <w:lang w:val="fr-FR"/>
      </w:rPr>
      <w:tab/>
    </w:r>
    <w:r w:rsidR="00153343" w:rsidRPr="00153343">
      <w:rPr>
        <w:lang w:val="fr-FR"/>
      </w:rPr>
      <w:fldChar w:fldCharType="begin"/>
    </w:r>
    <w:r w:rsidR="00153343" w:rsidRPr="00153343">
      <w:rPr>
        <w:lang w:val="fr-FR"/>
      </w:rPr>
      <w:instrText xml:space="preserve"> PAGE </w:instrText>
    </w:r>
    <w:r w:rsidR="00153343" w:rsidRPr="00153343">
      <w:rPr>
        <w:lang w:val="fr-FR"/>
      </w:rPr>
      <w:fldChar w:fldCharType="separate"/>
    </w:r>
    <w:r w:rsidR="000D76E7">
      <w:rPr>
        <w:noProof/>
        <w:lang w:val="fr-FR"/>
      </w:rPr>
      <w:t>7</w:t>
    </w:r>
    <w:r w:rsidR="00153343" w:rsidRPr="00153343">
      <w:rPr>
        <w:lang w:val="fr-F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A08B0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CF25A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B02ED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C1E60D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AA4F5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E221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DDCF2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04BE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2A84908"/>
    <w:lvl w:ilvl="0">
      <w:start w:val="1"/>
      <w:numFmt w:val="decimal"/>
      <w:pStyle w:val="ListNumber"/>
      <w:lvlText w:val="%1."/>
      <w:lvlJc w:val="left"/>
      <w:pPr>
        <w:tabs>
          <w:tab w:val="num" w:pos="360"/>
        </w:tabs>
        <w:ind w:left="360" w:hanging="360"/>
      </w:pPr>
    </w:lvl>
  </w:abstractNum>
  <w:abstractNum w:abstractNumId="9">
    <w:nsid w:val="FFFFFF89"/>
    <w:multiLevelType w:val="singleLevel"/>
    <w:tmpl w:val="88CC5F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7363396"/>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F4B36E4"/>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50201130"/>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5B4233A6"/>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70152AD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2"/>
  </w:num>
  <w:num w:numId="2">
    <w:abstractNumId w:val="13"/>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1"/>
  </w:num>
  <w:num w:numId="6">
    <w:abstractNumId w:val="13"/>
  </w:num>
  <w:num w:numId="7">
    <w:abstractNumId w:val="11"/>
  </w:num>
  <w:num w:numId="8">
    <w:abstractNumId w:val="7"/>
  </w:num>
  <w:num w:numId="9">
    <w:abstractNumId w:val="15"/>
  </w:num>
  <w:num w:numId="10">
    <w:abstractNumId w:val="14"/>
  </w:num>
  <w:num w:numId="11">
    <w:abstractNumId w:val="10"/>
  </w:num>
  <w:num w:numId="12">
    <w:abstractNumId w:val="9"/>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6"/>
  </w:num>
  <w:num w:numId="23">
    <w:abstractNumId w:val="16"/>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C57B8D"/>
    <w:rsid w:val="000D76E7"/>
    <w:rsid w:val="00110833"/>
    <w:rsid w:val="00153343"/>
    <w:rsid w:val="001D5A48"/>
    <w:rsid w:val="004D2EDC"/>
    <w:rsid w:val="00523FFB"/>
    <w:rsid w:val="00996FE8"/>
    <w:rsid w:val="009B421B"/>
    <w:rsid w:val="00A05C98"/>
    <w:rsid w:val="00A93252"/>
    <w:rsid w:val="00C35285"/>
    <w:rsid w:val="00C54354"/>
    <w:rsid w:val="00C57B8D"/>
    <w:rsid w:val="00DB38A0"/>
    <w:rsid w:val="00E87798"/>
    <w:rsid w:val="00FB2FC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C54354"/>
    <w:pPr>
      <w:jc w:val="both"/>
    </w:pPr>
    <w:rPr>
      <w:rFonts w:eastAsiaTheme="minorEastAsia"/>
      <w:sz w:val="24"/>
      <w:lang w:val="en-GB"/>
    </w:rPr>
  </w:style>
  <w:style w:type="paragraph" w:styleId="Heading1">
    <w:name w:val="heading 1"/>
    <w:basedOn w:val="Normal"/>
    <w:next w:val="Normal"/>
    <w:link w:val="Heading1Char"/>
    <w:uiPriority w:val="99"/>
    <w:semiHidden/>
    <w:rsid w:val="00C5435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C5435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C54354"/>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C54354"/>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C54354"/>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C54354"/>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C54354"/>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C54354"/>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C54354"/>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C54354"/>
    <w:rPr>
      <w:rFonts w:ascii="Tahoma" w:hAnsi="Tahoma" w:cs="Tahoma"/>
      <w:sz w:val="16"/>
      <w:szCs w:val="16"/>
    </w:rPr>
  </w:style>
  <w:style w:type="character" w:customStyle="1" w:styleId="BalloonTextChar">
    <w:name w:val="Balloon Text Char"/>
    <w:basedOn w:val="DefaultParagraphFont"/>
    <w:link w:val="BalloonText"/>
    <w:uiPriority w:val="99"/>
    <w:semiHidden/>
    <w:rsid w:val="00C54354"/>
    <w:rPr>
      <w:rFonts w:ascii="Tahoma" w:eastAsiaTheme="minorEastAsia" w:hAnsi="Tahoma" w:cs="Tahoma"/>
      <w:sz w:val="16"/>
      <w:szCs w:val="16"/>
      <w:lang w:val="en-GB"/>
    </w:rPr>
  </w:style>
  <w:style w:type="character" w:styleId="BookTitle">
    <w:name w:val="Book Title"/>
    <w:uiPriority w:val="99"/>
    <w:semiHidden/>
    <w:qFormat/>
    <w:rsid w:val="00C54354"/>
    <w:rPr>
      <w:i/>
      <w:iCs/>
      <w:smallCaps/>
      <w:spacing w:val="5"/>
    </w:rPr>
  </w:style>
  <w:style w:type="paragraph" w:customStyle="1" w:styleId="ECHRHeader">
    <w:name w:val="ECHR_Header"/>
    <w:aliases w:val="Ju_Header"/>
    <w:basedOn w:val="Header"/>
    <w:uiPriority w:val="4"/>
    <w:qFormat/>
    <w:rsid w:val="00C54354"/>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C54354"/>
    <w:rPr>
      <w:color w:val="00B050"/>
    </w:rPr>
  </w:style>
  <w:style w:type="character" w:styleId="Strong">
    <w:name w:val="Strong"/>
    <w:uiPriority w:val="99"/>
    <w:semiHidden/>
    <w:qFormat/>
    <w:rsid w:val="00C54354"/>
    <w:rPr>
      <w:b/>
      <w:bCs/>
    </w:rPr>
  </w:style>
  <w:style w:type="paragraph" w:styleId="NoSpacing">
    <w:name w:val="No Spacing"/>
    <w:basedOn w:val="Normal"/>
    <w:link w:val="NoSpacingChar"/>
    <w:semiHidden/>
    <w:qFormat/>
    <w:rsid w:val="00C54354"/>
    <w:rPr>
      <w:sz w:val="22"/>
      <w:lang w:val="en-US"/>
    </w:rPr>
  </w:style>
  <w:style w:type="character" w:customStyle="1" w:styleId="NoSpacingChar">
    <w:name w:val="No Spacing Char"/>
    <w:basedOn w:val="DefaultParagraphFont"/>
    <w:link w:val="NoSpacing"/>
    <w:semiHidden/>
    <w:rsid w:val="00C54354"/>
    <w:rPr>
      <w:rFonts w:eastAsiaTheme="minorEastAsia"/>
    </w:rPr>
  </w:style>
  <w:style w:type="paragraph" w:customStyle="1" w:styleId="ECHRParaQuote">
    <w:name w:val="ECHR_Para_Quote"/>
    <w:aliases w:val="Ju_Quot"/>
    <w:basedOn w:val="Normal"/>
    <w:uiPriority w:val="14"/>
    <w:qFormat/>
    <w:rsid w:val="00C54354"/>
    <w:pPr>
      <w:spacing w:before="120" w:after="120"/>
      <w:ind w:left="425" w:firstLine="142"/>
    </w:pPr>
    <w:rPr>
      <w:sz w:val="20"/>
    </w:rPr>
  </w:style>
  <w:style w:type="paragraph" w:customStyle="1" w:styleId="JuParaSub">
    <w:name w:val="Ju_Para_Sub"/>
    <w:basedOn w:val="ECHRPara"/>
    <w:uiPriority w:val="13"/>
    <w:qFormat/>
    <w:rsid w:val="00C54354"/>
    <w:pPr>
      <w:ind w:left="284"/>
    </w:pPr>
  </w:style>
  <w:style w:type="paragraph" w:customStyle="1" w:styleId="OpiH1">
    <w:name w:val="Opi_H_1"/>
    <w:basedOn w:val="ECHRHeading2"/>
    <w:uiPriority w:val="42"/>
    <w:qFormat/>
    <w:rsid w:val="00C54354"/>
    <w:pPr>
      <w:ind w:left="635" w:hanging="357"/>
      <w:outlineLvl w:val="2"/>
    </w:pPr>
  </w:style>
  <w:style w:type="paragraph" w:customStyle="1" w:styleId="OpiHa">
    <w:name w:val="Opi_H_a"/>
    <w:basedOn w:val="ECHRHeading3"/>
    <w:uiPriority w:val="43"/>
    <w:qFormat/>
    <w:rsid w:val="00C54354"/>
    <w:pPr>
      <w:ind w:left="833" w:hanging="357"/>
      <w:outlineLvl w:val="3"/>
    </w:pPr>
    <w:rPr>
      <w:b/>
      <w:i w:val="0"/>
      <w:sz w:val="20"/>
    </w:rPr>
  </w:style>
  <w:style w:type="paragraph" w:customStyle="1" w:styleId="OpiHA0">
    <w:name w:val="Opi_H_A"/>
    <w:basedOn w:val="ECHRHeading1"/>
    <w:next w:val="OpiPara"/>
    <w:uiPriority w:val="41"/>
    <w:qFormat/>
    <w:rsid w:val="00C54354"/>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C54354"/>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C54354"/>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C54354"/>
    <w:pPr>
      <w:ind w:left="567"/>
    </w:pPr>
  </w:style>
  <w:style w:type="paragraph" w:customStyle="1" w:styleId="ECHRTitle1">
    <w:name w:val="ECHR_Title_1"/>
    <w:aliases w:val="Ju_H_Head"/>
    <w:basedOn w:val="Normal"/>
    <w:next w:val="ECHRPara"/>
    <w:uiPriority w:val="18"/>
    <w:qFormat/>
    <w:rsid w:val="00C54354"/>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C54354"/>
    <w:pPr>
      <w:tabs>
        <w:tab w:val="center" w:pos="6407"/>
      </w:tabs>
      <w:spacing w:before="720"/>
      <w:jc w:val="right"/>
    </w:pPr>
  </w:style>
  <w:style w:type="paragraph" w:customStyle="1" w:styleId="JuSigned">
    <w:name w:val="Ju_Signed"/>
    <w:basedOn w:val="Normal"/>
    <w:next w:val="JuParaLast"/>
    <w:uiPriority w:val="32"/>
    <w:qFormat/>
    <w:rsid w:val="00C54354"/>
    <w:pPr>
      <w:tabs>
        <w:tab w:val="center" w:pos="851"/>
        <w:tab w:val="center" w:pos="6407"/>
      </w:tabs>
      <w:spacing w:before="720"/>
      <w:jc w:val="left"/>
    </w:pPr>
  </w:style>
  <w:style w:type="paragraph" w:styleId="Title">
    <w:name w:val="Title"/>
    <w:basedOn w:val="Normal"/>
    <w:next w:val="Normal"/>
    <w:link w:val="TitleChar"/>
    <w:uiPriority w:val="99"/>
    <w:semiHidden/>
    <w:qFormat/>
    <w:rsid w:val="00C54354"/>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C54354"/>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C54354"/>
    <w:pPr>
      <w:ind w:left="1037" w:hanging="357"/>
      <w:outlineLvl w:val="4"/>
    </w:pPr>
    <w:rPr>
      <w:b w:val="0"/>
      <w:i/>
    </w:rPr>
  </w:style>
  <w:style w:type="character" w:customStyle="1" w:styleId="JUNAMES">
    <w:name w:val="JU_NAMES"/>
    <w:uiPriority w:val="17"/>
    <w:qFormat/>
    <w:rsid w:val="00C54354"/>
    <w:rPr>
      <w:caps w:val="0"/>
      <w:smallCaps/>
    </w:rPr>
  </w:style>
  <w:style w:type="character" w:customStyle="1" w:styleId="JuITMark">
    <w:name w:val="Ju_ITMark"/>
    <w:basedOn w:val="DefaultParagraphFont"/>
    <w:uiPriority w:val="38"/>
    <w:qFormat/>
    <w:rsid w:val="00C54354"/>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C54354"/>
  </w:style>
  <w:style w:type="paragraph" w:customStyle="1" w:styleId="JuCourt">
    <w:name w:val="Ju_Court"/>
    <w:basedOn w:val="Normal"/>
    <w:next w:val="Normal"/>
    <w:uiPriority w:val="16"/>
    <w:qFormat/>
    <w:rsid w:val="00C54354"/>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C54354"/>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C54354"/>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C54354"/>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C54354"/>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C54354"/>
    <w:rPr>
      <w:sz w:val="24"/>
      <w:lang w:val="en-GB"/>
    </w:rPr>
  </w:style>
  <w:style w:type="character" w:customStyle="1" w:styleId="Heading1Char">
    <w:name w:val="Heading 1 Char"/>
    <w:basedOn w:val="DefaultParagraphFont"/>
    <w:link w:val="Heading1"/>
    <w:uiPriority w:val="99"/>
    <w:semiHidden/>
    <w:rsid w:val="00C54354"/>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C54354"/>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C54354"/>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C54354"/>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C54354"/>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C54354"/>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C54354"/>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C54354"/>
    <w:pPr>
      <w:keepNext/>
      <w:keepLines/>
      <w:spacing w:before="240"/>
      <w:ind w:firstLine="284"/>
    </w:pPr>
  </w:style>
  <w:style w:type="paragraph" w:customStyle="1" w:styleId="JuList">
    <w:name w:val="Ju_List"/>
    <w:basedOn w:val="Normal"/>
    <w:uiPriority w:val="28"/>
    <w:qFormat/>
    <w:rsid w:val="00C54354"/>
    <w:pPr>
      <w:ind w:left="340" w:hanging="340"/>
    </w:pPr>
  </w:style>
  <w:style w:type="character" w:customStyle="1" w:styleId="Heading4Char">
    <w:name w:val="Heading 4 Char"/>
    <w:basedOn w:val="DefaultParagraphFont"/>
    <w:link w:val="Heading4"/>
    <w:uiPriority w:val="99"/>
    <w:semiHidden/>
    <w:rsid w:val="00C54354"/>
    <w:rPr>
      <w:rFonts w:asciiTheme="majorHAnsi" w:eastAsiaTheme="majorEastAsia" w:hAnsiTheme="majorHAnsi" w:cstheme="majorBidi"/>
      <w:b/>
      <w:bCs/>
      <w:i/>
      <w:iCs/>
      <w:color w:val="777777"/>
      <w:sz w:val="24"/>
      <w:lang w:val="en-GB"/>
    </w:rPr>
  </w:style>
  <w:style w:type="paragraph" w:customStyle="1" w:styleId="JuLista">
    <w:name w:val="Ju_List_a"/>
    <w:basedOn w:val="JuList"/>
    <w:uiPriority w:val="28"/>
    <w:qFormat/>
    <w:rsid w:val="00C54354"/>
    <w:pPr>
      <w:ind w:left="346" w:firstLine="0"/>
    </w:pPr>
  </w:style>
  <w:style w:type="character" w:customStyle="1" w:styleId="Heading5Char">
    <w:name w:val="Heading 5 Char"/>
    <w:basedOn w:val="DefaultParagraphFont"/>
    <w:link w:val="Heading5"/>
    <w:uiPriority w:val="99"/>
    <w:semiHidden/>
    <w:rsid w:val="00C54354"/>
    <w:rPr>
      <w:rFonts w:asciiTheme="majorHAnsi" w:eastAsiaTheme="majorEastAsia" w:hAnsiTheme="majorHAnsi" w:cstheme="majorBidi"/>
      <w:b/>
      <w:bCs/>
      <w:color w:val="808080"/>
    </w:rPr>
  </w:style>
  <w:style w:type="paragraph" w:customStyle="1" w:styleId="JuListi">
    <w:name w:val="Ju_List_i"/>
    <w:basedOn w:val="Normal"/>
    <w:next w:val="JuLista"/>
    <w:uiPriority w:val="28"/>
    <w:qFormat/>
    <w:rsid w:val="00C54354"/>
    <w:pPr>
      <w:ind w:left="794"/>
    </w:pPr>
  </w:style>
  <w:style w:type="paragraph" w:customStyle="1" w:styleId="OpiParaSub">
    <w:name w:val="Opi_Para_Sub"/>
    <w:basedOn w:val="JuParaSub"/>
    <w:uiPriority w:val="47"/>
    <w:qFormat/>
    <w:rsid w:val="00C54354"/>
  </w:style>
  <w:style w:type="character" w:styleId="SubtleEmphasis">
    <w:name w:val="Subtle Emphasis"/>
    <w:uiPriority w:val="99"/>
    <w:semiHidden/>
    <w:qFormat/>
    <w:rsid w:val="00C54354"/>
    <w:rPr>
      <w:i/>
      <w:iCs/>
    </w:rPr>
  </w:style>
  <w:style w:type="paragraph" w:customStyle="1" w:styleId="OpiQuot">
    <w:name w:val="Opi_Quot"/>
    <w:basedOn w:val="ECHRParaQuote"/>
    <w:uiPriority w:val="48"/>
    <w:qFormat/>
    <w:rsid w:val="00C54354"/>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Sub">
    <w:name w:val="Opi_Quot_Sub"/>
    <w:basedOn w:val="JuQuotSub"/>
    <w:uiPriority w:val="49"/>
    <w:qFormat/>
    <w:rsid w:val="00C54354"/>
  </w:style>
  <w:style w:type="paragraph" w:customStyle="1" w:styleId="OpiTranslation">
    <w:name w:val="Opi_Translation"/>
    <w:basedOn w:val="Normal"/>
    <w:next w:val="OpiPara"/>
    <w:uiPriority w:val="40"/>
    <w:qFormat/>
    <w:rsid w:val="00C54354"/>
    <w:pPr>
      <w:jc w:val="center"/>
      <w:outlineLvl w:val="0"/>
    </w:pPr>
    <w:rPr>
      <w:i/>
    </w:rPr>
  </w:style>
  <w:style w:type="paragraph" w:styleId="Subtitle">
    <w:name w:val="Subtitle"/>
    <w:basedOn w:val="Normal"/>
    <w:next w:val="Normal"/>
    <w:link w:val="SubtitleChar"/>
    <w:uiPriority w:val="99"/>
    <w:semiHidden/>
    <w:qFormat/>
    <w:rsid w:val="00C54354"/>
    <w:pPr>
      <w:spacing w:after="600"/>
    </w:pPr>
    <w:rPr>
      <w:rFonts w:asciiTheme="majorHAnsi" w:eastAsiaTheme="majorEastAsia" w:hAnsiTheme="majorHAnsi" w:cstheme="majorBidi"/>
      <w:i/>
      <w:iCs/>
      <w:spacing w:val="13"/>
      <w:szCs w:val="24"/>
      <w:lang w:val="en-US" w:bidi="en-US"/>
    </w:rPr>
  </w:style>
  <w:style w:type="character" w:styleId="Emphasis">
    <w:name w:val="Emphasis"/>
    <w:uiPriority w:val="99"/>
    <w:semiHidden/>
    <w:qFormat/>
    <w:rsid w:val="00C54354"/>
    <w:rPr>
      <w:b/>
      <w:bCs/>
      <w:i/>
      <w:iCs/>
      <w:spacing w:val="10"/>
      <w:bdr w:val="none" w:sz="0" w:space="0" w:color="auto"/>
      <w:shd w:val="clear" w:color="auto" w:fill="auto"/>
    </w:rPr>
  </w:style>
  <w:style w:type="paragraph" w:styleId="Footer">
    <w:name w:val="footer"/>
    <w:basedOn w:val="Normal"/>
    <w:link w:val="FooterChar"/>
    <w:uiPriority w:val="57"/>
    <w:semiHidden/>
    <w:rsid w:val="00C54354"/>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C54354"/>
    <w:rPr>
      <w:sz w:val="24"/>
      <w:lang w:val="en-GB"/>
    </w:rPr>
  </w:style>
  <w:style w:type="character" w:styleId="FootnoteReference">
    <w:name w:val="footnote reference"/>
    <w:basedOn w:val="DefaultParagraphFont"/>
    <w:uiPriority w:val="99"/>
    <w:semiHidden/>
    <w:rsid w:val="00C54354"/>
    <w:rPr>
      <w:vertAlign w:val="superscript"/>
    </w:rPr>
  </w:style>
  <w:style w:type="paragraph" w:styleId="FootnoteText">
    <w:name w:val="footnote text"/>
    <w:basedOn w:val="Normal"/>
    <w:link w:val="FootnoteTextChar"/>
    <w:uiPriority w:val="99"/>
    <w:semiHidden/>
    <w:rsid w:val="00C54354"/>
    <w:rPr>
      <w:sz w:val="20"/>
      <w:szCs w:val="20"/>
    </w:rPr>
  </w:style>
  <w:style w:type="character" w:customStyle="1" w:styleId="FootnoteTextChar">
    <w:name w:val="Footnote Text Char"/>
    <w:basedOn w:val="DefaultParagraphFont"/>
    <w:link w:val="FootnoteText"/>
    <w:uiPriority w:val="99"/>
    <w:semiHidden/>
    <w:rsid w:val="00C54354"/>
    <w:rPr>
      <w:rFonts w:eastAsiaTheme="minorEastAsia"/>
      <w:sz w:val="20"/>
      <w:szCs w:val="20"/>
      <w:lang w:val="en-GB"/>
    </w:rPr>
  </w:style>
  <w:style w:type="character" w:customStyle="1" w:styleId="Heading6Char">
    <w:name w:val="Heading 6 Char"/>
    <w:basedOn w:val="DefaultParagraphFont"/>
    <w:link w:val="Heading6"/>
    <w:uiPriority w:val="99"/>
    <w:semiHidden/>
    <w:rsid w:val="00C54354"/>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C54354"/>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C54354"/>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C54354"/>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C54354"/>
    <w:rPr>
      <w:color w:val="0072BC" w:themeColor="hyperlink"/>
      <w:u w:val="single"/>
    </w:rPr>
  </w:style>
  <w:style w:type="character" w:styleId="IntenseEmphasis">
    <w:name w:val="Intense Emphasis"/>
    <w:uiPriority w:val="99"/>
    <w:semiHidden/>
    <w:qFormat/>
    <w:rsid w:val="00C54354"/>
    <w:rPr>
      <w:b/>
      <w:bCs/>
    </w:rPr>
  </w:style>
  <w:style w:type="paragraph" w:styleId="IntenseQuote">
    <w:name w:val="Intense Quote"/>
    <w:basedOn w:val="Normal"/>
    <w:next w:val="Normal"/>
    <w:link w:val="IntenseQuoteChar"/>
    <w:uiPriority w:val="99"/>
    <w:semiHidden/>
    <w:qFormat/>
    <w:rsid w:val="00C54354"/>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C54354"/>
    <w:rPr>
      <w:rFonts w:eastAsiaTheme="minorEastAsia"/>
      <w:b/>
      <w:bCs/>
      <w:i/>
      <w:iCs/>
      <w:lang w:bidi="en-US"/>
    </w:rPr>
  </w:style>
  <w:style w:type="character" w:styleId="IntenseReference">
    <w:name w:val="Intense Reference"/>
    <w:uiPriority w:val="99"/>
    <w:semiHidden/>
    <w:qFormat/>
    <w:rsid w:val="00C54354"/>
    <w:rPr>
      <w:smallCaps/>
      <w:spacing w:val="5"/>
      <w:u w:val="single"/>
    </w:rPr>
  </w:style>
  <w:style w:type="paragraph" w:styleId="ListParagraph">
    <w:name w:val="List Paragraph"/>
    <w:basedOn w:val="Normal"/>
    <w:uiPriority w:val="99"/>
    <w:semiHidden/>
    <w:qFormat/>
    <w:rsid w:val="00C54354"/>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C54354"/>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C54354"/>
    <w:rPr>
      <w:rFonts w:eastAsiaTheme="minorEastAsia"/>
      <w:i/>
      <w:iCs/>
      <w:lang w:bidi="en-US"/>
    </w:rPr>
  </w:style>
  <w:style w:type="character" w:styleId="SubtleReference">
    <w:name w:val="Subtle Reference"/>
    <w:uiPriority w:val="99"/>
    <w:semiHidden/>
    <w:qFormat/>
    <w:rsid w:val="00C54354"/>
    <w:rPr>
      <w:smallCaps/>
    </w:rPr>
  </w:style>
  <w:style w:type="table" w:styleId="TableGrid">
    <w:name w:val="Table Grid"/>
    <w:basedOn w:val="TableNormal"/>
    <w:uiPriority w:val="59"/>
    <w:semiHidden/>
    <w:rsid w:val="00C5435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C5435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C5435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C5435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C54354"/>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C5435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C54354"/>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C54354"/>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character" w:customStyle="1" w:styleId="SubtitleChar">
    <w:name w:val="Subtitle Char"/>
    <w:basedOn w:val="DefaultParagraphFont"/>
    <w:link w:val="Subtitle"/>
    <w:uiPriority w:val="99"/>
    <w:semiHidden/>
    <w:rsid w:val="00C54354"/>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2D2C99"/>
    <w:pPr>
      <w:numPr>
        <w:numId w:val="9"/>
      </w:numPr>
    </w:pPr>
  </w:style>
  <w:style w:type="numbering" w:styleId="1ai">
    <w:name w:val="Outline List 1"/>
    <w:basedOn w:val="NoList"/>
    <w:uiPriority w:val="99"/>
    <w:semiHidden/>
    <w:unhideWhenUsed/>
    <w:rsid w:val="002D2C99"/>
    <w:pPr>
      <w:numPr>
        <w:numId w:val="10"/>
      </w:numPr>
    </w:pPr>
  </w:style>
  <w:style w:type="paragraph" w:customStyle="1" w:styleId="ECHRPara">
    <w:name w:val="ECHR_Para"/>
    <w:aliases w:val="Ju_Para"/>
    <w:basedOn w:val="Normal"/>
    <w:uiPriority w:val="12"/>
    <w:qFormat/>
    <w:rsid w:val="00C54354"/>
    <w:pPr>
      <w:ind w:firstLine="284"/>
    </w:pPr>
  </w:style>
  <w:style w:type="numbering" w:styleId="ArticleSection">
    <w:name w:val="Outline List 3"/>
    <w:basedOn w:val="NoList"/>
    <w:uiPriority w:val="99"/>
    <w:semiHidden/>
    <w:unhideWhenUsed/>
    <w:rsid w:val="002D2C99"/>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9"/>
    <w:semiHidden/>
    <w:rsid w:val="002D2C99"/>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C54354"/>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9"/>
    <w:semiHidden/>
    <w:rsid w:val="002D2C99"/>
    <w:pPr>
      <w:pBdr>
        <w:top w:val="single" w:sz="2" w:space="10" w:color="0072BC" w:themeColor="accent1" w:shadow="1"/>
        <w:left w:val="single" w:sz="2" w:space="10" w:color="0072BC" w:themeColor="accent1" w:shadow="1"/>
        <w:bottom w:val="single" w:sz="2" w:space="10" w:color="0072BC" w:themeColor="accent1" w:shadow="1"/>
        <w:right w:val="single" w:sz="2" w:space="10" w:color="0072BC" w:themeColor="accent1" w:shadow="1"/>
      </w:pBdr>
      <w:ind w:left="1152" w:right="1152"/>
    </w:pPr>
    <w:rPr>
      <w:i/>
      <w:iCs/>
      <w:color w:val="0072BC" w:themeColor="accent1"/>
    </w:rPr>
  </w:style>
  <w:style w:type="paragraph" w:styleId="BodyText">
    <w:name w:val="Body Text"/>
    <w:basedOn w:val="Normal"/>
    <w:link w:val="BodyTextChar"/>
    <w:uiPriority w:val="99"/>
    <w:semiHidden/>
    <w:rsid w:val="002D2C99"/>
    <w:pPr>
      <w:spacing w:after="120"/>
    </w:p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9"/>
    <w:semiHidden/>
    <w:rsid w:val="002D2C99"/>
    <w:rPr>
      <w:rFonts w:eastAsiaTheme="minorEastAsia"/>
      <w:sz w:val="24"/>
    </w:rPr>
  </w:style>
  <w:style w:type="paragraph" w:styleId="BodyText2">
    <w:name w:val="Body Text 2"/>
    <w:basedOn w:val="Normal"/>
    <w:link w:val="BodyText2Char"/>
    <w:uiPriority w:val="99"/>
    <w:semiHidden/>
    <w:rsid w:val="002D2C99"/>
    <w:pPr>
      <w:spacing w:after="120" w:line="480" w:lineRule="auto"/>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C54354"/>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C54354"/>
    <w:pPr>
      <w:ind w:firstLine="284"/>
    </w:pPr>
    <w:rPr>
      <w:b/>
    </w:rPr>
  </w:style>
  <w:style w:type="character" w:styleId="PageNumber">
    <w:name w:val="page number"/>
    <w:uiPriority w:val="99"/>
    <w:semiHidden/>
    <w:rsid w:val="002D2C99"/>
    <w:rPr>
      <w:rFonts w:ascii="Times New Roman" w:hAnsi="Times New Roman" w:cs="Times New Roman"/>
      <w:sz w:val="18"/>
    </w:rPr>
  </w:style>
  <w:style w:type="paragraph" w:styleId="ListBullet2">
    <w:name w:val="List Bullet 2"/>
    <w:basedOn w:val="Normal"/>
    <w:uiPriority w:val="99"/>
    <w:semiHidden/>
    <w:rsid w:val="002D2C99"/>
    <w:pPr>
      <w:numPr>
        <w:numId w:val="8"/>
      </w:numPr>
      <w:contextualSpacing/>
    </w:pPr>
  </w:style>
  <w:style w:type="character" w:customStyle="1" w:styleId="BodyText2Char">
    <w:name w:val="Body Text 2 Char"/>
    <w:basedOn w:val="DefaultParagraphFont"/>
    <w:link w:val="BodyText2"/>
    <w:uiPriority w:val="99"/>
    <w:semiHidden/>
    <w:rsid w:val="002D2C99"/>
    <w:rPr>
      <w:rFonts w:eastAsiaTheme="minorEastAsia"/>
      <w:sz w:val="24"/>
    </w:rPr>
  </w:style>
  <w:style w:type="paragraph" w:styleId="BodyText3">
    <w:name w:val="Body Text 3"/>
    <w:basedOn w:val="Normal"/>
    <w:link w:val="BodyText3Char"/>
    <w:uiPriority w:val="99"/>
    <w:semiHidden/>
    <w:rsid w:val="002D2C99"/>
    <w:pPr>
      <w:spacing w:after="120"/>
    </w:pPr>
    <w:rPr>
      <w:sz w:val="16"/>
      <w:szCs w:val="16"/>
    </w:rPr>
  </w:style>
  <w:style w:type="character" w:customStyle="1" w:styleId="BodyText3Char">
    <w:name w:val="Body Text 3 Char"/>
    <w:basedOn w:val="DefaultParagraphFont"/>
    <w:link w:val="BodyText3"/>
    <w:uiPriority w:val="99"/>
    <w:semiHidden/>
    <w:rsid w:val="002D2C99"/>
    <w:rPr>
      <w:rFonts w:eastAsiaTheme="minorEastAsia"/>
      <w:sz w:val="16"/>
      <w:szCs w:val="16"/>
    </w:rPr>
  </w:style>
  <w:style w:type="paragraph" w:styleId="BodyTextFirstIndent">
    <w:name w:val="Body Text First Indent"/>
    <w:basedOn w:val="BodyText"/>
    <w:link w:val="BodyTextFirstIndentChar"/>
    <w:uiPriority w:val="99"/>
    <w:semiHidden/>
    <w:rsid w:val="002D2C99"/>
    <w:pPr>
      <w:spacing w:after="0"/>
      <w:ind w:firstLine="360"/>
    </w:pPr>
  </w:style>
  <w:style w:type="character" w:customStyle="1" w:styleId="BodyTextFirstIndentChar">
    <w:name w:val="Body Text First Indent Char"/>
    <w:basedOn w:val="BodyTextChar"/>
    <w:link w:val="BodyTextFirstIndent"/>
    <w:uiPriority w:val="99"/>
    <w:semiHidden/>
    <w:rsid w:val="002D2C99"/>
    <w:rPr>
      <w:rFonts w:eastAsiaTheme="minorEastAsia"/>
      <w:sz w:val="24"/>
    </w:rPr>
  </w:style>
  <w:style w:type="paragraph" w:styleId="BodyTextIndent">
    <w:name w:val="Body Text Indent"/>
    <w:basedOn w:val="Normal"/>
    <w:link w:val="BodyTextIndentChar"/>
    <w:uiPriority w:val="99"/>
    <w:semiHidden/>
    <w:rsid w:val="002D2C99"/>
    <w:pPr>
      <w:spacing w:after="120"/>
      <w:ind w:left="283"/>
    </w:pPr>
  </w:style>
  <w:style w:type="character" w:customStyle="1" w:styleId="BodyTextIndentChar">
    <w:name w:val="Body Text Indent Char"/>
    <w:basedOn w:val="DefaultParagraphFont"/>
    <w:link w:val="BodyTextIndent"/>
    <w:uiPriority w:val="99"/>
    <w:semiHidden/>
    <w:rsid w:val="002D2C99"/>
    <w:rPr>
      <w:rFonts w:eastAsiaTheme="minorEastAsia"/>
      <w:sz w:val="24"/>
    </w:rPr>
  </w:style>
  <w:style w:type="paragraph" w:styleId="BodyTextFirstIndent2">
    <w:name w:val="Body Text First Indent 2"/>
    <w:basedOn w:val="BodyTextIndent"/>
    <w:link w:val="BodyTextFirstIndent2Char"/>
    <w:uiPriority w:val="99"/>
    <w:semiHidden/>
    <w:rsid w:val="002D2C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2D2C99"/>
    <w:rPr>
      <w:rFonts w:eastAsiaTheme="minorEastAsia"/>
      <w:sz w:val="24"/>
    </w:rPr>
  </w:style>
  <w:style w:type="paragraph" w:styleId="BodyTextIndent2">
    <w:name w:val="Body Text Indent 2"/>
    <w:basedOn w:val="Normal"/>
    <w:link w:val="BodyTextIndent2Char"/>
    <w:uiPriority w:val="99"/>
    <w:semiHidden/>
    <w:rsid w:val="002D2C99"/>
    <w:pPr>
      <w:spacing w:after="120" w:line="480" w:lineRule="auto"/>
      <w:ind w:left="283"/>
    </w:pPr>
  </w:style>
  <w:style w:type="character" w:customStyle="1" w:styleId="BodyTextIndent2Char">
    <w:name w:val="Body Text Indent 2 Char"/>
    <w:basedOn w:val="DefaultParagraphFont"/>
    <w:link w:val="BodyTextIndent2"/>
    <w:uiPriority w:val="99"/>
    <w:semiHidden/>
    <w:rsid w:val="002D2C99"/>
    <w:rPr>
      <w:rFonts w:eastAsiaTheme="minorEastAsia"/>
      <w:sz w:val="24"/>
    </w:rPr>
  </w:style>
  <w:style w:type="paragraph" w:styleId="BodyTextIndent3">
    <w:name w:val="Body Text Indent 3"/>
    <w:basedOn w:val="Normal"/>
    <w:link w:val="BodyTextIndent3Char"/>
    <w:uiPriority w:val="99"/>
    <w:semiHidden/>
    <w:rsid w:val="002D2C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D2C99"/>
    <w:rPr>
      <w:rFonts w:eastAsiaTheme="minorEastAsia"/>
      <w:sz w:val="16"/>
      <w:szCs w:val="16"/>
    </w:rPr>
  </w:style>
  <w:style w:type="paragraph" w:styleId="Caption">
    <w:name w:val="caption"/>
    <w:basedOn w:val="Normal"/>
    <w:next w:val="Normal"/>
    <w:uiPriority w:val="99"/>
    <w:semiHidden/>
    <w:qFormat/>
    <w:rsid w:val="002D2C99"/>
    <w:pPr>
      <w:spacing w:after="200"/>
    </w:pPr>
    <w:rPr>
      <w:b/>
      <w:bCs/>
      <w:color w:val="0072BC" w:themeColor="accent1"/>
      <w:sz w:val="18"/>
      <w:szCs w:val="18"/>
    </w:rPr>
  </w:style>
  <w:style w:type="paragraph" w:styleId="Closing">
    <w:name w:val="Closing"/>
    <w:basedOn w:val="Normal"/>
    <w:link w:val="ClosingChar"/>
    <w:uiPriority w:val="99"/>
    <w:semiHidden/>
    <w:rsid w:val="002D2C99"/>
    <w:pPr>
      <w:ind w:left="4252"/>
    </w:pPr>
  </w:style>
  <w:style w:type="character" w:customStyle="1" w:styleId="ClosingChar">
    <w:name w:val="Closing Char"/>
    <w:basedOn w:val="DefaultParagraphFont"/>
    <w:link w:val="Closing"/>
    <w:uiPriority w:val="99"/>
    <w:semiHidden/>
    <w:rsid w:val="002D2C99"/>
    <w:rPr>
      <w:rFonts w:eastAsiaTheme="minorEastAsia"/>
      <w:sz w:val="24"/>
    </w:rPr>
  </w:style>
  <w:style w:type="table" w:styleId="ColorfulGrid">
    <w:name w:val="Colorful Grid"/>
    <w:basedOn w:val="TableNormal"/>
    <w:uiPriority w:val="73"/>
    <w:semiHidden/>
    <w:rsid w:val="002D2C99"/>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D2C99"/>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D2C99"/>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D2C99"/>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D2C99"/>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D2C99"/>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D2C99"/>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D2C99"/>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D2C99"/>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D2C99"/>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D2C99"/>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D2C99"/>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D2C99"/>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D2C99"/>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D2C99"/>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D2C99"/>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D2C99"/>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D2C99"/>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D2C99"/>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2D2C99"/>
    <w:rPr>
      <w:sz w:val="16"/>
      <w:szCs w:val="16"/>
    </w:rPr>
  </w:style>
  <w:style w:type="paragraph" w:styleId="CommentText">
    <w:name w:val="annotation text"/>
    <w:basedOn w:val="Normal"/>
    <w:link w:val="CommentTextChar"/>
    <w:uiPriority w:val="99"/>
    <w:semiHidden/>
    <w:rsid w:val="002D2C99"/>
    <w:rPr>
      <w:sz w:val="20"/>
      <w:szCs w:val="20"/>
    </w:rPr>
  </w:style>
  <w:style w:type="character" w:customStyle="1" w:styleId="CommentTextChar">
    <w:name w:val="Comment Text Char"/>
    <w:basedOn w:val="DefaultParagraphFont"/>
    <w:link w:val="CommentText"/>
    <w:uiPriority w:val="99"/>
    <w:semiHidden/>
    <w:rsid w:val="002D2C99"/>
    <w:rPr>
      <w:rFonts w:eastAsiaTheme="minorEastAsia"/>
      <w:sz w:val="20"/>
      <w:szCs w:val="20"/>
    </w:rPr>
  </w:style>
  <w:style w:type="paragraph" w:styleId="CommentSubject">
    <w:name w:val="annotation subject"/>
    <w:basedOn w:val="CommentText"/>
    <w:next w:val="CommentText"/>
    <w:link w:val="CommentSubjectChar"/>
    <w:uiPriority w:val="99"/>
    <w:semiHidden/>
    <w:rsid w:val="002D2C99"/>
    <w:rPr>
      <w:b/>
      <w:bCs/>
    </w:rPr>
  </w:style>
  <w:style w:type="character" w:customStyle="1" w:styleId="CommentSubjectChar">
    <w:name w:val="Comment Subject Char"/>
    <w:basedOn w:val="CommentTextChar"/>
    <w:link w:val="CommentSubject"/>
    <w:uiPriority w:val="99"/>
    <w:semiHidden/>
    <w:rsid w:val="002D2C99"/>
    <w:rPr>
      <w:rFonts w:eastAsiaTheme="minorEastAsia"/>
      <w:b/>
      <w:bCs/>
      <w:sz w:val="20"/>
      <w:szCs w:val="20"/>
    </w:rPr>
  </w:style>
  <w:style w:type="table" w:styleId="DarkList">
    <w:name w:val="Dark List"/>
    <w:basedOn w:val="TableNormal"/>
    <w:uiPriority w:val="70"/>
    <w:semiHidden/>
    <w:rsid w:val="002D2C99"/>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D2C99"/>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D2C99"/>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D2C99"/>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D2C99"/>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D2C99"/>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D2C99"/>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2D2C99"/>
  </w:style>
  <w:style w:type="character" w:customStyle="1" w:styleId="DateChar">
    <w:name w:val="Date Char"/>
    <w:basedOn w:val="DefaultParagraphFont"/>
    <w:link w:val="Date"/>
    <w:uiPriority w:val="99"/>
    <w:semiHidden/>
    <w:rsid w:val="002D2C99"/>
    <w:rPr>
      <w:rFonts w:eastAsiaTheme="minorEastAsia"/>
      <w:sz w:val="24"/>
    </w:rPr>
  </w:style>
  <w:style w:type="paragraph" w:styleId="DocumentMap">
    <w:name w:val="Document Map"/>
    <w:basedOn w:val="Normal"/>
    <w:link w:val="DocumentMapChar"/>
    <w:uiPriority w:val="99"/>
    <w:semiHidden/>
    <w:rsid w:val="002D2C99"/>
    <w:rPr>
      <w:rFonts w:ascii="Tahoma" w:hAnsi="Tahoma" w:cs="Tahoma"/>
      <w:sz w:val="16"/>
      <w:szCs w:val="16"/>
    </w:rPr>
  </w:style>
  <w:style w:type="character" w:customStyle="1" w:styleId="DocumentMapChar">
    <w:name w:val="Document Map Char"/>
    <w:basedOn w:val="DefaultParagraphFont"/>
    <w:link w:val="DocumentMap"/>
    <w:uiPriority w:val="99"/>
    <w:semiHidden/>
    <w:rsid w:val="002D2C99"/>
    <w:rPr>
      <w:rFonts w:ascii="Tahoma" w:eastAsiaTheme="minorEastAsia" w:hAnsi="Tahoma" w:cs="Tahoma"/>
      <w:sz w:val="16"/>
      <w:szCs w:val="16"/>
    </w:rPr>
  </w:style>
  <w:style w:type="paragraph" w:styleId="E-mailSignature">
    <w:name w:val="E-mail Signature"/>
    <w:basedOn w:val="Normal"/>
    <w:link w:val="E-mailSignatureChar"/>
    <w:uiPriority w:val="99"/>
    <w:semiHidden/>
    <w:rsid w:val="002D2C99"/>
  </w:style>
  <w:style w:type="character" w:customStyle="1" w:styleId="E-mailSignatureChar">
    <w:name w:val="E-mail Signature Char"/>
    <w:basedOn w:val="DefaultParagraphFont"/>
    <w:link w:val="E-mailSignature"/>
    <w:uiPriority w:val="99"/>
    <w:semiHidden/>
    <w:rsid w:val="002D2C99"/>
    <w:rPr>
      <w:rFonts w:eastAsiaTheme="minorEastAsia"/>
      <w:sz w:val="24"/>
    </w:rPr>
  </w:style>
  <w:style w:type="character" w:styleId="EndnoteReference">
    <w:name w:val="endnote reference"/>
    <w:basedOn w:val="DefaultParagraphFont"/>
    <w:uiPriority w:val="99"/>
    <w:semiHidden/>
    <w:rsid w:val="00C54354"/>
    <w:rPr>
      <w:vertAlign w:val="superscript"/>
    </w:rPr>
  </w:style>
  <w:style w:type="paragraph" w:styleId="EndnoteText">
    <w:name w:val="endnote text"/>
    <w:basedOn w:val="Normal"/>
    <w:link w:val="EndnoteTextChar"/>
    <w:uiPriority w:val="99"/>
    <w:semiHidden/>
    <w:rsid w:val="00C54354"/>
    <w:rPr>
      <w:sz w:val="20"/>
      <w:szCs w:val="20"/>
    </w:rPr>
  </w:style>
  <w:style w:type="character" w:customStyle="1" w:styleId="EndnoteTextChar">
    <w:name w:val="Endnote Text Char"/>
    <w:basedOn w:val="DefaultParagraphFont"/>
    <w:link w:val="EndnoteText"/>
    <w:uiPriority w:val="99"/>
    <w:semiHidden/>
    <w:rsid w:val="00C54354"/>
    <w:rPr>
      <w:rFonts w:eastAsiaTheme="minorEastAsia"/>
      <w:sz w:val="20"/>
      <w:szCs w:val="20"/>
      <w:lang w:val="en-GB"/>
    </w:rPr>
  </w:style>
  <w:style w:type="paragraph" w:styleId="EnvelopeAddress">
    <w:name w:val="envelope address"/>
    <w:basedOn w:val="Normal"/>
    <w:uiPriority w:val="99"/>
    <w:semiHidden/>
    <w:rsid w:val="002D2C99"/>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2D2C99"/>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2D2C99"/>
    <w:rPr>
      <w:color w:val="7030A0" w:themeColor="followedHyperlink"/>
      <w:u w:val="single"/>
    </w:rPr>
  </w:style>
  <w:style w:type="character" w:styleId="HTMLAcronym">
    <w:name w:val="HTML Acronym"/>
    <w:basedOn w:val="DefaultParagraphFont"/>
    <w:uiPriority w:val="99"/>
    <w:semiHidden/>
    <w:rsid w:val="002D2C99"/>
  </w:style>
  <w:style w:type="paragraph" w:styleId="HTMLAddress">
    <w:name w:val="HTML Address"/>
    <w:basedOn w:val="Normal"/>
    <w:link w:val="HTMLAddressChar"/>
    <w:uiPriority w:val="99"/>
    <w:semiHidden/>
    <w:rsid w:val="002D2C99"/>
    <w:rPr>
      <w:i/>
      <w:iCs/>
    </w:rPr>
  </w:style>
  <w:style w:type="character" w:customStyle="1" w:styleId="HTMLAddressChar">
    <w:name w:val="HTML Address Char"/>
    <w:basedOn w:val="DefaultParagraphFont"/>
    <w:link w:val="HTMLAddress"/>
    <w:uiPriority w:val="99"/>
    <w:semiHidden/>
    <w:rsid w:val="002D2C99"/>
    <w:rPr>
      <w:rFonts w:eastAsiaTheme="minorEastAsia"/>
      <w:i/>
      <w:iCs/>
      <w:sz w:val="24"/>
    </w:rPr>
  </w:style>
  <w:style w:type="character" w:styleId="HTMLCite">
    <w:name w:val="HTML Cite"/>
    <w:basedOn w:val="DefaultParagraphFont"/>
    <w:uiPriority w:val="99"/>
    <w:semiHidden/>
    <w:rsid w:val="002D2C99"/>
    <w:rPr>
      <w:i/>
      <w:iCs/>
    </w:rPr>
  </w:style>
  <w:style w:type="character" w:styleId="HTMLCode">
    <w:name w:val="HTML Code"/>
    <w:basedOn w:val="DefaultParagraphFont"/>
    <w:uiPriority w:val="99"/>
    <w:semiHidden/>
    <w:rsid w:val="002D2C99"/>
    <w:rPr>
      <w:rFonts w:ascii="Consolas" w:hAnsi="Consolas" w:cs="Consolas"/>
      <w:sz w:val="20"/>
      <w:szCs w:val="20"/>
    </w:rPr>
  </w:style>
  <w:style w:type="character" w:styleId="HTMLDefinition">
    <w:name w:val="HTML Definition"/>
    <w:basedOn w:val="DefaultParagraphFont"/>
    <w:uiPriority w:val="99"/>
    <w:semiHidden/>
    <w:rsid w:val="002D2C99"/>
    <w:rPr>
      <w:i/>
      <w:iCs/>
    </w:rPr>
  </w:style>
  <w:style w:type="character" w:styleId="HTMLKeyboard">
    <w:name w:val="HTML Keyboard"/>
    <w:basedOn w:val="DefaultParagraphFont"/>
    <w:uiPriority w:val="99"/>
    <w:semiHidden/>
    <w:rsid w:val="002D2C99"/>
    <w:rPr>
      <w:rFonts w:ascii="Consolas" w:hAnsi="Consolas" w:cs="Consolas"/>
      <w:sz w:val="20"/>
      <w:szCs w:val="20"/>
    </w:rPr>
  </w:style>
  <w:style w:type="paragraph" w:styleId="HTMLPreformatted">
    <w:name w:val="HTML Preformatted"/>
    <w:basedOn w:val="Normal"/>
    <w:link w:val="HTMLPreformattedChar"/>
    <w:uiPriority w:val="99"/>
    <w:semiHidden/>
    <w:rsid w:val="002D2C9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2D2C99"/>
    <w:rPr>
      <w:rFonts w:ascii="Consolas" w:eastAsiaTheme="minorEastAsia" w:hAnsi="Consolas" w:cs="Consolas"/>
      <w:sz w:val="20"/>
      <w:szCs w:val="20"/>
    </w:rPr>
  </w:style>
  <w:style w:type="character" w:styleId="HTMLSample">
    <w:name w:val="HTML Sample"/>
    <w:basedOn w:val="DefaultParagraphFont"/>
    <w:uiPriority w:val="99"/>
    <w:semiHidden/>
    <w:rsid w:val="002D2C99"/>
    <w:rPr>
      <w:rFonts w:ascii="Consolas" w:hAnsi="Consolas" w:cs="Consolas"/>
      <w:sz w:val="24"/>
      <w:szCs w:val="24"/>
    </w:rPr>
  </w:style>
  <w:style w:type="character" w:styleId="HTMLTypewriter">
    <w:name w:val="HTML Typewriter"/>
    <w:basedOn w:val="DefaultParagraphFont"/>
    <w:uiPriority w:val="99"/>
    <w:semiHidden/>
    <w:rsid w:val="002D2C99"/>
    <w:rPr>
      <w:rFonts w:ascii="Consolas" w:hAnsi="Consolas" w:cs="Consolas"/>
      <w:sz w:val="20"/>
      <w:szCs w:val="20"/>
    </w:rPr>
  </w:style>
  <w:style w:type="character" w:styleId="HTMLVariable">
    <w:name w:val="HTML Variable"/>
    <w:basedOn w:val="DefaultParagraphFont"/>
    <w:uiPriority w:val="99"/>
    <w:semiHidden/>
    <w:rsid w:val="002D2C99"/>
    <w:rPr>
      <w:i/>
      <w:iCs/>
    </w:rPr>
  </w:style>
  <w:style w:type="paragraph" w:styleId="Index1">
    <w:name w:val="index 1"/>
    <w:basedOn w:val="Normal"/>
    <w:next w:val="Normal"/>
    <w:autoRedefine/>
    <w:uiPriority w:val="99"/>
    <w:semiHidden/>
    <w:rsid w:val="002D2C99"/>
    <w:pPr>
      <w:ind w:left="240" w:hanging="240"/>
    </w:pPr>
  </w:style>
  <w:style w:type="paragraph" w:styleId="Index2">
    <w:name w:val="index 2"/>
    <w:basedOn w:val="Normal"/>
    <w:next w:val="Normal"/>
    <w:autoRedefine/>
    <w:uiPriority w:val="99"/>
    <w:semiHidden/>
    <w:rsid w:val="002D2C99"/>
    <w:pPr>
      <w:ind w:left="480" w:hanging="240"/>
    </w:pPr>
  </w:style>
  <w:style w:type="paragraph" w:styleId="Index3">
    <w:name w:val="index 3"/>
    <w:basedOn w:val="Normal"/>
    <w:next w:val="Normal"/>
    <w:autoRedefine/>
    <w:uiPriority w:val="99"/>
    <w:semiHidden/>
    <w:rsid w:val="002D2C99"/>
    <w:pPr>
      <w:ind w:left="720" w:hanging="240"/>
    </w:pPr>
  </w:style>
  <w:style w:type="paragraph" w:styleId="Index4">
    <w:name w:val="index 4"/>
    <w:basedOn w:val="Normal"/>
    <w:next w:val="Normal"/>
    <w:autoRedefine/>
    <w:uiPriority w:val="99"/>
    <w:semiHidden/>
    <w:rsid w:val="002D2C99"/>
    <w:pPr>
      <w:ind w:left="960" w:hanging="240"/>
    </w:pPr>
  </w:style>
  <w:style w:type="paragraph" w:styleId="Index5">
    <w:name w:val="index 5"/>
    <w:basedOn w:val="Normal"/>
    <w:next w:val="Normal"/>
    <w:autoRedefine/>
    <w:uiPriority w:val="99"/>
    <w:semiHidden/>
    <w:rsid w:val="002D2C99"/>
    <w:pPr>
      <w:ind w:left="1200" w:hanging="240"/>
    </w:pPr>
  </w:style>
  <w:style w:type="paragraph" w:styleId="Index6">
    <w:name w:val="index 6"/>
    <w:basedOn w:val="Normal"/>
    <w:next w:val="Normal"/>
    <w:autoRedefine/>
    <w:uiPriority w:val="99"/>
    <w:semiHidden/>
    <w:rsid w:val="002D2C99"/>
    <w:pPr>
      <w:ind w:left="1440" w:hanging="240"/>
    </w:pPr>
  </w:style>
  <w:style w:type="paragraph" w:styleId="Index7">
    <w:name w:val="index 7"/>
    <w:basedOn w:val="Normal"/>
    <w:next w:val="Normal"/>
    <w:autoRedefine/>
    <w:uiPriority w:val="99"/>
    <w:semiHidden/>
    <w:rsid w:val="002D2C99"/>
    <w:pPr>
      <w:ind w:left="1680" w:hanging="240"/>
    </w:pPr>
  </w:style>
  <w:style w:type="paragraph" w:styleId="Index8">
    <w:name w:val="index 8"/>
    <w:basedOn w:val="Normal"/>
    <w:next w:val="Normal"/>
    <w:autoRedefine/>
    <w:uiPriority w:val="99"/>
    <w:semiHidden/>
    <w:rsid w:val="002D2C99"/>
    <w:pPr>
      <w:ind w:left="1920" w:hanging="240"/>
    </w:pPr>
  </w:style>
  <w:style w:type="paragraph" w:styleId="Index9">
    <w:name w:val="index 9"/>
    <w:basedOn w:val="Normal"/>
    <w:next w:val="Normal"/>
    <w:autoRedefine/>
    <w:uiPriority w:val="99"/>
    <w:semiHidden/>
    <w:rsid w:val="002D2C99"/>
    <w:pPr>
      <w:ind w:left="2160" w:hanging="240"/>
    </w:pPr>
  </w:style>
  <w:style w:type="paragraph" w:styleId="IndexHeading">
    <w:name w:val="index heading"/>
    <w:basedOn w:val="Normal"/>
    <w:next w:val="Index1"/>
    <w:uiPriority w:val="99"/>
    <w:semiHidden/>
    <w:rsid w:val="002D2C99"/>
    <w:rPr>
      <w:rFonts w:asciiTheme="majorHAnsi" w:eastAsiaTheme="majorEastAsia" w:hAnsiTheme="majorHAnsi" w:cstheme="majorBidi"/>
      <w:b/>
      <w:bCs/>
    </w:rPr>
  </w:style>
  <w:style w:type="table" w:styleId="LightGrid">
    <w:name w:val="Light Grid"/>
    <w:basedOn w:val="TableNormal"/>
    <w:uiPriority w:val="62"/>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D2C9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D2C99"/>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D2C99"/>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D2C99"/>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D2C99"/>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D2C99"/>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D2C99"/>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2D2C99"/>
  </w:style>
  <w:style w:type="paragraph" w:styleId="List">
    <w:name w:val="List"/>
    <w:basedOn w:val="Normal"/>
    <w:uiPriority w:val="99"/>
    <w:semiHidden/>
    <w:rsid w:val="002D2C99"/>
    <w:pPr>
      <w:ind w:left="283" w:hanging="283"/>
      <w:contextualSpacing/>
    </w:pPr>
  </w:style>
  <w:style w:type="paragraph" w:styleId="List2">
    <w:name w:val="List 2"/>
    <w:basedOn w:val="Normal"/>
    <w:uiPriority w:val="99"/>
    <w:semiHidden/>
    <w:rsid w:val="002D2C99"/>
    <w:pPr>
      <w:ind w:left="566" w:hanging="283"/>
      <w:contextualSpacing/>
    </w:pPr>
  </w:style>
  <w:style w:type="paragraph" w:styleId="List3">
    <w:name w:val="List 3"/>
    <w:basedOn w:val="Normal"/>
    <w:uiPriority w:val="99"/>
    <w:semiHidden/>
    <w:rsid w:val="002D2C99"/>
    <w:pPr>
      <w:ind w:left="849" w:hanging="283"/>
      <w:contextualSpacing/>
    </w:pPr>
  </w:style>
  <w:style w:type="paragraph" w:styleId="List4">
    <w:name w:val="List 4"/>
    <w:basedOn w:val="Normal"/>
    <w:uiPriority w:val="99"/>
    <w:semiHidden/>
    <w:rsid w:val="002D2C99"/>
    <w:pPr>
      <w:ind w:left="1132" w:hanging="283"/>
      <w:contextualSpacing/>
    </w:pPr>
  </w:style>
  <w:style w:type="paragraph" w:styleId="List5">
    <w:name w:val="List 5"/>
    <w:basedOn w:val="Normal"/>
    <w:uiPriority w:val="99"/>
    <w:semiHidden/>
    <w:rsid w:val="002D2C99"/>
    <w:pPr>
      <w:ind w:left="1415" w:hanging="283"/>
      <w:contextualSpacing/>
    </w:pPr>
  </w:style>
  <w:style w:type="paragraph" w:styleId="ListBullet">
    <w:name w:val="List Bullet"/>
    <w:basedOn w:val="Normal"/>
    <w:uiPriority w:val="99"/>
    <w:semiHidden/>
    <w:rsid w:val="002D2C99"/>
    <w:pPr>
      <w:numPr>
        <w:numId w:val="12"/>
      </w:numPr>
      <w:contextualSpacing/>
    </w:pPr>
  </w:style>
  <w:style w:type="paragraph" w:styleId="ListBullet3">
    <w:name w:val="List Bullet 3"/>
    <w:basedOn w:val="Normal"/>
    <w:uiPriority w:val="99"/>
    <w:semiHidden/>
    <w:rsid w:val="002D2C99"/>
    <w:pPr>
      <w:numPr>
        <w:numId w:val="13"/>
      </w:numPr>
      <w:contextualSpacing/>
    </w:pPr>
  </w:style>
  <w:style w:type="paragraph" w:styleId="ListBullet4">
    <w:name w:val="List Bullet 4"/>
    <w:basedOn w:val="Normal"/>
    <w:uiPriority w:val="99"/>
    <w:semiHidden/>
    <w:rsid w:val="002D2C99"/>
    <w:pPr>
      <w:numPr>
        <w:numId w:val="14"/>
      </w:numPr>
      <w:contextualSpacing/>
    </w:pPr>
  </w:style>
  <w:style w:type="paragraph" w:styleId="ListBullet5">
    <w:name w:val="List Bullet 5"/>
    <w:basedOn w:val="Normal"/>
    <w:uiPriority w:val="99"/>
    <w:semiHidden/>
    <w:rsid w:val="002D2C99"/>
    <w:pPr>
      <w:numPr>
        <w:numId w:val="15"/>
      </w:numPr>
      <w:contextualSpacing/>
    </w:pPr>
  </w:style>
  <w:style w:type="paragraph" w:styleId="ListContinue">
    <w:name w:val="List Continue"/>
    <w:basedOn w:val="Normal"/>
    <w:uiPriority w:val="99"/>
    <w:semiHidden/>
    <w:rsid w:val="002D2C99"/>
    <w:pPr>
      <w:spacing w:after="120"/>
      <w:ind w:left="283"/>
      <w:contextualSpacing/>
    </w:pPr>
  </w:style>
  <w:style w:type="paragraph" w:styleId="ListContinue2">
    <w:name w:val="List Continue 2"/>
    <w:basedOn w:val="Normal"/>
    <w:uiPriority w:val="99"/>
    <w:semiHidden/>
    <w:rsid w:val="002D2C99"/>
    <w:pPr>
      <w:spacing w:after="120"/>
      <w:ind w:left="566"/>
      <w:contextualSpacing/>
    </w:pPr>
  </w:style>
  <w:style w:type="paragraph" w:styleId="ListContinue3">
    <w:name w:val="List Continue 3"/>
    <w:basedOn w:val="Normal"/>
    <w:uiPriority w:val="99"/>
    <w:semiHidden/>
    <w:rsid w:val="002D2C99"/>
    <w:pPr>
      <w:spacing w:after="120"/>
      <w:ind w:left="849"/>
      <w:contextualSpacing/>
    </w:pPr>
  </w:style>
  <w:style w:type="paragraph" w:styleId="ListContinue4">
    <w:name w:val="List Continue 4"/>
    <w:basedOn w:val="Normal"/>
    <w:uiPriority w:val="99"/>
    <w:semiHidden/>
    <w:rsid w:val="002D2C99"/>
    <w:pPr>
      <w:spacing w:after="120"/>
      <w:ind w:left="1132"/>
      <w:contextualSpacing/>
    </w:pPr>
  </w:style>
  <w:style w:type="paragraph" w:styleId="ListContinue5">
    <w:name w:val="List Continue 5"/>
    <w:basedOn w:val="Normal"/>
    <w:uiPriority w:val="99"/>
    <w:semiHidden/>
    <w:rsid w:val="002D2C99"/>
    <w:pPr>
      <w:spacing w:after="120"/>
      <w:ind w:left="1415"/>
      <w:contextualSpacing/>
    </w:pPr>
  </w:style>
  <w:style w:type="paragraph" w:styleId="ListNumber">
    <w:name w:val="List Number"/>
    <w:basedOn w:val="Normal"/>
    <w:uiPriority w:val="99"/>
    <w:semiHidden/>
    <w:rsid w:val="002D2C99"/>
    <w:pPr>
      <w:numPr>
        <w:numId w:val="16"/>
      </w:numPr>
      <w:contextualSpacing/>
    </w:pPr>
  </w:style>
  <w:style w:type="paragraph" w:styleId="ListNumber2">
    <w:name w:val="List Number 2"/>
    <w:basedOn w:val="Normal"/>
    <w:uiPriority w:val="99"/>
    <w:semiHidden/>
    <w:rsid w:val="002D2C99"/>
    <w:pPr>
      <w:numPr>
        <w:numId w:val="17"/>
      </w:numPr>
      <w:contextualSpacing/>
    </w:pPr>
  </w:style>
  <w:style w:type="paragraph" w:styleId="ListNumber3">
    <w:name w:val="List Number 3"/>
    <w:basedOn w:val="Normal"/>
    <w:uiPriority w:val="99"/>
    <w:semiHidden/>
    <w:rsid w:val="002D2C99"/>
    <w:pPr>
      <w:numPr>
        <w:numId w:val="18"/>
      </w:numPr>
      <w:contextualSpacing/>
    </w:pPr>
  </w:style>
  <w:style w:type="paragraph" w:styleId="ListNumber4">
    <w:name w:val="List Number 4"/>
    <w:basedOn w:val="Normal"/>
    <w:uiPriority w:val="99"/>
    <w:semiHidden/>
    <w:rsid w:val="002D2C99"/>
    <w:pPr>
      <w:numPr>
        <w:numId w:val="19"/>
      </w:numPr>
      <w:contextualSpacing/>
    </w:pPr>
  </w:style>
  <w:style w:type="paragraph" w:styleId="ListNumber5">
    <w:name w:val="List Number 5"/>
    <w:basedOn w:val="Normal"/>
    <w:uiPriority w:val="99"/>
    <w:semiHidden/>
    <w:rsid w:val="002D2C99"/>
    <w:pPr>
      <w:numPr>
        <w:numId w:val="20"/>
      </w:numPr>
      <w:contextualSpacing/>
    </w:pPr>
  </w:style>
  <w:style w:type="paragraph" w:styleId="MacroText">
    <w:name w:val="macro"/>
    <w:link w:val="MacroTextChar"/>
    <w:uiPriority w:val="99"/>
    <w:semiHidden/>
    <w:rsid w:val="002D2C99"/>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2D2C99"/>
    <w:rPr>
      <w:rFonts w:ascii="Consolas" w:eastAsiaTheme="minorEastAsia" w:hAnsi="Consolas" w:cs="Consolas"/>
      <w:sz w:val="20"/>
      <w:szCs w:val="20"/>
    </w:rPr>
  </w:style>
  <w:style w:type="table" w:styleId="MediumGrid1">
    <w:name w:val="Medium Grid 1"/>
    <w:basedOn w:val="TableNormal"/>
    <w:uiPriority w:val="67"/>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D2C9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D2C99"/>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D2C99"/>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D2C99"/>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D2C99"/>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D2C99"/>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D2C99"/>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2D2C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2D2C99"/>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2D2C99"/>
    <w:rPr>
      <w:rFonts w:ascii="Times New Roman" w:hAnsi="Times New Roman" w:cs="Times New Roman"/>
      <w:szCs w:val="24"/>
    </w:rPr>
  </w:style>
  <w:style w:type="paragraph" w:styleId="NormalIndent">
    <w:name w:val="Normal Indent"/>
    <w:basedOn w:val="Normal"/>
    <w:uiPriority w:val="99"/>
    <w:semiHidden/>
    <w:rsid w:val="002D2C99"/>
    <w:pPr>
      <w:ind w:left="720"/>
    </w:pPr>
  </w:style>
  <w:style w:type="paragraph" w:styleId="NoteHeading">
    <w:name w:val="Note Heading"/>
    <w:basedOn w:val="Normal"/>
    <w:next w:val="Normal"/>
    <w:link w:val="NoteHeadingChar"/>
    <w:uiPriority w:val="99"/>
    <w:semiHidden/>
    <w:rsid w:val="00C54354"/>
  </w:style>
  <w:style w:type="character" w:customStyle="1" w:styleId="NoteHeadingChar">
    <w:name w:val="Note Heading Char"/>
    <w:basedOn w:val="DefaultParagraphFont"/>
    <w:link w:val="NoteHeading"/>
    <w:uiPriority w:val="99"/>
    <w:semiHidden/>
    <w:rsid w:val="00C54354"/>
    <w:rPr>
      <w:rFonts w:eastAsiaTheme="minorEastAsia"/>
      <w:sz w:val="24"/>
      <w:lang w:val="en-GB"/>
    </w:rPr>
  </w:style>
  <w:style w:type="character" w:styleId="PlaceholderText">
    <w:name w:val="Placeholder Text"/>
    <w:basedOn w:val="DefaultParagraphFont"/>
    <w:uiPriority w:val="99"/>
    <w:semiHidden/>
    <w:rsid w:val="00C54354"/>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2D2C99"/>
    <w:rPr>
      <w:rFonts w:ascii="Consolas" w:hAnsi="Consolas" w:cs="Consolas"/>
      <w:sz w:val="21"/>
      <w:szCs w:val="21"/>
    </w:rPr>
  </w:style>
  <w:style w:type="character" w:customStyle="1" w:styleId="PlainTextChar">
    <w:name w:val="Plain Text Char"/>
    <w:basedOn w:val="DefaultParagraphFont"/>
    <w:link w:val="PlainText"/>
    <w:uiPriority w:val="99"/>
    <w:semiHidden/>
    <w:rsid w:val="002D2C99"/>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2D2C99"/>
  </w:style>
  <w:style w:type="character" w:customStyle="1" w:styleId="SalutationChar">
    <w:name w:val="Salutation Char"/>
    <w:basedOn w:val="DefaultParagraphFont"/>
    <w:link w:val="Salutation"/>
    <w:uiPriority w:val="99"/>
    <w:semiHidden/>
    <w:rsid w:val="002D2C99"/>
    <w:rPr>
      <w:rFonts w:eastAsiaTheme="minorEastAsia"/>
      <w:sz w:val="24"/>
    </w:rPr>
  </w:style>
  <w:style w:type="paragraph" w:styleId="Signature">
    <w:name w:val="Signature"/>
    <w:basedOn w:val="Normal"/>
    <w:link w:val="SignatureChar"/>
    <w:uiPriority w:val="99"/>
    <w:semiHidden/>
    <w:rsid w:val="002D2C99"/>
    <w:pPr>
      <w:ind w:left="4252"/>
    </w:pPr>
  </w:style>
  <w:style w:type="character" w:customStyle="1" w:styleId="SignatureChar">
    <w:name w:val="Signature Char"/>
    <w:basedOn w:val="DefaultParagraphFont"/>
    <w:link w:val="Signature"/>
    <w:uiPriority w:val="99"/>
    <w:semiHidden/>
    <w:rsid w:val="002D2C99"/>
    <w:rPr>
      <w:rFonts w:eastAsiaTheme="minorEastAsia"/>
      <w:sz w:val="24"/>
    </w:rPr>
  </w:style>
  <w:style w:type="table" w:styleId="Table3Deffects1">
    <w:name w:val="Table 3D effects 1"/>
    <w:basedOn w:val="TableNormal"/>
    <w:uiPriority w:val="99"/>
    <w:semiHidden/>
    <w:unhideWhenUsed/>
    <w:rsid w:val="002D2C99"/>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2C99"/>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2C99"/>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2C9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2C9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2C9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2C9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2C9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D2C99"/>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2C99"/>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2C99"/>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2C99"/>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2C99"/>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D2C99"/>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D2C9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2C9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2C9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2C9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2C9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2C9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2C99"/>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2C99"/>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2C9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2C99"/>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2D2C99"/>
    <w:pPr>
      <w:ind w:left="240" w:hanging="240"/>
    </w:pPr>
  </w:style>
  <w:style w:type="paragraph" w:styleId="TableofFigures">
    <w:name w:val="table of figures"/>
    <w:basedOn w:val="Normal"/>
    <w:next w:val="Normal"/>
    <w:uiPriority w:val="99"/>
    <w:semiHidden/>
    <w:rsid w:val="002D2C99"/>
  </w:style>
  <w:style w:type="table" w:styleId="TableProfessional">
    <w:name w:val="Table Professional"/>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D2C9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2C99"/>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2C99"/>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2C99"/>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2C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D2C9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2C9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2C9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C5435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C5435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2D2C99"/>
    <w:pPr>
      <w:spacing w:after="100"/>
      <w:ind w:left="1680"/>
    </w:pPr>
  </w:style>
  <w:style w:type="paragraph" w:styleId="TOC9">
    <w:name w:val="toc 9"/>
    <w:basedOn w:val="Normal"/>
    <w:next w:val="Normal"/>
    <w:autoRedefine/>
    <w:uiPriority w:val="99"/>
    <w:semiHidden/>
    <w:rsid w:val="002D2C99"/>
    <w:pPr>
      <w:spacing w:after="100"/>
      <w:ind w:left="1920"/>
    </w:pPr>
  </w:style>
  <w:style w:type="paragraph" w:customStyle="1" w:styleId="DecHTitle">
    <w:name w:val="Dec_H_Title"/>
    <w:basedOn w:val="ECHRTitleCentre1"/>
    <w:uiPriority w:val="7"/>
    <w:semiHidden/>
    <w:qFormat/>
    <w:rsid w:val="00C54354"/>
  </w:style>
  <w:style w:type="paragraph" w:customStyle="1" w:styleId="DecList">
    <w:name w:val="Dec_List"/>
    <w:basedOn w:val="Normal"/>
    <w:uiPriority w:val="9"/>
    <w:semiHidden/>
    <w:qFormat/>
    <w:rsid w:val="00C54354"/>
    <w:pPr>
      <w:spacing w:before="240"/>
      <w:ind w:left="284"/>
    </w:pPr>
  </w:style>
  <w:style w:type="paragraph" w:customStyle="1" w:styleId="ECHRFooter">
    <w:name w:val="ECHR_Footer"/>
    <w:aliases w:val="Footer_ECHR"/>
    <w:basedOn w:val="Footer"/>
    <w:uiPriority w:val="57"/>
    <w:semiHidden/>
    <w:rsid w:val="00C54354"/>
    <w:pPr>
      <w:jc w:val="left"/>
    </w:pPr>
    <w:rPr>
      <w:sz w:val="8"/>
    </w:rPr>
  </w:style>
  <w:style w:type="paragraph" w:customStyle="1" w:styleId="ECHRFooterLine">
    <w:name w:val="ECHR_Footer_Line"/>
    <w:aliases w:val="Footer_Line"/>
    <w:basedOn w:val="Normal"/>
    <w:next w:val="ECHRFooter"/>
    <w:uiPriority w:val="57"/>
    <w:semiHidden/>
    <w:rsid w:val="00C54354"/>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C54354"/>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C54354"/>
    <w:pPr>
      <w:numPr>
        <w:numId w:val="24"/>
      </w:numPr>
      <w:jc w:val="left"/>
    </w:pPr>
    <w:rPr>
      <w:b/>
    </w:rPr>
  </w:style>
  <w:style w:type="paragraph" w:customStyle="1" w:styleId="JuHeaderLandscape">
    <w:name w:val="Ju_Header_Landscape"/>
    <w:basedOn w:val="ECHRHeader"/>
    <w:uiPriority w:val="4"/>
    <w:qFormat/>
    <w:rsid w:val="00C54354"/>
    <w:pPr>
      <w:tabs>
        <w:tab w:val="clear" w:pos="3686"/>
        <w:tab w:val="clear" w:pos="7371"/>
        <w:tab w:val="center" w:pos="6146"/>
        <w:tab w:val="right" w:pos="12293"/>
      </w:tabs>
    </w:pPr>
  </w:style>
  <w:style w:type="paragraph" w:customStyle="1" w:styleId="JuTitle">
    <w:name w:val="Ju_Title"/>
    <w:basedOn w:val="Normal"/>
    <w:next w:val="ECHRPara"/>
    <w:uiPriority w:val="3"/>
    <w:qFormat/>
    <w:rsid w:val="00C54354"/>
    <w:pPr>
      <w:spacing w:before="720" w:after="240"/>
      <w:jc w:val="center"/>
      <w:outlineLvl w:val="0"/>
    </w:pPr>
    <w:rPr>
      <w:rFonts w:asciiTheme="majorHAnsi" w:hAnsiTheme="majorHAnsi"/>
      <w:b/>
      <w:caps/>
    </w:rPr>
  </w:style>
  <w:style w:type="paragraph" w:customStyle="1" w:styleId="jupara">
    <w:name w:val="jupara"/>
    <w:basedOn w:val="Normal"/>
    <w:rsid w:val="000D76E7"/>
    <w:pPr>
      <w:ind w:firstLine="284"/>
    </w:pPr>
    <w:rPr>
      <w:rFonts w:ascii="Times New Roman" w:eastAsia="Times New Roman" w:hAnsi="Times New Roman" w:cs="Times New Roman"/>
      <w:szCs w:val="24"/>
      <w:lang w:eastAsia="en-GB"/>
    </w:rPr>
  </w:style>
  <w:style w:type="paragraph" w:customStyle="1" w:styleId="jucase0">
    <w:name w:val="jucase"/>
    <w:basedOn w:val="Normal"/>
    <w:rsid w:val="000D76E7"/>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25C96EC-A391-499C-8548-C21706E8EE7F}"/>
</file>

<file path=customXml/itemProps2.xml><?xml version="1.0" encoding="utf-8"?>
<ds:datastoreItem xmlns:ds="http://schemas.openxmlformats.org/officeDocument/2006/customXml" ds:itemID="{8398374C-A63C-4F7D-B9A5-E0D1723EB380}"/>
</file>

<file path=customXml/itemProps3.xml><?xml version="1.0" encoding="utf-8"?>
<ds:datastoreItem xmlns:ds="http://schemas.openxmlformats.org/officeDocument/2006/customXml" ds:itemID="{C0BFD323-DCF0-4AAB-B13B-007D4E43DB75}"/>
</file>

<file path=customXml/itemProps4.xml><?xml version="1.0" encoding="utf-8"?>
<ds:datastoreItem xmlns:ds="http://schemas.openxmlformats.org/officeDocument/2006/customXml" ds:itemID="{B3DB6E56-0495-40C6-B271-205D8C6376BC}"/>
</file>

<file path=docProps/app.xml><?xml version="1.0" encoding="utf-8"?>
<Properties xmlns="http://schemas.openxmlformats.org/officeDocument/2006/extended-properties" xmlns:vt="http://schemas.openxmlformats.org/officeDocument/2006/docPropsVTypes">
  <Template>Normal.dotm</Template>
  <TotalTime>0</TotalTime>
  <Pages>1</Pages>
  <Words>2705</Words>
  <Characters>15422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18091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2020-01-16T07:47:00Z</dcterms:created>
  <dcterms:modified xsi:type="dcterms:W3CDTF">2020-01-16T07:47:00Z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43140/08</vt:lpwstr>
  </property>
  <property fmtid="{D5CDD505-2E9C-101B-9397-08002B2CF9AE}" pid="4" name="CASEID">
    <vt:lpwstr>527343</vt:lpwstr>
  </property>
  <property fmtid="{D5CDD505-2E9C-101B-9397-08002B2CF9AE}" pid="5" name="ContentTypeId">
    <vt:lpwstr>0x010100558EB02BDB9E204AB350EDD385B68E10</vt:lpwstr>
  </property>
</Properties>
</file>