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9319E" w:rsidR="00591FF5" w:rsidP="00A9319E" w:rsidRDefault="00591FF5">
      <w:pPr>
        <w:jc w:val="center"/>
        <w:rPr>
          <w:lang w:val="fr-FR"/>
        </w:rPr>
      </w:pPr>
      <w:bookmarkStart w:name="_GoBack" w:id="0"/>
      <w:bookmarkEnd w:id="0"/>
    </w:p>
    <w:p w:rsidRPr="00A9319E" w:rsidR="00591FF5" w:rsidP="00A9319E" w:rsidRDefault="00591FF5">
      <w:pPr>
        <w:jc w:val="center"/>
        <w:rPr>
          <w:lang w:val="fr-FR"/>
        </w:rPr>
      </w:pPr>
    </w:p>
    <w:p w:rsidRPr="00A9319E" w:rsidR="00591FF5" w:rsidP="00A9319E" w:rsidRDefault="00591FF5">
      <w:pPr>
        <w:jc w:val="center"/>
        <w:rPr>
          <w:lang w:val="fr-FR"/>
        </w:rPr>
      </w:pPr>
    </w:p>
    <w:p w:rsidRPr="00A9319E" w:rsidR="002D2C99" w:rsidP="00A9319E" w:rsidRDefault="00A35C9D">
      <w:pPr>
        <w:tabs>
          <w:tab w:val="left" w:pos="5529"/>
        </w:tabs>
        <w:jc w:val="center"/>
        <w:rPr>
          <w:lang w:val="fr-FR"/>
        </w:rPr>
      </w:pPr>
      <w:r w:rsidRPr="00A9319E">
        <w:rPr>
          <w:lang w:val="fr-FR"/>
        </w:rPr>
        <w:t>DEUXIÈME SECTION</w:t>
      </w:r>
    </w:p>
    <w:p w:rsidRPr="00A9319E" w:rsidR="002D2C99" w:rsidP="00A9319E" w:rsidRDefault="002D2C99">
      <w:pPr>
        <w:jc w:val="center"/>
        <w:rPr>
          <w:lang w:val="fr-FR"/>
        </w:rPr>
      </w:pPr>
    </w:p>
    <w:p w:rsidRPr="00A9319E" w:rsidR="004840F1" w:rsidP="00A9319E" w:rsidRDefault="004840F1">
      <w:pPr>
        <w:jc w:val="center"/>
        <w:rPr>
          <w:lang w:val="fr-FR"/>
        </w:rPr>
      </w:pPr>
    </w:p>
    <w:p w:rsidRPr="00A9319E" w:rsidR="00CA4473" w:rsidP="00A9319E" w:rsidRDefault="00CA4473">
      <w:pPr>
        <w:jc w:val="center"/>
        <w:rPr>
          <w:lang w:val="fr-FR"/>
        </w:rPr>
      </w:pPr>
    </w:p>
    <w:p w:rsidRPr="00A9319E" w:rsidR="002D2C99" w:rsidP="00A9319E" w:rsidRDefault="002D2C99">
      <w:pPr>
        <w:jc w:val="center"/>
        <w:rPr>
          <w:lang w:val="fr-FR"/>
        </w:rPr>
      </w:pPr>
    </w:p>
    <w:p w:rsidRPr="00A9319E" w:rsidR="002D2C99" w:rsidP="00A9319E" w:rsidRDefault="002D2C99">
      <w:pPr>
        <w:jc w:val="center"/>
        <w:outlineLvl w:val="0"/>
        <w:rPr>
          <w:b/>
          <w:lang w:val="fr-FR"/>
        </w:rPr>
      </w:pPr>
      <w:r w:rsidRPr="00A9319E">
        <w:rPr>
          <w:b/>
          <w:lang w:val="fr-FR"/>
        </w:rPr>
        <w:t xml:space="preserve">AFFAIRE </w:t>
      </w:r>
      <w:r w:rsidRPr="00A9319E" w:rsidR="00A35C9D">
        <w:rPr>
          <w:b/>
          <w:lang w:val="fr-FR"/>
        </w:rPr>
        <w:t>Y</w:t>
      </w:r>
      <w:r w:rsidRPr="00A9319E" w:rsidR="003A0481">
        <w:rPr>
          <w:b/>
          <w:lang w:val="tr-TR"/>
        </w:rPr>
        <w:t>I</w:t>
      </w:r>
      <w:r w:rsidRPr="00A9319E" w:rsidR="00A35C9D">
        <w:rPr>
          <w:b/>
          <w:lang w:val="fr-FR"/>
        </w:rPr>
        <w:t>LMAZ c. TURQUIE</w:t>
      </w:r>
    </w:p>
    <w:p w:rsidRPr="00A9319E" w:rsidR="002D2C99" w:rsidP="00A9319E" w:rsidRDefault="002D2C99">
      <w:pPr>
        <w:jc w:val="center"/>
        <w:rPr>
          <w:lang w:val="fr-FR"/>
        </w:rPr>
      </w:pPr>
    </w:p>
    <w:p w:rsidRPr="00A9319E" w:rsidR="002D2C99" w:rsidP="00A9319E" w:rsidRDefault="002D2C99">
      <w:pPr>
        <w:jc w:val="center"/>
        <w:rPr>
          <w:i/>
          <w:lang w:val="fr-FR"/>
        </w:rPr>
      </w:pPr>
      <w:r w:rsidRPr="00A9319E">
        <w:rPr>
          <w:i/>
          <w:lang w:val="fr-FR"/>
        </w:rPr>
        <w:t>(</w:t>
      </w:r>
      <w:r w:rsidRPr="00A9319E" w:rsidR="00A35C9D">
        <w:rPr>
          <w:i/>
          <w:lang w:val="fr-FR"/>
        </w:rPr>
        <w:t>Requête n</w:t>
      </w:r>
      <w:r w:rsidRPr="00A9319E" w:rsidR="00A35C9D">
        <w:rPr>
          <w:i/>
          <w:vertAlign w:val="superscript"/>
          <w:lang w:val="fr-FR"/>
        </w:rPr>
        <w:t>o</w:t>
      </w:r>
      <w:r w:rsidRPr="00A9319E" w:rsidR="00956E5B">
        <w:rPr>
          <w:i/>
          <w:lang w:val="fr-FR"/>
        </w:rPr>
        <w:t xml:space="preserve"> </w:t>
      </w:r>
      <w:r w:rsidRPr="00A9319E" w:rsidR="00A35C9D">
        <w:rPr>
          <w:i/>
          <w:lang w:val="fr-FR"/>
        </w:rPr>
        <w:t>36607/06</w:t>
      </w:r>
      <w:r w:rsidRPr="00A9319E">
        <w:rPr>
          <w:i/>
          <w:lang w:val="fr-FR"/>
        </w:rPr>
        <w:t>)</w:t>
      </w:r>
    </w:p>
    <w:p w:rsidRPr="00A9319E" w:rsidR="002D2C99" w:rsidP="00A9319E" w:rsidRDefault="002D2C99">
      <w:pPr>
        <w:jc w:val="center"/>
        <w:rPr>
          <w:lang w:val="fr-FR"/>
        </w:rPr>
      </w:pPr>
    </w:p>
    <w:p w:rsidRPr="00A9319E" w:rsidR="002D2C99" w:rsidP="00A9319E" w:rsidRDefault="002D2C99">
      <w:pPr>
        <w:jc w:val="center"/>
        <w:rPr>
          <w:lang w:val="fr-FR"/>
        </w:rPr>
      </w:pPr>
    </w:p>
    <w:p w:rsidRPr="00A9319E" w:rsidR="002D2C99" w:rsidP="00A9319E" w:rsidRDefault="002D2C99">
      <w:pPr>
        <w:jc w:val="center"/>
        <w:rPr>
          <w:lang w:val="fr-FR"/>
        </w:rPr>
      </w:pPr>
    </w:p>
    <w:p w:rsidRPr="00A9319E" w:rsidR="002D2C99" w:rsidP="00A9319E" w:rsidRDefault="002D2C99">
      <w:pPr>
        <w:jc w:val="center"/>
        <w:rPr>
          <w:lang w:val="fr-FR"/>
        </w:rPr>
      </w:pPr>
    </w:p>
    <w:p w:rsidRPr="00A9319E" w:rsidR="002D2C99" w:rsidP="00A9319E" w:rsidRDefault="002D2C99">
      <w:pPr>
        <w:jc w:val="center"/>
        <w:rPr>
          <w:lang w:val="fr-FR"/>
        </w:rPr>
      </w:pPr>
    </w:p>
    <w:p w:rsidRPr="00A9319E" w:rsidR="002D2C99" w:rsidP="00A9319E" w:rsidRDefault="002D2C99">
      <w:pPr>
        <w:jc w:val="center"/>
        <w:rPr>
          <w:lang w:val="fr-FR"/>
        </w:rPr>
      </w:pPr>
    </w:p>
    <w:p w:rsidRPr="00A9319E" w:rsidR="002D2C99" w:rsidP="00A9319E" w:rsidRDefault="002D2C99">
      <w:pPr>
        <w:jc w:val="center"/>
        <w:rPr>
          <w:lang w:val="fr-FR"/>
        </w:rPr>
      </w:pPr>
    </w:p>
    <w:p w:rsidRPr="00A9319E" w:rsidR="002D2C99" w:rsidP="00A9319E" w:rsidRDefault="002D2C99">
      <w:pPr>
        <w:jc w:val="center"/>
        <w:outlineLvl w:val="0"/>
        <w:rPr>
          <w:lang w:val="fr-FR"/>
        </w:rPr>
      </w:pPr>
      <w:r w:rsidRPr="00A9319E">
        <w:rPr>
          <w:lang w:val="fr-FR"/>
        </w:rPr>
        <w:t>ARRÊT</w:t>
      </w:r>
    </w:p>
    <w:p w:rsidRPr="00A9319E" w:rsidR="00591FF5" w:rsidP="00A9319E" w:rsidRDefault="00591FF5">
      <w:pPr>
        <w:jc w:val="center"/>
        <w:rPr>
          <w:szCs w:val="24"/>
          <w:lang w:val="fr-FR"/>
        </w:rPr>
      </w:pPr>
    </w:p>
    <w:p w:rsidRPr="00A9319E" w:rsidR="00591FF5" w:rsidP="00A9319E" w:rsidRDefault="00591FF5">
      <w:pPr>
        <w:jc w:val="center"/>
        <w:rPr>
          <w:szCs w:val="24"/>
          <w:lang w:val="fr-FR"/>
        </w:rPr>
      </w:pPr>
    </w:p>
    <w:p w:rsidRPr="00A9319E" w:rsidR="00591FF5" w:rsidP="00A9319E" w:rsidRDefault="00591FF5">
      <w:pPr>
        <w:jc w:val="center"/>
        <w:rPr>
          <w:szCs w:val="24"/>
          <w:lang w:val="fr-FR"/>
        </w:rPr>
      </w:pPr>
    </w:p>
    <w:p w:rsidRPr="00A9319E" w:rsidR="00591FF5" w:rsidP="00A9319E" w:rsidRDefault="00591FF5">
      <w:pPr>
        <w:jc w:val="center"/>
        <w:rPr>
          <w:szCs w:val="24"/>
          <w:lang w:val="fr-FR"/>
        </w:rPr>
      </w:pPr>
    </w:p>
    <w:p w:rsidRPr="00A9319E" w:rsidR="00591FF5" w:rsidP="00A9319E" w:rsidRDefault="00591FF5">
      <w:pPr>
        <w:jc w:val="center"/>
        <w:rPr>
          <w:szCs w:val="24"/>
          <w:lang w:val="fr-FR"/>
        </w:rPr>
      </w:pPr>
    </w:p>
    <w:p w:rsidRPr="00A9319E" w:rsidR="00591FF5" w:rsidP="00A9319E" w:rsidRDefault="00591FF5">
      <w:pPr>
        <w:jc w:val="center"/>
        <w:rPr>
          <w:szCs w:val="24"/>
          <w:lang w:val="fr-FR"/>
        </w:rPr>
      </w:pPr>
    </w:p>
    <w:p w:rsidRPr="00A9319E" w:rsidR="002D2C99" w:rsidP="00A9319E" w:rsidRDefault="002D2C99">
      <w:pPr>
        <w:jc w:val="center"/>
        <w:outlineLvl w:val="0"/>
        <w:rPr>
          <w:lang w:val="fr-FR"/>
        </w:rPr>
      </w:pPr>
      <w:r w:rsidRPr="00A9319E">
        <w:rPr>
          <w:lang w:val="fr-FR"/>
        </w:rPr>
        <w:t>STRASBOURG</w:t>
      </w:r>
    </w:p>
    <w:p w:rsidRPr="00A9319E" w:rsidR="002D2C99" w:rsidP="00A9319E" w:rsidRDefault="002D2C99">
      <w:pPr>
        <w:jc w:val="center"/>
        <w:rPr>
          <w:lang w:val="fr-FR"/>
        </w:rPr>
      </w:pPr>
    </w:p>
    <w:p w:rsidRPr="00A9319E" w:rsidR="00591FF5" w:rsidP="00A9319E" w:rsidRDefault="00591FF5">
      <w:pPr>
        <w:jc w:val="center"/>
        <w:rPr>
          <w:lang w:val="fr-FR"/>
        </w:rPr>
      </w:pPr>
    </w:p>
    <w:p w:rsidRPr="00A9319E" w:rsidR="00EA2502" w:rsidP="00A9319E" w:rsidRDefault="00A35C9D">
      <w:pPr>
        <w:jc w:val="center"/>
        <w:rPr>
          <w:lang w:val="fr-FR"/>
        </w:rPr>
      </w:pPr>
      <w:r w:rsidRPr="00A9319E">
        <w:rPr>
          <w:szCs w:val="24"/>
          <w:lang w:val="fr-FR"/>
        </w:rPr>
        <w:t>4 juin 2019</w:t>
      </w:r>
    </w:p>
    <w:p w:rsidRPr="00A9319E" w:rsidR="002D2C99" w:rsidP="00A9319E" w:rsidRDefault="002D2C99">
      <w:pPr>
        <w:jc w:val="center"/>
        <w:rPr>
          <w:lang w:val="fr-FR"/>
        </w:rPr>
      </w:pPr>
    </w:p>
    <w:p w:rsidRPr="00A9319E" w:rsidR="00F667F8" w:rsidP="00A9319E" w:rsidRDefault="00F667F8">
      <w:pPr>
        <w:jc w:val="center"/>
        <w:rPr>
          <w:lang w:val="fr-FR"/>
        </w:rPr>
      </w:pPr>
    </w:p>
    <w:p w:rsidRPr="00A9319E" w:rsidR="00A9319E" w:rsidP="00A9319E" w:rsidRDefault="00A9319E">
      <w:pPr>
        <w:pStyle w:val="jucase0"/>
        <w:ind w:firstLine="0"/>
        <w:jc w:val="center"/>
        <w:rPr>
          <w:color w:val="FF0000"/>
          <w:sz w:val="28"/>
          <w:szCs w:val="28"/>
          <w:u w:val="single"/>
          <w:lang w:val="fr-FR"/>
        </w:rPr>
      </w:pPr>
      <w:r w:rsidRPr="00A9319E">
        <w:rPr>
          <w:color w:val="FF0000"/>
          <w:sz w:val="28"/>
          <w:szCs w:val="28"/>
          <w:u w:val="single"/>
          <w:lang w:val="fr-FR"/>
        </w:rPr>
        <w:t>DÉFINITIF</w:t>
      </w:r>
    </w:p>
    <w:p w:rsidRPr="00A9319E" w:rsidR="00A9319E" w:rsidP="00A9319E" w:rsidRDefault="00A9319E">
      <w:pPr>
        <w:pStyle w:val="jupara"/>
        <w:tabs>
          <w:tab w:val="left" w:pos="3450"/>
        </w:tabs>
        <w:ind w:firstLine="0"/>
        <w:jc w:val="center"/>
        <w:rPr>
          <w:color w:val="FF0000"/>
          <w:sz w:val="28"/>
          <w:szCs w:val="28"/>
          <w:lang w:val="fr-FR"/>
        </w:rPr>
      </w:pPr>
    </w:p>
    <w:p w:rsidRPr="00A9319E" w:rsidR="00A9319E" w:rsidP="00A9319E" w:rsidRDefault="00A9319E">
      <w:pPr>
        <w:pStyle w:val="jupara"/>
        <w:ind w:firstLine="0"/>
        <w:jc w:val="center"/>
        <w:rPr>
          <w:color w:val="FF0000"/>
          <w:sz w:val="28"/>
          <w:szCs w:val="28"/>
          <w:lang w:val="fr-FR"/>
        </w:rPr>
      </w:pPr>
      <w:r w:rsidRPr="00A9319E">
        <w:rPr>
          <w:color w:val="FF0000"/>
          <w:sz w:val="28"/>
          <w:szCs w:val="28"/>
          <w:lang w:val="fr-FR"/>
        </w:rPr>
        <w:t>04/09/2019</w:t>
      </w:r>
    </w:p>
    <w:p w:rsidRPr="00A9319E" w:rsidR="00A9319E" w:rsidP="00A9319E" w:rsidRDefault="00A9319E">
      <w:pPr>
        <w:pStyle w:val="jupara"/>
        <w:ind w:firstLine="0"/>
        <w:jc w:val="center"/>
        <w:rPr>
          <w:u w:val="single"/>
          <w:lang w:val="fr-FR"/>
        </w:rPr>
      </w:pPr>
    </w:p>
    <w:p w:rsidRPr="00A9319E" w:rsidR="002D2C99" w:rsidP="00897ADA" w:rsidRDefault="00A9319E">
      <w:pPr>
        <w:jc w:val="left"/>
        <w:rPr>
          <w:i/>
          <w:lang w:val="fr-FR"/>
        </w:rPr>
      </w:pPr>
      <w:r w:rsidRPr="00A9319E">
        <w:rPr>
          <w:i/>
          <w:iCs/>
          <w:sz w:val="22"/>
          <w:lang w:val="fr-FR"/>
        </w:rPr>
        <w:t>Cet arrêt est devenu définitif en vertu de l’article 44 § 2 de la Convention. Il peut subir des retouches de forme.</w:t>
      </w:r>
    </w:p>
    <w:p w:rsidRPr="00A9319E" w:rsidR="002D2C99" w:rsidP="00A9319E" w:rsidRDefault="002D2C99">
      <w:pPr>
        <w:rPr>
          <w:lang w:val="fr-FR"/>
        </w:rPr>
        <w:sectPr w:rsidRPr="00A9319E"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A9319E" w:rsidR="002D2C99" w:rsidP="00A9319E" w:rsidRDefault="002D2C99">
      <w:pPr>
        <w:pStyle w:val="JuCase"/>
        <w:rPr>
          <w:lang w:val="fr-FR"/>
        </w:rPr>
      </w:pPr>
      <w:r w:rsidRPr="00A9319E">
        <w:rPr>
          <w:lang w:val="fr-FR"/>
        </w:rPr>
        <w:t>En l</w:t>
      </w:r>
      <w:r w:rsidRPr="00A9319E" w:rsidR="00A9319E">
        <w:rPr>
          <w:lang w:val="fr-FR"/>
        </w:rPr>
        <w:t>’</w:t>
      </w:r>
      <w:r w:rsidRPr="00A9319E">
        <w:rPr>
          <w:lang w:val="fr-FR"/>
        </w:rPr>
        <w:t xml:space="preserve">affaire </w:t>
      </w:r>
      <w:r w:rsidRPr="00A9319E" w:rsidR="00A35C9D">
        <w:rPr>
          <w:lang w:val="fr-FR"/>
        </w:rPr>
        <w:t>Yılmaz c. Turquie</w:t>
      </w:r>
      <w:r w:rsidRPr="00A9319E">
        <w:rPr>
          <w:lang w:val="fr-FR"/>
        </w:rPr>
        <w:t>,</w:t>
      </w:r>
    </w:p>
    <w:p w:rsidRPr="00A9319E" w:rsidR="00777C71" w:rsidP="00A9319E" w:rsidRDefault="00777C71">
      <w:pPr>
        <w:pStyle w:val="ECHRPara"/>
        <w:rPr>
          <w:lang w:val="fr-FR"/>
        </w:rPr>
      </w:pPr>
      <w:r w:rsidRPr="00A9319E">
        <w:rPr>
          <w:lang w:val="fr-FR"/>
        </w:rPr>
        <w:t>La Cour européenne des droits de l</w:t>
      </w:r>
      <w:r w:rsidRPr="00A9319E" w:rsidR="00A9319E">
        <w:rPr>
          <w:lang w:val="fr-FR"/>
        </w:rPr>
        <w:t>’</w:t>
      </w:r>
      <w:r w:rsidRPr="00A9319E">
        <w:rPr>
          <w:lang w:val="fr-FR"/>
        </w:rPr>
        <w:t>homme (</w:t>
      </w:r>
      <w:r w:rsidRPr="00A9319E" w:rsidR="00A35C9D">
        <w:rPr>
          <w:lang w:val="fr-FR"/>
        </w:rPr>
        <w:t>deuxième section</w:t>
      </w:r>
      <w:r w:rsidRPr="00A9319E">
        <w:rPr>
          <w:lang w:val="fr-FR"/>
        </w:rPr>
        <w:t xml:space="preserve">), siégeant en </w:t>
      </w:r>
      <w:r w:rsidRPr="00A9319E" w:rsidR="00A35C9D">
        <w:rPr>
          <w:color w:val="000000"/>
          <w:lang w:val="fr-FR"/>
        </w:rPr>
        <w:t>une</w:t>
      </w:r>
      <w:r w:rsidRPr="00A9319E" w:rsidR="00A35C9D">
        <w:rPr>
          <w:lang w:val="fr-FR"/>
        </w:rPr>
        <w:t xml:space="preserve"> Chambre composée</w:t>
      </w:r>
      <w:r w:rsidRPr="00A9319E">
        <w:rPr>
          <w:lang w:val="fr-FR"/>
        </w:rPr>
        <w:t xml:space="preserve"> de :</w:t>
      </w:r>
    </w:p>
    <w:p w:rsidRPr="00A9319E" w:rsidR="00777C71" w:rsidP="00A9319E" w:rsidRDefault="00591FF5">
      <w:pPr>
        <w:pStyle w:val="ECHRDecisionBody"/>
        <w:rPr>
          <w:lang w:val="fr-FR"/>
        </w:rPr>
      </w:pPr>
      <w:r w:rsidRPr="00A9319E">
        <w:rPr>
          <w:lang w:val="fr-FR"/>
        </w:rPr>
        <w:tab/>
        <w:t>Robert Spano,</w:t>
      </w:r>
      <w:r w:rsidRPr="00A9319E">
        <w:rPr>
          <w:i/>
          <w:lang w:val="fr-FR"/>
        </w:rPr>
        <w:t xml:space="preserve"> président,</w:t>
      </w:r>
      <w:r w:rsidRPr="00A9319E">
        <w:rPr>
          <w:i/>
          <w:lang w:val="fr-FR"/>
        </w:rPr>
        <w:br/>
      </w:r>
      <w:r w:rsidRPr="00A9319E">
        <w:rPr>
          <w:lang w:val="fr-FR"/>
        </w:rPr>
        <w:tab/>
      </w:r>
      <w:proofErr w:type="spellStart"/>
      <w:r w:rsidRPr="00A9319E">
        <w:rPr>
          <w:lang w:val="fr-FR"/>
        </w:rPr>
        <w:t>Işıl</w:t>
      </w:r>
      <w:proofErr w:type="spellEnd"/>
      <w:r w:rsidRPr="00A9319E">
        <w:rPr>
          <w:lang w:val="fr-FR"/>
        </w:rPr>
        <w:t xml:space="preserve"> </w:t>
      </w:r>
      <w:proofErr w:type="spellStart"/>
      <w:r w:rsidRPr="00A9319E">
        <w:rPr>
          <w:lang w:val="fr-FR"/>
        </w:rPr>
        <w:t>Karakaş</w:t>
      </w:r>
      <w:proofErr w:type="spellEnd"/>
      <w:r w:rsidRPr="00A9319E">
        <w:rPr>
          <w:lang w:val="fr-FR"/>
        </w:rPr>
        <w:t>,</w:t>
      </w:r>
      <w:r w:rsidRPr="00A9319E">
        <w:rPr>
          <w:i/>
          <w:lang w:val="fr-FR"/>
        </w:rPr>
        <w:br/>
      </w:r>
      <w:r w:rsidRPr="00A9319E">
        <w:rPr>
          <w:lang w:val="fr-FR"/>
        </w:rPr>
        <w:tab/>
        <w:t>Julia Laffranque,</w:t>
      </w:r>
      <w:r w:rsidRPr="00A9319E">
        <w:rPr>
          <w:i/>
          <w:lang w:val="fr-FR"/>
        </w:rPr>
        <w:br/>
      </w:r>
      <w:r w:rsidRPr="00A9319E">
        <w:rPr>
          <w:lang w:val="fr-FR"/>
        </w:rPr>
        <w:tab/>
        <w:t xml:space="preserve">Egidijus </w:t>
      </w:r>
      <w:proofErr w:type="spellStart"/>
      <w:r w:rsidRPr="00A9319E">
        <w:rPr>
          <w:lang w:val="fr-FR"/>
        </w:rPr>
        <w:t>Kūris</w:t>
      </w:r>
      <w:proofErr w:type="spellEnd"/>
      <w:r w:rsidRPr="00A9319E">
        <w:rPr>
          <w:lang w:val="fr-FR"/>
        </w:rPr>
        <w:t>,</w:t>
      </w:r>
      <w:r w:rsidRPr="00A9319E">
        <w:rPr>
          <w:i/>
          <w:lang w:val="fr-FR"/>
        </w:rPr>
        <w:br/>
      </w:r>
      <w:r w:rsidRPr="00A9319E">
        <w:rPr>
          <w:lang w:val="fr-FR"/>
        </w:rPr>
        <w:tab/>
        <w:t xml:space="preserve">Marko </w:t>
      </w:r>
      <w:proofErr w:type="spellStart"/>
      <w:r w:rsidRPr="00A9319E">
        <w:rPr>
          <w:lang w:val="fr-FR"/>
        </w:rPr>
        <w:t>Bošnjak</w:t>
      </w:r>
      <w:proofErr w:type="spellEnd"/>
      <w:r w:rsidRPr="00A9319E">
        <w:rPr>
          <w:lang w:val="fr-FR"/>
        </w:rPr>
        <w:t>,</w:t>
      </w:r>
      <w:r w:rsidRPr="00A9319E">
        <w:rPr>
          <w:i/>
          <w:lang w:val="fr-FR"/>
        </w:rPr>
        <w:br/>
      </w:r>
      <w:r w:rsidRPr="00A9319E">
        <w:rPr>
          <w:lang w:val="fr-FR"/>
        </w:rPr>
        <w:tab/>
      </w:r>
      <w:proofErr w:type="spellStart"/>
      <w:r w:rsidRPr="00A9319E">
        <w:rPr>
          <w:lang w:val="fr-FR"/>
        </w:rPr>
        <w:t>Arnfinn</w:t>
      </w:r>
      <w:proofErr w:type="spellEnd"/>
      <w:r w:rsidRPr="00A9319E">
        <w:rPr>
          <w:lang w:val="fr-FR"/>
        </w:rPr>
        <w:t xml:space="preserve"> </w:t>
      </w:r>
      <w:proofErr w:type="spellStart"/>
      <w:r w:rsidRPr="00A9319E">
        <w:rPr>
          <w:lang w:val="fr-FR"/>
        </w:rPr>
        <w:t>Bårdsen</w:t>
      </w:r>
      <w:proofErr w:type="spellEnd"/>
      <w:r w:rsidRPr="00A9319E">
        <w:rPr>
          <w:lang w:val="fr-FR"/>
        </w:rPr>
        <w:t>,</w:t>
      </w:r>
      <w:r w:rsidRPr="00A9319E">
        <w:rPr>
          <w:i/>
          <w:lang w:val="fr-FR"/>
        </w:rPr>
        <w:br/>
      </w:r>
      <w:r w:rsidRPr="00A9319E">
        <w:rPr>
          <w:lang w:val="fr-FR"/>
        </w:rPr>
        <w:tab/>
      </w:r>
      <w:proofErr w:type="spellStart"/>
      <w:r w:rsidRPr="00A9319E">
        <w:rPr>
          <w:lang w:val="fr-FR"/>
        </w:rPr>
        <w:t>Darian</w:t>
      </w:r>
      <w:proofErr w:type="spellEnd"/>
      <w:r w:rsidRPr="00A9319E">
        <w:rPr>
          <w:lang w:val="fr-FR"/>
        </w:rPr>
        <w:t xml:space="preserve"> </w:t>
      </w:r>
      <w:proofErr w:type="spellStart"/>
      <w:r w:rsidRPr="00A9319E">
        <w:rPr>
          <w:lang w:val="fr-FR"/>
        </w:rPr>
        <w:t>Pavli</w:t>
      </w:r>
      <w:proofErr w:type="spellEnd"/>
      <w:r w:rsidRPr="00A9319E">
        <w:rPr>
          <w:lang w:val="fr-FR"/>
        </w:rPr>
        <w:t>,</w:t>
      </w:r>
      <w:r w:rsidRPr="00A9319E">
        <w:rPr>
          <w:i/>
          <w:lang w:val="fr-FR"/>
        </w:rPr>
        <w:t xml:space="preserve"> juges</w:t>
      </w:r>
      <w:proofErr w:type="gramStart"/>
      <w:r w:rsidRPr="00A9319E">
        <w:rPr>
          <w:i/>
          <w:lang w:val="fr-FR"/>
        </w:rPr>
        <w:t>,</w:t>
      </w:r>
      <w:proofErr w:type="gramEnd"/>
      <w:r w:rsidRPr="00A9319E">
        <w:rPr>
          <w:i/>
          <w:lang w:val="fr-FR"/>
        </w:rPr>
        <w:br/>
      </w:r>
      <w:r w:rsidRPr="00A9319E" w:rsidR="00777C71">
        <w:rPr>
          <w:lang w:val="fr-FR"/>
        </w:rPr>
        <w:t xml:space="preserve">et de </w:t>
      </w:r>
      <w:r w:rsidRPr="00A9319E" w:rsidR="00A35C9D">
        <w:rPr>
          <w:lang w:val="fr-FR"/>
        </w:rPr>
        <w:t>Stanley Naismith</w:t>
      </w:r>
      <w:r w:rsidRPr="00A9319E" w:rsidR="00777C71">
        <w:rPr>
          <w:lang w:val="fr-FR"/>
        </w:rPr>
        <w:t xml:space="preserve">, </w:t>
      </w:r>
      <w:r w:rsidRPr="00A9319E" w:rsidR="00A35C9D">
        <w:rPr>
          <w:i/>
          <w:lang w:val="fr-FR"/>
        </w:rPr>
        <w:t>greffier</w:t>
      </w:r>
      <w:r w:rsidRPr="00A9319E" w:rsidR="00A35C9D">
        <w:rPr>
          <w:iCs/>
          <w:lang w:val="fr-FR"/>
        </w:rPr>
        <w:t xml:space="preserve"> </w:t>
      </w:r>
      <w:r w:rsidRPr="00A9319E" w:rsidR="00A35C9D">
        <w:rPr>
          <w:i/>
          <w:iCs/>
          <w:lang w:val="fr-FR"/>
        </w:rPr>
        <w:t>d</w:t>
      </w:r>
      <w:r w:rsidRPr="00A9319E" w:rsidR="00A35C9D">
        <w:rPr>
          <w:i/>
          <w:lang w:val="fr-FR"/>
        </w:rPr>
        <w:t>e section</w:t>
      </w:r>
      <w:r w:rsidRPr="00A9319E" w:rsidR="00777C71">
        <w:rPr>
          <w:lang w:val="fr-FR"/>
        </w:rPr>
        <w:t>,</w:t>
      </w:r>
    </w:p>
    <w:p w:rsidRPr="00A9319E" w:rsidR="00777C71" w:rsidP="00A9319E" w:rsidRDefault="00777C71">
      <w:pPr>
        <w:pStyle w:val="ECHRPara"/>
        <w:rPr>
          <w:lang w:val="fr-FR"/>
        </w:rPr>
      </w:pPr>
      <w:r w:rsidRPr="00A9319E">
        <w:rPr>
          <w:lang w:val="fr-FR"/>
        </w:rPr>
        <w:t xml:space="preserve">Après en avoir délibéré en chambre du conseil le </w:t>
      </w:r>
      <w:r w:rsidRPr="00A9319E" w:rsidR="00A35C9D">
        <w:rPr>
          <w:szCs w:val="24"/>
          <w:lang w:val="fr-FR"/>
        </w:rPr>
        <w:t>14 mai 2019</w:t>
      </w:r>
      <w:r w:rsidRPr="00A9319E">
        <w:rPr>
          <w:lang w:val="fr-FR"/>
        </w:rPr>
        <w:t>,</w:t>
      </w:r>
    </w:p>
    <w:p w:rsidRPr="00A9319E" w:rsidR="00777C71" w:rsidP="00A9319E" w:rsidRDefault="00777C71">
      <w:pPr>
        <w:pStyle w:val="ECHRPara"/>
        <w:rPr>
          <w:lang w:val="fr-FR"/>
        </w:rPr>
      </w:pPr>
      <w:r w:rsidRPr="00A9319E">
        <w:rPr>
          <w:lang w:val="fr-FR"/>
        </w:rPr>
        <w:t>Rend l</w:t>
      </w:r>
      <w:r w:rsidRPr="00A9319E" w:rsidR="00A9319E">
        <w:rPr>
          <w:lang w:val="fr-FR"/>
        </w:rPr>
        <w:t>’</w:t>
      </w:r>
      <w:r w:rsidRPr="00A9319E">
        <w:rPr>
          <w:lang w:val="fr-FR"/>
        </w:rPr>
        <w:t>arrêt que voici, adopté à cette date :</w:t>
      </w:r>
    </w:p>
    <w:p w:rsidRPr="00A9319E" w:rsidR="00A35C9D" w:rsidP="00A9319E" w:rsidRDefault="00A35C9D">
      <w:pPr>
        <w:pStyle w:val="ECHRTitle1"/>
        <w:rPr>
          <w:lang w:val="fr-FR"/>
        </w:rPr>
      </w:pPr>
      <w:r w:rsidRPr="00A9319E">
        <w:rPr>
          <w:lang w:val="fr-FR"/>
        </w:rPr>
        <w:t>PROCÉDURE</w:t>
      </w:r>
    </w:p>
    <w:p w:rsidRPr="00A9319E" w:rsidR="00A35C9D" w:rsidP="00A9319E" w:rsidRDefault="00A35C9D">
      <w:pPr>
        <w:pStyle w:val="ECHRPara"/>
        <w:rPr>
          <w:lang w:val="fr-FR"/>
        </w:rPr>
      </w:pPr>
      <w:r w:rsidRPr="00A9319E">
        <w:rPr>
          <w:lang w:val="fr-FR"/>
        </w:rPr>
        <w:t>1.  À l</w:t>
      </w:r>
      <w:r w:rsidRPr="00A9319E" w:rsidR="00A9319E">
        <w:rPr>
          <w:lang w:val="fr-FR"/>
        </w:rPr>
        <w:t>’</w:t>
      </w:r>
      <w:r w:rsidRPr="00A9319E">
        <w:rPr>
          <w:lang w:val="fr-FR"/>
        </w:rPr>
        <w:t>origine de l</w:t>
      </w:r>
      <w:r w:rsidRPr="00A9319E" w:rsidR="00A9319E">
        <w:rPr>
          <w:lang w:val="fr-FR"/>
        </w:rPr>
        <w:t>’</w:t>
      </w:r>
      <w:r w:rsidRPr="00A9319E">
        <w:rPr>
          <w:lang w:val="fr-FR"/>
        </w:rPr>
        <w:t>affaire se trouve une requête (n</w:t>
      </w:r>
      <w:r w:rsidRPr="00A9319E">
        <w:rPr>
          <w:vertAlign w:val="superscript"/>
          <w:lang w:val="fr-FR"/>
        </w:rPr>
        <w:t>o</w:t>
      </w:r>
      <w:r w:rsidRPr="00A9319E">
        <w:rPr>
          <w:lang w:val="fr-FR"/>
        </w:rPr>
        <w:t xml:space="preserve"> 36607/06) dirigée contre la République de Turquie et dont un ressortissant de cet État, M. Abdullah Yılmaz (« le requérant »), a saisi la Cour le 3 août 2006 en vertu de l</w:t>
      </w:r>
      <w:r w:rsidRPr="00A9319E" w:rsidR="00A9319E">
        <w:rPr>
          <w:lang w:val="fr-FR"/>
        </w:rPr>
        <w:t>’</w:t>
      </w:r>
      <w:r w:rsidRPr="00A9319E">
        <w:rPr>
          <w:lang w:val="fr-FR"/>
        </w:rPr>
        <w:t>article 34 de la Convention de sauvegarde des droits de l</w:t>
      </w:r>
      <w:r w:rsidRPr="00A9319E" w:rsidR="00A9319E">
        <w:rPr>
          <w:lang w:val="fr-FR"/>
        </w:rPr>
        <w:t>’</w:t>
      </w:r>
      <w:r w:rsidRPr="00A9319E">
        <w:rPr>
          <w:lang w:val="fr-FR"/>
        </w:rPr>
        <w:t>homme et des libertés fondamentales (« la Convention »).</w:t>
      </w:r>
    </w:p>
    <w:p w:rsidRPr="00A9319E" w:rsidR="00A35C9D" w:rsidP="00A9319E" w:rsidRDefault="00A35C9D">
      <w:pPr>
        <w:pStyle w:val="ECHRPara"/>
        <w:rPr>
          <w:lang w:val="fr-FR"/>
        </w:rPr>
      </w:pPr>
      <w:r w:rsidRPr="00A9319E">
        <w:rPr>
          <w:lang w:val="fr-FR"/>
        </w:rPr>
        <w:t>2.  Le requérant a été représenté par M</w:t>
      </w:r>
      <w:r w:rsidRPr="00A9319E">
        <w:rPr>
          <w:vertAlign w:val="superscript"/>
          <w:lang w:val="fr-FR"/>
        </w:rPr>
        <w:t>e</w:t>
      </w:r>
      <w:r w:rsidRPr="00A9319E">
        <w:rPr>
          <w:lang w:val="fr-FR"/>
        </w:rPr>
        <w:t> V. Ata, avocat à Eskişehir. Le gouvernement turc (« le Gouvernement ») a été représenté par son agent.</w:t>
      </w:r>
    </w:p>
    <w:p w:rsidRPr="00A9319E" w:rsidR="00A35C9D" w:rsidP="00A9319E" w:rsidRDefault="00A35C9D">
      <w:pPr>
        <w:pStyle w:val="ECHRPara"/>
        <w:rPr>
          <w:lang w:val="fr-FR"/>
        </w:rPr>
      </w:pPr>
      <w:r w:rsidRPr="00A9319E">
        <w:rPr>
          <w:lang w:val="fr-FR"/>
        </w:rPr>
        <w:t>3.  Le 19 janvier 2010, les griefs concernant les articles 6 § 1 (durée de la procédure, défaut d</w:t>
      </w:r>
      <w:r w:rsidRPr="00A9319E" w:rsidR="00A9319E">
        <w:rPr>
          <w:lang w:val="fr-FR"/>
        </w:rPr>
        <w:t>’</w:t>
      </w:r>
      <w:r w:rsidRPr="00A9319E">
        <w:rPr>
          <w:lang w:val="fr-FR"/>
        </w:rPr>
        <w:t>équité de la procédure pour manquement aux principes de l</w:t>
      </w:r>
      <w:r w:rsidRPr="00A9319E" w:rsidR="00A9319E">
        <w:rPr>
          <w:lang w:val="fr-FR"/>
        </w:rPr>
        <w:t>’</w:t>
      </w:r>
      <w:r w:rsidRPr="00A9319E">
        <w:rPr>
          <w:lang w:val="fr-FR"/>
        </w:rPr>
        <w:t>égalité des armes et du contradictoire, et divergence de jurisprudence) et 8 de la Convention (droit au respect de la vie privée) ont été communiqués au Gouvernement et la requête a été déclarée irrecevable pour le surplus.</w:t>
      </w:r>
    </w:p>
    <w:p w:rsidRPr="00A9319E" w:rsidR="00A35C9D" w:rsidP="00A9319E" w:rsidRDefault="00A35C9D">
      <w:pPr>
        <w:pStyle w:val="ECHRPara"/>
        <w:rPr>
          <w:szCs w:val="24"/>
          <w:lang w:val="fr-FR" w:eastAsia="en-GB"/>
        </w:rPr>
      </w:pPr>
      <w:r w:rsidRPr="00A9319E">
        <w:rPr>
          <w:lang w:val="fr-FR"/>
        </w:rPr>
        <w:t>4.  Ni le requérant ni le Gouvernement n</w:t>
      </w:r>
      <w:r w:rsidRPr="00A9319E" w:rsidR="00A9319E">
        <w:rPr>
          <w:lang w:val="fr-FR"/>
        </w:rPr>
        <w:t>’</w:t>
      </w:r>
      <w:r w:rsidRPr="00A9319E">
        <w:rPr>
          <w:lang w:val="fr-FR"/>
        </w:rPr>
        <w:t>ont déposé d</w:t>
      </w:r>
      <w:r w:rsidRPr="00A9319E" w:rsidR="00A9319E">
        <w:rPr>
          <w:lang w:val="fr-FR"/>
        </w:rPr>
        <w:t>’</w:t>
      </w:r>
      <w:r w:rsidRPr="00A9319E">
        <w:rPr>
          <w:lang w:val="fr-FR"/>
        </w:rPr>
        <w:t>observations sur le fond.</w:t>
      </w:r>
    </w:p>
    <w:p w:rsidRPr="00A9319E" w:rsidR="00A35C9D" w:rsidP="00A9319E" w:rsidRDefault="00A35C9D">
      <w:pPr>
        <w:pStyle w:val="ECHRTitle1"/>
        <w:tabs>
          <w:tab w:val="left" w:pos="5387"/>
        </w:tabs>
        <w:rPr>
          <w:lang w:val="fr-FR"/>
        </w:rPr>
      </w:pPr>
      <w:r w:rsidRPr="00A9319E">
        <w:rPr>
          <w:lang w:val="fr-FR"/>
        </w:rPr>
        <w:t>EN FAIT</w:t>
      </w:r>
    </w:p>
    <w:p w:rsidRPr="00A9319E" w:rsidR="00A35C9D" w:rsidP="00A9319E" w:rsidRDefault="00A35C9D">
      <w:pPr>
        <w:pStyle w:val="ECHRHeading1"/>
        <w:rPr>
          <w:lang w:val="fr-FR"/>
        </w:rPr>
      </w:pPr>
      <w:r w:rsidRPr="00A9319E">
        <w:rPr>
          <w:lang w:val="fr-FR"/>
        </w:rPr>
        <w:t>LES CIRCONSTANCES DE L</w:t>
      </w:r>
      <w:r w:rsidRPr="00A9319E" w:rsidR="00A9319E">
        <w:rPr>
          <w:lang w:val="fr-FR"/>
        </w:rPr>
        <w:t>’</w:t>
      </w:r>
      <w:r w:rsidRPr="00A9319E">
        <w:rPr>
          <w:lang w:val="fr-FR"/>
        </w:rPr>
        <w:t>ESPÈCE</w:t>
      </w:r>
    </w:p>
    <w:p w:rsidRPr="00A9319E" w:rsidR="00A35C9D" w:rsidP="00A9319E" w:rsidRDefault="00A35C9D">
      <w:pPr>
        <w:pStyle w:val="ECHRPara"/>
        <w:rPr>
          <w:lang w:val="fr-FR"/>
        </w:rPr>
      </w:pPr>
      <w:r w:rsidRPr="00A9319E">
        <w:rPr>
          <w:lang w:val="fr-FR"/>
        </w:rPr>
        <w:t>5.  Le requérant est né en 1965 et réside à Eskişehir.</w:t>
      </w:r>
    </w:p>
    <w:p w:rsidRPr="00A9319E" w:rsidR="00A35C9D" w:rsidP="00A9319E" w:rsidRDefault="00A35C9D">
      <w:pPr>
        <w:pStyle w:val="ECHRPara"/>
        <w:rPr>
          <w:lang w:val="fr-FR"/>
        </w:rPr>
      </w:pPr>
      <w:r w:rsidRPr="00A9319E">
        <w:rPr>
          <w:lang w:val="fr-FR"/>
        </w:rPr>
        <w:t>6.  À l</w:t>
      </w:r>
      <w:r w:rsidRPr="00A9319E" w:rsidR="00A9319E">
        <w:rPr>
          <w:lang w:val="fr-FR"/>
        </w:rPr>
        <w:t>’</w:t>
      </w:r>
      <w:r w:rsidRPr="00A9319E">
        <w:rPr>
          <w:lang w:val="fr-FR"/>
        </w:rPr>
        <w:t>époque des faits, il était enseignant en culture religieuse et avait passé avec succès un concours organisé par le ministère de l</w:t>
      </w:r>
      <w:r w:rsidRPr="00A9319E" w:rsidR="00A9319E">
        <w:rPr>
          <w:lang w:val="fr-FR"/>
        </w:rPr>
        <w:t>’</w:t>
      </w:r>
      <w:r w:rsidRPr="00A9319E">
        <w:rPr>
          <w:lang w:val="fr-FR"/>
        </w:rPr>
        <w:t>Éducation nationale (« le ministère ») qui permettait d</w:t>
      </w:r>
      <w:r w:rsidRPr="00A9319E" w:rsidR="00A9319E">
        <w:rPr>
          <w:lang w:val="fr-FR"/>
        </w:rPr>
        <w:t>’</w:t>
      </w:r>
      <w:r w:rsidRPr="00A9319E">
        <w:rPr>
          <w:lang w:val="fr-FR"/>
        </w:rPr>
        <w:t>accéder à des postes d</w:t>
      </w:r>
      <w:r w:rsidRPr="00A9319E" w:rsidR="00A9319E">
        <w:rPr>
          <w:lang w:val="fr-FR"/>
        </w:rPr>
        <w:t>’</w:t>
      </w:r>
      <w:r w:rsidRPr="00A9319E">
        <w:rPr>
          <w:lang w:val="fr-FR"/>
        </w:rPr>
        <w:t>enseignants à l</w:t>
      </w:r>
      <w:r w:rsidRPr="00A9319E" w:rsidR="00A9319E">
        <w:rPr>
          <w:lang w:val="fr-FR"/>
        </w:rPr>
        <w:t>’</w:t>
      </w:r>
      <w:r w:rsidRPr="00A9319E">
        <w:rPr>
          <w:lang w:val="fr-FR"/>
        </w:rPr>
        <w:t>étranger.</w:t>
      </w:r>
    </w:p>
    <w:p w:rsidRPr="00A9319E" w:rsidR="00A35C9D" w:rsidP="00A9319E" w:rsidRDefault="00A35C9D">
      <w:pPr>
        <w:pStyle w:val="ECHRPara"/>
        <w:rPr>
          <w:lang w:val="fr-FR"/>
        </w:rPr>
      </w:pPr>
      <w:r w:rsidRPr="00A9319E">
        <w:rPr>
          <w:lang w:val="fr-FR"/>
        </w:rPr>
        <w:t>7.  Après la clôture du concours, un document daté du 4 août 2000 et portant la mention « secret » fut établi, qui comportait les passages suivants:</w:t>
      </w:r>
    </w:p>
    <w:p w:rsidRPr="00A9319E" w:rsidR="00A35C9D" w:rsidP="00A9319E" w:rsidRDefault="00A35C9D">
      <w:pPr>
        <w:pStyle w:val="ECHRParaQuote"/>
        <w:rPr>
          <w:lang w:val="fr-FR"/>
        </w:rPr>
      </w:pPr>
      <w:r w:rsidRPr="00A9319E">
        <w:rPr>
          <w:lang w:val="fr-FR"/>
        </w:rPr>
        <w:t>« Abdullah Y</w:t>
      </w:r>
      <w:r w:rsidRPr="00A9319E">
        <w:rPr>
          <w:rFonts w:cstheme="minorHAnsi"/>
          <w:lang w:val="fr-FR"/>
        </w:rPr>
        <w:t>ı</w:t>
      </w:r>
      <w:r w:rsidRPr="00A9319E">
        <w:rPr>
          <w:lang w:val="fr-FR"/>
        </w:rPr>
        <w:t>lmaz</w:t>
      </w:r>
    </w:p>
    <w:p w:rsidRPr="00A9319E" w:rsidR="00A35C9D" w:rsidP="00A9319E" w:rsidRDefault="00A35C9D">
      <w:pPr>
        <w:pStyle w:val="ECHRParaQuote"/>
        <w:rPr>
          <w:lang w:val="fr-FR"/>
        </w:rPr>
      </w:pPr>
      <w:r w:rsidRPr="00A9319E">
        <w:rPr>
          <w:lang w:val="fr-FR"/>
        </w:rPr>
        <w:t>(...)</w:t>
      </w:r>
    </w:p>
    <w:p w:rsidRPr="00A9319E" w:rsidR="00A35C9D" w:rsidP="00A9319E" w:rsidRDefault="00A35C9D">
      <w:pPr>
        <w:pStyle w:val="ECHRParaQuote"/>
        <w:rPr>
          <w:lang w:val="fr-FR"/>
        </w:rPr>
      </w:pPr>
      <w:r w:rsidRPr="00A9319E">
        <w:rPr>
          <w:lang w:val="fr-FR"/>
        </w:rPr>
        <w:t>– a été placé en garde à vue le 19.06.1987 pour des faits de dégradation d</w:t>
      </w:r>
      <w:r w:rsidRPr="00A9319E" w:rsidR="00A9319E">
        <w:rPr>
          <w:lang w:val="fr-FR"/>
        </w:rPr>
        <w:t>’</w:t>
      </w:r>
      <w:r w:rsidRPr="00A9319E">
        <w:rPr>
          <w:lang w:val="fr-FR"/>
        </w:rPr>
        <w:t>un buste d</w:t>
      </w:r>
      <w:r w:rsidRPr="00A9319E" w:rsidR="00A9319E">
        <w:rPr>
          <w:lang w:val="fr-FR"/>
        </w:rPr>
        <w:t>’</w:t>
      </w:r>
      <w:r w:rsidRPr="00A9319E">
        <w:rPr>
          <w:lang w:val="fr-FR"/>
        </w:rPr>
        <w:t>Atatürk à Kayseri [et a] ensuite [été] libéré le 22.06.1987 par le tribunal devant lequel il avait comparu ;</w:t>
      </w:r>
    </w:p>
    <w:p w:rsidRPr="00A9319E" w:rsidR="00A35C9D" w:rsidP="00A9319E" w:rsidRDefault="00A35C9D">
      <w:pPr>
        <w:pStyle w:val="ECHRParaQuote"/>
        <w:rPr>
          <w:lang w:val="fr-FR"/>
        </w:rPr>
      </w:pPr>
      <w:r w:rsidRPr="00A9319E">
        <w:rPr>
          <w:lang w:val="fr-FR"/>
        </w:rPr>
        <w:t>– pratique une séparation [hommes-femmes] (« </w:t>
      </w:r>
      <w:proofErr w:type="spellStart"/>
      <w:r w:rsidRPr="00A9319E">
        <w:rPr>
          <w:i/>
          <w:lang w:val="fr-FR"/>
        </w:rPr>
        <w:t>haremlik-selamlik</w:t>
      </w:r>
      <w:proofErr w:type="spellEnd"/>
      <w:r w:rsidRPr="00A9319E">
        <w:rPr>
          <w:lang w:val="fr-FR"/>
        </w:rPr>
        <w:t> ») chez lui ;</w:t>
      </w:r>
    </w:p>
    <w:p w:rsidRPr="00A9319E" w:rsidR="00A35C9D" w:rsidP="00A9319E" w:rsidRDefault="00A35C9D">
      <w:pPr>
        <w:pStyle w:val="ECHRParaQuote"/>
        <w:rPr>
          <w:lang w:val="fr-FR"/>
        </w:rPr>
      </w:pPr>
      <w:r w:rsidRPr="00A9319E">
        <w:rPr>
          <w:lang w:val="fr-FR"/>
        </w:rPr>
        <w:t>– [dont] l</w:t>
      </w:r>
      <w:r w:rsidRPr="00A9319E" w:rsidR="00A9319E">
        <w:rPr>
          <w:lang w:val="fr-FR"/>
        </w:rPr>
        <w:t>’</w:t>
      </w:r>
      <w:r w:rsidRPr="00A9319E">
        <w:rPr>
          <w:lang w:val="fr-FR"/>
        </w:rPr>
        <w:t>épouse, A.Y., s</w:t>
      </w:r>
      <w:r w:rsidRPr="00A9319E" w:rsidR="00A9319E">
        <w:rPr>
          <w:lang w:val="fr-FR"/>
        </w:rPr>
        <w:t>’</w:t>
      </w:r>
      <w:r w:rsidRPr="00A9319E">
        <w:rPr>
          <w:lang w:val="fr-FR"/>
        </w:rPr>
        <w:t>habille selon le code vestimentaire islamique dans sa vie quotidienne, mais porte une perruque dans l</w:t>
      </w:r>
      <w:r w:rsidRPr="00A9319E" w:rsidR="00A9319E">
        <w:rPr>
          <w:lang w:val="fr-FR"/>
        </w:rPr>
        <w:t>’</w:t>
      </w:r>
      <w:r w:rsidRPr="00A9319E">
        <w:rPr>
          <w:lang w:val="fr-FR"/>
        </w:rPr>
        <w:t>école où elle exerce ses fonctions (...) »</w:t>
      </w:r>
    </w:p>
    <w:p w:rsidRPr="00A9319E" w:rsidR="00A35C9D" w:rsidP="00A9319E" w:rsidRDefault="00A35C9D">
      <w:pPr>
        <w:pStyle w:val="ECHRPara"/>
        <w:rPr>
          <w:lang w:val="fr-FR"/>
        </w:rPr>
      </w:pPr>
      <w:r w:rsidRPr="00A9319E">
        <w:rPr>
          <w:lang w:val="fr-FR"/>
        </w:rPr>
        <w:t>Ce document porte également la mention suivante :</w:t>
      </w:r>
    </w:p>
    <w:p w:rsidRPr="00A9319E" w:rsidR="00A35C9D" w:rsidP="00A9319E" w:rsidRDefault="00A35C9D">
      <w:pPr>
        <w:pStyle w:val="ECHRParaQuote"/>
        <w:rPr>
          <w:lang w:val="fr-FR"/>
        </w:rPr>
      </w:pPr>
      <w:r w:rsidRPr="00A9319E">
        <w:rPr>
          <w:lang w:val="fr-FR"/>
        </w:rPr>
        <w:t>« Ces informations, qui ont la nature de renseignements, ne peuvent être utilisées juridiquement comme preuve. [Lorsque l</w:t>
      </w:r>
      <w:r w:rsidRPr="00A9319E" w:rsidR="00A9319E">
        <w:rPr>
          <w:lang w:val="fr-FR"/>
        </w:rPr>
        <w:t>’</w:t>
      </w:r>
      <w:r w:rsidRPr="00A9319E">
        <w:rPr>
          <w:lang w:val="fr-FR"/>
        </w:rPr>
        <w:t>on veut] utiliser [ces informations] (...), les faits mentionnés (...) doivent être documentés par les organes et institutions concernés sans que l</w:t>
      </w:r>
      <w:r w:rsidRPr="00A9319E" w:rsidR="00A9319E">
        <w:rPr>
          <w:lang w:val="fr-FR"/>
        </w:rPr>
        <w:t>’</w:t>
      </w:r>
      <w:r w:rsidRPr="00A9319E">
        <w:rPr>
          <w:lang w:val="fr-FR"/>
        </w:rPr>
        <w:t>origine [de ces informations] ne soit dévoilée. »</w:t>
      </w:r>
    </w:p>
    <w:p w:rsidRPr="00A9319E" w:rsidR="00A35C9D" w:rsidP="00A9319E" w:rsidRDefault="00A35C9D">
      <w:pPr>
        <w:pStyle w:val="ECHRPara"/>
        <w:rPr>
          <w:lang w:val="fr-FR"/>
        </w:rPr>
      </w:pPr>
      <w:r w:rsidRPr="00A9319E">
        <w:rPr>
          <w:lang w:val="fr-FR"/>
        </w:rPr>
        <w:t>8.  Le 21 août 2000, une commission d</w:t>
      </w:r>
      <w:r w:rsidRPr="00A9319E" w:rsidR="00A9319E">
        <w:rPr>
          <w:lang w:val="fr-FR"/>
        </w:rPr>
        <w:t>’</w:t>
      </w:r>
      <w:r w:rsidRPr="00A9319E">
        <w:rPr>
          <w:lang w:val="fr-FR"/>
        </w:rPr>
        <w:t>évaluation du ministère établit une liste de quatorze enseignants qui avaient réussi le concours d</w:t>
      </w:r>
      <w:r w:rsidRPr="00A9319E" w:rsidR="00A9319E">
        <w:rPr>
          <w:lang w:val="fr-FR"/>
        </w:rPr>
        <w:t>’</w:t>
      </w:r>
      <w:r w:rsidRPr="00A9319E">
        <w:rPr>
          <w:lang w:val="fr-FR"/>
        </w:rPr>
        <w:t>accès aux postes à l</w:t>
      </w:r>
      <w:r w:rsidRPr="00A9319E" w:rsidR="00A9319E">
        <w:rPr>
          <w:lang w:val="fr-FR"/>
        </w:rPr>
        <w:t>’</w:t>
      </w:r>
      <w:r w:rsidRPr="00A9319E">
        <w:rPr>
          <w:lang w:val="fr-FR"/>
        </w:rPr>
        <w:t>étranger mais qui, en raison du résultat de l</w:t>
      </w:r>
      <w:r w:rsidRPr="00A9319E" w:rsidR="00A9319E">
        <w:rPr>
          <w:lang w:val="fr-FR"/>
        </w:rPr>
        <w:t>’</w:t>
      </w:r>
      <w:r w:rsidRPr="00A9319E">
        <w:rPr>
          <w:lang w:val="fr-FR"/>
        </w:rPr>
        <w:t>examen de leur situation réalisé en application de l</w:t>
      </w:r>
      <w:r w:rsidRPr="00A9319E" w:rsidR="00A9319E">
        <w:rPr>
          <w:lang w:val="fr-FR"/>
        </w:rPr>
        <w:t>’</w:t>
      </w:r>
      <w:r w:rsidRPr="00A9319E">
        <w:rPr>
          <w:lang w:val="fr-FR"/>
        </w:rPr>
        <w:t>article 15 de la directive relative à la sécurité et aux archives (« la directive »), ne pouvaient accéder à ces postes. Le nom du requérant figurait sur cette liste.</w:t>
      </w:r>
    </w:p>
    <w:p w:rsidRPr="00A9319E" w:rsidR="00A35C9D" w:rsidP="00A9319E" w:rsidRDefault="00A35C9D">
      <w:pPr>
        <w:pStyle w:val="ECHRPara"/>
        <w:rPr>
          <w:lang w:val="fr-FR"/>
        </w:rPr>
      </w:pPr>
      <w:r w:rsidRPr="00A9319E">
        <w:rPr>
          <w:lang w:val="fr-FR"/>
        </w:rPr>
        <w:t>9.  Le 1</w:t>
      </w:r>
      <w:r w:rsidRPr="00A9319E">
        <w:rPr>
          <w:vertAlign w:val="superscript"/>
          <w:lang w:val="fr-FR"/>
        </w:rPr>
        <w:t>er</w:t>
      </w:r>
      <w:r w:rsidRPr="00A9319E">
        <w:rPr>
          <w:lang w:val="fr-FR"/>
        </w:rPr>
        <w:t xml:space="preserve"> novembre 2000, le requérant adressa aux instances administratives compétentes une demande d</w:t>
      </w:r>
      <w:r w:rsidRPr="00A9319E" w:rsidR="00A9319E">
        <w:rPr>
          <w:lang w:val="fr-FR"/>
        </w:rPr>
        <w:t>’</w:t>
      </w:r>
      <w:r w:rsidRPr="00A9319E">
        <w:rPr>
          <w:lang w:val="fr-FR"/>
        </w:rPr>
        <w:t>informations les invitant à lui expliquer pourquoi, alors qu</w:t>
      </w:r>
      <w:r w:rsidRPr="00A9319E" w:rsidR="00A9319E">
        <w:rPr>
          <w:lang w:val="fr-FR"/>
        </w:rPr>
        <w:t>’</w:t>
      </w:r>
      <w:r w:rsidRPr="00A9319E">
        <w:rPr>
          <w:lang w:val="fr-FR"/>
        </w:rPr>
        <w:t>il était arrivé deuxième au concours, il n</w:t>
      </w:r>
      <w:r w:rsidRPr="00A9319E" w:rsidR="00A9319E">
        <w:rPr>
          <w:lang w:val="fr-FR"/>
        </w:rPr>
        <w:t>’</w:t>
      </w:r>
      <w:r w:rsidRPr="00A9319E">
        <w:rPr>
          <w:lang w:val="fr-FR"/>
        </w:rPr>
        <w:t>avait pas encore obtenu un poste à l</w:t>
      </w:r>
      <w:r w:rsidRPr="00A9319E" w:rsidR="00A9319E">
        <w:rPr>
          <w:lang w:val="fr-FR"/>
        </w:rPr>
        <w:t>’</w:t>
      </w:r>
      <w:r w:rsidRPr="00A9319E">
        <w:rPr>
          <w:lang w:val="fr-FR"/>
        </w:rPr>
        <w:t>étranger. Il précisait que la personne arrivée troisième au concours en question avait déjà été nommée sur un tel poste.</w:t>
      </w:r>
    </w:p>
    <w:p w:rsidRPr="00A9319E" w:rsidR="00A35C9D" w:rsidP="00A9319E" w:rsidRDefault="00A35C9D">
      <w:pPr>
        <w:pStyle w:val="ECHRPara"/>
        <w:rPr>
          <w:lang w:val="fr-FR"/>
        </w:rPr>
      </w:pPr>
      <w:r w:rsidRPr="00A9319E">
        <w:rPr>
          <w:lang w:val="fr-FR"/>
        </w:rPr>
        <w:t>10.  Le 17 novembre 2000, le ministère écrivit à la direction départementale de l</w:t>
      </w:r>
      <w:r w:rsidRPr="00A9319E" w:rsidR="00A9319E">
        <w:rPr>
          <w:lang w:val="fr-FR"/>
        </w:rPr>
        <w:t>’</w:t>
      </w:r>
      <w:r w:rsidRPr="00A9319E">
        <w:rPr>
          <w:lang w:val="fr-FR"/>
        </w:rPr>
        <w:t>éducation nationale pour l</w:t>
      </w:r>
      <w:r w:rsidRPr="00A9319E" w:rsidR="00A9319E">
        <w:rPr>
          <w:lang w:val="fr-FR"/>
        </w:rPr>
        <w:t>’</w:t>
      </w:r>
      <w:r w:rsidRPr="00A9319E">
        <w:rPr>
          <w:lang w:val="fr-FR"/>
        </w:rPr>
        <w:t>informer que l</w:t>
      </w:r>
      <w:r w:rsidRPr="00A9319E" w:rsidR="00A9319E">
        <w:rPr>
          <w:lang w:val="fr-FR"/>
        </w:rPr>
        <w:t>’</w:t>
      </w:r>
      <w:r w:rsidRPr="00A9319E">
        <w:rPr>
          <w:lang w:val="fr-FR"/>
        </w:rPr>
        <w:t>examen de la situation du requérant à la lumière des critères que devaient remplir les candidats au concours et à une nomination à l</w:t>
      </w:r>
      <w:r w:rsidRPr="00A9319E" w:rsidR="00A9319E">
        <w:rPr>
          <w:lang w:val="fr-FR"/>
        </w:rPr>
        <w:t>’</w:t>
      </w:r>
      <w:r w:rsidRPr="00A9319E">
        <w:rPr>
          <w:lang w:val="fr-FR"/>
        </w:rPr>
        <w:t>étranger et qui étaient fixés par les dispositions de l</w:t>
      </w:r>
      <w:r w:rsidRPr="00A9319E" w:rsidR="00A9319E">
        <w:rPr>
          <w:lang w:val="fr-FR"/>
        </w:rPr>
        <w:t>’</w:t>
      </w:r>
      <w:r w:rsidRPr="00A9319E">
        <w:rPr>
          <w:lang w:val="fr-FR"/>
        </w:rPr>
        <w:t>article 5 de la section A de la circulaire 938 (2000/11) du 4 février 2000 (« la circulaire ») n</w:t>
      </w:r>
      <w:r w:rsidRPr="00A9319E" w:rsidR="00A9319E">
        <w:rPr>
          <w:lang w:val="fr-FR"/>
        </w:rPr>
        <w:t>’</w:t>
      </w:r>
      <w:r w:rsidRPr="00A9319E">
        <w:rPr>
          <w:lang w:val="fr-FR"/>
        </w:rPr>
        <w:t>avait pas permis la nomination de l</w:t>
      </w:r>
      <w:r w:rsidRPr="00A9319E" w:rsidR="00A9319E">
        <w:rPr>
          <w:lang w:val="fr-FR"/>
        </w:rPr>
        <w:t>’</w:t>
      </w:r>
      <w:r w:rsidRPr="00A9319E">
        <w:rPr>
          <w:lang w:val="fr-FR"/>
        </w:rPr>
        <w:t>intéressé.</w:t>
      </w:r>
    </w:p>
    <w:p w:rsidRPr="00A9319E" w:rsidR="00A35C9D" w:rsidP="00A9319E" w:rsidRDefault="00A35C9D">
      <w:pPr>
        <w:pStyle w:val="ECHRPara"/>
        <w:rPr>
          <w:lang w:val="fr-FR"/>
        </w:rPr>
      </w:pPr>
      <w:r w:rsidRPr="00A9319E">
        <w:rPr>
          <w:lang w:val="fr-FR"/>
        </w:rPr>
        <w:t>11.  Cette information fut transmise au requérant.</w:t>
      </w:r>
    </w:p>
    <w:p w:rsidRPr="00A9319E" w:rsidR="00A35C9D" w:rsidP="00A9319E" w:rsidRDefault="00A35C9D">
      <w:pPr>
        <w:pStyle w:val="ECHRPara"/>
        <w:rPr>
          <w:lang w:val="fr-FR"/>
        </w:rPr>
      </w:pPr>
      <w:r w:rsidRPr="00A9319E">
        <w:rPr>
          <w:lang w:val="fr-FR"/>
        </w:rPr>
        <w:t>12.  Le 5 janvier 2001, le requérant saisit le tribunal administratif d</w:t>
      </w:r>
      <w:r w:rsidRPr="00A9319E" w:rsidR="00A9319E">
        <w:rPr>
          <w:lang w:val="fr-FR"/>
        </w:rPr>
        <w:t>’</w:t>
      </w:r>
      <w:r w:rsidRPr="00A9319E">
        <w:rPr>
          <w:lang w:val="fr-FR"/>
        </w:rPr>
        <w:t>Eski</w:t>
      </w:r>
      <w:r w:rsidRPr="00A9319E">
        <w:rPr>
          <w:rFonts w:cstheme="minorHAnsi"/>
          <w:lang w:val="fr-FR"/>
        </w:rPr>
        <w:t>ş</w:t>
      </w:r>
      <w:r w:rsidRPr="00A9319E">
        <w:rPr>
          <w:lang w:val="fr-FR"/>
        </w:rPr>
        <w:t>ehir d</w:t>
      </w:r>
      <w:r w:rsidRPr="00A9319E" w:rsidR="00A9319E">
        <w:rPr>
          <w:lang w:val="fr-FR"/>
        </w:rPr>
        <w:t>’</w:t>
      </w:r>
      <w:r w:rsidRPr="00A9319E">
        <w:rPr>
          <w:lang w:val="fr-FR"/>
        </w:rPr>
        <w:t>une action en sursis à exécution et en annulation de la décision portant refus de nomination (« la décision litigieuse ») pour absence de motif. Il demanda également des dommages et intérêts au titre du préjudice moral qu</w:t>
      </w:r>
      <w:r w:rsidRPr="00A9319E" w:rsidR="00A9319E">
        <w:rPr>
          <w:lang w:val="fr-FR"/>
        </w:rPr>
        <w:t>’</w:t>
      </w:r>
      <w:r w:rsidRPr="00A9319E">
        <w:rPr>
          <w:lang w:val="fr-FR"/>
        </w:rPr>
        <w:t>il disait avoir subi. À l</w:t>
      </w:r>
      <w:r w:rsidRPr="00A9319E" w:rsidR="00A9319E">
        <w:rPr>
          <w:lang w:val="fr-FR"/>
        </w:rPr>
        <w:t>’</w:t>
      </w:r>
      <w:r w:rsidRPr="00A9319E">
        <w:rPr>
          <w:lang w:val="fr-FR"/>
        </w:rPr>
        <w:t>appui de son recours, il arguait notamment que la commission d</w:t>
      </w:r>
      <w:r w:rsidRPr="00A9319E" w:rsidR="00A9319E">
        <w:rPr>
          <w:lang w:val="fr-FR"/>
        </w:rPr>
        <w:t>’</w:t>
      </w:r>
      <w:r w:rsidRPr="00A9319E">
        <w:rPr>
          <w:lang w:val="fr-FR"/>
        </w:rPr>
        <w:t>évaluation avait adopté une décision qui ne reposait sur aucun motif concret et qu</w:t>
      </w:r>
      <w:r w:rsidRPr="00A9319E" w:rsidR="00A9319E">
        <w:rPr>
          <w:lang w:val="fr-FR"/>
        </w:rPr>
        <w:t>’</w:t>
      </w:r>
      <w:r w:rsidRPr="00A9319E">
        <w:rPr>
          <w:lang w:val="fr-FR"/>
        </w:rPr>
        <w:t>elle avait donc fait un usage arbitraire des prérogatives qui lui étaient dévolues en vertu de l</w:t>
      </w:r>
      <w:r w:rsidRPr="00A9319E" w:rsidR="00A9319E">
        <w:rPr>
          <w:lang w:val="fr-FR"/>
        </w:rPr>
        <w:t>’</w:t>
      </w:r>
      <w:r w:rsidRPr="00A9319E">
        <w:rPr>
          <w:lang w:val="fr-FR"/>
        </w:rPr>
        <w:t>article 5 de la section A de la circulaire.</w:t>
      </w:r>
    </w:p>
    <w:p w:rsidRPr="00A9319E" w:rsidR="00A35C9D" w:rsidP="00A9319E" w:rsidRDefault="00A35C9D">
      <w:pPr>
        <w:pStyle w:val="ECHRPara"/>
        <w:rPr>
          <w:lang w:val="fr-FR"/>
        </w:rPr>
      </w:pPr>
      <w:r w:rsidRPr="00A9319E">
        <w:rPr>
          <w:lang w:val="fr-FR"/>
        </w:rPr>
        <w:t>13.  Le 9 février 2001, le ministère soumit un mémoire en défense dans lequel il invoquait les critères énoncés à l</w:t>
      </w:r>
      <w:r w:rsidRPr="00A9319E" w:rsidR="00A9319E">
        <w:rPr>
          <w:lang w:val="fr-FR"/>
        </w:rPr>
        <w:t>’</w:t>
      </w:r>
      <w:r w:rsidRPr="00A9319E">
        <w:rPr>
          <w:lang w:val="fr-FR"/>
        </w:rPr>
        <w:t>article 5 de la section A de la circulaire, dont « l</w:t>
      </w:r>
      <w:r w:rsidRPr="00A9319E" w:rsidR="00A9319E">
        <w:rPr>
          <w:lang w:val="fr-FR"/>
        </w:rPr>
        <w:t>’</w:t>
      </w:r>
      <w:r w:rsidRPr="00A9319E">
        <w:rPr>
          <w:lang w:val="fr-FR"/>
        </w:rPr>
        <w:t>absence d</w:t>
      </w:r>
      <w:r w:rsidRPr="00A9319E" w:rsidR="00A9319E">
        <w:rPr>
          <w:lang w:val="fr-FR"/>
        </w:rPr>
        <w:t>’</w:t>
      </w:r>
      <w:r w:rsidRPr="00A9319E">
        <w:rPr>
          <w:lang w:val="fr-FR"/>
        </w:rPr>
        <w:t>empêchement à l</w:t>
      </w:r>
      <w:r w:rsidRPr="00A9319E" w:rsidR="00A9319E">
        <w:rPr>
          <w:lang w:val="fr-FR"/>
        </w:rPr>
        <w:t>’</w:t>
      </w:r>
      <w:r w:rsidRPr="00A9319E">
        <w:rPr>
          <w:lang w:val="fr-FR"/>
        </w:rPr>
        <w:t>exercice des fonctions (à déterminer par la commission d</w:t>
      </w:r>
      <w:r w:rsidRPr="00A9319E" w:rsidR="00A9319E">
        <w:rPr>
          <w:lang w:val="fr-FR"/>
        </w:rPr>
        <w:t>’</w:t>
      </w:r>
      <w:r w:rsidRPr="00A9319E">
        <w:rPr>
          <w:lang w:val="fr-FR"/>
        </w:rPr>
        <w:t>évaluation du ministère au vu des conclusions de l</w:t>
      </w:r>
      <w:r w:rsidRPr="00A9319E" w:rsidR="00A9319E">
        <w:rPr>
          <w:lang w:val="fr-FR"/>
        </w:rPr>
        <w:t>’</w:t>
      </w:r>
      <w:r w:rsidRPr="00A9319E">
        <w:rPr>
          <w:lang w:val="fr-FR"/>
        </w:rPr>
        <w:t>enquête de sécurité du personnel et de la recherche d</w:t>
      </w:r>
      <w:r w:rsidRPr="00A9319E" w:rsidR="00A9319E">
        <w:rPr>
          <w:lang w:val="fr-FR"/>
        </w:rPr>
        <w:t>’</w:t>
      </w:r>
      <w:r w:rsidRPr="00A9319E">
        <w:rPr>
          <w:lang w:val="fr-FR"/>
        </w:rPr>
        <w:t>archives) », ainsi que les articles 8, 12 et 15 de la directive. Il ajoutait que les informations concernant le requérant avaient été évaluées par une commission constituée conformément à l</w:t>
      </w:r>
      <w:r w:rsidRPr="00A9319E" w:rsidR="00A9319E">
        <w:rPr>
          <w:lang w:val="fr-FR"/>
        </w:rPr>
        <w:t>’</w:t>
      </w:r>
      <w:r w:rsidRPr="00A9319E">
        <w:rPr>
          <w:lang w:val="fr-FR"/>
        </w:rPr>
        <w:t>article 15 de cette directive et, pour justifier la décision litigieuse, renvoyait au principe de l</w:t>
      </w:r>
      <w:r w:rsidRPr="00A9319E" w:rsidR="00A9319E">
        <w:rPr>
          <w:lang w:val="fr-FR"/>
        </w:rPr>
        <w:t>’</w:t>
      </w:r>
      <w:r w:rsidRPr="00A9319E">
        <w:rPr>
          <w:lang w:val="fr-FR"/>
        </w:rPr>
        <w:t>intérêt public ainsi qu</w:t>
      </w:r>
      <w:r w:rsidRPr="00A9319E" w:rsidR="00A9319E">
        <w:rPr>
          <w:lang w:val="fr-FR"/>
        </w:rPr>
        <w:t>’</w:t>
      </w:r>
      <w:r w:rsidRPr="00A9319E">
        <w:rPr>
          <w:lang w:val="fr-FR"/>
        </w:rPr>
        <w:t>aux nécessités et aux spécificités des services d</w:t>
      </w:r>
      <w:r w:rsidRPr="00A9319E" w:rsidR="00A9319E">
        <w:rPr>
          <w:lang w:val="fr-FR"/>
        </w:rPr>
        <w:t>’</w:t>
      </w:r>
      <w:r w:rsidRPr="00A9319E">
        <w:rPr>
          <w:lang w:val="fr-FR"/>
        </w:rPr>
        <w:t>éducation et d</w:t>
      </w:r>
      <w:r w:rsidRPr="00A9319E" w:rsidR="00A9319E">
        <w:rPr>
          <w:lang w:val="fr-FR"/>
        </w:rPr>
        <w:t>’</w:t>
      </w:r>
      <w:r w:rsidRPr="00A9319E">
        <w:rPr>
          <w:lang w:val="fr-FR"/>
        </w:rPr>
        <w:t>enseignement.</w:t>
      </w:r>
    </w:p>
    <w:p w:rsidRPr="00A9319E" w:rsidR="00A35C9D" w:rsidP="00A9319E" w:rsidRDefault="00A35C9D">
      <w:pPr>
        <w:pStyle w:val="ECHRPara"/>
        <w:rPr>
          <w:lang w:val="fr-FR"/>
        </w:rPr>
      </w:pPr>
      <w:r w:rsidRPr="00A9319E">
        <w:rPr>
          <w:lang w:val="fr-FR"/>
        </w:rPr>
        <w:t>14.  Le 27 février 2001, le tribunal administratif rejeta la demande de sursis à exécution formée par le requérant.</w:t>
      </w:r>
    </w:p>
    <w:p w:rsidRPr="00A9319E" w:rsidR="00A35C9D" w:rsidP="00A9319E" w:rsidRDefault="00AD2504">
      <w:pPr>
        <w:pStyle w:val="ECHRPara"/>
        <w:rPr>
          <w:lang w:val="fr-FR"/>
        </w:rPr>
      </w:pPr>
      <w:r w:rsidRPr="00A9319E">
        <w:rPr>
          <w:lang w:val="fr-FR"/>
        </w:rPr>
        <w:t>15.  </w:t>
      </w:r>
      <w:r w:rsidRPr="00A9319E" w:rsidR="00A35C9D">
        <w:rPr>
          <w:lang w:val="fr-FR"/>
        </w:rPr>
        <w:t>Le 13 avril 2001, celui-ci déposa alors un mémoire sur le fond dans lequel il arguait que l</w:t>
      </w:r>
      <w:r w:rsidRPr="00A9319E" w:rsidR="00A9319E">
        <w:rPr>
          <w:lang w:val="fr-FR"/>
        </w:rPr>
        <w:t>’</w:t>
      </w:r>
      <w:r w:rsidRPr="00A9319E" w:rsidR="00A35C9D">
        <w:rPr>
          <w:lang w:val="fr-FR"/>
        </w:rPr>
        <w:t>article 8 de la directive limitait l</w:t>
      </w:r>
      <w:r w:rsidRPr="00A9319E" w:rsidR="00A9319E">
        <w:rPr>
          <w:lang w:val="fr-FR"/>
        </w:rPr>
        <w:t>’</w:t>
      </w:r>
      <w:r w:rsidRPr="00A9319E" w:rsidR="00A35C9D">
        <w:rPr>
          <w:lang w:val="fr-FR"/>
        </w:rPr>
        <w:t>obligation de procéder à une enquête de sécurité aux seules personnes nommées définitivement en poste à l</w:t>
      </w:r>
      <w:r w:rsidRPr="00A9319E" w:rsidR="00A9319E">
        <w:rPr>
          <w:lang w:val="fr-FR"/>
        </w:rPr>
        <w:t>’</w:t>
      </w:r>
      <w:r w:rsidRPr="00A9319E" w:rsidR="00A35C9D">
        <w:rPr>
          <w:lang w:val="fr-FR"/>
        </w:rPr>
        <w:t>étranger et qu</w:t>
      </w:r>
      <w:r w:rsidRPr="00A9319E" w:rsidR="00A9319E">
        <w:rPr>
          <w:lang w:val="fr-FR"/>
        </w:rPr>
        <w:t>’</w:t>
      </w:r>
      <w:r w:rsidRPr="00A9319E" w:rsidR="00A35C9D">
        <w:rPr>
          <w:lang w:val="fr-FR"/>
        </w:rPr>
        <w:t>il n</w:t>
      </w:r>
      <w:r w:rsidRPr="00A9319E" w:rsidR="00A9319E">
        <w:rPr>
          <w:lang w:val="fr-FR"/>
        </w:rPr>
        <w:t>’</w:t>
      </w:r>
      <w:r w:rsidRPr="00A9319E" w:rsidR="00A35C9D">
        <w:rPr>
          <w:lang w:val="fr-FR"/>
        </w:rPr>
        <w:t>aurait donc pas dû être soumis à une telle enquête. Il indiquait également qu</w:t>
      </w:r>
      <w:r w:rsidRPr="00A9319E" w:rsidR="00A9319E">
        <w:rPr>
          <w:lang w:val="fr-FR"/>
        </w:rPr>
        <w:t>’</w:t>
      </w:r>
      <w:r w:rsidRPr="00A9319E" w:rsidR="00A35C9D">
        <w:rPr>
          <w:lang w:val="fr-FR"/>
        </w:rPr>
        <w:t xml:space="preserve">il travaillait comme enseignant depuis de nombreuses années sans que </w:t>
      </w:r>
      <w:proofErr w:type="gramStart"/>
      <w:r w:rsidRPr="00A9319E" w:rsidR="00A35C9D">
        <w:rPr>
          <w:lang w:val="fr-FR"/>
        </w:rPr>
        <w:t>cela eût</w:t>
      </w:r>
      <w:proofErr w:type="gramEnd"/>
      <w:r w:rsidRPr="00A9319E" w:rsidR="00A35C9D">
        <w:rPr>
          <w:lang w:val="fr-FR"/>
        </w:rPr>
        <w:t xml:space="preserve"> jamais suscité le moindre problème, qu</w:t>
      </w:r>
      <w:r w:rsidRPr="00A9319E" w:rsidR="00A9319E">
        <w:rPr>
          <w:lang w:val="fr-FR"/>
        </w:rPr>
        <w:t>’</w:t>
      </w:r>
      <w:r w:rsidRPr="00A9319E" w:rsidR="00A35C9D">
        <w:rPr>
          <w:lang w:val="fr-FR"/>
        </w:rPr>
        <w:t>il était arrivé deuxième au concours et qu</w:t>
      </w:r>
      <w:r w:rsidRPr="00A9319E" w:rsidR="00A9319E">
        <w:rPr>
          <w:lang w:val="fr-FR"/>
        </w:rPr>
        <w:t>’</w:t>
      </w:r>
      <w:r w:rsidRPr="00A9319E" w:rsidR="00A35C9D">
        <w:rPr>
          <w:lang w:val="fr-FR"/>
        </w:rPr>
        <w:t>il n</w:t>
      </w:r>
      <w:r w:rsidRPr="00A9319E" w:rsidR="00A9319E">
        <w:rPr>
          <w:lang w:val="fr-FR"/>
        </w:rPr>
        <w:t>’</w:t>
      </w:r>
      <w:r w:rsidRPr="00A9319E" w:rsidR="00A35C9D">
        <w:rPr>
          <w:lang w:val="fr-FR"/>
        </w:rPr>
        <w:t>avait jamais eu de comportements répréhensibles – ce dont son casier judiciaire pouvait selon lui attester. Il expliquait que c</w:t>
      </w:r>
      <w:r w:rsidRPr="00A9319E" w:rsidR="00A9319E">
        <w:rPr>
          <w:lang w:val="fr-FR"/>
        </w:rPr>
        <w:t>’</w:t>
      </w:r>
      <w:r w:rsidRPr="00A9319E" w:rsidR="00A35C9D">
        <w:rPr>
          <w:lang w:val="fr-FR"/>
        </w:rPr>
        <w:t>était à la suite d</w:t>
      </w:r>
      <w:r w:rsidRPr="00A9319E" w:rsidR="00A9319E">
        <w:rPr>
          <w:lang w:val="fr-FR"/>
        </w:rPr>
        <w:t>’</w:t>
      </w:r>
      <w:r w:rsidRPr="00A9319E" w:rsidR="00A35C9D">
        <w:rPr>
          <w:lang w:val="fr-FR"/>
        </w:rPr>
        <w:t>un malentendu qu</w:t>
      </w:r>
      <w:r w:rsidRPr="00A9319E" w:rsidR="00A9319E">
        <w:rPr>
          <w:lang w:val="fr-FR"/>
        </w:rPr>
        <w:t>’</w:t>
      </w:r>
      <w:r w:rsidRPr="00A9319E" w:rsidR="00A35C9D">
        <w:rPr>
          <w:lang w:val="fr-FR"/>
        </w:rPr>
        <w:t>il avait été arrêté en 1987, alors qu</w:t>
      </w:r>
      <w:r w:rsidRPr="00A9319E" w:rsidR="00A9319E">
        <w:rPr>
          <w:lang w:val="fr-FR"/>
        </w:rPr>
        <w:t>’</w:t>
      </w:r>
      <w:r w:rsidRPr="00A9319E" w:rsidR="00A35C9D">
        <w:rPr>
          <w:lang w:val="fr-FR"/>
        </w:rPr>
        <w:t>il était étudiant, et qu</w:t>
      </w:r>
      <w:r w:rsidRPr="00A9319E" w:rsidR="00A9319E">
        <w:rPr>
          <w:lang w:val="fr-FR"/>
        </w:rPr>
        <w:t>’</w:t>
      </w:r>
      <w:r w:rsidRPr="00A9319E" w:rsidR="00A35C9D">
        <w:rPr>
          <w:lang w:val="fr-FR"/>
        </w:rPr>
        <w:t>il avait à l</w:t>
      </w:r>
      <w:r w:rsidRPr="00A9319E" w:rsidR="00A9319E">
        <w:rPr>
          <w:lang w:val="fr-FR"/>
        </w:rPr>
        <w:t>’</w:t>
      </w:r>
      <w:r w:rsidRPr="00A9319E" w:rsidR="00A35C9D">
        <w:rPr>
          <w:lang w:val="fr-FR"/>
        </w:rPr>
        <w:t>époque bénéficié d</w:t>
      </w:r>
      <w:r w:rsidRPr="00A9319E" w:rsidR="00A9319E">
        <w:rPr>
          <w:lang w:val="fr-FR"/>
        </w:rPr>
        <w:t>’</w:t>
      </w:r>
      <w:r w:rsidRPr="00A9319E" w:rsidR="00A35C9D">
        <w:rPr>
          <w:lang w:val="fr-FR"/>
        </w:rPr>
        <w:t>un non-lieu à poursuivre. À cet égard, il soutenait que si la conclusion de l</w:t>
      </w:r>
      <w:r w:rsidRPr="00A9319E" w:rsidR="00A9319E">
        <w:rPr>
          <w:lang w:val="fr-FR"/>
        </w:rPr>
        <w:t>’</w:t>
      </w:r>
      <w:r w:rsidRPr="00A9319E" w:rsidR="00A35C9D">
        <w:rPr>
          <w:lang w:val="fr-FR"/>
        </w:rPr>
        <w:t>enquête de sécurité avait été négative pour ce seul motif, elle était contraire au droit. Il ajoutait que la manière dont il menait sa vie privée n</w:t>
      </w:r>
      <w:r w:rsidRPr="00A9319E" w:rsidR="00A9319E">
        <w:rPr>
          <w:lang w:val="fr-FR"/>
        </w:rPr>
        <w:t>’</w:t>
      </w:r>
      <w:r w:rsidRPr="00A9319E" w:rsidR="00A35C9D">
        <w:rPr>
          <w:lang w:val="fr-FR"/>
        </w:rPr>
        <w:t>avait aucune incidence sur le soin avec lequel il exerçait ses fonctions. Il arguait également qu</w:t>
      </w:r>
      <w:r w:rsidRPr="00A9319E" w:rsidR="00A9319E">
        <w:rPr>
          <w:lang w:val="fr-FR"/>
        </w:rPr>
        <w:t>’</w:t>
      </w:r>
      <w:r w:rsidRPr="00A9319E" w:rsidR="00A35C9D">
        <w:rPr>
          <w:lang w:val="fr-FR"/>
        </w:rPr>
        <w:t>il incombait à l</w:t>
      </w:r>
      <w:r w:rsidRPr="00A9319E" w:rsidR="00A9319E">
        <w:rPr>
          <w:lang w:val="fr-FR"/>
        </w:rPr>
        <w:t>’</w:t>
      </w:r>
      <w:r w:rsidRPr="00A9319E" w:rsidR="00A35C9D">
        <w:rPr>
          <w:lang w:val="fr-FR"/>
        </w:rPr>
        <w:t>administration en cause d</w:t>
      </w:r>
      <w:r w:rsidRPr="00A9319E" w:rsidR="00A9319E">
        <w:rPr>
          <w:lang w:val="fr-FR"/>
        </w:rPr>
        <w:t>’</w:t>
      </w:r>
      <w:r w:rsidRPr="00A9319E" w:rsidR="00A35C9D">
        <w:rPr>
          <w:lang w:val="fr-FR"/>
        </w:rPr>
        <w:t>étayer concrètement ses allégations et d</w:t>
      </w:r>
      <w:r w:rsidRPr="00A9319E" w:rsidR="00A9319E">
        <w:rPr>
          <w:lang w:val="fr-FR"/>
        </w:rPr>
        <w:t>’</w:t>
      </w:r>
      <w:r w:rsidRPr="00A9319E" w:rsidR="00A35C9D">
        <w:rPr>
          <w:lang w:val="fr-FR"/>
        </w:rPr>
        <w:t>expliquer dans quelle mesure sa vie privée lui paraissait de nature à l</w:t>
      </w:r>
      <w:r w:rsidRPr="00A9319E" w:rsidR="00A9319E">
        <w:rPr>
          <w:lang w:val="fr-FR"/>
        </w:rPr>
        <w:t>’</w:t>
      </w:r>
      <w:r w:rsidRPr="00A9319E" w:rsidR="00A35C9D">
        <w:rPr>
          <w:lang w:val="fr-FR"/>
        </w:rPr>
        <w:t>empêcher d</w:t>
      </w:r>
      <w:r w:rsidRPr="00A9319E" w:rsidR="00A9319E">
        <w:rPr>
          <w:lang w:val="fr-FR"/>
        </w:rPr>
        <w:t>’</w:t>
      </w:r>
      <w:r w:rsidRPr="00A9319E" w:rsidR="00A35C9D">
        <w:rPr>
          <w:lang w:val="fr-FR"/>
        </w:rPr>
        <w:t>exercer ses fonctions. Selon lui, cela n</w:t>
      </w:r>
      <w:r w:rsidRPr="00A9319E" w:rsidR="00A9319E">
        <w:rPr>
          <w:lang w:val="fr-FR"/>
        </w:rPr>
        <w:t>’</w:t>
      </w:r>
      <w:r w:rsidRPr="00A9319E" w:rsidR="00A35C9D">
        <w:rPr>
          <w:lang w:val="fr-FR"/>
        </w:rPr>
        <w:t>avait pas été le cas en l</w:t>
      </w:r>
      <w:r w:rsidRPr="00A9319E" w:rsidR="00A9319E">
        <w:rPr>
          <w:lang w:val="fr-FR"/>
        </w:rPr>
        <w:t>’</w:t>
      </w:r>
      <w:r w:rsidRPr="00A9319E" w:rsidR="00A35C9D">
        <w:rPr>
          <w:lang w:val="fr-FR"/>
        </w:rPr>
        <w:t>espèce.</w:t>
      </w:r>
    </w:p>
    <w:p w:rsidRPr="00A9319E" w:rsidR="00A35C9D" w:rsidP="00A9319E" w:rsidRDefault="00A35C9D">
      <w:pPr>
        <w:pStyle w:val="ECHRPara"/>
        <w:rPr>
          <w:lang w:val="fr-FR"/>
        </w:rPr>
      </w:pPr>
      <w:r w:rsidRPr="00A9319E">
        <w:rPr>
          <w:lang w:val="fr-FR"/>
        </w:rPr>
        <w:t>16.  Le 13 septembre 2001, le tribunal administratif rejeta la demande en annulation formée par le requérant. Pour ce faire, il tint compte des dispositions de l</w:t>
      </w:r>
      <w:r w:rsidRPr="00A9319E" w:rsidR="00A9319E">
        <w:rPr>
          <w:lang w:val="fr-FR"/>
        </w:rPr>
        <w:t>’</w:t>
      </w:r>
      <w:r w:rsidRPr="00A9319E">
        <w:rPr>
          <w:lang w:val="fr-FR"/>
        </w:rPr>
        <w:t>article 5 de la section A de la circulaire et des articles 2 et 15 de la directive et se prononça comme suit :</w:t>
      </w:r>
    </w:p>
    <w:p w:rsidRPr="00A9319E" w:rsidR="00A35C9D" w:rsidP="00A9319E" w:rsidRDefault="00A35C9D">
      <w:pPr>
        <w:pStyle w:val="ECHRParaQuote"/>
        <w:rPr>
          <w:lang w:val="fr-FR"/>
        </w:rPr>
      </w:pPr>
      <w:r w:rsidRPr="00A9319E">
        <w:rPr>
          <w:lang w:val="fr-FR"/>
        </w:rPr>
        <w:t>« (...)</w:t>
      </w:r>
    </w:p>
    <w:p w:rsidRPr="00A9319E" w:rsidR="00A35C9D" w:rsidP="00A9319E" w:rsidRDefault="00A35C9D">
      <w:pPr>
        <w:pStyle w:val="ECHRParaQuote"/>
        <w:rPr>
          <w:lang w:val="fr-FR"/>
        </w:rPr>
      </w:pPr>
      <w:r w:rsidRPr="00A9319E">
        <w:rPr>
          <w:lang w:val="fr-FR"/>
        </w:rPr>
        <w:t>Aux termes de l</w:t>
      </w:r>
      <w:r w:rsidRPr="00A9319E" w:rsidR="00A9319E">
        <w:rPr>
          <w:lang w:val="fr-FR"/>
        </w:rPr>
        <w:t>’</w:t>
      </w:r>
      <w:r w:rsidRPr="00A9319E">
        <w:rPr>
          <w:lang w:val="fr-FR"/>
        </w:rPr>
        <w:t>article 5 de la section A de la circulaire du 04.02.2000 (...), « l</w:t>
      </w:r>
      <w:r w:rsidRPr="00A9319E" w:rsidR="00A9319E">
        <w:rPr>
          <w:lang w:val="fr-FR"/>
        </w:rPr>
        <w:t>’</w:t>
      </w:r>
      <w:r w:rsidRPr="00A9319E">
        <w:rPr>
          <w:lang w:val="fr-FR"/>
        </w:rPr>
        <w:t>absence d</w:t>
      </w:r>
      <w:r w:rsidRPr="00A9319E" w:rsidR="00A9319E">
        <w:rPr>
          <w:lang w:val="fr-FR"/>
        </w:rPr>
        <w:t>’</w:t>
      </w:r>
      <w:r w:rsidRPr="00A9319E">
        <w:rPr>
          <w:lang w:val="fr-FR"/>
        </w:rPr>
        <w:t>empêchement à l</w:t>
      </w:r>
      <w:r w:rsidRPr="00A9319E" w:rsidR="00A9319E">
        <w:rPr>
          <w:lang w:val="fr-FR"/>
        </w:rPr>
        <w:t>’</w:t>
      </w:r>
      <w:r w:rsidRPr="00A9319E">
        <w:rPr>
          <w:lang w:val="fr-FR"/>
        </w:rPr>
        <w:t>exercice de fonctions à l</w:t>
      </w:r>
      <w:r w:rsidRPr="00A9319E" w:rsidR="00A9319E">
        <w:rPr>
          <w:lang w:val="fr-FR"/>
        </w:rPr>
        <w:t>’</w:t>
      </w:r>
      <w:r w:rsidRPr="00A9319E">
        <w:rPr>
          <w:lang w:val="fr-FR"/>
        </w:rPr>
        <w:t>étranger (selon les conclusions de l</w:t>
      </w:r>
      <w:r w:rsidRPr="00A9319E" w:rsidR="00A9319E">
        <w:rPr>
          <w:lang w:val="fr-FR"/>
        </w:rPr>
        <w:t>’</w:t>
      </w:r>
      <w:r w:rsidRPr="00A9319E">
        <w:rPr>
          <w:lang w:val="fr-FR"/>
        </w:rPr>
        <w:t>enquête de sécurité du personnel et la recherche d</w:t>
      </w:r>
      <w:r w:rsidRPr="00A9319E" w:rsidR="00A9319E">
        <w:rPr>
          <w:lang w:val="fr-FR"/>
        </w:rPr>
        <w:t>’</w:t>
      </w:r>
      <w:r w:rsidRPr="00A9319E">
        <w:rPr>
          <w:lang w:val="fr-FR"/>
        </w:rPr>
        <w:t>archives) sera établie par la commission d</w:t>
      </w:r>
      <w:r w:rsidRPr="00A9319E" w:rsidR="00A9319E">
        <w:rPr>
          <w:lang w:val="fr-FR"/>
        </w:rPr>
        <w:t>’</w:t>
      </w:r>
      <w:r w:rsidRPr="00A9319E">
        <w:rPr>
          <w:lang w:val="fr-FR"/>
        </w:rPr>
        <w:t>évaluation du ministère » ;</w:t>
      </w:r>
    </w:p>
    <w:p w:rsidRPr="00A9319E" w:rsidR="00A35C9D" w:rsidP="00A9319E" w:rsidRDefault="00A35C9D">
      <w:pPr>
        <w:pStyle w:val="ECHRParaQuote"/>
        <w:rPr>
          <w:lang w:val="fr-FR"/>
        </w:rPr>
      </w:pPr>
      <w:r w:rsidRPr="00A9319E">
        <w:rPr>
          <w:lang w:val="fr-FR"/>
        </w:rPr>
        <w:t>L</w:t>
      </w:r>
      <w:r w:rsidRPr="00A9319E" w:rsidR="00A9319E">
        <w:rPr>
          <w:lang w:val="fr-FR"/>
        </w:rPr>
        <w:t>’</w:t>
      </w:r>
      <w:r w:rsidRPr="00A9319E">
        <w:rPr>
          <w:lang w:val="fr-FR"/>
        </w:rPr>
        <w:t>article 2 de la directive (...) se lit ainsi : « Cette directive (...) contient les principes et les procédures relatifs aux enquêtes de sécurité et recherches d</w:t>
      </w:r>
      <w:r w:rsidRPr="00A9319E" w:rsidR="00A9319E">
        <w:rPr>
          <w:lang w:val="fr-FR"/>
        </w:rPr>
        <w:t>’</w:t>
      </w:r>
      <w:r w:rsidRPr="00A9319E">
        <w:rPr>
          <w:lang w:val="fr-FR"/>
        </w:rPr>
        <w:t>archives auxquelles [est soumis] tout le personnel devant être nommé de manière permanente à l</w:t>
      </w:r>
      <w:r w:rsidRPr="00A9319E" w:rsidR="00A9319E">
        <w:rPr>
          <w:lang w:val="fr-FR"/>
        </w:rPr>
        <w:t>’</w:t>
      </w:r>
      <w:r w:rsidRPr="00A9319E">
        <w:rPr>
          <w:lang w:val="fr-FR"/>
        </w:rPr>
        <w:t>étranger (...) »</w:t>
      </w:r>
    </w:p>
    <w:p w:rsidRPr="00A9319E" w:rsidR="00A35C9D" w:rsidP="00A9319E" w:rsidRDefault="00A35C9D">
      <w:pPr>
        <w:pStyle w:val="ECHRParaQuote"/>
        <w:rPr>
          <w:lang w:val="fr-FR"/>
        </w:rPr>
      </w:pPr>
      <w:r w:rsidRPr="00A9319E">
        <w:rPr>
          <w:lang w:val="fr-FR"/>
        </w:rPr>
        <w:t>L</w:t>
      </w:r>
      <w:r w:rsidRPr="00A9319E" w:rsidR="00A9319E">
        <w:rPr>
          <w:lang w:val="fr-FR"/>
        </w:rPr>
        <w:t>’</w:t>
      </w:r>
      <w:r w:rsidRPr="00A9319E">
        <w:rPr>
          <w:lang w:val="fr-FR"/>
        </w:rPr>
        <w:t>article 15 intitulé « évaluation » dispose quant à lui : « (...) une commission d</w:t>
      </w:r>
      <w:r w:rsidRPr="00A9319E" w:rsidR="00A9319E">
        <w:rPr>
          <w:lang w:val="fr-FR"/>
        </w:rPr>
        <w:t>’</w:t>
      </w:r>
      <w:r w:rsidRPr="00A9319E">
        <w:rPr>
          <w:lang w:val="fr-FR"/>
        </w:rPr>
        <w:t>évaluation est constituée (...) lorsque les informations obtenues au terme de l</w:t>
      </w:r>
      <w:r w:rsidRPr="00A9319E" w:rsidR="00A9319E">
        <w:rPr>
          <w:lang w:val="fr-FR"/>
        </w:rPr>
        <w:t>’</w:t>
      </w:r>
      <w:r w:rsidRPr="00A9319E">
        <w:rPr>
          <w:lang w:val="fr-FR"/>
        </w:rPr>
        <w:t>enquête de sécurité et de la recherche d</w:t>
      </w:r>
      <w:r w:rsidRPr="00A9319E" w:rsidR="00A9319E">
        <w:rPr>
          <w:lang w:val="fr-FR"/>
        </w:rPr>
        <w:t>’</w:t>
      </w:r>
      <w:r w:rsidRPr="00A9319E">
        <w:rPr>
          <w:lang w:val="fr-FR"/>
        </w:rPr>
        <w:t>archives sont défavorables (...). »</w:t>
      </w:r>
    </w:p>
    <w:p w:rsidRPr="00A9319E" w:rsidR="00A35C9D" w:rsidP="00A9319E" w:rsidRDefault="00A35C9D">
      <w:pPr>
        <w:pStyle w:val="ECHRParaQuote"/>
        <w:rPr>
          <w:lang w:val="fr-FR"/>
        </w:rPr>
      </w:pPr>
      <w:r w:rsidRPr="00A9319E">
        <w:rPr>
          <w:lang w:val="fr-FR"/>
        </w:rPr>
        <w:t>(...). »</w:t>
      </w:r>
    </w:p>
    <w:p w:rsidRPr="00A9319E" w:rsidR="00A35C9D" w:rsidP="00A9319E" w:rsidRDefault="00A35C9D">
      <w:pPr>
        <w:pStyle w:val="ECHRPara"/>
        <w:rPr>
          <w:lang w:val="fr-FR"/>
        </w:rPr>
      </w:pPr>
      <w:r w:rsidRPr="00A9319E">
        <w:rPr>
          <w:lang w:val="fr-FR"/>
        </w:rPr>
        <w:t>Il releva également que le requérant avait passé avec succès le concours litigieux, qu</w:t>
      </w:r>
      <w:r w:rsidRPr="00A9319E" w:rsidR="00A9319E">
        <w:rPr>
          <w:lang w:val="fr-FR"/>
        </w:rPr>
        <w:t>’</w:t>
      </w:r>
      <w:r w:rsidRPr="00A9319E">
        <w:rPr>
          <w:lang w:val="fr-FR"/>
        </w:rPr>
        <w:t>il avait suivi un séminaire d</w:t>
      </w:r>
      <w:r w:rsidRPr="00A9319E" w:rsidR="00A9319E">
        <w:rPr>
          <w:lang w:val="fr-FR"/>
        </w:rPr>
        <w:t>’</w:t>
      </w:r>
      <w:r w:rsidRPr="00A9319E">
        <w:rPr>
          <w:lang w:val="fr-FR"/>
        </w:rPr>
        <w:t>adaptation à cet égard, mais que la commission d</w:t>
      </w:r>
      <w:r w:rsidRPr="00A9319E" w:rsidR="00A9319E">
        <w:rPr>
          <w:lang w:val="fr-FR"/>
        </w:rPr>
        <w:t>’</w:t>
      </w:r>
      <w:r w:rsidRPr="00A9319E">
        <w:rPr>
          <w:lang w:val="fr-FR"/>
        </w:rPr>
        <w:t>évaluation, constituée après l</w:t>
      </w:r>
      <w:r w:rsidRPr="00A9319E" w:rsidR="00A9319E">
        <w:rPr>
          <w:lang w:val="fr-FR"/>
        </w:rPr>
        <w:t>’</w:t>
      </w:r>
      <w:r w:rsidRPr="00A9319E">
        <w:rPr>
          <w:lang w:val="fr-FR"/>
        </w:rPr>
        <w:t>exécution de l</w:t>
      </w:r>
      <w:r w:rsidRPr="00A9319E" w:rsidR="00A9319E">
        <w:rPr>
          <w:lang w:val="fr-FR"/>
        </w:rPr>
        <w:t>’</w:t>
      </w:r>
      <w:r w:rsidRPr="00A9319E">
        <w:rPr>
          <w:lang w:val="fr-FR"/>
        </w:rPr>
        <w:t>enquête de sécurité et la recherche d</w:t>
      </w:r>
      <w:r w:rsidRPr="00A9319E" w:rsidR="00A9319E">
        <w:rPr>
          <w:lang w:val="fr-FR"/>
        </w:rPr>
        <w:t>’</w:t>
      </w:r>
      <w:r w:rsidRPr="00A9319E">
        <w:rPr>
          <w:lang w:val="fr-FR"/>
        </w:rPr>
        <w:t>archives, avait décidé qu</w:t>
      </w:r>
      <w:r w:rsidRPr="00A9319E" w:rsidR="00A9319E">
        <w:rPr>
          <w:lang w:val="fr-FR"/>
        </w:rPr>
        <w:t>’</w:t>
      </w:r>
      <w:r w:rsidRPr="00A9319E">
        <w:rPr>
          <w:lang w:val="fr-FR"/>
        </w:rPr>
        <w:t>il ne pouvait pas être nommé en poste à l</w:t>
      </w:r>
      <w:r w:rsidRPr="00A9319E" w:rsidR="00A9319E">
        <w:rPr>
          <w:lang w:val="fr-FR"/>
        </w:rPr>
        <w:t>’</w:t>
      </w:r>
      <w:r w:rsidRPr="00A9319E">
        <w:rPr>
          <w:lang w:val="fr-FR"/>
        </w:rPr>
        <w:t>étranger. Au vu de ces circonstances, des pièces du dossier, de l</w:t>
      </w:r>
      <w:r w:rsidRPr="00A9319E" w:rsidR="00A9319E">
        <w:rPr>
          <w:lang w:val="fr-FR"/>
        </w:rPr>
        <w:t>’</w:t>
      </w:r>
      <w:r w:rsidRPr="00A9319E">
        <w:rPr>
          <w:lang w:val="fr-FR"/>
        </w:rPr>
        <w:t>importance des postes à l</w:t>
      </w:r>
      <w:r w:rsidRPr="00A9319E" w:rsidR="00A9319E">
        <w:rPr>
          <w:lang w:val="fr-FR"/>
        </w:rPr>
        <w:t>’</w:t>
      </w:r>
      <w:r w:rsidRPr="00A9319E">
        <w:rPr>
          <w:lang w:val="fr-FR"/>
        </w:rPr>
        <w:t>étranger et des nécessités propres à ces postes, le tribunal administratif conclut que la décision litigieuse relevait du pouvoir d</w:t>
      </w:r>
      <w:r w:rsidRPr="00A9319E" w:rsidR="00A9319E">
        <w:rPr>
          <w:lang w:val="fr-FR"/>
        </w:rPr>
        <w:t>’</w:t>
      </w:r>
      <w:r w:rsidRPr="00A9319E">
        <w:rPr>
          <w:lang w:val="fr-FR"/>
        </w:rPr>
        <w:t>appréciation de l</w:t>
      </w:r>
      <w:r w:rsidRPr="00A9319E" w:rsidR="00A9319E">
        <w:rPr>
          <w:lang w:val="fr-FR"/>
        </w:rPr>
        <w:t>’</w:t>
      </w:r>
      <w:r w:rsidRPr="00A9319E">
        <w:rPr>
          <w:lang w:val="fr-FR"/>
        </w:rPr>
        <w:t>administration.</w:t>
      </w:r>
    </w:p>
    <w:p w:rsidRPr="00A9319E" w:rsidR="00A35C9D" w:rsidP="00A9319E" w:rsidRDefault="00A35C9D">
      <w:pPr>
        <w:pStyle w:val="ECHRPara"/>
        <w:rPr>
          <w:lang w:val="fr-FR"/>
        </w:rPr>
      </w:pPr>
      <w:r w:rsidRPr="00A9319E">
        <w:rPr>
          <w:lang w:val="fr-FR"/>
        </w:rPr>
        <w:t>17.  Le 2 octobre 2001, le requérant se pourvut devant le Conseil d</w:t>
      </w:r>
      <w:r w:rsidRPr="00A9319E" w:rsidR="00A9319E">
        <w:rPr>
          <w:lang w:val="fr-FR"/>
        </w:rPr>
        <w:t>’</w:t>
      </w:r>
      <w:r w:rsidRPr="00A9319E">
        <w:rPr>
          <w:lang w:val="fr-FR"/>
        </w:rPr>
        <w:t>État.</w:t>
      </w:r>
    </w:p>
    <w:p w:rsidRPr="00A9319E" w:rsidR="00A9319E" w:rsidP="00A9319E" w:rsidRDefault="00A35C9D">
      <w:pPr>
        <w:pStyle w:val="ECHRPara"/>
        <w:rPr>
          <w:lang w:val="fr-FR"/>
        </w:rPr>
      </w:pPr>
      <w:r w:rsidRPr="00A9319E">
        <w:rPr>
          <w:lang w:val="fr-FR"/>
        </w:rPr>
        <w:t>18.  Le 23 janvier 2002, le Conseil d</w:t>
      </w:r>
      <w:r w:rsidRPr="00A9319E" w:rsidR="00A9319E">
        <w:rPr>
          <w:lang w:val="fr-FR"/>
        </w:rPr>
        <w:t>’</w:t>
      </w:r>
      <w:r w:rsidRPr="00A9319E">
        <w:rPr>
          <w:lang w:val="fr-FR"/>
        </w:rPr>
        <w:t>État rejeta la demande de sursis à exécution de la décision du tribunal administratif.</w:t>
      </w:r>
    </w:p>
    <w:p w:rsidRPr="00A9319E" w:rsidR="00A35C9D" w:rsidP="00A9319E" w:rsidRDefault="00A35C9D">
      <w:pPr>
        <w:pStyle w:val="ECHRPara"/>
        <w:rPr>
          <w:lang w:val="fr-FR"/>
        </w:rPr>
      </w:pPr>
      <w:r w:rsidRPr="00A9319E">
        <w:rPr>
          <w:lang w:val="fr-FR"/>
        </w:rPr>
        <w:t>19.  Le 13 mai 2005, le Conseil d</w:t>
      </w:r>
      <w:r w:rsidRPr="00A9319E" w:rsidR="00A9319E">
        <w:rPr>
          <w:lang w:val="fr-FR"/>
        </w:rPr>
        <w:t>’</w:t>
      </w:r>
      <w:r w:rsidRPr="00A9319E">
        <w:rPr>
          <w:lang w:val="fr-FR"/>
        </w:rPr>
        <w:t>État rejeta le recours du requérant, estimant que la décision de première instance était conforme au droit et à la procédure. Il ressort de cet arrêt que le juge rapporteur émit un avis favorable à la confirmation de la décision de première instance. Le procureur général estima quant à lui que la non-nomination litigieuse était fondée uniquement sur les conclusions de l</w:t>
      </w:r>
      <w:r w:rsidRPr="00A9319E" w:rsidR="00A9319E">
        <w:rPr>
          <w:lang w:val="fr-FR"/>
        </w:rPr>
        <w:t>’</w:t>
      </w:r>
      <w:r w:rsidRPr="00A9319E">
        <w:rPr>
          <w:lang w:val="fr-FR"/>
        </w:rPr>
        <w:t>enquête de sécurité qui avait été réalisée par les services de renseignement et qui, de par sa nature, ne pouvait constituer un élément de preuve. Il ajouta que « (...) les faits reprochés avaient abouti à un non-lieu à poursuivre en 1987 ». Il releva également que, en dehors des informations ayant la nature de renseignements, aucun argument susceptible de justifier la non-nomination litigieuse n</w:t>
      </w:r>
      <w:r w:rsidRPr="00A9319E" w:rsidR="00A9319E">
        <w:rPr>
          <w:lang w:val="fr-FR"/>
        </w:rPr>
        <w:t>’</w:t>
      </w:r>
      <w:r w:rsidRPr="00A9319E">
        <w:rPr>
          <w:lang w:val="fr-FR"/>
        </w:rPr>
        <w:t xml:space="preserve">avait été </w:t>
      </w:r>
      <w:proofErr w:type="gramStart"/>
      <w:r w:rsidRPr="00A9319E">
        <w:rPr>
          <w:lang w:val="fr-FR"/>
        </w:rPr>
        <w:t>avancé</w:t>
      </w:r>
      <w:proofErr w:type="gramEnd"/>
      <w:r w:rsidRPr="00A9319E">
        <w:rPr>
          <w:lang w:val="fr-FR"/>
        </w:rPr>
        <w:t>. Il estima que la décision était contraire au droit, qu</w:t>
      </w:r>
      <w:r w:rsidRPr="00A9319E" w:rsidR="00A9319E">
        <w:rPr>
          <w:lang w:val="fr-FR"/>
        </w:rPr>
        <w:t>’</w:t>
      </w:r>
      <w:r w:rsidRPr="00A9319E">
        <w:rPr>
          <w:lang w:val="fr-FR"/>
        </w:rPr>
        <w:t>elle devait être annulée et qu</w:t>
      </w:r>
      <w:r w:rsidRPr="00A9319E" w:rsidR="00A9319E">
        <w:rPr>
          <w:lang w:val="fr-FR"/>
        </w:rPr>
        <w:t>’</w:t>
      </w:r>
      <w:r w:rsidRPr="00A9319E">
        <w:rPr>
          <w:lang w:val="fr-FR"/>
        </w:rPr>
        <w:t>il fallait faire droit au recours du requérant.</w:t>
      </w:r>
    </w:p>
    <w:p w:rsidRPr="00A9319E" w:rsidR="00A35C9D" w:rsidP="00A9319E" w:rsidRDefault="00A35C9D">
      <w:pPr>
        <w:pStyle w:val="ECHRPara"/>
        <w:rPr>
          <w:lang w:val="fr-FR"/>
        </w:rPr>
      </w:pPr>
      <w:r w:rsidRPr="00A9319E">
        <w:rPr>
          <w:lang w:val="fr-FR"/>
        </w:rPr>
        <w:t>20.  Le 5 juillet 2005, le requérant forma un recours en rectification de cet arrêt. Dans son mémoire, il soutenait notamment que la décision administrative litigieuse ne reposait sur aucun critère objectif et qu</w:t>
      </w:r>
      <w:r w:rsidRPr="00A9319E" w:rsidR="00A9319E">
        <w:rPr>
          <w:lang w:val="fr-FR"/>
        </w:rPr>
        <w:t>’</w:t>
      </w:r>
      <w:r w:rsidRPr="00A9319E">
        <w:rPr>
          <w:lang w:val="fr-FR"/>
        </w:rPr>
        <w:t>elle était arbitraire. Il ajoutait que ces éléments avaient été relevés par le procureur général dans son avis.</w:t>
      </w:r>
    </w:p>
    <w:p w:rsidRPr="00A9319E" w:rsidR="00A35C9D" w:rsidP="00A9319E" w:rsidRDefault="00A35C9D">
      <w:pPr>
        <w:pStyle w:val="ECHRPara"/>
        <w:rPr>
          <w:lang w:val="fr-FR"/>
        </w:rPr>
      </w:pPr>
      <w:r w:rsidRPr="00A9319E">
        <w:rPr>
          <w:lang w:val="fr-FR"/>
        </w:rPr>
        <w:t>21.  Par un arrêt du 19 décembre 2005 notifié le 7 février 2006, le Conseil d</w:t>
      </w:r>
      <w:r w:rsidRPr="00A9319E" w:rsidR="00A9319E">
        <w:rPr>
          <w:lang w:val="fr-FR"/>
        </w:rPr>
        <w:t>’</w:t>
      </w:r>
      <w:r w:rsidRPr="00A9319E">
        <w:rPr>
          <w:lang w:val="fr-FR"/>
        </w:rPr>
        <w:t>État rejeta le recours formé par le requérant. Il ressort de cet arrêt que le juge rapporteur émit un avis favorable au rejet du recours. Le procureur général, quant à lui, estima que l</w:t>
      </w:r>
      <w:r w:rsidRPr="00A9319E" w:rsidR="00A9319E">
        <w:rPr>
          <w:lang w:val="fr-FR"/>
        </w:rPr>
        <w:t>’</w:t>
      </w:r>
      <w:r w:rsidRPr="00A9319E">
        <w:rPr>
          <w:lang w:val="fr-FR"/>
        </w:rPr>
        <w:t>utilisation faite au détriment du requérant des informations ayant la nature de renseignements qui avaient été recueillies était contraire au principe de l</w:t>
      </w:r>
      <w:r w:rsidRPr="00A9319E" w:rsidR="00A9319E">
        <w:rPr>
          <w:lang w:val="fr-FR"/>
        </w:rPr>
        <w:t>’</w:t>
      </w:r>
      <w:r w:rsidRPr="00A9319E">
        <w:rPr>
          <w:lang w:val="fr-FR"/>
        </w:rPr>
        <w:t>État de droit, dès lors qu</w:t>
      </w:r>
      <w:r w:rsidRPr="00A9319E" w:rsidR="00A9319E">
        <w:rPr>
          <w:lang w:val="fr-FR"/>
        </w:rPr>
        <w:t>’</w:t>
      </w:r>
      <w:r w:rsidRPr="00A9319E">
        <w:rPr>
          <w:lang w:val="fr-FR"/>
        </w:rPr>
        <w:t>elles avaient été obtenues par une institution non identifiée et que par ailleurs elles n</w:t>
      </w:r>
      <w:r w:rsidRPr="00A9319E" w:rsidR="00A9319E">
        <w:rPr>
          <w:lang w:val="fr-FR"/>
        </w:rPr>
        <w:t>’</w:t>
      </w:r>
      <w:r w:rsidRPr="00A9319E">
        <w:rPr>
          <w:lang w:val="fr-FR"/>
        </w:rPr>
        <w:t>étaient confirmées par aucun autre renseignement ou document juridiquement valable. Il requit donc l</w:t>
      </w:r>
      <w:r w:rsidRPr="00A9319E" w:rsidR="00A9319E">
        <w:rPr>
          <w:lang w:val="fr-FR"/>
        </w:rPr>
        <w:t>’</w:t>
      </w:r>
      <w:r w:rsidRPr="00A9319E">
        <w:rPr>
          <w:lang w:val="fr-FR"/>
        </w:rPr>
        <w:t>annulation de la décision de première instance, estimant en outre que, à la lumière de la jurisprudence relative à ce type d</w:t>
      </w:r>
      <w:r w:rsidRPr="00A9319E" w:rsidR="00A9319E">
        <w:rPr>
          <w:lang w:val="fr-FR"/>
        </w:rPr>
        <w:t>’</w:t>
      </w:r>
      <w:r w:rsidRPr="00A9319E">
        <w:rPr>
          <w:lang w:val="fr-FR"/>
        </w:rPr>
        <w:t>affaires, elle était contraire au principe d</w:t>
      </w:r>
      <w:r w:rsidRPr="00A9319E" w:rsidR="00A9319E">
        <w:rPr>
          <w:lang w:val="fr-FR"/>
        </w:rPr>
        <w:t>’</w:t>
      </w:r>
      <w:r w:rsidRPr="00A9319E">
        <w:rPr>
          <w:lang w:val="fr-FR"/>
        </w:rPr>
        <w:t>égalité.</w:t>
      </w:r>
    </w:p>
    <w:p w:rsidRPr="00A9319E" w:rsidR="00A35C9D" w:rsidP="00A9319E" w:rsidRDefault="00A35C9D">
      <w:pPr>
        <w:pStyle w:val="ECHRTitle1"/>
        <w:rPr>
          <w:lang w:val="fr-FR"/>
        </w:rPr>
      </w:pPr>
      <w:r w:rsidRPr="00A9319E">
        <w:rPr>
          <w:lang w:val="fr-FR"/>
        </w:rPr>
        <w:t>EN DROIT</w:t>
      </w:r>
    </w:p>
    <w:p w:rsidRPr="00A9319E" w:rsidR="00A35C9D" w:rsidP="00A9319E" w:rsidRDefault="00A35C9D">
      <w:pPr>
        <w:pStyle w:val="ECHRHeading1"/>
        <w:rPr>
          <w:lang w:val="fr-FR"/>
        </w:rPr>
      </w:pPr>
      <w:r w:rsidRPr="00A9319E">
        <w:rPr>
          <w:lang w:val="fr-FR"/>
        </w:rPr>
        <w:t>I.  SUR LA VIOLATION ALLÉGUÉE DE L</w:t>
      </w:r>
      <w:r w:rsidRPr="00A9319E" w:rsidR="00A9319E">
        <w:rPr>
          <w:lang w:val="fr-FR"/>
        </w:rPr>
        <w:t>’</w:t>
      </w:r>
      <w:r w:rsidRPr="00A9319E">
        <w:rPr>
          <w:lang w:val="fr-FR"/>
        </w:rPr>
        <w:t>ARTICLE 6 DE LA CONVENTION</w:t>
      </w:r>
    </w:p>
    <w:p w:rsidRPr="00A9319E" w:rsidR="00A35C9D" w:rsidP="00A9319E" w:rsidRDefault="00A35C9D">
      <w:pPr>
        <w:pStyle w:val="ECHRPara"/>
        <w:rPr>
          <w:lang w:val="fr-FR"/>
        </w:rPr>
      </w:pPr>
      <w:r w:rsidRPr="00A9319E">
        <w:rPr>
          <w:lang w:val="fr-FR"/>
        </w:rPr>
        <w:t>22.  Le requérant plaide que la durée de la procédure devant les instances nationales était incompatible avec l</w:t>
      </w:r>
      <w:r w:rsidRPr="00A9319E" w:rsidR="00A9319E">
        <w:rPr>
          <w:lang w:val="fr-FR"/>
        </w:rPr>
        <w:t>’</w:t>
      </w:r>
      <w:r w:rsidRPr="00A9319E">
        <w:rPr>
          <w:lang w:val="fr-FR"/>
        </w:rPr>
        <w:t>exigence du « délai raisonnable ». Il voit également dans la non-communication des avis du juge rapporteur et du procureur général près le Conseil d</w:t>
      </w:r>
      <w:r w:rsidRPr="00A9319E" w:rsidR="00A9319E">
        <w:rPr>
          <w:lang w:val="fr-FR"/>
        </w:rPr>
        <w:t>’</w:t>
      </w:r>
      <w:r w:rsidRPr="00A9319E">
        <w:rPr>
          <w:lang w:val="fr-FR"/>
        </w:rPr>
        <w:t>État un manquement aux principes de l</w:t>
      </w:r>
      <w:r w:rsidRPr="00A9319E" w:rsidR="00A9319E">
        <w:rPr>
          <w:lang w:val="fr-FR"/>
        </w:rPr>
        <w:t>’</w:t>
      </w:r>
      <w:r w:rsidRPr="00A9319E">
        <w:rPr>
          <w:lang w:val="fr-FR"/>
        </w:rPr>
        <w:t>égalité des armes et du contradictoire</w:t>
      </w:r>
      <w:r w:rsidRPr="00A9319E" w:rsidDel="00DC0908">
        <w:rPr>
          <w:lang w:val="fr-FR"/>
        </w:rPr>
        <w:t xml:space="preserve"> </w:t>
      </w:r>
      <w:r w:rsidRPr="00A9319E">
        <w:rPr>
          <w:lang w:val="fr-FR"/>
        </w:rPr>
        <w:t>et dénonce à cet égard un défaut d</w:t>
      </w:r>
      <w:r w:rsidRPr="00A9319E" w:rsidR="00A9319E">
        <w:rPr>
          <w:lang w:val="fr-FR"/>
        </w:rPr>
        <w:t>’</w:t>
      </w:r>
      <w:r w:rsidRPr="00A9319E">
        <w:rPr>
          <w:lang w:val="fr-FR"/>
        </w:rPr>
        <w:t>équité de la procédure. Enfin, il se plaint d</w:t>
      </w:r>
      <w:r w:rsidRPr="00A9319E" w:rsidR="00A9319E">
        <w:rPr>
          <w:lang w:val="fr-FR"/>
        </w:rPr>
        <w:t>’</w:t>
      </w:r>
      <w:r w:rsidRPr="00A9319E">
        <w:rPr>
          <w:lang w:val="fr-FR"/>
        </w:rPr>
        <w:t>une divergence de jurisprudence et présente, à l</w:t>
      </w:r>
      <w:r w:rsidRPr="00A9319E" w:rsidR="00A9319E">
        <w:rPr>
          <w:lang w:val="fr-FR"/>
        </w:rPr>
        <w:t>’</w:t>
      </w:r>
      <w:r w:rsidRPr="00A9319E">
        <w:rPr>
          <w:lang w:val="fr-FR"/>
        </w:rPr>
        <w:t>appui de cette allégation, deux décisions de juridictions administratives qui auraient donné gain de cause à des enseignants candidats à des postes à l</w:t>
      </w:r>
      <w:r w:rsidRPr="00A9319E" w:rsidR="00A9319E">
        <w:rPr>
          <w:lang w:val="fr-FR"/>
        </w:rPr>
        <w:t>’</w:t>
      </w:r>
      <w:r w:rsidRPr="00A9319E">
        <w:rPr>
          <w:lang w:val="fr-FR"/>
        </w:rPr>
        <w:t>étranger dont la nomination avait selon lui été refusée en raison des conclusions d</w:t>
      </w:r>
      <w:r w:rsidRPr="00A9319E" w:rsidR="00A9319E">
        <w:rPr>
          <w:lang w:val="fr-FR"/>
        </w:rPr>
        <w:t>’</w:t>
      </w:r>
      <w:r w:rsidRPr="00A9319E">
        <w:rPr>
          <w:lang w:val="fr-FR"/>
        </w:rPr>
        <w:t>enquêtes de sécurité.</w:t>
      </w:r>
    </w:p>
    <w:p w:rsidRPr="00A9319E" w:rsidR="00A35C9D" w:rsidP="00A9319E" w:rsidRDefault="00A35C9D">
      <w:pPr>
        <w:pStyle w:val="ECHRPara"/>
        <w:rPr>
          <w:lang w:val="fr-FR"/>
        </w:rPr>
      </w:pPr>
      <w:r w:rsidRPr="00A9319E">
        <w:rPr>
          <w:lang w:val="fr-FR"/>
        </w:rPr>
        <w:t>Il invoque l</w:t>
      </w:r>
      <w:r w:rsidRPr="00A9319E" w:rsidR="00A9319E">
        <w:rPr>
          <w:lang w:val="fr-FR"/>
        </w:rPr>
        <w:t>’</w:t>
      </w:r>
      <w:r w:rsidRPr="00A9319E">
        <w:rPr>
          <w:lang w:val="fr-FR"/>
        </w:rPr>
        <w:t>article 6 de la Convention, ainsi libellé en ses passages pertinents en l</w:t>
      </w:r>
      <w:r w:rsidRPr="00A9319E" w:rsidR="00A9319E">
        <w:rPr>
          <w:lang w:val="fr-FR"/>
        </w:rPr>
        <w:t>’</w:t>
      </w:r>
      <w:r w:rsidRPr="00A9319E">
        <w:rPr>
          <w:lang w:val="fr-FR"/>
        </w:rPr>
        <w:t>espèce :</w:t>
      </w:r>
    </w:p>
    <w:p w:rsidRPr="00A9319E" w:rsidR="00A35C9D" w:rsidP="00A9319E" w:rsidRDefault="00A35C9D">
      <w:pPr>
        <w:pStyle w:val="ECHRParaQuote"/>
        <w:jc w:val="center"/>
        <w:rPr>
          <w:b/>
          <w:lang w:val="fr-FR"/>
        </w:rPr>
      </w:pPr>
      <w:r w:rsidRPr="00A9319E">
        <w:rPr>
          <w:b/>
          <w:lang w:val="fr-FR"/>
        </w:rPr>
        <w:t>Article 6 § 1</w:t>
      </w:r>
    </w:p>
    <w:p w:rsidRPr="00A9319E" w:rsidR="00A35C9D" w:rsidP="00A9319E" w:rsidRDefault="00A35C9D">
      <w:pPr>
        <w:pStyle w:val="ECHRParaQuote"/>
        <w:rPr>
          <w:lang w:val="fr-FR"/>
        </w:rPr>
      </w:pPr>
      <w:r w:rsidRPr="00A9319E">
        <w:rPr>
          <w:lang w:val="fr-FR"/>
        </w:rPr>
        <w:t>« Toute personne a droit à ce que sa cause soit entendue équitablement (...) dans un délai raisonnable, par un tribunal (...), qui décidera (...) des contestations sur ses droits et obligations de caractère civil (...) »</w:t>
      </w:r>
    </w:p>
    <w:p w:rsidRPr="00A9319E" w:rsidR="00A35C9D" w:rsidP="00A9319E" w:rsidRDefault="00A35C9D">
      <w:pPr>
        <w:pStyle w:val="ECHRPara"/>
        <w:rPr>
          <w:lang w:val="fr-FR"/>
        </w:rPr>
      </w:pPr>
      <w:r w:rsidRPr="00A9319E">
        <w:rPr>
          <w:lang w:val="fr-FR"/>
        </w:rPr>
        <w:t>23.  Le Gouvernement ne se prononce pas.</w:t>
      </w:r>
    </w:p>
    <w:p w:rsidRPr="00A9319E" w:rsidR="00A35C9D" w:rsidP="00A9319E" w:rsidRDefault="00A35C9D">
      <w:pPr>
        <w:pStyle w:val="ECHRHeading2"/>
        <w:rPr>
          <w:lang w:val="fr-FR"/>
        </w:rPr>
      </w:pPr>
      <w:r w:rsidRPr="00A9319E">
        <w:rPr>
          <w:lang w:val="fr-FR"/>
        </w:rPr>
        <w:t>A.  Sur l</w:t>
      </w:r>
      <w:r w:rsidRPr="00A9319E" w:rsidR="00A9319E">
        <w:rPr>
          <w:lang w:val="fr-FR"/>
        </w:rPr>
        <w:t>’</w:t>
      </w:r>
      <w:r w:rsidRPr="00A9319E">
        <w:rPr>
          <w:lang w:val="fr-FR"/>
        </w:rPr>
        <w:t>applicabilité de l</w:t>
      </w:r>
      <w:r w:rsidRPr="00A9319E" w:rsidR="00A9319E">
        <w:rPr>
          <w:lang w:val="fr-FR"/>
        </w:rPr>
        <w:t>’</w:t>
      </w:r>
      <w:r w:rsidRPr="00A9319E">
        <w:rPr>
          <w:lang w:val="fr-FR"/>
        </w:rPr>
        <w:t>article 6 de la Convention</w:t>
      </w:r>
    </w:p>
    <w:p w:rsidRPr="00A9319E" w:rsidR="00A35C9D" w:rsidP="00A9319E" w:rsidRDefault="00A35C9D">
      <w:pPr>
        <w:pStyle w:val="ECHRPara"/>
        <w:rPr>
          <w:snapToGrid w:val="0"/>
          <w:lang w:val="fr-FR"/>
        </w:rPr>
      </w:pPr>
      <w:r w:rsidRPr="00A9319E">
        <w:rPr>
          <w:lang w:val="fr-FR"/>
        </w:rPr>
        <w:t>24.  </w:t>
      </w:r>
      <w:r w:rsidRPr="00A9319E">
        <w:rPr>
          <w:rFonts w:cstheme="minorHAnsi"/>
          <w:lang w:val="fr-FR"/>
        </w:rPr>
        <w:t>À</w:t>
      </w:r>
      <w:r w:rsidRPr="00A9319E">
        <w:rPr>
          <w:lang w:val="fr-FR"/>
        </w:rPr>
        <w:t xml:space="preserve"> la lumière des principes énoncés dans sa jurisprudence (voir, entre autres, </w:t>
      </w:r>
      <w:proofErr w:type="spellStart"/>
      <w:r w:rsidRPr="00A9319E">
        <w:rPr>
          <w:i/>
          <w:lang w:val="fr-FR"/>
        </w:rPr>
        <w:t>Vilho</w:t>
      </w:r>
      <w:proofErr w:type="spellEnd"/>
      <w:r w:rsidRPr="00A9319E">
        <w:rPr>
          <w:i/>
          <w:lang w:val="fr-FR"/>
        </w:rPr>
        <w:t xml:space="preserve"> </w:t>
      </w:r>
      <w:proofErr w:type="spellStart"/>
      <w:r w:rsidRPr="00A9319E">
        <w:rPr>
          <w:i/>
          <w:lang w:val="fr-FR"/>
        </w:rPr>
        <w:t>Eskelinen</w:t>
      </w:r>
      <w:proofErr w:type="spellEnd"/>
      <w:r w:rsidRPr="00A9319E">
        <w:rPr>
          <w:i/>
          <w:lang w:val="fr-FR"/>
        </w:rPr>
        <w:t xml:space="preserve"> et autres c. Finlande</w:t>
      </w:r>
      <w:r w:rsidRPr="00A9319E">
        <w:rPr>
          <w:szCs w:val="24"/>
          <w:lang w:val="fr-FR"/>
        </w:rPr>
        <w:t xml:space="preserve"> [GC], n</w:t>
      </w:r>
      <w:r w:rsidRPr="00A9319E">
        <w:rPr>
          <w:szCs w:val="24"/>
          <w:vertAlign w:val="superscript"/>
          <w:lang w:val="fr-FR"/>
        </w:rPr>
        <w:t>o</w:t>
      </w:r>
      <w:r w:rsidRPr="00A9319E">
        <w:rPr>
          <w:szCs w:val="24"/>
          <w:lang w:val="fr-FR"/>
        </w:rPr>
        <w:t xml:space="preserve"> 63235/00, §§ 40-64, </w:t>
      </w:r>
      <w:r w:rsidRPr="00A9319E">
        <w:rPr>
          <w:lang w:val="fr-FR"/>
        </w:rPr>
        <w:t>CEDH 2007</w:t>
      </w:r>
      <w:r w:rsidRPr="00A9319E">
        <w:rPr>
          <w:lang w:val="fr-FR"/>
        </w:rPr>
        <w:noBreakHyphen/>
        <w:t xml:space="preserve">II, et </w:t>
      </w:r>
      <w:proofErr w:type="spellStart"/>
      <w:r w:rsidRPr="00A9319E">
        <w:rPr>
          <w:i/>
          <w:lang w:val="fr-FR"/>
        </w:rPr>
        <w:t>Emel</w:t>
      </w:r>
      <w:proofErr w:type="spellEnd"/>
      <w:r w:rsidRPr="00A9319E">
        <w:rPr>
          <w:i/>
          <w:lang w:val="fr-FR"/>
        </w:rPr>
        <w:t xml:space="preserve"> </w:t>
      </w:r>
      <w:proofErr w:type="spellStart"/>
      <w:r w:rsidRPr="00A9319E">
        <w:rPr>
          <w:i/>
          <w:lang w:val="fr-FR"/>
        </w:rPr>
        <w:t>Boyraz</w:t>
      </w:r>
      <w:proofErr w:type="spellEnd"/>
      <w:r w:rsidRPr="00A9319E">
        <w:rPr>
          <w:lang w:val="fr-FR"/>
        </w:rPr>
        <w:t xml:space="preserve"> </w:t>
      </w:r>
      <w:r w:rsidRPr="00A9319E">
        <w:rPr>
          <w:i/>
          <w:lang w:val="fr-FR"/>
        </w:rPr>
        <w:t>c. Turquie</w:t>
      </w:r>
      <w:r w:rsidRPr="00A9319E">
        <w:rPr>
          <w:lang w:val="fr-FR"/>
        </w:rPr>
        <w:t>, n</w:t>
      </w:r>
      <w:r w:rsidRPr="00A9319E">
        <w:rPr>
          <w:vertAlign w:val="superscript"/>
          <w:lang w:val="fr-FR"/>
        </w:rPr>
        <w:t>o</w:t>
      </w:r>
      <w:r w:rsidRPr="00A9319E">
        <w:rPr>
          <w:lang w:val="fr-FR"/>
        </w:rPr>
        <w:t xml:space="preserve"> 61960/08</w:t>
      </w:r>
      <w:r w:rsidRPr="00A9319E">
        <w:rPr>
          <w:snapToGrid w:val="0"/>
          <w:lang w:val="fr-FR"/>
        </w:rPr>
        <w:t xml:space="preserve">, § 62, 2 </w:t>
      </w:r>
      <w:r w:rsidRPr="00A9319E">
        <w:rPr>
          <w:lang w:val="fr-FR"/>
        </w:rPr>
        <w:t>décembre</w:t>
      </w:r>
      <w:r w:rsidRPr="00A9319E">
        <w:rPr>
          <w:snapToGrid w:val="0"/>
          <w:lang w:val="fr-FR"/>
        </w:rPr>
        <w:t xml:space="preserve"> 2014), la Cour estime que l</w:t>
      </w:r>
      <w:r w:rsidRPr="00A9319E" w:rsidR="00A9319E">
        <w:rPr>
          <w:snapToGrid w:val="0"/>
          <w:lang w:val="fr-FR"/>
        </w:rPr>
        <w:t>’</w:t>
      </w:r>
      <w:r w:rsidRPr="00A9319E">
        <w:rPr>
          <w:snapToGrid w:val="0"/>
          <w:lang w:val="fr-FR"/>
        </w:rPr>
        <w:t>article 6 de la Convention trouve à s</w:t>
      </w:r>
      <w:r w:rsidRPr="00A9319E" w:rsidR="00A9319E">
        <w:rPr>
          <w:snapToGrid w:val="0"/>
          <w:lang w:val="fr-FR"/>
        </w:rPr>
        <w:t>’</w:t>
      </w:r>
      <w:r w:rsidRPr="00A9319E">
        <w:rPr>
          <w:snapToGrid w:val="0"/>
          <w:lang w:val="fr-FR"/>
        </w:rPr>
        <w:t>appliquer en l</w:t>
      </w:r>
      <w:r w:rsidRPr="00A9319E" w:rsidR="00A9319E">
        <w:rPr>
          <w:snapToGrid w:val="0"/>
          <w:lang w:val="fr-FR"/>
        </w:rPr>
        <w:t>’</w:t>
      </w:r>
      <w:r w:rsidRPr="00A9319E">
        <w:rPr>
          <w:snapToGrid w:val="0"/>
          <w:lang w:val="fr-FR"/>
        </w:rPr>
        <w:t>espèce.</w:t>
      </w:r>
    </w:p>
    <w:p w:rsidRPr="00A9319E" w:rsidR="00A35C9D" w:rsidP="00A9319E" w:rsidRDefault="00A35C9D">
      <w:pPr>
        <w:pStyle w:val="ECHRHeading2"/>
        <w:rPr>
          <w:lang w:val="fr-FR"/>
        </w:rPr>
      </w:pPr>
      <w:r w:rsidRPr="00A9319E">
        <w:rPr>
          <w:lang w:val="fr-FR"/>
        </w:rPr>
        <w:t>B.  Sur la recevabilité</w:t>
      </w:r>
    </w:p>
    <w:p w:rsidRPr="00A9319E" w:rsidR="00A35C9D" w:rsidP="00A9319E" w:rsidRDefault="00A35C9D">
      <w:pPr>
        <w:pStyle w:val="ECHRHeading3"/>
        <w:rPr>
          <w:lang w:val="fr-FR"/>
        </w:rPr>
      </w:pPr>
      <w:r w:rsidRPr="00A9319E">
        <w:rPr>
          <w:lang w:val="fr-FR"/>
        </w:rPr>
        <w:t>1.  En ce qui concerne la non-communication de l</w:t>
      </w:r>
      <w:r w:rsidRPr="00A9319E" w:rsidR="00A9319E">
        <w:rPr>
          <w:lang w:val="fr-FR"/>
        </w:rPr>
        <w:t>’</w:t>
      </w:r>
      <w:r w:rsidRPr="00A9319E">
        <w:rPr>
          <w:lang w:val="fr-FR"/>
        </w:rPr>
        <w:t>avis du juge rapporteur près le Conseil d</w:t>
      </w:r>
      <w:r w:rsidRPr="00A9319E" w:rsidR="00A9319E">
        <w:rPr>
          <w:lang w:val="fr-FR"/>
        </w:rPr>
        <w:t>’</w:t>
      </w:r>
      <w:r w:rsidRPr="00A9319E">
        <w:rPr>
          <w:lang w:val="fr-FR"/>
        </w:rPr>
        <w:t>État</w:t>
      </w:r>
    </w:p>
    <w:p w:rsidRPr="00A9319E" w:rsidR="00A35C9D" w:rsidP="00A9319E" w:rsidRDefault="00A35C9D">
      <w:pPr>
        <w:pStyle w:val="ECHRPara"/>
        <w:rPr>
          <w:lang w:val="fr-FR"/>
        </w:rPr>
      </w:pPr>
      <w:r w:rsidRPr="00A9319E">
        <w:rPr>
          <w:lang w:val="fr-FR"/>
        </w:rPr>
        <w:t>25.  La Cour rappelle qu</w:t>
      </w:r>
      <w:r w:rsidRPr="00A9319E" w:rsidR="00A9319E">
        <w:rPr>
          <w:lang w:val="fr-FR"/>
        </w:rPr>
        <w:t>’</w:t>
      </w:r>
      <w:r w:rsidRPr="00A9319E">
        <w:rPr>
          <w:lang w:val="fr-FR"/>
        </w:rPr>
        <w:t>elle s</w:t>
      </w:r>
      <w:r w:rsidRPr="00A9319E" w:rsidR="00A9319E">
        <w:rPr>
          <w:lang w:val="fr-FR"/>
        </w:rPr>
        <w:t>’</w:t>
      </w:r>
      <w:r w:rsidRPr="00A9319E">
        <w:rPr>
          <w:lang w:val="fr-FR"/>
        </w:rPr>
        <w:t>est déjà prononcée sur une question similaire dans le cadre de l</w:t>
      </w:r>
      <w:r w:rsidRPr="00A9319E" w:rsidR="00A9319E">
        <w:rPr>
          <w:lang w:val="fr-FR"/>
        </w:rPr>
        <w:t>’</w:t>
      </w:r>
      <w:r w:rsidRPr="00A9319E">
        <w:rPr>
          <w:lang w:val="fr-FR"/>
        </w:rPr>
        <w:t xml:space="preserve">affaire </w:t>
      </w:r>
      <w:proofErr w:type="spellStart"/>
      <w:r w:rsidRPr="00A9319E">
        <w:rPr>
          <w:i/>
          <w:lang w:val="fr-FR"/>
        </w:rPr>
        <w:t>Meral</w:t>
      </w:r>
      <w:proofErr w:type="spellEnd"/>
      <w:r w:rsidRPr="00A9319E">
        <w:rPr>
          <w:i/>
          <w:lang w:val="fr-FR"/>
        </w:rPr>
        <w:t xml:space="preserve"> c. Turquie</w:t>
      </w:r>
      <w:r w:rsidRPr="00A9319E">
        <w:rPr>
          <w:lang w:val="fr-FR"/>
        </w:rPr>
        <w:t xml:space="preserve"> (n</w:t>
      </w:r>
      <w:r w:rsidRPr="00A9319E">
        <w:rPr>
          <w:vertAlign w:val="superscript"/>
          <w:lang w:val="fr-FR"/>
        </w:rPr>
        <w:t>o</w:t>
      </w:r>
      <w:r w:rsidRPr="00A9319E">
        <w:rPr>
          <w:lang w:val="fr-FR"/>
        </w:rPr>
        <w:t xml:space="preserve"> 33446/02, §</w:t>
      </w:r>
      <w:r w:rsidRPr="00A9319E" w:rsidR="00AD2504">
        <w:rPr>
          <w:lang w:val="fr-FR"/>
        </w:rPr>
        <w:t>§ </w:t>
      </w:r>
      <w:r w:rsidRPr="00A9319E">
        <w:rPr>
          <w:lang w:val="fr-FR"/>
        </w:rPr>
        <w:t>40-43, 27 novembre 2007) et qu</w:t>
      </w:r>
      <w:r w:rsidRPr="00A9319E" w:rsidR="00A9319E">
        <w:rPr>
          <w:lang w:val="fr-FR"/>
        </w:rPr>
        <w:t>’</w:t>
      </w:r>
      <w:r w:rsidRPr="00A9319E">
        <w:rPr>
          <w:lang w:val="fr-FR"/>
        </w:rPr>
        <w:t>elle a conclu à l</w:t>
      </w:r>
      <w:r w:rsidRPr="00A9319E" w:rsidR="00A9319E">
        <w:rPr>
          <w:lang w:val="fr-FR"/>
        </w:rPr>
        <w:t>’</w:t>
      </w:r>
      <w:r w:rsidRPr="00A9319E">
        <w:rPr>
          <w:lang w:val="fr-FR"/>
        </w:rPr>
        <w:t>absence de violation de l</w:t>
      </w:r>
      <w:r w:rsidRPr="00A9319E" w:rsidR="00A9319E">
        <w:rPr>
          <w:lang w:val="fr-FR"/>
        </w:rPr>
        <w:t>’</w:t>
      </w:r>
      <w:r w:rsidRPr="00A9319E">
        <w:rPr>
          <w:lang w:val="fr-FR"/>
        </w:rPr>
        <w:t>article 6 § 1 de la Convention de ce chef. Elle estime qu</w:t>
      </w:r>
      <w:r w:rsidRPr="00A9319E" w:rsidR="00A9319E">
        <w:rPr>
          <w:lang w:val="fr-FR"/>
        </w:rPr>
        <w:t>’</w:t>
      </w:r>
      <w:r w:rsidRPr="00A9319E">
        <w:rPr>
          <w:lang w:val="fr-FR"/>
        </w:rPr>
        <w:t>aucune circonstance de la présente affaire ne lui permet de s</w:t>
      </w:r>
      <w:r w:rsidRPr="00A9319E" w:rsidR="00A9319E">
        <w:rPr>
          <w:lang w:val="fr-FR"/>
        </w:rPr>
        <w:t>’</w:t>
      </w:r>
      <w:r w:rsidRPr="00A9319E">
        <w:rPr>
          <w:lang w:val="fr-FR"/>
        </w:rPr>
        <w:t>écarter de ce constat. Par conséquent, elle considère que ce grief est manifestement mal fondé et qu</w:t>
      </w:r>
      <w:r w:rsidRPr="00A9319E" w:rsidR="00A9319E">
        <w:rPr>
          <w:lang w:val="fr-FR"/>
        </w:rPr>
        <w:t>’</w:t>
      </w:r>
      <w:r w:rsidRPr="00A9319E">
        <w:rPr>
          <w:lang w:val="fr-FR"/>
        </w:rPr>
        <w:t>il doit être rejeté, en application de l</w:t>
      </w:r>
      <w:r w:rsidRPr="00A9319E" w:rsidR="00A9319E">
        <w:rPr>
          <w:lang w:val="fr-FR"/>
        </w:rPr>
        <w:t>’</w:t>
      </w:r>
      <w:r w:rsidRPr="00A9319E">
        <w:rPr>
          <w:lang w:val="fr-FR"/>
        </w:rPr>
        <w:t>article 35 §§ 3 et 4 de la Convention.</w:t>
      </w:r>
    </w:p>
    <w:p w:rsidRPr="00A9319E" w:rsidR="00A35C9D" w:rsidP="00A9319E" w:rsidRDefault="00A35C9D">
      <w:pPr>
        <w:pStyle w:val="ECHRHeading3"/>
        <w:rPr>
          <w:lang w:val="fr-FR"/>
        </w:rPr>
      </w:pPr>
      <w:r w:rsidRPr="00A9319E">
        <w:rPr>
          <w:lang w:val="fr-FR"/>
        </w:rPr>
        <w:t>2.  En ce qui concerne la non-communication de l</w:t>
      </w:r>
      <w:r w:rsidRPr="00A9319E" w:rsidR="00A9319E">
        <w:rPr>
          <w:lang w:val="fr-FR"/>
        </w:rPr>
        <w:t>’</w:t>
      </w:r>
      <w:r w:rsidRPr="00A9319E">
        <w:rPr>
          <w:lang w:val="fr-FR"/>
        </w:rPr>
        <w:t>avis du procureur général près le Conseil d</w:t>
      </w:r>
      <w:r w:rsidRPr="00A9319E" w:rsidR="00A9319E">
        <w:rPr>
          <w:lang w:val="fr-FR"/>
        </w:rPr>
        <w:t>’</w:t>
      </w:r>
      <w:r w:rsidRPr="00A9319E">
        <w:rPr>
          <w:lang w:val="fr-FR"/>
        </w:rPr>
        <w:t>État</w:t>
      </w:r>
    </w:p>
    <w:p w:rsidRPr="00A9319E" w:rsidR="00A35C9D" w:rsidP="00A9319E" w:rsidRDefault="00A35C9D">
      <w:pPr>
        <w:pStyle w:val="ECHRPara"/>
        <w:rPr>
          <w:lang w:val="fr-FR"/>
        </w:rPr>
      </w:pPr>
      <w:r w:rsidRPr="00A9319E">
        <w:rPr>
          <w:lang w:val="fr-FR"/>
        </w:rPr>
        <w:t>26.  La Cour rappelle avoir déjà examiné une question similaire dans l</w:t>
      </w:r>
      <w:r w:rsidRPr="00A9319E" w:rsidR="00A9319E">
        <w:rPr>
          <w:lang w:val="fr-FR"/>
        </w:rPr>
        <w:t>’</w:t>
      </w:r>
      <w:r w:rsidRPr="00A9319E">
        <w:rPr>
          <w:lang w:val="fr-FR"/>
        </w:rPr>
        <w:t xml:space="preserve">affaire </w:t>
      </w:r>
      <w:proofErr w:type="spellStart"/>
      <w:r w:rsidRPr="00A9319E">
        <w:rPr>
          <w:i/>
          <w:iCs/>
          <w:lang w:val="fr-FR"/>
        </w:rPr>
        <w:t>Kılıç</w:t>
      </w:r>
      <w:proofErr w:type="spellEnd"/>
      <w:r w:rsidRPr="00A9319E">
        <w:rPr>
          <w:i/>
          <w:iCs/>
          <w:lang w:val="fr-FR"/>
        </w:rPr>
        <w:t xml:space="preserve"> et autres c. Turquie</w:t>
      </w:r>
      <w:r w:rsidRPr="00A9319E">
        <w:rPr>
          <w:lang w:val="fr-FR" w:eastAsia="en-GB"/>
        </w:rPr>
        <w:t xml:space="preserve"> ((déc.), n</w:t>
      </w:r>
      <w:r w:rsidRPr="00A9319E">
        <w:rPr>
          <w:vertAlign w:val="superscript"/>
          <w:lang w:val="fr-FR" w:eastAsia="en-GB"/>
        </w:rPr>
        <w:t>o</w:t>
      </w:r>
      <w:r w:rsidRPr="00A9319E">
        <w:rPr>
          <w:lang w:val="fr-FR" w:eastAsia="en-GB"/>
        </w:rPr>
        <w:t xml:space="preserve"> 33162/10, §§</w:t>
      </w:r>
      <w:r w:rsidRPr="00A9319E" w:rsidR="00AD2504">
        <w:rPr>
          <w:lang w:val="fr-FR" w:eastAsia="en-GB"/>
        </w:rPr>
        <w:t> </w:t>
      </w:r>
      <w:r w:rsidRPr="00A9319E">
        <w:rPr>
          <w:lang w:val="fr-FR" w:eastAsia="en-GB"/>
        </w:rPr>
        <w:t>19-32, 3 </w:t>
      </w:r>
      <w:r w:rsidRPr="00A9319E">
        <w:rPr>
          <w:lang w:val="fr-FR"/>
        </w:rPr>
        <w:t>décembre 2013). Dans cette affaire, elle a conclu que les requérants n</w:t>
      </w:r>
      <w:r w:rsidRPr="00A9319E" w:rsidR="00A9319E">
        <w:rPr>
          <w:lang w:val="fr-FR"/>
        </w:rPr>
        <w:t>’</w:t>
      </w:r>
      <w:r w:rsidRPr="00A9319E">
        <w:rPr>
          <w:lang w:val="fr-FR"/>
        </w:rPr>
        <w:t>avaient pas subi un « préjudice important » dans l</w:t>
      </w:r>
      <w:r w:rsidRPr="00A9319E" w:rsidR="00A9319E">
        <w:rPr>
          <w:lang w:val="fr-FR"/>
        </w:rPr>
        <w:t>’</w:t>
      </w:r>
      <w:r w:rsidRPr="00A9319E">
        <w:rPr>
          <w:lang w:val="fr-FR"/>
        </w:rPr>
        <w:t>exercice de leur droit de participer de manière adéquate à la procédure litigieuse et, en conséquence, elle a déclaré leur grief irrecevable en vertu de l</w:t>
      </w:r>
      <w:r w:rsidRPr="00A9319E" w:rsidR="00A9319E">
        <w:rPr>
          <w:lang w:val="fr-FR"/>
        </w:rPr>
        <w:t>’</w:t>
      </w:r>
      <w:r w:rsidRPr="00A9319E">
        <w:rPr>
          <w:lang w:val="fr-FR"/>
        </w:rPr>
        <w:t>article</w:t>
      </w:r>
      <w:r w:rsidRPr="00A9319E" w:rsidR="00AD2504">
        <w:rPr>
          <w:lang w:val="fr-FR"/>
        </w:rPr>
        <w:t> </w:t>
      </w:r>
      <w:r w:rsidRPr="00A9319E">
        <w:rPr>
          <w:lang w:val="fr-FR"/>
        </w:rPr>
        <w:t>35 § 3 b) de la Convention.</w:t>
      </w:r>
    </w:p>
    <w:p w:rsidRPr="00A9319E" w:rsidR="00A35C9D" w:rsidP="00A9319E" w:rsidRDefault="00A35C9D">
      <w:pPr>
        <w:pStyle w:val="ECHRPara"/>
        <w:rPr>
          <w:iCs/>
          <w:lang w:val="fr-FR"/>
        </w:rPr>
      </w:pPr>
      <w:r w:rsidRPr="00A9319E">
        <w:rPr>
          <w:lang w:val="fr-FR"/>
        </w:rPr>
        <w:t>27. </w:t>
      </w:r>
      <w:r w:rsidRPr="00A9319E">
        <w:rPr>
          <w:i/>
          <w:lang w:val="fr-FR"/>
        </w:rPr>
        <w:t> </w:t>
      </w:r>
      <w:r w:rsidRPr="00A9319E">
        <w:rPr>
          <w:lang w:val="fr-FR"/>
        </w:rPr>
        <w:t>En l</w:t>
      </w:r>
      <w:r w:rsidRPr="00A9319E" w:rsidR="00A9319E">
        <w:rPr>
          <w:lang w:val="fr-FR"/>
        </w:rPr>
        <w:t>’</w:t>
      </w:r>
      <w:r w:rsidRPr="00A9319E">
        <w:rPr>
          <w:lang w:val="fr-FR"/>
        </w:rPr>
        <w:t>espèce, la Cour note que l</w:t>
      </w:r>
      <w:r w:rsidRPr="00A9319E" w:rsidR="00A9319E">
        <w:rPr>
          <w:lang w:val="fr-FR"/>
        </w:rPr>
        <w:t>’</w:t>
      </w:r>
      <w:r w:rsidRPr="00A9319E">
        <w:rPr>
          <w:lang w:val="fr-FR"/>
        </w:rPr>
        <w:t>avis du procureur général était favorable au requérant et que celui-ci a d</w:t>
      </w:r>
      <w:r w:rsidRPr="00A9319E" w:rsidR="00A9319E">
        <w:rPr>
          <w:lang w:val="fr-FR"/>
        </w:rPr>
        <w:t>’</w:t>
      </w:r>
      <w:r w:rsidRPr="00A9319E">
        <w:rPr>
          <w:lang w:val="fr-FR"/>
        </w:rPr>
        <w:t>ailleurs pu s</w:t>
      </w:r>
      <w:r w:rsidRPr="00A9319E" w:rsidR="00A9319E">
        <w:rPr>
          <w:lang w:val="fr-FR"/>
        </w:rPr>
        <w:t>’</w:t>
      </w:r>
      <w:r w:rsidRPr="00A9319E">
        <w:rPr>
          <w:lang w:val="fr-FR"/>
        </w:rPr>
        <w:t>y référer dans son recours en rectification (paragraphes 19-20 ci-dessus). Elle ne voit pas de raisons particulières de se départir des conclusions auxquelles elle est parvenue dans l</w:t>
      </w:r>
      <w:r w:rsidRPr="00A9319E" w:rsidR="00A9319E">
        <w:rPr>
          <w:lang w:val="fr-FR"/>
        </w:rPr>
        <w:t>’</w:t>
      </w:r>
      <w:r w:rsidRPr="00A9319E">
        <w:rPr>
          <w:lang w:val="fr-FR"/>
        </w:rPr>
        <w:t xml:space="preserve">affaire </w:t>
      </w:r>
      <w:proofErr w:type="spellStart"/>
      <w:r w:rsidRPr="00A9319E">
        <w:rPr>
          <w:i/>
          <w:iCs/>
          <w:lang w:val="fr-FR"/>
        </w:rPr>
        <w:t>Kılıç</w:t>
      </w:r>
      <w:proofErr w:type="spellEnd"/>
      <w:r w:rsidRPr="00A9319E">
        <w:rPr>
          <w:i/>
          <w:iCs/>
          <w:lang w:val="fr-FR"/>
        </w:rPr>
        <w:t xml:space="preserve"> et autres</w:t>
      </w:r>
      <w:r w:rsidRPr="00A9319E">
        <w:rPr>
          <w:iCs/>
          <w:lang w:val="fr-FR"/>
        </w:rPr>
        <w:t xml:space="preserve"> précitée.</w:t>
      </w:r>
    </w:p>
    <w:p w:rsidRPr="00A9319E" w:rsidR="00A35C9D" w:rsidP="00A9319E" w:rsidRDefault="00A35C9D">
      <w:pPr>
        <w:pStyle w:val="ECHRPara"/>
        <w:rPr>
          <w:iCs/>
          <w:lang w:val="fr-FR"/>
        </w:rPr>
      </w:pPr>
      <w:r w:rsidRPr="00A9319E">
        <w:rPr>
          <w:iCs/>
          <w:lang w:val="fr-FR"/>
        </w:rPr>
        <w:t>28.  La Cour estime donc que ce grief doit être déclaré irrecevable en application de l</w:t>
      </w:r>
      <w:r w:rsidRPr="00A9319E" w:rsidR="00A9319E">
        <w:rPr>
          <w:iCs/>
          <w:lang w:val="fr-FR"/>
        </w:rPr>
        <w:t>’</w:t>
      </w:r>
      <w:r w:rsidRPr="00A9319E">
        <w:rPr>
          <w:iCs/>
          <w:lang w:val="fr-FR"/>
        </w:rPr>
        <w:t>article 35 § 3 b) de la Convention.</w:t>
      </w:r>
    </w:p>
    <w:p w:rsidRPr="00A9319E" w:rsidR="00A35C9D" w:rsidP="00A9319E" w:rsidRDefault="00A35C9D">
      <w:pPr>
        <w:pStyle w:val="ECHRHeading3"/>
        <w:rPr>
          <w:lang w:val="fr-FR"/>
        </w:rPr>
      </w:pPr>
      <w:r w:rsidRPr="00A9319E">
        <w:rPr>
          <w:lang w:val="fr-FR"/>
        </w:rPr>
        <w:t>3.  En ce qui concerne l</w:t>
      </w:r>
      <w:r w:rsidRPr="00A9319E" w:rsidR="00A9319E">
        <w:rPr>
          <w:lang w:val="fr-FR"/>
        </w:rPr>
        <w:t>’</w:t>
      </w:r>
      <w:r w:rsidRPr="00A9319E">
        <w:rPr>
          <w:lang w:val="fr-FR"/>
        </w:rPr>
        <w:t>allégation de divergence de jurisprudence</w:t>
      </w:r>
    </w:p>
    <w:p w:rsidRPr="00A9319E" w:rsidR="00A35C9D" w:rsidP="00A9319E" w:rsidRDefault="00A35C9D">
      <w:pPr>
        <w:pStyle w:val="ECHRPara"/>
        <w:rPr>
          <w:snapToGrid w:val="0"/>
          <w:szCs w:val="24"/>
          <w:lang w:val="fr-FR"/>
        </w:rPr>
      </w:pPr>
      <w:r w:rsidRPr="00A9319E">
        <w:rPr>
          <w:lang w:val="fr-FR"/>
        </w:rPr>
        <w:t>29.  </w:t>
      </w:r>
      <w:r w:rsidRPr="00A9319E">
        <w:rPr>
          <w:rFonts w:cstheme="minorHAnsi"/>
          <w:lang w:val="fr-FR"/>
        </w:rPr>
        <w:t>À</w:t>
      </w:r>
      <w:r w:rsidRPr="00A9319E">
        <w:rPr>
          <w:lang w:val="fr-FR"/>
        </w:rPr>
        <w:t xml:space="preserve"> la lumière de sa jurisprudence (</w:t>
      </w:r>
      <w:proofErr w:type="spellStart"/>
      <w:r w:rsidRPr="00A9319E">
        <w:rPr>
          <w:i/>
          <w:lang w:val="fr-FR"/>
        </w:rPr>
        <w:t>Nejdet</w:t>
      </w:r>
      <w:proofErr w:type="spellEnd"/>
      <w:r w:rsidRPr="00A9319E">
        <w:rPr>
          <w:i/>
          <w:lang w:val="fr-FR"/>
        </w:rPr>
        <w:t xml:space="preserve"> </w:t>
      </w:r>
      <w:proofErr w:type="spellStart"/>
      <w:r w:rsidRPr="00A9319E">
        <w:rPr>
          <w:i/>
          <w:lang w:val="fr-FR"/>
        </w:rPr>
        <w:t>Şahin</w:t>
      </w:r>
      <w:proofErr w:type="spellEnd"/>
      <w:r w:rsidRPr="00A9319E">
        <w:rPr>
          <w:i/>
          <w:lang w:val="fr-FR"/>
        </w:rPr>
        <w:t xml:space="preserve"> et </w:t>
      </w:r>
      <w:proofErr w:type="spellStart"/>
      <w:r w:rsidRPr="00A9319E">
        <w:rPr>
          <w:i/>
          <w:lang w:val="fr-FR"/>
        </w:rPr>
        <w:t>Perihan</w:t>
      </w:r>
      <w:proofErr w:type="spellEnd"/>
      <w:r w:rsidRPr="00A9319E">
        <w:rPr>
          <w:i/>
          <w:lang w:val="fr-FR"/>
        </w:rPr>
        <w:t xml:space="preserve"> </w:t>
      </w:r>
      <w:proofErr w:type="spellStart"/>
      <w:r w:rsidRPr="00A9319E">
        <w:rPr>
          <w:i/>
          <w:lang w:val="fr-FR"/>
        </w:rPr>
        <w:t>Şahin</w:t>
      </w:r>
      <w:proofErr w:type="spellEnd"/>
      <w:r w:rsidRPr="00A9319E">
        <w:rPr>
          <w:i/>
          <w:lang w:val="fr-FR"/>
        </w:rPr>
        <w:t xml:space="preserve"> c. Turquie</w:t>
      </w:r>
      <w:r w:rsidRPr="00A9319E">
        <w:rPr>
          <w:lang w:val="fr-FR"/>
        </w:rPr>
        <w:t xml:space="preserve"> [GC], n</w:t>
      </w:r>
      <w:r w:rsidRPr="00A9319E">
        <w:rPr>
          <w:vertAlign w:val="superscript"/>
          <w:lang w:val="fr-FR"/>
        </w:rPr>
        <w:t>o</w:t>
      </w:r>
      <w:r w:rsidRPr="00A9319E">
        <w:rPr>
          <w:lang w:val="fr-FR"/>
        </w:rPr>
        <w:t xml:space="preserve"> 13279/05</w:t>
      </w:r>
      <w:r w:rsidRPr="00A9319E">
        <w:rPr>
          <w:snapToGrid w:val="0"/>
          <w:szCs w:val="24"/>
          <w:lang w:val="fr-FR"/>
        </w:rPr>
        <w:t xml:space="preserve">, §§ 49-58 et 94-95, </w:t>
      </w:r>
      <w:r w:rsidRPr="00A9319E">
        <w:rPr>
          <w:szCs w:val="24"/>
          <w:lang w:val="fr-FR"/>
        </w:rPr>
        <w:t>20</w:t>
      </w:r>
      <w:r w:rsidRPr="00A9319E">
        <w:rPr>
          <w:snapToGrid w:val="0"/>
          <w:szCs w:val="24"/>
          <w:lang w:val="fr-FR"/>
        </w:rPr>
        <w:t xml:space="preserve"> </w:t>
      </w:r>
      <w:r w:rsidRPr="00A9319E">
        <w:rPr>
          <w:szCs w:val="24"/>
          <w:lang w:val="fr-FR"/>
        </w:rPr>
        <w:t>octobre</w:t>
      </w:r>
      <w:r w:rsidRPr="00A9319E">
        <w:rPr>
          <w:snapToGrid w:val="0"/>
          <w:szCs w:val="24"/>
          <w:lang w:val="fr-FR"/>
        </w:rPr>
        <w:t xml:space="preserve"> 2011), la Cour estime qu</w:t>
      </w:r>
      <w:r w:rsidRPr="00A9319E" w:rsidR="00A9319E">
        <w:rPr>
          <w:snapToGrid w:val="0"/>
          <w:szCs w:val="24"/>
          <w:lang w:val="fr-FR"/>
        </w:rPr>
        <w:t>’</w:t>
      </w:r>
      <w:r w:rsidRPr="00A9319E">
        <w:rPr>
          <w:snapToGrid w:val="0"/>
          <w:szCs w:val="24"/>
          <w:lang w:val="fr-FR"/>
        </w:rPr>
        <w:t>elle ne dispose pas d</w:t>
      </w:r>
      <w:r w:rsidRPr="00A9319E" w:rsidR="00A9319E">
        <w:rPr>
          <w:snapToGrid w:val="0"/>
          <w:szCs w:val="24"/>
          <w:lang w:val="fr-FR"/>
        </w:rPr>
        <w:t>’</w:t>
      </w:r>
      <w:r w:rsidRPr="00A9319E">
        <w:rPr>
          <w:snapToGrid w:val="0"/>
          <w:szCs w:val="24"/>
          <w:lang w:val="fr-FR"/>
        </w:rPr>
        <w:t>éléments suffisants pour conclure qu</w:t>
      </w:r>
      <w:r w:rsidRPr="00A9319E" w:rsidR="00A9319E">
        <w:rPr>
          <w:snapToGrid w:val="0"/>
          <w:szCs w:val="24"/>
          <w:lang w:val="fr-FR"/>
        </w:rPr>
        <w:t>’</w:t>
      </w:r>
      <w:r w:rsidRPr="00A9319E">
        <w:rPr>
          <w:snapToGrid w:val="0"/>
          <w:szCs w:val="24"/>
          <w:lang w:val="fr-FR"/>
        </w:rPr>
        <w:t>une situation d</w:t>
      </w:r>
      <w:r w:rsidRPr="00A9319E" w:rsidR="00A9319E">
        <w:rPr>
          <w:snapToGrid w:val="0"/>
          <w:szCs w:val="24"/>
          <w:lang w:val="fr-FR"/>
        </w:rPr>
        <w:t>’</w:t>
      </w:r>
      <w:r w:rsidRPr="00A9319E">
        <w:rPr>
          <w:snapToGrid w:val="0"/>
          <w:szCs w:val="24"/>
          <w:lang w:val="fr-FR"/>
        </w:rPr>
        <w:t>incertitude jurisprudentielle de nature à porter atteinte au principe de la sécurité juridique serait en cause dans la présente affaire. Partant, elle considère que ce grief du requérant est manifestement mal fondé et qu</w:t>
      </w:r>
      <w:r w:rsidRPr="00A9319E" w:rsidR="00A9319E">
        <w:rPr>
          <w:snapToGrid w:val="0"/>
          <w:szCs w:val="24"/>
          <w:lang w:val="fr-FR"/>
        </w:rPr>
        <w:t>’</w:t>
      </w:r>
      <w:r w:rsidRPr="00A9319E">
        <w:rPr>
          <w:snapToGrid w:val="0"/>
          <w:szCs w:val="24"/>
          <w:lang w:val="fr-FR"/>
        </w:rPr>
        <w:t>il doit être rejeté, en application de l</w:t>
      </w:r>
      <w:r w:rsidRPr="00A9319E" w:rsidR="00A9319E">
        <w:rPr>
          <w:snapToGrid w:val="0"/>
          <w:szCs w:val="24"/>
          <w:lang w:val="fr-FR"/>
        </w:rPr>
        <w:t>’</w:t>
      </w:r>
      <w:r w:rsidRPr="00A9319E">
        <w:rPr>
          <w:snapToGrid w:val="0"/>
          <w:szCs w:val="24"/>
          <w:lang w:val="fr-FR"/>
        </w:rPr>
        <w:t>article 35 §§ 3 et 4 de la Convention.</w:t>
      </w:r>
    </w:p>
    <w:p w:rsidRPr="00A9319E" w:rsidR="00A35C9D" w:rsidP="00A9319E" w:rsidRDefault="00591FF5">
      <w:pPr>
        <w:pStyle w:val="ECHRHeading3"/>
        <w:rPr>
          <w:b/>
          <w:lang w:val="fr-FR"/>
        </w:rPr>
      </w:pPr>
      <w:r w:rsidRPr="00A9319E">
        <w:rPr>
          <w:lang w:val="fr-FR"/>
        </w:rPr>
        <w:t>4.  </w:t>
      </w:r>
      <w:r w:rsidRPr="00A9319E" w:rsidR="00A35C9D">
        <w:rPr>
          <w:lang w:val="fr-FR"/>
        </w:rPr>
        <w:t>Quant à la durée de la procédure</w:t>
      </w:r>
    </w:p>
    <w:p w:rsidRPr="00A9319E" w:rsidR="00A35C9D" w:rsidP="00A9319E" w:rsidRDefault="00A35C9D">
      <w:pPr>
        <w:pStyle w:val="ECHRPara"/>
        <w:rPr>
          <w:lang w:val="fr-FR"/>
        </w:rPr>
      </w:pPr>
      <w:r w:rsidRPr="00A9319E">
        <w:rPr>
          <w:lang w:val="fr-FR"/>
        </w:rPr>
        <w:t>30.  La Cour souligne que le Gouvernement n</w:t>
      </w:r>
      <w:r w:rsidRPr="00A9319E" w:rsidR="00A9319E">
        <w:rPr>
          <w:lang w:val="fr-FR"/>
        </w:rPr>
        <w:t>’</w:t>
      </w:r>
      <w:r w:rsidRPr="00A9319E">
        <w:rPr>
          <w:lang w:val="fr-FR"/>
        </w:rPr>
        <w:t>a pas soumis d</w:t>
      </w:r>
      <w:r w:rsidRPr="00A9319E" w:rsidR="00A9319E">
        <w:rPr>
          <w:lang w:val="fr-FR"/>
        </w:rPr>
        <w:t>’</w:t>
      </w:r>
      <w:r w:rsidRPr="00A9319E">
        <w:rPr>
          <w:lang w:val="fr-FR"/>
        </w:rPr>
        <w:t xml:space="preserve">observations dans la présente affaire. </w:t>
      </w:r>
      <w:r w:rsidRPr="00A9319E">
        <w:rPr>
          <w:rFonts w:cstheme="minorHAnsi"/>
          <w:lang w:val="fr-FR"/>
        </w:rPr>
        <w:t>À</w:t>
      </w:r>
      <w:r w:rsidRPr="00A9319E">
        <w:rPr>
          <w:lang w:val="fr-FR"/>
        </w:rPr>
        <w:t xml:space="preserve"> la lumière de sa jurisprudence concernant le recours en indemnisation instauré en Turquie à </w:t>
      </w:r>
      <w:r w:rsidRPr="00A9319E">
        <w:rPr>
          <w:sz w:val="23"/>
          <w:szCs w:val="23"/>
          <w:lang w:val="fr-FR"/>
        </w:rPr>
        <w:t>la suite de l</w:t>
      </w:r>
      <w:r w:rsidRPr="00A9319E" w:rsidR="00A9319E">
        <w:rPr>
          <w:sz w:val="23"/>
          <w:szCs w:val="23"/>
          <w:lang w:val="fr-FR"/>
        </w:rPr>
        <w:t>’</w:t>
      </w:r>
      <w:r w:rsidRPr="00A9319E">
        <w:rPr>
          <w:sz w:val="23"/>
          <w:szCs w:val="23"/>
          <w:lang w:val="fr-FR"/>
        </w:rPr>
        <w:t>application de la procédure d</w:t>
      </w:r>
      <w:r w:rsidRPr="00A9319E" w:rsidR="00A9319E">
        <w:rPr>
          <w:sz w:val="23"/>
          <w:szCs w:val="23"/>
          <w:lang w:val="fr-FR"/>
        </w:rPr>
        <w:t>’</w:t>
      </w:r>
      <w:r w:rsidRPr="00A9319E">
        <w:rPr>
          <w:sz w:val="23"/>
          <w:szCs w:val="23"/>
          <w:lang w:val="fr-FR"/>
        </w:rPr>
        <w:t>arrêt pilote dans l</w:t>
      </w:r>
      <w:r w:rsidRPr="00A9319E" w:rsidR="00A9319E">
        <w:rPr>
          <w:sz w:val="23"/>
          <w:szCs w:val="23"/>
          <w:lang w:val="fr-FR"/>
        </w:rPr>
        <w:t>’</w:t>
      </w:r>
      <w:r w:rsidRPr="00A9319E">
        <w:rPr>
          <w:sz w:val="23"/>
          <w:szCs w:val="23"/>
          <w:lang w:val="fr-FR"/>
        </w:rPr>
        <w:t xml:space="preserve">affaire </w:t>
      </w:r>
      <w:proofErr w:type="spellStart"/>
      <w:r w:rsidRPr="00A9319E">
        <w:rPr>
          <w:i/>
          <w:lang w:val="fr-FR"/>
        </w:rPr>
        <w:t>Ümmühan</w:t>
      </w:r>
      <w:proofErr w:type="spellEnd"/>
      <w:r w:rsidRPr="00A9319E">
        <w:rPr>
          <w:i/>
          <w:lang w:val="fr-FR"/>
        </w:rPr>
        <w:t xml:space="preserve"> Kaplan c. Turquie</w:t>
      </w:r>
      <w:r w:rsidRPr="00A9319E">
        <w:rPr>
          <w:lang w:val="fr-FR"/>
        </w:rPr>
        <w:t xml:space="preserve"> (n</w:t>
      </w:r>
      <w:r w:rsidRPr="00A9319E">
        <w:rPr>
          <w:vertAlign w:val="superscript"/>
          <w:lang w:val="fr-FR"/>
        </w:rPr>
        <w:t>o</w:t>
      </w:r>
      <w:r w:rsidRPr="00A9319E">
        <w:rPr>
          <w:lang w:val="fr-FR"/>
        </w:rPr>
        <w:t xml:space="preserve"> 24240/07, 20 mars 2012) elle estime que dès lors que le Gouvernement n</w:t>
      </w:r>
      <w:r w:rsidRPr="00A9319E" w:rsidR="00A9319E">
        <w:rPr>
          <w:lang w:val="fr-FR"/>
        </w:rPr>
        <w:t>’</w:t>
      </w:r>
      <w:r w:rsidRPr="00A9319E">
        <w:rPr>
          <w:lang w:val="fr-FR"/>
        </w:rPr>
        <w:t>a pas soulevé d</w:t>
      </w:r>
      <w:r w:rsidRPr="00A9319E" w:rsidR="00A9319E">
        <w:rPr>
          <w:lang w:val="fr-FR"/>
        </w:rPr>
        <w:t>’</w:t>
      </w:r>
      <w:r w:rsidRPr="00A9319E">
        <w:rPr>
          <w:lang w:val="fr-FR"/>
        </w:rPr>
        <w:t xml:space="preserve">exception portant sur ce recours </w:t>
      </w:r>
      <w:r w:rsidRPr="00A9319E">
        <w:rPr>
          <w:sz w:val="23"/>
          <w:szCs w:val="23"/>
          <w:lang w:val="fr-FR"/>
        </w:rPr>
        <w:t>il</w:t>
      </w:r>
      <w:r w:rsidRPr="00A9319E">
        <w:rPr>
          <w:lang w:val="fr-FR"/>
        </w:rPr>
        <w:t xml:space="preserve"> convient de poursuivre l</w:t>
      </w:r>
      <w:r w:rsidRPr="00A9319E" w:rsidR="00A9319E">
        <w:rPr>
          <w:lang w:val="fr-FR"/>
        </w:rPr>
        <w:t>’</w:t>
      </w:r>
      <w:r w:rsidRPr="00A9319E">
        <w:rPr>
          <w:lang w:val="fr-FR"/>
        </w:rPr>
        <w:t>examen du grief du requérant tiré de la durée de la procédure (</w:t>
      </w:r>
      <w:proofErr w:type="spellStart"/>
      <w:r w:rsidRPr="00A9319E">
        <w:rPr>
          <w:i/>
          <w:lang w:val="fr-FR"/>
        </w:rPr>
        <w:t>Sodan</w:t>
      </w:r>
      <w:proofErr w:type="spellEnd"/>
      <w:r w:rsidRPr="00A9319E">
        <w:rPr>
          <w:i/>
          <w:lang w:val="fr-FR"/>
        </w:rPr>
        <w:t xml:space="preserve"> c. Turquie</w:t>
      </w:r>
      <w:r w:rsidRPr="00A9319E">
        <w:rPr>
          <w:lang w:val="fr-FR"/>
        </w:rPr>
        <w:t>, n</w:t>
      </w:r>
      <w:r w:rsidRPr="00A9319E">
        <w:rPr>
          <w:vertAlign w:val="superscript"/>
          <w:lang w:val="fr-FR"/>
        </w:rPr>
        <w:t>o</w:t>
      </w:r>
      <w:r w:rsidRPr="00A9319E">
        <w:rPr>
          <w:lang w:val="fr-FR"/>
        </w:rPr>
        <w:t> 18650/05, §§ 63-65, 2  février 2016).</w:t>
      </w:r>
    </w:p>
    <w:p w:rsidRPr="00A9319E" w:rsidR="00A35C9D" w:rsidP="00A9319E" w:rsidRDefault="00A35C9D">
      <w:pPr>
        <w:pStyle w:val="ECHRPara"/>
        <w:rPr>
          <w:lang w:val="fr-FR"/>
        </w:rPr>
      </w:pPr>
      <w:r w:rsidRPr="00A9319E">
        <w:rPr>
          <w:lang w:val="fr-FR"/>
        </w:rPr>
        <w:t>31.</w:t>
      </w:r>
      <w:r w:rsidRPr="00A9319E" w:rsidR="00AD2504">
        <w:rPr>
          <w:lang w:val="fr-FR"/>
        </w:rPr>
        <w:t> </w:t>
      </w:r>
      <w:r w:rsidRPr="00A9319E">
        <w:rPr>
          <w:lang w:val="fr-FR"/>
        </w:rPr>
        <w:t> Constatant que ce grief n</w:t>
      </w:r>
      <w:r w:rsidRPr="00A9319E" w:rsidR="00A9319E">
        <w:rPr>
          <w:lang w:val="fr-FR"/>
        </w:rPr>
        <w:t>’</w:t>
      </w:r>
      <w:r w:rsidRPr="00A9319E">
        <w:rPr>
          <w:lang w:val="fr-FR"/>
        </w:rPr>
        <w:t>est pas manifestement mal fondé au sens de l</w:t>
      </w:r>
      <w:r w:rsidRPr="00A9319E" w:rsidR="00A9319E">
        <w:rPr>
          <w:lang w:val="fr-FR"/>
        </w:rPr>
        <w:t>’</w:t>
      </w:r>
      <w:r w:rsidRPr="00A9319E">
        <w:rPr>
          <w:lang w:val="fr-FR"/>
        </w:rPr>
        <w:t>article 35 § 3 a) de la Convention et qu</w:t>
      </w:r>
      <w:r w:rsidRPr="00A9319E" w:rsidR="00A9319E">
        <w:rPr>
          <w:lang w:val="fr-FR"/>
        </w:rPr>
        <w:t>’</w:t>
      </w:r>
      <w:r w:rsidRPr="00A9319E">
        <w:rPr>
          <w:lang w:val="fr-FR"/>
        </w:rPr>
        <w:t>il ne se heurte par ailleurs à aucun autre motif d</w:t>
      </w:r>
      <w:r w:rsidRPr="00A9319E" w:rsidR="00A9319E">
        <w:rPr>
          <w:lang w:val="fr-FR"/>
        </w:rPr>
        <w:t>’</w:t>
      </w:r>
      <w:r w:rsidRPr="00A9319E">
        <w:rPr>
          <w:lang w:val="fr-FR"/>
        </w:rPr>
        <w:t>irrecevabilité, la Cour le déclare recevable.</w:t>
      </w:r>
    </w:p>
    <w:p w:rsidRPr="00A9319E" w:rsidR="00A35C9D" w:rsidP="00A9319E" w:rsidRDefault="00AD2504">
      <w:pPr>
        <w:pStyle w:val="ECHRHeading2"/>
        <w:rPr>
          <w:lang w:val="fr-FR"/>
        </w:rPr>
      </w:pPr>
      <w:r w:rsidRPr="00A9319E">
        <w:rPr>
          <w:lang w:val="fr-FR"/>
        </w:rPr>
        <w:t>C.  </w:t>
      </w:r>
      <w:r w:rsidRPr="00A9319E" w:rsidR="00A35C9D">
        <w:rPr>
          <w:lang w:val="fr-FR"/>
        </w:rPr>
        <w:t>Sur le fond</w:t>
      </w:r>
    </w:p>
    <w:p w:rsidRPr="00A9319E" w:rsidR="00A35C9D" w:rsidP="00A9319E" w:rsidRDefault="00A35C9D">
      <w:pPr>
        <w:pStyle w:val="ECHRPara"/>
        <w:rPr>
          <w:lang w:val="fr-FR"/>
        </w:rPr>
      </w:pPr>
      <w:r w:rsidRPr="00A9319E">
        <w:rPr>
          <w:lang w:val="fr-FR"/>
        </w:rPr>
        <w:t>32.  En l</w:t>
      </w:r>
      <w:r w:rsidRPr="00A9319E" w:rsidR="00A9319E">
        <w:rPr>
          <w:lang w:val="fr-FR"/>
        </w:rPr>
        <w:t>’</w:t>
      </w:r>
      <w:r w:rsidRPr="00A9319E">
        <w:rPr>
          <w:lang w:val="fr-FR"/>
        </w:rPr>
        <w:t>espèce, la Cour note que la procédure litigieuse a duré environ quatre ans et onze mois devant les juridictions administratives, dont trois ans et sept mois devant le Conseil d</w:t>
      </w:r>
      <w:r w:rsidRPr="00A9319E" w:rsidR="00A9319E">
        <w:rPr>
          <w:lang w:val="fr-FR"/>
        </w:rPr>
        <w:t>’</w:t>
      </w:r>
      <w:r w:rsidRPr="00A9319E">
        <w:rPr>
          <w:lang w:val="fr-FR"/>
        </w:rPr>
        <w:t>État avant que celui-ci ne statue sur le fond du litige. À cet égard, elle rappelle que la durée « raisonnable » d</w:t>
      </w:r>
      <w:r w:rsidRPr="00A9319E" w:rsidR="00A9319E">
        <w:rPr>
          <w:lang w:val="fr-FR"/>
        </w:rPr>
        <w:t>’</w:t>
      </w:r>
      <w:r w:rsidRPr="00A9319E">
        <w:rPr>
          <w:lang w:val="fr-FR"/>
        </w:rPr>
        <w:t>une procédure doit s</w:t>
      </w:r>
      <w:r w:rsidRPr="00A9319E" w:rsidR="00A9319E">
        <w:rPr>
          <w:lang w:val="fr-FR"/>
        </w:rPr>
        <w:t>’</w:t>
      </w:r>
      <w:r w:rsidRPr="00A9319E">
        <w:rPr>
          <w:lang w:val="fr-FR"/>
        </w:rPr>
        <w:t>apprécier suivant les circonstances de la cause et à l</w:t>
      </w:r>
      <w:r w:rsidRPr="00A9319E" w:rsidR="00A9319E">
        <w:rPr>
          <w:lang w:val="fr-FR"/>
        </w:rPr>
        <w:t>’</w:t>
      </w:r>
      <w:r w:rsidRPr="00A9319E">
        <w:rPr>
          <w:lang w:val="fr-FR"/>
        </w:rPr>
        <w:t>aide des critères suivants : la complexité de l</w:t>
      </w:r>
      <w:r w:rsidRPr="00A9319E" w:rsidR="00A9319E">
        <w:rPr>
          <w:lang w:val="fr-FR"/>
        </w:rPr>
        <w:t>’</w:t>
      </w:r>
      <w:r w:rsidRPr="00A9319E">
        <w:rPr>
          <w:lang w:val="fr-FR"/>
        </w:rPr>
        <w:t>affaire, le comportement des requérants et celui des autorités compétentes ainsi que l</w:t>
      </w:r>
      <w:r w:rsidRPr="00A9319E" w:rsidR="00A9319E">
        <w:rPr>
          <w:lang w:val="fr-FR"/>
        </w:rPr>
        <w:t>’</w:t>
      </w:r>
      <w:r w:rsidRPr="00A9319E">
        <w:rPr>
          <w:lang w:val="fr-FR"/>
        </w:rPr>
        <w:t>enjeu du litige pour les intéressés (</w:t>
      </w:r>
      <w:proofErr w:type="spellStart"/>
      <w:r w:rsidRPr="00A9319E">
        <w:rPr>
          <w:i/>
          <w:lang w:val="fr-FR"/>
        </w:rPr>
        <w:t>Frydlender</w:t>
      </w:r>
      <w:proofErr w:type="spellEnd"/>
      <w:r w:rsidRPr="00A9319E">
        <w:rPr>
          <w:i/>
          <w:lang w:val="fr-FR"/>
        </w:rPr>
        <w:t xml:space="preserve"> c. France</w:t>
      </w:r>
      <w:r w:rsidRPr="00A9319E">
        <w:rPr>
          <w:lang w:val="fr-FR"/>
        </w:rPr>
        <w:t xml:space="preserve"> [GC], n</w:t>
      </w:r>
      <w:r w:rsidRPr="00A9319E">
        <w:rPr>
          <w:vertAlign w:val="superscript"/>
          <w:lang w:val="fr-FR"/>
        </w:rPr>
        <w:t>o</w:t>
      </w:r>
      <w:r w:rsidRPr="00A9319E">
        <w:rPr>
          <w:lang w:val="fr-FR"/>
        </w:rPr>
        <w:t xml:space="preserve"> 30979/96, § 43, CEDH 2000</w:t>
      </w:r>
      <w:r w:rsidRPr="00A9319E">
        <w:rPr>
          <w:lang w:val="fr-FR"/>
        </w:rPr>
        <w:noBreakHyphen/>
        <w:t>VII</w:t>
      </w:r>
      <w:r w:rsidRPr="00A9319E" w:rsidR="0097554C">
        <w:rPr>
          <w:lang w:val="fr-FR"/>
        </w:rPr>
        <w:t>,</w:t>
      </w:r>
      <w:r w:rsidRPr="00A9319E">
        <w:rPr>
          <w:lang w:val="fr-FR"/>
        </w:rPr>
        <w:t xml:space="preserve"> et </w:t>
      </w:r>
      <w:proofErr w:type="spellStart"/>
      <w:r w:rsidRPr="00A9319E">
        <w:rPr>
          <w:i/>
          <w:lang w:val="fr-FR"/>
        </w:rPr>
        <w:t>Rodoplu</w:t>
      </w:r>
      <w:proofErr w:type="spellEnd"/>
      <w:r w:rsidRPr="00A9319E">
        <w:rPr>
          <w:i/>
          <w:lang w:val="fr-FR"/>
        </w:rPr>
        <w:t xml:space="preserve"> c. Turquie</w:t>
      </w:r>
      <w:r w:rsidRPr="00A9319E">
        <w:rPr>
          <w:szCs w:val="24"/>
          <w:lang w:val="fr-FR"/>
        </w:rPr>
        <w:t>, n</w:t>
      </w:r>
      <w:r w:rsidRPr="00A9319E">
        <w:rPr>
          <w:szCs w:val="24"/>
          <w:vertAlign w:val="superscript"/>
          <w:lang w:val="fr-FR"/>
        </w:rPr>
        <w:t>o</w:t>
      </w:r>
      <w:r w:rsidRPr="00A9319E">
        <w:rPr>
          <w:szCs w:val="24"/>
          <w:lang w:val="fr-FR"/>
        </w:rPr>
        <w:t xml:space="preserve"> 41665/02, § 31, 23 janvier 2007</w:t>
      </w:r>
      <w:r w:rsidRPr="00A9319E">
        <w:rPr>
          <w:lang w:val="fr-FR"/>
        </w:rPr>
        <w:t>).</w:t>
      </w:r>
    </w:p>
    <w:p w:rsidRPr="00A9319E" w:rsidR="00A35C9D" w:rsidP="00A9319E" w:rsidRDefault="00A35C9D">
      <w:pPr>
        <w:pStyle w:val="ECHRPara"/>
        <w:rPr>
          <w:lang w:val="fr-FR"/>
        </w:rPr>
      </w:pPr>
      <w:r w:rsidRPr="00A9319E">
        <w:rPr>
          <w:lang w:val="fr-FR"/>
        </w:rPr>
        <w:t>33.  La Cour a traité à maintes reprises d</w:t>
      </w:r>
      <w:r w:rsidRPr="00A9319E" w:rsidR="00A9319E">
        <w:rPr>
          <w:lang w:val="fr-FR"/>
        </w:rPr>
        <w:t>’</w:t>
      </w:r>
      <w:r w:rsidRPr="00A9319E">
        <w:rPr>
          <w:lang w:val="fr-FR"/>
        </w:rPr>
        <w:t>affaires soulevant des questions semblables à celle du cas d</w:t>
      </w:r>
      <w:r w:rsidRPr="00A9319E" w:rsidR="00A9319E">
        <w:rPr>
          <w:lang w:val="fr-FR"/>
        </w:rPr>
        <w:t>’</w:t>
      </w:r>
      <w:r w:rsidRPr="00A9319E">
        <w:rPr>
          <w:lang w:val="fr-FR"/>
        </w:rPr>
        <w:t>espèce et y a constaté la violation de l</w:t>
      </w:r>
      <w:r w:rsidRPr="00A9319E" w:rsidR="00A9319E">
        <w:rPr>
          <w:lang w:val="fr-FR"/>
        </w:rPr>
        <w:t>’</w:t>
      </w:r>
      <w:r w:rsidRPr="00A9319E">
        <w:rPr>
          <w:lang w:val="fr-FR"/>
        </w:rPr>
        <w:t>article 6 § 1 de la Convention (</w:t>
      </w:r>
      <w:proofErr w:type="spellStart"/>
      <w:r w:rsidRPr="00A9319E">
        <w:rPr>
          <w:i/>
          <w:lang w:val="fr-FR"/>
        </w:rPr>
        <w:t>Frydlender</w:t>
      </w:r>
      <w:proofErr w:type="spellEnd"/>
      <w:r w:rsidRPr="00A9319E" w:rsidR="0097554C">
        <w:rPr>
          <w:i/>
          <w:lang w:val="fr-FR"/>
        </w:rPr>
        <w:t>,</w:t>
      </w:r>
      <w:r w:rsidRPr="00A9319E">
        <w:rPr>
          <w:lang w:val="fr-FR"/>
        </w:rPr>
        <w:t xml:space="preserve"> précité</w:t>
      </w:r>
      <w:r w:rsidRPr="00A9319E" w:rsidR="0097554C">
        <w:rPr>
          <w:lang w:val="fr-FR"/>
        </w:rPr>
        <w:t>,</w:t>
      </w:r>
      <w:r w:rsidRPr="00A9319E">
        <w:rPr>
          <w:lang w:val="fr-FR"/>
        </w:rPr>
        <w:t xml:space="preserve"> § 46 et </w:t>
      </w:r>
      <w:proofErr w:type="spellStart"/>
      <w:r w:rsidRPr="00A9319E">
        <w:rPr>
          <w:i/>
          <w:lang w:val="fr-FR"/>
        </w:rPr>
        <w:t>Rodoplu</w:t>
      </w:r>
      <w:proofErr w:type="spellEnd"/>
      <w:r w:rsidRPr="00A9319E">
        <w:rPr>
          <w:lang w:val="fr-FR"/>
        </w:rPr>
        <w:t xml:space="preserve"> précité § 32).</w:t>
      </w:r>
    </w:p>
    <w:p w:rsidRPr="00A9319E" w:rsidR="00A35C9D" w:rsidP="00A9319E" w:rsidRDefault="00A35C9D">
      <w:pPr>
        <w:pStyle w:val="ECHRPara"/>
        <w:rPr>
          <w:lang w:val="fr-FR"/>
        </w:rPr>
      </w:pPr>
      <w:r w:rsidRPr="00A9319E">
        <w:rPr>
          <w:lang w:val="fr-FR"/>
        </w:rPr>
        <w:t>34.  Après examen de l</w:t>
      </w:r>
      <w:r w:rsidRPr="00A9319E" w:rsidR="00A9319E">
        <w:rPr>
          <w:lang w:val="fr-FR"/>
        </w:rPr>
        <w:t>’</w:t>
      </w:r>
      <w:r w:rsidRPr="00A9319E">
        <w:rPr>
          <w:lang w:val="fr-FR"/>
        </w:rPr>
        <w:t>ensemble des éléments qui lui ont été soumis, la Cour ne décèle aucun fait ou argument propre à la convaincre de parvenir à une conclusion différente quant au bien-fondé du grief en question. Compte tenu de sa jurisprudence en la matière, elle estime qu</w:t>
      </w:r>
      <w:r w:rsidRPr="00A9319E" w:rsidR="00A9319E">
        <w:rPr>
          <w:lang w:val="fr-FR"/>
        </w:rPr>
        <w:t>’</w:t>
      </w:r>
      <w:r w:rsidRPr="00A9319E">
        <w:rPr>
          <w:lang w:val="fr-FR"/>
        </w:rPr>
        <w:t>en l</w:t>
      </w:r>
      <w:r w:rsidRPr="00A9319E" w:rsidR="00A9319E">
        <w:rPr>
          <w:lang w:val="fr-FR"/>
        </w:rPr>
        <w:t>’</w:t>
      </w:r>
      <w:r w:rsidRPr="00A9319E">
        <w:rPr>
          <w:lang w:val="fr-FR"/>
        </w:rPr>
        <w:t>espèce la procédure litigieuse a connu une durée excessive, incompatible avec l</w:t>
      </w:r>
      <w:r w:rsidRPr="00A9319E" w:rsidR="00A9319E">
        <w:rPr>
          <w:lang w:val="fr-FR"/>
        </w:rPr>
        <w:t>’</w:t>
      </w:r>
      <w:r w:rsidRPr="00A9319E">
        <w:rPr>
          <w:lang w:val="fr-FR"/>
        </w:rPr>
        <w:t>exigence du « délai raisonnable ». Partant, elle conclut à la violation de l</w:t>
      </w:r>
      <w:r w:rsidRPr="00A9319E" w:rsidR="00A9319E">
        <w:rPr>
          <w:lang w:val="fr-FR"/>
        </w:rPr>
        <w:t>’</w:t>
      </w:r>
      <w:r w:rsidRPr="00A9319E">
        <w:rPr>
          <w:lang w:val="fr-FR"/>
        </w:rPr>
        <w:t>article 6 § 1 de la Convention.</w:t>
      </w:r>
    </w:p>
    <w:p w:rsidRPr="00A9319E" w:rsidR="00A35C9D" w:rsidP="00A9319E" w:rsidRDefault="00A35C9D">
      <w:pPr>
        <w:pStyle w:val="ECHRHeading1"/>
        <w:rPr>
          <w:lang w:val="fr-FR"/>
        </w:rPr>
      </w:pPr>
      <w:r w:rsidRPr="00A9319E">
        <w:rPr>
          <w:lang w:val="fr-FR"/>
        </w:rPr>
        <w:t>II.  SUR LA VIOLATION ALLÉGUÉE DE L</w:t>
      </w:r>
      <w:r w:rsidRPr="00A9319E" w:rsidR="00A9319E">
        <w:rPr>
          <w:lang w:val="fr-FR"/>
        </w:rPr>
        <w:t>’</w:t>
      </w:r>
      <w:r w:rsidRPr="00A9319E">
        <w:rPr>
          <w:lang w:val="fr-FR"/>
        </w:rPr>
        <w:t>ARTICLE 8 DE LA CONVENTION</w:t>
      </w:r>
    </w:p>
    <w:p w:rsidRPr="00A9319E" w:rsidR="00A35C9D" w:rsidP="00A9319E" w:rsidRDefault="00A35C9D">
      <w:pPr>
        <w:pStyle w:val="ECHRPara"/>
        <w:rPr>
          <w:lang w:val="fr-FR"/>
        </w:rPr>
      </w:pPr>
      <w:r w:rsidRPr="00A9319E">
        <w:rPr>
          <w:lang w:val="fr-FR"/>
        </w:rPr>
        <w:t>35.  Le requérant se plaint d</w:t>
      </w:r>
      <w:r w:rsidRPr="00A9319E" w:rsidR="00A9319E">
        <w:rPr>
          <w:lang w:val="fr-FR"/>
        </w:rPr>
        <w:t>’</w:t>
      </w:r>
      <w:r w:rsidRPr="00A9319E">
        <w:rPr>
          <w:lang w:val="fr-FR"/>
        </w:rPr>
        <w:t>une atteinte à son droit au respect de sa vie privée. Il reproche aux autorités internes de l</w:t>
      </w:r>
      <w:r w:rsidRPr="00A9319E" w:rsidR="00A9319E">
        <w:rPr>
          <w:lang w:val="fr-FR"/>
        </w:rPr>
        <w:t>’</w:t>
      </w:r>
      <w:r w:rsidRPr="00A9319E">
        <w:rPr>
          <w:lang w:val="fr-FR"/>
        </w:rPr>
        <w:t>avoir – lui et sa famille – indûment soumis à une enquête de sécurité et d</w:t>
      </w:r>
      <w:r w:rsidRPr="00A9319E" w:rsidR="00A9319E">
        <w:rPr>
          <w:lang w:val="fr-FR"/>
        </w:rPr>
        <w:t>’</w:t>
      </w:r>
      <w:r w:rsidRPr="00A9319E">
        <w:rPr>
          <w:lang w:val="fr-FR"/>
        </w:rPr>
        <w:t>avoir refusé, sur la base des informations concernant sa vie privée obtenues à l</w:t>
      </w:r>
      <w:r w:rsidRPr="00A9319E" w:rsidR="00A9319E">
        <w:rPr>
          <w:lang w:val="fr-FR"/>
        </w:rPr>
        <w:t>’</w:t>
      </w:r>
      <w:r w:rsidRPr="00A9319E">
        <w:rPr>
          <w:lang w:val="fr-FR"/>
        </w:rPr>
        <w:t>issue de cette enquête, de le nommer à l</w:t>
      </w:r>
      <w:r w:rsidRPr="00A9319E" w:rsidR="00A9319E">
        <w:rPr>
          <w:lang w:val="fr-FR"/>
        </w:rPr>
        <w:t>’</w:t>
      </w:r>
      <w:r w:rsidRPr="00A9319E">
        <w:rPr>
          <w:lang w:val="fr-FR"/>
        </w:rPr>
        <w:t>un des postes auxquels le concours réussi par lui était censé lui donner accès.</w:t>
      </w:r>
    </w:p>
    <w:p w:rsidRPr="00A9319E" w:rsidR="00A35C9D" w:rsidP="00A9319E" w:rsidRDefault="00A35C9D">
      <w:pPr>
        <w:pStyle w:val="ECHRPara"/>
        <w:rPr>
          <w:lang w:val="fr-FR"/>
        </w:rPr>
      </w:pPr>
      <w:r w:rsidRPr="00A9319E">
        <w:rPr>
          <w:lang w:val="fr-FR"/>
        </w:rPr>
        <w:t>Il invoque l</w:t>
      </w:r>
      <w:r w:rsidRPr="00A9319E" w:rsidR="00A9319E">
        <w:rPr>
          <w:lang w:val="fr-FR"/>
        </w:rPr>
        <w:t>’</w:t>
      </w:r>
      <w:r w:rsidRPr="00A9319E">
        <w:rPr>
          <w:lang w:val="fr-FR"/>
        </w:rPr>
        <w:t>article 8 de la Convention, ainsi libellé :</w:t>
      </w:r>
    </w:p>
    <w:p w:rsidRPr="00A9319E" w:rsidR="00A35C9D" w:rsidP="00A9319E" w:rsidRDefault="00A35C9D">
      <w:pPr>
        <w:pStyle w:val="ECHRParaQuote"/>
        <w:rPr>
          <w:lang w:val="fr-FR"/>
        </w:rPr>
      </w:pPr>
      <w:r w:rsidRPr="00A9319E">
        <w:rPr>
          <w:lang w:val="fr-FR"/>
        </w:rPr>
        <w:t>« 1.  Toute personne a droit au respect de sa vie privée et familiale (...)</w:t>
      </w:r>
    </w:p>
    <w:p w:rsidRPr="00A9319E" w:rsidR="00A35C9D" w:rsidP="00A9319E" w:rsidRDefault="00AD2504">
      <w:pPr>
        <w:pStyle w:val="ECHRParaQuote"/>
        <w:rPr>
          <w:lang w:val="fr-FR"/>
        </w:rPr>
      </w:pPr>
      <w:r w:rsidRPr="00A9319E">
        <w:rPr>
          <w:lang w:val="fr-FR"/>
        </w:rPr>
        <w:t>2. </w:t>
      </w:r>
      <w:r w:rsidRPr="00A9319E" w:rsidR="00A35C9D">
        <w:rPr>
          <w:lang w:val="fr-FR"/>
        </w:rPr>
        <w:t>Il ne peut y avoir ingérence d</w:t>
      </w:r>
      <w:r w:rsidRPr="00A9319E" w:rsidR="00A9319E">
        <w:rPr>
          <w:lang w:val="fr-FR"/>
        </w:rPr>
        <w:t>’</w:t>
      </w:r>
      <w:r w:rsidRPr="00A9319E" w:rsidR="00A35C9D">
        <w:rPr>
          <w:lang w:val="fr-FR"/>
        </w:rPr>
        <w:t>une autorité publique dans l</w:t>
      </w:r>
      <w:r w:rsidRPr="00A9319E" w:rsidR="00A9319E">
        <w:rPr>
          <w:lang w:val="fr-FR"/>
        </w:rPr>
        <w:t>’</w:t>
      </w:r>
      <w:r w:rsidRPr="00A9319E" w:rsidR="00A35C9D">
        <w:rPr>
          <w:lang w:val="fr-FR"/>
        </w:rPr>
        <w:t>exercice de ce droit que pour autant que cette ingérence est prévue par la loi et qu</w:t>
      </w:r>
      <w:r w:rsidRPr="00A9319E" w:rsidR="00A9319E">
        <w:rPr>
          <w:lang w:val="fr-FR"/>
        </w:rPr>
        <w:t>’</w:t>
      </w:r>
      <w:r w:rsidRPr="00A9319E" w:rsidR="00A35C9D">
        <w:rPr>
          <w:lang w:val="fr-FR"/>
        </w:rPr>
        <w:t>elle constitue une mesure qui, dans une société démocratique, est nécessaire à la sécurité nationale, à la sûreté publique, au bien-être économique du pays, à la défense de l</w:t>
      </w:r>
      <w:r w:rsidRPr="00A9319E" w:rsidR="00A9319E">
        <w:rPr>
          <w:lang w:val="fr-FR"/>
        </w:rPr>
        <w:t>’</w:t>
      </w:r>
      <w:r w:rsidRPr="00A9319E" w:rsidR="00A35C9D">
        <w:rPr>
          <w:lang w:val="fr-FR"/>
        </w:rPr>
        <w:t>ordre et à la prévention des infractions pénales, à la protection de la santé ou de la morale, ou à la protection des droits et libertés d</w:t>
      </w:r>
      <w:r w:rsidRPr="00A9319E" w:rsidR="00A9319E">
        <w:rPr>
          <w:lang w:val="fr-FR"/>
        </w:rPr>
        <w:t>’</w:t>
      </w:r>
      <w:r w:rsidRPr="00A9319E" w:rsidR="00A35C9D">
        <w:rPr>
          <w:lang w:val="fr-FR"/>
        </w:rPr>
        <w:t>autrui. »</w:t>
      </w:r>
    </w:p>
    <w:p w:rsidRPr="00A9319E" w:rsidR="00A35C9D" w:rsidP="00A9319E" w:rsidRDefault="00A35C9D">
      <w:pPr>
        <w:pStyle w:val="ECHRHeading2"/>
        <w:rPr>
          <w:lang w:val="fr-FR"/>
        </w:rPr>
      </w:pPr>
      <w:r w:rsidRPr="00A9319E">
        <w:rPr>
          <w:lang w:val="fr-FR"/>
        </w:rPr>
        <w:t>A.</w:t>
      </w:r>
      <w:r w:rsidRPr="00A9319E" w:rsidR="00AD2504">
        <w:rPr>
          <w:lang w:val="fr-FR"/>
        </w:rPr>
        <w:t>  </w:t>
      </w:r>
      <w:r w:rsidRPr="00A9319E">
        <w:rPr>
          <w:lang w:val="fr-FR"/>
        </w:rPr>
        <w:t>Sur l</w:t>
      </w:r>
      <w:r w:rsidRPr="00A9319E" w:rsidR="00A9319E">
        <w:rPr>
          <w:lang w:val="fr-FR"/>
        </w:rPr>
        <w:t>’</w:t>
      </w:r>
      <w:r w:rsidRPr="00A9319E">
        <w:rPr>
          <w:lang w:val="fr-FR"/>
        </w:rPr>
        <w:t>applicabilité de l</w:t>
      </w:r>
      <w:r w:rsidRPr="00A9319E" w:rsidR="00A9319E">
        <w:rPr>
          <w:lang w:val="fr-FR"/>
        </w:rPr>
        <w:t>’</w:t>
      </w:r>
      <w:r w:rsidRPr="00A9319E">
        <w:rPr>
          <w:lang w:val="fr-FR"/>
        </w:rPr>
        <w:t>article 8 de la Convention</w:t>
      </w:r>
    </w:p>
    <w:p w:rsidRPr="00A9319E" w:rsidR="00A35C9D" w:rsidP="00A9319E" w:rsidRDefault="00A35C9D">
      <w:pPr>
        <w:pStyle w:val="ECHRPara"/>
        <w:rPr>
          <w:lang w:val="fr-FR"/>
        </w:rPr>
      </w:pPr>
      <w:r w:rsidRPr="00A9319E">
        <w:rPr>
          <w:lang w:val="fr-FR"/>
        </w:rPr>
        <w:t>36.  La Cour note tout d</w:t>
      </w:r>
      <w:r w:rsidRPr="00A9319E" w:rsidR="00A9319E">
        <w:rPr>
          <w:lang w:val="fr-FR"/>
        </w:rPr>
        <w:t>’</w:t>
      </w:r>
      <w:r w:rsidRPr="00A9319E">
        <w:rPr>
          <w:lang w:val="fr-FR"/>
        </w:rPr>
        <w:t>abord que la présente affaire porte sur un litige professionnel opposant un individu à un État. Elle rappelle ensuite qu</w:t>
      </w:r>
      <w:r w:rsidRPr="00A9319E" w:rsidR="00A9319E">
        <w:rPr>
          <w:lang w:val="fr-FR"/>
        </w:rPr>
        <w:t>’</w:t>
      </w:r>
      <w:r w:rsidRPr="00A9319E">
        <w:rPr>
          <w:lang w:val="fr-FR"/>
        </w:rPr>
        <w:t>elle a déjà été plusieurs fois saisie de litiges mettant en cause la question de l</w:t>
      </w:r>
      <w:r w:rsidRPr="00A9319E" w:rsidR="00A9319E">
        <w:rPr>
          <w:lang w:val="fr-FR"/>
        </w:rPr>
        <w:t>’</w:t>
      </w:r>
      <w:r w:rsidRPr="00A9319E">
        <w:rPr>
          <w:lang w:val="fr-FR"/>
        </w:rPr>
        <w:t>applicabilité de la notion de « vie privée », au sens de l</w:t>
      </w:r>
      <w:r w:rsidRPr="00A9319E" w:rsidR="00A9319E">
        <w:rPr>
          <w:lang w:val="fr-FR"/>
        </w:rPr>
        <w:t>’</w:t>
      </w:r>
      <w:r w:rsidRPr="00A9319E">
        <w:rPr>
          <w:lang w:val="fr-FR"/>
        </w:rPr>
        <w:t>article 8 de la Convention, aux griefs relatifs à l</w:t>
      </w:r>
      <w:r w:rsidRPr="00A9319E" w:rsidR="00A9319E">
        <w:rPr>
          <w:lang w:val="fr-FR"/>
        </w:rPr>
        <w:t>’</w:t>
      </w:r>
      <w:r w:rsidRPr="00A9319E">
        <w:rPr>
          <w:lang w:val="fr-FR"/>
        </w:rPr>
        <w:t>exercice de fonctions professionnelles.</w:t>
      </w:r>
    </w:p>
    <w:p w:rsidRPr="00A9319E" w:rsidR="00A35C9D" w:rsidP="00A9319E" w:rsidRDefault="00A35C9D">
      <w:pPr>
        <w:pStyle w:val="ECHRPara"/>
        <w:rPr>
          <w:lang w:val="fr-FR"/>
        </w:rPr>
      </w:pPr>
      <w:r w:rsidRPr="00A9319E">
        <w:rPr>
          <w:lang w:val="fr-FR"/>
        </w:rPr>
        <w:t xml:space="preserve">37.  Dans son arrêt </w:t>
      </w:r>
      <w:proofErr w:type="spellStart"/>
      <w:r w:rsidRPr="00A9319E">
        <w:rPr>
          <w:i/>
          <w:iCs/>
          <w:lang w:val="fr-FR"/>
        </w:rPr>
        <w:t>Denisov</w:t>
      </w:r>
      <w:proofErr w:type="spellEnd"/>
      <w:r w:rsidRPr="00A9319E">
        <w:rPr>
          <w:i/>
          <w:iCs/>
          <w:lang w:val="fr-FR"/>
        </w:rPr>
        <w:t xml:space="preserve"> c. Ukraine</w:t>
      </w:r>
      <w:r w:rsidRPr="00A9319E">
        <w:rPr>
          <w:iCs/>
          <w:lang w:val="fr-FR"/>
        </w:rPr>
        <w:t xml:space="preserve"> ([GC]</w:t>
      </w:r>
      <w:r w:rsidRPr="00A9319E">
        <w:rPr>
          <w:lang w:val="fr-FR"/>
        </w:rPr>
        <w:t>,</w:t>
      </w:r>
      <w:r w:rsidRPr="00A9319E">
        <w:rPr>
          <w:lang w:val="fr-FR" w:eastAsia="en-GB"/>
        </w:rPr>
        <w:t xml:space="preserve"> n</w:t>
      </w:r>
      <w:r w:rsidRPr="00A9319E">
        <w:rPr>
          <w:vertAlign w:val="superscript"/>
          <w:lang w:val="fr-FR" w:eastAsia="en-GB"/>
        </w:rPr>
        <w:t>o</w:t>
      </w:r>
      <w:r w:rsidRPr="00A9319E">
        <w:rPr>
          <w:lang w:val="fr-FR" w:eastAsia="en-GB"/>
        </w:rPr>
        <w:t> </w:t>
      </w:r>
      <w:r w:rsidRPr="00A9319E">
        <w:rPr>
          <w:lang w:val="fr-FR"/>
        </w:rPr>
        <w:t>76639/11, 25 septembre 2018), elle a récemment dressé une typologie évolutive des affaires relatives à des litiges professionnels sur lesquelles elle a eu à statuer. Reconnaissant que ces litiges ne sont pas, par nature, exclus du champ d</w:t>
      </w:r>
      <w:r w:rsidRPr="00A9319E" w:rsidR="00A9319E">
        <w:rPr>
          <w:lang w:val="fr-FR"/>
        </w:rPr>
        <w:t>’</w:t>
      </w:r>
      <w:r w:rsidRPr="00A9319E">
        <w:rPr>
          <w:lang w:val="fr-FR"/>
        </w:rPr>
        <w:t>application de la notion de « vie privée », elle s</w:t>
      </w:r>
      <w:r w:rsidRPr="00A9319E" w:rsidR="00A9319E">
        <w:rPr>
          <w:lang w:val="fr-FR"/>
        </w:rPr>
        <w:t>’</w:t>
      </w:r>
      <w:r w:rsidRPr="00A9319E">
        <w:rPr>
          <w:lang w:val="fr-FR"/>
        </w:rPr>
        <w:t>est prononcée sur les critères qui fondaient l</w:t>
      </w:r>
      <w:r w:rsidRPr="00A9319E" w:rsidR="00A9319E">
        <w:rPr>
          <w:lang w:val="fr-FR"/>
        </w:rPr>
        <w:t>’</w:t>
      </w:r>
      <w:r w:rsidRPr="00A9319E">
        <w:rPr>
          <w:lang w:val="fr-FR"/>
        </w:rPr>
        <w:t>applicabilité de l</w:t>
      </w:r>
      <w:r w:rsidRPr="00A9319E" w:rsidR="00A9319E">
        <w:rPr>
          <w:lang w:val="fr-FR"/>
        </w:rPr>
        <w:t>’</w:t>
      </w:r>
      <w:r w:rsidRPr="00A9319E">
        <w:rPr>
          <w:lang w:val="fr-FR"/>
        </w:rPr>
        <w:t>article 8 de la Convention dans de tels contextes. Elle a ainsi établi que, d</w:t>
      </w:r>
      <w:r w:rsidRPr="00A9319E" w:rsidR="00A9319E">
        <w:rPr>
          <w:lang w:val="fr-FR"/>
        </w:rPr>
        <w:t>’</w:t>
      </w:r>
      <w:r w:rsidRPr="00A9319E">
        <w:rPr>
          <w:lang w:val="fr-FR"/>
        </w:rPr>
        <w:t>une manière générale, un problème peut se poser au regard de la vie privée de deux manières distinctes : soit du fait des motifs à l</w:t>
      </w:r>
      <w:r w:rsidRPr="00A9319E" w:rsidR="00A9319E">
        <w:rPr>
          <w:lang w:val="fr-FR"/>
        </w:rPr>
        <w:t>’</w:t>
      </w:r>
      <w:r w:rsidRPr="00A9319E">
        <w:rPr>
          <w:lang w:val="fr-FR"/>
        </w:rPr>
        <w:t>origine de la mesure litigieuse (auquel cas elle retient l</w:t>
      </w:r>
      <w:r w:rsidRPr="00A9319E" w:rsidR="00A9319E">
        <w:rPr>
          <w:lang w:val="fr-FR"/>
        </w:rPr>
        <w:t>’</w:t>
      </w:r>
      <w:r w:rsidRPr="00A9319E">
        <w:rPr>
          <w:lang w:val="fr-FR"/>
        </w:rPr>
        <w:t>approche fondée sur les motifs), soit du fait des conséquences sur la vie privée de la mesure en cause (auquel cas elle retient l</w:t>
      </w:r>
      <w:r w:rsidRPr="00A9319E" w:rsidR="00A9319E">
        <w:rPr>
          <w:lang w:val="fr-FR"/>
        </w:rPr>
        <w:t>’</w:t>
      </w:r>
      <w:r w:rsidRPr="00A9319E">
        <w:rPr>
          <w:lang w:val="fr-FR"/>
        </w:rPr>
        <w:t>approche fondée sur les conséquences) (</w:t>
      </w:r>
      <w:r w:rsidRPr="00A9319E">
        <w:rPr>
          <w:i/>
          <w:lang w:val="fr-FR"/>
        </w:rPr>
        <w:t>ibidem</w:t>
      </w:r>
      <w:r w:rsidRPr="00A9319E">
        <w:rPr>
          <w:lang w:val="fr-FR"/>
        </w:rPr>
        <w:t>, § 115).</w:t>
      </w:r>
    </w:p>
    <w:p w:rsidRPr="00A9319E" w:rsidR="00A35C9D" w:rsidP="00A9319E" w:rsidRDefault="00A35C9D">
      <w:pPr>
        <w:pStyle w:val="ECHRPara"/>
        <w:rPr>
          <w:lang w:val="fr-FR"/>
        </w:rPr>
      </w:pPr>
      <w:r w:rsidRPr="00A9319E">
        <w:rPr>
          <w:lang w:val="fr-FR"/>
        </w:rPr>
        <w:t>38.  La Cour examinera la présente affaire à la lumière des approches ainsi définies. Il lui faut donc déterminer de quelle manière une question touchant la vie privée peut se poser en l</w:t>
      </w:r>
      <w:r w:rsidRPr="00A9319E" w:rsidR="00A9319E">
        <w:rPr>
          <w:lang w:val="fr-FR"/>
        </w:rPr>
        <w:t>’</w:t>
      </w:r>
      <w:r w:rsidRPr="00A9319E">
        <w:rPr>
          <w:lang w:val="fr-FR"/>
        </w:rPr>
        <w:t>espèce : du fait des motifs à l</w:t>
      </w:r>
      <w:r w:rsidRPr="00A9319E" w:rsidR="00A9319E">
        <w:rPr>
          <w:lang w:val="fr-FR"/>
        </w:rPr>
        <w:t>’</w:t>
      </w:r>
      <w:r w:rsidRPr="00A9319E">
        <w:rPr>
          <w:lang w:val="fr-FR"/>
        </w:rPr>
        <w:t>origine de la non-nomination du requérant ou du fait des conséquences de celle-ci sur sa vie privée.</w:t>
      </w:r>
    </w:p>
    <w:p w:rsidRPr="00A9319E" w:rsidR="00A35C9D" w:rsidP="00A9319E" w:rsidRDefault="00A35C9D">
      <w:pPr>
        <w:pStyle w:val="ECHRPara"/>
        <w:rPr>
          <w:lang w:val="fr-FR"/>
        </w:rPr>
      </w:pPr>
      <w:r w:rsidRPr="00A9319E">
        <w:rPr>
          <w:lang w:val="fr-FR"/>
        </w:rPr>
        <w:t>39.  Le requérant soutient que sa nomination à l</w:t>
      </w:r>
      <w:r w:rsidRPr="00A9319E" w:rsidR="00A9319E">
        <w:rPr>
          <w:lang w:val="fr-FR"/>
        </w:rPr>
        <w:t>’</w:t>
      </w:r>
      <w:r w:rsidRPr="00A9319E">
        <w:rPr>
          <w:lang w:val="fr-FR"/>
        </w:rPr>
        <w:t>étranger a été refusée en raison de motifs liés à sa vie privée et à celle de son épouse. À cet égard, il convient de rappeler que le requérant – alors enseignant en culture religieuse – a passé avec succès un concours qui devait lui permettre d</w:t>
      </w:r>
      <w:r w:rsidRPr="00A9319E" w:rsidR="00A9319E">
        <w:rPr>
          <w:lang w:val="fr-FR"/>
        </w:rPr>
        <w:t>’</w:t>
      </w:r>
      <w:r w:rsidRPr="00A9319E">
        <w:rPr>
          <w:lang w:val="fr-FR"/>
        </w:rPr>
        <w:t>être affecté à l</w:t>
      </w:r>
      <w:r w:rsidRPr="00A9319E" w:rsidR="00A9319E">
        <w:rPr>
          <w:lang w:val="fr-FR"/>
        </w:rPr>
        <w:t>’</w:t>
      </w:r>
      <w:r w:rsidRPr="00A9319E">
        <w:rPr>
          <w:lang w:val="fr-FR"/>
        </w:rPr>
        <w:t>étranger. À la suite de la réussite de ce concours, il a également suivi un séminaire d</w:t>
      </w:r>
      <w:r w:rsidRPr="00A9319E" w:rsidR="00A9319E">
        <w:rPr>
          <w:lang w:val="fr-FR"/>
        </w:rPr>
        <w:t>’</w:t>
      </w:r>
      <w:r w:rsidRPr="00A9319E">
        <w:rPr>
          <w:lang w:val="fr-FR"/>
        </w:rPr>
        <w:t>adaptation (paragraphe 16 ci-dessus). Une commission d</w:t>
      </w:r>
      <w:r w:rsidRPr="00A9319E" w:rsidR="00A9319E">
        <w:rPr>
          <w:lang w:val="fr-FR"/>
        </w:rPr>
        <w:t>’</w:t>
      </w:r>
      <w:r w:rsidRPr="00A9319E">
        <w:rPr>
          <w:lang w:val="fr-FR"/>
        </w:rPr>
        <w:t>évaluation du ministère a toutefois estimé que le requérant était dans une situation qui ne lui permettait pas d</w:t>
      </w:r>
      <w:r w:rsidRPr="00A9319E" w:rsidR="00A9319E">
        <w:rPr>
          <w:lang w:val="fr-FR"/>
        </w:rPr>
        <w:t>’</w:t>
      </w:r>
      <w:r w:rsidRPr="00A9319E">
        <w:rPr>
          <w:lang w:val="fr-FR"/>
        </w:rPr>
        <w:t>être nommé à l</w:t>
      </w:r>
      <w:r w:rsidRPr="00A9319E" w:rsidR="00A9319E">
        <w:rPr>
          <w:lang w:val="fr-FR"/>
        </w:rPr>
        <w:t>’</w:t>
      </w:r>
      <w:r w:rsidRPr="00A9319E">
        <w:rPr>
          <w:lang w:val="fr-FR"/>
        </w:rPr>
        <w:t>étranger. Au vu des pièces du dossier et, en particulier, des décisions des juridictions administratives, la Cour observe que le refus de nomination du requérant résultait des conclusions d</w:t>
      </w:r>
      <w:r w:rsidRPr="00A9319E" w:rsidR="00A9319E">
        <w:rPr>
          <w:lang w:val="fr-FR"/>
        </w:rPr>
        <w:t>’</w:t>
      </w:r>
      <w:r w:rsidRPr="00A9319E">
        <w:rPr>
          <w:lang w:val="fr-FR"/>
        </w:rPr>
        <w:t>une enquête de sécurité qui avait révélé des informations relatives à la vie privée de l</w:t>
      </w:r>
      <w:r w:rsidRPr="00A9319E" w:rsidR="00A9319E">
        <w:rPr>
          <w:lang w:val="fr-FR"/>
        </w:rPr>
        <w:t>’</w:t>
      </w:r>
      <w:r w:rsidRPr="00A9319E">
        <w:rPr>
          <w:lang w:val="fr-FR"/>
        </w:rPr>
        <w:t>intéressé, telles que son mode de vie et la tenue vestimentaire de son épouse. Une arrestation ancienne qui avait abouti à un non-lieu à poursuivre était également mentionnée.</w:t>
      </w:r>
    </w:p>
    <w:p w:rsidRPr="00A9319E" w:rsidR="00A35C9D" w:rsidP="00A9319E" w:rsidRDefault="00A35C9D">
      <w:pPr>
        <w:pStyle w:val="ECHRPara"/>
        <w:rPr>
          <w:lang w:val="fr-FR"/>
        </w:rPr>
      </w:pPr>
      <w:r w:rsidRPr="00A9319E">
        <w:rPr>
          <w:lang w:val="fr-FR"/>
        </w:rPr>
        <w:t>40.  La Cour constate également que, en dehors des informations obtenues au terme de l</w:t>
      </w:r>
      <w:r w:rsidRPr="00A9319E" w:rsidR="00A9319E">
        <w:rPr>
          <w:lang w:val="fr-FR"/>
        </w:rPr>
        <w:t>’</w:t>
      </w:r>
      <w:r w:rsidRPr="00A9319E">
        <w:rPr>
          <w:lang w:val="fr-FR"/>
        </w:rPr>
        <w:t>enquête de sécurité, les instances administratives compétentes n</w:t>
      </w:r>
      <w:r w:rsidRPr="00A9319E" w:rsidR="00A9319E">
        <w:rPr>
          <w:lang w:val="fr-FR"/>
        </w:rPr>
        <w:t>’</w:t>
      </w:r>
      <w:r w:rsidRPr="00A9319E">
        <w:rPr>
          <w:lang w:val="fr-FR"/>
        </w:rPr>
        <w:t>ont pas exposé les motifs d</w:t>
      </w:r>
      <w:r w:rsidRPr="00A9319E" w:rsidR="00A9319E">
        <w:rPr>
          <w:lang w:val="fr-FR"/>
        </w:rPr>
        <w:t>’</w:t>
      </w:r>
      <w:r w:rsidRPr="00A9319E">
        <w:rPr>
          <w:lang w:val="fr-FR"/>
        </w:rPr>
        <w:t>ordre professionnel et/ou administratif qui avaient pu justifier l</w:t>
      </w:r>
      <w:r w:rsidRPr="00A9319E" w:rsidR="00A9319E">
        <w:rPr>
          <w:lang w:val="fr-FR"/>
        </w:rPr>
        <w:t>’</w:t>
      </w:r>
      <w:r w:rsidRPr="00A9319E">
        <w:rPr>
          <w:lang w:val="fr-FR"/>
        </w:rPr>
        <w:t>impossibilité pour le requérant d</w:t>
      </w:r>
      <w:r w:rsidRPr="00A9319E" w:rsidR="00A9319E">
        <w:rPr>
          <w:lang w:val="fr-FR"/>
        </w:rPr>
        <w:t>’</w:t>
      </w:r>
      <w:r w:rsidRPr="00A9319E">
        <w:rPr>
          <w:lang w:val="fr-FR"/>
        </w:rPr>
        <w:t>être nommé en poste à l</w:t>
      </w:r>
      <w:r w:rsidRPr="00A9319E" w:rsidR="00A9319E">
        <w:rPr>
          <w:lang w:val="fr-FR"/>
        </w:rPr>
        <w:t>’</w:t>
      </w:r>
      <w:r w:rsidRPr="00A9319E">
        <w:rPr>
          <w:lang w:val="fr-FR"/>
        </w:rPr>
        <w:t>étranger (paragraphes 8 et 10 ci-dessus). Cette circonstance fut d</w:t>
      </w:r>
      <w:r w:rsidRPr="00A9319E" w:rsidR="00A9319E">
        <w:rPr>
          <w:lang w:val="fr-FR"/>
        </w:rPr>
        <w:t>’</w:t>
      </w:r>
      <w:r w:rsidRPr="00A9319E">
        <w:rPr>
          <w:lang w:val="fr-FR"/>
        </w:rPr>
        <w:t>ailleurs dénoncée par le procureur général près le Conseil d</w:t>
      </w:r>
      <w:r w:rsidRPr="00A9319E" w:rsidR="00A9319E">
        <w:rPr>
          <w:lang w:val="fr-FR"/>
        </w:rPr>
        <w:t>’</w:t>
      </w:r>
      <w:r w:rsidRPr="00A9319E">
        <w:rPr>
          <w:lang w:val="fr-FR"/>
        </w:rPr>
        <w:t>État à deux reprises (paragraphes 19 et 21 ci-dessus). La Cour relève en outre que les instances administratives n</w:t>
      </w:r>
      <w:r w:rsidRPr="00A9319E" w:rsidR="00A9319E">
        <w:rPr>
          <w:lang w:val="fr-FR"/>
        </w:rPr>
        <w:t>’</w:t>
      </w:r>
      <w:r w:rsidRPr="00A9319E">
        <w:rPr>
          <w:lang w:val="fr-FR"/>
        </w:rPr>
        <w:t>ont pas non plus exposé en quoi les informations obtenues au terme de l</w:t>
      </w:r>
      <w:r w:rsidRPr="00A9319E" w:rsidR="00A9319E">
        <w:rPr>
          <w:lang w:val="fr-FR"/>
        </w:rPr>
        <w:t>’</w:t>
      </w:r>
      <w:r w:rsidRPr="00A9319E">
        <w:rPr>
          <w:lang w:val="fr-FR"/>
        </w:rPr>
        <w:t>enquête de sécurité étaient de nature à constituer en soi un empêchement à l</w:t>
      </w:r>
      <w:r w:rsidRPr="00A9319E" w:rsidR="00A9319E">
        <w:rPr>
          <w:lang w:val="fr-FR"/>
        </w:rPr>
        <w:t>’</w:t>
      </w:r>
      <w:r w:rsidRPr="00A9319E">
        <w:rPr>
          <w:lang w:val="fr-FR"/>
        </w:rPr>
        <w:t>exercice par le requérant de ses fonctions à l</w:t>
      </w:r>
      <w:r w:rsidRPr="00A9319E" w:rsidR="00A9319E">
        <w:rPr>
          <w:lang w:val="fr-FR"/>
        </w:rPr>
        <w:t>’</w:t>
      </w:r>
      <w:r w:rsidRPr="00A9319E">
        <w:rPr>
          <w:lang w:val="fr-FR"/>
        </w:rPr>
        <w:t>étranger.</w:t>
      </w:r>
    </w:p>
    <w:p w:rsidRPr="00A9319E" w:rsidR="00A35C9D" w:rsidP="00A9319E" w:rsidRDefault="00A35C9D">
      <w:pPr>
        <w:pStyle w:val="ECHRPara"/>
        <w:rPr>
          <w:i/>
          <w:lang w:val="fr-FR"/>
        </w:rPr>
      </w:pPr>
      <w:r w:rsidRPr="00A9319E">
        <w:rPr>
          <w:lang w:val="fr-FR"/>
        </w:rPr>
        <w:t>41.  Au vu de tous ces éléments, la Cour souscrit à la thèse du requérant selon laquelle les motifs à l</w:t>
      </w:r>
      <w:r w:rsidRPr="00A9319E" w:rsidR="00A9319E">
        <w:rPr>
          <w:lang w:val="fr-FR"/>
        </w:rPr>
        <w:t>’</w:t>
      </w:r>
      <w:r w:rsidRPr="00A9319E">
        <w:rPr>
          <w:lang w:val="fr-FR"/>
        </w:rPr>
        <w:t>origine de sa non-nomination reposaient uniquement sur des informations relatives à sa vie privée. Or des motifs à l</w:t>
      </w:r>
      <w:r w:rsidRPr="00A9319E" w:rsidR="00A9319E">
        <w:rPr>
          <w:lang w:val="fr-FR"/>
        </w:rPr>
        <w:t>’</w:t>
      </w:r>
      <w:r w:rsidRPr="00A9319E">
        <w:rPr>
          <w:lang w:val="fr-FR"/>
        </w:rPr>
        <w:t>origine de mesures touchant à la vie professionnelle peuvent avoir un rapport avec la vie privée de la personne concernée et, par eux-mêmes, faire entrer en jeu l</w:t>
      </w:r>
      <w:r w:rsidRPr="00A9319E" w:rsidR="00A9319E">
        <w:rPr>
          <w:lang w:val="fr-FR"/>
        </w:rPr>
        <w:t>’</w:t>
      </w:r>
      <w:r w:rsidRPr="00A9319E">
        <w:rPr>
          <w:lang w:val="fr-FR"/>
        </w:rPr>
        <w:t>article 8 de la Convention (</w:t>
      </w:r>
      <w:proofErr w:type="spellStart"/>
      <w:r w:rsidRPr="00A9319E">
        <w:rPr>
          <w:i/>
          <w:iCs/>
          <w:lang w:val="fr-FR"/>
        </w:rPr>
        <w:t>Denisov</w:t>
      </w:r>
      <w:proofErr w:type="spellEnd"/>
      <w:r w:rsidRPr="00A9319E">
        <w:rPr>
          <w:i/>
          <w:iCs/>
          <w:lang w:val="fr-FR"/>
        </w:rPr>
        <w:t>,</w:t>
      </w:r>
      <w:r w:rsidRPr="00A9319E">
        <w:rPr>
          <w:iCs/>
          <w:lang w:val="fr-FR"/>
        </w:rPr>
        <w:t xml:space="preserve"> précité,</w:t>
      </w:r>
      <w:r w:rsidRPr="00A9319E">
        <w:rPr>
          <w:lang w:val="fr-FR"/>
        </w:rPr>
        <w:t xml:space="preserve"> § 103, </w:t>
      </w:r>
      <w:r w:rsidRPr="00A9319E">
        <w:rPr>
          <w:i/>
          <w:lang w:val="fr-FR"/>
        </w:rPr>
        <w:t>Smith et</w:t>
      </w:r>
      <w:r w:rsidRPr="00A9319E">
        <w:rPr>
          <w:lang w:val="fr-FR"/>
        </w:rPr>
        <w:t xml:space="preserve"> </w:t>
      </w:r>
      <w:proofErr w:type="spellStart"/>
      <w:r w:rsidRPr="00A9319E">
        <w:rPr>
          <w:i/>
          <w:lang w:val="fr-FR"/>
        </w:rPr>
        <w:t>Grady</w:t>
      </w:r>
      <w:proofErr w:type="spellEnd"/>
      <w:r w:rsidRPr="00A9319E">
        <w:rPr>
          <w:i/>
          <w:lang w:val="fr-FR"/>
        </w:rPr>
        <w:t xml:space="preserve"> c. Royaume-Uni</w:t>
      </w:r>
      <w:r w:rsidRPr="00A9319E">
        <w:rPr>
          <w:lang w:val="fr-FR"/>
        </w:rPr>
        <w:t>, n</w:t>
      </w:r>
      <w:r w:rsidRPr="00A9319E">
        <w:rPr>
          <w:vertAlign w:val="superscript"/>
          <w:lang w:val="fr-FR"/>
        </w:rPr>
        <w:t>os</w:t>
      </w:r>
      <w:r w:rsidRPr="00A9319E">
        <w:rPr>
          <w:lang w:val="fr-FR"/>
        </w:rPr>
        <w:t xml:space="preserve"> 33985/96 et 33986/96, § 71, CEDH 1999</w:t>
      </w:r>
      <w:r w:rsidRPr="00A9319E">
        <w:rPr>
          <w:lang w:val="fr-FR"/>
        </w:rPr>
        <w:noBreakHyphen/>
        <w:t xml:space="preserve">VI, </w:t>
      </w:r>
      <w:proofErr w:type="spellStart"/>
      <w:r w:rsidRPr="00A9319E">
        <w:rPr>
          <w:i/>
          <w:lang w:val="fr-FR"/>
        </w:rPr>
        <w:t>Obst</w:t>
      </w:r>
      <w:proofErr w:type="spellEnd"/>
      <w:r w:rsidRPr="00A9319E">
        <w:rPr>
          <w:i/>
          <w:lang w:val="fr-FR"/>
        </w:rPr>
        <w:t xml:space="preserve"> c. Allemagne</w:t>
      </w:r>
      <w:r w:rsidRPr="00A9319E">
        <w:rPr>
          <w:lang w:val="fr-FR"/>
        </w:rPr>
        <w:t>, n</w:t>
      </w:r>
      <w:r w:rsidRPr="00A9319E">
        <w:rPr>
          <w:vertAlign w:val="superscript"/>
          <w:lang w:val="fr-FR"/>
        </w:rPr>
        <w:t>o</w:t>
      </w:r>
      <w:r w:rsidRPr="00A9319E">
        <w:rPr>
          <w:lang w:val="fr-FR"/>
        </w:rPr>
        <w:t xml:space="preserve"> 425/03, § 43 et suivants, 23 septembre 2010 et </w:t>
      </w:r>
      <w:proofErr w:type="spellStart"/>
      <w:r w:rsidRPr="00A9319E">
        <w:rPr>
          <w:i/>
          <w:lang w:val="fr-FR"/>
        </w:rPr>
        <w:t>Özpınar</w:t>
      </w:r>
      <w:proofErr w:type="spellEnd"/>
      <w:r w:rsidRPr="00A9319E">
        <w:rPr>
          <w:i/>
          <w:lang w:val="fr-FR"/>
        </w:rPr>
        <w:t xml:space="preserve"> c. Turquie</w:t>
      </w:r>
      <w:r w:rsidRPr="00A9319E">
        <w:rPr>
          <w:lang w:val="fr-FR"/>
        </w:rPr>
        <w:t>, n</w:t>
      </w:r>
      <w:r w:rsidRPr="00A9319E">
        <w:rPr>
          <w:vertAlign w:val="superscript"/>
          <w:lang w:val="fr-FR"/>
        </w:rPr>
        <w:t>o</w:t>
      </w:r>
      <w:r w:rsidRPr="00A9319E">
        <w:rPr>
          <w:lang w:val="fr-FR"/>
        </w:rPr>
        <w:t xml:space="preserve"> 20999/04, §§ 47-48, 19 octobre 2010). La Cour estime en conséquence que l</w:t>
      </w:r>
      <w:r w:rsidRPr="00A9319E" w:rsidR="00A9319E">
        <w:rPr>
          <w:lang w:val="fr-FR"/>
        </w:rPr>
        <w:t>’</w:t>
      </w:r>
      <w:r w:rsidRPr="00A9319E">
        <w:rPr>
          <w:lang w:val="fr-FR"/>
        </w:rPr>
        <w:t>article 8 de la Convention trouve à s</w:t>
      </w:r>
      <w:r w:rsidRPr="00A9319E" w:rsidR="00A9319E">
        <w:rPr>
          <w:lang w:val="fr-FR"/>
        </w:rPr>
        <w:t>’</w:t>
      </w:r>
      <w:r w:rsidRPr="00A9319E">
        <w:rPr>
          <w:lang w:val="fr-FR"/>
        </w:rPr>
        <w:t>appliquer en l</w:t>
      </w:r>
      <w:r w:rsidRPr="00A9319E" w:rsidR="00A9319E">
        <w:rPr>
          <w:lang w:val="fr-FR"/>
        </w:rPr>
        <w:t>’</w:t>
      </w:r>
      <w:r w:rsidRPr="00A9319E">
        <w:rPr>
          <w:lang w:val="fr-FR"/>
        </w:rPr>
        <w:t>espèce.</w:t>
      </w:r>
    </w:p>
    <w:p w:rsidRPr="00A9319E" w:rsidR="00A35C9D" w:rsidP="00A9319E" w:rsidRDefault="00A35C9D">
      <w:pPr>
        <w:pStyle w:val="ECHRHeading2"/>
        <w:rPr>
          <w:lang w:val="fr-FR"/>
        </w:rPr>
      </w:pPr>
      <w:r w:rsidRPr="00A9319E">
        <w:rPr>
          <w:lang w:val="fr-FR"/>
        </w:rPr>
        <w:t>B.</w:t>
      </w:r>
      <w:r w:rsidRPr="00A9319E" w:rsidR="00AD2504">
        <w:rPr>
          <w:lang w:val="fr-FR"/>
        </w:rPr>
        <w:t>  </w:t>
      </w:r>
      <w:r w:rsidRPr="00A9319E">
        <w:rPr>
          <w:lang w:val="fr-FR"/>
        </w:rPr>
        <w:t>Sur la recevabilité</w:t>
      </w:r>
    </w:p>
    <w:p w:rsidRPr="00A9319E" w:rsidR="00A35C9D" w:rsidP="00A9319E" w:rsidRDefault="00A35C9D">
      <w:pPr>
        <w:pStyle w:val="ECHRPara"/>
        <w:rPr>
          <w:lang w:val="fr-FR"/>
        </w:rPr>
      </w:pPr>
      <w:r w:rsidRPr="00A9319E">
        <w:rPr>
          <w:lang w:val="fr-FR"/>
        </w:rPr>
        <w:t>42.  Constatant que ce grief n</w:t>
      </w:r>
      <w:r w:rsidRPr="00A9319E" w:rsidR="00A9319E">
        <w:rPr>
          <w:lang w:val="fr-FR"/>
        </w:rPr>
        <w:t>’</w:t>
      </w:r>
      <w:r w:rsidRPr="00A9319E">
        <w:rPr>
          <w:lang w:val="fr-FR"/>
        </w:rPr>
        <w:t>est pas manifestement mal fondé au sens de l</w:t>
      </w:r>
      <w:r w:rsidRPr="00A9319E" w:rsidR="00A9319E">
        <w:rPr>
          <w:lang w:val="fr-FR"/>
        </w:rPr>
        <w:t>’</w:t>
      </w:r>
      <w:r w:rsidRPr="00A9319E">
        <w:rPr>
          <w:lang w:val="fr-FR"/>
        </w:rPr>
        <w:t>article 35 § 3 a) de la Convention et qu</w:t>
      </w:r>
      <w:r w:rsidRPr="00A9319E" w:rsidR="00A9319E">
        <w:rPr>
          <w:lang w:val="fr-FR"/>
        </w:rPr>
        <w:t>’</w:t>
      </w:r>
      <w:r w:rsidRPr="00A9319E">
        <w:rPr>
          <w:lang w:val="fr-FR"/>
        </w:rPr>
        <w:t>il ne se heurte par ailleurs à aucun autre motif d</w:t>
      </w:r>
      <w:r w:rsidRPr="00A9319E" w:rsidR="00A9319E">
        <w:rPr>
          <w:lang w:val="fr-FR"/>
        </w:rPr>
        <w:t>’</w:t>
      </w:r>
      <w:r w:rsidRPr="00A9319E">
        <w:rPr>
          <w:lang w:val="fr-FR"/>
        </w:rPr>
        <w:t>irrecevabilité, la Cour le déclare recevable.</w:t>
      </w:r>
    </w:p>
    <w:p w:rsidRPr="00A9319E" w:rsidR="00A35C9D" w:rsidP="00A9319E" w:rsidRDefault="00A35C9D">
      <w:pPr>
        <w:pStyle w:val="ECHRHeading2"/>
        <w:rPr>
          <w:lang w:val="fr-FR"/>
        </w:rPr>
      </w:pPr>
      <w:r w:rsidRPr="00A9319E">
        <w:rPr>
          <w:lang w:val="fr-FR"/>
        </w:rPr>
        <w:t>C</w:t>
      </w:r>
      <w:r w:rsidRPr="00A9319E" w:rsidR="00AD2504">
        <w:rPr>
          <w:lang w:val="fr-FR"/>
        </w:rPr>
        <w:t>.  </w:t>
      </w:r>
      <w:r w:rsidRPr="00A9319E">
        <w:rPr>
          <w:lang w:val="fr-FR"/>
        </w:rPr>
        <w:t>Sur le fond</w:t>
      </w:r>
    </w:p>
    <w:p w:rsidRPr="00A9319E" w:rsidR="00A35C9D" w:rsidP="00A9319E" w:rsidRDefault="00A35C9D">
      <w:pPr>
        <w:pStyle w:val="ECHRPara"/>
        <w:rPr>
          <w:lang w:val="fr-FR"/>
        </w:rPr>
      </w:pPr>
      <w:r w:rsidRPr="00A9319E">
        <w:rPr>
          <w:lang w:val="fr-FR"/>
        </w:rPr>
        <w:t>43.  En l</w:t>
      </w:r>
      <w:r w:rsidRPr="00A9319E" w:rsidR="00A9319E">
        <w:rPr>
          <w:lang w:val="fr-FR"/>
        </w:rPr>
        <w:t>’</w:t>
      </w:r>
      <w:r w:rsidRPr="00A9319E">
        <w:rPr>
          <w:lang w:val="fr-FR"/>
        </w:rPr>
        <w:t>espèce, la Cour estime que le refus de nomination auquel le requérant s</w:t>
      </w:r>
      <w:r w:rsidRPr="00A9319E" w:rsidR="00A9319E">
        <w:rPr>
          <w:lang w:val="fr-FR"/>
        </w:rPr>
        <w:t>’</w:t>
      </w:r>
      <w:r w:rsidRPr="00A9319E">
        <w:rPr>
          <w:lang w:val="fr-FR"/>
        </w:rPr>
        <w:t>est heurté s</w:t>
      </w:r>
      <w:r w:rsidRPr="00A9319E" w:rsidR="00A9319E">
        <w:rPr>
          <w:lang w:val="fr-FR"/>
        </w:rPr>
        <w:t>’</w:t>
      </w:r>
      <w:r w:rsidRPr="00A9319E">
        <w:rPr>
          <w:lang w:val="fr-FR"/>
        </w:rPr>
        <w:t>analyse en une ingérence dans l</w:t>
      </w:r>
      <w:r w:rsidRPr="00A9319E" w:rsidR="00A9319E">
        <w:rPr>
          <w:lang w:val="fr-FR"/>
        </w:rPr>
        <w:t>’</w:t>
      </w:r>
      <w:r w:rsidRPr="00A9319E">
        <w:rPr>
          <w:lang w:val="fr-FR"/>
        </w:rPr>
        <w:t>exercice de son droit au respect de sa vie privée. Pareille ingérence méconnaît l</w:t>
      </w:r>
      <w:r w:rsidRPr="00A9319E" w:rsidR="00A9319E">
        <w:rPr>
          <w:lang w:val="fr-FR"/>
        </w:rPr>
        <w:t>’</w:t>
      </w:r>
      <w:r w:rsidRPr="00A9319E" w:rsidR="00AD2504">
        <w:rPr>
          <w:lang w:val="fr-FR"/>
        </w:rPr>
        <w:t>article </w:t>
      </w:r>
      <w:r w:rsidRPr="00A9319E">
        <w:rPr>
          <w:lang w:val="fr-FR"/>
        </w:rPr>
        <w:t>8 sauf si, « prévue par la loi », elle poursuit un ou des buts légitimes au regard du paragraphe 2 et, de plus, est « nécessaire dans une société démocratique » pour les atteindre.</w:t>
      </w:r>
    </w:p>
    <w:p w:rsidRPr="00A9319E" w:rsidR="00A35C9D" w:rsidP="00A9319E" w:rsidRDefault="00A35C9D">
      <w:pPr>
        <w:pStyle w:val="ECHRPara"/>
        <w:rPr>
          <w:lang w:val="fr-FR"/>
        </w:rPr>
      </w:pPr>
      <w:r w:rsidRPr="00A9319E">
        <w:rPr>
          <w:lang w:val="fr-FR"/>
        </w:rPr>
        <w:t>44.  La Cour observe que le Gouvernement n</w:t>
      </w:r>
      <w:r w:rsidRPr="00A9319E" w:rsidR="00A9319E">
        <w:rPr>
          <w:lang w:val="fr-FR"/>
        </w:rPr>
        <w:t>’</w:t>
      </w:r>
      <w:r w:rsidRPr="00A9319E">
        <w:rPr>
          <w:lang w:val="fr-FR"/>
        </w:rPr>
        <w:t>a indiqué ni la base légale de cette ingérence, ni le but légitime qu</w:t>
      </w:r>
      <w:r w:rsidRPr="00A9319E" w:rsidR="00A9319E">
        <w:rPr>
          <w:lang w:val="fr-FR"/>
        </w:rPr>
        <w:t>’</w:t>
      </w:r>
      <w:r w:rsidRPr="00A9319E">
        <w:rPr>
          <w:lang w:val="fr-FR"/>
        </w:rPr>
        <w:t>elle poursuivait, ni les raisons pour lesquelles elle pourrait être considérée comme nécessaire dans une société démocratique.</w:t>
      </w:r>
    </w:p>
    <w:p w:rsidRPr="00A9319E" w:rsidR="00A35C9D" w:rsidP="00A9319E" w:rsidRDefault="00A35C9D">
      <w:pPr>
        <w:pStyle w:val="ECHRPara"/>
        <w:rPr>
          <w:lang w:val="fr-FR"/>
        </w:rPr>
      </w:pPr>
      <w:r w:rsidRPr="00A9319E">
        <w:rPr>
          <w:lang w:val="fr-FR"/>
        </w:rPr>
        <w:t>45.  À cet égard, la Cour estime utile de rappeler qu</w:t>
      </w:r>
      <w:r w:rsidRPr="00A9319E" w:rsidR="00A9319E">
        <w:rPr>
          <w:lang w:val="fr-FR"/>
        </w:rPr>
        <w:t>’</w:t>
      </w:r>
      <w:r w:rsidRPr="00A9319E">
        <w:rPr>
          <w:lang w:val="fr-FR"/>
        </w:rPr>
        <w:t>en se fondant sur les dispositions d</w:t>
      </w:r>
      <w:r w:rsidRPr="00A9319E" w:rsidR="00A9319E">
        <w:rPr>
          <w:lang w:val="fr-FR"/>
        </w:rPr>
        <w:t>’</w:t>
      </w:r>
      <w:r w:rsidRPr="00A9319E">
        <w:rPr>
          <w:lang w:val="fr-FR"/>
        </w:rPr>
        <w:t>une circulaire et d</w:t>
      </w:r>
      <w:r w:rsidRPr="00A9319E" w:rsidR="00A9319E">
        <w:rPr>
          <w:lang w:val="fr-FR"/>
        </w:rPr>
        <w:t>’</w:t>
      </w:r>
      <w:r w:rsidRPr="00A9319E">
        <w:rPr>
          <w:lang w:val="fr-FR"/>
        </w:rPr>
        <w:t>une directive, les instances nationales estimèrent que le requérant n</w:t>
      </w:r>
      <w:r w:rsidRPr="00A9319E" w:rsidR="00A9319E">
        <w:rPr>
          <w:lang w:val="fr-FR"/>
        </w:rPr>
        <w:t>’</w:t>
      </w:r>
      <w:r w:rsidRPr="00A9319E">
        <w:rPr>
          <w:lang w:val="fr-FR"/>
        </w:rPr>
        <w:t>était pas en mesure de pourvoir un poste à l</w:t>
      </w:r>
      <w:r w:rsidRPr="00A9319E" w:rsidR="00A9319E">
        <w:rPr>
          <w:lang w:val="fr-FR"/>
        </w:rPr>
        <w:t>’</w:t>
      </w:r>
      <w:r w:rsidRPr="00A9319E">
        <w:rPr>
          <w:lang w:val="fr-FR"/>
        </w:rPr>
        <w:t>étranger (paragraphes 8, 10 et 13 ci-dessus). Le ministère de l</w:t>
      </w:r>
      <w:r w:rsidRPr="00A9319E" w:rsidR="00A9319E">
        <w:rPr>
          <w:lang w:val="fr-FR"/>
        </w:rPr>
        <w:t>’</w:t>
      </w:r>
      <w:r w:rsidRPr="00A9319E">
        <w:rPr>
          <w:lang w:val="fr-FR"/>
        </w:rPr>
        <w:t>éducation renvoya au principe de l</w:t>
      </w:r>
      <w:r w:rsidRPr="00A9319E" w:rsidR="00A9319E">
        <w:rPr>
          <w:lang w:val="fr-FR"/>
        </w:rPr>
        <w:t>’</w:t>
      </w:r>
      <w:r w:rsidRPr="00A9319E">
        <w:rPr>
          <w:lang w:val="fr-FR"/>
        </w:rPr>
        <w:t>intérêt public et à des impératifs de nécessités pour justifier cette décision, sans pour autant apporter d</w:t>
      </w:r>
      <w:r w:rsidRPr="00A9319E" w:rsidR="00A9319E">
        <w:rPr>
          <w:lang w:val="fr-FR"/>
        </w:rPr>
        <w:t>’</w:t>
      </w:r>
      <w:r w:rsidRPr="00A9319E">
        <w:rPr>
          <w:lang w:val="fr-FR"/>
        </w:rPr>
        <w:t>explications quant aux raisons d</w:t>
      </w:r>
      <w:r w:rsidRPr="00A9319E" w:rsidR="00A9319E">
        <w:rPr>
          <w:lang w:val="fr-FR"/>
        </w:rPr>
        <w:t>’</w:t>
      </w:r>
      <w:r w:rsidRPr="00A9319E">
        <w:rPr>
          <w:lang w:val="fr-FR"/>
        </w:rPr>
        <w:t>intérêt public en cause ou quant aux nécessités et aux spécificités des services d</w:t>
      </w:r>
      <w:r w:rsidRPr="00A9319E" w:rsidR="00A9319E">
        <w:rPr>
          <w:lang w:val="fr-FR"/>
        </w:rPr>
        <w:t>’</w:t>
      </w:r>
      <w:r w:rsidRPr="00A9319E">
        <w:rPr>
          <w:lang w:val="fr-FR"/>
        </w:rPr>
        <w:t>éducation et d</w:t>
      </w:r>
      <w:r w:rsidRPr="00A9319E" w:rsidR="00A9319E">
        <w:rPr>
          <w:lang w:val="fr-FR"/>
        </w:rPr>
        <w:t>’</w:t>
      </w:r>
      <w:r w:rsidRPr="00A9319E">
        <w:rPr>
          <w:lang w:val="fr-FR"/>
        </w:rPr>
        <w:t>enseignement qui auraient pu expliquer qu</w:t>
      </w:r>
      <w:r w:rsidRPr="00A9319E" w:rsidR="00A9319E">
        <w:rPr>
          <w:lang w:val="fr-FR"/>
        </w:rPr>
        <w:t>’</w:t>
      </w:r>
      <w:r w:rsidRPr="00A9319E">
        <w:rPr>
          <w:lang w:val="fr-FR"/>
        </w:rPr>
        <w:t>un enseignant, employé par le ministère, ne puisse occuper un poste à l</w:t>
      </w:r>
      <w:r w:rsidRPr="00A9319E" w:rsidR="00A9319E">
        <w:rPr>
          <w:lang w:val="fr-FR"/>
        </w:rPr>
        <w:t>’</w:t>
      </w:r>
      <w:r w:rsidRPr="00A9319E">
        <w:rPr>
          <w:lang w:val="fr-FR"/>
        </w:rPr>
        <w:t>étranger (paragraphe 13 ci-dessus).</w:t>
      </w:r>
    </w:p>
    <w:p w:rsidRPr="00A9319E" w:rsidR="00A35C9D" w:rsidP="00A9319E" w:rsidRDefault="00A35C9D">
      <w:pPr>
        <w:pStyle w:val="ECHRPara"/>
        <w:rPr>
          <w:lang w:val="fr-FR"/>
        </w:rPr>
      </w:pPr>
      <w:r w:rsidRPr="00A9319E">
        <w:rPr>
          <w:lang w:val="fr-FR"/>
        </w:rPr>
        <w:t>46.  À la lecture de la décision de la Commission d</w:t>
      </w:r>
      <w:r w:rsidRPr="00A9319E" w:rsidR="00A9319E">
        <w:rPr>
          <w:lang w:val="fr-FR"/>
        </w:rPr>
        <w:t>’</w:t>
      </w:r>
      <w:r w:rsidRPr="00A9319E">
        <w:rPr>
          <w:lang w:val="fr-FR"/>
        </w:rPr>
        <w:t>évaluation (paragraphe 8 ci-dessus), la Cour souligne également que cette Commission ne s</w:t>
      </w:r>
      <w:r w:rsidRPr="00A9319E" w:rsidR="00A9319E">
        <w:rPr>
          <w:lang w:val="fr-FR"/>
        </w:rPr>
        <w:t>’</w:t>
      </w:r>
      <w:r w:rsidRPr="00A9319E">
        <w:rPr>
          <w:lang w:val="fr-FR"/>
        </w:rPr>
        <w:t xml:space="preserve">était pas prononcée sur les compétences ou les capacités du requérant </w:t>
      </w:r>
      <w:r w:rsidRPr="00A9319E" w:rsidR="008A3AC7">
        <w:rPr>
          <w:lang w:val="fr-FR"/>
        </w:rPr>
        <w:t>à</w:t>
      </w:r>
      <w:r w:rsidRPr="00A9319E">
        <w:rPr>
          <w:lang w:val="fr-FR"/>
        </w:rPr>
        <w:t xml:space="preserve"> exerc</w:t>
      </w:r>
      <w:r w:rsidRPr="00A9319E" w:rsidR="008A3AC7">
        <w:rPr>
          <w:lang w:val="fr-FR"/>
        </w:rPr>
        <w:t>er</w:t>
      </w:r>
      <w:r w:rsidRPr="00A9319E">
        <w:rPr>
          <w:lang w:val="fr-FR"/>
        </w:rPr>
        <w:t xml:space="preserve"> les fonctions en cause mais tint uniquement compte des résultats de l</w:t>
      </w:r>
      <w:r w:rsidRPr="00A9319E" w:rsidR="00A9319E">
        <w:rPr>
          <w:lang w:val="fr-FR"/>
        </w:rPr>
        <w:t>’</w:t>
      </w:r>
      <w:r w:rsidRPr="00A9319E">
        <w:rPr>
          <w:lang w:val="fr-FR"/>
        </w:rPr>
        <w:t>enquête de sécurité. Or, ces résultats accordaient une place prépondérante à des éléments de la vie privée du requérant et de celle de son épouse, et notamment à la circonstance qu</w:t>
      </w:r>
      <w:r w:rsidRPr="00A9319E" w:rsidR="00A9319E">
        <w:rPr>
          <w:lang w:val="fr-FR"/>
        </w:rPr>
        <w:t>’</w:t>
      </w:r>
      <w:r w:rsidRPr="00A9319E">
        <w:rPr>
          <w:lang w:val="fr-FR"/>
        </w:rPr>
        <w:t>elle po</w:t>
      </w:r>
      <w:r w:rsidRPr="00A9319E" w:rsidR="00AD2504">
        <w:rPr>
          <w:lang w:val="fr-FR"/>
        </w:rPr>
        <w:t>rtait le voile (paragraphe 7 ci</w:t>
      </w:r>
      <w:r w:rsidRPr="00A9319E" w:rsidR="00AD2504">
        <w:rPr>
          <w:lang w:val="fr-FR"/>
        </w:rPr>
        <w:noBreakHyphen/>
      </w:r>
      <w:r w:rsidRPr="00A9319E">
        <w:rPr>
          <w:lang w:val="fr-FR"/>
        </w:rPr>
        <w:t>dessus).</w:t>
      </w:r>
    </w:p>
    <w:p w:rsidRPr="00A9319E" w:rsidR="00A35C9D" w:rsidP="00A9319E" w:rsidRDefault="00A35C9D">
      <w:pPr>
        <w:pStyle w:val="ECHRPara"/>
        <w:rPr>
          <w:rFonts w:ascii="Times New Roman" w:hAnsi="Times New Roman" w:eastAsia="Times New Roman" w:cs="Times New Roman"/>
          <w:szCs w:val="24"/>
          <w:lang w:val="fr-FR"/>
        </w:rPr>
      </w:pPr>
      <w:r w:rsidRPr="00A9319E">
        <w:rPr>
          <w:lang w:val="fr-FR"/>
        </w:rPr>
        <w:t xml:space="preserve">47. À cet égard, la Cour rappelle avoir déjà considéré que </w:t>
      </w:r>
      <w:r w:rsidRPr="00A9319E">
        <w:rPr>
          <w:rFonts w:ascii="Times New Roman" w:hAnsi="Times New Roman" w:eastAsia="Times New Roman" w:cs="Times New Roman"/>
          <w:szCs w:val="24"/>
          <w:lang w:val="fr-FR"/>
        </w:rPr>
        <w:t>le souci de préserver la neutralité du service public ne pouvait justifier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entrée en compte, dans la décision de muter un fonctionnaire, de la circonstance que son épouse portait le voile, élément qui relevait de la vie privée des intéressés (</w:t>
      </w:r>
      <w:proofErr w:type="spellStart"/>
      <w:r w:rsidRPr="00A9319E">
        <w:rPr>
          <w:rFonts w:ascii="Times New Roman" w:hAnsi="Times New Roman" w:eastAsia="Times New Roman" w:cs="Times New Roman"/>
          <w:i/>
          <w:szCs w:val="24"/>
          <w:lang w:val="fr-FR"/>
        </w:rPr>
        <w:t>Sodan</w:t>
      </w:r>
      <w:proofErr w:type="spellEnd"/>
      <w:r w:rsidRPr="00A9319E">
        <w:rPr>
          <w:rFonts w:ascii="Times New Roman" w:hAnsi="Times New Roman" w:eastAsia="Times New Roman" w:cs="Times New Roman"/>
          <w:szCs w:val="24"/>
          <w:lang w:val="fr-FR"/>
        </w:rPr>
        <w:t>, § 57, précité). Certes, la Cour n</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exclut pas que dans certaines circonstances, les exigences propres à la fonction publique puissent requérir la prise en compte des constats opérés au cours d</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enquêtes de sécurité. Pour autant, elle comprend mal en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espèce dans quelle mesure le port du voile par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épouse du requérant et la manière dont il se comporte à son domicile (paragraphe 7 ci-dessus) – questions relevant de la sphère privée – pourraient porter atteinte aux impératifs d</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intérêt public ou aux nécessités des services d</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enseignement et d</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éducation. Elle relève en outre que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arrestation passée du requérant n</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avait pas donné lieu à des poursuites pénales et n</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avait pas non plus été une cause d</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empêchement à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accès du requérant à la fonction publique enseignante.</w:t>
      </w:r>
    </w:p>
    <w:p w:rsidRPr="00A9319E" w:rsidR="00A35C9D" w:rsidP="00A9319E" w:rsidRDefault="00A35C9D">
      <w:pPr>
        <w:pStyle w:val="ECHRPara"/>
        <w:rPr>
          <w:rFonts w:ascii="Times New Roman" w:hAnsi="Times New Roman" w:eastAsia="Times New Roman" w:cs="Times New Roman"/>
          <w:szCs w:val="24"/>
          <w:lang w:val="fr-FR"/>
        </w:rPr>
      </w:pPr>
      <w:r w:rsidRPr="00A9319E">
        <w:rPr>
          <w:rFonts w:ascii="Times New Roman" w:hAnsi="Times New Roman" w:eastAsia="Times New Roman" w:cs="Times New Roman"/>
          <w:szCs w:val="24"/>
          <w:lang w:val="fr-FR"/>
        </w:rPr>
        <w:t>48.  Au terme de cette appréciation des circonstances de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espèce, la Cour tient pour établi que la décision de ne pas nommer le requérant à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étranger était motivée par des éléments relevant de sa vie privée. À supposer que cette ingérence était prévue par la loi et qu</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elle poursuivait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un des buts légitimes énoncés à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alinéa 2 de l</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article 8, la Cour considère qu</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en tout état de cause celle-ci n</w:t>
      </w:r>
      <w:r w:rsidRPr="00A9319E" w:rsidR="00A9319E">
        <w:rPr>
          <w:rFonts w:ascii="Times New Roman" w:hAnsi="Times New Roman" w:eastAsia="Times New Roman" w:cs="Times New Roman"/>
          <w:szCs w:val="24"/>
          <w:lang w:val="fr-FR"/>
        </w:rPr>
        <w:t>’</w:t>
      </w:r>
      <w:r w:rsidRPr="00A9319E">
        <w:rPr>
          <w:rFonts w:ascii="Times New Roman" w:hAnsi="Times New Roman" w:eastAsia="Times New Roman" w:cs="Times New Roman"/>
          <w:szCs w:val="24"/>
          <w:lang w:val="fr-FR"/>
        </w:rPr>
        <w:t>était pas nécessaire dans une société démocratique.</w:t>
      </w:r>
    </w:p>
    <w:p w:rsidRPr="00A9319E" w:rsidR="00A35C9D" w:rsidP="00A9319E" w:rsidRDefault="00A35C9D">
      <w:pPr>
        <w:pStyle w:val="ECHRPara"/>
        <w:rPr>
          <w:lang w:val="fr-FR"/>
        </w:rPr>
      </w:pPr>
      <w:r w:rsidRPr="00A9319E">
        <w:rPr>
          <w:rFonts w:ascii="Times New Roman" w:hAnsi="Times New Roman" w:eastAsia="Times New Roman" w:cs="Times New Roman"/>
          <w:szCs w:val="24"/>
          <w:lang w:val="fr-FR"/>
        </w:rPr>
        <w:t>49.  </w:t>
      </w:r>
      <w:r w:rsidRPr="00A9319E">
        <w:rPr>
          <w:lang w:val="fr-FR"/>
        </w:rPr>
        <w:t>Partant, la Cour conclut à la violation de l</w:t>
      </w:r>
      <w:r w:rsidRPr="00A9319E" w:rsidR="00A9319E">
        <w:rPr>
          <w:lang w:val="fr-FR"/>
        </w:rPr>
        <w:t>’</w:t>
      </w:r>
      <w:r w:rsidRPr="00A9319E">
        <w:rPr>
          <w:lang w:val="fr-FR"/>
        </w:rPr>
        <w:t>article 8 de la Convention.</w:t>
      </w:r>
    </w:p>
    <w:p w:rsidRPr="00A9319E" w:rsidR="00A35C9D" w:rsidP="00A9319E" w:rsidRDefault="00A35C9D">
      <w:pPr>
        <w:pStyle w:val="ECHRHeading1"/>
        <w:rPr>
          <w:lang w:val="fr-FR"/>
        </w:rPr>
      </w:pPr>
      <w:r w:rsidRPr="00A9319E">
        <w:rPr>
          <w:lang w:val="fr-FR"/>
        </w:rPr>
        <w:t>III.  SUR L</w:t>
      </w:r>
      <w:r w:rsidRPr="00A9319E" w:rsidR="00A9319E">
        <w:rPr>
          <w:lang w:val="fr-FR"/>
        </w:rPr>
        <w:t>’</w:t>
      </w:r>
      <w:r w:rsidRPr="00A9319E">
        <w:rPr>
          <w:lang w:val="fr-FR"/>
        </w:rPr>
        <w:t>APPLICATION DE L</w:t>
      </w:r>
      <w:r w:rsidRPr="00A9319E" w:rsidR="00A9319E">
        <w:rPr>
          <w:lang w:val="fr-FR"/>
        </w:rPr>
        <w:t>’</w:t>
      </w:r>
      <w:r w:rsidRPr="00A9319E">
        <w:rPr>
          <w:lang w:val="fr-FR"/>
        </w:rPr>
        <w:t>ARTICLE 41 DE LA CONVENTION</w:t>
      </w:r>
    </w:p>
    <w:p w:rsidRPr="00A9319E" w:rsidR="00A35C9D" w:rsidP="00A9319E" w:rsidRDefault="00A35C9D">
      <w:pPr>
        <w:pStyle w:val="ECHRPara"/>
        <w:rPr>
          <w:lang w:val="fr-FR"/>
        </w:rPr>
      </w:pPr>
      <w:r w:rsidRPr="00A9319E">
        <w:rPr>
          <w:lang w:val="fr-FR"/>
        </w:rPr>
        <w:t>50.  Aux termes de l</w:t>
      </w:r>
      <w:r w:rsidRPr="00A9319E" w:rsidR="00A9319E">
        <w:rPr>
          <w:lang w:val="fr-FR"/>
        </w:rPr>
        <w:t>’</w:t>
      </w:r>
      <w:r w:rsidRPr="00A9319E">
        <w:rPr>
          <w:lang w:val="fr-FR"/>
        </w:rPr>
        <w:t>article 41 de la Convention,</w:t>
      </w:r>
    </w:p>
    <w:p w:rsidRPr="00A9319E" w:rsidR="00A35C9D" w:rsidP="00A9319E" w:rsidRDefault="00A35C9D">
      <w:pPr>
        <w:pStyle w:val="ECHRParaQuote"/>
        <w:keepNext/>
        <w:keepLines/>
        <w:rPr>
          <w:lang w:val="fr-FR"/>
        </w:rPr>
      </w:pPr>
      <w:r w:rsidRPr="00A9319E">
        <w:rPr>
          <w:lang w:val="fr-FR"/>
        </w:rPr>
        <w:t>« Si la Cour déclare qu</w:t>
      </w:r>
      <w:r w:rsidRPr="00A9319E" w:rsidR="00A9319E">
        <w:rPr>
          <w:lang w:val="fr-FR"/>
        </w:rPr>
        <w:t>’</w:t>
      </w:r>
      <w:r w:rsidRPr="00A9319E">
        <w:rPr>
          <w:lang w:val="fr-FR"/>
        </w:rPr>
        <w:t>il y a eu violation de la Convention ou de ses Protocoles, et si le droit interne de la Haute Partie contractante ne permet d</w:t>
      </w:r>
      <w:r w:rsidRPr="00A9319E" w:rsidR="00A9319E">
        <w:rPr>
          <w:lang w:val="fr-FR"/>
        </w:rPr>
        <w:t>’</w:t>
      </w:r>
      <w:r w:rsidRPr="00A9319E">
        <w:rPr>
          <w:lang w:val="fr-FR"/>
        </w:rPr>
        <w:t>effacer qu</w:t>
      </w:r>
      <w:r w:rsidRPr="00A9319E" w:rsidR="00A9319E">
        <w:rPr>
          <w:lang w:val="fr-FR"/>
        </w:rPr>
        <w:t>’</w:t>
      </w:r>
      <w:r w:rsidRPr="00A9319E">
        <w:rPr>
          <w:lang w:val="fr-FR"/>
        </w:rPr>
        <w:t>imparfaitement les conséquences de cette violation, la Cour accorde à la partie lésée, s</w:t>
      </w:r>
      <w:r w:rsidRPr="00A9319E" w:rsidR="00A9319E">
        <w:rPr>
          <w:lang w:val="fr-FR"/>
        </w:rPr>
        <w:t>’</w:t>
      </w:r>
      <w:r w:rsidRPr="00A9319E">
        <w:rPr>
          <w:lang w:val="fr-FR"/>
        </w:rPr>
        <w:t>il y a lieu, une satisfaction équitable. »</w:t>
      </w:r>
    </w:p>
    <w:p w:rsidRPr="00A9319E" w:rsidR="00A35C9D" w:rsidP="00A9319E" w:rsidRDefault="00A35C9D">
      <w:pPr>
        <w:pStyle w:val="ECHRPara"/>
        <w:rPr>
          <w:lang w:val="fr-FR"/>
        </w:rPr>
      </w:pPr>
      <w:r w:rsidRPr="00A9319E">
        <w:rPr>
          <w:lang w:val="fr-FR"/>
        </w:rPr>
        <w:t>51.  Le requérant n</w:t>
      </w:r>
      <w:r w:rsidRPr="00A9319E" w:rsidR="00A9319E">
        <w:rPr>
          <w:lang w:val="fr-FR"/>
        </w:rPr>
        <w:t>’</w:t>
      </w:r>
      <w:r w:rsidRPr="00A9319E">
        <w:rPr>
          <w:lang w:val="fr-FR"/>
        </w:rPr>
        <w:t>a présenté aucune demande de satisfaction équitable. Partant, la Cour estime qu</w:t>
      </w:r>
      <w:r w:rsidRPr="00A9319E" w:rsidR="00A9319E">
        <w:rPr>
          <w:lang w:val="fr-FR"/>
        </w:rPr>
        <w:t>’</w:t>
      </w:r>
      <w:r w:rsidRPr="00A9319E">
        <w:rPr>
          <w:lang w:val="fr-FR"/>
        </w:rPr>
        <w:t>il n</w:t>
      </w:r>
      <w:r w:rsidRPr="00A9319E" w:rsidR="00A9319E">
        <w:rPr>
          <w:lang w:val="fr-FR"/>
        </w:rPr>
        <w:t>’</w:t>
      </w:r>
      <w:r w:rsidRPr="00A9319E">
        <w:rPr>
          <w:lang w:val="fr-FR"/>
        </w:rPr>
        <w:t>y a pas lieu de lui octroyer de somme à ce titre.</w:t>
      </w:r>
    </w:p>
    <w:p w:rsidRPr="00A9319E" w:rsidR="00A35C9D" w:rsidP="00A9319E" w:rsidRDefault="00A35C9D">
      <w:pPr>
        <w:pStyle w:val="ECHRTitle1"/>
        <w:rPr>
          <w:lang w:val="fr-FR"/>
        </w:rPr>
      </w:pPr>
      <w:r w:rsidRPr="00A9319E">
        <w:rPr>
          <w:lang w:val="fr-FR"/>
        </w:rPr>
        <w:t>PAR CES MOTIFS, LA COUR, À L</w:t>
      </w:r>
      <w:r w:rsidRPr="00A9319E" w:rsidR="00A9319E">
        <w:rPr>
          <w:lang w:val="fr-FR"/>
        </w:rPr>
        <w:t>’</w:t>
      </w:r>
      <w:r w:rsidRPr="00A9319E">
        <w:rPr>
          <w:lang w:val="fr-FR"/>
        </w:rPr>
        <w:t>UNANIMITÉ,</w:t>
      </w:r>
    </w:p>
    <w:p w:rsidRPr="00A9319E" w:rsidR="00A35C9D" w:rsidP="00A9319E" w:rsidRDefault="00A35C9D">
      <w:pPr>
        <w:pStyle w:val="JuList"/>
        <w:rPr>
          <w:lang w:val="fr-FR"/>
        </w:rPr>
      </w:pPr>
      <w:r w:rsidRPr="00A9319E">
        <w:rPr>
          <w:lang w:val="fr-FR"/>
        </w:rPr>
        <w:t>1.  </w:t>
      </w:r>
      <w:r w:rsidRPr="00A9319E">
        <w:rPr>
          <w:i/>
          <w:lang w:val="fr-FR"/>
        </w:rPr>
        <w:t>Déclare</w:t>
      </w:r>
      <w:r w:rsidRPr="00A9319E">
        <w:rPr>
          <w:lang w:val="fr-FR"/>
        </w:rPr>
        <w:t xml:space="preserve"> la requête recevable quant aux griefs tirés des articles 6 § 1 (en raison de la durée de la procédure) et 8 de la Convention et irrecevable pour le surplus ;</w:t>
      </w:r>
    </w:p>
    <w:p w:rsidRPr="00A9319E" w:rsidR="00A35C9D" w:rsidP="00A9319E" w:rsidRDefault="00A35C9D">
      <w:pPr>
        <w:pStyle w:val="JuList"/>
        <w:rPr>
          <w:lang w:val="fr-FR"/>
        </w:rPr>
      </w:pPr>
    </w:p>
    <w:p w:rsidRPr="00A9319E" w:rsidR="00A35C9D" w:rsidP="00A9319E" w:rsidRDefault="00A35C9D">
      <w:pPr>
        <w:pStyle w:val="JuList"/>
        <w:rPr>
          <w:lang w:val="fr-FR"/>
        </w:rPr>
      </w:pPr>
      <w:r w:rsidRPr="00A9319E">
        <w:rPr>
          <w:lang w:val="fr-FR"/>
        </w:rPr>
        <w:t>2.  </w:t>
      </w:r>
      <w:r w:rsidRPr="00A9319E">
        <w:rPr>
          <w:i/>
          <w:lang w:val="fr-FR"/>
        </w:rPr>
        <w:t>Dit</w:t>
      </w:r>
      <w:r w:rsidRPr="00A9319E">
        <w:rPr>
          <w:lang w:val="fr-FR"/>
        </w:rPr>
        <w:t xml:space="preserve"> qu</w:t>
      </w:r>
      <w:r w:rsidRPr="00A9319E" w:rsidR="00A9319E">
        <w:rPr>
          <w:lang w:val="fr-FR"/>
        </w:rPr>
        <w:t>’</w:t>
      </w:r>
      <w:r w:rsidRPr="00A9319E">
        <w:rPr>
          <w:lang w:val="fr-FR"/>
        </w:rPr>
        <w:t>il y a eu violation de l</w:t>
      </w:r>
      <w:r w:rsidRPr="00A9319E" w:rsidR="00A9319E">
        <w:rPr>
          <w:lang w:val="fr-FR"/>
        </w:rPr>
        <w:t>’</w:t>
      </w:r>
      <w:r w:rsidRPr="00A9319E">
        <w:rPr>
          <w:lang w:val="fr-FR"/>
        </w:rPr>
        <w:t>article 6 § 1 en raison la durée excessive de la procédure administrative;</w:t>
      </w:r>
    </w:p>
    <w:p w:rsidRPr="00A9319E" w:rsidR="00A35C9D" w:rsidP="00A9319E" w:rsidRDefault="00A35C9D">
      <w:pPr>
        <w:pStyle w:val="JuList"/>
        <w:rPr>
          <w:lang w:val="fr-FR"/>
        </w:rPr>
      </w:pPr>
    </w:p>
    <w:p w:rsidRPr="00A9319E" w:rsidR="00021956" w:rsidP="00A9319E" w:rsidRDefault="00AD2504">
      <w:pPr>
        <w:pStyle w:val="JuList"/>
        <w:rPr>
          <w:lang w:val="fr-FR"/>
        </w:rPr>
      </w:pPr>
      <w:r w:rsidRPr="00A9319E">
        <w:rPr>
          <w:lang w:val="fr-FR"/>
        </w:rPr>
        <w:t>3.  </w:t>
      </w:r>
      <w:r w:rsidRPr="00A9319E" w:rsidR="00A35C9D">
        <w:rPr>
          <w:i/>
          <w:lang w:val="fr-FR"/>
        </w:rPr>
        <w:t>Dit</w:t>
      </w:r>
      <w:r w:rsidRPr="00A9319E" w:rsidR="00A35C9D">
        <w:rPr>
          <w:lang w:val="fr-FR"/>
        </w:rPr>
        <w:t xml:space="preserve"> qu</w:t>
      </w:r>
      <w:r w:rsidRPr="00A9319E" w:rsidR="00A9319E">
        <w:rPr>
          <w:lang w:val="fr-FR"/>
        </w:rPr>
        <w:t>’</w:t>
      </w:r>
      <w:r w:rsidRPr="00A9319E" w:rsidR="00A35C9D">
        <w:rPr>
          <w:lang w:val="fr-FR"/>
        </w:rPr>
        <w:t>il y a eu violation de l</w:t>
      </w:r>
      <w:r w:rsidRPr="00A9319E" w:rsidR="00A9319E">
        <w:rPr>
          <w:lang w:val="fr-FR"/>
        </w:rPr>
        <w:t>’</w:t>
      </w:r>
      <w:r w:rsidRPr="00A9319E" w:rsidR="00A35C9D">
        <w:rPr>
          <w:lang w:val="fr-FR"/>
        </w:rPr>
        <w:t>article 8 de la Convention.</w:t>
      </w:r>
    </w:p>
    <w:p w:rsidRPr="00A9319E" w:rsidR="00102FB2" w:rsidP="00A9319E" w:rsidRDefault="00102FB2">
      <w:pPr>
        <w:pStyle w:val="JuParaLast"/>
        <w:keepNext w:val="0"/>
        <w:keepLines w:val="0"/>
        <w:rPr>
          <w:lang w:val="fr-FR"/>
        </w:rPr>
      </w:pPr>
      <w:r w:rsidRPr="00A9319E">
        <w:rPr>
          <w:lang w:val="fr-FR"/>
        </w:rPr>
        <w:t xml:space="preserve">Fait en français, puis communiqué par écrit le </w:t>
      </w:r>
      <w:r w:rsidRPr="00A9319E" w:rsidR="00A35C9D">
        <w:rPr>
          <w:rFonts w:ascii="Times New Roman" w:hAnsi="Times New Roman" w:cs="Times New Roman"/>
          <w:lang w:val="fr-FR"/>
        </w:rPr>
        <w:t>4 juin 2019</w:t>
      </w:r>
      <w:r w:rsidRPr="00A9319E">
        <w:rPr>
          <w:lang w:val="fr-FR"/>
        </w:rPr>
        <w:t>, en application de l</w:t>
      </w:r>
      <w:r w:rsidRPr="00A9319E" w:rsidR="00A9319E">
        <w:rPr>
          <w:lang w:val="fr-FR"/>
        </w:rPr>
        <w:t>’</w:t>
      </w:r>
      <w:r w:rsidRPr="00A9319E">
        <w:rPr>
          <w:lang w:val="fr-FR"/>
        </w:rPr>
        <w:t>article 77 §§ 2 et 3 du règlement de la Cour.</w:t>
      </w:r>
    </w:p>
    <w:p w:rsidRPr="00A9319E" w:rsidR="004D15F3" w:rsidP="00A9319E" w:rsidRDefault="00A35C9D">
      <w:pPr>
        <w:pStyle w:val="JuSigned"/>
        <w:rPr>
          <w:szCs w:val="24"/>
          <w:lang w:val="fr-FR"/>
        </w:rPr>
      </w:pPr>
      <w:r w:rsidRPr="00A9319E">
        <w:rPr>
          <w:lang w:val="fr-FR"/>
        </w:rPr>
        <w:tab/>
        <w:t>Stanley Naismith</w:t>
      </w:r>
      <w:r w:rsidRPr="00A9319E" w:rsidR="00777C71">
        <w:rPr>
          <w:lang w:val="fr-FR"/>
        </w:rPr>
        <w:tab/>
      </w:r>
      <w:r w:rsidRPr="00A9319E">
        <w:rPr>
          <w:szCs w:val="24"/>
          <w:lang w:val="fr-FR"/>
        </w:rPr>
        <w:t>Robert Spano</w:t>
      </w:r>
      <w:r w:rsidRPr="00A9319E" w:rsidR="00777C71">
        <w:rPr>
          <w:lang w:val="fr-FR"/>
        </w:rPr>
        <w:br/>
      </w:r>
      <w:r w:rsidRPr="00A9319E" w:rsidR="00777C71">
        <w:rPr>
          <w:lang w:val="fr-FR"/>
        </w:rPr>
        <w:tab/>
      </w:r>
      <w:r w:rsidRPr="00A9319E">
        <w:rPr>
          <w:lang w:val="fr-FR"/>
        </w:rPr>
        <w:t>Greffier</w:t>
      </w:r>
      <w:r w:rsidRPr="00A9319E" w:rsidR="00777C71">
        <w:rPr>
          <w:lang w:val="fr-FR"/>
        </w:rPr>
        <w:tab/>
      </w:r>
      <w:r w:rsidRPr="00A9319E">
        <w:rPr>
          <w:lang w:val="fr-FR"/>
        </w:rPr>
        <w:t>Président</w:t>
      </w:r>
    </w:p>
    <w:sectPr w:rsidRPr="00A9319E" w:rsidR="004D15F3" w:rsidSect="00A95AF3">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C9D" w:rsidRPr="00EA4BD7" w:rsidRDefault="00A35C9D" w:rsidP="002D2C99">
      <w:pPr>
        <w:rPr>
          <w:lang w:val="fr-FR"/>
        </w:rPr>
      </w:pPr>
      <w:r w:rsidRPr="00EA4BD7">
        <w:rPr>
          <w:lang w:val="fr-FR"/>
        </w:rPr>
        <w:separator/>
      </w:r>
    </w:p>
  </w:endnote>
  <w:endnote w:type="continuationSeparator" w:id="0">
    <w:p w:rsidR="00A35C9D" w:rsidRPr="00EA4BD7" w:rsidRDefault="00A35C9D"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Futura Std Book">
    <w:altName w:val="Futura Std 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C9D" w:rsidRPr="00150BFA" w:rsidRDefault="00A35C9D" w:rsidP="0020718E">
    <w:pPr>
      <w:jc w:val="center"/>
    </w:pPr>
    <w:r>
      <w:rPr>
        <w:noProof/>
        <w:lang w:eastAsia="ja-JP"/>
      </w:rPr>
      <w:drawing>
        <wp:inline distT="0" distB="0" distL="0" distR="0" wp14:anchorId="400959F6" wp14:editId="41CD19D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E571D1"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E571D1"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C9D" w:rsidRPr="00EA4BD7" w:rsidRDefault="00A35C9D" w:rsidP="002D2C99">
      <w:pPr>
        <w:rPr>
          <w:lang w:val="fr-FR"/>
        </w:rPr>
      </w:pPr>
      <w:r w:rsidRPr="00EA4BD7">
        <w:rPr>
          <w:lang w:val="fr-FR"/>
        </w:rPr>
        <w:separator/>
      </w:r>
    </w:p>
  </w:footnote>
  <w:footnote w:type="continuationSeparator" w:id="0">
    <w:p w:rsidR="00A35C9D" w:rsidRPr="00EA4BD7" w:rsidRDefault="00A35C9D"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C9D" w:rsidRPr="00A45145" w:rsidRDefault="00A35C9D" w:rsidP="00A45145">
    <w:pPr>
      <w:jc w:val="center"/>
    </w:pPr>
    <w:r>
      <w:rPr>
        <w:noProof/>
        <w:lang w:eastAsia="ja-JP"/>
      </w:rPr>
      <w:drawing>
        <wp:inline distT="0" distB="0" distL="0" distR="0" wp14:anchorId="694E700B" wp14:editId="012D4053">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A95AF3" w:rsidP="00F5432B">
    <w:pPr>
      <w:pStyle w:val="ECHRHeader"/>
      <w:rPr>
        <w:lang w:val="fr-FR"/>
      </w:rPr>
    </w:pPr>
    <w:r>
      <w:rPr>
        <w:lang w:val="fr-FR"/>
      </w:rPr>
      <w:fldChar w:fldCharType="begin"/>
    </w:r>
    <w:r w:rsidRPr="00F921AB">
      <w:instrText xml:space="preserve"> PAGE </w:instrText>
    </w:r>
    <w:r>
      <w:rPr>
        <w:lang w:val="fr-FR"/>
      </w:rPr>
      <w:fldChar w:fldCharType="separate"/>
    </w:r>
    <w:r w:rsidR="00E66BC9">
      <w:rPr>
        <w:noProof/>
      </w:rPr>
      <w:t>2</w:t>
    </w:r>
    <w:r>
      <w:rPr>
        <w:lang w:val="fr-FR"/>
      </w:rPr>
      <w:fldChar w:fldCharType="end"/>
    </w:r>
    <w:r w:rsidR="00420F04" w:rsidRPr="00C25A3E">
      <w:tab/>
      <w:t xml:space="preserve">ARRÊT </w:t>
    </w:r>
    <w:r w:rsidR="00591FF5">
      <w:t>Y</w:t>
    </w:r>
    <w:r w:rsidR="00591FF5">
      <w:rPr>
        <w:lang w:val="tr-TR"/>
      </w:rPr>
      <w:t>I</w:t>
    </w:r>
    <w:r w:rsidR="00A35C9D">
      <w:t>LMAZ c. TURQUIE</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ECHRHeader"/>
    </w:pPr>
    <w:r>
      <w:tab/>
    </w:r>
    <w:r w:rsidRPr="00A7574A">
      <w:rPr>
        <w:lang w:val="en-GB"/>
      </w:rPr>
      <w:t xml:space="preserve">ARRÊT </w:t>
    </w:r>
    <w:r w:rsidR="00A35C9D">
      <w:rPr>
        <w:lang w:val="en-GB"/>
      </w:rPr>
      <w:t>Y</w:t>
    </w:r>
    <w:r w:rsidR="00591FF5">
      <w:rPr>
        <w:lang w:val="en-GB"/>
      </w:rPr>
      <w:t>I</w:t>
    </w:r>
    <w:r w:rsidR="00A35C9D">
      <w:rPr>
        <w:lang w:val="en-GB"/>
      </w:rPr>
      <w:t>LMAZ c. TURQUIE</w:t>
    </w:r>
    <w:r w:rsidRPr="007100AD">
      <w:tab/>
    </w:r>
    <w:r w:rsidR="00A95AF3">
      <w:rPr>
        <w:lang w:val="fr-FR"/>
      </w:rPr>
      <w:fldChar w:fldCharType="begin"/>
    </w:r>
    <w:r w:rsidR="00A95AF3" w:rsidRPr="00F921AB">
      <w:instrText xml:space="preserve"> PAGE </w:instrText>
    </w:r>
    <w:r w:rsidR="00A95AF3">
      <w:rPr>
        <w:lang w:val="fr-FR"/>
      </w:rPr>
      <w:fldChar w:fldCharType="separate"/>
    </w:r>
    <w:r w:rsidR="00E66BC9">
      <w:rPr>
        <w:noProof/>
      </w:rPr>
      <w:t>1</w:t>
    </w:r>
    <w:r w:rsidR="00A95AF3">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35C9D"/>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19F8"/>
    <w:rsid w:val="001A3D28"/>
    <w:rsid w:val="001A674C"/>
    <w:rsid w:val="001B3B24"/>
    <w:rsid w:val="001C0F98"/>
    <w:rsid w:val="001C2A42"/>
    <w:rsid w:val="001C77D6"/>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A0481"/>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5DF4"/>
    <w:rsid w:val="00547353"/>
    <w:rsid w:val="005474E7"/>
    <w:rsid w:val="005512A3"/>
    <w:rsid w:val="005578CE"/>
    <w:rsid w:val="00562781"/>
    <w:rsid w:val="0057271C"/>
    <w:rsid w:val="00572845"/>
    <w:rsid w:val="00591FF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5F7A86"/>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97ADA"/>
    <w:rsid w:val="008A3AC7"/>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7554C"/>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5C9D"/>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319E"/>
    <w:rsid w:val="00A94C20"/>
    <w:rsid w:val="00A95AF3"/>
    <w:rsid w:val="00AA227F"/>
    <w:rsid w:val="00AA3BC7"/>
    <w:rsid w:val="00AA754A"/>
    <w:rsid w:val="00AB099E"/>
    <w:rsid w:val="00AB4328"/>
    <w:rsid w:val="00AC3ABA"/>
    <w:rsid w:val="00AD2504"/>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66BC9"/>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407F2"/>
    <w:rsid w:val="00F5432B"/>
    <w:rsid w:val="00F552A0"/>
    <w:rsid w:val="00F56A6F"/>
    <w:rsid w:val="00F5709C"/>
    <w:rsid w:val="00F64EF1"/>
    <w:rsid w:val="00F667F8"/>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B25E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B25E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B25E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B25E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eastAsiaTheme="minorEastAsia" w:hAnsi="Tahoma" w:cs="Tahoma"/>
      <w:sz w:val="16"/>
      <w:szCs w:val="16"/>
    </w:rPr>
  </w:style>
  <w:style w:type="character" w:styleId="BookTitle">
    <w:name w:val="Book Title"/>
    <w:uiPriority w:val="99"/>
    <w:semiHidden/>
    <w:qFormat/>
    <w:rsid w:val="00CB25E5"/>
    <w:rPr>
      <w:i/>
      <w:iCs/>
      <w:smallCaps/>
      <w:spacing w:val="5"/>
    </w:rPr>
  </w:style>
  <w:style w:type="paragraph" w:customStyle="1" w:styleId="ECHRHeader">
    <w:name w:val="ECHR_Header"/>
    <w:aliases w:val="Ju_Header"/>
    <w:basedOn w:val="Header"/>
    <w:uiPriority w:val="4"/>
    <w:qFormat/>
    <w:rsid w:val="00CB25E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CB25E5"/>
  </w:style>
  <w:style w:type="character" w:styleId="Strong">
    <w:name w:val="Strong"/>
    <w:uiPriority w:val="99"/>
    <w:semiHidden/>
    <w:qFormat/>
    <w:rsid w:val="00CB25E5"/>
    <w:rPr>
      <w:b/>
      <w:bCs/>
    </w:rPr>
  </w:style>
  <w:style w:type="paragraph" w:styleId="NoSpacing">
    <w:name w:val="No Spacing"/>
    <w:basedOn w:val="Normal"/>
    <w:link w:val="NoSpacingChar"/>
    <w:semiHidden/>
    <w:qFormat/>
    <w:rsid w:val="00CB25E5"/>
    <w:rPr>
      <w:sz w:val="22"/>
    </w:rPr>
  </w:style>
  <w:style w:type="character" w:customStyle="1" w:styleId="NoSpacingChar">
    <w:name w:val="No Spacing Char"/>
    <w:basedOn w:val="DefaultParagraphFont"/>
    <w:link w:val="NoSpacing"/>
    <w:semiHidden/>
    <w:rsid w:val="00CB25E5"/>
    <w:rPr>
      <w:rFonts w:eastAsiaTheme="minorEastAsia"/>
    </w:rPr>
  </w:style>
  <w:style w:type="paragraph" w:customStyle="1" w:styleId="ECHRParaQuote">
    <w:name w:val="ECHR_Para_Quote"/>
    <w:aliases w:val="Ju_Quot"/>
    <w:basedOn w:val="Normal"/>
    <w:uiPriority w:val="14"/>
    <w:qFormat/>
    <w:rsid w:val="00CB25E5"/>
    <w:pPr>
      <w:spacing w:before="120" w:after="120"/>
      <w:ind w:left="425" w:firstLine="142"/>
    </w:pPr>
    <w:rPr>
      <w:sz w:val="20"/>
    </w:rPr>
  </w:style>
  <w:style w:type="paragraph" w:customStyle="1" w:styleId="JuParaSub">
    <w:name w:val="Ju_Para_Sub"/>
    <w:basedOn w:val="ECHRPara"/>
    <w:uiPriority w:val="13"/>
    <w:qFormat/>
    <w:rsid w:val="00CB25E5"/>
    <w:pPr>
      <w:ind w:left="284"/>
    </w:pPr>
  </w:style>
  <w:style w:type="paragraph" w:customStyle="1" w:styleId="OpiParaSub">
    <w:name w:val="Opi_Para_Sub"/>
    <w:basedOn w:val="JuParaSub"/>
    <w:uiPriority w:val="47"/>
    <w:qFormat/>
    <w:rsid w:val="00CB25E5"/>
  </w:style>
  <w:style w:type="paragraph" w:customStyle="1" w:styleId="OpiQuot">
    <w:name w:val="Opi_Quot"/>
    <w:basedOn w:val="ECHRParaQuote"/>
    <w:uiPriority w:val="48"/>
    <w:qFormat/>
    <w:rsid w:val="00CB25E5"/>
  </w:style>
  <w:style w:type="paragraph" w:customStyle="1" w:styleId="OpiQuotSub">
    <w:name w:val="Opi_Quot_Sub"/>
    <w:basedOn w:val="JuQuotSub"/>
    <w:uiPriority w:val="49"/>
    <w:qFormat/>
    <w:rsid w:val="00CB25E5"/>
  </w:style>
  <w:style w:type="paragraph" w:customStyle="1" w:styleId="ECHRTitleCentre3">
    <w:name w:val="ECHR_Title_Centre_3"/>
    <w:aliases w:val="Ju_H_Article"/>
    <w:basedOn w:val="Normal"/>
    <w:next w:val="ECHRParaQuote"/>
    <w:uiPriority w:val="27"/>
    <w:qFormat/>
    <w:rsid w:val="00CB25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B25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B25E5"/>
    <w:pPr>
      <w:ind w:left="567"/>
    </w:pPr>
  </w:style>
  <w:style w:type="paragraph" w:customStyle="1" w:styleId="ECHRTitle1">
    <w:name w:val="ECHR_Title_1"/>
    <w:aliases w:val="Ju_H_Head"/>
    <w:basedOn w:val="Normal"/>
    <w:next w:val="ECHRPara"/>
    <w:uiPriority w:val="18"/>
    <w:qFormat/>
    <w:rsid w:val="00CB25E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B25E5"/>
    <w:pPr>
      <w:tabs>
        <w:tab w:val="center" w:pos="6407"/>
      </w:tabs>
      <w:spacing w:before="720"/>
      <w:jc w:val="right"/>
    </w:pPr>
  </w:style>
  <w:style w:type="paragraph" w:customStyle="1" w:styleId="JuSigned">
    <w:name w:val="Ju_Signed"/>
    <w:basedOn w:val="Normal"/>
    <w:next w:val="JuParaLast"/>
    <w:uiPriority w:val="32"/>
    <w:qFormat/>
    <w:rsid w:val="00CB25E5"/>
    <w:pPr>
      <w:tabs>
        <w:tab w:val="center" w:pos="851"/>
        <w:tab w:val="center" w:pos="6407"/>
      </w:tabs>
      <w:spacing w:before="720"/>
      <w:jc w:val="left"/>
    </w:pPr>
  </w:style>
  <w:style w:type="paragraph" w:styleId="Title">
    <w:name w:val="Title"/>
    <w:basedOn w:val="Normal"/>
    <w:next w:val="Normal"/>
    <w:link w:val="TitleChar"/>
    <w:uiPriority w:val="99"/>
    <w:semiHidden/>
    <w:qFormat/>
    <w:rsid w:val="00CB25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B25E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B25E5"/>
    <w:pPr>
      <w:tabs>
        <w:tab w:val="clear" w:pos="357"/>
      </w:tabs>
      <w:outlineLvl w:val="1"/>
    </w:pPr>
    <w:rPr>
      <w:b/>
    </w:rPr>
  </w:style>
  <w:style w:type="character" w:customStyle="1" w:styleId="JUNAMES">
    <w:name w:val="JU_NAMES"/>
    <w:uiPriority w:val="17"/>
    <w:qFormat/>
    <w:rsid w:val="00CB25E5"/>
    <w:rPr>
      <w:caps w:val="0"/>
      <w:smallCaps/>
    </w:rPr>
  </w:style>
  <w:style w:type="character" w:customStyle="1" w:styleId="JuITMark">
    <w:name w:val="Ju_ITMark"/>
    <w:basedOn w:val="DefaultParagraphFont"/>
    <w:uiPriority w:val="38"/>
    <w:qFormat/>
    <w:rsid w:val="00CB25E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B25E5"/>
    <w:pPr>
      <w:jc w:val="center"/>
      <w:outlineLvl w:val="0"/>
    </w:pPr>
    <w:rPr>
      <w:i/>
    </w:rPr>
  </w:style>
  <w:style w:type="paragraph" w:customStyle="1" w:styleId="JuCourt">
    <w:name w:val="Ju_Court"/>
    <w:basedOn w:val="Normal"/>
    <w:next w:val="Normal"/>
    <w:uiPriority w:val="16"/>
    <w:qFormat/>
    <w:rsid w:val="00CB25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B25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B25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B25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CB25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B25E5"/>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EA4BD7"/>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CB25E5"/>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CB25E5"/>
    <w:pPr>
      <w:keepNext/>
      <w:keepLines/>
      <w:spacing w:before="240"/>
      <w:ind w:firstLine="284"/>
    </w:pPr>
  </w:style>
  <w:style w:type="paragraph" w:customStyle="1" w:styleId="JuList">
    <w:name w:val="Ju_List"/>
    <w:basedOn w:val="Normal"/>
    <w:uiPriority w:val="28"/>
    <w:qFormat/>
    <w:rsid w:val="00CB25E5"/>
    <w:pPr>
      <w:ind w:left="340" w:hanging="340"/>
    </w:p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CB25E5"/>
    <w:pPr>
      <w:ind w:left="346" w:firstLine="0"/>
    </w:pPr>
  </w:style>
  <w:style w:type="character" w:customStyle="1" w:styleId="Heading5Char">
    <w:name w:val="Heading 5 Char"/>
    <w:basedOn w:val="DefaultParagraphFont"/>
    <w:link w:val="Heading5"/>
    <w:uiPriority w:val="99"/>
    <w:semiHidden/>
    <w:rsid w:val="00CB25E5"/>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CB25E5"/>
    <w:pPr>
      <w:ind w:left="794"/>
    </w:pPr>
  </w:style>
  <w:style w:type="paragraph" w:customStyle="1" w:styleId="OpiH1">
    <w:name w:val="Opi_H_1"/>
    <w:basedOn w:val="ECHRHeading2"/>
    <w:uiPriority w:val="42"/>
    <w:qFormat/>
    <w:rsid w:val="00CB25E5"/>
    <w:pPr>
      <w:ind w:left="635" w:hanging="357"/>
      <w:outlineLvl w:val="2"/>
    </w:pPr>
  </w:style>
  <w:style w:type="character" w:styleId="SubtleEmphasis">
    <w:name w:val="Subtle Emphasis"/>
    <w:uiPriority w:val="99"/>
    <w:semiHidden/>
    <w:qFormat/>
    <w:rsid w:val="00CB25E5"/>
    <w:rPr>
      <w:i/>
      <w:iCs/>
    </w:rPr>
  </w:style>
  <w:style w:type="paragraph" w:customStyle="1" w:styleId="OpiHa0">
    <w:name w:val="Opi_H_a"/>
    <w:basedOn w:val="ECHRHeading3"/>
    <w:uiPriority w:val="43"/>
    <w:qFormat/>
    <w:rsid w:val="00CB25E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CB25E5"/>
    <w:pPr>
      <w:ind w:left="1037" w:hanging="357"/>
      <w:outlineLvl w:val="4"/>
    </w:pPr>
    <w:rPr>
      <w:b w:val="0"/>
      <w:i/>
    </w:rPr>
  </w:style>
  <w:style w:type="paragraph" w:customStyle="1" w:styleId="DummyStyle">
    <w:name w:val="Dummy_Style"/>
    <w:basedOn w:val="Normal"/>
    <w:semiHidden/>
    <w:qFormat/>
    <w:rsid w:val="00CB25E5"/>
    <w:rPr>
      <w:color w:val="00B050"/>
    </w:rPr>
  </w:style>
  <w:style w:type="paragraph" w:styleId="Subtitle">
    <w:name w:val="Subtitle"/>
    <w:basedOn w:val="Normal"/>
    <w:next w:val="Normal"/>
    <w:link w:val="SubtitleChar"/>
    <w:uiPriority w:val="99"/>
    <w:semiHidden/>
    <w:qFormat/>
    <w:rsid w:val="00CB25E5"/>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CB25E5"/>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B25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B25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B25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CB25E5"/>
    <w:rPr>
      <w:b/>
      <w:bCs/>
    </w:rPr>
  </w:style>
  <w:style w:type="paragraph" w:styleId="IntenseQuote">
    <w:name w:val="Intense Quote"/>
    <w:basedOn w:val="Normal"/>
    <w:next w:val="Normal"/>
    <w:link w:val="IntenseQuoteChar"/>
    <w:uiPriority w:val="99"/>
    <w:semiHidden/>
    <w:qFormat/>
    <w:rsid w:val="00CB25E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B25E5"/>
    <w:rPr>
      <w:rFonts w:eastAsiaTheme="minorEastAsia"/>
      <w:b/>
      <w:bCs/>
      <w:i/>
      <w:iCs/>
      <w:lang w:bidi="en-US"/>
    </w:rPr>
  </w:style>
  <w:style w:type="character" w:styleId="IntenseReference">
    <w:name w:val="Intense Reference"/>
    <w:uiPriority w:val="99"/>
    <w:semiHidden/>
    <w:qFormat/>
    <w:rsid w:val="00CB25E5"/>
    <w:rPr>
      <w:smallCaps/>
      <w:spacing w:val="5"/>
      <w:u w:val="single"/>
    </w:rPr>
  </w:style>
  <w:style w:type="paragraph" w:styleId="ListParagraph">
    <w:name w:val="List Paragraph"/>
    <w:basedOn w:val="Normal"/>
    <w:uiPriority w:val="99"/>
    <w:semiHidden/>
    <w:qFormat/>
    <w:rsid w:val="00CB25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B25E5"/>
    <w:pPr>
      <w:spacing w:before="200"/>
      <w:ind w:left="360" w:right="360"/>
    </w:pPr>
    <w:rPr>
      <w:i/>
      <w:iCs/>
      <w:sz w:val="22"/>
      <w:lang w:bidi="en-US"/>
    </w:rPr>
  </w:style>
  <w:style w:type="character" w:customStyle="1" w:styleId="QuoteChar">
    <w:name w:val="Quote Char"/>
    <w:basedOn w:val="DefaultParagraphFont"/>
    <w:link w:val="Quote"/>
    <w:uiPriority w:val="99"/>
    <w:semiHidden/>
    <w:rsid w:val="00CB25E5"/>
    <w:rPr>
      <w:rFonts w:eastAsiaTheme="minorEastAsia"/>
      <w:i/>
      <w:iCs/>
      <w:lang w:bidi="en-US"/>
    </w:rPr>
  </w:style>
  <w:style w:type="character" w:styleId="SubtleReference">
    <w:name w:val="Subtle Reference"/>
    <w:uiPriority w:val="99"/>
    <w:semiHidden/>
    <w:qFormat/>
    <w:rsid w:val="00CB25E5"/>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B25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B25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Para"/>
    <w:basedOn w:val="Normal"/>
    <w:uiPriority w:val="12"/>
    <w:qFormat/>
    <w:rsid w:val="00CB25E5"/>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B25E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CB25E5"/>
  </w:style>
  <w:style w:type="paragraph" w:customStyle="1" w:styleId="DecList">
    <w:name w:val="Dec_List"/>
    <w:basedOn w:val="Normal"/>
    <w:uiPriority w:val="9"/>
    <w:qFormat/>
    <w:rsid w:val="00CB25E5"/>
    <w:pPr>
      <w:spacing w:before="240"/>
      <w:ind w:left="284"/>
    </w:p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B25E5"/>
    <w:pPr>
      <w:spacing w:after="240"/>
      <w:jc w:val="center"/>
      <w:outlineLvl w:val="0"/>
    </w:pPr>
    <w:rPr>
      <w:rFonts w:asciiTheme="majorHAnsi" w:hAnsiTheme="majorHAnsi"/>
    </w:rPr>
  </w:style>
  <w:style w:type="paragraph" w:customStyle="1" w:styleId="JuAppQuestion">
    <w:name w:val="Ju_App_Question"/>
    <w:basedOn w:val="Normal"/>
    <w:uiPriority w:val="5"/>
    <w:qFormat/>
    <w:rsid w:val="00CB25E5"/>
    <w:pPr>
      <w:numPr>
        <w:numId w:val="22"/>
      </w:numPr>
      <w:jc w:val="left"/>
    </w:pPr>
    <w:rPr>
      <w:b/>
    </w:rPr>
  </w:style>
  <w:style w:type="paragraph" w:customStyle="1" w:styleId="JuHeaderLandscape">
    <w:name w:val="Ju_Header_Landscape"/>
    <w:basedOn w:val="ECHRHeader"/>
    <w:uiPriority w:val="4"/>
    <w:qFormat/>
    <w:rsid w:val="00CB25E5"/>
    <w:pPr>
      <w:tabs>
        <w:tab w:val="clear" w:pos="3686"/>
        <w:tab w:val="clear" w:pos="7371"/>
        <w:tab w:val="center" w:pos="6146"/>
        <w:tab w:val="right" w:pos="12293"/>
      </w:tabs>
    </w:pPr>
  </w:style>
  <w:style w:type="paragraph" w:customStyle="1" w:styleId="JuTitle">
    <w:name w:val="Ju_Title"/>
    <w:basedOn w:val="Normal"/>
    <w:next w:val="ECHRPara"/>
    <w:uiPriority w:val="3"/>
    <w:qFormat/>
    <w:rsid w:val="00CB25E5"/>
    <w:pPr>
      <w:spacing w:before="720" w:after="240"/>
      <w:jc w:val="center"/>
      <w:outlineLvl w:val="0"/>
    </w:pPr>
    <w:rPr>
      <w:rFonts w:asciiTheme="majorHAnsi" w:hAnsiTheme="majorHAnsi"/>
      <w:b/>
      <w:caps/>
    </w:rPr>
  </w:style>
  <w:style w:type="character" w:customStyle="1" w:styleId="JuNames0">
    <w:name w:val="Ju_Names"/>
    <w:rsid w:val="00A35C9D"/>
    <w:rPr>
      <w:rFonts w:ascii="Times New Roman" w:hAnsi="Times New Roman" w:cs="Times New Roman"/>
      <w:smallCaps/>
    </w:rPr>
  </w:style>
  <w:style w:type="character" w:customStyle="1" w:styleId="JuParaChar">
    <w:name w:val="Ju_Para Char"/>
    <w:aliases w:val="ECHR_Para Char"/>
    <w:basedOn w:val="DefaultParagraphFont"/>
    <w:uiPriority w:val="12"/>
    <w:rsid w:val="00A35C9D"/>
    <w:rPr>
      <w:lang w:eastAsia="fr-FR"/>
    </w:rPr>
  </w:style>
  <w:style w:type="paragraph" w:customStyle="1" w:styleId="ECHRSpacer">
    <w:name w:val="ECHR_Spacer"/>
    <w:basedOn w:val="Normal"/>
    <w:uiPriority w:val="45"/>
    <w:rsid w:val="00A35C9D"/>
    <w:pPr>
      <w:jc w:val="left"/>
    </w:pPr>
    <w:rPr>
      <w:rFonts w:eastAsiaTheme="minorHAnsi"/>
      <w:sz w:val="4"/>
      <w:lang w:val="en-GB"/>
    </w:rPr>
  </w:style>
  <w:style w:type="paragraph" w:customStyle="1" w:styleId="Default">
    <w:name w:val="Default"/>
    <w:rsid w:val="00A35C9D"/>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A35C9D"/>
    <w:rPr>
      <w:rFonts w:eastAsiaTheme="minorEastAsia"/>
      <w:sz w:val="24"/>
      <w:lang w:val="en-GB"/>
    </w:rPr>
  </w:style>
  <w:style w:type="paragraph" w:customStyle="1" w:styleId="Pa10">
    <w:name w:val="Pa10"/>
    <w:basedOn w:val="Default"/>
    <w:next w:val="Default"/>
    <w:uiPriority w:val="99"/>
    <w:rsid w:val="00A35C9D"/>
    <w:pPr>
      <w:spacing w:line="161" w:lineRule="atLeast"/>
    </w:pPr>
    <w:rPr>
      <w:rFonts w:ascii="Futura Std Book" w:hAnsi="Futura Std Book" w:cstheme="minorBidi"/>
      <w:color w:val="auto"/>
    </w:rPr>
  </w:style>
  <w:style w:type="paragraph" w:customStyle="1" w:styleId="jupara">
    <w:name w:val="jupara"/>
    <w:basedOn w:val="Normal"/>
    <w:rsid w:val="00A9319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9319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52926B-1B99-4D68-84F2-40986758B91D}"/>
</file>

<file path=customXml/itemProps2.xml><?xml version="1.0" encoding="utf-8"?>
<ds:datastoreItem xmlns:ds="http://schemas.openxmlformats.org/officeDocument/2006/customXml" ds:itemID="{718B3F32-0DA3-4A87-8E97-F3148FEA4F76}"/>
</file>

<file path=customXml/itemProps3.xml><?xml version="1.0" encoding="utf-8"?>
<ds:datastoreItem xmlns:ds="http://schemas.openxmlformats.org/officeDocument/2006/customXml" ds:itemID="{1CF0BE0B-C41D-4690-A0BE-F6384E43DCFA}"/>
</file>

<file path=customXml/itemProps4.xml><?xml version="1.0" encoding="utf-8"?>
<ds:datastoreItem xmlns:ds="http://schemas.openxmlformats.org/officeDocument/2006/customXml" ds:itemID="{48D339FA-CF65-4EEB-BFF8-EADCB567C8F7}"/>
</file>

<file path=docProps/app.xml><?xml version="1.0" encoding="utf-8"?>
<Properties xmlns="http://schemas.openxmlformats.org/officeDocument/2006/extended-properties" xmlns:vt="http://schemas.openxmlformats.org/officeDocument/2006/docPropsVTypes">
  <Template>Normal.dotm</Template>
  <TotalTime>0</TotalTime>
  <Pages>1</Pages>
  <Words>4046</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27060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2020-11-13T15:25:00Z</dcterms:created>
  <dcterms:modified xsi:type="dcterms:W3CDTF">2020-11-13T15:25:00Z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36607/06</vt:lpwstr>
  </property>
  <property fmtid="{D5CDD505-2E9C-101B-9397-08002B2CF9AE}" pid="4" name="CASEID">
    <vt:lpwstr>412826</vt:lpwstr>
  </property>
  <property fmtid="{D5CDD505-2E9C-101B-9397-08002B2CF9AE}" pid="5" name="ContentTypeId">
    <vt:lpwstr>0x010100558EB02BDB9E204AB350EDD385B68E10</vt:lpwstr>
  </property>
</Properties>
</file>