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D364F" w:rsidR="00493050" w:rsidP="008D364F" w:rsidRDefault="00493050">
      <w:pPr>
        <w:jc w:val="center"/>
        <w:rPr>
          <w:lang w:val="fr-FR"/>
        </w:rPr>
      </w:pPr>
      <w:bookmarkStart w:name="_GoBack" w:id="0"/>
      <w:bookmarkEnd w:id="0"/>
    </w:p>
    <w:p w:rsidRPr="008D364F" w:rsidR="00D30B69" w:rsidP="008D364F" w:rsidRDefault="00D30B69">
      <w:pPr>
        <w:jc w:val="center"/>
        <w:rPr>
          <w:lang w:val="fr-FR"/>
        </w:rPr>
      </w:pPr>
    </w:p>
    <w:p w:rsidRPr="008D364F" w:rsidR="00D30B69" w:rsidP="008D364F" w:rsidRDefault="00D30B69">
      <w:pPr>
        <w:jc w:val="center"/>
        <w:rPr>
          <w:lang w:val="fr-FR"/>
        </w:rPr>
      </w:pPr>
    </w:p>
    <w:p w:rsidRPr="008D364F" w:rsidR="00DE61E0" w:rsidP="008D364F" w:rsidRDefault="00F26C19">
      <w:pPr>
        <w:jc w:val="center"/>
      </w:pPr>
      <w:r w:rsidRPr="008D364F">
        <w:t>FIRST SECTION</w:t>
      </w:r>
    </w:p>
    <w:p w:rsidRPr="008D364F" w:rsidR="00DE61E0" w:rsidP="008D364F" w:rsidRDefault="00DE61E0">
      <w:pPr>
        <w:jc w:val="center"/>
      </w:pPr>
    </w:p>
    <w:p w:rsidRPr="008D364F" w:rsidR="00493050" w:rsidP="008D364F" w:rsidRDefault="00493050">
      <w:pPr>
        <w:jc w:val="center"/>
      </w:pPr>
    </w:p>
    <w:p w:rsidRPr="008D364F" w:rsidR="00493050" w:rsidP="008D364F" w:rsidRDefault="00493050">
      <w:pPr>
        <w:jc w:val="center"/>
      </w:pPr>
    </w:p>
    <w:p w:rsidRPr="008D364F" w:rsidR="00493050" w:rsidP="008D364F" w:rsidRDefault="00493050">
      <w:pPr>
        <w:jc w:val="center"/>
      </w:pPr>
    </w:p>
    <w:p w:rsidRPr="008D364F" w:rsidR="00493050" w:rsidP="008D364F" w:rsidRDefault="00493050">
      <w:pPr>
        <w:jc w:val="center"/>
      </w:pPr>
    </w:p>
    <w:p w:rsidRPr="008D364F" w:rsidR="00493050" w:rsidP="008D364F" w:rsidRDefault="00493050">
      <w:pPr>
        <w:jc w:val="center"/>
      </w:pPr>
    </w:p>
    <w:p w:rsidRPr="008D364F" w:rsidR="00DE61E0" w:rsidP="008D364F" w:rsidRDefault="00DE61E0">
      <w:pPr>
        <w:jc w:val="center"/>
        <w:rPr>
          <w:b/>
        </w:rPr>
      </w:pPr>
      <w:bookmarkStart w:name="To" w:id="1"/>
      <w:r w:rsidRPr="008D364F">
        <w:rPr>
          <w:b/>
        </w:rPr>
        <w:t xml:space="preserve">CASE OF </w:t>
      </w:r>
      <w:bookmarkEnd w:id="1"/>
      <w:r w:rsidRPr="008D364F" w:rsidR="00F26C19">
        <w:rPr>
          <w:b/>
        </w:rPr>
        <w:t>TYRKA v. POLAND</w:t>
      </w:r>
    </w:p>
    <w:p w:rsidRPr="008D364F" w:rsidR="00DE61E0" w:rsidP="008D364F" w:rsidRDefault="00DE61E0">
      <w:pPr>
        <w:jc w:val="center"/>
      </w:pPr>
    </w:p>
    <w:p w:rsidRPr="008D364F" w:rsidR="00DE61E0" w:rsidP="008D364F" w:rsidRDefault="00DE61E0">
      <w:pPr>
        <w:jc w:val="center"/>
        <w:rPr>
          <w:i/>
        </w:rPr>
      </w:pPr>
      <w:r w:rsidRPr="008D364F">
        <w:rPr>
          <w:i/>
        </w:rPr>
        <w:t>(</w:t>
      </w:r>
      <w:r w:rsidRPr="008D364F" w:rsidR="00F26C19">
        <w:rPr>
          <w:i/>
        </w:rPr>
        <w:t>Application no. 37734/14</w:t>
      </w:r>
      <w:r w:rsidRPr="008D364F">
        <w:rPr>
          <w:i/>
        </w:rPr>
        <w:t>)</w:t>
      </w:r>
    </w:p>
    <w:p w:rsidRPr="008D364F" w:rsidR="00DE61E0" w:rsidP="008D364F" w:rsidRDefault="00DE61E0">
      <w:pPr>
        <w:jc w:val="center"/>
        <w:rPr>
          <w:szCs w:val="24"/>
        </w:rPr>
      </w:pPr>
    </w:p>
    <w:p w:rsidRPr="008D364F" w:rsidR="00EB427F" w:rsidP="008D364F" w:rsidRDefault="00EB427F">
      <w:pPr>
        <w:jc w:val="center"/>
        <w:rPr>
          <w:szCs w:val="24"/>
        </w:rPr>
      </w:pPr>
    </w:p>
    <w:p w:rsidRPr="008D364F" w:rsidR="00DE61E0" w:rsidP="008D364F" w:rsidRDefault="00DE61E0">
      <w:pPr>
        <w:jc w:val="center"/>
        <w:rPr>
          <w:szCs w:val="24"/>
        </w:rPr>
      </w:pPr>
    </w:p>
    <w:p w:rsidRPr="008D364F" w:rsidR="00493050" w:rsidP="008D364F" w:rsidRDefault="00493050">
      <w:pPr>
        <w:jc w:val="center"/>
        <w:rPr>
          <w:szCs w:val="24"/>
        </w:rPr>
      </w:pPr>
    </w:p>
    <w:p w:rsidRPr="008D364F" w:rsidR="00493050" w:rsidP="008D364F" w:rsidRDefault="00493050">
      <w:pPr>
        <w:jc w:val="center"/>
        <w:rPr>
          <w:szCs w:val="24"/>
        </w:rPr>
      </w:pPr>
    </w:p>
    <w:p w:rsidRPr="008D364F" w:rsidR="00493050" w:rsidP="008D364F" w:rsidRDefault="00493050">
      <w:pPr>
        <w:jc w:val="center"/>
        <w:rPr>
          <w:szCs w:val="24"/>
        </w:rPr>
      </w:pPr>
    </w:p>
    <w:p w:rsidRPr="008D364F" w:rsidR="00D30B69" w:rsidP="008D364F" w:rsidRDefault="00D30B69">
      <w:pPr>
        <w:jc w:val="center"/>
        <w:rPr>
          <w:szCs w:val="24"/>
        </w:rPr>
      </w:pPr>
    </w:p>
    <w:p w:rsidRPr="008D364F" w:rsidR="00D30B69" w:rsidP="008D364F" w:rsidRDefault="00D30B69">
      <w:pPr>
        <w:jc w:val="center"/>
        <w:rPr>
          <w:szCs w:val="24"/>
        </w:rPr>
      </w:pPr>
    </w:p>
    <w:p w:rsidRPr="008D364F" w:rsidR="00D30B69" w:rsidP="008D364F" w:rsidRDefault="00D30B69">
      <w:pPr>
        <w:jc w:val="center"/>
        <w:rPr>
          <w:szCs w:val="24"/>
        </w:rPr>
      </w:pPr>
    </w:p>
    <w:p w:rsidRPr="008D364F" w:rsidR="00D30B69" w:rsidP="008D364F" w:rsidRDefault="00D30B69">
      <w:pPr>
        <w:jc w:val="center"/>
        <w:rPr>
          <w:szCs w:val="24"/>
        </w:rPr>
      </w:pPr>
    </w:p>
    <w:p w:rsidRPr="008D364F" w:rsidR="00D30B69" w:rsidP="008D364F" w:rsidRDefault="00D30B69">
      <w:pPr>
        <w:jc w:val="center"/>
        <w:rPr>
          <w:szCs w:val="24"/>
        </w:rPr>
      </w:pPr>
    </w:p>
    <w:p w:rsidRPr="008D364F" w:rsidR="00D30B69" w:rsidP="008D364F" w:rsidRDefault="00D30B69">
      <w:pPr>
        <w:jc w:val="center"/>
        <w:rPr>
          <w:szCs w:val="24"/>
        </w:rPr>
      </w:pPr>
    </w:p>
    <w:p w:rsidRPr="008D364F" w:rsidR="00D30B69" w:rsidP="008D364F" w:rsidRDefault="00D30B69">
      <w:pPr>
        <w:jc w:val="center"/>
        <w:rPr>
          <w:szCs w:val="24"/>
        </w:rPr>
      </w:pPr>
    </w:p>
    <w:p w:rsidRPr="008D364F" w:rsidR="00EB427F" w:rsidP="008D364F" w:rsidRDefault="00493050">
      <w:pPr>
        <w:jc w:val="center"/>
        <w:rPr>
          <w:szCs w:val="24"/>
        </w:rPr>
      </w:pPr>
      <w:r w:rsidRPr="008D364F">
        <w:rPr>
          <w:szCs w:val="24"/>
        </w:rPr>
        <w:t>JUDGMENT</w:t>
      </w:r>
    </w:p>
    <w:p w:rsidRPr="008D364F" w:rsidR="00493050" w:rsidP="008D364F" w:rsidRDefault="00493050">
      <w:pPr>
        <w:jc w:val="center"/>
        <w:rPr>
          <w:szCs w:val="24"/>
        </w:rPr>
      </w:pPr>
    </w:p>
    <w:p w:rsidRPr="008D364F" w:rsidR="00D30B69" w:rsidP="008D364F" w:rsidRDefault="00D30B69">
      <w:pPr>
        <w:jc w:val="center"/>
        <w:rPr>
          <w:szCs w:val="24"/>
        </w:rPr>
      </w:pPr>
    </w:p>
    <w:p w:rsidRPr="008D364F" w:rsidR="00D30B69" w:rsidP="008D364F" w:rsidRDefault="00D30B69">
      <w:pPr>
        <w:jc w:val="center"/>
        <w:rPr>
          <w:szCs w:val="24"/>
        </w:rPr>
      </w:pPr>
    </w:p>
    <w:p w:rsidRPr="008D364F" w:rsidR="00493050" w:rsidP="008D364F" w:rsidRDefault="00493050">
      <w:pPr>
        <w:jc w:val="center"/>
        <w:rPr>
          <w:szCs w:val="24"/>
        </w:rPr>
      </w:pPr>
    </w:p>
    <w:p w:rsidRPr="008D364F" w:rsidR="00493050" w:rsidP="008D364F" w:rsidRDefault="00493050">
      <w:pPr>
        <w:jc w:val="center"/>
        <w:rPr>
          <w:szCs w:val="24"/>
        </w:rPr>
      </w:pPr>
      <w:r w:rsidRPr="008D364F">
        <w:rPr>
          <w:szCs w:val="24"/>
        </w:rPr>
        <w:t>STRASBOURG</w:t>
      </w:r>
    </w:p>
    <w:p w:rsidRPr="008D364F" w:rsidR="00493050" w:rsidP="008D364F" w:rsidRDefault="00493050">
      <w:pPr>
        <w:jc w:val="center"/>
        <w:rPr>
          <w:szCs w:val="24"/>
        </w:rPr>
      </w:pPr>
    </w:p>
    <w:p w:rsidRPr="008D364F" w:rsidR="00493050" w:rsidP="008D364F" w:rsidRDefault="00493050">
      <w:pPr>
        <w:jc w:val="center"/>
        <w:rPr>
          <w:szCs w:val="24"/>
        </w:rPr>
      </w:pPr>
      <w:r w:rsidRPr="008D364F">
        <w:rPr>
          <w:szCs w:val="24"/>
        </w:rPr>
        <w:t>6 June 2019</w:t>
      </w:r>
    </w:p>
    <w:p w:rsidRPr="008D364F" w:rsidR="00493050" w:rsidP="008D364F" w:rsidRDefault="00493050">
      <w:pPr>
        <w:jc w:val="center"/>
        <w:rPr>
          <w:szCs w:val="24"/>
        </w:rPr>
      </w:pPr>
    </w:p>
    <w:p w:rsidRPr="008D364F" w:rsidR="00493050" w:rsidP="008D364F" w:rsidRDefault="00493050">
      <w:pPr>
        <w:jc w:val="center"/>
        <w:rPr>
          <w:szCs w:val="24"/>
        </w:rPr>
      </w:pPr>
    </w:p>
    <w:p w:rsidRPr="008D364F" w:rsidR="00493050" w:rsidP="008D364F" w:rsidRDefault="00493050">
      <w:pPr>
        <w:jc w:val="center"/>
        <w:rPr>
          <w:szCs w:val="24"/>
        </w:rPr>
      </w:pPr>
    </w:p>
    <w:p w:rsidRPr="008D364F" w:rsidR="00D30B69" w:rsidP="008D364F" w:rsidRDefault="00493050">
      <w:pPr>
        <w:rPr>
          <w:szCs w:val="24"/>
        </w:rPr>
      </w:pPr>
      <w:r w:rsidRPr="008D364F">
        <w:rPr>
          <w:i/>
          <w:sz w:val="22"/>
        </w:rPr>
        <w:t>This judgment is final but it may be subject to editorial revision.</w:t>
      </w:r>
    </w:p>
    <w:p w:rsidRPr="008D364F" w:rsidR="00493050" w:rsidP="008D364F" w:rsidRDefault="00493050">
      <w:pPr>
        <w:pStyle w:val="JuCase"/>
        <w:sectPr w:rsidRPr="008D364F" w:rsidR="00493050" w:rsidSect="0049305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8D364F" w:rsidR="00DE61E0" w:rsidP="008D364F" w:rsidRDefault="00DE61E0">
      <w:pPr>
        <w:pStyle w:val="JuCase"/>
        <w:rPr>
          <w:b w:val="0"/>
          <w:bCs/>
        </w:rPr>
      </w:pPr>
      <w:r w:rsidRPr="008D364F">
        <w:t xml:space="preserve">In the case of </w:t>
      </w:r>
      <w:r w:rsidRPr="008D364F" w:rsidR="00F26C19">
        <w:t>Tyrka v. Poland</w:t>
      </w:r>
      <w:r w:rsidRPr="008D364F">
        <w:t>,</w:t>
      </w:r>
    </w:p>
    <w:p w:rsidRPr="008D364F" w:rsidR="00DE61E0" w:rsidP="008D364F" w:rsidRDefault="00DE61E0">
      <w:pPr>
        <w:pStyle w:val="JuPara"/>
        <w:rPr>
          <w:b/>
        </w:rPr>
      </w:pPr>
      <w:r w:rsidRPr="008D364F">
        <w:t>The European Court of Human Rights (</w:t>
      </w:r>
      <w:r w:rsidRPr="008D364F" w:rsidR="00F26C19">
        <w:t>First Section</w:t>
      </w:r>
      <w:r w:rsidRPr="008D364F" w:rsidR="00D30B69">
        <w:t xml:space="preserve">), sitting as a </w:t>
      </w:r>
      <w:r w:rsidRPr="008D364F" w:rsidR="00F26C19">
        <w:t>Committee</w:t>
      </w:r>
      <w:r w:rsidRPr="008D364F">
        <w:t xml:space="preserve"> composed of:</w:t>
      </w:r>
    </w:p>
    <w:p w:rsidRPr="008D364F" w:rsidR="00DE61E0" w:rsidP="008D364F" w:rsidRDefault="003E4484">
      <w:pPr>
        <w:pStyle w:val="JuJudges"/>
      </w:pPr>
      <w:r w:rsidRPr="008D364F">
        <w:tab/>
        <w:t>Armen Harutyunyan,</w:t>
      </w:r>
      <w:r w:rsidRPr="008D364F">
        <w:rPr>
          <w:i/>
        </w:rPr>
        <w:t xml:space="preserve"> President,</w:t>
      </w:r>
      <w:r w:rsidRPr="008D364F">
        <w:rPr>
          <w:i/>
        </w:rPr>
        <w:br/>
      </w:r>
      <w:r w:rsidRPr="008D364F">
        <w:tab/>
        <w:t>Krzysztof Wojtyczek,</w:t>
      </w:r>
      <w:r w:rsidRPr="008D364F">
        <w:rPr>
          <w:i/>
        </w:rPr>
        <w:br/>
      </w:r>
      <w:r w:rsidRPr="008D364F">
        <w:tab/>
        <w:t>Pere Pastor Vilanova,</w:t>
      </w:r>
      <w:r w:rsidRPr="008D364F">
        <w:rPr>
          <w:i/>
        </w:rPr>
        <w:t xml:space="preserve"> judges,</w:t>
      </w:r>
      <w:r w:rsidRPr="008D364F">
        <w:br/>
      </w:r>
      <w:r w:rsidRPr="008D364F" w:rsidR="00DE61E0">
        <w:t xml:space="preserve">and </w:t>
      </w:r>
      <w:r w:rsidRPr="008D364F" w:rsidR="00F26C19">
        <w:t>Renata Degener</w:t>
      </w:r>
      <w:r w:rsidRPr="008D364F" w:rsidR="00DE61E0">
        <w:t xml:space="preserve">, </w:t>
      </w:r>
      <w:r w:rsidRPr="008D364F" w:rsidR="00F26C19">
        <w:rPr>
          <w:i/>
        </w:rPr>
        <w:t xml:space="preserve">Deputy Section </w:t>
      </w:r>
      <w:r w:rsidRPr="008D364F" w:rsidR="00F26C19">
        <w:rPr>
          <w:i/>
          <w:iCs/>
        </w:rPr>
        <w:t>Registrar</w:t>
      </w:r>
      <w:r w:rsidRPr="008D364F" w:rsidR="00DE61E0">
        <w:rPr>
          <w:i/>
        </w:rPr>
        <w:t>,</w:t>
      </w:r>
    </w:p>
    <w:p w:rsidRPr="008D364F" w:rsidR="00DE61E0" w:rsidP="008D364F" w:rsidRDefault="00DE61E0">
      <w:pPr>
        <w:pStyle w:val="JuPara"/>
      </w:pPr>
      <w:r w:rsidRPr="008D364F">
        <w:t xml:space="preserve">Having deliberated in private on </w:t>
      </w:r>
      <w:r w:rsidRPr="008D364F" w:rsidR="00493050">
        <w:t>14 May 2019</w:t>
      </w:r>
      <w:r w:rsidRPr="008D364F">
        <w:t>,</w:t>
      </w:r>
    </w:p>
    <w:p w:rsidRPr="008D364F" w:rsidR="00DE61E0" w:rsidP="008D364F" w:rsidRDefault="00DE61E0">
      <w:pPr>
        <w:pStyle w:val="JuPara"/>
      </w:pPr>
      <w:r w:rsidRPr="008D364F">
        <w:t>Delivers the following judgment, which was adopted on that date:</w:t>
      </w:r>
    </w:p>
    <w:p w:rsidRPr="008D364F" w:rsidR="00DE61E0" w:rsidP="008D364F" w:rsidRDefault="00DE61E0">
      <w:pPr>
        <w:pStyle w:val="JuHHead"/>
      </w:pPr>
      <w:r w:rsidRPr="008D364F">
        <w:t>PROCEDURE</w:t>
      </w:r>
    </w:p>
    <w:p w:rsidRPr="008D364F" w:rsidR="002B1586"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1</w:t>
      </w:r>
      <w:r w:rsidRPr="008D364F">
        <w:fldChar w:fldCharType="end"/>
      </w:r>
      <w:r w:rsidRPr="008D364F" w:rsidR="00DE61E0">
        <w:t xml:space="preserve">.  The case originated in </w:t>
      </w:r>
      <w:r w:rsidRPr="008D364F">
        <w:t>an application (no. 37734/14)</w:t>
      </w:r>
      <w:r w:rsidRPr="008D364F" w:rsidR="00DE61E0">
        <w:t xml:space="preserve"> against </w:t>
      </w:r>
      <w:r w:rsidRPr="008D364F">
        <w:t>the Republic of Poland</w:t>
      </w:r>
      <w:r w:rsidRPr="008D364F" w:rsidR="00DE61E0">
        <w:t xml:space="preserve"> lodged with the </w:t>
      </w:r>
      <w:r w:rsidRPr="008D364F">
        <w:t>Court under Article 34</w:t>
      </w:r>
      <w:r w:rsidRPr="008D364F" w:rsidR="00DE61E0">
        <w:t xml:space="preserve"> of the Convention for the Protection of Human Rights and Fundamental Freedoms (“the Convention”) by </w:t>
      </w:r>
      <w:r w:rsidRPr="008D364F">
        <w:t>a Polish national, Ms Mariola Tyrka (“the applicant”), on 12 May 2014</w:t>
      </w:r>
      <w:r w:rsidRPr="008D364F" w:rsidR="00DE61E0">
        <w:t>.</w:t>
      </w:r>
    </w:p>
    <w:p w:rsidRPr="008D364F" w:rsidR="001B7151"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2</w:t>
      </w:r>
      <w:r w:rsidRPr="008D364F">
        <w:fldChar w:fldCharType="end"/>
      </w:r>
      <w:r w:rsidRPr="008D364F">
        <w:t>.  </w:t>
      </w:r>
      <w:r w:rsidRPr="008D364F" w:rsidR="001B7151">
        <w:t>The Polish Government (“the Government”) were represented by their Agent, Ms J. Chrzanowska, and subsequently by Mr J. Sobczak, of the Ministry of Foreign Affairs.</w:t>
      </w:r>
    </w:p>
    <w:p w:rsidRPr="008D364F" w:rsidR="00DE61E0"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3</w:t>
      </w:r>
      <w:r w:rsidRPr="008D364F">
        <w:fldChar w:fldCharType="end"/>
      </w:r>
      <w:r w:rsidRPr="008D364F" w:rsidR="00DE61E0">
        <w:t>.  </w:t>
      </w:r>
      <w:r w:rsidRPr="008D364F">
        <w:t>On 7 July 2015</w:t>
      </w:r>
      <w:r w:rsidRPr="008D364F" w:rsidR="008062C2">
        <w:t xml:space="preserve"> </w:t>
      </w:r>
      <w:r w:rsidRPr="008D364F" w:rsidR="006859D3">
        <w:t xml:space="preserve">notice of </w:t>
      </w:r>
      <w:r w:rsidRPr="008D364F" w:rsidR="008062C2">
        <w:t xml:space="preserve">the </w:t>
      </w:r>
      <w:r w:rsidRPr="008D364F">
        <w:t>application was given to the Government</w:t>
      </w:r>
      <w:r w:rsidRPr="008D364F" w:rsidR="00AF6511">
        <w:t>.</w:t>
      </w:r>
    </w:p>
    <w:p w:rsidRPr="008D364F" w:rsidR="00DE61E0" w:rsidP="008D364F" w:rsidRDefault="00DE61E0">
      <w:pPr>
        <w:pStyle w:val="JuHHead"/>
      </w:pPr>
      <w:r w:rsidRPr="008D364F">
        <w:t>THE FACTS</w:t>
      </w:r>
    </w:p>
    <w:p w:rsidRPr="008D364F" w:rsidR="00DE61E0" w:rsidP="008D364F" w:rsidRDefault="00DE61E0">
      <w:pPr>
        <w:pStyle w:val="JuHIRoman"/>
      </w:pPr>
      <w:r w:rsidRPr="008D364F">
        <w:t>THE CIRCUMSTANCES OF THE CASE</w:t>
      </w:r>
    </w:p>
    <w:p w:rsidRPr="008D364F" w:rsidR="00DE61E0"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4</w:t>
      </w:r>
      <w:r w:rsidRPr="008D364F">
        <w:fldChar w:fldCharType="end"/>
      </w:r>
      <w:r w:rsidRPr="008D364F" w:rsidR="00DE61E0">
        <w:t xml:space="preserve">.  The </w:t>
      </w:r>
      <w:r w:rsidRPr="008D364F">
        <w:t>applicant was born in 1970 and lives</w:t>
      </w:r>
      <w:r w:rsidRPr="008D364F" w:rsidR="00DE61E0">
        <w:t xml:space="preserve"> in </w:t>
      </w:r>
      <w:r w:rsidRPr="008D364F">
        <w:t>Czarnowo</w:t>
      </w:r>
      <w:r w:rsidRPr="008D364F" w:rsidR="00DE61E0">
        <w:t>.</w:t>
      </w:r>
    </w:p>
    <w:p w:rsidRPr="008D364F" w:rsidR="002B1586" w:rsidP="008D364F" w:rsidRDefault="00F26C19">
      <w:pPr>
        <w:pStyle w:val="JuHA"/>
      </w:pPr>
      <w:r w:rsidRPr="008D364F">
        <w:t>Civil proceedings</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5</w:t>
      </w:r>
      <w:r w:rsidRPr="008D364F">
        <w:fldChar w:fldCharType="end"/>
      </w:r>
      <w:r w:rsidRPr="008D364F">
        <w:t>.  On 29 January 2010 the Szczecin Social Security Board (</w:t>
      </w:r>
      <w:r w:rsidRPr="008D364F" w:rsidR="00C34CC6">
        <w:t xml:space="preserve">“the </w:t>
      </w:r>
      <w:r w:rsidRPr="008D364F">
        <w:t>ZUS</w:t>
      </w:r>
      <w:r w:rsidRPr="008D364F" w:rsidR="00C34CC6">
        <w:t>”</w:t>
      </w:r>
      <w:r w:rsidRPr="008D364F">
        <w:t xml:space="preserve">) dismissed </w:t>
      </w:r>
      <w:r w:rsidRPr="008D364F" w:rsidR="00173A1A">
        <w:t>an application by the</w:t>
      </w:r>
      <w:r w:rsidRPr="008D364F">
        <w:t xml:space="preserve"> applicant for a disability pension</w:t>
      </w:r>
      <w:r w:rsidRPr="008D364F" w:rsidR="00BE455B">
        <w:t xml:space="preserve"> </w:t>
      </w:r>
      <w:r w:rsidRPr="008D364F" w:rsidR="00173A1A">
        <w:t xml:space="preserve">on account </w:t>
      </w:r>
      <w:r w:rsidRPr="008D364F" w:rsidR="00BE455B">
        <w:t>of</w:t>
      </w:r>
      <w:r w:rsidRPr="008D364F" w:rsidR="009D4F79">
        <w:t xml:space="preserve"> a</w:t>
      </w:r>
      <w:r w:rsidRPr="008D364F">
        <w:t xml:space="preserve"> total incapacity to work. The </w:t>
      </w:r>
      <w:r w:rsidRPr="008D364F" w:rsidR="00910EDD">
        <w:t xml:space="preserve">ZUS </w:t>
      </w:r>
      <w:r w:rsidRPr="008D364F">
        <w:t>based its decision on a medical opinion which had found the applicant fit to work. The applicant appealed to a court.</w:t>
      </w:r>
    </w:p>
    <w:bookmarkStart w:name="firstexpertopinoion" w:id="2"/>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6</w:t>
      </w:r>
      <w:r w:rsidRPr="008D364F">
        <w:fldChar w:fldCharType="end"/>
      </w:r>
      <w:bookmarkEnd w:id="2"/>
      <w:r w:rsidRPr="008D364F">
        <w:t xml:space="preserve">.  On 8 April 2010 the Szczecin Regional Court decided to appoint experts on neurology, orthopaedics and psychiatry and requested </w:t>
      </w:r>
      <w:r w:rsidRPr="008D364F" w:rsidR="007C4F0A">
        <w:t>that they</w:t>
      </w:r>
      <w:r w:rsidRPr="008D364F">
        <w:t xml:space="preserve"> prepare opinions on the applicant</w:t>
      </w:r>
      <w:r w:rsidRPr="008D364F" w:rsidR="008D364F">
        <w:t>’</w:t>
      </w:r>
      <w:r w:rsidRPr="008D364F">
        <w:t xml:space="preserve">s state of health. The expert opinions were submitted to the court on 12 July 2010. According to the opinions the applicant </w:t>
      </w:r>
      <w:r w:rsidRPr="008D364F" w:rsidR="0038411F">
        <w:t>was</w:t>
      </w:r>
      <w:r w:rsidRPr="008D364F">
        <w:t xml:space="preserve"> fit to work.</w:t>
      </w:r>
    </w:p>
    <w:bookmarkStart w:name="husbandreprest" w:id="3"/>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7</w:t>
      </w:r>
      <w:r w:rsidRPr="008D364F">
        <w:fldChar w:fldCharType="end"/>
      </w:r>
      <w:bookmarkEnd w:id="3"/>
      <w:r w:rsidRPr="008D364F">
        <w:t xml:space="preserve">.  On 16 July 2010 the court dismissed </w:t>
      </w:r>
      <w:r w:rsidRPr="008D364F" w:rsidR="00254EC6">
        <w:t xml:space="preserve">an application by </w:t>
      </w:r>
      <w:r w:rsidRPr="008D364F">
        <w:t>the applicant to appoint a legal aid lawyer</w:t>
      </w:r>
      <w:r w:rsidRPr="008D364F" w:rsidR="004C25F4">
        <w:t xml:space="preserve"> to represent her</w:t>
      </w:r>
      <w:r w:rsidRPr="008D364F">
        <w:t>. The applicant appointed her husband to represent her in the proceedings.</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8</w:t>
      </w:r>
      <w:r w:rsidRPr="008D364F">
        <w:fldChar w:fldCharType="end"/>
      </w:r>
      <w:r w:rsidRPr="008D364F">
        <w:t>.  The applicant</w:t>
      </w:r>
      <w:r w:rsidRPr="008D364F" w:rsidR="008D364F">
        <w:t>’</w:t>
      </w:r>
      <w:r w:rsidRPr="008D364F">
        <w:t>s representative submitted comments on the expert</w:t>
      </w:r>
      <w:r w:rsidRPr="008D364F" w:rsidR="008D364F">
        <w:t>’</w:t>
      </w:r>
      <w:r w:rsidRPr="008D364F">
        <w:t xml:space="preserve">s opinions on 3 August 2010 and, afterwards, several </w:t>
      </w:r>
      <w:r w:rsidRPr="008D364F" w:rsidR="00952D3F">
        <w:t xml:space="preserve">applications </w:t>
      </w:r>
      <w:r w:rsidRPr="008D364F">
        <w:t>for the case to be examined by another court. Some of the representative</w:t>
      </w:r>
      <w:r w:rsidRPr="008D364F" w:rsidR="008D364F">
        <w:t>’</w:t>
      </w:r>
      <w:r w:rsidRPr="008D364F">
        <w:t xml:space="preserve">s letters to the court contained insulting expressions and he </w:t>
      </w:r>
      <w:r w:rsidRPr="008D364F" w:rsidR="00A74544">
        <w:t>was</w:t>
      </w:r>
      <w:r w:rsidRPr="008D364F">
        <w:t xml:space="preserve"> advised that </w:t>
      </w:r>
      <w:r w:rsidRPr="008D364F" w:rsidR="00731EED">
        <w:t xml:space="preserve">such expressions </w:t>
      </w:r>
      <w:r w:rsidRPr="008D364F" w:rsidR="00F459B6">
        <w:t xml:space="preserve">could </w:t>
      </w:r>
      <w:r w:rsidRPr="008D364F">
        <w:t>amount to contempt of court. On 28 March 2011 the applicant</w:t>
      </w:r>
      <w:r w:rsidRPr="008D364F" w:rsidR="008D364F">
        <w:t>’</w:t>
      </w:r>
      <w:r w:rsidRPr="008D364F">
        <w:t>s representative also challenged</w:t>
      </w:r>
      <w:r w:rsidRPr="008D364F" w:rsidR="002C0C38">
        <w:t xml:space="preserve"> the</w:t>
      </w:r>
      <w:r w:rsidRPr="008D364F">
        <w:t xml:space="preserve"> impartiality of all </w:t>
      </w:r>
      <w:r w:rsidRPr="008D364F" w:rsidR="002C0C38">
        <w:t xml:space="preserve">the </w:t>
      </w:r>
      <w:r w:rsidRPr="008D364F">
        <w:t>judges of the Szczecin Regional Court.</w:t>
      </w:r>
    </w:p>
    <w:bookmarkStart w:name="firstsuplement" w:id="4"/>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9</w:t>
      </w:r>
      <w:r w:rsidRPr="008D364F">
        <w:fldChar w:fldCharType="end"/>
      </w:r>
      <w:bookmarkEnd w:id="4"/>
      <w:r w:rsidRPr="008D364F">
        <w:t>.  On 18 April 2011 the court asked the experts to supplement their opinion</w:t>
      </w:r>
      <w:r w:rsidRPr="008D364F" w:rsidR="008777F2">
        <w:t>s</w:t>
      </w:r>
      <w:r w:rsidRPr="008D364F">
        <w:t xml:space="preserve"> but they upheld their earlier conclusions.</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10</w:t>
      </w:r>
      <w:r w:rsidRPr="008D364F">
        <w:fldChar w:fldCharType="end"/>
      </w:r>
      <w:r w:rsidRPr="008D364F">
        <w:t xml:space="preserve">.  On 31 May 2011 the court </w:t>
      </w:r>
      <w:r w:rsidRPr="008D364F" w:rsidR="000D7552">
        <w:t>ordered</w:t>
      </w:r>
      <w:r w:rsidRPr="008D364F">
        <w:t xml:space="preserve"> that the applicant be examined by doctors</w:t>
      </w:r>
      <w:r w:rsidRPr="008D364F" w:rsidR="003E6878">
        <w:t xml:space="preserve"> again</w:t>
      </w:r>
      <w:r w:rsidRPr="008D364F">
        <w:t xml:space="preserve">. Although </w:t>
      </w:r>
      <w:r w:rsidRPr="008D364F" w:rsidR="003E6878">
        <w:t xml:space="preserve">at first </w:t>
      </w:r>
      <w:r w:rsidRPr="008D364F">
        <w:t xml:space="preserve">she refused </w:t>
      </w:r>
      <w:r w:rsidRPr="008D364F" w:rsidR="000D7552">
        <w:t xml:space="preserve">the </w:t>
      </w:r>
      <w:r w:rsidRPr="008D364F">
        <w:t xml:space="preserve">examination, it </w:t>
      </w:r>
      <w:r w:rsidRPr="008D364F" w:rsidR="003E6878">
        <w:t>did take</w:t>
      </w:r>
      <w:r w:rsidRPr="008D364F">
        <w:t xml:space="preserve"> place. In July 2011 </w:t>
      </w:r>
      <w:r w:rsidRPr="008D364F" w:rsidR="000D7552">
        <w:t>a</w:t>
      </w:r>
      <w:r w:rsidRPr="008D364F" w:rsidR="00C732D8">
        <w:t xml:space="preserve"> further</w:t>
      </w:r>
      <w:r w:rsidRPr="008D364F" w:rsidR="000D7552">
        <w:t xml:space="preserve"> </w:t>
      </w:r>
      <w:r w:rsidRPr="008D364F">
        <w:t>expert opinion was prepared. It did not differ</w:t>
      </w:r>
      <w:r w:rsidRPr="008D364F" w:rsidR="001C0737">
        <w:t xml:space="preserve"> in its conclusions</w:t>
      </w:r>
      <w:r w:rsidRPr="008D364F">
        <w:t xml:space="preserve"> from the earlier ones.</w:t>
      </w:r>
    </w:p>
    <w:p w:rsidRPr="008D364F" w:rsidR="00F26C19" w:rsidP="008D364F" w:rsidRDefault="00203672">
      <w:pPr>
        <w:pStyle w:val="JuPara"/>
      </w:pPr>
      <w:r w:rsidRPr="008D364F">
        <w:fldChar w:fldCharType="begin"/>
      </w:r>
      <w:r w:rsidRPr="008D364F">
        <w:instrText xml:space="preserve"> SEQ level0 \*arabic </w:instrText>
      </w:r>
      <w:r w:rsidRPr="008D364F">
        <w:fldChar w:fldCharType="separate"/>
      </w:r>
      <w:r w:rsidRPr="008D364F" w:rsidR="008D364F">
        <w:rPr>
          <w:noProof/>
        </w:rPr>
        <w:t>11</w:t>
      </w:r>
      <w:r w:rsidRPr="008D364F">
        <w:fldChar w:fldCharType="end"/>
      </w:r>
      <w:r w:rsidRPr="008D364F">
        <w:t>.  </w:t>
      </w:r>
      <w:r w:rsidRPr="008D364F" w:rsidR="00F26C19">
        <w:t>In August 2011 the court sent the case</w:t>
      </w:r>
      <w:r w:rsidRPr="008D364F" w:rsidR="00F52873">
        <w:t xml:space="preserve"> </w:t>
      </w:r>
      <w:r w:rsidRPr="008D364F" w:rsidR="00F26C19">
        <w:t>file to an expert on psychiatry who submitted his supplementary opinion in September 2011. The expert suggested</w:t>
      </w:r>
      <w:r w:rsidRPr="008D364F" w:rsidR="00407DFD">
        <w:t xml:space="preserve"> that</w:t>
      </w:r>
      <w:r w:rsidRPr="008D364F" w:rsidR="00F26C19">
        <w:t xml:space="preserve"> a further opinion </w:t>
      </w:r>
      <w:r w:rsidRPr="008D364F">
        <w:t>on the applicant</w:t>
      </w:r>
      <w:r w:rsidRPr="008D364F" w:rsidR="008D364F">
        <w:t>’</w:t>
      </w:r>
      <w:r w:rsidRPr="008D364F">
        <w:t>s mental health</w:t>
      </w:r>
      <w:r w:rsidRPr="008D364F" w:rsidR="00967C55">
        <w:t xml:space="preserve"> should be obtained</w:t>
      </w:r>
      <w:r w:rsidRPr="008D364F" w:rsidR="00F26C19">
        <w:t>. The court ordered</w:t>
      </w:r>
      <w:r w:rsidRPr="008D364F" w:rsidR="00746BD1">
        <w:t xml:space="preserve"> the</w:t>
      </w:r>
      <w:r w:rsidRPr="008D364F" w:rsidR="00F26C19">
        <w:t xml:space="preserve"> preparation of such an opinion.</w:t>
      </w:r>
      <w:r w:rsidRPr="008D364F">
        <w:t xml:space="preserve"> It appears that the applicant refused to undergo an examination </w:t>
      </w:r>
      <w:r w:rsidRPr="008D364F" w:rsidR="00573226">
        <w:t xml:space="preserve">at </w:t>
      </w:r>
      <w:r w:rsidRPr="008D364F">
        <w:t>a psychiatric hospital.</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12</w:t>
      </w:r>
      <w:r w:rsidRPr="008D364F">
        <w:fldChar w:fldCharType="end"/>
      </w:r>
      <w:r w:rsidRPr="008D364F">
        <w:t>.  On 19 October 2011 the applicant</w:t>
      </w:r>
      <w:r w:rsidRPr="008D364F" w:rsidR="008D364F">
        <w:t>’</w:t>
      </w:r>
      <w:r w:rsidRPr="008D364F">
        <w:t>s representative was punished for contempt of court in connection with his insulting letter to the court. He was fined 5,000</w:t>
      </w:r>
      <w:r w:rsidRPr="008D364F" w:rsidR="001F0BE4">
        <w:t xml:space="preserve"> </w:t>
      </w:r>
      <w:r w:rsidRPr="008D364F" w:rsidR="00D86A80">
        <w:t xml:space="preserve">Polish </w:t>
      </w:r>
      <w:r w:rsidRPr="008D364F" w:rsidR="001F0BE4">
        <w:t>zlotys (PLN)</w:t>
      </w:r>
      <w:r w:rsidRPr="008D364F">
        <w:t>. The applicant</w:t>
      </w:r>
      <w:r w:rsidRPr="008D364F" w:rsidR="008D364F">
        <w:t>’</w:t>
      </w:r>
      <w:r w:rsidRPr="008D364F">
        <w:t xml:space="preserve">s representative appealed and his appeal was </w:t>
      </w:r>
      <w:r w:rsidRPr="008D364F" w:rsidR="00FE7D92">
        <w:t xml:space="preserve">initially </w:t>
      </w:r>
      <w:r w:rsidRPr="008D364F">
        <w:t xml:space="preserve">rejected for formal reasons but </w:t>
      </w:r>
      <w:r w:rsidRPr="008D364F" w:rsidR="00D157D4">
        <w:t xml:space="preserve">was ultimately </w:t>
      </w:r>
      <w:r w:rsidRPr="008D364F">
        <w:t>admitted for examination on</w:t>
      </w:r>
      <w:r w:rsidRPr="008D364F" w:rsidR="00D157D4">
        <w:t xml:space="preserve"> its</w:t>
      </w:r>
      <w:r w:rsidRPr="008D364F">
        <w:t xml:space="preserve"> merits. On 28 November 2012 the Szczecin Court of Appeal quashed the decision</w:t>
      </w:r>
      <w:r w:rsidRPr="008D364F" w:rsidR="00004834">
        <w:t xml:space="preserve"> of 19 October 2011,</w:t>
      </w:r>
      <w:r w:rsidRPr="008D364F">
        <w:t xml:space="preserve"> finding that insulting remarks contained in a letter to a court </w:t>
      </w:r>
      <w:r w:rsidRPr="008D364F" w:rsidR="00253255">
        <w:t xml:space="preserve">should </w:t>
      </w:r>
      <w:r w:rsidRPr="008D364F">
        <w:t xml:space="preserve">not be regarded as contempt of court. The applicant in the meantime withdrew power of attorney from her husband and started representing herself. She also repeated </w:t>
      </w:r>
      <w:r w:rsidRPr="008D364F" w:rsidR="00F3166B">
        <w:t xml:space="preserve">her </w:t>
      </w:r>
      <w:r w:rsidRPr="008D364F" w:rsidR="00952D3F">
        <w:t xml:space="preserve">application for a </w:t>
      </w:r>
      <w:r w:rsidRPr="008D364F">
        <w:t>legal aid lawyer</w:t>
      </w:r>
      <w:r w:rsidRPr="008D364F" w:rsidR="00952D3F">
        <w:t xml:space="preserve"> to be</w:t>
      </w:r>
      <w:r w:rsidRPr="008D364F" w:rsidR="00F3166B">
        <w:t xml:space="preserve"> appointed</w:t>
      </w:r>
      <w:r w:rsidRPr="008D364F">
        <w:t>.</w:t>
      </w:r>
    </w:p>
    <w:bookmarkStart w:name="anothersupplement" w:id="5"/>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13</w:t>
      </w:r>
      <w:r w:rsidRPr="008D364F">
        <w:fldChar w:fldCharType="end"/>
      </w:r>
      <w:bookmarkEnd w:id="5"/>
      <w:r w:rsidRPr="008D364F">
        <w:t>.  On 24 June 2013 the court sen</w:t>
      </w:r>
      <w:r w:rsidRPr="008D364F" w:rsidR="007D2A6E">
        <w:t>t</w:t>
      </w:r>
      <w:r w:rsidRPr="008D364F">
        <w:t xml:space="preserve"> the case</w:t>
      </w:r>
      <w:r w:rsidRPr="008D364F" w:rsidR="00A24A4B">
        <w:t xml:space="preserve"> </w:t>
      </w:r>
      <w:r w:rsidRPr="008D364F">
        <w:t>file to another expert. The opinion was prepared within a month.</w:t>
      </w:r>
    </w:p>
    <w:bookmarkStart w:name="presidingjugdechanged" w:id="6"/>
    <w:p w:rsidRPr="008D364F" w:rsidR="002B1586"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14</w:t>
      </w:r>
      <w:r w:rsidRPr="008D364F">
        <w:fldChar w:fldCharType="end"/>
      </w:r>
      <w:bookmarkEnd w:id="6"/>
      <w:r w:rsidRPr="008D364F">
        <w:t>.  Subsequently</w:t>
      </w:r>
      <w:r w:rsidRPr="008D364F" w:rsidR="004F2AE7">
        <w:t>,</w:t>
      </w:r>
      <w:r w:rsidRPr="008D364F">
        <w:t xml:space="preserve"> the court dealt with</w:t>
      </w:r>
      <w:r w:rsidRPr="008D364F" w:rsidR="00930D46">
        <w:t xml:space="preserve"> various applications by</w:t>
      </w:r>
      <w:r w:rsidRPr="008D364F">
        <w:t xml:space="preserve"> the applicant</w:t>
      </w:r>
      <w:r w:rsidRPr="008D364F" w:rsidR="00930D46">
        <w:t xml:space="preserve"> to have</w:t>
      </w:r>
      <w:r w:rsidRPr="008D364F">
        <w:t xml:space="preserve"> </w:t>
      </w:r>
      <w:r w:rsidRPr="008D364F" w:rsidR="00D45DBF">
        <w:t xml:space="preserve">a </w:t>
      </w:r>
      <w:r w:rsidRPr="008D364F">
        <w:t>legal aid lawyer</w:t>
      </w:r>
      <w:r w:rsidRPr="008D364F" w:rsidR="00D45DBF">
        <w:t xml:space="preserve"> appointed</w:t>
      </w:r>
      <w:r w:rsidRPr="008D364F" w:rsidR="00505532">
        <w:t>,</w:t>
      </w:r>
      <w:r w:rsidRPr="008D364F">
        <w:t xml:space="preserve"> which </w:t>
      </w:r>
      <w:r w:rsidRPr="008D364F" w:rsidR="006D501B">
        <w:t xml:space="preserve">were </w:t>
      </w:r>
      <w:r w:rsidRPr="008D364F" w:rsidR="00697455">
        <w:t xml:space="preserve">ultimately </w:t>
      </w:r>
      <w:r w:rsidRPr="008D364F">
        <w:t xml:space="preserve">dismissed on 26 March 2015. The applicant lodged several procedural </w:t>
      </w:r>
      <w:r w:rsidRPr="008D364F" w:rsidR="00B20F34">
        <w:t xml:space="preserve">applications </w:t>
      </w:r>
      <w:r w:rsidRPr="008D364F">
        <w:t>with the court</w:t>
      </w:r>
      <w:r w:rsidRPr="008D364F" w:rsidR="009C79E3">
        <w:t>,</w:t>
      </w:r>
      <w:r w:rsidRPr="008D364F">
        <w:t xml:space="preserve"> in particular challenging experts. The applicant also challenged the judges</w:t>
      </w:r>
      <w:r w:rsidRPr="008D364F" w:rsidR="00A56249">
        <w:t xml:space="preserve"> again</w:t>
      </w:r>
      <w:r w:rsidRPr="008D364F">
        <w:t xml:space="preserve">; the presiding judge was changed following a decision of the </w:t>
      </w:r>
      <w:r w:rsidRPr="008D364F" w:rsidR="00D606F3">
        <w:t>p</w:t>
      </w:r>
      <w:r w:rsidRPr="008D364F">
        <w:t>resident of the court on 20 May 2015.</w:t>
      </w:r>
    </w:p>
    <w:bookmarkStart w:name="judg" w:id="7"/>
    <w:p w:rsidRPr="008D364F" w:rsidR="002B1586"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15</w:t>
      </w:r>
      <w:r w:rsidRPr="008D364F">
        <w:fldChar w:fldCharType="end"/>
      </w:r>
      <w:bookmarkEnd w:id="7"/>
      <w:r w:rsidRPr="008D364F">
        <w:t>.  On 22 May 2015 the Szczecin Regional Court gave a judgment in which it dismissed the applicant</w:t>
      </w:r>
      <w:r w:rsidRPr="008D364F" w:rsidR="008D364F">
        <w:t>’</w:t>
      </w:r>
      <w:r w:rsidRPr="008D364F">
        <w:t>s appeal against the ZUS decision of 29 January 2010. The applicant appealed.</w:t>
      </w:r>
    </w:p>
    <w:p w:rsidRPr="008D364F" w:rsidR="002B1586"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16</w:t>
      </w:r>
      <w:r w:rsidRPr="008D364F">
        <w:fldChar w:fldCharType="end"/>
      </w:r>
      <w:r w:rsidRPr="008D364F">
        <w:t>.  On 27 April 2016 the applicant</w:t>
      </w:r>
      <w:r w:rsidRPr="008D364F" w:rsidR="008F0FE4">
        <w:t xml:space="preserve"> submitted an application</w:t>
      </w:r>
      <w:r w:rsidRPr="008D364F">
        <w:t xml:space="preserve"> challeng</w:t>
      </w:r>
      <w:r w:rsidRPr="008D364F" w:rsidR="008F0FE4">
        <w:t>ing</w:t>
      </w:r>
      <w:r w:rsidRPr="008D364F">
        <w:t xml:space="preserve"> all</w:t>
      </w:r>
      <w:r w:rsidRPr="008D364F" w:rsidR="007150FA">
        <w:t xml:space="preserve"> the</w:t>
      </w:r>
      <w:r w:rsidRPr="008D364F">
        <w:t xml:space="preserve"> judges of the </w:t>
      </w:r>
      <w:r w:rsidRPr="008D364F" w:rsidR="005E7E54">
        <w:t>C</w:t>
      </w:r>
      <w:r w:rsidRPr="008D364F">
        <w:t xml:space="preserve">ourt of </w:t>
      </w:r>
      <w:r w:rsidRPr="008D364F" w:rsidR="005E7E54">
        <w:t>A</w:t>
      </w:r>
      <w:r w:rsidRPr="008D364F">
        <w:t>ppeal. In July 2016 the court granted her request</w:t>
      </w:r>
      <w:r w:rsidRPr="008D364F" w:rsidR="008F0FE4">
        <w:t xml:space="preserve"> for a legal aid lawyer</w:t>
      </w:r>
      <w:r w:rsidRPr="008D364F">
        <w:t xml:space="preserve"> and</w:t>
      </w:r>
      <w:r w:rsidRPr="008D364F" w:rsidR="008F0FE4">
        <w:t xml:space="preserve"> one was</w:t>
      </w:r>
      <w:r w:rsidRPr="008D364F">
        <w:t xml:space="preserve"> appointed to represent </w:t>
      </w:r>
      <w:r w:rsidRPr="008D364F" w:rsidR="00BE6ACE">
        <w:t xml:space="preserve">the applicant </w:t>
      </w:r>
      <w:r w:rsidRPr="008D364F">
        <w:t>before the Supreme Court.</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17</w:t>
      </w:r>
      <w:r w:rsidRPr="008D364F">
        <w:fldChar w:fldCharType="end"/>
      </w:r>
      <w:r w:rsidRPr="008D364F">
        <w:t xml:space="preserve">.  On 10 January 2017 the Supreme Court dismissed her </w:t>
      </w:r>
      <w:r w:rsidRPr="008D364F" w:rsidR="00BC779A">
        <w:t xml:space="preserve">application </w:t>
      </w:r>
      <w:r w:rsidRPr="008D364F">
        <w:t>challenging all</w:t>
      </w:r>
      <w:r w:rsidRPr="008D364F" w:rsidR="00A73487">
        <w:t xml:space="preserve"> the</w:t>
      </w:r>
      <w:r w:rsidRPr="008D364F">
        <w:t xml:space="preserve"> judges of the Szczecin Court of Appeal.</w:t>
      </w:r>
    </w:p>
    <w:p w:rsidRPr="008D364F" w:rsidR="002B1586"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18</w:t>
      </w:r>
      <w:r w:rsidRPr="008D364F">
        <w:fldChar w:fldCharType="end"/>
      </w:r>
      <w:r w:rsidRPr="008D364F">
        <w:t>.  The case file was returned to the Szczecin Court of Appeal for examination. The court ordered further expert opinions on</w:t>
      </w:r>
      <w:r w:rsidRPr="008D364F" w:rsidR="002C604B">
        <w:t xml:space="preserve"> the subjects of</w:t>
      </w:r>
      <w:r w:rsidRPr="008D364F">
        <w:t xml:space="preserve"> psychiatry and </w:t>
      </w:r>
      <w:r w:rsidRPr="008D364F" w:rsidR="00BB5FB1">
        <w:t>occupational</w:t>
      </w:r>
      <w:r w:rsidRPr="008D364F" w:rsidR="00B536DD">
        <w:t xml:space="preserve"> </w:t>
      </w:r>
      <w:r w:rsidRPr="008D364F">
        <w:t>medicine. The</w:t>
      </w:r>
      <w:r w:rsidRPr="008D364F" w:rsidR="00D30B69">
        <w:t xml:space="preserve"> applicant refused to undergo a </w:t>
      </w:r>
      <w:r w:rsidRPr="008D364F">
        <w:t>medical examination. The expert opinions were finally prepared on 31</w:t>
      </w:r>
      <w:r w:rsidRPr="008D364F" w:rsidR="004671D5">
        <w:t> </w:t>
      </w:r>
      <w:r w:rsidRPr="008D364F">
        <w:t>August 2017.</w:t>
      </w:r>
    </w:p>
    <w:p w:rsidRPr="008D364F" w:rsidR="002B1586"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19</w:t>
      </w:r>
      <w:r w:rsidRPr="008D364F">
        <w:fldChar w:fldCharType="end"/>
      </w:r>
      <w:r w:rsidRPr="008D364F">
        <w:t>.  On 27 February 2018 the Szczecin Court of Appeal dismissed the applicant</w:t>
      </w:r>
      <w:r w:rsidRPr="008D364F" w:rsidR="008D364F">
        <w:t>’</w:t>
      </w:r>
      <w:r w:rsidRPr="008D364F">
        <w:t>s appeal and upheld the Regional Court</w:t>
      </w:r>
      <w:r w:rsidRPr="008D364F" w:rsidR="008D364F">
        <w:t>’</w:t>
      </w:r>
      <w:r w:rsidRPr="008D364F">
        <w:t>s judgment.</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20</w:t>
      </w:r>
      <w:r w:rsidRPr="008D364F">
        <w:fldChar w:fldCharType="end"/>
      </w:r>
      <w:r w:rsidRPr="008D364F">
        <w:t>.  On 25 April 2018 the court granted</w:t>
      </w:r>
      <w:r w:rsidRPr="008D364F" w:rsidR="002040BF">
        <w:t xml:space="preserve"> an application by</w:t>
      </w:r>
      <w:r w:rsidRPr="008D364F">
        <w:t xml:space="preserve"> the applicant for a legal aid lawyer for the purpose of lodging a cassation appeal.</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21</w:t>
      </w:r>
      <w:r w:rsidRPr="008D364F">
        <w:fldChar w:fldCharType="end"/>
      </w:r>
      <w:r w:rsidRPr="008D364F">
        <w:t xml:space="preserve">.  A legal aid lawyer was appointed to </w:t>
      </w:r>
      <w:r w:rsidRPr="008D364F" w:rsidR="00561796">
        <w:t>represent</w:t>
      </w:r>
      <w:r w:rsidRPr="008D364F" w:rsidR="00F97933">
        <w:t xml:space="preserve"> </w:t>
      </w:r>
      <w:r w:rsidRPr="008D364F">
        <w:t>her</w:t>
      </w:r>
      <w:r w:rsidRPr="008D364F" w:rsidR="00FD0AF1">
        <w:t>;</w:t>
      </w:r>
      <w:r w:rsidRPr="008D364F">
        <w:t xml:space="preserve"> however</w:t>
      </w:r>
      <w:r w:rsidRPr="008D364F" w:rsidR="00D66A96">
        <w:t>,</w:t>
      </w:r>
      <w:r w:rsidRPr="008D364F">
        <w:t xml:space="preserve"> the applicant requested </w:t>
      </w:r>
      <w:r w:rsidRPr="008D364F" w:rsidR="006B524E">
        <w:t xml:space="preserve">the </w:t>
      </w:r>
      <w:r w:rsidRPr="008D364F">
        <w:t xml:space="preserve">appointment of another lawyer. Afterwards she appointed </w:t>
      </w:r>
      <w:r w:rsidRPr="008D364F" w:rsidR="005C6451">
        <w:t>a</w:t>
      </w:r>
      <w:r w:rsidRPr="008D364F" w:rsidR="00706849">
        <w:t xml:space="preserve"> different</w:t>
      </w:r>
      <w:r w:rsidRPr="008D364F" w:rsidR="005C6451">
        <w:t xml:space="preserve"> </w:t>
      </w:r>
      <w:r w:rsidRPr="008D364F">
        <w:t xml:space="preserve">lawyer of her choice and revoked power of attorney </w:t>
      </w:r>
      <w:r w:rsidRPr="008D364F" w:rsidR="00B54A7E">
        <w:t xml:space="preserve">for </w:t>
      </w:r>
      <w:r w:rsidRPr="008D364F">
        <w:t>her legal aid lawyer.</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22</w:t>
      </w:r>
      <w:r w:rsidRPr="008D364F">
        <w:fldChar w:fldCharType="end"/>
      </w:r>
      <w:r w:rsidRPr="008D364F">
        <w:t>.  The applicant</w:t>
      </w:r>
      <w:r w:rsidRPr="008D364F" w:rsidR="008D364F">
        <w:t>’</w:t>
      </w:r>
      <w:r w:rsidRPr="008D364F">
        <w:t xml:space="preserve">s lawyer was asked to remedy some formal shortcomings </w:t>
      </w:r>
      <w:r w:rsidRPr="008D364F" w:rsidR="006D64FF">
        <w:t xml:space="preserve">in </w:t>
      </w:r>
      <w:r w:rsidRPr="008D364F">
        <w:t>her cassation appeal and to pay a fee.</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23</w:t>
      </w:r>
      <w:r w:rsidRPr="008D364F">
        <w:fldChar w:fldCharType="end"/>
      </w:r>
      <w:r w:rsidRPr="008D364F">
        <w:t>.  On 17 August 2018 the cassation appeal was sen</w:t>
      </w:r>
      <w:r w:rsidRPr="008D364F" w:rsidR="008279EC">
        <w:t>t</w:t>
      </w:r>
      <w:r w:rsidRPr="008D364F">
        <w:t xml:space="preserve"> to the Supreme Court.</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24</w:t>
      </w:r>
      <w:r w:rsidRPr="008D364F">
        <w:fldChar w:fldCharType="end"/>
      </w:r>
      <w:r w:rsidRPr="008D364F">
        <w:t>.  The proceedings are pending.</w:t>
      </w:r>
    </w:p>
    <w:p w:rsidRPr="008D364F" w:rsidR="00F26C19" w:rsidP="008D364F" w:rsidRDefault="00F26C19">
      <w:pPr>
        <w:pStyle w:val="JuHA"/>
      </w:pPr>
      <w:r w:rsidRPr="008D364F">
        <w:t>Proceedings under the 2004 Act</w:t>
      </w:r>
    </w:p>
    <w:p w:rsidRPr="008D364F" w:rsidR="002B1586" w:rsidP="008D364F" w:rsidRDefault="00F26C19">
      <w:pPr>
        <w:pStyle w:val="JuPara"/>
        <w:rPr>
          <w:iCs/>
        </w:rPr>
      </w:pPr>
      <w:r w:rsidRPr="008D364F">
        <w:fldChar w:fldCharType="begin"/>
      </w:r>
      <w:r w:rsidRPr="008D364F">
        <w:instrText xml:space="preserve"> SEQ level0 \*arabic </w:instrText>
      </w:r>
      <w:r w:rsidRPr="008D364F">
        <w:fldChar w:fldCharType="separate"/>
      </w:r>
      <w:r w:rsidRPr="008D364F" w:rsidR="008D364F">
        <w:rPr>
          <w:noProof/>
        </w:rPr>
        <w:t>25</w:t>
      </w:r>
      <w:r w:rsidRPr="008D364F">
        <w:fldChar w:fldCharType="end"/>
      </w:r>
      <w:r w:rsidRPr="008D364F">
        <w:t>.  The applicant lodged several complaints under the Law of 17 June 2004 on complaint</w:t>
      </w:r>
      <w:r w:rsidRPr="008D364F" w:rsidR="002C1D22">
        <w:t>s</w:t>
      </w:r>
      <w:r w:rsidRPr="008D364F">
        <w:t xml:space="preserve"> about breach</w:t>
      </w:r>
      <w:r w:rsidRPr="008D364F" w:rsidR="002C1D22">
        <w:t>es</w:t>
      </w:r>
      <w:r w:rsidRPr="008D364F">
        <w:t xml:space="preserve"> of the right to have a case examined</w:t>
      </w:r>
      <w:r w:rsidRPr="008D364F" w:rsidR="00572A45">
        <w:t>,</w:t>
      </w:r>
      <w:r w:rsidRPr="008D364F">
        <w:t xml:space="preserve"> in an investigation conducted or supervised by a prosecutor and in judicial proceedings</w:t>
      </w:r>
      <w:r w:rsidRPr="008D364F" w:rsidR="00572A45">
        <w:t>,</w:t>
      </w:r>
      <w:r w:rsidRPr="008D364F">
        <w:t xml:space="preserve"> without undue delay (</w:t>
      </w:r>
      <w:r w:rsidRPr="008D364F">
        <w:rPr>
          <w:i/>
          <w:iCs/>
        </w:rPr>
        <w:t>ustawa o skardze na naruszenie prawa strony do rozpoznania sprawy w</w:t>
      </w:r>
      <w:r w:rsidRPr="008D364F" w:rsidR="005E6B3C">
        <w:rPr>
          <w:i/>
          <w:iCs/>
        </w:rPr>
        <w:t xml:space="preserve"> </w:t>
      </w:r>
      <w:r w:rsidRPr="008D364F">
        <w:rPr>
          <w:i/>
          <w:iCs/>
        </w:rPr>
        <w:t xml:space="preserve">postępowaniu przygotowawczym prowadzonym lub nadzorowanym przez prokuratora i postępowaniu sądowym bez nieuzasadnionej zwłoki - </w:t>
      </w:r>
      <w:r w:rsidRPr="008D364F">
        <w:rPr>
          <w:iCs/>
        </w:rPr>
        <w:t>“the 2004 Act”).</w:t>
      </w:r>
    </w:p>
    <w:p w:rsidRPr="008D364F" w:rsidR="002B1586" w:rsidP="008D364F" w:rsidRDefault="00F26C19">
      <w:pPr>
        <w:pStyle w:val="JuPara"/>
      </w:pPr>
      <w:r w:rsidRPr="008D364F">
        <w:rPr>
          <w:iCs/>
        </w:rPr>
        <w:fldChar w:fldCharType="begin"/>
      </w:r>
      <w:r w:rsidRPr="008D364F">
        <w:rPr>
          <w:iCs/>
        </w:rPr>
        <w:instrText xml:space="preserve"> SEQ level0 \*arabic </w:instrText>
      </w:r>
      <w:r w:rsidRPr="008D364F">
        <w:rPr>
          <w:iCs/>
        </w:rPr>
        <w:fldChar w:fldCharType="separate"/>
      </w:r>
      <w:r w:rsidRPr="008D364F" w:rsidR="008D364F">
        <w:rPr>
          <w:iCs/>
          <w:noProof/>
        </w:rPr>
        <w:t>26</w:t>
      </w:r>
      <w:r w:rsidRPr="008D364F">
        <w:fldChar w:fldCharType="end"/>
      </w:r>
      <w:r w:rsidRPr="008D364F">
        <w:rPr>
          <w:iCs/>
        </w:rPr>
        <w:t>.  On 4 January 2013, 17 February 2014</w:t>
      </w:r>
      <w:r w:rsidRPr="008D364F" w:rsidR="003A56A1">
        <w:rPr>
          <w:iCs/>
        </w:rPr>
        <w:t xml:space="preserve"> and</w:t>
      </w:r>
      <w:r w:rsidRPr="008D364F">
        <w:rPr>
          <w:iCs/>
        </w:rPr>
        <w:t xml:space="preserve"> 29 June 2015 the Szczecin </w:t>
      </w:r>
      <w:r w:rsidRPr="008D364F">
        <w:t>Court of Appeal dismissed her complaints. The court, relying on Convention principles, considered that</w:t>
      </w:r>
      <w:r w:rsidRPr="008D364F" w:rsidR="005D26B1">
        <w:t>,</w:t>
      </w:r>
      <w:r w:rsidRPr="008D364F">
        <w:t xml:space="preserve"> taking into account the complexity of the case, the length of the proceedings had not been excessive. In particular</w:t>
      </w:r>
      <w:r w:rsidRPr="008D364F" w:rsidR="00185D2F">
        <w:t>,</w:t>
      </w:r>
      <w:r w:rsidRPr="008D364F">
        <w:t xml:space="preserve"> in the second of the above-mentioned decisions</w:t>
      </w:r>
      <w:r w:rsidRPr="008D364F" w:rsidR="00D129F3">
        <w:t>,</w:t>
      </w:r>
      <w:r w:rsidRPr="008D364F">
        <w:t xml:space="preserve"> the court agreed that the proceedings in the case had </w:t>
      </w:r>
      <w:r w:rsidRPr="008D364F" w:rsidR="000D7552">
        <w:t>concentrated on</w:t>
      </w:r>
      <w:r w:rsidRPr="008D364F" w:rsidR="00863497">
        <w:t xml:space="preserve"> the</w:t>
      </w:r>
      <w:r w:rsidRPr="008D364F">
        <w:t xml:space="preserve"> examination of the applicant</w:t>
      </w:r>
      <w:r w:rsidRPr="008D364F" w:rsidR="008D364F">
        <w:t>’</w:t>
      </w:r>
      <w:r w:rsidRPr="008D364F">
        <w:t xml:space="preserve">s </w:t>
      </w:r>
      <w:r w:rsidRPr="008D364F" w:rsidR="00465C41">
        <w:t xml:space="preserve">applications </w:t>
      </w:r>
      <w:r w:rsidRPr="008D364F">
        <w:t>for legal aid and</w:t>
      </w:r>
      <w:r w:rsidRPr="008D364F" w:rsidR="00863497">
        <w:t xml:space="preserve"> her applications</w:t>
      </w:r>
      <w:r w:rsidRPr="008D364F">
        <w:t xml:space="preserve"> challenging the experts and judges. The applicant and her representative </w:t>
      </w:r>
      <w:r w:rsidRPr="008D364F" w:rsidR="0097723E">
        <w:t xml:space="preserve">had been </w:t>
      </w:r>
      <w:r w:rsidRPr="008D364F">
        <w:t>very active</w:t>
      </w:r>
      <w:r w:rsidRPr="008D364F" w:rsidR="00E1304D">
        <w:t xml:space="preserve"> in</w:t>
      </w:r>
      <w:r w:rsidRPr="008D364F">
        <w:t xml:space="preserve"> lodging numerous unfounded </w:t>
      </w:r>
      <w:r w:rsidRPr="008D364F" w:rsidR="00FB08C8">
        <w:t xml:space="preserve">applications </w:t>
      </w:r>
      <w:r w:rsidRPr="008D364F">
        <w:t>and appeals, including</w:t>
      </w:r>
      <w:r w:rsidRPr="008D364F" w:rsidR="00185D2F">
        <w:t xml:space="preserve"> seeking to appeal</w:t>
      </w:r>
      <w:r w:rsidRPr="008D364F">
        <w:t xml:space="preserve"> </w:t>
      </w:r>
      <w:r w:rsidRPr="008D364F" w:rsidR="000D7552">
        <w:t>after</w:t>
      </w:r>
      <w:r w:rsidRPr="008D364F">
        <w:t xml:space="preserve"> they had been instructed that no further appeal </w:t>
      </w:r>
      <w:r w:rsidRPr="008D364F" w:rsidR="00185D2F">
        <w:t>was available under the law</w:t>
      </w:r>
      <w:r w:rsidRPr="008D364F">
        <w:t xml:space="preserve">. The </w:t>
      </w:r>
      <w:r w:rsidRPr="008D364F" w:rsidR="00F25B34">
        <w:t xml:space="preserve">large </w:t>
      </w:r>
      <w:r w:rsidRPr="008D364F">
        <w:t xml:space="preserve">number of those </w:t>
      </w:r>
      <w:r w:rsidRPr="008D364F" w:rsidR="00F25B34">
        <w:t xml:space="preserve">applications </w:t>
      </w:r>
      <w:r w:rsidRPr="008D364F" w:rsidR="00FB2D36">
        <w:t xml:space="preserve">had </w:t>
      </w:r>
      <w:r w:rsidRPr="008D364F">
        <w:t xml:space="preserve">made </w:t>
      </w:r>
      <w:r w:rsidRPr="008D364F" w:rsidR="00FB2D36">
        <w:t xml:space="preserve">it virtually impossible to </w:t>
      </w:r>
      <w:r w:rsidRPr="008D364F">
        <w:t xml:space="preserve">deal with the merits </w:t>
      </w:r>
      <w:r w:rsidRPr="008D364F" w:rsidR="000D7552">
        <w:t xml:space="preserve">of the </w:t>
      </w:r>
      <w:r w:rsidRPr="008D364F">
        <w:t>case.</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27</w:t>
      </w:r>
      <w:r w:rsidRPr="008D364F">
        <w:fldChar w:fldCharType="end"/>
      </w:r>
      <w:r w:rsidRPr="008D364F">
        <w:t>.  The applicant lodged an appeal against the decision of 17 February 2014</w:t>
      </w:r>
      <w:r w:rsidRPr="008D364F" w:rsidR="00A713A3">
        <w:t>,</w:t>
      </w:r>
      <w:r w:rsidRPr="008D364F">
        <w:t xml:space="preserve"> although no such remedy was </w:t>
      </w:r>
      <w:r w:rsidRPr="008D364F" w:rsidR="000E3E71">
        <w:t xml:space="preserve">available under </w:t>
      </w:r>
      <w:r w:rsidRPr="008D364F">
        <w:t xml:space="preserve">the law. </w:t>
      </w:r>
      <w:r w:rsidRPr="008D364F" w:rsidR="00A956B2">
        <w:t xml:space="preserve">Her </w:t>
      </w:r>
      <w:r w:rsidRPr="008D364F">
        <w:t xml:space="preserve">appeal and a further request to reopen the proceedings </w:t>
      </w:r>
      <w:r w:rsidRPr="008D364F" w:rsidR="001E7CB6">
        <w:t>were</w:t>
      </w:r>
      <w:r w:rsidRPr="008D364F">
        <w:t xml:space="preserve"> rejected by the Szczecin Court of Appeal in May 2014.</w:t>
      </w:r>
    </w:p>
    <w:p w:rsidRPr="008D364F" w:rsidR="002B1586"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28</w:t>
      </w:r>
      <w:r w:rsidRPr="008D364F">
        <w:fldChar w:fldCharType="end"/>
      </w:r>
      <w:r w:rsidRPr="008D364F">
        <w:t>.  Some other complaints</w:t>
      </w:r>
      <w:r w:rsidRPr="008D364F" w:rsidR="002D077C">
        <w:t xml:space="preserve"> about the length of the proceedings</w:t>
      </w:r>
      <w:r w:rsidRPr="008D364F">
        <w:t xml:space="preserve"> were rejected as they had been lodged less th</w:t>
      </w:r>
      <w:r w:rsidRPr="008D364F" w:rsidR="00295E5D">
        <w:t>a</w:t>
      </w:r>
      <w:r w:rsidRPr="008D364F">
        <w:t>n twelve month</w:t>
      </w:r>
      <w:r w:rsidRPr="008D364F" w:rsidR="00BE50ED">
        <w:t>s</w:t>
      </w:r>
      <w:r w:rsidRPr="008D364F">
        <w:t xml:space="preserve"> </w:t>
      </w:r>
      <w:r w:rsidRPr="008D364F" w:rsidR="002D077C">
        <w:t xml:space="preserve">following </w:t>
      </w:r>
      <w:r w:rsidRPr="008D364F" w:rsidR="0002415B">
        <w:t>a</w:t>
      </w:r>
      <w:r w:rsidRPr="008D364F" w:rsidR="00D30B69">
        <w:t xml:space="preserve"> </w:t>
      </w:r>
      <w:r w:rsidRPr="008D364F" w:rsidR="002D077C">
        <w:t xml:space="preserve">previous </w:t>
      </w:r>
      <w:r w:rsidRPr="008D364F">
        <w:t>decision under the 2004 Act. On 26</w:t>
      </w:r>
      <w:r w:rsidRPr="008D364F" w:rsidR="005E6B3C">
        <w:t xml:space="preserve"> </w:t>
      </w:r>
      <w:r w:rsidRPr="008D364F">
        <w:t>February 2018 the Szczecin Court of Appeal rejected the applicant</w:t>
      </w:r>
      <w:r w:rsidRPr="008D364F" w:rsidR="008D364F">
        <w:t>’</w:t>
      </w:r>
      <w:r w:rsidRPr="008D364F">
        <w:t xml:space="preserve">s </w:t>
      </w:r>
      <w:r w:rsidRPr="008D364F" w:rsidR="008F2621">
        <w:t xml:space="preserve">most recent </w:t>
      </w:r>
      <w:r w:rsidRPr="008D364F">
        <w:t>complaint about the length of the proceedings before the Court of Appeal as it had not been lodged by a lawyer.</w:t>
      </w:r>
    </w:p>
    <w:p w:rsidRPr="008D364F" w:rsidR="006374DD" w:rsidP="008D364F" w:rsidRDefault="006374DD">
      <w:pPr>
        <w:pStyle w:val="JuHIRoman"/>
      </w:pPr>
      <w:r w:rsidRPr="008D364F">
        <w:t>RELEVANT DOMESTIC LAW AND PRACTICE</w:t>
      </w:r>
    </w:p>
    <w:p w:rsidRPr="008D364F" w:rsidR="006374DD" w:rsidP="008D364F" w:rsidRDefault="006374DD">
      <w:pPr>
        <w:pStyle w:val="JuPara"/>
      </w:pPr>
      <w:r w:rsidRPr="008D364F">
        <w:fldChar w:fldCharType="begin"/>
      </w:r>
      <w:r w:rsidRPr="008D364F">
        <w:instrText xml:space="preserve"> SEQ level0 \*arabic </w:instrText>
      </w:r>
      <w:r w:rsidRPr="008D364F">
        <w:fldChar w:fldCharType="separate"/>
      </w:r>
      <w:r w:rsidRPr="008D364F" w:rsidR="008D364F">
        <w:rPr>
          <w:noProof/>
        </w:rPr>
        <w:t>29</w:t>
      </w:r>
      <w:r w:rsidRPr="008D364F">
        <w:fldChar w:fldCharType="end"/>
      </w:r>
      <w:r w:rsidRPr="008D364F">
        <w:t>.  A detailed description of the relevant domestic law and practice concerning remedies for excessive length of judicial proceedings – in particular</w:t>
      </w:r>
      <w:r w:rsidRPr="008D364F" w:rsidR="008212DF">
        <w:t>,</w:t>
      </w:r>
      <w:r w:rsidRPr="008D364F">
        <w:t xml:space="preserve"> the applicable provisions of the 2004 Act – </w:t>
      </w:r>
      <w:r w:rsidRPr="008D364F" w:rsidR="00700641">
        <w:t>is set out</w:t>
      </w:r>
      <w:r w:rsidRPr="008D364F">
        <w:t xml:space="preserve"> in the Court</w:t>
      </w:r>
      <w:r w:rsidRPr="008D364F" w:rsidR="008D364F">
        <w:t>’</w:t>
      </w:r>
      <w:r w:rsidRPr="008D364F">
        <w:t xml:space="preserve">s decisions in the cases of </w:t>
      </w:r>
      <w:r w:rsidRPr="008D364F" w:rsidR="005E6B3C">
        <w:rPr>
          <w:i/>
        </w:rPr>
        <w:t>Charzyński v.</w:t>
      </w:r>
      <w:r w:rsidRPr="008D364F">
        <w:rPr>
          <w:i/>
        </w:rPr>
        <w:t>Poland</w:t>
      </w:r>
      <w:r w:rsidRPr="008D364F">
        <w:t xml:space="preserve"> ((dec.), no. 15212/03, §§ 12-23, ECHR 2005-V) and </w:t>
      </w:r>
      <w:r w:rsidRPr="008D364F" w:rsidR="005E6B3C">
        <w:rPr>
          <w:i/>
        </w:rPr>
        <w:t xml:space="preserve">Ratajczyk v. </w:t>
      </w:r>
      <w:r w:rsidRPr="008D364F">
        <w:rPr>
          <w:i/>
        </w:rPr>
        <w:t>Poland</w:t>
      </w:r>
      <w:r w:rsidRPr="008D364F">
        <w:t xml:space="preserve"> ((dec.), no. 11215/02, ECHR 2005-VIII), and in its judgments in the cases of </w:t>
      </w:r>
      <w:r w:rsidRPr="008D364F">
        <w:rPr>
          <w:i/>
        </w:rPr>
        <w:t>Krasuski v. Poland</w:t>
      </w:r>
      <w:r w:rsidRPr="008D364F">
        <w:t xml:space="preserve"> (no. 61444</w:t>
      </w:r>
      <w:r w:rsidRPr="008D364F" w:rsidR="00677734">
        <w:t>/00, §§ 34-46, ECHR 2005-V</w:t>
      </w:r>
      <w:r w:rsidRPr="008D364F" w:rsidR="00A8599E">
        <w:t xml:space="preserve"> (extracts)</w:t>
      </w:r>
      <w:r w:rsidRPr="008D364F" w:rsidR="00677734">
        <w:t>) and</w:t>
      </w:r>
      <w:r w:rsidRPr="008D364F">
        <w:t xml:space="preserve"> </w:t>
      </w:r>
      <w:r w:rsidRPr="008D364F" w:rsidR="00D30B69">
        <w:rPr>
          <w:i/>
        </w:rPr>
        <w:t>Rutkowski and </w:t>
      </w:r>
      <w:r w:rsidRPr="008D364F">
        <w:rPr>
          <w:i/>
        </w:rPr>
        <w:t>Others v. Poland</w:t>
      </w:r>
      <w:r w:rsidRPr="008D364F">
        <w:t xml:space="preserve"> (nos. 72287/10</w:t>
      </w:r>
      <w:r w:rsidRPr="008D364F" w:rsidR="00A572B9">
        <w:t xml:space="preserve"> and 2 others</w:t>
      </w:r>
      <w:r w:rsidRPr="008D364F" w:rsidR="005E6B3C">
        <w:t xml:space="preserve">, §§ 75-107, 7 </w:t>
      </w:r>
      <w:r w:rsidRPr="008D364F">
        <w:t>July 2015).</w:t>
      </w:r>
    </w:p>
    <w:p w:rsidRPr="008D364F" w:rsidR="00DE61E0" w:rsidP="008D364F" w:rsidRDefault="00DE61E0">
      <w:pPr>
        <w:pStyle w:val="JuHHead"/>
      </w:pPr>
      <w:r w:rsidRPr="008D364F">
        <w:t>THE LAW</w:t>
      </w:r>
    </w:p>
    <w:p w:rsidRPr="008D364F" w:rsidR="00DE61E0" w:rsidP="008D364F" w:rsidRDefault="00DE61E0">
      <w:pPr>
        <w:pStyle w:val="JuHIRoman"/>
      </w:pPr>
      <w:r w:rsidRPr="008D364F">
        <w:t>  ALLEGED VIOLATION OF ARTICLE 6 § 1 OF THE CONVENTION</w:t>
      </w:r>
    </w:p>
    <w:p w:rsidRPr="008D364F" w:rsidR="00DE61E0"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30</w:t>
      </w:r>
      <w:r w:rsidRPr="008D364F">
        <w:fldChar w:fldCharType="end"/>
      </w:r>
      <w:r w:rsidRPr="008D364F" w:rsidR="00DE61E0">
        <w:t>.  The applicant complained that the length of the proceedings</w:t>
      </w:r>
      <w:r w:rsidRPr="008D364F" w:rsidR="00CA3AD9">
        <w:t xml:space="preserve"> in her case</w:t>
      </w:r>
      <w:r w:rsidRPr="008D364F" w:rsidR="00DE61E0">
        <w:t xml:space="preserve"> had been incompatible with the “reasonable time” requirement, laid down in Article 6 § 1 of the Convention, which reads as follows:</w:t>
      </w:r>
    </w:p>
    <w:p w:rsidRPr="008D364F" w:rsidR="00DE61E0" w:rsidP="008D364F" w:rsidRDefault="00DE61E0">
      <w:pPr>
        <w:pStyle w:val="JuQuot"/>
      </w:pPr>
      <w:r w:rsidRPr="008D364F">
        <w:t>“</w:t>
      </w:r>
      <w:r w:rsidRPr="008D364F" w:rsidR="00F26C19">
        <w:t>In the determination of his civil rights and obligations ..., everyone is entitled to a ... hearing within a reasonable time by [a] ... tribunal</w:t>
      </w:r>
      <w:r w:rsidRPr="008D364F" w:rsidR="00D30B69">
        <w:t xml:space="preserve"> </w:t>
      </w:r>
      <w:r w:rsidRPr="008D364F" w:rsidR="00F26C19">
        <w:t>...</w:t>
      </w:r>
      <w:r w:rsidRPr="008D364F">
        <w:t>”</w:t>
      </w:r>
    </w:p>
    <w:p w:rsidRPr="008D364F" w:rsidR="00DE61E0"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31</w:t>
      </w:r>
      <w:r w:rsidRPr="008D364F">
        <w:fldChar w:fldCharType="end"/>
      </w:r>
      <w:r w:rsidRPr="008D364F" w:rsidR="00DE61E0">
        <w:t>.  The Government contested that argument.</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32</w:t>
      </w:r>
      <w:r w:rsidRPr="008D364F">
        <w:fldChar w:fldCharType="end"/>
      </w:r>
      <w:r w:rsidRPr="008D364F" w:rsidR="00DE61E0">
        <w:t xml:space="preserve">.  The period to be taken into consideration began on </w:t>
      </w:r>
      <w:r w:rsidRPr="008D364F">
        <w:t>29 January 2010</w:t>
      </w:r>
      <w:r w:rsidRPr="008D364F" w:rsidR="008801FE">
        <w:t>,</w:t>
      </w:r>
      <w:r w:rsidRPr="008D364F">
        <w:t xml:space="preserve"> when the applicant appealed against a ruling of </w:t>
      </w:r>
      <w:r w:rsidRPr="008D364F" w:rsidR="00FD10BA">
        <w:t xml:space="preserve">the </w:t>
      </w:r>
      <w:r w:rsidRPr="008D364F">
        <w:t>ZUS</w:t>
      </w:r>
      <w:r w:rsidRPr="008D364F" w:rsidR="008801FE">
        <w:t xml:space="preserve"> to a court,</w:t>
      </w:r>
      <w:r w:rsidRPr="008D364F">
        <w:t xml:space="preserve"> and </w:t>
      </w:r>
      <w:r w:rsidRPr="008D364F" w:rsidR="00DE61E0">
        <w:t>has not yet ended</w:t>
      </w:r>
      <w:r w:rsidRPr="008D364F">
        <w:t xml:space="preserve">. </w:t>
      </w:r>
      <w:r w:rsidRPr="008D364F" w:rsidR="00DE61E0">
        <w:t>It has thus lasted</w:t>
      </w:r>
      <w:r w:rsidRPr="008D364F">
        <w:t xml:space="preserve"> eight years and ten months at two levels of jurisdiction</w:t>
      </w:r>
      <w:r w:rsidRPr="008D364F" w:rsidR="007776A2">
        <w:t xml:space="preserve"> so far</w:t>
      </w:r>
      <w:r w:rsidRPr="008D364F">
        <w:t>.</w:t>
      </w:r>
    </w:p>
    <w:p w:rsidRPr="008D364F" w:rsidR="00DE61E0" w:rsidP="008D364F" w:rsidRDefault="00DE61E0">
      <w:pPr>
        <w:pStyle w:val="JuHA"/>
      </w:pPr>
      <w:r w:rsidRPr="008D364F">
        <w:t>Admissibility</w:t>
      </w:r>
    </w:p>
    <w:p w:rsidRPr="008D364F" w:rsidR="00DE61E0"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33</w:t>
      </w:r>
      <w:r w:rsidRPr="008D364F">
        <w:fldChar w:fldCharType="end"/>
      </w:r>
      <w:r w:rsidRPr="008D364F">
        <w:t xml:space="preserve">.  The Court notes that </w:t>
      </w:r>
      <w:r w:rsidRPr="008D364F" w:rsidR="00DE61E0">
        <w:t>this complaint is not manifestly ill-founded within the meaning of Article 35 § 3 (a) of the Convention. It further notes that it is not inadmissible on any other grounds. It must therefore be declared admissible.</w:t>
      </w:r>
    </w:p>
    <w:p w:rsidRPr="008D364F" w:rsidR="00DE61E0" w:rsidP="008D364F" w:rsidRDefault="00DE61E0">
      <w:pPr>
        <w:pStyle w:val="JuHA"/>
      </w:pPr>
      <w:r w:rsidRPr="008D364F">
        <w:t>Merits</w:t>
      </w:r>
    </w:p>
    <w:bookmarkStart w:name="applicantsobs" w:id="8"/>
    <w:p w:rsidRPr="008D364F" w:rsidR="0095029F" w:rsidP="008D364F" w:rsidRDefault="006374DD">
      <w:pPr>
        <w:pStyle w:val="JuPara"/>
      </w:pPr>
      <w:r w:rsidRPr="008D364F">
        <w:fldChar w:fldCharType="begin"/>
      </w:r>
      <w:r w:rsidRPr="008D364F">
        <w:instrText xml:space="preserve"> SEQ level0 \*arabic </w:instrText>
      </w:r>
      <w:r w:rsidRPr="008D364F">
        <w:fldChar w:fldCharType="separate"/>
      </w:r>
      <w:r w:rsidRPr="008D364F" w:rsidR="008D364F">
        <w:rPr>
          <w:noProof/>
        </w:rPr>
        <w:t>34</w:t>
      </w:r>
      <w:r w:rsidRPr="008D364F">
        <w:fldChar w:fldCharType="end"/>
      </w:r>
      <w:bookmarkEnd w:id="8"/>
      <w:r w:rsidRPr="008D364F">
        <w:t xml:space="preserve">.  The applicant argued that the length of the proceedings had clearly been in breach of the “reasonable time” </w:t>
      </w:r>
      <w:r w:rsidRPr="008D364F" w:rsidR="00CA3AD9">
        <w:t>requirement</w:t>
      </w:r>
      <w:r w:rsidRPr="008D364F">
        <w:t xml:space="preserve">. </w:t>
      </w:r>
      <w:r w:rsidRPr="008D364F" w:rsidR="00E37B89">
        <w:t xml:space="preserve">The applicant submitted that her disability pension had been withdrawn from her although her health had not improved. </w:t>
      </w:r>
      <w:r w:rsidRPr="008D364F" w:rsidR="00967165">
        <w:t>The</w:t>
      </w:r>
      <w:r w:rsidRPr="008D364F" w:rsidR="00E37B89">
        <w:t xml:space="preserve"> current proceedings </w:t>
      </w:r>
      <w:r w:rsidRPr="008D364F" w:rsidR="00C67442">
        <w:t xml:space="preserve">were </w:t>
      </w:r>
      <w:r w:rsidRPr="008D364F" w:rsidR="00967165">
        <w:t>aimed at reinstating the</w:t>
      </w:r>
      <w:r w:rsidRPr="008D364F" w:rsidR="00E37B89">
        <w:t xml:space="preserve"> </w:t>
      </w:r>
      <w:r w:rsidRPr="008D364F" w:rsidR="00467C4E">
        <w:t xml:space="preserve">disability </w:t>
      </w:r>
      <w:r w:rsidRPr="008D364F" w:rsidR="00E37B89">
        <w:t xml:space="preserve">pension but they </w:t>
      </w:r>
      <w:r w:rsidRPr="008D364F" w:rsidR="000D7552">
        <w:t>ha</w:t>
      </w:r>
      <w:r w:rsidRPr="008D364F" w:rsidR="004A238A">
        <w:t>d</w:t>
      </w:r>
      <w:r w:rsidRPr="008D364F" w:rsidR="000D7552">
        <w:t xml:space="preserve"> </w:t>
      </w:r>
      <w:r w:rsidRPr="008D364F">
        <w:t xml:space="preserve">lasted </w:t>
      </w:r>
      <w:r w:rsidRPr="008D364F" w:rsidR="000D7552">
        <w:t>almost nine years</w:t>
      </w:r>
      <w:r w:rsidRPr="008D364F" w:rsidR="00EE26D6">
        <w:t xml:space="preserve"> so far</w:t>
      </w:r>
      <w:r w:rsidRPr="008D364F">
        <w:t xml:space="preserve">. The proceedings were not complex and the </w:t>
      </w:r>
      <w:r w:rsidRPr="008D364F" w:rsidR="003774FC">
        <w:t>need for</w:t>
      </w:r>
      <w:r w:rsidRPr="008D364F">
        <w:t xml:space="preserve"> expert evidence had been known from the beginning and</w:t>
      </w:r>
      <w:r w:rsidRPr="008D364F" w:rsidR="002C3C50">
        <w:t xml:space="preserve"> it</w:t>
      </w:r>
      <w:r w:rsidRPr="008D364F">
        <w:t xml:space="preserve"> should have been secured in a timely manner. </w:t>
      </w:r>
      <w:r w:rsidRPr="008D364F" w:rsidR="00967165">
        <w:t>Moreo</w:t>
      </w:r>
      <w:r w:rsidRPr="008D364F" w:rsidR="004F2AE7">
        <w:t xml:space="preserve">ver, since 2013 </w:t>
      </w:r>
      <w:r w:rsidRPr="008D364F" w:rsidR="00FB7DE8">
        <w:t>no new</w:t>
      </w:r>
      <w:r w:rsidRPr="008D364F" w:rsidR="00967165">
        <w:t xml:space="preserve"> medical expert opinion </w:t>
      </w:r>
      <w:r w:rsidRPr="008D364F" w:rsidR="00FB7DE8">
        <w:t xml:space="preserve">had been sought </w:t>
      </w:r>
      <w:r w:rsidRPr="008D364F" w:rsidR="007B4619">
        <w:t>to</w:t>
      </w:r>
      <w:r w:rsidRPr="008D364F" w:rsidR="00967165">
        <w:t xml:space="preserve"> asse</w:t>
      </w:r>
      <w:r w:rsidRPr="008D364F" w:rsidR="00C41EC8">
        <w:t>s</w:t>
      </w:r>
      <w:r w:rsidRPr="008D364F" w:rsidR="00967165">
        <w:t xml:space="preserve">s her current state of health. </w:t>
      </w:r>
      <w:r w:rsidRPr="008D364F" w:rsidR="004F2AE7">
        <w:t>In general there</w:t>
      </w:r>
      <w:r w:rsidRPr="008D364F">
        <w:t xml:space="preserve"> </w:t>
      </w:r>
      <w:r w:rsidRPr="008D364F" w:rsidR="00EE7E3D">
        <w:t xml:space="preserve">had been </w:t>
      </w:r>
      <w:r w:rsidRPr="008D364F">
        <w:t xml:space="preserve">many periods of inactivity for which the domestic courts </w:t>
      </w:r>
      <w:r w:rsidRPr="008D364F" w:rsidR="00EE7E3D">
        <w:t>were</w:t>
      </w:r>
      <w:r w:rsidRPr="008D364F">
        <w:t xml:space="preserve"> responsible.</w:t>
      </w:r>
      <w:r w:rsidRPr="008D364F" w:rsidR="00F8567F">
        <w:t xml:space="preserve"> The applicant underlined that she had not been represented by a lawyer and she had been in vain attempting to obtain justice.</w:t>
      </w:r>
    </w:p>
    <w:p w:rsidRPr="008D364F" w:rsidR="0047553D" w:rsidP="008D364F" w:rsidRDefault="006374DD">
      <w:pPr>
        <w:pStyle w:val="JuPara"/>
      </w:pPr>
      <w:r w:rsidRPr="008D364F">
        <w:fldChar w:fldCharType="begin"/>
      </w:r>
      <w:r w:rsidRPr="008D364F">
        <w:instrText xml:space="preserve"> SEQ level0 \*arabic </w:instrText>
      </w:r>
      <w:r w:rsidRPr="008D364F">
        <w:fldChar w:fldCharType="separate"/>
      </w:r>
      <w:r w:rsidRPr="008D364F" w:rsidR="008D364F">
        <w:rPr>
          <w:noProof/>
        </w:rPr>
        <w:t>35</w:t>
      </w:r>
      <w:r w:rsidRPr="008D364F">
        <w:fldChar w:fldCharType="end"/>
      </w:r>
      <w:r w:rsidRPr="008D364F">
        <w:t xml:space="preserve">.  The Government </w:t>
      </w:r>
      <w:r w:rsidRPr="008D364F" w:rsidR="009348D6">
        <w:t xml:space="preserve">submitted </w:t>
      </w:r>
      <w:r w:rsidRPr="008D364F" w:rsidR="000D7552">
        <w:t>that the proceedings had been complex as it had been necessary to obtain expert evidence from several fields of medicine. Moreover, the overall length of the proceeding</w:t>
      </w:r>
      <w:r w:rsidRPr="008D364F" w:rsidR="00D12E1A">
        <w:t>s</w:t>
      </w:r>
      <w:r w:rsidRPr="008D364F" w:rsidR="000D7552">
        <w:t xml:space="preserve"> had been caused by the applicant</w:t>
      </w:r>
      <w:r w:rsidRPr="008D364F" w:rsidR="008D364F">
        <w:t>’</w:t>
      </w:r>
      <w:r w:rsidRPr="008D364F" w:rsidR="000D7552">
        <w:t>s conduct. The applicant</w:t>
      </w:r>
      <w:r w:rsidRPr="008D364F" w:rsidR="000A41C8">
        <w:t xml:space="preserve"> had</w:t>
      </w:r>
      <w:r w:rsidRPr="008D364F" w:rsidR="000D7552">
        <w:t xml:space="preserve"> submitted countless pleadings and various procedural </w:t>
      </w:r>
      <w:r w:rsidRPr="008D364F" w:rsidR="0056453B">
        <w:t>applications</w:t>
      </w:r>
      <w:r w:rsidRPr="008D364F" w:rsidR="000D7552">
        <w:t xml:space="preserve"> which had</w:t>
      </w:r>
      <w:r w:rsidRPr="008D364F" w:rsidR="004D0AD9">
        <w:t xml:space="preserve"> had</w:t>
      </w:r>
      <w:r w:rsidRPr="008D364F" w:rsidR="000D7552">
        <w:t xml:space="preserve"> to</w:t>
      </w:r>
      <w:r w:rsidRPr="008D364F" w:rsidR="004D0AD9">
        <w:t xml:space="preserve"> be</w:t>
      </w:r>
      <w:r w:rsidRPr="008D364F" w:rsidR="000D7552">
        <w:t xml:space="preserve"> </w:t>
      </w:r>
      <w:r w:rsidRPr="008D364F" w:rsidR="0098560F">
        <w:t>deal</w:t>
      </w:r>
      <w:r w:rsidRPr="008D364F" w:rsidR="004D0AD9">
        <w:t>t</w:t>
      </w:r>
      <w:r w:rsidRPr="008D364F" w:rsidR="000D7552">
        <w:t xml:space="preserve"> with by the courts. In particular</w:t>
      </w:r>
      <w:r w:rsidRPr="008D364F" w:rsidR="000F4601">
        <w:t>,</w:t>
      </w:r>
      <w:r w:rsidRPr="008D364F" w:rsidR="000D7552">
        <w:t xml:space="preserve"> the applicant</w:t>
      </w:r>
      <w:r w:rsidRPr="008D364F" w:rsidR="000F4601">
        <w:t xml:space="preserve"> had</w:t>
      </w:r>
      <w:r w:rsidRPr="008D364F" w:rsidR="000D7552">
        <w:t xml:space="preserve"> submitted unfounded challenges </w:t>
      </w:r>
      <w:r w:rsidRPr="008D364F" w:rsidR="006133A8">
        <w:t xml:space="preserve">against </w:t>
      </w:r>
      <w:r w:rsidRPr="008D364F" w:rsidR="000D7552">
        <w:t>judges and experts</w:t>
      </w:r>
      <w:r w:rsidRPr="008D364F" w:rsidR="0098560F">
        <w:t>,</w:t>
      </w:r>
      <w:r w:rsidRPr="008D364F" w:rsidR="000D7552">
        <w:t xml:space="preserve"> and appeal</w:t>
      </w:r>
      <w:r w:rsidRPr="008D364F" w:rsidR="0098560F">
        <w:t>s</w:t>
      </w:r>
      <w:r w:rsidRPr="008D364F" w:rsidR="000D7552">
        <w:t xml:space="preserve">, including </w:t>
      </w:r>
      <w:r w:rsidRPr="008D364F" w:rsidR="00D63FD0">
        <w:t xml:space="preserve">some </w:t>
      </w:r>
      <w:r w:rsidRPr="008D364F" w:rsidR="000D7552">
        <w:t xml:space="preserve">not </w:t>
      </w:r>
      <w:r w:rsidRPr="008D364F" w:rsidR="004D31B2">
        <w:t xml:space="preserve">available under </w:t>
      </w:r>
      <w:r w:rsidRPr="008D364F" w:rsidR="000D7552">
        <w:t xml:space="preserve">the law. Some of her </w:t>
      </w:r>
      <w:r w:rsidRPr="008D364F" w:rsidR="00E76C75">
        <w:t>applications</w:t>
      </w:r>
      <w:r w:rsidRPr="008D364F" w:rsidR="000D7552">
        <w:t xml:space="preserve"> had</w:t>
      </w:r>
      <w:r w:rsidRPr="008D364F" w:rsidR="002A74C1">
        <w:t xml:space="preserve"> had</w:t>
      </w:r>
      <w:r w:rsidRPr="008D364F" w:rsidR="000D7552">
        <w:t xml:space="preserve"> no legal </w:t>
      </w:r>
      <w:r w:rsidRPr="008D364F" w:rsidR="00084B2D">
        <w:t>basis</w:t>
      </w:r>
      <w:r w:rsidRPr="008D364F" w:rsidR="00800BDC">
        <w:t>, such as</w:t>
      </w:r>
      <w:r w:rsidRPr="008D364F" w:rsidR="000D7552">
        <w:t xml:space="preserve"> a request </w:t>
      </w:r>
      <w:r w:rsidRPr="008D364F" w:rsidR="00800BDC">
        <w:t xml:space="preserve">that her </w:t>
      </w:r>
      <w:r w:rsidRPr="008D364F" w:rsidR="00FA28DC">
        <w:t>case</w:t>
      </w:r>
      <w:r w:rsidRPr="008D364F" w:rsidR="00800BDC">
        <w:t xml:space="preserve"> </w:t>
      </w:r>
      <w:r w:rsidRPr="008D364F" w:rsidR="000D7552">
        <w:t xml:space="preserve">be examined by a “public </w:t>
      </w:r>
      <w:r w:rsidRPr="008D364F" w:rsidR="00084B2D">
        <w:t>institute</w:t>
      </w:r>
      <w:r w:rsidRPr="008D364F" w:rsidR="000D7552">
        <w:t xml:space="preserve"> from </w:t>
      </w:r>
      <w:r w:rsidRPr="008D364F" w:rsidR="00800BDC">
        <w:t>an</w:t>
      </w:r>
      <w:r w:rsidRPr="008D364F" w:rsidR="000D7552">
        <w:t xml:space="preserve">other EU country”. Such </w:t>
      </w:r>
      <w:r w:rsidRPr="008D364F" w:rsidR="00084B2D">
        <w:t>activity</w:t>
      </w:r>
      <w:r w:rsidRPr="008D364F" w:rsidR="000D7552">
        <w:t xml:space="preserve"> </w:t>
      </w:r>
      <w:r w:rsidRPr="008D364F" w:rsidR="00290F12">
        <w:t xml:space="preserve">on the part </w:t>
      </w:r>
      <w:r w:rsidRPr="008D364F" w:rsidR="000D7552">
        <w:t xml:space="preserve">of the applicant had </w:t>
      </w:r>
      <w:r w:rsidRPr="008D364F" w:rsidR="0098560F">
        <w:t xml:space="preserve">clearly led to the protraction </w:t>
      </w:r>
      <w:r w:rsidRPr="008D364F" w:rsidR="000D7552">
        <w:t xml:space="preserve">of the </w:t>
      </w:r>
      <w:r w:rsidRPr="008D364F" w:rsidR="00084B2D">
        <w:t xml:space="preserve">proceedings as the </w:t>
      </w:r>
      <w:r w:rsidRPr="008D364F" w:rsidR="0098560F">
        <w:t>courts</w:t>
      </w:r>
      <w:r w:rsidRPr="008D364F" w:rsidR="00084B2D">
        <w:t xml:space="preserve"> </w:t>
      </w:r>
      <w:r w:rsidRPr="008D364F" w:rsidR="002E3051">
        <w:t>had been unable to</w:t>
      </w:r>
      <w:r w:rsidRPr="008D364F" w:rsidR="00084B2D">
        <w:t xml:space="preserve"> h</w:t>
      </w:r>
      <w:r w:rsidRPr="008D364F" w:rsidR="00290F12">
        <w:t>o</w:t>
      </w:r>
      <w:r w:rsidRPr="008D364F" w:rsidR="00084B2D">
        <w:t>ld hearings at reas</w:t>
      </w:r>
      <w:r w:rsidRPr="008D364F" w:rsidR="00845800">
        <w:t>on</w:t>
      </w:r>
      <w:r w:rsidRPr="008D364F" w:rsidR="00084B2D">
        <w:t>able intervals</w:t>
      </w:r>
      <w:r w:rsidRPr="008D364F" w:rsidR="000D7552">
        <w:t>.</w:t>
      </w:r>
      <w:r w:rsidRPr="008D364F" w:rsidR="00084B2D">
        <w:t xml:space="preserve"> For instance</w:t>
      </w:r>
      <w:r w:rsidRPr="008D364F" w:rsidR="00EC73A8">
        <w:t>,</w:t>
      </w:r>
      <w:r w:rsidRPr="008D364F" w:rsidR="00084B2D">
        <w:t xml:space="preserve"> in 2014 the court </w:t>
      </w:r>
      <w:r w:rsidRPr="008D364F" w:rsidR="00EC0EE3">
        <w:t xml:space="preserve">had </w:t>
      </w:r>
      <w:r w:rsidRPr="008D364F" w:rsidR="00084B2D">
        <w:t>held no hearing as it had</w:t>
      </w:r>
      <w:r w:rsidRPr="008D364F" w:rsidR="0014585C">
        <w:t xml:space="preserve"> had to </w:t>
      </w:r>
      <w:r w:rsidRPr="008D364F" w:rsidR="00084B2D">
        <w:t>deal with the applicant</w:t>
      </w:r>
      <w:r w:rsidRPr="008D364F" w:rsidR="008D364F">
        <w:t>’</w:t>
      </w:r>
      <w:r w:rsidRPr="008D364F" w:rsidR="00084B2D">
        <w:t xml:space="preserve">s multiple procedural </w:t>
      </w:r>
      <w:r w:rsidRPr="008D364F" w:rsidR="00622668">
        <w:t>applications</w:t>
      </w:r>
      <w:r w:rsidRPr="008D364F" w:rsidR="00084B2D">
        <w:t xml:space="preserve">. The applicant </w:t>
      </w:r>
      <w:r w:rsidRPr="008D364F" w:rsidR="006514F9">
        <w:t xml:space="preserve">had </w:t>
      </w:r>
      <w:r w:rsidRPr="008D364F" w:rsidR="00084B2D">
        <w:t>further contributed to the overall length of the proceedings by refusing to undergo medical examinations. In sum</w:t>
      </w:r>
      <w:r w:rsidRPr="008D364F" w:rsidR="00436CBD">
        <w:t>mary,</w:t>
      </w:r>
      <w:r w:rsidRPr="008D364F" w:rsidR="00084B2D">
        <w:t xml:space="preserve"> the Government </w:t>
      </w:r>
      <w:r w:rsidRPr="008D364F" w:rsidR="003D2596">
        <w:t xml:space="preserve">contended </w:t>
      </w:r>
      <w:r w:rsidRPr="008D364F" w:rsidR="0098560F">
        <w:t xml:space="preserve">that there had been </w:t>
      </w:r>
      <w:r w:rsidRPr="008D364F" w:rsidR="00084B2D">
        <w:t xml:space="preserve">no delays attributable to the domestic </w:t>
      </w:r>
      <w:r w:rsidRPr="008D364F" w:rsidR="0098560F">
        <w:t>authorities</w:t>
      </w:r>
      <w:r w:rsidRPr="008D364F" w:rsidR="00084B2D">
        <w:t>.</w:t>
      </w:r>
    </w:p>
    <w:p w:rsidRPr="008D364F" w:rsidR="006374DD" w:rsidP="008D364F" w:rsidRDefault="006374DD">
      <w:pPr>
        <w:pStyle w:val="JuPara"/>
      </w:pPr>
      <w:r w:rsidRPr="008D364F">
        <w:fldChar w:fldCharType="begin"/>
      </w:r>
      <w:r w:rsidRPr="008D364F">
        <w:instrText xml:space="preserve"> SEQ level0 \*arabic </w:instrText>
      </w:r>
      <w:r w:rsidRPr="008D364F">
        <w:fldChar w:fldCharType="separate"/>
      </w:r>
      <w:r w:rsidRPr="008D364F" w:rsidR="008D364F">
        <w:rPr>
          <w:noProof/>
        </w:rPr>
        <w:t>36</w:t>
      </w:r>
      <w:r w:rsidRPr="008D364F">
        <w:fldChar w:fldCharType="end"/>
      </w:r>
      <w:r w:rsidRPr="008D364F">
        <w:t xml:space="preserve">.  The Court reiterates that the reasonableness of the length of proceedings must be assessed in the light of the particular circumstances of the case and taking into account the criteria laid down in </w:t>
      </w:r>
      <w:r w:rsidRPr="008D364F" w:rsidR="009C53F3">
        <w:t>its</w:t>
      </w:r>
      <w:r w:rsidRPr="008D364F">
        <w:t xml:space="preserve"> case</w:t>
      </w:r>
      <w:r w:rsidRPr="008D364F">
        <w:noBreakHyphen/>
        <w:t xml:space="preserve">law, in particular the complexity of the case and the conduct of the applicant and of the relevant authorities. On the latter point, account must also be taken of what is at stake for the applicant (see </w:t>
      </w:r>
      <w:r w:rsidRPr="008D364F">
        <w:rPr>
          <w:i/>
        </w:rPr>
        <w:t>Kudła v. Poland</w:t>
      </w:r>
      <w:r w:rsidRPr="008D364F" w:rsidR="001B7151">
        <w:t xml:space="preserve"> [GC], no. 30210/96, § </w:t>
      </w:r>
      <w:r w:rsidRPr="008D364F">
        <w:t>124</w:t>
      </w:r>
      <w:r w:rsidRPr="008D364F" w:rsidR="003B41AA">
        <w:t>,</w:t>
      </w:r>
      <w:r w:rsidRPr="008D364F">
        <w:t xml:space="preserve"> ECHR 2000</w:t>
      </w:r>
      <w:r w:rsidRPr="008D364F" w:rsidR="000A397C">
        <w:t>-</w:t>
      </w:r>
      <w:r w:rsidRPr="008D364F">
        <w:t xml:space="preserve">XI, </w:t>
      </w:r>
      <w:r w:rsidRPr="008D364F" w:rsidR="003B41AA">
        <w:t xml:space="preserve">and </w:t>
      </w:r>
      <w:r w:rsidRPr="008D364F">
        <w:t>for further case-law references</w:t>
      </w:r>
      <w:r w:rsidRPr="008D364F" w:rsidR="003B41AA">
        <w:t>,</w:t>
      </w:r>
      <w:r w:rsidRPr="008D364F">
        <w:t xml:space="preserve"> see </w:t>
      </w:r>
      <w:r w:rsidRPr="008D364F">
        <w:rPr>
          <w:i/>
        </w:rPr>
        <w:t>Rutkowski and Others</w:t>
      </w:r>
      <w:r w:rsidRPr="008D364F">
        <w:t>, cited above, §§ 126</w:t>
      </w:r>
      <w:r w:rsidRPr="008D364F">
        <w:noBreakHyphen/>
        <w:t>28).</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37</w:t>
      </w:r>
      <w:r w:rsidRPr="008D364F">
        <w:fldChar w:fldCharType="end"/>
      </w:r>
      <w:r w:rsidRPr="008D364F" w:rsidR="00DE61E0">
        <w:t xml:space="preserve">.  The Court has frequently found violations of Article 6 § 1 of the Convention in cases raising issues similar to the one in the present case (see </w:t>
      </w:r>
      <w:r w:rsidRPr="008D364F" w:rsidR="0098560F">
        <w:rPr>
          <w:i/>
        </w:rPr>
        <w:t>Rutkowski</w:t>
      </w:r>
      <w:r w:rsidRPr="008D364F" w:rsidR="008C3203">
        <w:rPr>
          <w:i/>
        </w:rPr>
        <w:t xml:space="preserve"> and Others</w:t>
      </w:r>
      <w:r w:rsidRPr="008D364F" w:rsidR="00DE61E0">
        <w:t>, cited above).</w:t>
      </w:r>
    </w:p>
    <w:p w:rsidRPr="008D364F" w:rsidR="001B7151" w:rsidP="008D364F" w:rsidRDefault="00182C1D">
      <w:pPr>
        <w:pStyle w:val="JuPara"/>
      </w:pPr>
      <w:r w:rsidRPr="008D364F">
        <w:fldChar w:fldCharType="begin"/>
      </w:r>
      <w:r w:rsidRPr="008D364F">
        <w:instrText xml:space="preserve"> SEQ level0 \*arabic </w:instrText>
      </w:r>
      <w:r w:rsidRPr="008D364F">
        <w:fldChar w:fldCharType="separate"/>
      </w:r>
      <w:r w:rsidRPr="008D364F" w:rsidR="008D364F">
        <w:rPr>
          <w:noProof/>
        </w:rPr>
        <w:t>38</w:t>
      </w:r>
      <w:r w:rsidRPr="008D364F">
        <w:fldChar w:fldCharType="end"/>
      </w:r>
      <w:r w:rsidRPr="008D364F">
        <w:t>.  The Cou</w:t>
      </w:r>
      <w:r w:rsidRPr="008D364F" w:rsidR="0098560F">
        <w:t xml:space="preserve">rt </w:t>
      </w:r>
      <w:r w:rsidRPr="008D364F" w:rsidR="0049411B">
        <w:t>accepts</w:t>
      </w:r>
      <w:r w:rsidRPr="008D364F" w:rsidR="0098560F">
        <w:t xml:space="preserve"> of the Government</w:t>
      </w:r>
      <w:r w:rsidRPr="008D364F" w:rsidR="008D364F">
        <w:t>’</w:t>
      </w:r>
      <w:r w:rsidRPr="008D364F">
        <w:t>s argument that the applicant contributed</w:t>
      </w:r>
      <w:r w:rsidRPr="008D364F" w:rsidR="00B62DE8">
        <w:t xml:space="preserve"> </w:t>
      </w:r>
      <w:r w:rsidRPr="008D364F">
        <w:t xml:space="preserve">to the overall length of the proceedings. It is </w:t>
      </w:r>
      <w:r w:rsidRPr="008D364F" w:rsidR="00630618">
        <w:t xml:space="preserve">clear </w:t>
      </w:r>
      <w:r w:rsidRPr="008D364F">
        <w:t xml:space="preserve">that she </w:t>
      </w:r>
      <w:r w:rsidRPr="008D364F" w:rsidR="00AB2BB8">
        <w:t xml:space="preserve">did </w:t>
      </w:r>
      <w:r w:rsidRPr="008D364F">
        <w:t xml:space="preserve">lodge a great number of procedural </w:t>
      </w:r>
      <w:r w:rsidRPr="008D364F" w:rsidR="0068511E">
        <w:t xml:space="preserve">applications </w:t>
      </w:r>
      <w:r w:rsidRPr="008D364F">
        <w:t xml:space="preserve">concerning, in particular, legal aid, and </w:t>
      </w:r>
      <w:r w:rsidRPr="008D364F" w:rsidR="00753603">
        <w:t xml:space="preserve">challenging </w:t>
      </w:r>
      <w:r w:rsidRPr="008D364F">
        <w:t xml:space="preserve">experts and judges. She repeated those </w:t>
      </w:r>
      <w:r w:rsidRPr="008D364F" w:rsidR="0068511E">
        <w:t xml:space="preserve">applications </w:t>
      </w:r>
      <w:r w:rsidRPr="008D364F" w:rsidR="00630618">
        <w:t xml:space="preserve">even </w:t>
      </w:r>
      <w:r w:rsidRPr="008D364F">
        <w:t xml:space="preserve">after they had been rejected and on many occasions lodged </w:t>
      </w:r>
      <w:r w:rsidRPr="008D364F" w:rsidR="00630618">
        <w:t xml:space="preserve">further </w:t>
      </w:r>
      <w:r w:rsidRPr="008D364F">
        <w:t xml:space="preserve">appeals which </w:t>
      </w:r>
      <w:r w:rsidRPr="008D364F" w:rsidR="008D1E35">
        <w:t xml:space="preserve">were </w:t>
      </w:r>
      <w:r w:rsidRPr="008D364F">
        <w:t xml:space="preserve">not </w:t>
      </w:r>
      <w:r w:rsidRPr="008D364F" w:rsidR="008D1E35">
        <w:t>available under the</w:t>
      </w:r>
      <w:r w:rsidRPr="008D364F">
        <w:t xml:space="preserve"> law. Some of her </w:t>
      </w:r>
      <w:r w:rsidRPr="008D364F" w:rsidR="0068511E">
        <w:t xml:space="preserve">applications </w:t>
      </w:r>
      <w:r w:rsidRPr="008D364F">
        <w:t>were clearly confused and showed the applicant</w:t>
      </w:r>
      <w:r w:rsidRPr="008D364F" w:rsidR="008D364F">
        <w:t>’</w:t>
      </w:r>
      <w:r w:rsidRPr="008D364F">
        <w:t xml:space="preserve">s distrust of </w:t>
      </w:r>
      <w:r w:rsidRPr="008D364F" w:rsidR="001670B1">
        <w:t xml:space="preserve">both </w:t>
      </w:r>
      <w:r w:rsidRPr="008D364F">
        <w:t xml:space="preserve">the experts and the judges. </w:t>
      </w:r>
      <w:r w:rsidRPr="008D364F" w:rsidR="00CA3AD9">
        <w:t>In this regard, t</w:t>
      </w:r>
      <w:r w:rsidRPr="008D364F" w:rsidR="003702BC">
        <w:t xml:space="preserve">he Court reiterates that while the applicant is entitled to make use of her procedural rights, she must bear the consequences when </w:t>
      </w:r>
      <w:r w:rsidRPr="008D364F" w:rsidR="00A60E5A">
        <w:t xml:space="preserve">that </w:t>
      </w:r>
      <w:r w:rsidRPr="008D364F" w:rsidR="003702BC">
        <w:t xml:space="preserve">leads to delays (see </w:t>
      </w:r>
      <w:r w:rsidRPr="008D364F" w:rsidR="003702BC">
        <w:rPr>
          <w:i/>
        </w:rPr>
        <w:t>Malicka-Wąsowska v.</w:t>
      </w:r>
      <w:r w:rsidRPr="008D364F" w:rsidR="004671D5">
        <w:rPr>
          <w:i/>
        </w:rPr>
        <w:t> </w:t>
      </w:r>
      <w:r w:rsidRPr="008D364F" w:rsidR="003702BC">
        <w:rPr>
          <w:i/>
        </w:rPr>
        <w:t>Poland</w:t>
      </w:r>
      <w:r w:rsidRPr="008D364F" w:rsidR="003702BC">
        <w:t xml:space="preserve"> (dec.), no. 41413/98, 5 April 2001).</w:t>
      </w:r>
    </w:p>
    <w:p w:rsidRPr="008D364F" w:rsidR="0095029F" w:rsidP="008D364F" w:rsidRDefault="003702BC">
      <w:pPr>
        <w:pStyle w:val="JuPara"/>
      </w:pPr>
      <w:r w:rsidRPr="008D364F">
        <w:fldChar w:fldCharType="begin"/>
      </w:r>
      <w:r w:rsidRPr="008D364F">
        <w:instrText xml:space="preserve"> SEQ level0 \*arabic </w:instrText>
      </w:r>
      <w:r w:rsidRPr="008D364F">
        <w:fldChar w:fldCharType="separate"/>
      </w:r>
      <w:r w:rsidRPr="008D364F" w:rsidR="008D364F">
        <w:rPr>
          <w:noProof/>
        </w:rPr>
        <w:t>39</w:t>
      </w:r>
      <w:r w:rsidRPr="008D364F">
        <w:fldChar w:fldCharType="end"/>
      </w:r>
      <w:r w:rsidRPr="008D364F">
        <w:t>.  The Court notes</w:t>
      </w:r>
      <w:r w:rsidRPr="008D364F" w:rsidR="000608AE">
        <w:t>,</w:t>
      </w:r>
      <w:r w:rsidRPr="008D364F">
        <w:t xml:space="preserve"> however</w:t>
      </w:r>
      <w:r w:rsidRPr="008D364F" w:rsidR="000608AE">
        <w:t>,</w:t>
      </w:r>
      <w:r w:rsidRPr="008D364F">
        <w:t xml:space="preserve"> that the present proceedings were of significant importance to the applicant</w:t>
      </w:r>
      <w:r w:rsidRPr="008D364F" w:rsidR="00D30B69">
        <w:t xml:space="preserve"> as they concerned a right to a </w:t>
      </w:r>
      <w:r w:rsidRPr="008D364F">
        <w:t xml:space="preserve">disability pension. The applicant claimed </w:t>
      </w:r>
      <w:r w:rsidRPr="008D364F" w:rsidR="007C6EDC">
        <w:t>that she was</w:t>
      </w:r>
      <w:r w:rsidRPr="008D364F">
        <w:t xml:space="preserve"> unfit to work, with many medical problems, and </w:t>
      </w:r>
      <w:r w:rsidRPr="008D364F" w:rsidR="00AA490A">
        <w:t xml:space="preserve">that she had been </w:t>
      </w:r>
      <w:r w:rsidRPr="008D364F">
        <w:t xml:space="preserve">left without any financial support </w:t>
      </w:r>
      <w:r w:rsidRPr="008D364F" w:rsidR="00AA490A">
        <w:t>from</w:t>
      </w:r>
      <w:r w:rsidRPr="008D364F">
        <w:t xml:space="preserve"> the State. In the proceedings the applicant was not represented by a lawyer and she </w:t>
      </w:r>
      <w:r w:rsidRPr="008D364F" w:rsidR="00CA3AD9">
        <w:t xml:space="preserve">apparently </w:t>
      </w:r>
      <w:r w:rsidRPr="008D364F">
        <w:t xml:space="preserve">believed that </w:t>
      </w:r>
      <w:r w:rsidRPr="008D364F" w:rsidR="005F2144">
        <w:t xml:space="preserve">the </w:t>
      </w:r>
      <w:r w:rsidRPr="008D364F">
        <w:t>procedural</w:t>
      </w:r>
      <w:r w:rsidRPr="008D364F" w:rsidR="005F2144">
        <w:t xml:space="preserve"> steps that she </w:t>
      </w:r>
      <w:r w:rsidRPr="008D364F" w:rsidR="00F71F73">
        <w:t>had taken</w:t>
      </w:r>
      <w:r w:rsidRPr="008D364F">
        <w:t xml:space="preserve"> would secure her a positive outcome </w:t>
      </w:r>
      <w:r w:rsidRPr="008D364F" w:rsidR="00A74476">
        <w:t xml:space="preserve">for </w:t>
      </w:r>
      <w:r w:rsidRPr="008D364F">
        <w:t>the case</w:t>
      </w:r>
      <w:r w:rsidRPr="008D364F" w:rsidR="009552E3">
        <w:t xml:space="preserve"> (see paragraphs 7</w:t>
      </w:r>
      <w:r w:rsidRPr="008D364F" w:rsidR="00F8567F">
        <w:t xml:space="preserve"> and </w:t>
      </w:r>
      <w:r w:rsidRPr="008D364F" w:rsidR="009552E3">
        <w:t>34</w:t>
      </w:r>
      <w:r w:rsidRPr="008D364F" w:rsidR="00F8567F">
        <w:t xml:space="preserve"> above)</w:t>
      </w:r>
      <w:r w:rsidRPr="008D364F">
        <w:t>.</w:t>
      </w:r>
    </w:p>
    <w:p w:rsidRPr="008D364F" w:rsidR="0047553D" w:rsidP="008D364F" w:rsidRDefault="00182C1D">
      <w:pPr>
        <w:pStyle w:val="JuPara"/>
      </w:pPr>
      <w:r w:rsidRPr="008D364F">
        <w:fldChar w:fldCharType="begin"/>
      </w:r>
      <w:r w:rsidRPr="008D364F">
        <w:instrText xml:space="preserve"> SEQ level0 \*arabic </w:instrText>
      </w:r>
      <w:r w:rsidRPr="008D364F">
        <w:fldChar w:fldCharType="separate"/>
      </w:r>
      <w:r w:rsidRPr="008D364F" w:rsidR="008D364F">
        <w:rPr>
          <w:noProof/>
        </w:rPr>
        <w:t>40</w:t>
      </w:r>
      <w:r w:rsidRPr="008D364F">
        <w:fldChar w:fldCharType="end"/>
      </w:r>
      <w:r w:rsidRPr="008D364F">
        <w:t xml:space="preserve">.  As regards the activity of the domestic authorities the Court notes that for </w:t>
      </w:r>
      <w:r w:rsidRPr="008D364F" w:rsidR="003702BC">
        <w:t xml:space="preserve">several </w:t>
      </w:r>
      <w:r w:rsidRPr="008D364F">
        <w:t>years the courts concentrated solely on dealing with the applicant</w:t>
      </w:r>
      <w:r w:rsidRPr="008D364F" w:rsidR="008D364F">
        <w:t>’</w:t>
      </w:r>
      <w:r w:rsidRPr="008D364F">
        <w:t xml:space="preserve">s procedural </w:t>
      </w:r>
      <w:r w:rsidRPr="008D364F" w:rsidR="00FB54D5">
        <w:t xml:space="preserve">applications </w:t>
      </w:r>
      <w:r w:rsidRPr="008D364F">
        <w:t>regarding legal aid and various challenges</w:t>
      </w:r>
      <w:r w:rsidRPr="008D364F" w:rsidR="003A2B3A">
        <w:t xml:space="preserve"> made</w:t>
      </w:r>
      <w:r w:rsidRPr="008D364F">
        <w:t xml:space="preserve"> </w:t>
      </w:r>
      <w:r w:rsidRPr="008D364F" w:rsidR="00745614">
        <w:t xml:space="preserve">against </w:t>
      </w:r>
      <w:r w:rsidRPr="008D364F">
        <w:t>the experts and judges. In particular</w:t>
      </w:r>
      <w:r w:rsidRPr="008D364F" w:rsidR="00BC5DB0">
        <w:t>,</w:t>
      </w:r>
      <w:r w:rsidRPr="008D364F">
        <w:t xml:space="preserve"> between June 2013 and May 2015 there appear</w:t>
      </w:r>
      <w:r w:rsidRPr="008D364F" w:rsidR="00BC5DB0">
        <w:t>s</w:t>
      </w:r>
      <w:r w:rsidRPr="008D364F">
        <w:t xml:space="preserve"> to</w:t>
      </w:r>
      <w:r w:rsidRPr="008D364F" w:rsidR="00BC5DB0">
        <w:t xml:space="preserve"> have</w:t>
      </w:r>
      <w:r w:rsidRPr="008D364F">
        <w:t xml:space="preserve"> be</w:t>
      </w:r>
      <w:r w:rsidRPr="008D364F" w:rsidR="00BC5DB0">
        <w:t>en</w:t>
      </w:r>
      <w:r w:rsidRPr="008D364F">
        <w:t xml:space="preserve"> no activity </w:t>
      </w:r>
      <w:r w:rsidRPr="008D364F" w:rsidR="00BC5DB0">
        <w:t xml:space="preserve">on the part </w:t>
      </w:r>
      <w:r w:rsidRPr="008D364F">
        <w:t xml:space="preserve">of the Szczecin Regional Court regarding the merits of the case. Similarly, at </w:t>
      </w:r>
      <w:r w:rsidRPr="008D364F" w:rsidR="00BC5DB0">
        <w:t>an</w:t>
      </w:r>
      <w:r w:rsidRPr="008D364F">
        <w:t xml:space="preserve"> earlier stage, between September 2011 and June 2013 there was no activity </w:t>
      </w:r>
      <w:r w:rsidRPr="008D364F" w:rsidR="00BC5DB0">
        <w:t xml:space="preserve">on the part </w:t>
      </w:r>
      <w:r w:rsidRPr="008D364F">
        <w:t>of the court while the applicant was apparent</w:t>
      </w:r>
      <w:r w:rsidRPr="008D364F" w:rsidR="00D30B69">
        <w:t xml:space="preserve">ly avoiding a </w:t>
      </w:r>
      <w:r w:rsidRPr="008D364F">
        <w:t>psychiatric examination. In total</w:t>
      </w:r>
      <w:r w:rsidRPr="008D364F" w:rsidR="00CA3AD9">
        <w:t>,</w:t>
      </w:r>
      <w:r w:rsidRPr="008D364F">
        <w:t xml:space="preserve"> the first-instance court dealt with the case for over five years</w:t>
      </w:r>
      <w:r w:rsidRPr="008D364F" w:rsidR="00F024B9">
        <w:t>,</w:t>
      </w:r>
      <w:r w:rsidRPr="008D364F">
        <w:t xml:space="preserve"> during which it limited its</w:t>
      </w:r>
      <w:r w:rsidRPr="008D364F" w:rsidR="00CA3AD9">
        <w:t xml:space="preserve"> actions</w:t>
      </w:r>
      <w:r w:rsidRPr="008D364F">
        <w:t xml:space="preserve"> to requesting new expert opinions every few years. Afterwards, the new presiding judge appointed by the president of the court gave judgment within two days</w:t>
      </w:r>
      <w:r w:rsidRPr="008D364F" w:rsidR="006820D2">
        <w:t xml:space="preserve"> of appointment</w:t>
      </w:r>
      <w:r w:rsidRPr="008D364F" w:rsidR="00CA3AD9">
        <w:t xml:space="preserve"> (see paragraph</w:t>
      </w:r>
      <w:r w:rsidRPr="008D364F" w:rsidR="00F8567F">
        <w:t xml:space="preserve">s </w:t>
      </w:r>
      <w:r w:rsidRPr="008D364F" w:rsidR="009552E3">
        <w:t>14</w:t>
      </w:r>
      <w:r w:rsidRPr="008D364F" w:rsidR="00F8567F">
        <w:t xml:space="preserve"> and </w:t>
      </w:r>
      <w:r w:rsidRPr="008D364F" w:rsidR="009552E3">
        <w:t xml:space="preserve">15 </w:t>
      </w:r>
      <w:r w:rsidRPr="008D364F" w:rsidR="00CA3AD9">
        <w:t>above)</w:t>
      </w:r>
      <w:r w:rsidRPr="008D364F">
        <w:t>.</w:t>
      </w:r>
    </w:p>
    <w:p w:rsidRPr="008D364F" w:rsidR="00182C1D" w:rsidP="008D364F" w:rsidRDefault="00182C1D">
      <w:pPr>
        <w:pStyle w:val="JuPara"/>
      </w:pPr>
      <w:r w:rsidRPr="008D364F">
        <w:t xml:space="preserve">The Court also notes that the Szczecin Court of Appeal </w:t>
      </w:r>
      <w:r w:rsidRPr="008D364F" w:rsidR="00814F36">
        <w:t xml:space="preserve">took almost three years to </w:t>
      </w:r>
      <w:r w:rsidRPr="008D364F">
        <w:t>examin</w:t>
      </w:r>
      <w:r w:rsidRPr="008D364F" w:rsidR="00AF0820">
        <w:t>e</w:t>
      </w:r>
      <w:r w:rsidRPr="008D364F">
        <w:t xml:space="preserve"> the case. For the first two years the</w:t>
      </w:r>
      <w:r w:rsidRPr="008D364F" w:rsidR="00482B13">
        <w:t xml:space="preserve"> case lay dormant as the</w:t>
      </w:r>
      <w:r w:rsidRPr="008D364F">
        <w:t xml:space="preserve"> domestic authorities dealt with the applicant</w:t>
      </w:r>
      <w:r w:rsidRPr="008D364F" w:rsidR="008D364F">
        <w:t>’</w:t>
      </w:r>
      <w:r w:rsidRPr="008D364F">
        <w:t xml:space="preserve">s challenge </w:t>
      </w:r>
      <w:r w:rsidRPr="008D364F" w:rsidR="00603FC5">
        <w:t xml:space="preserve">against </w:t>
      </w:r>
      <w:r w:rsidRPr="008D364F">
        <w:t>all</w:t>
      </w:r>
      <w:r w:rsidRPr="008D364F" w:rsidR="00603FC5">
        <w:t xml:space="preserve"> the</w:t>
      </w:r>
      <w:r w:rsidRPr="008D364F">
        <w:t xml:space="preserve"> judges of the Court of Appeal</w:t>
      </w:r>
      <w:r w:rsidRPr="008D364F" w:rsidR="00DC2E4F">
        <w:t>,</w:t>
      </w:r>
      <w:r w:rsidRPr="008D364F">
        <w:t xml:space="preserve"> which </w:t>
      </w:r>
      <w:r w:rsidRPr="008D364F" w:rsidR="00885BF0">
        <w:t>was</w:t>
      </w:r>
      <w:r w:rsidRPr="008D364F" w:rsidR="00482B13">
        <w:t xml:space="preserve"> </w:t>
      </w:r>
      <w:r w:rsidRPr="008D364F">
        <w:t>dismissed by the Supreme Court on 10 January 2017.</w:t>
      </w:r>
    </w:p>
    <w:p w:rsidRPr="008D364F" w:rsidR="001B7151" w:rsidP="008D364F" w:rsidRDefault="00677734">
      <w:pPr>
        <w:pStyle w:val="JuPara"/>
      </w:pPr>
      <w:r w:rsidRPr="008D364F">
        <w:fldChar w:fldCharType="begin"/>
      </w:r>
      <w:r w:rsidRPr="008D364F">
        <w:instrText xml:space="preserve"> SEQ level0 \*arabic </w:instrText>
      </w:r>
      <w:r w:rsidRPr="008D364F">
        <w:fldChar w:fldCharType="separate"/>
      </w:r>
      <w:r w:rsidRPr="008D364F" w:rsidR="008D364F">
        <w:rPr>
          <w:noProof/>
        </w:rPr>
        <w:t>41</w:t>
      </w:r>
      <w:r w:rsidRPr="008D364F">
        <w:fldChar w:fldCharType="end"/>
      </w:r>
      <w:r w:rsidRPr="008D364F">
        <w:t>.  </w:t>
      </w:r>
      <w:r w:rsidRPr="008D364F" w:rsidR="00830255">
        <w:t>In sum</w:t>
      </w:r>
      <w:r w:rsidRPr="008D364F" w:rsidR="00443DC1">
        <w:t>mary</w:t>
      </w:r>
      <w:r w:rsidRPr="008D364F" w:rsidR="00830255">
        <w:t>, while the applicant</w:t>
      </w:r>
      <w:r w:rsidRPr="008D364F" w:rsidR="008D364F">
        <w:t>’</w:t>
      </w:r>
      <w:r w:rsidRPr="008D364F" w:rsidR="00332BF3">
        <w:t xml:space="preserve">s procedural activity undoubtedly had </w:t>
      </w:r>
      <w:r w:rsidRPr="008D364F" w:rsidR="008B1FC6">
        <w:t>a</w:t>
      </w:r>
      <w:r w:rsidRPr="008D364F" w:rsidR="00F8567F">
        <w:t xml:space="preserve">n impact </w:t>
      </w:r>
      <w:r w:rsidRPr="008D364F" w:rsidR="00332BF3">
        <w:t xml:space="preserve">on the overall length of the proceedings, the Court is of the view that she cannot bear </w:t>
      </w:r>
      <w:r w:rsidRPr="008D364F" w:rsidR="00C72822">
        <w:t xml:space="preserve">full </w:t>
      </w:r>
      <w:r w:rsidRPr="008D364F" w:rsidR="00332BF3">
        <w:t>responsibility for the delay (</w:t>
      </w:r>
      <w:r w:rsidRPr="008D364F">
        <w:t xml:space="preserve">see </w:t>
      </w:r>
      <w:r w:rsidRPr="008D364F" w:rsidR="009552E3">
        <w:rPr>
          <w:i/>
        </w:rPr>
        <w:t>Gęsiarz v. </w:t>
      </w:r>
      <w:r w:rsidRPr="008D364F" w:rsidR="00332BF3">
        <w:rPr>
          <w:i/>
        </w:rPr>
        <w:t>Poland</w:t>
      </w:r>
      <w:r w:rsidRPr="008D364F" w:rsidR="00CC5F1A">
        <w:t>, no. 9446/02, § 52</w:t>
      </w:r>
      <w:r w:rsidRPr="008D364F" w:rsidR="00332BF3">
        <w:t xml:space="preserve">, 18 May 2004). The procedural activity of </w:t>
      </w:r>
      <w:r w:rsidRPr="008D364F">
        <w:t>the applicant</w:t>
      </w:r>
      <w:r w:rsidRPr="008D364F" w:rsidR="00332BF3">
        <w:t xml:space="preserve"> should not absolve the domestic courts from dealing with the merits of the case and</w:t>
      </w:r>
      <w:r w:rsidRPr="008D364F" w:rsidR="00830255">
        <w:t xml:space="preserve"> cannot justify the overall period of almost nine years </w:t>
      </w:r>
      <w:r w:rsidRPr="008D364F" w:rsidR="00D20368">
        <w:t>that it has taken for</w:t>
      </w:r>
      <w:r w:rsidRPr="008D364F" w:rsidR="00830255">
        <w:t xml:space="preserve"> the domestic courts </w:t>
      </w:r>
      <w:r w:rsidRPr="008D364F" w:rsidR="00D20368">
        <w:t>to</w:t>
      </w:r>
      <w:r w:rsidRPr="008D364F" w:rsidR="00830255">
        <w:t xml:space="preserve"> examin</w:t>
      </w:r>
      <w:r w:rsidRPr="008D364F" w:rsidR="00D20368">
        <w:t>e</w:t>
      </w:r>
      <w:r w:rsidRPr="008D364F" w:rsidR="00830255">
        <w:t xml:space="preserve"> </w:t>
      </w:r>
      <w:r w:rsidRPr="008D364F" w:rsidR="00332BF3">
        <w:t>the applicant</w:t>
      </w:r>
      <w:r w:rsidRPr="008D364F" w:rsidR="008D364F">
        <w:t>’</w:t>
      </w:r>
      <w:r w:rsidRPr="008D364F" w:rsidR="00332BF3">
        <w:t>s</w:t>
      </w:r>
      <w:r w:rsidRPr="008D364F" w:rsidR="00830255">
        <w:t xml:space="preserve"> request for </w:t>
      </w:r>
      <w:r w:rsidRPr="008D364F" w:rsidR="00CF7737">
        <w:t xml:space="preserve">a </w:t>
      </w:r>
      <w:r w:rsidRPr="008D364F" w:rsidR="00830255">
        <w:t>disability pension.</w:t>
      </w:r>
    </w:p>
    <w:p w:rsidRPr="008D364F" w:rsidR="004E5212" w:rsidP="008D364F" w:rsidRDefault="00FC406D">
      <w:pPr>
        <w:pStyle w:val="JuPara"/>
      </w:pPr>
      <w:r w:rsidRPr="008D364F">
        <w:fldChar w:fldCharType="begin"/>
      </w:r>
      <w:r w:rsidRPr="008D364F">
        <w:instrText xml:space="preserve"> SEQ level0 \*arabic </w:instrText>
      </w:r>
      <w:r w:rsidRPr="008D364F">
        <w:fldChar w:fldCharType="separate"/>
      </w:r>
      <w:r w:rsidRPr="008D364F" w:rsidR="008D364F">
        <w:rPr>
          <w:noProof/>
        </w:rPr>
        <w:t>42</w:t>
      </w:r>
      <w:r w:rsidRPr="008D364F">
        <w:fldChar w:fldCharType="end"/>
      </w:r>
      <w:r w:rsidRPr="008D364F">
        <w:t>.  </w:t>
      </w:r>
      <w:r w:rsidRPr="008D364F" w:rsidR="003702BC">
        <w:t>Finally,</w:t>
      </w:r>
      <w:r w:rsidRPr="008D364F">
        <w:t xml:space="preserve"> the Court notes that the domestic courts on many occasions requested new expert medical evidence. It is not clear why th</w:t>
      </w:r>
      <w:r w:rsidRPr="008D364F" w:rsidR="00E37B89">
        <w:t>e opinion of April 2010 had to be supplemented one year later (see paragraphs</w:t>
      </w:r>
      <w:r w:rsidRPr="008D364F" w:rsidR="001B7151">
        <w:t> </w:t>
      </w:r>
      <w:r w:rsidRPr="008D364F" w:rsidR="00AB62DE">
        <w:t xml:space="preserve">6 and 9 </w:t>
      </w:r>
      <w:r w:rsidRPr="008D364F" w:rsidR="00E37B89">
        <w:t xml:space="preserve">above). Moreover, </w:t>
      </w:r>
      <w:r w:rsidRPr="008D364F" w:rsidR="00580FE0">
        <w:t xml:space="preserve">a </w:t>
      </w:r>
      <w:r w:rsidRPr="008D364F" w:rsidR="00E37B89">
        <w:t xml:space="preserve">further two years later, in 2013, the court ordered yet another expert </w:t>
      </w:r>
      <w:r w:rsidRPr="008D364F" w:rsidR="00967165">
        <w:t xml:space="preserve">opinion. </w:t>
      </w:r>
      <w:r w:rsidRPr="008D364F">
        <w:t xml:space="preserve">In this connection, the Court would reiterate that </w:t>
      </w:r>
      <w:r w:rsidRPr="008D364F" w:rsidR="004E5212">
        <w:t>States are responsible for delays attributable to the conduct of their judicial or other authorities. They are also responsible for delays in the presentation of the reports and opinions of court</w:t>
      </w:r>
      <w:r w:rsidRPr="008D364F" w:rsidR="004E5212">
        <w:noBreakHyphen/>
        <w:t xml:space="preserve">appointed experts. A State may be found liable not only for delay in the handling of a particular case, but also for failure to increase resources in response to a backlog of cases, or for structural deficiencies in its judicial system that cause delays. Tackling the problem of unreasonable delay in judicial proceedings may thus require the State to take a range of legislative, organisational budgetary and other measures (see </w:t>
      </w:r>
      <w:r w:rsidRPr="008D364F" w:rsidR="00AF66D0">
        <w:rPr>
          <w:i/>
        </w:rPr>
        <w:t>Rutkowski and Others</w:t>
      </w:r>
      <w:r w:rsidRPr="008D364F" w:rsidR="00AF66D0">
        <w:t xml:space="preserve">, cited above, </w:t>
      </w:r>
      <w:r w:rsidRPr="008D364F" w:rsidR="00AF66D0">
        <w:rPr>
          <w:snapToGrid w:val="0"/>
        </w:rPr>
        <w:t>§ 128</w:t>
      </w:r>
      <w:r w:rsidRPr="008D364F" w:rsidR="004E5212">
        <w:t>).</w:t>
      </w:r>
    </w:p>
    <w:p w:rsidRPr="008D364F" w:rsidR="006374DD"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43</w:t>
      </w:r>
      <w:r w:rsidRPr="008D364F">
        <w:fldChar w:fldCharType="end"/>
      </w:r>
      <w:r w:rsidRPr="008D364F" w:rsidR="00DE61E0">
        <w:t>.  Having regard to</w:t>
      </w:r>
      <w:r w:rsidRPr="008D364F" w:rsidR="003702BC">
        <w:t xml:space="preserve"> the above considerations</w:t>
      </w:r>
      <w:r w:rsidRPr="008D364F" w:rsidR="00DE61E0">
        <w:t xml:space="preserve">, the Court </w:t>
      </w:r>
      <w:r w:rsidRPr="008D364F" w:rsidR="003702BC">
        <w:t>finds</w:t>
      </w:r>
      <w:r w:rsidRPr="008D364F" w:rsidR="00DE61E0">
        <w:t xml:space="preserve"> that in the instant case the length of the proceedings was excessive and failed to meet the “reasonable time” requirement.</w:t>
      </w:r>
    </w:p>
    <w:p w:rsidRPr="008D364F" w:rsidR="00F26C19" w:rsidP="008D364F" w:rsidRDefault="00DE61E0">
      <w:pPr>
        <w:pStyle w:val="JuPara"/>
      </w:pPr>
      <w:r w:rsidRPr="008D364F">
        <w:t>There has accordingly been a breach of Article 6 § 1.</w:t>
      </w:r>
    </w:p>
    <w:p w:rsidRPr="008D364F" w:rsidR="00F26C19" w:rsidP="008D364F" w:rsidRDefault="00F26C19">
      <w:pPr>
        <w:pStyle w:val="JuHIRoman"/>
      </w:pPr>
      <w:r w:rsidRPr="008D364F">
        <w:t>ALLEGED VIOLATION OF ARTICLE 13 OF THE CONVENTION</w:t>
      </w:r>
    </w:p>
    <w:p w:rsidRPr="008D364F" w:rsidR="00F26C19"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44</w:t>
      </w:r>
      <w:r w:rsidRPr="008D364F">
        <w:fldChar w:fldCharType="end"/>
      </w:r>
      <w:r w:rsidRPr="008D364F">
        <w:t xml:space="preserve">.  The applicant further </w:t>
      </w:r>
      <w:r w:rsidRPr="008D364F" w:rsidR="00CB7328">
        <w:t>submitted</w:t>
      </w:r>
      <w:r w:rsidRPr="008D364F">
        <w:t xml:space="preserve"> </w:t>
      </w:r>
      <w:r w:rsidRPr="008D364F" w:rsidR="00D82C4F">
        <w:t xml:space="preserve">that she had no </w:t>
      </w:r>
      <w:r w:rsidRPr="008D364F" w:rsidR="00AB62DE">
        <w:t xml:space="preserve">effective domestic remedy in </w:t>
      </w:r>
      <w:r w:rsidRPr="008D364F" w:rsidR="00D82C4F">
        <w:t xml:space="preserve">respect of the protracted length of proceedings in her case. </w:t>
      </w:r>
      <w:r w:rsidRPr="008D364F">
        <w:t>She relied on Article 13 of the Convention</w:t>
      </w:r>
      <w:r w:rsidRPr="008D364F" w:rsidR="00D82C4F">
        <w:t>, which reads:</w:t>
      </w:r>
    </w:p>
    <w:p w:rsidRPr="008D364F" w:rsidR="006374DD" w:rsidP="008D364F" w:rsidRDefault="006374DD">
      <w:pPr>
        <w:pStyle w:val="JuQuot"/>
      </w:pPr>
      <w:r w:rsidRPr="008D364F">
        <w:t>“Everyone whose rights and freedoms as set forth in [the] Convention are violated shall have an effective remedy before a national aut</w:t>
      </w:r>
      <w:r w:rsidRPr="008D364F" w:rsidR="00AB62DE">
        <w:t xml:space="preserve">hority notwithstanding that the </w:t>
      </w:r>
      <w:r w:rsidRPr="008D364F">
        <w:t>violation has been committed by persons acting in an official capacity.”</w:t>
      </w:r>
    </w:p>
    <w:p w:rsidRPr="008D364F" w:rsidR="006374DD" w:rsidP="008D364F" w:rsidRDefault="006374DD">
      <w:pPr>
        <w:pStyle w:val="JuPara"/>
      </w:pPr>
      <w:r w:rsidRPr="008D364F">
        <w:fldChar w:fldCharType="begin"/>
      </w:r>
      <w:r w:rsidRPr="008D364F">
        <w:instrText xml:space="preserve"> SEQ level0 \*arabic </w:instrText>
      </w:r>
      <w:r w:rsidRPr="008D364F">
        <w:fldChar w:fldCharType="separate"/>
      </w:r>
      <w:r w:rsidRPr="008D364F" w:rsidR="008D364F">
        <w:rPr>
          <w:noProof/>
        </w:rPr>
        <w:t>45</w:t>
      </w:r>
      <w:r w:rsidRPr="008D364F">
        <w:fldChar w:fldCharType="end"/>
      </w:r>
      <w:r w:rsidRPr="008D364F">
        <w:t>.  The Government contested</w:t>
      </w:r>
      <w:r w:rsidRPr="008D364F" w:rsidR="00D51EBF">
        <w:t xml:space="preserve"> that there had been</w:t>
      </w:r>
      <w:r w:rsidRPr="008D364F">
        <w:t xml:space="preserve"> a breach of this provision of the Convention.</w:t>
      </w:r>
    </w:p>
    <w:p w:rsidRPr="008D364F" w:rsidR="006374DD" w:rsidP="008D364F" w:rsidRDefault="006374DD">
      <w:pPr>
        <w:pStyle w:val="JuPara"/>
      </w:pPr>
      <w:r w:rsidRPr="008D364F">
        <w:fldChar w:fldCharType="begin"/>
      </w:r>
      <w:r w:rsidRPr="008D364F">
        <w:instrText xml:space="preserve"> SEQ level0 \*arabic </w:instrText>
      </w:r>
      <w:r w:rsidRPr="008D364F">
        <w:fldChar w:fldCharType="separate"/>
      </w:r>
      <w:r w:rsidRPr="008D364F" w:rsidR="008D364F">
        <w:rPr>
          <w:noProof/>
        </w:rPr>
        <w:t>46</w:t>
      </w:r>
      <w:r w:rsidRPr="008D364F">
        <w:fldChar w:fldCharType="end"/>
      </w:r>
      <w:r w:rsidRPr="008D364F">
        <w:t>.  The Court reiterates that Article 13 guarantees an effective remedy before a national authority for an alleged breach of the requirement under Article 6 § 1 to hear a case within a reasonable time. However, the “effectiveness” of a “remedy” within the meaning of that provision does not depend on the certainty of a favourable outcome for the applicant (see </w:t>
      </w:r>
      <w:r w:rsidRPr="008D364F">
        <w:rPr>
          <w:i/>
          <w:szCs w:val="24"/>
        </w:rPr>
        <w:t>Kudła</w:t>
      </w:r>
      <w:r w:rsidRPr="008D364F">
        <w:rPr>
          <w:szCs w:val="24"/>
        </w:rPr>
        <w:t xml:space="preserve">, </w:t>
      </w:r>
      <w:r w:rsidRPr="008D364F" w:rsidR="006D6D57">
        <w:rPr>
          <w:szCs w:val="24"/>
        </w:rPr>
        <w:t>cited above</w:t>
      </w:r>
      <w:r w:rsidRPr="008D364F">
        <w:rPr>
          <w:szCs w:val="24"/>
        </w:rPr>
        <w:t>, §§ 154 et seq.</w:t>
      </w:r>
      <w:r w:rsidRPr="008D364F">
        <w:t>).</w:t>
      </w:r>
    </w:p>
    <w:p w:rsidRPr="008D364F" w:rsidR="0047553D" w:rsidP="008D364F" w:rsidRDefault="006374DD">
      <w:pPr>
        <w:pStyle w:val="JuPara"/>
      </w:pPr>
      <w:r w:rsidRPr="008D364F">
        <w:fldChar w:fldCharType="begin"/>
      </w:r>
      <w:r w:rsidRPr="008D364F">
        <w:instrText xml:space="preserve"> SEQ level0 \*arabic </w:instrText>
      </w:r>
      <w:r w:rsidRPr="008D364F">
        <w:fldChar w:fldCharType="separate"/>
      </w:r>
      <w:r w:rsidRPr="008D364F" w:rsidR="008D364F">
        <w:rPr>
          <w:noProof/>
        </w:rPr>
        <w:t>47</w:t>
      </w:r>
      <w:r w:rsidRPr="008D364F">
        <w:fldChar w:fldCharType="end"/>
      </w:r>
      <w:r w:rsidRPr="008D364F" w:rsidR="001B7151">
        <w:t>.  </w:t>
      </w:r>
      <w:r w:rsidRPr="008D364F">
        <w:t>While the subsidiarity principle underlying the Convention system requires the Contracting States to introduce a mechanism addressing complaints about the excessive length of proceedings within the national legal system, they are afforded – subject to compliance with the requirements of the Convention – some discretion as to the manner in which they provide individuals with the relief required by Article 13 and thus conform to their Convention obligations under that provision.</w:t>
      </w:r>
    </w:p>
    <w:p w:rsidRPr="008D364F" w:rsidR="006374DD" w:rsidP="008D364F" w:rsidRDefault="006374DD">
      <w:pPr>
        <w:pStyle w:val="JuPara"/>
      </w:pPr>
      <w:r w:rsidRPr="008D364F">
        <w:fldChar w:fldCharType="begin"/>
      </w:r>
      <w:r w:rsidRPr="008D364F">
        <w:instrText xml:space="preserve"> SEQ level0 \*arabic </w:instrText>
      </w:r>
      <w:r w:rsidRPr="008D364F">
        <w:fldChar w:fldCharType="separate"/>
      </w:r>
      <w:r w:rsidRPr="008D364F" w:rsidR="008D364F">
        <w:rPr>
          <w:noProof/>
        </w:rPr>
        <w:t>48</w:t>
      </w:r>
      <w:r w:rsidRPr="008D364F">
        <w:fldChar w:fldCharType="end"/>
      </w:r>
      <w:r w:rsidRPr="008D364F">
        <w:t>.  The Court further reiterates that the word “remedy” within the meaning of Article 13 does not mean a remedy which is bound to succeed, but simply an accessible remedy before an authority competent to examine the merits of a complaint (see, for example</w:t>
      </w:r>
      <w:r w:rsidRPr="008D364F">
        <w:rPr>
          <w:i/>
        </w:rPr>
        <w:t>,</w:t>
      </w:r>
      <w:r w:rsidRPr="008D364F">
        <w:t xml:space="preserve"> </w:t>
      </w:r>
      <w:r w:rsidRPr="008D364F" w:rsidR="00AB62DE">
        <w:rPr>
          <w:i/>
        </w:rPr>
        <w:t>Šidlová v. </w:t>
      </w:r>
      <w:r w:rsidRPr="008D364F">
        <w:rPr>
          <w:i/>
        </w:rPr>
        <w:t>Slovakia</w:t>
      </w:r>
      <w:r w:rsidRPr="008D364F">
        <w:t>, no. 50224/99, § 77, 26 September 2006</w:t>
      </w:r>
      <w:r w:rsidRPr="008D364F" w:rsidR="00591950">
        <w:t>;</w:t>
      </w:r>
      <w:r w:rsidRPr="008D364F">
        <w:rPr>
          <w:i/>
        </w:rPr>
        <w:t xml:space="preserve"> </w:t>
      </w:r>
      <w:r w:rsidRPr="008D364F">
        <w:rPr>
          <w:i/>
          <w:iCs/>
        </w:rPr>
        <w:t>Figiel</w:t>
      </w:r>
      <w:r w:rsidRPr="008D364F" w:rsidR="00AB62DE">
        <w:rPr>
          <w:i/>
          <w:iCs/>
        </w:rPr>
        <w:t xml:space="preserve"> v. Poland (no. </w:t>
      </w:r>
      <w:r w:rsidRPr="008D364F">
        <w:rPr>
          <w:i/>
          <w:iCs/>
        </w:rPr>
        <w:t>2)</w:t>
      </w:r>
      <w:r w:rsidRPr="008D364F">
        <w:t>, no. 38206/05, § 33, 16</w:t>
      </w:r>
      <w:r w:rsidRPr="008D364F" w:rsidR="00AB62DE">
        <w:t xml:space="preserve"> </w:t>
      </w:r>
      <w:r w:rsidRPr="008D364F">
        <w:t>September 2008</w:t>
      </w:r>
      <w:r w:rsidRPr="008D364F" w:rsidR="005910BD">
        <w:t>;</w:t>
      </w:r>
      <w:r w:rsidRPr="008D364F" w:rsidR="00591950">
        <w:t xml:space="preserve"> and</w:t>
      </w:r>
      <w:r w:rsidRPr="008D364F" w:rsidR="005910BD">
        <w:t xml:space="preserve"> </w:t>
      </w:r>
      <w:r w:rsidRPr="008D364F" w:rsidR="005910BD">
        <w:rPr>
          <w:i/>
        </w:rPr>
        <w:t>Baszczy</w:t>
      </w:r>
      <w:r w:rsidRPr="008D364F" w:rsidR="00A33CA1">
        <w:rPr>
          <w:rFonts w:cstheme="minorHAnsi"/>
          <w:i/>
        </w:rPr>
        <w:t>ń</w:t>
      </w:r>
      <w:r w:rsidRPr="008D364F" w:rsidR="005910BD">
        <w:rPr>
          <w:i/>
        </w:rPr>
        <w:t xml:space="preserve">ski v. Poland </w:t>
      </w:r>
      <w:r w:rsidRPr="008D364F" w:rsidR="005910BD">
        <w:t>(dec.)</w:t>
      </w:r>
      <w:r w:rsidRPr="008D364F" w:rsidR="00591950">
        <w:t>,</w:t>
      </w:r>
      <w:r w:rsidRPr="008D364F" w:rsidR="005910BD">
        <w:t xml:space="preserve"> no.</w:t>
      </w:r>
      <w:r w:rsidRPr="008D364F" w:rsidR="001B7151">
        <w:t> </w:t>
      </w:r>
      <w:r w:rsidRPr="008D364F" w:rsidR="005910BD">
        <w:t>77103/13, § 51, 12</w:t>
      </w:r>
      <w:r w:rsidRPr="008D364F" w:rsidR="00AB62DE">
        <w:t xml:space="preserve"> </w:t>
      </w:r>
      <w:r w:rsidRPr="008D364F" w:rsidR="005910BD">
        <w:t>December 2017</w:t>
      </w:r>
      <w:r w:rsidRPr="008D364F">
        <w:t>).</w:t>
      </w:r>
    </w:p>
    <w:p w:rsidRPr="008D364F" w:rsidR="00DE61E0" w:rsidP="008D364F" w:rsidRDefault="004E325C">
      <w:pPr>
        <w:pStyle w:val="JuPara"/>
      </w:pPr>
      <w:r w:rsidRPr="008D364F">
        <w:fldChar w:fldCharType="begin"/>
      </w:r>
      <w:r w:rsidRPr="008D364F">
        <w:instrText xml:space="preserve"> SEQ level0 \*arabic </w:instrText>
      </w:r>
      <w:r w:rsidRPr="008D364F">
        <w:fldChar w:fldCharType="separate"/>
      </w:r>
      <w:r w:rsidRPr="008D364F" w:rsidR="008D364F">
        <w:rPr>
          <w:noProof/>
        </w:rPr>
        <w:t>49</w:t>
      </w:r>
      <w:r w:rsidRPr="008D364F">
        <w:fldChar w:fldCharType="end"/>
      </w:r>
      <w:r w:rsidRPr="008D364F">
        <w:t>.  </w:t>
      </w:r>
      <w:r w:rsidRPr="008D364F" w:rsidR="006374DD">
        <w:t>Having regard to its finding in respect of Article 6 § 1 of the Convention and the fact that the a</w:t>
      </w:r>
      <w:r w:rsidRPr="008D364F" w:rsidR="00482B13">
        <w:t>pplicant had</w:t>
      </w:r>
      <w:r w:rsidRPr="008D364F" w:rsidR="00D63ABB">
        <w:t xml:space="preserve"> the opportunity to raise complaints under the 2004 Act</w:t>
      </w:r>
      <w:r w:rsidRPr="008D364F" w:rsidR="00482B13">
        <w:t>, and made use of</w:t>
      </w:r>
      <w:r w:rsidRPr="008D364F" w:rsidR="00D63ABB">
        <w:t xml:space="preserve"> </w:t>
      </w:r>
      <w:r w:rsidRPr="008D364F" w:rsidR="00671719">
        <w:t>that</w:t>
      </w:r>
      <w:r w:rsidRPr="008D364F" w:rsidR="00D63ABB">
        <w:t xml:space="preserve"> opportunity </w:t>
      </w:r>
      <w:r w:rsidRPr="008D364F" w:rsidR="003F6126">
        <w:t>on several occasions</w:t>
      </w:r>
      <w:r w:rsidRPr="008D364F" w:rsidR="006374DD">
        <w:t>, the Court concludes that this part of the application is manifestly ill</w:t>
      </w:r>
      <w:r w:rsidRPr="008D364F" w:rsidR="006374DD">
        <w:noBreakHyphen/>
        <w:t>founded and must be rejected in accordance with Article 35 §§ 3 and 4 of the Convention.</w:t>
      </w:r>
    </w:p>
    <w:p w:rsidRPr="008D364F" w:rsidR="00DE61E0" w:rsidP="008D364F" w:rsidRDefault="00DE61E0">
      <w:pPr>
        <w:pStyle w:val="JuHIRoman"/>
      </w:pPr>
      <w:r w:rsidRPr="008D364F">
        <w:t>APPLICATION OF ARTICLE 41 OF THE CONVENTION</w:t>
      </w:r>
    </w:p>
    <w:p w:rsidRPr="008D364F" w:rsidR="00DE61E0"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50</w:t>
      </w:r>
      <w:r w:rsidRPr="008D364F">
        <w:fldChar w:fldCharType="end"/>
      </w:r>
      <w:r w:rsidRPr="008D364F" w:rsidR="00DE61E0">
        <w:t>.  Article 41 of the Convention provides:</w:t>
      </w:r>
    </w:p>
    <w:p w:rsidRPr="008D364F" w:rsidR="00DE61E0" w:rsidP="008D364F" w:rsidRDefault="00DE61E0">
      <w:pPr>
        <w:pStyle w:val="JuQuot"/>
        <w:keepNext/>
        <w:keepLines/>
      </w:pPr>
      <w:r w:rsidRPr="008D364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D364F" w:rsidR="00DE61E0" w:rsidP="008D364F" w:rsidRDefault="00DE61E0">
      <w:pPr>
        <w:pStyle w:val="JuHA"/>
      </w:pPr>
      <w:r w:rsidRPr="008D364F">
        <w:t>Damage</w:t>
      </w:r>
    </w:p>
    <w:p w:rsidRPr="008D364F" w:rsidR="00DE61E0"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51</w:t>
      </w:r>
      <w:r w:rsidRPr="008D364F">
        <w:fldChar w:fldCharType="end"/>
      </w:r>
      <w:r w:rsidRPr="008D364F" w:rsidR="00DE61E0">
        <w:t>.  The applicant claimed</w:t>
      </w:r>
      <w:r w:rsidRPr="008D364F" w:rsidR="002C7699">
        <w:t xml:space="preserve"> </w:t>
      </w:r>
      <w:r w:rsidRPr="008D364F" w:rsidR="00865114">
        <w:t xml:space="preserve">approximately </w:t>
      </w:r>
      <w:r w:rsidRPr="008D364F" w:rsidR="004E325C">
        <w:t xml:space="preserve">PLN </w:t>
      </w:r>
      <w:r w:rsidRPr="008D364F" w:rsidR="002C7699">
        <w:t>57,000 in respect of pecuniary</w:t>
      </w:r>
      <w:r w:rsidRPr="008D364F" w:rsidR="00E42E8F">
        <w:t xml:space="preserve"> damage</w:t>
      </w:r>
      <w:r w:rsidRPr="008D364F" w:rsidR="002C7699">
        <w:t xml:space="preserve"> and PLN 50,000</w:t>
      </w:r>
      <w:r w:rsidRPr="008D364F" w:rsidR="00DE61E0">
        <w:t xml:space="preserve"> in respect of non-pecuniary damage.</w:t>
      </w:r>
    </w:p>
    <w:p w:rsidRPr="008D364F" w:rsidR="00DE61E0"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52</w:t>
      </w:r>
      <w:r w:rsidRPr="008D364F">
        <w:fldChar w:fldCharType="end"/>
      </w:r>
      <w:r w:rsidRPr="008D364F">
        <w:t>.  T</w:t>
      </w:r>
      <w:r w:rsidRPr="008D364F" w:rsidR="00DE61E0">
        <w:t>he Government contested the claim.</w:t>
      </w:r>
    </w:p>
    <w:p w:rsidRPr="008D364F" w:rsidR="002B1586"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53</w:t>
      </w:r>
      <w:r w:rsidRPr="008D364F">
        <w:fldChar w:fldCharType="end"/>
      </w:r>
      <w:r w:rsidRPr="008D364F" w:rsidR="00DE61E0">
        <w:t>.  The Court does not discern any causal link between the violation found and the pecuniary damage alleged; it therefore rejects t</w:t>
      </w:r>
      <w:r w:rsidRPr="008D364F">
        <w:t>his claim. On the other hand, i</w:t>
      </w:r>
      <w:r w:rsidRPr="008D364F" w:rsidR="009E2B7D">
        <w:t>t</w:t>
      </w:r>
      <w:r w:rsidRPr="008D364F" w:rsidR="00DE61E0">
        <w:t xml:space="preserve"> awards the applicant </w:t>
      </w:r>
      <w:r w:rsidRPr="008D364F" w:rsidR="009E2B7D">
        <w:t>2,500</w:t>
      </w:r>
      <w:r w:rsidRPr="008D364F" w:rsidR="00DE61E0">
        <w:t xml:space="preserve"> </w:t>
      </w:r>
      <w:r w:rsidRPr="008D364F" w:rsidR="002C7699">
        <w:t xml:space="preserve">euros (EUR) </w:t>
      </w:r>
      <w:r w:rsidRPr="008D364F" w:rsidR="00DE61E0">
        <w:t>in respect of non-pecuniary damage.</w:t>
      </w:r>
    </w:p>
    <w:p w:rsidRPr="008D364F" w:rsidR="00DE61E0" w:rsidP="008D364F" w:rsidRDefault="00DE61E0">
      <w:pPr>
        <w:pStyle w:val="JuHA"/>
      </w:pPr>
      <w:r w:rsidRPr="008D364F">
        <w:t>Costs and expenses</w:t>
      </w:r>
    </w:p>
    <w:p w:rsidRPr="008D364F" w:rsidR="00DE61E0"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54</w:t>
      </w:r>
      <w:r w:rsidRPr="008D364F">
        <w:fldChar w:fldCharType="end"/>
      </w:r>
      <w:r w:rsidRPr="008D364F" w:rsidR="00DE61E0">
        <w:t xml:space="preserve">.  The applicant </w:t>
      </w:r>
      <w:r w:rsidRPr="008D364F" w:rsidR="002C7699">
        <w:t xml:space="preserve">did not make any claim </w:t>
      </w:r>
      <w:r w:rsidRPr="008D364F" w:rsidR="00DE61E0">
        <w:t xml:space="preserve">for costs and expenses incurred before the domestic courts </w:t>
      </w:r>
      <w:r w:rsidRPr="008D364F" w:rsidR="002C7699">
        <w:t xml:space="preserve">or </w:t>
      </w:r>
      <w:r w:rsidRPr="008D364F" w:rsidR="00DE61E0">
        <w:t>the Court.</w:t>
      </w:r>
    </w:p>
    <w:p w:rsidRPr="008D364F" w:rsidR="00DE61E0" w:rsidP="008D364F" w:rsidRDefault="00DE61E0">
      <w:pPr>
        <w:pStyle w:val="JuHA"/>
      </w:pPr>
      <w:r w:rsidRPr="008D364F">
        <w:t>Default interest</w:t>
      </w:r>
    </w:p>
    <w:p w:rsidRPr="008D364F" w:rsidR="00DE61E0" w:rsidP="008D364F" w:rsidRDefault="00F26C19">
      <w:pPr>
        <w:pStyle w:val="JuPara"/>
      </w:pPr>
      <w:r w:rsidRPr="008D364F">
        <w:fldChar w:fldCharType="begin"/>
      </w:r>
      <w:r w:rsidRPr="008D364F">
        <w:instrText xml:space="preserve"> SEQ level0 \*arabic </w:instrText>
      </w:r>
      <w:r w:rsidRPr="008D364F">
        <w:fldChar w:fldCharType="separate"/>
      </w:r>
      <w:r w:rsidRPr="008D364F" w:rsidR="008D364F">
        <w:rPr>
          <w:noProof/>
        </w:rPr>
        <w:t>55</w:t>
      </w:r>
      <w:r w:rsidRPr="008D364F">
        <w:fldChar w:fldCharType="end"/>
      </w:r>
      <w:r w:rsidRPr="008D364F" w:rsidR="00DE61E0">
        <w:t>.  The Court considers it appropriate that the default interest rate should be based on the marginal lending rate of the European Central Bank, to which should be added three percentage points.</w:t>
      </w:r>
    </w:p>
    <w:p w:rsidRPr="008D364F" w:rsidR="00DE61E0" w:rsidP="008D364F" w:rsidRDefault="002E044C">
      <w:pPr>
        <w:pStyle w:val="JuHHead"/>
      </w:pPr>
      <w:r w:rsidRPr="008D364F">
        <w:t>FOR THESE REASONS, THE COURT</w:t>
      </w:r>
      <w:r w:rsidRPr="008D364F" w:rsidR="00F26C19">
        <w:t>, UNANIMOUSLY,</w:t>
      </w:r>
    </w:p>
    <w:p w:rsidRPr="008D364F" w:rsidR="00A02D3B" w:rsidP="008D364F" w:rsidRDefault="00A02D3B">
      <w:pPr>
        <w:pStyle w:val="JuList"/>
      </w:pPr>
      <w:r w:rsidRPr="008D364F">
        <w:rPr>
          <w:i/>
        </w:rPr>
        <w:t>Declares</w:t>
      </w:r>
      <w:r w:rsidRPr="008D364F">
        <w:t xml:space="preserve"> the complaints concerning </w:t>
      </w:r>
      <w:r w:rsidRPr="008D364F" w:rsidR="00482B13">
        <w:t>the unreasonable length of the proceedings</w:t>
      </w:r>
      <w:r w:rsidRPr="008D364F">
        <w:t xml:space="preserve"> admissible and the remainder of the </w:t>
      </w:r>
      <w:r w:rsidRPr="008D364F" w:rsidR="00F26C19">
        <w:t>application</w:t>
      </w:r>
      <w:r w:rsidRPr="008D364F">
        <w:t xml:space="preserve"> inadmissible;</w:t>
      </w:r>
    </w:p>
    <w:p w:rsidRPr="008D364F" w:rsidR="00A02D3B" w:rsidP="008D364F" w:rsidRDefault="00493050">
      <w:pPr>
        <w:pStyle w:val="JuList"/>
      </w:pPr>
      <w:r w:rsidRPr="008D364F">
        <w:rPr>
          <w:i/>
        </w:rPr>
        <w:t>Holds</w:t>
      </w:r>
      <w:r w:rsidRPr="008D364F">
        <w:rPr>
          <w:color w:val="000000"/>
        </w:rPr>
        <w:t xml:space="preserve"> </w:t>
      </w:r>
      <w:r w:rsidRPr="008D364F">
        <w:t>that there has been a violation of Article 6 § 1 of the Convention;</w:t>
      </w:r>
    </w:p>
    <w:p w:rsidRPr="008D364F" w:rsidR="00DE61E0" w:rsidP="008D364F" w:rsidRDefault="00493050">
      <w:pPr>
        <w:pStyle w:val="JuList"/>
      </w:pPr>
      <w:r w:rsidRPr="008D364F">
        <w:rPr>
          <w:i/>
        </w:rPr>
        <w:t>Holds</w:t>
      </w:r>
    </w:p>
    <w:p w:rsidRPr="008D364F" w:rsidR="00493050" w:rsidP="008D364F" w:rsidRDefault="00493050">
      <w:pPr>
        <w:pStyle w:val="JuLista"/>
        <w:rPr>
          <w:rFonts w:ascii="Times New Roman" w:hAnsi="Times New Roman" w:cs="Times New Roman"/>
          <w:color w:val="000000"/>
        </w:rPr>
      </w:pPr>
      <w:r w:rsidRPr="008D364F">
        <w:t>that the respondent State is to pay the applicant, within three months, EUR 2,500 (two thousand five hundred euros),</w:t>
      </w:r>
      <w:r w:rsidRPr="008D364F">
        <w:rPr>
          <w:b/>
        </w:rPr>
        <w:t xml:space="preserve"> </w:t>
      </w:r>
      <w:r w:rsidRPr="008D364F">
        <w:t xml:space="preserve">to be converted into </w:t>
      </w:r>
      <w:r w:rsidRPr="008D364F">
        <w:rPr>
          <w:color w:val="000000"/>
        </w:rPr>
        <w:t>the currency of the respondent State</w:t>
      </w:r>
      <w:r w:rsidRPr="008D364F">
        <w:t xml:space="preserve"> at the rate applicable at the date of settlement,</w:t>
      </w:r>
      <w:r w:rsidRPr="008D364F">
        <w:rPr>
          <w:rFonts w:ascii="Times New Roman" w:hAnsi="Times New Roman" w:cs="Times New Roman"/>
          <w:color w:val="000000"/>
        </w:rPr>
        <w:t xml:space="preserve"> </w:t>
      </w:r>
      <w:r w:rsidRPr="008D364F">
        <w:t>plus any tax that may b</w:t>
      </w:r>
      <w:r w:rsidRPr="008D364F" w:rsidR="00AB62DE">
        <w:t>e chargeable, in respect of non</w:t>
      </w:r>
      <w:r w:rsidRPr="008D364F" w:rsidR="00AB62DE">
        <w:noBreakHyphen/>
      </w:r>
      <w:r w:rsidRPr="008D364F">
        <w:t>pecuniary damage;</w:t>
      </w:r>
    </w:p>
    <w:p w:rsidRPr="008D364F" w:rsidR="00493050" w:rsidP="008D364F" w:rsidRDefault="00493050">
      <w:pPr>
        <w:pStyle w:val="JuLista"/>
      </w:pPr>
      <w:r w:rsidRPr="008D364F">
        <w:t>that from the expiry of the above-mentioned three months until settlement simple interest shall be p</w:t>
      </w:r>
      <w:r w:rsidRPr="008D364F" w:rsidR="008D364F">
        <w:t xml:space="preserve">ayable on the above amount at a </w:t>
      </w:r>
      <w:r w:rsidRPr="008D364F">
        <w:t>rate equal to the marginal lending rate of the European Central Bank during the default period plus three percentage points;</w:t>
      </w:r>
    </w:p>
    <w:p w:rsidRPr="008D364F" w:rsidR="00F26C19" w:rsidP="008D364F" w:rsidRDefault="00493050">
      <w:pPr>
        <w:pStyle w:val="JuList"/>
        <w:ind w:left="0" w:firstLine="0"/>
      </w:pPr>
      <w:r w:rsidRPr="008D364F">
        <w:rPr>
          <w:i/>
        </w:rPr>
        <w:t>Dismisses</w:t>
      </w:r>
      <w:r w:rsidRPr="008D364F">
        <w:rPr>
          <w:color w:val="000000"/>
        </w:rPr>
        <w:t xml:space="preserve"> </w:t>
      </w:r>
      <w:r w:rsidRPr="008D364F">
        <w:t>the remainder of the applicant</w:t>
      </w:r>
      <w:r w:rsidRPr="008D364F" w:rsidR="008D364F">
        <w:t>’</w:t>
      </w:r>
      <w:r w:rsidRPr="008D364F">
        <w:t>s claim for just satisfaction.</w:t>
      </w:r>
    </w:p>
    <w:p w:rsidRPr="008D364F" w:rsidR="00DE61E0" w:rsidP="008D364F" w:rsidRDefault="00DE61E0">
      <w:pPr>
        <w:pStyle w:val="JuParaLast"/>
      </w:pPr>
      <w:r w:rsidRPr="008D364F">
        <w:t xml:space="preserve">Done in English, and notified in writing on </w:t>
      </w:r>
      <w:r w:rsidRPr="008D364F" w:rsidR="003E4484">
        <w:t>6 June 2019</w:t>
      </w:r>
      <w:r w:rsidRPr="008D364F">
        <w:t>, pursuant to Rule</w:t>
      </w:r>
      <w:r w:rsidRPr="008D364F" w:rsidR="00973109">
        <w:t> </w:t>
      </w:r>
      <w:r w:rsidRPr="008D364F">
        <w:t>77</w:t>
      </w:r>
      <w:r w:rsidRPr="008D364F" w:rsidR="00973109">
        <w:t> </w:t>
      </w:r>
      <w:r w:rsidRPr="008D364F">
        <w:t>§§</w:t>
      </w:r>
      <w:r w:rsidRPr="008D364F" w:rsidR="00973109">
        <w:t> </w:t>
      </w:r>
      <w:r w:rsidRPr="008D364F">
        <w:t>2 and 3 of the Rules of Court.</w:t>
      </w:r>
    </w:p>
    <w:p w:rsidRPr="008D364F" w:rsidR="00EB447C" w:rsidP="008D364F" w:rsidRDefault="00DE61E0">
      <w:pPr>
        <w:pStyle w:val="JuSigned"/>
      </w:pPr>
      <w:r w:rsidRPr="008D364F">
        <w:tab/>
      </w:r>
      <w:r w:rsidRPr="008D364F" w:rsidR="00F26C19">
        <w:t>Renata Degener</w:t>
      </w:r>
      <w:r w:rsidRPr="008D364F">
        <w:tab/>
      </w:r>
      <w:r w:rsidRPr="008D364F" w:rsidR="003E4484">
        <w:rPr>
          <w:szCs w:val="24"/>
        </w:rPr>
        <w:t>Armen Harutyunyan</w:t>
      </w:r>
      <w:r w:rsidRPr="008D364F" w:rsidR="0045568E">
        <w:rPr>
          <w:szCs w:val="24"/>
        </w:rPr>
        <w:br/>
      </w:r>
      <w:r w:rsidRPr="008D364F">
        <w:tab/>
      </w:r>
      <w:r w:rsidRPr="008D364F" w:rsidR="00F26C19">
        <w:t xml:space="preserve">Deputy </w:t>
      </w:r>
      <w:r w:rsidRPr="008D364F" w:rsidR="00F26C19">
        <w:rPr>
          <w:iCs/>
        </w:rPr>
        <w:t>Registrar</w:t>
      </w:r>
      <w:r w:rsidRPr="008D364F">
        <w:tab/>
        <w:t>President</w:t>
      </w:r>
    </w:p>
    <w:sectPr w:rsidRPr="008D364F" w:rsidR="00EB447C" w:rsidSect="00493050">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2BC" w:rsidRPr="003F6126" w:rsidRDefault="003702BC" w:rsidP="000055E6">
      <w:r w:rsidRPr="003F6126">
        <w:separator/>
      </w:r>
    </w:p>
  </w:endnote>
  <w:endnote w:type="continuationSeparator" w:id="0">
    <w:p w:rsidR="003702BC" w:rsidRPr="003F6126" w:rsidRDefault="003702BC" w:rsidP="000055E6">
      <w:r w:rsidRPr="003F61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050" w:rsidRPr="00150BFA" w:rsidRDefault="00493050" w:rsidP="0020718E">
    <w:pPr>
      <w:jc w:val="center"/>
    </w:pPr>
    <w:r>
      <w:rPr>
        <w:noProof/>
        <w:lang w:val="en-US" w:eastAsia="ja-JP"/>
      </w:rPr>
      <w:drawing>
        <wp:inline distT="0" distB="0" distL="0" distR="0" wp14:anchorId="1D1B6E66" wp14:editId="4066FEF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93050" w:rsidRDefault="004930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2BC" w:rsidRPr="003F6126" w:rsidRDefault="003702BC" w:rsidP="000055E6">
      <w:r w:rsidRPr="003F6126">
        <w:separator/>
      </w:r>
    </w:p>
  </w:footnote>
  <w:footnote w:type="continuationSeparator" w:id="0">
    <w:p w:rsidR="003702BC" w:rsidRPr="003F6126" w:rsidRDefault="003702BC" w:rsidP="000055E6">
      <w:r w:rsidRPr="003F612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2BC" w:rsidRPr="00493050" w:rsidRDefault="003702BC" w:rsidP="0049305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050" w:rsidRPr="00A45145" w:rsidRDefault="00493050" w:rsidP="00A45145">
    <w:pPr>
      <w:jc w:val="center"/>
    </w:pPr>
    <w:r>
      <w:rPr>
        <w:noProof/>
        <w:lang w:val="en-US" w:eastAsia="ja-JP"/>
      </w:rPr>
      <w:drawing>
        <wp:inline distT="0" distB="0" distL="0" distR="0" wp14:anchorId="67BD951E" wp14:editId="6F0E929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702BC" w:rsidRPr="003F6126" w:rsidRDefault="003702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050" w:rsidRPr="003F6126" w:rsidRDefault="00493050" w:rsidP="00D0189E">
    <w:pPr>
      <w:pStyle w:val="JuHeader"/>
    </w:pPr>
    <w:r w:rsidRPr="003F6126">
      <w:rPr>
        <w:rStyle w:val="PageNumber"/>
        <w:szCs w:val="18"/>
      </w:rPr>
      <w:fldChar w:fldCharType="begin"/>
    </w:r>
    <w:r w:rsidRPr="003F6126">
      <w:rPr>
        <w:rStyle w:val="PageNumber"/>
        <w:szCs w:val="18"/>
      </w:rPr>
      <w:instrText xml:space="preserve"> PAGE </w:instrText>
    </w:r>
    <w:r w:rsidRPr="003F6126">
      <w:rPr>
        <w:rStyle w:val="PageNumber"/>
        <w:szCs w:val="18"/>
      </w:rPr>
      <w:fldChar w:fldCharType="separate"/>
    </w:r>
    <w:r w:rsidR="008D364F">
      <w:rPr>
        <w:rStyle w:val="PageNumber"/>
        <w:noProof/>
        <w:szCs w:val="18"/>
      </w:rPr>
      <w:t>8</w:t>
    </w:r>
    <w:r w:rsidRPr="003F6126">
      <w:rPr>
        <w:rStyle w:val="PageNumber"/>
        <w:szCs w:val="18"/>
      </w:rPr>
      <w:fldChar w:fldCharType="end"/>
    </w:r>
    <w:r w:rsidRPr="003F6126">
      <w:tab/>
      <w:t xml:space="preserve">TYRKA v. POLAND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050" w:rsidRPr="003F6126" w:rsidRDefault="00493050" w:rsidP="00D0189E">
    <w:pPr>
      <w:pStyle w:val="JuHeader"/>
    </w:pPr>
    <w:r w:rsidRPr="003F6126">
      <w:tab/>
      <w:t xml:space="preserve">TYRKA v. POLAND </w:t>
    </w:r>
    <w:r>
      <w:t>JUDGMENT</w:t>
    </w:r>
    <w:r w:rsidRPr="003F6126">
      <w:tab/>
    </w:r>
    <w:r w:rsidRPr="003F6126">
      <w:rPr>
        <w:rStyle w:val="PageNumber"/>
      </w:rPr>
      <w:fldChar w:fldCharType="begin"/>
    </w:r>
    <w:r w:rsidRPr="003F6126">
      <w:rPr>
        <w:rStyle w:val="PageNumber"/>
      </w:rPr>
      <w:instrText xml:space="preserve"> PAGE </w:instrText>
    </w:r>
    <w:r w:rsidRPr="003F6126">
      <w:rPr>
        <w:rStyle w:val="PageNumber"/>
      </w:rPr>
      <w:fldChar w:fldCharType="separate"/>
    </w:r>
    <w:r w:rsidR="008D364F">
      <w:rPr>
        <w:rStyle w:val="PageNumber"/>
        <w:noProof/>
      </w:rPr>
      <w:t>9</w:t>
    </w:r>
    <w:r w:rsidRPr="003F612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2"/>
  </w:num>
  <w:num w:numId="28">
    <w:abstractNumId w:val="12"/>
  </w:num>
  <w:num w:numId="29">
    <w:abstractNumId w:val="12"/>
  </w:num>
  <w:num w:numId="30">
    <w:abstractNumId w:val="13"/>
  </w:num>
  <w:num w:numId="31">
    <w:abstractNumId w:val="10"/>
  </w:num>
  <w:num w:numId="32">
    <w:abstractNumId w:val="9"/>
  </w:num>
  <w:num w:numId="33">
    <w:abstractNumId w:val="14"/>
  </w:num>
  <w:num w:numId="34">
    <w:abstractNumId w:val="11"/>
  </w:num>
  <w:num w:numId="35">
    <w:abstractNumId w:val="15"/>
  </w:num>
  <w:num w:numId="36">
    <w:abstractNumId w:val="17"/>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26C19"/>
    <w:rsid w:val="00002CED"/>
    <w:rsid w:val="000041F8"/>
    <w:rsid w:val="000042A8"/>
    <w:rsid w:val="00004308"/>
    <w:rsid w:val="00004834"/>
    <w:rsid w:val="000055E6"/>
    <w:rsid w:val="000059D0"/>
    <w:rsid w:val="00005BF0"/>
    <w:rsid w:val="00006FEE"/>
    <w:rsid w:val="00007154"/>
    <w:rsid w:val="000103AE"/>
    <w:rsid w:val="00011D69"/>
    <w:rsid w:val="00012AD3"/>
    <w:rsid w:val="00015C2D"/>
    <w:rsid w:val="00015F00"/>
    <w:rsid w:val="00022C1D"/>
    <w:rsid w:val="0002415B"/>
    <w:rsid w:val="000242AC"/>
    <w:rsid w:val="00034987"/>
    <w:rsid w:val="00043AC8"/>
    <w:rsid w:val="000602DF"/>
    <w:rsid w:val="000608AE"/>
    <w:rsid w:val="00061B05"/>
    <w:rsid w:val="000632D5"/>
    <w:rsid w:val="000644EE"/>
    <w:rsid w:val="00074D75"/>
    <w:rsid w:val="00084B2D"/>
    <w:rsid w:val="000925AD"/>
    <w:rsid w:val="000A24EB"/>
    <w:rsid w:val="000A397C"/>
    <w:rsid w:val="000A41C8"/>
    <w:rsid w:val="000A6A9A"/>
    <w:rsid w:val="000B6923"/>
    <w:rsid w:val="000B7388"/>
    <w:rsid w:val="000C2AA3"/>
    <w:rsid w:val="000C5F3C"/>
    <w:rsid w:val="000C6DCC"/>
    <w:rsid w:val="000D47AA"/>
    <w:rsid w:val="000D721F"/>
    <w:rsid w:val="000D7552"/>
    <w:rsid w:val="000E0406"/>
    <w:rsid w:val="000E069B"/>
    <w:rsid w:val="000E0E82"/>
    <w:rsid w:val="000E1DC5"/>
    <w:rsid w:val="000E223F"/>
    <w:rsid w:val="000E3E71"/>
    <w:rsid w:val="000E7D45"/>
    <w:rsid w:val="000F0DBA"/>
    <w:rsid w:val="000F4601"/>
    <w:rsid w:val="000F63E4"/>
    <w:rsid w:val="000F7851"/>
    <w:rsid w:val="00100BAB"/>
    <w:rsid w:val="00104E23"/>
    <w:rsid w:val="00111B0C"/>
    <w:rsid w:val="00112AD5"/>
    <w:rsid w:val="00120D6C"/>
    <w:rsid w:val="001257EC"/>
    <w:rsid w:val="001326FB"/>
    <w:rsid w:val="00133D33"/>
    <w:rsid w:val="001348EE"/>
    <w:rsid w:val="00134D64"/>
    <w:rsid w:val="00135A30"/>
    <w:rsid w:val="0013612C"/>
    <w:rsid w:val="00137FF6"/>
    <w:rsid w:val="00141650"/>
    <w:rsid w:val="0014585C"/>
    <w:rsid w:val="0016071E"/>
    <w:rsid w:val="00162A12"/>
    <w:rsid w:val="0016535D"/>
    <w:rsid w:val="00166530"/>
    <w:rsid w:val="001670B1"/>
    <w:rsid w:val="00172771"/>
    <w:rsid w:val="00173A1A"/>
    <w:rsid w:val="00182C1D"/>
    <w:rsid w:val="001832BD"/>
    <w:rsid w:val="00185D2F"/>
    <w:rsid w:val="001943B5"/>
    <w:rsid w:val="00195134"/>
    <w:rsid w:val="001A145B"/>
    <w:rsid w:val="001A1FAB"/>
    <w:rsid w:val="001A674C"/>
    <w:rsid w:val="001B3B24"/>
    <w:rsid w:val="001B7151"/>
    <w:rsid w:val="001C0737"/>
    <w:rsid w:val="001C0832"/>
    <w:rsid w:val="001C0F98"/>
    <w:rsid w:val="001C2A42"/>
    <w:rsid w:val="001C41DE"/>
    <w:rsid w:val="001C6731"/>
    <w:rsid w:val="001D5048"/>
    <w:rsid w:val="001D63ED"/>
    <w:rsid w:val="001D7348"/>
    <w:rsid w:val="001E035B"/>
    <w:rsid w:val="001E0961"/>
    <w:rsid w:val="001E3EAE"/>
    <w:rsid w:val="001E6F32"/>
    <w:rsid w:val="001E7CB6"/>
    <w:rsid w:val="001F0BE4"/>
    <w:rsid w:val="001F2145"/>
    <w:rsid w:val="001F3D06"/>
    <w:rsid w:val="001F6262"/>
    <w:rsid w:val="001F66FE"/>
    <w:rsid w:val="001F67B0"/>
    <w:rsid w:val="001F7B3D"/>
    <w:rsid w:val="002002C8"/>
    <w:rsid w:val="00203672"/>
    <w:rsid w:val="002040BF"/>
    <w:rsid w:val="00205F9F"/>
    <w:rsid w:val="0020655F"/>
    <w:rsid w:val="00210338"/>
    <w:rsid w:val="002115FC"/>
    <w:rsid w:val="002126FC"/>
    <w:rsid w:val="0021423C"/>
    <w:rsid w:val="00230D00"/>
    <w:rsid w:val="00231DF7"/>
    <w:rsid w:val="00231FD1"/>
    <w:rsid w:val="002339E0"/>
    <w:rsid w:val="00233BC7"/>
    <w:rsid w:val="00233CF8"/>
    <w:rsid w:val="0023575D"/>
    <w:rsid w:val="00237148"/>
    <w:rsid w:val="0024222D"/>
    <w:rsid w:val="00244B0E"/>
    <w:rsid w:val="00244F6C"/>
    <w:rsid w:val="00247510"/>
    <w:rsid w:val="00253255"/>
    <w:rsid w:val="002532C5"/>
    <w:rsid w:val="00254EC6"/>
    <w:rsid w:val="00260C03"/>
    <w:rsid w:val="00262A0B"/>
    <w:rsid w:val="00265360"/>
    <w:rsid w:val="0026540E"/>
    <w:rsid w:val="00275123"/>
    <w:rsid w:val="00282240"/>
    <w:rsid w:val="00290F12"/>
    <w:rsid w:val="002948AD"/>
    <w:rsid w:val="00295C8F"/>
    <w:rsid w:val="00295E5D"/>
    <w:rsid w:val="002A01CC"/>
    <w:rsid w:val="002A61B1"/>
    <w:rsid w:val="002A663C"/>
    <w:rsid w:val="002A74C1"/>
    <w:rsid w:val="002B1586"/>
    <w:rsid w:val="002B444B"/>
    <w:rsid w:val="002B5887"/>
    <w:rsid w:val="002C0C38"/>
    <w:rsid w:val="002C0E27"/>
    <w:rsid w:val="002C1D22"/>
    <w:rsid w:val="002C3040"/>
    <w:rsid w:val="002C3C50"/>
    <w:rsid w:val="002C604B"/>
    <w:rsid w:val="002C7699"/>
    <w:rsid w:val="002D022D"/>
    <w:rsid w:val="002D077C"/>
    <w:rsid w:val="002D24BB"/>
    <w:rsid w:val="002D6181"/>
    <w:rsid w:val="002E044C"/>
    <w:rsid w:val="002E2EEB"/>
    <w:rsid w:val="002E3051"/>
    <w:rsid w:val="002F2AF7"/>
    <w:rsid w:val="002F7201"/>
    <w:rsid w:val="002F7E1C"/>
    <w:rsid w:val="00301A75"/>
    <w:rsid w:val="00302F70"/>
    <w:rsid w:val="0030336F"/>
    <w:rsid w:val="0030375E"/>
    <w:rsid w:val="00310263"/>
    <w:rsid w:val="00312A30"/>
    <w:rsid w:val="00320F72"/>
    <w:rsid w:val="0032241E"/>
    <w:rsid w:val="0032463E"/>
    <w:rsid w:val="003249B0"/>
    <w:rsid w:val="00325F81"/>
    <w:rsid w:val="00326224"/>
    <w:rsid w:val="00332BF3"/>
    <w:rsid w:val="003371EA"/>
    <w:rsid w:val="00337EE4"/>
    <w:rsid w:val="00340FFD"/>
    <w:rsid w:val="0034296F"/>
    <w:rsid w:val="00347B85"/>
    <w:rsid w:val="003506B1"/>
    <w:rsid w:val="00356AC7"/>
    <w:rsid w:val="00356F89"/>
    <w:rsid w:val="003609FA"/>
    <w:rsid w:val="00361CB4"/>
    <w:rsid w:val="003702BC"/>
    <w:rsid w:val="003710C8"/>
    <w:rsid w:val="003750BE"/>
    <w:rsid w:val="003774FC"/>
    <w:rsid w:val="003802D6"/>
    <w:rsid w:val="0038411F"/>
    <w:rsid w:val="00387B9D"/>
    <w:rsid w:val="00391CEB"/>
    <w:rsid w:val="0039364F"/>
    <w:rsid w:val="00394565"/>
    <w:rsid w:val="00396686"/>
    <w:rsid w:val="0039778E"/>
    <w:rsid w:val="003A2B3A"/>
    <w:rsid w:val="003A56A1"/>
    <w:rsid w:val="003B41AA"/>
    <w:rsid w:val="003B4941"/>
    <w:rsid w:val="003B700B"/>
    <w:rsid w:val="003C3D56"/>
    <w:rsid w:val="003C5714"/>
    <w:rsid w:val="003C6B9F"/>
    <w:rsid w:val="003C6E2A"/>
    <w:rsid w:val="003D0299"/>
    <w:rsid w:val="003D2596"/>
    <w:rsid w:val="003D3D5E"/>
    <w:rsid w:val="003E4484"/>
    <w:rsid w:val="003E6093"/>
    <w:rsid w:val="003E6878"/>
    <w:rsid w:val="003E6D80"/>
    <w:rsid w:val="003F05FA"/>
    <w:rsid w:val="003F244A"/>
    <w:rsid w:val="003F30B8"/>
    <w:rsid w:val="003F4C45"/>
    <w:rsid w:val="003F5F7B"/>
    <w:rsid w:val="003F6126"/>
    <w:rsid w:val="003F7D64"/>
    <w:rsid w:val="00406FAF"/>
    <w:rsid w:val="00407DFD"/>
    <w:rsid w:val="00414300"/>
    <w:rsid w:val="00425C67"/>
    <w:rsid w:val="0042743F"/>
    <w:rsid w:val="00427E7A"/>
    <w:rsid w:val="00436C49"/>
    <w:rsid w:val="00436CBD"/>
    <w:rsid w:val="00443DC1"/>
    <w:rsid w:val="00445366"/>
    <w:rsid w:val="00447F5B"/>
    <w:rsid w:val="00452109"/>
    <w:rsid w:val="0045568E"/>
    <w:rsid w:val="00461DB0"/>
    <w:rsid w:val="00463926"/>
    <w:rsid w:val="00463A8F"/>
    <w:rsid w:val="00464C9A"/>
    <w:rsid w:val="00465C41"/>
    <w:rsid w:val="004671D5"/>
    <w:rsid w:val="00467C4E"/>
    <w:rsid w:val="00474F3D"/>
    <w:rsid w:val="0047553D"/>
    <w:rsid w:val="004769BB"/>
    <w:rsid w:val="00477E3A"/>
    <w:rsid w:val="00482B13"/>
    <w:rsid w:val="00483E5F"/>
    <w:rsid w:val="00485FF9"/>
    <w:rsid w:val="004907F0"/>
    <w:rsid w:val="0049140B"/>
    <w:rsid w:val="004923A5"/>
    <w:rsid w:val="00493050"/>
    <w:rsid w:val="0049411B"/>
    <w:rsid w:val="00496BFB"/>
    <w:rsid w:val="004A15C7"/>
    <w:rsid w:val="004A238A"/>
    <w:rsid w:val="004A5A55"/>
    <w:rsid w:val="004A6545"/>
    <w:rsid w:val="004B013B"/>
    <w:rsid w:val="004B112B"/>
    <w:rsid w:val="004C01E4"/>
    <w:rsid w:val="004C086C"/>
    <w:rsid w:val="004C1F56"/>
    <w:rsid w:val="004C25F4"/>
    <w:rsid w:val="004C27BC"/>
    <w:rsid w:val="004C2ADA"/>
    <w:rsid w:val="004C6C2B"/>
    <w:rsid w:val="004D0AD9"/>
    <w:rsid w:val="004D15F3"/>
    <w:rsid w:val="004D31B2"/>
    <w:rsid w:val="004D5311"/>
    <w:rsid w:val="004D5DCC"/>
    <w:rsid w:val="004E325C"/>
    <w:rsid w:val="004E5212"/>
    <w:rsid w:val="004F0A46"/>
    <w:rsid w:val="004F10AF"/>
    <w:rsid w:val="004F11A4"/>
    <w:rsid w:val="004F2389"/>
    <w:rsid w:val="004F2AE7"/>
    <w:rsid w:val="004F304D"/>
    <w:rsid w:val="004F61BE"/>
    <w:rsid w:val="004F66B1"/>
    <w:rsid w:val="0050258B"/>
    <w:rsid w:val="00505532"/>
    <w:rsid w:val="00511C07"/>
    <w:rsid w:val="005173A6"/>
    <w:rsid w:val="00520BAA"/>
    <w:rsid w:val="00524D4B"/>
    <w:rsid w:val="00525208"/>
    <w:rsid w:val="005257A5"/>
    <w:rsid w:val="005264C0"/>
    <w:rsid w:val="00526A8A"/>
    <w:rsid w:val="00531DF2"/>
    <w:rsid w:val="00536F35"/>
    <w:rsid w:val="00541F00"/>
    <w:rsid w:val="005442EE"/>
    <w:rsid w:val="00547353"/>
    <w:rsid w:val="005474E7"/>
    <w:rsid w:val="005512A3"/>
    <w:rsid w:val="005578CE"/>
    <w:rsid w:val="00561796"/>
    <w:rsid w:val="00562781"/>
    <w:rsid w:val="0056453B"/>
    <w:rsid w:val="0057271C"/>
    <w:rsid w:val="00572845"/>
    <w:rsid w:val="00572A45"/>
    <w:rsid w:val="00573226"/>
    <w:rsid w:val="00574EA5"/>
    <w:rsid w:val="00580FE0"/>
    <w:rsid w:val="005910BD"/>
    <w:rsid w:val="00591950"/>
    <w:rsid w:val="00592772"/>
    <w:rsid w:val="005946D5"/>
    <w:rsid w:val="0059574A"/>
    <w:rsid w:val="005A16B1"/>
    <w:rsid w:val="005A1B9B"/>
    <w:rsid w:val="005A6751"/>
    <w:rsid w:val="005A790B"/>
    <w:rsid w:val="005B092E"/>
    <w:rsid w:val="005B152C"/>
    <w:rsid w:val="005B1EE0"/>
    <w:rsid w:val="005B2B24"/>
    <w:rsid w:val="005B381B"/>
    <w:rsid w:val="005B4425"/>
    <w:rsid w:val="005B4B94"/>
    <w:rsid w:val="005C1C5D"/>
    <w:rsid w:val="005C3EE8"/>
    <w:rsid w:val="005C6451"/>
    <w:rsid w:val="005D22AC"/>
    <w:rsid w:val="005D26B1"/>
    <w:rsid w:val="005D34F9"/>
    <w:rsid w:val="005D4190"/>
    <w:rsid w:val="005D5D70"/>
    <w:rsid w:val="005D67A3"/>
    <w:rsid w:val="005E2988"/>
    <w:rsid w:val="005E3085"/>
    <w:rsid w:val="005E6B3C"/>
    <w:rsid w:val="005E7E54"/>
    <w:rsid w:val="005F2144"/>
    <w:rsid w:val="005F51E1"/>
    <w:rsid w:val="00603FC5"/>
    <w:rsid w:val="00611C80"/>
    <w:rsid w:val="006133A8"/>
    <w:rsid w:val="00620692"/>
    <w:rsid w:val="00622668"/>
    <w:rsid w:val="006242CA"/>
    <w:rsid w:val="00627507"/>
    <w:rsid w:val="00630618"/>
    <w:rsid w:val="00633717"/>
    <w:rsid w:val="006344E1"/>
    <w:rsid w:val="00637248"/>
    <w:rsid w:val="006374DD"/>
    <w:rsid w:val="006412C6"/>
    <w:rsid w:val="006514F9"/>
    <w:rsid w:val="006538BA"/>
    <w:rsid w:val="00653C66"/>
    <w:rsid w:val="006545C4"/>
    <w:rsid w:val="00661971"/>
    <w:rsid w:val="00661CE8"/>
    <w:rsid w:val="006623D9"/>
    <w:rsid w:val="00664DF1"/>
    <w:rsid w:val="0066550C"/>
    <w:rsid w:val="006716F2"/>
    <w:rsid w:val="00671719"/>
    <w:rsid w:val="00671DBA"/>
    <w:rsid w:val="00677734"/>
    <w:rsid w:val="006820D2"/>
    <w:rsid w:val="0068283F"/>
    <w:rsid w:val="00682BF2"/>
    <w:rsid w:val="00684457"/>
    <w:rsid w:val="0068511E"/>
    <w:rsid w:val="006859CE"/>
    <w:rsid w:val="006859D3"/>
    <w:rsid w:val="00691270"/>
    <w:rsid w:val="00694BA8"/>
    <w:rsid w:val="00697455"/>
    <w:rsid w:val="006A037C"/>
    <w:rsid w:val="006A16DD"/>
    <w:rsid w:val="006A36F4"/>
    <w:rsid w:val="006A406F"/>
    <w:rsid w:val="006A5D3A"/>
    <w:rsid w:val="006B2773"/>
    <w:rsid w:val="006B524E"/>
    <w:rsid w:val="006C116F"/>
    <w:rsid w:val="006C23D4"/>
    <w:rsid w:val="006C7BB0"/>
    <w:rsid w:val="006D028D"/>
    <w:rsid w:val="006D3237"/>
    <w:rsid w:val="006D3548"/>
    <w:rsid w:val="006D4B81"/>
    <w:rsid w:val="006D501B"/>
    <w:rsid w:val="006D64FF"/>
    <w:rsid w:val="006D6D57"/>
    <w:rsid w:val="006E2E37"/>
    <w:rsid w:val="006E3A3D"/>
    <w:rsid w:val="006E3CF1"/>
    <w:rsid w:val="006E4700"/>
    <w:rsid w:val="006E7E80"/>
    <w:rsid w:val="006F0670"/>
    <w:rsid w:val="006F48CA"/>
    <w:rsid w:val="006F64DD"/>
    <w:rsid w:val="00700641"/>
    <w:rsid w:val="0070100D"/>
    <w:rsid w:val="00706849"/>
    <w:rsid w:val="007150FA"/>
    <w:rsid w:val="00715127"/>
    <w:rsid w:val="00715E8E"/>
    <w:rsid w:val="00723580"/>
    <w:rsid w:val="00723755"/>
    <w:rsid w:val="0073136C"/>
    <w:rsid w:val="00731EED"/>
    <w:rsid w:val="00731F0F"/>
    <w:rsid w:val="00733250"/>
    <w:rsid w:val="007350E0"/>
    <w:rsid w:val="00741404"/>
    <w:rsid w:val="007449E5"/>
    <w:rsid w:val="00745614"/>
    <w:rsid w:val="00746BD1"/>
    <w:rsid w:val="00747685"/>
    <w:rsid w:val="00747FF0"/>
    <w:rsid w:val="00753603"/>
    <w:rsid w:val="00755F25"/>
    <w:rsid w:val="007574AD"/>
    <w:rsid w:val="00764D4E"/>
    <w:rsid w:val="00765A1F"/>
    <w:rsid w:val="00765C3F"/>
    <w:rsid w:val="00775B6D"/>
    <w:rsid w:val="00776D68"/>
    <w:rsid w:val="007776A2"/>
    <w:rsid w:val="007850EE"/>
    <w:rsid w:val="00785B95"/>
    <w:rsid w:val="00790E96"/>
    <w:rsid w:val="007910FA"/>
    <w:rsid w:val="00793366"/>
    <w:rsid w:val="007A716F"/>
    <w:rsid w:val="007B270A"/>
    <w:rsid w:val="007B4619"/>
    <w:rsid w:val="007C0695"/>
    <w:rsid w:val="007C419A"/>
    <w:rsid w:val="007C4CC8"/>
    <w:rsid w:val="007C4F0A"/>
    <w:rsid w:val="007C5426"/>
    <w:rsid w:val="007C5798"/>
    <w:rsid w:val="007C6EDC"/>
    <w:rsid w:val="007D10D9"/>
    <w:rsid w:val="007D2A6E"/>
    <w:rsid w:val="007D44F6"/>
    <w:rsid w:val="007D4832"/>
    <w:rsid w:val="007D61D9"/>
    <w:rsid w:val="007E21B2"/>
    <w:rsid w:val="007E2C4E"/>
    <w:rsid w:val="007E5E77"/>
    <w:rsid w:val="007F1905"/>
    <w:rsid w:val="00800097"/>
    <w:rsid w:val="00800BDC"/>
    <w:rsid w:val="00802C64"/>
    <w:rsid w:val="008047BC"/>
    <w:rsid w:val="00805E52"/>
    <w:rsid w:val="008061D0"/>
    <w:rsid w:val="008062C2"/>
    <w:rsid w:val="00810397"/>
    <w:rsid w:val="00810B38"/>
    <w:rsid w:val="00814CD3"/>
    <w:rsid w:val="00814F36"/>
    <w:rsid w:val="008204C7"/>
    <w:rsid w:val="00820992"/>
    <w:rsid w:val="008212DF"/>
    <w:rsid w:val="00823602"/>
    <w:rsid w:val="008255F5"/>
    <w:rsid w:val="0082561B"/>
    <w:rsid w:val="008279EC"/>
    <w:rsid w:val="0083014E"/>
    <w:rsid w:val="00830255"/>
    <w:rsid w:val="0083214A"/>
    <w:rsid w:val="00834220"/>
    <w:rsid w:val="00845723"/>
    <w:rsid w:val="00845800"/>
    <w:rsid w:val="00851EF9"/>
    <w:rsid w:val="008561B0"/>
    <w:rsid w:val="008574C4"/>
    <w:rsid w:val="008577FD"/>
    <w:rsid w:val="00860B03"/>
    <w:rsid w:val="00862343"/>
    <w:rsid w:val="00863497"/>
    <w:rsid w:val="0086497A"/>
    <w:rsid w:val="00865114"/>
    <w:rsid w:val="00866330"/>
    <w:rsid w:val="008713A1"/>
    <w:rsid w:val="008754AB"/>
    <w:rsid w:val="008765C5"/>
    <w:rsid w:val="008777F2"/>
    <w:rsid w:val="008801FE"/>
    <w:rsid w:val="0088060C"/>
    <w:rsid w:val="00885BF0"/>
    <w:rsid w:val="00893576"/>
    <w:rsid w:val="00893E73"/>
    <w:rsid w:val="008A7883"/>
    <w:rsid w:val="008B02DC"/>
    <w:rsid w:val="008B1FC6"/>
    <w:rsid w:val="008B57CE"/>
    <w:rsid w:val="008B62C5"/>
    <w:rsid w:val="008C1233"/>
    <w:rsid w:val="008C26DE"/>
    <w:rsid w:val="008C2902"/>
    <w:rsid w:val="008C3203"/>
    <w:rsid w:val="008D1E35"/>
    <w:rsid w:val="008D2225"/>
    <w:rsid w:val="008D364F"/>
    <w:rsid w:val="008D4752"/>
    <w:rsid w:val="008D78F3"/>
    <w:rsid w:val="008E17D9"/>
    <w:rsid w:val="008E271C"/>
    <w:rsid w:val="008E418E"/>
    <w:rsid w:val="008E58A6"/>
    <w:rsid w:val="008E5BC6"/>
    <w:rsid w:val="008E6A25"/>
    <w:rsid w:val="008F0FE4"/>
    <w:rsid w:val="008F2621"/>
    <w:rsid w:val="008F5193"/>
    <w:rsid w:val="009013A7"/>
    <w:rsid w:val="009017FB"/>
    <w:rsid w:val="009017FC"/>
    <w:rsid w:val="0090506B"/>
    <w:rsid w:val="009050C9"/>
    <w:rsid w:val="009066FC"/>
    <w:rsid w:val="00906968"/>
    <w:rsid w:val="00910EDD"/>
    <w:rsid w:val="009140A3"/>
    <w:rsid w:val="009144A2"/>
    <w:rsid w:val="0091510C"/>
    <w:rsid w:val="00922AAC"/>
    <w:rsid w:val="009259AC"/>
    <w:rsid w:val="00926F38"/>
    <w:rsid w:val="00930D46"/>
    <w:rsid w:val="00934144"/>
    <w:rsid w:val="00934301"/>
    <w:rsid w:val="009348D6"/>
    <w:rsid w:val="00936CD1"/>
    <w:rsid w:val="0094153C"/>
    <w:rsid w:val="00941747"/>
    <w:rsid w:val="00941EFB"/>
    <w:rsid w:val="00943304"/>
    <w:rsid w:val="00947AFB"/>
    <w:rsid w:val="0095029F"/>
    <w:rsid w:val="00950961"/>
    <w:rsid w:val="00951D7D"/>
    <w:rsid w:val="00952D3F"/>
    <w:rsid w:val="009552E3"/>
    <w:rsid w:val="009630C7"/>
    <w:rsid w:val="00967165"/>
    <w:rsid w:val="0096737D"/>
    <w:rsid w:val="00967C55"/>
    <w:rsid w:val="00972B55"/>
    <w:rsid w:val="00973109"/>
    <w:rsid w:val="009743B7"/>
    <w:rsid w:val="0097723E"/>
    <w:rsid w:val="0098228B"/>
    <w:rsid w:val="009828DA"/>
    <w:rsid w:val="0098560F"/>
    <w:rsid w:val="00985BAB"/>
    <w:rsid w:val="0098725D"/>
    <w:rsid w:val="00993008"/>
    <w:rsid w:val="009A0AA2"/>
    <w:rsid w:val="009B1835"/>
    <w:rsid w:val="009B1B5F"/>
    <w:rsid w:val="009B6673"/>
    <w:rsid w:val="009C191B"/>
    <w:rsid w:val="009C2BD6"/>
    <w:rsid w:val="009C53F3"/>
    <w:rsid w:val="009C575E"/>
    <w:rsid w:val="009C6B71"/>
    <w:rsid w:val="009C79E3"/>
    <w:rsid w:val="009D4F79"/>
    <w:rsid w:val="009E1F32"/>
    <w:rsid w:val="009E2B7D"/>
    <w:rsid w:val="009E776C"/>
    <w:rsid w:val="00A01F8B"/>
    <w:rsid w:val="00A02D3B"/>
    <w:rsid w:val="00A1726E"/>
    <w:rsid w:val="00A204CF"/>
    <w:rsid w:val="00A23D49"/>
    <w:rsid w:val="00A24A4B"/>
    <w:rsid w:val="00A26026"/>
    <w:rsid w:val="00A27004"/>
    <w:rsid w:val="00A30C29"/>
    <w:rsid w:val="00A3288B"/>
    <w:rsid w:val="00A33CA1"/>
    <w:rsid w:val="00A34DD6"/>
    <w:rsid w:val="00A3532B"/>
    <w:rsid w:val="00A36811"/>
    <w:rsid w:val="00A36819"/>
    <w:rsid w:val="00A36989"/>
    <w:rsid w:val="00A43628"/>
    <w:rsid w:val="00A54192"/>
    <w:rsid w:val="00A56249"/>
    <w:rsid w:val="00A572B9"/>
    <w:rsid w:val="00A6035E"/>
    <w:rsid w:val="00A60E5A"/>
    <w:rsid w:val="00A6144C"/>
    <w:rsid w:val="00A63CC6"/>
    <w:rsid w:val="00A66617"/>
    <w:rsid w:val="00A671F8"/>
    <w:rsid w:val="00A673A4"/>
    <w:rsid w:val="00A713A3"/>
    <w:rsid w:val="00A724AE"/>
    <w:rsid w:val="00A73329"/>
    <w:rsid w:val="00A73487"/>
    <w:rsid w:val="00A73D59"/>
    <w:rsid w:val="00A74476"/>
    <w:rsid w:val="00A74544"/>
    <w:rsid w:val="00A81548"/>
    <w:rsid w:val="00A82359"/>
    <w:rsid w:val="00A8599E"/>
    <w:rsid w:val="00A865D2"/>
    <w:rsid w:val="00A94C20"/>
    <w:rsid w:val="00A956B2"/>
    <w:rsid w:val="00AA227F"/>
    <w:rsid w:val="00AA3BC7"/>
    <w:rsid w:val="00AA490A"/>
    <w:rsid w:val="00AA754A"/>
    <w:rsid w:val="00AB099E"/>
    <w:rsid w:val="00AB2BB8"/>
    <w:rsid w:val="00AB4328"/>
    <w:rsid w:val="00AB62DE"/>
    <w:rsid w:val="00AC7CC4"/>
    <w:rsid w:val="00AE0695"/>
    <w:rsid w:val="00AE0A2E"/>
    <w:rsid w:val="00AE354C"/>
    <w:rsid w:val="00AE3905"/>
    <w:rsid w:val="00AF0820"/>
    <w:rsid w:val="00AF2C8B"/>
    <w:rsid w:val="00AF4B07"/>
    <w:rsid w:val="00AF4CBB"/>
    <w:rsid w:val="00AF6186"/>
    <w:rsid w:val="00AF6511"/>
    <w:rsid w:val="00AF66D0"/>
    <w:rsid w:val="00AF67E7"/>
    <w:rsid w:val="00AF7969"/>
    <w:rsid w:val="00AF7A3A"/>
    <w:rsid w:val="00B156E6"/>
    <w:rsid w:val="00B160DB"/>
    <w:rsid w:val="00B20836"/>
    <w:rsid w:val="00B20F34"/>
    <w:rsid w:val="00B235BB"/>
    <w:rsid w:val="00B27A44"/>
    <w:rsid w:val="00B30BBF"/>
    <w:rsid w:val="00B3398E"/>
    <w:rsid w:val="00B33C03"/>
    <w:rsid w:val="00B44E56"/>
    <w:rsid w:val="00B46543"/>
    <w:rsid w:val="00B47D33"/>
    <w:rsid w:val="00B50C7A"/>
    <w:rsid w:val="00B52BE0"/>
    <w:rsid w:val="00B536DD"/>
    <w:rsid w:val="00B54133"/>
    <w:rsid w:val="00B54A7E"/>
    <w:rsid w:val="00B62DE8"/>
    <w:rsid w:val="00B64738"/>
    <w:rsid w:val="00B701ED"/>
    <w:rsid w:val="00B8086C"/>
    <w:rsid w:val="00B861B4"/>
    <w:rsid w:val="00B865E3"/>
    <w:rsid w:val="00B86DFE"/>
    <w:rsid w:val="00B90990"/>
    <w:rsid w:val="00B922FF"/>
    <w:rsid w:val="00B9281E"/>
    <w:rsid w:val="00B93925"/>
    <w:rsid w:val="00B95187"/>
    <w:rsid w:val="00BA2D55"/>
    <w:rsid w:val="00BA71B1"/>
    <w:rsid w:val="00BB0637"/>
    <w:rsid w:val="00BB345F"/>
    <w:rsid w:val="00BB5FB1"/>
    <w:rsid w:val="00BB68EA"/>
    <w:rsid w:val="00BC1C27"/>
    <w:rsid w:val="00BC1F1C"/>
    <w:rsid w:val="00BC5DB0"/>
    <w:rsid w:val="00BC6BBF"/>
    <w:rsid w:val="00BC779A"/>
    <w:rsid w:val="00BD1572"/>
    <w:rsid w:val="00BD3880"/>
    <w:rsid w:val="00BE14E3"/>
    <w:rsid w:val="00BE29DB"/>
    <w:rsid w:val="00BE3774"/>
    <w:rsid w:val="00BE41E5"/>
    <w:rsid w:val="00BE455B"/>
    <w:rsid w:val="00BE50ED"/>
    <w:rsid w:val="00BE6ACE"/>
    <w:rsid w:val="00BF4109"/>
    <w:rsid w:val="00BF4CC3"/>
    <w:rsid w:val="00C054C7"/>
    <w:rsid w:val="00C057B5"/>
    <w:rsid w:val="00C078C8"/>
    <w:rsid w:val="00C22687"/>
    <w:rsid w:val="00C3194F"/>
    <w:rsid w:val="00C32E4D"/>
    <w:rsid w:val="00C333A0"/>
    <w:rsid w:val="00C34CC6"/>
    <w:rsid w:val="00C36A81"/>
    <w:rsid w:val="00C41974"/>
    <w:rsid w:val="00C41EC8"/>
    <w:rsid w:val="00C438F3"/>
    <w:rsid w:val="00C44261"/>
    <w:rsid w:val="00C50D81"/>
    <w:rsid w:val="00C53F4A"/>
    <w:rsid w:val="00C54125"/>
    <w:rsid w:val="00C55B54"/>
    <w:rsid w:val="00C6098E"/>
    <w:rsid w:val="00C6152C"/>
    <w:rsid w:val="00C67442"/>
    <w:rsid w:val="00C72822"/>
    <w:rsid w:val="00C72A42"/>
    <w:rsid w:val="00C732D8"/>
    <w:rsid w:val="00C74810"/>
    <w:rsid w:val="00C90D68"/>
    <w:rsid w:val="00C939FE"/>
    <w:rsid w:val="00CA3AD9"/>
    <w:rsid w:val="00CA4BDA"/>
    <w:rsid w:val="00CB1F66"/>
    <w:rsid w:val="00CB2951"/>
    <w:rsid w:val="00CB5BD3"/>
    <w:rsid w:val="00CB5BD7"/>
    <w:rsid w:val="00CB7328"/>
    <w:rsid w:val="00CC5F1A"/>
    <w:rsid w:val="00CD282B"/>
    <w:rsid w:val="00CD4C35"/>
    <w:rsid w:val="00CD7369"/>
    <w:rsid w:val="00CE0B0E"/>
    <w:rsid w:val="00CE3831"/>
    <w:rsid w:val="00CF7737"/>
    <w:rsid w:val="00D00ABB"/>
    <w:rsid w:val="00D0189E"/>
    <w:rsid w:val="00D02EEC"/>
    <w:rsid w:val="00D03551"/>
    <w:rsid w:val="00D06A63"/>
    <w:rsid w:val="00D06A9F"/>
    <w:rsid w:val="00D07E0E"/>
    <w:rsid w:val="00D11478"/>
    <w:rsid w:val="00D129F3"/>
    <w:rsid w:val="00D12E1A"/>
    <w:rsid w:val="00D157D4"/>
    <w:rsid w:val="00D15ED0"/>
    <w:rsid w:val="00D20368"/>
    <w:rsid w:val="00D21B3E"/>
    <w:rsid w:val="00D21FED"/>
    <w:rsid w:val="00D22C92"/>
    <w:rsid w:val="00D24251"/>
    <w:rsid w:val="00D26490"/>
    <w:rsid w:val="00D30B69"/>
    <w:rsid w:val="00D30F6C"/>
    <w:rsid w:val="00D343E2"/>
    <w:rsid w:val="00D361A2"/>
    <w:rsid w:val="00D44C2E"/>
    <w:rsid w:val="00D45414"/>
    <w:rsid w:val="00D45DBF"/>
    <w:rsid w:val="00D45F56"/>
    <w:rsid w:val="00D46837"/>
    <w:rsid w:val="00D51EBF"/>
    <w:rsid w:val="00D566BD"/>
    <w:rsid w:val="00D57A4D"/>
    <w:rsid w:val="00D606F3"/>
    <w:rsid w:val="00D60AA7"/>
    <w:rsid w:val="00D63ABB"/>
    <w:rsid w:val="00D63FD0"/>
    <w:rsid w:val="00D6435F"/>
    <w:rsid w:val="00D656EA"/>
    <w:rsid w:val="00D66777"/>
    <w:rsid w:val="00D66A96"/>
    <w:rsid w:val="00D75E28"/>
    <w:rsid w:val="00D772C2"/>
    <w:rsid w:val="00D8008E"/>
    <w:rsid w:val="00D82C45"/>
    <w:rsid w:val="00D82C4F"/>
    <w:rsid w:val="00D86A80"/>
    <w:rsid w:val="00D908A8"/>
    <w:rsid w:val="00D977B6"/>
    <w:rsid w:val="00DA4A31"/>
    <w:rsid w:val="00DA7B04"/>
    <w:rsid w:val="00DB36C2"/>
    <w:rsid w:val="00DC169B"/>
    <w:rsid w:val="00DC2AB9"/>
    <w:rsid w:val="00DC2E4F"/>
    <w:rsid w:val="00DC48B4"/>
    <w:rsid w:val="00DC4DEC"/>
    <w:rsid w:val="00DC63F0"/>
    <w:rsid w:val="00DD1F0C"/>
    <w:rsid w:val="00DD6EE5"/>
    <w:rsid w:val="00DE386C"/>
    <w:rsid w:val="00DE4D35"/>
    <w:rsid w:val="00DE61E0"/>
    <w:rsid w:val="00DF098B"/>
    <w:rsid w:val="00DF11C4"/>
    <w:rsid w:val="00DF1F8F"/>
    <w:rsid w:val="00DF210C"/>
    <w:rsid w:val="00DF4B6A"/>
    <w:rsid w:val="00E02C09"/>
    <w:rsid w:val="00E04D59"/>
    <w:rsid w:val="00E060E7"/>
    <w:rsid w:val="00E07DA1"/>
    <w:rsid w:val="00E11081"/>
    <w:rsid w:val="00E123CB"/>
    <w:rsid w:val="00E12854"/>
    <w:rsid w:val="00E1304D"/>
    <w:rsid w:val="00E20E13"/>
    <w:rsid w:val="00E21DBC"/>
    <w:rsid w:val="00E275D7"/>
    <w:rsid w:val="00E27DBE"/>
    <w:rsid w:val="00E30AFE"/>
    <w:rsid w:val="00E32AB1"/>
    <w:rsid w:val="00E36C71"/>
    <w:rsid w:val="00E37B89"/>
    <w:rsid w:val="00E40404"/>
    <w:rsid w:val="00E42E8F"/>
    <w:rsid w:val="00E459C6"/>
    <w:rsid w:val="00E47589"/>
    <w:rsid w:val="00E64915"/>
    <w:rsid w:val="00E661D4"/>
    <w:rsid w:val="00E70091"/>
    <w:rsid w:val="00E720F5"/>
    <w:rsid w:val="00E75400"/>
    <w:rsid w:val="00E760EB"/>
    <w:rsid w:val="00E765F8"/>
    <w:rsid w:val="00E76C75"/>
    <w:rsid w:val="00E76D47"/>
    <w:rsid w:val="00E849F7"/>
    <w:rsid w:val="00E90302"/>
    <w:rsid w:val="00E97396"/>
    <w:rsid w:val="00EA185E"/>
    <w:rsid w:val="00EA592A"/>
    <w:rsid w:val="00EB14E4"/>
    <w:rsid w:val="00EB32A5"/>
    <w:rsid w:val="00EB34ED"/>
    <w:rsid w:val="00EB427F"/>
    <w:rsid w:val="00EB447C"/>
    <w:rsid w:val="00EB7BE0"/>
    <w:rsid w:val="00EC0EE3"/>
    <w:rsid w:val="00EC315E"/>
    <w:rsid w:val="00EC73A8"/>
    <w:rsid w:val="00ED077C"/>
    <w:rsid w:val="00ED1190"/>
    <w:rsid w:val="00ED6544"/>
    <w:rsid w:val="00EE0277"/>
    <w:rsid w:val="00EE26D6"/>
    <w:rsid w:val="00EE3E00"/>
    <w:rsid w:val="00EE5DD2"/>
    <w:rsid w:val="00EE7E3D"/>
    <w:rsid w:val="00EF3C90"/>
    <w:rsid w:val="00F0049F"/>
    <w:rsid w:val="00F00A79"/>
    <w:rsid w:val="00F00E86"/>
    <w:rsid w:val="00F024B9"/>
    <w:rsid w:val="00F04A5D"/>
    <w:rsid w:val="00F07C1E"/>
    <w:rsid w:val="00F105DB"/>
    <w:rsid w:val="00F132BC"/>
    <w:rsid w:val="00F13D80"/>
    <w:rsid w:val="00F16AAA"/>
    <w:rsid w:val="00F21161"/>
    <w:rsid w:val="00F218EF"/>
    <w:rsid w:val="00F21BC7"/>
    <w:rsid w:val="00F25B34"/>
    <w:rsid w:val="00F266A2"/>
    <w:rsid w:val="00F26C19"/>
    <w:rsid w:val="00F3166B"/>
    <w:rsid w:val="00F32269"/>
    <w:rsid w:val="00F35CA5"/>
    <w:rsid w:val="00F459B6"/>
    <w:rsid w:val="00F52873"/>
    <w:rsid w:val="00F56A6F"/>
    <w:rsid w:val="00F56F2F"/>
    <w:rsid w:val="00F5709C"/>
    <w:rsid w:val="00F64EF1"/>
    <w:rsid w:val="00F71F73"/>
    <w:rsid w:val="00F74B33"/>
    <w:rsid w:val="00F84FCE"/>
    <w:rsid w:val="00F8567F"/>
    <w:rsid w:val="00F8765F"/>
    <w:rsid w:val="00F90767"/>
    <w:rsid w:val="00F97933"/>
    <w:rsid w:val="00FA28DC"/>
    <w:rsid w:val="00FA685B"/>
    <w:rsid w:val="00FB08C8"/>
    <w:rsid w:val="00FB0C01"/>
    <w:rsid w:val="00FB0F60"/>
    <w:rsid w:val="00FB2D36"/>
    <w:rsid w:val="00FB4952"/>
    <w:rsid w:val="00FB54D5"/>
    <w:rsid w:val="00FB7DE8"/>
    <w:rsid w:val="00FC11A0"/>
    <w:rsid w:val="00FC18F2"/>
    <w:rsid w:val="00FC39E5"/>
    <w:rsid w:val="00FC3A78"/>
    <w:rsid w:val="00FC406D"/>
    <w:rsid w:val="00FD0AF1"/>
    <w:rsid w:val="00FD1005"/>
    <w:rsid w:val="00FD10BA"/>
    <w:rsid w:val="00FD28B7"/>
    <w:rsid w:val="00FD51AE"/>
    <w:rsid w:val="00FD6C75"/>
    <w:rsid w:val="00FE3A10"/>
    <w:rsid w:val="00FE71B3"/>
    <w:rsid w:val="00FE7D92"/>
    <w:rsid w:val="00FF0BF1"/>
    <w:rsid w:val="00FF3EDF"/>
    <w:rsid w:val="00FF42C5"/>
    <w:rsid w:val="00FF49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30B69"/>
    <w:rPr>
      <w:rFonts w:eastAsiaTheme="minorEastAsia"/>
      <w:sz w:val="24"/>
      <w:lang w:val="en-GB"/>
    </w:rPr>
  </w:style>
  <w:style w:type="paragraph" w:styleId="Heading1">
    <w:name w:val="heading 1"/>
    <w:basedOn w:val="Normal"/>
    <w:next w:val="Normal"/>
    <w:link w:val="Heading1Char"/>
    <w:uiPriority w:val="99"/>
    <w:semiHidden/>
    <w:rsid w:val="00D30B6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30B6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30B6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30B6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30B69"/>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30B6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30B69"/>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30B6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30B6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30B69"/>
    <w:rPr>
      <w:rFonts w:ascii="Tahoma" w:hAnsi="Tahoma" w:cs="Tahoma"/>
      <w:sz w:val="16"/>
      <w:szCs w:val="16"/>
    </w:rPr>
  </w:style>
  <w:style w:type="character" w:customStyle="1" w:styleId="BalloonTextChar">
    <w:name w:val="Balloon Text Char"/>
    <w:basedOn w:val="DefaultParagraphFont"/>
    <w:link w:val="BalloonText"/>
    <w:uiPriority w:val="99"/>
    <w:semiHidden/>
    <w:rsid w:val="00D30B69"/>
    <w:rPr>
      <w:rFonts w:ascii="Tahoma" w:eastAsiaTheme="minorEastAsia" w:hAnsi="Tahoma" w:cs="Tahoma"/>
      <w:sz w:val="16"/>
      <w:szCs w:val="16"/>
      <w:lang w:val="en-GB"/>
    </w:rPr>
  </w:style>
  <w:style w:type="character" w:styleId="BookTitle">
    <w:name w:val="Book Title"/>
    <w:uiPriority w:val="99"/>
    <w:semiHidden/>
    <w:qFormat/>
    <w:rsid w:val="00D30B69"/>
    <w:rPr>
      <w:i/>
      <w:iCs/>
      <w:smallCaps/>
      <w:spacing w:val="5"/>
    </w:rPr>
  </w:style>
  <w:style w:type="paragraph" w:customStyle="1" w:styleId="JuHeader">
    <w:name w:val="Ju_Header"/>
    <w:aliases w:val="_Header"/>
    <w:basedOn w:val="Header"/>
    <w:uiPriority w:val="29"/>
    <w:qFormat/>
    <w:rsid w:val="00D30B69"/>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1B7151"/>
    <w:rPr>
      <w:sz w:val="8"/>
    </w:rPr>
  </w:style>
  <w:style w:type="character" w:styleId="Strong">
    <w:name w:val="Strong"/>
    <w:uiPriority w:val="99"/>
    <w:semiHidden/>
    <w:qFormat/>
    <w:rsid w:val="00D30B69"/>
    <w:rPr>
      <w:b/>
      <w:bCs/>
    </w:rPr>
  </w:style>
  <w:style w:type="paragraph" w:styleId="NoSpacing">
    <w:name w:val="No Spacing"/>
    <w:basedOn w:val="Normal"/>
    <w:link w:val="NoSpacingChar"/>
    <w:semiHidden/>
    <w:qFormat/>
    <w:rsid w:val="00D30B69"/>
  </w:style>
  <w:style w:type="character" w:customStyle="1" w:styleId="NoSpacingChar">
    <w:name w:val="No Spacing Char"/>
    <w:basedOn w:val="DefaultParagraphFont"/>
    <w:link w:val="NoSpacing"/>
    <w:semiHidden/>
    <w:rsid w:val="00D30B69"/>
    <w:rPr>
      <w:rFonts w:eastAsiaTheme="minorEastAsia"/>
      <w:sz w:val="24"/>
      <w:lang w:val="en-GB"/>
    </w:rPr>
  </w:style>
  <w:style w:type="paragraph" w:customStyle="1" w:styleId="FooterLine">
    <w:name w:val="_Footer_Line"/>
    <w:aliases w:val="Footer_Line"/>
    <w:basedOn w:val="Normal"/>
    <w:next w:val="Footer0"/>
    <w:uiPriority w:val="57"/>
    <w:semiHidden/>
    <w:rsid w:val="00D30B69"/>
    <w:pPr>
      <w:pBdr>
        <w:top w:val="single" w:sz="6" w:space="1" w:color="5F5F5F"/>
      </w:pBdr>
      <w:tabs>
        <w:tab w:val="center" w:pos="4536"/>
        <w:tab w:val="right" w:pos="9696"/>
      </w:tabs>
      <w:ind w:left="-680" w:right="-680"/>
    </w:pPr>
    <w:rPr>
      <w:color w:val="5F5F5F"/>
    </w:rPr>
  </w:style>
  <w:style w:type="paragraph" w:customStyle="1" w:styleId="DecHTitle">
    <w:name w:val="Dec_H_Title"/>
    <w:aliases w:val="_Title_1"/>
    <w:basedOn w:val="JuPara"/>
    <w:next w:val="JuPara"/>
    <w:uiPriority w:val="35"/>
    <w:qFormat/>
    <w:rsid w:val="00D30B69"/>
    <w:pPr>
      <w:keepNext/>
      <w:keepLines/>
      <w:spacing w:after="240"/>
      <w:ind w:firstLine="0"/>
      <w:jc w:val="center"/>
      <w:outlineLvl w:val="0"/>
    </w:pPr>
    <w:rPr>
      <w:rFonts w:asciiTheme="majorHAnsi" w:hAnsiTheme="majorHAnsi"/>
      <w:sz w:val="28"/>
    </w:rPr>
  </w:style>
  <w:style w:type="paragraph" w:customStyle="1" w:styleId="DecList">
    <w:name w:val="Dec_List"/>
    <w:aliases w:val="_List"/>
    <w:basedOn w:val="JuList"/>
    <w:uiPriority w:val="22"/>
    <w:rsid w:val="00D30B69"/>
    <w:pPr>
      <w:numPr>
        <w:numId w:val="0"/>
      </w:numPr>
      <w:ind w:left="340"/>
    </w:pPr>
  </w:style>
  <w:style w:type="paragraph" w:customStyle="1" w:styleId="NormalJustified">
    <w:name w:val="Normal_Justified"/>
    <w:basedOn w:val="Normal"/>
    <w:semiHidden/>
    <w:rsid w:val="00D30B69"/>
    <w:pPr>
      <w:jc w:val="both"/>
    </w:pPr>
  </w:style>
  <w:style w:type="paragraph" w:customStyle="1" w:styleId="JuHArticle">
    <w:name w:val="Ju_H_Article"/>
    <w:aliases w:val="_Title_Quote"/>
    <w:basedOn w:val="Normal"/>
    <w:next w:val="JuQuot"/>
    <w:uiPriority w:val="20"/>
    <w:qFormat/>
    <w:rsid w:val="00D30B69"/>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30B69"/>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30B69"/>
    <w:pPr>
      <w:numPr>
        <w:numId w:val="6"/>
      </w:numPr>
    </w:pPr>
  </w:style>
  <w:style w:type="paragraph" w:customStyle="1" w:styleId="JuCourt">
    <w:name w:val="Ju_Court"/>
    <w:basedOn w:val="Normal"/>
    <w:next w:val="Normal"/>
    <w:uiPriority w:val="31"/>
    <w:qFormat/>
    <w:rsid w:val="00D30B6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30B69"/>
    <w:pPr>
      <w:tabs>
        <w:tab w:val="center" w:pos="6407"/>
      </w:tabs>
      <w:spacing w:before="720"/>
      <w:jc w:val="right"/>
    </w:pPr>
  </w:style>
  <w:style w:type="paragraph" w:customStyle="1" w:styleId="DecHCase">
    <w:name w:val="Dec_H_Case"/>
    <w:aliases w:val="_Title_3"/>
    <w:basedOn w:val="JuPara"/>
    <w:next w:val="JuPara"/>
    <w:uiPriority w:val="35"/>
    <w:qFormat/>
    <w:rsid w:val="00D30B69"/>
    <w:pPr>
      <w:keepNext/>
      <w:keepLines/>
      <w:spacing w:after="280"/>
      <w:ind w:firstLine="0"/>
      <w:jc w:val="center"/>
    </w:pPr>
    <w:rPr>
      <w:rFonts w:asciiTheme="majorHAnsi" w:hAnsiTheme="majorHAnsi"/>
    </w:rPr>
  </w:style>
  <w:style w:type="paragraph" w:customStyle="1" w:styleId="JuListi">
    <w:name w:val="Ju_List_i"/>
    <w:aliases w:val="_List_3"/>
    <w:basedOn w:val="NormalJustified"/>
    <w:uiPriority w:val="23"/>
    <w:rsid w:val="00D30B69"/>
    <w:pPr>
      <w:numPr>
        <w:ilvl w:val="2"/>
        <w:numId w:val="29"/>
      </w:numPr>
    </w:pPr>
  </w:style>
  <w:style w:type="paragraph" w:styleId="Title">
    <w:name w:val="Title"/>
    <w:basedOn w:val="Normal"/>
    <w:next w:val="Normal"/>
    <w:link w:val="TitleChar"/>
    <w:uiPriority w:val="99"/>
    <w:semiHidden/>
    <w:qFormat/>
    <w:rsid w:val="00D30B6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30B69"/>
    <w:rPr>
      <w:rFonts w:asciiTheme="majorHAnsi" w:eastAsiaTheme="majorEastAsia" w:hAnsiTheme="majorHAnsi" w:cstheme="majorBidi"/>
      <w:spacing w:val="5"/>
      <w:sz w:val="52"/>
      <w:szCs w:val="52"/>
      <w:lang w:val="en-GB" w:bidi="en-US"/>
    </w:rPr>
  </w:style>
  <w:style w:type="character" w:customStyle="1" w:styleId="JUNAMES">
    <w:name w:val="JU_NAMES"/>
    <w:uiPriority w:val="34"/>
    <w:qFormat/>
    <w:rsid w:val="00D30B69"/>
    <w:rPr>
      <w:caps w:val="0"/>
      <w:smallCaps/>
    </w:rPr>
  </w:style>
  <w:style w:type="paragraph" w:customStyle="1" w:styleId="JuH1">
    <w:name w:val="Ju_H_1."/>
    <w:aliases w:val="_Head_4"/>
    <w:basedOn w:val="Normal"/>
    <w:next w:val="JuPara"/>
    <w:uiPriority w:val="19"/>
    <w:rsid w:val="00D30B69"/>
    <w:pPr>
      <w:keepNext/>
      <w:keepLines/>
      <w:numPr>
        <w:ilvl w:val="3"/>
        <w:numId w:val="26"/>
      </w:numPr>
      <w:spacing w:before="100" w:beforeAutospacing="1" w:after="120"/>
      <w:jc w:val="both"/>
      <w:outlineLvl w:val="3"/>
    </w:pPr>
    <w:rPr>
      <w:i/>
    </w:rPr>
  </w:style>
  <w:style w:type="paragraph" w:customStyle="1" w:styleId="JuHa0">
    <w:name w:val="Ju_H_a"/>
    <w:aliases w:val="_Head_5"/>
    <w:basedOn w:val="Normal"/>
    <w:next w:val="JuPara"/>
    <w:uiPriority w:val="19"/>
    <w:rsid w:val="00D30B69"/>
    <w:pPr>
      <w:keepNext/>
      <w:keepLines/>
      <w:numPr>
        <w:ilvl w:val="4"/>
        <w:numId w:val="26"/>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30B69"/>
    <w:pPr>
      <w:keepNext/>
      <w:keepLines/>
      <w:numPr>
        <w:ilvl w:val="5"/>
        <w:numId w:val="26"/>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D30B69"/>
    <w:pPr>
      <w:keepNext/>
      <w:keepLines/>
      <w:numPr>
        <w:ilvl w:val="6"/>
        <w:numId w:val="26"/>
      </w:numPr>
      <w:spacing w:before="100" w:beforeAutospacing="1" w:after="120"/>
      <w:jc w:val="both"/>
      <w:outlineLvl w:val="6"/>
    </w:pPr>
    <w:rPr>
      <w:sz w:val="20"/>
    </w:rPr>
  </w:style>
  <w:style w:type="paragraph" w:customStyle="1" w:styleId="JuH">
    <w:name w:val="Ju_H_–"/>
    <w:aliases w:val="_Head_8"/>
    <w:basedOn w:val="Normal"/>
    <w:next w:val="JuPara"/>
    <w:uiPriority w:val="19"/>
    <w:rsid w:val="00D30B69"/>
    <w:pPr>
      <w:keepNext/>
      <w:keepLines/>
      <w:numPr>
        <w:ilvl w:val="7"/>
        <w:numId w:val="26"/>
      </w:numPr>
      <w:spacing w:before="100" w:beforeAutospacing="1" w:after="120"/>
      <w:jc w:val="both"/>
      <w:outlineLvl w:val="7"/>
    </w:pPr>
    <w:rPr>
      <w:i/>
      <w:sz w:val="20"/>
    </w:rPr>
  </w:style>
  <w:style w:type="numbering" w:customStyle="1" w:styleId="ECHRA1StyleList">
    <w:name w:val="ECHR_A1_Style_List"/>
    <w:basedOn w:val="NoList"/>
    <w:uiPriority w:val="99"/>
    <w:rsid w:val="00D30B69"/>
    <w:pPr>
      <w:numPr>
        <w:numId w:val="7"/>
      </w:numPr>
    </w:pPr>
  </w:style>
  <w:style w:type="numbering" w:customStyle="1" w:styleId="ECHRA1StyleNumberedList">
    <w:name w:val="ECHR_A1_Style_Numbered_List"/>
    <w:basedOn w:val="NoList"/>
    <w:rsid w:val="00D30B69"/>
    <w:pPr>
      <w:numPr>
        <w:numId w:val="8"/>
      </w:numPr>
    </w:pPr>
  </w:style>
  <w:style w:type="paragraph" w:styleId="Header">
    <w:name w:val="header"/>
    <w:basedOn w:val="Normal"/>
    <w:link w:val="HeaderChar"/>
    <w:uiPriority w:val="57"/>
    <w:semiHidden/>
    <w:rsid w:val="00D30B6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30B69"/>
    <w:rPr>
      <w:sz w:val="24"/>
      <w:lang w:val="en-GB"/>
    </w:rPr>
  </w:style>
  <w:style w:type="character" w:customStyle="1" w:styleId="Heading1Char">
    <w:name w:val="Heading 1 Char"/>
    <w:basedOn w:val="DefaultParagraphFont"/>
    <w:link w:val="Heading1"/>
    <w:uiPriority w:val="99"/>
    <w:semiHidden/>
    <w:rsid w:val="00D30B69"/>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D30B69"/>
    <w:pPr>
      <w:keepNext/>
      <w:keepLines/>
      <w:numPr>
        <w:ilvl w:val="1"/>
        <w:numId w:val="26"/>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30B69"/>
    <w:pPr>
      <w:keepNext/>
      <w:keepLines/>
      <w:numPr>
        <w:ilvl w:val="2"/>
        <w:numId w:val="26"/>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D30B69"/>
    <w:rPr>
      <w:rFonts w:asciiTheme="majorHAnsi" w:eastAsiaTheme="majorEastAsia" w:hAnsiTheme="majorHAnsi" w:cstheme="majorBidi"/>
      <w:b/>
      <w:bCs/>
      <w:color w:val="4D4D4D"/>
      <w:sz w:val="26"/>
      <w:szCs w:val="26"/>
      <w:lang w:val="en-GB"/>
    </w:rPr>
  </w:style>
  <w:style w:type="paragraph" w:customStyle="1" w:styleId="JuTitle">
    <w:name w:val="Ju_Title"/>
    <w:aliases w:val="_Title_2"/>
    <w:basedOn w:val="Normal"/>
    <w:next w:val="JuPara"/>
    <w:uiPriority w:val="35"/>
    <w:qFormat/>
    <w:rsid w:val="00D30B69"/>
    <w:pPr>
      <w:keepNext/>
      <w:keepLines/>
      <w:spacing w:before="1320" w:after="280"/>
      <w:contextualSpacing/>
      <w:jc w:val="center"/>
    </w:pPr>
    <w:rPr>
      <w:rFonts w:eastAsiaTheme="minorHAnsi"/>
      <w:b/>
    </w:rPr>
  </w:style>
  <w:style w:type="table" w:customStyle="1" w:styleId="ECHRTable2019">
    <w:name w:val="ECHR_Table_2019"/>
    <w:basedOn w:val="TableNormal"/>
    <w:uiPriority w:val="99"/>
    <w:rsid w:val="00D30B69"/>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Heading3Char">
    <w:name w:val="Heading 3 Char"/>
    <w:basedOn w:val="DefaultParagraphFont"/>
    <w:link w:val="Heading3"/>
    <w:uiPriority w:val="99"/>
    <w:semiHidden/>
    <w:rsid w:val="00D30B69"/>
    <w:rPr>
      <w:rFonts w:asciiTheme="majorHAnsi" w:eastAsiaTheme="majorEastAsia" w:hAnsiTheme="majorHAnsi" w:cstheme="majorBidi"/>
      <w:b/>
      <w:bCs/>
      <w:color w:val="5F5F5F"/>
      <w:sz w:val="24"/>
      <w:lang w:val="en-GB"/>
    </w:rPr>
  </w:style>
  <w:style w:type="paragraph" w:customStyle="1" w:styleId="JuJudges">
    <w:name w:val="Ju_Judges"/>
    <w:basedOn w:val="Normal"/>
    <w:uiPriority w:val="31"/>
    <w:qFormat/>
    <w:rsid w:val="00D30B69"/>
    <w:pPr>
      <w:tabs>
        <w:tab w:val="left" w:pos="567"/>
        <w:tab w:val="left" w:pos="1134"/>
      </w:tabs>
    </w:pPr>
  </w:style>
  <w:style w:type="paragraph" w:customStyle="1" w:styleId="JuPara">
    <w:name w:val="Ju_Para"/>
    <w:aliases w:val="_Para"/>
    <w:basedOn w:val="NormalJustified"/>
    <w:link w:val="ECHRParaChar"/>
    <w:uiPriority w:val="8"/>
    <w:qFormat/>
    <w:rsid w:val="00D30B69"/>
    <w:pPr>
      <w:ind w:firstLine="284"/>
    </w:pPr>
  </w:style>
  <w:style w:type="character" w:customStyle="1" w:styleId="Heading4Char">
    <w:name w:val="Heading 4 Char"/>
    <w:basedOn w:val="DefaultParagraphFont"/>
    <w:link w:val="Heading4"/>
    <w:uiPriority w:val="99"/>
    <w:semiHidden/>
    <w:rsid w:val="00D30B69"/>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D30B69"/>
    <w:pPr>
      <w:numPr>
        <w:numId w:val="29"/>
      </w:numPr>
      <w:spacing w:before="280" w:after="60"/>
    </w:pPr>
    <w:rPr>
      <w:rFonts w:eastAsiaTheme="minorHAnsi"/>
    </w:rPr>
  </w:style>
  <w:style w:type="character" w:customStyle="1" w:styleId="Heading5Char">
    <w:name w:val="Heading 5 Char"/>
    <w:basedOn w:val="DefaultParagraphFont"/>
    <w:link w:val="Heading5"/>
    <w:uiPriority w:val="99"/>
    <w:semiHidden/>
    <w:rsid w:val="00D30B69"/>
    <w:rPr>
      <w:rFonts w:asciiTheme="majorHAnsi" w:eastAsiaTheme="majorEastAsia" w:hAnsiTheme="majorHAnsi" w:cstheme="majorBidi"/>
      <w:b/>
      <w:bCs/>
      <w:color w:val="808080"/>
      <w:sz w:val="24"/>
      <w:lang w:val="en-GB"/>
    </w:rPr>
  </w:style>
  <w:style w:type="paragraph" w:customStyle="1" w:styleId="JuSigned">
    <w:name w:val="Ju_Signed"/>
    <w:aliases w:val="_Signature"/>
    <w:basedOn w:val="Normal"/>
    <w:next w:val="JuPara"/>
    <w:uiPriority w:val="30"/>
    <w:qFormat/>
    <w:rsid w:val="00D30B69"/>
    <w:pPr>
      <w:tabs>
        <w:tab w:val="center" w:pos="851"/>
        <w:tab w:val="center" w:pos="6407"/>
      </w:tabs>
      <w:spacing w:before="720"/>
    </w:pPr>
  </w:style>
  <w:style w:type="paragraph" w:styleId="Revision">
    <w:name w:val="Revision"/>
    <w:hidden/>
    <w:uiPriority w:val="99"/>
    <w:semiHidden/>
    <w:rsid w:val="000055E6"/>
    <w:rPr>
      <w:rFonts w:eastAsiaTheme="minorEastAsia"/>
      <w:sz w:val="24"/>
    </w:rPr>
  </w:style>
  <w:style w:type="character" w:styleId="SubtleEmphasis">
    <w:name w:val="Subtle Emphasis"/>
    <w:uiPriority w:val="99"/>
    <w:semiHidden/>
    <w:qFormat/>
    <w:rsid w:val="00D30B6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30B6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D30B69"/>
    <w:pPr>
      <w:keepNext/>
      <w:keepLines/>
      <w:numPr>
        <w:numId w:val="26"/>
      </w:numPr>
      <w:spacing w:before="100" w:beforeAutospacing="1" w:after="240"/>
      <w:jc w:val="both"/>
      <w:outlineLvl w:val="0"/>
    </w:pPr>
    <w:rPr>
      <w:caps/>
      <w:sz w:val="28"/>
    </w:rPr>
  </w:style>
  <w:style w:type="character" w:styleId="Emphasis">
    <w:name w:val="Emphasis"/>
    <w:uiPriority w:val="99"/>
    <w:semiHidden/>
    <w:qFormat/>
    <w:rsid w:val="00D30B69"/>
    <w:rPr>
      <w:b/>
      <w:bCs/>
      <w:i/>
      <w:iCs/>
      <w:spacing w:val="10"/>
      <w:bdr w:val="none" w:sz="0" w:space="0" w:color="auto"/>
      <w:shd w:val="clear" w:color="auto" w:fill="auto"/>
    </w:rPr>
  </w:style>
  <w:style w:type="paragraph" w:styleId="Footer">
    <w:name w:val="footer"/>
    <w:basedOn w:val="Normal"/>
    <w:link w:val="FooterChar"/>
    <w:uiPriority w:val="57"/>
    <w:semiHidden/>
    <w:rsid w:val="00D30B6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30B69"/>
    <w:rPr>
      <w:sz w:val="24"/>
      <w:lang w:val="en-GB"/>
    </w:rPr>
  </w:style>
  <w:style w:type="character" w:styleId="FootnoteReference">
    <w:name w:val="footnote reference"/>
    <w:basedOn w:val="DefaultParagraphFont"/>
    <w:uiPriority w:val="99"/>
    <w:semiHidden/>
    <w:rsid w:val="00D30B69"/>
    <w:rPr>
      <w:vertAlign w:val="superscript"/>
    </w:rPr>
  </w:style>
  <w:style w:type="paragraph" w:styleId="FootnoteText">
    <w:name w:val="footnote text"/>
    <w:basedOn w:val="Normal"/>
    <w:link w:val="FootnoteTextChar"/>
    <w:uiPriority w:val="99"/>
    <w:semiHidden/>
    <w:rsid w:val="00D30B69"/>
    <w:rPr>
      <w:sz w:val="20"/>
      <w:szCs w:val="20"/>
    </w:rPr>
  </w:style>
  <w:style w:type="character" w:customStyle="1" w:styleId="FootnoteTextChar">
    <w:name w:val="Footnote Text Char"/>
    <w:basedOn w:val="DefaultParagraphFont"/>
    <w:link w:val="FootnoteText"/>
    <w:uiPriority w:val="99"/>
    <w:semiHidden/>
    <w:rsid w:val="00D30B69"/>
    <w:rPr>
      <w:rFonts w:eastAsiaTheme="minorEastAsia"/>
      <w:sz w:val="20"/>
      <w:szCs w:val="20"/>
      <w:lang w:val="en-GB"/>
    </w:rPr>
  </w:style>
  <w:style w:type="character" w:customStyle="1" w:styleId="Heading6Char">
    <w:name w:val="Heading 6 Char"/>
    <w:basedOn w:val="DefaultParagraphFont"/>
    <w:link w:val="Heading6"/>
    <w:uiPriority w:val="99"/>
    <w:semiHidden/>
    <w:rsid w:val="00D30B6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30B69"/>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D30B6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D30B6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D30B69"/>
    <w:rPr>
      <w:color w:val="0072BC" w:themeColor="hyperlink"/>
      <w:u w:val="single"/>
    </w:rPr>
  </w:style>
  <w:style w:type="character" w:styleId="IntenseEmphasis">
    <w:name w:val="Intense Emphasis"/>
    <w:uiPriority w:val="99"/>
    <w:semiHidden/>
    <w:qFormat/>
    <w:rsid w:val="00D30B69"/>
    <w:rPr>
      <w:b/>
      <w:bCs/>
    </w:rPr>
  </w:style>
  <w:style w:type="paragraph" w:styleId="IntenseQuote">
    <w:name w:val="Intense Quote"/>
    <w:basedOn w:val="Normal"/>
    <w:next w:val="Normal"/>
    <w:link w:val="IntenseQuoteChar"/>
    <w:uiPriority w:val="99"/>
    <w:semiHidden/>
    <w:qFormat/>
    <w:rsid w:val="00D30B6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30B69"/>
    <w:rPr>
      <w:rFonts w:eastAsiaTheme="minorEastAsia"/>
      <w:b/>
      <w:bCs/>
      <w:i/>
      <w:iCs/>
      <w:sz w:val="24"/>
      <w:lang w:val="en-GB" w:bidi="en-US"/>
    </w:rPr>
  </w:style>
  <w:style w:type="character" w:styleId="IntenseReference">
    <w:name w:val="Intense Reference"/>
    <w:uiPriority w:val="99"/>
    <w:semiHidden/>
    <w:qFormat/>
    <w:rsid w:val="00D30B69"/>
    <w:rPr>
      <w:smallCaps/>
      <w:spacing w:val="5"/>
      <w:u w:val="single"/>
    </w:rPr>
  </w:style>
  <w:style w:type="paragraph" w:styleId="ListParagraph">
    <w:name w:val="List Paragraph"/>
    <w:basedOn w:val="Normal"/>
    <w:uiPriority w:val="99"/>
    <w:semiHidden/>
    <w:qFormat/>
    <w:rsid w:val="00D30B6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30B69"/>
    <w:pPr>
      <w:spacing w:before="200"/>
      <w:ind w:left="360" w:right="360"/>
    </w:pPr>
    <w:rPr>
      <w:i/>
      <w:iCs/>
      <w:lang w:bidi="en-US"/>
    </w:rPr>
  </w:style>
  <w:style w:type="character" w:customStyle="1" w:styleId="QuoteChar">
    <w:name w:val="Quote Char"/>
    <w:basedOn w:val="DefaultParagraphFont"/>
    <w:link w:val="Quote"/>
    <w:uiPriority w:val="99"/>
    <w:semiHidden/>
    <w:rsid w:val="00D30B69"/>
    <w:rPr>
      <w:rFonts w:eastAsiaTheme="minorEastAsia"/>
      <w:i/>
      <w:iCs/>
      <w:sz w:val="24"/>
      <w:lang w:val="en-GB" w:bidi="en-US"/>
    </w:rPr>
  </w:style>
  <w:style w:type="character" w:styleId="SubtleReference">
    <w:name w:val="Subtle Reference"/>
    <w:uiPriority w:val="99"/>
    <w:semiHidden/>
    <w:qFormat/>
    <w:rsid w:val="00D30B69"/>
    <w:rPr>
      <w:smallCaps/>
    </w:rPr>
  </w:style>
  <w:style w:type="table" w:styleId="TableGrid">
    <w:name w:val="Table Grid"/>
    <w:basedOn w:val="TableNormal"/>
    <w:uiPriority w:val="59"/>
    <w:semiHidden/>
    <w:rsid w:val="00D30B6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30B6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30B6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30B6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30B6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30B6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30B6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30B69"/>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30B69"/>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30B69"/>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30B6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D30B69"/>
    <w:pPr>
      <w:spacing w:before="120" w:after="120"/>
      <w:ind w:left="425" w:firstLine="142"/>
    </w:pPr>
    <w:rPr>
      <w:sz w:val="20"/>
    </w:rPr>
  </w:style>
  <w:style w:type="table" w:customStyle="1" w:styleId="ECHRTableSimpleBox">
    <w:name w:val="ECHR_Table_Simple_Box"/>
    <w:basedOn w:val="TableNormal"/>
    <w:uiPriority w:val="99"/>
    <w:rsid w:val="00D30B69"/>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30B69"/>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D30B69"/>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B715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D30B69"/>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D30B69"/>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aliases w:val="_Para_Spaced"/>
    <w:basedOn w:val="NormalJustified"/>
    <w:uiPriority w:val="9"/>
    <w:qFormat/>
    <w:rsid w:val="00D30B69"/>
    <w:pPr>
      <w:keepNext/>
      <w:keepLines/>
      <w:spacing w:before="240" w:after="240"/>
      <w:ind w:firstLine="284"/>
    </w:pPr>
    <w:rPr>
      <w:rFonts w:eastAsiaTheme="minorHAnsi"/>
    </w:rPr>
  </w:style>
  <w:style w:type="paragraph" w:customStyle="1" w:styleId="JuCase">
    <w:name w:val="Ju_Case"/>
    <w:basedOn w:val="Normal"/>
    <w:next w:val="JuPara"/>
    <w:uiPriority w:val="31"/>
    <w:rsid w:val="00D30B69"/>
    <w:pPr>
      <w:ind w:firstLine="284"/>
    </w:pPr>
    <w:rPr>
      <w:b/>
    </w:rPr>
  </w:style>
  <w:style w:type="character" w:styleId="PageNumber">
    <w:name w:val="page number"/>
    <w:uiPriority w:val="99"/>
    <w:semiHidden/>
    <w:rsid w:val="00D30B69"/>
    <w:rPr>
      <w:sz w:val="18"/>
    </w:rPr>
  </w:style>
  <w:style w:type="paragraph" w:customStyle="1" w:styleId="JuLista">
    <w:name w:val="Ju_List_a"/>
    <w:aliases w:val="_List_2"/>
    <w:basedOn w:val="NormalJustified"/>
    <w:uiPriority w:val="23"/>
    <w:rsid w:val="00D30B69"/>
    <w:pPr>
      <w:numPr>
        <w:ilvl w:val="1"/>
        <w:numId w:val="29"/>
      </w:numPr>
    </w:pPr>
  </w:style>
  <w:style w:type="paragraph" w:customStyle="1" w:styleId="Footer0">
    <w:name w:val="_Footer"/>
    <w:aliases w:val="Footer_"/>
    <w:basedOn w:val="Footer"/>
    <w:uiPriority w:val="57"/>
    <w:semiHidden/>
    <w:rsid w:val="00D30B69"/>
    <w:rPr>
      <w:sz w:val="8"/>
    </w:rPr>
  </w:style>
  <w:style w:type="character" w:styleId="CommentReference">
    <w:name w:val="annotation reference"/>
    <w:basedOn w:val="DefaultParagraphFont"/>
    <w:uiPriority w:val="99"/>
    <w:semiHidden/>
    <w:rsid w:val="00D30B69"/>
    <w:rPr>
      <w:sz w:val="16"/>
      <w:szCs w:val="16"/>
    </w:rPr>
  </w:style>
  <w:style w:type="paragraph" w:styleId="CommentText">
    <w:name w:val="annotation text"/>
    <w:basedOn w:val="Normal"/>
    <w:link w:val="CommentTextChar"/>
    <w:semiHidden/>
    <w:rsid w:val="00D30B69"/>
    <w:rPr>
      <w:sz w:val="20"/>
      <w:szCs w:val="20"/>
    </w:rPr>
  </w:style>
  <w:style w:type="character" w:customStyle="1" w:styleId="CommentTextChar">
    <w:name w:val="Comment Text Char"/>
    <w:basedOn w:val="DefaultParagraphFont"/>
    <w:link w:val="CommentText"/>
    <w:semiHidden/>
    <w:rsid w:val="00D30B69"/>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D30B69"/>
    <w:rPr>
      <w:b/>
      <w:bCs/>
    </w:rPr>
  </w:style>
  <w:style w:type="character" w:customStyle="1" w:styleId="CommentSubjectChar">
    <w:name w:val="Comment Subject Char"/>
    <w:basedOn w:val="CommentTextChar"/>
    <w:link w:val="CommentSubject"/>
    <w:uiPriority w:val="99"/>
    <w:semiHidden/>
    <w:rsid w:val="00D30B69"/>
    <w:rPr>
      <w:rFonts w:eastAsiaTheme="minorEastAsia"/>
      <w:b/>
      <w:bCs/>
      <w:sz w:val="20"/>
      <w:szCs w:val="20"/>
      <w:lang w:val="en-GB"/>
    </w:rPr>
  </w:style>
  <w:style w:type="character" w:styleId="EndnoteReference">
    <w:name w:val="endnote reference"/>
    <w:basedOn w:val="DefaultParagraphFont"/>
    <w:uiPriority w:val="99"/>
    <w:semiHidden/>
    <w:rsid w:val="00D30B69"/>
    <w:rPr>
      <w:vertAlign w:val="superscript"/>
    </w:rPr>
  </w:style>
  <w:style w:type="paragraph" w:styleId="EndnoteText">
    <w:name w:val="endnote text"/>
    <w:basedOn w:val="Normal"/>
    <w:link w:val="EndnoteTextChar"/>
    <w:uiPriority w:val="99"/>
    <w:semiHidden/>
    <w:rsid w:val="00D30B69"/>
    <w:rPr>
      <w:sz w:val="20"/>
      <w:szCs w:val="20"/>
    </w:rPr>
  </w:style>
  <w:style w:type="character" w:customStyle="1" w:styleId="EndnoteTextChar">
    <w:name w:val="Endnote Text Char"/>
    <w:basedOn w:val="DefaultParagraphFont"/>
    <w:link w:val="EndnoteText"/>
    <w:uiPriority w:val="99"/>
    <w:semiHidden/>
    <w:rsid w:val="00D30B69"/>
    <w:rPr>
      <w:rFonts w:eastAsiaTheme="minorEastAsia"/>
      <w:sz w:val="20"/>
      <w:szCs w:val="20"/>
      <w:lang w:val="en-GB"/>
    </w:rPr>
  </w:style>
  <w:style w:type="character" w:styleId="FollowedHyperlink">
    <w:name w:val="FollowedHyperlink"/>
    <w:basedOn w:val="DefaultParagraphFont"/>
    <w:uiPriority w:val="99"/>
    <w:semiHidden/>
    <w:rsid w:val="00D30B69"/>
    <w:rPr>
      <w:color w:val="7030A0" w:themeColor="followedHyperlink"/>
      <w:u w:val="single"/>
    </w:rPr>
  </w:style>
  <w:style w:type="paragraph" w:styleId="DocumentMap">
    <w:name w:val="Document Map"/>
    <w:basedOn w:val="Normal"/>
    <w:link w:val="DocumentMapChar"/>
    <w:uiPriority w:val="99"/>
    <w:semiHidden/>
    <w:rsid w:val="00D30B69"/>
    <w:rPr>
      <w:rFonts w:ascii="Tahoma" w:hAnsi="Tahoma" w:cs="Tahoma"/>
      <w:sz w:val="16"/>
      <w:szCs w:val="16"/>
    </w:rPr>
  </w:style>
  <w:style w:type="character" w:customStyle="1" w:styleId="DocumentMapChar">
    <w:name w:val="Document Map Char"/>
    <w:basedOn w:val="DefaultParagraphFont"/>
    <w:link w:val="DocumentMap"/>
    <w:uiPriority w:val="99"/>
    <w:semiHidden/>
    <w:rsid w:val="00D30B69"/>
    <w:rPr>
      <w:rFonts w:ascii="Tahoma" w:eastAsiaTheme="minorEastAsia" w:hAnsi="Tahoma" w:cs="Tahoma"/>
      <w:sz w:val="16"/>
      <w:szCs w:val="16"/>
      <w:lang w:val="en-GB"/>
    </w:rPr>
  </w:style>
  <w:style w:type="paragraph" w:styleId="ListBullet">
    <w:name w:val="List Bullet"/>
    <w:basedOn w:val="Normal"/>
    <w:uiPriority w:val="99"/>
    <w:semiHidden/>
    <w:rsid w:val="00D30B69"/>
    <w:pPr>
      <w:numPr>
        <w:numId w:val="36"/>
      </w:numPr>
    </w:pPr>
  </w:style>
  <w:style w:type="character" w:customStyle="1" w:styleId="JuITMark">
    <w:name w:val="Ju_ITMark"/>
    <w:basedOn w:val="DefaultParagraphFont"/>
    <w:uiPriority w:val="38"/>
    <w:qFormat/>
    <w:rsid w:val="00D30B6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30B69"/>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30B6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30B69"/>
    <w:pPr>
      <w:numPr>
        <w:numId w:val="3"/>
      </w:numPr>
    </w:pPr>
  </w:style>
  <w:style w:type="numbering" w:styleId="1ai">
    <w:name w:val="Outline List 1"/>
    <w:basedOn w:val="NoList"/>
    <w:uiPriority w:val="99"/>
    <w:semiHidden/>
    <w:unhideWhenUsed/>
    <w:rsid w:val="00D30B69"/>
    <w:pPr>
      <w:numPr>
        <w:numId w:val="4"/>
      </w:numPr>
    </w:pPr>
  </w:style>
  <w:style w:type="numbering" w:styleId="ArticleSection">
    <w:name w:val="Outline List 3"/>
    <w:basedOn w:val="NoList"/>
    <w:uiPriority w:val="99"/>
    <w:semiHidden/>
    <w:unhideWhenUsed/>
    <w:rsid w:val="00D30B69"/>
    <w:pPr>
      <w:numPr>
        <w:numId w:val="5"/>
      </w:numPr>
    </w:pPr>
  </w:style>
  <w:style w:type="paragraph" w:styleId="Bibliography">
    <w:name w:val="Bibliography"/>
    <w:basedOn w:val="Normal"/>
    <w:next w:val="Normal"/>
    <w:uiPriority w:val="99"/>
    <w:semiHidden/>
    <w:rsid w:val="00D30B69"/>
  </w:style>
  <w:style w:type="paragraph" w:styleId="BlockText">
    <w:name w:val="Block Text"/>
    <w:basedOn w:val="Normal"/>
    <w:uiPriority w:val="99"/>
    <w:semiHidden/>
    <w:rsid w:val="00D30B6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30B69"/>
    <w:pPr>
      <w:spacing w:after="120"/>
    </w:pPr>
  </w:style>
  <w:style w:type="character" w:customStyle="1" w:styleId="BodyTextChar">
    <w:name w:val="Body Text Char"/>
    <w:basedOn w:val="DefaultParagraphFont"/>
    <w:link w:val="BodyText"/>
    <w:uiPriority w:val="99"/>
    <w:semiHidden/>
    <w:rsid w:val="00D30B69"/>
    <w:rPr>
      <w:rFonts w:eastAsiaTheme="minorEastAsia"/>
      <w:sz w:val="24"/>
      <w:lang w:val="en-GB"/>
    </w:rPr>
  </w:style>
  <w:style w:type="paragraph" w:styleId="BodyText2">
    <w:name w:val="Body Text 2"/>
    <w:basedOn w:val="Normal"/>
    <w:link w:val="BodyText2Char"/>
    <w:uiPriority w:val="99"/>
    <w:semiHidden/>
    <w:rsid w:val="00D30B69"/>
    <w:pPr>
      <w:spacing w:after="120" w:line="480" w:lineRule="auto"/>
    </w:pPr>
  </w:style>
  <w:style w:type="character" w:customStyle="1" w:styleId="BodyText2Char">
    <w:name w:val="Body Text 2 Char"/>
    <w:basedOn w:val="DefaultParagraphFont"/>
    <w:link w:val="BodyText2"/>
    <w:uiPriority w:val="99"/>
    <w:semiHidden/>
    <w:rsid w:val="00D30B69"/>
    <w:rPr>
      <w:rFonts w:eastAsiaTheme="minorEastAsia"/>
      <w:sz w:val="24"/>
      <w:lang w:val="en-GB"/>
    </w:rPr>
  </w:style>
  <w:style w:type="paragraph" w:styleId="BodyText3">
    <w:name w:val="Body Text 3"/>
    <w:basedOn w:val="Normal"/>
    <w:link w:val="BodyText3Char"/>
    <w:uiPriority w:val="99"/>
    <w:semiHidden/>
    <w:rsid w:val="00D30B69"/>
    <w:pPr>
      <w:spacing w:after="120"/>
    </w:pPr>
    <w:rPr>
      <w:sz w:val="16"/>
      <w:szCs w:val="16"/>
    </w:rPr>
  </w:style>
  <w:style w:type="character" w:customStyle="1" w:styleId="BodyText3Char">
    <w:name w:val="Body Text 3 Char"/>
    <w:basedOn w:val="DefaultParagraphFont"/>
    <w:link w:val="BodyText3"/>
    <w:uiPriority w:val="99"/>
    <w:semiHidden/>
    <w:rsid w:val="00D30B69"/>
    <w:rPr>
      <w:rFonts w:eastAsiaTheme="minorEastAsia"/>
      <w:sz w:val="16"/>
      <w:szCs w:val="16"/>
      <w:lang w:val="en-GB"/>
    </w:rPr>
  </w:style>
  <w:style w:type="paragraph" w:styleId="BodyTextFirstIndent">
    <w:name w:val="Body Text First Indent"/>
    <w:basedOn w:val="BodyText"/>
    <w:link w:val="BodyTextFirstIndentChar"/>
    <w:uiPriority w:val="99"/>
    <w:semiHidden/>
    <w:rsid w:val="00D30B69"/>
    <w:pPr>
      <w:spacing w:after="0"/>
      <w:ind w:firstLine="360"/>
    </w:pPr>
  </w:style>
  <w:style w:type="character" w:customStyle="1" w:styleId="BodyTextFirstIndentChar">
    <w:name w:val="Body Text First Indent Char"/>
    <w:basedOn w:val="BodyTextChar"/>
    <w:link w:val="BodyTextFirstIndent"/>
    <w:uiPriority w:val="99"/>
    <w:semiHidden/>
    <w:rsid w:val="00D30B69"/>
    <w:rPr>
      <w:rFonts w:eastAsiaTheme="minorEastAsia"/>
      <w:sz w:val="24"/>
      <w:lang w:val="en-GB"/>
    </w:rPr>
  </w:style>
  <w:style w:type="paragraph" w:styleId="BodyTextIndent">
    <w:name w:val="Body Text Indent"/>
    <w:basedOn w:val="Normal"/>
    <w:link w:val="BodyTextIndentChar"/>
    <w:uiPriority w:val="99"/>
    <w:semiHidden/>
    <w:rsid w:val="00D30B69"/>
    <w:pPr>
      <w:spacing w:after="120"/>
      <w:ind w:left="283"/>
    </w:pPr>
  </w:style>
  <w:style w:type="character" w:customStyle="1" w:styleId="BodyTextIndentChar">
    <w:name w:val="Body Text Indent Char"/>
    <w:basedOn w:val="DefaultParagraphFont"/>
    <w:link w:val="BodyTextIndent"/>
    <w:uiPriority w:val="99"/>
    <w:semiHidden/>
    <w:rsid w:val="00D30B69"/>
    <w:rPr>
      <w:rFonts w:eastAsiaTheme="minorEastAsia"/>
      <w:sz w:val="24"/>
      <w:lang w:val="en-GB"/>
    </w:rPr>
  </w:style>
  <w:style w:type="paragraph" w:styleId="BodyTextFirstIndent2">
    <w:name w:val="Body Text First Indent 2"/>
    <w:basedOn w:val="BodyTextIndent"/>
    <w:link w:val="BodyTextFirstIndent2Char"/>
    <w:uiPriority w:val="99"/>
    <w:semiHidden/>
    <w:rsid w:val="00D30B69"/>
    <w:pPr>
      <w:spacing w:after="0"/>
      <w:ind w:left="360" w:firstLine="360"/>
    </w:pPr>
  </w:style>
  <w:style w:type="character" w:customStyle="1" w:styleId="BodyTextFirstIndent2Char">
    <w:name w:val="Body Text First Indent 2 Char"/>
    <w:basedOn w:val="BodyTextIndentChar"/>
    <w:link w:val="BodyTextFirstIndent2"/>
    <w:uiPriority w:val="99"/>
    <w:semiHidden/>
    <w:rsid w:val="00D30B69"/>
    <w:rPr>
      <w:rFonts w:eastAsiaTheme="minorEastAsia"/>
      <w:sz w:val="24"/>
      <w:lang w:val="en-GB"/>
    </w:rPr>
  </w:style>
  <w:style w:type="paragraph" w:styleId="BodyTextIndent2">
    <w:name w:val="Body Text Indent 2"/>
    <w:basedOn w:val="Normal"/>
    <w:link w:val="BodyTextIndent2Char"/>
    <w:uiPriority w:val="99"/>
    <w:semiHidden/>
    <w:rsid w:val="00D30B69"/>
    <w:pPr>
      <w:spacing w:after="120" w:line="480" w:lineRule="auto"/>
      <w:ind w:left="283"/>
    </w:pPr>
  </w:style>
  <w:style w:type="character" w:customStyle="1" w:styleId="BodyTextIndent2Char">
    <w:name w:val="Body Text Indent 2 Char"/>
    <w:basedOn w:val="DefaultParagraphFont"/>
    <w:link w:val="BodyTextIndent2"/>
    <w:uiPriority w:val="99"/>
    <w:semiHidden/>
    <w:rsid w:val="00D30B69"/>
    <w:rPr>
      <w:rFonts w:eastAsiaTheme="minorEastAsia"/>
      <w:sz w:val="24"/>
      <w:lang w:val="en-GB"/>
    </w:rPr>
  </w:style>
  <w:style w:type="paragraph" w:styleId="BodyTextIndent3">
    <w:name w:val="Body Text Indent 3"/>
    <w:basedOn w:val="Normal"/>
    <w:link w:val="BodyTextIndent3Char"/>
    <w:uiPriority w:val="99"/>
    <w:semiHidden/>
    <w:rsid w:val="00D30B6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0B69"/>
    <w:rPr>
      <w:rFonts w:eastAsiaTheme="minorEastAsia"/>
      <w:sz w:val="16"/>
      <w:szCs w:val="16"/>
      <w:lang w:val="en-GB"/>
    </w:rPr>
  </w:style>
  <w:style w:type="paragraph" w:styleId="Caption">
    <w:name w:val="caption"/>
    <w:basedOn w:val="Normal"/>
    <w:next w:val="Normal"/>
    <w:uiPriority w:val="99"/>
    <w:semiHidden/>
    <w:qFormat/>
    <w:rsid w:val="00D30B69"/>
    <w:pPr>
      <w:spacing w:after="200"/>
    </w:pPr>
    <w:rPr>
      <w:b/>
      <w:bCs/>
      <w:color w:val="0072BC" w:themeColor="accent1"/>
      <w:sz w:val="18"/>
      <w:szCs w:val="18"/>
    </w:rPr>
  </w:style>
  <w:style w:type="paragraph" w:styleId="Closing">
    <w:name w:val="Closing"/>
    <w:basedOn w:val="Normal"/>
    <w:link w:val="ClosingChar"/>
    <w:uiPriority w:val="99"/>
    <w:semiHidden/>
    <w:rsid w:val="00D30B69"/>
    <w:pPr>
      <w:ind w:left="4252"/>
    </w:pPr>
  </w:style>
  <w:style w:type="character" w:customStyle="1" w:styleId="ClosingChar">
    <w:name w:val="Closing Char"/>
    <w:basedOn w:val="DefaultParagraphFont"/>
    <w:link w:val="Closing"/>
    <w:uiPriority w:val="99"/>
    <w:semiHidden/>
    <w:rsid w:val="00D30B69"/>
    <w:rPr>
      <w:rFonts w:eastAsiaTheme="minorEastAsia"/>
      <w:sz w:val="24"/>
      <w:lang w:val="en-GB"/>
    </w:rPr>
  </w:style>
  <w:style w:type="table" w:styleId="ColorfulGrid">
    <w:name w:val="Colorful Grid"/>
    <w:basedOn w:val="TableNormal"/>
    <w:uiPriority w:val="73"/>
    <w:semiHidden/>
    <w:rsid w:val="00D30B6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30B6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30B6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30B6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30B6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30B6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30B6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30B6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30B6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30B6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30B6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30B6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30B6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30B6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30B6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30B6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30B6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30B6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30B6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30B6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30B6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D30B6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30B6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30B6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30B6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30B6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30B6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30B6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30B69"/>
  </w:style>
  <w:style w:type="character" w:customStyle="1" w:styleId="DateChar">
    <w:name w:val="Date Char"/>
    <w:basedOn w:val="DefaultParagraphFont"/>
    <w:link w:val="Date"/>
    <w:uiPriority w:val="99"/>
    <w:semiHidden/>
    <w:rsid w:val="00D30B69"/>
    <w:rPr>
      <w:rFonts w:eastAsiaTheme="minorEastAsia"/>
      <w:sz w:val="24"/>
      <w:lang w:val="en-GB"/>
    </w:rPr>
  </w:style>
  <w:style w:type="paragraph" w:styleId="E-mailSignature">
    <w:name w:val="E-mail Signature"/>
    <w:basedOn w:val="Normal"/>
    <w:link w:val="E-mailSignatureChar"/>
    <w:uiPriority w:val="99"/>
    <w:semiHidden/>
    <w:rsid w:val="00D30B69"/>
  </w:style>
  <w:style w:type="character" w:customStyle="1" w:styleId="E-mailSignatureChar">
    <w:name w:val="E-mail Signature Char"/>
    <w:basedOn w:val="DefaultParagraphFont"/>
    <w:link w:val="E-mailSignature"/>
    <w:uiPriority w:val="99"/>
    <w:semiHidden/>
    <w:rsid w:val="00D30B69"/>
    <w:rPr>
      <w:rFonts w:eastAsiaTheme="minorEastAsia"/>
      <w:sz w:val="24"/>
      <w:lang w:val="en-GB"/>
    </w:rPr>
  </w:style>
  <w:style w:type="paragraph" w:styleId="EnvelopeAddress">
    <w:name w:val="envelope address"/>
    <w:basedOn w:val="Normal"/>
    <w:uiPriority w:val="99"/>
    <w:semiHidden/>
    <w:rsid w:val="00D30B6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30B69"/>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30B69"/>
  </w:style>
  <w:style w:type="paragraph" w:styleId="HTMLAddress">
    <w:name w:val="HTML Address"/>
    <w:basedOn w:val="Normal"/>
    <w:link w:val="HTMLAddressChar"/>
    <w:uiPriority w:val="99"/>
    <w:semiHidden/>
    <w:rsid w:val="00D30B69"/>
    <w:rPr>
      <w:i/>
      <w:iCs/>
    </w:rPr>
  </w:style>
  <w:style w:type="character" w:customStyle="1" w:styleId="HTMLAddressChar">
    <w:name w:val="HTML Address Char"/>
    <w:basedOn w:val="DefaultParagraphFont"/>
    <w:link w:val="HTMLAddress"/>
    <w:uiPriority w:val="99"/>
    <w:semiHidden/>
    <w:rsid w:val="00D30B69"/>
    <w:rPr>
      <w:rFonts w:eastAsiaTheme="minorEastAsia"/>
      <w:i/>
      <w:iCs/>
      <w:sz w:val="24"/>
      <w:lang w:val="en-GB"/>
    </w:rPr>
  </w:style>
  <w:style w:type="character" w:styleId="HTMLCite">
    <w:name w:val="HTML Cite"/>
    <w:basedOn w:val="DefaultParagraphFont"/>
    <w:uiPriority w:val="99"/>
    <w:semiHidden/>
    <w:rsid w:val="00D30B69"/>
    <w:rPr>
      <w:i/>
      <w:iCs/>
    </w:rPr>
  </w:style>
  <w:style w:type="character" w:styleId="HTMLCode">
    <w:name w:val="HTML Code"/>
    <w:basedOn w:val="DefaultParagraphFont"/>
    <w:uiPriority w:val="99"/>
    <w:semiHidden/>
    <w:rsid w:val="00D30B69"/>
    <w:rPr>
      <w:rFonts w:ascii="Consolas" w:hAnsi="Consolas" w:cs="Consolas"/>
      <w:sz w:val="20"/>
      <w:szCs w:val="20"/>
    </w:rPr>
  </w:style>
  <w:style w:type="character" w:styleId="HTMLDefinition">
    <w:name w:val="HTML Definition"/>
    <w:basedOn w:val="DefaultParagraphFont"/>
    <w:uiPriority w:val="99"/>
    <w:semiHidden/>
    <w:rsid w:val="00D30B69"/>
    <w:rPr>
      <w:i/>
      <w:iCs/>
    </w:rPr>
  </w:style>
  <w:style w:type="character" w:styleId="HTMLKeyboard">
    <w:name w:val="HTML Keyboard"/>
    <w:basedOn w:val="DefaultParagraphFont"/>
    <w:uiPriority w:val="99"/>
    <w:semiHidden/>
    <w:rsid w:val="00D30B69"/>
    <w:rPr>
      <w:rFonts w:ascii="Consolas" w:hAnsi="Consolas" w:cs="Consolas"/>
      <w:sz w:val="20"/>
      <w:szCs w:val="20"/>
    </w:rPr>
  </w:style>
  <w:style w:type="paragraph" w:styleId="HTMLPreformatted">
    <w:name w:val="HTML Preformatted"/>
    <w:basedOn w:val="Normal"/>
    <w:link w:val="HTMLPreformattedChar"/>
    <w:uiPriority w:val="99"/>
    <w:semiHidden/>
    <w:rsid w:val="00D30B6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30B69"/>
    <w:rPr>
      <w:rFonts w:ascii="Consolas" w:eastAsiaTheme="minorEastAsia" w:hAnsi="Consolas" w:cs="Consolas"/>
      <w:sz w:val="20"/>
      <w:szCs w:val="20"/>
      <w:lang w:val="en-GB"/>
    </w:rPr>
  </w:style>
  <w:style w:type="character" w:styleId="HTMLSample">
    <w:name w:val="HTML Sample"/>
    <w:basedOn w:val="DefaultParagraphFont"/>
    <w:uiPriority w:val="99"/>
    <w:semiHidden/>
    <w:rsid w:val="00D30B69"/>
    <w:rPr>
      <w:rFonts w:ascii="Consolas" w:hAnsi="Consolas" w:cs="Consolas"/>
      <w:sz w:val="24"/>
      <w:szCs w:val="24"/>
    </w:rPr>
  </w:style>
  <w:style w:type="character" w:styleId="HTMLTypewriter">
    <w:name w:val="HTML Typewriter"/>
    <w:basedOn w:val="DefaultParagraphFont"/>
    <w:uiPriority w:val="99"/>
    <w:semiHidden/>
    <w:rsid w:val="00D30B69"/>
    <w:rPr>
      <w:rFonts w:ascii="Consolas" w:hAnsi="Consolas" w:cs="Consolas"/>
      <w:sz w:val="20"/>
      <w:szCs w:val="20"/>
    </w:rPr>
  </w:style>
  <w:style w:type="character" w:styleId="HTMLVariable">
    <w:name w:val="HTML Variable"/>
    <w:basedOn w:val="DefaultParagraphFont"/>
    <w:uiPriority w:val="99"/>
    <w:semiHidden/>
    <w:rsid w:val="00D30B69"/>
    <w:rPr>
      <w:i/>
      <w:iCs/>
    </w:rPr>
  </w:style>
  <w:style w:type="paragraph" w:styleId="Index1">
    <w:name w:val="index 1"/>
    <w:basedOn w:val="Normal"/>
    <w:next w:val="Normal"/>
    <w:autoRedefine/>
    <w:uiPriority w:val="99"/>
    <w:semiHidden/>
    <w:rsid w:val="00D30B69"/>
    <w:pPr>
      <w:ind w:left="240" w:hanging="240"/>
    </w:pPr>
  </w:style>
  <w:style w:type="paragraph" w:styleId="Index2">
    <w:name w:val="index 2"/>
    <w:basedOn w:val="Normal"/>
    <w:next w:val="Normal"/>
    <w:autoRedefine/>
    <w:uiPriority w:val="99"/>
    <w:semiHidden/>
    <w:rsid w:val="00D30B69"/>
    <w:pPr>
      <w:ind w:left="480" w:hanging="240"/>
    </w:pPr>
  </w:style>
  <w:style w:type="paragraph" w:styleId="Index3">
    <w:name w:val="index 3"/>
    <w:basedOn w:val="Normal"/>
    <w:next w:val="Normal"/>
    <w:autoRedefine/>
    <w:uiPriority w:val="99"/>
    <w:semiHidden/>
    <w:rsid w:val="00D30B69"/>
    <w:pPr>
      <w:ind w:left="720" w:hanging="240"/>
    </w:pPr>
  </w:style>
  <w:style w:type="paragraph" w:styleId="Index4">
    <w:name w:val="index 4"/>
    <w:basedOn w:val="Normal"/>
    <w:next w:val="Normal"/>
    <w:autoRedefine/>
    <w:uiPriority w:val="99"/>
    <w:semiHidden/>
    <w:rsid w:val="00D30B69"/>
    <w:pPr>
      <w:ind w:left="960" w:hanging="240"/>
    </w:pPr>
  </w:style>
  <w:style w:type="paragraph" w:styleId="Index5">
    <w:name w:val="index 5"/>
    <w:basedOn w:val="Normal"/>
    <w:next w:val="Normal"/>
    <w:autoRedefine/>
    <w:uiPriority w:val="99"/>
    <w:semiHidden/>
    <w:rsid w:val="00D30B69"/>
    <w:pPr>
      <w:ind w:left="1200" w:hanging="240"/>
    </w:pPr>
  </w:style>
  <w:style w:type="paragraph" w:styleId="Index6">
    <w:name w:val="index 6"/>
    <w:basedOn w:val="Normal"/>
    <w:next w:val="Normal"/>
    <w:autoRedefine/>
    <w:uiPriority w:val="99"/>
    <w:semiHidden/>
    <w:rsid w:val="00D30B69"/>
    <w:pPr>
      <w:ind w:left="1440" w:hanging="240"/>
    </w:pPr>
  </w:style>
  <w:style w:type="paragraph" w:styleId="Index7">
    <w:name w:val="index 7"/>
    <w:basedOn w:val="Normal"/>
    <w:next w:val="Normal"/>
    <w:autoRedefine/>
    <w:uiPriority w:val="99"/>
    <w:semiHidden/>
    <w:rsid w:val="00D30B69"/>
    <w:pPr>
      <w:ind w:left="1680" w:hanging="240"/>
    </w:pPr>
  </w:style>
  <w:style w:type="paragraph" w:styleId="Index8">
    <w:name w:val="index 8"/>
    <w:basedOn w:val="Normal"/>
    <w:next w:val="Normal"/>
    <w:autoRedefine/>
    <w:uiPriority w:val="99"/>
    <w:semiHidden/>
    <w:rsid w:val="00D30B69"/>
    <w:pPr>
      <w:ind w:left="1920" w:hanging="240"/>
    </w:pPr>
  </w:style>
  <w:style w:type="paragraph" w:styleId="Index9">
    <w:name w:val="index 9"/>
    <w:basedOn w:val="Normal"/>
    <w:next w:val="Normal"/>
    <w:autoRedefine/>
    <w:uiPriority w:val="99"/>
    <w:semiHidden/>
    <w:rsid w:val="00D30B69"/>
    <w:pPr>
      <w:ind w:left="2160" w:hanging="240"/>
    </w:pPr>
  </w:style>
  <w:style w:type="paragraph" w:styleId="IndexHeading">
    <w:name w:val="index heading"/>
    <w:basedOn w:val="Normal"/>
    <w:next w:val="Index1"/>
    <w:uiPriority w:val="99"/>
    <w:semiHidden/>
    <w:rsid w:val="00D30B69"/>
    <w:rPr>
      <w:rFonts w:asciiTheme="majorHAnsi" w:eastAsiaTheme="majorEastAsia" w:hAnsiTheme="majorHAnsi" w:cstheme="majorBidi"/>
      <w:b/>
      <w:bCs/>
    </w:rPr>
  </w:style>
  <w:style w:type="table" w:styleId="LightGrid">
    <w:name w:val="Light Grid"/>
    <w:basedOn w:val="TableNormal"/>
    <w:uiPriority w:val="62"/>
    <w:semiHidden/>
    <w:rsid w:val="00D30B6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30B6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30B6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30B6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30B6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30B6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30B6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30B6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30B6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30B6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30B6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30B6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30B6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30B6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30B6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30B6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30B6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30B6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30B6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30B6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30B6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30B69"/>
  </w:style>
  <w:style w:type="paragraph" w:styleId="List">
    <w:name w:val="List"/>
    <w:basedOn w:val="Normal"/>
    <w:uiPriority w:val="99"/>
    <w:semiHidden/>
    <w:rsid w:val="00D30B69"/>
    <w:pPr>
      <w:ind w:left="283" w:hanging="283"/>
      <w:contextualSpacing/>
    </w:pPr>
  </w:style>
  <w:style w:type="paragraph" w:styleId="List2">
    <w:name w:val="List 2"/>
    <w:basedOn w:val="Normal"/>
    <w:uiPriority w:val="99"/>
    <w:semiHidden/>
    <w:rsid w:val="00D30B69"/>
    <w:pPr>
      <w:ind w:left="566" w:hanging="283"/>
      <w:contextualSpacing/>
    </w:pPr>
  </w:style>
  <w:style w:type="paragraph" w:styleId="List3">
    <w:name w:val="List 3"/>
    <w:basedOn w:val="Normal"/>
    <w:uiPriority w:val="99"/>
    <w:semiHidden/>
    <w:rsid w:val="00D30B69"/>
    <w:pPr>
      <w:ind w:left="849" w:hanging="283"/>
      <w:contextualSpacing/>
    </w:pPr>
  </w:style>
  <w:style w:type="paragraph" w:styleId="List4">
    <w:name w:val="List 4"/>
    <w:basedOn w:val="Normal"/>
    <w:uiPriority w:val="99"/>
    <w:semiHidden/>
    <w:rsid w:val="00D30B69"/>
    <w:pPr>
      <w:ind w:left="1132" w:hanging="283"/>
      <w:contextualSpacing/>
    </w:pPr>
  </w:style>
  <w:style w:type="paragraph" w:styleId="List5">
    <w:name w:val="List 5"/>
    <w:basedOn w:val="Normal"/>
    <w:uiPriority w:val="99"/>
    <w:semiHidden/>
    <w:rsid w:val="00D30B69"/>
    <w:pPr>
      <w:ind w:left="1415" w:hanging="283"/>
      <w:contextualSpacing/>
    </w:pPr>
  </w:style>
  <w:style w:type="paragraph" w:styleId="ListBullet2">
    <w:name w:val="List Bullet 2"/>
    <w:basedOn w:val="Normal"/>
    <w:uiPriority w:val="99"/>
    <w:semiHidden/>
    <w:rsid w:val="00D30B69"/>
    <w:pPr>
      <w:numPr>
        <w:numId w:val="37"/>
      </w:numPr>
      <w:contextualSpacing/>
    </w:pPr>
  </w:style>
  <w:style w:type="paragraph" w:styleId="ListBullet3">
    <w:name w:val="List Bullet 3"/>
    <w:basedOn w:val="Normal"/>
    <w:uiPriority w:val="99"/>
    <w:semiHidden/>
    <w:rsid w:val="00D30B69"/>
    <w:pPr>
      <w:numPr>
        <w:numId w:val="38"/>
      </w:numPr>
      <w:contextualSpacing/>
    </w:pPr>
  </w:style>
  <w:style w:type="paragraph" w:styleId="ListBullet4">
    <w:name w:val="List Bullet 4"/>
    <w:basedOn w:val="Normal"/>
    <w:uiPriority w:val="99"/>
    <w:semiHidden/>
    <w:rsid w:val="00D30B69"/>
    <w:pPr>
      <w:numPr>
        <w:numId w:val="39"/>
      </w:numPr>
      <w:contextualSpacing/>
    </w:pPr>
  </w:style>
  <w:style w:type="paragraph" w:styleId="ListBullet5">
    <w:name w:val="List Bullet 5"/>
    <w:basedOn w:val="Normal"/>
    <w:uiPriority w:val="99"/>
    <w:semiHidden/>
    <w:rsid w:val="00D30B69"/>
    <w:pPr>
      <w:numPr>
        <w:numId w:val="40"/>
      </w:numPr>
      <w:contextualSpacing/>
    </w:pPr>
  </w:style>
  <w:style w:type="paragraph" w:styleId="ListContinue">
    <w:name w:val="List Continue"/>
    <w:basedOn w:val="Normal"/>
    <w:uiPriority w:val="99"/>
    <w:semiHidden/>
    <w:rsid w:val="00D30B69"/>
    <w:pPr>
      <w:spacing w:after="120"/>
      <w:ind w:left="283"/>
      <w:contextualSpacing/>
    </w:pPr>
  </w:style>
  <w:style w:type="paragraph" w:styleId="ListContinue2">
    <w:name w:val="List Continue 2"/>
    <w:basedOn w:val="Normal"/>
    <w:uiPriority w:val="99"/>
    <w:semiHidden/>
    <w:rsid w:val="00D30B69"/>
    <w:pPr>
      <w:spacing w:after="120"/>
      <w:ind w:left="566"/>
      <w:contextualSpacing/>
    </w:pPr>
  </w:style>
  <w:style w:type="paragraph" w:styleId="ListContinue3">
    <w:name w:val="List Continue 3"/>
    <w:basedOn w:val="Normal"/>
    <w:uiPriority w:val="99"/>
    <w:semiHidden/>
    <w:rsid w:val="00D30B69"/>
    <w:pPr>
      <w:spacing w:after="120"/>
      <w:ind w:left="849"/>
      <w:contextualSpacing/>
    </w:pPr>
  </w:style>
  <w:style w:type="paragraph" w:styleId="ListContinue4">
    <w:name w:val="List Continue 4"/>
    <w:basedOn w:val="Normal"/>
    <w:uiPriority w:val="99"/>
    <w:semiHidden/>
    <w:rsid w:val="00D30B69"/>
    <w:pPr>
      <w:spacing w:after="120"/>
      <w:ind w:left="1132"/>
      <w:contextualSpacing/>
    </w:pPr>
  </w:style>
  <w:style w:type="paragraph" w:styleId="ListContinue5">
    <w:name w:val="List Continue 5"/>
    <w:basedOn w:val="Normal"/>
    <w:uiPriority w:val="99"/>
    <w:semiHidden/>
    <w:rsid w:val="00D30B69"/>
    <w:pPr>
      <w:spacing w:after="120"/>
      <w:ind w:left="1415"/>
      <w:contextualSpacing/>
    </w:pPr>
  </w:style>
  <w:style w:type="paragraph" w:styleId="ListNumber">
    <w:name w:val="List Number"/>
    <w:basedOn w:val="Normal"/>
    <w:uiPriority w:val="99"/>
    <w:semiHidden/>
    <w:rsid w:val="00D30B69"/>
    <w:pPr>
      <w:numPr>
        <w:numId w:val="41"/>
      </w:numPr>
      <w:contextualSpacing/>
    </w:pPr>
  </w:style>
  <w:style w:type="paragraph" w:styleId="ListNumber2">
    <w:name w:val="List Number 2"/>
    <w:basedOn w:val="Normal"/>
    <w:uiPriority w:val="99"/>
    <w:semiHidden/>
    <w:rsid w:val="00D30B69"/>
    <w:pPr>
      <w:numPr>
        <w:numId w:val="42"/>
      </w:numPr>
      <w:contextualSpacing/>
    </w:pPr>
  </w:style>
  <w:style w:type="paragraph" w:styleId="ListNumber3">
    <w:name w:val="List Number 3"/>
    <w:basedOn w:val="Normal"/>
    <w:uiPriority w:val="99"/>
    <w:semiHidden/>
    <w:rsid w:val="00D30B69"/>
    <w:pPr>
      <w:numPr>
        <w:numId w:val="43"/>
      </w:numPr>
      <w:contextualSpacing/>
    </w:pPr>
  </w:style>
  <w:style w:type="paragraph" w:styleId="ListNumber4">
    <w:name w:val="List Number 4"/>
    <w:basedOn w:val="Normal"/>
    <w:uiPriority w:val="99"/>
    <w:semiHidden/>
    <w:rsid w:val="00D30B69"/>
    <w:pPr>
      <w:numPr>
        <w:numId w:val="44"/>
      </w:numPr>
      <w:contextualSpacing/>
    </w:pPr>
  </w:style>
  <w:style w:type="paragraph" w:styleId="ListNumber5">
    <w:name w:val="List Number 5"/>
    <w:basedOn w:val="Normal"/>
    <w:uiPriority w:val="99"/>
    <w:semiHidden/>
    <w:rsid w:val="00D30B69"/>
    <w:pPr>
      <w:numPr>
        <w:numId w:val="45"/>
      </w:numPr>
      <w:contextualSpacing/>
    </w:pPr>
  </w:style>
  <w:style w:type="paragraph" w:styleId="MacroText">
    <w:name w:val="macro"/>
    <w:link w:val="MacroTextChar"/>
    <w:uiPriority w:val="99"/>
    <w:semiHidden/>
    <w:rsid w:val="00D30B6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30B69"/>
    <w:rPr>
      <w:rFonts w:ascii="Consolas" w:eastAsiaTheme="minorEastAsia" w:hAnsi="Consolas" w:cs="Consolas"/>
      <w:sz w:val="20"/>
      <w:szCs w:val="20"/>
    </w:rPr>
  </w:style>
  <w:style w:type="table" w:styleId="MediumGrid1">
    <w:name w:val="Medium Grid 1"/>
    <w:basedOn w:val="TableNormal"/>
    <w:uiPriority w:val="67"/>
    <w:semiHidden/>
    <w:rsid w:val="00D30B6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30B6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30B6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30B6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30B6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30B6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30B6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30B6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30B6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30B6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30B6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30B6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30B6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30B6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30B6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30B6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30B6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30B6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30B6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30B6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30B6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30B6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30B6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30B6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30B6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30B6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30B6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30B6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30B6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30B6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30B6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30B6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30B6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30B6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30B6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30B6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30B6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30B6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D30B69"/>
    <w:rPr>
      <w:rFonts w:ascii="Times New Roman" w:hAnsi="Times New Roman" w:cs="Times New Roman"/>
      <w:szCs w:val="24"/>
    </w:rPr>
  </w:style>
  <w:style w:type="paragraph" w:styleId="NormalIndent">
    <w:name w:val="Normal Indent"/>
    <w:basedOn w:val="Normal"/>
    <w:uiPriority w:val="99"/>
    <w:semiHidden/>
    <w:rsid w:val="00D30B69"/>
    <w:pPr>
      <w:ind w:left="720"/>
    </w:pPr>
  </w:style>
  <w:style w:type="paragraph" w:styleId="NoteHeading">
    <w:name w:val="Note Heading"/>
    <w:basedOn w:val="Normal"/>
    <w:next w:val="Normal"/>
    <w:link w:val="NoteHeadingChar"/>
    <w:uiPriority w:val="99"/>
    <w:semiHidden/>
    <w:rsid w:val="00D30B69"/>
  </w:style>
  <w:style w:type="character" w:customStyle="1" w:styleId="NoteHeadingChar">
    <w:name w:val="Note Heading Char"/>
    <w:basedOn w:val="DefaultParagraphFont"/>
    <w:link w:val="NoteHeading"/>
    <w:uiPriority w:val="99"/>
    <w:semiHidden/>
    <w:rsid w:val="00D30B69"/>
    <w:rPr>
      <w:rFonts w:eastAsiaTheme="minorEastAsia"/>
      <w:sz w:val="24"/>
      <w:lang w:val="en-GB"/>
    </w:rPr>
  </w:style>
  <w:style w:type="character" w:styleId="PlaceholderText">
    <w:name w:val="Placeholder Text"/>
    <w:basedOn w:val="DefaultParagraphFont"/>
    <w:uiPriority w:val="99"/>
    <w:semiHidden/>
    <w:rsid w:val="00D30B6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30B69"/>
    <w:rPr>
      <w:rFonts w:ascii="Consolas" w:hAnsi="Consolas" w:cs="Consolas"/>
      <w:sz w:val="21"/>
      <w:szCs w:val="21"/>
    </w:rPr>
  </w:style>
  <w:style w:type="character" w:customStyle="1" w:styleId="PlainTextChar">
    <w:name w:val="Plain Text Char"/>
    <w:basedOn w:val="DefaultParagraphFont"/>
    <w:link w:val="PlainText"/>
    <w:uiPriority w:val="99"/>
    <w:semiHidden/>
    <w:rsid w:val="00D30B69"/>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D30B69"/>
  </w:style>
  <w:style w:type="character" w:customStyle="1" w:styleId="SalutationChar">
    <w:name w:val="Salutation Char"/>
    <w:basedOn w:val="DefaultParagraphFont"/>
    <w:link w:val="Salutation"/>
    <w:uiPriority w:val="99"/>
    <w:semiHidden/>
    <w:rsid w:val="00D30B69"/>
    <w:rPr>
      <w:rFonts w:eastAsiaTheme="minorEastAsia"/>
      <w:sz w:val="24"/>
      <w:lang w:val="en-GB"/>
    </w:rPr>
  </w:style>
  <w:style w:type="paragraph" w:styleId="Signature">
    <w:name w:val="Signature"/>
    <w:basedOn w:val="Normal"/>
    <w:link w:val="SignatureChar"/>
    <w:uiPriority w:val="99"/>
    <w:semiHidden/>
    <w:rsid w:val="00D30B69"/>
    <w:pPr>
      <w:ind w:left="4252"/>
    </w:pPr>
  </w:style>
  <w:style w:type="character" w:customStyle="1" w:styleId="SignatureChar">
    <w:name w:val="Signature Char"/>
    <w:basedOn w:val="DefaultParagraphFont"/>
    <w:link w:val="Signature"/>
    <w:uiPriority w:val="99"/>
    <w:semiHidden/>
    <w:rsid w:val="00D30B69"/>
    <w:rPr>
      <w:rFonts w:eastAsiaTheme="minorEastAsia"/>
      <w:sz w:val="24"/>
      <w:lang w:val="en-GB"/>
    </w:rPr>
  </w:style>
  <w:style w:type="table" w:styleId="Table3Deffects1">
    <w:name w:val="Table 3D effects 1"/>
    <w:basedOn w:val="TableNormal"/>
    <w:uiPriority w:val="99"/>
    <w:semiHidden/>
    <w:unhideWhenUsed/>
    <w:rsid w:val="00D30B6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30B6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30B6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30B6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30B6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30B6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30B6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30B6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30B6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30B6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30B6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30B6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30B6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30B6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30B6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30B6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30B6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30B6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30B6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30B6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30B6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30B6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30B6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30B6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30B6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30B6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30B6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30B6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30B6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30B6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30B6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30B6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30B6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30B69"/>
    <w:pPr>
      <w:ind w:left="240" w:hanging="240"/>
    </w:pPr>
  </w:style>
  <w:style w:type="paragraph" w:styleId="TableofFigures">
    <w:name w:val="table of figures"/>
    <w:basedOn w:val="Normal"/>
    <w:next w:val="Normal"/>
    <w:uiPriority w:val="99"/>
    <w:semiHidden/>
    <w:rsid w:val="00D30B69"/>
  </w:style>
  <w:style w:type="table" w:styleId="TableProfessional">
    <w:name w:val="Table Professional"/>
    <w:basedOn w:val="TableNormal"/>
    <w:uiPriority w:val="99"/>
    <w:semiHidden/>
    <w:unhideWhenUsed/>
    <w:rsid w:val="00D30B6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30B6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30B6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30B6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30B6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30B6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30B6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30B6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30B6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30B6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30B6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30B6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30B69"/>
    <w:pPr>
      <w:spacing w:after="100"/>
      <w:ind w:left="1680"/>
    </w:pPr>
  </w:style>
  <w:style w:type="paragraph" w:styleId="TOC9">
    <w:name w:val="toc 9"/>
    <w:basedOn w:val="Normal"/>
    <w:next w:val="Normal"/>
    <w:autoRedefine/>
    <w:uiPriority w:val="99"/>
    <w:semiHidden/>
    <w:rsid w:val="00D30B69"/>
    <w:pPr>
      <w:spacing w:after="100"/>
      <w:ind w:left="1920"/>
    </w:pPr>
  </w:style>
  <w:style w:type="paragraph" w:customStyle="1" w:styleId="JuHeaderLandscape">
    <w:name w:val="Ju_Header_Landscape"/>
    <w:aliases w:val="_Header_Landscape"/>
    <w:basedOn w:val="JuHeader"/>
    <w:uiPriority w:val="30"/>
    <w:qFormat/>
    <w:rsid w:val="00D30B69"/>
    <w:pPr>
      <w:tabs>
        <w:tab w:val="clear" w:pos="3686"/>
        <w:tab w:val="clear" w:pos="7371"/>
        <w:tab w:val="center" w:pos="6146"/>
        <w:tab w:val="right" w:pos="12293"/>
      </w:tabs>
    </w:pPr>
  </w:style>
  <w:style w:type="character" w:customStyle="1" w:styleId="ECHRParaChar">
    <w:name w:val="ECHR_Para Char"/>
    <w:aliases w:val="Ju_Para Char"/>
    <w:basedOn w:val="DefaultParagraphFont"/>
    <w:link w:val="JuPara"/>
    <w:uiPriority w:val="8"/>
    <w:rsid w:val="006374D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055842">
      <w:bodyDiv w:val="1"/>
      <w:marLeft w:val="0"/>
      <w:marRight w:val="0"/>
      <w:marTop w:val="0"/>
      <w:marBottom w:val="0"/>
      <w:divBdr>
        <w:top w:val="none" w:sz="0" w:space="0" w:color="auto"/>
        <w:left w:val="none" w:sz="0" w:space="0" w:color="auto"/>
        <w:bottom w:val="none" w:sz="0" w:space="0" w:color="auto"/>
        <w:right w:val="none" w:sz="0" w:space="0" w:color="auto"/>
      </w:divBdr>
    </w:div>
    <w:div w:id="112291878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11663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FE51BE-B6B0-403A-A18D-B9481229DBF4}"/>
</file>

<file path=customXml/itemProps2.xml><?xml version="1.0" encoding="utf-8"?>
<ds:datastoreItem xmlns:ds="http://schemas.openxmlformats.org/officeDocument/2006/customXml" ds:itemID="{5A2F1366-7927-49BD-B64A-EFFB3A91C15E}"/>
</file>

<file path=customXml/itemProps3.xml><?xml version="1.0" encoding="utf-8"?>
<ds:datastoreItem xmlns:ds="http://schemas.openxmlformats.org/officeDocument/2006/customXml" ds:itemID="{53CD00AB-9F86-4130-8CBD-2CF8288C8AD0}"/>
</file>

<file path=customXml/itemProps4.xml><?xml version="1.0" encoding="utf-8"?>
<ds:datastoreItem xmlns:ds="http://schemas.openxmlformats.org/officeDocument/2006/customXml" ds:itemID="{BD0A5C21-526E-458B-8DBF-C84C1D3CDF68}"/>
</file>

<file path=docProps/app.xml><?xml version="1.0" encoding="utf-8"?>
<Properties xmlns="http://schemas.openxmlformats.org/officeDocument/2006/extended-properties" xmlns:vt="http://schemas.openxmlformats.org/officeDocument/2006/docPropsVTypes">
  <Template>Normal.dotm</Template>
  <TotalTime>0</TotalTime>
  <Pages>1</Pages>
  <Words>3385</Words>
  <Characters>19301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2019-09-18T14:08:00Z</dcterms:created>
  <dcterms:modified xsi:type="dcterms:W3CDTF">2019-09-18T14:08:00Z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lpwstr>2057</vt:lpwstr>
  </property>
  <property fmtid="{D5CDD505-2E9C-101B-9397-08002B2CF9AE}" pid="3" name="RegisteredNo">
    <vt:lpwstr>37734/14</vt:lpwstr>
  </property>
  <property fmtid="{D5CDD505-2E9C-101B-9397-08002B2CF9AE}" pid="4" name="CASEID">
    <vt:lpwstr>1019459</vt:lpwstr>
  </property>
  <property fmtid="{D5CDD505-2E9C-101B-9397-08002B2CF9AE}" pid="5" name="ContentTypeId">
    <vt:lpwstr>0x010100558EB02BDB9E204AB350EDD385B68E10</vt:lpwstr>
  </property>
</Properties>
</file>