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02AC8" w:rsidR="00470981" w:rsidP="00C02AC8" w:rsidRDefault="00470981">
      <w:pPr>
        <w:jc w:val="center"/>
      </w:pPr>
      <w:bookmarkStart w:name="_GoBack" w:id="0"/>
      <w:bookmarkEnd w:id="0"/>
    </w:p>
    <w:p w:rsidRPr="00C02AC8" w:rsidR="00EB45B8" w:rsidP="00C02AC8" w:rsidRDefault="00EB45B8">
      <w:pPr>
        <w:jc w:val="center"/>
      </w:pPr>
    </w:p>
    <w:p w:rsidRPr="00C02AC8" w:rsidR="00EB45B8" w:rsidP="00C02AC8" w:rsidRDefault="00EB45B8">
      <w:pPr>
        <w:jc w:val="center"/>
      </w:pPr>
    </w:p>
    <w:p w:rsidRPr="00C02AC8" w:rsidR="00470981" w:rsidP="00C02AC8" w:rsidRDefault="00354D47">
      <w:pPr>
        <w:jc w:val="center"/>
      </w:pPr>
      <w:r w:rsidRPr="00C02AC8">
        <w:t>FIFTH SECTION</w:t>
      </w:r>
    </w:p>
    <w:p w:rsidRPr="00C02AC8" w:rsidR="00470981" w:rsidP="00C02AC8" w:rsidRDefault="00470981">
      <w:pPr>
        <w:jc w:val="center"/>
      </w:pPr>
    </w:p>
    <w:p w:rsidRPr="00C02AC8" w:rsidR="00EB45B8" w:rsidP="00C02AC8" w:rsidRDefault="00EB45B8">
      <w:pPr>
        <w:jc w:val="center"/>
      </w:pPr>
    </w:p>
    <w:p w:rsidRPr="00C02AC8" w:rsidR="00EB45B8" w:rsidP="00C02AC8" w:rsidRDefault="00EB45B8">
      <w:pPr>
        <w:jc w:val="center"/>
      </w:pPr>
    </w:p>
    <w:p w:rsidRPr="00C02AC8" w:rsidR="00EB45B8" w:rsidP="00C02AC8" w:rsidRDefault="00EB45B8">
      <w:pPr>
        <w:jc w:val="center"/>
      </w:pPr>
    </w:p>
    <w:p w:rsidRPr="00C02AC8" w:rsidR="00EB45B8" w:rsidP="00C02AC8" w:rsidRDefault="00EB45B8">
      <w:pPr>
        <w:jc w:val="center"/>
      </w:pPr>
    </w:p>
    <w:p w:rsidRPr="00C02AC8" w:rsidR="00EB45B8" w:rsidP="00C02AC8" w:rsidRDefault="00EB45B8">
      <w:pPr>
        <w:jc w:val="center"/>
      </w:pPr>
    </w:p>
    <w:p w:rsidRPr="00C02AC8" w:rsidR="007D338C" w:rsidP="00C02AC8" w:rsidRDefault="007D338C">
      <w:pPr>
        <w:jc w:val="center"/>
      </w:pPr>
    </w:p>
    <w:p w:rsidRPr="00C02AC8" w:rsidR="00EB45B8" w:rsidP="00C02AC8" w:rsidRDefault="00EB45B8">
      <w:pPr>
        <w:jc w:val="center"/>
      </w:pPr>
    </w:p>
    <w:p w:rsidRPr="00C02AC8" w:rsidR="00470981" w:rsidP="00C02AC8" w:rsidRDefault="00470981">
      <w:pPr>
        <w:jc w:val="center"/>
        <w:rPr>
          <w:b/>
        </w:rPr>
      </w:pPr>
      <w:bookmarkStart w:name="To" w:id="1"/>
      <w:r w:rsidRPr="00C02AC8">
        <w:rPr>
          <w:b/>
        </w:rPr>
        <w:t xml:space="preserve">CASE OF </w:t>
      </w:r>
      <w:bookmarkEnd w:id="1"/>
      <w:r w:rsidRPr="00C02AC8" w:rsidR="00354D47">
        <w:rPr>
          <w:b/>
        </w:rPr>
        <w:t>MIHALEVI v. BULGARIA</w:t>
      </w:r>
    </w:p>
    <w:p w:rsidRPr="00C02AC8" w:rsidR="00470981" w:rsidP="00C02AC8" w:rsidRDefault="00470981">
      <w:pPr>
        <w:jc w:val="center"/>
      </w:pPr>
    </w:p>
    <w:p w:rsidRPr="00C02AC8" w:rsidR="00470981" w:rsidP="00C02AC8" w:rsidRDefault="00470981">
      <w:pPr>
        <w:jc w:val="center"/>
        <w:rPr>
          <w:i/>
        </w:rPr>
      </w:pPr>
      <w:r w:rsidRPr="00C02AC8">
        <w:rPr>
          <w:i/>
        </w:rPr>
        <w:t>(</w:t>
      </w:r>
      <w:r w:rsidRPr="00C02AC8" w:rsidR="00354D47">
        <w:rPr>
          <w:i/>
        </w:rPr>
        <w:t>Application no. 63481/11</w:t>
      </w:r>
      <w:r w:rsidRPr="00C02AC8">
        <w:rPr>
          <w:i/>
        </w:rPr>
        <w:t>)</w:t>
      </w:r>
    </w:p>
    <w:p w:rsidRPr="00C02AC8" w:rsidR="00EB45B8" w:rsidP="00C02AC8" w:rsidRDefault="00EB45B8">
      <w:pPr>
        <w:jc w:val="center"/>
        <w:rPr>
          <w:i/>
        </w:rPr>
      </w:pPr>
    </w:p>
    <w:p w:rsidRPr="00C02AC8" w:rsidR="00EB45B8" w:rsidP="00C02AC8" w:rsidRDefault="00EB45B8">
      <w:pPr>
        <w:jc w:val="center"/>
        <w:rPr>
          <w:i/>
        </w:rPr>
      </w:pPr>
    </w:p>
    <w:p w:rsidRPr="00C02AC8" w:rsidR="00EB45B8" w:rsidP="00C02AC8" w:rsidRDefault="00EB45B8">
      <w:pPr>
        <w:jc w:val="center"/>
        <w:rPr>
          <w:i/>
        </w:rPr>
      </w:pPr>
    </w:p>
    <w:p w:rsidRPr="00C02AC8" w:rsidR="00EB45B8" w:rsidP="00C02AC8" w:rsidRDefault="00EB45B8">
      <w:pPr>
        <w:jc w:val="center"/>
        <w:rPr>
          <w:i/>
        </w:rPr>
      </w:pPr>
    </w:p>
    <w:p w:rsidRPr="00C02AC8" w:rsidR="00EB45B8" w:rsidP="00C02AC8" w:rsidRDefault="00EB45B8">
      <w:pPr>
        <w:jc w:val="center"/>
        <w:rPr>
          <w:i/>
        </w:rPr>
      </w:pPr>
    </w:p>
    <w:p w:rsidRPr="00C02AC8" w:rsidR="00EB45B8" w:rsidP="00C02AC8" w:rsidRDefault="00EB45B8">
      <w:pPr>
        <w:jc w:val="center"/>
        <w:rPr>
          <w:i/>
        </w:rPr>
      </w:pPr>
    </w:p>
    <w:p w:rsidRPr="00C02AC8" w:rsidR="00EB45B8" w:rsidP="00C02AC8" w:rsidRDefault="00EB45B8">
      <w:pPr>
        <w:jc w:val="center"/>
        <w:rPr>
          <w:i/>
        </w:rPr>
      </w:pPr>
    </w:p>
    <w:p w:rsidRPr="00C02AC8" w:rsidR="00354D47" w:rsidP="00C02AC8" w:rsidRDefault="00EB45B8">
      <w:pPr>
        <w:jc w:val="center"/>
        <w:rPr>
          <w:szCs w:val="24"/>
        </w:rPr>
      </w:pPr>
      <w:r w:rsidRPr="00C02AC8">
        <w:rPr>
          <w:szCs w:val="24"/>
        </w:rPr>
        <w:t>JUDGMENT</w:t>
      </w:r>
    </w:p>
    <w:p w:rsidRPr="00C02AC8" w:rsidR="00470981" w:rsidP="00C02AC8" w:rsidRDefault="00354D47">
      <w:pPr>
        <w:jc w:val="center"/>
        <w:rPr>
          <w:i/>
          <w:szCs w:val="24"/>
        </w:rPr>
      </w:pPr>
      <w:r w:rsidRPr="00C02AC8">
        <w:rPr>
          <w:i/>
          <w:szCs w:val="24"/>
        </w:rPr>
        <w:t>(Just satisfaction)</w:t>
      </w:r>
    </w:p>
    <w:p w:rsidRPr="00C02AC8" w:rsidR="00EB45B8" w:rsidP="00C02AC8" w:rsidRDefault="00EB45B8">
      <w:pPr>
        <w:jc w:val="center"/>
        <w:rPr>
          <w:szCs w:val="24"/>
        </w:rPr>
      </w:pPr>
    </w:p>
    <w:p w:rsidRPr="00C02AC8" w:rsidR="007D338C" w:rsidP="00C02AC8" w:rsidRDefault="007D338C">
      <w:pPr>
        <w:jc w:val="center"/>
        <w:rPr>
          <w:szCs w:val="24"/>
        </w:rPr>
      </w:pPr>
    </w:p>
    <w:p w:rsidRPr="00C02AC8" w:rsidR="007D338C" w:rsidP="00C02AC8" w:rsidRDefault="007D338C">
      <w:pPr>
        <w:jc w:val="center"/>
        <w:rPr>
          <w:szCs w:val="24"/>
        </w:rPr>
      </w:pPr>
    </w:p>
    <w:p w:rsidRPr="00C02AC8" w:rsidR="007D338C" w:rsidP="00C02AC8" w:rsidRDefault="007D338C">
      <w:pPr>
        <w:jc w:val="center"/>
        <w:rPr>
          <w:szCs w:val="24"/>
        </w:rPr>
      </w:pPr>
    </w:p>
    <w:p w:rsidRPr="00C02AC8" w:rsidR="007D338C" w:rsidP="00C02AC8" w:rsidRDefault="007D338C">
      <w:pPr>
        <w:jc w:val="center"/>
        <w:rPr>
          <w:szCs w:val="24"/>
        </w:rPr>
      </w:pPr>
    </w:p>
    <w:p w:rsidRPr="00C02AC8" w:rsidR="00EB45B8" w:rsidP="00C02AC8" w:rsidRDefault="00EB45B8">
      <w:pPr>
        <w:jc w:val="center"/>
        <w:rPr>
          <w:szCs w:val="24"/>
        </w:rPr>
      </w:pPr>
    </w:p>
    <w:p w:rsidRPr="00C02AC8" w:rsidR="00EB45B8" w:rsidP="00C02AC8" w:rsidRDefault="00EB45B8">
      <w:pPr>
        <w:jc w:val="center"/>
        <w:rPr>
          <w:szCs w:val="24"/>
        </w:rPr>
      </w:pPr>
      <w:r w:rsidRPr="00C02AC8">
        <w:rPr>
          <w:szCs w:val="24"/>
        </w:rPr>
        <w:t>STRASBOURG</w:t>
      </w:r>
    </w:p>
    <w:p w:rsidRPr="00C02AC8" w:rsidR="00EB45B8" w:rsidP="00C02AC8" w:rsidRDefault="00EB45B8">
      <w:pPr>
        <w:jc w:val="center"/>
        <w:rPr>
          <w:szCs w:val="24"/>
        </w:rPr>
      </w:pPr>
    </w:p>
    <w:p w:rsidRPr="00C02AC8" w:rsidR="00EB45B8" w:rsidP="00C02AC8" w:rsidRDefault="00EB45B8">
      <w:pPr>
        <w:jc w:val="center"/>
        <w:rPr>
          <w:szCs w:val="24"/>
        </w:rPr>
      </w:pPr>
    </w:p>
    <w:p w:rsidRPr="00C02AC8" w:rsidR="00EB45B8" w:rsidP="00C02AC8" w:rsidRDefault="00EB45B8">
      <w:pPr>
        <w:jc w:val="center"/>
        <w:rPr>
          <w:szCs w:val="24"/>
        </w:rPr>
      </w:pPr>
      <w:r w:rsidRPr="00C02AC8">
        <w:rPr>
          <w:szCs w:val="24"/>
        </w:rPr>
        <w:t>16 May 2019</w:t>
      </w:r>
    </w:p>
    <w:p w:rsidRPr="00C02AC8" w:rsidR="00EB45B8" w:rsidP="00C02AC8" w:rsidRDefault="00EB45B8">
      <w:pPr>
        <w:jc w:val="center"/>
        <w:rPr>
          <w:szCs w:val="24"/>
        </w:rPr>
      </w:pPr>
    </w:p>
    <w:p w:rsidRPr="00C02AC8" w:rsidR="00EB45B8" w:rsidP="00C02AC8" w:rsidRDefault="00EB45B8">
      <w:pPr>
        <w:jc w:val="center"/>
        <w:rPr>
          <w:szCs w:val="24"/>
        </w:rPr>
      </w:pPr>
    </w:p>
    <w:p w:rsidRPr="00C02AC8" w:rsidR="00EB45B8" w:rsidP="00C02AC8" w:rsidRDefault="00EB45B8">
      <w:pPr>
        <w:jc w:val="center"/>
        <w:rPr>
          <w:szCs w:val="24"/>
        </w:rPr>
      </w:pPr>
    </w:p>
    <w:p w:rsidRPr="00C02AC8" w:rsidR="009775F9" w:rsidP="00C02AC8" w:rsidRDefault="00EB45B8">
      <w:pPr>
        <w:rPr>
          <w:szCs w:val="24"/>
        </w:rPr>
      </w:pPr>
      <w:r w:rsidRPr="00C02AC8">
        <w:rPr>
          <w:i/>
          <w:sz w:val="22"/>
          <w:szCs w:val="24"/>
        </w:rPr>
        <w:t>This judgment is final but it may be subject to editorial revision.</w:t>
      </w:r>
    </w:p>
    <w:p w:rsidRPr="00C02AC8" w:rsidR="00EB45B8" w:rsidP="00C02AC8" w:rsidRDefault="00EB45B8">
      <w:pPr>
        <w:pStyle w:val="JuCase"/>
        <w:sectPr w:rsidRPr="00C02AC8" w:rsidR="00EB45B8" w:rsidSect="00EB45B8">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02AC8" w:rsidR="00470981" w:rsidP="00C02AC8" w:rsidRDefault="00470981">
      <w:pPr>
        <w:pStyle w:val="JuCase"/>
        <w:rPr>
          <w:b w:val="0"/>
          <w:bCs/>
        </w:rPr>
      </w:pPr>
      <w:r w:rsidRPr="00C02AC8">
        <w:t xml:space="preserve">In the case of </w:t>
      </w:r>
      <w:proofErr w:type="spellStart"/>
      <w:r w:rsidRPr="00C02AC8" w:rsidR="00354D47">
        <w:t>Mihalevi</w:t>
      </w:r>
      <w:proofErr w:type="spellEnd"/>
      <w:r w:rsidRPr="00C02AC8" w:rsidR="00354D47">
        <w:t xml:space="preserve"> v. Bulgaria</w:t>
      </w:r>
      <w:r w:rsidRPr="00C02AC8">
        <w:t>,</w:t>
      </w:r>
    </w:p>
    <w:p w:rsidRPr="00C02AC8" w:rsidR="00470981" w:rsidP="00C02AC8" w:rsidRDefault="00470981">
      <w:pPr>
        <w:pStyle w:val="ECHRPara"/>
        <w:rPr>
          <w:b/>
        </w:rPr>
      </w:pPr>
      <w:r w:rsidRPr="00C02AC8">
        <w:t>The European Court of Human Rights</w:t>
      </w:r>
      <w:r w:rsidRPr="00C02AC8" w:rsidR="00354D47">
        <w:t xml:space="preserve"> (Fifth Section)</w:t>
      </w:r>
      <w:r w:rsidRPr="00C02AC8">
        <w:t xml:space="preserve">, sitting as a </w:t>
      </w:r>
      <w:r w:rsidRPr="00C02AC8" w:rsidR="00354D47">
        <w:t>Committee</w:t>
      </w:r>
      <w:r w:rsidRPr="00C02AC8">
        <w:t xml:space="preserve"> composed of:</w:t>
      </w:r>
    </w:p>
    <w:p w:rsidRPr="00C02AC8" w:rsidR="00470981" w:rsidP="00C02AC8" w:rsidRDefault="00EB45B8">
      <w:pPr>
        <w:pStyle w:val="ECHRDecisionBody"/>
      </w:pPr>
      <w:r w:rsidRPr="00C02AC8">
        <w:tab/>
        <w:t>Gabriele Kucsko-Stadlmayer,</w:t>
      </w:r>
      <w:r w:rsidRPr="00C02AC8">
        <w:rPr>
          <w:i/>
        </w:rPr>
        <w:t xml:space="preserve"> President,</w:t>
      </w:r>
      <w:r w:rsidRPr="00C02AC8">
        <w:rPr>
          <w:i/>
        </w:rPr>
        <w:br/>
      </w:r>
      <w:r w:rsidRPr="00C02AC8">
        <w:tab/>
        <w:t>Yonko Grozev,</w:t>
      </w:r>
      <w:r w:rsidRPr="00C02AC8">
        <w:rPr>
          <w:i/>
        </w:rPr>
        <w:br/>
      </w:r>
      <w:r w:rsidRPr="00C02AC8">
        <w:tab/>
        <w:t>Lado Chanturia,</w:t>
      </w:r>
      <w:r w:rsidRPr="00C02AC8">
        <w:rPr>
          <w:i/>
        </w:rPr>
        <w:t xml:space="preserve"> judges,</w:t>
      </w:r>
      <w:r w:rsidRPr="00C02AC8" w:rsidR="00470981">
        <w:br/>
        <w:t xml:space="preserve">and </w:t>
      </w:r>
      <w:r w:rsidRPr="00C02AC8" w:rsidR="00354D47">
        <w:t>Milan Blaško</w:t>
      </w:r>
      <w:r w:rsidRPr="00C02AC8" w:rsidR="00470981">
        <w:t xml:space="preserve">, </w:t>
      </w:r>
      <w:r w:rsidRPr="00C02AC8" w:rsidR="00354D47">
        <w:rPr>
          <w:i/>
        </w:rPr>
        <w:t xml:space="preserve">Deputy Section </w:t>
      </w:r>
      <w:r w:rsidRPr="00C02AC8" w:rsidR="00354D47">
        <w:rPr>
          <w:i/>
          <w:iCs/>
        </w:rPr>
        <w:t>Registrar</w:t>
      </w:r>
      <w:r w:rsidRPr="00C02AC8" w:rsidR="00470981">
        <w:t>,</w:t>
      </w:r>
    </w:p>
    <w:p w:rsidRPr="00C02AC8" w:rsidR="00470981" w:rsidP="00C02AC8" w:rsidRDefault="00470981">
      <w:pPr>
        <w:pStyle w:val="ECHRPara"/>
      </w:pPr>
      <w:r w:rsidRPr="00C02AC8">
        <w:t xml:space="preserve">Having deliberated in private on </w:t>
      </w:r>
      <w:r w:rsidRPr="00C02AC8" w:rsidR="00EB45B8">
        <w:t>23 April 2019</w:t>
      </w:r>
      <w:r w:rsidRPr="00C02AC8">
        <w:t>,</w:t>
      </w:r>
    </w:p>
    <w:p w:rsidRPr="00C02AC8" w:rsidR="00470981" w:rsidP="00C02AC8" w:rsidRDefault="00470981">
      <w:pPr>
        <w:pStyle w:val="ECHRPara"/>
      </w:pPr>
      <w:r w:rsidRPr="00C02AC8">
        <w:t>Delivers the following judgment, which was adopted on that date:</w:t>
      </w:r>
    </w:p>
    <w:p w:rsidRPr="00C02AC8" w:rsidR="00470981" w:rsidP="00C02AC8" w:rsidRDefault="00470981">
      <w:pPr>
        <w:pStyle w:val="ECHRTitle1"/>
      </w:pPr>
      <w:r w:rsidRPr="00C02AC8">
        <w:t>PROCEDURE</w:t>
      </w:r>
    </w:p>
    <w:p w:rsidRPr="00C02AC8" w:rsidR="00354D47"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1</w:t>
      </w:r>
      <w:r w:rsidRPr="00C02AC8">
        <w:fldChar w:fldCharType="end"/>
      </w:r>
      <w:r w:rsidRPr="00C02AC8" w:rsidR="00470981">
        <w:t>.  </w:t>
      </w:r>
      <w:r w:rsidRPr="00C02AC8" w:rsidR="00112229">
        <w:t xml:space="preserve">The case originated in an application (no. 63481/11) against the Republic of Bulgaria lodged with the Court under Article 34 of the Convention for the Protection of Human Rights and Fundamental Freedoms (“the Convention”) by two Bulgarian nationals, Mr </w:t>
      </w:r>
      <w:proofErr w:type="spellStart"/>
      <w:r w:rsidRPr="00C02AC8" w:rsidR="00112229">
        <w:t>Tsvetan</w:t>
      </w:r>
      <w:proofErr w:type="spellEnd"/>
      <w:r w:rsidRPr="00C02AC8" w:rsidR="00112229">
        <w:t xml:space="preserve"> </w:t>
      </w:r>
      <w:proofErr w:type="spellStart"/>
      <w:r w:rsidRPr="00C02AC8" w:rsidR="00112229">
        <w:t>Tsvetanov</w:t>
      </w:r>
      <w:proofErr w:type="spellEnd"/>
      <w:r w:rsidRPr="00C02AC8" w:rsidR="00112229">
        <w:t xml:space="preserve"> </w:t>
      </w:r>
      <w:proofErr w:type="spellStart"/>
      <w:r w:rsidRPr="00C02AC8" w:rsidR="00112229">
        <w:t>Mihalev</w:t>
      </w:r>
      <w:proofErr w:type="spellEnd"/>
      <w:r w:rsidRPr="00C02AC8" w:rsidR="00112229">
        <w:t xml:space="preserve"> and Ms Eleonora </w:t>
      </w:r>
      <w:proofErr w:type="spellStart"/>
      <w:r w:rsidRPr="00C02AC8" w:rsidR="00112229">
        <w:t>Petkova</w:t>
      </w:r>
      <w:proofErr w:type="spellEnd"/>
      <w:r w:rsidRPr="00C02AC8" w:rsidR="00112229">
        <w:t xml:space="preserve"> </w:t>
      </w:r>
      <w:proofErr w:type="spellStart"/>
      <w:r w:rsidRPr="00C02AC8" w:rsidR="00112229">
        <w:t>Mihaleva</w:t>
      </w:r>
      <w:proofErr w:type="spellEnd"/>
      <w:r w:rsidRPr="00C02AC8" w:rsidR="00112229">
        <w:t xml:space="preserve"> (</w:t>
      </w:r>
      <w:r w:rsidRPr="00C02AC8" w:rsidR="000D06A1">
        <w:t>“the applicants”), on 26 </w:t>
      </w:r>
      <w:r w:rsidRPr="00C02AC8" w:rsidR="00112229">
        <w:t>September 2011.</w:t>
      </w:r>
    </w:p>
    <w:p w:rsidRPr="00C02AC8" w:rsidR="00112229" w:rsidP="00C02AC8" w:rsidRDefault="00112229">
      <w:pPr>
        <w:pStyle w:val="ECHRPara"/>
      </w:pPr>
      <w:r w:rsidRPr="00C02AC8">
        <w:fldChar w:fldCharType="begin"/>
      </w:r>
      <w:r w:rsidRPr="00C02AC8">
        <w:instrText xml:space="preserve"> SEQ level0 \*arabic </w:instrText>
      </w:r>
      <w:r w:rsidRPr="00C02AC8">
        <w:fldChar w:fldCharType="separate"/>
      </w:r>
      <w:r w:rsidRPr="00C02AC8" w:rsidR="00C02AC8">
        <w:rPr>
          <w:noProof/>
        </w:rPr>
        <w:t>2</w:t>
      </w:r>
      <w:r w:rsidRPr="00C02AC8">
        <w:fldChar w:fldCharType="end"/>
      </w:r>
      <w:r w:rsidRPr="00C02AC8">
        <w:t xml:space="preserve">.  The applicants were represented by Ms N. </w:t>
      </w:r>
      <w:proofErr w:type="spellStart"/>
      <w:r w:rsidRPr="00C02AC8">
        <w:t>Sedefova</w:t>
      </w:r>
      <w:proofErr w:type="spellEnd"/>
      <w:r w:rsidRPr="00C02AC8">
        <w:t>, a lawyer practising in Sofia. The Bulgarian Government (“the Government”) were represented by their Agent, Ms R. Nikolova, of the Ministry of Justice.</w:t>
      </w:r>
    </w:p>
    <w:p w:rsidRPr="00C02AC8" w:rsidR="00470981"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3</w:t>
      </w:r>
      <w:r w:rsidRPr="00C02AC8">
        <w:fldChar w:fldCharType="end"/>
      </w:r>
      <w:r w:rsidRPr="00C02AC8" w:rsidR="00470981">
        <w:t xml:space="preserve">.  In a judgment delivered on </w:t>
      </w:r>
      <w:r w:rsidRPr="00C02AC8" w:rsidR="00112229">
        <w:t>21 June 2018</w:t>
      </w:r>
      <w:r w:rsidRPr="00C02AC8" w:rsidR="00470981">
        <w:t xml:space="preserve"> (“the princ</w:t>
      </w:r>
      <w:r w:rsidRPr="00C02AC8" w:rsidR="0000538B">
        <w:t>ipal judgment</w:t>
      </w:r>
      <w:r w:rsidRPr="00C02AC8" w:rsidR="00D34363">
        <w:t xml:space="preserve">”, see </w:t>
      </w:r>
      <w:proofErr w:type="spellStart"/>
      <w:r w:rsidRPr="00C02AC8" w:rsidR="00D34363">
        <w:rPr>
          <w:i/>
        </w:rPr>
        <w:t>Mihalevi</w:t>
      </w:r>
      <w:proofErr w:type="spellEnd"/>
      <w:r w:rsidRPr="00C02AC8" w:rsidR="00D34363">
        <w:rPr>
          <w:i/>
        </w:rPr>
        <w:t xml:space="preserve"> v. Bulgaria</w:t>
      </w:r>
      <w:r w:rsidRPr="00C02AC8" w:rsidR="00D34363">
        <w:t xml:space="preserve"> [Committee], no, 63481/11, 21 June 2018</w:t>
      </w:r>
      <w:r w:rsidRPr="00C02AC8" w:rsidR="0000538B">
        <w:t xml:space="preserve">), the Court found a violation of Article 1 of Protocol No. 1, </w:t>
      </w:r>
      <w:r w:rsidRPr="00C02AC8" w:rsidR="004A5FE5">
        <w:t>on the ground</w:t>
      </w:r>
      <w:r w:rsidRPr="00C02AC8" w:rsidR="0000538B">
        <w:t xml:space="preserve"> that the applicants had been unable to receive compensation for property expropriated </w:t>
      </w:r>
      <w:r w:rsidRPr="00C02AC8" w:rsidR="000D06A1">
        <w:t>in 1947</w:t>
      </w:r>
      <w:r w:rsidRPr="00C02AC8" w:rsidR="00952297">
        <w:t xml:space="preserve"> </w:t>
      </w:r>
      <w:r w:rsidRPr="00C02AC8" w:rsidR="0000538B">
        <w:t xml:space="preserve">from a predecessor of theirs. </w:t>
      </w:r>
      <w:r w:rsidRPr="00C02AC8" w:rsidR="00473988">
        <w:t>Under domestic law, expropriated owners</w:t>
      </w:r>
      <w:r w:rsidRPr="00C02AC8" w:rsidR="008318B1">
        <w:t>,</w:t>
      </w:r>
      <w:r w:rsidRPr="00C02AC8" w:rsidR="00473988">
        <w:t xml:space="preserve"> or their heirs</w:t>
      </w:r>
      <w:r w:rsidRPr="00C02AC8" w:rsidR="008318B1">
        <w:t>,</w:t>
      </w:r>
      <w:r w:rsidRPr="00C02AC8" w:rsidR="00473988">
        <w:t xml:space="preserve"> were to receive compensation</w:t>
      </w:r>
      <w:r w:rsidRPr="00C02AC8" w:rsidR="008858F2">
        <w:t>, in particular through</w:t>
      </w:r>
      <w:r w:rsidRPr="00C02AC8" w:rsidR="00D34363">
        <w:t xml:space="preserve"> </w:t>
      </w:r>
      <w:r w:rsidRPr="00C02AC8" w:rsidR="008858F2">
        <w:t>compensation bonds,</w:t>
      </w:r>
      <w:r w:rsidRPr="00C02AC8" w:rsidR="00473988">
        <w:t xml:space="preserve"> in cases where the restitution in kind of such properties was impossible. </w:t>
      </w:r>
      <w:r w:rsidRPr="00C02AC8" w:rsidR="008858F2">
        <w:t>However, w</w:t>
      </w:r>
      <w:r w:rsidRPr="00C02AC8" w:rsidR="0000538B">
        <w:t xml:space="preserve">hen the time-limit to seek </w:t>
      </w:r>
      <w:r w:rsidRPr="00C02AC8" w:rsidR="00D34363">
        <w:t xml:space="preserve">such </w:t>
      </w:r>
      <w:r w:rsidRPr="00C02AC8" w:rsidR="0000538B">
        <w:t xml:space="preserve">compensation </w:t>
      </w:r>
      <w:r w:rsidRPr="00C02AC8" w:rsidR="00473988">
        <w:t>was</w:t>
      </w:r>
      <w:r w:rsidRPr="00C02AC8" w:rsidR="0000538B">
        <w:t xml:space="preserve"> running (in 1997-98), the applicants justifiably believed that the property at issue had been the subject of restitution occurring </w:t>
      </w:r>
      <w:r w:rsidRPr="00C02AC8" w:rsidR="0000538B">
        <w:rPr>
          <w:i/>
        </w:rPr>
        <w:t xml:space="preserve">ex </w:t>
      </w:r>
      <w:proofErr w:type="spellStart"/>
      <w:r w:rsidRPr="00C02AC8" w:rsidR="0000538B">
        <w:rPr>
          <w:i/>
        </w:rPr>
        <w:t>lege</w:t>
      </w:r>
      <w:proofErr w:type="spellEnd"/>
      <w:r w:rsidRPr="00C02AC8" w:rsidR="004A5FE5">
        <w:t xml:space="preserve"> – a fact recognised, in particular, by</w:t>
      </w:r>
      <w:r w:rsidRPr="00C02AC8" w:rsidR="0000538B">
        <w:t xml:space="preserve"> representatives of the authorities</w:t>
      </w:r>
      <w:r w:rsidRPr="00C02AC8" w:rsidR="004A5FE5">
        <w:t>.</w:t>
      </w:r>
      <w:r w:rsidRPr="00C02AC8" w:rsidR="0000538B">
        <w:t xml:space="preserve"> </w:t>
      </w:r>
      <w:r w:rsidRPr="00C02AC8" w:rsidR="008318B1">
        <w:t xml:space="preserve">In 2003, when </w:t>
      </w:r>
      <w:r w:rsidRPr="00C02AC8" w:rsidR="0000538B">
        <w:t xml:space="preserve">a company using the property and, </w:t>
      </w:r>
      <w:r w:rsidRPr="00C02AC8" w:rsidR="008318B1">
        <w:t>until then</w:t>
      </w:r>
      <w:r w:rsidRPr="00C02AC8" w:rsidR="0000538B">
        <w:t>, paying rent to the applicants started contesting the fact of the restitution</w:t>
      </w:r>
      <w:r w:rsidRPr="00C02AC8" w:rsidR="00855521">
        <w:t xml:space="preserve">, and in 2010 when the </w:t>
      </w:r>
      <w:r w:rsidRPr="00C02AC8" w:rsidR="0000538B">
        <w:t>domestic courts held for the first time that no restitution had actually taken place, the applicants could no longer seek compensation in lieu of restitution</w:t>
      </w:r>
      <w:r w:rsidRPr="00C02AC8" w:rsidR="008318B1">
        <w:t xml:space="preserve"> due to the expiration of the time-limit</w:t>
      </w:r>
      <w:r w:rsidRPr="00C02AC8" w:rsidR="00470981">
        <w:t>.</w:t>
      </w:r>
    </w:p>
    <w:p w:rsidRPr="00C02AC8" w:rsidR="00470981"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4</w:t>
      </w:r>
      <w:r w:rsidRPr="00C02AC8">
        <w:fldChar w:fldCharType="end"/>
      </w:r>
      <w:r w:rsidRPr="00C02AC8" w:rsidR="00470981">
        <w:t>.  </w:t>
      </w:r>
      <w:r w:rsidRPr="00C02AC8" w:rsidR="00112229">
        <w:t>The applicants sought just satisfaction u</w:t>
      </w:r>
      <w:r w:rsidRPr="00C02AC8" w:rsidR="00470981">
        <w:t>nder Article</w:t>
      </w:r>
      <w:r w:rsidRPr="00C02AC8" w:rsidR="00C37C81">
        <w:t xml:space="preserve"> </w:t>
      </w:r>
      <w:r w:rsidRPr="00C02AC8" w:rsidR="00112229">
        <w:t>41 of the Convention</w:t>
      </w:r>
      <w:r w:rsidRPr="00C02AC8" w:rsidR="00470981">
        <w:t>.</w:t>
      </w:r>
    </w:p>
    <w:p w:rsidRPr="00C02AC8" w:rsidR="00470981"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5</w:t>
      </w:r>
      <w:r w:rsidRPr="00C02AC8">
        <w:fldChar w:fldCharType="end"/>
      </w:r>
      <w:r w:rsidRPr="00C02AC8" w:rsidR="00470981">
        <w:t>.  Since the question of the application of Article</w:t>
      </w:r>
      <w:r w:rsidRPr="00C02AC8" w:rsidR="00C37C81">
        <w:t xml:space="preserve"> </w:t>
      </w:r>
      <w:r w:rsidRPr="00C02AC8" w:rsidR="00470981">
        <w:t xml:space="preserve">41 of the Convention was not ready for decision as regards damage, the Court reserved it and invited the Government and the </w:t>
      </w:r>
      <w:r w:rsidRPr="00C02AC8">
        <w:t>applicants</w:t>
      </w:r>
      <w:r w:rsidRPr="00C02AC8" w:rsidR="00470981">
        <w:t xml:space="preserve"> to submit, within </w:t>
      </w:r>
      <w:r w:rsidRPr="00C02AC8" w:rsidR="00112229">
        <w:t>four</w:t>
      </w:r>
      <w:r w:rsidRPr="00C02AC8" w:rsidR="00470981">
        <w:t xml:space="preserve"> months, their written observations on that issue and, in particular, to notify the Court of any agreement they might reach (ibid., § </w:t>
      </w:r>
      <w:r w:rsidRPr="00C02AC8" w:rsidR="00112229">
        <w:t>39</w:t>
      </w:r>
      <w:r w:rsidRPr="00C02AC8" w:rsidR="00470981">
        <w:t xml:space="preserve">, and point </w:t>
      </w:r>
      <w:r w:rsidRPr="00C02AC8" w:rsidR="00112229">
        <w:t>3</w:t>
      </w:r>
      <w:r w:rsidRPr="00C02AC8" w:rsidR="00470981">
        <w:t xml:space="preserve"> of the operative provisions).</w:t>
      </w:r>
    </w:p>
    <w:p w:rsidRPr="00C02AC8" w:rsidR="00354D47"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6</w:t>
      </w:r>
      <w:r w:rsidRPr="00C02AC8">
        <w:fldChar w:fldCharType="end"/>
      </w:r>
      <w:r w:rsidRPr="00C02AC8" w:rsidR="00470981">
        <w:t xml:space="preserve">.  The </w:t>
      </w:r>
      <w:r w:rsidRPr="00C02AC8">
        <w:t>applicants</w:t>
      </w:r>
      <w:r w:rsidRPr="00C02AC8" w:rsidR="00470981">
        <w:t xml:space="preserve"> and the Government each filed observations.</w:t>
      </w:r>
      <w:r w:rsidRPr="00C02AC8" w:rsidR="00112229">
        <w:t xml:space="preserve"> They informed the Court that they have failed to reach an agreement.</w:t>
      </w:r>
    </w:p>
    <w:p w:rsidRPr="00C02AC8" w:rsidR="00470981" w:rsidP="00C02AC8" w:rsidRDefault="00470981">
      <w:pPr>
        <w:pStyle w:val="ECHRTitle1"/>
      </w:pPr>
      <w:r w:rsidRPr="00C02AC8">
        <w:t>THE LAW</w:t>
      </w:r>
    </w:p>
    <w:p w:rsidRPr="00C02AC8" w:rsidR="00354D47"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7</w:t>
      </w:r>
      <w:r w:rsidRPr="00C02AC8">
        <w:fldChar w:fldCharType="end"/>
      </w:r>
      <w:r w:rsidRPr="00C02AC8">
        <w:t>.  Article 41 of the Convention provides:</w:t>
      </w:r>
    </w:p>
    <w:p w:rsidRPr="00C02AC8" w:rsidR="00354D47" w:rsidP="00C02AC8" w:rsidRDefault="00354D47">
      <w:pPr>
        <w:pStyle w:val="ECHRParaQuote"/>
      </w:pPr>
      <w:r w:rsidRPr="00C02AC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02AC8" w:rsidR="00354D47" w:rsidP="00C02AC8" w:rsidRDefault="00354D47">
      <w:pPr>
        <w:pStyle w:val="ECHRHeading2"/>
      </w:pPr>
      <w:r w:rsidRPr="00C02AC8">
        <w:t>A.  Damage</w:t>
      </w:r>
    </w:p>
    <w:p w:rsidRPr="00C02AC8" w:rsidR="006544E2" w:rsidP="00C02AC8" w:rsidRDefault="003E7AF6">
      <w:pPr>
        <w:pStyle w:val="ECHRHeading3"/>
      </w:pPr>
      <w:r w:rsidRPr="00C02AC8">
        <w:t>1.  </w:t>
      </w:r>
      <w:r w:rsidRPr="00C02AC8" w:rsidR="00C50F05">
        <w:t xml:space="preserve">Relevant domestic law and </w:t>
      </w:r>
      <w:r w:rsidRPr="00C02AC8">
        <w:t>background facts</w:t>
      </w:r>
    </w:p>
    <w:p w:rsidRPr="00C02AC8" w:rsidR="003E7AF6" w:rsidP="00C02AC8" w:rsidRDefault="003E7AF6">
      <w:pPr>
        <w:pStyle w:val="ECHRPara"/>
        <w:rPr>
          <w:lang w:val="en-US"/>
        </w:rPr>
      </w:pPr>
      <w:r w:rsidRPr="00C02AC8">
        <w:fldChar w:fldCharType="begin"/>
      </w:r>
      <w:r w:rsidRPr="00C02AC8">
        <w:instrText xml:space="preserve"> SEQ level0 \*arabic </w:instrText>
      </w:r>
      <w:r w:rsidRPr="00C02AC8">
        <w:fldChar w:fldCharType="separate"/>
      </w:r>
      <w:r w:rsidRPr="00C02AC8" w:rsidR="00C02AC8">
        <w:rPr>
          <w:noProof/>
        </w:rPr>
        <w:t>8</w:t>
      </w:r>
      <w:r w:rsidRPr="00C02AC8">
        <w:fldChar w:fldCharType="end"/>
      </w:r>
      <w:r w:rsidRPr="00C02AC8">
        <w:t>.  </w:t>
      </w:r>
      <w:r w:rsidRPr="00C02AC8">
        <w:rPr>
          <w:lang w:val="en-US"/>
        </w:rPr>
        <w:t xml:space="preserve">The </w:t>
      </w:r>
      <w:r w:rsidRPr="00C02AC8">
        <w:t>Compensation of Owners of Nationalised real Property Act (hereinafter “the Compensation Act”, see §§ 17-18 of the principal judgment)</w:t>
      </w:r>
      <w:r w:rsidRPr="00C02AC8">
        <w:rPr>
          <w:lang w:val="en-US"/>
        </w:rPr>
        <w:t xml:space="preserve"> came into force in 1997.</w:t>
      </w:r>
    </w:p>
    <w:p w:rsidRPr="00C02AC8" w:rsidR="003E7AF6" w:rsidP="00C02AC8" w:rsidRDefault="003E7AF6">
      <w:pPr>
        <w:pStyle w:val="ECHRPara"/>
        <w:rPr>
          <w:lang w:val="en-US"/>
        </w:rPr>
      </w:pPr>
      <w:r w:rsidRPr="00C02AC8">
        <w:rPr>
          <w:lang w:val="en-US"/>
        </w:rPr>
        <w:fldChar w:fldCharType="begin"/>
      </w:r>
      <w:r w:rsidRPr="00C02AC8">
        <w:rPr>
          <w:lang w:val="en-US"/>
        </w:rPr>
        <w:instrText xml:space="preserve"> SEQ level0 \*arabic </w:instrText>
      </w:r>
      <w:r w:rsidRPr="00C02AC8">
        <w:rPr>
          <w:lang w:val="en-US"/>
        </w:rPr>
        <w:fldChar w:fldCharType="separate"/>
      </w:r>
      <w:r w:rsidRPr="00C02AC8" w:rsidR="00C02AC8">
        <w:rPr>
          <w:noProof/>
          <w:lang w:val="en-US"/>
        </w:rPr>
        <w:t>9</w:t>
      </w:r>
      <w:r w:rsidRPr="00C02AC8">
        <w:rPr>
          <w:lang w:val="en-US"/>
        </w:rPr>
        <w:fldChar w:fldCharType="end"/>
      </w:r>
      <w:r w:rsidRPr="00C02AC8">
        <w:rPr>
          <w:lang w:val="en-US"/>
        </w:rPr>
        <w:t>.  One of the manners of compensation it provided for was through so-called compensation bonds. These are not exchangeable for cash and can be used for participation in privatisation tenders. They are traded at the stock exchange and their market value largely depends on the availability of privatisation offers.</w:t>
      </w:r>
    </w:p>
    <w:p w:rsidRPr="00C02AC8" w:rsidR="003E7AF6" w:rsidP="00C02AC8" w:rsidRDefault="003E7AF6">
      <w:pPr>
        <w:pStyle w:val="ECHRPara"/>
        <w:rPr>
          <w:lang w:val="en-US"/>
        </w:rPr>
      </w:pPr>
      <w:r w:rsidRPr="00C02AC8">
        <w:rPr>
          <w:lang w:val="en-US"/>
        </w:rPr>
        <w:fldChar w:fldCharType="begin"/>
      </w:r>
      <w:r w:rsidRPr="00C02AC8">
        <w:rPr>
          <w:lang w:val="en-US"/>
        </w:rPr>
        <w:instrText xml:space="preserve"> SEQ level0 \*arabic </w:instrText>
      </w:r>
      <w:r w:rsidRPr="00C02AC8">
        <w:rPr>
          <w:lang w:val="en-US"/>
        </w:rPr>
        <w:fldChar w:fldCharType="separate"/>
      </w:r>
      <w:r w:rsidRPr="00C02AC8" w:rsidR="00C02AC8">
        <w:rPr>
          <w:noProof/>
          <w:lang w:val="en-US"/>
        </w:rPr>
        <w:t>10</w:t>
      </w:r>
      <w:r w:rsidRPr="00C02AC8">
        <w:rPr>
          <w:lang w:val="en-US"/>
        </w:rPr>
        <w:fldChar w:fldCharType="end"/>
      </w:r>
      <w:r w:rsidRPr="00C02AC8">
        <w:rPr>
          <w:lang w:val="en-US"/>
        </w:rPr>
        <w:t>.  </w:t>
      </w:r>
      <w:r w:rsidRPr="00C02AC8" w:rsidR="00277201">
        <w:rPr>
          <w:lang w:val="en-US"/>
        </w:rPr>
        <w:t>B</w:t>
      </w:r>
      <w:r w:rsidRPr="00C02AC8">
        <w:rPr>
          <w:lang w:val="en-US"/>
        </w:rPr>
        <w:t>etween September 2002</w:t>
      </w:r>
      <w:r w:rsidRPr="00C02AC8" w:rsidR="004E050C">
        <w:rPr>
          <w:lang w:val="en-US"/>
        </w:rPr>
        <w:t>,</w:t>
      </w:r>
      <w:r w:rsidRPr="00C02AC8">
        <w:rPr>
          <w:lang w:val="en-US"/>
        </w:rPr>
        <w:t xml:space="preserve"> when trade at the stock exchange started</w:t>
      </w:r>
      <w:r w:rsidRPr="00C02AC8" w:rsidR="004E050C">
        <w:rPr>
          <w:lang w:val="en-US"/>
        </w:rPr>
        <w:t>,</w:t>
      </w:r>
      <w:r w:rsidRPr="00C02AC8">
        <w:rPr>
          <w:lang w:val="en-US"/>
        </w:rPr>
        <w:t xml:space="preserve"> and October 2004 bonds were traded at between 20% and 30% of their face value. Prices started to rise in November 2004 when </w:t>
      </w:r>
      <w:r w:rsidRPr="00C02AC8" w:rsidR="004E050C">
        <w:rPr>
          <w:lang w:val="en-US"/>
        </w:rPr>
        <w:t>more</w:t>
      </w:r>
      <w:r w:rsidRPr="00C02AC8">
        <w:rPr>
          <w:lang w:val="en-US"/>
        </w:rPr>
        <w:t xml:space="preserve"> State-owned compan</w:t>
      </w:r>
      <w:r w:rsidRPr="00C02AC8" w:rsidR="004E050C">
        <w:rPr>
          <w:lang w:val="en-US"/>
        </w:rPr>
        <w:t>ie</w:t>
      </w:r>
      <w:r w:rsidRPr="00C02AC8">
        <w:rPr>
          <w:lang w:val="en-US"/>
        </w:rPr>
        <w:t xml:space="preserve">s </w:t>
      </w:r>
      <w:r w:rsidRPr="00C02AC8" w:rsidR="004E050C">
        <w:rPr>
          <w:lang w:val="en-US"/>
        </w:rPr>
        <w:t xml:space="preserve">were </w:t>
      </w:r>
      <w:r w:rsidRPr="00C02AC8">
        <w:rPr>
          <w:lang w:val="en-US"/>
        </w:rPr>
        <w:t>put up for pri</w:t>
      </w:r>
      <w:r w:rsidRPr="00C02AC8" w:rsidR="004E050C">
        <w:rPr>
          <w:lang w:val="en-US"/>
        </w:rPr>
        <w:t xml:space="preserve">vatisation, and during several months </w:t>
      </w:r>
      <w:r w:rsidRPr="00C02AC8" w:rsidR="00277201">
        <w:rPr>
          <w:lang w:val="en-US"/>
        </w:rPr>
        <w:t xml:space="preserve">compensation </w:t>
      </w:r>
      <w:r w:rsidRPr="00C02AC8" w:rsidR="004E050C">
        <w:rPr>
          <w:lang w:val="en-US"/>
        </w:rPr>
        <w:t xml:space="preserve">bonds were traded at about 80-90% of their face value, in January 2005 even reaching 113% of that value. After that the prices gradually fell. </w:t>
      </w:r>
      <w:r w:rsidRPr="00C02AC8" w:rsidR="00C50F05">
        <w:rPr>
          <w:lang w:val="en-US"/>
        </w:rPr>
        <w:t>From</w:t>
      </w:r>
      <w:r w:rsidRPr="00C02AC8" w:rsidR="004E050C">
        <w:rPr>
          <w:lang w:val="en-US"/>
        </w:rPr>
        <w:t xml:space="preserve"> 2005 </w:t>
      </w:r>
      <w:r w:rsidRPr="00C02AC8" w:rsidR="00C50F05">
        <w:rPr>
          <w:lang w:val="en-US"/>
        </w:rPr>
        <w:t>to</w:t>
      </w:r>
      <w:r w:rsidRPr="00C02AC8" w:rsidR="004E050C">
        <w:rPr>
          <w:lang w:val="en-US"/>
        </w:rPr>
        <w:t xml:space="preserve"> 2007 they varied between about 50% and 80% </w:t>
      </w:r>
      <w:r w:rsidRPr="00C02AC8" w:rsidR="00C50F05">
        <w:rPr>
          <w:lang w:val="en-US"/>
        </w:rPr>
        <w:t>o</w:t>
      </w:r>
      <w:r w:rsidRPr="00C02AC8" w:rsidR="004E050C">
        <w:rPr>
          <w:lang w:val="en-US"/>
        </w:rPr>
        <w:t>f the bonds</w:t>
      </w:r>
      <w:r w:rsidRPr="00C02AC8" w:rsidR="00C02AC8">
        <w:rPr>
          <w:lang w:val="en-US"/>
        </w:rPr>
        <w:t>’</w:t>
      </w:r>
      <w:r w:rsidRPr="00C02AC8" w:rsidR="004E050C">
        <w:rPr>
          <w:lang w:val="en-US"/>
        </w:rPr>
        <w:t xml:space="preserve"> face value, </w:t>
      </w:r>
      <w:r w:rsidRPr="00C02AC8" w:rsidR="00C50F05">
        <w:rPr>
          <w:lang w:val="en-US"/>
        </w:rPr>
        <w:t>from</w:t>
      </w:r>
      <w:r w:rsidRPr="00C02AC8" w:rsidR="004E050C">
        <w:rPr>
          <w:lang w:val="en-US"/>
        </w:rPr>
        <w:t xml:space="preserve"> 2007 </w:t>
      </w:r>
      <w:r w:rsidRPr="00C02AC8" w:rsidR="00C50F05">
        <w:rPr>
          <w:lang w:val="en-US"/>
        </w:rPr>
        <w:t>to</w:t>
      </w:r>
      <w:r w:rsidRPr="00C02AC8" w:rsidR="004E050C">
        <w:rPr>
          <w:lang w:val="en-US"/>
        </w:rPr>
        <w:t xml:space="preserve"> 2009 </w:t>
      </w:r>
      <w:r w:rsidRPr="00C02AC8" w:rsidR="00C50F05">
        <w:rPr>
          <w:lang w:val="en-US"/>
        </w:rPr>
        <w:t xml:space="preserve">– </w:t>
      </w:r>
      <w:r w:rsidRPr="00C02AC8" w:rsidR="004E050C">
        <w:rPr>
          <w:lang w:val="en-US"/>
        </w:rPr>
        <w:t>between</w:t>
      </w:r>
      <w:r w:rsidRPr="00C02AC8" w:rsidR="00C50F05">
        <w:rPr>
          <w:lang w:val="en-US"/>
        </w:rPr>
        <w:t xml:space="preserve"> </w:t>
      </w:r>
      <w:r w:rsidRPr="00C02AC8" w:rsidR="00F00CBE">
        <w:rPr>
          <w:lang w:val="en-US"/>
        </w:rPr>
        <w:t>25% and 40</w:t>
      </w:r>
      <w:r w:rsidRPr="00C02AC8" w:rsidR="004E050C">
        <w:rPr>
          <w:lang w:val="en-US"/>
        </w:rPr>
        <w:t xml:space="preserve">% of the face value, and after August 2009 – usually between 15% and about 25% of </w:t>
      </w:r>
      <w:r w:rsidRPr="00C02AC8" w:rsidR="00C50F05">
        <w:rPr>
          <w:lang w:val="en-US"/>
        </w:rPr>
        <w:t>that</w:t>
      </w:r>
      <w:r w:rsidRPr="00C02AC8" w:rsidR="004E050C">
        <w:rPr>
          <w:lang w:val="en-US"/>
        </w:rPr>
        <w:t xml:space="preserve"> value. Towards mid-2013 the prices rose </w:t>
      </w:r>
      <w:r w:rsidRPr="00C02AC8" w:rsidR="00C50F05">
        <w:rPr>
          <w:lang w:val="en-US"/>
        </w:rPr>
        <w:t>slig</w:t>
      </w:r>
      <w:r w:rsidRPr="00C02AC8" w:rsidR="004E050C">
        <w:rPr>
          <w:lang w:val="en-US"/>
        </w:rPr>
        <w:t xml:space="preserve">htly, reaching between about 30% and 40% of the </w:t>
      </w:r>
      <w:r w:rsidRPr="00C02AC8" w:rsidR="00C50F05">
        <w:rPr>
          <w:lang w:val="en-US"/>
        </w:rPr>
        <w:t>bonds</w:t>
      </w:r>
      <w:r w:rsidRPr="00C02AC8" w:rsidR="00C02AC8">
        <w:rPr>
          <w:lang w:val="en-US"/>
        </w:rPr>
        <w:t>’</w:t>
      </w:r>
      <w:r w:rsidRPr="00C02AC8" w:rsidR="00C50F05">
        <w:rPr>
          <w:lang w:val="en-US"/>
        </w:rPr>
        <w:t xml:space="preserve"> </w:t>
      </w:r>
      <w:r w:rsidRPr="00C02AC8" w:rsidR="004E050C">
        <w:rPr>
          <w:lang w:val="en-US"/>
        </w:rPr>
        <w:t>face value, for a brief period between February and October 201</w:t>
      </w:r>
      <w:r w:rsidRPr="00C02AC8" w:rsidR="00C50F05">
        <w:rPr>
          <w:lang w:val="en-US"/>
        </w:rPr>
        <w:t>4 even exceedi</w:t>
      </w:r>
      <w:r w:rsidRPr="00C02AC8" w:rsidR="00EB45B8">
        <w:rPr>
          <w:lang w:val="en-US"/>
        </w:rPr>
        <w:t>ng 50% of that value. Since mid</w:t>
      </w:r>
      <w:r w:rsidRPr="00C02AC8" w:rsidR="00EB45B8">
        <w:rPr>
          <w:lang w:val="en-US"/>
        </w:rPr>
        <w:noBreakHyphen/>
      </w:r>
      <w:r w:rsidRPr="00C02AC8" w:rsidR="00C50F05">
        <w:rPr>
          <w:lang w:val="en-US"/>
        </w:rPr>
        <w:t>2016 the bonds have been traded at about 20-35% of their face value.</w:t>
      </w:r>
    </w:p>
    <w:p w:rsidRPr="00C02AC8" w:rsidR="007058E8" w:rsidP="00C02AC8" w:rsidRDefault="003E7AF6">
      <w:pPr>
        <w:pStyle w:val="ECHRHeading3"/>
        <w:rPr>
          <w:lang w:val="en-US"/>
        </w:rPr>
      </w:pPr>
      <w:r w:rsidRPr="00C02AC8">
        <w:rPr>
          <w:lang w:val="en-US"/>
        </w:rPr>
        <w:t>2</w:t>
      </w:r>
      <w:r w:rsidRPr="00C02AC8" w:rsidR="007058E8">
        <w:rPr>
          <w:lang w:val="en-US"/>
        </w:rPr>
        <w:t>.  The parties</w:t>
      </w:r>
      <w:r w:rsidRPr="00C02AC8" w:rsidR="00C02AC8">
        <w:rPr>
          <w:lang w:val="en-US"/>
        </w:rPr>
        <w:t>’</w:t>
      </w:r>
      <w:r w:rsidRPr="00C02AC8" w:rsidR="007058E8">
        <w:rPr>
          <w:lang w:val="en-US"/>
        </w:rPr>
        <w:t xml:space="preserve"> submissions</w:t>
      </w:r>
    </w:p>
    <w:p w:rsidRPr="00C02AC8" w:rsidR="00473988" w:rsidP="00C02AC8" w:rsidRDefault="007058E8">
      <w:pPr>
        <w:pStyle w:val="ECHRHeading4"/>
      </w:pPr>
      <w:r w:rsidRPr="00C02AC8">
        <w:rPr>
          <w:lang w:val="en-US"/>
        </w:rPr>
        <w:t>(a)  The applicants</w:t>
      </w:r>
      <w:r w:rsidRPr="00C02AC8" w:rsidR="00C02AC8">
        <w:rPr>
          <w:lang w:val="en-US"/>
        </w:rPr>
        <w:t>’</w:t>
      </w:r>
      <w:r w:rsidRPr="00C02AC8">
        <w:rPr>
          <w:lang w:val="en-US"/>
        </w:rPr>
        <w:t xml:space="preserve"> claims</w:t>
      </w:r>
    </w:p>
    <w:p w:rsidRPr="00C02AC8" w:rsidR="00354D47"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11</w:t>
      </w:r>
      <w:r w:rsidRPr="00C02AC8">
        <w:fldChar w:fldCharType="end"/>
      </w:r>
      <w:r w:rsidRPr="00C02AC8">
        <w:t>.  </w:t>
      </w:r>
      <w:r w:rsidRPr="00C02AC8" w:rsidR="007058E8">
        <w:t xml:space="preserve">The applicants claimed the value of the compensation bonds they would have received had they been able to do so at the national level. They submitted an expert report, which calculated the face value of the bonds at issue at 506,000 Bulgarian levs (BGN), the equivalent of 258,000 euros (EUR). The expert used the formula provided for in the </w:t>
      </w:r>
      <w:r w:rsidRPr="00C02AC8" w:rsidR="003E7AF6">
        <w:t xml:space="preserve">Compensation Act. </w:t>
      </w:r>
      <w:r w:rsidRPr="00C02AC8" w:rsidR="007058E8">
        <w:t>One of the elements in that formula i</w:t>
      </w:r>
      <w:r w:rsidRPr="00C02AC8" w:rsidR="0027692D">
        <w:t>s</w:t>
      </w:r>
      <w:r w:rsidRPr="00C02AC8" w:rsidR="007058E8">
        <w:t xml:space="preserve"> the average monthly salary during the trimester preceding the award of compensation bonds; the expert took into account the data for the first trimester of 2017.</w:t>
      </w:r>
    </w:p>
    <w:p w:rsidRPr="00C02AC8" w:rsidR="0027692D" w:rsidP="00C02AC8" w:rsidRDefault="0027692D">
      <w:pPr>
        <w:pStyle w:val="ECHRPara"/>
      </w:pPr>
      <w:r w:rsidRPr="00C02AC8">
        <w:fldChar w:fldCharType="begin"/>
      </w:r>
      <w:r w:rsidRPr="00C02AC8">
        <w:instrText xml:space="preserve"> SEQ level0 \*arabic </w:instrText>
      </w:r>
      <w:r w:rsidRPr="00C02AC8">
        <w:fldChar w:fldCharType="separate"/>
      </w:r>
      <w:r w:rsidRPr="00C02AC8" w:rsidR="00C02AC8">
        <w:rPr>
          <w:noProof/>
        </w:rPr>
        <w:t>12</w:t>
      </w:r>
      <w:r w:rsidRPr="00C02AC8">
        <w:fldChar w:fldCharType="end"/>
      </w:r>
      <w:r w:rsidRPr="00C02AC8">
        <w:t>.  The applicants claimed that face value, namely EUR 258,000. They pointed out that, while</w:t>
      </w:r>
      <w:r w:rsidRPr="00C02AC8" w:rsidR="003304EF">
        <w:t xml:space="preserve"> the market value of</w:t>
      </w:r>
      <w:r w:rsidRPr="00C02AC8">
        <w:t xml:space="preserve"> compensation bonds </w:t>
      </w:r>
      <w:r w:rsidRPr="00C02AC8" w:rsidR="00D34363">
        <w:t>wa</w:t>
      </w:r>
      <w:r w:rsidRPr="00C02AC8">
        <w:t xml:space="preserve">s usually lower than the face value, there </w:t>
      </w:r>
      <w:r w:rsidRPr="00C02AC8" w:rsidR="00D34363">
        <w:t>had been</w:t>
      </w:r>
      <w:r w:rsidRPr="00C02AC8" w:rsidR="008858F2">
        <w:t xml:space="preserve"> periods</w:t>
      </w:r>
      <w:r w:rsidRPr="00C02AC8">
        <w:t xml:space="preserve"> where</w:t>
      </w:r>
      <w:r w:rsidRPr="00C02AC8" w:rsidR="004A5FE5">
        <w:t xml:space="preserve"> </w:t>
      </w:r>
      <w:r w:rsidRPr="00C02AC8">
        <w:t xml:space="preserve">bonds </w:t>
      </w:r>
      <w:r w:rsidRPr="00C02AC8" w:rsidR="00D34363">
        <w:t xml:space="preserve">had </w:t>
      </w:r>
      <w:r w:rsidRPr="00C02AC8">
        <w:t>actually</w:t>
      </w:r>
      <w:r w:rsidRPr="00C02AC8" w:rsidR="00D34363">
        <w:t xml:space="preserve"> been</w:t>
      </w:r>
      <w:r w:rsidRPr="00C02AC8">
        <w:t xml:space="preserve"> traded at their face value. Moreover, the applicants argued that awarding them anything less than the face value of the compensation bonds would impose on them an excessive individual burden.</w:t>
      </w:r>
    </w:p>
    <w:p w:rsidRPr="00C02AC8" w:rsidR="0027692D" w:rsidP="00C02AC8" w:rsidRDefault="0027692D">
      <w:pPr>
        <w:pStyle w:val="ECHRPara"/>
      </w:pPr>
      <w:r w:rsidRPr="00C02AC8">
        <w:fldChar w:fldCharType="begin"/>
      </w:r>
      <w:r w:rsidRPr="00C02AC8">
        <w:instrText xml:space="preserve"> SEQ level0 \*arabic </w:instrText>
      </w:r>
      <w:r w:rsidRPr="00C02AC8">
        <w:fldChar w:fldCharType="separate"/>
      </w:r>
      <w:r w:rsidRPr="00C02AC8" w:rsidR="00C02AC8">
        <w:rPr>
          <w:noProof/>
        </w:rPr>
        <w:t>13</w:t>
      </w:r>
      <w:r w:rsidRPr="00C02AC8">
        <w:fldChar w:fldCharType="end"/>
      </w:r>
      <w:r w:rsidRPr="00C02AC8">
        <w:t>.  The applicants claimed in addition default interest on the sum indicated above</w:t>
      </w:r>
      <w:r w:rsidRPr="00C02AC8" w:rsidR="00D34363">
        <w:t xml:space="preserve"> (EUR 258,000)</w:t>
      </w:r>
      <w:r w:rsidRPr="00C02AC8">
        <w:t>. In their calculations, made in accordance with the domestic rules</w:t>
      </w:r>
      <w:r w:rsidRPr="00C02AC8" w:rsidR="004A5FE5">
        <w:t xml:space="preserve"> and covering the period after</w:t>
      </w:r>
      <w:r w:rsidRPr="00C02AC8">
        <w:t xml:space="preserve"> 2002</w:t>
      </w:r>
      <w:r w:rsidRPr="00C02AC8" w:rsidR="003304EF">
        <w:t xml:space="preserve"> (in this year a decision to award them compensation for other property entered into force – see § 9 of the principal judgment)</w:t>
      </w:r>
      <w:r w:rsidRPr="00C02AC8">
        <w:t xml:space="preserve">, </w:t>
      </w:r>
      <w:r w:rsidRPr="00C02AC8" w:rsidR="008858F2">
        <w:t xml:space="preserve">that interest </w:t>
      </w:r>
      <w:r w:rsidRPr="00C02AC8">
        <w:t>amounted to BGN 890,668, the equivalent of EUR 455,000.</w:t>
      </w:r>
    </w:p>
    <w:p w:rsidRPr="00C02AC8" w:rsidR="007058E8" w:rsidP="00C02AC8" w:rsidRDefault="007058E8">
      <w:pPr>
        <w:pStyle w:val="ECHRPara"/>
      </w:pPr>
      <w:r w:rsidRPr="00C02AC8">
        <w:fldChar w:fldCharType="begin"/>
      </w:r>
      <w:r w:rsidRPr="00C02AC8">
        <w:instrText xml:space="preserve"> SEQ level0 \*arabic </w:instrText>
      </w:r>
      <w:r w:rsidRPr="00C02AC8">
        <w:fldChar w:fldCharType="separate"/>
      </w:r>
      <w:r w:rsidRPr="00C02AC8" w:rsidR="00C02AC8">
        <w:rPr>
          <w:noProof/>
        </w:rPr>
        <w:t>14</w:t>
      </w:r>
      <w:r w:rsidRPr="00C02AC8">
        <w:fldChar w:fldCharType="end"/>
      </w:r>
      <w:r w:rsidRPr="00C02AC8">
        <w:t>.  </w:t>
      </w:r>
      <w:r w:rsidRPr="00C02AC8" w:rsidR="0027692D">
        <w:t xml:space="preserve">The applicants urged the Court not to reduce any award of damage on the ground that for many years prior to 2003 they had received rent for the disputed property. In § 33 of the principal judgment the Court indicated that that circumstance might be relevant for its assessment under Article 41 of the Convention. The applicants pointed out </w:t>
      </w:r>
      <w:r w:rsidRPr="00C02AC8" w:rsidR="004A5FE5">
        <w:t xml:space="preserve">however </w:t>
      </w:r>
      <w:r w:rsidRPr="00C02AC8" w:rsidR="0027692D">
        <w:t xml:space="preserve">that the rent at issue had been paid by a third party – a </w:t>
      </w:r>
      <w:r w:rsidRPr="00C02AC8" w:rsidR="00855521">
        <w:t xml:space="preserve">State-owned </w:t>
      </w:r>
      <w:r w:rsidRPr="00C02AC8" w:rsidR="0027692D">
        <w:t>company – and not by the State</w:t>
      </w:r>
      <w:r w:rsidRPr="00C02AC8" w:rsidR="00855521">
        <w:t xml:space="preserve"> itself</w:t>
      </w:r>
      <w:r w:rsidRPr="00C02AC8" w:rsidR="0027692D">
        <w:t xml:space="preserve">, </w:t>
      </w:r>
      <w:r w:rsidRPr="00C02AC8" w:rsidR="003C6003">
        <w:t xml:space="preserve">and </w:t>
      </w:r>
      <w:r w:rsidRPr="00C02AC8" w:rsidR="0027692D">
        <w:t>that the amounts received by them had lost much of their value due to the devaluation of the Bulgarian currency</w:t>
      </w:r>
      <w:r w:rsidRPr="00C02AC8" w:rsidR="003C6003">
        <w:t xml:space="preserve"> in the 1990s.</w:t>
      </w:r>
      <w:r w:rsidRPr="00C02AC8" w:rsidR="008858F2">
        <w:t xml:space="preserve"> Between 1994 and 1999 they had received rent which</w:t>
      </w:r>
      <w:r w:rsidRPr="00C02AC8" w:rsidR="00D34363">
        <w:t xml:space="preserve">, after the denomination of the </w:t>
      </w:r>
      <w:proofErr w:type="gramStart"/>
      <w:r w:rsidRPr="00C02AC8" w:rsidR="00D34363">
        <w:t>old</w:t>
      </w:r>
      <w:proofErr w:type="gramEnd"/>
      <w:r w:rsidRPr="00C02AC8" w:rsidR="00D34363">
        <w:t xml:space="preserve"> Bulgarian lev in 1999,</w:t>
      </w:r>
      <w:r w:rsidRPr="00C02AC8" w:rsidR="008858F2">
        <w:t xml:space="preserve"> equalled BGN 1,009, the equivalent of EUR 516.</w:t>
      </w:r>
    </w:p>
    <w:p w:rsidRPr="00C02AC8" w:rsidR="003C6003" w:rsidP="00C02AC8" w:rsidRDefault="003C6003">
      <w:pPr>
        <w:pStyle w:val="ECHRPara"/>
      </w:pPr>
      <w:r w:rsidRPr="00C02AC8">
        <w:fldChar w:fldCharType="begin"/>
      </w:r>
      <w:r w:rsidRPr="00C02AC8">
        <w:instrText xml:space="preserve"> SEQ level0 \*arabic </w:instrText>
      </w:r>
      <w:r w:rsidRPr="00C02AC8">
        <w:fldChar w:fldCharType="separate"/>
      </w:r>
      <w:r w:rsidRPr="00C02AC8" w:rsidR="00C02AC8">
        <w:rPr>
          <w:noProof/>
        </w:rPr>
        <w:t>15</w:t>
      </w:r>
      <w:r w:rsidRPr="00C02AC8">
        <w:fldChar w:fldCharType="end"/>
      </w:r>
      <w:r w:rsidRPr="00C02AC8">
        <w:t>.  The applicants stated that they wished that any award made by the Court in respect of pecuniary damage be divided equally between the two of them.</w:t>
      </w:r>
    </w:p>
    <w:p w:rsidRPr="00C02AC8" w:rsidR="003C6003" w:rsidP="00C02AC8" w:rsidRDefault="003C6003">
      <w:pPr>
        <w:pStyle w:val="ECHRPara"/>
      </w:pPr>
      <w:r w:rsidRPr="00C02AC8">
        <w:fldChar w:fldCharType="begin"/>
      </w:r>
      <w:r w:rsidRPr="00C02AC8">
        <w:instrText xml:space="preserve"> SEQ level0 \*arabic </w:instrText>
      </w:r>
      <w:r w:rsidRPr="00C02AC8">
        <w:fldChar w:fldCharType="separate"/>
      </w:r>
      <w:r w:rsidRPr="00C02AC8" w:rsidR="00C02AC8">
        <w:rPr>
          <w:noProof/>
        </w:rPr>
        <w:t>16</w:t>
      </w:r>
      <w:r w:rsidRPr="00C02AC8">
        <w:fldChar w:fldCharType="end"/>
      </w:r>
      <w:r w:rsidRPr="00C02AC8">
        <w:t>.  Lastly, each applicant clai</w:t>
      </w:r>
      <w:r w:rsidRPr="00C02AC8" w:rsidR="00EB45B8">
        <w:t>med EUR 5,000 in respect of non</w:t>
      </w:r>
      <w:r w:rsidRPr="00C02AC8" w:rsidR="00EB45B8">
        <w:noBreakHyphen/>
      </w:r>
      <w:r w:rsidRPr="00C02AC8">
        <w:t>pecuniary damage.</w:t>
      </w:r>
    </w:p>
    <w:p w:rsidRPr="00C02AC8" w:rsidR="007058E8" w:rsidP="00C02AC8" w:rsidRDefault="007058E8">
      <w:pPr>
        <w:pStyle w:val="ECHRHeading4"/>
      </w:pPr>
      <w:r w:rsidRPr="00C02AC8">
        <w:rPr>
          <w:lang w:val="en-US"/>
        </w:rPr>
        <w:t>(b)  The Government</w:t>
      </w:r>
      <w:r w:rsidRPr="00C02AC8" w:rsidR="00C02AC8">
        <w:rPr>
          <w:lang w:val="en-US"/>
        </w:rPr>
        <w:t>’</w:t>
      </w:r>
      <w:r w:rsidRPr="00C02AC8">
        <w:rPr>
          <w:lang w:val="en-US"/>
        </w:rPr>
        <w:t>s position</w:t>
      </w:r>
    </w:p>
    <w:p w:rsidRPr="00C02AC8" w:rsidR="007058E8" w:rsidP="00C02AC8" w:rsidRDefault="007058E8">
      <w:pPr>
        <w:pStyle w:val="ECHRPara"/>
        <w:rPr>
          <w:snapToGrid w:val="0"/>
        </w:rPr>
      </w:pPr>
      <w:r w:rsidRPr="00C02AC8">
        <w:fldChar w:fldCharType="begin"/>
      </w:r>
      <w:r w:rsidRPr="00C02AC8">
        <w:instrText xml:space="preserve"> SEQ level0 \*arabic </w:instrText>
      </w:r>
      <w:r w:rsidRPr="00C02AC8">
        <w:fldChar w:fldCharType="separate"/>
      </w:r>
      <w:r w:rsidRPr="00C02AC8" w:rsidR="00C02AC8">
        <w:rPr>
          <w:noProof/>
        </w:rPr>
        <w:t>17</w:t>
      </w:r>
      <w:r w:rsidRPr="00C02AC8">
        <w:fldChar w:fldCharType="end"/>
      </w:r>
      <w:r w:rsidRPr="00C02AC8">
        <w:t>.  </w:t>
      </w:r>
      <w:r w:rsidRPr="00C02AC8" w:rsidR="00855521">
        <w:t xml:space="preserve">The Government urged the Court to </w:t>
      </w:r>
      <w:r w:rsidRPr="00C02AC8" w:rsidR="00D34363">
        <w:t>award the applicants a lump sum</w:t>
      </w:r>
      <w:r w:rsidRPr="00C02AC8" w:rsidR="00855521">
        <w:t xml:space="preserve"> comparable to the one in the similar case of </w:t>
      </w:r>
      <w:proofErr w:type="spellStart"/>
      <w:r w:rsidRPr="00C02AC8" w:rsidR="008318B1">
        <w:rPr>
          <w:i/>
        </w:rPr>
        <w:t>Yavashev</w:t>
      </w:r>
      <w:proofErr w:type="spellEnd"/>
      <w:r w:rsidRPr="00C02AC8" w:rsidR="008318B1">
        <w:rPr>
          <w:i/>
        </w:rPr>
        <w:t xml:space="preserve"> and Others v. </w:t>
      </w:r>
      <w:r w:rsidRPr="00C02AC8" w:rsidR="00855521">
        <w:rPr>
          <w:i/>
        </w:rPr>
        <w:t>Bulgaria</w:t>
      </w:r>
      <w:r w:rsidRPr="00C02AC8" w:rsidR="00855521">
        <w:t xml:space="preserve"> (</w:t>
      </w:r>
      <w:r w:rsidRPr="00C02AC8" w:rsidR="004A5FE5">
        <w:t>no.</w:t>
      </w:r>
      <w:r w:rsidRPr="00C02AC8" w:rsidR="00C37C81">
        <w:t xml:space="preserve"> </w:t>
      </w:r>
      <w:r w:rsidRPr="00C02AC8" w:rsidR="00855521">
        <w:t>41661/05</w:t>
      </w:r>
      <w:r w:rsidRPr="00C02AC8" w:rsidR="00855521">
        <w:rPr>
          <w:snapToGrid w:val="0"/>
        </w:rPr>
        <w:t xml:space="preserve">, </w:t>
      </w:r>
      <w:r w:rsidRPr="00C02AC8" w:rsidR="004A5FE5">
        <w:rPr>
          <w:snapToGrid w:val="0"/>
        </w:rPr>
        <w:t xml:space="preserve">§ 77, </w:t>
      </w:r>
      <w:r w:rsidRPr="00C02AC8" w:rsidR="00855521">
        <w:rPr>
          <w:snapToGrid w:val="0"/>
        </w:rPr>
        <w:t>6 November 2012</w:t>
      </w:r>
      <w:r w:rsidRPr="00C02AC8" w:rsidR="00D34363">
        <w:rPr>
          <w:snapToGrid w:val="0"/>
        </w:rPr>
        <w:t>)</w:t>
      </w:r>
      <w:r w:rsidRPr="00C02AC8" w:rsidR="00855521">
        <w:rPr>
          <w:snapToGrid w:val="0"/>
        </w:rPr>
        <w:t>.</w:t>
      </w:r>
    </w:p>
    <w:p w:rsidRPr="00C02AC8" w:rsidR="00855521" w:rsidP="00C02AC8" w:rsidRDefault="00855521">
      <w:pPr>
        <w:pStyle w:val="ECHRPara"/>
        <w:rPr>
          <w:snapToGrid w:val="0"/>
        </w:rPr>
      </w:pPr>
      <w:r w:rsidRPr="00C02AC8">
        <w:rPr>
          <w:snapToGrid w:val="0"/>
        </w:rPr>
        <w:fldChar w:fldCharType="begin"/>
      </w:r>
      <w:r w:rsidRPr="00C02AC8">
        <w:rPr>
          <w:snapToGrid w:val="0"/>
        </w:rPr>
        <w:instrText xml:space="preserve"> SEQ level0 \*arabic </w:instrText>
      </w:r>
      <w:r w:rsidRPr="00C02AC8">
        <w:rPr>
          <w:snapToGrid w:val="0"/>
        </w:rPr>
        <w:fldChar w:fldCharType="separate"/>
      </w:r>
      <w:r w:rsidRPr="00C02AC8" w:rsidR="00C02AC8">
        <w:rPr>
          <w:noProof/>
          <w:snapToGrid w:val="0"/>
        </w:rPr>
        <w:t>18</w:t>
      </w:r>
      <w:r w:rsidRPr="00C02AC8">
        <w:rPr>
          <w:snapToGrid w:val="0"/>
        </w:rPr>
        <w:fldChar w:fldCharType="end"/>
      </w:r>
      <w:r w:rsidRPr="00C02AC8">
        <w:rPr>
          <w:snapToGrid w:val="0"/>
        </w:rPr>
        <w:t>.  I</w:t>
      </w:r>
      <w:r w:rsidRPr="00C02AC8" w:rsidR="00C7656B">
        <w:rPr>
          <w:snapToGrid w:val="0"/>
        </w:rPr>
        <w:t>f</w:t>
      </w:r>
      <w:r w:rsidRPr="00C02AC8">
        <w:rPr>
          <w:snapToGrid w:val="0"/>
        </w:rPr>
        <w:t xml:space="preserve"> the Court decided </w:t>
      </w:r>
      <w:r w:rsidRPr="00C02AC8" w:rsidR="004A5FE5">
        <w:rPr>
          <w:snapToGrid w:val="0"/>
        </w:rPr>
        <w:t>to</w:t>
      </w:r>
      <w:r w:rsidRPr="00C02AC8">
        <w:rPr>
          <w:snapToGrid w:val="0"/>
        </w:rPr>
        <w:t xml:space="preserve"> award the value of the compensation which could have been received at the domestic level, the Government </w:t>
      </w:r>
      <w:r w:rsidRPr="00C02AC8" w:rsidR="004A5FE5">
        <w:rPr>
          <w:snapToGrid w:val="0"/>
        </w:rPr>
        <w:t>pointed out that in April 2003</w:t>
      </w:r>
      <w:r w:rsidRPr="00C02AC8">
        <w:rPr>
          <w:snapToGrid w:val="0"/>
        </w:rPr>
        <w:t xml:space="preserve"> </w:t>
      </w:r>
      <w:r w:rsidRPr="00C02AC8" w:rsidR="008858F2">
        <w:rPr>
          <w:snapToGrid w:val="0"/>
        </w:rPr>
        <w:t>the applicants would have received bonds</w:t>
      </w:r>
      <w:r w:rsidRPr="00C02AC8">
        <w:rPr>
          <w:snapToGrid w:val="0"/>
        </w:rPr>
        <w:t xml:space="preserve"> with a face value of BGN 132,827, the equivalent of EUR 68,000.</w:t>
      </w:r>
      <w:r w:rsidRPr="00C02AC8" w:rsidR="00C7656B">
        <w:rPr>
          <w:snapToGrid w:val="0"/>
        </w:rPr>
        <w:t xml:space="preserve"> In support of that </w:t>
      </w:r>
      <w:r w:rsidRPr="00C02AC8" w:rsidR="00D34363">
        <w:rPr>
          <w:snapToGrid w:val="0"/>
        </w:rPr>
        <w:t>statement</w:t>
      </w:r>
      <w:r w:rsidRPr="00C02AC8" w:rsidR="00C7656B">
        <w:rPr>
          <w:snapToGrid w:val="0"/>
        </w:rPr>
        <w:t xml:space="preserve"> the Government submitted an expert valuation report. Using the same </w:t>
      </w:r>
      <w:r w:rsidRPr="00C02AC8" w:rsidR="00D34363">
        <w:rPr>
          <w:snapToGrid w:val="0"/>
        </w:rPr>
        <w:t xml:space="preserve">statute-provided </w:t>
      </w:r>
      <w:r w:rsidRPr="00C02AC8" w:rsidR="00C7656B">
        <w:rPr>
          <w:snapToGrid w:val="0"/>
        </w:rPr>
        <w:t xml:space="preserve">formula as the expert retained by the applicants (see paragraph </w:t>
      </w:r>
      <w:r w:rsidRPr="00C02AC8" w:rsidR="003304EF">
        <w:rPr>
          <w:snapToGrid w:val="0"/>
        </w:rPr>
        <w:t xml:space="preserve">11 </w:t>
      </w:r>
      <w:r w:rsidRPr="00C02AC8" w:rsidR="00C7656B">
        <w:rPr>
          <w:snapToGrid w:val="0"/>
        </w:rPr>
        <w:t>above), and changing only one element in it, namely the average monthly salary during the trimester preceding the award of compensation bonds, the expert calculated that the face value of these bonds would have been in the amount indicated above – BGN 132,827 – in A</w:t>
      </w:r>
      <w:r w:rsidRPr="00C02AC8" w:rsidR="00D34363">
        <w:rPr>
          <w:snapToGrid w:val="0"/>
        </w:rPr>
        <w:t>p</w:t>
      </w:r>
      <w:r w:rsidRPr="00C02AC8" w:rsidR="00C7656B">
        <w:rPr>
          <w:snapToGrid w:val="0"/>
        </w:rPr>
        <w:t>ril 2003</w:t>
      </w:r>
      <w:r w:rsidRPr="00C02AC8" w:rsidR="00D34363">
        <w:rPr>
          <w:snapToGrid w:val="0"/>
        </w:rPr>
        <w:t xml:space="preserve"> (taking into account the average salary in the first trimester of 2003)</w:t>
      </w:r>
      <w:r w:rsidRPr="00C02AC8" w:rsidR="00C7656B">
        <w:rPr>
          <w:snapToGrid w:val="0"/>
        </w:rPr>
        <w:t>, and BGN 566,025, the equivalent of EUR 289,000, in September 2018</w:t>
      </w:r>
      <w:r w:rsidRPr="00C02AC8" w:rsidR="00D34363">
        <w:rPr>
          <w:snapToGrid w:val="0"/>
        </w:rPr>
        <w:t xml:space="preserve"> (taking into account the average salary in the second trimester of 2018)</w:t>
      </w:r>
      <w:r w:rsidRPr="00C02AC8" w:rsidR="00C7656B">
        <w:rPr>
          <w:snapToGrid w:val="0"/>
        </w:rPr>
        <w:t>.</w:t>
      </w:r>
    </w:p>
    <w:p w:rsidRPr="00C02AC8" w:rsidR="00C7656B" w:rsidP="00C02AC8" w:rsidRDefault="00C7656B">
      <w:pPr>
        <w:pStyle w:val="ECHRPara"/>
      </w:pPr>
      <w:r w:rsidRPr="00C02AC8">
        <w:fldChar w:fldCharType="begin"/>
      </w:r>
      <w:r w:rsidRPr="00C02AC8">
        <w:instrText xml:space="preserve"> SEQ level0 \*arabic </w:instrText>
      </w:r>
      <w:r w:rsidRPr="00C02AC8">
        <w:fldChar w:fldCharType="separate"/>
      </w:r>
      <w:r w:rsidRPr="00C02AC8" w:rsidR="00C02AC8">
        <w:rPr>
          <w:noProof/>
        </w:rPr>
        <w:t>19</w:t>
      </w:r>
      <w:r w:rsidRPr="00C02AC8">
        <w:fldChar w:fldCharType="end"/>
      </w:r>
      <w:r w:rsidRPr="00C02AC8">
        <w:t>.  If the Court awarded any of these sums, the Government argued that no interest had to be added to it</w:t>
      </w:r>
      <w:r w:rsidRPr="00C02AC8" w:rsidR="000D3EB2">
        <w:t>. They p</w:t>
      </w:r>
      <w:r w:rsidRPr="00C02AC8">
        <w:t>oint</w:t>
      </w:r>
      <w:r w:rsidRPr="00C02AC8" w:rsidR="000D3EB2">
        <w:t>ed</w:t>
      </w:r>
      <w:r w:rsidRPr="00C02AC8">
        <w:t xml:space="preserve"> out </w:t>
      </w:r>
      <w:r w:rsidRPr="00C02AC8" w:rsidR="000D3EB2">
        <w:t xml:space="preserve">in addition </w:t>
      </w:r>
      <w:r w:rsidRPr="00C02AC8">
        <w:t>that for many years prior to 2003 the applicants had received rent for the disputed property which</w:t>
      </w:r>
      <w:r w:rsidRPr="00C02AC8" w:rsidR="00D34363">
        <w:t>, in their view,</w:t>
      </w:r>
      <w:r w:rsidRPr="00C02AC8">
        <w:t xml:space="preserve"> </w:t>
      </w:r>
      <w:r w:rsidRPr="00C02AC8" w:rsidR="000D3EB2">
        <w:t>was equivalent compensation.</w:t>
      </w:r>
      <w:r w:rsidRPr="00C02AC8" w:rsidR="00102B71">
        <w:t xml:space="preserve"> They submitted a letter by company T. which had paid this rent, stating that the company no longer kept any documents showing the exact amounts disbursed.</w:t>
      </w:r>
    </w:p>
    <w:p w:rsidRPr="00C02AC8" w:rsidR="007058E8" w:rsidP="00C02AC8" w:rsidRDefault="007058E8">
      <w:pPr>
        <w:pStyle w:val="ECHRHeading4"/>
        <w:rPr>
          <w:lang w:val="en-US"/>
        </w:rPr>
      </w:pPr>
      <w:r w:rsidRPr="00C02AC8">
        <w:rPr>
          <w:lang w:val="en-US"/>
        </w:rPr>
        <w:t>(c)  The applicants</w:t>
      </w:r>
      <w:r w:rsidRPr="00C02AC8" w:rsidR="00C02AC8">
        <w:rPr>
          <w:lang w:val="en-US"/>
        </w:rPr>
        <w:t>’</w:t>
      </w:r>
      <w:r w:rsidRPr="00C02AC8">
        <w:rPr>
          <w:lang w:val="en-US"/>
        </w:rPr>
        <w:t xml:space="preserve"> response to the Government</w:t>
      </w:r>
      <w:r w:rsidRPr="00C02AC8" w:rsidR="00C02AC8">
        <w:rPr>
          <w:lang w:val="en-US"/>
        </w:rPr>
        <w:t>’</w:t>
      </w:r>
      <w:r w:rsidRPr="00C02AC8">
        <w:rPr>
          <w:lang w:val="en-US"/>
        </w:rPr>
        <w:t>s observations</w:t>
      </w:r>
    </w:p>
    <w:p w:rsidRPr="00C02AC8" w:rsidR="007058E8" w:rsidP="00C02AC8" w:rsidRDefault="007058E8">
      <w:pPr>
        <w:pStyle w:val="ECHRPara"/>
        <w:rPr>
          <w:lang w:val="en-US"/>
        </w:rPr>
      </w:pPr>
      <w:r w:rsidRPr="00C02AC8">
        <w:rPr>
          <w:lang w:val="en-US"/>
        </w:rPr>
        <w:fldChar w:fldCharType="begin"/>
      </w:r>
      <w:r w:rsidRPr="00C02AC8">
        <w:rPr>
          <w:lang w:val="en-US"/>
        </w:rPr>
        <w:instrText xml:space="preserve"> SEQ level0 \*arabic </w:instrText>
      </w:r>
      <w:r w:rsidRPr="00C02AC8">
        <w:rPr>
          <w:lang w:val="en-US"/>
        </w:rPr>
        <w:fldChar w:fldCharType="separate"/>
      </w:r>
      <w:r w:rsidRPr="00C02AC8" w:rsidR="00C02AC8">
        <w:rPr>
          <w:noProof/>
          <w:lang w:val="en-US"/>
        </w:rPr>
        <w:t>20</w:t>
      </w:r>
      <w:r w:rsidRPr="00C02AC8">
        <w:rPr>
          <w:lang w:val="en-US"/>
        </w:rPr>
        <w:fldChar w:fldCharType="end"/>
      </w:r>
      <w:r w:rsidRPr="00C02AC8">
        <w:rPr>
          <w:lang w:val="en-US"/>
        </w:rPr>
        <w:t>.  </w:t>
      </w:r>
      <w:r w:rsidRPr="00C02AC8" w:rsidR="00FC2705">
        <w:rPr>
          <w:lang w:val="en-US"/>
        </w:rPr>
        <w:t>Upon receipt of the Government</w:t>
      </w:r>
      <w:r w:rsidRPr="00C02AC8" w:rsidR="00C02AC8">
        <w:rPr>
          <w:lang w:val="en-US"/>
        </w:rPr>
        <w:t>’</w:t>
      </w:r>
      <w:r w:rsidRPr="00C02AC8" w:rsidR="00FC2705">
        <w:rPr>
          <w:lang w:val="en-US"/>
        </w:rPr>
        <w:t>s observations, and in particular the report referred to in paragraph 1</w:t>
      </w:r>
      <w:r w:rsidRPr="00C02AC8" w:rsidR="003304EF">
        <w:rPr>
          <w:lang w:val="en-US"/>
        </w:rPr>
        <w:t>8</w:t>
      </w:r>
      <w:r w:rsidRPr="00C02AC8" w:rsidR="00FC2705">
        <w:rPr>
          <w:lang w:val="en-US"/>
        </w:rPr>
        <w:t xml:space="preserve"> above, the applicants stated that they wished to increase their claim for pecun</w:t>
      </w:r>
      <w:r w:rsidRPr="00C02AC8" w:rsidR="008318B1">
        <w:rPr>
          <w:lang w:val="en-US"/>
        </w:rPr>
        <w:t>iary damage to BGN 566,025 (EUR </w:t>
      </w:r>
      <w:r w:rsidRPr="00C02AC8" w:rsidR="00FC2705">
        <w:rPr>
          <w:lang w:val="en-US"/>
        </w:rPr>
        <w:t>289,000) – the face value of the compensation bonds for their property as of September 2018, calculated by the Government-retained expert. The applicants justified their decision to base their claim on the bonds</w:t>
      </w:r>
      <w:r w:rsidRPr="00C02AC8" w:rsidR="00C02AC8">
        <w:rPr>
          <w:lang w:val="en-US"/>
        </w:rPr>
        <w:t>’</w:t>
      </w:r>
      <w:r w:rsidRPr="00C02AC8" w:rsidR="00FC2705">
        <w:rPr>
          <w:lang w:val="en-US"/>
        </w:rPr>
        <w:t xml:space="preserve"> face value as of that date with the fact that</w:t>
      </w:r>
      <w:r w:rsidRPr="00C02AC8" w:rsidR="008858F2">
        <w:rPr>
          <w:lang w:val="en-US"/>
        </w:rPr>
        <w:t>, in their view,</w:t>
      </w:r>
      <w:r w:rsidRPr="00C02AC8" w:rsidR="00FC2705">
        <w:rPr>
          <w:lang w:val="en-US"/>
        </w:rPr>
        <w:t xml:space="preserve"> the Compensation Act aimed to provide compensation which was “as updated as possible”. </w:t>
      </w:r>
      <w:r w:rsidRPr="00C02AC8" w:rsidR="00102B71">
        <w:rPr>
          <w:lang w:val="en-US"/>
        </w:rPr>
        <w:t>They justified i</w:t>
      </w:r>
      <w:r w:rsidRPr="00C02AC8" w:rsidR="00FC2705">
        <w:rPr>
          <w:lang w:val="en-US"/>
        </w:rPr>
        <w:t>n addition</w:t>
      </w:r>
      <w:r w:rsidRPr="00C02AC8" w:rsidR="00102B71">
        <w:rPr>
          <w:lang w:val="en-US"/>
        </w:rPr>
        <w:t xml:space="preserve"> their claim to </w:t>
      </w:r>
      <w:r w:rsidRPr="00C02AC8" w:rsidR="00156847">
        <w:rPr>
          <w:lang w:val="en-US"/>
        </w:rPr>
        <w:t>be awarded</w:t>
      </w:r>
      <w:r w:rsidRPr="00C02AC8" w:rsidR="00102B71">
        <w:rPr>
          <w:lang w:val="en-US"/>
        </w:rPr>
        <w:t xml:space="preserve"> the bonds</w:t>
      </w:r>
      <w:r w:rsidRPr="00C02AC8" w:rsidR="00C02AC8">
        <w:rPr>
          <w:lang w:val="en-US"/>
        </w:rPr>
        <w:t>’</w:t>
      </w:r>
      <w:r w:rsidRPr="00C02AC8" w:rsidR="00102B71">
        <w:rPr>
          <w:lang w:val="en-US"/>
        </w:rPr>
        <w:t xml:space="preserve"> full face value</w:t>
      </w:r>
      <w:r w:rsidRPr="00C02AC8" w:rsidR="00FC2705">
        <w:rPr>
          <w:lang w:val="en-US"/>
        </w:rPr>
        <w:t>, poin</w:t>
      </w:r>
      <w:r w:rsidRPr="00C02AC8" w:rsidR="00102B71">
        <w:rPr>
          <w:lang w:val="en-US"/>
        </w:rPr>
        <w:t>ting</w:t>
      </w:r>
      <w:r w:rsidRPr="00C02AC8" w:rsidR="00FC2705">
        <w:rPr>
          <w:lang w:val="en-US"/>
        </w:rPr>
        <w:t xml:space="preserve"> out that compensation bonds </w:t>
      </w:r>
      <w:r w:rsidRPr="00C02AC8" w:rsidR="00102B71">
        <w:rPr>
          <w:lang w:val="en-US"/>
        </w:rPr>
        <w:t>could</w:t>
      </w:r>
      <w:r w:rsidRPr="00C02AC8" w:rsidR="00FC2705">
        <w:rPr>
          <w:lang w:val="en-US"/>
        </w:rPr>
        <w:t xml:space="preserve"> be used </w:t>
      </w:r>
      <w:r w:rsidRPr="00C02AC8" w:rsidR="00102B71">
        <w:rPr>
          <w:lang w:val="en-US"/>
        </w:rPr>
        <w:t xml:space="preserve">as means of payment </w:t>
      </w:r>
      <w:r w:rsidRPr="00C02AC8" w:rsidR="00FC2705">
        <w:rPr>
          <w:lang w:val="en-US"/>
        </w:rPr>
        <w:t>in privati</w:t>
      </w:r>
      <w:r w:rsidRPr="00C02AC8" w:rsidR="00156847">
        <w:rPr>
          <w:lang w:val="en-US"/>
        </w:rPr>
        <w:t>sation tenders</w:t>
      </w:r>
      <w:r w:rsidRPr="00C02AC8" w:rsidR="00102B71">
        <w:rPr>
          <w:lang w:val="en-US"/>
        </w:rPr>
        <w:t>.</w:t>
      </w:r>
    </w:p>
    <w:p w:rsidRPr="00C02AC8" w:rsidR="00102B71" w:rsidP="00C02AC8" w:rsidRDefault="00102B71">
      <w:pPr>
        <w:pStyle w:val="ECHRPara"/>
        <w:rPr>
          <w:lang w:val="en-US"/>
        </w:rPr>
      </w:pPr>
      <w:r w:rsidRPr="00C02AC8">
        <w:rPr>
          <w:lang w:val="en-US"/>
        </w:rPr>
        <w:fldChar w:fldCharType="begin"/>
      </w:r>
      <w:r w:rsidRPr="00C02AC8">
        <w:rPr>
          <w:lang w:val="en-US"/>
        </w:rPr>
        <w:instrText xml:space="preserve"> SEQ level0 \*arabic </w:instrText>
      </w:r>
      <w:r w:rsidRPr="00C02AC8">
        <w:rPr>
          <w:lang w:val="en-US"/>
        </w:rPr>
        <w:fldChar w:fldCharType="separate"/>
      </w:r>
      <w:r w:rsidRPr="00C02AC8" w:rsidR="00C02AC8">
        <w:rPr>
          <w:noProof/>
          <w:lang w:val="en-US"/>
        </w:rPr>
        <w:t>21</w:t>
      </w:r>
      <w:r w:rsidRPr="00C02AC8">
        <w:rPr>
          <w:lang w:val="en-US"/>
        </w:rPr>
        <w:fldChar w:fldCharType="end"/>
      </w:r>
      <w:r w:rsidRPr="00C02AC8">
        <w:rPr>
          <w:lang w:val="en-US"/>
        </w:rPr>
        <w:t xml:space="preserve">.  The applicants observed that, unlike the applicants in </w:t>
      </w:r>
      <w:proofErr w:type="spellStart"/>
      <w:r w:rsidRPr="00C02AC8">
        <w:rPr>
          <w:i/>
          <w:lang w:val="en-US"/>
        </w:rPr>
        <w:t>Yavashev</w:t>
      </w:r>
      <w:proofErr w:type="spellEnd"/>
      <w:r w:rsidRPr="00C02AC8">
        <w:rPr>
          <w:i/>
          <w:lang w:val="en-US"/>
        </w:rPr>
        <w:t xml:space="preserve"> and Others</w:t>
      </w:r>
      <w:r w:rsidRPr="00C02AC8">
        <w:rPr>
          <w:lang w:val="en-US"/>
        </w:rPr>
        <w:t xml:space="preserve"> (cited above), they did not claim the market value of their expropriated property, but the value of the compensation they could have received at the national level.</w:t>
      </w:r>
    </w:p>
    <w:p w:rsidRPr="00C02AC8" w:rsidR="00102B71" w:rsidP="00C02AC8" w:rsidRDefault="00102B71">
      <w:pPr>
        <w:pStyle w:val="ECHRPara"/>
        <w:rPr>
          <w:lang w:val="en-US"/>
        </w:rPr>
      </w:pPr>
      <w:r w:rsidRPr="00C02AC8">
        <w:rPr>
          <w:lang w:val="en-US"/>
        </w:rPr>
        <w:fldChar w:fldCharType="begin"/>
      </w:r>
      <w:r w:rsidRPr="00C02AC8">
        <w:rPr>
          <w:lang w:val="en-US"/>
        </w:rPr>
        <w:instrText xml:space="preserve"> SEQ level0 \*arabic </w:instrText>
      </w:r>
      <w:r w:rsidRPr="00C02AC8">
        <w:rPr>
          <w:lang w:val="en-US"/>
        </w:rPr>
        <w:fldChar w:fldCharType="separate"/>
      </w:r>
      <w:r w:rsidRPr="00C02AC8" w:rsidR="00C02AC8">
        <w:rPr>
          <w:noProof/>
          <w:lang w:val="en-US"/>
        </w:rPr>
        <w:t>22</w:t>
      </w:r>
      <w:r w:rsidRPr="00C02AC8">
        <w:rPr>
          <w:lang w:val="en-US"/>
        </w:rPr>
        <w:fldChar w:fldCharType="end"/>
      </w:r>
      <w:r w:rsidRPr="00C02AC8">
        <w:rPr>
          <w:lang w:val="en-US"/>
        </w:rPr>
        <w:t xml:space="preserve">.  The applicants reiterated that the amounts they had received from company T. in rent before 2003 had been “insignificant”. Moreover, the company had been entitled to claim </w:t>
      </w:r>
      <w:r w:rsidRPr="00C02AC8" w:rsidR="00156847">
        <w:rPr>
          <w:lang w:val="en-US"/>
        </w:rPr>
        <w:t xml:space="preserve">back </w:t>
      </w:r>
      <w:r w:rsidRPr="00C02AC8">
        <w:rPr>
          <w:lang w:val="en-US"/>
        </w:rPr>
        <w:t>any such amount</w:t>
      </w:r>
      <w:r w:rsidRPr="00C02AC8" w:rsidR="008858F2">
        <w:rPr>
          <w:lang w:val="en-US"/>
        </w:rPr>
        <w:t>s</w:t>
      </w:r>
      <w:r w:rsidRPr="00C02AC8">
        <w:rPr>
          <w:lang w:val="en-US"/>
        </w:rPr>
        <w:t>.</w:t>
      </w:r>
    </w:p>
    <w:p w:rsidRPr="00C02AC8" w:rsidR="007058E8" w:rsidP="00C02AC8" w:rsidRDefault="007058E8">
      <w:pPr>
        <w:pStyle w:val="ECHRHeading4"/>
        <w:rPr>
          <w:lang w:val="en-US"/>
        </w:rPr>
      </w:pPr>
      <w:r w:rsidRPr="00C02AC8">
        <w:rPr>
          <w:lang w:val="en-US"/>
        </w:rPr>
        <w:t>(d)  The Government</w:t>
      </w:r>
      <w:r w:rsidRPr="00C02AC8" w:rsidR="00C02AC8">
        <w:rPr>
          <w:lang w:val="en-US"/>
        </w:rPr>
        <w:t>’</w:t>
      </w:r>
      <w:r w:rsidRPr="00C02AC8">
        <w:rPr>
          <w:lang w:val="en-US"/>
        </w:rPr>
        <w:t>s comments on the applicants</w:t>
      </w:r>
      <w:r w:rsidRPr="00C02AC8" w:rsidR="00C02AC8">
        <w:rPr>
          <w:lang w:val="en-US"/>
        </w:rPr>
        <w:t>’</w:t>
      </w:r>
      <w:r w:rsidRPr="00C02AC8">
        <w:rPr>
          <w:lang w:val="en-US"/>
        </w:rPr>
        <w:t xml:space="preserve"> claims</w:t>
      </w:r>
    </w:p>
    <w:p w:rsidRPr="00C02AC8" w:rsidR="007058E8" w:rsidP="00C02AC8" w:rsidRDefault="007058E8">
      <w:pPr>
        <w:pStyle w:val="ECHRPara"/>
      </w:pPr>
      <w:r w:rsidRPr="00C02AC8">
        <w:fldChar w:fldCharType="begin"/>
      </w:r>
      <w:r w:rsidRPr="00C02AC8">
        <w:instrText xml:space="preserve"> SEQ level0 \*arabic </w:instrText>
      </w:r>
      <w:r w:rsidRPr="00C02AC8">
        <w:fldChar w:fldCharType="separate"/>
      </w:r>
      <w:r w:rsidRPr="00C02AC8" w:rsidR="00C02AC8">
        <w:rPr>
          <w:noProof/>
        </w:rPr>
        <w:t>23</w:t>
      </w:r>
      <w:r w:rsidRPr="00C02AC8">
        <w:fldChar w:fldCharType="end"/>
      </w:r>
      <w:r w:rsidRPr="00C02AC8">
        <w:t>.  </w:t>
      </w:r>
      <w:r w:rsidRPr="00C02AC8" w:rsidR="00102B71">
        <w:t xml:space="preserve">The Government </w:t>
      </w:r>
      <w:r w:rsidRPr="00C02AC8" w:rsidR="00156847">
        <w:t xml:space="preserve">once again </w:t>
      </w:r>
      <w:r w:rsidRPr="00C02AC8" w:rsidR="00102B71">
        <w:t xml:space="preserve">urged the Court to </w:t>
      </w:r>
      <w:r w:rsidRPr="00C02AC8" w:rsidR="00156847">
        <w:t xml:space="preserve">reduce any award in respect of pecuniary damage to </w:t>
      </w:r>
      <w:r w:rsidRPr="00C02AC8" w:rsidR="00102B71">
        <w:t xml:space="preserve">take </w:t>
      </w:r>
      <w:r w:rsidRPr="00C02AC8" w:rsidR="00156847">
        <w:t xml:space="preserve">into account </w:t>
      </w:r>
      <w:r w:rsidRPr="00C02AC8" w:rsidR="00102B71">
        <w:t>th</w:t>
      </w:r>
      <w:r w:rsidRPr="00C02AC8" w:rsidR="006F681F">
        <w:t>e</w:t>
      </w:r>
      <w:r w:rsidRPr="00C02AC8" w:rsidR="00102B71">
        <w:t xml:space="preserve"> rent </w:t>
      </w:r>
      <w:r w:rsidRPr="00C02AC8" w:rsidR="006F681F">
        <w:t>received by the applicants before 2003</w:t>
      </w:r>
      <w:r w:rsidRPr="00C02AC8" w:rsidR="00102B71">
        <w:t xml:space="preserve">, pointing out that it </w:t>
      </w:r>
      <w:r w:rsidRPr="00C02AC8" w:rsidR="00F13B25">
        <w:t>had not been</w:t>
      </w:r>
      <w:r w:rsidRPr="00C02AC8" w:rsidR="00102B71">
        <w:t xml:space="preserve"> in negligible amounts at the relevant time</w:t>
      </w:r>
      <w:r w:rsidRPr="00C02AC8" w:rsidR="006918C7">
        <w:t>.</w:t>
      </w:r>
    </w:p>
    <w:p w:rsidRPr="00C02AC8" w:rsidR="006918C7" w:rsidP="00C02AC8" w:rsidRDefault="006918C7">
      <w:pPr>
        <w:pStyle w:val="ECHRPara"/>
      </w:pPr>
      <w:r w:rsidRPr="00C02AC8">
        <w:fldChar w:fldCharType="begin"/>
      </w:r>
      <w:r w:rsidRPr="00C02AC8">
        <w:instrText xml:space="preserve"> SEQ level0 \*arabic </w:instrText>
      </w:r>
      <w:r w:rsidRPr="00C02AC8">
        <w:fldChar w:fldCharType="separate"/>
      </w:r>
      <w:r w:rsidRPr="00C02AC8" w:rsidR="00C02AC8">
        <w:rPr>
          <w:noProof/>
        </w:rPr>
        <w:t>24</w:t>
      </w:r>
      <w:r w:rsidRPr="00C02AC8">
        <w:fldChar w:fldCharType="end"/>
      </w:r>
      <w:r w:rsidRPr="00C02AC8">
        <w:t>.  Lastly, the Government contested the applicants</w:t>
      </w:r>
      <w:r w:rsidRPr="00C02AC8" w:rsidR="00C02AC8">
        <w:t>’</w:t>
      </w:r>
      <w:r w:rsidRPr="00C02AC8">
        <w:t xml:space="preserve"> claims in respect of non-pecuniary </w:t>
      </w:r>
      <w:r w:rsidRPr="00C02AC8" w:rsidR="006F681F">
        <w:t>damage (see paragraph 1</w:t>
      </w:r>
      <w:r w:rsidRPr="00C02AC8" w:rsidR="003304EF">
        <w:t>6</w:t>
      </w:r>
      <w:r w:rsidRPr="00C02AC8" w:rsidR="006F681F">
        <w:t xml:space="preserve"> above), considering them </w:t>
      </w:r>
      <w:r w:rsidRPr="00C02AC8">
        <w:t>excessive.</w:t>
      </w:r>
    </w:p>
    <w:p w:rsidRPr="00C02AC8" w:rsidR="007058E8" w:rsidP="00C02AC8" w:rsidRDefault="007058E8">
      <w:pPr>
        <w:pStyle w:val="ECHRHeading3"/>
      </w:pPr>
      <w:r w:rsidRPr="00C02AC8">
        <w:t>2.  The Court</w:t>
      </w:r>
      <w:r w:rsidRPr="00C02AC8" w:rsidR="00C02AC8">
        <w:t>’</w:t>
      </w:r>
      <w:r w:rsidRPr="00C02AC8">
        <w:t>s assessment</w:t>
      </w:r>
    </w:p>
    <w:p w:rsidRPr="00C02AC8" w:rsidR="00782BC2" w:rsidP="00C02AC8" w:rsidRDefault="00782BC2">
      <w:pPr>
        <w:pStyle w:val="ECHRHeading4"/>
      </w:pPr>
      <w:r w:rsidRPr="00C02AC8">
        <w:t>(a)  Pecuniary damage</w:t>
      </w:r>
    </w:p>
    <w:p w:rsidRPr="00C02AC8" w:rsidR="007058E8" w:rsidP="00C02AC8" w:rsidRDefault="007058E8">
      <w:pPr>
        <w:pStyle w:val="ECHRPara"/>
      </w:pPr>
      <w:r w:rsidRPr="00C02AC8">
        <w:fldChar w:fldCharType="begin"/>
      </w:r>
      <w:r w:rsidRPr="00C02AC8">
        <w:instrText xml:space="preserve"> SEQ level0 \*arabic </w:instrText>
      </w:r>
      <w:r w:rsidRPr="00C02AC8">
        <w:fldChar w:fldCharType="separate"/>
      </w:r>
      <w:r w:rsidRPr="00C02AC8" w:rsidR="00C02AC8">
        <w:rPr>
          <w:noProof/>
        </w:rPr>
        <w:t>25</w:t>
      </w:r>
      <w:r w:rsidRPr="00C02AC8">
        <w:fldChar w:fldCharType="end"/>
      </w:r>
      <w:r w:rsidRPr="00C02AC8">
        <w:t>.  </w:t>
      </w:r>
      <w:r w:rsidRPr="00C02AC8" w:rsidR="0010771F">
        <w:t xml:space="preserve">In the similar case of </w:t>
      </w:r>
      <w:proofErr w:type="spellStart"/>
      <w:r w:rsidRPr="00C02AC8" w:rsidR="0010771F">
        <w:rPr>
          <w:i/>
        </w:rPr>
        <w:t>Yavashev</w:t>
      </w:r>
      <w:proofErr w:type="spellEnd"/>
      <w:r w:rsidRPr="00C02AC8" w:rsidR="0010771F">
        <w:rPr>
          <w:i/>
        </w:rPr>
        <w:t xml:space="preserve"> and Others</w:t>
      </w:r>
      <w:r w:rsidRPr="00C02AC8" w:rsidR="0010771F">
        <w:t xml:space="preserve"> (cited above</w:t>
      </w:r>
      <w:r w:rsidRPr="00C02AC8" w:rsidR="00F13B25">
        <w:t>, §§ 72-77</w:t>
      </w:r>
      <w:r w:rsidRPr="00C02AC8" w:rsidR="0010771F">
        <w:t>)</w:t>
      </w:r>
      <w:r w:rsidRPr="00C02AC8" w:rsidR="006F681F">
        <w:t xml:space="preserve"> –</w:t>
      </w:r>
      <w:r w:rsidRPr="00C02AC8" w:rsidR="0010771F">
        <w:t xml:space="preserve"> which</w:t>
      </w:r>
      <w:r w:rsidRPr="00C02AC8" w:rsidR="006F681F">
        <w:t xml:space="preserve"> </w:t>
      </w:r>
      <w:r w:rsidRPr="00C02AC8" w:rsidR="0010771F">
        <w:t xml:space="preserve">had a broader subject matter, the applicants complaining </w:t>
      </w:r>
      <w:r w:rsidRPr="00C02AC8" w:rsidR="00156847">
        <w:t xml:space="preserve">additionally </w:t>
      </w:r>
      <w:r w:rsidRPr="00C02AC8" w:rsidR="0010771F">
        <w:t>of the domestic courts</w:t>
      </w:r>
      <w:r w:rsidRPr="00C02AC8" w:rsidR="00C02AC8">
        <w:t>’</w:t>
      </w:r>
      <w:r w:rsidRPr="00C02AC8" w:rsidR="0010771F">
        <w:t xml:space="preserve"> finding that the property they claimed had not been </w:t>
      </w:r>
      <w:proofErr w:type="spellStart"/>
      <w:r w:rsidRPr="00C02AC8" w:rsidR="0010771F">
        <w:t>restituted</w:t>
      </w:r>
      <w:proofErr w:type="spellEnd"/>
      <w:r w:rsidRPr="00C02AC8" w:rsidR="0010771F">
        <w:t xml:space="preserve"> to them</w:t>
      </w:r>
      <w:r w:rsidRPr="00C02AC8" w:rsidR="006F681F">
        <w:t xml:space="preserve"> –</w:t>
      </w:r>
      <w:r w:rsidRPr="00C02AC8" w:rsidR="0010771F">
        <w:t xml:space="preserve"> the</w:t>
      </w:r>
      <w:r w:rsidRPr="00C02AC8" w:rsidR="006F681F">
        <w:t xml:space="preserve"> </w:t>
      </w:r>
      <w:r w:rsidRPr="00C02AC8" w:rsidR="0010771F">
        <w:t xml:space="preserve">applicants had claimed, in respect of pecuniary damage, the market value of that property. The Court, having found a violation of Article 1 of Protocol No. 1 of the Convention only as regards the impossibility for them to receive compensation in lieu of restitution, did not make an award reflecting that value. </w:t>
      </w:r>
      <w:r w:rsidRPr="00C02AC8" w:rsidR="006F681F">
        <w:t xml:space="preserve">Since the parties had not made submissions as to the </w:t>
      </w:r>
      <w:r w:rsidRPr="00C02AC8" w:rsidR="0010771F">
        <w:t>amount of compensation the applicants could have received</w:t>
      </w:r>
      <w:r w:rsidRPr="00C02AC8" w:rsidR="006F681F">
        <w:t>, the Court note</w:t>
      </w:r>
      <w:r w:rsidRPr="00C02AC8" w:rsidR="00156847">
        <w:t>d</w:t>
      </w:r>
      <w:r w:rsidRPr="00C02AC8" w:rsidR="006F681F">
        <w:t xml:space="preserve"> that it could not speculate on the matter</w:t>
      </w:r>
      <w:r w:rsidRPr="00C02AC8" w:rsidR="0010771F">
        <w:t xml:space="preserve"> and, ruling on an equitable basis, awarded </w:t>
      </w:r>
      <w:r w:rsidRPr="00C02AC8" w:rsidR="00156847">
        <w:t xml:space="preserve">the three applicants </w:t>
      </w:r>
      <w:r w:rsidRPr="00C02AC8" w:rsidR="00F13B25">
        <w:t>a lump sum, EUR </w:t>
      </w:r>
      <w:r w:rsidRPr="00C02AC8" w:rsidR="0010771F">
        <w:t xml:space="preserve">20,000, to compensate any pecuniary and non-pecuniary damage suffered </w:t>
      </w:r>
      <w:r w:rsidRPr="00C02AC8" w:rsidR="00F13B25">
        <w:t xml:space="preserve">by them </w:t>
      </w:r>
      <w:r w:rsidRPr="00C02AC8" w:rsidR="006F681F">
        <w:t>as a result of the violation</w:t>
      </w:r>
      <w:r w:rsidRPr="00C02AC8" w:rsidR="0010771F">
        <w:t>.</w:t>
      </w:r>
    </w:p>
    <w:p w:rsidRPr="00C02AC8" w:rsidR="006F681F" w:rsidP="00C02AC8" w:rsidRDefault="006F681F">
      <w:pPr>
        <w:pStyle w:val="ECHRPara"/>
      </w:pPr>
      <w:r w:rsidRPr="00C02AC8">
        <w:fldChar w:fldCharType="begin"/>
      </w:r>
      <w:r w:rsidRPr="00C02AC8">
        <w:instrText xml:space="preserve"> SEQ level0 \*arabic </w:instrText>
      </w:r>
      <w:r w:rsidRPr="00C02AC8">
        <w:fldChar w:fldCharType="separate"/>
      </w:r>
      <w:r w:rsidRPr="00C02AC8" w:rsidR="00C02AC8">
        <w:rPr>
          <w:noProof/>
        </w:rPr>
        <w:t>26</w:t>
      </w:r>
      <w:r w:rsidRPr="00C02AC8">
        <w:fldChar w:fldCharType="end"/>
      </w:r>
      <w:r w:rsidRPr="00C02AC8">
        <w:t>.  In the present case the parties made specific submissions with regard to the compensation the applicants could have received at the national level, and the Court sees no reason to rule</w:t>
      </w:r>
      <w:r w:rsidRPr="00C02AC8" w:rsidR="00F13B25">
        <w:t xml:space="preserve">, as in </w:t>
      </w:r>
      <w:proofErr w:type="spellStart"/>
      <w:r w:rsidRPr="00C02AC8" w:rsidR="00F13B25">
        <w:rPr>
          <w:i/>
        </w:rPr>
        <w:t>Yavashev</w:t>
      </w:r>
      <w:proofErr w:type="spellEnd"/>
      <w:r w:rsidRPr="00C02AC8" w:rsidR="00F13B25">
        <w:rPr>
          <w:i/>
        </w:rPr>
        <w:t xml:space="preserve"> and Others</w:t>
      </w:r>
      <w:r w:rsidRPr="00C02AC8" w:rsidR="00F13B25">
        <w:t>,</w:t>
      </w:r>
      <w:r w:rsidRPr="00C02AC8">
        <w:t xml:space="preserve"> on equitable basis.</w:t>
      </w:r>
    </w:p>
    <w:p w:rsidRPr="00C02AC8" w:rsidR="006F681F" w:rsidP="00C02AC8" w:rsidRDefault="006F681F">
      <w:pPr>
        <w:pStyle w:val="ECHRPara"/>
      </w:pPr>
      <w:r w:rsidRPr="00C02AC8">
        <w:fldChar w:fldCharType="begin"/>
      </w:r>
      <w:r w:rsidRPr="00C02AC8">
        <w:instrText xml:space="preserve"> SEQ level0 \*arabic </w:instrText>
      </w:r>
      <w:r w:rsidRPr="00C02AC8">
        <w:fldChar w:fldCharType="separate"/>
      </w:r>
      <w:r w:rsidRPr="00C02AC8" w:rsidR="00C02AC8">
        <w:rPr>
          <w:noProof/>
        </w:rPr>
        <w:t>27</w:t>
      </w:r>
      <w:r w:rsidRPr="00C02AC8">
        <w:fldChar w:fldCharType="end"/>
      </w:r>
      <w:r w:rsidRPr="00C02AC8">
        <w:t xml:space="preserve">.  It reiterates that a judgment in which it finds a breach </w:t>
      </w:r>
      <w:r w:rsidRPr="00C02AC8" w:rsidR="00156847">
        <w:t xml:space="preserve">of the Convention </w:t>
      </w:r>
      <w:r w:rsidRPr="00C02AC8">
        <w:t xml:space="preserve">imposes on the respondent State a legal obligation to put an end to the breach and make reparation for its consequences in such a way as to restore as far as possible the situation existing before the breach (see, among many other authorities, </w:t>
      </w:r>
      <w:proofErr w:type="spellStart"/>
      <w:r w:rsidRPr="00C02AC8">
        <w:rPr>
          <w:i/>
        </w:rPr>
        <w:t>Brumărescu</w:t>
      </w:r>
      <w:proofErr w:type="spellEnd"/>
      <w:r w:rsidRPr="00C02AC8">
        <w:rPr>
          <w:i/>
        </w:rPr>
        <w:t xml:space="preserve"> v. Romania</w:t>
      </w:r>
      <w:r w:rsidRPr="00C02AC8">
        <w:t xml:space="preserve"> (just satisf</w:t>
      </w:r>
      <w:r w:rsidRPr="00C02AC8" w:rsidR="00F13B25">
        <w:t>action) [GC], no. </w:t>
      </w:r>
      <w:r w:rsidRPr="00C02AC8">
        <w:t>28342/95, § 19, ECHR 2001</w:t>
      </w:r>
      <w:r w:rsidRPr="00C02AC8">
        <w:noBreakHyphen/>
        <w:t xml:space="preserve">I, and </w:t>
      </w:r>
      <w:proofErr w:type="spellStart"/>
      <w:r w:rsidRPr="00C02AC8">
        <w:rPr>
          <w:i/>
        </w:rPr>
        <w:t>Vistiņš</w:t>
      </w:r>
      <w:proofErr w:type="spellEnd"/>
      <w:r w:rsidRPr="00C02AC8">
        <w:rPr>
          <w:i/>
        </w:rPr>
        <w:t xml:space="preserve"> and </w:t>
      </w:r>
      <w:proofErr w:type="spellStart"/>
      <w:r w:rsidRPr="00C02AC8">
        <w:rPr>
          <w:i/>
        </w:rPr>
        <w:t>Perepjolkins</w:t>
      </w:r>
      <w:proofErr w:type="spellEnd"/>
      <w:r w:rsidRPr="00C02AC8">
        <w:rPr>
          <w:i/>
        </w:rPr>
        <w:t xml:space="preserve"> v. Latvia </w:t>
      </w:r>
      <w:r w:rsidRPr="00C02AC8">
        <w:t>(just satisfaction) [GC]</w:t>
      </w:r>
      <w:r w:rsidRPr="00C02AC8">
        <w:rPr>
          <w:snapToGrid w:val="0"/>
        </w:rPr>
        <w:t>, no.</w:t>
      </w:r>
      <w:r w:rsidRPr="00C02AC8">
        <w:t xml:space="preserve"> 71243/01</w:t>
      </w:r>
      <w:r w:rsidRPr="00C02AC8">
        <w:rPr>
          <w:snapToGrid w:val="0"/>
        </w:rPr>
        <w:t>, § 33, ECHR 2014).</w:t>
      </w:r>
    </w:p>
    <w:p w:rsidRPr="00C02AC8" w:rsidR="0010771F" w:rsidP="00C02AC8" w:rsidRDefault="0010771F">
      <w:pPr>
        <w:pStyle w:val="ECHRPara"/>
      </w:pPr>
      <w:r w:rsidRPr="00C02AC8">
        <w:fldChar w:fldCharType="begin"/>
      </w:r>
      <w:r w:rsidRPr="00C02AC8">
        <w:instrText xml:space="preserve"> SEQ level0 \*arabic </w:instrText>
      </w:r>
      <w:r w:rsidRPr="00C02AC8">
        <w:fldChar w:fldCharType="separate"/>
      </w:r>
      <w:r w:rsidRPr="00C02AC8" w:rsidR="00C02AC8">
        <w:rPr>
          <w:noProof/>
        </w:rPr>
        <w:t>28</w:t>
      </w:r>
      <w:r w:rsidRPr="00C02AC8">
        <w:fldChar w:fldCharType="end"/>
      </w:r>
      <w:r w:rsidRPr="00C02AC8">
        <w:t>.  </w:t>
      </w:r>
      <w:r w:rsidRPr="00C02AC8" w:rsidR="006F681F">
        <w:t>Turning to the circumstances of the present case, the Court observes that the parties appear to agree that, had the breach of the applicants</w:t>
      </w:r>
      <w:r w:rsidRPr="00C02AC8" w:rsidR="00C02AC8">
        <w:t>’</w:t>
      </w:r>
      <w:r w:rsidRPr="00C02AC8" w:rsidR="006F681F">
        <w:t xml:space="preserve"> rights not occurred, they could have received compensation bonds in 2002-03. </w:t>
      </w:r>
      <w:r w:rsidRPr="00C02AC8" w:rsidR="00315B5B">
        <w:t>In particular, a decision awarding to the applicants compensation under the Compensation Act for other expropriated property entered into force in September 2002 (see § 9 of the principal judgment), and the applicants were</w:t>
      </w:r>
      <w:r w:rsidRPr="00C02AC8" w:rsidR="003304EF">
        <w:t xml:space="preserve"> </w:t>
      </w:r>
      <w:r w:rsidRPr="00C02AC8" w:rsidR="00315B5B">
        <w:t xml:space="preserve">of the view that </w:t>
      </w:r>
      <w:r w:rsidRPr="00C02AC8" w:rsidR="00952297">
        <w:t xml:space="preserve">at </w:t>
      </w:r>
      <w:r w:rsidRPr="00C02AC8" w:rsidR="00315B5B">
        <w:t xml:space="preserve">about </w:t>
      </w:r>
      <w:r w:rsidRPr="00C02AC8" w:rsidR="00952297">
        <w:t xml:space="preserve">the same </w:t>
      </w:r>
      <w:r w:rsidRPr="00C02AC8" w:rsidR="00315B5B">
        <w:t>time they could have received compensation for the property at issue as well (see paragraph</w:t>
      </w:r>
      <w:r w:rsidRPr="00C02AC8" w:rsidR="003304EF">
        <w:t xml:space="preserve"> 13</w:t>
      </w:r>
      <w:r w:rsidRPr="00C02AC8" w:rsidR="007D7232">
        <w:t xml:space="preserve"> above). The Government, for their part, submitted an expert report indicating, among others, the </w:t>
      </w:r>
      <w:r w:rsidRPr="00C02AC8" w:rsidR="005648A2">
        <w:t>face value of the compensation bonds the applicants could have received in April 2003 (see paragraph 1</w:t>
      </w:r>
      <w:r w:rsidRPr="00C02AC8" w:rsidR="003304EF">
        <w:t>8</w:t>
      </w:r>
      <w:r w:rsidRPr="00C02AC8" w:rsidR="005648A2">
        <w:t xml:space="preserve"> above).</w:t>
      </w:r>
    </w:p>
    <w:p w:rsidRPr="00C02AC8" w:rsidR="005648A2" w:rsidP="00C02AC8" w:rsidRDefault="005648A2">
      <w:pPr>
        <w:pStyle w:val="ECHRPara"/>
      </w:pPr>
      <w:r w:rsidRPr="00C02AC8">
        <w:fldChar w:fldCharType="begin"/>
      </w:r>
      <w:r w:rsidRPr="00C02AC8">
        <w:instrText xml:space="preserve"> SEQ level0 \*arabic </w:instrText>
      </w:r>
      <w:r w:rsidRPr="00C02AC8">
        <w:fldChar w:fldCharType="separate"/>
      </w:r>
      <w:r w:rsidRPr="00C02AC8" w:rsidR="00C02AC8">
        <w:rPr>
          <w:noProof/>
        </w:rPr>
        <w:t>29</w:t>
      </w:r>
      <w:r w:rsidRPr="00C02AC8">
        <w:fldChar w:fldCharType="end"/>
      </w:r>
      <w:r w:rsidRPr="00C02AC8">
        <w:t>.  Reiterating that reparation for pecuniary damage under Article 41 of the Convention must result in the closest possible situation to that which would have existed if the breach in question had not occurred, the Court finds it justified to take, as a starting point of its analysis, the amount of compensation bonds the applicants would have received in 2002-03. The Court has been provided with an expert assessment of the face value of these bonds as of April 2003, setting that</w:t>
      </w:r>
      <w:r w:rsidRPr="00C02AC8" w:rsidR="00F13B25">
        <w:t xml:space="preserve"> value at the equivalent of EUR </w:t>
      </w:r>
      <w:r w:rsidRPr="00C02AC8">
        <w:t>68,000 (see paragraph 1</w:t>
      </w:r>
      <w:r w:rsidRPr="00C02AC8" w:rsidR="003304EF">
        <w:t>8</w:t>
      </w:r>
      <w:r w:rsidRPr="00C02AC8">
        <w:t xml:space="preserve"> above).</w:t>
      </w:r>
    </w:p>
    <w:p w:rsidRPr="00C02AC8" w:rsidR="005648A2" w:rsidP="00C02AC8" w:rsidRDefault="005648A2">
      <w:pPr>
        <w:pStyle w:val="ECHRPara"/>
      </w:pPr>
      <w:r w:rsidRPr="00C02AC8">
        <w:fldChar w:fldCharType="begin"/>
      </w:r>
      <w:r w:rsidRPr="00C02AC8">
        <w:instrText xml:space="preserve"> SEQ level0 \*arabic </w:instrText>
      </w:r>
      <w:r w:rsidRPr="00C02AC8">
        <w:fldChar w:fldCharType="separate"/>
      </w:r>
      <w:r w:rsidRPr="00C02AC8" w:rsidR="00C02AC8">
        <w:rPr>
          <w:noProof/>
        </w:rPr>
        <w:t>30</w:t>
      </w:r>
      <w:r w:rsidRPr="00C02AC8">
        <w:fldChar w:fldCharType="end"/>
      </w:r>
      <w:r w:rsidRPr="00C02AC8">
        <w:t xml:space="preserve">.  The Court observes </w:t>
      </w:r>
      <w:r w:rsidRPr="00C02AC8" w:rsidR="00156847">
        <w:t>furthermore</w:t>
      </w:r>
      <w:r w:rsidRPr="00C02AC8">
        <w:t xml:space="preserve"> that, under domestic law, compensation bonds such as the ones the applicants could have received are </w:t>
      </w:r>
      <w:r w:rsidRPr="00C02AC8" w:rsidR="00A62B2C">
        <w:t xml:space="preserve">not exchangeable for cash. The applicants could sell them to investors </w:t>
      </w:r>
      <w:r w:rsidRPr="00C02AC8" w:rsidR="003304EF">
        <w:t xml:space="preserve">(see paragraphs 9-10 above) </w:t>
      </w:r>
      <w:r w:rsidRPr="00C02AC8" w:rsidR="00A62B2C">
        <w:t>or, possibly, as they</w:t>
      </w:r>
      <w:r w:rsidRPr="00C02AC8" w:rsidR="00F00CBE">
        <w:t xml:space="preserve"> seemed to claim (see paragraph </w:t>
      </w:r>
      <w:r w:rsidRPr="00C02AC8" w:rsidR="00AA49B3">
        <w:t xml:space="preserve">20 </w:t>
      </w:r>
      <w:r w:rsidRPr="00C02AC8" w:rsidR="00A62B2C">
        <w:t xml:space="preserve">above), </w:t>
      </w:r>
      <w:r w:rsidRPr="00C02AC8" w:rsidR="007242BF">
        <w:t xml:space="preserve">use them to </w:t>
      </w:r>
      <w:r w:rsidRPr="00C02AC8" w:rsidR="00A62B2C">
        <w:t xml:space="preserve">participate directly in privatisation tenders. Either way, seeing </w:t>
      </w:r>
      <w:r w:rsidRPr="00C02AC8" w:rsidR="007524DC">
        <w:t xml:space="preserve">the </w:t>
      </w:r>
      <w:r w:rsidRPr="00C02AC8" w:rsidR="003304EF">
        <w:t>fluctuating</w:t>
      </w:r>
      <w:r w:rsidRPr="00C02AC8" w:rsidR="007524DC">
        <w:t xml:space="preserve"> levels at which bonds </w:t>
      </w:r>
      <w:r w:rsidRPr="00C02AC8" w:rsidR="003304EF">
        <w:t xml:space="preserve">are </w:t>
      </w:r>
      <w:r w:rsidRPr="00C02AC8" w:rsidR="007524DC">
        <w:t xml:space="preserve">traded </w:t>
      </w:r>
      <w:r w:rsidRPr="00C02AC8" w:rsidR="00A62B2C">
        <w:t>at the stock exchange (</w:t>
      </w:r>
      <w:r w:rsidRPr="00C02AC8" w:rsidR="003304EF">
        <w:t>see paragraph 10 above</w:t>
      </w:r>
      <w:r w:rsidRPr="00C02AC8" w:rsidR="00A62B2C">
        <w:t>) and, more generally</w:t>
      </w:r>
      <w:r w:rsidRPr="00C02AC8" w:rsidR="00F13B25">
        <w:t xml:space="preserve"> and with regard to the applicants</w:t>
      </w:r>
      <w:r w:rsidRPr="00C02AC8" w:rsidR="00C02AC8">
        <w:t>’</w:t>
      </w:r>
      <w:r w:rsidRPr="00C02AC8" w:rsidR="00F13B25">
        <w:t xml:space="preserve"> argument that they could have participated directly in privatisation tenders</w:t>
      </w:r>
      <w:r w:rsidRPr="00C02AC8" w:rsidR="00A62B2C">
        <w:t>, the uncertainty of the economic</w:t>
      </w:r>
      <w:r w:rsidRPr="00C02AC8" w:rsidR="007242BF">
        <w:t xml:space="preserve"> </w:t>
      </w:r>
      <w:r w:rsidRPr="00C02AC8" w:rsidR="00A62B2C">
        <w:t>process</w:t>
      </w:r>
      <w:r w:rsidRPr="00C02AC8" w:rsidR="00F13B25">
        <w:t xml:space="preserve"> (see, for example, </w:t>
      </w:r>
      <w:proofErr w:type="spellStart"/>
      <w:r w:rsidRPr="00C02AC8" w:rsidR="00F13B25">
        <w:rPr>
          <w:i/>
        </w:rPr>
        <w:t>Basarba</w:t>
      </w:r>
      <w:proofErr w:type="spellEnd"/>
      <w:r w:rsidRPr="00C02AC8" w:rsidR="00F13B25">
        <w:rPr>
          <w:i/>
        </w:rPr>
        <w:t xml:space="preserve"> OOD v. Bulgaria </w:t>
      </w:r>
      <w:r w:rsidRPr="00C02AC8" w:rsidR="00F13B25">
        <w:t>(just satisfaction), no. 77660/01</w:t>
      </w:r>
      <w:r w:rsidRPr="00C02AC8" w:rsidR="00F00CBE">
        <w:rPr>
          <w:snapToGrid w:val="0"/>
        </w:rPr>
        <w:t>, § </w:t>
      </w:r>
      <w:r w:rsidRPr="00C02AC8" w:rsidR="00F13B25">
        <w:rPr>
          <w:snapToGrid w:val="0"/>
        </w:rPr>
        <w:t xml:space="preserve">26, </w:t>
      </w:r>
      <w:r w:rsidRPr="00C02AC8" w:rsidR="00F13B25">
        <w:t>20</w:t>
      </w:r>
      <w:r w:rsidRPr="00C02AC8" w:rsidR="00F00CBE">
        <w:rPr>
          <w:snapToGrid w:val="0"/>
        </w:rPr>
        <w:t> </w:t>
      </w:r>
      <w:r w:rsidRPr="00C02AC8" w:rsidR="00F13B25">
        <w:rPr>
          <w:snapToGrid w:val="0"/>
        </w:rPr>
        <w:t>January 2011)</w:t>
      </w:r>
      <w:r w:rsidRPr="00C02AC8" w:rsidR="00A62B2C">
        <w:t xml:space="preserve">, the </w:t>
      </w:r>
      <w:r w:rsidRPr="00C02AC8" w:rsidR="007242BF">
        <w:t xml:space="preserve">Court </w:t>
      </w:r>
      <w:r w:rsidRPr="00C02AC8" w:rsidR="00F13B25">
        <w:t>does not find it proven</w:t>
      </w:r>
      <w:r w:rsidRPr="00C02AC8" w:rsidR="007242BF">
        <w:t xml:space="preserve"> that, had the breach of their rights not occurred, the applicants would have eventually obtained the equivalent of the bonds</w:t>
      </w:r>
      <w:r w:rsidRPr="00C02AC8" w:rsidR="00C02AC8">
        <w:t>’</w:t>
      </w:r>
      <w:r w:rsidRPr="00C02AC8" w:rsidR="007242BF">
        <w:t xml:space="preserve"> face value</w:t>
      </w:r>
      <w:r w:rsidRPr="00C02AC8" w:rsidR="007524DC">
        <w:t xml:space="preserve">. In view of the data available, and acknowledging the inevitable degree of speculation on the matter, the Court finds it reasonable to conclude that the applicants </w:t>
      </w:r>
      <w:r w:rsidRPr="00C02AC8" w:rsidR="00156847">
        <w:t>c</w:t>
      </w:r>
      <w:r w:rsidRPr="00C02AC8" w:rsidR="007524DC">
        <w:t xml:space="preserve">ould have obtained for their bonds the equivalent of about EUR </w:t>
      </w:r>
      <w:r w:rsidRPr="00C02AC8" w:rsidR="003304EF">
        <w:t>41</w:t>
      </w:r>
      <w:r w:rsidRPr="00C02AC8" w:rsidR="007524DC">
        <w:t>,000.</w:t>
      </w:r>
    </w:p>
    <w:p w:rsidRPr="00C02AC8" w:rsidR="007524DC" w:rsidP="00C02AC8" w:rsidRDefault="007524DC">
      <w:pPr>
        <w:pStyle w:val="ECHRPara"/>
      </w:pPr>
      <w:r w:rsidRPr="00C02AC8">
        <w:fldChar w:fldCharType="begin"/>
      </w:r>
      <w:r w:rsidRPr="00C02AC8">
        <w:instrText xml:space="preserve"> SEQ level0 \*arabic </w:instrText>
      </w:r>
      <w:r w:rsidRPr="00C02AC8">
        <w:fldChar w:fldCharType="separate"/>
      </w:r>
      <w:r w:rsidRPr="00C02AC8" w:rsidR="00C02AC8">
        <w:rPr>
          <w:noProof/>
        </w:rPr>
        <w:t>31</w:t>
      </w:r>
      <w:r w:rsidRPr="00C02AC8">
        <w:fldChar w:fldCharType="end"/>
      </w:r>
      <w:r w:rsidRPr="00C02AC8">
        <w:t xml:space="preserve">.  To that sum should be added interest. The Court has held that the interest rate applied, which is intended to compensate for loss of value of the award over time, should reflect national economic conditions, such as levels of inflation and rates of interest during the relevant period (see </w:t>
      </w:r>
      <w:proofErr w:type="spellStart"/>
      <w:r w:rsidRPr="00C02AC8">
        <w:rPr>
          <w:i/>
        </w:rPr>
        <w:t>Runkee</w:t>
      </w:r>
      <w:proofErr w:type="spellEnd"/>
      <w:r w:rsidRPr="00C02AC8">
        <w:rPr>
          <w:i/>
        </w:rPr>
        <w:t xml:space="preserve"> and White v. the United Kingdom</w:t>
      </w:r>
      <w:r w:rsidRPr="00C02AC8" w:rsidR="00F13B25">
        <w:t>, nos. 42949/98 and 53134/99, § </w:t>
      </w:r>
      <w:r w:rsidRPr="00C02AC8">
        <w:t xml:space="preserve">52, 10 May 2007, and </w:t>
      </w:r>
      <w:proofErr w:type="spellStart"/>
      <w:r w:rsidRPr="00C02AC8">
        <w:rPr>
          <w:i/>
        </w:rPr>
        <w:t>Vaskrsić</w:t>
      </w:r>
      <w:proofErr w:type="spellEnd"/>
      <w:r w:rsidRPr="00C02AC8">
        <w:rPr>
          <w:i/>
        </w:rPr>
        <w:t xml:space="preserve"> v. Slovenia</w:t>
      </w:r>
      <w:r w:rsidRPr="00C02AC8">
        <w:t xml:space="preserve">, no. 31371/12, § 98, 25 April 2017). In a recent case against Bulgaria the Court found it reasonable to apply an interest rate equal to the base interest rate of the Bulgarian National Bank during the relevant period plus one percentage point (see </w:t>
      </w:r>
      <w:proofErr w:type="spellStart"/>
      <w:r w:rsidRPr="00C02AC8">
        <w:rPr>
          <w:i/>
          <w:iCs/>
        </w:rPr>
        <w:t>Boyadzhieva</w:t>
      </w:r>
      <w:proofErr w:type="spellEnd"/>
      <w:r w:rsidRPr="00C02AC8">
        <w:rPr>
          <w:i/>
          <w:iCs/>
        </w:rPr>
        <w:t xml:space="preserve"> and Gloria International Limited EOOD v. Bulgaria</w:t>
      </w:r>
      <w:r w:rsidRPr="00C02AC8">
        <w:rPr>
          <w:lang w:eastAsia="en-GB"/>
        </w:rPr>
        <w:t>, nos.</w:t>
      </w:r>
      <w:r w:rsidRPr="00C02AC8" w:rsidR="00F13B25">
        <w:rPr>
          <w:rStyle w:val="ECHRParaChar"/>
        </w:rPr>
        <w:t> </w:t>
      </w:r>
      <w:r w:rsidRPr="00C02AC8">
        <w:t>41299/09 and 11132/10</w:t>
      </w:r>
      <w:r w:rsidRPr="00C02AC8">
        <w:rPr>
          <w:lang w:eastAsia="en-GB"/>
        </w:rPr>
        <w:t xml:space="preserve">, </w:t>
      </w:r>
      <w:r w:rsidRPr="00C02AC8">
        <w:t xml:space="preserve">§ 55, 5 July 2018), and it will follow the same approach in the case in hand. It thus awards the applicants EUR </w:t>
      </w:r>
      <w:r w:rsidRPr="00C02AC8" w:rsidR="00FA3743">
        <w:t>16</w:t>
      </w:r>
      <w:r w:rsidRPr="00C02AC8" w:rsidR="00782BC2">
        <w:t>,000 under this head.</w:t>
      </w:r>
    </w:p>
    <w:p w:rsidRPr="00C02AC8" w:rsidR="00782BC2" w:rsidP="00C02AC8" w:rsidRDefault="00782BC2">
      <w:pPr>
        <w:pStyle w:val="ECHRPara"/>
        <w:rPr>
          <w:i/>
        </w:rPr>
      </w:pPr>
      <w:r w:rsidRPr="00C02AC8">
        <w:fldChar w:fldCharType="begin"/>
      </w:r>
      <w:r w:rsidRPr="00C02AC8">
        <w:instrText xml:space="preserve"> SEQ level0 \*arabic </w:instrText>
      </w:r>
      <w:r w:rsidRPr="00C02AC8">
        <w:fldChar w:fldCharType="separate"/>
      </w:r>
      <w:r w:rsidRPr="00C02AC8" w:rsidR="00C02AC8">
        <w:rPr>
          <w:noProof/>
        </w:rPr>
        <w:t>32</w:t>
      </w:r>
      <w:r w:rsidRPr="00C02AC8">
        <w:fldChar w:fldCharType="end"/>
      </w:r>
      <w:r w:rsidRPr="00C02AC8">
        <w:t>.  </w:t>
      </w:r>
      <w:r w:rsidRPr="00C02AC8" w:rsidR="007A4A39">
        <w:t>T</w:t>
      </w:r>
      <w:r w:rsidRPr="00C02AC8">
        <w:t xml:space="preserve">he Court sees no reason to decrease the award for pecuniary damage to account for the fact that up to 2003 the applicants received rent for the use of the disputed building. </w:t>
      </w:r>
      <w:r w:rsidRPr="00C02AC8" w:rsidR="007A4A39">
        <w:t xml:space="preserve">The parties have not provided it with specific information on the amount of rent paid for the whole period in question, nor on </w:t>
      </w:r>
      <w:r w:rsidRPr="00C02AC8">
        <w:t>the act</w:t>
      </w:r>
      <w:r w:rsidRPr="00C02AC8" w:rsidR="007A4A39">
        <w:t xml:space="preserve">ual current value of the sum received. Moreover, the rent at issue was paid by company T. which, even though State-owned before 2003, remained a separate legal </w:t>
      </w:r>
      <w:r w:rsidRPr="00C02AC8" w:rsidR="00F13B25">
        <w:t>entity</w:t>
      </w:r>
      <w:r w:rsidRPr="00C02AC8" w:rsidR="00156847">
        <w:t xml:space="preserve">. </w:t>
      </w:r>
      <w:r w:rsidRPr="00C02AC8" w:rsidR="00F13B25">
        <w:t>In addition, a</w:t>
      </w:r>
      <w:r w:rsidRPr="00C02AC8" w:rsidR="00156847">
        <w:t xml:space="preserve">s pointed out by the applicants (see paragraph </w:t>
      </w:r>
      <w:r w:rsidRPr="00C02AC8" w:rsidR="00FA3743">
        <w:t xml:space="preserve">22 </w:t>
      </w:r>
      <w:r w:rsidRPr="00C02AC8" w:rsidR="00156847">
        <w:t xml:space="preserve">above), the company could claim back any unduly paid rent. </w:t>
      </w:r>
      <w:r w:rsidRPr="00C02AC8" w:rsidR="009775F9">
        <w:t>Lastly, a</w:t>
      </w:r>
      <w:r w:rsidRPr="00C02AC8" w:rsidR="007A4A39">
        <w:t>ny payment on its part</w:t>
      </w:r>
      <w:r w:rsidRPr="00C02AC8" w:rsidR="00156847">
        <w:t xml:space="preserve"> before 2003</w:t>
      </w:r>
      <w:r w:rsidRPr="00C02AC8" w:rsidR="007A4A39">
        <w:t xml:space="preserve"> cannot replace the compensation which would have been due by the State (see § 33 of the principal judgment).</w:t>
      </w:r>
    </w:p>
    <w:p w:rsidRPr="00C02AC8" w:rsidR="005648A2" w:rsidP="00C02AC8" w:rsidRDefault="00782BC2">
      <w:pPr>
        <w:pStyle w:val="ECHRPara"/>
      </w:pPr>
      <w:r w:rsidRPr="00C02AC8">
        <w:fldChar w:fldCharType="begin"/>
      </w:r>
      <w:r w:rsidRPr="00C02AC8">
        <w:instrText xml:space="preserve"> SEQ level0 \*arabic </w:instrText>
      </w:r>
      <w:r w:rsidRPr="00C02AC8">
        <w:fldChar w:fldCharType="separate"/>
      </w:r>
      <w:r w:rsidRPr="00C02AC8" w:rsidR="00C02AC8">
        <w:rPr>
          <w:noProof/>
        </w:rPr>
        <w:t>33</w:t>
      </w:r>
      <w:r w:rsidRPr="00C02AC8">
        <w:fldChar w:fldCharType="end"/>
      </w:r>
      <w:r w:rsidRPr="00C02AC8">
        <w:t xml:space="preserve">.  The global award in respect </w:t>
      </w:r>
      <w:r w:rsidRPr="00C02AC8" w:rsidR="00F13B25">
        <w:t>of pecuniary damage is thus EUR </w:t>
      </w:r>
      <w:r w:rsidRPr="00C02AC8" w:rsidR="00FA3743">
        <w:t>57</w:t>
      </w:r>
      <w:r w:rsidRPr="00C02AC8">
        <w:t>,000. As requested by the applicants (see paragraph 1</w:t>
      </w:r>
      <w:r w:rsidRPr="00C02AC8" w:rsidR="00FA3743">
        <w:t>5</w:t>
      </w:r>
      <w:r w:rsidRPr="00C02AC8">
        <w:t xml:space="preserve"> above), each of them is to receive a half of it, </w:t>
      </w:r>
      <w:r w:rsidRPr="00C02AC8" w:rsidR="007A4A39">
        <w:t>namely</w:t>
      </w:r>
      <w:r w:rsidRPr="00C02AC8">
        <w:t xml:space="preserve"> EUR </w:t>
      </w:r>
      <w:r w:rsidRPr="00C02AC8" w:rsidR="00FA3743">
        <w:t>28,500</w:t>
      </w:r>
      <w:r w:rsidRPr="00C02AC8">
        <w:t>.</w:t>
      </w:r>
    </w:p>
    <w:p w:rsidRPr="00C02AC8" w:rsidR="00782BC2" w:rsidP="00C02AC8" w:rsidRDefault="00782BC2">
      <w:pPr>
        <w:pStyle w:val="ECHRHeading4"/>
      </w:pPr>
      <w:r w:rsidRPr="00C02AC8">
        <w:t>(b)  Non-pecuniary damage</w:t>
      </w:r>
    </w:p>
    <w:p w:rsidRPr="00C02AC8" w:rsidR="00782BC2" w:rsidP="00C02AC8" w:rsidRDefault="00782BC2">
      <w:pPr>
        <w:pStyle w:val="ECHRPara"/>
      </w:pPr>
      <w:r w:rsidRPr="00C02AC8">
        <w:fldChar w:fldCharType="begin"/>
      </w:r>
      <w:r w:rsidRPr="00C02AC8">
        <w:instrText xml:space="preserve"> SEQ level0 \*arabic </w:instrText>
      </w:r>
      <w:r w:rsidRPr="00C02AC8">
        <w:fldChar w:fldCharType="separate"/>
      </w:r>
      <w:r w:rsidRPr="00C02AC8" w:rsidR="00C02AC8">
        <w:rPr>
          <w:noProof/>
        </w:rPr>
        <w:t>34</w:t>
      </w:r>
      <w:r w:rsidRPr="00C02AC8">
        <w:fldChar w:fldCharType="end"/>
      </w:r>
      <w:r w:rsidRPr="00C02AC8">
        <w:t>.  </w:t>
      </w:r>
      <w:r w:rsidRPr="00C02AC8" w:rsidR="007A4A39">
        <w:t>Lastly, the Court is of the view that the applicants must have suffered non</w:t>
      </w:r>
      <w:r w:rsidRPr="00C02AC8" w:rsidR="007A4A39">
        <w:noBreakHyphen/>
        <w:t>pecuniary damage, for which the finding of a violation of the Convention in the principal judgment is not a sufficient remedy. Judging on an equitable basis, it awards each of them EUR 2,000 under this head.</w:t>
      </w:r>
    </w:p>
    <w:p w:rsidRPr="00C02AC8" w:rsidR="00354D47" w:rsidP="00C02AC8" w:rsidRDefault="00354D47">
      <w:pPr>
        <w:pStyle w:val="ECHRHeading2"/>
      </w:pPr>
      <w:r w:rsidRPr="00C02AC8">
        <w:t>B.  Default interest</w:t>
      </w:r>
    </w:p>
    <w:p w:rsidRPr="00C02AC8" w:rsidR="00470981" w:rsidP="00C02AC8" w:rsidRDefault="00354D47">
      <w:pPr>
        <w:pStyle w:val="ECHRPara"/>
      </w:pPr>
      <w:r w:rsidRPr="00C02AC8">
        <w:fldChar w:fldCharType="begin"/>
      </w:r>
      <w:r w:rsidRPr="00C02AC8">
        <w:instrText xml:space="preserve"> SEQ level0 \*arabic </w:instrText>
      </w:r>
      <w:r w:rsidRPr="00C02AC8">
        <w:fldChar w:fldCharType="separate"/>
      </w:r>
      <w:r w:rsidRPr="00C02AC8" w:rsidR="00C02AC8">
        <w:rPr>
          <w:noProof/>
        </w:rPr>
        <w:t>35</w:t>
      </w:r>
      <w:r w:rsidRPr="00C02AC8">
        <w:fldChar w:fldCharType="end"/>
      </w:r>
      <w:r w:rsidRPr="00C02AC8">
        <w:t>.  The Court considers it appropriate that the default interest rate should be based on the marginal lending rate of the European Central Bank, to which should be added three percentage points.</w:t>
      </w:r>
    </w:p>
    <w:p w:rsidRPr="00C02AC8" w:rsidR="00470981" w:rsidP="00C02AC8" w:rsidRDefault="00450E83">
      <w:pPr>
        <w:pStyle w:val="ECHRTitle1"/>
      </w:pPr>
      <w:r w:rsidRPr="00C02AC8">
        <w:t>FOR THESE REASONS, THE COURT</w:t>
      </w:r>
      <w:r w:rsidRPr="00C02AC8" w:rsidR="00354D47">
        <w:t>, UNANIMOUSLY,</w:t>
      </w:r>
    </w:p>
    <w:p w:rsidRPr="00C02AC8" w:rsidR="00354D47" w:rsidP="00C02AC8" w:rsidRDefault="00C23F8A">
      <w:pPr>
        <w:pStyle w:val="JuList"/>
      </w:pPr>
      <w:r w:rsidRPr="00C02AC8">
        <w:t>1.  </w:t>
      </w:r>
      <w:r w:rsidRPr="00C02AC8" w:rsidR="00354D47">
        <w:rPr>
          <w:i/>
        </w:rPr>
        <w:t>Holds</w:t>
      </w:r>
    </w:p>
    <w:p w:rsidRPr="00C02AC8" w:rsidR="00354D47" w:rsidP="00C02AC8" w:rsidRDefault="00354D47">
      <w:pPr>
        <w:pStyle w:val="JuLista"/>
      </w:pPr>
      <w:r w:rsidRPr="00C02AC8">
        <w:t xml:space="preserve">(a)  that the respondent State is to pay </w:t>
      </w:r>
      <w:r w:rsidRPr="00C02AC8" w:rsidR="0010771F">
        <w:t xml:space="preserve">each of </w:t>
      </w:r>
      <w:r w:rsidRPr="00C02AC8">
        <w:t xml:space="preserve">the applicants, within three months, the following amounts, </w:t>
      </w:r>
      <w:r w:rsidRPr="00C02AC8" w:rsidR="007A4A39">
        <w:t xml:space="preserve">plus any tax that may be chargeable, </w:t>
      </w:r>
      <w:r w:rsidRPr="00C02AC8">
        <w:t>to be converted into</w:t>
      </w:r>
      <w:r w:rsidRPr="00C02AC8">
        <w:rPr>
          <w:b/>
        </w:rPr>
        <w:t xml:space="preserve"> </w:t>
      </w:r>
      <w:r w:rsidRPr="00C02AC8">
        <w:t>Bulgarian levs at the rate applicable at the date of settlement:</w:t>
      </w:r>
    </w:p>
    <w:p w:rsidRPr="00C02AC8" w:rsidR="00354D47" w:rsidP="00C02AC8" w:rsidRDefault="00354D47">
      <w:pPr>
        <w:pStyle w:val="JuListi"/>
      </w:pPr>
      <w:r w:rsidRPr="00C02AC8">
        <w:t xml:space="preserve">(i)  EUR </w:t>
      </w:r>
      <w:r w:rsidRPr="00C02AC8" w:rsidR="00FA3743">
        <w:t>28</w:t>
      </w:r>
      <w:r w:rsidRPr="00C02AC8" w:rsidR="00782BC2">
        <w:t>,</w:t>
      </w:r>
      <w:r w:rsidRPr="00C02AC8" w:rsidR="00FA3743">
        <w:t xml:space="preserve">500 </w:t>
      </w:r>
      <w:r w:rsidRPr="00C02AC8">
        <w:t>(</w:t>
      </w:r>
      <w:r w:rsidRPr="00C02AC8" w:rsidR="00FA3743">
        <w:t xml:space="preserve">twenty-eight </w:t>
      </w:r>
      <w:r w:rsidRPr="00C02AC8" w:rsidR="00782BC2">
        <w:t>thousand</w:t>
      </w:r>
      <w:r w:rsidRPr="00C02AC8" w:rsidR="007A4A39">
        <w:t xml:space="preserve"> </w:t>
      </w:r>
      <w:r w:rsidRPr="00C02AC8" w:rsidR="00FA3743">
        <w:t xml:space="preserve">five hundred </w:t>
      </w:r>
      <w:r w:rsidRPr="00C02AC8" w:rsidR="007A4A39">
        <w:t>euros)</w:t>
      </w:r>
      <w:r w:rsidRPr="00C02AC8">
        <w:t xml:space="preserve"> in respect of pecuniary damage;</w:t>
      </w:r>
    </w:p>
    <w:p w:rsidRPr="00C02AC8" w:rsidR="00354D47" w:rsidP="00C02AC8" w:rsidRDefault="00354D47">
      <w:pPr>
        <w:pStyle w:val="JuListi"/>
      </w:pPr>
      <w:r w:rsidRPr="00C02AC8">
        <w:t xml:space="preserve">(ii)  EUR </w:t>
      </w:r>
      <w:r w:rsidRPr="00C02AC8" w:rsidR="007A4A39">
        <w:t>2,000</w:t>
      </w:r>
      <w:r w:rsidRPr="00C02AC8">
        <w:t xml:space="preserve"> (</w:t>
      </w:r>
      <w:r w:rsidRPr="00C02AC8" w:rsidR="007A4A39">
        <w:t xml:space="preserve">two thousand </w:t>
      </w:r>
      <w:r w:rsidRPr="00C02AC8">
        <w:t>euros) in respect of non-pecuniary damage;</w:t>
      </w:r>
    </w:p>
    <w:p w:rsidRPr="00C02AC8" w:rsidR="00354D47" w:rsidP="00C02AC8" w:rsidRDefault="00354D47">
      <w:pPr>
        <w:pStyle w:val="JuLista"/>
      </w:pPr>
      <w:r w:rsidRPr="00C02AC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02AC8" w:rsidR="00354D47" w:rsidP="00C02AC8" w:rsidRDefault="00354D47">
      <w:pPr>
        <w:pStyle w:val="JuList"/>
      </w:pPr>
    </w:p>
    <w:p w:rsidRPr="00C02AC8" w:rsidR="00470981" w:rsidP="00C02AC8" w:rsidRDefault="00354D47">
      <w:pPr>
        <w:pStyle w:val="JuList"/>
      </w:pPr>
      <w:r w:rsidRPr="00C02AC8">
        <w:t>2.  </w:t>
      </w:r>
      <w:r w:rsidRPr="00C02AC8">
        <w:rPr>
          <w:i/>
        </w:rPr>
        <w:t>Dismisses</w:t>
      </w:r>
      <w:r w:rsidRPr="00C02AC8">
        <w:t xml:space="preserve"> the remainder of the applicants</w:t>
      </w:r>
      <w:r w:rsidRPr="00C02AC8" w:rsidR="00C02AC8">
        <w:t>’</w:t>
      </w:r>
      <w:r w:rsidRPr="00C02AC8">
        <w:t xml:space="preserve"> claim for just satisfaction.</w:t>
      </w:r>
    </w:p>
    <w:p w:rsidRPr="00C02AC8" w:rsidR="00661C0E" w:rsidP="00C02AC8" w:rsidRDefault="00470981">
      <w:pPr>
        <w:pStyle w:val="JuParaLast"/>
      </w:pPr>
      <w:r w:rsidRPr="00C02AC8">
        <w:t xml:space="preserve">Done in English, and notified in writing on </w:t>
      </w:r>
      <w:r w:rsidRPr="00C02AC8" w:rsidR="00EB45B8">
        <w:t>16 May 2019</w:t>
      </w:r>
      <w:r w:rsidRPr="00C02AC8" w:rsidR="0065447F">
        <w:t>, pursuant to Rule</w:t>
      </w:r>
      <w:r w:rsidRPr="00C02AC8" w:rsidR="00C37C81">
        <w:t xml:space="preserve"> </w:t>
      </w:r>
      <w:r w:rsidRPr="00C02AC8">
        <w:t>77</w:t>
      </w:r>
      <w:r w:rsidRPr="00C02AC8" w:rsidR="00C37C81">
        <w:t xml:space="preserve"> </w:t>
      </w:r>
      <w:r w:rsidRPr="00C02AC8">
        <w:t>§§</w:t>
      </w:r>
      <w:r w:rsidRPr="00C02AC8" w:rsidR="00C37C81">
        <w:t xml:space="preserve"> </w:t>
      </w:r>
      <w:r w:rsidRPr="00C02AC8">
        <w:t>2 and 3 of the Rules of Court.</w:t>
      </w:r>
    </w:p>
    <w:p w:rsidRPr="00C02AC8" w:rsidR="00EB447C" w:rsidP="00C02AC8" w:rsidRDefault="00470981">
      <w:pPr>
        <w:pStyle w:val="JuSigned"/>
        <w:tabs>
          <w:tab w:val="clear" w:pos="6407"/>
          <w:tab w:val="center" w:pos="5670"/>
        </w:tabs>
      </w:pPr>
      <w:r w:rsidRPr="00C02AC8">
        <w:tab/>
      </w:r>
      <w:r w:rsidRPr="00C02AC8" w:rsidR="00354D47">
        <w:t xml:space="preserve">Milan </w:t>
      </w:r>
      <w:proofErr w:type="spellStart"/>
      <w:r w:rsidRPr="00C02AC8" w:rsidR="00354D47">
        <w:t>Blaško</w:t>
      </w:r>
      <w:proofErr w:type="spellEnd"/>
      <w:r w:rsidRPr="00C02AC8">
        <w:tab/>
      </w:r>
      <w:r w:rsidRPr="00C02AC8" w:rsidR="00EB45B8">
        <w:t xml:space="preserve">Gabriele </w:t>
      </w:r>
      <w:proofErr w:type="spellStart"/>
      <w:r w:rsidRPr="00C02AC8" w:rsidR="00EB45B8">
        <w:t>Kucsko-Stadlmayer</w:t>
      </w:r>
      <w:proofErr w:type="spellEnd"/>
      <w:r w:rsidRPr="00C02AC8" w:rsidR="00BC51AA">
        <w:br/>
      </w:r>
      <w:r w:rsidRPr="00C02AC8">
        <w:tab/>
      </w:r>
      <w:r w:rsidRPr="00C02AC8" w:rsidR="00354D47">
        <w:rPr>
          <w:szCs w:val="24"/>
        </w:rPr>
        <w:t>Deputy Registrar</w:t>
      </w:r>
      <w:r w:rsidRPr="00C02AC8">
        <w:tab/>
        <w:t>President</w:t>
      </w:r>
    </w:p>
    <w:p w:rsidRPr="00C02AC8" w:rsidR="00F00CBE" w:rsidP="00C02AC8" w:rsidRDefault="00F00CBE">
      <w:pPr>
        <w:pStyle w:val="JuParaLast"/>
      </w:pPr>
    </w:p>
    <w:sectPr w:rsidRPr="00C02AC8" w:rsidR="00F00CBE" w:rsidSect="00EB45B8">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D47" w:rsidRPr="00B17171" w:rsidRDefault="00354D47" w:rsidP="00470981">
      <w:r w:rsidRPr="00B17171">
        <w:separator/>
      </w:r>
    </w:p>
  </w:endnote>
  <w:endnote w:type="continuationSeparator" w:id="0">
    <w:p w:rsidR="00354D47" w:rsidRPr="00B17171" w:rsidRDefault="00354D47" w:rsidP="00470981">
      <w:r w:rsidRPr="00B171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5B8" w:rsidRPr="00150BFA" w:rsidRDefault="00EB45B8" w:rsidP="0020718E">
    <w:pPr>
      <w:jc w:val="center"/>
    </w:pPr>
    <w:r>
      <w:rPr>
        <w:noProof/>
        <w:lang w:val="en-US" w:eastAsia="ja-JP"/>
      </w:rPr>
      <w:drawing>
        <wp:inline distT="0" distB="0" distL="0" distR="0" wp14:anchorId="0E36BD72" wp14:editId="650E7FA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B45B8" w:rsidRDefault="00EB45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D47" w:rsidRPr="00B17171" w:rsidRDefault="00354D47" w:rsidP="00470981">
      <w:r w:rsidRPr="00B17171">
        <w:separator/>
      </w:r>
    </w:p>
  </w:footnote>
  <w:footnote w:type="continuationSeparator" w:id="0">
    <w:p w:rsidR="00354D47" w:rsidRPr="00B17171" w:rsidRDefault="00354D47" w:rsidP="00470981">
      <w:r w:rsidRPr="00B1717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C42" w:rsidRPr="00EB45B8" w:rsidRDefault="007F4C42" w:rsidP="00EB45B8">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5B8" w:rsidRPr="00A45145" w:rsidRDefault="00EB45B8" w:rsidP="00A45145">
    <w:pPr>
      <w:jc w:val="center"/>
    </w:pPr>
    <w:r>
      <w:rPr>
        <w:noProof/>
        <w:lang w:val="en-US" w:eastAsia="ja-JP"/>
      </w:rPr>
      <w:drawing>
        <wp:inline distT="0" distB="0" distL="0" distR="0" wp14:anchorId="1CBCF41C" wp14:editId="17ED85E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54D47" w:rsidRDefault="00354D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5B8" w:rsidRPr="00B17171" w:rsidRDefault="00EB45B8" w:rsidP="00660DC0">
    <w:pPr>
      <w:pStyle w:val="ECHRHeader"/>
    </w:pPr>
    <w:r>
      <w:rPr>
        <w:rStyle w:val="PageNumber"/>
      </w:rPr>
      <w:fldChar w:fldCharType="begin"/>
    </w:r>
    <w:r>
      <w:rPr>
        <w:rStyle w:val="PageNumber"/>
      </w:rPr>
      <w:instrText xml:space="preserve"> PAGE </w:instrText>
    </w:r>
    <w:r>
      <w:rPr>
        <w:rStyle w:val="PageNumber"/>
      </w:rPr>
      <w:fldChar w:fldCharType="separate"/>
    </w:r>
    <w:r w:rsidR="00C02AC8">
      <w:rPr>
        <w:rStyle w:val="PageNumber"/>
        <w:noProof/>
      </w:rPr>
      <w:t>8</w:t>
    </w:r>
    <w:r>
      <w:rPr>
        <w:rStyle w:val="PageNumber"/>
      </w:rPr>
      <w:fldChar w:fldCharType="end"/>
    </w:r>
    <w:r w:rsidRPr="00B17171">
      <w:tab/>
    </w:r>
    <w:r>
      <w:t>MIHALEVI v. BULGARIA (JUST SATISFACTION)</w:t>
    </w:r>
    <w:r w:rsidR="004861EB">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5B8" w:rsidRPr="00B17171" w:rsidRDefault="00EB45B8" w:rsidP="00874819">
    <w:pPr>
      <w:pStyle w:val="ECHRHeader"/>
      <w:rPr>
        <w:rStyle w:val="PageNumber"/>
      </w:rPr>
    </w:pPr>
    <w:r w:rsidRPr="00B17171">
      <w:tab/>
    </w:r>
    <w:r>
      <w:t>MIHALEVI v. BULGARIA</w:t>
    </w:r>
    <w:r w:rsidRPr="00B17171">
      <w:t xml:space="preserve"> (JUST SATISFACTION)</w:t>
    </w:r>
    <w:r w:rsidR="004861EB">
      <w:t xml:space="preserve"> JUDGMENT</w:t>
    </w:r>
    <w:r w:rsidRPr="00B17171">
      <w:tab/>
    </w:r>
    <w:r>
      <w:rPr>
        <w:rStyle w:val="PageNumber"/>
      </w:rPr>
      <w:fldChar w:fldCharType="begin"/>
    </w:r>
    <w:r>
      <w:rPr>
        <w:rStyle w:val="PageNumber"/>
      </w:rPr>
      <w:instrText xml:space="preserve"> PAGE </w:instrText>
    </w:r>
    <w:r>
      <w:rPr>
        <w:rStyle w:val="PageNumber"/>
      </w:rPr>
      <w:fldChar w:fldCharType="separate"/>
    </w:r>
    <w:r w:rsidR="00C02AC8">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11"/>
  </w:num>
  <w:num w:numId="5">
    <w:abstractNumId w:val="10"/>
  </w:num>
  <w:num w:numId="6">
    <w:abstractNumId w:val="9"/>
  </w:num>
  <w:num w:numId="7">
    <w:abstractNumId w:val="8"/>
  </w:num>
  <w:num w:numId="8">
    <w:abstractNumId w:val="5"/>
  </w:num>
  <w:num w:numId="9">
    <w:abstractNumId w:val="3"/>
  </w:num>
  <w:num w:numId="10">
    <w:abstractNumId w:val="2"/>
  </w:num>
  <w:num w:numId="11">
    <w:abstractNumId w:val="1"/>
  </w:num>
  <w:num w:numId="12">
    <w:abstractNumId w:val="0"/>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54D47"/>
    <w:rsid w:val="000041F8"/>
    <w:rsid w:val="000042A8"/>
    <w:rsid w:val="00004308"/>
    <w:rsid w:val="0000538B"/>
    <w:rsid w:val="00005BF0"/>
    <w:rsid w:val="00007154"/>
    <w:rsid w:val="000103AE"/>
    <w:rsid w:val="00011D69"/>
    <w:rsid w:val="00012AD3"/>
    <w:rsid w:val="00015C2D"/>
    <w:rsid w:val="00015F00"/>
    <w:rsid w:val="00022C1D"/>
    <w:rsid w:val="00034987"/>
    <w:rsid w:val="0005251B"/>
    <w:rsid w:val="000602DF"/>
    <w:rsid w:val="00061B05"/>
    <w:rsid w:val="000632D5"/>
    <w:rsid w:val="000644EE"/>
    <w:rsid w:val="000925AD"/>
    <w:rsid w:val="000A24EB"/>
    <w:rsid w:val="000A50D5"/>
    <w:rsid w:val="000B6923"/>
    <w:rsid w:val="000C5F3C"/>
    <w:rsid w:val="000C6DCC"/>
    <w:rsid w:val="000D0465"/>
    <w:rsid w:val="000D06A1"/>
    <w:rsid w:val="000D3EB2"/>
    <w:rsid w:val="000D47AA"/>
    <w:rsid w:val="000D721F"/>
    <w:rsid w:val="000E069B"/>
    <w:rsid w:val="000E0E82"/>
    <w:rsid w:val="000E1DC5"/>
    <w:rsid w:val="000E223F"/>
    <w:rsid w:val="000E7D45"/>
    <w:rsid w:val="000F7851"/>
    <w:rsid w:val="00102B71"/>
    <w:rsid w:val="00104E23"/>
    <w:rsid w:val="0010771F"/>
    <w:rsid w:val="00111B0C"/>
    <w:rsid w:val="00112229"/>
    <w:rsid w:val="00120D6C"/>
    <w:rsid w:val="001257EC"/>
    <w:rsid w:val="00133D33"/>
    <w:rsid w:val="00134D64"/>
    <w:rsid w:val="00135A30"/>
    <w:rsid w:val="0013612C"/>
    <w:rsid w:val="00137FF6"/>
    <w:rsid w:val="00141650"/>
    <w:rsid w:val="00151D19"/>
    <w:rsid w:val="00156847"/>
    <w:rsid w:val="00162A12"/>
    <w:rsid w:val="00166530"/>
    <w:rsid w:val="001708CD"/>
    <w:rsid w:val="001772E8"/>
    <w:rsid w:val="00182E68"/>
    <w:rsid w:val="001832BD"/>
    <w:rsid w:val="001943B5"/>
    <w:rsid w:val="00195134"/>
    <w:rsid w:val="001A145B"/>
    <w:rsid w:val="001A674C"/>
    <w:rsid w:val="001B1BA6"/>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279B"/>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7692D"/>
    <w:rsid w:val="00277201"/>
    <w:rsid w:val="00277C9A"/>
    <w:rsid w:val="00282240"/>
    <w:rsid w:val="002948AD"/>
    <w:rsid w:val="002A01CC"/>
    <w:rsid w:val="002A2744"/>
    <w:rsid w:val="002A61B1"/>
    <w:rsid w:val="002A663C"/>
    <w:rsid w:val="002B444B"/>
    <w:rsid w:val="002B5887"/>
    <w:rsid w:val="002C0E27"/>
    <w:rsid w:val="002C3040"/>
    <w:rsid w:val="002D022D"/>
    <w:rsid w:val="002D24BB"/>
    <w:rsid w:val="002F2AF7"/>
    <w:rsid w:val="002F7E1C"/>
    <w:rsid w:val="00301A75"/>
    <w:rsid w:val="00302F70"/>
    <w:rsid w:val="0030336F"/>
    <w:rsid w:val="0030375E"/>
    <w:rsid w:val="00312A30"/>
    <w:rsid w:val="00315B5B"/>
    <w:rsid w:val="00320F72"/>
    <w:rsid w:val="0032463E"/>
    <w:rsid w:val="00326224"/>
    <w:rsid w:val="003304EF"/>
    <w:rsid w:val="00337EE4"/>
    <w:rsid w:val="00340FFD"/>
    <w:rsid w:val="003506B1"/>
    <w:rsid w:val="00354D47"/>
    <w:rsid w:val="00356AC7"/>
    <w:rsid w:val="003609FA"/>
    <w:rsid w:val="003710C8"/>
    <w:rsid w:val="003750BE"/>
    <w:rsid w:val="00387B9D"/>
    <w:rsid w:val="0039364F"/>
    <w:rsid w:val="00395193"/>
    <w:rsid w:val="00396686"/>
    <w:rsid w:val="0039778E"/>
    <w:rsid w:val="003A7B02"/>
    <w:rsid w:val="003B4941"/>
    <w:rsid w:val="003C5714"/>
    <w:rsid w:val="003C6003"/>
    <w:rsid w:val="003C6B9F"/>
    <w:rsid w:val="003C6E2A"/>
    <w:rsid w:val="003D0299"/>
    <w:rsid w:val="003D3CFB"/>
    <w:rsid w:val="003E6D80"/>
    <w:rsid w:val="003E7AF6"/>
    <w:rsid w:val="003F05FA"/>
    <w:rsid w:val="003F244A"/>
    <w:rsid w:val="003F30B8"/>
    <w:rsid w:val="003F4C45"/>
    <w:rsid w:val="003F5F7B"/>
    <w:rsid w:val="003F6D21"/>
    <w:rsid w:val="003F7D64"/>
    <w:rsid w:val="00414300"/>
    <w:rsid w:val="004160FF"/>
    <w:rsid w:val="00425C67"/>
    <w:rsid w:val="00427E7A"/>
    <w:rsid w:val="00432C6F"/>
    <w:rsid w:val="00436C49"/>
    <w:rsid w:val="00445366"/>
    <w:rsid w:val="00447F5B"/>
    <w:rsid w:val="00450E83"/>
    <w:rsid w:val="00461DB0"/>
    <w:rsid w:val="00463926"/>
    <w:rsid w:val="00464C9A"/>
    <w:rsid w:val="00465244"/>
    <w:rsid w:val="00470981"/>
    <w:rsid w:val="00473988"/>
    <w:rsid w:val="00474F3D"/>
    <w:rsid w:val="00477E3A"/>
    <w:rsid w:val="00483E5F"/>
    <w:rsid w:val="00484D30"/>
    <w:rsid w:val="00485FF9"/>
    <w:rsid w:val="004861EB"/>
    <w:rsid w:val="004907F0"/>
    <w:rsid w:val="0049140B"/>
    <w:rsid w:val="004923A5"/>
    <w:rsid w:val="00496BFB"/>
    <w:rsid w:val="00496CAA"/>
    <w:rsid w:val="004A15C7"/>
    <w:rsid w:val="004A5FE5"/>
    <w:rsid w:val="004B013B"/>
    <w:rsid w:val="004B06C3"/>
    <w:rsid w:val="004B112B"/>
    <w:rsid w:val="004C01E4"/>
    <w:rsid w:val="004C086C"/>
    <w:rsid w:val="004C1F56"/>
    <w:rsid w:val="004C27BC"/>
    <w:rsid w:val="004C27D1"/>
    <w:rsid w:val="004D09D9"/>
    <w:rsid w:val="004D15F3"/>
    <w:rsid w:val="004D5311"/>
    <w:rsid w:val="004D5DCC"/>
    <w:rsid w:val="004E050C"/>
    <w:rsid w:val="004E09EE"/>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648A2"/>
    <w:rsid w:val="0057271C"/>
    <w:rsid w:val="00572845"/>
    <w:rsid w:val="00592772"/>
    <w:rsid w:val="0059574A"/>
    <w:rsid w:val="005A1B9B"/>
    <w:rsid w:val="005A3EA1"/>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16468"/>
    <w:rsid w:val="00620692"/>
    <w:rsid w:val="0062381B"/>
    <w:rsid w:val="006242CA"/>
    <w:rsid w:val="00627507"/>
    <w:rsid w:val="00633717"/>
    <w:rsid w:val="006344E1"/>
    <w:rsid w:val="0065447F"/>
    <w:rsid w:val="006544E2"/>
    <w:rsid w:val="006545C4"/>
    <w:rsid w:val="00660DC0"/>
    <w:rsid w:val="00661971"/>
    <w:rsid w:val="00661C0E"/>
    <w:rsid w:val="00661CE8"/>
    <w:rsid w:val="006623D9"/>
    <w:rsid w:val="0066550C"/>
    <w:rsid w:val="006716F2"/>
    <w:rsid w:val="00682BF2"/>
    <w:rsid w:val="006859CE"/>
    <w:rsid w:val="00691270"/>
    <w:rsid w:val="006918C7"/>
    <w:rsid w:val="00694BA8"/>
    <w:rsid w:val="006A037C"/>
    <w:rsid w:val="006A36F4"/>
    <w:rsid w:val="006A406F"/>
    <w:rsid w:val="006A5D3A"/>
    <w:rsid w:val="006C23D4"/>
    <w:rsid w:val="006C7BB0"/>
    <w:rsid w:val="006D3237"/>
    <w:rsid w:val="006E2E37"/>
    <w:rsid w:val="006E3CF1"/>
    <w:rsid w:val="006E64D0"/>
    <w:rsid w:val="006E7E80"/>
    <w:rsid w:val="006F07D3"/>
    <w:rsid w:val="006F48CA"/>
    <w:rsid w:val="006F64DD"/>
    <w:rsid w:val="006F681F"/>
    <w:rsid w:val="00704DDA"/>
    <w:rsid w:val="007058E8"/>
    <w:rsid w:val="00715127"/>
    <w:rsid w:val="00715E8E"/>
    <w:rsid w:val="00723580"/>
    <w:rsid w:val="00723755"/>
    <w:rsid w:val="007242BF"/>
    <w:rsid w:val="0073136C"/>
    <w:rsid w:val="00731F0F"/>
    <w:rsid w:val="00733250"/>
    <w:rsid w:val="007377C2"/>
    <w:rsid w:val="00741404"/>
    <w:rsid w:val="007449E5"/>
    <w:rsid w:val="00747FF0"/>
    <w:rsid w:val="007524DC"/>
    <w:rsid w:val="00764D4E"/>
    <w:rsid w:val="00765A1F"/>
    <w:rsid w:val="00775B6D"/>
    <w:rsid w:val="00776D68"/>
    <w:rsid w:val="00782BC2"/>
    <w:rsid w:val="007850EE"/>
    <w:rsid w:val="00785B95"/>
    <w:rsid w:val="00790E96"/>
    <w:rsid w:val="00793366"/>
    <w:rsid w:val="007A26F7"/>
    <w:rsid w:val="007A4A39"/>
    <w:rsid w:val="007A716F"/>
    <w:rsid w:val="007B270A"/>
    <w:rsid w:val="007C0695"/>
    <w:rsid w:val="007C419A"/>
    <w:rsid w:val="007C4CC8"/>
    <w:rsid w:val="007C5426"/>
    <w:rsid w:val="007C5798"/>
    <w:rsid w:val="007D338C"/>
    <w:rsid w:val="007D4832"/>
    <w:rsid w:val="007D7232"/>
    <w:rsid w:val="007E21B2"/>
    <w:rsid w:val="007E2495"/>
    <w:rsid w:val="007E2C4E"/>
    <w:rsid w:val="007F1905"/>
    <w:rsid w:val="007F4C42"/>
    <w:rsid w:val="00802C64"/>
    <w:rsid w:val="00805E52"/>
    <w:rsid w:val="008061D0"/>
    <w:rsid w:val="00810B38"/>
    <w:rsid w:val="008162D3"/>
    <w:rsid w:val="008204C7"/>
    <w:rsid w:val="00820992"/>
    <w:rsid w:val="00823602"/>
    <w:rsid w:val="008255F5"/>
    <w:rsid w:val="0083014E"/>
    <w:rsid w:val="008318B1"/>
    <w:rsid w:val="0083214A"/>
    <w:rsid w:val="00834220"/>
    <w:rsid w:val="00845723"/>
    <w:rsid w:val="00851B7B"/>
    <w:rsid w:val="00851EF9"/>
    <w:rsid w:val="00855521"/>
    <w:rsid w:val="008577FD"/>
    <w:rsid w:val="00860B03"/>
    <w:rsid w:val="0086497A"/>
    <w:rsid w:val="008713A1"/>
    <w:rsid w:val="00874819"/>
    <w:rsid w:val="008754AB"/>
    <w:rsid w:val="0088060C"/>
    <w:rsid w:val="008858F2"/>
    <w:rsid w:val="0089051B"/>
    <w:rsid w:val="00893576"/>
    <w:rsid w:val="00893E73"/>
    <w:rsid w:val="008A3EAD"/>
    <w:rsid w:val="008B02DC"/>
    <w:rsid w:val="008B57CE"/>
    <w:rsid w:val="008B6F63"/>
    <w:rsid w:val="008C26DE"/>
    <w:rsid w:val="008D2225"/>
    <w:rsid w:val="008D4752"/>
    <w:rsid w:val="008D77D0"/>
    <w:rsid w:val="008E271C"/>
    <w:rsid w:val="008E418E"/>
    <w:rsid w:val="008E5BC6"/>
    <w:rsid w:val="008E6A25"/>
    <w:rsid w:val="008F5193"/>
    <w:rsid w:val="009013A7"/>
    <w:rsid w:val="009017FB"/>
    <w:rsid w:val="009017FC"/>
    <w:rsid w:val="0090506B"/>
    <w:rsid w:val="009050C9"/>
    <w:rsid w:val="0090521D"/>
    <w:rsid w:val="009066FC"/>
    <w:rsid w:val="009140A3"/>
    <w:rsid w:val="009144A2"/>
    <w:rsid w:val="0091510C"/>
    <w:rsid w:val="00924286"/>
    <w:rsid w:val="009259AC"/>
    <w:rsid w:val="00926F38"/>
    <w:rsid w:val="00934301"/>
    <w:rsid w:val="00936CD1"/>
    <w:rsid w:val="00941747"/>
    <w:rsid w:val="00941EFB"/>
    <w:rsid w:val="00947AFB"/>
    <w:rsid w:val="00951D7D"/>
    <w:rsid w:val="00952297"/>
    <w:rsid w:val="009630C7"/>
    <w:rsid w:val="00972B55"/>
    <w:rsid w:val="009743B7"/>
    <w:rsid w:val="00975D2B"/>
    <w:rsid w:val="009775F9"/>
    <w:rsid w:val="0098228B"/>
    <w:rsid w:val="009828DA"/>
    <w:rsid w:val="00985BAB"/>
    <w:rsid w:val="00990DA2"/>
    <w:rsid w:val="00993913"/>
    <w:rsid w:val="009B1B5F"/>
    <w:rsid w:val="009B6673"/>
    <w:rsid w:val="009C191B"/>
    <w:rsid w:val="009C2BD6"/>
    <w:rsid w:val="009C40C2"/>
    <w:rsid w:val="009E1F32"/>
    <w:rsid w:val="009E776C"/>
    <w:rsid w:val="00A1726E"/>
    <w:rsid w:val="00A204CF"/>
    <w:rsid w:val="00A22A01"/>
    <w:rsid w:val="00A23D49"/>
    <w:rsid w:val="00A26EB1"/>
    <w:rsid w:val="00A27004"/>
    <w:rsid w:val="00A30C29"/>
    <w:rsid w:val="00A34DD6"/>
    <w:rsid w:val="00A36819"/>
    <w:rsid w:val="00A36989"/>
    <w:rsid w:val="00A43628"/>
    <w:rsid w:val="00A54192"/>
    <w:rsid w:val="00A6035E"/>
    <w:rsid w:val="00A6144C"/>
    <w:rsid w:val="00A62B2C"/>
    <w:rsid w:val="00A66617"/>
    <w:rsid w:val="00A671F8"/>
    <w:rsid w:val="00A673A4"/>
    <w:rsid w:val="00A724AE"/>
    <w:rsid w:val="00A73329"/>
    <w:rsid w:val="00A82359"/>
    <w:rsid w:val="00A8269D"/>
    <w:rsid w:val="00A86370"/>
    <w:rsid w:val="00A865D2"/>
    <w:rsid w:val="00A94C20"/>
    <w:rsid w:val="00AA227F"/>
    <w:rsid w:val="00AA3BC7"/>
    <w:rsid w:val="00AA49B3"/>
    <w:rsid w:val="00AA754A"/>
    <w:rsid w:val="00AB07C7"/>
    <w:rsid w:val="00AB099E"/>
    <w:rsid w:val="00AB4328"/>
    <w:rsid w:val="00AC377E"/>
    <w:rsid w:val="00AE0A2E"/>
    <w:rsid w:val="00AE354C"/>
    <w:rsid w:val="00AF29A8"/>
    <w:rsid w:val="00AF4B07"/>
    <w:rsid w:val="00AF6186"/>
    <w:rsid w:val="00AF7A3A"/>
    <w:rsid w:val="00B160DB"/>
    <w:rsid w:val="00B17171"/>
    <w:rsid w:val="00B20836"/>
    <w:rsid w:val="00B235BB"/>
    <w:rsid w:val="00B27A44"/>
    <w:rsid w:val="00B30BBF"/>
    <w:rsid w:val="00B33C03"/>
    <w:rsid w:val="00B41F84"/>
    <w:rsid w:val="00B44A56"/>
    <w:rsid w:val="00B44E56"/>
    <w:rsid w:val="00B45294"/>
    <w:rsid w:val="00B46543"/>
    <w:rsid w:val="00B47D33"/>
    <w:rsid w:val="00B52BE0"/>
    <w:rsid w:val="00B54133"/>
    <w:rsid w:val="00B575C6"/>
    <w:rsid w:val="00B63A2C"/>
    <w:rsid w:val="00B701ED"/>
    <w:rsid w:val="00B771A0"/>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51AA"/>
    <w:rsid w:val="00BC6BBF"/>
    <w:rsid w:val="00BD1572"/>
    <w:rsid w:val="00BE14E3"/>
    <w:rsid w:val="00BE1959"/>
    <w:rsid w:val="00BE3774"/>
    <w:rsid w:val="00BE41E5"/>
    <w:rsid w:val="00BF4109"/>
    <w:rsid w:val="00BF4CC3"/>
    <w:rsid w:val="00BF59E6"/>
    <w:rsid w:val="00C02A51"/>
    <w:rsid w:val="00C02AC8"/>
    <w:rsid w:val="00C04250"/>
    <w:rsid w:val="00C054C7"/>
    <w:rsid w:val="00C057B5"/>
    <w:rsid w:val="00C12505"/>
    <w:rsid w:val="00C22687"/>
    <w:rsid w:val="00C23F8A"/>
    <w:rsid w:val="00C32E4D"/>
    <w:rsid w:val="00C333A0"/>
    <w:rsid w:val="00C36A81"/>
    <w:rsid w:val="00C37C81"/>
    <w:rsid w:val="00C41974"/>
    <w:rsid w:val="00C50F05"/>
    <w:rsid w:val="00C53F4A"/>
    <w:rsid w:val="00C54125"/>
    <w:rsid w:val="00C55B54"/>
    <w:rsid w:val="00C6098E"/>
    <w:rsid w:val="00C6152C"/>
    <w:rsid w:val="00C6735C"/>
    <w:rsid w:val="00C7285F"/>
    <w:rsid w:val="00C74810"/>
    <w:rsid w:val="00C7595B"/>
    <w:rsid w:val="00C7656B"/>
    <w:rsid w:val="00C808C9"/>
    <w:rsid w:val="00C90D68"/>
    <w:rsid w:val="00C939FE"/>
    <w:rsid w:val="00C97101"/>
    <w:rsid w:val="00C97557"/>
    <w:rsid w:val="00CA4BDA"/>
    <w:rsid w:val="00CB1F66"/>
    <w:rsid w:val="00CB2951"/>
    <w:rsid w:val="00CD282B"/>
    <w:rsid w:val="00CD4C35"/>
    <w:rsid w:val="00CD7369"/>
    <w:rsid w:val="00CE0B0E"/>
    <w:rsid w:val="00CE3831"/>
    <w:rsid w:val="00CF0317"/>
    <w:rsid w:val="00D00ABB"/>
    <w:rsid w:val="00D02EEC"/>
    <w:rsid w:val="00D03551"/>
    <w:rsid w:val="00D06A63"/>
    <w:rsid w:val="00D07E0E"/>
    <w:rsid w:val="00D11478"/>
    <w:rsid w:val="00D15ED0"/>
    <w:rsid w:val="00D21B3E"/>
    <w:rsid w:val="00D21FED"/>
    <w:rsid w:val="00D24251"/>
    <w:rsid w:val="00D34363"/>
    <w:rsid w:val="00D343E2"/>
    <w:rsid w:val="00D361A2"/>
    <w:rsid w:val="00D3746A"/>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99E"/>
    <w:rsid w:val="00DC2AB9"/>
    <w:rsid w:val="00DC63F0"/>
    <w:rsid w:val="00DD6EE5"/>
    <w:rsid w:val="00DE386C"/>
    <w:rsid w:val="00DE4D35"/>
    <w:rsid w:val="00DF098B"/>
    <w:rsid w:val="00DF11C4"/>
    <w:rsid w:val="00DF20A6"/>
    <w:rsid w:val="00DF210C"/>
    <w:rsid w:val="00DF4B6A"/>
    <w:rsid w:val="00E02C09"/>
    <w:rsid w:val="00E04D59"/>
    <w:rsid w:val="00E07DA1"/>
    <w:rsid w:val="00E123CB"/>
    <w:rsid w:val="00E20E13"/>
    <w:rsid w:val="00E21DBC"/>
    <w:rsid w:val="00E25EF9"/>
    <w:rsid w:val="00E275D7"/>
    <w:rsid w:val="00E27DBE"/>
    <w:rsid w:val="00E32AB1"/>
    <w:rsid w:val="00E32BC0"/>
    <w:rsid w:val="00E36C71"/>
    <w:rsid w:val="00E40404"/>
    <w:rsid w:val="00E459C6"/>
    <w:rsid w:val="00E47589"/>
    <w:rsid w:val="00E64915"/>
    <w:rsid w:val="00E661D4"/>
    <w:rsid w:val="00E70091"/>
    <w:rsid w:val="00E720F5"/>
    <w:rsid w:val="00E752EC"/>
    <w:rsid w:val="00E76D47"/>
    <w:rsid w:val="00E849F7"/>
    <w:rsid w:val="00E85166"/>
    <w:rsid w:val="00E90302"/>
    <w:rsid w:val="00E97396"/>
    <w:rsid w:val="00EA185E"/>
    <w:rsid w:val="00EA5433"/>
    <w:rsid w:val="00EA592A"/>
    <w:rsid w:val="00EB14E4"/>
    <w:rsid w:val="00EB32A5"/>
    <w:rsid w:val="00EB34ED"/>
    <w:rsid w:val="00EB447C"/>
    <w:rsid w:val="00EB45B8"/>
    <w:rsid w:val="00EB72E2"/>
    <w:rsid w:val="00EB7BE0"/>
    <w:rsid w:val="00EC315E"/>
    <w:rsid w:val="00ED077C"/>
    <w:rsid w:val="00ED1190"/>
    <w:rsid w:val="00ED6544"/>
    <w:rsid w:val="00EE0277"/>
    <w:rsid w:val="00EE3E00"/>
    <w:rsid w:val="00EE5DD2"/>
    <w:rsid w:val="00EF3E6B"/>
    <w:rsid w:val="00F00A79"/>
    <w:rsid w:val="00F00CBE"/>
    <w:rsid w:val="00F00E86"/>
    <w:rsid w:val="00F07C1E"/>
    <w:rsid w:val="00F105DB"/>
    <w:rsid w:val="00F132BC"/>
    <w:rsid w:val="00F13B25"/>
    <w:rsid w:val="00F13D80"/>
    <w:rsid w:val="00F16AAA"/>
    <w:rsid w:val="00F21161"/>
    <w:rsid w:val="00F218EF"/>
    <w:rsid w:val="00F21BC7"/>
    <w:rsid w:val="00F266A2"/>
    <w:rsid w:val="00F279A6"/>
    <w:rsid w:val="00F32269"/>
    <w:rsid w:val="00F56025"/>
    <w:rsid w:val="00F56A6F"/>
    <w:rsid w:val="00F5709C"/>
    <w:rsid w:val="00F6181E"/>
    <w:rsid w:val="00F64EF1"/>
    <w:rsid w:val="00F8765F"/>
    <w:rsid w:val="00F90767"/>
    <w:rsid w:val="00F925B4"/>
    <w:rsid w:val="00FA3743"/>
    <w:rsid w:val="00FA4ECC"/>
    <w:rsid w:val="00FA685B"/>
    <w:rsid w:val="00FB0C01"/>
    <w:rsid w:val="00FC18F2"/>
    <w:rsid w:val="00FC237A"/>
    <w:rsid w:val="00FC2705"/>
    <w:rsid w:val="00FC39E5"/>
    <w:rsid w:val="00FC3A78"/>
    <w:rsid w:val="00FC5FCB"/>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38C"/>
    <w:pPr>
      <w:jc w:val="both"/>
    </w:pPr>
    <w:rPr>
      <w:rFonts w:eastAsiaTheme="minorEastAsia"/>
      <w:sz w:val="24"/>
      <w:lang w:val="en-GB"/>
    </w:rPr>
  </w:style>
  <w:style w:type="paragraph" w:styleId="Heading1">
    <w:name w:val="heading 1"/>
    <w:basedOn w:val="Normal"/>
    <w:next w:val="Normal"/>
    <w:link w:val="Heading1Char"/>
    <w:uiPriority w:val="99"/>
    <w:semiHidden/>
    <w:rsid w:val="007D338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38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38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38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38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D338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38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D338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D338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38C"/>
    <w:rPr>
      <w:rFonts w:ascii="Tahoma" w:hAnsi="Tahoma" w:cs="Tahoma"/>
      <w:sz w:val="16"/>
      <w:szCs w:val="16"/>
    </w:rPr>
  </w:style>
  <w:style w:type="character" w:customStyle="1" w:styleId="BalloonTextChar">
    <w:name w:val="Balloon Text Char"/>
    <w:basedOn w:val="DefaultParagraphFont"/>
    <w:link w:val="BalloonText"/>
    <w:uiPriority w:val="99"/>
    <w:semiHidden/>
    <w:rsid w:val="007D338C"/>
    <w:rPr>
      <w:rFonts w:ascii="Tahoma" w:eastAsiaTheme="minorEastAsia" w:hAnsi="Tahoma" w:cs="Tahoma"/>
      <w:sz w:val="16"/>
      <w:szCs w:val="16"/>
      <w:lang w:val="en-GB"/>
    </w:rPr>
  </w:style>
  <w:style w:type="character" w:styleId="BookTitle">
    <w:name w:val="Book Title"/>
    <w:uiPriority w:val="99"/>
    <w:semiHidden/>
    <w:qFormat/>
    <w:rsid w:val="007D338C"/>
    <w:rPr>
      <w:i/>
      <w:iCs/>
      <w:smallCaps/>
      <w:spacing w:val="5"/>
    </w:rPr>
  </w:style>
  <w:style w:type="paragraph" w:customStyle="1" w:styleId="ECHRHeader">
    <w:name w:val="ECHR_Header"/>
    <w:aliases w:val="Ju_Header"/>
    <w:basedOn w:val="Header"/>
    <w:uiPriority w:val="4"/>
    <w:qFormat/>
    <w:rsid w:val="007D338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D338C"/>
    <w:pPr>
      <w:jc w:val="left"/>
    </w:pPr>
    <w:rPr>
      <w:sz w:val="8"/>
    </w:rPr>
  </w:style>
  <w:style w:type="character" w:styleId="Strong">
    <w:name w:val="Strong"/>
    <w:uiPriority w:val="99"/>
    <w:semiHidden/>
    <w:qFormat/>
    <w:rsid w:val="007D338C"/>
    <w:rPr>
      <w:b/>
      <w:bCs/>
    </w:rPr>
  </w:style>
  <w:style w:type="paragraph" w:styleId="NoSpacing">
    <w:name w:val="No Spacing"/>
    <w:basedOn w:val="Normal"/>
    <w:link w:val="NoSpacingChar"/>
    <w:semiHidden/>
    <w:qFormat/>
    <w:rsid w:val="007D338C"/>
    <w:rPr>
      <w:sz w:val="22"/>
      <w:lang w:val="en-US"/>
    </w:rPr>
  </w:style>
  <w:style w:type="character" w:customStyle="1" w:styleId="NoSpacingChar">
    <w:name w:val="No Spacing Char"/>
    <w:basedOn w:val="DefaultParagraphFont"/>
    <w:link w:val="NoSpacing"/>
    <w:semiHidden/>
    <w:rsid w:val="007D338C"/>
    <w:rPr>
      <w:rFonts w:eastAsiaTheme="minorEastAsia"/>
    </w:rPr>
  </w:style>
  <w:style w:type="paragraph" w:customStyle="1" w:styleId="ECHRFooterLine">
    <w:name w:val="ECHR_Footer_Line"/>
    <w:aliases w:val="Footer_Line"/>
    <w:basedOn w:val="Normal"/>
    <w:next w:val="ECHRFooter"/>
    <w:uiPriority w:val="57"/>
    <w:semiHidden/>
    <w:rsid w:val="007D338C"/>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D338C"/>
  </w:style>
  <w:style w:type="paragraph" w:customStyle="1" w:styleId="DecList">
    <w:name w:val="Dec_List"/>
    <w:basedOn w:val="Normal"/>
    <w:uiPriority w:val="9"/>
    <w:semiHidden/>
    <w:qFormat/>
    <w:rsid w:val="007D338C"/>
    <w:pPr>
      <w:spacing w:before="240"/>
      <w:ind w:left="284"/>
    </w:pPr>
  </w:style>
  <w:style w:type="paragraph" w:customStyle="1" w:styleId="DummyStyle">
    <w:name w:val="Dummy_Style"/>
    <w:basedOn w:val="Normal"/>
    <w:semiHidden/>
    <w:qFormat/>
    <w:rsid w:val="007D338C"/>
    <w:rPr>
      <w:color w:val="00B050"/>
    </w:rPr>
  </w:style>
  <w:style w:type="paragraph" w:customStyle="1" w:styleId="ECHRTitleCentre3">
    <w:name w:val="ECHR_Title_Centre_3"/>
    <w:aliases w:val="Ju_H_Article"/>
    <w:basedOn w:val="Normal"/>
    <w:next w:val="ECHRParaQuote"/>
    <w:uiPriority w:val="27"/>
    <w:qFormat/>
    <w:rsid w:val="007D338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D338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7D338C"/>
    <w:pPr>
      <w:numPr>
        <w:numId w:val="27"/>
      </w:numPr>
      <w:jc w:val="left"/>
    </w:pPr>
    <w:rPr>
      <w:b/>
    </w:rPr>
  </w:style>
  <w:style w:type="paragraph" w:customStyle="1" w:styleId="JuCourt">
    <w:name w:val="Ju_Court"/>
    <w:basedOn w:val="Normal"/>
    <w:next w:val="Normal"/>
    <w:uiPriority w:val="16"/>
    <w:qFormat/>
    <w:rsid w:val="007D338C"/>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D338C"/>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7D338C"/>
    <w:pPr>
      <w:spacing w:after="240"/>
      <w:jc w:val="center"/>
      <w:outlineLvl w:val="0"/>
    </w:pPr>
    <w:rPr>
      <w:rFonts w:asciiTheme="majorHAnsi" w:hAnsiTheme="majorHAnsi"/>
    </w:rPr>
  </w:style>
  <w:style w:type="character" w:customStyle="1" w:styleId="JUNAMES">
    <w:name w:val="JU_NAMES"/>
    <w:uiPriority w:val="17"/>
    <w:qFormat/>
    <w:rsid w:val="007D338C"/>
    <w:rPr>
      <w:caps w:val="0"/>
      <w:smallCaps/>
    </w:rPr>
  </w:style>
  <w:style w:type="paragraph" w:styleId="Title">
    <w:name w:val="Title"/>
    <w:basedOn w:val="Normal"/>
    <w:next w:val="Normal"/>
    <w:link w:val="TitleChar"/>
    <w:uiPriority w:val="99"/>
    <w:semiHidden/>
    <w:qFormat/>
    <w:rsid w:val="007D338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D338C"/>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7D338C"/>
    <w:pPr>
      <w:ind w:left="284"/>
    </w:pPr>
  </w:style>
  <w:style w:type="paragraph" w:customStyle="1" w:styleId="JuQuotSub">
    <w:name w:val="Ju_Quot_Sub"/>
    <w:basedOn w:val="ECHRParaQuote"/>
    <w:uiPriority w:val="15"/>
    <w:qFormat/>
    <w:rsid w:val="007D338C"/>
    <w:pPr>
      <w:ind w:left="567"/>
    </w:pPr>
  </w:style>
  <w:style w:type="paragraph" w:customStyle="1" w:styleId="ECHRHeading1">
    <w:name w:val="ECHR_Heading_1"/>
    <w:aliases w:val="Ju_H_I_Roman"/>
    <w:basedOn w:val="Heading1"/>
    <w:next w:val="ECHRPara"/>
    <w:uiPriority w:val="19"/>
    <w:qFormat/>
    <w:rsid w:val="007D338C"/>
    <w:pPr>
      <w:keepNext/>
      <w:keepLines/>
      <w:tabs>
        <w:tab w:val="left" w:pos="357"/>
      </w:tabs>
      <w:spacing w:before="360" w:after="240"/>
      <w:ind w:left="357" w:hanging="357"/>
      <w:contextualSpacing w:val="0"/>
    </w:pPr>
    <w:rPr>
      <w:b w:val="0"/>
      <w:color w:val="auto"/>
      <w:sz w:val="24"/>
    </w:rPr>
  </w:style>
  <w:style w:type="paragraph" w:customStyle="1" w:styleId="ECHRHeading3">
    <w:name w:val="ECHR_Heading_3"/>
    <w:aliases w:val="Ju_H_1."/>
    <w:basedOn w:val="Heading3"/>
    <w:next w:val="ECHRPara"/>
    <w:uiPriority w:val="21"/>
    <w:qFormat/>
    <w:rsid w:val="007D338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D338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D338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D338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D338C"/>
    <w:pPr>
      <w:keepNext/>
      <w:keepLines/>
      <w:spacing w:before="240" w:after="120"/>
      <w:ind w:left="1236"/>
    </w:pPr>
    <w:rPr>
      <w:sz w:val="20"/>
      <w:lang w:val="en-GB"/>
    </w:rPr>
  </w:style>
  <w:style w:type="paragraph" w:styleId="Header">
    <w:name w:val="header"/>
    <w:basedOn w:val="Normal"/>
    <w:link w:val="HeaderChar"/>
    <w:uiPriority w:val="57"/>
    <w:semiHidden/>
    <w:rsid w:val="007D338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D338C"/>
    <w:rPr>
      <w:sz w:val="24"/>
      <w:lang w:val="en-GB"/>
    </w:rPr>
  </w:style>
  <w:style w:type="character" w:customStyle="1" w:styleId="Heading1Char">
    <w:name w:val="Heading 1 Char"/>
    <w:basedOn w:val="DefaultParagraphFont"/>
    <w:link w:val="Heading1"/>
    <w:uiPriority w:val="99"/>
    <w:semiHidden/>
    <w:rsid w:val="007D338C"/>
    <w:rPr>
      <w:rFonts w:asciiTheme="majorHAnsi" w:eastAsiaTheme="majorEastAsia" w:hAnsiTheme="majorHAnsi" w:cstheme="majorBidi"/>
      <w:b/>
      <w:bCs/>
      <w:color w:val="333333"/>
      <w:sz w:val="28"/>
      <w:szCs w:val="28"/>
      <w:lang w:val="en-GB"/>
    </w:rPr>
  </w:style>
  <w:style w:type="paragraph" w:customStyle="1" w:styleId="JuTitle">
    <w:name w:val="Ju_Title"/>
    <w:basedOn w:val="Normal"/>
    <w:next w:val="ECHRPara"/>
    <w:uiPriority w:val="3"/>
    <w:semiHidden/>
    <w:qFormat/>
    <w:rsid w:val="007D338C"/>
    <w:pPr>
      <w:spacing w:before="720" w:after="240"/>
      <w:jc w:val="center"/>
      <w:outlineLvl w:val="0"/>
    </w:pPr>
    <w:rPr>
      <w:rFonts w:asciiTheme="majorHAnsi" w:hAnsiTheme="majorHAnsi"/>
      <w:b/>
      <w:caps/>
    </w:rPr>
  </w:style>
  <w:style w:type="paragraph" w:customStyle="1" w:styleId="ECHRHeading2">
    <w:name w:val="ECHR_Heading_2"/>
    <w:aliases w:val="Ju_H_A"/>
    <w:basedOn w:val="Heading2"/>
    <w:next w:val="ECHRPara"/>
    <w:uiPriority w:val="20"/>
    <w:qFormat/>
    <w:rsid w:val="007D338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D338C"/>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7D338C"/>
    <w:pPr>
      <w:ind w:left="635" w:hanging="357"/>
      <w:outlineLvl w:val="2"/>
    </w:pPr>
  </w:style>
  <w:style w:type="character" w:customStyle="1" w:styleId="JuITMark">
    <w:name w:val="Ju_ITMark"/>
    <w:basedOn w:val="DefaultParagraphFont"/>
    <w:uiPriority w:val="38"/>
    <w:qFormat/>
    <w:rsid w:val="007D338C"/>
    <w:rPr>
      <w:vanish w:val="0"/>
      <w:color w:val="auto"/>
      <w:sz w:val="14"/>
      <w:bdr w:val="none" w:sz="0" w:space="0" w:color="auto"/>
      <w:shd w:val="clear" w:color="auto" w:fill="BEE5FF" w:themeFill="background1" w:themeFillTint="33"/>
    </w:rPr>
  </w:style>
  <w:style w:type="character" w:customStyle="1" w:styleId="Heading3Char">
    <w:name w:val="Heading 3 Char"/>
    <w:basedOn w:val="DefaultParagraphFont"/>
    <w:link w:val="Heading3"/>
    <w:uiPriority w:val="99"/>
    <w:semiHidden/>
    <w:rsid w:val="007D338C"/>
    <w:rPr>
      <w:rFonts w:asciiTheme="majorHAnsi" w:eastAsiaTheme="majorEastAsia" w:hAnsiTheme="majorHAnsi" w:cstheme="majorBidi"/>
      <w:b/>
      <w:bCs/>
      <w:color w:val="5F5F5F"/>
      <w:sz w:val="24"/>
      <w:lang w:val="en-GB"/>
    </w:rPr>
  </w:style>
  <w:style w:type="paragraph" w:customStyle="1" w:styleId="OpiHa">
    <w:name w:val="Opi_H_a"/>
    <w:basedOn w:val="ECHRHeading3"/>
    <w:uiPriority w:val="43"/>
    <w:qFormat/>
    <w:rsid w:val="007D338C"/>
    <w:pPr>
      <w:ind w:left="833" w:hanging="357"/>
      <w:outlineLvl w:val="3"/>
    </w:pPr>
    <w:rPr>
      <w:b/>
      <w:i w:val="0"/>
      <w:sz w:val="20"/>
    </w:rPr>
  </w:style>
  <w:style w:type="paragraph" w:customStyle="1" w:styleId="ECHRDecisionBody">
    <w:name w:val="ECHR_Decision_Body"/>
    <w:aliases w:val="Ju_Judges"/>
    <w:basedOn w:val="Normal"/>
    <w:uiPriority w:val="11"/>
    <w:qFormat/>
    <w:rsid w:val="007D338C"/>
    <w:pPr>
      <w:tabs>
        <w:tab w:val="left" w:pos="567"/>
        <w:tab w:val="left" w:pos="1134"/>
      </w:tabs>
      <w:jc w:val="left"/>
    </w:pPr>
  </w:style>
  <w:style w:type="character" w:customStyle="1" w:styleId="Heading4Char">
    <w:name w:val="Heading 4 Char"/>
    <w:basedOn w:val="DefaultParagraphFont"/>
    <w:link w:val="Heading4"/>
    <w:uiPriority w:val="99"/>
    <w:semiHidden/>
    <w:rsid w:val="007D338C"/>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link w:val="ECHRParaChar"/>
    <w:uiPriority w:val="12"/>
    <w:qFormat/>
    <w:rsid w:val="007D338C"/>
    <w:pPr>
      <w:ind w:firstLine="284"/>
    </w:pPr>
  </w:style>
  <w:style w:type="character" w:customStyle="1" w:styleId="Heading5Char">
    <w:name w:val="Heading 5 Char"/>
    <w:basedOn w:val="DefaultParagraphFont"/>
    <w:link w:val="Heading5"/>
    <w:uiPriority w:val="99"/>
    <w:semiHidden/>
    <w:rsid w:val="007D338C"/>
    <w:rPr>
      <w:rFonts w:asciiTheme="majorHAnsi" w:eastAsiaTheme="majorEastAsia" w:hAnsiTheme="majorHAnsi" w:cstheme="majorBidi"/>
      <w:b/>
      <w:bCs/>
      <w:color w:val="808080"/>
    </w:rPr>
  </w:style>
  <w:style w:type="paragraph" w:customStyle="1" w:styleId="JuList">
    <w:name w:val="Ju_List"/>
    <w:basedOn w:val="Normal"/>
    <w:uiPriority w:val="28"/>
    <w:qFormat/>
    <w:rsid w:val="007D338C"/>
    <w:pPr>
      <w:ind w:left="340" w:hanging="340"/>
    </w:pPr>
  </w:style>
  <w:style w:type="paragraph" w:customStyle="1" w:styleId="JuSigned">
    <w:name w:val="Ju_Signed"/>
    <w:basedOn w:val="Normal"/>
    <w:next w:val="JuParaLast"/>
    <w:uiPriority w:val="32"/>
    <w:qFormat/>
    <w:rsid w:val="007D338C"/>
    <w:pPr>
      <w:tabs>
        <w:tab w:val="center" w:pos="851"/>
        <w:tab w:val="center" w:pos="6407"/>
      </w:tabs>
      <w:spacing w:before="720"/>
      <w:jc w:val="left"/>
    </w:pPr>
  </w:style>
  <w:style w:type="character" w:styleId="SubtleEmphasis">
    <w:name w:val="Subtle Emphasis"/>
    <w:uiPriority w:val="99"/>
    <w:semiHidden/>
    <w:qFormat/>
    <w:rsid w:val="007D338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D338C"/>
    <w:pPr>
      <w:keepNext/>
      <w:keepLines/>
      <w:spacing w:before="720" w:after="240"/>
      <w:outlineLvl w:val="0"/>
    </w:pPr>
    <w:rPr>
      <w:rFonts w:asciiTheme="majorHAnsi" w:hAnsiTheme="majorHAnsi"/>
      <w:sz w:val="28"/>
    </w:rPr>
  </w:style>
  <w:style w:type="character" w:styleId="Emphasis">
    <w:name w:val="Emphasis"/>
    <w:uiPriority w:val="99"/>
    <w:semiHidden/>
    <w:qFormat/>
    <w:rsid w:val="007D338C"/>
    <w:rPr>
      <w:b/>
      <w:bCs/>
      <w:i/>
      <w:iCs/>
      <w:spacing w:val="10"/>
      <w:bdr w:val="none" w:sz="0" w:space="0" w:color="auto"/>
      <w:shd w:val="clear" w:color="auto" w:fill="auto"/>
    </w:rPr>
  </w:style>
  <w:style w:type="paragraph" w:styleId="Footer">
    <w:name w:val="footer"/>
    <w:basedOn w:val="Normal"/>
    <w:link w:val="FooterChar"/>
    <w:uiPriority w:val="57"/>
    <w:semiHidden/>
    <w:rsid w:val="007D338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D338C"/>
    <w:rPr>
      <w:sz w:val="24"/>
      <w:lang w:val="en-GB"/>
    </w:rPr>
  </w:style>
  <w:style w:type="character" w:styleId="FootnoteReference">
    <w:name w:val="footnote reference"/>
    <w:basedOn w:val="DefaultParagraphFont"/>
    <w:uiPriority w:val="99"/>
    <w:semiHidden/>
    <w:rsid w:val="007D338C"/>
    <w:rPr>
      <w:vertAlign w:val="superscript"/>
    </w:rPr>
  </w:style>
  <w:style w:type="paragraph" w:styleId="FootnoteText">
    <w:name w:val="footnote text"/>
    <w:basedOn w:val="Normal"/>
    <w:link w:val="FootnoteTextChar"/>
    <w:uiPriority w:val="99"/>
    <w:semiHidden/>
    <w:rsid w:val="007D338C"/>
    <w:rPr>
      <w:sz w:val="20"/>
      <w:szCs w:val="20"/>
    </w:rPr>
  </w:style>
  <w:style w:type="character" w:customStyle="1" w:styleId="FootnoteTextChar">
    <w:name w:val="Footnote Text Char"/>
    <w:basedOn w:val="DefaultParagraphFont"/>
    <w:link w:val="FootnoteText"/>
    <w:uiPriority w:val="99"/>
    <w:semiHidden/>
    <w:rsid w:val="007D338C"/>
    <w:rPr>
      <w:rFonts w:eastAsiaTheme="minorEastAsia"/>
      <w:sz w:val="20"/>
      <w:szCs w:val="20"/>
      <w:lang w:val="en-GB"/>
    </w:rPr>
  </w:style>
  <w:style w:type="character" w:customStyle="1" w:styleId="Heading6Char">
    <w:name w:val="Heading 6 Char"/>
    <w:basedOn w:val="DefaultParagraphFont"/>
    <w:link w:val="Heading6"/>
    <w:uiPriority w:val="99"/>
    <w:semiHidden/>
    <w:rsid w:val="007D338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D338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D338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D338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D338C"/>
    <w:rPr>
      <w:color w:val="0072BC" w:themeColor="hyperlink"/>
      <w:u w:val="single"/>
    </w:rPr>
  </w:style>
  <w:style w:type="character" w:styleId="IntenseEmphasis">
    <w:name w:val="Intense Emphasis"/>
    <w:uiPriority w:val="99"/>
    <w:semiHidden/>
    <w:qFormat/>
    <w:rsid w:val="007D338C"/>
    <w:rPr>
      <w:b/>
      <w:bCs/>
    </w:rPr>
  </w:style>
  <w:style w:type="paragraph" w:styleId="IntenseQuote">
    <w:name w:val="Intense Quote"/>
    <w:basedOn w:val="Normal"/>
    <w:next w:val="Normal"/>
    <w:link w:val="IntenseQuoteChar"/>
    <w:uiPriority w:val="99"/>
    <w:semiHidden/>
    <w:qFormat/>
    <w:rsid w:val="007D338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D338C"/>
    <w:rPr>
      <w:rFonts w:eastAsiaTheme="minorEastAsia"/>
      <w:b/>
      <w:bCs/>
      <w:i/>
      <w:iCs/>
      <w:lang w:bidi="en-US"/>
    </w:rPr>
  </w:style>
  <w:style w:type="character" w:styleId="IntenseReference">
    <w:name w:val="Intense Reference"/>
    <w:uiPriority w:val="99"/>
    <w:semiHidden/>
    <w:qFormat/>
    <w:rsid w:val="007D338C"/>
    <w:rPr>
      <w:smallCaps/>
      <w:spacing w:val="5"/>
      <w:u w:val="single"/>
    </w:rPr>
  </w:style>
  <w:style w:type="paragraph" w:styleId="ListParagraph">
    <w:name w:val="List Paragraph"/>
    <w:basedOn w:val="Normal"/>
    <w:uiPriority w:val="99"/>
    <w:semiHidden/>
    <w:qFormat/>
    <w:rsid w:val="007D338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D338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D338C"/>
    <w:rPr>
      <w:rFonts w:eastAsiaTheme="minorEastAsia"/>
      <w:i/>
      <w:iCs/>
      <w:lang w:bidi="en-US"/>
    </w:rPr>
  </w:style>
  <w:style w:type="character" w:styleId="SubtleReference">
    <w:name w:val="Subtle Reference"/>
    <w:uiPriority w:val="99"/>
    <w:semiHidden/>
    <w:qFormat/>
    <w:rsid w:val="007D338C"/>
    <w:rPr>
      <w:smallCaps/>
    </w:rPr>
  </w:style>
  <w:style w:type="table" w:styleId="TableGrid">
    <w:name w:val="Table Grid"/>
    <w:basedOn w:val="TableNormal"/>
    <w:uiPriority w:val="59"/>
    <w:semiHidden/>
    <w:rsid w:val="007D338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38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38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38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38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38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38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38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D338C"/>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38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7D338C"/>
    <w:pPr>
      <w:keepNext/>
      <w:keepLines/>
      <w:spacing w:before="240"/>
      <w:ind w:firstLine="284"/>
    </w:pPr>
  </w:style>
  <w:style w:type="paragraph" w:customStyle="1" w:styleId="JuCase">
    <w:name w:val="Ju_Case"/>
    <w:basedOn w:val="Normal"/>
    <w:next w:val="ECHRPara"/>
    <w:uiPriority w:val="10"/>
    <w:rsid w:val="007D338C"/>
    <w:pPr>
      <w:ind w:firstLine="284"/>
    </w:pPr>
    <w:rPr>
      <w:b/>
    </w:rPr>
  </w:style>
  <w:style w:type="paragraph" w:styleId="CommentText">
    <w:name w:val="annotation text"/>
    <w:basedOn w:val="Normal"/>
    <w:link w:val="CommentTextChar"/>
    <w:uiPriority w:val="99"/>
    <w:semiHidden/>
    <w:rsid w:val="00470981"/>
    <w:rPr>
      <w:sz w:val="20"/>
      <w:szCs w:val="20"/>
    </w:rPr>
  </w:style>
  <w:style w:type="character" w:customStyle="1" w:styleId="CommentTextChar">
    <w:name w:val="Comment Text Char"/>
    <w:basedOn w:val="DefaultParagraphFont"/>
    <w:link w:val="CommentText"/>
    <w:uiPriority w:val="99"/>
    <w:semiHidden/>
    <w:rsid w:val="00470981"/>
    <w:rPr>
      <w:rFonts w:eastAsiaTheme="minorEastAsia"/>
      <w:sz w:val="20"/>
      <w:szCs w:val="20"/>
    </w:rPr>
  </w:style>
  <w:style w:type="paragraph" w:styleId="CommentSubject">
    <w:name w:val="annotation subject"/>
    <w:basedOn w:val="CommentText"/>
    <w:next w:val="CommentText"/>
    <w:link w:val="CommentSubjectChar"/>
    <w:uiPriority w:val="99"/>
    <w:semiHidden/>
    <w:rsid w:val="00470981"/>
    <w:rPr>
      <w:b/>
      <w:bCs/>
      <w:szCs w:val="22"/>
    </w:rPr>
  </w:style>
  <w:style w:type="character" w:customStyle="1" w:styleId="CommentSubjectChar">
    <w:name w:val="Comment Subject Char"/>
    <w:basedOn w:val="CommentTextChar"/>
    <w:link w:val="CommentSubject"/>
    <w:uiPriority w:val="99"/>
    <w:semiHidden/>
    <w:rsid w:val="00470981"/>
    <w:rPr>
      <w:rFonts w:eastAsiaTheme="minorEastAsia"/>
      <w:b/>
      <w:bCs/>
      <w:sz w:val="20"/>
      <w:szCs w:val="20"/>
    </w:rPr>
  </w:style>
  <w:style w:type="character" w:styleId="PageNumber">
    <w:name w:val="page number"/>
    <w:uiPriority w:val="99"/>
    <w:semiHidden/>
    <w:rsid w:val="00470981"/>
    <w:rPr>
      <w:sz w:val="18"/>
    </w:rPr>
  </w:style>
  <w:style w:type="paragraph" w:customStyle="1" w:styleId="JuLista">
    <w:name w:val="Ju_List_a"/>
    <w:basedOn w:val="JuList"/>
    <w:uiPriority w:val="28"/>
    <w:qFormat/>
    <w:rsid w:val="007D338C"/>
    <w:pPr>
      <w:ind w:left="346" w:firstLine="0"/>
    </w:pPr>
  </w:style>
  <w:style w:type="paragraph" w:customStyle="1" w:styleId="JuListi">
    <w:name w:val="Ju_List_i"/>
    <w:basedOn w:val="Normal"/>
    <w:next w:val="JuLista"/>
    <w:uiPriority w:val="28"/>
    <w:qFormat/>
    <w:rsid w:val="007D338C"/>
    <w:pPr>
      <w:ind w:left="794"/>
    </w:pPr>
  </w:style>
  <w:style w:type="character" w:styleId="CommentReference">
    <w:name w:val="annotation reference"/>
    <w:uiPriority w:val="99"/>
    <w:semiHidden/>
    <w:rsid w:val="00470981"/>
    <w:rPr>
      <w:sz w:val="16"/>
    </w:rPr>
  </w:style>
  <w:style w:type="character" w:styleId="EndnoteReference">
    <w:name w:val="endnote reference"/>
    <w:basedOn w:val="DefaultParagraphFont"/>
    <w:uiPriority w:val="99"/>
    <w:semiHidden/>
    <w:rsid w:val="007D338C"/>
    <w:rPr>
      <w:vertAlign w:val="superscript"/>
    </w:rPr>
  </w:style>
  <w:style w:type="paragraph" w:styleId="EndnoteText">
    <w:name w:val="endnote text"/>
    <w:basedOn w:val="Normal"/>
    <w:link w:val="EndnoteTextChar"/>
    <w:uiPriority w:val="99"/>
    <w:semiHidden/>
    <w:rsid w:val="007D338C"/>
    <w:rPr>
      <w:sz w:val="20"/>
      <w:szCs w:val="20"/>
    </w:rPr>
  </w:style>
  <w:style w:type="character" w:customStyle="1" w:styleId="EndnoteTextChar">
    <w:name w:val="Endnote Text Char"/>
    <w:basedOn w:val="DefaultParagraphFont"/>
    <w:link w:val="EndnoteText"/>
    <w:uiPriority w:val="99"/>
    <w:semiHidden/>
    <w:rsid w:val="007D338C"/>
    <w:rPr>
      <w:rFonts w:eastAsiaTheme="minorEastAsia"/>
      <w:sz w:val="20"/>
      <w:szCs w:val="20"/>
      <w:lang w:val="en-GB"/>
    </w:rPr>
  </w:style>
  <w:style w:type="character" w:styleId="FollowedHyperlink">
    <w:name w:val="FollowedHyperlink"/>
    <w:uiPriority w:val="99"/>
    <w:semiHidden/>
    <w:rsid w:val="00470981"/>
    <w:rPr>
      <w:color w:val="800080"/>
      <w:u w:val="single"/>
    </w:rPr>
  </w:style>
  <w:style w:type="paragraph" w:styleId="DocumentMap">
    <w:name w:val="Document Map"/>
    <w:basedOn w:val="Normal"/>
    <w:link w:val="DocumentMapChar"/>
    <w:uiPriority w:val="99"/>
    <w:semiHidden/>
    <w:rsid w:val="00470981"/>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470981"/>
    <w:rPr>
      <w:rFonts w:ascii="Tahoma" w:eastAsiaTheme="minorEastAsia" w:hAnsi="Tahoma" w:cs="Tahoma"/>
      <w:sz w:val="20"/>
      <w:shd w:val="clear" w:color="auto" w:fill="000080"/>
    </w:rPr>
  </w:style>
  <w:style w:type="paragraph" w:styleId="ListBullet">
    <w:name w:val="List Bullet"/>
    <w:basedOn w:val="Normal"/>
    <w:uiPriority w:val="99"/>
    <w:semiHidden/>
    <w:rsid w:val="00470981"/>
    <w:pPr>
      <w:numPr>
        <w:numId w:val="4"/>
      </w:numPr>
    </w:pPr>
  </w:style>
  <w:style w:type="paragraph" w:styleId="Subtitle">
    <w:name w:val="Subtitle"/>
    <w:basedOn w:val="Normal"/>
    <w:next w:val="Normal"/>
    <w:link w:val="SubtitleChar"/>
    <w:uiPriority w:val="99"/>
    <w:semiHidden/>
    <w:qFormat/>
    <w:rsid w:val="007D338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D338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470981"/>
    <w:pPr>
      <w:numPr>
        <w:numId w:val="5"/>
      </w:numPr>
    </w:pPr>
  </w:style>
  <w:style w:type="numbering" w:styleId="1ai">
    <w:name w:val="Outline List 1"/>
    <w:basedOn w:val="NoList"/>
    <w:uiPriority w:val="99"/>
    <w:semiHidden/>
    <w:rsid w:val="00470981"/>
    <w:pPr>
      <w:numPr>
        <w:numId w:val="6"/>
      </w:numPr>
    </w:pPr>
  </w:style>
  <w:style w:type="numbering" w:styleId="ArticleSection">
    <w:name w:val="Outline List 3"/>
    <w:basedOn w:val="NoList"/>
    <w:uiPriority w:val="99"/>
    <w:semiHidden/>
    <w:rsid w:val="00470981"/>
    <w:pPr>
      <w:numPr>
        <w:numId w:val="7"/>
      </w:numPr>
    </w:pPr>
  </w:style>
  <w:style w:type="paragraph" w:styleId="Bibliography">
    <w:name w:val="Bibliography"/>
    <w:basedOn w:val="Normal"/>
    <w:next w:val="Normal"/>
    <w:uiPriority w:val="99"/>
    <w:semiHidden/>
    <w:unhideWhenUsed/>
    <w:rsid w:val="00470981"/>
  </w:style>
  <w:style w:type="paragraph" w:styleId="BlockText">
    <w:name w:val="Block Text"/>
    <w:basedOn w:val="Normal"/>
    <w:uiPriority w:val="99"/>
    <w:semiHidden/>
    <w:rsid w:val="0047098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70981"/>
    <w:pPr>
      <w:spacing w:after="120"/>
    </w:pPr>
  </w:style>
  <w:style w:type="character" w:customStyle="1" w:styleId="BodyTextChar">
    <w:name w:val="Body Text Char"/>
    <w:basedOn w:val="DefaultParagraphFont"/>
    <w:link w:val="BodyText"/>
    <w:uiPriority w:val="99"/>
    <w:semiHidden/>
    <w:rsid w:val="00470981"/>
    <w:rPr>
      <w:rFonts w:eastAsiaTheme="minorEastAsia"/>
      <w:sz w:val="24"/>
    </w:rPr>
  </w:style>
  <w:style w:type="paragraph" w:styleId="BodyText2">
    <w:name w:val="Body Text 2"/>
    <w:basedOn w:val="Normal"/>
    <w:link w:val="BodyText2Char"/>
    <w:uiPriority w:val="99"/>
    <w:semiHidden/>
    <w:rsid w:val="00470981"/>
    <w:pPr>
      <w:spacing w:after="120" w:line="480" w:lineRule="auto"/>
    </w:pPr>
  </w:style>
  <w:style w:type="character" w:customStyle="1" w:styleId="BodyText2Char">
    <w:name w:val="Body Text 2 Char"/>
    <w:basedOn w:val="DefaultParagraphFont"/>
    <w:link w:val="BodyText2"/>
    <w:uiPriority w:val="99"/>
    <w:semiHidden/>
    <w:rsid w:val="00470981"/>
    <w:rPr>
      <w:rFonts w:eastAsiaTheme="minorEastAsia"/>
      <w:sz w:val="24"/>
    </w:rPr>
  </w:style>
  <w:style w:type="paragraph" w:styleId="BodyText3">
    <w:name w:val="Body Text 3"/>
    <w:basedOn w:val="Normal"/>
    <w:link w:val="BodyText3Char"/>
    <w:uiPriority w:val="99"/>
    <w:semiHidden/>
    <w:rsid w:val="00470981"/>
    <w:pPr>
      <w:spacing w:after="120"/>
    </w:pPr>
    <w:rPr>
      <w:sz w:val="16"/>
      <w:szCs w:val="16"/>
    </w:rPr>
  </w:style>
  <w:style w:type="character" w:customStyle="1" w:styleId="BodyText3Char">
    <w:name w:val="Body Text 3 Char"/>
    <w:basedOn w:val="DefaultParagraphFont"/>
    <w:link w:val="BodyText3"/>
    <w:uiPriority w:val="99"/>
    <w:semiHidden/>
    <w:rsid w:val="00470981"/>
    <w:rPr>
      <w:rFonts w:eastAsiaTheme="minorEastAsia"/>
      <w:sz w:val="16"/>
      <w:szCs w:val="16"/>
    </w:rPr>
  </w:style>
  <w:style w:type="paragraph" w:styleId="BodyTextFirstIndent">
    <w:name w:val="Body Text First Indent"/>
    <w:basedOn w:val="BodyText"/>
    <w:link w:val="BodyTextFirstIndentChar"/>
    <w:uiPriority w:val="99"/>
    <w:semiHidden/>
    <w:rsid w:val="00470981"/>
    <w:pPr>
      <w:spacing w:after="0"/>
      <w:ind w:firstLine="360"/>
    </w:pPr>
  </w:style>
  <w:style w:type="character" w:customStyle="1" w:styleId="BodyTextFirstIndentChar">
    <w:name w:val="Body Text First Indent Char"/>
    <w:basedOn w:val="BodyTextChar"/>
    <w:link w:val="BodyTextFirstIndent"/>
    <w:uiPriority w:val="99"/>
    <w:semiHidden/>
    <w:rsid w:val="00470981"/>
    <w:rPr>
      <w:rFonts w:eastAsiaTheme="minorEastAsia"/>
      <w:sz w:val="24"/>
    </w:rPr>
  </w:style>
  <w:style w:type="paragraph" w:styleId="BodyTextIndent">
    <w:name w:val="Body Text Indent"/>
    <w:basedOn w:val="Normal"/>
    <w:link w:val="BodyTextIndentChar"/>
    <w:uiPriority w:val="99"/>
    <w:semiHidden/>
    <w:rsid w:val="00470981"/>
    <w:pPr>
      <w:spacing w:after="120"/>
      <w:ind w:left="283"/>
    </w:pPr>
  </w:style>
  <w:style w:type="character" w:customStyle="1" w:styleId="BodyTextIndentChar">
    <w:name w:val="Body Text Indent Char"/>
    <w:basedOn w:val="DefaultParagraphFont"/>
    <w:link w:val="BodyTextIndent"/>
    <w:uiPriority w:val="99"/>
    <w:semiHidden/>
    <w:rsid w:val="00470981"/>
    <w:rPr>
      <w:rFonts w:eastAsiaTheme="minorEastAsia"/>
      <w:sz w:val="24"/>
    </w:rPr>
  </w:style>
  <w:style w:type="paragraph" w:styleId="BodyTextFirstIndent2">
    <w:name w:val="Body Text First Indent 2"/>
    <w:basedOn w:val="BodyTextIndent"/>
    <w:link w:val="BodyTextFirstIndent2Char"/>
    <w:uiPriority w:val="99"/>
    <w:semiHidden/>
    <w:rsid w:val="00470981"/>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0981"/>
    <w:rPr>
      <w:rFonts w:eastAsiaTheme="minorEastAsia"/>
      <w:sz w:val="24"/>
    </w:rPr>
  </w:style>
  <w:style w:type="paragraph" w:styleId="BodyTextIndent2">
    <w:name w:val="Body Text Indent 2"/>
    <w:basedOn w:val="Normal"/>
    <w:link w:val="BodyTextIndent2Char"/>
    <w:uiPriority w:val="99"/>
    <w:semiHidden/>
    <w:rsid w:val="00470981"/>
    <w:pPr>
      <w:spacing w:after="120" w:line="480" w:lineRule="auto"/>
      <w:ind w:left="283"/>
    </w:pPr>
  </w:style>
  <w:style w:type="character" w:customStyle="1" w:styleId="BodyTextIndent2Char">
    <w:name w:val="Body Text Indent 2 Char"/>
    <w:basedOn w:val="DefaultParagraphFont"/>
    <w:link w:val="BodyTextIndent2"/>
    <w:uiPriority w:val="99"/>
    <w:semiHidden/>
    <w:rsid w:val="00470981"/>
    <w:rPr>
      <w:rFonts w:eastAsiaTheme="minorEastAsia"/>
      <w:sz w:val="24"/>
    </w:rPr>
  </w:style>
  <w:style w:type="paragraph" w:styleId="BodyTextIndent3">
    <w:name w:val="Body Text Indent 3"/>
    <w:basedOn w:val="Normal"/>
    <w:link w:val="BodyTextIndent3Char"/>
    <w:uiPriority w:val="99"/>
    <w:semiHidden/>
    <w:rsid w:val="0047098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0981"/>
    <w:rPr>
      <w:rFonts w:eastAsiaTheme="minorEastAsia"/>
      <w:sz w:val="16"/>
      <w:szCs w:val="16"/>
    </w:rPr>
  </w:style>
  <w:style w:type="paragraph" w:styleId="Caption">
    <w:name w:val="caption"/>
    <w:basedOn w:val="Normal"/>
    <w:next w:val="Normal"/>
    <w:uiPriority w:val="99"/>
    <w:semiHidden/>
    <w:qFormat/>
    <w:rsid w:val="00470981"/>
    <w:pPr>
      <w:spacing w:after="200"/>
    </w:pPr>
    <w:rPr>
      <w:b/>
      <w:bCs/>
      <w:color w:val="0072BC" w:themeColor="accent1"/>
      <w:sz w:val="18"/>
      <w:szCs w:val="18"/>
    </w:rPr>
  </w:style>
  <w:style w:type="paragraph" w:styleId="Closing">
    <w:name w:val="Closing"/>
    <w:basedOn w:val="Normal"/>
    <w:link w:val="ClosingChar"/>
    <w:uiPriority w:val="99"/>
    <w:semiHidden/>
    <w:rsid w:val="00470981"/>
    <w:pPr>
      <w:ind w:left="4252"/>
    </w:pPr>
  </w:style>
  <w:style w:type="character" w:customStyle="1" w:styleId="ClosingChar">
    <w:name w:val="Closing Char"/>
    <w:basedOn w:val="DefaultParagraphFont"/>
    <w:link w:val="Closing"/>
    <w:uiPriority w:val="99"/>
    <w:semiHidden/>
    <w:rsid w:val="00470981"/>
    <w:rPr>
      <w:rFonts w:eastAsiaTheme="minorEastAsia"/>
      <w:sz w:val="24"/>
    </w:rPr>
  </w:style>
  <w:style w:type="table" w:styleId="ColorfulGrid">
    <w:name w:val="Colorful Grid"/>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470981"/>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470981"/>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470981"/>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470981"/>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470981"/>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470981"/>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470981"/>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470981"/>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470981"/>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470981"/>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470981"/>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470981"/>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470981"/>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470981"/>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70981"/>
  </w:style>
  <w:style w:type="character" w:customStyle="1" w:styleId="DateChar">
    <w:name w:val="Date Char"/>
    <w:basedOn w:val="DefaultParagraphFont"/>
    <w:link w:val="Date"/>
    <w:uiPriority w:val="99"/>
    <w:semiHidden/>
    <w:rsid w:val="00470981"/>
    <w:rPr>
      <w:rFonts w:eastAsiaTheme="minorEastAsia"/>
      <w:sz w:val="24"/>
    </w:rPr>
  </w:style>
  <w:style w:type="paragraph" w:styleId="E-mailSignature">
    <w:name w:val="E-mail Signature"/>
    <w:basedOn w:val="Normal"/>
    <w:link w:val="E-mailSignatureChar"/>
    <w:uiPriority w:val="99"/>
    <w:semiHidden/>
    <w:rsid w:val="00470981"/>
  </w:style>
  <w:style w:type="character" w:customStyle="1" w:styleId="E-mailSignatureChar">
    <w:name w:val="E-mail Signature Char"/>
    <w:basedOn w:val="DefaultParagraphFont"/>
    <w:link w:val="E-mailSignature"/>
    <w:uiPriority w:val="99"/>
    <w:semiHidden/>
    <w:rsid w:val="00470981"/>
    <w:rPr>
      <w:rFonts w:eastAsiaTheme="minorEastAsia"/>
      <w:sz w:val="24"/>
    </w:rPr>
  </w:style>
  <w:style w:type="paragraph" w:styleId="EnvelopeAddress">
    <w:name w:val="envelope address"/>
    <w:basedOn w:val="Normal"/>
    <w:uiPriority w:val="99"/>
    <w:semiHidden/>
    <w:rsid w:val="0047098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7098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70981"/>
  </w:style>
  <w:style w:type="paragraph" w:styleId="HTMLAddress">
    <w:name w:val="HTML Address"/>
    <w:basedOn w:val="Normal"/>
    <w:link w:val="HTMLAddressChar"/>
    <w:uiPriority w:val="99"/>
    <w:semiHidden/>
    <w:rsid w:val="00470981"/>
    <w:rPr>
      <w:i/>
      <w:iCs/>
    </w:rPr>
  </w:style>
  <w:style w:type="character" w:customStyle="1" w:styleId="HTMLAddressChar">
    <w:name w:val="HTML Address Char"/>
    <w:basedOn w:val="DefaultParagraphFont"/>
    <w:link w:val="HTMLAddress"/>
    <w:uiPriority w:val="99"/>
    <w:semiHidden/>
    <w:rsid w:val="00470981"/>
    <w:rPr>
      <w:rFonts w:eastAsiaTheme="minorEastAsia"/>
      <w:i/>
      <w:iCs/>
      <w:sz w:val="24"/>
    </w:rPr>
  </w:style>
  <w:style w:type="character" w:styleId="HTMLCite">
    <w:name w:val="HTML Cite"/>
    <w:basedOn w:val="DefaultParagraphFont"/>
    <w:uiPriority w:val="99"/>
    <w:semiHidden/>
    <w:rsid w:val="00470981"/>
    <w:rPr>
      <w:i/>
      <w:iCs/>
    </w:rPr>
  </w:style>
  <w:style w:type="character" w:styleId="HTMLCode">
    <w:name w:val="HTML Code"/>
    <w:basedOn w:val="DefaultParagraphFont"/>
    <w:uiPriority w:val="99"/>
    <w:semiHidden/>
    <w:rsid w:val="00470981"/>
    <w:rPr>
      <w:rFonts w:ascii="Consolas" w:hAnsi="Consolas" w:cs="Consolas"/>
      <w:sz w:val="20"/>
      <w:szCs w:val="20"/>
    </w:rPr>
  </w:style>
  <w:style w:type="character" w:styleId="HTMLDefinition">
    <w:name w:val="HTML Definition"/>
    <w:basedOn w:val="DefaultParagraphFont"/>
    <w:uiPriority w:val="99"/>
    <w:semiHidden/>
    <w:rsid w:val="00470981"/>
    <w:rPr>
      <w:i/>
      <w:iCs/>
    </w:rPr>
  </w:style>
  <w:style w:type="character" w:styleId="HTMLKeyboard">
    <w:name w:val="HTML Keyboard"/>
    <w:basedOn w:val="DefaultParagraphFont"/>
    <w:uiPriority w:val="99"/>
    <w:semiHidden/>
    <w:rsid w:val="00470981"/>
    <w:rPr>
      <w:rFonts w:ascii="Consolas" w:hAnsi="Consolas" w:cs="Consolas"/>
      <w:sz w:val="20"/>
      <w:szCs w:val="20"/>
    </w:rPr>
  </w:style>
  <w:style w:type="paragraph" w:styleId="HTMLPreformatted">
    <w:name w:val="HTML Preformatted"/>
    <w:basedOn w:val="Normal"/>
    <w:link w:val="HTMLPreformattedChar"/>
    <w:uiPriority w:val="99"/>
    <w:semiHidden/>
    <w:rsid w:val="0047098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70981"/>
    <w:rPr>
      <w:rFonts w:ascii="Consolas" w:eastAsiaTheme="minorEastAsia" w:hAnsi="Consolas" w:cs="Consolas"/>
      <w:sz w:val="20"/>
      <w:szCs w:val="20"/>
    </w:rPr>
  </w:style>
  <w:style w:type="character" w:styleId="HTMLSample">
    <w:name w:val="HTML Sample"/>
    <w:basedOn w:val="DefaultParagraphFont"/>
    <w:uiPriority w:val="99"/>
    <w:semiHidden/>
    <w:rsid w:val="00470981"/>
    <w:rPr>
      <w:rFonts w:ascii="Consolas" w:hAnsi="Consolas" w:cs="Consolas"/>
      <w:sz w:val="24"/>
      <w:szCs w:val="24"/>
    </w:rPr>
  </w:style>
  <w:style w:type="character" w:styleId="HTMLTypewriter">
    <w:name w:val="HTML Typewriter"/>
    <w:basedOn w:val="DefaultParagraphFont"/>
    <w:uiPriority w:val="99"/>
    <w:semiHidden/>
    <w:rsid w:val="00470981"/>
    <w:rPr>
      <w:rFonts w:ascii="Consolas" w:hAnsi="Consolas" w:cs="Consolas"/>
      <w:sz w:val="20"/>
      <w:szCs w:val="20"/>
    </w:rPr>
  </w:style>
  <w:style w:type="character" w:styleId="HTMLVariable">
    <w:name w:val="HTML Variable"/>
    <w:basedOn w:val="DefaultParagraphFont"/>
    <w:uiPriority w:val="99"/>
    <w:semiHidden/>
    <w:rsid w:val="00470981"/>
    <w:rPr>
      <w:i/>
      <w:iCs/>
    </w:rPr>
  </w:style>
  <w:style w:type="paragraph" w:styleId="Index1">
    <w:name w:val="index 1"/>
    <w:basedOn w:val="Normal"/>
    <w:next w:val="Normal"/>
    <w:autoRedefine/>
    <w:uiPriority w:val="99"/>
    <w:semiHidden/>
    <w:rsid w:val="00470981"/>
    <w:pPr>
      <w:ind w:left="240" w:hanging="240"/>
    </w:pPr>
  </w:style>
  <w:style w:type="paragraph" w:styleId="Index2">
    <w:name w:val="index 2"/>
    <w:basedOn w:val="Normal"/>
    <w:next w:val="Normal"/>
    <w:autoRedefine/>
    <w:uiPriority w:val="99"/>
    <w:semiHidden/>
    <w:rsid w:val="00470981"/>
    <w:pPr>
      <w:ind w:left="480" w:hanging="240"/>
    </w:pPr>
  </w:style>
  <w:style w:type="paragraph" w:styleId="Index3">
    <w:name w:val="index 3"/>
    <w:basedOn w:val="Normal"/>
    <w:next w:val="Normal"/>
    <w:autoRedefine/>
    <w:uiPriority w:val="99"/>
    <w:semiHidden/>
    <w:rsid w:val="00470981"/>
    <w:pPr>
      <w:ind w:left="720" w:hanging="240"/>
    </w:pPr>
  </w:style>
  <w:style w:type="paragraph" w:styleId="Index4">
    <w:name w:val="index 4"/>
    <w:basedOn w:val="Normal"/>
    <w:next w:val="Normal"/>
    <w:autoRedefine/>
    <w:uiPriority w:val="99"/>
    <w:semiHidden/>
    <w:rsid w:val="00470981"/>
    <w:pPr>
      <w:ind w:left="960" w:hanging="240"/>
    </w:pPr>
  </w:style>
  <w:style w:type="paragraph" w:styleId="Index5">
    <w:name w:val="index 5"/>
    <w:basedOn w:val="Normal"/>
    <w:next w:val="Normal"/>
    <w:autoRedefine/>
    <w:uiPriority w:val="99"/>
    <w:semiHidden/>
    <w:rsid w:val="00470981"/>
    <w:pPr>
      <w:ind w:left="1200" w:hanging="240"/>
    </w:pPr>
  </w:style>
  <w:style w:type="paragraph" w:styleId="Index6">
    <w:name w:val="index 6"/>
    <w:basedOn w:val="Normal"/>
    <w:next w:val="Normal"/>
    <w:autoRedefine/>
    <w:uiPriority w:val="99"/>
    <w:semiHidden/>
    <w:rsid w:val="00470981"/>
    <w:pPr>
      <w:ind w:left="1440" w:hanging="240"/>
    </w:pPr>
  </w:style>
  <w:style w:type="paragraph" w:styleId="Index7">
    <w:name w:val="index 7"/>
    <w:basedOn w:val="Normal"/>
    <w:next w:val="Normal"/>
    <w:autoRedefine/>
    <w:uiPriority w:val="99"/>
    <w:semiHidden/>
    <w:rsid w:val="00470981"/>
    <w:pPr>
      <w:ind w:left="1680" w:hanging="240"/>
    </w:pPr>
  </w:style>
  <w:style w:type="paragraph" w:styleId="Index8">
    <w:name w:val="index 8"/>
    <w:basedOn w:val="Normal"/>
    <w:next w:val="Normal"/>
    <w:autoRedefine/>
    <w:uiPriority w:val="99"/>
    <w:semiHidden/>
    <w:rsid w:val="00470981"/>
    <w:pPr>
      <w:ind w:left="1920" w:hanging="240"/>
    </w:pPr>
  </w:style>
  <w:style w:type="paragraph" w:styleId="Index9">
    <w:name w:val="index 9"/>
    <w:basedOn w:val="Normal"/>
    <w:next w:val="Normal"/>
    <w:autoRedefine/>
    <w:uiPriority w:val="99"/>
    <w:semiHidden/>
    <w:rsid w:val="00470981"/>
    <w:pPr>
      <w:ind w:left="2160" w:hanging="240"/>
    </w:pPr>
  </w:style>
  <w:style w:type="paragraph" w:styleId="IndexHeading">
    <w:name w:val="index heading"/>
    <w:basedOn w:val="Normal"/>
    <w:next w:val="Index1"/>
    <w:uiPriority w:val="99"/>
    <w:semiHidden/>
    <w:rsid w:val="00470981"/>
    <w:rPr>
      <w:rFonts w:asciiTheme="majorHAnsi" w:eastAsiaTheme="majorEastAsia" w:hAnsiTheme="majorHAnsi" w:cstheme="majorBidi"/>
      <w:b/>
      <w:bCs/>
    </w:rPr>
  </w:style>
  <w:style w:type="table" w:styleId="LightGrid">
    <w:name w:val="Light Grid"/>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470981"/>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470981"/>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470981"/>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470981"/>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470981"/>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470981"/>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470981"/>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70981"/>
  </w:style>
  <w:style w:type="paragraph" w:styleId="List">
    <w:name w:val="List"/>
    <w:basedOn w:val="Normal"/>
    <w:uiPriority w:val="99"/>
    <w:semiHidden/>
    <w:rsid w:val="00470981"/>
    <w:pPr>
      <w:ind w:left="283" w:hanging="283"/>
      <w:contextualSpacing/>
    </w:pPr>
  </w:style>
  <w:style w:type="paragraph" w:styleId="List2">
    <w:name w:val="List 2"/>
    <w:basedOn w:val="Normal"/>
    <w:uiPriority w:val="99"/>
    <w:semiHidden/>
    <w:rsid w:val="00470981"/>
    <w:pPr>
      <w:ind w:left="566" w:hanging="283"/>
      <w:contextualSpacing/>
    </w:pPr>
  </w:style>
  <w:style w:type="paragraph" w:styleId="List3">
    <w:name w:val="List 3"/>
    <w:basedOn w:val="Normal"/>
    <w:uiPriority w:val="99"/>
    <w:semiHidden/>
    <w:rsid w:val="00470981"/>
    <w:pPr>
      <w:ind w:left="849" w:hanging="283"/>
      <w:contextualSpacing/>
    </w:pPr>
  </w:style>
  <w:style w:type="paragraph" w:styleId="List4">
    <w:name w:val="List 4"/>
    <w:basedOn w:val="Normal"/>
    <w:uiPriority w:val="99"/>
    <w:semiHidden/>
    <w:rsid w:val="00470981"/>
    <w:pPr>
      <w:ind w:left="1132" w:hanging="283"/>
      <w:contextualSpacing/>
    </w:pPr>
  </w:style>
  <w:style w:type="paragraph" w:styleId="List5">
    <w:name w:val="List 5"/>
    <w:basedOn w:val="Normal"/>
    <w:uiPriority w:val="99"/>
    <w:semiHidden/>
    <w:rsid w:val="00470981"/>
    <w:pPr>
      <w:ind w:left="1415" w:hanging="283"/>
      <w:contextualSpacing/>
    </w:pPr>
  </w:style>
  <w:style w:type="paragraph" w:styleId="ListBullet2">
    <w:name w:val="List Bullet 2"/>
    <w:basedOn w:val="Normal"/>
    <w:uiPriority w:val="99"/>
    <w:semiHidden/>
    <w:rsid w:val="00470981"/>
    <w:pPr>
      <w:numPr>
        <w:numId w:val="1"/>
      </w:numPr>
      <w:contextualSpacing/>
    </w:pPr>
  </w:style>
  <w:style w:type="paragraph" w:styleId="ListBullet3">
    <w:name w:val="List Bullet 3"/>
    <w:basedOn w:val="Normal"/>
    <w:uiPriority w:val="99"/>
    <w:semiHidden/>
    <w:rsid w:val="00470981"/>
    <w:pPr>
      <w:numPr>
        <w:numId w:val="2"/>
      </w:numPr>
      <w:contextualSpacing/>
    </w:pPr>
  </w:style>
  <w:style w:type="paragraph" w:styleId="ListBullet4">
    <w:name w:val="List Bullet 4"/>
    <w:basedOn w:val="Normal"/>
    <w:uiPriority w:val="99"/>
    <w:semiHidden/>
    <w:rsid w:val="00470981"/>
    <w:pPr>
      <w:numPr>
        <w:numId w:val="8"/>
      </w:numPr>
      <w:contextualSpacing/>
    </w:pPr>
  </w:style>
  <w:style w:type="paragraph" w:styleId="ListBullet5">
    <w:name w:val="List Bullet 5"/>
    <w:basedOn w:val="Normal"/>
    <w:uiPriority w:val="99"/>
    <w:semiHidden/>
    <w:rsid w:val="00470981"/>
    <w:pPr>
      <w:numPr>
        <w:numId w:val="3"/>
      </w:numPr>
      <w:contextualSpacing/>
    </w:pPr>
  </w:style>
  <w:style w:type="paragraph" w:styleId="ListContinue">
    <w:name w:val="List Continue"/>
    <w:basedOn w:val="Normal"/>
    <w:uiPriority w:val="99"/>
    <w:semiHidden/>
    <w:rsid w:val="00470981"/>
    <w:pPr>
      <w:spacing w:after="120"/>
      <w:ind w:left="283"/>
      <w:contextualSpacing/>
    </w:pPr>
  </w:style>
  <w:style w:type="paragraph" w:styleId="ListContinue2">
    <w:name w:val="List Continue 2"/>
    <w:basedOn w:val="Normal"/>
    <w:uiPriority w:val="99"/>
    <w:semiHidden/>
    <w:rsid w:val="00470981"/>
    <w:pPr>
      <w:spacing w:after="120"/>
      <w:ind w:left="566"/>
      <w:contextualSpacing/>
    </w:pPr>
  </w:style>
  <w:style w:type="paragraph" w:styleId="ListContinue3">
    <w:name w:val="List Continue 3"/>
    <w:basedOn w:val="Normal"/>
    <w:uiPriority w:val="99"/>
    <w:semiHidden/>
    <w:rsid w:val="00470981"/>
    <w:pPr>
      <w:spacing w:after="120"/>
      <w:ind w:left="849"/>
      <w:contextualSpacing/>
    </w:pPr>
  </w:style>
  <w:style w:type="paragraph" w:styleId="ListContinue4">
    <w:name w:val="List Continue 4"/>
    <w:basedOn w:val="Normal"/>
    <w:uiPriority w:val="99"/>
    <w:semiHidden/>
    <w:rsid w:val="00470981"/>
    <w:pPr>
      <w:spacing w:after="120"/>
      <w:ind w:left="1132"/>
      <w:contextualSpacing/>
    </w:pPr>
  </w:style>
  <w:style w:type="paragraph" w:styleId="ListContinue5">
    <w:name w:val="List Continue 5"/>
    <w:basedOn w:val="Normal"/>
    <w:uiPriority w:val="99"/>
    <w:semiHidden/>
    <w:rsid w:val="00470981"/>
    <w:pPr>
      <w:spacing w:after="120"/>
      <w:ind w:left="1415"/>
      <w:contextualSpacing/>
    </w:pPr>
  </w:style>
  <w:style w:type="paragraph" w:styleId="ListNumber">
    <w:name w:val="List Number"/>
    <w:basedOn w:val="Normal"/>
    <w:uiPriority w:val="99"/>
    <w:semiHidden/>
    <w:rsid w:val="00470981"/>
    <w:pPr>
      <w:tabs>
        <w:tab w:val="num" w:pos="360"/>
      </w:tabs>
      <w:ind w:left="360" w:hanging="360"/>
      <w:contextualSpacing/>
    </w:pPr>
  </w:style>
  <w:style w:type="paragraph" w:styleId="ListNumber2">
    <w:name w:val="List Number 2"/>
    <w:basedOn w:val="Normal"/>
    <w:uiPriority w:val="99"/>
    <w:semiHidden/>
    <w:rsid w:val="00470981"/>
    <w:pPr>
      <w:numPr>
        <w:numId w:val="9"/>
      </w:numPr>
      <w:contextualSpacing/>
    </w:pPr>
  </w:style>
  <w:style w:type="paragraph" w:styleId="ListNumber3">
    <w:name w:val="List Number 3"/>
    <w:basedOn w:val="Normal"/>
    <w:uiPriority w:val="99"/>
    <w:semiHidden/>
    <w:rsid w:val="00470981"/>
    <w:pPr>
      <w:numPr>
        <w:numId w:val="10"/>
      </w:numPr>
      <w:contextualSpacing/>
    </w:pPr>
  </w:style>
  <w:style w:type="paragraph" w:styleId="ListNumber4">
    <w:name w:val="List Number 4"/>
    <w:basedOn w:val="Normal"/>
    <w:uiPriority w:val="99"/>
    <w:semiHidden/>
    <w:rsid w:val="00470981"/>
    <w:pPr>
      <w:numPr>
        <w:numId w:val="11"/>
      </w:numPr>
      <w:contextualSpacing/>
    </w:pPr>
  </w:style>
  <w:style w:type="paragraph" w:styleId="ListNumber5">
    <w:name w:val="List Number 5"/>
    <w:basedOn w:val="Normal"/>
    <w:uiPriority w:val="99"/>
    <w:semiHidden/>
    <w:rsid w:val="00470981"/>
    <w:pPr>
      <w:numPr>
        <w:numId w:val="12"/>
      </w:numPr>
      <w:contextualSpacing/>
    </w:pPr>
  </w:style>
  <w:style w:type="paragraph" w:styleId="MacroText">
    <w:name w:val="macro"/>
    <w:link w:val="MacroTextChar"/>
    <w:uiPriority w:val="99"/>
    <w:semiHidden/>
    <w:rsid w:val="00470981"/>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470981"/>
    <w:rPr>
      <w:rFonts w:ascii="Consolas" w:hAnsi="Consolas" w:cs="Consolas"/>
      <w:sz w:val="20"/>
      <w:szCs w:val="20"/>
      <w:lang w:val="en-GB" w:eastAsia="fr-FR"/>
    </w:rPr>
  </w:style>
  <w:style w:type="table" w:styleId="MediumGrid1">
    <w:name w:val="Medium Grid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470981"/>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470981"/>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470981"/>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470981"/>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470981"/>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7098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7098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70981"/>
    <w:rPr>
      <w:rFonts w:ascii="Times New Roman" w:hAnsi="Times New Roman" w:cs="Times New Roman"/>
      <w:szCs w:val="24"/>
    </w:rPr>
  </w:style>
  <w:style w:type="paragraph" w:styleId="NormalIndent">
    <w:name w:val="Normal Indent"/>
    <w:basedOn w:val="Normal"/>
    <w:uiPriority w:val="99"/>
    <w:semiHidden/>
    <w:rsid w:val="00470981"/>
    <w:pPr>
      <w:ind w:left="720"/>
    </w:pPr>
  </w:style>
  <w:style w:type="paragraph" w:styleId="NoteHeading">
    <w:name w:val="Note Heading"/>
    <w:basedOn w:val="Normal"/>
    <w:next w:val="Normal"/>
    <w:link w:val="NoteHeadingChar"/>
    <w:uiPriority w:val="99"/>
    <w:semiHidden/>
    <w:rsid w:val="00470981"/>
  </w:style>
  <w:style w:type="character" w:customStyle="1" w:styleId="NoteHeadingChar">
    <w:name w:val="Note Heading Char"/>
    <w:basedOn w:val="DefaultParagraphFont"/>
    <w:link w:val="NoteHeading"/>
    <w:uiPriority w:val="99"/>
    <w:semiHidden/>
    <w:rsid w:val="00470981"/>
    <w:rPr>
      <w:rFonts w:eastAsiaTheme="minorEastAsia"/>
      <w:sz w:val="24"/>
    </w:rPr>
  </w:style>
  <w:style w:type="character" w:styleId="PlaceholderText">
    <w:name w:val="Placeholder Text"/>
    <w:basedOn w:val="DefaultParagraphFont"/>
    <w:uiPriority w:val="99"/>
    <w:semiHidden/>
    <w:rsid w:val="007D338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70981"/>
    <w:rPr>
      <w:rFonts w:ascii="Consolas" w:hAnsi="Consolas" w:cs="Consolas"/>
      <w:sz w:val="21"/>
      <w:szCs w:val="21"/>
    </w:rPr>
  </w:style>
  <w:style w:type="character" w:customStyle="1" w:styleId="PlainTextChar">
    <w:name w:val="Plain Text Char"/>
    <w:basedOn w:val="DefaultParagraphFont"/>
    <w:link w:val="PlainText"/>
    <w:uiPriority w:val="99"/>
    <w:semiHidden/>
    <w:rsid w:val="00470981"/>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470981"/>
  </w:style>
  <w:style w:type="character" w:customStyle="1" w:styleId="SalutationChar">
    <w:name w:val="Salutation Char"/>
    <w:basedOn w:val="DefaultParagraphFont"/>
    <w:link w:val="Salutation"/>
    <w:uiPriority w:val="99"/>
    <w:semiHidden/>
    <w:rsid w:val="00470981"/>
    <w:rPr>
      <w:rFonts w:eastAsiaTheme="minorEastAsia"/>
      <w:sz w:val="24"/>
    </w:rPr>
  </w:style>
  <w:style w:type="paragraph" w:styleId="Signature">
    <w:name w:val="Signature"/>
    <w:basedOn w:val="Normal"/>
    <w:link w:val="SignatureChar"/>
    <w:uiPriority w:val="99"/>
    <w:semiHidden/>
    <w:rsid w:val="00470981"/>
    <w:pPr>
      <w:ind w:left="4252"/>
    </w:pPr>
  </w:style>
  <w:style w:type="character" w:customStyle="1" w:styleId="SignatureChar">
    <w:name w:val="Signature Char"/>
    <w:basedOn w:val="DefaultParagraphFont"/>
    <w:link w:val="Signature"/>
    <w:uiPriority w:val="99"/>
    <w:semiHidden/>
    <w:rsid w:val="00470981"/>
    <w:rPr>
      <w:rFonts w:eastAsiaTheme="minorEastAsia"/>
      <w:sz w:val="24"/>
    </w:rPr>
  </w:style>
  <w:style w:type="table" w:styleId="Table3Deffects1">
    <w:name w:val="Table 3D effects 1"/>
    <w:basedOn w:val="TableNormal"/>
    <w:uiPriority w:val="99"/>
    <w:semiHidden/>
    <w:rsid w:val="00470981"/>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70981"/>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70981"/>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70981"/>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70981"/>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70981"/>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70981"/>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70981"/>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70981"/>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70981"/>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70981"/>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70981"/>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70981"/>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70981"/>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70981"/>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70981"/>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70981"/>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70981"/>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70981"/>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70981"/>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70981"/>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70981"/>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70981"/>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70981"/>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70981"/>
    <w:pPr>
      <w:ind w:left="240" w:hanging="240"/>
    </w:pPr>
  </w:style>
  <w:style w:type="paragraph" w:styleId="TableofFigures">
    <w:name w:val="table of figures"/>
    <w:basedOn w:val="Normal"/>
    <w:next w:val="Normal"/>
    <w:uiPriority w:val="99"/>
    <w:semiHidden/>
    <w:rsid w:val="00470981"/>
  </w:style>
  <w:style w:type="table" w:styleId="TableProfessional">
    <w:name w:val="Table Professional"/>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70981"/>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70981"/>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70981"/>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70981"/>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70981"/>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70981"/>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70981"/>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70981"/>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38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38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70981"/>
    <w:pPr>
      <w:spacing w:after="100"/>
      <w:ind w:left="1680"/>
    </w:pPr>
  </w:style>
  <w:style w:type="paragraph" w:styleId="TOC9">
    <w:name w:val="toc 9"/>
    <w:basedOn w:val="Normal"/>
    <w:next w:val="Normal"/>
    <w:autoRedefine/>
    <w:uiPriority w:val="99"/>
    <w:semiHidden/>
    <w:rsid w:val="00470981"/>
    <w:pPr>
      <w:spacing w:after="100"/>
      <w:ind w:left="1920"/>
    </w:pPr>
  </w:style>
  <w:style w:type="paragraph" w:customStyle="1" w:styleId="OpiHA0">
    <w:name w:val="Opi_H_A"/>
    <w:basedOn w:val="ECHRHeading1"/>
    <w:next w:val="OpiPara"/>
    <w:uiPriority w:val="41"/>
    <w:qFormat/>
    <w:rsid w:val="007D338C"/>
    <w:pPr>
      <w:tabs>
        <w:tab w:val="clear" w:pos="357"/>
      </w:tabs>
      <w:outlineLvl w:val="1"/>
    </w:pPr>
    <w:rPr>
      <w:b/>
    </w:rPr>
  </w:style>
  <w:style w:type="paragraph" w:customStyle="1" w:styleId="OpiHi">
    <w:name w:val="Opi_H_i"/>
    <w:basedOn w:val="ECHRHeading4"/>
    <w:uiPriority w:val="44"/>
    <w:qFormat/>
    <w:rsid w:val="007D338C"/>
    <w:pPr>
      <w:ind w:left="1037" w:hanging="357"/>
      <w:outlineLvl w:val="4"/>
    </w:pPr>
    <w:rPr>
      <w:b w:val="0"/>
      <w:i/>
    </w:rPr>
  </w:style>
  <w:style w:type="paragraph" w:customStyle="1" w:styleId="OpiPara">
    <w:name w:val="Opi_Para"/>
    <w:basedOn w:val="ECHRPara"/>
    <w:uiPriority w:val="46"/>
    <w:qFormat/>
    <w:rsid w:val="007D338C"/>
  </w:style>
  <w:style w:type="paragraph" w:customStyle="1" w:styleId="OpiParaSub">
    <w:name w:val="Opi_Para_Sub"/>
    <w:basedOn w:val="JuParaSub"/>
    <w:uiPriority w:val="47"/>
    <w:qFormat/>
    <w:rsid w:val="007D338C"/>
  </w:style>
  <w:style w:type="paragraph" w:customStyle="1" w:styleId="OpiQuot">
    <w:name w:val="Opi_Quot"/>
    <w:basedOn w:val="ECHRParaQuote"/>
    <w:uiPriority w:val="48"/>
    <w:qFormat/>
    <w:rsid w:val="007D338C"/>
  </w:style>
  <w:style w:type="paragraph" w:customStyle="1" w:styleId="OpiQuotSub">
    <w:name w:val="Opi_Quot_Sub"/>
    <w:basedOn w:val="JuQuotSub"/>
    <w:uiPriority w:val="49"/>
    <w:qFormat/>
    <w:rsid w:val="007D338C"/>
  </w:style>
  <w:style w:type="paragraph" w:customStyle="1" w:styleId="OpiTranslation">
    <w:name w:val="Opi_Translation"/>
    <w:basedOn w:val="Normal"/>
    <w:next w:val="OpiPara"/>
    <w:uiPriority w:val="40"/>
    <w:qFormat/>
    <w:rsid w:val="007D338C"/>
    <w:pPr>
      <w:jc w:val="center"/>
      <w:outlineLvl w:val="0"/>
    </w:pPr>
    <w:rPr>
      <w:i/>
    </w:rPr>
  </w:style>
  <w:style w:type="character" w:customStyle="1" w:styleId="ECHRParaChar">
    <w:name w:val="ECHR_Para Char"/>
    <w:aliases w:val="Ju_Para Char"/>
    <w:link w:val="ECHRPara"/>
    <w:uiPriority w:val="12"/>
    <w:rsid w:val="004E09EE"/>
    <w:rPr>
      <w:rFonts w:eastAsiaTheme="minorEastAsia"/>
      <w:sz w:val="24"/>
      <w:lang w:val="en-GB"/>
    </w:rPr>
  </w:style>
  <w:style w:type="paragraph" w:customStyle="1" w:styleId="JuHeaderLandscape">
    <w:name w:val="Ju_Header_Landscape"/>
    <w:basedOn w:val="ECHRHeader"/>
    <w:uiPriority w:val="4"/>
    <w:qFormat/>
    <w:rsid w:val="007D338C"/>
    <w:pPr>
      <w:tabs>
        <w:tab w:val="clear" w:pos="3686"/>
        <w:tab w:val="clear" w:pos="7371"/>
        <w:tab w:val="center" w:pos="6146"/>
        <w:tab w:val="right" w:pos="1229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43560">
      <w:bodyDiv w:val="1"/>
      <w:marLeft w:val="0"/>
      <w:marRight w:val="0"/>
      <w:marTop w:val="0"/>
      <w:marBottom w:val="0"/>
      <w:divBdr>
        <w:top w:val="none" w:sz="0" w:space="0" w:color="auto"/>
        <w:left w:val="none" w:sz="0" w:space="0" w:color="auto"/>
        <w:bottom w:val="none" w:sz="0" w:space="0" w:color="auto"/>
        <w:right w:val="none" w:sz="0" w:space="0" w:color="auto"/>
      </w:divBdr>
      <w:divsChild>
        <w:div w:id="233315944">
          <w:marLeft w:val="0"/>
          <w:marRight w:val="0"/>
          <w:marTop w:val="0"/>
          <w:marBottom w:val="0"/>
          <w:divBdr>
            <w:top w:val="none" w:sz="0" w:space="0" w:color="auto"/>
            <w:left w:val="none" w:sz="0" w:space="0" w:color="auto"/>
            <w:bottom w:val="none" w:sz="0" w:space="0" w:color="auto"/>
            <w:right w:val="none" w:sz="0" w:space="0" w:color="auto"/>
          </w:divBdr>
          <w:divsChild>
            <w:div w:id="862130801">
              <w:marLeft w:val="0"/>
              <w:marRight w:val="0"/>
              <w:marTop w:val="0"/>
              <w:marBottom w:val="0"/>
              <w:divBdr>
                <w:top w:val="none" w:sz="0" w:space="0" w:color="auto"/>
                <w:left w:val="none" w:sz="0" w:space="0" w:color="auto"/>
                <w:bottom w:val="none" w:sz="0" w:space="0" w:color="auto"/>
                <w:right w:val="none" w:sz="0" w:space="0" w:color="auto"/>
              </w:divBdr>
              <w:divsChild>
                <w:div w:id="627976623">
                  <w:marLeft w:val="0"/>
                  <w:marRight w:val="0"/>
                  <w:marTop w:val="0"/>
                  <w:marBottom w:val="0"/>
                  <w:divBdr>
                    <w:top w:val="none" w:sz="0" w:space="0" w:color="auto"/>
                    <w:left w:val="none" w:sz="0" w:space="0" w:color="auto"/>
                    <w:bottom w:val="none" w:sz="0" w:space="0" w:color="auto"/>
                    <w:right w:val="none" w:sz="0" w:space="0" w:color="auto"/>
                  </w:divBdr>
                  <w:divsChild>
                    <w:div w:id="1570768857">
                      <w:marLeft w:val="0"/>
                      <w:marRight w:val="0"/>
                      <w:marTop w:val="0"/>
                      <w:marBottom w:val="0"/>
                      <w:divBdr>
                        <w:top w:val="none" w:sz="0" w:space="0" w:color="auto"/>
                        <w:left w:val="none" w:sz="0" w:space="0" w:color="auto"/>
                        <w:bottom w:val="none" w:sz="0" w:space="0" w:color="auto"/>
                        <w:right w:val="none" w:sz="0" w:space="0" w:color="auto"/>
                      </w:divBdr>
                      <w:divsChild>
                        <w:div w:id="26024731">
                          <w:marLeft w:val="0"/>
                          <w:marRight w:val="0"/>
                          <w:marTop w:val="0"/>
                          <w:marBottom w:val="0"/>
                          <w:divBdr>
                            <w:top w:val="none" w:sz="0" w:space="0" w:color="auto"/>
                            <w:left w:val="none" w:sz="0" w:space="0" w:color="auto"/>
                            <w:bottom w:val="none" w:sz="0" w:space="0" w:color="auto"/>
                            <w:right w:val="none" w:sz="0" w:space="0" w:color="auto"/>
                          </w:divBdr>
                          <w:divsChild>
                            <w:div w:id="100822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D50AE1-B9FF-45B5-A659-DBED7CCF1B97}"/>
</file>

<file path=customXml/itemProps2.xml><?xml version="1.0" encoding="utf-8"?>
<ds:datastoreItem xmlns:ds="http://schemas.openxmlformats.org/officeDocument/2006/customXml" ds:itemID="{14B08EBF-8ACD-4250-A701-A88252DDDD78}"/>
</file>

<file path=customXml/itemProps3.xml><?xml version="1.0" encoding="utf-8"?>
<ds:datastoreItem xmlns:ds="http://schemas.openxmlformats.org/officeDocument/2006/customXml" ds:itemID="{7DCC862B-6689-4915-9AF9-41971D645C8D}"/>
</file>

<file path=customXml/itemProps4.xml><?xml version="1.0" encoding="utf-8"?>
<ds:datastoreItem xmlns:ds="http://schemas.openxmlformats.org/officeDocument/2006/customXml" ds:itemID="{C514DDFC-0BFE-44C8-ABA3-F31C9422FCAD}"/>
</file>

<file path=docProps/app.xml><?xml version="1.0" encoding="utf-8"?>
<Properties xmlns="http://schemas.openxmlformats.org/officeDocument/2006/extended-properties" xmlns:vt="http://schemas.openxmlformats.org/officeDocument/2006/docPropsVTypes">
  <Template>Normal.dotm</Template>
  <TotalTime>0</TotalTime>
  <Pages>1</Pages>
  <Words>2810</Words>
  <Characters>16018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2020-08-06T12:47:00Z</dcterms:created>
  <dcterms:modified xsi:type="dcterms:W3CDTF">2020-08-06T12:47:00Z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63481/11</vt:lpwstr>
  </property>
  <property fmtid="{D5CDD505-2E9C-101B-9397-08002B2CF9AE}" pid="4" name="CASEID">
    <vt:lpwstr>752985</vt:lpwstr>
  </property>
  <property fmtid="{D5CDD505-2E9C-101B-9397-08002B2CF9AE}" pid="5" name="ContentTypeId">
    <vt:lpwstr>0x010100558EB02BDB9E204AB350EDD385B68E10</vt:lpwstr>
  </property>
</Properties>
</file>