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C7D0A" w:rsidR="00DE61E0" w:rsidP="00DC7D0A" w:rsidRDefault="00DE61E0">
      <w:pPr>
        <w:jc w:val="center"/>
      </w:pPr>
    </w:p>
    <w:p w:rsidRPr="00DC7D0A" w:rsidR="009B114D" w:rsidP="00DC7D0A" w:rsidRDefault="009B114D">
      <w:pPr>
        <w:jc w:val="center"/>
      </w:pPr>
    </w:p>
    <w:p w:rsidRPr="00DC7D0A" w:rsidR="009B114D" w:rsidP="00DC7D0A" w:rsidRDefault="009B114D">
      <w:pPr>
        <w:jc w:val="center"/>
      </w:pPr>
    </w:p>
    <w:p w:rsidRPr="00DC7D0A" w:rsidR="00DE61E0" w:rsidP="00DC7D0A" w:rsidRDefault="00B3036D">
      <w:pPr>
        <w:jc w:val="center"/>
      </w:pPr>
      <w:r w:rsidRPr="00DC7D0A">
        <w:t>FIRST SECTION</w:t>
      </w:r>
    </w:p>
    <w:p w:rsidRPr="00DC7D0A" w:rsidR="00DE61E0" w:rsidP="00DC7D0A" w:rsidRDefault="00DE61E0">
      <w:pPr>
        <w:jc w:val="center"/>
      </w:pPr>
    </w:p>
    <w:p w:rsidRPr="00DC7D0A" w:rsidR="009B114D" w:rsidP="00DC7D0A" w:rsidRDefault="009B114D">
      <w:pPr>
        <w:jc w:val="center"/>
      </w:pPr>
    </w:p>
    <w:p w:rsidRPr="00DC7D0A" w:rsidR="009B114D" w:rsidP="00DC7D0A" w:rsidRDefault="009B114D">
      <w:pPr>
        <w:jc w:val="center"/>
      </w:pPr>
    </w:p>
    <w:p w:rsidRPr="00DC7D0A" w:rsidR="009B114D" w:rsidP="00DC7D0A" w:rsidRDefault="009B114D">
      <w:pPr>
        <w:jc w:val="center"/>
      </w:pPr>
    </w:p>
    <w:p w:rsidRPr="00DC7D0A" w:rsidR="009B114D" w:rsidP="00DC7D0A" w:rsidRDefault="009B114D">
      <w:pPr>
        <w:jc w:val="center"/>
      </w:pPr>
    </w:p>
    <w:p w:rsidRPr="00DC7D0A" w:rsidR="00DC7D0A" w:rsidP="00DC7D0A" w:rsidRDefault="00DC7D0A">
      <w:pPr>
        <w:jc w:val="center"/>
      </w:pPr>
    </w:p>
    <w:p w:rsidRPr="00DC7D0A" w:rsidR="009B114D" w:rsidP="00DC7D0A" w:rsidRDefault="009B114D">
      <w:pPr>
        <w:jc w:val="center"/>
      </w:pPr>
    </w:p>
    <w:p w:rsidRPr="00DC7D0A" w:rsidR="00DE61E0" w:rsidP="00DC7D0A" w:rsidRDefault="00DE61E0">
      <w:pPr>
        <w:jc w:val="center"/>
        <w:rPr>
          <w:b/>
        </w:rPr>
      </w:pPr>
      <w:bookmarkStart w:name="To" w:id="0"/>
      <w:r w:rsidRPr="00DC7D0A">
        <w:rPr>
          <w:b/>
        </w:rPr>
        <w:t xml:space="preserve">CASE OF </w:t>
      </w:r>
      <w:bookmarkEnd w:id="0"/>
      <w:r w:rsidRPr="00DC7D0A" w:rsidR="00B3036D">
        <w:rPr>
          <w:b/>
        </w:rPr>
        <w:t>ZIAJA v. POLAND</w:t>
      </w:r>
    </w:p>
    <w:p w:rsidRPr="00DC7D0A" w:rsidR="00DE61E0" w:rsidP="00DC7D0A" w:rsidRDefault="00DE61E0">
      <w:pPr>
        <w:jc w:val="center"/>
      </w:pPr>
    </w:p>
    <w:p w:rsidRPr="00DC7D0A" w:rsidR="00DE61E0" w:rsidP="00DC7D0A" w:rsidRDefault="00DE61E0">
      <w:pPr>
        <w:jc w:val="center"/>
        <w:rPr>
          <w:i/>
        </w:rPr>
      </w:pPr>
      <w:r w:rsidRPr="00DC7D0A">
        <w:rPr>
          <w:i/>
        </w:rPr>
        <w:t>(</w:t>
      </w:r>
      <w:r w:rsidRPr="00DC7D0A" w:rsidR="00B3036D">
        <w:rPr>
          <w:i/>
        </w:rPr>
        <w:t>Application no. 45751/10</w:t>
      </w:r>
      <w:r w:rsidRPr="00DC7D0A">
        <w:rPr>
          <w:i/>
        </w:rPr>
        <w:t>)</w:t>
      </w:r>
    </w:p>
    <w:p w:rsidRPr="00DC7D0A" w:rsidR="00DE61E0" w:rsidP="00DC7D0A" w:rsidRDefault="00DE61E0">
      <w:pPr>
        <w:jc w:val="center"/>
      </w:pPr>
    </w:p>
    <w:p w:rsidRPr="00DC7D0A" w:rsidR="00DE61E0" w:rsidP="00DC7D0A" w:rsidRDefault="00DE61E0">
      <w:pPr>
        <w:jc w:val="center"/>
        <w:rPr>
          <w:szCs w:val="24"/>
        </w:rPr>
      </w:pPr>
    </w:p>
    <w:p w:rsidRPr="00DC7D0A" w:rsidR="00DE61E0" w:rsidP="00DC7D0A" w:rsidRDefault="00DE61E0">
      <w:pPr>
        <w:jc w:val="center"/>
        <w:rPr>
          <w:szCs w:val="24"/>
        </w:rPr>
      </w:pPr>
    </w:p>
    <w:p w:rsidRPr="00DC7D0A" w:rsidR="00DE61E0" w:rsidP="00DC7D0A" w:rsidRDefault="00DE61E0">
      <w:pPr>
        <w:jc w:val="center"/>
        <w:rPr>
          <w:szCs w:val="24"/>
        </w:rPr>
      </w:pPr>
    </w:p>
    <w:p w:rsidRPr="00DC7D0A" w:rsidR="00222F0C" w:rsidP="00DC7D0A" w:rsidRDefault="00222F0C">
      <w:pPr>
        <w:jc w:val="center"/>
        <w:rPr>
          <w:szCs w:val="24"/>
        </w:rPr>
      </w:pPr>
    </w:p>
    <w:p w:rsidRPr="00DC7D0A" w:rsidR="00222F0C" w:rsidP="00DC7D0A" w:rsidRDefault="00222F0C">
      <w:pPr>
        <w:jc w:val="center"/>
        <w:rPr>
          <w:szCs w:val="24"/>
        </w:rPr>
      </w:pPr>
    </w:p>
    <w:p w:rsidRPr="00DC7D0A" w:rsidR="00222F0C" w:rsidP="00DC7D0A" w:rsidRDefault="00222F0C">
      <w:pPr>
        <w:jc w:val="center"/>
        <w:rPr>
          <w:szCs w:val="24"/>
        </w:rPr>
      </w:pPr>
    </w:p>
    <w:p w:rsidRPr="00DC7D0A" w:rsidR="00222F0C" w:rsidP="00DC7D0A" w:rsidRDefault="00222F0C">
      <w:pPr>
        <w:jc w:val="center"/>
        <w:rPr>
          <w:szCs w:val="24"/>
        </w:rPr>
      </w:pPr>
    </w:p>
    <w:p w:rsidRPr="00DC7D0A" w:rsidR="00DE61E0" w:rsidP="00DC7D0A" w:rsidRDefault="009B114D">
      <w:pPr>
        <w:jc w:val="center"/>
        <w:rPr>
          <w:szCs w:val="24"/>
        </w:rPr>
      </w:pPr>
      <w:r w:rsidRPr="00DC7D0A">
        <w:rPr>
          <w:szCs w:val="24"/>
        </w:rPr>
        <w:t>JUDGMENT</w:t>
      </w:r>
    </w:p>
    <w:p w:rsidRPr="00DC7D0A" w:rsidR="009B114D" w:rsidP="00DC7D0A" w:rsidRDefault="009B114D">
      <w:pPr>
        <w:pStyle w:val="JuCase"/>
        <w:ind w:firstLine="0"/>
        <w:jc w:val="center"/>
        <w:rPr>
          <w:b w:val="0"/>
        </w:rPr>
      </w:pPr>
    </w:p>
    <w:p w:rsidRPr="00DC7D0A" w:rsidR="009B114D" w:rsidP="00DC7D0A" w:rsidRDefault="009B114D">
      <w:pPr>
        <w:pStyle w:val="JuCase"/>
        <w:ind w:firstLine="0"/>
        <w:jc w:val="center"/>
        <w:rPr>
          <w:b w:val="0"/>
        </w:rPr>
      </w:pPr>
    </w:p>
    <w:p w:rsidRPr="00DC7D0A" w:rsidR="009B114D" w:rsidP="00DC7D0A" w:rsidRDefault="009B114D">
      <w:pPr>
        <w:pStyle w:val="JuCase"/>
        <w:ind w:firstLine="0"/>
        <w:jc w:val="center"/>
        <w:rPr>
          <w:b w:val="0"/>
        </w:rPr>
      </w:pPr>
      <w:r w:rsidRPr="00DC7D0A">
        <w:rPr>
          <w:b w:val="0"/>
        </w:rPr>
        <w:t>STRASBOURG</w:t>
      </w:r>
    </w:p>
    <w:p w:rsidRPr="00DC7D0A" w:rsidR="009B114D" w:rsidP="00DC7D0A" w:rsidRDefault="009B114D">
      <w:pPr>
        <w:pStyle w:val="JuCase"/>
        <w:ind w:firstLine="0"/>
        <w:jc w:val="center"/>
        <w:rPr>
          <w:b w:val="0"/>
        </w:rPr>
      </w:pPr>
    </w:p>
    <w:p w:rsidRPr="00DC7D0A" w:rsidR="009B114D" w:rsidP="00DC7D0A" w:rsidRDefault="009B114D">
      <w:pPr>
        <w:pStyle w:val="JuCase"/>
        <w:ind w:firstLine="0"/>
        <w:jc w:val="center"/>
        <w:rPr>
          <w:b w:val="0"/>
        </w:rPr>
      </w:pPr>
      <w:r w:rsidRPr="00DC7D0A">
        <w:rPr>
          <w:b w:val="0"/>
        </w:rPr>
        <w:t>16 May 2019</w:t>
      </w:r>
      <w:bookmarkStart w:name="_GoBack" w:id="1"/>
      <w:bookmarkEnd w:id="1"/>
    </w:p>
    <w:p w:rsidRPr="00DC7D0A" w:rsidR="009B114D" w:rsidP="00DC7D0A" w:rsidRDefault="009B114D">
      <w:pPr>
        <w:pStyle w:val="JuCase"/>
        <w:ind w:firstLine="0"/>
        <w:jc w:val="center"/>
        <w:rPr>
          <w:b w:val="0"/>
        </w:rPr>
      </w:pPr>
    </w:p>
    <w:p w:rsidRPr="00DC7D0A" w:rsidR="00DC7D0A" w:rsidP="00DC7D0A" w:rsidRDefault="00DC7D0A">
      <w:pPr>
        <w:pStyle w:val="ECHRPara"/>
        <w:jc w:val="center"/>
      </w:pPr>
    </w:p>
    <w:p w:rsidRPr="00DC7D0A" w:rsidR="009B114D" w:rsidP="00DC7D0A" w:rsidRDefault="009B114D">
      <w:pPr>
        <w:pStyle w:val="JuCase"/>
        <w:ind w:firstLine="0"/>
        <w:jc w:val="center"/>
        <w:rPr>
          <w:b w:val="0"/>
        </w:rPr>
      </w:pPr>
    </w:p>
    <w:p w:rsidRPr="00DC7D0A" w:rsidR="00DC7D0A" w:rsidP="00DC7D0A" w:rsidRDefault="00DC7D0A">
      <w:pPr>
        <w:pStyle w:val="ECHRPara"/>
      </w:pPr>
    </w:p>
    <w:p w:rsidRPr="00DC7D0A" w:rsidR="00DC7D0A" w:rsidP="00DC7D0A" w:rsidRDefault="00DC7D0A">
      <w:pPr>
        <w:pStyle w:val="ECHRPara"/>
      </w:pPr>
    </w:p>
    <w:p w:rsidRPr="00DC7D0A" w:rsidR="004B3056" w:rsidP="00DC7D0A" w:rsidRDefault="004B3056">
      <w:pPr>
        <w:pStyle w:val="ECHRPara"/>
      </w:pPr>
    </w:p>
    <w:p w:rsidRPr="00DC7D0A" w:rsidR="009B114D" w:rsidP="00DC7D0A" w:rsidRDefault="009B114D">
      <w:pPr>
        <w:pStyle w:val="JuCase"/>
        <w:ind w:firstLine="0"/>
        <w:jc w:val="left"/>
        <w:rPr>
          <w:b w:val="0"/>
          <w:i/>
          <w:sz w:val="22"/>
        </w:rPr>
      </w:pPr>
      <w:r w:rsidRPr="00DC7D0A">
        <w:rPr>
          <w:b w:val="0"/>
          <w:i/>
          <w:sz w:val="22"/>
        </w:rPr>
        <w:t>This judgment is final but it may be</w:t>
      </w:r>
      <w:r w:rsidRPr="00DC7D0A" w:rsidR="004B3056">
        <w:rPr>
          <w:b w:val="0"/>
          <w:i/>
          <w:sz w:val="22"/>
        </w:rPr>
        <w:t xml:space="preserve"> subject to editorial revision.</w:t>
      </w:r>
    </w:p>
    <w:p w:rsidRPr="00DC7D0A" w:rsidR="00DC7D0A" w:rsidP="00DC7D0A" w:rsidRDefault="00DC7D0A">
      <w:pPr>
        <w:pStyle w:val="ECHRPara"/>
      </w:pPr>
    </w:p>
    <w:p w:rsidRPr="00DC7D0A" w:rsidR="00DC7D0A" w:rsidP="00DC7D0A" w:rsidRDefault="00DC7D0A">
      <w:pPr>
        <w:pStyle w:val="ECHRPara"/>
        <w:sectPr w:rsidRPr="00DC7D0A" w:rsidR="00DC7D0A" w:rsidSect="009B114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DC7D0A" w:rsidR="00DE61E0" w:rsidP="00DC7D0A" w:rsidRDefault="00DE61E0">
      <w:pPr>
        <w:pStyle w:val="JuCase"/>
        <w:rPr>
          <w:b w:val="0"/>
          <w:bCs/>
        </w:rPr>
      </w:pPr>
      <w:r w:rsidRPr="00DC7D0A">
        <w:t xml:space="preserve">In the case of </w:t>
      </w:r>
      <w:proofErr w:type="spellStart"/>
      <w:r w:rsidRPr="00DC7D0A" w:rsidR="00B3036D">
        <w:t>Ziaja</w:t>
      </w:r>
      <w:proofErr w:type="spellEnd"/>
      <w:r w:rsidRPr="00DC7D0A" w:rsidR="00B3036D">
        <w:t xml:space="preserve"> v. Poland</w:t>
      </w:r>
      <w:r w:rsidRPr="00DC7D0A">
        <w:t>,</w:t>
      </w:r>
    </w:p>
    <w:p w:rsidRPr="00DC7D0A" w:rsidR="00DE61E0" w:rsidP="00DC7D0A" w:rsidRDefault="00DE61E0">
      <w:pPr>
        <w:pStyle w:val="ECHRPara"/>
        <w:rPr>
          <w:b/>
        </w:rPr>
      </w:pPr>
      <w:r w:rsidRPr="00DC7D0A">
        <w:t>The European Court of Human Rights (</w:t>
      </w:r>
      <w:r w:rsidRPr="00DC7D0A" w:rsidR="00B3036D">
        <w:t>First Section</w:t>
      </w:r>
      <w:r w:rsidRPr="00DC7D0A">
        <w:t xml:space="preserve">), sitting as a </w:t>
      </w:r>
      <w:r w:rsidRPr="00DC7D0A" w:rsidR="00B3036D">
        <w:t>Committee</w:t>
      </w:r>
      <w:r w:rsidRPr="00DC7D0A">
        <w:t xml:space="preserve"> composed of:</w:t>
      </w:r>
    </w:p>
    <w:p w:rsidRPr="00DC7D0A" w:rsidR="001A1FAB" w:rsidP="00DC7D0A" w:rsidRDefault="009B114D">
      <w:pPr>
        <w:pStyle w:val="ECHRDecisionBody"/>
      </w:pPr>
      <w:r w:rsidRPr="00DC7D0A">
        <w:tab/>
        <w:t xml:space="preserve">Ksenija </w:t>
      </w:r>
      <w:proofErr w:type="spellStart"/>
      <w:r w:rsidRPr="00DC7D0A">
        <w:t>Turković</w:t>
      </w:r>
      <w:proofErr w:type="spellEnd"/>
      <w:r w:rsidRPr="00DC7D0A">
        <w:t>,</w:t>
      </w:r>
      <w:r w:rsidRPr="00DC7D0A">
        <w:rPr>
          <w:i/>
        </w:rPr>
        <w:t xml:space="preserve"> President,</w:t>
      </w:r>
      <w:r w:rsidRPr="00DC7D0A">
        <w:rPr>
          <w:i/>
        </w:rPr>
        <w:br/>
      </w:r>
      <w:r w:rsidRPr="00DC7D0A">
        <w:tab/>
        <w:t xml:space="preserve">Krzysztof </w:t>
      </w:r>
      <w:proofErr w:type="spellStart"/>
      <w:r w:rsidRPr="00DC7D0A">
        <w:t>Wojtyczek</w:t>
      </w:r>
      <w:proofErr w:type="spellEnd"/>
      <w:r w:rsidRPr="00DC7D0A">
        <w:t>,</w:t>
      </w:r>
      <w:r w:rsidRPr="00DC7D0A">
        <w:rPr>
          <w:i/>
        </w:rPr>
        <w:br/>
      </w:r>
      <w:r w:rsidRPr="00DC7D0A">
        <w:tab/>
        <w:t xml:space="preserve">Armen </w:t>
      </w:r>
      <w:proofErr w:type="spellStart"/>
      <w:r w:rsidRPr="00DC7D0A">
        <w:t>Harutyunyan</w:t>
      </w:r>
      <w:proofErr w:type="spellEnd"/>
      <w:r w:rsidRPr="00DC7D0A">
        <w:t>,</w:t>
      </w:r>
      <w:r w:rsidRPr="00DC7D0A">
        <w:rPr>
          <w:i/>
        </w:rPr>
        <w:t xml:space="preserve"> judges,</w:t>
      </w:r>
    </w:p>
    <w:p w:rsidRPr="00DC7D0A" w:rsidR="00DE61E0" w:rsidP="00DC7D0A" w:rsidRDefault="00DE61E0">
      <w:pPr>
        <w:pStyle w:val="ECHRDecisionBody"/>
      </w:pPr>
      <w:proofErr w:type="gramStart"/>
      <w:r w:rsidRPr="00DC7D0A">
        <w:t>and</w:t>
      </w:r>
      <w:proofErr w:type="gramEnd"/>
      <w:r w:rsidRPr="00DC7D0A">
        <w:t xml:space="preserve"> </w:t>
      </w:r>
      <w:r w:rsidRPr="00DC7D0A" w:rsidR="00B3036D">
        <w:t>Renata Degener</w:t>
      </w:r>
      <w:r w:rsidRPr="00DC7D0A">
        <w:t xml:space="preserve">, </w:t>
      </w:r>
      <w:r w:rsidRPr="00DC7D0A" w:rsidR="00B3036D">
        <w:rPr>
          <w:i/>
        </w:rPr>
        <w:t xml:space="preserve">Deputy Section </w:t>
      </w:r>
      <w:r w:rsidRPr="00DC7D0A" w:rsidR="00B3036D">
        <w:rPr>
          <w:i/>
          <w:iCs/>
        </w:rPr>
        <w:t>Registrar</w:t>
      </w:r>
      <w:r w:rsidRPr="00DC7D0A">
        <w:rPr>
          <w:i/>
        </w:rPr>
        <w:t>,</w:t>
      </w:r>
    </w:p>
    <w:p w:rsidRPr="00DC7D0A" w:rsidR="00DE61E0" w:rsidP="00DC7D0A" w:rsidRDefault="00DE61E0">
      <w:pPr>
        <w:pStyle w:val="ECHRPara"/>
      </w:pPr>
      <w:r w:rsidRPr="00DC7D0A">
        <w:t xml:space="preserve">Having deliberated in private on </w:t>
      </w:r>
      <w:r w:rsidRPr="00DC7D0A" w:rsidR="009B114D">
        <w:t>23 April 2019</w:t>
      </w:r>
      <w:r w:rsidRPr="00DC7D0A">
        <w:t>,</w:t>
      </w:r>
    </w:p>
    <w:p w:rsidRPr="00DC7D0A" w:rsidR="00DE61E0" w:rsidP="00DC7D0A" w:rsidRDefault="00DE61E0">
      <w:pPr>
        <w:pStyle w:val="ECHRPara"/>
      </w:pPr>
      <w:r w:rsidRPr="00DC7D0A">
        <w:t>Delivers the following judgment, which was adopted on that date:</w:t>
      </w:r>
    </w:p>
    <w:p w:rsidRPr="00DC7D0A" w:rsidR="00DE61E0" w:rsidP="00DC7D0A" w:rsidRDefault="00DE61E0">
      <w:pPr>
        <w:pStyle w:val="ECHRTitle1"/>
      </w:pPr>
      <w:r w:rsidRPr="00DC7D0A">
        <w:t>PROCEDURE</w:t>
      </w:r>
    </w:p>
    <w:p w:rsidRPr="00DC7D0A" w:rsidR="009B114D"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1</w:t>
      </w:r>
      <w:r w:rsidRPr="00DC7D0A">
        <w:fldChar w:fldCharType="end"/>
      </w:r>
      <w:r w:rsidRPr="00DC7D0A" w:rsidR="00DE61E0">
        <w:t xml:space="preserve">.  The case originated in </w:t>
      </w:r>
      <w:r w:rsidRPr="00DC7D0A">
        <w:t>an application (no. 45751/10)</w:t>
      </w:r>
      <w:r w:rsidRPr="00DC7D0A" w:rsidR="00DE61E0">
        <w:t xml:space="preserve"> against </w:t>
      </w:r>
      <w:r w:rsidRPr="00DC7D0A">
        <w:t>the Republic of Poland</w:t>
      </w:r>
      <w:r w:rsidRPr="00DC7D0A" w:rsidR="00DE61E0">
        <w:t xml:space="preserve"> lodged with the </w:t>
      </w:r>
      <w:r w:rsidRPr="00DC7D0A">
        <w:t>Court under Article 34</w:t>
      </w:r>
      <w:r w:rsidRPr="00DC7D0A" w:rsidR="00DE61E0">
        <w:t xml:space="preserve"> of the Convention for the Protection of Human Rights and Fundamental Freedoms (“the Convention”) by </w:t>
      </w:r>
      <w:r w:rsidRPr="00DC7D0A">
        <w:t xml:space="preserve">a Polish national, Ms Janina </w:t>
      </w:r>
      <w:proofErr w:type="spellStart"/>
      <w:r w:rsidRPr="00DC7D0A">
        <w:t>Ziaja</w:t>
      </w:r>
      <w:proofErr w:type="spellEnd"/>
      <w:r w:rsidRPr="00DC7D0A">
        <w:t xml:space="preserve"> (“the applicant”), on 2 August 2010</w:t>
      </w:r>
      <w:r w:rsidRPr="00DC7D0A" w:rsidR="00DE61E0">
        <w:t>.</w:t>
      </w:r>
    </w:p>
    <w:p w:rsidRPr="00DC7D0A" w:rsidR="009B114D"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2</w:t>
      </w:r>
      <w:r w:rsidRPr="00DC7D0A">
        <w:fldChar w:fldCharType="end"/>
      </w:r>
      <w:r w:rsidRPr="00DC7D0A" w:rsidR="00DE61E0">
        <w:t>.  </w:t>
      </w:r>
      <w:r w:rsidRPr="00DC7D0A">
        <w:t xml:space="preserve">The applicant was represented by Ms </w:t>
      </w:r>
      <w:r w:rsidRPr="00DC7D0A" w:rsidR="00B97DFA">
        <w:t>E.</w:t>
      </w:r>
      <w:r w:rsidRPr="00DC7D0A">
        <w:t xml:space="preserve"> </w:t>
      </w:r>
      <w:proofErr w:type="spellStart"/>
      <w:r w:rsidRPr="00DC7D0A">
        <w:t>Draga-Buchta</w:t>
      </w:r>
      <w:proofErr w:type="spellEnd"/>
      <w:r w:rsidRPr="00DC7D0A">
        <w:t xml:space="preserve">, </w:t>
      </w:r>
      <w:r w:rsidRPr="00DC7D0A" w:rsidR="00475DE4">
        <w:t>a lawyer practising in Katowice</w:t>
      </w:r>
      <w:r w:rsidRPr="00DC7D0A" w:rsidR="001A4083">
        <w:t xml:space="preserve">. </w:t>
      </w:r>
      <w:r w:rsidRPr="00DC7D0A" w:rsidR="00475DE4">
        <w:t xml:space="preserve">The Polish Government (“the Government”) were represented by their Agent, Ms J. </w:t>
      </w:r>
      <w:proofErr w:type="spellStart"/>
      <w:r w:rsidRPr="00DC7D0A" w:rsidR="00475DE4">
        <w:t>Chrzanowska</w:t>
      </w:r>
      <w:proofErr w:type="spellEnd"/>
      <w:r w:rsidRPr="00DC7D0A" w:rsidR="00475DE4">
        <w:t xml:space="preserve"> and subsequently by </w:t>
      </w:r>
      <w:r w:rsidRPr="00DC7D0A" w:rsidR="009B114D">
        <w:t>Mr </w:t>
      </w:r>
      <w:r w:rsidRPr="00DC7D0A" w:rsidR="00F97B27">
        <w:t>J. </w:t>
      </w:r>
      <w:proofErr w:type="spellStart"/>
      <w:r w:rsidRPr="00DC7D0A" w:rsidR="00475DE4">
        <w:t>Sobczak</w:t>
      </w:r>
      <w:proofErr w:type="spellEnd"/>
      <w:r w:rsidRPr="00DC7D0A" w:rsidR="00475DE4">
        <w:t>, of the Ministry of Foreign Affairs.</w:t>
      </w:r>
    </w:p>
    <w:p w:rsidRPr="00DC7D0A" w:rsidR="00DE61E0"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3</w:t>
      </w:r>
      <w:r w:rsidRPr="00DC7D0A">
        <w:fldChar w:fldCharType="end"/>
      </w:r>
      <w:r w:rsidRPr="00DC7D0A" w:rsidR="00DE61E0">
        <w:t>.  </w:t>
      </w:r>
      <w:r w:rsidRPr="00DC7D0A">
        <w:t xml:space="preserve">On </w:t>
      </w:r>
      <w:r w:rsidRPr="00DC7D0A">
        <w:rPr>
          <w:szCs w:val="24"/>
        </w:rPr>
        <w:t>16 May 2012</w:t>
      </w:r>
      <w:r w:rsidRPr="00DC7D0A" w:rsidR="008062C2">
        <w:t xml:space="preserve"> the </w:t>
      </w:r>
      <w:r w:rsidRPr="00DC7D0A">
        <w:t>application was communicated to the Government</w:t>
      </w:r>
      <w:r w:rsidRPr="00DC7D0A" w:rsidR="00AF6511">
        <w:t>.</w:t>
      </w:r>
    </w:p>
    <w:p w:rsidRPr="00DC7D0A" w:rsidR="00DE61E0" w:rsidP="00DC7D0A" w:rsidRDefault="00DE61E0">
      <w:pPr>
        <w:pStyle w:val="ECHRTitle1"/>
      </w:pPr>
      <w:r w:rsidRPr="00DC7D0A">
        <w:t>THE FACTS</w:t>
      </w:r>
    </w:p>
    <w:p w:rsidRPr="00DC7D0A" w:rsidR="00DE61E0" w:rsidP="00DC7D0A" w:rsidRDefault="004C154E">
      <w:pPr>
        <w:pStyle w:val="ECHRHeading1"/>
      </w:pPr>
      <w:r w:rsidRPr="00DC7D0A">
        <w:t>I.  </w:t>
      </w:r>
      <w:r w:rsidRPr="00DC7D0A" w:rsidR="00DE61E0">
        <w:t>THE CIRCUMSTANCES OF THE CASE</w:t>
      </w:r>
    </w:p>
    <w:p w:rsidRPr="00DC7D0A" w:rsidR="001A4083"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4</w:t>
      </w:r>
      <w:r w:rsidRPr="00DC7D0A">
        <w:fldChar w:fldCharType="end"/>
      </w:r>
      <w:r w:rsidRPr="00DC7D0A" w:rsidR="00DE61E0">
        <w:t xml:space="preserve">.  The </w:t>
      </w:r>
      <w:r w:rsidRPr="00DC7D0A">
        <w:t>applicant was born in 1956 and lives</w:t>
      </w:r>
      <w:r w:rsidRPr="00DC7D0A" w:rsidR="00DE61E0">
        <w:t xml:space="preserve"> in </w:t>
      </w:r>
      <w:proofErr w:type="spellStart"/>
      <w:r w:rsidRPr="00DC7D0A" w:rsidR="009B1BB3">
        <w:t>Gol</w:t>
      </w:r>
      <w:r w:rsidRPr="00DC7D0A">
        <w:t>asowice</w:t>
      </w:r>
      <w:proofErr w:type="spellEnd"/>
      <w:r w:rsidRPr="00DC7D0A" w:rsidR="00DE61E0">
        <w:t>.</w:t>
      </w:r>
    </w:p>
    <w:p w:rsidRPr="00DC7D0A" w:rsidR="001A4083" w:rsidP="00DC7D0A" w:rsidRDefault="009B114D">
      <w:pPr>
        <w:pStyle w:val="ECHRHeading2"/>
      </w:pPr>
      <w:r w:rsidRPr="00DC7D0A">
        <w:t>A</w:t>
      </w:r>
      <w:r w:rsidRPr="00DC7D0A" w:rsidR="001A4083">
        <w:t>.  Main proceedings</w:t>
      </w:r>
    </w:p>
    <w:p w:rsidRPr="00DC7D0A" w:rsidR="009B114D" w:rsidP="00DC7D0A" w:rsidRDefault="001A4083">
      <w:pPr>
        <w:pStyle w:val="ECHRPara"/>
      </w:pPr>
      <w:r w:rsidRPr="00DC7D0A">
        <w:fldChar w:fldCharType="begin"/>
      </w:r>
      <w:r w:rsidRPr="00DC7D0A">
        <w:instrText xml:space="preserve"> SEQ level0 \*arabic </w:instrText>
      </w:r>
      <w:r w:rsidRPr="00DC7D0A">
        <w:fldChar w:fldCharType="separate"/>
      </w:r>
      <w:r w:rsidRPr="00DC7D0A" w:rsidR="00DC7D0A">
        <w:rPr>
          <w:noProof/>
        </w:rPr>
        <w:t>5</w:t>
      </w:r>
      <w:r w:rsidRPr="00DC7D0A">
        <w:fldChar w:fldCharType="end"/>
      </w:r>
      <w:r w:rsidRPr="00DC7D0A">
        <w:t xml:space="preserve">.  On 1 February 1999 the applicant instituted civil proceedings before the </w:t>
      </w:r>
      <w:proofErr w:type="spellStart"/>
      <w:r w:rsidRPr="00DC7D0A">
        <w:t>Jastrzębie</w:t>
      </w:r>
      <w:proofErr w:type="spellEnd"/>
      <w:r w:rsidRPr="00DC7D0A">
        <w:t xml:space="preserve"> </w:t>
      </w:r>
      <w:proofErr w:type="spellStart"/>
      <w:r w:rsidRPr="00DC7D0A">
        <w:t>Zdrój</w:t>
      </w:r>
      <w:proofErr w:type="spellEnd"/>
      <w:r w:rsidRPr="00DC7D0A">
        <w:t xml:space="preserve"> District Court for the </w:t>
      </w:r>
      <w:r w:rsidRPr="00DC7D0A" w:rsidR="00FA6EFB">
        <w:t xml:space="preserve">purposes of </w:t>
      </w:r>
      <w:r w:rsidRPr="00DC7D0A">
        <w:t>establish</w:t>
      </w:r>
      <w:r w:rsidRPr="00DC7D0A" w:rsidR="00FA6EFB">
        <w:t>i</w:t>
      </w:r>
      <w:r w:rsidRPr="00DC7D0A">
        <w:t>n</w:t>
      </w:r>
      <w:r w:rsidRPr="00DC7D0A" w:rsidR="00FA6EFB">
        <w:t>g</w:t>
      </w:r>
      <w:r w:rsidRPr="00DC7D0A">
        <w:t xml:space="preserve"> an easement.</w:t>
      </w:r>
      <w:r w:rsidRPr="00DC7D0A" w:rsidR="00F028DB">
        <w:t xml:space="preserve"> In particular the applicant </w:t>
      </w:r>
      <w:r w:rsidRPr="00DC7D0A" w:rsidR="00D7279F">
        <w:t xml:space="preserve">sought </w:t>
      </w:r>
      <w:r w:rsidRPr="00DC7D0A" w:rsidR="00F028DB">
        <w:t>a decision allowing her to use a strip of land belonging to her neighbours as a road</w:t>
      </w:r>
      <w:r w:rsidRPr="00DC7D0A" w:rsidR="00FA6EFB">
        <w:t>way</w:t>
      </w:r>
      <w:r w:rsidRPr="00DC7D0A" w:rsidR="00F028DB">
        <w:t xml:space="preserve"> allowing her access to her property. The road</w:t>
      </w:r>
      <w:r w:rsidRPr="00DC7D0A" w:rsidR="00FA6EFB">
        <w:t>way</w:t>
      </w:r>
      <w:r w:rsidRPr="00DC7D0A" w:rsidR="00F028DB">
        <w:t xml:space="preserve"> in question, which h</w:t>
      </w:r>
      <w:r w:rsidRPr="00DC7D0A" w:rsidR="003E464B">
        <w:t>a</w:t>
      </w:r>
      <w:r w:rsidRPr="00DC7D0A" w:rsidR="00FA6EFB">
        <w:t>s</w:t>
      </w:r>
      <w:r w:rsidRPr="00DC7D0A" w:rsidR="003E464B">
        <w:t xml:space="preserve"> been used by her </w:t>
      </w:r>
      <w:r w:rsidRPr="00DC7D0A" w:rsidR="00FA6EFB">
        <w:t>in the past</w:t>
      </w:r>
      <w:r w:rsidRPr="00DC7D0A" w:rsidR="003E464B">
        <w:t>, run</w:t>
      </w:r>
      <w:r w:rsidRPr="00DC7D0A" w:rsidR="00FA6EFB">
        <w:t>s</w:t>
      </w:r>
      <w:r w:rsidRPr="00DC7D0A" w:rsidR="003E464B">
        <w:t xml:space="preserve"> </w:t>
      </w:r>
      <w:r w:rsidRPr="00DC7D0A" w:rsidR="00FA6EFB">
        <w:t>al</w:t>
      </w:r>
      <w:r w:rsidRPr="00DC7D0A" w:rsidR="00D7279F">
        <w:t>on</w:t>
      </w:r>
      <w:r w:rsidRPr="00DC7D0A" w:rsidR="00FA6EFB">
        <w:t>g</w:t>
      </w:r>
      <w:r w:rsidRPr="00DC7D0A" w:rsidR="00D7279F">
        <w:t xml:space="preserve"> a causeway (</w:t>
      </w:r>
      <w:proofErr w:type="spellStart"/>
      <w:r w:rsidRPr="00DC7D0A" w:rsidR="00D7279F">
        <w:rPr>
          <w:i/>
        </w:rPr>
        <w:t>grobla</w:t>
      </w:r>
      <w:proofErr w:type="spellEnd"/>
      <w:r w:rsidRPr="00DC7D0A" w:rsidR="00D7279F">
        <w:t>) between fishponds.</w:t>
      </w:r>
    </w:p>
    <w:p w:rsidRPr="00DC7D0A" w:rsidR="001A4083" w:rsidP="00DC7D0A" w:rsidRDefault="001A4083">
      <w:pPr>
        <w:pStyle w:val="ECHRPara"/>
      </w:pPr>
      <w:r w:rsidRPr="00DC7D0A">
        <w:fldChar w:fldCharType="begin"/>
      </w:r>
      <w:r w:rsidRPr="00DC7D0A">
        <w:instrText xml:space="preserve"> SEQ level0 \*arabic </w:instrText>
      </w:r>
      <w:r w:rsidRPr="00DC7D0A">
        <w:fldChar w:fldCharType="separate"/>
      </w:r>
      <w:r w:rsidRPr="00DC7D0A" w:rsidR="00DC7D0A">
        <w:rPr>
          <w:noProof/>
        </w:rPr>
        <w:t>6</w:t>
      </w:r>
      <w:r w:rsidRPr="00DC7D0A">
        <w:fldChar w:fldCharType="end"/>
      </w:r>
      <w:r w:rsidRPr="00DC7D0A" w:rsidR="00681CC1">
        <w:t xml:space="preserve">.  By a decision of 11 July 2000 (file no. </w:t>
      </w:r>
      <w:r w:rsidRPr="00DC7D0A">
        <w:t xml:space="preserve">I Ns 57/99) the </w:t>
      </w:r>
      <w:proofErr w:type="spellStart"/>
      <w:r w:rsidRPr="00DC7D0A">
        <w:t>Jastrzębie</w:t>
      </w:r>
      <w:proofErr w:type="spellEnd"/>
      <w:r w:rsidRPr="00DC7D0A">
        <w:t xml:space="preserve"> </w:t>
      </w:r>
      <w:proofErr w:type="spellStart"/>
      <w:r w:rsidRPr="00DC7D0A">
        <w:t>Zdrój</w:t>
      </w:r>
      <w:proofErr w:type="spellEnd"/>
      <w:r w:rsidRPr="00DC7D0A">
        <w:t xml:space="preserve"> District Court allowed the applicant</w:t>
      </w:r>
      <w:r w:rsidRPr="00DC7D0A" w:rsidR="00DC7D0A">
        <w:t>’</w:t>
      </w:r>
      <w:r w:rsidRPr="00DC7D0A">
        <w:t>s claim. The other party appealed against this decision.</w:t>
      </w:r>
    </w:p>
    <w:p w:rsidRPr="00DC7D0A" w:rsidR="001A4083" w:rsidP="00DC7D0A" w:rsidRDefault="001A4083">
      <w:pPr>
        <w:pStyle w:val="ECHRPara"/>
      </w:pPr>
      <w:r w:rsidRPr="00DC7D0A">
        <w:fldChar w:fldCharType="begin"/>
      </w:r>
      <w:r w:rsidRPr="00DC7D0A">
        <w:instrText xml:space="preserve"> SEQ level0 \*arabic </w:instrText>
      </w:r>
      <w:r w:rsidRPr="00DC7D0A">
        <w:fldChar w:fldCharType="separate"/>
      </w:r>
      <w:r w:rsidRPr="00DC7D0A" w:rsidR="00DC7D0A">
        <w:rPr>
          <w:noProof/>
        </w:rPr>
        <w:t>7</w:t>
      </w:r>
      <w:r w:rsidRPr="00DC7D0A">
        <w:fldChar w:fldCharType="end"/>
      </w:r>
      <w:r w:rsidRPr="00DC7D0A" w:rsidR="00681CC1">
        <w:t xml:space="preserve">.  On 15 </w:t>
      </w:r>
      <w:r w:rsidRPr="00DC7D0A">
        <w:t>November</w:t>
      </w:r>
      <w:r w:rsidRPr="00DC7D0A" w:rsidR="00681CC1">
        <w:t xml:space="preserve"> </w:t>
      </w:r>
      <w:r w:rsidRPr="00DC7D0A">
        <w:t xml:space="preserve">2000 the Katowice Regional Court quashed the first-instance decision and remitted the case </w:t>
      </w:r>
      <w:r w:rsidRPr="00DC7D0A" w:rsidR="00681CC1">
        <w:t xml:space="preserve">(file no. </w:t>
      </w:r>
      <w:r w:rsidRPr="00DC7D0A">
        <w:t>III Ca 661/00).</w:t>
      </w:r>
    </w:p>
    <w:p w:rsidRPr="00DC7D0A" w:rsidR="009B114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8</w:t>
      </w:r>
      <w:r w:rsidRPr="00DC7D0A">
        <w:fldChar w:fldCharType="end"/>
      </w:r>
      <w:r w:rsidRPr="00DC7D0A">
        <w:t>.  </w:t>
      </w:r>
      <w:r w:rsidRPr="00DC7D0A" w:rsidR="00E045B7">
        <w:t xml:space="preserve">At </w:t>
      </w:r>
      <w:r w:rsidRPr="00DC7D0A" w:rsidR="00FA6EFB">
        <w:t>a</w:t>
      </w:r>
      <w:r w:rsidRPr="00DC7D0A" w:rsidR="00E045B7">
        <w:t xml:space="preserve"> hearing o</w:t>
      </w:r>
      <w:r w:rsidRPr="00DC7D0A" w:rsidR="00FA6EFB">
        <w:t>n</w:t>
      </w:r>
      <w:r w:rsidRPr="00DC7D0A" w:rsidR="00E045B7">
        <w:t xml:space="preserve"> 13 March 2001 the court ordered </w:t>
      </w:r>
      <w:r w:rsidRPr="00DC7D0A" w:rsidR="00FA6EFB">
        <w:t xml:space="preserve">the </w:t>
      </w:r>
      <w:r w:rsidRPr="00DC7D0A" w:rsidR="00E045B7">
        <w:t xml:space="preserve">preparation of an expert opinion. </w:t>
      </w:r>
      <w:r w:rsidRPr="00DC7D0A" w:rsidR="00FA6EFB">
        <w:t>T</w:t>
      </w:r>
      <w:r w:rsidRPr="00DC7D0A" w:rsidR="00E045B7">
        <w:t xml:space="preserve">wo experts declined </w:t>
      </w:r>
      <w:r w:rsidRPr="00DC7D0A" w:rsidR="00FA6EFB">
        <w:t xml:space="preserve">the invitation to </w:t>
      </w:r>
      <w:r w:rsidRPr="00DC7D0A" w:rsidR="00E045B7">
        <w:t>prepar</w:t>
      </w:r>
      <w:r w:rsidRPr="00DC7D0A" w:rsidR="00FA6EFB">
        <w:t>e</w:t>
      </w:r>
      <w:r w:rsidRPr="00DC7D0A" w:rsidR="00E045B7">
        <w:t xml:space="preserve"> an opinion</w:t>
      </w:r>
      <w:r w:rsidRPr="00DC7D0A" w:rsidR="00FA6EFB">
        <w:t>,</w:t>
      </w:r>
      <w:r w:rsidRPr="00DC7D0A" w:rsidR="003176FC">
        <w:t xml:space="preserve"> </w:t>
      </w:r>
      <w:r w:rsidRPr="00DC7D0A" w:rsidR="00FA6EFB">
        <w:t>and</w:t>
      </w:r>
      <w:r w:rsidRPr="00DC7D0A" w:rsidR="00E045B7">
        <w:t xml:space="preserve"> </w:t>
      </w:r>
      <w:r w:rsidRPr="00DC7D0A" w:rsidR="003E464B">
        <w:t xml:space="preserve">the third expert approached by the court </w:t>
      </w:r>
      <w:r w:rsidRPr="00DC7D0A" w:rsidR="00FA6EFB">
        <w:t xml:space="preserve">eventually </w:t>
      </w:r>
      <w:r w:rsidRPr="00DC7D0A" w:rsidR="003E464B">
        <w:t>prepared</w:t>
      </w:r>
      <w:r w:rsidRPr="00DC7D0A" w:rsidR="00E045B7">
        <w:t xml:space="preserve"> it on 1</w:t>
      </w:r>
      <w:r w:rsidRPr="00DC7D0A" w:rsidR="00D64F64">
        <w:t>7 </w:t>
      </w:r>
      <w:r w:rsidRPr="00DC7D0A" w:rsidR="00E045B7">
        <w:t>October 2001.</w:t>
      </w:r>
    </w:p>
    <w:p w:rsidRPr="00DC7D0A" w:rsidR="00E045B7"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9</w:t>
      </w:r>
      <w:r w:rsidRPr="00DC7D0A">
        <w:fldChar w:fldCharType="end"/>
      </w:r>
      <w:r w:rsidRPr="00DC7D0A">
        <w:t>.  </w:t>
      </w:r>
      <w:r w:rsidRPr="00DC7D0A" w:rsidR="00FA6EFB">
        <w:t>T</w:t>
      </w:r>
      <w:r w:rsidRPr="00DC7D0A" w:rsidR="00E045B7">
        <w:t xml:space="preserve">he defendants contested </w:t>
      </w:r>
      <w:r w:rsidRPr="00DC7D0A" w:rsidR="003176FC">
        <w:t xml:space="preserve">both </w:t>
      </w:r>
      <w:r w:rsidRPr="00DC7D0A" w:rsidR="00E045B7">
        <w:t xml:space="preserve">the expert opinion </w:t>
      </w:r>
      <w:r w:rsidRPr="00DC7D0A" w:rsidR="003176FC">
        <w:t xml:space="preserve">itself </w:t>
      </w:r>
      <w:r w:rsidRPr="00DC7D0A" w:rsidR="00E045B7">
        <w:t xml:space="preserve">and </w:t>
      </w:r>
      <w:r w:rsidRPr="00DC7D0A" w:rsidR="00FA6EFB">
        <w:t xml:space="preserve">the </w:t>
      </w:r>
      <w:r w:rsidRPr="00DC7D0A" w:rsidR="00E045B7">
        <w:t>fee</w:t>
      </w:r>
      <w:r w:rsidRPr="00DC7D0A" w:rsidR="00FA6EFB">
        <w:t xml:space="preserve"> for drafting it</w:t>
      </w:r>
      <w:r w:rsidRPr="00DC7D0A" w:rsidR="00E045B7">
        <w:t xml:space="preserve">. In March 2002 they </w:t>
      </w:r>
      <w:r w:rsidRPr="00DC7D0A">
        <w:t>requested</w:t>
      </w:r>
      <w:r w:rsidRPr="00DC7D0A" w:rsidR="00E045B7">
        <w:t xml:space="preserve"> </w:t>
      </w:r>
      <w:r w:rsidRPr="00DC7D0A">
        <w:t>preparation</w:t>
      </w:r>
      <w:r w:rsidRPr="00DC7D0A" w:rsidR="00E045B7">
        <w:t xml:space="preserve"> of </w:t>
      </w:r>
      <w:r w:rsidRPr="00DC7D0A" w:rsidR="003E464B">
        <w:t>another</w:t>
      </w:r>
      <w:r w:rsidRPr="00DC7D0A" w:rsidR="00E045B7">
        <w:t xml:space="preserve"> expert opinion.</w:t>
      </w:r>
    </w:p>
    <w:p w:rsidRPr="00DC7D0A" w:rsidR="00E045B7"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10</w:t>
      </w:r>
      <w:r w:rsidRPr="00DC7D0A">
        <w:fldChar w:fldCharType="end"/>
      </w:r>
      <w:r w:rsidRPr="00DC7D0A">
        <w:t>.  </w:t>
      </w:r>
      <w:r w:rsidRPr="00DC7D0A" w:rsidR="00E045B7">
        <w:t xml:space="preserve">It appears that the </w:t>
      </w:r>
      <w:r w:rsidRPr="00DC7D0A" w:rsidR="00FA6EFB">
        <w:t xml:space="preserve">next </w:t>
      </w:r>
      <w:r w:rsidRPr="00DC7D0A" w:rsidR="00E045B7">
        <w:t xml:space="preserve">hearing was held on 23 April 2002. The court </w:t>
      </w:r>
      <w:r w:rsidRPr="00DC7D0A" w:rsidR="003176FC">
        <w:t xml:space="preserve">questioned </w:t>
      </w:r>
      <w:r w:rsidRPr="00DC7D0A" w:rsidR="00E045B7">
        <w:t>the expert and appoint</w:t>
      </w:r>
      <w:r w:rsidRPr="00DC7D0A" w:rsidR="003E464B">
        <w:t>ed</w:t>
      </w:r>
      <w:r w:rsidRPr="00DC7D0A" w:rsidR="00E045B7">
        <w:t xml:space="preserve"> another one </w:t>
      </w:r>
      <w:r w:rsidRPr="00DC7D0A" w:rsidR="00FA6EFB">
        <w:t>t</w:t>
      </w:r>
      <w:r w:rsidRPr="00DC7D0A" w:rsidR="00E045B7">
        <w:t>o</w:t>
      </w:r>
      <w:r w:rsidRPr="00DC7D0A" w:rsidR="00FA6EFB">
        <w:t xml:space="preserve"> assess</w:t>
      </w:r>
      <w:r w:rsidRPr="00DC7D0A" w:rsidR="00E045B7">
        <w:t xml:space="preserve"> the value of the plot of land.</w:t>
      </w:r>
    </w:p>
    <w:p w:rsidRPr="00DC7D0A" w:rsidR="009B114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11</w:t>
      </w:r>
      <w:r w:rsidRPr="00DC7D0A">
        <w:fldChar w:fldCharType="end"/>
      </w:r>
      <w:r w:rsidRPr="00DC7D0A">
        <w:t>.  </w:t>
      </w:r>
      <w:r w:rsidRPr="00DC7D0A" w:rsidR="00E045B7">
        <w:t>On 12 November 2002 the court held a viewing of the property.</w:t>
      </w:r>
    </w:p>
    <w:p w:rsidRPr="00DC7D0A" w:rsidR="00E045B7"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12</w:t>
      </w:r>
      <w:r w:rsidRPr="00DC7D0A">
        <w:fldChar w:fldCharType="end"/>
      </w:r>
      <w:r w:rsidRPr="00DC7D0A">
        <w:t>.  </w:t>
      </w:r>
      <w:r w:rsidRPr="00DC7D0A" w:rsidR="00E045B7">
        <w:t xml:space="preserve">At </w:t>
      </w:r>
      <w:r w:rsidRPr="00DC7D0A" w:rsidR="00FA6EFB">
        <w:t xml:space="preserve">a </w:t>
      </w:r>
      <w:r w:rsidRPr="00DC7D0A" w:rsidR="00E045B7">
        <w:t>hearing o</w:t>
      </w:r>
      <w:r w:rsidRPr="00DC7D0A" w:rsidR="00FA6EFB">
        <w:t>n</w:t>
      </w:r>
      <w:r w:rsidRPr="00DC7D0A" w:rsidR="00E045B7">
        <w:t xml:space="preserve"> 13 </w:t>
      </w:r>
      <w:r w:rsidRPr="00DC7D0A">
        <w:t>January</w:t>
      </w:r>
      <w:r w:rsidRPr="00DC7D0A" w:rsidR="00E045B7">
        <w:t xml:space="preserve"> 2003 the court decided to appoint yet another expert to </w:t>
      </w:r>
      <w:r w:rsidRPr="00DC7D0A">
        <w:t>establish</w:t>
      </w:r>
      <w:r w:rsidRPr="00DC7D0A" w:rsidR="00E045B7">
        <w:t xml:space="preserve"> whether the easement would have </w:t>
      </w:r>
      <w:r w:rsidRPr="00DC7D0A" w:rsidR="00FA6EFB">
        <w:t>any impact</w:t>
      </w:r>
      <w:r w:rsidRPr="00DC7D0A">
        <w:t xml:space="preserve"> </w:t>
      </w:r>
      <w:r w:rsidRPr="00DC7D0A" w:rsidR="00E045B7">
        <w:t xml:space="preserve">on </w:t>
      </w:r>
      <w:r w:rsidRPr="00DC7D0A" w:rsidR="00FA6EFB">
        <w:t>the</w:t>
      </w:r>
      <w:r w:rsidRPr="00DC7D0A">
        <w:t xml:space="preserve"> </w:t>
      </w:r>
      <w:r w:rsidRPr="00DC7D0A" w:rsidR="00E045B7">
        <w:t>fishpond</w:t>
      </w:r>
      <w:r w:rsidRPr="00DC7D0A" w:rsidR="00FA6EFB">
        <w:t>s</w:t>
      </w:r>
      <w:r w:rsidRPr="00DC7D0A" w:rsidR="00E045B7">
        <w:t>. The opinion was submitted to the court on 11 April 2003.</w:t>
      </w:r>
      <w:r w:rsidRPr="00DC7D0A" w:rsidR="00242DDA">
        <w:t xml:space="preserve"> The expert was </w:t>
      </w:r>
      <w:r w:rsidRPr="00DC7D0A" w:rsidR="003176FC">
        <w:t xml:space="preserve">questioned </w:t>
      </w:r>
      <w:r w:rsidRPr="00DC7D0A" w:rsidR="00242DDA">
        <w:t xml:space="preserve">at </w:t>
      </w:r>
      <w:r w:rsidRPr="00DC7D0A" w:rsidR="00FA6EFB">
        <w:t xml:space="preserve">a </w:t>
      </w:r>
      <w:r w:rsidRPr="00DC7D0A" w:rsidR="00242DDA">
        <w:t>hearing o</w:t>
      </w:r>
      <w:r w:rsidRPr="00DC7D0A" w:rsidR="00FA6EFB">
        <w:t>n</w:t>
      </w:r>
      <w:r w:rsidRPr="00DC7D0A" w:rsidR="00242DDA">
        <w:t xml:space="preserve"> 3 </w:t>
      </w:r>
      <w:r w:rsidRPr="00DC7D0A" w:rsidR="003E464B">
        <w:t>July</w:t>
      </w:r>
      <w:r w:rsidRPr="00DC7D0A" w:rsidR="00242DDA">
        <w:t xml:space="preserve"> 2003. On 27 January 2004 an</w:t>
      </w:r>
      <w:r w:rsidRPr="00DC7D0A" w:rsidR="00FA6EFB">
        <w:t>other</w:t>
      </w:r>
      <w:r w:rsidRPr="00DC7D0A" w:rsidR="00242DDA">
        <w:t xml:space="preserve"> expert </w:t>
      </w:r>
      <w:r w:rsidRPr="00DC7D0A" w:rsidR="00FA6EFB">
        <w:t xml:space="preserve">submitted a </w:t>
      </w:r>
      <w:r w:rsidRPr="00DC7D0A">
        <w:t>complement</w:t>
      </w:r>
      <w:r w:rsidRPr="00DC7D0A" w:rsidR="00242DDA">
        <w:t>a</w:t>
      </w:r>
      <w:r w:rsidRPr="00DC7D0A" w:rsidR="00FA6EFB">
        <w:t>ry</w:t>
      </w:r>
      <w:r w:rsidRPr="00DC7D0A" w:rsidR="00242DDA">
        <w:t xml:space="preserve"> opinion, at the request of the court.</w:t>
      </w:r>
    </w:p>
    <w:p w:rsidRPr="00DC7D0A" w:rsidR="00E045B7"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13</w:t>
      </w:r>
      <w:r w:rsidRPr="00DC7D0A">
        <w:fldChar w:fldCharType="end"/>
      </w:r>
      <w:r w:rsidRPr="00DC7D0A">
        <w:t>.  </w:t>
      </w:r>
      <w:r w:rsidRPr="00DC7D0A" w:rsidR="00242DDA">
        <w:t xml:space="preserve">The next hearing was held on 17 June 2004. </w:t>
      </w:r>
      <w:r w:rsidRPr="00DC7D0A" w:rsidR="00FA6EFB">
        <w:t>The court s</w:t>
      </w:r>
      <w:r w:rsidRPr="00DC7D0A" w:rsidR="00242DDA">
        <w:t xml:space="preserve">ubsequently dealt with </w:t>
      </w:r>
      <w:r w:rsidRPr="00DC7D0A" w:rsidR="00FA6EFB">
        <w:t xml:space="preserve">an application lodged by </w:t>
      </w:r>
      <w:r w:rsidRPr="00DC7D0A" w:rsidR="00242DDA">
        <w:t xml:space="preserve">the applicant to </w:t>
      </w:r>
      <w:r w:rsidRPr="00DC7D0A">
        <w:t>exempt</w:t>
      </w:r>
      <w:r w:rsidRPr="00DC7D0A" w:rsidR="00242DDA">
        <w:t xml:space="preserve"> her from </w:t>
      </w:r>
      <w:r w:rsidRPr="00DC7D0A" w:rsidR="00FA6EFB">
        <w:t xml:space="preserve">payment of </w:t>
      </w:r>
      <w:r w:rsidRPr="00DC7D0A" w:rsidR="00242DDA">
        <w:t>the fees f</w:t>
      </w:r>
      <w:r w:rsidRPr="00DC7D0A" w:rsidR="00FA6EFB">
        <w:t>or</w:t>
      </w:r>
      <w:r w:rsidRPr="00DC7D0A" w:rsidR="00242DDA">
        <w:t xml:space="preserve"> the expert opinion.</w:t>
      </w:r>
    </w:p>
    <w:p w:rsidRPr="00DC7D0A" w:rsidR="001A4083" w:rsidP="00DC7D0A" w:rsidRDefault="001A4083">
      <w:pPr>
        <w:pStyle w:val="ECHRPara"/>
      </w:pPr>
      <w:r w:rsidRPr="00DC7D0A">
        <w:fldChar w:fldCharType="begin"/>
      </w:r>
      <w:r w:rsidRPr="00DC7D0A">
        <w:instrText xml:space="preserve"> SEQ level0 \*arabic </w:instrText>
      </w:r>
      <w:r w:rsidRPr="00DC7D0A">
        <w:fldChar w:fldCharType="separate"/>
      </w:r>
      <w:r w:rsidRPr="00DC7D0A" w:rsidR="00DC7D0A">
        <w:rPr>
          <w:noProof/>
        </w:rPr>
        <w:t>14</w:t>
      </w:r>
      <w:r w:rsidRPr="00DC7D0A">
        <w:fldChar w:fldCharType="end"/>
      </w:r>
      <w:r w:rsidRPr="00DC7D0A">
        <w:t xml:space="preserve">.   </w:t>
      </w:r>
      <w:r w:rsidRPr="00DC7D0A" w:rsidR="003E464B">
        <w:t>On</w:t>
      </w:r>
      <w:r w:rsidRPr="00DC7D0A" w:rsidR="00681CC1">
        <w:t xml:space="preserve"> 2 June </w:t>
      </w:r>
      <w:r w:rsidRPr="00DC7D0A">
        <w:t xml:space="preserve">2005 the </w:t>
      </w:r>
      <w:proofErr w:type="spellStart"/>
      <w:r w:rsidRPr="00DC7D0A">
        <w:t>Jastrzębie</w:t>
      </w:r>
      <w:proofErr w:type="spellEnd"/>
      <w:r w:rsidRPr="00DC7D0A">
        <w:t xml:space="preserve"> </w:t>
      </w:r>
      <w:proofErr w:type="spellStart"/>
      <w:r w:rsidRPr="00DC7D0A">
        <w:t>Zdrój</w:t>
      </w:r>
      <w:proofErr w:type="spellEnd"/>
      <w:r w:rsidRPr="00DC7D0A">
        <w:t xml:space="preserve"> District Court allowed, in essence, the applicant</w:t>
      </w:r>
      <w:r w:rsidRPr="00DC7D0A" w:rsidR="00DC7D0A">
        <w:t>’</w:t>
      </w:r>
      <w:r w:rsidRPr="00DC7D0A">
        <w:t>s claim (file no. </w:t>
      </w:r>
      <w:proofErr w:type="gramStart"/>
      <w:r w:rsidRPr="00DC7D0A">
        <w:t>I Ns 57/99).</w:t>
      </w:r>
      <w:proofErr w:type="gramEnd"/>
      <w:r w:rsidRPr="00DC7D0A">
        <w:t xml:space="preserve"> The other party appealed against the decision.</w:t>
      </w:r>
    </w:p>
    <w:p w:rsidRPr="00DC7D0A" w:rsidR="001A4083" w:rsidP="00DC7D0A" w:rsidRDefault="001A4083">
      <w:pPr>
        <w:pStyle w:val="ECHRPara"/>
      </w:pPr>
      <w:r w:rsidRPr="00DC7D0A">
        <w:fldChar w:fldCharType="begin"/>
      </w:r>
      <w:r w:rsidRPr="00DC7D0A">
        <w:instrText xml:space="preserve"> SEQ level0 \*arabic </w:instrText>
      </w:r>
      <w:r w:rsidRPr="00DC7D0A">
        <w:fldChar w:fldCharType="separate"/>
      </w:r>
      <w:r w:rsidRPr="00DC7D0A" w:rsidR="00DC7D0A">
        <w:rPr>
          <w:noProof/>
        </w:rPr>
        <w:t>15</w:t>
      </w:r>
      <w:r w:rsidRPr="00DC7D0A">
        <w:fldChar w:fldCharType="end"/>
      </w:r>
      <w:r w:rsidRPr="00DC7D0A">
        <w:t>.  </w:t>
      </w:r>
      <w:r w:rsidRPr="00DC7D0A" w:rsidR="003E464B">
        <w:t>On</w:t>
      </w:r>
      <w:r w:rsidRPr="00DC7D0A">
        <w:t xml:space="preserve"> 26</w:t>
      </w:r>
      <w:r w:rsidRPr="00DC7D0A" w:rsidR="00681CC1">
        <w:t xml:space="preserve"> January </w:t>
      </w:r>
      <w:r w:rsidRPr="00DC7D0A">
        <w:t>2006 (file no. III Ca 1322/05) the Gliwice Regional Court quashed the first-instance decision and remitted the case</w:t>
      </w:r>
      <w:r w:rsidRPr="00DC7D0A" w:rsidR="003E464B">
        <w:t xml:space="preserve"> for the second time</w:t>
      </w:r>
      <w:r w:rsidRPr="00DC7D0A">
        <w:t>.</w:t>
      </w:r>
    </w:p>
    <w:p w:rsidRPr="00DC7D0A" w:rsidR="009B114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16</w:t>
      </w:r>
      <w:r w:rsidRPr="00DC7D0A">
        <w:fldChar w:fldCharType="end"/>
      </w:r>
      <w:r w:rsidRPr="00DC7D0A">
        <w:t>.  </w:t>
      </w:r>
      <w:r w:rsidRPr="00DC7D0A" w:rsidR="00242DDA">
        <w:t xml:space="preserve">At </w:t>
      </w:r>
      <w:r w:rsidRPr="00DC7D0A" w:rsidR="00FA6EFB">
        <w:t xml:space="preserve">a </w:t>
      </w:r>
      <w:r w:rsidRPr="00DC7D0A" w:rsidR="00242DDA">
        <w:t>hearing o</w:t>
      </w:r>
      <w:r w:rsidRPr="00DC7D0A" w:rsidR="00FA6EFB">
        <w:t>n</w:t>
      </w:r>
      <w:r w:rsidRPr="00DC7D0A" w:rsidR="00242DDA">
        <w:t xml:space="preserve"> 26 June 2006 the court requested preparation of an expert </w:t>
      </w:r>
      <w:r w:rsidRPr="00DC7D0A" w:rsidR="00FA6EFB">
        <w:t xml:space="preserve">geological </w:t>
      </w:r>
      <w:r w:rsidRPr="00DC7D0A" w:rsidR="00242DDA">
        <w:t xml:space="preserve">opinion. </w:t>
      </w:r>
      <w:r w:rsidRPr="00DC7D0A" w:rsidR="00D337B2">
        <w:t xml:space="preserve">The opinion was </w:t>
      </w:r>
      <w:r w:rsidRPr="00DC7D0A" w:rsidR="003E464B">
        <w:t>submitted one year later, on 22 </w:t>
      </w:r>
      <w:r w:rsidRPr="00DC7D0A" w:rsidR="00D337B2">
        <w:t>June 2007.</w:t>
      </w:r>
    </w:p>
    <w:p w:rsidRPr="00DC7D0A" w:rsidR="009B114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17</w:t>
      </w:r>
      <w:r w:rsidRPr="00DC7D0A">
        <w:fldChar w:fldCharType="end"/>
      </w:r>
      <w:r w:rsidRPr="00DC7D0A">
        <w:t>.  </w:t>
      </w:r>
      <w:r w:rsidRPr="00DC7D0A" w:rsidR="00D337B2">
        <w:t xml:space="preserve">At </w:t>
      </w:r>
      <w:r w:rsidRPr="00DC7D0A" w:rsidR="00FA6EFB">
        <w:t xml:space="preserve">a </w:t>
      </w:r>
      <w:r w:rsidRPr="00DC7D0A" w:rsidR="00D337B2">
        <w:t>hearing o</w:t>
      </w:r>
      <w:r w:rsidRPr="00DC7D0A" w:rsidR="00FA6EFB">
        <w:t>n</w:t>
      </w:r>
      <w:r w:rsidRPr="00DC7D0A" w:rsidR="00D337B2">
        <w:t xml:space="preserve"> 18 October 2007 the court decided that further defendants should join the proceedings.</w:t>
      </w:r>
    </w:p>
    <w:p w:rsidRPr="00DC7D0A" w:rsidR="00D337B2"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18</w:t>
      </w:r>
      <w:r w:rsidRPr="00DC7D0A">
        <w:fldChar w:fldCharType="end"/>
      </w:r>
      <w:r w:rsidRPr="00DC7D0A">
        <w:t>.  </w:t>
      </w:r>
      <w:r w:rsidRPr="00DC7D0A" w:rsidR="00FA6EFB">
        <w:t xml:space="preserve">A </w:t>
      </w:r>
      <w:r w:rsidRPr="00DC7D0A" w:rsidR="00D337B2">
        <w:t>viewing of the land took place on 6 November 2007. Afterwards anther expert opinion on road construction was ordered by the court.</w:t>
      </w:r>
      <w:r w:rsidRPr="00DC7D0A" w:rsidR="003E464B">
        <w:t xml:space="preserve"> I</w:t>
      </w:r>
      <w:r w:rsidRPr="00DC7D0A" w:rsidR="00D337B2">
        <w:t>t was submitted to the court in January 2008</w:t>
      </w:r>
      <w:r w:rsidRPr="00DC7D0A" w:rsidR="00FA6EFB">
        <w:t xml:space="preserve"> and</w:t>
      </w:r>
      <w:r w:rsidRPr="00DC7D0A" w:rsidR="00D337B2">
        <w:t xml:space="preserve"> </w:t>
      </w:r>
      <w:r w:rsidRPr="00DC7D0A" w:rsidR="00FA6EFB">
        <w:t>t</w:t>
      </w:r>
      <w:r w:rsidRPr="00DC7D0A" w:rsidR="00D337B2">
        <w:t>he parties</w:t>
      </w:r>
      <w:r w:rsidRPr="00DC7D0A" w:rsidR="00FA6EFB">
        <w:t xml:space="preserve"> duly</w:t>
      </w:r>
      <w:r w:rsidRPr="00DC7D0A" w:rsidR="00D337B2">
        <w:t xml:space="preserve"> commented on </w:t>
      </w:r>
      <w:r w:rsidRPr="00DC7D0A" w:rsidR="00FA6EFB">
        <w:t>i</w:t>
      </w:r>
      <w:r w:rsidRPr="00DC7D0A" w:rsidR="00D337B2">
        <w:t>t.</w:t>
      </w:r>
    </w:p>
    <w:p w:rsidRPr="00DC7D0A" w:rsidR="00242DDA"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19</w:t>
      </w:r>
      <w:r w:rsidRPr="00DC7D0A">
        <w:fldChar w:fldCharType="end"/>
      </w:r>
      <w:r w:rsidRPr="00DC7D0A">
        <w:t>.  </w:t>
      </w:r>
      <w:r w:rsidRPr="00DC7D0A" w:rsidR="00D337B2">
        <w:t xml:space="preserve">At </w:t>
      </w:r>
      <w:r w:rsidRPr="00DC7D0A" w:rsidR="00FA6EFB">
        <w:t>a</w:t>
      </w:r>
      <w:r w:rsidRPr="00DC7D0A" w:rsidR="00D337B2">
        <w:t xml:space="preserve"> </w:t>
      </w:r>
      <w:r w:rsidRPr="00DC7D0A">
        <w:t>hearing</w:t>
      </w:r>
      <w:r w:rsidRPr="00DC7D0A" w:rsidR="00D337B2">
        <w:t xml:space="preserve"> o</w:t>
      </w:r>
      <w:r w:rsidRPr="00DC7D0A" w:rsidR="00FA6EFB">
        <w:t>n</w:t>
      </w:r>
      <w:r w:rsidRPr="00DC7D0A" w:rsidR="00D337B2">
        <w:t xml:space="preserve"> 23 July 2008 the court </w:t>
      </w:r>
      <w:r w:rsidRPr="00DC7D0A" w:rsidR="00FA6EFB">
        <w:t xml:space="preserve">questioned </w:t>
      </w:r>
      <w:r w:rsidRPr="00DC7D0A" w:rsidR="00D337B2">
        <w:t xml:space="preserve">the expert and </w:t>
      </w:r>
      <w:r w:rsidRPr="00DC7D0A">
        <w:t>requested</w:t>
      </w:r>
      <w:r w:rsidRPr="00DC7D0A" w:rsidR="00D337B2">
        <w:t xml:space="preserve"> </w:t>
      </w:r>
      <w:r w:rsidRPr="00DC7D0A" w:rsidR="00FA6EFB">
        <w:t xml:space="preserve">the </w:t>
      </w:r>
      <w:r w:rsidRPr="00DC7D0A">
        <w:t>preparation</w:t>
      </w:r>
      <w:r w:rsidRPr="00DC7D0A" w:rsidR="00D337B2">
        <w:t xml:space="preserve"> of another expert opinion on</w:t>
      </w:r>
      <w:r w:rsidRPr="00DC7D0A" w:rsidR="003E464B">
        <w:t xml:space="preserve"> the</w:t>
      </w:r>
      <w:r w:rsidRPr="00DC7D0A" w:rsidR="00D337B2">
        <w:t xml:space="preserve"> value of the plot of land.</w:t>
      </w:r>
    </w:p>
    <w:p w:rsidRPr="00DC7D0A" w:rsidR="009B114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20</w:t>
      </w:r>
      <w:r w:rsidRPr="00DC7D0A">
        <w:fldChar w:fldCharType="end"/>
      </w:r>
      <w:r w:rsidRPr="00DC7D0A">
        <w:t>.  </w:t>
      </w:r>
      <w:r w:rsidRPr="00DC7D0A" w:rsidR="00F97CA4">
        <w:t xml:space="preserve">The opinion was submitted </w:t>
      </w:r>
      <w:r w:rsidRPr="00DC7D0A" w:rsidR="003E464B">
        <w:t xml:space="preserve">to the court </w:t>
      </w:r>
      <w:r w:rsidRPr="00DC7D0A" w:rsidR="00F97CA4">
        <w:t xml:space="preserve">on 12 </w:t>
      </w:r>
      <w:r w:rsidRPr="00DC7D0A">
        <w:t>January</w:t>
      </w:r>
      <w:r w:rsidRPr="00DC7D0A" w:rsidR="00F97CA4">
        <w:t xml:space="preserve"> 2009.</w:t>
      </w:r>
    </w:p>
    <w:p w:rsidRPr="00DC7D0A" w:rsidR="009B114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21</w:t>
      </w:r>
      <w:r w:rsidRPr="00DC7D0A">
        <w:fldChar w:fldCharType="end"/>
      </w:r>
      <w:r w:rsidRPr="00DC7D0A">
        <w:t>.  </w:t>
      </w:r>
      <w:r w:rsidRPr="00DC7D0A" w:rsidR="00F97CA4">
        <w:t xml:space="preserve">The court held a </w:t>
      </w:r>
      <w:r w:rsidRPr="00DC7D0A">
        <w:t>hearing</w:t>
      </w:r>
      <w:r w:rsidRPr="00DC7D0A" w:rsidR="00F97CA4">
        <w:t xml:space="preserve"> on 25 November 2009 and decided to hold another viewing </w:t>
      </w:r>
      <w:r w:rsidRPr="00DC7D0A">
        <w:t>of</w:t>
      </w:r>
      <w:r w:rsidRPr="00DC7D0A" w:rsidR="00F97CA4">
        <w:t xml:space="preserve"> the property. </w:t>
      </w:r>
      <w:r w:rsidRPr="00DC7D0A">
        <w:t>Two</w:t>
      </w:r>
      <w:r w:rsidRPr="00DC7D0A" w:rsidR="00F97CA4">
        <w:t xml:space="preserve"> subsequent viewings scheduled for December 2009 and February 2010 were cancelled due to </w:t>
      </w:r>
      <w:r w:rsidRPr="00DC7D0A" w:rsidR="00FA6EFB">
        <w:t xml:space="preserve">the </w:t>
      </w:r>
      <w:r w:rsidRPr="00DC7D0A" w:rsidR="00F97CA4">
        <w:t>weather conditions.</w:t>
      </w:r>
    </w:p>
    <w:p w:rsidRPr="00DC7D0A" w:rsidR="00F82AFB"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22</w:t>
      </w:r>
      <w:r w:rsidRPr="00DC7D0A">
        <w:fldChar w:fldCharType="end"/>
      </w:r>
      <w:r w:rsidRPr="00DC7D0A">
        <w:t>.  </w:t>
      </w:r>
      <w:r w:rsidRPr="00DC7D0A" w:rsidR="00F82AFB">
        <w:t xml:space="preserve">A hearing was held on 4 March 2010 </w:t>
      </w:r>
      <w:r w:rsidRPr="00DC7D0A">
        <w:t>and</w:t>
      </w:r>
      <w:r w:rsidRPr="00DC7D0A" w:rsidR="00F82AFB">
        <w:t xml:space="preserve"> on 30 April 2010 </w:t>
      </w:r>
      <w:r w:rsidRPr="00DC7D0A" w:rsidR="003E464B">
        <w:t>the court</w:t>
      </w:r>
      <w:r w:rsidRPr="00DC7D0A" w:rsidR="00F82AFB">
        <w:t xml:space="preserve"> held a viewing </w:t>
      </w:r>
      <w:r w:rsidRPr="00DC7D0A">
        <w:t>of</w:t>
      </w:r>
      <w:r w:rsidRPr="00DC7D0A" w:rsidR="00F82AFB">
        <w:t xml:space="preserve"> the land.</w:t>
      </w:r>
    </w:p>
    <w:p w:rsidRPr="00DC7D0A" w:rsidR="003E464B" w:rsidP="00DC7D0A" w:rsidRDefault="003E464B">
      <w:pPr>
        <w:pStyle w:val="ECHRPara"/>
      </w:pPr>
      <w:r w:rsidRPr="00DC7D0A">
        <w:fldChar w:fldCharType="begin"/>
      </w:r>
      <w:r w:rsidRPr="00DC7D0A">
        <w:instrText xml:space="preserve"> SEQ level0 \*arabic </w:instrText>
      </w:r>
      <w:r w:rsidRPr="00DC7D0A">
        <w:fldChar w:fldCharType="separate"/>
      </w:r>
      <w:r w:rsidRPr="00DC7D0A" w:rsidR="00DC7D0A">
        <w:rPr>
          <w:noProof/>
        </w:rPr>
        <w:t>23</w:t>
      </w:r>
      <w:r w:rsidRPr="00DC7D0A">
        <w:fldChar w:fldCharType="end"/>
      </w:r>
      <w:r w:rsidRPr="00DC7D0A">
        <w:t>.  Another expert opinion ordered by the court was prepared on 6</w:t>
      </w:r>
      <w:r w:rsidRPr="00DC7D0A" w:rsidR="00FA6EFB">
        <w:t> </w:t>
      </w:r>
      <w:r w:rsidRPr="00DC7D0A">
        <w:t>August 2010.</w:t>
      </w:r>
    </w:p>
    <w:p w:rsidRPr="00DC7D0A" w:rsidR="003E464B" w:rsidP="00DC7D0A" w:rsidRDefault="003E464B">
      <w:pPr>
        <w:pStyle w:val="ECHRPara"/>
      </w:pPr>
      <w:r w:rsidRPr="00DC7D0A">
        <w:fldChar w:fldCharType="begin"/>
      </w:r>
      <w:r w:rsidRPr="00DC7D0A">
        <w:instrText xml:space="preserve"> SEQ level0 \*arabic </w:instrText>
      </w:r>
      <w:r w:rsidRPr="00DC7D0A">
        <w:fldChar w:fldCharType="separate"/>
      </w:r>
      <w:r w:rsidRPr="00DC7D0A" w:rsidR="00DC7D0A">
        <w:rPr>
          <w:noProof/>
        </w:rPr>
        <w:t>24</w:t>
      </w:r>
      <w:r w:rsidRPr="00DC7D0A">
        <w:fldChar w:fldCharType="end"/>
      </w:r>
      <w:r w:rsidRPr="00DC7D0A">
        <w:t>.  The court held hearings in March 2011</w:t>
      </w:r>
      <w:r w:rsidRPr="00DC7D0A" w:rsidR="00663490">
        <w:t>.</w:t>
      </w:r>
      <w:r w:rsidRPr="00DC7D0A">
        <w:t xml:space="preserve"> </w:t>
      </w:r>
      <w:r w:rsidRPr="00DC7D0A" w:rsidR="00663490">
        <w:t>O</w:t>
      </w:r>
      <w:r w:rsidRPr="00DC7D0A">
        <w:t xml:space="preserve">n 31 March 2011 it gave </w:t>
      </w:r>
      <w:r w:rsidRPr="00DC7D0A" w:rsidR="00663490">
        <w:t>a</w:t>
      </w:r>
      <w:r w:rsidRPr="00DC7D0A">
        <w:t xml:space="preserve"> decision</w:t>
      </w:r>
      <w:r w:rsidRPr="00DC7D0A" w:rsidR="00517FDB">
        <w:t xml:space="preserve"> </w:t>
      </w:r>
      <w:r w:rsidRPr="00DC7D0A">
        <w:t>granting the applicant the easement in question.</w:t>
      </w:r>
    </w:p>
    <w:p w:rsidRPr="00DC7D0A" w:rsidR="003E464B" w:rsidP="00DC7D0A" w:rsidRDefault="003E464B">
      <w:pPr>
        <w:pStyle w:val="ECHRPara"/>
      </w:pPr>
      <w:r w:rsidRPr="00DC7D0A">
        <w:fldChar w:fldCharType="begin"/>
      </w:r>
      <w:r w:rsidRPr="00DC7D0A">
        <w:instrText xml:space="preserve"> SEQ level0 \*arabic </w:instrText>
      </w:r>
      <w:r w:rsidRPr="00DC7D0A">
        <w:fldChar w:fldCharType="separate"/>
      </w:r>
      <w:r w:rsidRPr="00DC7D0A" w:rsidR="00DC7D0A">
        <w:rPr>
          <w:noProof/>
        </w:rPr>
        <w:t>25</w:t>
      </w:r>
      <w:r w:rsidRPr="00DC7D0A">
        <w:fldChar w:fldCharType="end"/>
      </w:r>
      <w:r w:rsidRPr="00DC7D0A">
        <w:t>.  The defendants appealed.</w:t>
      </w:r>
    </w:p>
    <w:p w:rsidRPr="00DC7D0A" w:rsidR="00F82AFB" w:rsidP="00DC7D0A" w:rsidRDefault="003E464B">
      <w:pPr>
        <w:pStyle w:val="ECHRPara"/>
      </w:pPr>
      <w:r w:rsidRPr="00DC7D0A">
        <w:fldChar w:fldCharType="begin"/>
      </w:r>
      <w:r w:rsidRPr="00DC7D0A">
        <w:instrText xml:space="preserve"> SEQ level0 \*arabic </w:instrText>
      </w:r>
      <w:r w:rsidRPr="00DC7D0A">
        <w:fldChar w:fldCharType="separate"/>
      </w:r>
      <w:r w:rsidRPr="00DC7D0A" w:rsidR="00DC7D0A">
        <w:rPr>
          <w:noProof/>
        </w:rPr>
        <w:t>26</w:t>
      </w:r>
      <w:r w:rsidRPr="00DC7D0A">
        <w:fldChar w:fldCharType="end"/>
      </w:r>
      <w:r w:rsidRPr="00DC7D0A">
        <w:t>.  On 22 February 2012 the Gliwice Regional Court finally dismissed the appeals.</w:t>
      </w:r>
    </w:p>
    <w:p w:rsidRPr="00DC7D0A" w:rsidR="001A4083" w:rsidP="00DC7D0A" w:rsidRDefault="009B114D">
      <w:pPr>
        <w:pStyle w:val="ECHRHeading2"/>
      </w:pPr>
      <w:r w:rsidRPr="00DC7D0A">
        <w:t>B</w:t>
      </w:r>
      <w:r w:rsidRPr="00DC7D0A" w:rsidR="001A4083">
        <w:t>.  Proceedings under the 2004 Act</w:t>
      </w:r>
    </w:p>
    <w:p w:rsidRPr="00DC7D0A" w:rsidR="001A4083" w:rsidP="00DC7D0A" w:rsidRDefault="001A4083">
      <w:pPr>
        <w:pStyle w:val="ECHRPara"/>
        <w:rPr>
          <w:color w:val="000000"/>
        </w:rPr>
      </w:pPr>
      <w:r w:rsidRPr="00DC7D0A">
        <w:fldChar w:fldCharType="begin"/>
      </w:r>
      <w:r w:rsidRPr="00DC7D0A">
        <w:instrText xml:space="preserve"> SEQ level0 \*arabic </w:instrText>
      </w:r>
      <w:r w:rsidRPr="00DC7D0A">
        <w:fldChar w:fldCharType="separate"/>
      </w:r>
      <w:r w:rsidRPr="00DC7D0A" w:rsidR="00DC7D0A">
        <w:rPr>
          <w:noProof/>
        </w:rPr>
        <w:t>27</w:t>
      </w:r>
      <w:r w:rsidRPr="00DC7D0A">
        <w:fldChar w:fldCharType="end"/>
      </w:r>
      <w:r w:rsidRPr="00DC7D0A" w:rsidR="00681CC1">
        <w:t xml:space="preserve">.  On 9 December </w:t>
      </w:r>
      <w:r w:rsidRPr="00DC7D0A">
        <w:t xml:space="preserve">2004 the applicant </w:t>
      </w:r>
      <w:r w:rsidRPr="00DC7D0A">
        <w:rPr>
          <w:color w:val="000000"/>
        </w:rPr>
        <w:t>lodged a complaint with the Gliwice Reg</w:t>
      </w:r>
      <w:r w:rsidRPr="00DC7D0A" w:rsidR="00681CC1">
        <w:rPr>
          <w:color w:val="000000"/>
        </w:rPr>
        <w:t xml:space="preserve">ional Court under the Law of 17 June </w:t>
      </w:r>
      <w:r w:rsidRPr="00DC7D0A">
        <w:rPr>
          <w:color w:val="000000"/>
        </w:rPr>
        <w:t xml:space="preserve">2004 </w:t>
      </w:r>
      <w:r w:rsidRPr="00DC7D0A" w:rsidR="00BA09C9">
        <w:rPr>
          <w:color w:val="000000"/>
        </w:rPr>
        <w:t>on complaint about breach of the right to have a case examined in judicial proceedings without undue delay (</w:t>
      </w:r>
      <w:proofErr w:type="spellStart"/>
      <w:r w:rsidRPr="00DC7D0A" w:rsidR="00BA09C9">
        <w:rPr>
          <w:i/>
          <w:iCs/>
          <w:color w:val="000000"/>
        </w:rPr>
        <w:t>ustawa</w:t>
      </w:r>
      <w:proofErr w:type="spellEnd"/>
      <w:r w:rsidRPr="00DC7D0A" w:rsidR="00BA09C9">
        <w:rPr>
          <w:i/>
          <w:iCs/>
          <w:color w:val="000000"/>
        </w:rPr>
        <w:t xml:space="preserve"> o </w:t>
      </w:r>
      <w:proofErr w:type="spellStart"/>
      <w:r w:rsidRPr="00DC7D0A" w:rsidR="00BA09C9">
        <w:rPr>
          <w:i/>
          <w:iCs/>
          <w:color w:val="000000"/>
        </w:rPr>
        <w:t>skardze</w:t>
      </w:r>
      <w:proofErr w:type="spellEnd"/>
      <w:r w:rsidRPr="00DC7D0A" w:rsidR="00BA09C9">
        <w:rPr>
          <w:i/>
          <w:iCs/>
          <w:color w:val="000000"/>
        </w:rPr>
        <w:t xml:space="preserve"> </w:t>
      </w:r>
      <w:proofErr w:type="spellStart"/>
      <w:r w:rsidRPr="00DC7D0A" w:rsidR="00BA09C9">
        <w:rPr>
          <w:i/>
          <w:iCs/>
          <w:color w:val="000000"/>
        </w:rPr>
        <w:t>na</w:t>
      </w:r>
      <w:proofErr w:type="spellEnd"/>
      <w:r w:rsidRPr="00DC7D0A" w:rsidR="00BA09C9">
        <w:rPr>
          <w:i/>
          <w:iCs/>
          <w:color w:val="000000"/>
        </w:rPr>
        <w:t xml:space="preserve"> </w:t>
      </w:r>
      <w:proofErr w:type="spellStart"/>
      <w:r w:rsidRPr="00DC7D0A" w:rsidR="00BA09C9">
        <w:rPr>
          <w:i/>
          <w:iCs/>
          <w:color w:val="000000"/>
        </w:rPr>
        <w:t>naruszenie</w:t>
      </w:r>
      <w:proofErr w:type="spellEnd"/>
      <w:r w:rsidRPr="00DC7D0A" w:rsidR="00BA09C9">
        <w:rPr>
          <w:i/>
          <w:iCs/>
          <w:color w:val="000000"/>
        </w:rPr>
        <w:t xml:space="preserve"> </w:t>
      </w:r>
      <w:proofErr w:type="spellStart"/>
      <w:r w:rsidRPr="00DC7D0A" w:rsidR="00BA09C9">
        <w:rPr>
          <w:i/>
          <w:iCs/>
          <w:color w:val="000000"/>
        </w:rPr>
        <w:t>prawa</w:t>
      </w:r>
      <w:proofErr w:type="spellEnd"/>
      <w:r w:rsidRPr="00DC7D0A" w:rsidR="00BA09C9">
        <w:rPr>
          <w:i/>
          <w:iCs/>
          <w:color w:val="000000"/>
        </w:rPr>
        <w:t xml:space="preserve"> </w:t>
      </w:r>
      <w:proofErr w:type="spellStart"/>
      <w:r w:rsidRPr="00DC7D0A" w:rsidR="00BA09C9">
        <w:rPr>
          <w:i/>
          <w:iCs/>
          <w:color w:val="000000"/>
        </w:rPr>
        <w:t>strony</w:t>
      </w:r>
      <w:proofErr w:type="spellEnd"/>
      <w:r w:rsidRPr="00DC7D0A" w:rsidR="00BA09C9">
        <w:rPr>
          <w:i/>
          <w:iCs/>
          <w:color w:val="000000"/>
        </w:rPr>
        <w:t xml:space="preserve"> do </w:t>
      </w:r>
      <w:proofErr w:type="spellStart"/>
      <w:r w:rsidRPr="00DC7D0A" w:rsidR="00BA09C9">
        <w:rPr>
          <w:i/>
          <w:iCs/>
          <w:color w:val="000000"/>
        </w:rPr>
        <w:t>rozpoznania</w:t>
      </w:r>
      <w:proofErr w:type="spellEnd"/>
      <w:r w:rsidRPr="00DC7D0A" w:rsidR="00BA09C9">
        <w:rPr>
          <w:i/>
          <w:iCs/>
          <w:color w:val="000000"/>
        </w:rPr>
        <w:t xml:space="preserve"> </w:t>
      </w:r>
      <w:proofErr w:type="spellStart"/>
      <w:r w:rsidRPr="00DC7D0A" w:rsidR="00BA09C9">
        <w:rPr>
          <w:i/>
          <w:iCs/>
          <w:color w:val="000000"/>
        </w:rPr>
        <w:t>sprawy</w:t>
      </w:r>
      <w:proofErr w:type="spellEnd"/>
      <w:r w:rsidRPr="00DC7D0A" w:rsidR="00BA09C9">
        <w:rPr>
          <w:i/>
          <w:iCs/>
          <w:color w:val="000000"/>
        </w:rPr>
        <w:t xml:space="preserve"> w </w:t>
      </w:r>
      <w:proofErr w:type="spellStart"/>
      <w:r w:rsidRPr="00DC7D0A" w:rsidR="00BA09C9">
        <w:rPr>
          <w:i/>
          <w:iCs/>
          <w:color w:val="000000"/>
        </w:rPr>
        <w:t>postępowaniu</w:t>
      </w:r>
      <w:proofErr w:type="spellEnd"/>
      <w:r w:rsidRPr="00DC7D0A" w:rsidR="00BA09C9">
        <w:rPr>
          <w:i/>
          <w:iCs/>
          <w:color w:val="000000"/>
        </w:rPr>
        <w:t xml:space="preserve"> </w:t>
      </w:r>
      <w:proofErr w:type="spellStart"/>
      <w:r w:rsidRPr="00DC7D0A" w:rsidR="00BA09C9">
        <w:rPr>
          <w:i/>
          <w:iCs/>
          <w:color w:val="000000"/>
        </w:rPr>
        <w:t>sądowym</w:t>
      </w:r>
      <w:proofErr w:type="spellEnd"/>
      <w:r w:rsidRPr="00DC7D0A" w:rsidR="00BA09C9">
        <w:rPr>
          <w:i/>
          <w:iCs/>
          <w:color w:val="000000"/>
        </w:rPr>
        <w:t xml:space="preserve"> bez </w:t>
      </w:r>
      <w:proofErr w:type="spellStart"/>
      <w:r w:rsidRPr="00DC7D0A" w:rsidR="00BA09C9">
        <w:rPr>
          <w:i/>
          <w:iCs/>
          <w:color w:val="000000"/>
        </w:rPr>
        <w:t>nieuzasadnionej</w:t>
      </w:r>
      <w:proofErr w:type="spellEnd"/>
      <w:r w:rsidRPr="00DC7D0A" w:rsidR="00BA09C9">
        <w:rPr>
          <w:i/>
          <w:iCs/>
          <w:color w:val="000000"/>
        </w:rPr>
        <w:t xml:space="preserve"> </w:t>
      </w:r>
      <w:proofErr w:type="spellStart"/>
      <w:r w:rsidRPr="00DC7D0A" w:rsidR="00BA09C9">
        <w:rPr>
          <w:i/>
          <w:iCs/>
          <w:color w:val="000000"/>
        </w:rPr>
        <w:t>zwłoki</w:t>
      </w:r>
      <w:proofErr w:type="spellEnd"/>
      <w:r w:rsidRPr="00DC7D0A" w:rsidR="00BA09C9">
        <w:rPr>
          <w:i/>
          <w:iCs/>
          <w:color w:val="000000"/>
        </w:rPr>
        <w:t xml:space="preserve"> – </w:t>
      </w:r>
      <w:r w:rsidRPr="00DC7D0A" w:rsidR="00BA09C9">
        <w:rPr>
          <w:color w:val="000000"/>
        </w:rPr>
        <w:t>“the 2004 Act”).</w:t>
      </w:r>
      <w:r w:rsidRPr="00DC7D0A" w:rsidR="000433B2">
        <w:rPr>
          <w:color w:val="000000"/>
        </w:rPr>
        <w:t xml:space="preserve"> </w:t>
      </w:r>
      <w:r w:rsidRPr="00DC7D0A">
        <w:rPr>
          <w:color w:val="000000"/>
        </w:rPr>
        <w:t xml:space="preserve">She </w:t>
      </w:r>
      <w:r w:rsidRPr="00DC7D0A" w:rsidR="00236AE3">
        <w:rPr>
          <w:color w:val="000000"/>
        </w:rPr>
        <w:t>st</w:t>
      </w:r>
      <w:r w:rsidRPr="00DC7D0A">
        <w:rPr>
          <w:color w:val="000000"/>
        </w:rPr>
        <w:t xml:space="preserve">ated that she had lodged her claim in 1999 and that her case had </w:t>
      </w:r>
      <w:r w:rsidRPr="00DC7D0A" w:rsidR="003176FC">
        <w:rPr>
          <w:color w:val="000000"/>
        </w:rPr>
        <w:t xml:space="preserve">still </w:t>
      </w:r>
      <w:r w:rsidRPr="00DC7D0A">
        <w:rPr>
          <w:color w:val="000000"/>
        </w:rPr>
        <w:t xml:space="preserve">not been examined. She </w:t>
      </w:r>
      <w:r w:rsidRPr="00DC7D0A" w:rsidR="00236AE3">
        <w:rPr>
          <w:color w:val="000000"/>
        </w:rPr>
        <w:t>also</w:t>
      </w:r>
      <w:r w:rsidRPr="00DC7D0A">
        <w:rPr>
          <w:color w:val="000000"/>
        </w:rPr>
        <w:t xml:space="preserve"> claimed PLN 10,000 in compensation.</w:t>
      </w:r>
    </w:p>
    <w:p w:rsidRPr="00DC7D0A" w:rsidR="00667A9D" w:rsidP="00DC7D0A" w:rsidRDefault="005105FB">
      <w:pPr>
        <w:pStyle w:val="ECHRPara"/>
        <w:rPr>
          <w:color w:val="000000"/>
        </w:rPr>
      </w:pPr>
      <w:r w:rsidRPr="00DC7D0A">
        <w:rPr>
          <w:color w:val="000000"/>
        </w:rPr>
        <w:fldChar w:fldCharType="begin"/>
      </w:r>
      <w:r w:rsidRPr="00DC7D0A">
        <w:rPr>
          <w:color w:val="000000"/>
        </w:rPr>
        <w:instrText xml:space="preserve"> SEQ level0 \*arabic </w:instrText>
      </w:r>
      <w:r w:rsidRPr="00DC7D0A">
        <w:rPr>
          <w:color w:val="000000"/>
        </w:rPr>
        <w:fldChar w:fldCharType="separate"/>
      </w:r>
      <w:r w:rsidRPr="00DC7D0A" w:rsidR="00DC7D0A">
        <w:rPr>
          <w:noProof/>
          <w:color w:val="000000"/>
        </w:rPr>
        <w:t>28</w:t>
      </w:r>
      <w:r w:rsidRPr="00DC7D0A">
        <w:rPr>
          <w:color w:val="000000"/>
        </w:rPr>
        <w:fldChar w:fldCharType="end"/>
      </w:r>
      <w:r w:rsidRPr="00DC7D0A">
        <w:rPr>
          <w:color w:val="000000"/>
        </w:rPr>
        <w:t>.  </w:t>
      </w:r>
      <w:r w:rsidRPr="00DC7D0A" w:rsidR="00681CC1">
        <w:rPr>
          <w:color w:val="000000"/>
        </w:rPr>
        <w:t xml:space="preserve">By a decision of 21 December </w:t>
      </w:r>
      <w:r w:rsidRPr="00DC7D0A" w:rsidR="001A4083">
        <w:rPr>
          <w:color w:val="000000"/>
        </w:rPr>
        <w:t>2004 (file no. III S 36/04) the Gliwice Regional Court rejected the claim on formal grounds, having found</w:t>
      </w:r>
      <w:r w:rsidRPr="00DC7D0A" w:rsidR="00667A9D">
        <w:rPr>
          <w:color w:val="000000"/>
        </w:rPr>
        <w:t xml:space="preserve"> that the applicant “had not specified the circumstances </w:t>
      </w:r>
      <w:r w:rsidRPr="00DC7D0A" w:rsidR="00236AE3">
        <w:rPr>
          <w:color w:val="000000"/>
        </w:rPr>
        <w:t>o</w:t>
      </w:r>
      <w:r w:rsidRPr="00DC7D0A" w:rsidR="00667A9D">
        <w:rPr>
          <w:color w:val="000000"/>
        </w:rPr>
        <w:t>n which her complaint had been based.”</w:t>
      </w:r>
    </w:p>
    <w:p w:rsidRPr="00DC7D0A" w:rsidR="001A4083" w:rsidP="00DC7D0A" w:rsidRDefault="001A4083">
      <w:pPr>
        <w:pStyle w:val="ECHRPara"/>
        <w:rPr>
          <w:color w:val="000000"/>
        </w:rPr>
      </w:pPr>
      <w:r w:rsidRPr="00DC7D0A">
        <w:rPr>
          <w:color w:val="000000"/>
        </w:rPr>
        <w:fldChar w:fldCharType="begin"/>
      </w:r>
      <w:r w:rsidRPr="00DC7D0A">
        <w:rPr>
          <w:color w:val="000000"/>
        </w:rPr>
        <w:instrText xml:space="preserve"> SEQ level0 \*arabic </w:instrText>
      </w:r>
      <w:r w:rsidRPr="00DC7D0A">
        <w:rPr>
          <w:color w:val="000000"/>
        </w:rPr>
        <w:fldChar w:fldCharType="separate"/>
      </w:r>
      <w:r w:rsidRPr="00DC7D0A" w:rsidR="00DC7D0A">
        <w:rPr>
          <w:noProof/>
          <w:color w:val="000000"/>
        </w:rPr>
        <w:t>29</w:t>
      </w:r>
      <w:r w:rsidRPr="00DC7D0A">
        <w:rPr>
          <w:color w:val="000000"/>
        </w:rPr>
        <w:fldChar w:fldCharType="end"/>
      </w:r>
      <w:r w:rsidRPr="00DC7D0A">
        <w:rPr>
          <w:color w:val="000000"/>
        </w:rPr>
        <w:t>.  Subsequently, the applicant lodged another complaint under the 2004 Act. She sought a finding that the length of the proceedings had been excessive and claimed PLN 10,000 in compensation.</w:t>
      </w:r>
    </w:p>
    <w:p w:rsidRPr="00DC7D0A" w:rsidR="00222F0C" w:rsidP="00DC7D0A" w:rsidRDefault="001A4083">
      <w:pPr>
        <w:pStyle w:val="ECHRPara"/>
      </w:pPr>
      <w:r w:rsidRPr="00DC7D0A">
        <w:fldChar w:fldCharType="begin"/>
      </w:r>
      <w:r w:rsidRPr="00DC7D0A">
        <w:instrText xml:space="preserve"> SEQ level0 \*arabic </w:instrText>
      </w:r>
      <w:r w:rsidRPr="00DC7D0A">
        <w:fldChar w:fldCharType="separate"/>
      </w:r>
      <w:r w:rsidRPr="00DC7D0A" w:rsidR="00DC7D0A">
        <w:rPr>
          <w:noProof/>
        </w:rPr>
        <w:t>30</w:t>
      </w:r>
      <w:r w:rsidRPr="00DC7D0A">
        <w:fldChar w:fldCharType="end"/>
      </w:r>
      <w:r w:rsidRPr="00DC7D0A" w:rsidR="00681CC1">
        <w:t xml:space="preserve">.  By a decision of 5 April </w:t>
      </w:r>
      <w:r w:rsidRPr="00DC7D0A">
        <w:t xml:space="preserve">2006 (file no. III S 7/06) the </w:t>
      </w:r>
      <w:smartTag w:uri="urn:schemas-microsoft-com:office:smarttags" w:element="Street">
        <w:smartTag w:uri="urn:schemas-microsoft-com:office:smarttags" w:element="address">
          <w:r w:rsidRPr="00DC7D0A">
            <w:t>Gliwice Regional Court</w:t>
          </w:r>
        </w:smartTag>
      </w:smartTag>
      <w:r w:rsidRPr="00DC7D0A">
        <w:t xml:space="preserve"> dismissed the claim. It analysed in detail the course of the proceedings </w:t>
      </w:r>
      <w:r w:rsidRPr="00DC7D0A" w:rsidR="00D7279F">
        <w:t xml:space="preserve">after September 2004 </w:t>
      </w:r>
      <w:r w:rsidRPr="00DC7D0A">
        <w:t xml:space="preserve">and held that they had generally </w:t>
      </w:r>
      <w:r w:rsidRPr="00DC7D0A" w:rsidR="00236AE3">
        <w:t xml:space="preserve">been </w:t>
      </w:r>
      <w:r w:rsidRPr="00DC7D0A">
        <w:t>conducted in a correct and timely manner.</w:t>
      </w:r>
      <w:r w:rsidRPr="00DC7D0A" w:rsidR="00D7279F">
        <w:t xml:space="preserve"> As regards the period prior to </w:t>
      </w:r>
      <w:r w:rsidRPr="00DC7D0A" w:rsidR="002E0BCE">
        <w:t>September 2004</w:t>
      </w:r>
      <w:r w:rsidRPr="00DC7D0A" w:rsidR="00D7279F">
        <w:t>, the court relied on the Supreme Court</w:t>
      </w:r>
      <w:r w:rsidRPr="00DC7D0A" w:rsidR="00DC7D0A">
        <w:t>’</w:t>
      </w:r>
      <w:r w:rsidRPr="00DC7D0A" w:rsidR="00D7279F">
        <w:t xml:space="preserve">s jurisprudence and </w:t>
      </w:r>
      <w:r w:rsidRPr="00DC7D0A" w:rsidR="002E0BCE">
        <w:t xml:space="preserve">held that the 2004 Act </w:t>
      </w:r>
      <w:r w:rsidRPr="00DC7D0A" w:rsidR="00222F0C">
        <w:t>applied to delays caused by the court</w:t>
      </w:r>
      <w:r w:rsidRPr="00DC7D0A" w:rsidR="00DC7D0A">
        <w:t>’</w:t>
      </w:r>
      <w:r w:rsidRPr="00DC7D0A" w:rsidR="00222F0C">
        <w:t>s inactivity occurring before that date but only if that delay still continued; what had not been the case in the case under the consideration.</w:t>
      </w:r>
    </w:p>
    <w:p w:rsidRPr="00DC7D0A" w:rsidR="004C154E" w:rsidP="00DC7D0A" w:rsidRDefault="004C154E">
      <w:pPr>
        <w:pStyle w:val="ECHRHeading1"/>
      </w:pPr>
      <w:r w:rsidRPr="00DC7D0A">
        <w:t>II.</w:t>
      </w:r>
      <w:proofErr w:type="gramStart"/>
      <w:r w:rsidRPr="00DC7D0A">
        <w:t>  RELEVANT</w:t>
      </w:r>
      <w:proofErr w:type="gramEnd"/>
      <w:r w:rsidRPr="00DC7D0A">
        <w:t xml:space="preserve"> DOMESTIC LAW AND PRACTICE</w:t>
      </w:r>
    </w:p>
    <w:p w:rsidRPr="00DC7D0A" w:rsidR="004C154E" w:rsidP="00DC7D0A" w:rsidRDefault="007E2A63">
      <w:pPr>
        <w:pStyle w:val="ECHRPara"/>
      </w:pPr>
      <w:r w:rsidRPr="00DC7D0A">
        <w:rPr>
          <w:lang w:val="en-US"/>
        </w:rPr>
        <w:fldChar w:fldCharType="begin"/>
      </w:r>
      <w:r w:rsidRPr="00DC7D0A">
        <w:rPr>
          <w:lang w:val="en-US"/>
        </w:rPr>
        <w:instrText xml:space="preserve"> SEQ level0 \*arabic </w:instrText>
      </w:r>
      <w:r w:rsidRPr="00DC7D0A">
        <w:rPr>
          <w:lang w:val="en-US"/>
        </w:rPr>
        <w:fldChar w:fldCharType="separate"/>
      </w:r>
      <w:r w:rsidRPr="00DC7D0A" w:rsidR="00DC7D0A">
        <w:rPr>
          <w:noProof/>
          <w:lang w:val="en-US"/>
        </w:rPr>
        <w:t>31</w:t>
      </w:r>
      <w:r w:rsidRPr="00DC7D0A">
        <w:rPr>
          <w:lang w:val="en-US"/>
        </w:rPr>
        <w:fldChar w:fldCharType="end"/>
      </w:r>
      <w:r w:rsidRPr="00DC7D0A">
        <w:rPr>
          <w:lang w:val="en-US"/>
        </w:rPr>
        <w:t>.  A detailed description of the relevant domestic law and practice concerning remedies for excessive l</w:t>
      </w:r>
      <w:r w:rsidRPr="00DC7D0A" w:rsidR="00D33BEB">
        <w:rPr>
          <w:lang w:val="en-US"/>
        </w:rPr>
        <w:t xml:space="preserve">ength of judicial proceedings – in </w:t>
      </w:r>
      <w:r w:rsidRPr="00DC7D0A">
        <w:rPr>
          <w:lang w:val="en-US"/>
        </w:rPr>
        <w:t>particular the applicable provisions of the 2004 Act – are presented in the Court</w:t>
      </w:r>
      <w:r w:rsidRPr="00DC7D0A" w:rsidR="00DC7D0A">
        <w:rPr>
          <w:lang w:val="en-US"/>
        </w:rPr>
        <w:t>’</w:t>
      </w:r>
      <w:r w:rsidRPr="00DC7D0A">
        <w:rPr>
          <w:lang w:val="en-US"/>
        </w:rPr>
        <w:t xml:space="preserve">s decisions in the cases of </w:t>
      </w:r>
      <w:proofErr w:type="spellStart"/>
      <w:r w:rsidRPr="00DC7D0A">
        <w:rPr>
          <w:i/>
          <w:lang w:val="en-US"/>
        </w:rPr>
        <w:t>Charzyński</w:t>
      </w:r>
      <w:proofErr w:type="spellEnd"/>
      <w:r w:rsidRPr="00DC7D0A">
        <w:rPr>
          <w:i/>
          <w:lang w:val="en-US"/>
        </w:rPr>
        <w:t xml:space="preserve"> v. Poland</w:t>
      </w:r>
      <w:r w:rsidRPr="00DC7D0A">
        <w:rPr>
          <w:lang w:val="en-US"/>
        </w:rPr>
        <w:t xml:space="preserve"> ((</w:t>
      </w:r>
      <w:proofErr w:type="spellStart"/>
      <w:r w:rsidRPr="00DC7D0A">
        <w:rPr>
          <w:lang w:val="en-US"/>
        </w:rPr>
        <w:t>dec.</w:t>
      </w:r>
      <w:proofErr w:type="spellEnd"/>
      <w:r w:rsidRPr="00DC7D0A">
        <w:rPr>
          <w:lang w:val="en-US"/>
        </w:rPr>
        <w:t>), no. 15</w:t>
      </w:r>
      <w:r w:rsidRPr="00DC7D0A" w:rsidR="00681CC1">
        <w:rPr>
          <w:lang w:val="en-US"/>
        </w:rPr>
        <w:t xml:space="preserve">212/03, §§ 12-23, ECHR 2005-V), </w:t>
      </w:r>
      <w:proofErr w:type="spellStart"/>
      <w:r w:rsidRPr="00DC7D0A">
        <w:rPr>
          <w:i/>
          <w:lang w:val="en-US"/>
        </w:rPr>
        <w:t>Ratajczyk</w:t>
      </w:r>
      <w:proofErr w:type="spellEnd"/>
      <w:r w:rsidRPr="00DC7D0A">
        <w:rPr>
          <w:i/>
          <w:lang w:val="en-US"/>
        </w:rPr>
        <w:t xml:space="preserve"> v. Poland</w:t>
      </w:r>
      <w:r w:rsidRPr="00DC7D0A">
        <w:rPr>
          <w:lang w:val="en-US"/>
        </w:rPr>
        <w:t xml:space="preserve"> ((</w:t>
      </w:r>
      <w:proofErr w:type="spellStart"/>
      <w:r w:rsidRPr="00DC7D0A">
        <w:rPr>
          <w:lang w:val="en-US"/>
        </w:rPr>
        <w:t>dec.</w:t>
      </w:r>
      <w:proofErr w:type="spellEnd"/>
      <w:r w:rsidRPr="00DC7D0A">
        <w:rPr>
          <w:lang w:val="en-US"/>
        </w:rPr>
        <w:t xml:space="preserve">), no. 11215/02, ECHR 2005-VIII), and in its judgments in the cases of </w:t>
      </w:r>
      <w:proofErr w:type="spellStart"/>
      <w:r w:rsidRPr="00DC7D0A">
        <w:rPr>
          <w:i/>
          <w:lang w:val="en-US"/>
        </w:rPr>
        <w:t>Krasuski</w:t>
      </w:r>
      <w:proofErr w:type="spellEnd"/>
      <w:r w:rsidRPr="00DC7D0A">
        <w:rPr>
          <w:i/>
          <w:lang w:val="en-US"/>
        </w:rPr>
        <w:t xml:space="preserve"> v. Poland</w:t>
      </w:r>
      <w:r w:rsidRPr="00DC7D0A">
        <w:rPr>
          <w:lang w:val="en-US"/>
        </w:rPr>
        <w:t xml:space="preserve"> (no. 61444/00, §§ 34-46, ECHR 2005-V) and, most recently, </w:t>
      </w:r>
      <w:proofErr w:type="spellStart"/>
      <w:r w:rsidRPr="00DC7D0A">
        <w:rPr>
          <w:i/>
        </w:rPr>
        <w:t>Rutkowski</w:t>
      </w:r>
      <w:proofErr w:type="spellEnd"/>
      <w:r w:rsidRPr="00DC7D0A">
        <w:rPr>
          <w:i/>
        </w:rPr>
        <w:t xml:space="preserve"> and Others v. Poland</w:t>
      </w:r>
      <w:r w:rsidRPr="00DC7D0A" w:rsidR="00D33BEB">
        <w:t xml:space="preserve"> (nos. 72287/10, </w:t>
      </w:r>
      <w:r w:rsidRPr="00DC7D0A" w:rsidR="00EA3A3A">
        <w:t>13927/11 and </w:t>
      </w:r>
      <w:r w:rsidRPr="00DC7D0A">
        <w:t>46187/11, §§ 75-107, 7 July 2015).</w:t>
      </w:r>
    </w:p>
    <w:p w:rsidRPr="00DC7D0A" w:rsidR="00DE61E0" w:rsidP="00DC7D0A" w:rsidRDefault="00DE61E0">
      <w:pPr>
        <w:pStyle w:val="ECHRTitle1"/>
      </w:pPr>
      <w:r w:rsidRPr="00DC7D0A">
        <w:t>THE LAW</w:t>
      </w:r>
    </w:p>
    <w:p w:rsidRPr="00DC7D0A" w:rsidR="00DE61E0" w:rsidP="00DC7D0A" w:rsidRDefault="00DE61E0">
      <w:pPr>
        <w:pStyle w:val="ECHRHeading1"/>
      </w:pPr>
      <w:r w:rsidRPr="00DC7D0A">
        <w:t>I.  ALLEGED VIOLATION OF ARTICLE 6 § 1 OF THE CONVENTION</w:t>
      </w:r>
    </w:p>
    <w:p w:rsidRPr="00DC7D0A" w:rsidR="00DE61E0"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32</w:t>
      </w:r>
      <w:r w:rsidRPr="00DC7D0A">
        <w:fldChar w:fldCharType="end"/>
      </w:r>
      <w:r w:rsidRPr="00DC7D0A" w:rsidR="00DE61E0">
        <w:t>.  The applicant complained that the length of the proceedings had been incompatible with the “reasonable time” requirement laid down in Article 6 § 1 of the Convention, which reads as follows:</w:t>
      </w:r>
    </w:p>
    <w:p w:rsidRPr="00DC7D0A" w:rsidR="00DE61E0" w:rsidP="00DC7D0A" w:rsidRDefault="00DE61E0">
      <w:pPr>
        <w:pStyle w:val="ECHRParaQuote"/>
      </w:pPr>
      <w:r w:rsidRPr="00DC7D0A">
        <w:t>“</w:t>
      </w:r>
      <w:r w:rsidRPr="00DC7D0A" w:rsidR="00B3036D">
        <w:t>In the determination of his civil rights and obligations ..., everyone is entitled to a ... hearing within a reasonable time by [a] ... tribunal...</w:t>
      </w:r>
      <w:r w:rsidRPr="00DC7D0A">
        <w:t>”</w:t>
      </w:r>
    </w:p>
    <w:p w:rsidRPr="00DC7D0A" w:rsidR="00DE61E0"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33</w:t>
      </w:r>
      <w:r w:rsidRPr="00DC7D0A">
        <w:fldChar w:fldCharType="end"/>
      </w:r>
      <w:r w:rsidRPr="00DC7D0A" w:rsidR="00DE61E0">
        <w:t>.  The Government contested that argument.</w:t>
      </w:r>
    </w:p>
    <w:p w:rsidRPr="00DC7D0A" w:rsidR="00DE61E0"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34</w:t>
      </w:r>
      <w:r w:rsidRPr="00DC7D0A">
        <w:fldChar w:fldCharType="end"/>
      </w:r>
      <w:r w:rsidRPr="00DC7D0A" w:rsidR="00DE61E0">
        <w:t xml:space="preserve">.  The period to be taken into consideration began on </w:t>
      </w:r>
      <w:r w:rsidRPr="00DC7D0A" w:rsidR="001A4083">
        <w:t>1 February 1999</w:t>
      </w:r>
      <w:r w:rsidRPr="00DC7D0A" w:rsidR="00DE61E0">
        <w:t xml:space="preserve"> and</w:t>
      </w:r>
      <w:r w:rsidRPr="00DC7D0A" w:rsidR="001A4083">
        <w:t xml:space="preserve"> </w:t>
      </w:r>
      <w:r w:rsidRPr="00DC7D0A" w:rsidR="00DE61E0">
        <w:t>ended on</w:t>
      </w:r>
      <w:r w:rsidRPr="00DC7D0A" w:rsidR="003176FC">
        <w:t xml:space="preserve"> </w:t>
      </w:r>
      <w:r w:rsidRPr="00DC7D0A" w:rsidR="001A4083">
        <w:t>22 February 2012</w:t>
      </w:r>
      <w:r w:rsidRPr="00DC7D0A" w:rsidR="00DE61E0">
        <w:t>. It thus lasted</w:t>
      </w:r>
      <w:r w:rsidRPr="00DC7D0A" w:rsidR="001A4083">
        <w:t xml:space="preserve"> thirteen years </w:t>
      </w:r>
      <w:r w:rsidRPr="00DC7D0A" w:rsidR="00236AE3">
        <w:t>at</w:t>
      </w:r>
      <w:r w:rsidRPr="00DC7D0A" w:rsidR="00DE61E0">
        <w:t xml:space="preserve"> </w:t>
      </w:r>
      <w:r w:rsidRPr="00DC7D0A" w:rsidR="001A4083">
        <w:t>two</w:t>
      </w:r>
      <w:r w:rsidRPr="00DC7D0A" w:rsidR="00DE61E0">
        <w:t xml:space="preserve"> level</w:t>
      </w:r>
      <w:r w:rsidRPr="00DC7D0A" w:rsidR="001A4083">
        <w:t>s</w:t>
      </w:r>
      <w:r w:rsidRPr="00DC7D0A" w:rsidR="00DE61E0">
        <w:t xml:space="preserve"> of jurisdiction.</w:t>
      </w:r>
    </w:p>
    <w:p w:rsidRPr="00DC7D0A" w:rsidR="00DE61E0" w:rsidP="00DC7D0A" w:rsidRDefault="00DE61E0">
      <w:pPr>
        <w:pStyle w:val="ECHRHeading2"/>
      </w:pPr>
      <w:r w:rsidRPr="00DC7D0A">
        <w:t>A.  Admissibility</w:t>
      </w:r>
    </w:p>
    <w:p w:rsidRPr="00DC7D0A" w:rsidR="009B114D"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35</w:t>
      </w:r>
      <w:r w:rsidRPr="00DC7D0A">
        <w:fldChar w:fldCharType="end"/>
      </w:r>
      <w:r w:rsidRPr="00DC7D0A" w:rsidR="00DE61E0">
        <w:t>.  </w:t>
      </w:r>
      <w:r w:rsidRPr="00DC7D0A" w:rsidR="00973C3F">
        <w:t>The</w:t>
      </w:r>
      <w:r w:rsidRPr="00DC7D0A" w:rsidR="004B602D">
        <w:t xml:space="preserve"> </w:t>
      </w:r>
      <w:r w:rsidRPr="00DC7D0A" w:rsidR="00973C3F">
        <w:t>Government</w:t>
      </w:r>
      <w:r w:rsidRPr="00DC7D0A" w:rsidR="004B602D">
        <w:t xml:space="preserve"> </w:t>
      </w:r>
      <w:r w:rsidRPr="00DC7D0A" w:rsidR="00165114">
        <w:t xml:space="preserve">raised a preliminary objection and </w:t>
      </w:r>
      <w:r w:rsidRPr="00DC7D0A" w:rsidR="004B602D">
        <w:t>invited the Court to reject the application on the ground</w:t>
      </w:r>
      <w:r w:rsidRPr="00DC7D0A" w:rsidR="00236AE3">
        <w:t>s</w:t>
      </w:r>
      <w:r w:rsidRPr="00DC7D0A" w:rsidR="004B602D">
        <w:t xml:space="preserve"> that the applicant had failed to exhaust </w:t>
      </w:r>
      <w:r w:rsidRPr="00DC7D0A" w:rsidR="00236AE3">
        <w:t xml:space="preserve">the </w:t>
      </w:r>
      <w:r w:rsidRPr="00DC7D0A" w:rsidR="004B602D">
        <w:t xml:space="preserve">domestic remedies as required under Article 35 § 1 of the Convention. They maintained that the applicant had not lodged a </w:t>
      </w:r>
      <w:r w:rsidRPr="00DC7D0A" w:rsidR="00165114">
        <w:t xml:space="preserve">third </w:t>
      </w:r>
      <w:r w:rsidRPr="00DC7D0A" w:rsidR="004B602D">
        <w:t xml:space="preserve">complaint </w:t>
      </w:r>
      <w:r w:rsidRPr="00DC7D0A" w:rsidR="00165114">
        <w:t>about unreasonable length of proceedings under the 2004 Act</w:t>
      </w:r>
      <w:r w:rsidRPr="00DC7D0A" w:rsidR="004B602D">
        <w:t xml:space="preserve">. The Government observed that </w:t>
      </w:r>
      <w:r w:rsidRPr="00DC7D0A" w:rsidR="00236AE3">
        <w:t>s</w:t>
      </w:r>
      <w:r w:rsidRPr="00DC7D0A" w:rsidR="004B602D">
        <w:t xml:space="preserve">he had already lodged </w:t>
      </w:r>
      <w:r w:rsidRPr="00DC7D0A" w:rsidR="003976EA">
        <w:t>two</w:t>
      </w:r>
      <w:r w:rsidRPr="00DC7D0A" w:rsidR="004B602D">
        <w:t xml:space="preserve"> complaint</w:t>
      </w:r>
      <w:r w:rsidRPr="00DC7D0A" w:rsidR="003976EA">
        <w:t xml:space="preserve">s which </w:t>
      </w:r>
      <w:r w:rsidRPr="00DC7D0A" w:rsidR="00236AE3">
        <w:t xml:space="preserve">had been </w:t>
      </w:r>
      <w:r w:rsidRPr="00DC7D0A" w:rsidR="003976EA">
        <w:t xml:space="preserve">dismissed on 9 December 2004 and on 5 April 2006. However, as of 25 September 2006 the applicant </w:t>
      </w:r>
      <w:r w:rsidRPr="00DC7D0A" w:rsidR="00236AE3">
        <w:t xml:space="preserve">had had the possibility of </w:t>
      </w:r>
      <w:r w:rsidRPr="00DC7D0A" w:rsidR="003976EA">
        <w:t>lodg</w:t>
      </w:r>
      <w:r w:rsidRPr="00DC7D0A" w:rsidR="00236AE3">
        <w:t>ing</w:t>
      </w:r>
      <w:r w:rsidRPr="00DC7D0A" w:rsidR="003976EA">
        <w:t xml:space="preserve"> a new complaint under section 5 of the 2004 Act. The proceedings </w:t>
      </w:r>
      <w:r w:rsidRPr="00DC7D0A" w:rsidR="003176FC">
        <w:t xml:space="preserve">had </w:t>
      </w:r>
      <w:r w:rsidRPr="00DC7D0A" w:rsidR="003976EA">
        <w:t>lasted for almost six more years</w:t>
      </w:r>
      <w:r w:rsidRPr="00DC7D0A" w:rsidR="00236AE3">
        <w:t>,</w:t>
      </w:r>
      <w:r w:rsidRPr="00DC7D0A" w:rsidR="003976EA">
        <w:t xml:space="preserve"> during </w:t>
      </w:r>
      <w:r w:rsidRPr="00DC7D0A" w:rsidR="00973C3F">
        <w:t>which</w:t>
      </w:r>
      <w:r w:rsidRPr="00DC7D0A" w:rsidR="003976EA">
        <w:t xml:space="preserve"> the applicant had remained passive and had not used </w:t>
      </w:r>
      <w:r w:rsidRPr="00DC7D0A" w:rsidR="00236AE3">
        <w:t xml:space="preserve">the </w:t>
      </w:r>
      <w:r w:rsidRPr="00DC7D0A" w:rsidR="003976EA">
        <w:t xml:space="preserve">available remedies to speed </w:t>
      </w:r>
      <w:r w:rsidRPr="00DC7D0A" w:rsidR="00973C3F">
        <w:t>up</w:t>
      </w:r>
      <w:r w:rsidRPr="00DC7D0A" w:rsidR="003976EA">
        <w:t xml:space="preserve"> the proceedings.</w:t>
      </w:r>
    </w:p>
    <w:p w:rsidRPr="00DC7D0A" w:rsidR="004B602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36</w:t>
      </w:r>
      <w:r w:rsidRPr="00DC7D0A">
        <w:fldChar w:fldCharType="end"/>
      </w:r>
      <w:r w:rsidRPr="00DC7D0A">
        <w:t>.  </w:t>
      </w:r>
      <w:r w:rsidRPr="00DC7D0A" w:rsidR="004B602D">
        <w:t xml:space="preserve">The applicant contested that argument. </w:t>
      </w:r>
      <w:r w:rsidRPr="00DC7D0A" w:rsidR="003176FC">
        <w:t>Sh</w:t>
      </w:r>
      <w:r w:rsidRPr="00DC7D0A" w:rsidR="004B602D">
        <w:t xml:space="preserve">e argued that </w:t>
      </w:r>
      <w:r w:rsidRPr="00DC7D0A" w:rsidR="00236AE3">
        <w:t xml:space="preserve">there </w:t>
      </w:r>
      <w:r w:rsidRPr="00DC7D0A" w:rsidR="004B602D">
        <w:t>was no justifi</w:t>
      </w:r>
      <w:r w:rsidRPr="00DC7D0A" w:rsidR="00236AE3">
        <w:t>cation for</w:t>
      </w:r>
      <w:r w:rsidRPr="00DC7D0A" w:rsidR="004B602D">
        <w:t xml:space="preserve"> requir</w:t>
      </w:r>
      <w:r w:rsidRPr="00DC7D0A" w:rsidR="00236AE3">
        <w:t>ing</w:t>
      </w:r>
      <w:r w:rsidRPr="00DC7D0A" w:rsidR="004B602D">
        <w:t xml:space="preserve"> </w:t>
      </w:r>
      <w:r w:rsidRPr="00DC7D0A" w:rsidR="005C5526">
        <w:t>her</w:t>
      </w:r>
      <w:r w:rsidRPr="00DC7D0A" w:rsidR="004B602D">
        <w:t xml:space="preserve"> to lodge a</w:t>
      </w:r>
      <w:r w:rsidRPr="00DC7D0A" w:rsidR="00236AE3">
        <w:t xml:space="preserve"> fresh</w:t>
      </w:r>
      <w:r w:rsidRPr="00DC7D0A" w:rsidR="004B602D">
        <w:t xml:space="preserve"> complaint </w:t>
      </w:r>
      <w:r w:rsidRPr="00DC7D0A" w:rsidR="005438CC">
        <w:t xml:space="preserve">under the 2004 Act </w:t>
      </w:r>
      <w:r w:rsidRPr="00DC7D0A" w:rsidR="004B602D">
        <w:t>when h</w:t>
      </w:r>
      <w:r w:rsidRPr="00DC7D0A" w:rsidR="005C5526">
        <w:t>er</w:t>
      </w:r>
      <w:r w:rsidRPr="00DC7D0A" w:rsidR="004B602D">
        <w:t xml:space="preserve"> previous </w:t>
      </w:r>
      <w:r w:rsidRPr="00DC7D0A" w:rsidR="005438CC">
        <w:t xml:space="preserve">two </w:t>
      </w:r>
      <w:r w:rsidRPr="00DC7D0A" w:rsidR="004B602D">
        <w:t>complaint</w:t>
      </w:r>
      <w:r w:rsidRPr="00DC7D0A" w:rsidR="005438CC">
        <w:t>s</w:t>
      </w:r>
      <w:r w:rsidRPr="00DC7D0A" w:rsidR="004B602D">
        <w:t xml:space="preserve"> had been dismissed.</w:t>
      </w:r>
    </w:p>
    <w:p w:rsidRPr="00DC7D0A" w:rsidR="004B602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37</w:t>
      </w:r>
      <w:r w:rsidRPr="00DC7D0A">
        <w:fldChar w:fldCharType="end"/>
      </w:r>
      <w:r w:rsidRPr="00DC7D0A">
        <w:t>.  </w:t>
      </w:r>
      <w:r w:rsidRPr="00DC7D0A" w:rsidR="004B602D">
        <w:t xml:space="preserve">The Court finds that the question of </w:t>
      </w:r>
      <w:r w:rsidRPr="00DC7D0A" w:rsidR="00236AE3">
        <w:t xml:space="preserve">the </w:t>
      </w:r>
      <w:r w:rsidRPr="00DC7D0A" w:rsidR="004B602D">
        <w:t>exhaustion of domestic remedies is inextricably linked to the merits of this complaint. Therefore, to avoid prejudging the latter, both questions should be examined together. Accordingly, the Court holds that the question of exhaustion of domestic remedies should be joined to the merits.</w:t>
      </w:r>
    </w:p>
    <w:p w:rsidRPr="00DC7D0A" w:rsidR="004B602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38</w:t>
      </w:r>
      <w:r w:rsidRPr="00DC7D0A">
        <w:fldChar w:fldCharType="end"/>
      </w:r>
      <w:r w:rsidRPr="00DC7D0A">
        <w:t>.  </w:t>
      </w:r>
      <w:r w:rsidRPr="00DC7D0A" w:rsidR="004B602D">
        <w:t>The Court further notes that this complaint is not manifestly ill</w:t>
      </w:r>
      <w:r w:rsidRPr="00DC7D0A" w:rsidR="00236AE3">
        <w:noBreakHyphen/>
      </w:r>
      <w:r w:rsidRPr="00DC7D0A" w:rsidR="004B602D">
        <w:t>founded within the meaning of Article 35 § 3 of the Convention. It also notes that it is not inadmissible on any other grounds. It must therefore be declared admissible</w:t>
      </w:r>
      <w:r w:rsidRPr="00DC7D0A" w:rsidR="003E464B">
        <w:t>.</w:t>
      </w:r>
    </w:p>
    <w:p w:rsidRPr="00DC7D0A" w:rsidR="00DE61E0" w:rsidP="00DC7D0A" w:rsidRDefault="00DE61E0">
      <w:pPr>
        <w:pStyle w:val="ECHRHeading2"/>
      </w:pPr>
      <w:r w:rsidRPr="00DC7D0A">
        <w:t>B.  Merits</w:t>
      </w:r>
    </w:p>
    <w:p w:rsidRPr="00DC7D0A" w:rsidR="009B114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39</w:t>
      </w:r>
      <w:r w:rsidRPr="00DC7D0A">
        <w:fldChar w:fldCharType="end"/>
      </w:r>
      <w:r w:rsidRPr="00DC7D0A">
        <w:t>.  </w:t>
      </w:r>
      <w:r w:rsidRPr="00DC7D0A" w:rsidR="00EC1E70">
        <w:t xml:space="preserve">The applicant argued that the length of the proceedings had clearly been in breach of the “reasonable time” principle. They lasted </w:t>
      </w:r>
      <w:r w:rsidRPr="00DC7D0A" w:rsidR="00D67F1E">
        <w:t>thirteen</w:t>
      </w:r>
      <w:r w:rsidRPr="00DC7D0A" w:rsidR="00EC1E70">
        <w:t xml:space="preserve"> years</w:t>
      </w:r>
      <w:r w:rsidRPr="00DC7D0A" w:rsidR="00236AE3">
        <w:t xml:space="preserve"> in total</w:t>
      </w:r>
      <w:r w:rsidRPr="00DC7D0A" w:rsidR="00EC1E70">
        <w:t xml:space="preserve">. </w:t>
      </w:r>
      <w:r w:rsidRPr="00DC7D0A" w:rsidR="009F7F3F">
        <w:t xml:space="preserve">The </w:t>
      </w:r>
      <w:r w:rsidRPr="00DC7D0A" w:rsidR="00D67F1E">
        <w:t>proceedings</w:t>
      </w:r>
      <w:r w:rsidRPr="00DC7D0A" w:rsidR="009F7F3F">
        <w:t xml:space="preserve"> were not complex and the necessity </w:t>
      </w:r>
      <w:r w:rsidRPr="00DC7D0A" w:rsidR="00D67F1E">
        <w:t xml:space="preserve">to obtain </w:t>
      </w:r>
      <w:r w:rsidRPr="00DC7D0A" w:rsidR="009F7F3F">
        <w:t xml:space="preserve">expert evidence had been known from the beginning and </w:t>
      </w:r>
      <w:r w:rsidRPr="00DC7D0A" w:rsidR="00D67F1E">
        <w:t>should have been secured in a timely manner.</w:t>
      </w:r>
      <w:r w:rsidRPr="00DC7D0A" w:rsidR="009F7F3F">
        <w:t xml:space="preserve"> </w:t>
      </w:r>
      <w:r w:rsidRPr="00DC7D0A" w:rsidR="00EC1E70">
        <w:t xml:space="preserve">There were many periods of inactivity for which </w:t>
      </w:r>
      <w:r w:rsidRPr="00DC7D0A" w:rsidR="00D67F1E">
        <w:t xml:space="preserve">the </w:t>
      </w:r>
      <w:r w:rsidRPr="00DC7D0A" w:rsidR="00EC1E70">
        <w:t xml:space="preserve">domestic courts </w:t>
      </w:r>
      <w:r w:rsidRPr="00DC7D0A" w:rsidR="00D67F1E">
        <w:t xml:space="preserve">had been </w:t>
      </w:r>
      <w:r w:rsidRPr="00DC7D0A" w:rsidR="00EC1E70">
        <w:t>responsible. For instance</w:t>
      </w:r>
      <w:r w:rsidRPr="00DC7D0A" w:rsidR="00236AE3">
        <w:t>,</w:t>
      </w:r>
      <w:r w:rsidRPr="00DC7D0A" w:rsidR="00EC1E70">
        <w:t xml:space="preserve"> the first hearing after</w:t>
      </w:r>
      <w:r w:rsidRPr="00DC7D0A" w:rsidR="00A41874">
        <w:t xml:space="preserve"> the</w:t>
      </w:r>
      <w:r w:rsidRPr="00DC7D0A" w:rsidR="00EC1E70">
        <w:t xml:space="preserve"> quashing </w:t>
      </w:r>
      <w:r w:rsidRPr="00DC7D0A" w:rsidR="00D67F1E">
        <w:t xml:space="preserve">of </w:t>
      </w:r>
      <w:r w:rsidRPr="00DC7D0A" w:rsidR="00EC1E70">
        <w:t xml:space="preserve">the judgment on 26 January 2006 </w:t>
      </w:r>
      <w:r w:rsidRPr="00DC7D0A" w:rsidR="00A41874">
        <w:t>had been</w:t>
      </w:r>
      <w:r w:rsidRPr="00DC7D0A" w:rsidR="00EC1E70">
        <w:t xml:space="preserve"> set for 26</w:t>
      </w:r>
      <w:r w:rsidRPr="00DC7D0A" w:rsidR="00D33BEB">
        <w:t xml:space="preserve"> </w:t>
      </w:r>
      <w:r w:rsidRPr="00DC7D0A" w:rsidR="00EC1E70">
        <w:t xml:space="preserve">July 2006. </w:t>
      </w:r>
      <w:r w:rsidRPr="00DC7D0A" w:rsidR="00D67F1E">
        <w:t xml:space="preserve">Other periods of inactivity lasted up to fifteen months. The hearings </w:t>
      </w:r>
      <w:r w:rsidRPr="00DC7D0A" w:rsidR="00236AE3">
        <w:t xml:space="preserve">had been </w:t>
      </w:r>
      <w:r w:rsidRPr="00DC7D0A" w:rsidR="00D67F1E">
        <w:t>adjourned repeatedly and without valid reason</w:t>
      </w:r>
      <w:r w:rsidRPr="00DC7D0A" w:rsidR="00EC1E70">
        <w:t>.</w:t>
      </w:r>
    </w:p>
    <w:p w:rsidRPr="00DC7D0A" w:rsidR="009B114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40</w:t>
      </w:r>
      <w:r w:rsidRPr="00DC7D0A">
        <w:fldChar w:fldCharType="end"/>
      </w:r>
      <w:r w:rsidRPr="00DC7D0A">
        <w:t>.  </w:t>
      </w:r>
      <w:r w:rsidRPr="00DC7D0A" w:rsidR="00165114">
        <w:t xml:space="preserve">The </w:t>
      </w:r>
      <w:r w:rsidRPr="00DC7D0A" w:rsidR="00D67F1E">
        <w:t>Government refrained</w:t>
      </w:r>
      <w:r w:rsidRPr="00DC7D0A" w:rsidR="00165114">
        <w:t xml:space="preserve"> from commenting on the merits of the applicant</w:t>
      </w:r>
      <w:r w:rsidRPr="00DC7D0A" w:rsidR="00DC7D0A">
        <w:t>’</w:t>
      </w:r>
      <w:r w:rsidRPr="00DC7D0A" w:rsidR="00165114">
        <w:t>s complaint.</w:t>
      </w:r>
    </w:p>
    <w:p w:rsidRPr="00DC7D0A" w:rsidR="00165114"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41</w:t>
      </w:r>
      <w:r w:rsidRPr="00DC7D0A">
        <w:fldChar w:fldCharType="end"/>
      </w:r>
      <w:r w:rsidRPr="00DC7D0A" w:rsidR="00DE61E0">
        <w:t>.  </w:t>
      </w:r>
      <w:r w:rsidRPr="00DC7D0A">
        <w:t>The Court reiterates that the reasonableness</w:t>
      </w:r>
      <w:r w:rsidRPr="00DC7D0A" w:rsidR="00165114">
        <w:t xml:space="preserve"> of the length of proceedings must be assessed in the light of the particular circumstances of the case and </w:t>
      </w:r>
      <w:r w:rsidRPr="00DC7D0A" w:rsidR="00277B06">
        <w:t>t</w:t>
      </w:r>
      <w:r w:rsidRPr="00DC7D0A" w:rsidR="00165114">
        <w:t>a</w:t>
      </w:r>
      <w:r w:rsidRPr="00DC7D0A" w:rsidR="00277B06">
        <w:t>k</w:t>
      </w:r>
      <w:r w:rsidRPr="00DC7D0A" w:rsidR="00165114">
        <w:t xml:space="preserve">ing </w:t>
      </w:r>
      <w:r w:rsidRPr="00DC7D0A" w:rsidR="00277B06">
        <w:t>into account</w:t>
      </w:r>
      <w:r w:rsidRPr="00DC7D0A" w:rsidR="00165114">
        <w:t xml:space="preserve"> the criteria laid down in the Court</w:t>
      </w:r>
      <w:r w:rsidRPr="00DC7D0A" w:rsidR="00DC7D0A">
        <w:t>’</w:t>
      </w:r>
      <w:r w:rsidRPr="00DC7D0A" w:rsidR="00165114">
        <w:t>s case</w:t>
      </w:r>
      <w:r w:rsidRPr="00DC7D0A" w:rsidR="00A41874">
        <w:noBreakHyphen/>
      </w:r>
      <w:r w:rsidRPr="00DC7D0A" w:rsidR="00165114">
        <w:t xml:space="preserve">law, in particular the complexity of the case and the conduct of the applicant and of the relevant authorities. On the latter point, </w:t>
      </w:r>
      <w:r w:rsidRPr="00DC7D0A" w:rsidR="00A41874">
        <w:t xml:space="preserve">account must also be taken of </w:t>
      </w:r>
      <w:r w:rsidRPr="00DC7D0A" w:rsidR="00165114">
        <w:t xml:space="preserve">what is at stake for the applicant (see </w:t>
      </w:r>
      <w:proofErr w:type="spellStart"/>
      <w:r w:rsidRPr="00DC7D0A" w:rsidR="00165114">
        <w:rPr>
          <w:i/>
        </w:rPr>
        <w:t>Kudła</w:t>
      </w:r>
      <w:proofErr w:type="spellEnd"/>
      <w:r w:rsidRPr="00DC7D0A" w:rsidR="00165114">
        <w:rPr>
          <w:i/>
        </w:rPr>
        <w:t xml:space="preserve"> v. Poland</w:t>
      </w:r>
      <w:r w:rsidRPr="00DC7D0A" w:rsidR="00165114">
        <w:t xml:space="preserve"> [GC], no.</w:t>
      </w:r>
      <w:r w:rsidRPr="00DC7D0A" w:rsidR="00277B06">
        <w:t> </w:t>
      </w:r>
      <w:r w:rsidRPr="00DC7D0A" w:rsidR="00165114">
        <w:t>30210/96, § 124 ECHR 2000</w:t>
      </w:r>
      <w:r w:rsidRPr="00DC7D0A" w:rsidR="00165114">
        <w:rPr>
          <w:rFonts w:hint="eastAsia" w:ascii="MS Mincho" w:hAnsi="MS Mincho" w:eastAsia="MS Mincho" w:cs="MS Mincho"/>
        </w:rPr>
        <w:t>‑</w:t>
      </w:r>
      <w:r w:rsidRPr="00DC7D0A" w:rsidR="00165114">
        <w:t>XI, for further case-law referen</w:t>
      </w:r>
      <w:r w:rsidRPr="00DC7D0A" w:rsidR="0001079F">
        <w:t xml:space="preserve">ces see </w:t>
      </w:r>
      <w:proofErr w:type="spellStart"/>
      <w:r w:rsidRPr="00DC7D0A" w:rsidR="0001079F">
        <w:rPr>
          <w:i/>
        </w:rPr>
        <w:t>Rutkowski</w:t>
      </w:r>
      <w:proofErr w:type="spellEnd"/>
      <w:r w:rsidRPr="00DC7D0A" w:rsidR="0001079F">
        <w:rPr>
          <w:i/>
        </w:rPr>
        <w:t xml:space="preserve"> and Others</w:t>
      </w:r>
      <w:r w:rsidRPr="00DC7D0A" w:rsidR="0001079F">
        <w:t xml:space="preserve">, </w:t>
      </w:r>
      <w:r w:rsidRPr="00DC7D0A" w:rsidR="00C179D5">
        <w:t xml:space="preserve">cited above, </w:t>
      </w:r>
      <w:r w:rsidRPr="00DC7D0A" w:rsidR="0001079F">
        <w:rPr>
          <w:snapToGrid w:val="0"/>
        </w:rPr>
        <w:t>§§</w:t>
      </w:r>
      <w:r w:rsidRPr="00DC7D0A" w:rsidR="009B1BB3">
        <w:rPr>
          <w:snapToGrid w:val="0"/>
        </w:rPr>
        <w:t> </w:t>
      </w:r>
      <w:r w:rsidRPr="00DC7D0A" w:rsidR="009B1BB3">
        <w:t>126</w:t>
      </w:r>
      <w:r w:rsidRPr="00DC7D0A" w:rsidR="009B1BB3">
        <w:noBreakHyphen/>
      </w:r>
      <w:r w:rsidRPr="00DC7D0A" w:rsidR="0001079F">
        <w:t>128</w:t>
      </w:r>
      <w:r w:rsidRPr="00DC7D0A" w:rsidR="00C179D5">
        <w:t>).</w:t>
      </w:r>
    </w:p>
    <w:p w:rsidRPr="00DC7D0A" w:rsidR="009B114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42</w:t>
      </w:r>
      <w:r w:rsidRPr="00DC7D0A">
        <w:fldChar w:fldCharType="end"/>
      </w:r>
      <w:r w:rsidRPr="00DC7D0A">
        <w:t>.  </w:t>
      </w:r>
      <w:r w:rsidRPr="00DC7D0A" w:rsidR="00505280">
        <w:t xml:space="preserve">The </w:t>
      </w:r>
      <w:r w:rsidRPr="00DC7D0A" w:rsidR="00886EA6">
        <w:t xml:space="preserve">Court </w:t>
      </w:r>
      <w:r w:rsidRPr="00DC7D0A" w:rsidR="0001079F">
        <w:t xml:space="preserve">agrees with the applicant </w:t>
      </w:r>
      <w:r w:rsidRPr="00DC7D0A" w:rsidR="00886EA6">
        <w:t xml:space="preserve">that the proceedings in which </w:t>
      </w:r>
      <w:r w:rsidRPr="00DC7D0A" w:rsidR="00277B06">
        <w:t>s</w:t>
      </w:r>
      <w:r w:rsidRPr="00DC7D0A" w:rsidR="00886EA6">
        <w:t xml:space="preserve">he sought </w:t>
      </w:r>
      <w:r w:rsidRPr="00DC7D0A" w:rsidR="00277B06">
        <w:t xml:space="preserve">the </w:t>
      </w:r>
      <w:r w:rsidRPr="00DC7D0A" w:rsidR="00C74047">
        <w:t>establishment</w:t>
      </w:r>
      <w:r w:rsidRPr="00DC7D0A" w:rsidR="00886EA6">
        <w:t xml:space="preserve"> </w:t>
      </w:r>
      <w:r w:rsidRPr="00DC7D0A" w:rsidR="00277B06">
        <w:t xml:space="preserve">of </w:t>
      </w:r>
      <w:r w:rsidRPr="00DC7D0A" w:rsidR="00886EA6">
        <w:t xml:space="preserve">an easement did not involve </w:t>
      </w:r>
      <w:r w:rsidRPr="00DC7D0A" w:rsidR="0001079F">
        <w:t>complex issues of facts and law</w:t>
      </w:r>
      <w:r w:rsidRPr="00DC7D0A" w:rsidR="00277B06">
        <w:t>,</w:t>
      </w:r>
      <w:r w:rsidRPr="00DC7D0A" w:rsidR="00886EA6">
        <w:t xml:space="preserve"> even </w:t>
      </w:r>
      <w:r w:rsidRPr="00DC7D0A" w:rsidR="0001079F">
        <w:t>though</w:t>
      </w:r>
      <w:r w:rsidRPr="00DC7D0A" w:rsidR="00886EA6">
        <w:t xml:space="preserve"> evidence from </w:t>
      </w:r>
      <w:r w:rsidRPr="00DC7D0A" w:rsidR="00C74047">
        <w:t>experts</w:t>
      </w:r>
      <w:r w:rsidRPr="00DC7D0A" w:rsidR="00886EA6">
        <w:t xml:space="preserve"> in </w:t>
      </w:r>
      <w:r w:rsidRPr="00DC7D0A" w:rsidR="003E464B">
        <w:t>different</w:t>
      </w:r>
      <w:r w:rsidRPr="00DC7D0A" w:rsidR="00886EA6">
        <w:t xml:space="preserve"> </w:t>
      </w:r>
      <w:r w:rsidRPr="00DC7D0A" w:rsidR="003E464B">
        <w:t>fields</w:t>
      </w:r>
      <w:r w:rsidRPr="00DC7D0A" w:rsidR="00886EA6">
        <w:t xml:space="preserve"> needed to be obtained. While it is true that taking expert evidence </w:t>
      </w:r>
      <w:r w:rsidRPr="00DC7D0A" w:rsidR="007A5568">
        <w:t>necessarily</w:t>
      </w:r>
      <w:r w:rsidRPr="00DC7D0A" w:rsidR="00886EA6">
        <w:t xml:space="preserve"> takes time</w:t>
      </w:r>
      <w:r w:rsidRPr="00DC7D0A" w:rsidR="00277B06">
        <w:t>,</w:t>
      </w:r>
      <w:r w:rsidRPr="00DC7D0A" w:rsidR="00886EA6">
        <w:t xml:space="preserve"> </w:t>
      </w:r>
      <w:r w:rsidRPr="00DC7D0A" w:rsidR="007A5568">
        <w:t xml:space="preserve">it should be noted that </w:t>
      </w:r>
      <w:r w:rsidRPr="00DC7D0A" w:rsidR="00277B06">
        <w:t xml:space="preserve">on several occasions </w:t>
      </w:r>
      <w:r w:rsidRPr="00DC7D0A" w:rsidR="007A5568">
        <w:t xml:space="preserve">the experts </w:t>
      </w:r>
      <w:r w:rsidRPr="00DC7D0A" w:rsidR="00277B06">
        <w:t xml:space="preserve">had </w:t>
      </w:r>
      <w:r w:rsidRPr="00DC7D0A" w:rsidR="007A5568">
        <w:t xml:space="preserve">needed almost </w:t>
      </w:r>
      <w:r w:rsidRPr="00DC7D0A" w:rsidR="00277B06">
        <w:t xml:space="preserve">a </w:t>
      </w:r>
      <w:r w:rsidRPr="00DC7D0A" w:rsidR="007A5568">
        <w:t>year to prepare their opinion.</w:t>
      </w:r>
    </w:p>
    <w:p w:rsidRPr="00DC7D0A" w:rsidR="009B114D"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43</w:t>
      </w:r>
      <w:r w:rsidRPr="00DC7D0A">
        <w:fldChar w:fldCharType="end"/>
      </w:r>
      <w:r w:rsidRPr="00DC7D0A">
        <w:t>.  </w:t>
      </w:r>
      <w:r w:rsidRPr="00DC7D0A" w:rsidR="00C179D5">
        <w:t xml:space="preserve">The Court considers that </w:t>
      </w:r>
      <w:r w:rsidRPr="00DC7D0A" w:rsidR="00E471F2">
        <w:t xml:space="preserve">the procedure for taking expert evidence </w:t>
      </w:r>
      <w:r w:rsidRPr="00DC7D0A" w:rsidR="00277B06">
        <w:t xml:space="preserve">had </w:t>
      </w:r>
      <w:r w:rsidRPr="00DC7D0A" w:rsidR="00E471F2">
        <w:t>lacked the</w:t>
      </w:r>
      <w:r w:rsidRPr="00DC7D0A" w:rsidR="00277B06">
        <w:t xml:space="preserve"> requisite</w:t>
      </w:r>
      <w:r w:rsidRPr="00DC7D0A" w:rsidR="00E471F2">
        <w:t xml:space="preserve"> eff</w:t>
      </w:r>
      <w:r w:rsidRPr="00DC7D0A" w:rsidR="00277B06">
        <w:t>i</w:t>
      </w:r>
      <w:r w:rsidRPr="00DC7D0A" w:rsidR="00E471F2">
        <w:t>cien</w:t>
      </w:r>
      <w:r w:rsidRPr="00DC7D0A" w:rsidR="00277B06">
        <w:t>cy</w:t>
      </w:r>
      <w:r w:rsidRPr="00DC7D0A" w:rsidR="00E471F2">
        <w:t xml:space="preserve">. The court sent the case-file </w:t>
      </w:r>
      <w:r w:rsidRPr="00DC7D0A" w:rsidR="00277B06">
        <w:t xml:space="preserve">material </w:t>
      </w:r>
      <w:r w:rsidRPr="00DC7D0A" w:rsidR="00E471F2">
        <w:t xml:space="preserve">to each expert </w:t>
      </w:r>
      <w:r w:rsidRPr="00DC7D0A" w:rsidR="00277B06">
        <w:t xml:space="preserve">in turn, </w:t>
      </w:r>
      <w:r w:rsidRPr="00DC7D0A" w:rsidR="00A41874">
        <w:t xml:space="preserve">meaning that </w:t>
      </w:r>
      <w:r w:rsidRPr="00DC7D0A" w:rsidR="00E471F2">
        <w:t>they had to delay the preparation of their reports until their predecessor</w:t>
      </w:r>
      <w:r w:rsidRPr="00DC7D0A" w:rsidR="00DC7D0A">
        <w:t>’</w:t>
      </w:r>
      <w:r w:rsidRPr="00DC7D0A" w:rsidR="00E471F2">
        <w:t>s work had been finished. No attempts were made to impose discipline on the experts and ensure that they complied with the deadlines set.</w:t>
      </w:r>
      <w:r w:rsidRPr="00DC7D0A" w:rsidR="007A5568">
        <w:t xml:space="preserve"> It is </w:t>
      </w:r>
      <w:r w:rsidRPr="00DC7D0A" w:rsidR="00E471F2">
        <w:t>also</w:t>
      </w:r>
      <w:r w:rsidRPr="00DC7D0A" w:rsidR="007A5568">
        <w:t xml:space="preserve"> not clear whether after each remittal of the case to the </w:t>
      </w:r>
      <w:r w:rsidRPr="00DC7D0A" w:rsidR="00277B06">
        <w:t xml:space="preserve">District Court </w:t>
      </w:r>
      <w:r w:rsidRPr="00DC7D0A" w:rsidR="007A5568">
        <w:t>all expert evidence needed to be repeated.</w:t>
      </w:r>
    </w:p>
    <w:p w:rsidRPr="00DC7D0A" w:rsidR="00C179D5"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44</w:t>
      </w:r>
      <w:r w:rsidRPr="00DC7D0A">
        <w:fldChar w:fldCharType="end"/>
      </w:r>
      <w:r w:rsidRPr="00DC7D0A">
        <w:t>.  </w:t>
      </w:r>
      <w:r w:rsidRPr="00DC7D0A" w:rsidR="00E471F2">
        <w:t xml:space="preserve">In this connection, the Court would reiterate that experts work in the context of judicial proceedings </w:t>
      </w:r>
      <w:r w:rsidRPr="00DC7D0A" w:rsidR="00277B06">
        <w:t xml:space="preserve">under the </w:t>
      </w:r>
      <w:r w:rsidRPr="00DC7D0A" w:rsidR="00E471F2">
        <w:t>supervis</w:t>
      </w:r>
      <w:r w:rsidRPr="00DC7D0A" w:rsidR="00277B06">
        <w:t>ion of</w:t>
      </w:r>
      <w:r w:rsidRPr="00DC7D0A" w:rsidR="00E471F2">
        <w:t xml:space="preserve"> a judge, who remains responsible for the preparation and speedy conduct of proceedings (see, for instance, </w:t>
      </w:r>
      <w:proofErr w:type="spellStart"/>
      <w:r w:rsidRPr="00DC7D0A" w:rsidR="00E471F2">
        <w:rPr>
          <w:i/>
        </w:rPr>
        <w:t>Proszak</w:t>
      </w:r>
      <w:proofErr w:type="spellEnd"/>
      <w:r w:rsidRPr="00DC7D0A" w:rsidR="00E471F2">
        <w:rPr>
          <w:i/>
        </w:rPr>
        <w:t xml:space="preserve"> v. Poland</w:t>
      </w:r>
      <w:r w:rsidRPr="00DC7D0A" w:rsidR="00E471F2">
        <w:t>, 16 December 1997, § 44, Reports of Judgments and Decisions 1997</w:t>
      </w:r>
      <w:r w:rsidRPr="00DC7D0A" w:rsidR="00E471F2">
        <w:rPr>
          <w:rFonts w:hint="eastAsia" w:ascii="MS Mincho" w:hAnsi="MS Mincho" w:eastAsia="MS Mincho" w:cs="MS Mincho"/>
        </w:rPr>
        <w:t>‑</w:t>
      </w:r>
      <w:r w:rsidRPr="00DC7D0A" w:rsidR="00E471F2">
        <w:t>VIII</w:t>
      </w:r>
      <w:r w:rsidRPr="00DC7D0A" w:rsidR="00681CC1">
        <w:t>,</w:t>
      </w:r>
      <w:r w:rsidRPr="00DC7D0A" w:rsidR="00E471F2">
        <w:t xml:space="preserve"> and </w:t>
      </w:r>
      <w:proofErr w:type="spellStart"/>
      <w:r w:rsidRPr="00DC7D0A" w:rsidR="00E471F2">
        <w:rPr>
          <w:rFonts w:ascii="Times New Roman" w:hAnsi="Times New Roman" w:cs="Times New Roman"/>
          <w:i/>
        </w:rPr>
        <w:t>Ł</w:t>
      </w:r>
      <w:r w:rsidRPr="00DC7D0A" w:rsidR="00E471F2">
        <w:rPr>
          <w:i/>
        </w:rPr>
        <w:t>ukjaniuk</w:t>
      </w:r>
      <w:proofErr w:type="spellEnd"/>
      <w:r w:rsidRPr="00DC7D0A" w:rsidR="00E471F2">
        <w:rPr>
          <w:i/>
        </w:rPr>
        <w:t xml:space="preserve"> v. Poland</w:t>
      </w:r>
      <w:r w:rsidRPr="00DC7D0A" w:rsidR="00E471F2">
        <w:t>, no.</w:t>
      </w:r>
      <w:r w:rsidRPr="00DC7D0A" w:rsidR="00A41874">
        <w:t> </w:t>
      </w:r>
      <w:r w:rsidRPr="00DC7D0A" w:rsidR="00E471F2">
        <w:t xml:space="preserve">15072/02, </w:t>
      </w:r>
      <w:r w:rsidRPr="00DC7D0A" w:rsidR="00E471F2">
        <w:rPr>
          <w:rFonts w:ascii="Times New Roman" w:hAnsi="Times New Roman" w:cs="Times New Roman"/>
        </w:rPr>
        <w:t>§</w:t>
      </w:r>
      <w:r w:rsidRPr="00DC7D0A" w:rsidR="00E471F2">
        <w:t xml:space="preserve"> 28, 7 November 2006).</w:t>
      </w:r>
    </w:p>
    <w:p w:rsidRPr="00DC7D0A" w:rsidR="00C179D5" w:rsidP="00DC7D0A" w:rsidRDefault="00C179D5">
      <w:pPr>
        <w:pStyle w:val="ECHRPara"/>
      </w:pPr>
      <w:r w:rsidRPr="00DC7D0A">
        <w:fldChar w:fldCharType="begin"/>
      </w:r>
      <w:r w:rsidRPr="00DC7D0A">
        <w:instrText xml:space="preserve"> SEQ level0 \*arabic </w:instrText>
      </w:r>
      <w:r w:rsidRPr="00DC7D0A">
        <w:fldChar w:fldCharType="separate"/>
      </w:r>
      <w:r w:rsidRPr="00DC7D0A" w:rsidR="00DC7D0A">
        <w:rPr>
          <w:noProof/>
        </w:rPr>
        <w:t>45</w:t>
      </w:r>
      <w:r w:rsidRPr="00DC7D0A">
        <w:fldChar w:fldCharType="end"/>
      </w:r>
      <w:r w:rsidRPr="00DC7D0A">
        <w:t>.  It must also be noted that there were lengthy intervals between the hearings, which appear not to be related to the work of experts, on several occasions of as long as a year (see paragraphs 13 and 14, 20 and 21 and 23 and 24 above).</w:t>
      </w:r>
    </w:p>
    <w:p w:rsidRPr="00DC7D0A" w:rsidR="00E471F2"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46</w:t>
      </w:r>
      <w:r w:rsidRPr="00DC7D0A">
        <w:fldChar w:fldCharType="end"/>
      </w:r>
      <w:r w:rsidRPr="00DC7D0A">
        <w:t>.  </w:t>
      </w:r>
      <w:r w:rsidRPr="00DC7D0A" w:rsidR="00E471F2">
        <w:t>Lastly, it is to be noted that following two remittals ordered by the Regional Court</w:t>
      </w:r>
      <w:r w:rsidRPr="00DC7D0A" w:rsidR="00672D8B">
        <w:t>,</w:t>
      </w:r>
      <w:r w:rsidRPr="00DC7D0A" w:rsidR="00E471F2">
        <w:t xml:space="preserve"> the applicant</w:t>
      </w:r>
      <w:r w:rsidRPr="00DC7D0A" w:rsidR="00DC7D0A">
        <w:t>’</w:t>
      </w:r>
      <w:r w:rsidRPr="00DC7D0A" w:rsidR="00E471F2">
        <w:t xml:space="preserve">s case was examined three times at first instance (see paragraphs </w:t>
      </w:r>
      <w:r w:rsidRPr="00DC7D0A" w:rsidR="0001079F">
        <w:t xml:space="preserve">6, 14, 24 </w:t>
      </w:r>
      <w:r w:rsidRPr="00DC7D0A" w:rsidR="00E471F2">
        <w:t xml:space="preserve">above). Although the Court is not in a position to analyse the juridical quality of the case-law of the domestic courts, the remittal of cases for re-examination is usually ordered as a result of errors committed by lower courts. The repetition of such orders within one set of proceedings </w:t>
      </w:r>
      <w:r w:rsidRPr="00DC7D0A" w:rsidR="00A41874">
        <w:t xml:space="preserve">points to </w:t>
      </w:r>
      <w:r w:rsidRPr="00DC7D0A" w:rsidR="00E471F2">
        <w:t xml:space="preserve">a deficiency in the judicial system. Moreover, this deficiency is imputable to the authorities and not the applicants (see, among many others, </w:t>
      </w:r>
      <w:proofErr w:type="spellStart"/>
      <w:r w:rsidRPr="00DC7D0A" w:rsidR="00E471F2">
        <w:rPr>
          <w:i/>
        </w:rPr>
        <w:t>Wierciszewska</w:t>
      </w:r>
      <w:proofErr w:type="spellEnd"/>
      <w:r w:rsidRPr="00DC7D0A" w:rsidR="00E471F2">
        <w:rPr>
          <w:i/>
        </w:rPr>
        <w:t xml:space="preserve"> v. Poland</w:t>
      </w:r>
      <w:r w:rsidRPr="00DC7D0A" w:rsidR="00E471F2">
        <w:t>, no.</w:t>
      </w:r>
      <w:r w:rsidRPr="00DC7D0A" w:rsidR="00672D8B">
        <w:t> </w:t>
      </w:r>
      <w:r w:rsidRPr="00DC7D0A" w:rsidR="00E471F2">
        <w:t xml:space="preserve">41431/98, § 46, 25 November 2003; </w:t>
      </w:r>
      <w:proofErr w:type="spellStart"/>
      <w:r w:rsidRPr="00DC7D0A" w:rsidR="00E471F2">
        <w:rPr>
          <w:i/>
        </w:rPr>
        <w:t>Matica</w:t>
      </w:r>
      <w:proofErr w:type="spellEnd"/>
      <w:r w:rsidRPr="00DC7D0A" w:rsidR="00E471F2">
        <w:rPr>
          <w:i/>
        </w:rPr>
        <w:t xml:space="preserve"> v. Romania</w:t>
      </w:r>
      <w:r w:rsidRPr="00DC7D0A" w:rsidR="00E471F2">
        <w:t>, no. 19567/02, §</w:t>
      </w:r>
      <w:r w:rsidRPr="00DC7D0A" w:rsidR="00672D8B">
        <w:t> </w:t>
      </w:r>
      <w:r w:rsidRPr="00DC7D0A" w:rsidR="00E471F2">
        <w:t xml:space="preserve">24, 2 November 2006; and </w:t>
      </w:r>
      <w:r w:rsidRPr="00DC7D0A" w:rsidR="00E471F2">
        <w:rPr>
          <w:i/>
        </w:rPr>
        <w:t>Vlad and Others v. Romania</w:t>
      </w:r>
      <w:r w:rsidRPr="00DC7D0A" w:rsidR="00E471F2">
        <w:t>, nos. 40756/06, 41508/07 and 50806/07, § 133, 6 November 2013).</w:t>
      </w:r>
    </w:p>
    <w:p w:rsidRPr="00DC7D0A" w:rsidR="00E471F2"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47</w:t>
      </w:r>
      <w:r w:rsidRPr="00DC7D0A">
        <w:fldChar w:fldCharType="end"/>
      </w:r>
      <w:r w:rsidRPr="00DC7D0A">
        <w:t>.  </w:t>
      </w:r>
      <w:r w:rsidRPr="00DC7D0A" w:rsidR="00E471F2">
        <w:t xml:space="preserve">In the circumstances, the Court </w:t>
      </w:r>
      <w:r w:rsidRPr="00DC7D0A" w:rsidR="00672D8B">
        <w:t xml:space="preserve">cannot </w:t>
      </w:r>
      <w:r w:rsidRPr="00DC7D0A" w:rsidR="00E471F2">
        <w:t>find sufficient justification for the delay in the examination of the applicant</w:t>
      </w:r>
      <w:r w:rsidRPr="00DC7D0A" w:rsidR="00DC7D0A">
        <w:t>’</w:t>
      </w:r>
      <w:r w:rsidRPr="00DC7D0A" w:rsidR="00E471F2">
        <w:t xml:space="preserve">s case and </w:t>
      </w:r>
      <w:r w:rsidRPr="00DC7D0A" w:rsidR="00A41874">
        <w:t xml:space="preserve">an </w:t>
      </w:r>
      <w:r w:rsidRPr="00DC7D0A" w:rsidR="00E471F2">
        <w:t>overall length of proceedings of thirteen years.</w:t>
      </w:r>
    </w:p>
    <w:p w:rsidRPr="00DC7D0A" w:rsidR="004342BA"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48</w:t>
      </w:r>
      <w:r w:rsidRPr="00DC7D0A">
        <w:fldChar w:fldCharType="end"/>
      </w:r>
      <w:r w:rsidRPr="00DC7D0A">
        <w:t>.  </w:t>
      </w:r>
      <w:r w:rsidRPr="00DC7D0A" w:rsidR="00C01F08">
        <w:t>Turning to the question of whether the applicant should have repeated the complaint under the 2004 Act</w:t>
      </w:r>
      <w:r w:rsidRPr="00DC7D0A" w:rsidR="002E0BCE">
        <w:t>,</w:t>
      </w:r>
      <w:r w:rsidRPr="00DC7D0A" w:rsidR="00C01F08">
        <w:t xml:space="preserve"> the Court considers </w:t>
      </w:r>
      <w:r w:rsidRPr="00DC7D0A" w:rsidR="002E0BCE">
        <w:t xml:space="preserve">it </w:t>
      </w:r>
      <w:r w:rsidRPr="00DC7D0A" w:rsidR="00C01F08">
        <w:t xml:space="preserve">necessary to repeat some </w:t>
      </w:r>
      <w:r w:rsidRPr="00DC7D0A" w:rsidR="00672D8B">
        <w:t xml:space="preserve">of the </w:t>
      </w:r>
      <w:r w:rsidRPr="00DC7D0A" w:rsidR="00C01F08">
        <w:t xml:space="preserve">conclusions of </w:t>
      </w:r>
      <w:r w:rsidRPr="00DC7D0A" w:rsidR="002E0BCE">
        <w:t xml:space="preserve">its </w:t>
      </w:r>
      <w:r w:rsidRPr="00DC7D0A" w:rsidR="00C01F08">
        <w:t xml:space="preserve">pilot judgment in the case </w:t>
      </w:r>
      <w:r w:rsidRPr="00DC7D0A" w:rsidR="002E0BCE">
        <w:t xml:space="preserve">of </w:t>
      </w:r>
      <w:proofErr w:type="spellStart"/>
      <w:r w:rsidRPr="00DC7D0A" w:rsidR="00C01F08">
        <w:rPr>
          <w:i/>
        </w:rPr>
        <w:t>Rutkowski</w:t>
      </w:r>
      <w:proofErr w:type="spellEnd"/>
      <w:r w:rsidRPr="00DC7D0A" w:rsidR="00C01F08">
        <w:t xml:space="preserve"> (cited above</w:t>
      </w:r>
      <w:r w:rsidRPr="00DC7D0A" w:rsidR="002E0BCE">
        <w:t>, §§ 176-186</w:t>
      </w:r>
      <w:r w:rsidRPr="00DC7D0A" w:rsidR="00C01F08">
        <w:t xml:space="preserve">). </w:t>
      </w:r>
      <w:proofErr w:type="gramStart"/>
      <w:r w:rsidRPr="00DC7D0A" w:rsidR="004342BA">
        <w:t xml:space="preserve">In that </w:t>
      </w:r>
      <w:r w:rsidRPr="00DC7D0A" w:rsidR="002E0BCE">
        <w:t>judgment</w:t>
      </w:r>
      <w:r w:rsidRPr="00DC7D0A" w:rsidR="004342BA">
        <w:t xml:space="preserve"> the Court </w:t>
      </w:r>
      <w:r w:rsidRPr="00DC7D0A" w:rsidR="002E0BCE">
        <w:t>examined</w:t>
      </w:r>
      <w:r w:rsidRPr="00DC7D0A" w:rsidR="004342BA">
        <w:t xml:space="preserve"> the </w:t>
      </w:r>
      <w:r w:rsidRPr="00DC7D0A" w:rsidR="002E0BCE">
        <w:t>domestic court</w:t>
      </w:r>
      <w:r w:rsidRPr="00DC7D0A" w:rsidR="00DC7D0A">
        <w:t>’</w:t>
      </w:r>
      <w:r w:rsidRPr="00DC7D0A" w:rsidR="002E0BCE">
        <w:t>s application</w:t>
      </w:r>
      <w:r w:rsidRPr="00DC7D0A" w:rsidR="004342BA">
        <w:t xml:space="preserve"> of the 2004 Act</w:t>
      </w:r>
      <w:r w:rsidRPr="00DC7D0A" w:rsidR="00672D8B">
        <w:t>,</w:t>
      </w:r>
      <w:r w:rsidRPr="00DC7D0A" w:rsidR="004342BA">
        <w:t xml:space="preserve"> inclu</w:t>
      </w:r>
      <w:r w:rsidRPr="00DC7D0A" w:rsidR="002E0BCE">
        <w:t xml:space="preserve">ding </w:t>
      </w:r>
      <w:r w:rsidRPr="00DC7D0A" w:rsidR="004342BA">
        <w:t xml:space="preserve">its interpretation </w:t>
      </w:r>
      <w:r w:rsidRPr="00DC7D0A" w:rsidR="002E0BCE">
        <w:t>by</w:t>
      </w:r>
      <w:r w:rsidRPr="00DC7D0A" w:rsidR="004342BA">
        <w:t xml:space="preserve"> the Supreme Court</w:t>
      </w:r>
      <w:r w:rsidRPr="00DC7D0A" w:rsidR="002E0BCE">
        <w:t xml:space="preserve"> (ibid, §§ 93-106)</w:t>
      </w:r>
      <w:r w:rsidRPr="00DC7D0A" w:rsidR="004342BA">
        <w:t>.</w:t>
      </w:r>
      <w:proofErr w:type="gramEnd"/>
    </w:p>
    <w:p w:rsidRPr="00DC7D0A" w:rsidR="00C74047" w:rsidP="00DC7D0A" w:rsidRDefault="00667A9D">
      <w:pPr>
        <w:pStyle w:val="ECHRPara"/>
      </w:pPr>
      <w:r w:rsidRPr="00DC7D0A">
        <w:fldChar w:fldCharType="begin"/>
      </w:r>
      <w:r w:rsidRPr="00DC7D0A">
        <w:instrText xml:space="preserve"> SEQ level0 \*arabic </w:instrText>
      </w:r>
      <w:r w:rsidRPr="00DC7D0A">
        <w:fldChar w:fldCharType="separate"/>
      </w:r>
      <w:r w:rsidRPr="00DC7D0A" w:rsidR="00DC7D0A">
        <w:rPr>
          <w:noProof/>
        </w:rPr>
        <w:t>49</w:t>
      </w:r>
      <w:r w:rsidRPr="00DC7D0A">
        <w:fldChar w:fldCharType="end"/>
      </w:r>
      <w:r w:rsidRPr="00DC7D0A">
        <w:t>.  </w:t>
      </w:r>
      <w:r w:rsidRPr="00DC7D0A" w:rsidR="00C179D5">
        <w:t xml:space="preserve">In </w:t>
      </w:r>
      <w:proofErr w:type="spellStart"/>
      <w:r w:rsidRPr="00DC7D0A" w:rsidR="00C179D5">
        <w:rPr>
          <w:i/>
        </w:rPr>
        <w:t>Rutkowski</w:t>
      </w:r>
      <w:proofErr w:type="spellEnd"/>
      <w:r w:rsidRPr="00DC7D0A" w:rsidR="00C179D5">
        <w:t xml:space="preserve"> t</w:t>
      </w:r>
      <w:r w:rsidRPr="00DC7D0A" w:rsidR="002E0BCE">
        <w:t>he Court</w:t>
      </w:r>
      <w:r w:rsidRPr="00DC7D0A" w:rsidR="004342BA">
        <w:t xml:space="preserve"> found that considerable delays occurring in the applicants</w:t>
      </w:r>
      <w:r w:rsidRPr="00DC7D0A" w:rsidR="00DC7D0A">
        <w:t>’</w:t>
      </w:r>
      <w:r w:rsidRPr="00DC7D0A" w:rsidR="004342BA">
        <w:t xml:space="preserve"> cases, which were relevant </w:t>
      </w:r>
      <w:r w:rsidRPr="00DC7D0A" w:rsidR="00672D8B">
        <w:t xml:space="preserve">as regards </w:t>
      </w:r>
      <w:r w:rsidRPr="00DC7D0A" w:rsidR="004342BA">
        <w:t>the assessment of the breach of Article 6 § 1 alleged by them, were not taken into account by the courts dealing with their complaints. Contrary to the Court</w:t>
      </w:r>
      <w:r w:rsidRPr="00DC7D0A" w:rsidR="00DC7D0A">
        <w:t>’</w:t>
      </w:r>
      <w:r w:rsidRPr="00DC7D0A" w:rsidR="004342BA">
        <w:t>s established case-law on the assessment of the reasonableness of the length of proceedings</w:t>
      </w:r>
      <w:r w:rsidRPr="00DC7D0A" w:rsidR="00672D8B">
        <w:t>,</w:t>
      </w:r>
      <w:r w:rsidRPr="00DC7D0A" w:rsidR="004342BA">
        <w:t xml:space="preserve"> the courts did not examine the overall length of the proceedings but only selected parts of them. In some cases the courts disregarded periods occurring before the 2004 Act</w:t>
      </w:r>
      <w:r w:rsidRPr="00DC7D0A" w:rsidR="00DC7D0A">
        <w:t>’</w:t>
      </w:r>
      <w:r w:rsidRPr="00DC7D0A" w:rsidR="004342BA">
        <w:t xml:space="preserve">s entry into force and examined only the length of proceedings at the current instance. The </w:t>
      </w:r>
      <w:r w:rsidRPr="00DC7D0A" w:rsidR="002E0BCE">
        <w:t>Supreme Court</w:t>
      </w:r>
      <w:r w:rsidRPr="00DC7D0A" w:rsidR="00DC7D0A">
        <w:t>’</w:t>
      </w:r>
      <w:r w:rsidRPr="00DC7D0A" w:rsidR="0087386C">
        <w:t>s</w:t>
      </w:r>
      <w:r w:rsidRPr="00DC7D0A" w:rsidR="004342BA">
        <w:t xml:space="preserve"> interpretation allowing for “fragmentation of </w:t>
      </w:r>
      <w:r w:rsidRPr="00DC7D0A" w:rsidR="00877001">
        <w:t>proceedings</w:t>
      </w:r>
      <w:r w:rsidRPr="00DC7D0A" w:rsidR="004342BA">
        <w:t>” applied until 20 March 2013, when the Supreme Court issued the 2013 Resolution, analysing critically its previous case-law on the matter and endorsing a new interpretation in compliance with the Court</w:t>
      </w:r>
      <w:r w:rsidRPr="00DC7D0A" w:rsidR="00DC7D0A">
        <w:t>’</w:t>
      </w:r>
      <w:r w:rsidRPr="00DC7D0A" w:rsidR="004342BA">
        <w:t xml:space="preserve">s case-law on the assessment of the reasonableness of the length of proceedings. </w:t>
      </w:r>
      <w:r w:rsidRPr="00DC7D0A" w:rsidR="00877001">
        <w:t xml:space="preserve">Moreover, the </w:t>
      </w:r>
      <w:r w:rsidRPr="00DC7D0A" w:rsidR="00C61D51">
        <w:t>Court reiterated the standards for “appropriate and sufficient redress” for violations of the “reasonable time” requirement and its strong, although rebuttable, presumption in favour of non-pecuniary damage being normally occasioned by the excessive length of proceedings (</w:t>
      </w:r>
      <w:r w:rsidRPr="00DC7D0A" w:rsidR="00C61D51">
        <w:rPr>
          <w:i/>
        </w:rPr>
        <w:t>ibid</w:t>
      </w:r>
      <w:r w:rsidRPr="00DC7D0A" w:rsidR="00CF50B8">
        <w:rPr>
          <w:i/>
        </w:rPr>
        <w:t>,</w:t>
      </w:r>
      <w:r w:rsidRPr="00DC7D0A" w:rsidR="00C61D51">
        <w:t xml:space="preserve"> </w:t>
      </w:r>
      <w:r w:rsidRPr="00DC7D0A" w:rsidR="00CF50B8">
        <w:t xml:space="preserve">§ </w:t>
      </w:r>
      <w:r w:rsidRPr="00DC7D0A" w:rsidR="00C61D51">
        <w:t xml:space="preserve">182). </w:t>
      </w:r>
      <w:r w:rsidRPr="00DC7D0A" w:rsidR="004342BA">
        <w:t>In view of the above</w:t>
      </w:r>
      <w:r w:rsidRPr="00DC7D0A" w:rsidR="00672D8B">
        <w:t>,</w:t>
      </w:r>
      <w:r w:rsidRPr="00DC7D0A" w:rsidR="004342BA">
        <w:t xml:space="preserve"> </w:t>
      </w:r>
      <w:r w:rsidRPr="00DC7D0A" w:rsidR="00C74047">
        <w:t>the</w:t>
      </w:r>
      <w:r w:rsidRPr="00DC7D0A" w:rsidR="004342BA">
        <w:t xml:space="preserve"> Court found in its </w:t>
      </w:r>
      <w:r w:rsidRPr="00DC7D0A" w:rsidR="00A41874">
        <w:t>p</w:t>
      </w:r>
      <w:r w:rsidRPr="00DC7D0A" w:rsidR="004342BA">
        <w:t xml:space="preserve">ilot </w:t>
      </w:r>
      <w:r w:rsidRPr="00DC7D0A" w:rsidR="00C74047">
        <w:t>judgment</w:t>
      </w:r>
      <w:r w:rsidRPr="00DC7D0A" w:rsidR="004342BA">
        <w:t xml:space="preserve"> </w:t>
      </w:r>
      <w:r w:rsidRPr="00DC7D0A" w:rsidR="00877001">
        <w:t>that the 2004 Act failed to provide the applicants with “appropriate and sufficient redress” in terms of adequate compensation for the excessive length of the proceedings in their cases</w:t>
      </w:r>
      <w:r w:rsidRPr="00DC7D0A" w:rsidR="00C441F7">
        <w:t xml:space="preserve"> (</w:t>
      </w:r>
      <w:proofErr w:type="spellStart"/>
      <w:r w:rsidRPr="00DC7D0A" w:rsidR="00C441F7">
        <w:rPr>
          <w:i/>
        </w:rPr>
        <w:t>Rutkowski</w:t>
      </w:r>
      <w:proofErr w:type="spellEnd"/>
      <w:r w:rsidRPr="00DC7D0A" w:rsidR="00C441F7">
        <w:t>, cited above,§ 183)</w:t>
      </w:r>
      <w:r w:rsidRPr="00DC7D0A" w:rsidR="00877001">
        <w:t>.</w:t>
      </w:r>
    </w:p>
    <w:p w:rsidRPr="00DC7D0A" w:rsidR="004342BA" w:rsidP="00DC7D0A" w:rsidRDefault="00CF50B8">
      <w:pPr>
        <w:pStyle w:val="ECHRPara"/>
      </w:pPr>
      <w:r w:rsidRPr="00DC7D0A">
        <w:fldChar w:fldCharType="begin"/>
      </w:r>
      <w:r w:rsidRPr="00DC7D0A">
        <w:instrText xml:space="preserve"> SEQ level0 \*arabic </w:instrText>
      </w:r>
      <w:r w:rsidRPr="00DC7D0A">
        <w:fldChar w:fldCharType="separate"/>
      </w:r>
      <w:r w:rsidRPr="00DC7D0A" w:rsidR="00DC7D0A">
        <w:rPr>
          <w:noProof/>
        </w:rPr>
        <w:t>50</w:t>
      </w:r>
      <w:r w:rsidRPr="00DC7D0A">
        <w:fldChar w:fldCharType="end"/>
      </w:r>
      <w:r w:rsidRPr="00DC7D0A">
        <w:t xml:space="preserve">.  The Court considers that </w:t>
      </w:r>
      <w:r w:rsidRPr="00DC7D0A" w:rsidR="00475DE4">
        <w:t>its findings as to the Polish courts</w:t>
      </w:r>
      <w:r w:rsidRPr="00DC7D0A" w:rsidR="00DC7D0A">
        <w:t>’</w:t>
      </w:r>
      <w:r w:rsidRPr="00DC7D0A" w:rsidR="00475DE4">
        <w:t xml:space="preserve"> deficient practice </w:t>
      </w:r>
      <w:r w:rsidRPr="00DC7D0A" w:rsidR="00C74047">
        <w:t xml:space="preserve">in respect </w:t>
      </w:r>
      <w:r w:rsidRPr="00DC7D0A" w:rsidR="002E0BCE">
        <w:t>o</w:t>
      </w:r>
      <w:r w:rsidRPr="00DC7D0A" w:rsidR="00672D8B">
        <w:t>f</w:t>
      </w:r>
      <w:r w:rsidRPr="00DC7D0A" w:rsidR="002E0BCE">
        <w:t xml:space="preserve"> </w:t>
      </w:r>
      <w:r w:rsidRPr="00DC7D0A">
        <w:t xml:space="preserve">the </w:t>
      </w:r>
      <w:r w:rsidRPr="00DC7D0A" w:rsidR="002E0BCE">
        <w:t xml:space="preserve">application of the 2004 Act </w:t>
      </w:r>
      <w:r w:rsidRPr="00DC7D0A" w:rsidR="00672D8B">
        <w:t xml:space="preserve">also </w:t>
      </w:r>
      <w:r w:rsidRPr="00DC7D0A" w:rsidR="00C74047">
        <w:t>apply to the instant</w:t>
      </w:r>
      <w:r w:rsidRPr="00DC7D0A" w:rsidR="002E0BCE">
        <w:t xml:space="preserve"> case. </w:t>
      </w:r>
      <w:r w:rsidRPr="00DC7D0A" w:rsidR="00475DE4">
        <w:t>Furthermore</w:t>
      </w:r>
      <w:r w:rsidRPr="00DC7D0A" w:rsidR="0058002D">
        <w:t>,</w:t>
      </w:r>
      <w:r w:rsidRPr="00DC7D0A" w:rsidR="00475DE4">
        <w:t xml:space="preserve"> it notes that t</w:t>
      </w:r>
      <w:r w:rsidRPr="00DC7D0A" w:rsidR="002E0BCE">
        <w:t xml:space="preserve">he domestic court </w:t>
      </w:r>
      <w:r w:rsidRPr="00DC7D0A" w:rsidR="00C74047">
        <w:t xml:space="preserve">rejected the complaint </w:t>
      </w:r>
      <w:r w:rsidRPr="00DC7D0A" w:rsidR="00672D8B">
        <w:t xml:space="preserve">on 21 December 2004 </w:t>
      </w:r>
      <w:r w:rsidRPr="00DC7D0A" w:rsidR="00C74047">
        <w:t xml:space="preserve">for formal </w:t>
      </w:r>
      <w:r w:rsidRPr="00DC7D0A" w:rsidR="002E0BCE">
        <w:t>reasons (</w:t>
      </w:r>
      <w:r w:rsidRPr="00DC7D0A" w:rsidR="00EA3A3A">
        <w:t>see paragraph </w:t>
      </w:r>
      <w:r w:rsidRPr="00DC7D0A" w:rsidR="005105FB">
        <w:t xml:space="preserve">28 </w:t>
      </w:r>
      <w:r w:rsidRPr="00DC7D0A">
        <w:t>above</w:t>
      </w:r>
      <w:r w:rsidRPr="00DC7D0A" w:rsidR="002E0BCE">
        <w:t xml:space="preserve">). </w:t>
      </w:r>
      <w:r w:rsidRPr="00DC7D0A">
        <w:t>T</w:t>
      </w:r>
      <w:r w:rsidRPr="00DC7D0A" w:rsidR="004342BA">
        <w:t>he</w:t>
      </w:r>
      <w:r w:rsidRPr="00DC7D0A">
        <w:t xml:space="preserve"> </w:t>
      </w:r>
      <w:r w:rsidRPr="00DC7D0A" w:rsidR="004342BA">
        <w:t xml:space="preserve">Court has already found that declaring a complaint inadmissible on the grounds that an applicant “had not specified the circumstances </w:t>
      </w:r>
      <w:r w:rsidRPr="00DC7D0A" w:rsidR="00292519">
        <w:t>o</w:t>
      </w:r>
      <w:r w:rsidRPr="00DC7D0A" w:rsidR="004342BA">
        <w:t xml:space="preserve">n which his/her complaint had been based” is too formalistic </w:t>
      </w:r>
      <w:r w:rsidRPr="00DC7D0A" w:rsidR="00292519">
        <w:t xml:space="preserve">an </w:t>
      </w:r>
      <w:r w:rsidRPr="00DC7D0A" w:rsidR="004342BA">
        <w:t>approach, which may prevent an applicant</w:t>
      </w:r>
      <w:r w:rsidRPr="00DC7D0A" w:rsidR="00DC7D0A">
        <w:t>’</w:t>
      </w:r>
      <w:r w:rsidRPr="00DC7D0A" w:rsidR="004342BA">
        <w:t>s claims from being examined on</w:t>
      </w:r>
      <w:r w:rsidRPr="00DC7D0A" w:rsidR="00292519">
        <w:t xml:space="preserve"> the</w:t>
      </w:r>
      <w:r w:rsidRPr="00DC7D0A" w:rsidR="004342BA">
        <w:t xml:space="preserve"> merits (</w:t>
      </w:r>
      <w:r w:rsidRPr="00DC7D0A" w:rsidR="00C441F7">
        <w:t xml:space="preserve">see </w:t>
      </w:r>
      <w:proofErr w:type="spellStart"/>
      <w:r w:rsidRPr="00DC7D0A">
        <w:rPr>
          <w:i/>
        </w:rPr>
        <w:t>Wende</w:t>
      </w:r>
      <w:proofErr w:type="spellEnd"/>
      <w:r w:rsidRPr="00DC7D0A">
        <w:rPr>
          <w:i/>
        </w:rPr>
        <w:t xml:space="preserve"> and </w:t>
      </w:r>
      <w:proofErr w:type="spellStart"/>
      <w:r w:rsidRPr="00DC7D0A">
        <w:rPr>
          <w:i/>
        </w:rPr>
        <w:t>Kukówka</w:t>
      </w:r>
      <w:proofErr w:type="spellEnd"/>
      <w:r w:rsidRPr="00DC7D0A">
        <w:rPr>
          <w:i/>
        </w:rPr>
        <w:t xml:space="preserve"> v. Poland</w:t>
      </w:r>
      <w:r w:rsidRPr="00DC7D0A" w:rsidR="00D33BEB">
        <w:t>, no. </w:t>
      </w:r>
      <w:r w:rsidRPr="00DC7D0A">
        <w:t>56026/00, §§ 49-57, 10</w:t>
      </w:r>
      <w:r w:rsidRPr="00DC7D0A" w:rsidR="00A41874">
        <w:t> </w:t>
      </w:r>
      <w:r w:rsidRPr="00DC7D0A">
        <w:t>May 2007</w:t>
      </w:r>
      <w:r w:rsidRPr="00DC7D0A" w:rsidR="004342BA">
        <w:t>).</w:t>
      </w:r>
      <w:r w:rsidRPr="00DC7D0A" w:rsidR="00C74047">
        <w:t xml:space="preserve"> </w:t>
      </w:r>
      <w:r w:rsidRPr="00DC7D0A" w:rsidR="002E0BCE">
        <w:t>T</w:t>
      </w:r>
      <w:r w:rsidRPr="00DC7D0A" w:rsidR="00C74047">
        <w:t>he applicant</w:t>
      </w:r>
      <w:r w:rsidRPr="00DC7D0A" w:rsidR="00DC7D0A">
        <w:t>’</w:t>
      </w:r>
      <w:r w:rsidRPr="00DC7D0A" w:rsidR="00C74047">
        <w:t xml:space="preserve">s second complaint </w:t>
      </w:r>
      <w:r w:rsidRPr="00DC7D0A" w:rsidR="002E0BCE">
        <w:t xml:space="preserve">under the 2004 Act </w:t>
      </w:r>
      <w:r w:rsidRPr="00DC7D0A" w:rsidR="00C74047">
        <w:t>was examined on the merits on 5 April 2006</w:t>
      </w:r>
      <w:r w:rsidRPr="00DC7D0A" w:rsidR="00292519">
        <w:t>,</w:t>
      </w:r>
      <w:r w:rsidRPr="00DC7D0A" w:rsidR="00C74047">
        <w:t xml:space="preserve"> but</w:t>
      </w:r>
      <w:r w:rsidRPr="00DC7D0A" w:rsidR="002E0BCE">
        <w:t xml:space="preserve"> the court </w:t>
      </w:r>
      <w:r w:rsidRPr="00DC7D0A" w:rsidR="00292519">
        <w:t xml:space="preserve">examined only the length of proceedings after September 2004 and </w:t>
      </w:r>
      <w:r w:rsidRPr="00DC7D0A" w:rsidR="002E0BCE">
        <w:t xml:space="preserve">disregarded periods occurring </w:t>
      </w:r>
      <w:r w:rsidRPr="00DC7D0A">
        <w:t>before</w:t>
      </w:r>
      <w:r w:rsidRPr="00DC7D0A" w:rsidR="002E0BCE">
        <w:t xml:space="preserve"> the 2004 Act</w:t>
      </w:r>
      <w:r w:rsidRPr="00DC7D0A" w:rsidR="00DC7D0A">
        <w:t>’</w:t>
      </w:r>
      <w:r w:rsidRPr="00DC7D0A" w:rsidR="002E0BCE">
        <w:t>s entry into force.</w:t>
      </w:r>
    </w:p>
    <w:p w:rsidRPr="00DC7D0A" w:rsidR="009751AF"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51</w:t>
      </w:r>
      <w:r w:rsidRPr="00DC7D0A">
        <w:fldChar w:fldCharType="end"/>
      </w:r>
      <w:r w:rsidRPr="00DC7D0A">
        <w:t>.  </w:t>
      </w:r>
      <w:r w:rsidRPr="00DC7D0A" w:rsidR="00CF50B8">
        <w:t xml:space="preserve">The </w:t>
      </w:r>
      <w:r w:rsidRPr="00DC7D0A" w:rsidR="009751AF">
        <w:t xml:space="preserve">foregoing considerations are sufficient to enable the Court to conclude that the length of the proceedings was </w:t>
      </w:r>
      <w:r w:rsidRPr="00DC7D0A" w:rsidR="00292519">
        <w:t xml:space="preserve">already </w:t>
      </w:r>
      <w:r w:rsidRPr="00DC7D0A" w:rsidR="009751AF">
        <w:t>excessive and failed to meet the “reasonable time” requirement</w:t>
      </w:r>
      <w:r w:rsidRPr="00DC7D0A" w:rsidR="00292519">
        <w:t xml:space="preserve"> in the periods which were susceptible to the domestic courts</w:t>
      </w:r>
      <w:r w:rsidRPr="00DC7D0A" w:rsidR="00DC7D0A">
        <w:t>’</w:t>
      </w:r>
      <w:r w:rsidRPr="00DC7D0A" w:rsidR="00292519">
        <w:t xml:space="preserve"> scrutiny</w:t>
      </w:r>
      <w:r w:rsidRPr="00DC7D0A" w:rsidR="009751AF">
        <w:t xml:space="preserve">. It has </w:t>
      </w:r>
      <w:r w:rsidRPr="00DC7D0A" w:rsidR="00292519">
        <w:t>i</w:t>
      </w:r>
      <w:r w:rsidRPr="00DC7D0A" w:rsidR="009751AF">
        <w:t>ne</w:t>
      </w:r>
      <w:r w:rsidRPr="00DC7D0A" w:rsidR="00292519">
        <w:t>vitab</w:t>
      </w:r>
      <w:r w:rsidRPr="00DC7D0A" w:rsidR="009751AF">
        <w:t xml:space="preserve">ly </w:t>
      </w:r>
      <w:r w:rsidRPr="00DC7D0A" w:rsidR="00292519">
        <w:t xml:space="preserve">remained </w:t>
      </w:r>
      <w:r w:rsidRPr="00DC7D0A" w:rsidR="009751AF">
        <w:t>s</w:t>
      </w:r>
      <w:r w:rsidRPr="00DC7D0A" w:rsidR="00292519">
        <w:t>o</w:t>
      </w:r>
      <w:r w:rsidRPr="00DC7D0A" w:rsidR="009751AF">
        <w:t xml:space="preserve"> throughout the subsequent period. In these circumstances, to ask the applicant to lodge a </w:t>
      </w:r>
      <w:r w:rsidRPr="00DC7D0A" w:rsidR="00C50715">
        <w:t>third</w:t>
      </w:r>
      <w:r w:rsidRPr="00DC7D0A" w:rsidR="009751AF">
        <w:t xml:space="preserve"> complaint</w:t>
      </w:r>
      <w:r w:rsidRPr="00DC7D0A" w:rsidR="00CF50B8">
        <w:t xml:space="preserve"> under the 2004 Act would </w:t>
      </w:r>
      <w:r w:rsidRPr="00DC7D0A" w:rsidR="00292519">
        <w:t xml:space="preserve">be to </w:t>
      </w:r>
      <w:r w:rsidRPr="00DC7D0A" w:rsidR="00CF50B8">
        <w:t xml:space="preserve">overstretch her </w:t>
      </w:r>
      <w:r w:rsidRPr="00DC7D0A" w:rsidR="009751AF">
        <w:t xml:space="preserve">duties under Article 35 § 1 of the Convention (see, for example, </w:t>
      </w:r>
      <w:proofErr w:type="spellStart"/>
      <w:r w:rsidRPr="00DC7D0A" w:rsidR="009751AF">
        <w:rPr>
          <w:i/>
        </w:rPr>
        <w:t>Antonić-Tomasović</w:t>
      </w:r>
      <w:proofErr w:type="spellEnd"/>
      <w:r w:rsidRPr="00DC7D0A" w:rsidR="009751AF">
        <w:rPr>
          <w:i/>
        </w:rPr>
        <w:t xml:space="preserve"> v. Croatia</w:t>
      </w:r>
      <w:r w:rsidRPr="00DC7D0A" w:rsidR="00CF50B8">
        <w:t>, no. 5208/03, §§ 25-34, 10 </w:t>
      </w:r>
      <w:r w:rsidRPr="00DC7D0A" w:rsidR="009751AF">
        <w:t>November 2005).</w:t>
      </w:r>
    </w:p>
    <w:p w:rsidRPr="00DC7D0A" w:rsidR="00DE61E0" w:rsidP="00DC7D0A" w:rsidRDefault="00973C3F">
      <w:pPr>
        <w:pStyle w:val="ECHRPara"/>
      </w:pPr>
      <w:r w:rsidRPr="00DC7D0A">
        <w:fldChar w:fldCharType="begin"/>
      </w:r>
      <w:r w:rsidRPr="00DC7D0A">
        <w:instrText xml:space="preserve"> SEQ level0 \*arabic </w:instrText>
      </w:r>
      <w:r w:rsidRPr="00DC7D0A">
        <w:fldChar w:fldCharType="separate"/>
      </w:r>
      <w:r w:rsidRPr="00DC7D0A" w:rsidR="00DC7D0A">
        <w:rPr>
          <w:noProof/>
        </w:rPr>
        <w:t>52</w:t>
      </w:r>
      <w:r w:rsidRPr="00DC7D0A">
        <w:fldChar w:fldCharType="end"/>
      </w:r>
      <w:r w:rsidRPr="00DC7D0A">
        <w:t>.  </w:t>
      </w:r>
      <w:r w:rsidRPr="00DC7D0A" w:rsidR="009751AF">
        <w:t>In conclusion, the Court rejects the Government</w:t>
      </w:r>
      <w:r w:rsidRPr="00DC7D0A" w:rsidR="00DC7D0A">
        <w:t>’</w:t>
      </w:r>
      <w:r w:rsidRPr="00DC7D0A" w:rsidR="009751AF">
        <w:t>s objection as to the exhaustion of domestic remedies and finds that there has been a breach of Article 6 § 1 of the Convention in the present case.</w:t>
      </w:r>
    </w:p>
    <w:p w:rsidRPr="00DC7D0A" w:rsidR="00DE61E0" w:rsidP="00DC7D0A" w:rsidRDefault="00DE61E0">
      <w:pPr>
        <w:pStyle w:val="ECHRHeading1"/>
      </w:pPr>
      <w:r w:rsidRPr="00DC7D0A">
        <w:t>II</w:t>
      </w:r>
      <w:r w:rsidRPr="00DC7D0A" w:rsidR="009B114D">
        <w:t>.</w:t>
      </w:r>
      <w:proofErr w:type="gramStart"/>
      <w:r w:rsidRPr="00DC7D0A">
        <w:t>  APPLICATION</w:t>
      </w:r>
      <w:proofErr w:type="gramEnd"/>
      <w:r w:rsidRPr="00DC7D0A">
        <w:t xml:space="preserve"> OF ARTICLE 41 OF THE CONVENTION</w:t>
      </w:r>
    </w:p>
    <w:p w:rsidRPr="00DC7D0A" w:rsidR="00DE61E0"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53</w:t>
      </w:r>
      <w:r w:rsidRPr="00DC7D0A">
        <w:fldChar w:fldCharType="end"/>
      </w:r>
      <w:r w:rsidRPr="00DC7D0A" w:rsidR="00DE61E0">
        <w:t>.  Article 41 of the Convention provides:</w:t>
      </w:r>
    </w:p>
    <w:p w:rsidRPr="00DC7D0A" w:rsidR="00DE61E0" w:rsidP="00DC7D0A" w:rsidRDefault="00DE61E0">
      <w:pPr>
        <w:pStyle w:val="ECHRParaQuote"/>
        <w:keepNext/>
        <w:keepLines/>
      </w:pPr>
      <w:r w:rsidRPr="00DC7D0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C7D0A" w:rsidR="00DE61E0" w:rsidP="00DC7D0A" w:rsidRDefault="00DE61E0">
      <w:pPr>
        <w:pStyle w:val="ECHRHeading2"/>
      </w:pPr>
      <w:r w:rsidRPr="00DC7D0A">
        <w:t>A.  Damage</w:t>
      </w:r>
    </w:p>
    <w:p w:rsidRPr="00DC7D0A" w:rsidR="00DE61E0"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54</w:t>
      </w:r>
      <w:r w:rsidRPr="00DC7D0A">
        <w:fldChar w:fldCharType="end"/>
      </w:r>
      <w:r w:rsidRPr="00DC7D0A" w:rsidR="00DE61E0">
        <w:t>.  The applicant claimed</w:t>
      </w:r>
      <w:r w:rsidRPr="00DC7D0A" w:rsidR="00EC1E70">
        <w:t xml:space="preserve"> 20,000</w:t>
      </w:r>
      <w:r w:rsidRPr="00DC7D0A" w:rsidR="00DE61E0">
        <w:t xml:space="preserve"> euros (EUR) in respect of</w:t>
      </w:r>
      <w:r w:rsidRPr="00DC7D0A" w:rsidR="00EC1E70">
        <w:t xml:space="preserve"> </w:t>
      </w:r>
      <w:r w:rsidRPr="00DC7D0A" w:rsidR="00DE61E0">
        <w:t>non</w:t>
      </w:r>
      <w:r w:rsidRPr="00DC7D0A" w:rsidR="00292519">
        <w:noBreakHyphen/>
      </w:r>
      <w:r w:rsidRPr="00DC7D0A" w:rsidR="00DE61E0">
        <w:t>pecuniary damage.</w:t>
      </w:r>
    </w:p>
    <w:p w:rsidRPr="00DC7D0A" w:rsidR="00DE61E0"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55</w:t>
      </w:r>
      <w:r w:rsidRPr="00DC7D0A">
        <w:fldChar w:fldCharType="end"/>
      </w:r>
      <w:r w:rsidRPr="00DC7D0A" w:rsidR="00DE61E0">
        <w:t>.  The Government contested the claim.</w:t>
      </w:r>
    </w:p>
    <w:p w:rsidRPr="00DC7D0A" w:rsidR="009B114D"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56</w:t>
      </w:r>
      <w:r w:rsidRPr="00DC7D0A">
        <w:fldChar w:fldCharType="end"/>
      </w:r>
      <w:r w:rsidRPr="00DC7D0A" w:rsidR="00DE61E0">
        <w:t xml:space="preserve">.  The Court awards the applicant EUR </w:t>
      </w:r>
      <w:r w:rsidRPr="00DC7D0A" w:rsidR="00CF50B8">
        <w:t>10,000</w:t>
      </w:r>
      <w:r w:rsidRPr="00DC7D0A" w:rsidR="00DE61E0">
        <w:t xml:space="preserve"> in respect of non</w:t>
      </w:r>
      <w:r w:rsidRPr="00DC7D0A" w:rsidR="00292519">
        <w:noBreakHyphen/>
      </w:r>
      <w:r w:rsidRPr="00DC7D0A" w:rsidR="00DE61E0">
        <w:t>pecuniary damage.</w:t>
      </w:r>
    </w:p>
    <w:p w:rsidRPr="00DC7D0A" w:rsidR="00DE61E0" w:rsidP="00DC7D0A" w:rsidRDefault="00DE61E0">
      <w:pPr>
        <w:pStyle w:val="ECHRHeading2"/>
      </w:pPr>
      <w:r w:rsidRPr="00DC7D0A">
        <w:t>B.  Costs and expenses</w:t>
      </w:r>
    </w:p>
    <w:p w:rsidRPr="00DC7D0A" w:rsidR="00DE61E0"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57</w:t>
      </w:r>
      <w:r w:rsidRPr="00DC7D0A">
        <w:fldChar w:fldCharType="end"/>
      </w:r>
      <w:r w:rsidRPr="00DC7D0A" w:rsidR="00DE61E0">
        <w:t>.  The applicant</w:t>
      </w:r>
      <w:r w:rsidRPr="00DC7D0A" w:rsidR="00CF50B8">
        <w:t>, represented by a lawyer, did not make any claim in respect of costs and expenses.</w:t>
      </w:r>
    </w:p>
    <w:p w:rsidRPr="00DC7D0A" w:rsidR="00DE61E0" w:rsidP="00DC7D0A" w:rsidRDefault="00DE61E0">
      <w:pPr>
        <w:pStyle w:val="ECHRHeading2"/>
      </w:pPr>
      <w:r w:rsidRPr="00DC7D0A">
        <w:t>C.  Default interest</w:t>
      </w:r>
    </w:p>
    <w:p w:rsidRPr="00DC7D0A" w:rsidR="00DE61E0" w:rsidP="00DC7D0A" w:rsidRDefault="00B3036D">
      <w:pPr>
        <w:pStyle w:val="ECHRPara"/>
      </w:pPr>
      <w:r w:rsidRPr="00DC7D0A">
        <w:fldChar w:fldCharType="begin"/>
      </w:r>
      <w:r w:rsidRPr="00DC7D0A">
        <w:instrText xml:space="preserve"> SEQ level0 \*arabic </w:instrText>
      </w:r>
      <w:r w:rsidRPr="00DC7D0A">
        <w:fldChar w:fldCharType="separate"/>
      </w:r>
      <w:r w:rsidRPr="00DC7D0A" w:rsidR="00DC7D0A">
        <w:rPr>
          <w:noProof/>
        </w:rPr>
        <w:t>58</w:t>
      </w:r>
      <w:r w:rsidRPr="00DC7D0A">
        <w:fldChar w:fldCharType="end"/>
      </w:r>
      <w:r w:rsidRPr="00DC7D0A" w:rsidR="00DE61E0">
        <w:t>.  The Court considers it appropriate that the default interest rate should be based on the marginal lending rate of the European Central Bank, to which should be added three percentage points.</w:t>
      </w:r>
    </w:p>
    <w:p w:rsidRPr="00DC7D0A" w:rsidR="00DE61E0" w:rsidP="00DC7D0A" w:rsidRDefault="002E044C">
      <w:pPr>
        <w:pStyle w:val="ECHRTitle1"/>
      </w:pPr>
      <w:r w:rsidRPr="00DC7D0A">
        <w:t>FOR THESE REASONS, THE COURT</w:t>
      </w:r>
      <w:r w:rsidRPr="00DC7D0A" w:rsidR="00B3036D">
        <w:t>, UNANIMOUSLY,</w:t>
      </w:r>
    </w:p>
    <w:p w:rsidRPr="00DC7D0A" w:rsidR="001A296F" w:rsidP="00DC7D0A" w:rsidRDefault="00E502AF">
      <w:pPr>
        <w:pStyle w:val="JuList"/>
      </w:pPr>
      <w:r w:rsidRPr="00DC7D0A">
        <w:t>1. </w:t>
      </w:r>
      <w:r w:rsidRPr="00DC7D0A" w:rsidR="0058002D">
        <w:t> </w:t>
      </w:r>
      <w:r w:rsidRPr="00DC7D0A">
        <w:rPr>
          <w:i/>
          <w:iCs/>
        </w:rPr>
        <w:t>Joins to the merits</w:t>
      </w:r>
      <w:r w:rsidRPr="00DC7D0A">
        <w:t> the Government</w:t>
      </w:r>
      <w:r w:rsidRPr="00DC7D0A" w:rsidR="00DC7D0A">
        <w:t>’</w:t>
      </w:r>
      <w:r w:rsidRPr="00DC7D0A">
        <w:t>s preliminary objection concerning the applicant</w:t>
      </w:r>
      <w:r w:rsidRPr="00DC7D0A" w:rsidR="00DC7D0A">
        <w:t>’</w:t>
      </w:r>
      <w:r w:rsidRPr="00DC7D0A">
        <w:t xml:space="preserve">s failure to exhaust domestic remedies </w:t>
      </w:r>
      <w:r w:rsidRPr="00DC7D0A" w:rsidR="00D33BEB">
        <w:t xml:space="preserve">and </w:t>
      </w:r>
      <w:r w:rsidRPr="00DC7D0A" w:rsidR="001A296F">
        <w:rPr>
          <w:i/>
        </w:rPr>
        <w:t>dismisses</w:t>
      </w:r>
      <w:r w:rsidRPr="00DC7D0A" w:rsidR="001A296F">
        <w:t xml:space="preserve"> it;</w:t>
      </w:r>
    </w:p>
    <w:p w:rsidRPr="00DC7D0A" w:rsidR="001A296F" w:rsidP="00DC7D0A" w:rsidRDefault="001A296F">
      <w:pPr>
        <w:pStyle w:val="JuList"/>
      </w:pPr>
    </w:p>
    <w:p w:rsidRPr="00DC7D0A" w:rsidR="00E502AF" w:rsidP="00DC7D0A" w:rsidRDefault="001A296F">
      <w:pPr>
        <w:pStyle w:val="JuList"/>
      </w:pPr>
      <w:r w:rsidRPr="00DC7D0A">
        <w:t>2.  </w:t>
      </w:r>
      <w:proofErr w:type="gramStart"/>
      <w:r w:rsidRPr="00DC7D0A">
        <w:rPr>
          <w:i/>
        </w:rPr>
        <w:t>D</w:t>
      </w:r>
      <w:r w:rsidRPr="00DC7D0A" w:rsidR="00D33BEB">
        <w:rPr>
          <w:i/>
          <w:iCs/>
        </w:rPr>
        <w:t>eclares</w:t>
      </w:r>
      <w:proofErr w:type="gramEnd"/>
      <w:r w:rsidRPr="00DC7D0A" w:rsidR="00D33BEB">
        <w:rPr>
          <w:i/>
          <w:iCs/>
        </w:rPr>
        <w:t xml:space="preserve"> </w:t>
      </w:r>
      <w:r w:rsidRPr="00DC7D0A" w:rsidR="00E502AF">
        <w:t>the application admissible;</w:t>
      </w:r>
    </w:p>
    <w:p w:rsidRPr="00DC7D0A" w:rsidR="00A02D3B" w:rsidP="00DC7D0A" w:rsidRDefault="00A02D3B">
      <w:pPr>
        <w:pStyle w:val="JuList"/>
      </w:pPr>
    </w:p>
    <w:p w:rsidRPr="00DC7D0A" w:rsidR="00DE61E0" w:rsidP="00DC7D0A" w:rsidRDefault="001A296F">
      <w:pPr>
        <w:pStyle w:val="JuList"/>
      </w:pPr>
      <w:r w:rsidRPr="00DC7D0A">
        <w:t>3</w:t>
      </w:r>
      <w:r w:rsidRPr="00DC7D0A" w:rsidR="00DE61E0">
        <w:t>.  </w:t>
      </w:r>
      <w:r w:rsidRPr="00DC7D0A" w:rsidR="00DE61E0">
        <w:rPr>
          <w:i/>
        </w:rPr>
        <w:t>Holds</w:t>
      </w:r>
      <w:r w:rsidRPr="00DC7D0A" w:rsidR="000242AC">
        <w:rPr>
          <w:color w:val="000000"/>
        </w:rPr>
        <w:t xml:space="preserve"> </w:t>
      </w:r>
      <w:r w:rsidRPr="00DC7D0A" w:rsidR="00DE61E0">
        <w:t>that there has been a violation of Article 6 § 1 of the Convention;</w:t>
      </w:r>
    </w:p>
    <w:p w:rsidRPr="00DC7D0A" w:rsidR="00B3036D" w:rsidP="00DC7D0A" w:rsidRDefault="00B3036D">
      <w:pPr>
        <w:pStyle w:val="JuList"/>
        <w:ind w:left="0" w:firstLine="0"/>
      </w:pPr>
    </w:p>
    <w:p w:rsidRPr="00DC7D0A" w:rsidR="00DE61E0" w:rsidP="00DC7D0A" w:rsidRDefault="001A296F">
      <w:pPr>
        <w:pStyle w:val="JuList"/>
      </w:pPr>
      <w:r w:rsidRPr="00DC7D0A">
        <w:t>4</w:t>
      </w:r>
      <w:r w:rsidRPr="00DC7D0A" w:rsidR="00DE61E0">
        <w:t>.  </w:t>
      </w:r>
      <w:r w:rsidRPr="00DC7D0A" w:rsidR="00DE61E0">
        <w:rPr>
          <w:i/>
        </w:rPr>
        <w:t>Holds</w:t>
      </w:r>
    </w:p>
    <w:p w:rsidRPr="00DC7D0A" w:rsidR="00DE61E0" w:rsidP="00DC7D0A" w:rsidRDefault="00DE61E0">
      <w:pPr>
        <w:pStyle w:val="JuLista"/>
      </w:pPr>
      <w:r w:rsidRPr="00DC7D0A">
        <w:t>(a)  that the respondent State is to pay the applicant, within thre</w:t>
      </w:r>
      <w:r w:rsidRPr="00DC7D0A" w:rsidR="00CF50B8">
        <w:t xml:space="preserve">e months, </w:t>
      </w:r>
      <w:r w:rsidRPr="00DC7D0A" w:rsidR="00475DE4">
        <w:t xml:space="preserve">EUR 10,000 (ten thousand euros) in respect of non-pecuniary damage, plus any tax that may be chargeable, </w:t>
      </w:r>
      <w:r w:rsidRPr="00DC7D0A">
        <w:t xml:space="preserve">to be converted into </w:t>
      </w:r>
      <w:r w:rsidRPr="00DC7D0A">
        <w:rPr>
          <w:color w:val="000000"/>
        </w:rPr>
        <w:t>the currency of the respondent State</w:t>
      </w:r>
      <w:r w:rsidRPr="00DC7D0A" w:rsidR="00CF50B8">
        <w:rPr>
          <w:color w:val="000000"/>
        </w:rPr>
        <w:t xml:space="preserve"> </w:t>
      </w:r>
      <w:r w:rsidRPr="00DC7D0A">
        <w:t>at the rate appli</w:t>
      </w:r>
      <w:r w:rsidRPr="00DC7D0A" w:rsidR="00475DE4">
        <w:t>cable at the date of settlement;</w:t>
      </w:r>
    </w:p>
    <w:p w:rsidRPr="00DC7D0A" w:rsidR="00DE61E0" w:rsidP="00DC7D0A" w:rsidRDefault="00DE61E0">
      <w:pPr>
        <w:pStyle w:val="JuLista"/>
      </w:pPr>
      <w:r w:rsidRPr="00DC7D0A">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DC7D0A" w:rsidR="00DE61E0" w:rsidP="00DC7D0A" w:rsidRDefault="00DE61E0">
      <w:pPr>
        <w:pStyle w:val="JuList"/>
      </w:pPr>
    </w:p>
    <w:p w:rsidRPr="00DC7D0A" w:rsidR="00DE61E0" w:rsidP="00DC7D0A" w:rsidRDefault="001A296F">
      <w:pPr>
        <w:pStyle w:val="JuList"/>
      </w:pPr>
      <w:r w:rsidRPr="00DC7D0A">
        <w:t>5</w:t>
      </w:r>
      <w:r w:rsidRPr="00DC7D0A" w:rsidR="00DE61E0">
        <w:t>.  </w:t>
      </w:r>
      <w:r w:rsidRPr="00DC7D0A" w:rsidR="00DE61E0">
        <w:rPr>
          <w:i/>
        </w:rPr>
        <w:t>Dismisses</w:t>
      </w:r>
      <w:r w:rsidRPr="00DC7D0A" w:rsidR="00DE61E0">
        <w:rPr>
          <w:color w:val="000000"/>
        </w:rPr>
        <w:t xml:space="preserve"> </w:t>
      </w:r>
      <w:r w:rsidRPr="00DC7D0A" w:rsidR="00DE61E0">
        <w:t>the remainder of the applicant</w:t>
      </w:r>
      <w:r w:rsidRPr="00DC7D0A" w:rsidR="00DC7D0A">
        <w:t>’</w:t>
      </w:r>
      <w:r w:rsidRPr="00DC7D0A" w:rsidR="00B3036D">
        <w:t>s</w:t>
      </w:r>
      <w:r w:rsidRPr="00DC7D0A" w:rsidR="00DE61E0">
        <w:t xml:space="preserve"> claim for just satisfaction.</w:t>
      </w:r>
    </w:p>
    <w:p w:rsidRPr="00DC7D0A" w:rsidR="00DE61E0" w:rsidP="00DC7D0A" w:rsidRDefault="00DE61E0">
      <w:pPr>
        <w:pStyle w:val="JuParaLast"/>
      </w:pPr>
      <w:r w:rsidRPr="00DC7D0A">
        <w:t xml:space="preserve">Done in English, and notified in writing on </w:t>
      </w:r>
      <w:r w:rsidRPr="00DC7D0A" w:rsidR="009B114D">
        <w:t>16 May 2019</w:t>
      </w:r>
      <w:r w:rsidRPr="00DC7D0A">
        <w:t>, pursuant to Rule</w:t>
      </w:r>
      <w:r w:rsidRPr="00DC7D0A" w:rsidR="00973109">
        <w:t> </w:t>
      </w:r>
      <w:r w:rsidRPr="00DC7D0A">
        <w:t>77</w:t>
      </w:r>
      <w:r w:rsidRPr="00DC7D0A" w:rsidR="00973109">
        <w:t> </w:t>
      </w:r>
      <w:r w:rsidRPr="00DC7D0A">
        <w:t>§§</w:t>
      </w:r>
      <w:r w:rsidRPr="00DC7D0A" w:rsidR="00973109">
        <w:t> </w:t>
      </w:r>
      <w:r w:rsidRPr="00DC7D0A">
        <w:t>2 and 3 of the Rules of Court.</w:t>
      </w:r>
    </w:p>
    <w:p w:rsidRPr="00DC7D0A" w:rsidR="00EB447C" w:rsidP="00DC7D0A" w:rsidRDefault="00DE61E0">
      <w:pPr>
        <w:pStyle w:val="JuSigned"/>
        <w:rPr>
          <w:lang w:val="es-ES_tradnl"/>
        </w:rPr>
      </w:pPr>
      <w:r w:rsidRPr="00DC7D0A">
        <w:tab/>
      </w:r>
      <w:r w:rsidRPr="00DC7D0A" w:rsidR="00B3036D">
        <w:rPr>
          <w:lang w:val="es-ES_tradnl"/>
        </w:rPr>
        <w:t>Renata Degener</w:t>
      </w:r>
      <w:r w:rsidRPr="00DC7D0A">
        <w:rPr>
          <w:lang w:val="es-ES_tradnl"/>
        </w:rPr>
        <w:tab/>
      </w:r>
      <w:r w:rsidRPr="00DC7D0A" w:rsidR="009B114D">
        <w:rPr>
          <w:lang w:val="it-IT"/>
        </w:rPr>
        <w:t xml:space="preserve">Ksenija </w:t>
      </w:r>
      <w:proofErr w:type="spellStart"/>
      <w:r w:rsidRPr="00DC7D0A" w:rsidR="009B114D">
        <w:rPr>
          <w:lang w:val="it-IT"/>
        </w:rPr>
        <w:t>Turković</w:t>
      </w:r>
      <w:proofErr w:type="spellEnd"/>
      <w:r w:rsidRPr="00DC7D0A" w:rsidR="0045568E">
        <w:rPr>
          <w:szCs w:val="24"/>
          <w:lang w:val="es-ES_tradnl"/>
        </w:rPr>
        <w:br/>
      </w:r>
      <w:r w:rsidRPr="00DC7D0A">
        <w:rPr>
          <w:lang w:val="es-ES_tradnl"/>
        </w:rPr>
        <w:tab/>
      </w:r>
      <w:proofErr w:type="spellStart"/>
      <w:r w:rsidRPr="00DC7D0A" w:rsidR="00B3036D">
        <w:rPr>
          <w:lang w:val="es-ES_tradnl"/>
        </w:rPr>
        <w:t>Deputy</w:t>
      </w:r>
      <w:proofErr w:type="spellEnd"/>
      <w:r w:rsidRPr="00DC7D0A" w:rsidR="00B3036D">
        <w:rPr>
          <w:lang w:val="es-ES_tradnl"/>
        </w:rPr>
        <w:t xml:space="preserve"> </w:t>
      </w:r>
      <w:r w:rsidRPr="00DC7D0A" w:rsidR="00B3036D">
        <w:rPr>
          <w:iCs/>
          <w:lang w:val="es-ES_tradnl"/>
        </w:rPr>
        <w:t>Registrar</w:t>
      </w:r>
      <w:r w:rsidRPr="00DC7D0A">
        <w:rPr>
          <w:lang w:val="es-ES_tradnl"/>
        </w:rPr>
        <w:tab/>
      </w:r>
      <w:proofErr w:type="spellStart"/>
      <w:r w:rsidRPr="00DC7D0A">
        <w:rPr>
          <w:lang w:val="es-ES_tradnl"/>
        </w:rPr>
        <w:t>President</w:t>
      </w:r>
      <w:proofErr w:type="spellEnd"/>
    </w:p>
    <w:p w:rsidRPr="00DC7D0A" w:rsidR="00DC7D0A" w:rsidP="00DC7D0A" w:rsidRDefault="00DC7D0A">
      <w:pPr>
        <w:pStyle w:val="JuParaLast"/>
        <w:rPr>
          <w:lang w:val="es-ES_tradnl"/>
        </w:rPr>
      </w:pPr>
    </w:p>
    <w:sectPr w:rsidRPr="00DC7D0A" w:rsidR="00DC7D0A" w:rsidSect="009B114D">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470" w:rsidRPr="00BD3880" w:rsidRDefault="00842470" w:rsidP="000055E6">
      <w:r w:rsidRPr="00BD3880">
        <w:separator/>
      </w:r>
    </w:p>
  </w:endnote>
  <w:endnote w:type="continuationSeparator" w:id="0">
    <w:p w:rsidR="00842470" w:rsidRPr="00BD3880" w:rsidRDefault="00842470" w:rsidP="000055E6">
      <w:r w:rsidRPr="00BD38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A3A" w:rsidRDefault="00EA3A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A3A" w:rsidRDefault="00EA3A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14D" w:rsidRPr="00150BFA" w:rsidRDefault="009B114D" w:rsidP="0020718E">
    <w:pPr>
      <w:jc w:val="center"/>
    </w:pPr>
    <w:r>
      <w:rPr>
        <w:noProof/>
        <w:lang w:val="en-US" w:eastAsia="ja-JP"/>
      </w:rPr>
      <w:drawing>
        <wp:inline distT="0" distB="0" distL="0" distR="0" wp14:anchorId="5EB302D0" wp14:editId="147FD38F">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B114D" w:rsidRDefault="009B11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470" w:rsidRPr="00BD3880" w:rsidRDefault="00842470" w:rsidP="000055E6">
      <w:r w:rsidRPr="00BD3880">
        <w:separator/>
      </w:r>
    </w:p>
  </w:footnote>
  <w:footnote w:type="continuationSeparator" w:id="0">
    <w:p w:rsidR="00842470" w:rsidRPr="00BD3880" w:rsidRDefault="00842470" w:rsidP="000055E6">
      <w:r w:rsidRPr="00BD388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A3A" w:rsidRDefault="00EA3A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2470" w:rsidRPr="009B114D" w:rsidRDefault="00842470" w:rsidP="009B114D">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14D" w:rsidRPr="00A45145" w:rsidRDefault="009B114D" w:rsidP="00A45145">
    <w:pPr>
      <w:jc w:val="center"/>
    </w:pPr>
    <w:r>
      <w:rPr>
        <w:noProof/>
        <w:lang w:val="en-US" w:eastAsia="ja-JP"/>
      </w:rPr>
      <w:drawing>
        <wp:inline distT="0" distB="0" distL="0" distR="0" wp14:anchorId="35214A44" wp14:editId="592AEC2B">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42470" w:rsidRDefault="008424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14D" w:rsidRPr="00BD3880" w:rsidRDefault="009B114D" w:rsidP="00D0189E">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DC7D0A">
      <w:rPr>
        <w:rStyle w:val="PageNumber"/>
        <w:noProof/>
        <w:szCs w:val="18"/>
      </w:rPr>
      <w:t>8</w:t>
    </w:r>
    <w:r>
      <w:rPr>
        <w:rStyle w:val="PageNumber"/>
        <w:szCs w:val="18"/>
      </w:rPr>
      <w:fldChar w:fldCharType="end"/>
    </w:r>
    <w:r w:rsidRPr="00BD3880">
      <w:tab/>
    </w:r>
    <w:r>
      <w:t>ZIAJA v. POLAND</w:t>
    </w:r>
    <w:r w:rsidRPr="00BD3880">
      <w:t xml:space="preserve"> J</w:t>
    </w:r>
    <w:r w:rsidR="004B3056">
      <w:t>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14D" w:rsidRPr="00BD3880" w:rsidRDefault="009B114D" w:rsidP="00D0189E">
    <w:pPr>
      <w:pStyle w:val="ECHRHeader"/>
    </w:pPr>
    <w:r w:rsidRPr="00BD3880">
      <w:tab/>
    </w:r>
    <w:r>
      <w:t>ZIAJA v. POLAND</w:t>
    </w:r>
    <w:r w:rsidRPr="00BD3880">
      <w:t xml:space="preserve"> J</w:t>
    </w:r>
    <w:r w:rsidR="004B3056">
      <w:t>UDGMENT</w:t>
    </w:r>
    <w:r w:rsidRPr="00BD3880">
      <w:tab/>
    </w:r>
    <w:r>
      <w:rPr>
        <w:rStyle w:val="PageNumber"/>
      </w:rPr>
      <w:fldChar w:fldCharType="begin"/>
    </w:r>
    <w:r>
      <w:rPr>
        <w:rStyle w:val="PageNumber"/>
      </w:rPr>
      <w:instrText xml:space="preserve"> PAGE </w:instrText>
    </w:r>
    <w:r>
      <w:rPr>
        <w:rStyle w:val="PageNumber"/>
      </w:rPr>
      <w:fldChar w:fldCharType="separate"/>
    </w:r>
    <w:r w:rsidR="00DC7D0A">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7648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521F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1E3B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A6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8685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F4E0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341D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AF4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6542F8A"/>
    <w:lvl w:ilvl="0">
      <w:start w:val="1"/>
      <w:numFmt w:val="decimal"/>
      <w:pStyle w:val="ListNumber"/>
      <w:lvlText w:val="%1."/>
      <w:lvlJc w:val="left"/>
      <w:pPr>
        <w:tabs>
          <w:tab w:val="num" w:pos="360"/>
        </w:tabs>
        <w:ind w:left="360" w:hanging="360"/>
      </w:pPr>
    </w:lvl>
  </w:abstractNum>
  <w:abstractNum w:abstractNumId="9">
    <w:nsid w:val="10165EA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32A0EF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48A195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9"/>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B3036D"/>
    <w:rsid w:val="000041F8"/>
    <w:rsid w:val="000042A8"/>
    <w:rsid w:val="00004308"/>
    <w:rsid w:val="000055E6"/>
    <w:rsid w:val="00005BF0"/>
    <w:rsid w:val="00006FEE"/>
    <w:rsid w:val="00007154"/>
    <w:rsid w:val="000103AE"/>
    <w:rsid w:val="0001079F"/>
    <w:rsid w:val="00011D69"/>
    <w:rsid w:val="00012AD3"/>
    <w:rsid w:val="00015C2D"/>
    <w:rsid w:val="00015F00"/>
    <w:rsid w:val="00022C1D"/>
    <w:rsid w:val="000242AC"/>
    <w:rsid w:val="00034987"/>
    <w:rsid w:val="000433B2"/>
    <w:rsid w:val="00043AC8"/>
    <w:rsid w:val="000602DF"/>
    <w:rsid w:val="00061B05"/>
    <w:rsid w:val="000632D5"/>
    <w:rsid w:val="000644EE"/>
    <w:rsid w:val="00064D8E"/>
    <w:rsid w:val="000925AD"/>
    <w:rsid w:val="000A24EB"/>
    <w:rsid w:val="000B6923"/>
    <w:rsid w:val="000C2AA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071E"/>
    <w:rsid w:val="00162A12"/>
    <w:rsid w:val="00165114"/>
    <w:rsid w:val="00166530"/>
    <w:rsid w:val="001832BD"/>
    <w:rsid w:val="001943B5"/>
    <w:rsid w:val="00195134"/>
    <w:rsid w:val="001A145B"/>
    <w:rsid w:val="001A1FAB"/>
    <w:rsid w:val="001A296F"/>
    <w:rsid w:val="001A4083"/>
    <w:rsid w:val="001A674C"/>
    <w:rsid w:val="001B3B24"/>
    <w:rsid w:val="001C0F98"/>
    <w:rsid w:val="001C2A42"/>
    <w:rsid w:val="001D5048"/>
    <w:rsid w:val="001D63ED"/>
    <w:rsid w:val="001D7348"/>
    <w:rsid w:val="001E035B"/>
    <w:rsid w:val="001E0961"/>
    <w:rsid w:val="001E3EAE"/>
    <w:rsid w:val="001E6F32"/>
    <w:rsid w:val="001F2145"/>
    <w:rsid w:val="001F3D06"/>
    <w:rsid w:val="001F6262"/>
    <w:rsid w:val="001F66FE"/>
    <w:rsid w:val="001F67B0"/>
    <w:rsid w:val="001F7B3D"/>
    <w:rsid w:val="00205F9F"/>
    <w:rsid w:val="0020655F"/>
    <w:rsid w:val="00210338"/>
    <w:rsid w:val="002115FC"/>
    <w:rsid w:val="002126FC"/>
    <w:rsid w:val="0021423C"/>
    <w:rsid w:val="00222F0C"/>
    <w:rsid w:val="00230D00"/>
    <w:rsid w:val="00231DF7"/>
    <w:rsid w:val="00231FD1"/>
    <w:rsid w:val="002339E0"/>
    <w:rsid w:val="00233CF8"/>
    <w:rsid w:val="0023575D"/>
    <w:rsid w:val="00236AE3"/>
    <w:rsid w:val="00237148"/>
    <w:rsid w:val="0024222D"/>
    <w:rsid w:val="00242DDA"/>
    <w:rsid w:val="00244B0E"/>
    <w:rsid w:val="00244F6C"/>
    <w:rsid w:val="002532C5"/>
    <w:rsid w:val="00260C03"/>
    <w:rsid w:val="0026540E"/>
    <w:rsid w:val="00275123"/>
    <w:rsid w:val="00277B06"/>
    <w:rsid w:val="00282240"/>
    <w:rsid w:val="00292519"/>
    <w:rsid w:val="002948AD"/>
    <w:rsid w:val="002A01CC"/>
    <w:rsid w:val="002A61B1"/>
    <w:rsid w:val="002A663C"/>
    <w:rsid w:val="002B444B"/>
    <w:rsid w:val="002B5887"/>
    <w:rsid w:val="002C0E27"/>
    <w:rsid w:val="002C3040"/>
    <w:rsid w:val="002D022D"/>
    <w:rsid w:val="002D24BB"/>
    <w:rsid w:val="002D6181"/>
    <w:rsid w:val="002E044C"/>
    <w:rsid w:val="002E0BCE"/>
    <w:rsid w:val="002F2AF7"/>
    <w:rsid w:val="002F7E1C"/>
    <w:rsid w:val="00301A75"/>
    <w:rsid w:val="00302F70"/>
    <w:rsid w:val="0030336F"/>
    <w:rsid w:val="0030375E"/>
    <w:rsid w:val="00312A30"/>
    <w:rsid w:val="003176FC"/>
    <w:rsid w:val="00320F72"/>
    <w:rsid w:val="0032463E"/>
    <w:rsid w:val="003249B0"/>
    <w:rsid w:val="00326224"/>
    <w:rsid w:val="00337EE4"/>
    <w:rsid w:val="00340FFD"/>
    <w:rsid w:val="00347B85"/>
    <w:rsid w:val="003506B1"/>
    <w:rsid w:val="00356AC7"/>
    <w:rsid w:val="003609FA"/>
    <w:rsid w:val="00361CB4"/>
    <w:rsid w:val="003710C8"/>
    <w:rsid w:val="003750BE"/>
    <w:rsid w:val="003802D6"/>
    <w:rsid w:val="00387B9D"/>
    <w:rsid w:val="0039364F"/>
    <w:rsid w:val="00394565"/>
    <w:rsid w:val="00396686"/>
    <w:rsid w:val="003976EA"/>
    <w:rsid w:val="0039778E"/>
    <w:rsid w:val="003B4941"/>
    <w:rsid w:val="003C3D56"/>
    <w:rsid w:val="003C5714"/>
    <w:rsid w:val="003C6B9F"/>
    <w:rsid w:val="003C6E2A"/>
    <w:rsid w:val="003D0299"/>
    <w:rsid w:val="003E464B"/>
    <w:rsid w:val="003E6D80"/>
    <w:rsid w:val="003F05FA"/>
    <w:rsid w:val="003F244A"/>
    <w:rsid w:val="003F30B8"/>
    <w:rsid w:val="003F4C45"/>
    <w:rsid w:val="003F5F7B"/>
    <w:rsid w:val="003F7D64"/>
    <w:rsid w:val="00414300"/>
    <w:rsid w:val="00425C67"/>
    <w:rsid w:val="00427E7A"/>
    <w:rsid w:val="004342BA"/>
    <w:rsid w:val="00436C49"/>
    <w:rsid w:val="00445366"/>
    <w:rsid w:val="00447F5B"/>
    <w:rsid w:val="00452109"/>
    <w:rsid w:val="0045568E"/>
    <w:rsid w:val="00461DB0"/>
    <w:rsid w:val="00463926"/>
    <w:rsid w:val="00463A8F"/>
    <w:rsid w:val="00464C9A"/>
    <w:rsid w:val="00474F3D"/>
    <w:rsid w:val="00475DE4"/>
    <w:rsid w:val="0047675E"/>
    <w:rsid w:val="00477E3A"/>
    <w:rsid w:val="00483E5F"/>
    <w:rsid w:val="00485FF9"/>
    <w:rsid w:val="004907F0"/>
    <w:rsid w:val="0049140B"/>
    <w:rsid w:val="004923A5"/>
    <w:rsid w:val="00496BFB"/>
    <w:rsid w:val="004A15C7"/>
    <w:rsid w:val="004A5A55"/>
    <w:rsid w:val="004B013B"/>
    <w:rsid w:val="004B112B"/>
    <w:rsid w:val="004B3056"/>
    <w:rsid w:val="004B602D"/>
    <w:rsid w:val="004C01E4"/>
    <w:rsid w:val="004C086C"/>
    <w:rsid w:val="004C154E"/>
    <w:rsid w:val="004C1F56"/>
    <w:rsid w:val="004C27BC"/>
    <w:rsid w:val="004C6C2B"/>
    <w:rsid w:val="004D15F3"/>
    <w:rsid w:val="004D5311"/>
    <w:rsid w:val="004D5DCC"/>
    <w:rsid w:val="004E2678"/>
    <w:rsid w:val="004F10AF"/>
    <w:rsid w:val="004F11A4"/>
    <w:rsid w:val="004F2389"/>
    <w:rsid w:val="004F304D"/>
    <w:rsid w:val="004F61BE"/>
    <w:rsid w:val="004F66B1"/>
    <w:rsid w:val="0050258B"/>
    <w:rsid w:val="00505280"/>
    <w:rsid w:val="005105FB"/>
    <w:rsid w:val="00511C07"/>
    <w:rsid w:val="005173A6"/>
    <w:rsid w:val="00517FDB"/>
    <w:rsid w:val="00520BAA"/>
    <w:rsid w:val="00525208"/>
    <w:rsid w:val="005257A5"/>
    <w:rsid w:val="005264C0"/>
    <w:rsid w:val="00526A8A"/>
    <w:rsid w:val="00531DF2"/>
    <w:rsid w:val="00541F00"/>
    <w:rsid w:val="005438CC"/>
    <w:rsid w:val="005439DD"/>
    <w:rsid w:val="005442EE"/>
    <w:rsid w:val="00547353"/>
    <w:rsid w:val="005474E7"/>
    <w:rsid w:val="005512A3"/>
    <w:rsid w:val="005578CE"/>
    <w:rsid w:val="00562781"/>
    <w:rsid w:val="0057271C"/>
    <w:rsid w:val="00572845"/>
    <w:rsid w:val="0058002D"/>
    <w:rsid w:val="00592772"/>
    <w:rsid w:val="005946D5"/>
    <w:rsid w:val="0059574A"/>
    <w:rsid w:val="005A1B9B"/>
    <w:rsid w:val="005A6751"/>
    <w:rsid w:val="005B092E"/>
    <w:rsid w:val="005B152C"/>
    <w:rsid w:val="005B1EE0"/>
    <w:rsid w:val="005B2B24"/>
    <w:rsid w:val="005B4425"/>
    <w:rsid w:val="005B4B94"/>
    <w:rsid w:val="005C1C5D"/>
    <w:rsid w:val="005C3EE8"/>
    <w:rsid w:val="005C5526"/>
    <w:rsid w:val="005D22AC"/>
    <w:rsid w:val="005D34F9"/>
    <w:rsid w:val="005D4190"/>
    <w:rsid w:val="005D67A3"/>
    <w:rsid w:val="005E2988"/>
    <w:rsid w:val="005E3085"/>
    <w:rsid w:val="005F51E1"/>
    <w:rsid w:val="0060307B"/>
    <w:rsid w:val="00611C80"/>
    <w:rsid w:val="00620692"/>
    <w:rsid w:val="006242CA"/>
    <w:rsid w:val="00627507"/>
    <w:rsid w:val="00633717"/>
    <w:rsid w:val="006344E1"/>
    <w:rsid w:val="00637248"/>
    <w:rsid w:val="006469F5"/>
    <w:rsid w:val="006538BA"/>
    <w:rsid w:val="00653C66"/>
    <w:rsid w:val="006545C4"/>
    <w:rsid w:val="00661971"/>
    <w:rsid w:val="00661CE8"/>
    <w:rsid w:val="006623D9"/>
    <w:rsid w:val="00663490"/>
    <w:rsid w:val="00664DF1"/>
    <w:rsid w:val="0066550C"/>
    <w:rsid w:val="00667A9D"/>
    <w:rsid w:val="006716F2"/>
    <w:rsid w:val="00671DBA"/>
    <w:rsid w:val="00672D8B"/>
    <w:rsid w:val="00681CC1"/>
    <w:rsid w:val="00682BF2"/>
    <w:rsid w:val="006859CE"/>
    <w:rsid w:val="00691270"/>
    <w:rsid w:val="00694BA8"/>
    <w:rsid w:val="006A037C"/>
    <w:rsid w:val="006A36F4"/>
    <w:rsid w:val="006A406F"/>
    <w:rsid w:val="006A5D3A"/>
    <w:rsid w:val="006B2773"/>
    <w:rsid w:val="006C23D4"/>
    <w:rsid w:val="006C7BB0"/>
    <w:rsid w:val="006D028D"/>
    <w:rsid w:val="006D3237"/>
    <w:rsid w:val="006D4B81"/>
    <w:rsid w:val="006E2E37"/>
    <w:rsid w:val="006E3CF1"/>
    <w:rsid w:val="006E7E80"/>
    <w:rsid w:val="006F48CA"/>
    <w:rsid w:val="006F64DD"/>
    <w:rsid w:val="007130C9"/>
    <w:rsid w:val="00715127"/>
    <w:rsid w:val="00715E8E"/>
    <w:rsid w:val="00723580"/>
    <w:rsid w:val="00723755"/>
    <w:rsid w:val="0073136C"/>
    <w:rsid w:val="00731F0F"/>
    <w:rsid w:val="00733250"/>
    <w:rsid w:val="007350E0"/>
    <w:rsid w:val="00741404"/>
    <w:rsid w:val="007449E5"/>
    <w:rsid w:val="00747FF0"/>
    <w:rsid w:val="00764D4E"/>
    <w:rsid w:val="00765A1F"/>
    <w:rsid w:val="00775B6D"/>
    <w:rsid w:val="00776D68"/>
    <w:rsid w:val="007850EE"/>
    <w:rsid w:val="00785B95"/>
    <w:rsid w:val="00790E96"/>
    <w:rsid w:val="007910FA"/>
    <w:rsid w:val="00793366"/>
    <w:rsid w:val="007A5568"/>
    <w:rsid w:val="007A716F"/>
    <w:rsid w:val="007B270A"/>
    <w:rsid w:val="007C0695"/>
    <w:rsid w:val="007C419A"/>
    <w:rsid w:val="007C4CC8"/>
    <w:rsid w:val="007C5426"/>
    <w:rsid w:val="007C5798"/>
    <w:rsid w:val="007D4832"/>
    <w:rsid w:val="007D61D9"/>
    <w:rsid w:val="007E21B2"/>
    <w:rsid w:val="007E2A63"/>
    <w:rsid w:val="007E2C4E"/>
    <w:rsid w:val="007E5E77"/>
    <w:rsid w:val="007F1905"/>
    <w:rsid w:val="00802C64"/>
    <w:rsid w:val="008047BC"/>
    <w:rsid w:val="00805E52"/>
    <w:rsid w:val="008061D0"/>
    <w:rsid w:val="008062C2"/>
    <w:rsid w:val="00810B38"/>
    <w:rsid w:val="008204C7"/>
    <w:rsid w:val="00820992"/>
    <w:rsid w:val="00823602"/>
    <w:rsid w:val="008255F5"/>
    <w:rsid w:val="0082561B"/>
    <w:rsid w:val="0083014E"/>
    <w:rsid w:val="0083214A"/>
    <w:rsid w:val="00834220"/>
    <w:rsid w:val="00842470"/>
    <w:rsid w:val="00845723"/>
    <w:rsid w:val="00851EF9"/>
    <w:rsid w:val="008574C4"/>
    <w:rsid w:val="008577FD"/>
    <w:rsid w:val="00860B03"/>
    <w:rsid w:val="0086497A"/>
    <w:rsid w:val="008713A1"/>
    <w:rsid w:val="0087386C"/>
    <w:rsid w:val="008754AB"/>
    <w:rsid w:val="00877001"/>
    <w:rsid w:val="0088060C"/>
    <w:rsid w:val="00886EA6"/>
    <w:rsid w:val="00893576"/>
    <w:rsid w:val="00893E73"/>
    <w:rsid w:val="008A7883"/>
    <w:rsid w:val="008B02DC"/>
    <w:rsid w:val="008B02DD"/>
    <w:rsid w:val="008B18EA"/>
    <w:rsid w:val="008B57CE"/>
    <w:rsid w:val="008B62C5"/>
    <w:rsid w:val="008C26DE"/>
    <w:rsid w:val="008C35BF"/>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259AC"/>
    <w:rsid w:val="00926F38"/>
    <w:rsid w:val="00934144"/>
    <w:rsid w:val="00934301"/>
    <w:rsid w:val="00936CD1"/>
    <w:rsid w:val="00941747"/>
    <w:rsid w:val="00941EFB"/>
    <w:rsid w:val="00943304"/>
    <w:rsid w:val="00947AFB"/>
    <w:rsid w:val="00951D7D"/>
    <w:rsid w:val="009630C7"/>
    <w:rsid w:val="00972B55"/>
    <w:rsid w:val="00973109"/>
    <w:rsid w:val="00973C3F"/>
    <w:rsid w:val="009743B7"/>
    <w:rsid w:val="009751AF"/>
    <w:rsid w:val="0098228B"/>
    <w:rsid w:val="009828DA"/>
    <w:rsid w:val="00985BAB"/>
    <w:rsid w:val="0098725D"/>
    <w:rsid w:val="00993008"/>
    <w:rsid w:val="009B114D"/>
    <w:rsid w:val="009B1B5F"/>
    <w:rsid w:val="009B1BB3"/>
    <w:rsid w:val="009B6673"/>
    <w:rsid w:val="009C191B"/>
    <w:rsid w:val="009C2BD6"/>
    <w:rsid w:val="009E1F32"/>
    <w:rsid w:val="009E60A4"/>
    <w:rsid w:val="009E633B"/>
    <w:rsid w:val="009E776C"/>
    <w:rsid w:val="009F72AC"/>
    <w:rsid w:val="009F7F3F"/>
    <w:rsid w:val="00A01F8B"/>
    <w:rsid w:val="00A02D3B"/>
    <w:rsid w:val="00A1726E"/>
    <w:rsid w:val="00A204CF"/>
    <w:rsid w:val="00A22A2D"/>
    <w:rsid w:val="00A23D49"/>
    <w:rsid w:val="00A26026"/>
    <w:rsid w:val="00A27004"/>
    <w:rsid w:val="00A30C29"/>
    <w:rsid w:val="00A34DD6"/>
    <w:rsid w:val="00A36819"/>
    <w:rsid w:val="00A36989"/>
    <w:rsid w:val="00A41874"/>
    <w:rsid w:val="00A43628"/>
    <w:rsid w:val="00A517D4"/>
    <w:rsid w:val="00A54192"/>
    <w:rsid w:val="00A6035E"/>
    <w:rsid w:val="00A6144C"/>
    <w:rsid w:val="00A63CC6"/>
    <w:rsid w:val="00A66617"/>
    <w:rsid w:val="00A671F8"/>
    <w:rsid w:val="00A673A4"/>
    <w:rsid w:val="00A724AE"/>
    <w:rsid w:val="00A73329"/>
    <w:rsid w:val="00A82359"/>
    <w:rsid w:val="00A865D2"/>
    <w:rsid w:val="00A94C20"/>
    <w:rsid w:val="00AA227F"/>
    <w:rsid w:val="00AA3BC7"/>
    <w:rsid w:val="00AA754A"/>
    <w:rsid w:val="00AB099E"/>
    <w:rsid w:val="00AB4328"/>
    <w:rsid w:val="00AC7CC4"/>
    <w:rsid w:val="00AE0A2E"/>
    <w:rsid w:val="00AE354C"/>
    <w:rsid w:val="00AE3905"/>
    <w:rsid w:val="00AF2C8B"/>
    <w:rsid w:val="00AF4B07"/>
    <w:rsid w:val="00AF6186"/>
    <w:rsid w:val="00AF6511"/>
    <w:rsid w:val="00AF7969"/>
    <w:rsid w:val="00AF7A3A"/>
    <w:rsid w:val="00B160DB"/>
    <w:rsid w:val="00B20836"/>
    <w:rsid w:val="00B235BB"/>
    <w:rsid w:val="00B2748E"/>
    <w:rsid w:val="00B27A44"/>
    <w:rsid w:val="00B3036D"/>
    <w:rsid w:val="00B30BBF"/>
    <w:rsid w:val="00B33C03"/>
    <w:rsid w:val="00B44E56"/>
    <w:rsid w:val="00B46543"/>
    <w:rsid w:val="00B47D33"/>
    <w:rsid w:val="00B50C7A"/>
    <w:rsid w:val="00B52BE0"/>
    <w:rsid w:val="00B54133"/>
    <w:rsid w:val="00B701ED"/>
    <w:rsid w:val="00B8086C"/>
    <w:rsid w:val="00B861B4"/>
    <w:rsid w:val="00B865E3"/>
    <w:rsid w:val="00B86DFE"/>
    <w:rsid w:val="00B90990"/>
    <w:rsid w:val="00B922FF"/>
    <w:rsid w:val="00B9281E"/>
    <w:rsid w:val="00B93925"/>
    <w:rsid w:val="00B95187"/>
    <w:rsid w:val="00B97DFA"/>
    <w:rsid w:val="00BA09C9"/>
    <w:rsid w:val="00BA2D55"/>
    <w:rsid w:val="00BA71B1"/>
    <w:rsid w:val="00BB0637"/>
    <w:rsid w:val="00BB345F"/>
    <w:rsid w:val="00BB68EA"/>
    <w:rsid w:val="00BC1C27"/>
    <w:rsid w:val="00BC6BBF"/>
    <w:rsid w:val="00BD1572"/>
    <w:rsid w:val="00BD3880"/>
    <w:rsid w:val="00BE14E3"/>
    <w:rsid w:val="00BE29DB"/>
    <w:rsid w:val="00BE3774"/>
    <w:rsid w:val="00BE41E5"/>
    <w:rsid w:val="00BF4109"/>
    <w:rsid w:val="00BF4CC3"/>
    <w:rsid w:val="00C01F08"/>
    <w:rsid w:val="00C054C7"/>
    <w:rsid w:val="00C057B5"/>
    <w:rsid w:val="00C179D5"/>
    <w:rsid w:val="00C22687"/>
    <w:rsid w:val="00C26F29"/>
    <w:rsid w:val="00C3194F"/>
    <w:rsid w:val="00C32E4D"/>
    <w:rsid w:val="00C333A0"/>
    <w:rsid w:val="00C36A81"/>
    <w:rsid w:val="00C41974"/>
    <w:rsid w:val="00C438F3"/>
    <w:rsid w:val="00C441F7"/>
    <w:rsid w:val="00C50715"/>
    <w:rsid w:val="00C51596"/>
    <w:rsid w:val="00C53F4A"/>
    <w:rsid w:val="00C54125"/>
    <w:rsid w:val="00C55B54"/>
    <w:rsid w:val="00C6098E"/>
    <w:rsid w:val="00C6152C"/>
    <w:rsid w:val="00C61D51"/>
    <w:rsid w:val="00C72A42"/>
    <w:rsid w:val="00C74047"/>
    <w:rsid w:val="00C74810"/>
    <w:rsid w:val="00C90D68"/>
    <w:rsid w:val="00C939FE"/>
    <w:rsid w:val="00CA4BDA"/>
    <w:rsid w:val="00CB1F66"/>
    <w:rsid w:val="00CB2951"/>
    <w:rsid w:val="00CB3D61"/>
    <w:rsid w:val="00CB5BD7"/>
    <w:rsid w:val="00CD282B"/>
    <w:rsid w:val="00CD4C35"/>
    <w:rsid w:val="00CD7369"/>
    <w:rsid w:val="00CE0B0E"/>
    <w:rsid w:val="00CE3831"/>
    <w:rsid w:val="00CF50B8"/>
    <w:rsid w:val="00D00ABB"/>
    <w:rsid w:val="00D0189E"/>
    <w:rsid w:val="00D02EEC"/>
    <w:rsid w:val="00D03551"/>
    <w:rsid w:val="00D03DB4"/>
    <w:rsid w:val="00D06A63"/>
    <w:rsid w:val="00D07E0E"/>
    <w:rsid w:val="00D11478"/>
    <w:rsid w:val="00D15ED0"/>
    <w:rsid w:val="00D21B3E"/>
    <w:rsid w:val="00D21FED"/>
    <w:rsid w:val="00D24251"/>
    <w:rsid w:val="00D337B2"/>
    <w:rsid w:val="00D33BEB"/>
    <w:rsid w:val="00D343E2"/>
    <w:rsid w:val="00D361A2"/>
    <w:rsid w:val="00D44C2E"/>
    <w:rsid w:val="00D45414"/>
    <w:rsid w:val="00D46837"/>
    <w:rsid w:val="00D566BD"/>
    <w:rsid w:val="00D57A4D"/>
    <w:rsid w:val="00D60AA7"/>
    <w:rsid w:val="00D6435F"/>
    <w:rsid w:val="00D64F64"/>
    <w:rsid w:val="00D66777"/>
    <w:rsid w:val="00D66BE9"/>
    <w:rsid w:val="00D67F1E"/>
    <w:rsid w:val="00D7279F"/>
    <w:rsid w:val="00D75E28"/>
    <w:rsid w:val="00D772C2"/>
    <w:rsid w:val="00D8008E"/>
    <w:rsid w:val="00D82C45"/>
    <w:rsid w:val="00D908A8"/>
    <w:rsid w:val="00D977B6"/>
    <w:rsid w:val="00DA4A31"/>
    <w:rsid w:val="00DA7B04"/>
    <w:rsid w:val="00DB36C2"/>
    <w:rsid w:val="00DC169B"/>
    <w:rsid w:val="00DC2AB9"/>
    <w:rsid w:val="00DC48B4"/>
    <w:rsid w:val="00DC63F0"/>
    <w:rsid w:val="00DC7D0A"/>
    <w:rsid w:val="00DD6EE5"/>
    <w:rsid w:val="00DE386C"/>
    <w:rsid w:val="00DE4D35"/>
    <w:rsid w:val="00DE61E0"/>
    <w:rsid w:val="00DF098B"/>
    <w:rsid w:val="00DF11C4"/>
    <w:rsid w:val="00DF210C"/>
    <w:rsid w:val="00DF4B6A"/>
    <w:rsid w:val="00E02C09"/>
    <w:rsid w:val="00E045B7"/>
    <w:rsid w:val="00E04D59"/>
    <w:rsid w:val="00E060E7"/>
    <w:rsid w:val="00E07DA1"/>
    <w:rsid w:val="00E123CB"/>
    <w:rsid w:val="00E20E13"/>
    <w:rsid w:val="00E21DBC"/>
    <w:rsid w:val="00E275D7"/>
    <w:rsid w:val="00E27DBE"/>
    <w:rsid w:val="00E32AB1"/>
    <w:rsid w:val="00E36C71"/>
    <w:rsid w:val="00E37ED2"/>
    <w:rsid w:val="00E40404"/>
    <w:rsid w:val="00E459C6"/>
    <w:rsid w:val="00E471F2"/>
    <w:rsid w:val="00E47589"/>
    <w:rsid w:val="00E502AF"/>
    <w:rsid w:val="00E64915"/>
    <w:rsid w:val="00E661D4"/>
    <w:rsid w:val="00E70091"/>
    <w:rsid w:val="00E720F5"/>
    <w:rsid w:val="00E75400"/>
    <w:rsid w:val="00E760EB"/>
    <w:rsid w:val="00E765F8"/>
    <w:rsid w:val="00E76D47"/>
    <w:rsid w:val="00E849F7"/>
    <w:rsid w:val="00E90302"/>
    <w:rsid w:val="00E97396"/>
    <w:rsid w:val="00EA185E"/>
    <w:rsid w:val="00EA3A3A"/>
    <w:rsid w:val="00EA592A"/>
    <w:rsid w:val="00EB14E4"/>
    <w:rsid w:val="00EB32A5"/>
    <w:rsid w:val="00EB34ED"/>
    <w:rsid w:val="00EB447C"/>
    <w:rsid w:val="00EB7BE0"/>
    <w:rsid w:val="00EC1E70"/>
    <w:rsid w:val="00EC315E"/>
    <w:rsid w:val="00EC60D6"/>
    <w:rsid w:val="00ED077C"/>
    <w:rsid w:val="00ED1190"/>
    <w:rsid w:val="00ED6544"/>
    <w:rsid w:val="00EE0277"/>
    <w:rsid w:val="00EE3E00"/>
    <w:rsid w:val="00EE5DD2"/>
    <w:rsid w:val="00F0049F"/>
    <w:rsid w:val="00F00A79"/>
    <w:rsid w:val="00F00E86"/>
    <w:rsid w:val="00F028DB"/>
    <w:rsid w:val="00F04A5D"/>
    <w:rsid w:val="00F07C1E"/>
    <w:rsid w:val="00F105DB"/>
    <w:rsid w:val="00F132BC"/>
    <w:rsid w:val="00F13D80"/>
    <w:rsid w:val="00F16AAA"/>
    <w:rsid w:val="00F21161"/>
    <w:rsid w:val="00F218EF"/>
    <w:rsid w:val="00F21BC7"/>
    <w:rsid w:val="00F266A2"/>
    <w:rsid w:val="00F32269"/>
    <w:rsid w:val="00F35CA5"/>
    <w:rsid w:val="00F56A6F"/>
    <w:rsid w:val="00F5709C"/>
    <w:rsid w:val="00F64EF1"/>
    <w:rsid w:val="00F74B33"/>
    <w:rsid w:val="00F82AFB"/>
    <w:rsid w:val="00F8765F"/>
    <w:rsid w:val="00F90767"/>
    <w:rsid w:val="00F97B27"/>
    <w:rsid w:val="00F97CA4"/>
    <w:rsid w:val="00FA685B"/>
    <w:rsid w:val="00FA6EFB"/>
    <w:rsid w:val="00FB0C01"/>
    <w:rsid w:val="00FB0F60"/>
    <w:rsid w:val="00FB4952"/>
    <w:rsid w:val="00FC11A0"/>
    <w:rsid w:val="00FC18F2"/>
    <w:rsid w:val="00FC39E5"/>
    <w:rsid w:val="00FC3A78"/>
    <w:rsid w:val="00FD0E68"/>
    <w:rsid w:val="00FD1005"/>
    <w:rsid w:val="00FD6C75"/>
    <w:rsid w:val="00FE71B3"/>
    <w:rsid w:val="00FF0BF1"/>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A3A3A"/>
    <w:pPr>
      <w:jc w:val="both"/>
    </w:pPr>
    <w:rPr>
      <w:rFonts w:eastAsiaTheme="minorEastAsia"/>
      <w:sz w:val="24"/>
      <w:lang w:val="en-GB"/>
    </w:rPr>
  </w:style>
  <w:style w:type="paragraph" w:styleId="Heading1">
    <w:name w:val="heading 1"/>
    <w:basedOn w:val="Normal"/>
    <w:next w:val="Normal"/>
    <w:link w:val="Heading1Char"/>
    <w:uiPriority w:val="99"/>
    <w:semiHidden/>
    <w:rsid w:val="00EA3A3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A3A3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A3A3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A3A3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A3A3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A3A3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A3A3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A3A3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A3A3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A3A3A"/>
    <w:rPr>
      <w:rFonts w:ascii="Tahoma" w:hAnsi="Tahoma" w:cs="Tahoma"/>
      <w:sz w:val="16"/>
      <w:szCs w:val="16"/>
    </w:rPr>
  </w:style>
  <w:style w:type="character" w:customStyle="1" w:styleId="BalloonTextChar">
    <w:name w:val="Balloon Text Char"/>
    <w:basedOn w:val="DefaultParagraphFont"/>
    <w:link w:val="BalloonText"/>
    <w:uiPriority w:val="99"/>
    <w:semiHidden/>
    <w:rsid w:val="00EA3A3A"/>
    <w:rPr>
      <w:rFonts w:ascii="Tahoma" w:eastAsiaTheme="minorEastAsia" w:hAnsi="Tahoma" w:cs="Tahoma"/>
      <w:sz w:val="16"/>
      <w:szCs w:val="16"/>
      <w:lang w:val="en-GB"/>
    </w:rPr>
  </w:style>
  <w:style w:type="character" w:styleId="BookTitle">
    <w:name w:val="Book Title"/>
    <w:uiPriority w:val="99"/>
    <w:semiHidden/>
    <w:qFormat/>
    <w:rsid w:val="00EA3A3A"/>
    <w:rPr>
      <w:i/>
      <w:iCs/>
      <w:smallCaps/>
      <w:spacing w:val="5"/>
    </w:rPr>
  </w:style>
  <w:style w:type="paragraph" w:customStyle="1" w:styleId="ECHRHeader">
    <w:name w:val="ECHR_Header"/>
    <w:aliases w:val="Ju_Header"/>
    <w:basedOn w:val="Header"/>
    <w:uiPriority w:val="4"/>
    <w:qFormat/>
    <w:rsid w:val="00EA3A3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A3A3A"/>
    <w:pPr>
      <w:jc w:val="left"/>
    </w:pPr>
    <w:rPr>
      <w:sz w:val="8"/>
    </w:rPr>
  </w:style>
  <w:style w:type="character" w:styleId="Strong">
    <w:name w:val="Strong"/>
    <w:uiPriority w:val="99"/>
    <w:semiHidden/>
    <w:qFormat/>
    <w:rsid w:val="00EA3A3A"/>
    <w:rPr>
      <w:b/>
      <w:bCs/>
    </w:rPr>
  </w:style>
  <w:style w:type="paragraph" w:styleId="NoSpacing">
    <w:name w:val="No Spacing"/>
    <w:basedOn w:val="Normal"/>
    <w:link w:val="NoSpacingChar"/>
    <w:semiHidden/>
    <w:qFormat/>
    <w:rsid w:val="00EA3A3A"/>
    <w:rPr>
      <w:sz w:val="22"/>
      <w:lang w:val="en-US"/>
    </w:rPr>
  </w:style>
  <w:style w:type="character" w:customStyle="1" w:styleId="NoSpacingChar">
    <w:name w:val="No Spacing Char"/>
    <w:basedOn w:val="DefaultParagraphFont"/>
    <w:link w:val="NoSpacing"/>
    <w:semiHidden/>
    <w:rsid w:val="00EA3A3A"/>
    <w:rPr>
      <w:rFonts w:eastAsiaTheme="minorEastAsia"/>
    </w:rPr>
  </w:style>
  <w:style w:type="paragraph" w:customStyle="1" w:styleId="ECHRFooterLine">
    <w:name w:val="ECHR_Footer_Line"/>
    <w:aliases w:val="Footer_Line"/>
    <w:basedOn w:val="Normal"/>
    <w:next w:val="ECHRFooter"/>
    <w:uiPriority w:val="57"/>
    <w:semiHidden/>
    <w:rsid w:val="00EA3A3A"/>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EA3A3A"/>
  </w:style>
  <w:style w:type="paragraph" w:customStyle="1" w:styleId="DecList">
    <w:name w:val="Dec_List"/>
    <w:basedOn w:val="Normal"/>
    <w:uiPriority w:val="9"/>
    <w:semiHidden/>
    <w:qFormat/>
    <w:rsid w:val="00EA3A3A"/>
    <w:pPr>
      <w:spacing w:before="240"/>
      <w:ind w:left="284"/>
    </w:pPr>
  </w:style>
  <w:style w:type="paragraph" w:customStyle="1" w:styleId="DummyStyle">
    <w:name w:val="Dummy_Style"/>
    <w:basedOn w:val="Normal"/>
    <w:semiHidden/>
    <w:qFormat/>
    <w:rsid w:val="00EA3A3A"/>
    <w:rPr>
      <w:color w:val="00B050"/>
    </w:rPr>
  </w:style>
  <w:style w:type="paragraph" w:customStyle="1" w:styleId="ECHRTitleCentre3">
    <w:name w:val="ECHR_Title_Centre_3"/>
    <w:aliases w:val="Ju_H_Article"/>
    <w:basedOn w:val="Normal"/>
    <w:next w:val="ECHRParaQuote"/>
    <w:uiPriority w:val="27"/>
    <w:qFormat/>
    <w:rsid w:val="00EA3A3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A3A3A"/>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EA3A3A"/>
    <w:pPr>
      <w:numPr>
        <w:numId w:val="25"/>
      </w:numPr>
      <w:jc w:val="left"/>
    </w:pPr>
    <w:rPr>
      <w:b/>
    </w:rPr>
  </w:style>
  <w:style w:type="paragraph" w:customStyle="1" w:styleId="JuCourt">
    <w:name w:val="Ju_Court"/>
    <w:basedOn w:val="Normal"/>
    <w:next w:val="Normal"/>
    <w:uiPriority w:val="16"/>
    <w:qFormat/>
    <w:rsid w:val="00EA3A3A"/>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EA3A3A"/>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EA3A3A"/>
    <w:pPr>
      <w:spacing w:after="240"/>
      <w:jc w:val="center"/>
      <w:outlineLvl w:val="0"/>
    </w:pPr>
    <w:rPr>
      <w:rFonts w:asciiTheme="majorHAnsi" w:hAnsiTheme="majorHAnsi"/>
    </w:rPr>
  </w:style>
  <w:style w:type="paragraph" w:customStyle="1" w:styleId="JuInitialled">
    <w:name w:val="Ju_Initialled"/>
    <w:basedOn w:val="Normal"/>
    <w:uiPriority w:val="31"/>
    <w:qFormat/>
    <w:rsid w:val="00EA3A3A"/>
    <w:pPr>
      <w:tabs>
        <w:tab w:val="center" w:pos="6407"/>
      </w:tabs>
      <w:spacing w:before="720"/>
      <w:jc w:val="right"/>
    </w:pPr>
  </w:style>
  <w:style w:type="paragraph" w:styleId="Title">
    <w:name w:val="Title"/>
    <w:basedOn w:val="Normal"/>
    <w:next w:val="Normal"/>
    <w:link w:val="TitleChar"/>
    <w:uiPriority w:val="99"/>
    <w:semiHidden/>
    <w:qFormat/>
    <w:rsid w:val="00EA3A3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A3A3A"/>
    <w:rPr>
      <w:rFonts w:asciiTheme="majorHAnsi" w:eastAsiaTheme="majorEastAsia" w:hAnsiTheme="majorHAnsi" w:cstheme="majorBidi"/>
      <w:spacing w:val="5"/>
      <w:sz w:val="52"/>
      <w:szCs w:val="52"/>
      <w:lang w:bidi="en-US"/>
    </w:rPr>
  </w:style>
  <w:style w:type="paragraph" w:customStyle="1" w:styleId="JuListi">
    <w:name w:val="Ju_List_i"/>
    <w:basedOn w:val="Normal"/>
    <w:next w:val="JuLista"/>
    <w:uiPriority w:val="28"/>
    <w:qFormat/>
    <w:rsid w:val="00EA3A3A"/>
    <w:pPr>
      <w:ind w:left="794"/>
    </w:pPr>
  </w:style>
  <w:style w:type="paragraph" w:customStyle="1" w:styleId="ECHRHeading3">
    <w:name w:val="ECHR_Heading_3"/>
    <w:aliases w:val="Ju_H_1."/>
    <w:basedOn w:val="Heading3"/>
    <w:next w:val="ECHRPara"/>
    <w:uiPriority w:val="21"/>
    <w:qFormat/>
    <w:rsid w:val="00EA3A3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A3A3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A3A3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A3A3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A3A3A"/>
    <w:pPr>
      <w:keepNext/>
      <w:keepLines/>
      <w:spacing w:before="240" w:after="120"/>
      <w:ind w:left="1236"/>
    </w:pPr>
    <w:rPr>
      <w:sz w:val="20"/>
      <w:lang w:val="en-GB"/>
    </w:rPr>
  </w:style>
  <w:style w:type="character" w:customStyle="1" w:styleId="JUNAMES">
    <w:name w:val="JU_NAMES"/>
    <w:uiPriority w:val="17"/>
    <w:qFormat/>
    <w:rsid w:val="00EA3A3A"/>
    <w:rPr>
      <w:caps w:val="0"/>
      <w:smallCaps/>
    </w:rPr>
  </w:style>
  <w:style w:type="paragraph" w:customStyle="1" w:styleId="JuParaSub">
    <w:name w:val="Ju_Para_Sub"/>
    <w:basedOn w:val="ECHRPara"/>
    <w:uiPriority w:val="13"/>
    <w:qFormat/>
    <w:rsid w:val="00EA3A3A"/>
    <w:pPr>
      <w:ind w:left="284"/>
    </w:pPr>
  </w:style>
  <w:style w:type="paragraph" w:styleId="Header">
    <w:name w:val="header"/>
    <w:basedOn w:val="Normal"/>
    <w:link w:val="HeaderChar"/>
    <w:uiPriority w:val="57"/>
    <w:semiHidden/>
    <w:rsid w:val="00EA3A3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A3A3A"/>
    <w:rPr>
      <w:sz w:val="24"/>
      <w:lang w:val="en-GB"/>
    </w:rPr>
  </w:style>
  <w:style w:type="character" w:customStyle="1" w:styleId="Heading1Char">
    <w:name w:val="Heading 1 Char"/>
    <w:basedOn w:val="DefaultParagraphFont"/>
    <w:link w:val="Heading1"/>
    <w:uiPriority w:val="99"/>
    <w:semiHidden/>
    <w:rsid w:val="00EA3A3A"/>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A3A3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A3A3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A3A3A"/>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EA3A3A"/>
    <w:pPr>
      <w:ind w:left="567"/>
    </w:pPr>
  </w:style>
  <w:style w:type="paragraph" w:customStyle="1" w:styleId="JuTitle">
    <w:name w:val="Ju_Title"/>
    <w:basedOn w:val="Normal"/>
    <w:next w:val="ECHRPara"/>
    <w:uiPriority w:val="3"/>
    <w:semiHidden/>
    <w:qFormat/>
    <w:rsid w:val="00EA3A3A"/>
    <w:pPr>
      <w:spacing w:before="720" w:after="240"/>
      <w:jc w:val="center"/>
      <w:outlineLvl w:val="0"/>
    </w:pPr>
    <w:rPr>
      <w:rFonts w:asciiTheme="majorHAnsi" w:hAnsiTheme="majorHAnsi"/>
      <w:b/>
      <w:caps/>
    </w:rPr>
  </w:style>
  <w:style w:type="character" w:customStyle="1" w:styleId="Heading3Char">
    <w:name w:val="Heading 3 Char"/>
    <w:basedOn w:val="DefaultParagraphFont"/>
    <w:link w:val="Heading3"/>
    <w:uiPriority w:val="99"/>
    <w:semiHidden/>
    <w:rsid w:val="00EA3A3A"/>
    <w:rPr>
      <w:rFonts w:asciiTheme="majorHAnsi" w:eastAsiaTheme="majorEastAsia" w:hAnsiTheme="majorHAnsi" w:cstheme="majorBidi"/>
      <w:b/>
      <w:bCs/>
      <w:color w:val="5F5F5F"/>
      <w:sz w:val="24"/>
      <w:lang w:val="en-GB"/>
    </w:rPr>
  </w:style>
  <w:style w:type="paragraph" w:customStyle="1" w:styleId="ECHRDecisionBody">
    <w:name w:val="ECHR_Decision_Body"/>
    <w:aliases w:val="Ju_Judges"/>
    <w:basedOn w:val="Normal"/>
    <w:uiPriority w:val="11"/>
    <w:qFormat/>
    <w:rsid w:val="00EA3A3A"/>
    <w:pPr>
      <w:tabs>
        <w:tab w:val="left" w:pos="567"/>
        <w:tab w:val="left" w:pos="1134"/>
      </w:tabs>
      <w:jc w:val="left"/>
    </w:pPr>
  </w:style>
  <w:style w:type="paragraph" w:customStyle="1" w:styleId="ECHRPara">
    <w:name w:val="ECHR_Para"/>
    <w:aliases w:val="Ju_Para"/>
    <w:basedOn w:val="Normal"/>
    <w:link w:val="ECHRParaChar"/>
    <w:uiPriority w:val="12"/>
    <w:qFormat/>
    <w:rsid w:val="00EA3A3A"/>
    <w:pPr>
      <w:ind w:firstLine="284"/>
    </w:pPr>
  </w:style>
  <w:style w:type="character" w:customStyle="1" w:styleId="Heading4Char">
    <w:name w:val="Heading 4 Char"/>
    <w:basedOn w:val="DefaultParagraphFont"/>
    <w:link w:val="Heading4"/>
    <w:uiPriority w:val="99"/>
    <w:semiHidden/>
    <w:rsid w:val="00EA3A3A"/>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EA3A3A"/>
    <w:pPr>
      <w:ind w:left="340" w:hanging="340"/>
    </w:pPr>
  </w:style>
  <w:style w:type="character" w:customStyle="1" w:styleId="Heading5Char">
    <w:name w:val="Heading 5 Char"/>
    <w:basedOn w:val="DefaultParagraphFont"/>
    <w:link w:val="Heading5"/>
    <w:uiPriority w:val="99"/>
    <w:semiHidden/>
    <w:rsid w:val="00EA3A3A"/>
    <w:rPr>
      <w:rFonts w:asciiTheme="majorHAnsi" w:eastAsiaTheme="majorEastAsia" w:hAnsiTheme="majorHAnsi" w:cstheme="majorBidi"/>
      <w:b/>
      <w:bCs/>
      <w:color w:val="808080"/>
    </w:rPr>
  </w:style>
  <w:style w:type="paragraph" w:customStyle="1" w:styleId="JuSigned">
    <w:name w:val="Ju_Signed"/>
    <w:basedOn w:val="Normal"/>
    <w:next w:val="JuParaLast"/>
    <w:uiPriority w:val="32"/>
    <w:qFormat/>
    <w:rsid w:val="00EA3A3A"/>
    <w:pPr>
      <w:tabs>
        <w:tab w:val="center" w:pos="851"/>
        <w:tab w:val="center" w:pos="6407"/>
      </w:tabs>
      <w:spacing w:before="720"/>
      <w:jc w:val="left"/>
    </w:pPr>
  </w:style>
  <w:style w:type="paragraph" w:styleId="Revision">
    <w:name w:val="Revision"/>
    <w:hidden/>
    <w:uiPriority w:val="99"/>
    <w:semiHidden/>
    <w:rsid w:val="000055E6"/>
    <w:rPr>
      <w:rFonts w:eastAsiaTheme="minorEastAsia"/>
      <w:sz w:val="24"/>
    </w:rPr>
  </w:style>
  <w:style w:type="character" w:styleId="SubtleEmphasis">
    <w:name w:val="Subtle Emphasis"/>
    <w:uiPriority w:val="99"/>
    <w:semiHidden/>
    <w:qFormat/>
    <w:rsid w:val="00EA3A3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A3A3A"/>
    <w:pPr>
      <w:keepNext/>
      <w:keepLines/>
      <w:spacing w:before="720" w:after="240"/>
      <w:outlineLvl w:val="0"/>
    </w:pPr>
    <w:rPr>
      <w:rFonts w:asciiTheme="majorHAnsi" w:hAnsiTheme="majorHAnsi"/>
      <w:sz w:val="28"/>
    </w:rPr>
  </w:style>
  <w:style w:type="character" w:styleId="Emphasis">
    <w:name w:val="Emphasis"/>
    <w:uiPriority w:val="99"/>
    <w:semiHidden/>
    <w:qFormat/>
    <w:rsid w:val="00EA3A3A"/>
    <w:rPr>
      <w:b/>
      <w:bCs/>
      <w:i/>
      <w:iCs/>
      <w:spacing w:val="10"/>
      <w:bdr w:val="none" w:sz="0" w:space="0" w:color="auto"/>
      <w:shd w:val="clear" w:color="auto" w:fill="auto"/>
    </w:rPr>
  </w:style>
  <w:style w:type="paragraph" w:styleId="Footer">
    <w:name w:val="footer"/>
    <w:basedOn w:val="Normal"/>
    <w:link w:val="FooterChar"/>
    <w:uiPriority w:val="57"/>
    <w:semiHidden/>
    <w:rsid w:val="00EA3A3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A3A3A"/>
    <w:rPr>
      <w:sz w:val="24"/>
      <w:lang w:val="en-GB"/>
    </w:rPr>
  </w:style>
  <w:style w:type="character" w:styleId="FootnoteReference">
    <w:name w:val="footnote reference"/>
    <w:basedOn w:val="DefaultParagraphFont"/>
    <w:uiPriority w:val="99"/>
    <w:semiHidden/>
    <w:rsid w:val="00EA3A3A"/>
    <w:rPr>
      <w:vertAlign w:val="superscript"/>
    </w:rPr>
  </w:style>
  <w:style w:type="paragraph" w:styleId="FootnoteText">
    <w:name w:val="footnote text"/>
    <w:basedOn w:val="Normal"/>
    <w:link w:val="FootnoteTextChar"/>
    <w:uiPriority w:val="99"/>
    <w:semiHidden/>
    <w:rsid w:val="00EA3A3A"/>
    <w:rPr>
      <w:sz w:val="20"/>
      <w:szCs w:val="20"/>
    </w:rPr>
  </w:style>
  <w:style w:type="character" w:customStyle="1" w:styleId="FootnoteTextChar">
    <w:name w:val="Footnote Text Char"/>
    <w:basedOn w:val="DefaultParagraphFont"/>
    <w:link w:val="FootnoteText"/>
    <w:uiPriority w:val="99"/>
    <w:semiHidden/>
    <w:rsid w:val="00EA3A3A"/>
    <w:rPr>
      <w:rFonts w:eastAsiaTheme="minorEastAsia"/>
      <w:sz w:val="20"/>
      <w:szCs w:val="20"/>
      <w:lang w:val="en-GB"/>
    </w:rPr>
  </w:style>
  <w:style w:type="character" w:customStyle="1" w:styleId="Heading6Char">
    <w:name w:val="Heading 6 Char"/>
    <w:basedOn w:val="DefaultParagraphFont"/>
    <w:link w:val="Heading6"/>
    <w:uiPriority w:val="99"/>
    <w:semiHidden/>
    <w:rsid w:val="00EA3A3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A3A3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A3A3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A3A3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A3A3A"/>
    <w:rPr>
      <w:color w:val="0072BC" w:themeColor="hyperlink"/>
      <w:u w:val="single"/>
    </w:rPr>
  </w:style>
  <w:style w:type="character" w:styleId="IntenseEmphasis">
    <w:name w:val="Intense Emphasis"/>
    <w:uiPriority w:val="99"/>
    <w:semiHidden/>
    <w:qFormat/>
    <w:rsid w:val="00EA3A3A"/>
    <w:rPr>
      <w:b/>
      <w:bCs/>
    </w:rPr>
  </w:style>
  <w:style w:type="paragraph" w:styleId="IntenseQuote">
    <w:name w:val="Intense Quote"/>
    <w:basedOn w:val="Normal"/>
    <w:next w:val="Normal"/>
    <w:link w:val="IntenseQuoteChar"/>
    <w:uiPriority w:val="99"/>
    <w:semiHidden/>
    <w:qFormat/>
    <w:rsid w:val="00EA3A3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A3A3A"/>
    <w:rPr>
      <w:rFonts w:eastAsiaTheme="minorEastAsia"/>
      <w:b/>
      <w:bCs/>
      <w:i/>
      <w:iCs/>
      <w:lang w:bidi="en-US"/>
    </w:rPr>
  </w:style>
  <w:style w:type="character" w:styleId="IntenseReference">
    <w:name w:val="Intense Reference"/>
    <w:uiPriority w:val="99"/>
    <w:semiHidden/>
    <w:qFormat/>
    <w:rsid w:val="00EA3A3A"/>
    <w:rPr>
      <w:smallCaps/>
      <w:spacing w:val="5"/>
      <w:u w:val="single"/>
    </w:rPr>
  </w:style>
  <w:style w:type="paragraph" w:styleId="ListParagraph">
    <w:name w:val="List Paragraph"/>
    <w:basedOn w:val="Normal"/>
    <w:uiPriority w:val="99"/>
    <w:semiHidden/>
    <w:qFormat/>
    <w:rsid w:val="00EA3A3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A3A3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A3A3A"/>
    <w:rPr>
      <w:rFonts w:eastAsiaTheme="minorEastAsia"/>
      <w:i/>
      <w:iCs/>
      <w:lang w:bidi="en-US"/>
    </w:rPr>
  </w:style>
  <w:style w:type="character" w:styleId="SubtleReference">
    <w:name w:val="Subtle Reference"/>
    <w:uiPriority w:val="99"/>
    <w:semiHidden/>
    <w:qFormat/>
    <w:rsid w:val="00EA3A3A"/>
    <w:rPr>
      <w:smallCaps/>
    </w:rPr>
  </w:style>
  <w:style w:type="table" w:styleId="TableGrid">
    <w:name w:val="Table Grid"/>
    <w:basedOn w:val="TableNormal"/>
    <w:uiPriority w:val="59"/>
    <w:semiHidden/>
    <w:rsid w:val="00EA3A3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3A3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A3A3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A3A3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A3A3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A3A3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A3A3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A3A3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EA3A3A"/>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A3A3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EA3A3A"/>
    <w:pPr>
      <w:keepNext/>
      <w:keepLines/>
      <w:spacing w:before="240"/>
      <w:ind w:firstLine="284"/>
    </w:pPr>
  </w:style>
  <w:style w:type="paragraph" w:customStyle="1" w:styleId="JuCase">
    <w:name w:val="Ju_Case"/>
    <w:basedOn w:val="Normal"/>
    <w:next w:val="ECHRPara"/>
    <w:uiPriority w:val="10"/>
    <w:rsid w:val="00EA3A3A"/>
    <w:pPr>
      <w:ind w:firstLine="284"/>
    </w:pPr>
    <w:rPr>
      <w:b/>
    </w:rPr>
  </w:style>
  <w:style w:type="character" w:styleId="PageNumber">
    <w:name w:val="page number"/>
    <w:uiPriority w:val="99"/>
    <w:semiHidden/>
    <w:rsid w:val="00DE61E0"/>
    <w:rPr>
      <w:sz w:val="18"/>
    </w:rPr>
  </w:style>
  <w:style w:type="paragraph" w:customStyle="1" w:styleId="JuLista">
    <w:name w:val="Ju_List_a"/>
    <w:basedOn w:val="JuList"/>
    <w:uiPriority w:val="28"/>
    <w:qFormat/>
    <w:rsid w:val="00EA3A3A"/>
    <w:pPr>
      <w:ind w:left="346" w:firstLine="0"/>
    </w:pPr>
  </w:style>
  <w:style w:type="paragraph" w:customStyle="1" w:styleId="OpiH1">
    <w:name w:val="Opi_H_1"/>
    <w:basedOn w:val="ECHRHeading2"/>
    <w:uiPriority w:val="42"/>
    <w:qFormat/>
    <w:rsid w:val="00EA3A3A"/>
    <w:pPr>
      <w:ind w:left="635" w:hanging="357"/>
      <w:outlineLvl w:val="2"/>
    </w:pPr>
  </w:style>
  <w:style w:type="character" w:styleId="CommentReference">
    <w:name w:val="annotation reference"/>
    <w:uiPriority w:val="99"/>
    <w:semiHidden/>
    <w:rsid w:val="00DE61E0"/>
    <w:rPr>
      <w:sz w:val="16"/>
    </w:rPr>
  </w:style>
  <w:style w:type="paragraph" w:styleId="CommentText">
    <w:name w:val="annotation text"/>
    <w:basedOn w:val="Normal"/>
    <w:link w:val="CommentTextChar"/>
    <w:semiHidden/>
    <w:rsid w:val="00DE61E0"/>
    <w:rPr>
      <w:sz w:val="20"/>
    </w:rPr>
  </w:style>
  <w:style w:type="character" w:customStyle="1" w:styleId="CommentTextChar">
    <w:name w:val="Comment Text Char"/>
    <w:basedOn w:val="DefaultParagraphFont"/>
    <w:link w:val="CommentText"/>
    <w:semiHidden/>
    <w:rsid w:val="00DE61E0"/>
    <w:rPr>
      <w:rFonts w:eastAsiaTheme="minorEastAsia"/>
      <w:sz w:val="20"/>
    </w:rPr>
  </w:style>
  <w:style w:type="paragraph" w:styleId="CommentSubject">
    <w:name w:val="annotation subject"/>
    <w:basedOn w:val="CommentText"/>
    <w:next w:val="CommentText"/>
    <w:link w:val="CommentSubjectChar"/>
    <w:uiPriority w:val="99"/>
    <w:semiHidden/>
    <w:rsid w:val="00DE61E0"/>
    <w:rPr>
      <w:b/>
      <w:bCs/>
    </w:rPr>
  </w:style>
  <w:style w:type="character" w:customStyle="1" w:styleId="CommentSubjectChar">
    <w:name w:val="Comment Subject Char"/>
    <w:basedOn w:val="CommentTextChar"/>
    <w:link w:val="CommentSubject"/>
    <w:uiPriority w:val="99"/>
    <w:semiHidden/>
    <w:rsid w:val="00DE61E0"/>
    <w:rPr>
      <w:rFonts w:eastAsiaTheme="minorEastAsia"/>
      <w:b/>
      <w:bCs/>
      <w:sz w:val="20"/>
    </w:rPr>
  </w:style>
  <w:style w:type="character" w:styleId="EndnoteReference">
    <w:name w:val="endnote reference"/>
    <w:basedOn w:val="DefaultParagraphFont"/>
    <w:uiPriority w:val="99"/>
    <w:semiHidden/>
    <w:rsid w:val="00EA3A3A"/>
    <w:rPr>
      <w:vertAlign w:val="superscript"/>
    </w:rPr>
  </w:style>
  <w:style w:type="paragraph" w:styleId="EndnoteText">
    <w:name w:val="endnote text"/>
    <w:basedOn w:val="Normal"/>
    <w:link w:val="EndnoteTextChar"/>
    <w:uiPriority w:val="99"/>
    <w:semiHidden/>
    <w:rsid w:val="00EA3A3A"/>
    <w:rPr>
      <w:sz w:val="20"/>
      <w:szCs w:val="20"/>
    </w:rPr>
  </w:style>
  <w:style w:type="character" w:customStyle="1" w:styleId="EndnoteTextChar">
    <w:name w:val="Endnote Text Char"/>
    <w:basedOn w:val="DefaultParagraphFont"/>
    <w:link w:val="EndnoteText"/>
    <w:uiPriority w:val="99"/>
    <w:semiHidden/>
    <w:rsid w:val="00EA3A3A"/>
    <w:rPr>
      <w:rFonts w:eastAsiaTheme="minorEastAsia"/>
      <w:sz w:val="20"/>
      <w:szCs w:val="20"/>
      <w:lang w:val="en-GB"/>
    </w:rPr>
  </w:style>
  <w:style w:type="character" w:styleId="FollowedHyperlink">
    <w:name w:val="FollowedHyperlink"/>
    <w:uiPriority w:val="99"/>
    <w:semiHidden/>
    <w:rsid w:val="00DE61E0"/>
    <w:rPr>
      <w:color w:val="800080"/>
      <w:u w:val="single"/>
    </w:rPr>
  </w:style>
  <w:style w:type="paragraph" w:styleId="DocumentMap">
    <w:name w:val="Document Map"/>
    <w:basedOn w:val="Normal"/>
    <w:link w:val="DocumentMapChar"/>
    <w:uiPriority w:val="99"/>
    <w:semiHidden/>
    <w:rsid w:val="00DE61E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E61E0"/>
    <w:rPr>
      <w:rFonts w:ascii="Tahoma" w:eastAsiaTheme="minorEastAsia" w:hAnsi="Tahoma" w:cs="Tahoma"/>
      <w:sz w:val="20"/>
      <w:shd w:val="clear" w:color="auto" w:fill="000080"/>
    </w:rPr>
  </w:style>
  <w:style w:type="paragraph" w:styleId="ListBullet">
    <w:name w:val="List Bullet"/>
    <w:basedOn w:val="Normal"/>
    <w:uiPriority w:val="99"/>
    <w:semiHidden/>
    <w:rsid w:val="00DE61E0"/>
    <w:pPr>
      <w:numPr>
        <w:numId w:val="1"/>
      </w:numPr>
    </w:pPr>
  </w:style>
  <w:style w:type="character" w:customStyle="1" w:styleId="JuITMark">
    <w:name w:val="Ju_ITMark"/>
    <w:basedOn w:val="DefaultParagraphFont"/>
    <w:uiPriority w:val="38"/>
    <w:qFormat/>
    <w:rsid w:val="00EA3A3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A3A3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A3A3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E61E0"/>
    <w:pPr>
      <w:numPr>
        <w:numId w:val="2"/>
      </w:numPr>
    </w:pPr>
  </w:style>
  <w:style w:type="numbering" w:styleId="1ai">
    <w:name w:val="Outline List 1"/>
    <w:basedOn w:val="NoList"/>
    <w:uiPriority w:val="99"/>
    <w:semiHidden/>
    <w:rsid w:val="00DE61E0"/>
    <w:pPr>
      <w:numPr>
        <w:numId w:val="3"/>
      </w:numPr>
    </w:pPr>
  </w:style>
  <w:style w:type="numbering" w:styleId="ArticleSection">
    <w:name w:val="Outline List 3"/>
    <w:basedOn w:val="NoList"/>
    <w:uiPriority w:val="99"/>
    <w:semiHidden/>
    <w:rsid w:val="00DE61E0"/>
    <w:pPr>
      <w:numPr>
        <w:numId w:val="4"/>
      </w:numPr>
    </w:pPr>
  </w:style>
  <w:style w:type="paragraph" w:styleId="Bibliography">
    <w:name w:val="Bibliography"/>
    <w:basedOn w:val="Normal"/>
    <w:next w:val="Normal"/>
    <w:uiPriority w:val="99"/>
    <w:semiHidden/>
    <w:unhideWhenUsed/>
    <w:rsid w:val="00DE61E0"/>
  </w:style>
  <w:style w:type="paragraph" w:styleId="BlockText">
    <w:name w:val="Block Text"/>
    <w:basedOn w:val="Normal"/>
    <w:uiPriority w:val="99"/>
    <w:semiHidden/>
    <w:rsid w:val="00DE61E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E61E0"/>
    <w:pPr>
      <w:spacing w:after="120"/>
    </w:pPr>
  </w:style>
  <w:style w:type="character" w:customStyle="1" w:styleId="BodyTextChar">
    <w:name w:val="Body Text Char"/>
    <w:basedOn w:val="DefaultParagraphFont"/>
    <w:link w:val="BodyText"/>
    <w:uiPriority w:val="99"/>
    <w:semiHidden/>
    <w:rsid w:val="00DE61E0"/>
    <w:rPr>
      <w:rFonts w:eastAsiaTheme="minorEastAsia"/>
      <w:sz w:val="24"/>
    </w:rPr>
  </w:style>
  <w:style w:type="paragraph" w:styleId="BodyText2">
    <w:name w:val="Body Text 2"/>
    <w:basedOn w:val="Normal"/>
    <w:link w:val="BodyText2Char"/>
    <w:uiPriority w:val="99"/>
    <w:semiHidden/>
    <w:rsid w:val="00DE61E0"/>
    <w:pPr>
      <w:spacing w:after="120" w:line="480" w:lineRule="auto"/>
    </w:pPr>
  </w:style>
  <w:style w:type="character" w:customStyle="1" w:styleId="BodyText2Char">
    <w:name w:val="Body Text 2 Char"/>
    <w:basedOn w:val="DefaultParagraphFont"/>
    <w:link w:val="BodyText2"/>
    <w:uiPriority w:val="99"/>
    <w:semiHidden/>
    <w:rsid w:val="00DE61E0"/>
    <w:rPr>
      <w:rFonts w:eastAsiaTheme="minorEastAsia"/>
      <w:sz w:val="24"/>
    </w:rPr>
  </w:style>
  <w:style w:type="paragraph" w:styleId="BodyText3">
    <w:name w:val="Body Text 3"/>
    <w:basedOn w:val="Normal"/>
    <w:link w:val="BodyText3Char"/>
    <w:uiPriority w:val="99"/>
    <w:semiHidden/>
    <w:rsid w:val="00DE61E0"/>
    <w:pPr>
      <w:spacing w:after="120"/>
    </w:pPr>
    <w:rPr>
      <w:sz w:val="16"/>
      <w:szCs w:val="16"/>
    </w:rPr>
  </w:style>
  <w:style w:type="character" w:customStyle="1" w:styleId="BodyText3Char">
    <w:name w:val="Body Text 3 Char"/>
    <w:basedOn w:val="DefaultParagraphFont"/>
    <w:link w:val="BodyText3"/>
    <w:uiPriority w:val="99"/>
    <w:semiHidden/>
    <w:rsid w:val="00DE61E0"/>
    <w:rPr>
      <w:rFonts w:eastAsiaTheme="minorEastAsia"/>
      <w:sz w:val="16"/>
      <w:szCs w:val="16"/>
    </w:rPr>
  </w:style>
  <w:style w:type="paragraph" w:styleId="BodyTextFirstIndent">
    <w:name w:val="Body Text First Indent"/>
    <w:basedOn w:val="BodyText"/>
    <w:link w:val="BodyTextFirstIndentChar"/>
    <w:uiPriority w:val="99"/>
    <w:semiHidden/>
    <w:rsid w:val="00DE61E0"/>
    <w:pPr>
      <w:spacing w:after="0"/>
      <w:ind w:firstLine="360"/>
    </w:pPr>
  </w:style>
  <w:style w:type="character" w:customStyle="1" w:styleId="BodyTextFirstIndentChar">
    <w:name w:val="Body Text First Indent Char"/>
    <w:basedOn w:val="BodyTextChar"/>
    <w:link w:val="BodyTextFirstIndent"/>
    <w:uiPriority w:val="99"/>
    <w:semiHidden/>
    <w:rsid w:val="00DE61E0"/>
    <w:rPr>
      <w:rFonts w:eastAsiaTheme="minorEastAsia"/>
      <w:sz w:val="24"/>
    </w:rPr>
  </w:style>
  <w:style w:type="paragraph" w:styleId="BodyTextIndent">
    <w:name w:val="Body Text Indent"/>
    <w:basedOn w:val="Normal"/>
    <w:link w:val="BodyTextIndentChar"/>
    <w:uiPriority w:val="99"/>
    <w:semiHidden/>
    <w:rsid w:val="00DE61E0"/>
    <w:pPr>
      <w:spacing w:after="120"/>
      <w:ind w:left="283"/>
    </w:pPr>
  </w:style>
  <w:style w:type="character" w:customStyle="1" w:styleId="BodyTextIndentChar">
    <w:name w:val="Body Text Indent Char"/>
    <w:basedOn w:val="DefaultParagraphFont"/>
    <w:link w:val="BodyTextIndent"/>
    <w:uiPriority w:val="99"/>
    <w:semiHidden/>
    <w:rsid w:val="00DE61E0"/>
    <w:rPr>
      <w:rFonts w:eastAsiaTheme="minorEastAsia"/>
      <w:sz w:val="24"/>
    </w:rPr>
  </w:style>
  <w:style w:type="paragraph" w:styleId="BodyTextFirstIndent2">
    <w:name w:val="Body Text First Indent 2"/>
    <w:basedOn w:val="BodyTextIndent"/>
    <w:link w:val="BodyTextFirstIndent2Char"/>
    <w:uiPriority w:val="99"/>
    <w:semiHidden/>
    <w:rsid w:val="00DE61E0"/>
    <w:pPr>
      <w:spacing w:after="0"/>
      <w:ind w:left="360" w:firstLine="360"/>
    </w:pPr>
  </w:style>
  <w:style w:type="character" w:customStyle="1" w:styleId="BodyTextFirstIndent2Char">
    <w:name w:val="Body Text First Indent 2 Char"/>
    <w:basedOn w:val="BodyTextIndentChar"/>
    <w:link w:val="BodyTextFirstIndent2"/>
    <w:uiPriority w:val="99"/>
    <w:semiHidden/>
    <w:rsid w:val="00DE61E0"/>
    <w:rPr>
      <w:rFonts w:eastAsiaTheme="minorEastAsia"/>
      <w:sz w:val="24"/>
    </w:rPr>
  </w:style>
  <w:style w:type="paragraph" w:styleId="BodyTextIndent2">
    <w:name w:val="Body Text Indent 2"/>
    <w:basedOn w:val="Normal"/>
    <w:link w:val="BodyTextIndent2Char"/>
    <w:uiPriority w:val="99"/>
    <w:semiHidden/>
    <w:rsid w:val="00DE61E0"/>
    <w:pPr>
      <w:spacing w:after="120" w:line="480" w:lineRule="auto"/>
      <w:ind w:left="283"/>
    </w:pPr>
  </w:style>
  <w:style w:type="character" w:customStyle="1" w:styleId="BodyTextIndent2Char">
    <w:name w:val="Body Text Indent 2 Char"/>
    <w:basedOn w:val="DefaultParagraphFont"/>
    <w:link w:val="BodyTextIndent2"/>
    <w:uiPriority w:val="99"/>
    <w:semiHidden/>
    <w:rsid w:val="00DE61E0"/>
    <w:rPr>
      <w:rFonts w:eastAsiaTheme="minorEastAsia"/>
      <w:sz w:val="24"/>
    </w:rPr>
  </w:style>
  <w:style w:type="paragraph" w:styleId="BodyTextIndent3">
    <w:name w:val="Body Text Indent 3"/>
    <w:basedOn w:val="Normal"/>
    <w:link w:val="BodyTextIndent3Char"/>
    <w:uiPriority w:val="99"/>
    <w:semiHidden/>
    <w:rsid w:val="00DE61E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E61E0"/>
    <w:rPr>
      <w:rFonts w:eastAsiaTheme="minorEastAsia"/>
      <w:sz w:val="16"/>
      <w:szCs w:val="16"/>
    </w:rPr>
  </w:style>
  <w:style w:type="paragraph" w:styleId="Caption">
    <w:name w:val="caption"/>
    <w:basedOn w:val="Normal"/>
    <w:next w:val="Normal"/>
    <w:uiPriority w:val="99"/>
    <w:semiHidden/>
    <w:qFormat/>
    <w:rsid w:val="00DE61E0"/>
    <w:pPr>
      <w:spacing w:after="200"/>
    </w:pPr>
    <w:rPr>
      <w:b/>
      <w:bCs/>
      <w:color w:val="0072BC" w:themeColor="accent1"/>
      <w:sz w:val="18"/>
      <w:szCs w:val="18"/>
    </w:rPr>
  </w:style>
  <w:style w:type="paragraph" w:styleId="Closing">
    <w:name w:val="Closing"/>
    <w:basedOn w:val="Normal"/>
    <w:link w:val="ClosingChar"/>
    <w:uiPriority w:val="99"/>
    <w:semiHidden/>
    <w:rsid w:val="00DE61E0"/>
    <w:pPr>
      <w:ind w:left="4252"/>
    </w:pPr>
  </w:style>
  <w:style w:type="character" w:customStyle="1" w:styleId="ClosingChar">
    <w:name w:val="Closing Char"/>
    <w:basedOn w:val="DefaultParagraphFont"/>
    <w:link w:val="Closing"/>
    <w:uiPriority w:val="99"/>
    <w:semiHidden/>
    <w:rsid w:val="00DE61E0"/>
    <w:rPr>
      <w:rFonts w:eastAsiaTheme="minorEastAsia"/>
      <w:sz w:val="24"/>
    </w:rPr>
  </w:style>
  <w:style w:type="table" w:styleId="ColorfulGrid">
    <w:name w:val="Colorful Grid"/>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E61E0"/>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E61E0"/>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E61E0"/>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E61E0"/>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E61E0"/>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E61E0"/>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E61E0"/>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E61E0"/>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E61E0"/>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E61E0"/>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E61E0"/>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E61E0"/>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E61E0"/>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E61E0"/>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E61E0"/>
  </w:style>
  <w:style w:type="character" w:customStyle="1" w:styleId="DateChar">
    <w:name w:val="Date Char"/>
    <w:basedOn w:val="DefaultParagraphFont"/>
    <w:link w:val="Date"/>
    <w:uiPriority w:val="99"/>
    <w:semiHidden/>
    <w:rsid w:val="00DE61E0"/>
    <w:rPr>
      <w:rFonts w:eastAsiaTheme="minorEastAsia"/>
      <w:sz w:val="24"/>
    </w:rPr>
  </w:style>
  <w:style w:type="paragraph" w:styleId="E-mailSignature">
    <w:name w:val="E-mail Signature"/>
    <w:basedOn w:val="Normal"/>
    <w:link w:val="E-mailSignatureChar"/>
    <w:uiPriority w:val="99"/>
    <w:semiHidden/>
    <w:rsid w:val="00DE61E0"/>
  </w:style>
  <w:style w:type="character" w:customStyle="1" w:styleId="E-mailSignatureChar">
    <w:name w:val="E-mail Signature Char"/>
    <w:basedOn w:val="DefaultParagraphFont"/>
    <w:link w:val="E-mailSignature"/>
    <w:uiPriority w:val="99"/>
    <w:semiHidden/>
    <w:rsid w:val="00DE61E0"/>
    <w:rPr>
      <w:rFonts w:eastAsiaTheme="minorEastAsia"/>
      <w:sz w:val="24"/>
    </w:rPr>
  </w:style>
  <w:style w:type="paragraph" w:styleId="EnvelopeAddress">
    <w:name w:val="envelope address"/>
    <w:basedOn w:val="Normal"/>
    <w:uiPriority w:val="99"/>
    <w:semiHidden/>
    <w:rsid w:val="00DE61E0"/>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E61E0"/>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E61E0"/>
  </w:style>
  <w:style w:type="paragraph" w:styleId="HTMLAddress">
    <w:name w:val="HTML Address"/>
    <w:basedOn w:val="Normal"/>
    <w:link w:val="HTMLAddressChar"/>
    <w:uiPriority w:val="99"/>
    <w:semiHidden/>
    <w:rsid w:val="00DE61E0"/>
    <w:rPr>
      <w:i/>
      <w:iCs/>
    </w:rPr>
  </w:style>
  <w:style w:type="character" w:customStyle="1" w:styleId="HTMLAddressChar">
    <w:name w:val="HTML Address Char"/>
    <w:basedOn w:val="DefaultParagraphFont"/>
    <w:link w:val="HTMLAddress"/>
    <w:uiPriority w:val="99"/>
    <w:semiHidden/>
    <w:rsid w:val="00DE61E0"/>
    <w:rPr>
      <w:rFonts w:eastAsiaTheme="minorEastAsia"/>
      <w:i/>
      <w:iCs/>
      <w:sz w:val="24"/>
    </w:rPr>
  </w:style>
  <w:style w:type="character" w:styleId="HTMLCite">
    <w:name w:val="HTML Cite"/>
    <w:basedOn w:val="DefaultParagraphFont"/>
    <w:uiPriority w:val="99"/>
    <w:semiHidden/>
    <w:rsid w:val="00DE61E0"/>
    <w:rPr>
      <w:i/>
      <w:iCs/>
    </w:rPr>
  </w:style>
  <w:style w:type="character" w:styleId="HTMLCode">
    <w:name w:val="HTML Code"/>
    <w:basedOn w:val="DefaultParagraphFont"/>
    <w:uiPriority w:val="99"/>
    <w:semiHidden/>
    <w:rsid w:val="00DE61E0"/>
    <w:rPr>
      <w:rFonts w:ascii="Consolas" w:hAnsi="Consolas" w:cs="Consolas"/>
      <w:sz w:val="20"/>
      <w:szCs w:val="20"/>
    </w:rPr>
  </w:style>
  <w:style w:type="character" w:styleId="HTMLDefinition">
    <w:name w:val="HTML Definition"/>
    <w:basedOn w:val="DefaultParagraphFont"/>
    <w:uiPriority w:val="99"/>
    <w:semiHidden/>
    <w:rsid w:val="00DE61E0"/>
    <w:rPr>
      <w:i/>
      <w:iCs/>
    </w:rPr>
  </w:style>
  <w:style w:type="character" w:styleId="HTMLKeyboard">
    <w:name w:val="HTML Keyboard"/>
    <w:basedOn w:val="DefaultParagraphFont"/>
    <w:uiPriority w:val="99"/>
    <w:semiHidden/>
    <w:rsid w:val="00DE61E0"/>
    <w:rPr>
      <w:rFonts w:ascii="Consolas" w:hAnsi="Consolas" w:cs="Consolas"/>
      <w:sz w:val="20"/>
      <w:szCs w:val="20"/>
    </w:rPr>
  </w:style>
  <w:style w:type="paragraph" w:styleId="HTMLPreformatted">
    <w:name w:val="HTML Preformatted"/>
    <w:basedOn w:val="Normal"/>
    <w:link w:val="HTMLPreformattedChar"/>
    <w:uiPriority w:val="99"/>
    <w:semiHidden/>
    <w:rsid w:val="00DE61E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E61E0"/>
    <w:rPr>
      <w:rFonts w:ascii="Consolas" w:eastAsiaTheme="minorEastAsia" w:hAnsi="Consolas" w:cs="Consolas"/>
      <w:sz w:val="20"/>
      <w:szCs w:val="20"/>
    </w:rPr>
  </w:style>
  <w:style w:type="character" w:styleId="HTMLSample">
    <w:name w:val="HTML Sample"/>
    <w:basedOn w:val="DefaultParagraphFont"/>
    <w:uiPriority w:val="99"/>
    <w:semiHidden/>
    <w:rsid w:val="00DE61E0"/>
    <w:rPr>
      <w:rFonts w:ascii="Consolas" w:hAnsi="Consolas" w:cs="Consolas"/>
      <w:sz w:val="24"/>
      <w:szCs w:val="24"/>
    </w:rPr>
  </w:style>
  <w:style w:type="character" w:styleId="HTMLTypewriter">
    <w:name w:val="HTML Typewriter"/>
    <w:basedOn w:val="DefaultParagraphFont"/>
    <w:uiPriority w:val="99"/>
    <w:semiHidden/>
    <w:rsid w:val="00DE61E0"/>
    <w:rPr>
      <w:rFonts w:ascii="Consolas" w:hAnsi="Consolas" w:cs="Consolas"/>
      <w:sz w:val="20"/>
      <w:szCs w:val="20"/>
    </w:rPr>
  </w:style>
  <w:style w:type="character" w:styleId="HTMLVariable">
    <w:name w:val="HTML Variable"/>
    <w:basedOn w:val="DefaultParagraphFont"/>
    <w:uiPriority w:val="99"/>
    <w:semiHidden/>
    <w:rsid w:val="00DE61E0"/>
    <w:rPr>
      <w:i/>
      <w:iCs/>
    </w:rPr>
  </w:style>
  <w:style w:type="paragraph" w:styleId="Index1">
    <w:name w:val="index 1"/>
    <w:basedOn w:val="Normal"/>
    <w:next w:val="Normal"/>
    <w:autoRedefine/>
    <w:uiPriority w:val="99"/>
    <w:semiHidden/>
    <w:rsid w:val="00DE61E0"/>
    <w:pPr>
      <w:ind w:left="240" w:hanging="240"/>
    </w:pPr>
  </w:style>
  <w:style w:type="paragraph" w:styleId="Index2">
    <w:name w:val="index 2"/>
    <w:basedOn w:val="Normal"/>
    <w:next w:val="Normal"/>
    <w:autoRedefine/>
    <w:uiPriority w:val="99"/>
    <w:semiHidden/>
    <w:rsid w:val="00DE61E0"/>
    <w:pPr>
      <w:ind w:left="480" w:hanging="240"/>
    </w:pPr>
  </w:style>
  <w:style w:type="paragraph" w:styleId="Index3">
    <w:name w:val="index 3"/>
    <w:basedOn w:val="Normal"/>
    <w:next w:val="Normal"/>
    <w:autoRedefine/>
    <w:uiPriority w:val="99"/>
    <w:semiHidden/>
    <w:rsid w:val="00DE61E0"/>
    <w:pPr>
      <w:ind w:left="720" w:hanging="240"/>
    </w:pPr>
  </w:style>
  <w:style w:type="paragraph" w:styleId="Index4">
    <w:name w:val="index 4"/>
    <w:basedOn w:val="Normal"/>
    <w:next w:val="Normal"/>
    <w:autoRedefine/>
    <w:uiPriority w:val="99"/>
    <w:semiHidden/>
    <w:rsid w:val="00DE61E0"/>
    <w:pPr>
      <w:ind w:left="960" w:hanging="240"/>
    </w:pPr>
  </w:style>
  <w:style w:type="paragraph" w:styleId="Index5">
    <w:name w:val="index 5"/>
    <w:basedOn w:val="Normal"/>
    <w:next w:val="Normal"/>
    <w:autoRedefine/>
    <w:uiPriority w:val="99"/>
    <w:semiHidden/>
    <w:rsid w:val="00DE61E0"/>
    <w:pPr>
      <w:ind w:left="1200" w:hanging="240"/>
    </w:pPr>
  </w:style>
  <w:style w:type="paragraph" w:styleId="Index6">
    <w:name w:val="index 6"/>
    <w:basedOn w:val="Normal"/>
    <w:next w:val="Normal"/>
    <w:autoRedefine/>
    <w:uiPriority w:val="99"/>
    <w:semiHidden/>
    <w:rsid w:val="00DE61E0"/>
    <w:pPr>
      <w:ind w:left="1440" w:hanging="240"/>
    </w:pPr>
  </w:style>
  <w:style w:type="paragraph" w:styleId="Index7">
    <w:name w:val="index 7"/>
    <w:basedOn w:val="Normal"/>
    <w:next w:val="Normal"/>
    <w:autoRedefine/>
    <w:uiPriority w:val="99"/>
    <w:semiHidden/>
    <w:rsid w:val="00DE61E0"/>
    <w:pPr>
      <w:ind w:left="1680" w:hanging="240"/>
    </w:pPr>
  </w:style>
  <w:style w:type="paragraph" w:styleId="Index8">
    <w:name w:val="index 8"/>
    <w:basedOn w:val="Normal"/>
    <w:next w:val="Normal"/>
    <w:autoRedefine/>
    <w:uiPriority w:val="99"/>
    <w:semiHidden/>
    <w:rsid w:val="00DE61E0"/>
    <w:pPr>
      <w:ind w:left="1920" w:hanging="240"/>
    </w:pPr>
  </w:style>
  <w:style w:type="paragraph" w:styleId="Index9">
    <w:name w:val="index 9"/>
    <w:basedOn w:val="Normal"/>
    <w:next w:val="Normal"/>
    <w:autoRedefine/>
    <w:uiPriority w:val="99"/>
    <w:semiHidden/>
    <w:rsid w:val="00DE61E0"/>
    <w:pPr>
      <w:ind w:left="2160" w:hanging="240"/>
    </w:pPr>
  </w:style>
  <w:style w:type="paragraph" w:styleId="IndexHeading">
    <w:name w:val="index heading"/>
    <w:basedOn w:val="Normal"/>
    <w:next w:val="Index1"/>
    <w:uiPriority w:val="99"/>
    <w:semiHidden/>
    <w:rsid w:val="00DE61E0"/>
    <w:rPr>
      <w:rFonts w:asciiTheme="majorHAnsi" w:eastAsiaTheme="majorEastAsia" w:hAnsiTheme="majorHAnsi" w:cstheme="majorBidi"/>
      <w:b/>
      <w:bCs/>
    </w:rPr>
  </w:style>
  <w:style w:type="table" w:styleId="LightGrid">
    <w:name w:val="Light Grid"/>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E61E0"/>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E61E0"/>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E61E0"/>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E61E0"/>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E61E0"/>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E61E0"/>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E61E0"/>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E61E0"/>
  </w:style>
  <w:style w:type="paragraph" w:styleId="List">
    <w:name w:val="List"/>
    <w:basedOn w:val="Normal"/>
    <w:uiPriority w:val="99"/>
    <w:semiHidden/>
    <w:rsid w:val="00DE61E0"/>
    <w:pPr>
      <w:ind w:left="283" w:hanging="283"/>
      <w:contextualSpacing/>
    </w:pPr>
  </w:style>
  <w:style w:type="paragraph" w:styleId="List2">
    <w:name w:val="List 2"/>
    <w:basedOn w:val="Normal"/>
    <w:uiPriority w:val="99"/>
    <w:semiHidden/>
    <w:rsid w:val="00DE61E0"/>
    <w:pPr>
      <w:ind w:left="566" w:hanging="283"/>
      <w:contextualSpacing/>
    </w:pPr>
  </w:style>
  <w:style w:type="paragraph" w:styleId="List3">
    <w:name w:val="List 3"/>
    <w:basedOn w:val="Normal"/>
    <w:uiPriority w:val="99"/>
    <w:semiHidden/>
    <w:rsid w:val="00DE61E0"/>
    <w:pPr>
      <w:ind w:left="849" w:hanging="283"/>
      <w:contextualSpacing/>
    </w:pPr>
  </w:style>
  <w:style w:type="paragraph" w:styleId="List4">
    <w:name w:val="List 4"/>
    <w:basedOn w:val="Normal"/>
    <w:uiPriority w:val="99"/>
    <w:semiHidden/>
    <w:rsid w:val="00DE61E0"/>
    <w:pPr>
      <w:ind w:left="1132" w:hanging="283"/>
      <w:contextualSpacing/>
    </w:pPr>
  </w:style>
  <w:style w:type="paragraph" w:styleId="List5">
    <w:name w:val="List 5"/>
    <w:basedOn w:val="Normal"/>
    <w:uiPriority w:val="99"/>
    <w:semiHidden/>
    <w:rsid w:val="00DE61E0"/>
    <w:pPr>
      <w:ind w:left="1415" w:hanging="283"/>
      <w:contextualSpacing/>
    </w:pPr>
  </w:style>
  <w:style w:type="paragraph" w:styleId="ListBullet2">
    <w:name w:val="List Bullet 2"/>
    <w:basedOn w:val="Normal"/>
    <w:uiPriority w:val="99"/>
    <w:semiHidden/>
    <w:rsid w:val="00DE61E0"/>
    <w:pPr>
      <w:numPr>
        <w:numId w:val="5"/>
      </w:numPr>
      <w:contextualSpacing/>
    </w:pPr>
  </w:style>
  <w:style w:type="paragraph" w:styleId="ListBullet3">
    <w:name w:val="List Bullet 3"/>
    <w:basedOn w:val="Normal"/>
    <w:uiPriority w:val="99"/>
    <w:semiHidden/>
    <w:rsid w:val="00DE61E0"/>
    <w:pPr>
      <w:numPr>
        <w:numId w:val="6"/>
      </w:numPr>
      <w:contextualSpacing/>
    </w:pPr>
  </w:style>
  <w:style w:type="paragraph" w:styleId="ListBullet4">
    <w:name w:val="List Bullet 4"/>
    <w:basedOn w:val="Normal"/>
    <w:uiPriority w:val="99"/>
    <w:semiHidden/>
    <w:rsid w:val="00DE61E0"/>
    <w:pPr>
      <w:numPr>
        <w:numId w:val="7"/>
      </w:numPr>
      <w:contextualSpacing/>
    </w:pPr>
  </w:style>
  <w:style w:type="paragraph" w:styleId="ListBullet5">
    <w:name w:val="List Bullet 5"/>
    <w:basedOn w:val="Normal"/>
    <w:uiPriority w:val="99"/>
    <w:semiHidden/>
    <w:rsid w:val="00DE61E0"/>
    <w:pPr>
      <w:numPr>
        <w:numId w:val="8"/>
      </w:numPr>
      <w:contextualSpacing/>
    </w:pPr>
  </w:style>
  <w:style w:type="paragraph" w:styleId="ListContinue">
    <w:name w:val="List Continue"/>
    <w:basedOn w:val="Normal"/>
    <w:uiPriority w:val="99"/>
    <w:semiHidden/>
    <w:rsid w:val="00DE61E0"/>
    <w:pPr>
      <w:spacing w:after="120"/>
      <w:ind w:left="283"/>
      <w:contextualSpacing/>
    </w:pPr>
  </w:style>
  <w:style w:type="paragraph" w:styleId="ListContinue2">
    <w:name w:val="List Continue 2"/>
    <w:basedOn w:val="Normal"/>
    <w:uiPriority w:val="99"/>
    <w:semiHidden/>
    <w:rsid w:val="00DE61E0"/>
    <w:pPr>
      <w:spacing w:after="120"/>
      <w:ind w:left="566"/>
      <w:contextualSpacing/>
    </w:pPr>
  </w:style>
  <w:style w:type="paragraph" w:styleId="ListContinue3">
    <w:name w:val="List Continue 3"/>
    <w:basedOn w:val="Normal"/>
    <w:uiPriority w:val="99"/>
    <w:semiHidden/>
    <w:rsid w:val="00DE61E0"/>
    <w:pPr>
      <w:spacing w:after="120"/>
      <w:ind w:left="849"/>
      <w:contextualSpacing/>
    </w:pPr>
  </w:style>
  <w:style w:type="paragraph" w:styleId="ListContinue4">
    <w:name w:val="List Continue 4"/>
    <w:basedOn w:val="Normal"/>
    <w:uiPriority w:val="99"/>
    <w:semiHidden/>
    <w:rsid w:val="00DE61E0"/>
    <w:pPr>
      <w:spacing w:after="120"/>
      <w:ind w:left="1132"/>
      <w:contextualSpacing/>
    </w:pPr>
  </w:style>
  <w:style w:type="paragraph" w:styleId="ListContinue5">
    <w:name w:val="List Continue 5"/>
    <w:basedOn w:val="Normal"/>
    <w:uiPriority w:val="99"/>
    <w:semiHidden/>
    <w:rsid w:val="00DE61E0"/>
    <w:pPr>
      <w:spacing w:after="120"/>
      <w:ind w:left="1415"/>
      <w:contextualSpacing/>
    </w:pPr>
  </w:style>
  <w:style w:type="paragraph" w:styleId="ListNumber">
    <w:name w:val="List Number"/>
    <w:basedOn w:val="Normal"/>
    <w:uiPriority w:val="99"/>
    <w:semiHidden/>
    <w:rsid w:val="00DE61E0"/>
    <w:pPr>
      <w:numPr>
        <w:numId w:val="9"/>
      </w:numPr>
      <w:contextualSpacing/>
    </w:pPr>
  </w:style>
  <w:style w:type="paragraph" w:styleId="ListNumber2">
    <w:name w:val="List Number 2"/>
    <w:basedOn w:val="Normal"/>
    <w:uiPriority w:val="99"/>
    <w:semiHidden/>
    <w:rsid w:val="00DE61E0"/>
    <w:pPr>
      <w:numPr>
        <w:numId w:val="10"/>
      </w:numPr>
      <w:contextualSpacing/>
    </w:pPr>
  </w:style>
  <w:style w:type="paragraph" w:styleId="ListNumber3">
    <w:name w:val="List Number 3"/>
    <w:basedOn w:val="Normal"/>
    <w:uiPriority w:val="99"/>
    <w:semiHidden/>
    <w:rsid w:val="00DE61E0"/>
    <w:pPr>
      <w:numPr>
        <w:numId w:val="11"/>
      </w:numPr>
      <w:contextualSpacing/>
    </w:pPr>
  </w:style>
  <w:style w:type="paragraph" w:styleId="ListNumber4">
    <w:name w:val="List Number 4"/>
    <w:basedOn w:val="Normal"/>
    <w:uiPriority w:val="99"/>
    <w:semiHidden/>
    <w:rsid w:val="00DE61E0"/>
    <w:pPr>
      <w:numPr>
        <w:numId w:val="12"/>
      </w:numPr>
      <w:contextualSpacing/>
    </w:pPr>
  </w:style>
  <w:style w:type="paragraph" w:styleId="ListNumber5">
    <w:name w:val="List Number 5"/>
    <w:basedOn w:val="Normal"/>
    <w:uiPriority w:val="99"/>
    <w:semiHidden/>
    <w:rsid w:val="00DE61E0"/>
    <w:pPr>
      <w:numPr>
        <w:numId w:val="13"/>
      </w:numPr>
      <w:contextualSpacing/>
    </w:pPr>
  </w:style>
  <w:style w:type="paragraph" w:styleId="MacroText">
    <w:name w:val="macro"/>
    <w:link w:val="MacroTextChar"/>
    <w:uiPriority w:val="99"/>
    <w:semiHidden/>
    <w:rsid w:val="00DE61E0"/>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DE61E0"/>
    <w:rPr>
      <w:rFonts w:ascii="Consolas" w:hAnsi="Consolas" w:cs="Consolas"/>
      <w:sz w:val="20"/>
      <w:szCs w:val="20"/>
      <w:lang w:val="en-GB" w:eastAsia="fr-FR"/>
    </w:rPr>
  </w:style>
  <w:style w:type="table" w:styleId="MediumGrid1">
    <w:name w:val="Medium Grid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E61E0"/>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E61E0"/>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E61E0"/>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E61E0"/>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E61E0"/>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E61E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E61E0"/>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E61E0"/>
    <w:rPr>
      <w:rFonts w:ascii="Times New Roman" w:hAnsi="Times New Roman" w:cs="Times New Roman"/>
      <w:szCs w:val="24"/>
    </w:rPr>
  </w:style>
  <w:style w:type="paragraph" w:styleId="NormalIndent">
    <w:name w:val="Normal Indent"/>
    <w:basedOn w:val="Normal"/>
    <w:uiPriority w:val="99"/>
    <w:semiHidden/>
    <w:rsid w:val="00DE61E0"/>
    <w:pPr>
      <w:ind w:left="720"/>
    </w:pPr>
  </w:style>
  <w:style w:type="paragraph" w:styleId="NoteHeading">
    <w:name w:val="Note Heading"/>
    <w:basedOn w:val="Normal"/>
    <w:next w:val="Normal"/>
    <w:link w:val="NoteHeadingChar"/>
    <w:uiPriority w:val="99"/>
    <w:semiHidden/>
    <w:rsid w:val="00DE61E0"/>
  </w:style>
  <w:style w:type="character" w:customStyle="1" w:styleId="NoteHeadingChar">
    <w:name w:val="Note Heading Char"/>
    <w:basedOn w:val="DefaultParagraphFont"/>
    <w:link w:val="NoteHeading"/>
    <w:uiPriority w:val="99"/>
    <w:semiHidden/>
    <w:rsid w:val="00DE61E0"/>
    <w:rPr>
      <w:rFonts w:eastAsiaTheme="minorEastAsia"/>
      <w:sz w:val="24"/>
    </w:rPr>
  </w:style>
  <w:style w:type="character" w:styleId="PlaceholderText">
    <w:name w:val="Placeholder Text"/>
    <w:basedOn w:val="DefaultParagraphFont"/>
    <w:uiPriority w:val="99"/>
    <w:semiHidden/>
    <w:rsid w:val="00EA3A3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E61E0"/>
    <w:rPr>
      <w:rFonts w:ascii="Consolas" w:hAnsi="Consolas" w:cs="Consolas"/>
      <w:sz w:val="21"/>
      <w:szCs w:val="21"/>
    </w:rPr>
  </w:style>
  <w:style w:type="character" w:customStyle="1" w:styleId="PlainTextChar">
    <w:name w:val="Plain Text Char"/>
    <w:basedOn w:val="DefaultParagraphFont"/>
    <w:link w:val="PlainText"/>
    <w:uiPriority w:val="99"/>
    <w:semiHidden/>
    <w:rsid w:val="00DE61E0"/>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E61E0"/>
  </w:style>
  <w:style w:type="character" w:customStyle="1" w:styleId="SalutationChar">
    <w:name w:val="Salutation Char"/>
    <w:basedOn w:val="DefaultParagraphFont"/>
    <w:link w:val="Salutation"/>
    <w:uiPriority w:val="99"/>
    <w:semiHidden/>
    <w:rsid w:val="00DE61E0"/>
    <w:rPr>
      <w:rFonts w:eastAsiaTheme="minorEastAsia"/>
      <w:sz w:val="24"/>
    </w:rPr>
  </w:style>
  <w:style w:type="paragraph" w:styleId="Signature">
    <w:name w:val="Signature"/>
    <w:basedOn w:val="Normal"/>
    <w:link w:val="SignatureChar"/>
    <w:uiPriority w:val="99"/>
    <w:semiHidden/>
    <w:rsid w:val="00DE61E0"/>
    <w:pPr>
      <w:ind w:left="4252"/>
    </w:pPr>
  </w:style>
  <w:style w:type="character" w:customStyle="1" w:styleId="SignatureChar">
    <w:name w:val="Signature Char"/>
    <w:basedOn w:val="DefaultParagraphFont"/>
    <w:link w:val="Signature"/>
    <w:uiPriority w:val="99"/>
    <w:semiHidden/>
    <w:rsid w:val="00DE61E0"/>
    <w:rPr>
      <w:rFonts w:eastAsiaTheme="minorEastAsia"/>
      <w:sz w:val="24"/>
    </w:rPr>
  </w:style>
  <w:style w:type="table" w:styleId="Table3Deffects1">
    <w:name w:val="Table 3D effects 1"/>
    <w:basedOn w:val="TableNormal"/>
    <w:uiPriority w:val="99"/>
    <w:semiHidden/>
    <w:rsid w:val="00DE61E0"/>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E61E0"/>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E61E0"/>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E61E0"/>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E61E0"/>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E61E0"/>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E61E0"/>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E61E0"/>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E61E0"/>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E61E0"/>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E61E0"/>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E61E0"/>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E61E0"/>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E61E0"/>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E61E0"/>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E61E0"/>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E61E0"/>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E61E0"/>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E61E0"/>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E61E0"/>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E61E0"/>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E61E0"/>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E61E0"/>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E61E0"/>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E61E0"/>
    <w:pPr>
      <w:ind w:left="240" w:hanging="240"/>
    </w:pPr>
  </w:style>
  <w:style w:type="paragraph" w:styleId="TableofFigures">
    <w:name w:val="table of figures"/>
    <w:basedOn w:val="Normal"/>
    <w:next w:val="Normal"/>
    <w:uiPriority w:val="99"/>
    <w:semiHidden/>
    <w:rsid w:val="00DE61E0"/>
  </w:style>
  <w:style w:type="table" w:styleId="TableProfessional">
    <w:name w:val="Table Professional"/>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E61E0"/>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E61E0"/>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E61E0"/>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E61E0"/>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E61E0"/>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E61E0"/>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E61E0"/>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E61E0"/>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A3A3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A3A3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E61E0"/>
    <w:pPr>
      <w:spacing w:after="100"/>
      <w:ind w:left="1680"/>
    </w:pPr>
  </w:style>
  <w:style w:type="paragraph" w:styleId="TOC9">
    <w:name w:val="toc 9"/>
    <w:basedOn w:val="Normal"/>
    <w:next w:val="Normal"/>
    <w:autoRedefine/>
    <w:uiPriority w:val="99"/>
    <w:semiHidden/>
    <w:rsid w:val="00DE61E0"/>
    <w:pPr>
      <w:spacing w:after="100"/>
      <w:ind w:left="1920"/>
    </w:pPr>
  </w:style>
  <w:style w:type="paragraph" w:customStyle="1" w:styleId="OpiHa">
    <w:name w:val="Opi_H_a"/>
    <w:basedOn w:val="ECHRHeading3"/>
    <w:uiPriority w:val="43"/>
    <w:qFormat/>
    <w:rsid w:val="00EA3A3A"/>
    <w:pPr>
      <w:ind w:left="833" w:hanging="357"/>
      <w:outlineLvl w:val="3"/>
    </w:pPr>
    <w:rPr>
      <w:b/>
      <w:i w:val="0"/>
      <w:sz w:val="20"/>
    </w:rPr>
  </w:style>
  <w:style w:type="paragraph" w:customStyle="1" w:styleId="OpiHA0">
    <w:name w:val="Opi_H_A"/>
    <w:basedOn w:val="ECHRHeading1"/>
    <w:next w:val="OpiPara"/>
    <w:uiPriority w:val="41"/>
    <w:qFormat/>
    <w:rsid w:val="00EA3A3A"/>
    <w:pPr>
      <w:tabs>
        <w:tab w:val="clear" w:pos="357"/>
      </w:tabs>
      <w:outlineLvl w:val="1"/>
    </w:pPr>
    <w:rPr>
      <w:b/>
    </w:rPr>
  </w:style>
  <w:style w:type="paragraph" w:customStyle="1" w:styleId="OpiHi">
    <w:name w:val="Opi_H_i"/>
    <w:basedOn w:val="ECHRHeading4"/>
    <w:uiPriority w:val="44"/>
    <w:qFormat/>
    <w:rsid w:val="00EA3A3A"/>
    <w:pPr>
      <w:ind w:left="1037" w:hanging="357"/>
      <w:outlineLvl w:val="4"/>
    </w:pPr>
    <w:rPr>
      <w:b w:val="0"/>
      <w:i/>
    </w:rPr>
  </w:style>
  <w:style w:type="paragraph" w:customStyle="1" w:styleId="OpiPara">
    <w:name w:val="Opi_Para"/>
    <w:basedOn w:val="ECHRPara"/>
    <w:uiPriority w:val="46"/>
    <w:qFormat/>
    <w:rsid w:val="00EA3A3A"/>
  </w:style>
  <w:style w:type="paragraph" w:customStyle="1" w:styleId="OpiParaSub">
    <w:name w:val="Opi_Para_Sub"/>
    <w:basedOn w:val="JuParaSub"/>
    <w:uiPriority w:val="47"/>
    <w:qFormat/>
    <w:rsid w:val="00EA3A3A"/>
  </w:style>
  <w:style w:type="paragraph" w:customStyle="1" w:styleId="OpiQuot">
    <w:name w:val="Opi_Quot"/>
    <w:basedOn w:val="ECHRParaQuote"/>
    <w:uiPriority w:val="48"/>
    <w:qFormat/>
    <w:rsid w:val="00EA3A3A"/>
  </w:style>
  <w:style w:type="paragraph" w:customStyle="1" w:styleId="OpiQuotSub">
    <w:name w:val="Opi_Quot_Sub"/>
    <w:basedOn w:val="JuQuotSub"/>
    <w:uiPriority w:val="49"/>
    <w:qFormat/>
    <w:rsid w:val="00EA3A3A"/>
  </w:style>
  <w:style w:type="paragraph" w:customStyle="1" w:styleId="OpiTranslation">
    <w:name w:val="Opi_Translation"/>
    <w:basedOn w:val="Normal"/>
    <w:next w:val="OpiPara"/>
    <w:uiPriority w:val="40"/>
    <w:qFormat/>
    <w:rsid w:val="00EA3A3A"/>
    <w:pPr>
      <w:jc w:val="center"/>
      <w:outlineLvl w:val="0"/>
    </w:pPr>
    <w:rPr>
      <w:i/>
    </w:rPr>
  </w:style>
  <w:style w:type="character" w:customStyle="1" w:styleId="ECHRParaChar">
    <w:name w:val="ECHR_Para Char"/>
    <w:aliases w:val="Ju_Para Char"/>
    <w:basedOn w:val="DefaultParagraphFont"/>
    <w:link w:val="ECHRPara"/>
    <w:uiPriority w:val="12"/>
    <w:rsid w:val="001A408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000515">
      <w:bodyDiv w:val="1"/>
      <w:marLeft w:val="0"/>
      <w:marRight w:val="0"/>
      <w:marTop w:val="0"/>
      <w:marBottom w:val="0"/>
      <w:divBdr>
        <w:top w:val="none" w:sz="0" w:space="0" w:color="auto"/>
        <w:left w:val="none" w:sz="0" w:space="0" w:color="auto"/>
        <w:bottom w:val="none" w:sz="0" w:space="0" w:color="auto"/>
        <w:right w:val="none" w:sz="0" w:space="0" w:color="auto"/>
      </w:divBdr>
    </w:div>
    <w:div w:id="116562809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7EA01D-5C7C-4499-B807-8247A990AEC0}"/>
</file>

<file path=customXml/itemProps2.xml><?xml version="1.0" encoding="utf-8"?>
<ds:datastoreItem xmlns:ds="http://schemas.openxmlformats.org/officeDocument/2006/customXml" ds:itemID="{E711CB09-4632-44E1-AD7A-119C618967F7}"/>
</file>

<file path=customXml/itemProps3.xml><?xml version="1.0" encoding="utf-8"?>
<ds:datastoreItem xmlns:ds="http://schemas.openxmlformats.org/officeDocument/2006/customXml" ds:itemID="{DE2412C5-AC39-4B1C-A018-227CB30828E8}"/>
</file>

<file path=customXml/itemProps4.xml><?xml version="1.0" encoding="utf-8"?>
<ds:datastoreItem xmlns:ds="http://schemas.openxmlformats.org/officeDocument/2006/customXml" ds:itemID="{0D513472-54FD-4354-B652-3080771F701B}"/>
</file>

<file path=docProps/app.xml><?xml version="1.0" encoding="utf-8"?>
<Properties xmlns="http://schemas.openxmlformats.org/officeDocument/2006/extended-properties" xmlns:vt="http://schemas.openxmlformats.org/officeDocument/2006/docPropsVTypes">
  <Template>Normal.dotm</Template>
  <TotalTime>0</TotalTime>
  <Pages>1</Pages>
  <Words>3030</Words>
  <Characters>17276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20266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2019-08-31T10:37:00Z</dcterms:created>
  <dcterms:modified xsi:type="dcterms:W3CDTF">2019-08-31T10:37:00Z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lpwstr>2057</vt:lpwstr>
  </property>
  <property fmtid="{D5CDD505-2E9C-101B-9397-08002B2CF9AE}" pid="3" name="RegisteredNo">
    <vt:lpwstr>45751/10</vt:lpwstr>
  </property>
  <property fmtid="{D5CDD505-2E9C-101B-9397-08002B2CF9AE}" pid="4" name="CASEID">
    <vt:lpwstr>659738</vt:lpwstr>
  </property>
  <property fmtid="{D5CDD505-2E9C-101B-9397-08002B2CF9AE}" pid="5" name="ContentTypeId">
    <vt:lpwstr>0x010100558EB02BDB9E204AB350EDD385B68E10</vt:lpwstr>
  </property>
</Properties>
</file>