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540DD" w:rsidR="009623D7" w:rsidP="00E540DD" w:rsidRDefault="009623D7">
      <w:pPr>
        <w:jc w:val="center"/>
        <w:rPr>
          <w:rFonts w:ascii="Times New Roman" w:hAnsi="Times New Roman" w:cs="Times New Roman"/>
        </w:rPr>
      </w:pPr>
    </w:p>
    <w:p w:rsidRPr="00E540DD" w:rsidR="002D2C99" w:rsidP="00E540DD" w:rsidRDefault="002D2C99">
      <w:pPr>
        <w:jc w:val="center"/>
        <w:rPr>
          <w:lang w:val="fr-FR"/>
        </w:rPr>
      </w:pPr>
    </w:p>
    <w:p w:rsidRPr="00E540DD" w:rsidR="00BC6263" w:rsidP="00E540DD" w:rsidRDefault="00BC6263">
      <w:pPr>
        <w:jc w:val="center"/>
        <w:rPr>
          <w:lang w:val="fr-FR"/>
        </w:rPr>
      </w:pPr>
    </w:p>
    <w:p w:rsidRPr="00E540DD" w:rsidR="002D2C99" w:rsidP="00E540DD" w:rsidRDefault="009623D7">
      <w:pPr>
        <w:tabs>
          <w:tab w:val="left" w:pos="5529"/>
        </w:tabs>
        <w:jc w:val="center"/>
        <w:rPr>
          <w:lang w:val="fr-FR"/>
        </w:rPr>
      </w:pPr>
      <w:r w:rsidRPr="00E540DD">
        <w:rPr>
          <w:lang w:val="fr-FR"/>
        </w:rPr>
        <w:t>CINQUIÈME SECTION</w:t>
      </w:r>
    </w:p>
    <w:p w:rsidRPr="00E540DD" w:rsidR="002D2C99" w:rsidP="00E540DD" w:rsidRDefault="002D2C99">
      <w:pPr>
        <w:jc w:val="center"/>
        <w:rPr>
          <w:lang w:val="fr-FR"/>
        </w:rPr>
      </w:pPr>
    </w:p>
    <w:p w:rsidRPr="00E540DD" w:rsidR="004840F1" w:rsidP="00E540DD" w:rsidRDefault="004840F1">
      <w:pPr>
        <w:jc w:val="center"/>
        <w:rPr>
          <w:lang w:val="fr-FR"/>
        </w:rPr>
      </w:pPr>
    </w:p>
    <w:p w:rsidRPr="00E540DD" w:rsidR="00BC6263" w:rsidP="00E540DD" w:rsidRDefault="00BC6263">
      <w:pPr>
        <w:jc w:val="center"/>
        <w:rPr>
          <w:lang w:val="fr-FR"/>
        </w:rPr>
      </w:pPr>
    </w:p>
    <w:p w:rsidRPr="00E540DD" w:rsidR="00BC6263" w:rsidP="00E540DD" w:rsidRDefault="00BC6263">
      <w:pPr>
        <w:jc w:val="center"/>
        <w:rPr>
          <w:lang w:val="fr-FR"/>
        </w:rPr>
      </w:pPr>
    </w:p>
    <w:p w:rsidRPr="00E540DD" w:rsidR="00BC6263" w:rsidP="00E540DD" w:rsidRDefault="00BC6263">
      <w:pPr>
        <w:jc w:val="center"/>
        <w:rPr>
          <w:lang w:val="fr-FR"/>
        </w:rPr>
      </w:pPr>
    </w:p>
    <w:p w:rsidRPr="00E540DD" w:rsidR="002D2C99" w:rsidP="00E540DD" w:rsidRDefault="002D2C99">
      <w:pPr>
        <w:jc w:val="center"/>
        <w:outlineLvl w:val="0"/>
        <w:rPr>
          <w:b/>
          <w:lang w:val="fr-FR"/>
        </w:rPr>
      </w:pPr>
      <w:r w:rsidRPr="00E540DD">
        <w:rPr>
          <w:b/>
          <w:lang w:val="fr-FR"/>
        </w:rPr>
        <w:t xml:space="preserve">AFFAIRE </w:t>
      </w:r>
      <w:r w:rsidRPr="00E540DD" w:rsidR="009623D7">
        <w:rPr>
          <w:b/>
          <w:lang w:val="fr-FR"/>
        </w:rPr>
        <w:t>VETSEV c. BULGARIE</w:t>
      </w:r>
    </w:p>
    <w:p w:rsidRPr="00E540DD" w:rsidR="00BC6263" w:rsidP="00E540DD" w:rsidRDefault="00BC6263">
      <w:pPr>
        <w:jc w:val="center"/>
        <w:rPr>
          <w:lang w:val="fr-FR"/>
        </w:rPr>
      </w:pPr>
    </w:p>
    <w:p w:rsidRPr="00E540DD" w:rsidR="002D2C99" w:rsidP="00E540DD" w:rsidRDefault="002D2C99">
      <w:pPr>
        <w:jc w:val="center"/>
        <w:rPr>
          <w:i/>
          <w:lang w:val="fr-FR"/>
        </w:rPr>
      </w:pPr>
      <w:r w:rsidRPr="00E540DD">
        <w:rPr>
          <w:i/>
          <w:lang w:val="fr-FR"/>
        </w:rPr>
        <w:t>(</w:t>
      </w:r>
      <w:r w:rsidRPr="00E540DD" w:rsidR="009623D7">
        <w:rPr>
          <w:i/>
          <w:lang w:val="fr-FR"/>
        </w:rPr>
        <w:t>Requête n</w:t>
      </w:r>
      <w:r w:rsidRPr="00E540DD" w:rsidR="009623D7">
        <w:rPr>
          <w:i/>
          <w:vertAlign w:val="superscript"/>
          <w:lang w:val="fr-FR"/>
        </w:rPr>
        <w:t>o</w:t>
      </w:r>
      <w:r w:rsidRPr="00E540DD" w:rsidR="00956E5B">
        <w:rPr>
          <w:i/>
          <w:lang w:val="fr-FR"/>
        </w:rPr>
        <w:t xml:space="preserve"> </w:t>
      </w:r>
      <w:r w:rsidRPr="00E540DD" w:rsidR="009623D7">
        <w:rPr>
          <w:i/>
          <w:lang w:val="fr-FR"/>
        </w:rPr>
        <w:t>54558/15</w:t>
      </w:r>
      <w:r w:rsidRPr="00E540DD">
        <w:rPr>
          <w:i/>
          <w:lang w:val="fr-FR"/>
        </w:rPr>
        <w:t>)</w:t>
      </w:r>
    </w:p>
    <w:p w:rsidRPr="00E540DD" w:rsidR="002D2C99" w:rsidP="00E540DD" w:rsidRDefault="002D2C99">
      <w:pPr>
        <w:jc w:val="center"/>
        <w:rPr>
          <w:lang w:val="fr-FR"/>
        </w:rPr>
      </w:pPr>
    </w:p>
    <w:p w:rsidRPr="00E540DD" w:rsidR="002D2C99" w:rsidP="00E540DD" w:rsidRDefault="002D2C99">
      <w:pPr>
        <w:jc w:val="center"/>
        <w:rPr>
          <w:lang w:val="fr-FR"/>
        </w:rPr>
      </w:pPr>
    </w:p>
    <w:p w:rsidRPr="00E540DD" w:rsidR="002D2C99" w:rsidP="00E540DD" w:rsidRDefault="002D2C99">
      <w:pPr>
        <w:jc w:val="center"/>
        <w:rPr>
          <w:lang w:val="fr-FR"/>
        </w:rPr>
      </w:pPr>
    </w:p>
    <w:p w:rsidRPr="00E540DD" w:rsidR="002D2C99" w:rsidP="00E540DD" w:rsidRDefault="002D2C99">
      <w:pPr>
        <w:jc w:val="center"/>
        <w:rPr>
          <w:lang w:val="fr-FR"/>
        </w:rPr>
      </w:pPr>
    </w:p>
    <w:p w:rsidRPr="00E540DD" w:rsidR="002D2C99" w:rsidP="00E540DD" w:rsidRDefault="002D2C99">
      <w:pPr>
        <w:jc w:val="center"/>
        <w:rPr>
          <w:lang w:val="fr-FR"/>
        </w:rPr>
      </w:pPr>
    </w:p>
    <w:p w:rsidRPr="00E540DD" w:rsidR="00BC6263" w:rsidP="00E540DD" w:rsidRDefault="00BC6263">
      <w:pPr>
        <w:jc w:val="center"/>
        <w:rPr>
          <w:lang w:val="fr-FR"/>
        </w:rPr>
      </w:pPr>
    </w:p>
    <w:p w:rsidRPr="00E540DD" w:rsidR="0074041B" w:rsidP="00E540DD" w:rsidRDefault="0074041B">
      <w:pPr>
        <w:jc w:val="center"/>
        <w:rPr>
          <w:lang w:val="fr-FR"/>
        </w:rPr>
      </w:pPr>
    </w:p>
    <w:p w:rsidRPr="00E540DD" w:rsidR="0074041B" w:rsidP="00E540DD" w:rsidRDefault="0074041B">
      <w:pPr>
        <w:jc w:val="center"/>
        <w:rPr>
          <w:lang w:val="fr-FR"/>
        </w:rPr>
      </w:pPr>
    </w:p>
    <w:p w:rsidRPr="00E540DD" w:rsidR="002D2C99" w:rsidP="00E540DD" w:rsidRDefault="002D2C99">
      <w:pPr>
        <w:jc w:val="center"/>
        <w:rPr>
          <w:lang w:val="fr-FR"/>
        </w:rPr>
      </w:pPr>
    </w:p>
    <w:p w:rsidRPr="00E540DD" w:rsidR="002D2C99" w:rsidP="00E540DD" w:rsidRDefault="002D2C99">
      <w:pPr>
        <w:jc w:val="center"/>
        <w:rPr>
          <w:lang w:val="fr-FR"/>
        </w:rPr>
      </w:pPr>
    </w:p>
    <w:p w:rsidRPr="00E540DD" w:rsidR="002D2C99" w:rsidP="00E540DD" w:rsidRDefault="002D2C99">
      <w:pPr>
        <w:jc w:val="center"/>
        <w:outlineLvl w:val="0"/>
        <w:rPr>
          <w:lang w:val="fr-FR"/>
        </w:rPr>
      </w:pPr>
      <w:r w:rsidRPr="00E540DD">
        <w:rPr>
          <w:lang w:val="fr-FR"/>
        </w:rPr>
        <w:t>ARRÊT</w:t>
      </w:r>
    </w:p>
    <w:p w:rsidRPr="00E540DD" w:rsidR="002D2C99" w:rsidP="00E540DD" w:rsidRDefault="002D2C99">
      <w:pPr>
        <w:jc w:val="center"/>
        <w:rPr>
          <w:lang w:val="fr-FR"/>
        </w:rPr>
      </w:pPr>
    </w:p>
    <w:p w:rsidRPr="00E540DD" w:rsidR="00BC6263" w:rsidP="00E540DD" w:rsidRDefault="00BC6263">
      <w:pPr>
        <w:jc w:val="center"/>
        <w:rPr>
          <w:lang w:val="fr-FR"/>
        </w:rPr>
      </w:pPr>
    </w:p>
    <w:p w:rsidRPr="00E540DD" w:rsidR="00BC6263" w:rsidP="00E540DD" w:rsidRDefault="00BC6263">
      <w:pPr>
        <w:jc w:val="center"/>
        <w:rPr>
          <w:lang w:val="fr-FR"/>
        </w:rPr>
      </w:pPr>
    </w:p>
    <w:p w:rsidRPr="00E540DD" w:rsidR="00BC6263" w:rsidP="00E540DD" w:rsidRDefault="00BC6263">
      <w:pPr>
        <w:jc w:val="center"/>
        <w:rPr>
          <w:lang w:val="fr-FR"/>
        </w:rPr>
      </w:pPr>
    </w:p>
    <w:p w:rsidRPr="00E540DD" w:rsidR="002D2C99" w:rsidP="00E540DD" w:rsidRDefault="002D2C99">
      <w:pPr>
        <w:jc w:val="center"/>
        <w:outlineLvl w:val="0"/>
        <w:rPr>
          <w:lang w:val="fr-FR"/>
        </w:rPr>
      </w:pPr>
      <w:r w:rsidRPr="00E540DD">
        <w:rPr>
          <w:lang w:val="fr-FR"/>
        </w:rPr>
        <w:t>STRASBOURG</w:t>
      </w:r>
    </w:p>
    <w:p w:rsidRPr="00E540DD" w:rsidR="002D2C99" w:rsidP="00E540DD" w:rsidRDefault="002D2C99">
      <w:pPr>
        <w:jc w:val="center"/>
        <w:rPr>
          <w:lang w:val="fr-FR"/>
        </w:rPr>
      </w:pPr>
    </w:p>
    <w:p w:rsidRPr="00E540DD" w:rsidR="00EA2502" w:rsidP="00E540DD" w:rsidRDefault="009623D7">
      <w:pPr>
        <w:jc w:val="center"/>
        <w:rPr>
          <w:lang w:val="fr-FR"/>
        </w:rPr>
      </w:pPr>
      <w:r w:rsidRPr="00E540DD">
        <w:rPr>
          <w:szCs w:val="24"/>
          <w:lang w:val="fr-FR"/>
        </w:rPr>
        <w:t>2 mai 2019</w:t>
      </w:r>
    </w:p>
    <w:p w:rsidRPr="00E540DD" w:rsidR="002D2C99" w:rsidP="00E540DD" w:rsidRDefault="002D2C99">
      <w:pPr>
        <w:jc w:val="center"/>
        <w:rPr>
          <w:lang w:val="fr-FR"/>
        </w:rPr>
      </w:pPr>
    </w:p>
    <w:p w:rsidRPr="00E540DD" w:rsidR="00BC6263" w:rsidP="00E540DD" w:rsidRDefault="00BC6263">
      <w:pPr>
        <w:jc w:val="center"/>
        <w:rPr>
          <w:lang w:val="fr-FR"/>
        </w:rPr>
      </w:pPr>
    </w:p>
    <w:p w:rsidR="00DD3717" w:rsidP="00DD3717" w:rsidRDefault="00DD3717">
      <w:pPr>
        <w:pStyle w:val="jucase0"/>
        <w:ind w:firstLine="0"/>
        <w:jc w:val="center"/>
        <w:rPr>
          <w:color w:val="FF0000"/>
          <w:sz w:val="28"/>
          <w:szCs w:val="28"/>
          <w:u w:val="single"/>
          <w:lang w:val="fr-FR"/>
        </w:rPr>
      </w:pPr>
      <w:r>
        <w:rPr>
          <w:color w:val="FF0000"/>
          <w:sz w:val="28"/>
          <w:szCs w:val="28"/>
          <w:u w:val="single"/>
          <w:lang w:val="fr-FR"/>
        </w:rPr>
        <w:t>DÉFINITIF</w:t>
      </w:r>
    </w:p>
    <w:p w:rsidR="00DD3717" w:rsidP="00DD3717" w:rsidRDefault="00DD3717">
      <w:pPr>
        <w:pStyle w:val="jupara"/>
        <w:tabs>
          <w:tab w:val="left" w:pos="3450"/>
        </w:tabs>
        <w:ind w:firstLine="0"/>
        <w:jc w:val="center"/>
        <w:rPr>
          <w:color w:val="FF0000"/>
          <w:sz w:val="28"/>
          <w:szCs w:val="28"/>
          <w:lang w:val="fr-FR"/>
        </w:rPr>
      </w:pPr>
    </w:p>
    <w:p w:rsidR="00DD3717" w:rsidP="00DD3717" w:rsidRDefault="00DD3717">
      <w:pPr>
        <w:pStyle w:val="jupara"/>
        <w:ind w:firstLine="0"/>
        <w:jc w:val="center"/>
        <w:rPr>
          <w:color w:val="FF0000"/>
          <w:sz w:val="28"/>
          <w:szCs w:val="28"/>
          <w:lang w:val="fr-FR"/>
        </w:rPr>
      </w:pPr>
      <w:r>
        <w:rPr>
          <w:color w:val="FF0000"/>
          <w:sz w:val="28"/>
          <w:szCs w:val="28"/>
          <w:lang w:val="fr-FR"/>
        </w:rPr>
        <w:t>02/08/2019</w:t>
      </w:r>
    </w:p>
    <w:p w:rsidR="00DD3717" w:rsidP="00DD3717" w:rsidRDefault="00DD3717">
      <w:pPr>
        <w:pStyle w:val="jupara"/>
        <w:ind w:firstLine="0"/>
        <w:jc w:val="center"/>
        <w:rPr>
          <w:u w:val="single"/>
          <w:lang w:val="fr-FR"/>
        </w:rPr>
      </w:pPr>
    </w:p>
    <w:p w:rsidRPr="00E540DD" w:rsidR="002D2C99" w:rsidP="00DD3717" w:rsidRDefault="00DD3717">
      <w:pPr>
        <w:jc w:val="left"/>
        <w:rPr>
          <w:i/>
          <w:lang w:val="fr-FR"/>
        </w:rPr>
      </w:pPr>
      <w:r>
        <w:rPr>
          <w:i/>
          <w:iCs/>
          <w:sz w:val="22"/>
          <w:lang w:val="fr-FR"/>
        </w:rPr>
        <w:t>Cet arrêt est devenu définitif en vertu de l’article 44 § 2 de la Convention. Il peut subir des retouches de forme.</w:t>
      </w:r>
    </w:p>
    <w:p w:rsidRPr="00E540DD" w:rsidR="002D2C99" w:rsidP="00E540DD" w:rsidRDefault="002D2C99">
      <w:pPr>
        <w:rPr>
          <w:lang w:val="fr-FR"/>
        </w:rPr>
        <w:sectPr w:rsidRPr="00E540DD" w:rsidR="002D2C99"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E540DD" w:rsidR="002D2C99" w:rsidP="00E540DD" w:rsidRDefault="002D2C99">
      <w:pPr>
        <w:pStyle w:val="JuCase"/>
        <w:rPr>
          <w:lang w:val="fr-FR"/>
        </w:rPr>
      </w:pPr>
      <w:r w:rsidRPr="00E540DD">
        <w:rPr>
          <w:lang w:val="fr-FR"/>
        </w:rPr>
        <w:t>En l</w:t>
      </w:r>
      <w:r w:rsidRPr="00E540DD" w:rsidR="00E540DD">
        <w:rPr>
          <w:lang w:val="fr-FR"/>
        </w:rPr>
        <w:t>’</w:t>
      </w:r>
      <w:r w:rsidRPr="00E540DD">
        <w:rPr>
          <w:lang w:val="fr-FR"/>
        </w:rPr>
        <w:t xml:space="preserve">affaire </w:t>
      </w:r>
      <w:proofErr w:type="spellStart"/>
      <w:r w:rsidRPr="00E540DD" w:rsidR="009623D7">
        <w:rPr>
          <w:lang w:val="fr-FR"/>
        </w:rPr>
        <w:t>Vetsev</w:t>
      </w:r>
      <w:proofErr w:type="spellEnd"/>
      <w:r w:rsidRPr="00E540DD" w:rsidR="009623D7">
        <w:rPr>
          <w:lang w:val="fr-FR"/>
        </w:rPr>
        <w:t xml:space="preserve"> c. Bulgarie</w:t>
      </w:r>
      <w:r w:rsidRPr="00E540DD">
        <w:rPr>
          <w:lang w:val="fr-FR"/>
        </w:rPr>
        <w:t>,</w:t>
      </w:r>
      <w:bookmarkStart w:name="_GoBack" w:id="0"/>
      <w:bookmarkEnd w:id="0"/>
    </w:p>
    <w:p w:rsidRPr="00E540DD" w:rsidR="00777C71" w:rsidP="00E540DD" w:rsidRDefault="00777C71">
      <w:pPr>
        <w:pStyle w:val="ECHRPara"/>
        <w:rPr>
          <w:lang w:val="fr-FR"/>
        </w:rPr>
      </w:pPr>
      <w:r w:rsidRPr="00E540DD">
        <w:rPr>
          <w:lang w:val="fr-FR"/>
        </w:rPr>
        <w:t>La Cour européenne des droits de l</w:t>
      </w:r>
      <w:r w:rsidRPr="00E540DD" w:rsidR="00E540DD">
        <w:rPr>
          <w:lang w:val="fr-FR"/>
        </w:rPr>
        <w:t>’</w:t>
      </w:r>
      <w:r w:rsidRPr="00E540DD">
        <w:rPr>
          <w:lang w:val="fr-FR"/>
        </w:rPr>
        <w:t>homme (</w:t>
      </w:r>
      <w:r w:rsidRPr="00E540DD" w:rsidR="009623D7">
        <w:rPr>
          <w:lang w:val="fr-FR"/>
        </w:rPr>
        <w:t>cinquième section</w:t>
      </w:r>
      <w:r w:rsidRPr="00E540DD">
        <w:rPr>
          <w:lang w:val="fr-FR"/>
        </w:rPr>
        <w:t xml:space="preserve">), siégeant en </w:t>
      </w:r>
      <w:r w:rsidRPr="00E540DD" w:rsidR="009623D7">
        <w:rPr>
          <w:color w:val="000000"/>
          <w:lang w:val="fr-FR"/>
        </w:rPr>
        <w:t>une</w:t>
      </w:r>
      <w:r w:rsidRPr="00E540DD" w:rsidR="009623D7">
        <w:rPr>
          <w:lang w:val="fr-FR"/>
        </w:rPr>
        <w:t xml:space="preserve"> Chambre composée</w:t>
      </w:r>
      <w:r w:rsidRPr="00E540DD">
        <w:rPr>
          <w:lang w:val="fr-FR"/>
        </w:rPr>
        <w:t xml:space="preserve"> de :</w:t>
      </w:r>
    </w:p>
    <w:p w:rsidRPr="00E540DD" w:rsidR="00777C71" w:rsidP="00E540DD" w:rsidRDefault="006262B7">
      <w:pPr>
        <w:pStyle w:val="ECHRDecisionBody"/>
        <w:rPr>
          <w:lang w:val="fr-FR"/>
        </w:rPr>
      </w:pPr>
      <w:r w:rsidRPr="00E540DD">
        <w:rPr>
          <w:lang w:val="fr-FR"/>
        </w:rPr>
        <w:tab/>
      </w:r>
      <w:proofErr w:type="spellStart"/>
      <w:r w:rsidRPr="00E540DD">
        <w:rPr>
          <w:lang w:val="fr-FR"/>
        </w:rPr>
        <w:t>Angelika</w:t>
      </w:r>
      <w:proofErr w:type="spellEnd"/>
      <w:r w:rsidRPr="00E540DD">
        <w:rPr>
          <w:lang w:val="fr-FR"/>
        </w:rPr>
        <w:t xml:space="preserve"> </w:t>
      </w:r>
      <w:proofErr w:type="spellStart"/>
      <w:r w:rsidRPr="00E540DD">
        <w:rPr>
          <w:lang w:val="fr-FR"/>
        </w:rPr>
        <w:t>Nußberger</w:t>
      </w:r>
      <w:proofErr w:type="spellEnd"/>
      <w:r w:rsidRPr="00E540DD">
        <w:rPr>
          <w:lang w:val="fr-FR"/>
        </w:rPr>
        <w:t>,</w:t>
      </w:r>
      <w:r w:rsidRPr="00E540DD">
        <w:rPr>
          <w:i/>
          <w:lang w:val="fr-FR"/>
        </w:rPr>
        <w:t xml:space="preserve"> présidente,</w:t>
      </w:r>
      <w:r w:rsidRPr="00E540DD">
        <w:rPr>
          <w:i/>
          <w:lang w:val="fr-FR"/>
        </w:rPr>
        <w:br/>
      </w:r>
      <w:r w:rsidRPr="00E540DD">
        <w:rPr>
          <w:lang w:val="fr-FR"/>
        </w:rPr>
        <w:tab/>
        <w:t>Yonko Grozev,</w:t>
      </w:r>
      <w:r w:rsidRPr="00E540DD">
        <w:rPr>
          <w:i/>
          <w:lang w:val="fr-FR"/>
        </w:rPr>
        <w:br/>
      </w:r>
      <w:r w:rsidRPr="00E540DD">
        <w:rPr>
          <w:lang w:val="fr-FR"/>
        </w:rPr>
        <w:tab/>
        <w:t xml:space="preserve">Ganna </w:t>
      </w:r>
      <w:proofErr w:type="spellStart"/>
      <w:r w:rsidRPr="00E540DD">
        <w:rPr>
          <w:lang w:val="fr-FR"/>
        </w:rPr>
        <w:t>Yudkivska</w:t>
      </w:r>
      <w:proofErr w:type="spellEnd"/>
      <w:r w:rsidRPr="00E540DD">
        <w:rPr>
          <w:lang w:val="fr-FR"/>
        </w:rPr>
        <w:t>,</w:t>
      </w:r>
      <w:r w:rsidRPr="00E540DD">
        <w:rPr>
          <w:i/>
          <w:lang w:val="fr-FR"/>
        </w:rPr>
        <w:br/>
      </w:r>
      <w:r w:rsidRPr="00E540DD">
        <w:rPr>
          <w:lang w:val="fr-FR"/>
        </w:rPr>
        <w:tab/>
      </w:r>
      <w:proofErr w:type="spellStart"/>
      <w:r w:rsidRPr="00E540DD">
        <w:rPr>
          <w:lang w:val="fr-FR"/>
        </w:rPr>
        <w:t>Síofra</w:t>
      </w:r>
      <w:proofErr w:type="spellEnd"/>
      <w:r w:rsidRPr="00E540DD">
        <w:rPr>
          <w:lang w:val="fr-FR"/>
        </w:rPr>
        <w:t xml:space="preserve"> O</w:t>
      </w:r>
      <w:r w:rsidRPr="00E540DD" w:rsidR="00E540DD">
        <w:rPr>
          <w:lang w:val="fr-FR"/>
        </w:rPr>
        <w:t>’</w:t>
      </w:r>
      <w:r w:rsidRPr="00E540DD">
        <w:rPr>
          <w:lang w:val="fr-FR"/>
        </w:rPr>
        <w:t>Leary,</w:t>
      </w:r>
      <w:r w:rsidRPr="00E540DD">
        <w:rPr>
          <w:i/>
          <w:lang w:val="fr-FR"/>
        </w:rPr>
        <w:br/>
      </w:r>
      <w:r w:rsidRPr="00E540DD">
        <w:rPr>
          <w:lang w:val="fr-FR"/>
        </w:rPr>
        <w:tab/>
      </w:r>
      <w:proofErr w:type="spellStart"/>
      <w:r w:rsidRPr="00E540DD">
        <w:rPr>
          <w:lang w:val="fr-FR"/>
        </w:rPr>
        <w:t>Mārtiņš</w:t>
      </w:r>
      <w:proofErr w:type="spellEnd"/>
      <w:r w:rsidRPr="00E540DD">
        <w:rPr>
          <w:lang w:val="fr-FR"/>
        </w:rPr>
        <w:t xml:space="preserve"> Mits,</w:t>
      </w:r>
      <w:r w:rsidRPr="00E540DD">
        <w:rPr>
          <w:i/>
          <w:lang w:val="fr-FR"/>
        </w:rPr>
        <w:br/>
      </w:r>
      <w:r w:rsidRPr="00E540DD">
        <w:rPr>
          <w:lang w:val="fr-FR"/>
        </w:rPr>
        <w:tab/>
      </w:r>
      <w:proofErr w:type="spellStart"/>
      <w:r w:rsidRPr="00E540DD">
        <w:rPr>
          <w:lang w:val="fr-FR"/>
        </w:rPr>
        <w:t>Lәtif</w:t>
      </w:r>
      <w:proofErr w:type="spellEnd"/>
      <w:r w:rsidRPr="00E540DD">
        <w:rPr>
          <w:lang w:val="fr-FR"/>
        </w:rPr>
        <w:t xml:space="preserve"> </w:t>
      </w:r>
      <w:proofErr w:type="spellStart"/>
      <w:r w:rsidRPr="00E540DD">
        <w:rPr>
          <w:lang w:val="fr-FR"/>
        </w:rPr>
        <w:t>Hüseynov</w:t>
      </w:r>
      <w:proofErr w:type="spellEnd"/>
      <w:r w:rsidRPr="00E540DD">
        <w:rPr>
          <w:lang w:val="fr-FR"/>
        </w:rPr>
        <w:t>,</w:t>
      </w:r>
      <w:r w:rsidRPr="00E540DD">
        <w:rPr>
          <w:i/>
          <w:lang w:val="fr-FR"/>
        </w:rPr>
        <w:br/>
      </w:r>
      <w:r w:rsidRPr="00E540DD">
        <w:rPr>
          <w:lang w:val="fr-FR"/>
        </w:rPr>
        <w:tab/>
      </w:r>
      <w:proofErr w:type="spellStart"/>
      <w:r w:rsidRPr="00E540DD">
        <w:rPr>
          <w:lang w:val="fr-FR"/>
        </w:rPr>
        <w:t>Lado</w:t>
      </w:r>
      <w:proofErr w:type="spellEnd"/>
      <w:r w:rsidRPr="00E540DD">
        <w:rPr>
          <w:lang w:val="fr-FR"/>
        </w:rPr>
        <w:t xml:space="preserve"> </w:t>
      </w:r>
      <w:proofErr w:type="spellStart"/>
      <w:r w:rsidRPr="00E540DD">
        <w:rPr>
          <w:lang w:val="fr-FR"/>
        </w:rPr>
        <w:t>Chanturia</w:t>
      </w:r>
      <w:proofErr w:type="spellEnd"/>
      <w:r w:rsidRPr="00E540DD">
        <w:rPr>
          <w:lang w:val="fr-FR"/>
        </w:rPr>
        <w:t>,</w:t>
      </w:r>
      <w:r w:rsidRPr="00E540DD">
        <w:rPr>
          <w:i/>
          <w:lang w:val="fr-FR"/>
        </w:rPr>
        <w:t xml:space="preserve"> juges</w:t>
      </w:r>
      <w:proofErr w:type="gramStart"/>
      <w:r w:rsidRPr="00E540DD">
        <w:rPr>
          <w:i/>
          <w:lang w:val="fr-FR"/>
        </w:rPr>
        <w:t>,</w:t>
      </w:r>
      <w:proofErr w:type="gramEnd"/>
      <w:r w:rsidRPr="00E540DD">
        <w:rPr>
          <w:i/>
          <w:lang w:val="fr-FR"/>
        </w:rPr>
        <w:br/>
      </w:r>
      <w:r w:rsidRPr="00E540DD" w:rsidR="00777C71">
        <w:rPr>
          <w:lang w:val="fr-FR"/>
        </w:rPr>
        <w:t xml:space="preserve">et de </w:t>
      </w:r>
      <w:r w:rsidRPr="00E540DD" w:rsidR="009623D7">
        <w:rPr>
          <w:lang w:val="fr-FR"/>
        </w:rPr>
        <w:t>Claudia Westerdiek</w:t>
      </w:r>
      <w:r w:rsidRPr="00E540DD" w:rsidR="00777C71">
        <w:rPr>
          <w:lang w:val="fr-FR"/>
        </w:rPr>
        <w:t xml:space="preserve">, </w:t>
      </w:r>
      <w:r w:rsidRPr="00E540DD" w:rsidR="009623D7">
        <w:rPr>
          <w:i/>
          <w:lang w:val="fr-FR"/>
        </w:rPr>
        <w:t>greffière</w:t>
      </w:r>
      <w:r w:rsidRPr="00E540DD" w:rsidR="009623D7">
        <w:rPr>
          <w:iCs/>
          <w:lang w:val="fr-FR"/>
        </w:rPr>
        <w:t xml:space="preserve"> </w:t>
      </w:r>
      <w:r w:rsidRPr="00E540DD" w:rsidR="009623D7">
        <w:rPr>
          <w:i/>
          <w:iCs/>
          <w:lang w:val="fr-FR"/>
        </w:rPr>
        <w:t>d</w:t>
      </w:r>
      <w:r w:rsidRPr="00E540DD" w:rsidR="009623D7">
        <w:rPr>
          <w:i/>
          <w:lang w:val="fr-FR"/>
        </w:rPr>
        <w:t>e section</w:t>
      </w:r>
      <w:r w:rsidRPr="00E540DD" w:rsidR="00777C71">
        <w:rPr>
          <w:lang w:val="fr-FR"/>
        </w:rPr>
        <w:t>,</w:t>
      </w:r>
    </w:p>
    <w:p w:rsidRPr="00E540DD" w:rsidR="00777C71" w:rsidP="00E540DD" w:rsidRDefault="00777C71">
      <w:pPr>
        <w:pStyle w:val="ECHRPara"/>
        <w:rPr>
          <w:lang w:val="fr-FR"/>
        </w:rPr>
      </w:pPr>
      <w:r w:rsidRPr="00E540DD">
        <w:rPr>
          <w:lang w:val="fr-FR"/>
        </w:rPr>
        <w:t xml:space="preserve">Après en avoir délibéré en chambre du conseil le </w:t>
      </w:r>
      <w:r w:rsidRPr="00E540DD" w:rsidR="009623D7">
        <w:rPr>
          <w:szCs w:val="24"/>
          <w:lang w:val="fr-FR"/>
        </w:rPr>
        <w:t>26 mars 2019</w:t>
      </w:r>
      <w:r w:rsidRPr="00E540DD">
        <w:rPr>
          <w:lang w:val="fr-FR"/>
        </w:rPr>
        <w:t>,</w:t>
      </w:r>
    </w:p>
    <w:p w:rsidRPr="00E540DD" w:rsidR="00777C71" w:rsidP="00E540DD" w:rsidRDefault="00777C71">
      <w:pPr>
        <w:pStyle w:val="ECHRPara"/>
        <w:rPr>
          <w:lang w:val="fr-FR"/>
        </w:rPr>
      </w:pPr>
      <w:r w:rsidRPr="00E540DD">
        <w:rPr>
          <w:lang w:val="fr-FR"/>
        </w:rPr>
        <w:t>Rend l</w:t>
      </w:r>
      <w:r w:rsidRPr="00E540DD" w:rsidR="00E540DD">
        <w:rPr>
          <w:lang w:val="fr-FR"/>
        </w:rPr>
        <w:t>’</w:t>
      </w:r>
      <w:r w:rsidRPr="00E540DD">
        <w:rPr>
          <w:lang w:val="fr-FR"/>
        </w:rPr>
        <w:t>arrêt que voici, adopté à cette date :</w:t>
      </w:r>
    </w:p>
    <w:p w:rsidRPr="00E540DD" w:rsidR="009623D7" w:rsidP="00E540DD" w:rsidRDefault="009623D7">
      <w:pPr>
        <w:pStyle w:val="ECHRTitle1"/>
        <w:rPr>
          <w:lang w:val="fr-FR"/>
        </w:rPr>
      </w:pPr>
      <w:r w:rsidRPr="00E540DD">
        <w:rPr>
          <w:lang w:val="fr-FR"/>
        </w:rPr>
        <w:t>PROCÉDURE</w:t>
      </w:r>
    </w:p>
    <w:p w:rsidRPr="00E540DD" w:rsidR="009623D7" w:rsidP="00E540DD" w:rsidRDefault="009623D7">
      <w:pPr>
        <w:pStyle w:val="ECHRPara"/>
        <w:rPr>
          <w:lang w:val="fr-FR"/>
        </w:rPr>
      </w:pPr>
      <w:r w:rsidRPr="00E540DD">
        <w:rPr>
          <w:lang w:val="fr-FR"/>
        </w:rPr>
        <w:t>1.  À l</w:t>
      </w:r>
      <w:r w:rsidRPr="00E540DD" w:rsidR="00E540DD">
        <w:rPr>
          <w:lang w:val="fr-FR"/>
        </w:rPr>
        <w:t>’</w:t>
      </w:r>
      <w:r w:rsidRPr="00E540DD">
        <w:rPr>
          <w:lang w:val="fr-FR"/>
        </w:rPr>
        <w:t>origine de l</w:t>
      </w:r>
      <w:r w:rsidRPr="00E540DD" w:rsidR="00E540DD">
        <w:rPr>
          <w:lang w:val="fr-FR"/>
        </w:rPr>
        <w:t>’</w:t>
      </w:r>
      <w:r w:rsidRPr="00E540DD">
        <w:rPr>
          <w:lang w:val="fr-FR"/>
        </w:rPr>
        <w:t>affaire se trouve une requête (n</w:t>
      </w:r>
      <w:r w:rsidRPr="00E540DD">
        <w:rPr>
          <w:vertAlign w:val="superscript"/>
          <w:lang w:val="fr-FR"/>
        </w:rPr>
        <w:t>o</w:t>
      </w:r>
      <w:r w:rsidRPr="00E540DD">
        <w:rPr>
          <w:lang w:val="fr-FR"/>
        </w:rPr>
        <w:t xml:space="preserve"> 54558/15) dirigée contre la République de Bulgarie et dont un ressortissant de cet État, M. </w:t>
      </w:r>
      <w:proofErr w:type="spellStart"/>
      <w:r w:rsidRPr="00E540DD">
        <w:rPr>
          <w:lang w:val="fr-FR"/>
        </w:rPr>
        <w:t>Valter</w:t>
      </w:r>
      <w:proofErr w:type="spellEnd"/>
      <w:r w:rsidRPr="00E540DD">
        <w:rPr>
          <w:lang w:val="fr-FR"/>
        </w:rPr>
        <w:t xml:space="preserve"> </w:t>
      </w:r>
      <w:proofErr w:type="spellStart"/>
      <w:r w:rsidRPr="00E540DD">
        <w:rPr>
          <w:lang w:val="fr-FR"/>
        </w:rPr>
        <w:t>Stratsimirov</w:t>
      </w:r>
      <w:proofErr w:type="spellEnd"/>
      <w:r w:rsidRPr="00E540DD">
        <w:rPr>
          <w:lang w:val="fr-FR"/>
        </w:rPr>
        <w:t xml:space="preserve"> </w:t>
      </w:r>
      <w:proofErr w:type="spellStart"/>
      <w:r w:rsidRPr="00E540DD">
        <w:rPr>
          <w:lang w:val="fr-FR"/>
        </w:rPr>
        <w:t>Vetsev</w:t>
      </w:r>
      <w:proofErr w:type="spellEnd"/>
      <w:r w:rsidRPr="00E540DD">
        <w:rPr>
          <w:lang w:val="fr-FR"/>
        </w:rPr>
        <w:t xml:space="preserve"> (« le requérant »), a saisi la Cour le 28 octobre 2015 en vertu de l</w:t>
      </w:r>
      <w:r w:rsidRPr="00E540DD" w:rsidR="00E540DD">
        <w:rPr>
          <w:lang w:val="fr-FR"/>
        </w:rPr>
        <w:t>’</w:t>
      </w:r>
      <w:r w:rsidRPr="00E540DD">
        <w:rPr>
          <w:lang w:val="fr-FR"/>
        </w:rPr>
        <w:t>article 34 de la Convention de sauvegarde des droits de l</w:t>
      </w:r>
      <w:r w:rsidRPr="00E540DD" w:rsidR="00E540DD">
        <w:rPr>
          <w:lang w:val="fr-FR"/>
        </w:rPr>
        <w:t>’</w:t>
      </w:r>
      <w:r w:rsidRPr="00E540DD">
        <w:rPr>
          <w:lang w:val="fr-FR"/>
        </w:rPr>
        <w:t>homme et des libertés fondamentales (« la Convention »).</w:t>
      </w:r>
    </w:p>
    <w:p w:rsidRPr="00E540DD" w:rsidR="009623D7" w:rsidP="00E540DD" w:rsidRDefault="009623D7">
      <w:pPr>
        <w:pStyle w:val="ECHRPara"/>
        <w:rPr>
          <w:lang w:val="fr-FR"/>
        </w:rPr>
      </w:pPr>
      <w:r w:rsidRPr="00E540DD">
        <w:rPr>
          <w:lang w:val="fr-FR"/>
        </w:rPr>
        <w:t>2.  Le requérant a été représenté par M</w:t>
      </w:r>
      <w:r w:rsidRPr="00E540DD">
        <w:rPr>
          <w:vertAlign w:val="superscript"/>
          <w:lang w:val="fr-FR"/>
        </w:rPr>
        <w:t>e</w:t>
      </w:r>
      <w:r w:rsidRPr="00E540DD">
        <w:rPr>
          <w:lang w:val="fr-FR"/>
        </w:rPr>
        <w:t xml:space="preserve"> M. </w:t>
      </w:r>
      <w:proofErr w:type="spellStart"/>
      <w:r w:rsidRPr="00E540DD">
        <w:rPr>
          <w:lang w:val="fr-FR"/>
        </w:rPr>
        <w:t>Ivanova</w:t>
      </w:r>
      <w:proofErr w:type="spellEnd"/>
      <w:r w:rsidRPr="00E540DD">
        <w:rPr>
          <w:lang w:val="fr-FR"/>
        </w:rPr>
        <w:t xml:space="preserve">, avocate à </w:t>
      </w:r>
      <w:proofErr w:type="spellStart"/>
      <w:r w:rsidRPr="00E540DD">
        <w:rPr>
          <w:lang w:val="fr-FR"/>
        </w:rPr>
        <w:t>Pazardzhik</w:t>
      </w:r>
      <w:proofErr w:type="spellEnd"/>
      <w:r w:rsidRPr="00E540DD">
        <w:rPr>
          <w:lang w:val="fr-FR"/>
        </w:rPr>
        <w:t>. Le gouvernement bulgare (« le Gouvernement ») a été représenté par son agente, M</w:t>
      </w:r>
      <w:r w:rsidRPr="00E540DD">
        <w:rPr>
          <w:vertAlign w:val="superscript"/>
          <w:lang w:val="fr-FR"/>
        </w:rPr>
        <w:t xml:space="preserve">me </w:t>
      </w:r>
      <w:r w:rsidRPr="00E540DD">
        <w:rPr>
          <w:lang w:val="fr-FR"/>
        </w:rPr>
        <w:t xml:space="preserve">A. </w:t>
      </w:r>
      <w:proofErr w:type="spellStart"/>
      <w:r w:rsidRPr="00E540DD">
        <w:rPr>
          <w:lang w:val="fr-FR"/>
        </w:rPr>
        <w:t>Panova</w:t>
      </w:r>
      <w:proofErr w:type="spellEnd"/>
      <w:r w:rsidRPr="00E540DD">
        <w:rPr>
          <w:lang w:val="fr-FR"/>
        </w:rPr>
        <w:t>, du ministère de la Justice.</w:t>
      </w:r>
    </w:p>
    <w:p w:rsidRPr="00E540DD" w:rsidR="009623D7" w:rsidP="00E540DD" w:rsidRDefault="009623D7">
      <w:pPr>
        <w:pStyle w:val="ECHRPara"/>
        <w:rPr>
          <w:lang w:val="fr-FR"/>
        </w:rPr>
      </w:pPr>
      <w:r w:rsidRPr="00E540DD">
        <w:rPr>
          <w:lang w:val="fr-FR"/>
        </w:rPr>
        <w:t>3.  Le requérant alléguait que le refus des autorités compétentes de l</w:t>
      </w:r>
      <w:r w:rsidRPr="00E540DD" w:rsidR="00E540DD">
        <w:rPr>
          <w:lang w:val="fr-FR"/>
        </w:rPr>
        <w:t>’</w:t>
      </w:r>
      <w:r w:rsidRPr="00E540DD">
        <w:rPr>
          <w:lang w:val="fr-FR"/>
        </w:rPr>
        <w:t>autoriser à se rendre aux obsèques de son frère, alors qu</w:t>
      </w:r>
      <w:r w:rsidRPr="00E540DD" w:rsidR="00E540DD">
        <w:rPr>
          <w:lang w:val="fr-FR"/>
        </w:rPr>
        <w:t>’</w:t>
      </w:r>
      <w:r w:rsidRPr="00E540DD">
        <w:rPr>
          <w:lang w:val="fr-FR"/>
        </w:rPr>
        <w:t>il était en détention provisoire, avait constitué une violation de son droit au respect de sa vie privée et familiale.</w:t>
      </w:r>
    </w:p>
    <w:p w:rsidRPr="00E540DD" w:rsidR="009623D7" w:rsidP="00E540DD" w:rsidRDefault="009623D7">
      <w:pPr>
        <w:pStyle w:val="ECHRPara"/>
        <w:rPr>
          <w:szCs w:val="24"/>
          <w:lang w:val="fr-FR" w:eastAsia="en-GB"/>
        </w:rPr>
      </w:pPr>
      <w:r w:rsidRPr="00E540DD">
        <w:rPr>
          <w:lang w:val="fr-FR"/>
        </w:rPr>
        <w:t xml:space="preserve">4.  Le </w:t>
      </w:r>
      <w:r w:rsidRPr="00E540DD">
        <w:rPr>
          <w:szCs w:val="24"/>
          <w:lang w:val="fr-FR"/>
        </w:rPr>
        <w:t>9 mars 2016</w:t>
      </w:r>
      <w:r w:rsidRPr="00E540DD">
        <w:rPr>
          <w:lang w:val="fr-FR"/>
        </w:rPr>
        <w:t>, la requête a été communiquée au Gouvernement.</w:t>
      </w:r>
    </w:p>
    <w:p w:rsidRPr="00E540DD" w:rsidR="009623D7" w:rsidP="00E540DD" w:rsidRDefault="009623D7">
      <w:pPr>
        <w:pStyle w:val="ECHRTitle1"/>
        <w:tabs>
          <w:tab w:val="left" w:pos="5387"/>
        </w:tabs>
        <w:rPr>
          <w:lang w:val="fr-FR"/>
        </w:rPr>
      </w:pPr>
      <w:r w:rsidRPr="00E540DD">
        <w:rPr>
          <w:lang w:val="fr-FR"/>
        </w:rPr>
        <w:t>EN FAIT</w:t>
      </w:r>
    </w:p>
    <w:p w:rsidRPr="00E540DD" w:rsidR="009623D7" w:rsidP="00E540DD" w:rsidRDefault="009623D7">
      <w:pPr>
        <w:pStyle w:val="ECHRHeading1"/>
        <w:rPr>
          <w:lang w:val="fr-FR"/>
        </w:rPr>
      </w:pPr>
      <w:r w:rsidRPr="00E540DD">
        <w:rPr>
          <w:lang w:val="fr-FR"/>
        </w:rPr>
        <w:t>I.  LES CIRCONSTANCES DE L</w:t>
      </w:r>
      <w:r w:rsidRPr="00E540DD" w:rsidR="00E540DD">
        <w:rPr>
          <w:lang w:val="fr-FR"/>
        </w:rPr>
        <w:t>’</w:t>
      </w:r>
      <w:r w:rsidRPr="00E540DD">
        <w:rPr>
          <w:lang w:val="fr-FR"/>
        </w:rPr>
        <w:t>ESPÈCE</w:t>
      </w:r>
    </w:p>
    <w:p w:rsidRPr="00E540DD" w:rsidR="009623D7" w:rsidP="00E540DD" w:rsidRDefault="009623D7">
      <w:pPr>
        <w:pStyle w:val="ECHRPara"/>
        <w:rPr>
          <w:lang w:val="fr-FR"/>
        </w:rPr>
      </w:pPr>
      <w:r w:rsidRPr="00E540DD">
        <w:rPr>
          <w:lang w:val="fr-FR"/>
        </w:rPr>
        <w:t>5.  Le requérant est né en 1973 et réside à Sofia.</w:t>
      </w:r>
    </w:p>
    <w:p w:rsidRPr="00E540DD" w:rsidR="009623D7" w:rsidP="00E540DD" w:rsidRDefault="009623D7">
      <w:pPr>
        <w:pStyle w:val="ECHRPara"/>
        <w:rPr>
          <w:lang w:val="fr-FR"/>
        </w:rPr>
      </w:pPr>
      <w:r w:rsidRPr="00E540DD">
        <w:rPr>
          <w:lang w:val="fr-FR"/>
        </w:rPr>
        <w:t xml:space="preserve">6.  Le 6 février 2015, il fut arrêté et placé en détention provisoire à </w:t>
      </w:r>
      <w:proofErr w:type="spellStart"/>
      <w:r w:rsidRPr="00E540DD">
        <w:rPr>
          <w:lang w:val="fr-FR"/>
        </w:rPr>
        <w:t>Pazardzhik</w:t>
      </w:r>
      <w:proofErr w:type="spellEnd"/>
      <w:r w:rsidRPr="00E540DD">
        <w:rPr>
          <w:lang w:val="fr-FR"/>
        </w:rPr>
        <w:t>, une ville située à environ 120 km de Sofia, pour des faits de vol en réunion avec effraction commis dans cette ville. Le 14 août 2015, le procureur clôtura l</w:t>
      </w:r>
      <w:r w:rsidRPr="00E540DD" w:rsidR="00E540DD">
        <w:rPr>
          <w:lang w:val="fr-FR"/>
        </w:rPr>
        <w:t>’</w:t>
      </w:r>
      <w:r w:rsidRPr="00E540DD">
        <w:rPr>
          <w:lang w:val="fr-FR"/>
        </w:rPr>
        <w:t xml:space="preserve">enquête et ordonna le renvoi du requérant et de ses complices en jugement devant le tribunal de district de </w:t>
      </w:r>
      <w:proofErr w:type="spellStart"/>
      <w:r w:rsidRPr="00E540DD">
        <w:rPr>
          <w:lang w:val="fr-FR"/>
        </w:rPr>
        <w:t>Pazardzhik</w:t>
      </w:r>
      <w:proofErr w:type="spellEnd"/>
      <w:r w:rsidRPr="00E540DD" w:rsidR="0074041B">
        <w:rPr>
          <w:lang w:val="fr-FR"/>
        </w:rPr>
        <w:t xml:space="preserve"> (« le </w:t>
      </w:r>
      <w:r w:rsidRPr="00E540DD">
        <w:rPr>
          <w:lang w:val="fr-FR"/>
        </w:rPr>
        <w:t>tribunal »).</w:t>
      </w:r>
    </w:p>
    <w:p w:rsidRPr="00E540DD" w:rsidR="009623D7" w:rsidP="00E540DD" w:rsidRDefault="009623D7">
      <w:pPr>
        <w:pStyle w:val="ECHRPara"/>
        <w:rPr>
          <w:lang w:val="fr-FR"/>
        </w:rPr>
      </w:pPr>
      <w:r w:rsidRPr="00E540DD">
        <w:rPr>
          <w:lang w:val="fr-FR"/>
        </w:rPr>
        <w:t>7.  Le 18 septembre 2015, le requérant fut informé du décès de son frère, qui habitait en Allemagne. Il saisit immédiatement le tribunal pour demander l</w:t>
      </w:r>
      <w:r w:rsidRPr="00E540DD" w:rsidR="00E540DD">
        <w:rPr>
          <w:lang w:val="fr-FR"/>
        </w:rPr>
        <w:t>’</w:t>
      </w:r>
      <w:r w:rsidRPr="00E540DD">
        <w:rPr>
          <w:lang w:val="fr-FR"/>
        </w:rPr>
        <w:t>autorisation de se rendre aux obsèques, qui d</w:t>
      </w:r>
      <w:r w:rsidRPr="00E540DD" w:rsidR="003C6747">
        <w:rPr>
          <w:lang w:val="fr-FR"/>
        </w:rPr>
        <w:t xml:space="preserve">evaient avoir lieu le samedi 26 </w:t>
      </w:r>
      <w:r w:rsidRPr="00E540DD">
        <w:rPr>
          <w:lang w:val="fr-FR"/>
        </w:rPr>
        <w:t>septembre 2015 à Sofia.</w:t>
      </w:r>
    </w:p>
    <w:p w:rsidRPr="00E540DD" w:rsidR="009623D7" w:rsidP="00E540DD" w:rsidRDefault="009623D7">
      <w:pPr>
        <w:pStyle w:val="ECHRPara"/>
        <w:rPr>
          <w:lang w:val="fr-FR"/>
        </w:rPr>
      </w:pPr>
      <w:r w:rsidRPr="00E540DD">
        <w:rPr>
          <w:lang w:val="fr-FR"/>
        </w:rPr>
        <w:t>8.  Le tribunal tint une audience le 25 septembre 2015, à l</w:t>
      </w:r>
      <w:r w:rsidRPr="00E540DD" w:rsidR="00E540DD">
        <w:rPr>
          <w:lang w:val="fr-FR"/>
        </w:rPr>
        <w:t>’</w:t>
      </w:r>
      <w:r w:rsidRPr="00E540DD">
        <w:rPr>
          <w:lang w:val="fr-FR"/>
        </w:rPr>
        <w:t>issue de laquelle il autorisa le transfert sous escorte du requérant aux obsèques de son frère, le 26 septembre de 8 h 30 à 16 heures.</w:t>
      </w:r>
    </w:p>
    <w:p w:rsidRPr="00E540DD" w:rsidR="009623D7" w:rsidP="00E540DD" w:rsidRDefault="009623D7">
      <w:pPr>
        <w:pStyle w:val="ECHRPara"/>
        <w:rPr>
          <w:lang w:val="fr-FR"/>
        </w:rPr>
      </w:pPr>
      <w:r w:rsidRPr="00E540DD">
        <w:rPr>
          <w:lang w:val="fr-FR"/>
        </w:rPr>
        <w:t>9.  En réponse à l</w:t>
      </w:r>
      <w:r w:rsidRPr="00E540DD" w:rsidR="00E540DD">
        <w:rPr>
          <w:lang w:val="fr-FR"/>
        </w:rPr>
        <w:t>’</w:t>
      </w:r>
      <w:r w:rsidRPr="00E540DD">
        <w:rPr>
          <w:lang w:val="fr-FR"/>
        </w:rPr>
        <w:t>ordonnance du tribunal, le service régional de sécurité du ministère de la Justice (</w:t>
      </w:r>
      <w:r w:rsidRPr="00E540DD">
        <w:rPr>
          <w:i/>
          <w:lang w:val="bg-BG"/>
        </w:rPr>
        <w:t xml:space="preserve">областно звено </w:t>
      </w:r>
      <w:r w:rsidRPr="00E540DD">
        <w:rPr>
          <w:i/>
          <w:lang w:val="fr-FR"/>
        </w:rPr>
        <w:t>« </w:t>
      </w:r>
      <w:r w:rsidRPr="00E540DD">
        <w:rPr>
          <w:i/>
          <w:lang w:val="bg-BG"/>
        </w:rPr>
        <w:t>Охрана</w:t>
      </w:r>
      <w:r w:rsidRPr="00E540DD">
        <w:rPr>
          <w:i/>
          <w:lang w:val="fr-FR"/>
        </w:rPr>
        <w:t> »</w:t>
      </w:r>
      <w:r w:rsidRPr="00E540DD">
        <w:rPr>
          <w:lang w:val="fr-FR"/>
        </w:rPr>
        <w:t>) indiqua que, selon les textes réglementaires applicables, il ne pouvait assurer le transport sous escorte des personnes détenues que pour leur permettre de se rendre auprès des autorités judiciaires.</w:t>
      </w:r>
    </w:p>
    <w:p w:rsidRPr="00E540DD" w:rsidR="009623D7" w:rsidP="00E540DD" w:rsidRDefault="009623D7">
      <w:pPr>
        <w:pStyle w:val="ECHRPara"/>
        <w:rPr>
          <w:lang w:val="fr-FR"/>
        </w:rPr>
      </w:pPr>
      <w:r w:rsidRPr="00E540DD">
        <w:rPr>
          <w:lang w:val="fr-FR"/>
        </w:rPr>
        <w:t>10.  En conséquence, le tribunal annula son ordonnance et, constatant que le service régional de sécurité n</w:t>
      </w:r>
      <w:r w:rsidRPr="00E540DD" w:rsidR="00E540DD">
        <w:rPr>
          <w:lang w:val="fr-FR"/>
        </w:rPr>
        <w:t>’</w:t>
      </w:r>
      <w:r w:rsidRPr="00E540DD">
        <w:rPr>
          <w:lang w:val="fr-FR"/>
        </w:rPr>
        <w:t>était pas habilité à escorter le requérant jusqu</w:t>
      </w:r>
      <w:r w:rsidRPr="00E540DD" w:rsidR="00E540DD">
        <w:rPr>
          <w:lang w:val="fr-FR"/>
        </w:rPr>
        <w:t>’</w:t>
      </w:r>
      <w:r w:rsidRPr="00E540DD">
        <w:rPr>
          <w:lang w:val="fr-FR"/>
        </w:rPr>
        <w:t>à Sofia, rejeta la demande de ce dernier. Il ajouta que, pour la même raison, il n</w:t>
      </w:r>
      <w:r w:rsidRPr="00E540DD" w:rsidR="00E540DD">
        <w:rPr>
          <w:lang w:val="fr-FR"/>
        </w:rPr>
        <w:t>’</w:t>
      </w:r>
      <w:r w:rsidRPr="00E540DD">
        <w:rPr>
          <w:lang w:val="fr-FR"/>
        </w:rPr>
        <w:t>était pas justifié de mettre à la charge de ce service le coût financier d</w:t>
      </w:r>
      <w:r w:rsidRPr="00E540DD" w:rsidR="00E540DD">
        <w:rPr>
          <w:lang w:val="fr-FR"/>
        </w:rPr>
        <w:t>’</w:t>
      </w:r>
      <w:r w:rsidRPr="00E540DD">
        <w:rPr>
          <w:lang w:val="fr-FR"/>
        </w:rPr>
        <w:t>une telle opération, en particulier lors d</w:t>
      </w:r>
      <w:r w:rsidRPr="00E540DD" w:rsidR="00E540DD">
        <w:rPr>
          <w:lang w:val="fr-FR"/>
        </w:rPr>
        <w:t>’</w:t>
      </w:r>
      <w:r w:rsidRPr="00E540DD">
        <w:rPr>
          <w:lang w:val="fr-FR"/>
        </w:rPr>
        <w:t>un jour non ouvré qui aurait nécessité le paiement d</w:t>
      </w:r>
      <w:r w:rsidRPr="00E540DD" w:rsidR="00E540DD">
        <w:rPr>
          <w:lang w:val="fr-FR"/>
        </w:rPr>
        <w:t>’</w:t>
      </w:r>
      <w:r w:rsidRPr="00E540DD">
        <w:rPr>
          <w:lang w:val="fr-FR"/>
        </w:rPr>
        <w:t>heures supplémentaires.</w:t>
      </w:r>
    </w:p>
    <w:p w:rsidRPr="00E540DD" w:rsidR="009623D7" w:rsidP="00E540DD" w:rsidRDefault="009623D7">
      <w:pPr>
        <w:pStyle w:val="ECHRPara"/>
        <w:rPr>
          <w:lang w:val="fr-FR"/>
        </w:rPr>
      </w:pPr>
      <w:r w:rsidRPr="00E540DD">
        <w:rPr>
          <w:lang w:val="fr-FR"/>
        </w:rPr>
        <w:t>11.  Lors d</w:t>
      </w:r>
      <w:r w:rsidRPr="00E540DD" w:rsidR="00E540DD">
        <w:rPr>
          <w:lang w:val="fr-FR"/>
        </w:rPr>
        <w:t>’</w:t>
      </w:r>
      <w:r w:rsidRPr="00E540DD">
        <w:rPr>
          <w:lang w:val="fr-FR"/>
        </w:rPr>
        <w:t>une audience tenue le 28 octobre 2015, le tribunal homologua la transaction conclue entre le parquet et le requérant, qui se reconnaissait coupable des faits reprochés et acceptait une peine de 18 mois d</w:t>
      </w:r>
      <w:r w:rsidRPr="00E540DD" w:rsidR="00E540DD">
        <w:rPr>
          <w:lang w:val="fr-FR"/>
        </w:rPr>
        <w:t>’</w:t>
      </w:r>
      <w:r w:rsidRPr="00E540DD">
        <w:rPr>
          <w:lang w:val="fr-FR"/>
        </w:rPr>
        <w:t>emprisonnement.</w:t>
      </w:r>
    </w:p>
    <w:p w:rsidRPr="00E540DD" w:rsidR="009623D7" w:rsidP="00E540DD" w:rsidRDefault="009623D7">
      <w:pPr>
        <w:pStyle w:val="ECHRHeading1"/>
        <w:rPr>
          <w:lang w:val="fr-FR"/>
        </w:rPr>
      </w:pPr>
      <w:r w:rsidRPr="00E540DD">
        <w:rPr>
          <w:lang w:val="fr-FR"/>
        </w:rPr>
        <w:t>II.  LE DROIT INTERNE PERTINENT</w:t>
      </w:r>
    </w:p>
    <w:p w:rsidRPr="00E540DD" w:rsidR="009623D7" w:rsidP="00E540DD" w:rsidRDefault="009623D7">
      <w:pPr>
        <w:pStyle w:val="ECHRPara"/>
        <w:rPr>
          <w:lang w:val="fr-FR"/>
        </w:rPr>
      </w:pPr>
      <w:r w:rsidRPr="00E540DD">
        <w:rPr>
          <w:lang w:val="fr-FR"/>
        </w:rPr>
        <w:t>12.  La direction générale de la sécurité auprès du ministère de la Justice (</w:t>
      </w:r>
      <w:r w:rsidRPr="00E540DD">
        <w:rPr>
          <w:i/>
          <w:lang w:val="bg-BG"/>
        </w:rPr>
        <w:t xml:space="preserve">главна дирекция </w:t>
      </w:r>
      <w:r w:rsidRPr="00E540DD">
        <w:rPr>
          <w:i/>
          <w:lang w:val="fr-FR"/>
        </w:rPr>
        <w:t>« </w:t>
      </w:r>
      <w:r w:rsidRPr="00E540DD">
        <w:rPr>
          <w:i/>
          <w:lang w:val="bg-BG"/>
        </w:rPr>
        <w:t>Охрана</w:t>
      </w:r>
      <w:r w:rsidRPr="00E540DD">
        <w:rPr>
          <w:i/>
          <w:lang w:val="fr-FR"/>
        </w:rPr>
        <w:t> »</w:t>
      </w:r>
      <w:r w:rsidRPr="00E540DD">
        <w:rPr>
          <w:lang w:val="fr-FR"/>
        </w:rPr>
        <w:t>), est chargée d</w:t>
      </w:r>
      <w:r w:rsidRPr="00E540DD" w:rsidR="00E540DD">
        <w:rPr>
          <w:lang w:val="fr-FR"/>
        </w:rPr>
        <w:t>’</w:t>
      </w:r>
      <w:r w:rsidRPr="00E540DD">
        <w:rPr>
          <w:lang w:val="fr-FR"/>
        </w:rPr>
        <w:t>assurer la sécurité au sein du service de la justice. Elle est à ce titre responsable des déplacements sous escorte des personnes détenues en exécution d</w:t>
      </w:r>
      <w:r w:rsidRPr="00E540DD" w:rsidR="00E540DD">
        <w:rPr>
          <w:lang w:val="fr-FR"/>
        </w:rPr>
        <w:t>’</w:t>
      </w:r>
      <w:r w:rsidRPr="00E540DD">
        <w:rPr>
          <w:lang w:val="fr-FR"/>
        </w:rPr>
        <w:t>une peine ou à titre de mesure provisoire pour les amener auprès des autorités judiciaires (article 391 de la loi sur le pouvoir judiciaire et article 3, point (6), du règlement sur le fonctionnement de la direction générale de la sécurité (</w:t>
      </w:r>
      <w:r w:rsidRPr="00E540DD">
        <w:rPr>
          <w:i/>
          <w:lang w:val="bg-BG"/>
        </w:rPr>
        <w:t xml:space="preserve">правилник за устройството и дейността на главна дирекция </w:t>
      </w:r>
      <w:r w:rsidRPr="00E540DD">
        <w:rPr>
          <w:i/>
          <w:lang w:val="fr-FR"/>
        </w:rPr>
        <w:t>« </w:t>
      </w:r>
      <w:r w:rsidRPr="00E540DD">
        <w:rPr>
          <w:i/>
          <w:lang w:val="bg-BG"/>
        </w:rPr>
        <w:t>Охрана</w:t>
      </w:r>
      <w:r w:rsidRPr="00E540DD">
        <w:rPr>
          <w:i/>
          <w:lang w:val="fr-FR"/>
        </w:rPr>
        <w:t> »</w:t>
      </w:r>
      <w:r w:rsidRPr="00E540DD">
        <w:rPr>
          <w:lang w:val="fr-FR"/>
        </w:rPr>
        <w:t>)).</w:t>
      </w:r>
    </w:p>
    <w:p w:rsidRPr="00E540DD" w:rsidR="009623D7" w:rsidP="00E540DD" w:rsidRDefault="009623D7">
      <w:pPr>
        <w:pStyle w:val="ECHRPara"/>
        <w:rPr>
          <w:lang w:val="fr-FR"/>
        </w:rPr>
      </w:pPr>
      <w:r w:rsidRPr="00E540DD">
        <w:rPr>
          <w:lang w:val="fr-FR"/>
        </w:rPr>
        <w:t>13.  Les règles sur l</w:t>
      </w:r>
      <w:r w:rsidRPr="00E540DD" w:rsidR="00E540DD">
        <w:rPr>
          <w:lang w:val="fr-FR"/>
        </w:rPr>
        <w:t>’</w:t>
      </w:r>
      <w:r w:rsidRPr="00E540DD">
        <w:rPr>
          <w:lang w:val="fr-FR"/>
        </w:rPr>
        <w:t>escorte judiciaire par les fonctionnaires de la direction générale de la sécurité</w:t>
      </w:r>
      <w:r w:rsidRPr="00E540DD">
        <w:rPr>
          <w:lang w:val="bg-BG"/>
        </w:rPr>
        <w:t xml:space="preserve"> </w:t>
      </w:r>
      <w:r w:rsidRPr="00E540DD">
        <w:rPr>
          <w:lang w:val="fr-FR"/>
        </w:rPr>
        <w:t>(</w:t>
      </w:r>
      <w:r w:rsidRPr="00E540DD">
        <w:rPr>
          <w:i/>
          <w:lang w:val="bg-BG"/>
        </w:rPr>
        <w:t xml:space="preserve">правила за условията и реда за осъществяване на конвойната дейност от служителите на главна дирекция </w:t>
      </w:r>
      <w:r w:rsidRPr="00E540DD">
        <w:rPr>
          <w:i/>
          <w:lang w:val="fr-FR"/>
        </w:rPr>
        <w:t>« </w:t>
      </w:r>
      <w:r w:rsidRPr="00E540DD">
        <w:rPr>
          <w:i/>
          <w:lang w:val="bg-BG"/>
        </w:rPr>
        <w:t>Охрана</w:t>
      </w:r>
      <w:r w:rsidRPr="00E540DD">
        <w:rPr>
          <w:i/>
          <w:lang w:val="fr-FR"/>
        </w:rPr>
        <w:t> »</w:t>
      </w:r>
      <w:r w:rsidRPr="00E540DD">
        <w:rPr>
          <w:lang w:val="fr-FR"/>
        </w:rPr>
        <w:t>), édictées par le ministre de la Justice en date du 15</w:t>
      </w:r>
      <w:r w:rsidRPr="00E540DD">
        <w:rPr>
          <w:lang w:val="bg-BG"/>
        </w:rPr>
        <w:t> </w:t>
      </w:r>
      <w:r w:rsidRPr="00E540DD">
        <w:rPr>
          <w:lang w:val="fr-FR"/>
        </w:rPr>
        <w:t>novembre 2012, précisent que les transferts sous escorte sont effectués sur ordre d</w:t>
      </w:r>
      <w:r w:rsidRPr="00E540DD" w:rsidR="00E540DD">
        <w:rPr>
          <w:lang w:val="fr-FR"/>
        </w:rPr>
        <w:t>’</w:t>
      </w:r>
      <w:r w:rsidRPr="00E540DD">
        <w:rPr>
          <w:lang w:val="fr-FR"/>
        </w:rPr>
        <w:t>une autorité judiciaire ou à la demande de la direction générale d</w:t>
      </w:r>
      <w:r w:rsidRPr="00E540DD" w:rsidR="00E540DD">
        <w:rPr>
          <w:lang w:val="fr-FR"/>
        </w:rPr>
        <w:t>’</w:t>
      </w:r>
      <w:r w:rsidRPr="00E540DD">
        <w:rPr>
          <w:lang w:val="fr-FR"/>
        </w:rPr>
        <w:t>exécution des peines d</w:t>
      </w:r>
      <w:r w:rsidRPr="00E540DD" w:rsidR="00E540DD">
        <w:rPr>
          <w:lang w:val="fr-FR"/>
        </w:rPr>
        <w:t>’</w:t>
      </w:r>
      <w:r w:rsidRPr="00E540DD">
        <w:rPr>
          <w:lang w:val="fr-FR"/>
        </w:rPr>
        <w:t>un lieu de privation de liberté vers un autre ou auprès d</w:t>
      </w:r>
      <w:r w:rsidRPr="00E540DD" w:rsidR="00E540DD">
        <w:rPr>
          <w:lang w:val="fr-FR"/>
        </w:rPr>
        <w:t>’</w:t>
      </w:r>
      <w:r w:rsidRPr="00E540DD">
        <w:rPr>
          <w:lang w:val="fr-FR"/>
        </w:rPr>
        <w:t>une autorité judiciaire (article 1, alinéa 2).</w:t>
      </w:r>
    </w:p>
    <w:p w:rsidRPr="00E540DD" w:rsidR="009623D7" w:rsidP="00E540DD" w:rsidRDefault="009623D7">
      <w:pPr>
        <w:pStyle w:val="ECHRPara"/>
        <w:rPr>
          <w:lang w:val="fr-FR"/>
        </w:rPr>
      </w:pPr>
      <w:r w:rsidRPr="00E540DD">
        <w:rPr>
          <w:lang w:val="fr-FR"/>
        </w:rPr>
        <w:t>14.  L</w:t>
      </w:r>
      <w:r w:rsidRPr="00E540DD" w:rsidR="00E540DD">
        <w:rPr>
          <w:lang w:val="fr-FR"/>
        </w:rPr>
        <w:t>’</w:t>
      </w:r>
      <w:r w:rsidRPr="00E540DD">
        <w:rPr>
          <w:lang w:val="fr-FR"/>
        </w:rPr>
        <w:t>article 250a de la loi sur l</w:t>
      </w:r>
      <w:r w:rsidRPr="00E540DD" w:rsidR="00E540DD">
        <w:rPr>
          <w:lang w:val="fr-FR"/>
        </w:rPr>
        <w:t>’</w:t>
      </w:r>
      <w:r w:rsidRPr="00E540DD">
        <w:rPr>
          <w:lang w:val="fr-FR"/>
        </w:rPr>
        <w:t>exécution des peines et la détention provisoire, entré en vigueur en janvier 2019, dispose que le service de sécurité pénitentiaire effectue le transport sous escorte des personnes détenues en exécution d</w:t>
      </w:r>
      <w:r w:rsidRPr="00E540DD" w:rsidR="00E540DD">
        <w:rPr>
          <w:lang w:val="fr-FR"/>
        </w:rPr>
        <w:t>’</w:t>
      </w:r>
      <w:r w:rsidRPr="00E540DD">
        <w:rPr>
          <w:lang w:val="fr-FR"/>
        </w:rPr>
        <w:t>une peine ou à titre préventif uniquement à partir de et vers les centres de détention, les centres de détention pour mineurs, les lieux de travail et les établissements de santé, sur ordre du directeur de la prison, du directeur du centre de détention, du directeur du service régional d</w:t>
      </w:r>
      <w:r w:rsidRPr="00E540DD" w:rsidR="00E540DD">
        <w:rPr>
          <w:lang w:val="fr-FR"/>
        </w:rPr>
        <w:t>’</w:t>
      </w:r>
      <w:r w:rsidRPr="00E540DD">
        <w:rPr>
          <w:lang w:val="fr-FR"/>
        </w:rPr>
        <w:t>exécution des peines ou du directeur régional responsable des centres de détention provisoire.</w:t>
      </w:r>
    </w:p>
    <w:p w:rsidRPr="00E540DD" w:rsidR="009623D7" w:rsidP="00E540DD" w:rsidRDefault="009623D7">
      <w:pPr>
        <w:pStyle w:val="ECHRPara"/>
        <w:rPr>
          <w:lang w:val="fr-FR"/>
        </w:rPr>
      </w:pPr>
      <w:r w:rsidRPr="00E540DD">
        <w:rPr>
          <w:lang w:val="fr-FR"/>
        </w:rPr>
        <w:t>15.  Par ailleurs, en vertu de l</w:t>
      </w:r>
      <w:r w:rsidRPr="00E540DD" w:rsidR="00E540DD">
        <w:rPr>
          <w:lang w:val="fr-FR"/>
        </w:rPr>
        <w:t>’</w:t>
      </w:r>
      <w:r w:rsidRPr="00E540DD">
        <w:rPr>
          <w:lang w:val="fr-FR"/>
        </w:rPr>
        <w:t>article 447 du code de procédure pénale, les personnes exécutant une peine d</w:t>
      </w:r>
      <w:r w:rsidRPr="00E540DD" w:rsidR="00E540DD">
        <w:rPr>
          <w:lang w:val="fr-FR"/>
        </w:rPr>
        <w:t>’</w:t>
      </w:r>
      <w:r w:rsidRPr="00E540DD">
        <w:rPr>
          <w:lang w:val="fr-FR"/>
        </w:rPr>
        <w:t>emprisonnement peuvent bénéficier d</w:t>
      </w:r>
      <w:r w:rsidRPr="00E540DD" w:rsidR="00E540DD">
        <w:rPr>
          <w:lang w:val="fr-FR"/>
        </w:rPr>
        <w:t>’</w:t>
      </w:r>
      <w:r w:rsidRPr="00E540DD">
        <w:rPr>
          <w:lang w:val="fr-FR"/>
        </w:rPr>
        <w:t>une suspension de l</w:t>
      </w:r>
      <w:r w:rsidRPr="00E540DD" w:rsidR="00E540DD">
        <w:rPr>
          <w:lang w:val="fr-FR"/>
        </w:rPr>
        <w:t>’</w:t>
      </w:r>
      <w:r w:rsidRPr="00E540DD">
        <w:rPr>
          <w:lang w:val="fr-FR"/>
        </w:rPr>
        <w:t>exécution de la peine pour, parmi d</w:t>
      </w:r>
      <w:r w:rsidRPr="00E540DD" w:rsidR="00E540DD">
        <w:rPr>
          <w:lang w:val="fr-FR"/>
        </w:rPr>
        <w:t>’</w:t>
      </w:r>
      <w:r w:rsidRPr="00E540DD">
        <w:rPr>
          <w:lang w:val="fr-FR"/>
        </w:rPr>
        <w:t>autres motifs, des raisons exceptionnelles d</w:t>
      </w:r>
      <w:r w:rsidRPr="00E540DD" w:rsidR="00E540DD">
        <w:rPr>
          <w:lang w:val="fr-FR"/>
        </w:rPr>
        <w:t>’</w:t>
      </w:r>
      <w:r w:rsidRPr="00E540DD">
        <w:rPr>
          <w:lang w:val="fr-FR"/>
        </w:rPr>
        <w:t>ordre familial. Une telle possibilité n</w:t>
      </w:r>
      <w:r w:rsidRPr="00E540DD" w:rsidR="00E540DD">
        <w:rPr>
          <w:lang w:val="fr-FR"/>
        </w:rPr>
        <w:t>’</w:t>
      </w:r>
      <w:r w:rsidRPr="00E540DD">
        <w:rPr>
          <w:lang w:val="fr-FR"/>
        </w:rPr>
        <w:t>est pas prévue pour les personnes placées en détention provisoire et la jurisprudence exclut l</w:t>
      </w:r>
      <w:r w:rsidRPr="00E540DD" w:rsidR="00E540DD">
        <w:rPr>
          <w:lang w:val="fr-FR"/>
        </w:rPr>
        <w:t>’</w:t>
      </w:r>
      <w:r w:rsidRPr="00E540DD">
        <w:rPr>
          <w:lang w:val="fr-FR"/>
        </w:rPr>
        <w:t>application de cette disposition dans leur cas (</w:t>
      </w:r>
      <w:proofErr w:type="spellStart"/>
      <w:r w:rsidRPr="00E540DD">
        <w:rPr>
          <w:lang w:val="bg-BG"/>
        </w:rPr>
        <w:t>опр</w:t>
      </w:r>
      <w:proofErr w:type="spellEnd"/>
      <w:r w:rsidRPr="00E540DD">
        <w:rPr>
          <w:lang w:val="bg-BG"/>
        </w:rPr>
        <w:t>.</w:t>
      </w:r>
      <w:r w:rsidRPr="00E540DD">
        <w:rPr>
          <w:lang w:val="fr-FR"/>
        </w:rPr>
        <w:t> </w:t>
      </w:r>
      <w:r w:rsidRPr="00E540DD">
        <w:rPr>
          <w:lang w:val="bg-BG"/>
        </w:rPr>
        <w:t>№</w:t>
      </w:r>
      <w:r w:rsidRPr="00E540DD">
        <w:rPr>
          <w:lang w:val="fr-FR"/>
        </w:rPr>
        <w:t> </w:t>
      </w:r>
      <w:r w:rsidRPr="00E540DD">
        <w:rPr>
          <w:lang w:val="bg-BG"/>
        </w:rPr>
        <w:t>4 от 20.05.1986 г. по х.д. № 27/86 г.</w:t>
      </w:r>
      <w:r w:rsidRPr="00E540DD">
        <w:rPr>
          <w:lang w:val="fr-FR"/>
        </w:rPr>
        <w:t>,</w:t>
      </w:r>
      <w:r w:rsidRPr="00E540DD">
        <w:rPr>
          <w:lang w:val="bg-BG"/>
        </w:rPr>
        <w:t xml:space="preserve"> ВС</w:t>
      </w:r>
      <w:r w:rsidRPr="00E540DD">
        <w:rPr>
          <w:lang w:val="fr-FR"/>
        </w:rPr>
        <w:t xml:space="preserve">, I </w:t>
      </w:r>
      <w:r w:rsidRPr="00E540DD">
        <w:rPr>
          <w:lang w:val="bg-BG"/>
        </w:rPr>
        <w:t>н.о.</w:t>
      </w:r>
      <w:r w:rsidRPr="00E540DD">
        <w:rPr>
          <w:lang w:val="fr-FR"/>
        </w:rPr>
        <w:t>).</w:t>
      </w:r>
    </w:p>
    <w:p w:rsidRPr="00E540DD" w:rsidR="009623D7" w:rsidP="00E540DD" w:rsidRDefault="009623D7">
      <w:pPr>
        <w:pStyle w:val="ECHRPara"/>
        <w:rPr>
          <w:lang w:val="fr-FR"/>
        </w:rPr>
      </w:pPr>
      <w:r w:rsidRPr="00E540DD">
        <w:rPr>
          <w:lang w:val="fr-FR"/>
        </w:rPr>
        <w:t>16.  Les personnes détenues en exécution d</w:t>
      </w:r>
      <w:r w:rsidRPr="00E540DD" w:rsidR="00E540DD">
        <w:rPr>
          <w:lang w:val="fr-FR"/>
        </w:rPr>
        <w:t>’</w:t>
      </w:r>
      <w:r w:rsidRPr="00E540DD">
        <w:rPr>
          <w:lang w:val="fr-FR"/>
        </w:rPr>
        <w:t>une peine peuvent en outre bénéficier d</w:t>
      </w:r>
      <w:r w:rsidRPr="00E540DD" w:rsidR="00E540DD">
        <w:rPr>
          <w:lang w:val="fr-FR"/>
        </w:rPr>
        <w:t>’</w:t>
      </w:r>
      <w:r w:rsidRPr="00E540DD">
        <w:rPr>
          <w:lang w:val="fr-FR"/>
        </w:rPr>
        <w:t>une permission de sortie allant jusqu</w:t>
      </w:r>
      <w:r w:rsidRPr="00E540DD" w:rsidR="00E540DD">
        <w:rPr>
          <w:lang w:val="fr-FR"/>
        </w:rPr>
        <w:t>’</w:t>
      </w:r>
      <w:r w:rsidRPr="00E540DD">
        <w:rPr>
          <w:lang w:val="fr-FR"/>
        </w:rPr>
        <w:t>à cinq jours en cas de bonne conduite (article 98 de la loi sur l</w:t>
      </w:r>
      <w:r w:rsidRPr="00E540DD" w:rsidR="00E540DD">
        <w:rPr>
          <w:lang w:val="fr-FR"/>
        </w:rPr>
        <w:t>’</w:t>
      </w:r>
      <w:r w:rsidRPr="00E540DD">
        <w:rPr>
          <w:lang w:val="fr-FR"/>
        </w:rPr>
        <w:t>exécution des peines et la détention provisoire). L</w:t>
      </w:r>
      <w:r w:rsidRPr="00E540DD" w:rsidR="00E540DD">
        <w:rPr>
          <w:lang w:val="fr-FR"/>
        </w:rPr>
        <w:t>’</w:t>
      </w:r>
      <w:r w:rsidRPr="00E540DD">
        <w:rPr>
          <w:lang w:val="fr-FR"/>
        </w:rPr>
        <w:t xml:space="preserve">article 257 </w:t>
      </w:r>
      <w:proofErr w:type="gramStart"/>
      <w:r w:rsidRPr="00E540DD">
        <w:rPr>
          <w:lang w:val="fr-FR"/>
        </w:rPr>
        <w:t>alinéa</w:t>
      </w:r>
      <w:proofErr w:type="gramEnd"/>
      <w:r w:rsidRPr="00E540DD">
        <w:rPr>
          <w:lang w:val="fr-FR"/>
        </w:rPr>
        <w:t xml:space="preserve"> 4 de cette loi précise que les personnes détenues au titre de la détention provisoire ne peuvent bénéficier de telles permissions.</w:t>
      </w:r>
    </w:p>
    <w:p w:rsidRPr="00E540DD" w:rsidR="009623D7" w:rsidP="00E540DD" w:rsidRDefault="009623D7">
      <w:pPr>
        <w:pStyle w:val="ECHRTitle1"/>
        <w:rPr>
          <w:lang w:val="fr-FR"/>
        </w:rPr>
      </w:pPr>
      <w:r w:rsidRPr="00E540DD">
        <w:rPr>
          <w:lang w:val="fr-FR"/>
        </w:rPr>
        <w:t>EN DROIT</w:t>
      </w:r>
    </w:p>
    <w:p w:rsidRPr="00E540DD" w:rsidR="009623D7" w:rsidP="00E540DD" w:rsidRDefault="009623D7">
      <w:pPr>
        <w:pStyle w:val="ECHRHeading1"/>
        <w:rPr>
          <w:lang w:val="fr-FR"/>
        </w:rPr>
      </w:pPr>
      <w:r w:rsidRPr="00E540DD">
        <w:rPr>
          <w:lang w:val="fr-FR"/>
        </w:rPr>
        <w:t>I.  SUR LA VIOLATION ALLÉGUÉE DE L</w:t>
      </w:r>
      <w:r w:rsidRPr="00E540DD" w:rsidR="00E540DD">
        <w:rPr>
          <w:lang w:val="fr-FR"/>
        </w:rPr>
        <w:t>’</w:t>
      </w:r>
      <w:r w:rsidRPr="00E540DD">
        <w:rPr>
          <w:lang w:val="fr-FR"/>
        </w:rPr>
        <w:t>ARTICLE 8 DE LA CONVENTION</w:t>
      </w:r>
    </w:p>
    <w:p w:rsidRPr="00E540DD" w:rsidR="009623D7" w:rsidP="00E540DD" w:rsidRDefault="009623D7">
      <w:pPr>
        <w:pStyle w:val="ECHRPara"/>
        <w:rPr>
          <w:lang w:val="fr-FR"/>
        </w:rPr>
      </w:pPr>
      <w:r w:rsidRPr="00E540DD">
        <w:rPr>
          <w:lang w:val="fr-FR"/>
        </w:rPr>
        <w:t>17.  Le requérant allègue que le refus des autorités de l</w:t>
      </w:r>
      <w:r w:rsidRPr="00E540DD" w:rsidR="00E540DD">
        <w:rPr>
          <w:lang w:val="fr-FR"/>
        </w:rPr>
        <w:t>’</w:t>
      </w:r>
      <w:r w:rsidRPr="00E540DD">
        <w:rPr>
          <w:lang w:val="fr-FR"/>
        </w:rPr>
        <w:t>autoriser à se rendre aux obsèques de son frère a méconnu son droit au respect de sa vie privée et familiale prévu par l</w:t>
      </w:r>
      <w:r w:rsidRPr="00E540DD" w:rsidR="00E540DD">
        <w:rPr>
          <w:lang w:val="fr-FR"/>
        </w:rPr>
        <w:t>’</w:t>
      </w:r>
      <w:r w:rsidRPr="00E540DD">
        <w:rPr>
          <w:lang w:val="fr-FR"/>
        </w:rPr>
        <w:t>article 8 de la Convention, ainsi libellé dans ses parties pertinentes :</w:t>
      </w:r>
    </w:p>
    <w:p w:rsidRPr="00E540DD" w:rsidR="009623D7" w:rsidP="00E540DD" w:rsidRDefault="009623D7">
      <w:pPr>
        <w:pStyle w:val="ECHRParaQuote"/>
        <w:rPr>
          <w:lang w:val="fr-FR"/>
        </w:rPr>
      </w:pPr>
      <w:r w:rsidRPr="00E540DD">
        <w:rPr>
          <w:lang w:val="fr-FR"/>
        </w:rPr>
        <w:t>« 1.  Toute personne a droit au respect de sa vie privée et familiale (...)</w:t>
      </w:r>
    </w:p>
    <w:p w:rsidRPr="00E540DD" w:rsidR="009623D7" w:rsidP="00E540DD" w:rsidRDefault="009623D7">
      <w:pPr>
        <w:pStyle w:val="ECHRParaQuote"/>
        <w:rPr>
          <w:lang w:val="fr-FR"/>
        </w:rPr>
      </w:pPr>
      <w:r w:rsidRPr="00E540DD">
        <w:rPr>
          <w:lang w:val="fr-FR"/>
        </w:rPr>
        <w:t>2.  Il ne peut y avoir ingérence d</w:t>
      </w:r>
      <w:r w:rsidRPr="00E540DD" w:rsidR="00E540DD">
        <w:rPr>
          <w:lang w:val="fr-FR"/>
        </w:rPr>
        <w:t>’</w:t>
      </w:r>
      <w:r w:rsidRPr="00E540DD">
        <w:rPr>
          <w:lang w:val="fr-FR"/>
        </w:rPr>
        <w:t>une autorité publique dans l</w:t>
      </w:r>
      <w:r w:rsidRPr="00E540DD" w:rsidR="00E540DD">
        <w:rPr>
          <w:lang w:val="fr-FR"/>
        </w:rPr>
        <w:t>’</w:t>
      </w:r>
      <w:r w:rsidRPr="00E540DD">
        <w:rPr>
          <w:lang w:val="fr-FR"/>
        </w:rPr>
        <w:t>exercice de ce droit que pour autant que cette ingérence est prévue par la loi et qu</w:t>
      </w:r>
      <w:r w:rsidRPr="00E540DD" w:rsidR="00E540DD">
        <w:rPr>
          <w:lang w:val="fr-FR"/>
        </w:rPr>
        <w:t>’</w:t>
      </w:r>
      <w:r w:rsidRPr="00E540DD">
        <w:rPr>
          <w:lang w:val="fr-FR"/>
        </w:rPr>
        <w:t>elle constitue une mesure qui, dans une société démocratique, est nécessaire à la sécurité nationale, à la sûreté publique, au bien</w:t>
      </w:r>
      <w:r w:rsidRPr="00E540DD">
        <w:rPr>
          <w:lang w:val="fr-FR"/>
        </w:rPr>
        <w:noBreakHyphen/>
        <w:t>être économique du pays, à la défense de l</w:t>
      </w:r>
      <w:r w:rsidRPr="00E540DD" w:rsidR="00E540DD">
        <w:rPr>
          <w:lang w:val="fr-FR"/>
        </w:rPr>
        <w:t>’</w:t>
      </w:r>
      <w:r w:rsidRPr="00E540DD">
        <w:rPr>
          <w:lang w:val="fr-FR"/>
        </w:rPr>
        <w:t>ordre et à la prévention des infractions pénales, à la protection de la santé ou de la morale, ou à la protection des droits et libertés d</w:t>
      </w:r>
      <w:r w:rsidRPr="00E540DD" w:rsidR="00E540DD">
        <w:rPr>
          <w:lang w:val="fr-FR"/>
        </w:rPr>
        <w:t>’</w:t>
      </w:r>
      <w:r w:rsidRPr="00E540DD">
        <w:rPr>
          <w:lang w:val="fr-FR"/>
        </w:rPr>
        <w:t>autrui. »</w:t>
      </w:r>
    </w:p>
    <w:p w:rsidRPr="00E540DD" w:rsidR="009623D7" w:rsidP="00E540DD" w:rsidRDefault="009623D7">
      <w:pPr>
        <w:pStyle w:val="ECHRHeading2"/>
        <w:rPr>
          <w:lang w:val="fr-FR"/>
        </w:rPr>
      </w:pPr>
      <w:r w:rsidRPr="00E540DD">
        <w:rPr>
          <w:lang w:val="fr-FR"/>
        </w:rPr>
        <w:t>A.  Sur la recevabilité</w:t>
      </w:r>
    </w:p>
    <w:p w:rsidRPr="00E540DD" w:rsidR="009623D7" w:rsidP="00E540DD" w:rsidRDefault="009623D7">
      <w:pPr>
        <w:pStyle w:val="ECHRPara"/>
        <w:rPr>
          <w:lang w:val="fr-FR"/>
        </w:rPr>
      </w:pPr>
      <w:r w:rsidRPr="00E540DD">
        <w:rPr>
          <w:lang w:val="fr-FR"/>
        </w:rPr>
        <w:t>18.  Constatant que la requête n</w:t>
      </w:r>
      <w:r w:rsidRPr="00E540DD" w:rsidR="00E540DD">
        <w:rPr>
          <w:lang w:val="fr-FR"/>
        </w:rPr>
        <w:t>’</w:t>
      </w:r>
      <w:r w:rsidRPr="00E540DD">
        <w:rPr>
          <w:lang w:val="fr-FR"/>
        </w:rPr>
        <w:t>est pas manifestement mal fondée au sens de l</w:t>
      </w:r>
      <w:r w:rsidRPr="00E540DD" w:rsidR="00E540DD">
        <w:rPr>
          <w:lang w:val="fr-FR"/>
        </w:rPr>
        <w:t>’</w:t>
      </w:r>
      <w:r w:rsidRPr="00E540DD">
        <w:rPr>
          <w:lang w:val="fr-FR"/>
        </w:rPr>
        <w:t>article 35 § 3 a) de la Convention et qu</w:t>
      </w:r>
      <w:r w:rsidRPr="00E540DD" w:rsidR="00E540DD">
        <w:rPr>
          <w:lang w:val="fr-FR"/>
        </w:rPr>
        <w:t>’</w:t>
      </w:r>
      <w:r w:rsidRPr="00E540DD">
        <w:rPr>
          <w:lang w:val="fr-FR"/>
        </w:rPr>
        <w:t>elle ne se heurte par ailleurs à aucun autre motif d</w:t>
      </w:r>
      <w:r w:rsidRPr="00E540DD" w:rsidR="00E540DD">
        <w:rPr>
          <w:lang w:val="fr-FR"/>
        </w:rPr>
        <w:t>’</w:t>
      </w:r>
      <w:r w:rsidRPr="00E540DD">
        <w:rPr>
          <w:lang w:val="fr-FR"/>
        </w:rPr>
        <w:t>irrecevabilité, la Cour la déclare recevable.</w:t>
      </w:r>
    </w:p>
    <w:p w:rsidRPr="00E540DD" w:rsidR="009623D7" w:rsidP="00E540DD" w:rsidRDefault="009623D7">
      <w:pPr>
        <w:pStyle w:val="ECHRHeading2"/>
        <w:rPr>
          <w:lang w:val="fr-FR"/>
        </w:rPr>
      </w:pPr>
      <w:r w:rsidRPr="00E540DD">
        <w:rPr>
          <w:lang w:val="fr-FR"/>
        </w:rPr>
        <w:t>B.  Sur le fond</w:t>
      </w:r>
    </w:p>
    <w:p w:rsidRPr="00E540DD" w:rsidR="009623D7" w:rsidP="00E540DD" w:rsidRDefault="009623D7">
      <w:pPr>
        <w:pStyle w:val="ECHRHeading3"/>
        <w:rPr>
          <w:lang w:val="fr-FR"/>
        </w:rPr>
      </w:pPr>
      <w:r w:rsidRPr="00E540DD">
        <w:rPr>
          <w:lang w:val="fr-FR"/>
        </w:rPr>
        <w:t>1.  Observations des parties</w:t>
      </w:r>
    </w:p>
    <w:p w:rsidRPr="00E540DD" w:rsidR="009623D7" w:rsidP="00E540DD" w:rsidRDefault="009623D7">
      <w:pPr>
        <w:pStyle w:val="ECHRPara"/>
        <w:rPr>
          <w:lang w:val="fr-FR"/>
        </w:rPr>
      </w:pPr>
      <w:r w:rsidRPr="00E540DD">
        <w:rPr>
          <w:lang w:val="fr-FR"/>
        </w:rPr>
        <w:t>19.  Le requérant considère que le droit interne, qui ne prévoit pas de possibilité d</w:t>
      </w:r>
      <w:r w:rsidRPr="00E540DD" w:rsidR="00E540DD">
        <w:rPr>
          <w:lang w:val="fr-FR"/>
        </w:rPr>
        <w:t>’</w:t>
      </w:r>
      <w:r w:rsidRPr="00E540DD">
        <w:rPr>
          <w:lang w:val="fr-FR"/>
        </w:rPr>
        <w:t>autoriser une personne placée en détention provisoire à assister à l</w:t>
      </w:r>
      <w:r w:rsidRPr="00E540DD" w:rsidR="00E540DD">
        <w:rPr>
          <w:lang w:val="fr-FR"/>
        </w:rPr>
        <w:t>’</w:t>
      </w:r>
      <w:r w:rsidRPr="00E540DD">
        <w:rPr>
          <w:lang w:val="fr-FR"/>
        </w:rPr>
        <w:t>enterrement d</w:t>
      </w:r>
      <w:r w:rsidRPr="00E540DD" w:rsidR="00E540DD">
        <w:rPr>
          <w:lang w:val="fr-FR"/>
        </w:rPr>
        <w:t>’</w:t>
      </w:r>
      <w:r w:rsidRPr="00E540DD">
        <w:rPr>
          <w:lang w:val="fr-FR"/>
        </w:rPr>
        <w:t>un proche, est en contradiction avec les normes européennes applicables qui préconisent, selon lui, de ne pas limiter plus que nécessaire les droits des détenus d</w:t>
      </w:r>
      <w:r w:rsidRPr="00E540DD" w:rsidR="00E540DD">
        <w:rPr>
          <w:lang w:val="fr-FR"/>
        </w:rPr>
        <w:t>’</w:t>
      </w:r>
      <w:r w:rsidRPr="00E540DD">
        <w:rPr>
          <w:lang w:val="fr-FR"/>
        </w:rPr>
        <w:t>avoir des contacts avec l</w:t>
      </w:r>
      <w:r w:rsidRPr="00E540DD" w:rsidR="00E540DD">
        <w:rPr>
          <w:lang w:val="fr-FR"/>
        </w:rPr>
        <w:t>’</w:t>
      </w:r>
      <w:r w:rsidRPr="00E540DD">
        <w:rPr>
          <w:lang w:val="fr-FR"/>
        </w:rPr>
        <w:t>extérieur. Concernant le cas d</w:t>
      </w:r>
      <w:r w:rsidRPr="00E540DD" w:rsidR="00E540DD">
        <w:rPr>
          <w:lang w:val="fr-FR"/>
        </w:rPr>
        <w:t>’</w:t>
      </w:r>
      <w:r w:rsidRPr="00E540DD">
        <w:rPr>
          <w:lang w:val="fr-FR"/>
        </w:rPr>
        <w:t>espèce, il soutient que le refus des autorités de le laisser assister à l</w:t>
      </w:r>
      <w:r w:rsidRPr="00E540DD" w:rsidR="00E540DD">
        <w:rPr>
          <w:lang w:val="fr-FR"/>
        </w:rPr>
        <w:t>’</w:t>
      </w:r>
      <w:r w:rsidRPr="00E540DD">
        <w:rPr>
          <w:lang w:val="fr-FR"/>
        </w:rPr>
        <w:t>enterrement de son frère, de qui il était proche, ne pouvait être justifié par le risque de fuite étant donné que l</w:t>
      </w:r>
      <w:r w:rsidRPr="00E540DD" w:rsidR="00E540DD">
        <w:rPr>
          <w:lang w:val="fr-FR"/>
        </w:rPr>
        <w:t>’</w:t>
      </w:r>
      <w:r w:rsidRPr="00E540DD">
        <w:rPr>
          <w:lang w:val="fr-FR"/>
        </w:rPr>
        <w:t>instruction préliminaire était terminée et qu</w:t>
      </w:r>
      <w:r w:rsidRPr="00E540DD" w:rsidR="00E540DD">
        <w:rPr>
          <w:lang w:val="fr-FR"/>
        </w:rPr>
        <w:t>’</w:t>
      </w:r>
      <w:r w:rsidRPr="00E540DD">
        <w:rPr>
          <w:lang w:val="fr-FR"/>
        </w:rPr>
        <w:t>il n</w:t>
      </w:r>
      <w:r w:rsidRPr="00E540DD" w:rsidR="00E540DD">
        <w:rPr>
          <w:lang w:val="fr-FR"/>
        </w:rPr>
        <w:t>’</w:t>
      </w:r>
      <w:r w:rsidRPr="00E540DD">
        <w:rPr>
          <w:lang w:val="fr-FR"/>
        </w:rPr>
        <w:t>avait pas d</w:t>
      </w:r>
      <w:r w:rsidRPr="00E540DD" w:rsidR="00E540DD">
        <w:rPr>
          <w:lang w:val="fr-FR"/>
        </w:rPr>
        <w:t>’</w:t>
      </w:r>
      <w:r w:rsidRPr="00E540DD">
        <w:rPr>
          <w:lang w:val="fr-FR"/>
        </w:rPr>
        <w:t>antécédents judiciaires. Il estime donc que la mesure en cause était disproportionnée.</w:t>
      </w:r>
    </w:p>
    <w:p w:rsidRPr="00E540DD" w:rsidR="009623D7" w:rsidP="00E540DD" w:rsidRDefault="009623D7">
      <w:pPr>
        <w:pStyle w:val="ECHRPara"/>
        <w:rPr>
          <w:lang w:val="fr-FR"/>
        </w:rPr>
      </w:pPr>
      <w:r w:rsidRPr="00E540DD">
        <w:rPr>
          <w:lang w:val="fr-FR"/>
        </w:rPr>
        <w:t>20.  Le Gouvernement soutient que le refus d</w:t>
      </w:r>
      <w:r w:rsidRPr="00E540DD" w:rsidR="00E540DD">
        <w:rPr>
          <w:lang w:val="fr-FR"/>
        </w:rPr>
        <w:t>’</w:t>
      </w:r>
      <w:r w:rsidRPr="00E540DD">
        <w:rPr>
          <w:lang w:val="fr-FR"/>
        </w:rPr>
        <w:t>autoriser le requérant à assister aux obsèques de son frère constitue une mesure prévue par la loi et justifiée au regard du second alinéa de l</w:t>
      </w:r>
      <w:r w:rsidRPr="00E540DD" w:rsidR="00E540DD">
        <w:rPr>
          <w:lang w:val="fr-FR"/>
        </w:rPr>
        <w:t>’</w:t>
      </w:r>
      <w:r w:rsidRPr="00E540DD">
        <w:rPr>
          <w:lang w:val="fr-FR"/>
        </w:rPr>
        <w:t>article 8 de la Convention. Il indique que le tribunal a examiné la demande du requérant en temps utile et qu</w:t>
      </w:r>
      <w:r w:rsidRPr="00E540DD" w:rsidR="00E540DD">
        <w:rPr>
          <w:lang w:val="fr-FR"/>
        </w:rPr>
        <w:t>’</w:t>
      </w:r>
      <w:r w:rsidRPr="00E540DD">
        <w:rPr>
          <w:lang w:val="fr-FR"/>
        </w:rPr>
        <w:t>il a procédé à une mise en balance entre les intérêts individuels de l</w:t>
      </w:r>
      <w:r w:rsidRPr="00E540DD" w:rsidR="00E540DD">
        <w:rPr>
          <w:lang w:val="fr-FR"/>
        </w:rPr>
        <w:t>’</w:t>
      </w:r>
      <w:r w:rsidRPr="00E540DD">
        <w:rPr>
          <w:lang w:val="fr-FR"/>
        </w:rPr>
        <w:t>intéressé et l</w:t>
      </w:r>
      <w:r w:rsidRPr="00E540DD" w:rsidR="00E540DD">
        <w:rPr>
          <w:lang w:val="fr-FR"/>
        </w:rPr>
        <w:t>’</w:t>
      </w:r>
      <w:r w:rsidRPr="00E540DD">
        <w:rPr>
          <w:lang w:val="fr-FR"/>
        </w:rPr>
        <w:t>intérêt public d</w:t>
      </w:r>
      <w:r w:rsidRPr="00E540DD" w:rsidR="00E540DD">
        <w:rPr>
          <w:lang w:val="fr-FR"/>
        </w:rPr>
        <w:t>’</w:t>
      </w:r>
      <w:r w:rsidRPr="00E540DD">
        <w:rPr>
          <w:lang w:val="fr-FR"/>
        </w:rPr>
        <w:t>assurer la représentation de celui-ci devant la justice. Il ajoute que, eu égard à l</w:t>
      </w:r>
      <w:r w:rsidRPr="00E540DD" w:rsidR="00E540DD">
        <w:rPr>
          <w:lang w:val="fr-FR"/>
        </w:rPr>
        <w:t>’</w:t>
      </w:r>
      <w:r w:rsidRPr="00E540DD">
        <w:rPr>
          <w:lang w:val="fr-FR"/>
        </w:rPr>
        <w:t>absence de base légale pour que le service de sécurité assure son transport sous escorte et au coût qu</w:t>
      </w:r>
      <w:r w:rsidRPr="00E540DD" w:rsidR="00E540DD">
        <w:rPr>
          <w:lang w:val="fr-FR"/>
        </w:rPr>
        <w:t>’</w:t>
      </w:r>
      <w:r w:rsidRPr="00E540DD">
        <w:rPr>
          <w:lang w:val="fr-FR"/>
        </w:rPr>
        <w:t>aurait représenté un déplacement vers une autre ville effectué un jour non ouvré, le tribunal a estimé que ce transport était impossible.</w:t>
      </w:r>
    </w:p>
    <w:p w:rsidRPr="00E540DD" w:rsidR="009623D7" w:rsidP="00E540DD" w:rsidRDefault="009623D7">
      <w:pPr>
        <w:pStyle w:val="ECHRHeading3"/>
        <w:rPr>
          <w:lang w:val="fr-FR"/>
        </w:rPr>
      </w:pPr>
      <w:r w:rsidRPr="00E540DD">
        <w:rPr>
          <w:lang w:val="fr-FR"/>
        </w:rPr>
        <w:t>2.  Appréciation de la Cour</w:t>
      </w:r>
    </w:p>
    <w:p w:rsidRPr="00E540DD" w:rsidR="009623D7" w:rsidP="00E540DD" w:rsidRDefault="009623D7">
      <w:pPr>
        <w:pStyle w:val="ECHRPara"/>
        <w:rPr>
          <w:lang w:val="fr-FR"/>
        </w:rPr>
      </w:pPr>
      <w:r w:rsidRPr="00E540DD">
        <w:rPr>
          <w:lang w:val="fr-FR"/>
        </w:rPr>
        <w:t>21.  La Cour rappelle que, si toute détention entraîne par nature des restrictions à la vie privée et familiale de la personne concernée, elle a néanmoins considéré que le refus d</w:t>
      </w:r>
      <w:r w:rsidRPr="00E540DD" w:rsidR="00E540DD">
        <w:rPr>
          <w:lang w:val="fr-FR"/>
        </w:rPr>
        <w:t>’</w:t>
      </w:r>
      <w:r w:rsidRPr="00E540DD">
        <w:rPr>
          <w:lang w:val="fr-FR"/>
        </w:rPr>
        <w:t>autoriser un détenu de quitter le milieu carcéral pour assister aux obsèques d</w:t>
      </w:r>
      <w:r w:rsidRPr="00E540DD" w:rsidR="00E540DD">
        <w:rPr>
          <w:lang w:val="fr-FR"/>
        </w:rPr>
        <w:t>’</w:t>
      </w:r>
      <w:r w:rsidRPr="00E540DD">
        <w:rPr>
          <w:lang w:val="fr-FR"/>
        </w:rPr>
        <w:t>un proche constitue une ingérence dans son droit au respect de la vie privée et familiale, au sens de l</w:t>
      </w:r>
      <w:r w:rsidRPr="00E540DD" w:rsidR="00E540DD">
        <w:rPr>
          <w:lang w:val="fr-FR"/>
        </w:rPr>
        <w:t>’</w:t>
      </w:r>
      <w:r w:rsidRPr="00E540DD">
        <w:rPr>
          <w:lang w:val="fr-FR"/>
        </w:rPr>
        <w:t>article 8 de la Convention (voir, parmi d</w:t>
      </w:r>
      <w:r w:rsidRPr="00E540DD" w:rsidR="00E540DD">
        <w:rPr>
          <w:lang w:val="fr-FR"/>
        </w:rPr>
        <w:t>’</w:t>
      </w:r>
      <w:r w:rsidRPr="00E540DD">
        <w:rPr>
          <w:lang w:val="fr-FR"/>
        </w:rPr>
        <w:t xml:space="preserve">autres, </w:t>
      </w:r>
      <w:proofErr w:type="spellStart"/>
      <w:r w:rsidRPr="00E540DD">
        <w:rPr>
          <w:i/>
          <w:lang w:val="fr-FR"/>
        </w:rPr>
        <w:t>Płoski</w:t>
      </w:r>
      <w:proofErr w:type="spellEnd"/>
      <w:r w:rsidRPr="00E540DD">
        <w:rPr>
          <w:i/>
          <w:lang w:val="fr-FR"/>
        </w:rPr>
        <w:t xml:space="preserve"> c. Pologne</w:t>
      </w:r>
      <w:r w:rsidRPr="00E540DD">
        <w:rPr>
          <w:lang w:val="fr-FR"/>
        </w:rPr>
        <w:t>, n</w:t>
      </w:r>
      <w:r w:rsidRPr="00E540DD">
        <w:rPr>
          <w:vertAlign w:val="superscript"/>
          <w:lang w:val="fr-FR"/>
        </w:rPr>
        <w:t>o</w:t>
      </w:r>
      <w:r w:rsidRPr="00E540DD">
        <w:rPr>
          <w:lang w:val="fr-FR"/>
        </w:rPr>
        <w:t xml:space="preserve"> 26761/95, § 32, 12 novembre 2002). Pour respecter cette disposition, pareille ingérence doit être prévue par la loi, poursuivre l</w:t>
      </w:r>
      <w:r w:rsidRPr="00E540DD" w:rsidR="00E540DD">
        <w:rPr>
          <w:lang w:val="fr-FR"/>
        </w:rPr>
        <w:t>’</w:t>
      </w:r>
      <w:r w:rsidRPr="00E540DD">
        <w:rPr>
          <w:lang w:val="fr-FR"/>
        </w:rPr>
        <w:t>un des buts légitimes prévus à l</w:t>
      </w:r>
      <w:r w:rsidRPr="00E540DD" w:rsidR="00E540DD">
        <w:rPr>
          <w:lang w:val="fr-FR"/>
        </w:rPr>
        <w:t>’</w:t>
      </w:r>
      <w:r w:rsidRPr="00E540DD">
        <w:rPr>
          <w:lang w:val="fr-FR"/>
        </w:rPr>
        <w:t>article 8 § 2 de la Convention et être « nécessaire dans une société démocratique », c</w:t>
      </w:r>
      <w:r w:rsidRPr="00E540DD" w:rsidR="00E540DD">
        <w:rPr>
          <w:lang w:val="fr-FR"/>
        </w:rPr>
        <w:t>’</w:t>
      </w:r>
      <w:r w:rsidRPr="00E540DD">
        <w:rPr>
          <w:lang w:val="fr-FR"/>
        </w:rPr>
        <w:t>est-à-dire proportionnée au but poursuivi.</w:t>
      </w:r>
    </w:p>
    <w:p w:rsidRPr="00E540DD" w:rsidR="009623D7" w:rsidP="00E540DD" w:rsidRDefault="009623D7">
      <w:pPr>
        <w:pStyle w:val="ECHRPara"/>
        <w:rPr>
          <w:i/>
          <w:lang w:val="pl-PL"/>
        </w:rPr>
      </w:pPr>
      <w:r w:rsidRPr="00E540DD">
        <w:rPr>
          <w:lang w:val="fr-FR"/>
        </w:rPr>
        <w:t>22.  Selon la jurisprudence de la Cour, l</w:t>
      </w:r>
      <w:r w:rsidRPr="00E540DD" w:rsidR="00E540DD">
        <w:rPr>
          <w:lang w:val="fr-FR"/>
        </w:rPr>
        <w:t>’</w:t>
      </w:r>
      <w:r w:rsidRPr="00E540DD">
        <w:rPr>
          <w:lang w:val="fr-FR"/>
        </w:rPr>
        <w:t>article 8 de la Convention ne garantit pas un droit inconditionnel à bénéficier d</w:t>
      </w:r>
      <w:r w:rsidRPr="00E540DD" w:rsidR="00E540DD">
        <w:rPr>
          <w:lang w:val="fr-FR"/>
        </w:rPr>
        <w:t>’</w:t>
      </w:r>
      <w:r w:rsidRPr="00E540DD">
        <w:rPr>
          <w:lang w:val="fr-FR"/>
        </w:rPr>
        <w:t>une autorisation de sortie pour assister à des obsèques. Il incombe aux autorités nationales saisies d</w:t>
      </w:r>
      <w:r w:rsidRPr="00E540DD" w:rsidR="00E540DD">
        <w:rPr>
          <w:lang w:val="fr-FR"/>
        </w:rPr>
        <w:t>’</w:t>
      </w:r>
      <w:r w:rsidRPr="00E540DD">
        <w:rPr>
          <w:lang w:val="fr-FR"/>
        </w:rPr>
        <w:t>une demande en ce sens d</w:t>
      </w:r>
      <w:r w:rsidRPr="00E540DD" w:rsidR="00E540DD">
        <w:rPr>
          <w:lang w:val="fr-FR"/>
        </w:rPr>
        <w:t>’</w:t>
      </w:r>
      <w:r w:rsidRPr="00E540DD">
        <w:rPr>
          <w:lang w:val="fr-FR"/>
        </w:rPr>
        <w:t>en examiner le bien-fondé. La Cour exerce néanmoins un contrôle sur la mesure en cause sous l</w:t>
      </w:r>
      <w:r w:rsidRPr="00E540DD" w:rsidR="00E540DD">
        <w:rPr>
          <w:lang w:val="fr-FR"/>
        </w:rPr>
        <w:t>’</w:t>
      </w:r>
      <w:r w:rsidRPr="00E540DD">
        <w:rPr>
          <w:lang w:val="fr-FR"/>
        </w:rPr>
        <w:t>angle des droits garantis par la Convention, en tenant compte de la marge d</w:t>
      </w:r>
      <w:r w:rsidRPr="00E540DD" w:rsidR="00E540DD">
        <w:rPr>
          <w:lang w:val="fr-FR"/>
        </w:rPr>
        <w:t>’</w:t>
      </w:r>
      <w:r w:rsidRPr="00E540DD">
        <w:rPr>
          <w:lang w:val="fr-FR"/>
        </w:rPr>
        <w:t>appréciation dont bénéficient les États contractants (</w:t>
      </w:r>
      <w:proofErr w:type="spellStart"/>
      <w:r w:rsidRPr="00E540DD">
        <w:rPr>
          <w:i/>
          <w:lang w:val="fr-FR"/>
        </w:rPr>
        <w:t>Płoski</w:t>
      </w:r>
      <w:proofErr w:type="spellEnd"/>
      <w:r w:rsidRPr="00E540DD">
        <w:rPr>
          <w:lang w:val="fr-FR"/>
        </w:rPr>
        <w:t xml:space="preserve">, précité, § 38, </w:t>
      </w:r>
      <w:r w:rsidRPr="00E540DD">
        <w:rPr>
          <w:i/>
          <w:lang w:val="pl-PL"/>
        </w:rPr>
        <w:t>Czarnowski c. </w:t>
      </w:r>
      <w:proofErr w:type="spellStart"/>
      <w:r w:rsidRPr="00E540DD">
        <w:rPr>
          <w:i/>
          <w:lang w:val="pl-PL"/>
        </w:rPr>
        <w:t>Pologne</w:t>
      </w:r>
      <w:proofErr w:type="spellEnd"/>
      <w:r w:rsidRPr="00E540DD">
        <w:rPr>
          <w:lang w:val="pl-PL"/>
        </w:rPr>
        <w:t>, n</w:t>
      </w:r>
      <w:r w:rsidRPr="00E540DD">
        <w:rPr>
          <w:vertAlign w:val="superscript"/>
          <w:lang w:val="pl-PL"/>
        </w:rPr>
        <w:t>o</w:t>
      </w:r>
      <w:r w:rsidRPr="00E540DD">
        <w:rPr>
          <w:lang w:val="pl-PL"/>
        </w:rPr>
        <w:t xml:space="preserve"> </w:t>
      </w:r>
      <w:r w:rsidRPr="00E540DD" w:rsidR="003C6747">
        <w:rPr>
          <w:lang w:val="pl-PL"/>
        </w:rPr>
        <w:t xml:space="preserve">28586/03, § </w:t>
      </w:r>
      <w:r w:rsidRPr="00E540DD">
        <w:rPr>
          <w:lang w:val="pl-PL"/>
        </w:rPr>
        <w:t xml:space="preserve">26, 20 </w:t>
      </w:r>
      <w:proofErr w:type="spellStart"/>
      <w:r w:rsidRPr="00E540DD">
        <w:rPr>
          <w:lang w:val="pl-PL"/>
        </w:rPr>
        <w:t>janvier</w:t>
      </w:r>
      <w:proofErr w:type="spellEnd"/>
      <w:r w:rsidRPr="00E540DD">
        <w:rPr>
          <w:lang w:val="pl-PL"/>
        </w:rPr>
        <w:t xml:space="preserve"> 2009, et </w:t>
      </w:r>
      <w:proofErr w:type="spellStart"/>
      <w:r w:rsidRPr="00E540DD">
        <w:rPr>
          <w:i/>
          <w:lang w:val="fr-FR"/>
        </w:rPr>
        <w:t>Kanalas</w:t>
      </w:r>
      <w:proofErr w:type="spellEnd"/>
      <w:r w:rsidRPr="00E540DD">
        <w:rPr>
          <w:i/>
          <w:lang w:val="fr-FR"/>
        </w:rPr>
        <w:t xml:space="preserve"> c. Roumanie</w:t>
      </w:r>
      <w:r w:rsidRPr="00E540DD">
        <w:rPr>
          <w:lang w:val="fr-FR"/>
        </w:rPr>
        <w:t>, n</w:t>
      </w:r>
      <w:r w:rsidRPr="00E540DD">
        <w:rPr>
          <w:vertAlign w:val="superscript"/>
          <w:lang w:val="fr-FR"/>
        </w:rPr>
        <w:t>o</w:t>
      </w:r>
      <w:r w:rsidRPr="00E540DD">
        <w:rPr>
          <w:lang w:val="fr-FR"/>
        </w:rPr>
        <w:t> 20323/14, § 66</w:t>
      </w:r>
      <w:r w:rsidRPr="00E540DD" w:rsidR="003C6747">
        <w:rPr>
          <w:lang w:val="fr-FR"/>
        </w:rPr>
        <w:t xml:space="preserve">, 6 </w:t>
      </w:r>
      <w:r w:rsidRPr="00E540DD">
        <w:rPr>
          <w:lang w:val="fr-FR"/>
        </w:rPr>
        <w:t>décembre 2016).</w:t>
      </w:r>
      <w:r w:rsidRPr="00E540DD">
        <w:rPr>
          <w:i/>
          <w:lang w:val="pl-PL"/>
        </w:rPr>
        <w:t xml:space="preserve"> </w:t>
      </w:r>
      <w:r w:rsidRPr="00E540DD">
        <w:rPr>
          <w:lang w:val="fr-FR"/>
        </w:rPr>
        <w:t>Pour apprécier la nécessité de pareille mesure, la Cour a jugé comme étant pertinentes des considérations telles que la dangerosité du détenu et son comportement, la nature du crime commis, les garanties de retour en détention (eu égard notamment à la partie de la peine restant à exécuter) et l</w:t>
      </w:r>
      <w:r w:rsidRPr="00E540DD" w:rsidR="00E540DD">
        <w:rPr>
          <w:lang w:val="fr-FR"/>
        </w:rPr>
        <w:t>’</w:t>
      </w:r>
      <w:r w:rsidRPr="00E540DD">
        <w:rPr>
          <w:lang w:val="fr-FR"/>
        </w:rPr>
        <w:t>existence de solutions alternatives pour satisfaire la demande de l</w:t>
      </w:r>
      <w:r w:rsidRPr="00E540DD" w:rsidR="00E540DD">
        <w:rPr>
          <w:lang w:val="fr-FR"/>
        </w:rPr>
        <w:t>’</w:t>
      </w:r>
      <w:r w:rsidRPr="00E540DD">
        <w:rPr>
          <w:lang w:val="fr-FR"/>
        </w:rPr>
        <w:t>intéressé, en particulier la possibilité d</w:t>
      </w:r>
      <w:r w:rsidRPr="00E540DD" w:rsidR="00E540DD">
        <w:rPr>
          <w:lang w:val="fr-FR"/>
        </w:rPr>
        <w:t>’</w:t>
      </w:r>
      <w:r w:rsidRPr="00E540DD">
        <w:rPr>
          <w:lang w:val="fr-FR"/>
        </w:rPr>
        <w:t>organiser un déplacement sous escorte</w:t>
      </w:r>
      <w:r w:rsidRPr="00E540DD">
        <w:rPr>
          <w:i/>
          <w:lang w:val="pl-PL"/>
        </w:rPr>
        <w:t xml:space="preserve"> </w:t>
      </w:r>
      <w:r w:rsidRPr="00E540DD">
        <w:rPr>
          <w:lang w:val="fr-FR"/>
        </w:rPr>
        <w:t>(</w:t>
      </w:r>
      <w:proofErr w:type="spellStart"/>
      <w:r w:rsidRPr="00E540DD">
        <w:rPr>
          <w:i/>
          <w:lang w:val="fr-FR"/>
        </w:rPr>
        <w:t>Sannino</w:t>
      </w:r>
      <w:proofErr w:type="spellEnd"/>
      <w:r w:rsidRPr="00E540DD">
        <w:rPr>
          <w:i/>
          <w:lang w:val="fr-FR"/>
        </w:rPr>
        <w:t xml:space="preserve"> c. Italie </w:t>
      </w:r>
      <w:r w:rsidRPr="00E540DD">
        <w:rPr>
          <w:lang w:val="fr-FR"/>
        </w:rPr>
        <w:t>(déc.), n</w:t>
      </w:r>
      <w:r w:rsidRPr="00E540DD">
        <w:rPr>
          <w:vertAlign w:val="superscript"/>
          <w:lang w:val="fr-FR"/>
        </w:rPr>
        <w:t>o</w:t>
      </w:r>
      <w:r w:rsidRPr="00E540DD" w:rsidR="003C6747">
        <w:rPr>
          <w:lang w:val="fr-FR"/>
        </w:rPr>
        <w:t xml:space="preserve"> 72639/01, 3 </w:t>
      </w:r>
      <w:r w:rsidRPr="00E540DD">
        <w:rPr>
          <w:lang w:val="fr-FR"/>
        </w:rPr>
        <w:t>mai 2005,</w:t>
      </w:r>
      <w:r w:rsidRPr="00E540DD">
        <w:rPr>
          <w:i/>
          <w:lang w:val="fr-FR"/>
        </w:rPr>
        <w:t xml:space="preserve"> </w:t>
      </w:r>
      <w:proofErr w:type="spellStart"/>
      <w:r w:rsidRPr="00E540DD">
        <w:rPr>
          <w:i/>
          <w:lang w:val="fr-FR"/>
        </w:rPr>
        <w:t>Płoski</w:t>
      </w:r>
      <w:proofErr w:type="spellEnd"/>
      <w:r w:rsidRPr="00E540DD">
        <w:rPr>
          <w:lang w:val="fr-FR"/>
        </w:rPr>
        <w:t>, précité,</w:t>
      </w:r>
      <w:r w:rsidRPr="00E540DD" w:rsidR="003C6747">
        <w:rPr>
          <w:lang w:val="fr-FR"/>
        </w:rPr>
        <w:t xml:space="preserve"> § </w:t>
      </w:r>
      <w:r w:rsidRPr="00E540DD">
        <w:rPr>
          <w:lang w:val="fr-FR"/>
        </w:rPr>
        <w:t xml:space="preserve">37, </w:t>
      </w:r>
      <w:r w:rsidRPr="00E540DD">
        <w:rPr>
          <w:i/>
          <w:lang w:val="pl-PL"/>
        </w:rPr>
        <w:t>Czarnowski</w:t>
      </w:r>
      <w:r w:rsidRPr="00E540DD">
        <w:rPr>
          <w:lang w:val="pl-PL"/>
        </w:rPr>
        <w:t xml:space="preserve">, </w:t>
      </w:r>
      <w:proofErr w:type="spellStart"/>
      <w:r w:rsidRPr="00E540DD">
        <w:rPr>
          <w:lang w:val="pl-PL"/>
        </w:rPr>
        <w:t>précité</w:t>
      </w:r>
      <w:proofErr w:type="spellEnd"/>
      <w:r w:rsidRPr="00E540DD">
        <w:rPr>
          <w:lang w:val="pl-PL"/>
        </w:rPr>
        <w:t xml:space="preserve">, § 29, et </w:t>
      </w:r>
      <w:proofErr w:type="spellStart"/>
      <w:r w:rsidRPr="00E540DD">
        <w:rPr>
          <w:i/>
          <w:lang w:val="pl-PL"/>
        </w:rPr>
        <w:t>Kanalas</w:t>
      </w:r>
      <w:proofErr w:type="spellEnd"/>
      <w:r w:rsidRPr="00E540DD" w:rsidR="003C6747">
        <w:rPr>
          <w:lang w:val="pl-PL"/>
        </w:rPr>
        <w:t xml:space="preserve">, </w:t>
      </w:r>
      <w:proofErr w:type="spellStart"/>
      <w:r w:rsidRPr="00E540DD" w:rsidR="003C6747">
        <w:rPr>
          <w:lang w:val="pl-PL"/>
        </w:rPr>
        <w:t>précité</w:t>
      </w:r>
      <w:proofErr w:type="spellEnd"/>
      <w:r w:rsidRPr="00E540DD" w:rsidR="003C6747">
        <w:rPr>
          <w:lang w:val="pl-PL"/>
        </w:rPr>
        <w:t>, §§ </w:t>
      </w:r>
      <w:r w:rsidRPr="00E540DD">
        <w:rPr>
          <w:lang w:val="pl-PL"/>
        </w:rPr>
        <w:t>61-64).</w:t>
      </w:r>
    </w:p>
    <w:p w:rsidRPr="00E540DD" w:rsidR="009623D7" w:rsidP="00E540DD" w:rsidRDefault="009623D7">
      <w:pPr>
        <w:pStyle w:val="ECHRPara"/>
        <w:rPr>
          <w:lang w:val="fr-FR"/>
        </w:rPr>
      </w:pPr>
      <w:r w:rsidRPr="00E540DD">
        <w:rPr>
          <w:lang w:val="fr-FR"/>
        </w:rPr>
        <w:t>23.  En l</w:t>
      </w:r>
      <w:r w:rsidRPr="00E540DD" w:rsidR="00E540DD">
        <w:rPr>
          <w:lang w:val="fr-FR"/>
        </w:rPr>
        <w:t>’</w:t>
      </w:r>
      <w:r w:rsidRPr="00E540DD">
        <w:rPr>
          <w:lang w:val="fr-FR"/>
        </w:rPr>
        <w:t>espèce, la Cour note que le droit interne prévoit la possibilité d</w:t>
      </w:r>
      <w:r w:rsidRPr="00E540DD" w:rsidR="00E540DD">
        <w:rPr>
          <w:lang w:val="fr-FR"/>
        </w:rPr>
        <w:t>’</w:t>
      </w:r>
      <w:r w:rsidRPr="00E540DD">
        <w:rPr>
          <w:lang w:val="fr-FR"/>
        </w:rPr>
        <w:t>obtenir une permission de sortie uniquement pour les personnes détenues en exécution d</w:t>
      </w:r>
      <w:r w:rsidRPr="00E540DD" w:rsidR="00E540DD">
        <w:rPr>
          <w:lang w:val="fr-FR"/>
        </w:rPr>
        <w:t>’</w:t>
      </w:r>
      <w:r w:rsidRPr="00E540DD">
        <w:rPr>
          <w:lang w:val="fr-FR"/>
        </w:rPr>
        <w:t>une peine et que les déplacements sous escorte sont limités aux transferts entre les institutions judiciaires (paragraphes 12-16 ci-dessus), ce qui implique qu</w:t>
      </w:r>
      <w:r w:rsidRPr="00E540DD" w:rsidR="00E540DD">
        <w:rPr>
          <w:lang w:val="fr-FR"/>
        </w:rPr>
        <w:t>’</w:t>
      </w:r>
      <w:r w:rsidRPr="00E540DD">
        <w:rPr>
          <w:lang w:val="fr-FR"/>
        </w:rPr>
        <w:t>une personne placée en détention provisoire ne peut bénéficier d</w:t>
      </w:r>
      <w:r w:rsidRPr="00E540DD" w:rsidR="00E540DD">
        <w:rPr>
          <w:lang w:val="fr-FR"/>
        </w:rPr>
        <w:t>’</w:t>
      </w:r>
      <w:r w:rsidRPr="00E540DD">
        <w:rPr>
          <w:lang w:val="fr-FR"/>
        </w:rPr>
        <w:t>une de ces possibilités pour assister à l</w:t>
      </w:r>
      <w:r w:rsidRPr="00E540DD" w:rsidR="00E540DD">
        <w:rPr>
          <w:lang w:val="fr-FR"/>
        </w:rPr>
        <w:t>’</w:t>
      </w:r>
      <w:r w:rsidRPr="00E540DD">
        <w:rPr>
          <w:lang w:val="fr-FR"/>
        </w:rPr>
        <w:t>enterrement d</w:t>
      </w:r>
      <w:r w:rsidRPr="00E540DD" w:rsidR="00E540DD">
        <w:rPr>
          <w:lang w:val="fr-FR"/>
        </w:rPr>
        <w:t>’</w:t>
      </w:r>
      <w:r w:rsidRPr="00E540DD">
        <w:rPr>
          <w:lang w:val="fr-FR"/>
        </w:rPr>
        <w:t>un proche. Dans ces circonstances, le refus du tribunal d</w:t>
      </w:r>
      <w:r w:rsidRPr="00E540DD" w:rsidR="00E540DD">
        <w:rPr>
          <w:lang w:val="fr-FR"/>
        </w:rPr>
        <w:t>’</w:t>
      </w:r>
      <w:r w:rsidRPr="00E540DD">
        <w:rPr>
          <w:lang w:val="fr-FR"/>
        </w:rPr>
        <w:t>autoriser le requérant d</w:t>
      </w:r>
      <w:r w:rsidRPr="00E540DD" w:rsidR="00E540DD">
        <w:rPr>
          <w:lang w:val="fr-FR"/>
        </w:rPr>
        <w:t>’</w:t>
      </w:r>
      <w:r w:rsidRPr="00E540DD">
        <w:rPr>
          <w:lang w:val="fr-FR"/>
        </w:rPr>
        <w:t>assister à l</w:t>
      </w:r>
      <w:r w:rsidRPr="00E540DD" w:rsidR="00E540DD">
        <w:rPr>
          <w:lang w:val="fr-FR"/>
        </w:rPr>
        <w:t>’</w:t>
      </w:r>
      <w:r w:rsidRPr="00E540DD">
        <w:rPr>
          <w:lang w:val="fr-FR"/>
        </w:rPr>
        <w:t>enterrement de son frère peut être considéré comme « prévu par la loi », au sens de l</w:t>
      </w:r>
      <w:r w:rsidRPr="00E540DD" w:rsidR="00E540DD">
        <w:rPr>
          <w:lang w:val="fr-FR"/>
        </w:rPr>
        <w:t>’</w:t>
      </w:r>
      <w:r w:rsidRPr="00E540DD">
        <w:rPr>
          <w:lang w:val="fr-FR"/>
        </w:rPr>
        <w:t>article 8 § 2 de la Convention. Le requérant ayant été placé en détention provisoire dans l</w:t>
      </w:r>
      <w:r w:rsidRPr="00E540DD" w:rsidR="00E540DD">
        <w:rPr>
          <w:lang w:val="fr-FR"/>
        </w:rPr>
        <w:t>’</w:t>
      </w:r>
      <w:r w:rsidRPr="00E540DD">
        <w:rPr>
          <w:lang w:val="fr-FR"/>
        </w:rPr>
        <w:t>attente de son procès, la Cour accepte que l</w:t>
      </w:r>
      <w:r w:rsidRPr="00E540DD" w:rsidR="00E540DD">
        <w:rPr>
          <w:lang w:val="fr-FR"/>
        </w:rPr>
        <w:t>’</w:t>
      </w:r>
      <w:r w:rsidRPr="00E540DD">
        <w:rPr>
          <w:lang w:val="fr-FR"/>
        </w:rPr>
        <w:t>ingérence visait à assurer la comparution de l</w:t>
      </w:r>
      <w:r w:rsidRPr="00E540DD" w:rsidR="00E540DD">
        <w:rPr>
          <w:lang w:val="fr-FR"/>
        </w:rPr>
        <w:t>’</w:t>
      </w:r>
      <w:r w:rsidRPr="00E540DD">
        <w:rPr>
          <w:lang w:val="fr-FR"/>
        </w:rPr>
        <w:t>intéressé devant la justice, c</w:t>
      </w:r>
      <w:r w:rsidRPr="00E540DD" w:rsidR="00E540DD">
        <w:rPr>
          <w:lang w:val="fr-FR"/>
        </w:rPr>
        <w:t>’</w:t>
      </w:r>
      <w:r w:rsidRPr="00E540DD">
        <w:rPr>
          <w:lang w:val="fr-FR"/>
        </w:rPr>
        <w:t>est-à-dire à atteindre l</w:t>
      </w:r>
      <w:r w:rsidRPr="00E540DD" w:rsidR="00E540DD">
        <w:rPr>
          <w:lang w:val="fr-FR"/>
        </w:rPr>
        <w:t>’</w:t>
      </w:r>
      <w:r w:rsidRPr="00E540DD">
        <w:rPr>
          <w:lang w:val="fr-FR"/>
        </w:rPr>
        <w:t>objectif légitime, visé à l</w:t>
      </w:r>
      <w:r w:rsidRPr="00E540DD" w:rsidR="00E540DD">
        <w:rPr>
          <w:lang w:val="fr-FR"/>
        </w:rPr>
        <w:t>’</w:t>
      </w:r>
      <w:r w:rsidRPr="00E540DD">
        <w:rPr>
          <w:lang w:val="fr-FR"/>
        </w:rPr>
        <w:t>article 8 § 2 de la Convention, d</w:t>
      </w:r>
      <w:r w:rsidRPr="00E540DD" w:rsidR="00E540DD">
        <w:rPr>
          <w:lang w:val="fr-FR"/>
        </w:rPr>
        <w:t>’</w:t>
      </w:r>
      <w:r w:rsidRPr="00E540DD">
        <w:rPr>
          <w:lang w:val="fr-FR"/>
        </w:rPr>
        <w:t>assurer la défense de l</w:t>
      </w:r>
      <w:r w:rsidRPr="00E540DD" w:rsidR="00E540DD">
        <w:rPr>
          <w:lang w:val="fr-FR"/>
        </w:rPr>
        <w:t>’</w:t>
      </w:r>
      <w:r w:rsidRPr="00E540DD">
        <w:rPr>
          <w:lang w:val="fr-FR"/>
        </w:rPr>
        <w:t>ordre et la prévention des infractions pénales.</w:t>
      </w:r>
    </w:p>
    <w:p w:rsidRPr="00E540DD" w:rsidR="009623D7" w:rsidP="00E540DD" w:rsidRDefault="009623D7">
      <w:pPr>
        <w:pStyle w:val="ECHRPara"/>
        <w:rPr>
          <w:lang w:val="fr-FR"/>
        </w:rPr>
      </w:pPr>
      <w:r w:rsidRPr="00E540DD">
        <w:rPr>
          <w:lang w:val="fr-FR"/>
        </w:rPr>
        <w:t>24.  En ce qui concerne la nécessité de la mesure, la Cour relève que le droit interne ne prévoyant pas la possibilité d</w:t>
      </w:r>
      <w:r w:rsidRPr="00E540DD" w:rsidR="00E540DD">
        <w:rPr>
          <w:lang w:val="fr-FR"/>
        </w:rPr>
        <w:t>’</w:t>
      </w:r>
      <w:r w:rsidRPr="00E540DD">
        <w:rPr>
          <w:lang w:val="fr-FR"/>
        </w:rPr>
        <w:t>autoriser une personne placée en détention provisoire de bénéficier d</w:t>
      </w:r>
      <w:r w:rsidRPr="00E540DD" w:rsidR="00E540DD">
        <w:rPr>
          <w:lang w:val="fr-FR"/>
        </w:rPr>
        <w:t>’</w:t>
      </w:r>
      <w:r w:rsidRPr="00E540DD">
        <w:rPr>
          <w:lang w:val="fr-FR"/>
        </w:rPr>
        <w:t>une permission de sortie, les autorités internes n</w:t>
      </w:r>
      <w:r w:rsidRPr="00E540DD" w:rsidR="00E540DD">
        <w:rPr>
          <w:lang w:val="fr-FR"/>
        </w:rPr>
        <w:t>’</w:t>
      </w:r>
      <w:r w:rsidRPr="00E540DD">
        <w:rPr>
          <w:lang w:val="fr-FR"/>
        </w:rPr>
        <w:t>ont pas même envisagé cette éventualité. Quant à la possibilité d</w:t>
      </w:r>
      <w:r w:rsidRPr="00E540DD" w:rsidR="00E540DD">
        <w:rPr>
          <w:lang w:val="fr-FR"/>
        </w:rPr>
        <w:t>’</w:t>
      </w:r>
      <w:r w:rsidRPr="00E540DD">
        <w:rPr>
          <w:lang w:val="fr-FR"/>
        </w:rPr>
        <w:t>organiser le transfert du requérant sous escorte, si le tribunal de district a, dans un premier temps, autorisé le transport de l</w:t>
      </w:r>
      <w:r w:rsidRPr="00E540DD" w:rsidR="00E540DD">
        <w:rPr>
          <w:lang w:val="fr-FR"/>
        </w:rPr>
        <w:t>’</w:t>
      </w:r>
      <w:r w:rsidRPr="00E540DD">
        <w:rPr>
          <w:lang w:val="fr-FR"/>
        </w:rPr>
        <w:t>intéressé, il est ensuite revenu sur sa décision au motif que le service de sécurité compétent n</w:t>
      </w:r>
      <w:r w:rsidRPr="00E540DD" w:rsidR="00E540DD">
        <w:rPr>
          <w:lang w:val="fr-FR"/>
        </w:rPr>
        <w:t>’</w:t>
      </w:r>
      <w:r w:rsidRPr="00E540DD">
        <w:rPr>
          <w:lang w:val="fr-FR"/>
        </w:rPr>
        <w:t>était pas habilité à assurer l</w:t>
      </w:r>
      <w:r w:rsidRPr="00E540DD" w:rsidR="00E540DD">
        <w:rPr>
          <w:lang w:val="fr-FR"/>
        </w:rPr>
        <w:t>’</w:t>
      </w:r>
      <w:r w:rsidRPr="00E540DD">
        <w:rPr>
          <w:lang w:val="fr-FR"/>
        </w:rPr>
        <w:t>escorte de détenus pour ce motif. Certes, le tribunal a relevé que l</w:t>
      </w:r>
      <w:r w:rsidRPr="00E540DD" w:rsidR="00E540DD">
        <w:rPr>
          <w:lang w:val="fr-FR"/>
        </w:rPr>
        <w:t>’</w:t>
      </w:r>
      <w:r w:rsidRPr="00E540DD">
        <w:rPr>
          <w:lang w:val="fr-FR"/>
        </w:rPr>
        <w:t>organisation d</w:t>
      </w:r>
      <w:r w:rsidRPr="00E540DD" w:rsidR="00E540DD">
        <w:rPr>
          <w:lang w:val="fr-FR"/>
        </w:rPr>
        <w:t>’</w:t>
      </w:r>
      <w:r w:rsidRPr="00E540DD">
        <w:rPr>
          <w:lang w:val="fr-FR"/>
        </w:rPr>
        <w:t>un transport sous escorte engendrerait un coût important compte tenu du fait qu</w:t>
      </w:r>
      <w:r w:rsidRPr="00E540DD" w:rsidR="00E540DD">
        <w:rPr>
          <w:lang w:val="fr-FR"/>
        </w:rPr>
        <w:t>’</w:t>
      </w:r>
      <w:r w:rsidRPr="00E540DD">
        <w:rPr>
          <w:lang w:val="fr-FR"/>
        </w:rPr>
        <w:t>il devait avoir lieu un jour non ouvré. La Cour observe que l</w:t>
      </w:r>
      <w:r w:rsidRPr="00E540DD" w:rsidR="00E540DD">
        <w:rPr>
          <w:lang w:val="fr-FR"/>
        </w:rPr>
        <w:t>’</w:t>
      </w:r>
      <w:r w:rsidRPr="00E540DD">
        <w:rPr>
          <w:lang w:val="fr-FR"/>
        </w:rPr>
        <w:t>enterrement du frère du requérant devait effectivement avoir lieu un samedi dans une ville située à une distance non négligeable (environ 120 km) de son lieu de détention. Elle considère que des considérations liées à des difficultés d</w:t>
      </w:r>
      <w:r w:rsidRPr="00E540DD" w:rsidR="00E540DD">
        <w:rPr>
          <w:lang w:val="fr-FR"/>
        </w:rPr>
        <w:t>’</w:t>
      </w:r>
      <w:r w:rsidRPr="00E540DD">
        <w:rPr>
          <w:lang w:val="fr-FR"/>
        </w:rPr>
        <w:t>organisation ou de financement d</w:t>
      </w:r>
      <w:r w:rsidRPr="00E540DD" w:rsidR="00E540DD">
        <w:rPr>
          <w:lang w:val="fr-FR"/>
        </w:rPr>
        <w:t>’</w:t>
      </w:r>
      <w:r w:rsidRPr="00E540DD">
        <w:rPr>
          <w:lang w:val="fr-FR"/>
        </w:rPr>
        <w:t>un transport sous escorte peuvent en principe être pertinentes pour l</w:t>
      </w:r>
      <w:r w:rsidRPr="00E540DD" w:rsidR="00E540DD">
        <w:rPr>
          <w:lang w:val="fr-FR"/>
        </w:rPr>
        <w:t>’</w:t>
      </w:r>
      <w:r w:rsidRPr="00E540DD">
        <w:rPr>
          <w:lang w:val="fr-FR"/>
        </w:rPr>
        <w:t>appréciation de la proportionnalité du refus d</w:t>
      </w:r>
      <w:r w:rsidRPr="00E540DD" w:rsidR="00E540DD">
        <w:rPr>
          <w:lang w:val="fr-FR"/>
        </w:rPr>
        <w:t>’</w:t>
      </w:r>
      <w:r w:rsidRPr="00E540DD">
        <w:rPr>
          <w:lang w:val="fr-FR"/>
        </w:rPr>
        <w:t>autoriser un détenu à assister aux obsèques d</w:t>
      </w:r>
      <w:r w:rsidRPr="00E540DD" w:rsidR="00E540DD">
        <w:rPr>
          <w:lang w:val="fr-FR"/>
        </w:rPr>
        <w:t>’</w:t>
      </w:r>
      <w:r w:rsidRPr="00E540DD">
        <w:rPr>
          <w:lang w:val="fr-FR"/>
        </w:rPr>
        <w:t>un proche</w:t>
      </w:r>
      <w:r w:rsidRPr="00E540DD">
        <w:rPr>
          <w:i/>
          <w:lang w:val="fr-FR"/>
        </w:rPr>
        <w:t xml:space="preserve"> </w:t>
      </w:r>
      <w:r w:rsidRPr="00E540DD">
        <w:rPr>
          <w:lang w:val="fr-FR"/>
        </w:rPr>
        <w:t>(</w:t>
      </w:r>
      <w:proofErr w:type="spellStart"/>
      <w:r w:rsidRPr="00E540DD">
        <w:rPr>
          <w:i/>
          <w:lang w:val="fr-FR"/>
        </w:rPr>
        <w:t>Płoski</w:t>
      </w:r>
      <w:proofErr w:type="spellEnd"/>
      <w:r w:rsidRPr="00E540DD">
        <w:rPr>
          <w:lang w:val="fr-FR"/>
        </w:rPr>
        <w:t xml:space="preserve">, précité, § 37, et </w:t>
      </w:r>
      <w:proofErr w:type="spellStart"/>
      <w:r w:rsidRPr="00E540DD">
        <w:rPr>
          <w:i/>
          <w:lang w:val="fr-FR"/>
        </w:rPr>
        <w:t>Sannino</w:t>
      </w:r>
      <w:proofErr w:type="spellEnd"/>
      <w:r w:rsidRPr="00E540DD">
        <w:rPr>
          <w:lang w:val="fr-FR"/>
        </w:rPr>
        <w:t>, décision précitée). Elle constate cependant que, en l</w:t>
      </w:r>
      <w:r w:rsidRPr="00E540DD" w:rsidR="00E540DD">
        <w:rPr>
          <w:lang w:val="fr-FR"/>
        </w:rPr>
        <w:t>’</w:t>
      </w:r>
      <w:r w:rsidRPr="00E540DD">
        <w:rPr>
          <w:lang w:val="fr-FR"/>
        </w:rPr>
        <w:t>espèce, ces motifs n</w:t>
      </w:r>
      <w:r w:rsidRPr="00E540DD" w:rsidR="00E540DD">
        <w:rPr>
          <w:lang w:val="fr-FR"/>
        </w:rPr>
        <w:t>’</w:t>
      </w:r>
      <w:r w:rsidRPr="00E540DD">
        <w:rPr>
          <w:lang w:val="fr-FR"/>
        </w:rPr>
        <w:t>ont pas été réellement décisifs étant donné que le tribunal a constaté qu</w:t>
      </w:r>
      <w:r w:rsidRPr="00E540DD" w:rsidR="00E540DD">
        <w:rPr>
          <w:lang w:val="fr-FR"/>
        </w:rPr>
        <w:t>’</w:t>
      </w:r>
      <w:r w:rsidRPr="00E540DD">
        <w:rPr>
          <w:lang w:val="fr-FR"/>
        </w:rPr>
        <w:t>un tel transport n</w:t>
      </w:r>
      <w:r w:rsidRPr="00E540DD" w:rsidR="00E540DD">
        <w:rPr>
          <w:lang w:val="fr-FR"/>
        </w:rPr>
        <w:t>’</w:t>
      </w:r>
      <w:r w:rsidRPr="00E540DD">
        <w:rPr>
          <w:lang w:val="fr-FR"/>
        </w:rPr>
        <w:t>était de toute façon pas possible selon la réglementation applicable.</w:t>
      </w:r>
    </w:p>
    <w:p w:rsidRPr="00E540DD" w:rsidR="009623D7" w:rsidP="00E540DD" w:rsidRDefault="009623D7">
      <w:pPr>
        <w:pStyle w:val="ECHRPara"/>
        <w:rPr>
          <w:lang w:val="fr-FR"/>
        </w:rPr>
      </w:pPr>
      <w:r w:rsidRPr="00E540DD">
        <w:rPr>
          <w:lang w:val="fr-FR"/>
        </w:rPr>
        <w:t>25.  Il résulte de ce qui précède que les autorités internes ont refusé la demande du requérant d</w:t>
      </w:r>
      <w:r w:rsidRPr="00E540DD" w:rsidR="00E540DD">
        <w:rPr>
          <w:lang w:val="fr-FR"/>
        </w:rPr>
        <w:t>’</w:t>
      </w:r>
      <w:r w:rsidRPr="00E540DD">
        <w:rPr>
          <w:lang w:val="fr-FR"/>
        </w:rPr>
        <w:t>assister à l</w:t>
      </w:r>
      <w:r w:rsidRPr="00E540DD" w:rsidR="00E540DD">
        <w:rPr>
          <w:lang w:val="fr-FR"/>
        </w:rPr>
        <w:t>’</w:t>
      </w:r>
      <w:r w:rsidRPr="00E540DD">
        <w:rPr>
          <w:lang w:val="fr-FR"/>
        </w:rPr>
        <w:t>enterrement de son frère au motif qu</w:t>
      </w:r>
      <w:r w:rsidRPr="00E540DD" w:rsidR="00E540DD">
        <w:rPr>
          <w:lang w:val="fr-FR"/>
        </w:rPr>
        <w:t>’</w:t>
      </w:r>
      <w:r w:rsidRPr="00E540DD">
        <w:rPr>
          <w:lang w:val="fr-FR"/>
        </w:rPr>
        <w:t>une telle possibilité n</w:t>
      </w:r>
      <w:r w:rsidRPr="00E540DD" w:rsidR="00E540DD">
        <w:rPr>
          <w:lang w:val="fr-FR"/>
        </w:rPr>
        <w:t>’</w:t>
      </w:r>
      <w:r w:rsidRPr="00E540DD">
        <w:rPr>
          <w:lang w:val="fr-FR"/>
        </w:rPr>
        <w:t>était pas prévue par le droit interne, sans fonder leur décision sur un examen individuel et circonstancié de cette demande et à une mise en balance des intérêts en jeu, à savoir, d</w:t>
      </w:r>
      <w:r w:rsidRPr="00E540DD" w:rsidR="00E540DD">
        <w:rPr>
          <w:lang w:val="fr-FR"/>
        </w:rPr>
        <w:t>’</w:t>
      </w:r>
      <w:r w:rsidRPr="00E540DD">
        <w:rPr>
          <w:lang w:val="fr-FR"/>
        </w:rPr>
        <w:t>une part, le droit de l</w:t>
      </w:r>
      <w:r w:rsidRPr="00E540DD" w:rsidR="00E540DD">
        <w:rPr>
          <w:lang w:val="fr-FR"/>
        </w:rPr>
        <w:t>’</w:t>
      </w:r>
      <w:r w:rsidRPr="00E540DD">
        <w:rPr>
          <w:lang w:val="fr-FR"/>
        </w:rPr>
        <w:t>intéressé au respect de sa vie privée et familiale et, d</w:t>
      </w:r>
      <w:r w:rsidRPr="00E540DD" w:rsidR="00E540DD">
        <w:rPr>
          <w:lang w:val="fr-FR"/>
        </w:rPr>
        <w:t>’</w:t>
      </w:r>
      <w:r w:rsidRPr="00E540DD">
        <w:rPr>
          <w:lang w:val="fr-FR"/>
        </w:rPr>
        <w:t>autre part, les impératifs liés à la défense de l</w:t>
      </w:r>
      <w:r w:rsidRPr="00E540DD" w:rsidR="00E540DD">
        <w:rPr>
          <w:lang w:val="fr-FR"/>
        </w:rPr>
        <w:t>’</w:t>
      </w:r>
      <w:r w:rsidRPr="00E540DD">
        <w:rPr>
          <w:lang w:val="fr-FR"/>
        </w:rPr>
        <w:t>ordre et à la prévention des infractions pénales. Dans ces circonstances, et sans vouloir spéculer sur la décision à laquelle auraient abouti les autorités internes si un tel examen avait été réalisé, la Cour estime qu</w:t>
      </w:r>
      <w:r w:rsidRPr="00E540DD" w:rsidR="00E540DD">
        <w:rPr>
          <w:lang w:val="fr-FR"/>
        </w:rPr>
        <w:t>’</w:t>
      </w:r>
      <w:r w:rsidRPr="00E540DD">
        <w:rPr>
          <w:lang w:val="fr-FR"/>
        </w:rPr>
        <w:t>il n</w:t>
      </w:r>
      <w:r w:rsidRPr="00E540DD" w:rsidR="00E540DD">
        <w:rPr>
          <w:lang w:val="fr-FR"/>
        </w:rPr>
        <w:t>’</w:t>
      </w:r>
      <w:r w:rsidRPr="00E540DD">
        <w:rPr>
          <w:lang w:val="fr-FR"/>
        </w:rPr>
        <w:t>a pas été démontré que l</w:t>
      </w:r>
      <w:r w:rsidRPr="00E540DD" w:rsidR="00E540DD">
        <w:rPr>
          <w:lang w:val="fr-FR"/>
        </w:rPr>
        <w:t>’</w:t>
      </w:r>
      <w:r w:rsidRPr="00E540DD">
        <w:rPr>
          <w:lang w:val="fr-FR"/>
        </w:rPr>
        <w:t xml:space="preserve">ingérence dans le droit à la vie privée et familiale du requérant était « nécessaire dans une société démocratique » (voir, pour un cas similaire, </w:t>
      </w:r>
      <w:proofErr w:type="spellStart"/>
      <w:r w:rsidRPr="00E540DD">
        <w:rPr>
          <w:i/>
          <w:lang w:val="fr-FR"/>
        </w:rPr>
        <w:t>Feldman</w:t>
      </w:r>
      <w:proofErr w:type="spellEnd"/>
      <w:r w:rsidRPr="00E540DD">
        <w:rPr>
          <w:i/>
          <w:lang w:val="fr-FR"/>
        </w:rPr>
        <w:t xml:space="preserve"> c. Ukraine (n</w:t>
      </w:r>
      <w:r w:rsidRPr="00E540DD">
        <w:rPr>
          <w:rFonts w:cs="Times New Roman"/>
          <w:i/>
          <w:vertAlign w:val="superscript"/>
          <w:lang w:val="fr-FR"/>
        </w:rPr>
        <w:t>o</w:t>
      </w:r>
      <w:r w:rsidRPr="00E540DD">
        <w:rPr>
          <w:i/>
          <w:lang w:val="fr-FR"/>
        </w:rPr>
        <w:t> 2)</w:t>
      </w:r>
      <w:r w:rsidRPr="00E540DD">
        <w:rPr>
          <w:lang w:val="fr-FR"/>
        </w:rPr>
        <w:t>, n</w:t>
      </w:r>
      <w:r w:rsidRPr="00E540DD">
        <w:rPr>
          <w:vertAlign w:val="superscript"/>
          <w:lang w:val="fr-FR"/>
        </w:rPr>
        <w:t>o</w:t>
      </w:r>
      <w:r w:rsidRPr="00E540DD">
        <w:rPr>
          <w:lang w:val="fr-FR"/>
        </w:rPr>
        <w:t> 42921/09, § 35, 12 janvier 2012).</w:t>
      </w:r>
    </w:p>
    <w:p w:rsidRPr="00E540DD" w:rsidR="009623D7" w:rsidP="00E540DD" w:rsidRDefault="009623D7">
      <w:pPr>
        <w:pStyle w:val="ECHRPara"/>
        <w:rPr>
          <w:lang w:val="fr-FR"/>
        </w:rPr>
      </w:pPr>
      <w:r w:rsidRPr="00E540DD">
        <w:rPr>
          <w:lang w:val="fr-FR"/>
        </w:rPr>
        <w:t>26.  Partant, il y a eu violation de l</w:t>
      </w:r>
      <w:r w:rsidRPr="00E540DD" w:rsidR="00E540DD">
        <w:rPr>
          <w:lang w:val="fr-FR"/>
        </w:rPr>
        <w:t>’</w:t>
      </w:r>
      <w:r w:rsidRPr="00E540DD">
        <w:rPr>
          <w:lang w:val="fr-FR"/>
        </w:rPr>
        <w:t>article 8 de la Convention.</w:t>
      </w:r>
    </w:p>
    <w:p w:rsidRPr="00E540DD" w:rsidR="009623D7" w:rsidP="00E540DD" w:rsidRDefault="009623D7">
      <w:pPr>
        <w:pStyle w:val="ECHRHeading1"/>
        <w:rPr>
          <w:lang w:val="fr-FR"/>
        </w:rPr>
      </w:pPr>
      <w:r w:rsidRPr="00E540DD">
        <w:rPr>
          <w:lang w:val="fr-FR"/>
        </w:rPr>
        <w:t>II</w:t>
      </w:r>
      <w:r w:rsidRPr="00E540DD">
        <w:rPr>
          <w:lang w:val="es-ES_tradnl"/>
        </w:rPr>
        <w:t>.  </w:t>
      </w:r>
      <w:r w:rsidRPr="00E540DD">
        <w:rPr>
          <w:lang w:val="fr-FR"/>
        </w:rPr>
        <w:t>SUR L</w:t>
      </w:r>
      <w:r w:rsidRPr="00E540DD" w:rsidR="00E540DD">
        <w:rPr>
          <w:lang w:val="fr-FR"/>
        </w:rPr>
        <w:t>’</w:t>
      </w:r>
      <w:r w:rsidRPr="00E540DD">
        <w:rPr>
          <w:lang w:val="fr-FR"/>
        </w:rPr>
        <w:t>APPLICATION DE L</w:t>
      </w:r>
      <w:r w:rsidRPr="00E540DD" w:rsidR="00E540DD">
        <w:rPr>
          <w:lang w:val="fr-FR"/>
        </w:rPr>
        <w:t>’</w:t>
      </w:r>
      <w:r w:rsidRPr="00E540DD">
        <w:rPr>
          <w:lang w:val="fr-FR"/>
        </w:rPr>
        <w:t>ARTICLE 41 DE LA CONVENTION</w:t>
      </w:r>
    </w:p>
    <w:p w:rsidRPr="00E540DD" w:rsidR="009623D7" w:rsidP="00E540DD" w:rsidRDefault="009623D7">
      <w:pPr>
        <w:pStyle w:val="ECHRPara"/>
        <w:rPr>
          <w:lang w:val="fr-FR"/>
        </w:rPr>
      </w:pPr>
      <w:r w:rsidRPr="00E540DD">
        <w:rPr>
          <w:lang w:val="fr-FR"/>
        </w:rPr>
        <w:t>27.  Aux termes de l</w:t>
      </w:r>
      <w:r w:rsidRPr="00E540DD" w:rsidR="00E540DD">
        <w:rPr>
          <w:lang w:val="fr-FR"/>
        </w:rPr>
        <w:t>’</w:t>
      </w:r>
      <w:r w:rsidRPr="00E540DD">
        <w:rPr>
          <w:lang w:val="fr-FR"/>
        </w:rPr>
        <w:t>article</w:t>
      </w:r>
      <w:r w:rsidRPr="00E540DD" w:rsidR="003C6747">
        <w:rPr>
          <w:lang w:val="fr-FR"/>
        </w:rPr>
        <w:t> </w:t>
      </w:r>
      <w:r w:rsidRPr="00E540DD">
        <w:rPr>
          <w:lang w:val="fr-FR"/>
        </w:rPr>
        <w:t>41 de la Convention,</w:t>
      </w:r>
    </w:p>
    <w:p w:rsidRPr="00E540DD" w:rsidR="009623D7" w:rsidP="00E540DD" w:rsidRDefault="009623D7">
      <w:pPr>
        <w:pStyle w:val="ECHRParaQuote"/>
        <w:keepNext/>
        <w:keepLines/>
        <w:rPr>
          <w:lang w:val="fr-FR"/>
        </w:rPr>
      </w:pPr>
      <w:r w:rsidRPr="00E540DD">
        <w:rPr>
          <w:lang w:val="fr-FR"/>
        </w:rPr>
        <w:t>« Si la Cour déclare qu</w:t>
      </w:r>
      <w:r w:rsidRPr="00E540DD" w:rsidR="00E540DD">
        <w:rPr>
          <w:lang w:val="fr-FR"/>
        </w:rPr>
        <w:t>’</w:t>
      </w:r>
      <w:r w:rsidRPr="00E540DD">
        <w:rPr>
          <w:lang w:val="fr-FR"/>
        </w:rPr>
        <w:t>il y a eu violation de la Convention ou de ses Protocoles, et si le droit interne de la Haute Partie contractante ne permet d</w:t>
      </w:r>
      <w:r w:rsidRPr="00E540DD" w:rsidR="00E540DD">
        <w:rPr>
          <w:lang w:val="fr-FR"/>
        </w:rPr>
        <w:t>’</w:t>
      </w:r>
      <w:r w:rsidRPr="00E540DD">
        <w:rPr>
          <w:lang w:val="fr-FR"/>
        </w:rPr>
        <w:t>effacer qu</w:t>
      </w:r>
      <w:r w:rsidRPr="00E540DD" w:rsidR="00E540DD">
        <w:rPr>
          <w:lang w:val="fr-FR"/>
        </w:rPr>
        <w:t>’</w:t>
      </w:r>
      <w:r w:rsidRPr="00E540DD">
        <w:rPr>
          <w:lang w:val="fr-FR"/>
        </w:rPr>
        <w:t>imparfaitement les conséquences de cette violation, la Cour accorde à la partie lésée, s</w:t>
      </w:r>
      <w:r w:rsidRPr="00E540DD" w:rsidR="00E540DD">
        <w:rPr>
          <w:lang w:val="fr-FR"/>
        </w:rPr>
        <w:t>’</w:t>
      </w:r>
      <w:r w:rsidRPr="00E540DD">
        <w:rPr>
          <w:lang w:val="fr-FR"/>
        </w:rPr>
        <w:t>il y a lieu, une satisfaction équitable. »</w:t>
      </w:r>
    </w:p>
    <w:p w:rsidRPr="00E540DD" w:rsidR="009623D7" w:rsidP="00E540DD" w:rsidRDefault="009623D7">
      <w:pPr>
        <w:pStyle w:val="ECHRHeading2"/>
        <w:rPr>
          <w:lang w:val="fr-FR"/>
        </w:rPr>
      </w:pPr>
      <w:r w:rsidRPr="00E540DD">
        <w:rPr>
          <w:lang w:val="fr-FR"/>
        </w:rPr>
        <w:t>A.  Dommage</w:t>
      </w:r>
    </w:p>
    <w:p w:rsidRPr="00E540DD" w:rsidR="009623D7" w:rsidP="00E540DD" w:rsidRDefault="009623D7">
      <w:pPr>
        <w:pStyle w:val="ECHRPara"/>
        <w:rPr>
          <w:lang w:val="fr-FR"/>
        </w:rPr>
      </w:pPr>
      <w:r w:rsidRPr="00E540DD">
        <w:rPr>
          <w:lang w:val="fr-FR"/>
        </w:rPr>
        <w:t>28.  Le requérant réclame 5 000 euros (EUR) au titre du préjudice moral qu</w:t>
      </w:r>
      <w:r w:rsidRPr="00E540DD" w:rsidR="00E540DD">
        <w:rPr>
          <w:lang w:val="fr-FR"/>
        </w:rPr>
        <w:t>’</w:t>
      </w:r>
      <w:r w:rsidRPr="00E540DD">
        <w:rPr>
          <w:lang w:val="fr-FR"/>
        </w:rPr>
        <w:t>il estime avoir subi.</w:t>
      </w:r>
    </w:p>
    <w:p w:rsidRPr="00E540DD" w:rsidR="009623D7" w:rsidP="00E540DD" w:rsidRDefault="009623D7">
      <w:pPr>
        <w:pStyle w:val="ECHRPara"/>
        <w:rPr>
          <w:lang w:val="fr-FR"/>
        </w:rPr>
      </w:pPr>
      <w:r w:rsidRPr="00E540DD">
        <w:rPr>
          <w:lang w:val="fr-FR"/>
        </w:rPr>
        <w:t>29.  Le Gouvernement juge ces prétentions excessives et estime que le constat de violation de la Convention constituerait une compensation suffisante pour tout préjudice moral éventuellement subi par l</w:t>
      </w:r>
      <w:r w:rsidRPr="00E540DD" w:rsidR="00E540DD">
        <w:rPr>
          <w:lang w:val="fr-FR"/>
        </w:rPr>
        <w:t>’</w:t>
      </w:r>
      <w:r w:rsidRPr="00E540DD">
        <w:rPr>
          <w:lang w:val="fr-FR"/>
        </w:rPr>
        <w:t>intéressé.</w:t>
      </w:r>
    </w:p>
    <w:p w:rsidRPr="00E540DD" w:rsidR="009623D7" w:rsidP="00E540DD" w:rsidRDefault="009623D7">
      <w:pPr>
        <w:pStyle w:val="ECHRPara"/>
        <w:rPr>
          <w:lang w:val="fr-FR"/>
        </w:rPr>
      </w:pPr>
      <w:r w:rsidRPr="00E540DD">
        <w:rPr>
          <w:lang w:val="fr-FR"/>
        </w:rPr>
        <w:t>30.  Compte tenu de tous les éléments en sa possession, la Cour considère qu</w:t>
      </w:r>
      <w:r w:rsidRPr="00E540DD" w:rsidR="00E540DD">
        <w:rPr>
          <w:lang w:val="fr-FR"/>
        </w:rPr>
        <w:t>’</w:t>
      </w:r>
      <w:r w:rsidRPr="00E540DD">
        <w:rPr>
          <w:lang w:val="fr-FR"/>
        </w:rPr>
        <w:t>il y a lieu d</w:t>
      </w:r>
      <w:r w:rsidRPr="00E540DD" w:rsidR="00E540DD">
        <w:rPr>
          <w:lang w:val="fr-FR"/>
        </w:rPr>
        <w:t>’</w:t>
      </w:r>
      <w:r w:rsidRPr="00E540DD">
        <w:rPr>
          <w:lang w:val="fr-FR"/>
        </w:rPr>
        <w:t>octroyer au requérant 1 500 EUR à ce titre.</w:t>
      </w:r>
    </w:p>
    <w:p w:rsidRPr="00E540DD" w:rsidR="009623D7" w:rsidP="00E540DD" w:rsidRDefault="009623D7">
      <w:pPr>
        <w:pStyle w:val="ECHRHeading2"/>
        <w:rPr>
          <w:lang w:val="fr-FR"/>
        </w:rPr>
      </w:pPr>
      <w:r w:rsidRPr="00E540DD">
        <w:rPr>
          <w:lang w:val="fr-FR"/>
        </w:rPr>
        <w:t>B.  Frais et dépens</w:t>
      </w:r>
    </w:p>
    <w:p w:rsidRPr="00E540DD" w:rsidR="009623D7" w:rsidP="00E540DD" w:rsidRDefault="009623D7">
      <w:pPr>
        <w:pStyle w:val="ECHRPara"/>
        <w:rPr>
          <w:lang w:val="fr-FR"/>
        </w:rPr>
      </w:pPr>
      <w:r w:rsidRPr="00E540DD">
        <w:rPr>
          <w:lang w:val="fr-FR"/>
        </w:rPr>
        <w:t>31.  Le requérant n</w:t>
      </w:r>
      <w:r w:rsidRPr="00E540DD" w:rsidR="00E540DD">
        <w:rPr>
          <w:lang w:val="fr-FR"/>
        </w:rPr>
        <w:t>’</w:t>
      </w:r>
      <w:r w:rsidRPr="00E540DD">
        <w:rPr>
          <w:lang w:val="fr-FR"/>
        </w:rPr>
        <w:t>a présenté aucune demande de remboursement de frais et dépens. Partant, la Cour estime qu</w:t>
      </w:r>
      <w:r w:rsidRPr="00E540DD" w:rsidR="00E540DD">
        <w:rPr>
          <w:lang w:val="fr-FR"/>
        </w:rPr>
        <w:t>’</w:t>
      </w:r>
      <w:r w:rsidRPr="00E540DD">
        <w:rPr>
          <w:lang w:val="fr-FR"/>
        </w:rPr>
        <w:t>il n</w:t>
      </w:r>
      <w:r w:rsidRPr="00E540DD" w:rsidR="00E540DD">
        <w:rPr>
          <w:lang w:val="fr-FR"/>
        </w:rPr>
        <w:t>’</w:t>
      </w:r>
      <w:r w:rsidRPr="00E540DD">
        <w:rPr>
          <w:lang w:val="fr-FR"/>
        </w:rPr>
        <w:t>y a pas lieu de lui octroyer de somme à ce titre.</w:t>
      </w:r>
    </w:p>
    <w:p w:rsidRPr="00E540DD" w:rsidR="009623D7" w:rsidP="00E540DD" w:rsidRDefault="009623D7">
      <w:pPr>
        <w:pStyle w:val="ECHRHeading2"/>
        <w:rPr>
          <w:lang w:val="fr-FR"/>
        </w:rPr>
      </w:pPr>
      <w:r w:rsidRPr="00E540DD">
        <w:rPr>
          <w:lang w:val="fr-FR"/>
        </w:rPr>
        <w:t>C.  Intérêts moratoires</w:t>
      </w:r>
    </w:p>
    <w:p w:rsidRPr="00E540DD" w:rsidR="009623D7" w:rsidP="00E540DD" w:rsidRDefault="009623D7">
      <w:pPr>
        <w:pStyle w:val="ECHRPara"/>
        <w:rPr>
          <w:lang w:val="fr-FR"/>
        </w:rPr>
      </w:pPr>
      <w:r w:rsidRPr="00E540DD">
        <w:rPr>
          <w:lang w:val="fr-FR"/>
        </w:rPr>
        <w:t>32.  La Cour juge approprié de calquer le taux des intérêts moratoires sur le taux d</w:t>
      </w:r>
      <w:r w:rsidRPr="00E540DD" w:rsidR="00E540DD">
        <w:rPr>
          <w:lang w:val="fr-FR"/>
        </w:rPr>
        <w:t>’</w:t>
      </w:r>
      <w:r w:rsidRPr="00E540DD">
        <w:rPr>
          <w:lang w:val="fr-FR"/>
        </w:rPr>
        <w:t>intérêt de la facilité de prêt marginal de la Banque centrale européenne majoré de trois points de pourcentage.</w:t>
      </w:r>
    </w:p>
    <w:p w:rsidRPr="00E540DD" w:rsidR="009623D7" w:rsidP="00E540DD" w:rsidRDefault="009623D7">
      <w:pPr>
        <w:pStyle w:val="ECHRTitle1"/>
        <w:rPr>
          <w:lang w:val="fr-FR"/>
        </w:rPr>
      </w:pPr>
      <w:r w:rsidRPr="00E540DD">
        <w:rPr>
          <w:lang w:val="fr-FR"/>
        </w:rPr>
        <w:t>PAR CES MOTIFS, LA COUR, À L</w:t>
      </w:r>
      <w:r w:rsidRPr="00E540DD" w:rsidR="00E540DD">
        <w:rPr>
          <w:lang w:val="fr-FR"/>
        </w:rPr>
        <w:t>’</w:t>
      </w:r>
      <w:r w:rsidRPr="00E540DD">
        <w:rPr>
          <w:lang w:val="fr-FR"/>
        </w:rPr>
        <w:t>UNANIMITÉ,</w:t>
      </w:r>
    </w:p>
    <w:p w:rsidRPr="00E540DD" w:rsidR="009623D7" w:rsidP="00E540DD" w:rsidRDefault="009623D7">
      <w:pPr>
        <w:pStyle w:val="JuList"/>
        <w:ind w:left="0" w:firstLine="0"/>
        <w:rPr>
          <w:lang w:val="fr-FR"/>
        </w:rPr>
      </w:pPr>
      <w:r w:rsidRPr="00E540DD">
        <w:rPr>
          <w:lang w:val="fr-FR"/>
        </w:rPr>
        <w:t>1.  </w:t>
      </w:r>
      <w:r w:rsidRPr="00E540DD">
        <w:rPr>
          <w:i/>
          <w:lang w:val="fr-FR"/>
        </w:rPr>
        <w:t>Déclare</w:t>
      </w:r>
      <w:r w:rsidRPr="00E540DD">
        <w:rPr>
          <w:lang w:val="fr-FR"/>
        </w:rPr>
        <w:t xml:space="preserve"> la requête recevable ;</w:t>
      </w:r>
    </w:p>
    <w:p w:rsidRPr="00E540DD" w:rsidR="009623D7" w:rsidP="00E540DD" w:rsidRDefault="009623D7">
      <w:pPr>
        <w:pStyle w:val="JuList"/>
        <w:rPr>
          <w:lang w:val="fr-FR"/>
        </w:rPr>
      </w:pPr>
    </w:p>
    <w:p w:rsidRPr="00E540DD" w:rsidR="009623D7" w:rsidP="00E540DD" w:rsidRDefault="009623D7">
      <w:pPr>
        <w:pStyle w:val="JuList"/>
        <w:rPr>
          <w:lang w:val="fr-FR"/>
        </w:rPr>
      </w:pPr>
      <w:r w:rsidRPr="00E540DD">
        <w:rPr>
          <w:lang w:val="fr-FR"/>
        </w:rPr>
        <w:t>2.  </w:t>
      </w:r>
      <w:r w:rsidRPr="00E540DD">
        <w:rPr>
          <w:i/>
          <w:lang w:val="fr-FR"/>
        </w:rPr>
        <w:t>Dit</w:t>
      </w:r>
      <w:r w:rsidRPr="00E540DD">
        <w:rPr>
          <w:lang w:val="fr-FR"/>
        </w:rPr>
        <w:t xml:space="preserve"> qu</w:t>
      </w:r>
      <w:r w:rsidRPr="00E540DD" w:rsidR="00E540DD">
        <w:rPr>
          <w:lang w:val="fr-FR"/>
        </w:rPr>
        <w:t>’</w:t>
      </w:r>
      <w:r w:rsidRPr="00E540DD">
        <w:rPr>
          <w:lang w:val="fr-FR"/>
        </w:rPr>
        <w:t>il y a eu violation de l</w:t>
      </w:r>
      <w:r w:rsidRPr="00E540DD" w:rsidR="00E540DD">
        <w:rPr>
          <w:lang w:val="fr-FR"/>
        </w:rPr>
        <w:t>’</w:t>
      </w:r>
      <w:r w:rsidRPr="00E540DD">
        <w:rPr>
          <w:lang w:val="fr-FR"/>
        </w:rPr>
        <w:t>article 8 de la Convention ;</w:t>
      </w:r>
    </w:p>
    <w:p w:rsidRPr="00E540DD" w:rsidR="009623D7" w:rsidP="00E540DD" w:rsidRDefault="009623D7">
      <w:pPr>
        <w:pStyle w:val="JuList"/>
        <w:rPr>
          <w:lang w:val="fr-FR"/>
        </w:rPr>
      </w:pPr>
    </w:p>
    <w:p w:rsidRPr="00E540DD" w:rsidR="009623D7" w:rsidP="00E540DD" w:rsidRDefault="009623D7">
      <w:pPr>
        <w:pStyle w:val="JuList"/>
        <w:rPr>
          <w:lang w:val="fr-FR"/>
        </w:rPr>
      </w:pPr>
      <w:r w:rsidRPr="00E540DD">
        <w:rPr>
          <w:lang w:val="fr-FR"/>
        </w:rPr>
        <w:t>3.  </w:t>
      </w:r>
      <w:r w:rsidRPr="00E540DD">
        <w:rPr>
          <w:i/>
          <w:lang w:val="fr-FR"/>
        </w:rPr>
        <w:t>Dit</w:t>
      </w:r>
    </w:p>
    <w:p w:rsidRPr="00E540DD" w:rsidR="009623D7" w:rsidP="00E540DD" w:rsidRDefault="009623D7">
      <w:pPr>
        <w:pStyle w:val="JuLista"/>
        <w:rPr>
          <w:lang w:val="fr-FR" w:eastAsia="en-GB"/>
        </w:rPr>
      </w:pPr>
      <w:r w:rsidRPr="00E540DD">
        <w:rPr>
          <w:lang w:val="fr-FR"/>
        </w:rPr>
        <w:t>a)  que l</w:t>
      </w:r>
      <w:r w:rsidRPr="00E540DD" w:rsidR="00E540DD">
        <w:rPr>
          <w:lang w:val="fr-FR"/>
        </w:rPr>
        <w:t>’</w:t>
      </w:r>
      <w:r w:rsidRPr="00E540DD">
        <w:rPr>
          <w:lang w:val="fr-FR"/>
        </w:rPr>
        <w:t>État défendeur doit verser au requérant, dans les trois mois à compter du jour où l</w:t>
      </w:r>
      <w:r w:rsidRPr="00E540DD" w:rsidR="00E540DD">
        <w:rPr>
          <w:lang w:val="fr-FR"/>
        </w:rPr>
        <w:t>’</w:t>
      </w:r>
      <w:r w:rsidRPr="00E540DD">
        <w:rPr>
          <w:lang w:val="fr-FR"/>
        </w:rPr>
        <w:t>arrêt sera devenu définitif conformément à l</w:t>
      </w:r>
      <w:r w:rsidRPr="00E540DD" w:rsidR="00E540DD">
        <w:rPr>
          <w:lang w:val="fr-FR"/>
        </w:rPr>
        <w:t>’</w:t>
      </w:r>
      <w:r w:rsidRPr="00E540DD">
        <w:rPr>
          <w:lang w:val="fr-FR"/>
        </w:rPr>
        <w:t xml:space="preserve">article 44 § 2 de la Convention, </w:t>
      </w:r>
      <w:r w:rsidRPr="00E540DD">
        <w:rPr>
          <w:lang w:val="fr-FR" w:eastAsia="en-GB"/>
        </w:rPr>
        <w:t>1 500 EUR (mille cinq cent</w:t>
      </w:r>
      <w:r w:rsidRPr="00E540DD" w:rsidR="00716060">
        <w:rPr>
          <w:lang w:val="fr-FR" w:eastAsia="en-GB"/>
        </w:rPr>
        <w:t>s</w:t>
      </w:r>
      <w:r w:rsidRPr="00E540DD">
        <w:rPr>
          <w:lang w:val="fr-FR" w:eastAsia="en-GB"/>
        </w:rPr>
        <w:t xml:space="preserve"> euros), plus tout montant pouvant être dû à titre d</w:t>
      </w:r>
      <w:r w:rsidRPr="00E540DD" w:rsidR="00E540DD">
        <w:rPr>
          <w:lang w:val="fr-FR" w:eastAsia="en-GB"/>
        </w:rPr>
        <w:t>’</w:t>
      </w:r>
      <w:r w:rsidRPr="00E540DD">
        <w:rPr>
          <w:lang w:val="fr-FR" w:eastAsia="en-GB"/>
        </w:rPr>
        <w:t xml:space="preserve">impôt, pour dommage moral, </w:t>
      </w:r>
      <w:r w:rsidRPr="00E540DD">
        <w:rPr>
          <w:lang w:val="fr-FR"/>
        </w:rPr>
        <w:t xml:space="preserve">à convertir en </w:t>
      </w:r>
      <w:proofErr w:type="spellStart"/>
      <w:r w:rsidRPr="00E540DD">
        <w:rPr>
          <w:lang w:val="fr-FR" w:eastAsia="en-GB"/>
        </w:rPr>
        <w:t>levs</w:t>
      </w:r>
      <w:proofErr w:type="spellEnd"/>
      <w:r w:rsidRPr="00E540DD">
        <w:rPr>
          <w:lang w:val="fr-FR" w:eastAsia="en-GB"/>
        </w:rPr>
        <w:t xml:space="preserve"> bulgares</w:t>
      </w:r>
      <w:r w:rsidRPr="00E540DD">
        <w:rPr>
          <w:lang w:val="fr-FR"/>
        </w:rPr>
        <w:t xml:space="preserve"> au taux applicable à la date du règlement ;</w:t>
      </w:r>
    </w:p>
    <w:p w:rsidRPr="00E540DD" w:rsidR="009623D7" w:rsidP="00E540DD" w:rsidRDefault="009623D7">
      <w:pPr>
        <w:pStyle w:val="JuLista"/>
        <w:rPr>
          <w:lang w:val="fr-FR"/>
        </w:rPr>
      </w:pPr>
      <w:r w:rsidRPr="00E540DD">
        <w:rPr>
          <w:lang w:val="fr-FR"/>
        </w:rPr>
        <w:t>b)  qu</w:t>
      </w:r>
      <w:r w:rsidRPr="00E540DD" w:rsidR="00E540DD">
        <w:rPr>
          <w:lang w:val="fr-FR"/>
        </w:rPr>
        <w:t>’</w:t>
      </w:r>
      <w:r w:rsidRPr="00E540DD">
        <w:rPr>
          <w:lang w:val="fr-FR"/>
        </w:rPr>
        <w:t>à compter de l</w:t>
      </w:r>
      <w:r w:rsidRPr="00E540DD" w:rsidR="00E540DD">
        <w:rPr>
          <w:lang w:val="fr-FR"/>
        </w:rPr>
        <w:t>’</w:t>
      </w:r>
      <w:r w:rsidRPr="00E540DD">
        <w:rPr>
          <w:lang w:val="fr-FR"/>
        </w:rPr>
        <w:t>expiration dudit délai et jusqu</w:t>
      </w:r>
      <w:r w:rsidRPr="00E540DD" w:rsidR="00E540DD">
        <w:rPr>
          <w:lang w:val="fr-FR"/>
        </w:rPr>
        <w:t>’</w:t>
      </w:r>
      <w:r w:rsidRPr="00E540DD">
        <w:rPr>
          <w:lang w:val="fr-FR"/>
        </w:rPr>
        <w:t>au versement, ce montant sera à majorer d</w:t>
      </w:r>
      <w:r w:rsidRPr="00E540DD" w:rsidR="00E540DD">
        <w:rPr>
          <w:lang w:val="fr-FR"/>
        </w:rPr>
        <w:t>’</w:t>
      </w:r>
      <w:r w:rsidRPr="00E540DD">
        <w:rPr>
          <w:lang w:val="fr-FR"/>
        </w:rPr>
        <w:t>un intérêt simple à un taux égal à celui de la facilité de prêt marginal de la Banque centrale européenne applicable pendant cette période, augmenté de trois points de pourcentage ;</w:t>
      </w:r>
    </w:p>
    <w:p w:rsidRPr="00E540DD" w:rsidR="009623D7" w:rsidP="00E540DD" w:rsidRDefault="009623D7">
      <w:pPr>
        <w:pStyle w:val="JuLista"/>
        <w:rPr>
          <w:lang w:val="fr-FR"/>
        </w:rPr>
      </w:pPr>
    </w:p>
    <w:p w:rsidRPr="00E540DD" w:rsidR="00021956" w:rsidP="00E540DD" w:rsidRDefault="009623D7">
      <w:pPr>
        <w:pStyle w:val="JuList"/>
        <w:rPr>
          <w:lang w:val="fr-FR"/>
        </w:rPr>
      </w:pPr>
      <w:r w:rsidRPr="00E540DD">
        <w:rPr>
          <w:lang w:val="fr-FR"/>
        </w:rPr>
        <w:t>4.  </w:t>
      </w:r>
      <w:r w:rsidRPr="00E9343B">
        <w:rPr>
          <w:i/>
          <w:lang w:val="fr-FR"/>
        </w:rPr>
        <w:t>Rejette</w:t>
      </w:r>
      <w:r w:rsidRPr="00E540DD">
        <w:rPr>
          <w:lang w:val="fr-FR"/>
        </w:rPr>
        <w:t xml:space="preserve"> la demande de satisfaction équitable pour le surplus.</w:t>
      </w:r>
    </w:p>
    <w:p w:rsidRPr="00E540DD" w:rsidR="00102FB2" w:rsidP="00E540DD" w:rsidRDefault="00102FB2">
      <w:pPr>
        <w:pStyle w:val="JuParaLast"/>
        <w:keepNext w:val="0"/>
        <w:keepLines w:val="0"/>
        <w:rPr>
          <w:lang w:val="fr-FR"/>
        </w:rPr>
      </w:pPr>
      <w:r w:rsidRPr="00E540DD">
        <w:rPr>
          <w:lang w:val="fr-FR"/>
        </w:rPr>
        <w:t xml:space="preserve">Fait en français, puis communiqué par écrit le </w:t>
      </w:r>
      <w:r w:rsidRPr="00E540DD" w:rsidR="009623D7">
        <w:rPr>
          <w:rFonts w:ascii="Times New Roman" w:hAnsi="Times New Roman" w:cs="Times New Roman"/>
          <w:lang w:val="fr-FR"/>
        </w:rPr>
        <w:t>2 mai 2019</w:t>
      </w:r>
      <w:r w:rsidRPr="00E540DD">
        <w:rPr>
          <w:lang w:val="fr-FR"/>
        </w:rPr>
        <w:t>, en application de l</w:t>
      </w:r>
      <w:r w:rsidRPr="00E540DD" w:rsidR="00E540DD">
        <w:rPr>
          <w:lang w:val="fr-FR"/>
        </w:rPr>
        <w:t>’</w:t>
      </w:r>
      <w:r w:rsidRPr="00E540DD">
        <w:rPr>
          <w:lang w:val="fr-FR"/>
        </w:rPr>
        <w:t>article 77 §§ 2 et 3 du règlement de la Cour.</w:t>
      </w:r>
    </w:p>
    <w:p w:rsidRPr="00E540DD" w:rsidR="00EA2502" w:rsidP="00E540DD" w:rsidRDefault="009623D7">
      <w:pPr>
        <w:pStyle w:val="JuSigned"/>
        <w:rPr>
          <w:lang w:val="fr-FR"/>
        </w:rPr>
      </w:pPr>
      <w:r w:rsidRPr="00E540DD">
        <w:rPr>
          <w:lang w:val="fr-FR"/>
        </w:rPr>
        <w:tab/>
        <w:t>Claudia Westerdiek</w:t>
      </w:r>
      <w:r w:rsidRPr="00E540DD" w:rsidR="00777C71">
        <w:rPr>
          <w:lang w:val="fr-FR"/>
        </w:rPr>
        <w:tab/>
      </w:r>
      <w:proofErr w:type="spellStart"/>
      <w:r w:rsidRPr="00E540DD">
        <w:rPr>
          <w:szCs w:val="24"/>
          <w:lang w:val="fr-FR"/>
        </w:rPr>
        <w:t>Angelika</w:t>
      </w:r>
      <w:proofErr w:type="spellEnd"/>
      <w:r w:rsidRPr="00E540DD">
        <w:rPr>
          <w:szCs w:val="24"/>
          <w:lang w:val="fr-FR"/>
        </w:rPr>
        <w:t xml:space="preserve"> </w:t>
      </w:r>
      <w:proofErr w:type="spellStart"/>
      <w:r w:rsidRPr="00E540DD">
        <w:rPr>
          <w:szCs w:val="24"/>
          <w:lang w:val="fr-FR"/>
        </w:rPr>
        <w:t>Nußberger</w:t>
      </w:r>
      <w:proofErr w:type="spellEnd"/>
      <w:r w:rsidRPr="00E540DD" w:rsidR="00777C71">
        <w:rPr>
          <w:lang w:val="fr-FR"/>
        </w:rPr>
        <w:br/>
      </w:r>
      <w:r w:rsidRPr="00E540DD" w:rsidR="00777C71">
        <w:rPr>
          <w:lang w:val="fr-FR"/>
        </w:rPr>
        <w:tab/>
      </w:r>
      <w:r w:rsidRPr="00E540DD">
        <w:rPr>
          <w:lang w:val="fr-FR"/>
        </w:rPr>
        <w:t>Greffière</w:t>
      </w:r>
      <w:r w:rsidRPr="00E540DD" w:rsidR="00777C71">
        <w:rPr>
          <w:lang w:val="fr-FR"/>
        </w:rPr>
        <w:tab/>
      </w:r>
      <w:r w:rsidRPr="00E540DD">
        <w:rPr>
          <w:lang w:val="fr-FR"/>
        </w:rPr>
        <w:t>Présidente</w:t>
      </w:r>
    </w:p>
    <w:sectPr w:rsidRPr="00E540DD" w:rsidR="00EA2502" w:rsidSect="00FD4A1D">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23D7" w:rsidRPr="00EA4BD7" w:rsidRDefault="009623D7" w:rsidP="002D2C99">
      <w:pPr>
        <w:rPr>
          <w:lang w:val="fr-FR"/>
        </w:rPr>
      </w:pPr>
      <w:r w:rsidRPr="00EA4BD7">
        <w:rPr>
          <w:lang w:val="fr-FR"/>
        </w:rPr>
        <w:separator/>
      </w:r>
    </w:p>
  </w:endnote>
  <w:endnote w:type="continuationSeparator" w:id="0">
    <w:p w:rsidR="009623D7" w:rsidRPr="00EA4BD7" w:rsidRDefault="009623D7" w:rsidP="002D2C99">
      <w:pPr>
        <w:rPr>
          <w:lang w:val="fr-FR"/>
        </w:rPr>
      </w:pPr>
      <w:r w:rsidRPr="00EA4BD7">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3D7" w:rsidRPr="00150BFA" w:rsidRDefault="009623D7" w:rsidP="0020718E">
    <w:pPr>
      <w:jc w:val="center"/>
    </w:pPr>
    <w:r>
      <w:rPr>
        <w:noProof/>
        <w:lang w:val="en-US" w:eastAsia="ja-JP"/>
      </w:rPr>
      <w:drawing>
        <wp:inline distT="0" distB="0" distL="0" distR="0" wp14:anchorId="7C2BF39E" wp14:editId="3D2DDDC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Pr="00EA4BD7" w:rsidRDefault="002D2C99" w:rsidP="005072EA">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841AAE"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841AAE"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23D7" w:rsidRPr="00EA4BD7" w:rsidRDefault="009623D7" w:rsidP="002D2C99">
      <w:pPr>
        <w:rPr>
          <w:lang w:val="fr-FR"/>
        </w:rPr>
      </w:pPr>
      <w:r w:rsidRPr="00EA4BD7">
        <w:rPr>
          <w:lang w:val="fr-FR"/>
        </w:rPr>
        <w:separator/>
      </w:r>
    </w:p>
  </w:footnote>
  <w:footnote w:type="continuationSeparator" w:id="0">
    <w:p w:rsidR="009623D7" w:rsidRPr="00EA4BD7" w:rsidRDefault="009623D7" w:rsidP="002D2C99">
      <w:pPr>
        <w:rPr>
          <w:lang w:val="fr-FR"/>
        </w:rPr>
      </w:pPr>
      <w:r w:rsidRPr="00EA4BD7">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3D7" w:rsidRPr="00A45145" w:rsidRDefault="009623D7" w:rsidP="00A45145">
    <w:pPr>
      <w:jc w:val="center"/>
    </w:pPr>
    <w:r>
      <w:rPr>
        <w:noProof/>
        <w:lang w:val="en-US" w:eastAsia="ja-JP"/>
      </w:rPr>
      <w:drawing>
        <wp:inline distT="0" distB="0" distL="0" distR="0" wp14:anchorId="5018C0FF" wp14:editId="60B0DD7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Pr="00EA4BD7" w:rsidRDefault="002D2C99" w:rsidP="00F5432B">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A1D" w:rsidRPr="00F5432B" w:rsidRDefault="00FD4A1D" w:rsidP="00FD4A1D">
    <w:pPr>
      <w:pStyle w:val="ECHRHeader"/>
      <w:rPr>
        <w:lang w:val="fr-FR"/>
      </w:rPr>
    </w:pPr>
    <w:r>
      <w:rPr>
        <w:rStyle w:val="PageNumber"/>
      </w:rPr>
      <w:fldChar w:fldCharType="begin"/>
    </w:r>
    <w:r>
      <w:rPr>
        <w:rStyle w:val="PageNumber"/>
      </w:rPr>
      <w:instrText xml:space="preserve"> PAGE </w:instrText>
    </w:r>
    <w:r>
      <w:rPr>
        <w:rStyle w:val="PageNumber"/>
      </w:rPr>
      <w:fldChar w:fldCharType="separate"/>
    </w:r>
    <w:r w:rsidR="00DD3717">
      <w:rPr>
        <w:rStyle w:val="PageNumber"/>
        <w:noProof/>
      </w:rPr>
      <w:t>6</w:t>
    </w:r>
    <w:r>
      <w:rPr>
        <w:rStyle w:val="PageNumber"/>
      </w:rPr>
      <w:fldChar w:fldCharType="end"/>
    </w:r>
    <w:r w:rsidRPr="00C25A3E">
      <w:tab/>
      <w:t xml:space="preserve">ARRÊT </w:t>
    </w:r>
    <w:r>
      <w:t>VETSEV c. BULGARIE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7100AD" w:rsidRDefault="00420F04" w:rsidP="00420F04">
    <w:pPr>
      <w:pStyle w:val="ECHRHeader"/>
    </w:pPr>
    <w:r>
      <w:tab/>
    </w:r>
    <w:r w:rsidRPr="00A7574A">
      <w:t xml:space="preserve">ARRÊT </w:t>
    </w:r>
    <w:r w:rsidR="009623D7">
      <w:t>VETSEV c. BULGARIE</w:t>
    </w:r>
    <w:r w:rsidRPr="00A7574A">
      <w:t xml:space="preserve"> </w:t>
    </w:r>
    <w:r w:rsidRPr="007100AD">
      <w:tab/>
    </w:r>
    <w:r w:rsidR="009623D7">
      <w:rPr>
        <w:rStyle w:val="PageNumber"/>
      </w:rPr>
      <w:fldChar w:fldCharType="begin"/>
    </w:r>
    <w:r w:rsidR="009623D7">
      <w:rPr>
        <w:rStyle w:val="PageNumber"/>
      </w:rPr>
      <w:instrText xml:space="preserve"> PAGE </w:instrText>
    </w:r>
    <w:r w:rsidR="009623D7">
      <w:rPr>
        <w:rStyle w:val="PageNumber"/>
      </w:rPr>
      <w:fldChar w:fldCharType="separate"/>
    </w:r>
    <w:r w:rsidR="00DD3717">
      <w:rPr>
        <w:rStyle w:val="PageNumber"/>
        <w:noProof/>
      </w:rPr>
      <w:t>1</w:t>
    </w:r>
    <w:r w:rsidR="009623D7">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5"/>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 w:numId="2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623D7"/>
    <w:rsid w:val="000041F8"/>
    <w:rsid w:val="000042A8"/>
    <w:rsid w:val="00004308"/>
    <w:rsid w:val="00005BF0"/>
    <w:rsid w:val="00007154"/>
    <w:rsid w:val="000103AE"/>
    <w:rsid w:val="00011D69"/>
    <w:rsid w:val="00012AD3"/>
    <w:rsid w:val="00015C2D"/>
    <w:rsid w:val="00015F00"/>
    <w:rsid w:val="00021956"/>
    <w:rsid w:val="00022C1D"/>
    <w:rsid w:val="00034987"/>
    <w:rsid w:val="000448F1"/>
    <w:rsid w:val="000602DF"/>
    <w:rsid w:val="00061B05"/>
    <w:rsid w:val="000632D5"/>
    <w:rsid w:val="000644EE"/>
    <w:rsid w:val="000925AD"/>
    <w:rsid w:val="00093335"/>
    <w:rsid w:val="000A24EB"/>
    <w:rsid w:val="000B6923"/>
    <w:rsid w:val="000C5F3C"/>
    <w:rsid w:val="000C6DCC"/>
    <w:rsid w:val="000D47AA"/>
    <w:rsid w:val="000D721F"/>
    <w:rsid w:val="000E069B"/>
    <w:rsid w:val="000E0E82"/>
    <w:rsid w:val="000E1DC5"/>
    <w:rsid w:val="000E223F"/>
    <w:rsid w:val="000E7D45"/>
    <w:rsid w:val="000F7851"/>
    <w:rsid w:val="001022BE"/>
    <w:rsid w:val="00102FB2"/>
    <w:rsid w:val="00104E23"/>
    <w:rsid w:val="00111B0C"/>
    <w:rsid w:val="00120410"/>
    <w:rsid w:val="00120D6C"/>
    <w:rsid w:val="001257EC"/>
    <w:rsid w:val="00127B42"/>
    <w:rsid w:val="00133D33"/>
    <w:rsid w:val="00134D64"/>
    <w:rsid w:val="00135A30"/>
    <w:rsid w:val="0013612C"/>
    <w:rsid w:val="00137FF6"/>
    <w:rsid w:val="00141650"/>
    <w:rsid w:val="00162A12"/>
    <w:rsid w:val="00166530"/>
    <w:rsid w:val="001832BD"/>
    <w:rsid w:val="001943B5"/>
    <w:rsid w:val="00195134"/>
    <w:rsid w:val="001A145B"/>
    <w:rsid w:val="001A3D28"/>
    <w:rsid w:val="001A674C"/>
    <w:rsid w:val="001B3B24"/>
    <w:rsid w:val="001C0F98"/>
    <w:rsid w:val="001C2A42"/>
    <w:rsid w:val="001D63ED"/>
    <w:rsid w:val="001D6B54"/>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3766D"/>
    <w:rsid w:val="0024222D"/>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3040"/>
    <w:rsid w:val="002D022D"/>
    <w:rsid w:val="002D24BB"/>
    <w:rsid w:val="002D2C99"/>
    <w:rsid w:val="002F2AF7"/>
    <w:rsid w:val="002F7E1C"/>
    <w:rsid w:val="00301A75"/>
    <w:rsid w:val="00302F70"/>
    <w:rsid w:val="0030336F"/>
    <w:rsid w:val="0030375E"/>
    <w:rsid w:val="00312A30"/>
    <w:rsid w:val="00320F72"/>
    <w:rsid w:val="0032463E"/>
    <w:rsid w:val="00326224"/>
    <w:rsid w:val="00336456"/>
    <w:rsid w:val="00337EE4"/>
    <w:rsid w:val="00340FFD"/>
    <w:rsid w:val="003506B1"/>
    <w:rsid w:val="00352FB1"/>
    <w:rsid w:val="00356AC7"/>
    <w:rsid w:val="003609FA"/>
    <w:rsid w:val="003710C8"/>
    <w:rsid w:val="003750BE"/>
    <w:rsid w:val="00387B9D"/>
    <w:rsid w:val="0039364F"/>
    <w:rsid w:val="00396686"/>
    <w:rsid w:val="0039778E"/>
    <w:rsid w:val="003979ED"/>
    <w:rsid w:val="003B336E"/>
    <w:rsid w:val="003B4941"/>
    <w:rsid w:val="003C5714"/>
    <w:rsid w:val="003C6747"/>
    <w:rsid w:val="003C6B9F"/>
    <w:rsid w:val="003C6E2A"/>
    <w:rsid w:val="003D0299"/>
    <w:rsid w:val="003E65E2"/>
    <w:rsid w:val="003E6D80"/>
    <w:rsid w:val="003E748D"/>
    <w:rsid w:val="003F05FA"/>
    <w:rsid w:val="003F17A4"/>
    <w:rsid w:val="003F244A"/>
    <w:rsid w:val="003F30B8"/>
    <w:rsid w:val="003F4C45"/>
    <w:rsid w:val="003F5F7B"/>
    <w:rsid w:val="003F7D64"/>
    <w:rsid w:val="00414300"/>
    <w:rsid w:val="00420F04"/>
    <w:rsid w:val="00425C67"/>
    <w:rsid w:val="00427E7A"/>
    <w:rsid w:val="00436C49"/>
    <w:rsid w:val="00445366"/>
    <w:rsid w:val="00447F5B"/>
    <w:rsid w:val="00461DB0"/>
    <w:rsid w:val="00463926"/>
    <w:rsid w:val="00464C9A"/>
    <w:rsid w:val="00474F3D"/>
    <w:rsid w:val="00477E3A"/>
    <w:rsid w:val="00483E5F"/>
    <w:rsid w:val="004840F1"/>
    <w:rsid w:val="00485FF9"/>
    <w:rsid w:val="004907F0"/>
    <w:rsid w:val="0049140B"/>
    <w:rsid w:val="004923A5"/>
    <w:rsid w:val="00493C5C"/>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42EE"/>
    <w:rsid w:val="00547353"/>
    <w:rsid w:val="005474E7"/>
    <w:rsid w:val="0055045F"/>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1AAD"/>
    <w:rsid w:val="005C3EE8"/>
    <w:rsid w:val="005D34F9"/>
    <w:rsid w:val="005D4190"/>
    <w:rsid w:val="005D67A3"/>
    <w:rsid w:val="005E2988"/>
    <w:rsid w:val="005E3085"/>
    <w:rsid w:val="005F3858"/>
    <w:rsid w:val="005F51E1"/>
    <w:rsid w:val="00611C80"/>
    <w:rsid w:val="0061712A"/>
    <w:rsid w:val="00620692"/>
    <w:rsid w:val="006242CA"/>
    <w:rsid w:val="006262B7"/>
    <w:rsid w:val="00627507"/>
    <w:rsid w:val="00633717"/>
    <w:rsid w:val="006344E1"/>
    <w:rsid w:val="0064121C"/>
    <w:rsid w:val="006545C4"/>
    <w:rsid w:val="00656E3D"/>
    <w:rsid w:val="00661971"/>
    <w:rsid w:val="00661CE8"/>
    <w:rsid w:val="00661D89"/>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16060"/>
    <w:rsid w:val="00723580"/>
    <w:rsid w:val="00723755"/>
    <w:rsid w:val="0073136C"/>
    <w:rsid w:val="00731F0F"/>
    <w:rsid w:val="00733250"/>
    <w:rsid w:val="0074041B"/>
    <w:rsid w:val="00741404"/>
    <w:rsid w:val="007449E5"/>
    <w:rsid w:val="00747FF0"/>
    <w:rsid w:val="0075103A"/>
    <w:rsid w:val="00764D4E"/>
    <w:rsid w:val="00765A1F"/>
    <w:rsid w:val="00770328"/>
    <w:rsid w:val="00775B6D"/>
    <w:rsid w:val="00776D68"/>
    <w:rsid w:val="00777C71"/>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7A4"/>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65378"/>
    <w:rsid w:val="008713A1"/>
    <w:rsid w:val="008754AB"/>
    <w:rsid w:val="008802A9"/>
    <w:rsid w:val="0088060C"/>
    <w:rsid w:val="00893576"/>
    <w:rsid w:val="00893E73"/>
    <w:rsid w:val="008950B7"/>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2299"/>
    <w:rsid w:val="0090506B"/>
    <w:rsid w:val="009050C9"/>
    <w:rsid w:val="009066FC"/>
    <w:rsid w:val="009067D7"/>
    <w:rsid w:val="00907C58"/>
    <w:rsid w:val="009140A3"/>
    <w:rsid w:val="009144A2"/>
    <w:rsid w:val="0091510C"/>
    <w:rsid w:val="009259AC"/>
    <w:rsid w:val="00926F38"/>
    <w:rsid w:val="00934301"/>
    <w:rsid w:val="00936CD1"/>
    <w:rsid w:val="00941747"/>
    <w:rsid w:val="00941EFB"/>
    <w:rsid w:val="00947AFB"/>
    <w:rsid w:val="00951D7D"/>
    <w:rsid w:val="00956E5B"/>
    <w:rsid w:val="009623D7"/>
    <w:rsid w:val="009630C7"/>
    <w:rsid w:val="0096503F"/>
    <w:rsid w:val="00972B55"/>
    <w:rsid w:val="009743B7"/>
    <w:rsid w:val="0098228B"/>
    <w:rsid w:val="009828DA"/>
    <w:rsid w:val="00984352"/>
    <w:rsid w:val="00985BAB"/>
    <w:rsid w:val="009B1B5F"/>
    <w:rsid w:val="009B6673"/>
    <w:rsid w:val="009C191B"/>
    <w:rsid w:val="009C2BD6"/>
    <w:rsid w:val="009E1F32"/>
    <w:rsid w:val="009E776C"/>
    <w:rsid w:val="009F65DC"/>
    <w:rsid w:val="00A071D1"/>
    <w:rsid w:val="00A1726E"/>
    <w:rsid w:val="00A204CF"/>
    <w:rsid w:val="00A23D49"/>
    <w:rsid w:val="00A242AC"/>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77041"/>
    <w:rsid w:val="00A82359"/>
    <w:rsid w:val="00A865D2"/>
    <w:rsid w:val="00A94C20"/>
    <w:rsid w:val="00AA227F"/>
    <w:rsid w:val="00AA3BC7"/>
    <w:rsid w:val="00AA754A"/>
    <w:rsid w:val="00AB099E"/>
    <w:rsid w:val="00AB4328"/>
    <w:rsid w:val="00AC3ABA"/>
    <w:rsid w:val="00AD4891"/>
    <w:rsid w:val="00AE0A2E"/>
    <w:rsid w:val="00AE354C"/>
    <w:rsid w:val="00AF4B07"/>
    <w:rsid w:val="00AF5653"/>
    <w:rsid w:val="00AF6186"/>
    <w:rsid w:val="00AF7A3A"/>
    <w:rsid w:val="00B160DB"/>
    <w:rsid w:val="00B20836"/>
    <w:rsid w:val="00B235BB"/>
    <w:rsid w:val="00B26274"/>
    <w:rsid w:val="00B27A44"/>
    <w:rsid w:val="00B30BBF"/>
    <w:rsid w:val="00B33C03"/>
    <w:rsid w:val="00B36632"/>
    <w:rsid w:val="00B44E56"/>
    <w:rsid w:val="00B46543"/>
    <w:rsid w:val="00B47D33"/>
    <w:rsid w:val="00B52BE0"/>
    <w:rsid w:val="00B54133"/>
    <w:rsid w:val="00B55B08"/>
    <w:rsid w:val="00B701ED"/>
    <w:rsid w:val="00B8086C"/>
    <w:rsid w:val="00B861B4"/>
    <w:rsid w:val="00B86DFE"/>
    <w:rsid w:val="00B90990"/>
    <w:rsid w:val="00B922FF"/>
    <w:rsid w:val="00B9281E"/>
    <w:rsid w:val="00B93925"/>
    <w:rsid w:val="00B95187"/>
    <w:rsid w:val="00BA2D55"/>
    <w:rsid w:val="00BA71B1"/>
    <w:rsid w:val="00BB0637"/>
    <w:rsid w:val="00BB1838"/>
    <w:rsid w:val="00BB345F"/>
    <w:rsid w:val="00BB68EA"/>
    <w:rsid w:val="00BC1C27"/>
    <w:rsid w:val="00BC6263"/>
    <w:rsid w:val="00BC6BBF"/>
    <w:rsid w:val="00BC6E2D"/>
    <w:rsid w:val="00BD1572"/>
    <w:rsid w:val="00BE14E3"/>
    <w:rsid w:val="00BE3774"/>
    <w:rsid w:val="00BE41E5"/>
    <w:rsid w:val="00BF4109"/>
    <w:rsid w:val="00BF4CC3"/>
    <w:rsid w:val="00C054C7"/>
    <w:rsid w:val="00C057B5"/>
    <w:rsid w:val="00C1029D"/>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3539"/>
    <w:rsid w:val="00C74810"/>
    <w:rsid w:val="00C9017A"/>
    <w:rsid w:val="00C90D68"/>
    <w:rsid w:val="00C939FE"/>
    <w:rsid w:val="00CA4473"/>
    <w:rsid w:val="00CA4BDA"/>
    <w:rsid w:val="00CB1F66"/>
    <w:rsid w:val="00CB25E5"/>
    <w:rsid w:val="00CB2951"/>
    <w:rsid w:val="00CD282B"/>
    <w:rsid w:val="00CD4C35"/>
    <w:rsid w:val="00CD7369"/>
    <w:rsid w:val="00CE0A42"/>
    <w:rsid w:val="00CE0B0E"/>
    <w:rsid w:val="00CE3831"/>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908A8"/>
    <w:rsid w:val="00D9423F"/>
    <w:rsid w:val="00D977B6"/>
    <w:rsid w:val="00DA4A31"/>
    <w:rsid w:val="00DA7B04"/>
    <w:rsid w:val="00DA7FF4"/>
    <w:rsid w:val="00DB36C2"/>
    <w:rsid w:val="00DC169B"/>
    <w:rsid w:val="00DC2AB9"/>
    <w:rsid w:val="00DC63F0"/>
    <w:rsid w:val="00DD3717"/>
    <w:rsid w:val="00DD6EE5"/>
    <w:rsid w:val="00DE386C"/>
    <w:rsid w:val="00DE4D35"/>
    <w:rsid w:val="00DF098B"/>
    <w:rsid w:val="00DF11C4"/>
    <w:rsid w:val="00DF1EFB"/>
    <w:rsid w:val="00DF210C"/>
    <w:rsid w:val="00DF4B6A"/>
    <w:rsid w:val="00E01797"/>
    <w:rsid w:val="00E02C09"/>
    <w:rsid w:val="00E04D59"/>
    <w:rsid w:val="00E07DA1"/>
    <w:rsid w:val="00E123CB"/>
    <w:rsid w:val="00E20E13"/>
    <w:rsid w:val="00E21DBC"/>
    <w:rsid w:val="00E275D7"/>
    <w:rsid w:val="00E27DBE"/>
    <w:rsid w:val="00E32AB1"/>
    <w:rsid w:val="00E36C71"/>
    <w:rsid w:val="00E37CB1"/>
    <w:rsid w:val="00E40404"/>
    <w:rsid w:val="00E459C6"/>
    <w:rsid w:val="00E47589"/>
    <w:rsid w:val="00E540DD"/>
    <w:rsid w:val="00E64915"/>
    <w:rsid w:val="00E661D4"/>
    <w:rsid w:val="00E70091"/>
    <w:rsid w:val="00E720F5"/>
    <w:rsid w:val="00E73BDC"/>
    <w:rsid w:val="00E76D47"/>
    <w:rsid w:val="00E849F7"/>
    <w:rsid w:val="00E90302"/>
    <w:rsid w:val="00E9343B"/>
    <w:rsid w:val="00E97396"/>
    <w:rsid w:val="00EA185E"/>
    <w:rsid w:val="00EA2502"/>
    <w:rsid w:val="00EA4BD7"/>
    <w:rsid w:val="00EA592A"/>
    <w:rsid w:val="00EB14E4"/>
    <w:rsid w:val="00EB32A5"/>
    <w:rsid w:val="00EB34ED"/>
    <w:rsid w:val="00EB657B"/>
    <w:rsid w:val="00EB7BE0"/>
    <w:rsid w:val="00EC315E"/>
    <w:rsid w:val="00EC3F18"/>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432B"/>
    <w:rsid w:val="00F552A0"/>
    <w:rsid w:val="00F56A6F"/>
    <w:rsid w:val="00F5709C"/>
    <w:rsid w:val="00F64EF1"/>
    <w:rsid w:val="00F8765F"/>
    <w:rsid w:val="00F90767"/>
    <w:rsid w:val="00F9289A"/>
    <w:rsid w:val="00FA685B"/>
    <w:rsid w:val="00FB0C01"/>
    <w:rsid w:val="00FC18F2"/>
    <w:rsid w:val="00FC39E5"/>
    <w:rsid w:val="00FC3A78"/>
    <w:rsid w:val="00FD1005"/>
    <w:rsid w:val="00FD4A1D"/>
    <w:rsid w:val="00FD6C75"/>
    <w:rsid w:val="00FE71B3"/>
    <w:rsid w:val="00FF094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07C58"/>
    <w:pPr>
      <w:jc w:val="both"/>
    </w:pPr>
    <w:rPr>
      <w:rFonts w:eastAsiaTheme="minorEastAsia"/>
      <w:sz w:val="24"/>
      <w:lang w:val="en-GB"/>
    </w:rPr>
  </w:style>
  <w:style w:type="paragraph" w:styleId="Heading1">
    <w:name w:val="heading 1"/>
    <w:basedOn w:val="Normal"/>
    <w:next w:val="Normal"/>
    <w:link w:val="Heading1Char"/>
    <w:uiPriority w:val="99"/>
    <w:semiHidden/>
    <w:rsid w:val="00907C5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07C5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07C5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07C5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07C5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07C5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07C5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907C5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907C5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07C58"/>
    <w:rPr>
      <w:rFonts w:ascii="Tahoma" w:hAnsi="Tahoma" w:cs="Tahoma"/>
      <w:sz w:val="16"/>
      <w:szCs w:val="16"/>
    </w:rPr>
  </w:style>
  <w:style w:type="character" w:customStyle="1" w:styleId="BalloonTextChar">
    <w:name w:val="Balloon Text Char"/>
    <w:basedOn w:val="DefaultParagraphFont"/>
    <w:link w:val="BalloonText"/>
    <w:uiPriority w:val="99"/>
    <w:semiHidden/>
    <w:rsid w:val="00907C58"/>
    <w:rPr>
      <w:rFonts w:ascii="Tahoma" w:eastAsiaTheme="minorEastAsia" w:hAnsi="Tahoma" w:cs="Tahoma"/>
      <w:sz w:val="16"/>
      <w:szCs w:val="16"/>
      <w:lang w:val="en-GB"/>
    </w:rPr>
  </w:style>
  <w:style w:type="character" w:styleId="BookTitle">
    <w:name w:val="Book Title"/>
    <w:uiPriority w:val="99"/>
    <w:semiHidden/>
    <w:qFormat/>
    <w:rsid w:val="00907C58"/>
    <w:rPr>
      <w:i/>
      <w:iCs/>
      <w:smallCaps/>
      <w:spacing w:val="5"/>
    </w:rPr>
  </w:style>
  <w:style w:type="paragraph" w:customStyle="1" w:styleId="ECHRHeader">
    <w:name w:val="ECHR_Header"/>
    <w:aliases w:val="Ju_Header"/>
    <w:basedOn w:val="Header"/>
    <w:uiPriority w:val="4"/>
    <w:qFormat/>
    <w:rsid w:val="00907C58"/>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907C58"/>
  </w:style>
  <w:style w:type="character" w:styleId="Strong">
    <w:name w:val="Strong"/>
    <w:uiPriority w:val="99"/>
    <w:semiHidden/>
    <w:qFormat/>
    <w:rsid w:val="00907C58"/>
    <w:rPr>
      <w:b/>
      <w:bCs/>
    </w:rPr>
  </w:style>
  <w:style w:type="paragraph" w:styleId="NoSpacing">
    <w:name w:val="No Spacing"/>
    <w:basedOn w:val="Normal"/>
    <w:link w:val="NoSpacingChar"/>
    <w:semiHidden/>
    <w:qFormat/>
    <w:rsid w:val="00907C58"/>
    <w:rPr>
      <w:sz w:val="22"/>
      <w:lang w:val="en-US"/>
    </w:rPr>
  </w:style>
  <w:style w:type="character" w:customStyle="1" w:styleId="NoSpacingChar">
    <w:name w:val="No Spacing Char"/>
    <w:basedOn w:val="DefaultParagraphFont"/>
    <w:link w:val="NoSpacing"/>
    <w:semiHidden/>
    <w:rsid w:val="00907C58"/>
    <w:rPr>
      <w:rFonts w:eastAsiaTheme="minorEastAsia"/>
    </w:rPr>
  </w:style>
  <w:style w:type="paragraph" w:customStyle="1" w:styleId="ECHRParaQuote">
    <w:name w:val="ECHR_Para_Quote"/>
    <w:aliases w:val="Ju_Quot"/>
    <w:basedOn w:val="Normal"/>
    <w:uiPriority w:val="14"/>
    <w:qFormat/>
    <w:rsid w:val="00907C58"/>
    <w:pPr>
      <w:spacing w:before="120" w:after="120"/>
      <w:ind w:left="425" w:firstLine="142"/>
    </w:pPr>
    <w:rPr>
      <w:sz w:val="20"/>
    </w:rPr>
  </w:style>
  <w:style w:type="paragraph" w:customStyle="1" w:styleId="DecList">
    <w:name w:val="Dec_List"/>
    <w:basedOn w:val="Normal"/>
    <w:uiPriority w:val="9"/>
    <w:semiHidden/>
    <w:qFormat/>
    <w:rsid w:val="00907C58"/>
    <w:pPr>
      <w:spacing w:before="240"/>
      <w:ind w:left="284"/>
    </w:pPr>
  </w:style>
  <w:style w:type="paragraph" w:customStyle="1" w:styleId="DummyStyle">
    <w:name w:val="Dummy_Style"/>
    <w:basedOn w:val="Normal"/>
    <w:semiHidden/>
    <w:qFormat/>
    <w:rsid w:val="00907C58"/>
    <w:rPr>
      <w:color w:val="00B050"/>
    </w:rPr>
  </w:style>
  <w:style w:type="paragraph" w:customStyle="1" w:styleId="JuAppQuestion">
    <w:name w:val="Ju_App_Question"/>
    <w:basedOn w:val="Normal"/>
    <w:uiPriority w:val="5"/>
    <w:semiHidden/>
    <w:qFormat/>
    <w:rsid w:val="00907C58"/>
    <w:pPr>
      <w:numPr>
        <w:numId w:val="24"/>
      </w:numPr>
      <w:jc w:val="left"/>
    </w:pPr>
    <w:rPr>
      <w:b/>
    </w:rPr>
  </w:style>
  <w:style w:type="paragraph" w:customStyle="1" w:styleId="JuCourt">
    <w:name w:val="Ju_Court"/>
    <w:basedOn w:val="Normal"/>
    <w:next w:val="Normal"/>
    <w:uiPriority w:val="16"/>
    <w:qFormat/>
    <w:rsid w:val="00907C58"/>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907C5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07C58"/>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907C58"/>
    <w:pPr>
      <w:tabs>
        <w:tab w:val="center" w:pos="6407"/>
      </w:tabs>
      <w:spacing w:before="720"/>
      <w:jc w:val="right"/>
    </w:pPr>
  </w:style>
  <w:style w:type="paragraph" w:customStyle="1" w:styleId="ECHRTitle1">
    <w:name w:val="ECHR_Title_1"/>
    <w:aliases w:val="Ju_H_Head"/>
    <w:basedOn w:val="Normal"/>
    <w:next w:val="ECHRPara"/>
    <w:uiPriority w:val="18"/>
    <w:qFormat/>
    <w:rsid w:val="00907C58"/>
    <w:pPr>
      <w:keepNext/>
      <w:keepLines/>
      <w:spacing w:before="720" w:after="240"/>
      <w:outlineLvl w:val="0"/>
    </w:pPr>
    <w:rPr>
      <w:rFonts w:asciiTheme="majorHAnsi" w:hAnsiTheme="majorHAnsi"/>
      <w:sz w:val="28"/>
    </w:rPr>
  </w:style>
  <w:style w:type="paragraph" w:customStyle="1" w:styleId="JuListi">
    <w:name w:val="Ju_List_i"/>
    <w:basedOn w:val="Normal"/>
    <w:next w:val="JuLista"/>
    <w:uiPriority w:val="28"/>
    <w:qFormat/>
    <w:rsid w:val="00907C58"/>
    <w:pPr>
      <w:ind w:left="794"/>
    </w:pPr>
  </w:style>
  <w:style w:type="paragraph" w:customStyle="1" w:styleId="JuSigned">
    <w:name w:val="Ju_Signed"/>
    <w:basedOn w:val="Normal"/>
    <w:next w:val="JuParaLast"/>
    <w:uiPriority w:val="32"/>
    <w:qFormat/>
    <w:rsid w:val="00907C58"/>
    <w:pPr>
      <w:tabs>
        <w:tab w:val="center" w:pos="851"/>
        <w:tab w:val="center" w:pos="6407"/>
      </w:tabs>
      <w:spacing w:before="720"/>
      <w:jc w:val="left"/>
    </w:pPr>
  </w:style>
  <w:style w:type="paragraph" w:styleId="Title">
    <w:name w:val="Title"/>
    <w:basedOn w:val="Normal"/>
    <w:next w:val="Normal"/>
    <w:link w:val="TitleChar"/>
    <w:uiPriority w:val="99"/>
    <w:semiHidden/>
    <w:qFormat/>
    <w:rsid w:val="00907C5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907C5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907C58"/>
    <w:rPr>
      <w:caps w:val="0"/>
      <w:smallCaps/>
    </w:rPr>
  </w:style>
  <w:style w:type="paragraph" w:customStyle="1" w:styleId="JuParaSub">
    <w:name w:val="Ju_Para_Sub"/>
    <w:basedOn w:val="ECHRPara"/>
    <w:uiPriority w:val="13"/>
    <w:qFormat/>
    <w:rsid w:val="00907C58"/>
    <w:pPr>
      <w:ind w:left="284"/>
    </w:pPr>
  </w:style>
  <w:style w:type="character" w:customStyle="1" w:styleId="JuITMark">
    <w:name w:val="Ju_ITMark"/>
    <w:basedOn w:val="DefaultParagraphFont"/>
    <w:uiPriority w:val="38"/>
    <w:qFormat/>
    <w:rsid w:val="00907C58"/>
    <w:rPr>
      <w:vanish w:val="0"/>
      <w:color w:val="auto"/>
      <w:sz w:val="14"/>
      <w:bdr w:val="none" w:sz="0" w:space="0" w:color="auto"/>
      <w:shd w:val="clear" w:color="auto" w:fill="BEE5FF" w:themeFill="background1" w:themeFillTint="33"/>
    </w:rPr>
  </w:style>
  <w:style w:type="paragraph" w:customStyle="1" w:styleId="JuQuotSub">
    <w:name w:val="Ju_Quot_Sub"/>
    <w:basedOn w:val="ECHRParaQuote"/>
    <w:uiPriority w:val="15"/>
    <w:qFormat/>
    <w:rsid w:val="00907C58"/>
    <w:pPr>
      <w:ind w:left="567"/>
    </w:pPr>
  </w:style>
  <w:style w:type="paragraph" w:customStyle="1" w:styleId="JuTitle">
    <w:name w:val="Ju_Title"/>
    <w:basedOn w:val="Normal"/>
    <w:next w:val="ECHRPara"/>
    <w:uiPriority w:val="3"/>
    <w:semiHidden/>
    <w:qFormat/>
    <w:rsid w:val="00907C58"/>
    <w:pPr>
      <w:spacing w:before="720" w:after="240"/>
      <w:jc w:val="center"/>
      <w:outlineLvl w:val="0"/>
    </w:pPr>
    <w:rPr>
      <w:rFonts w:asciiTheme="majorHAnsi" w:hAnsiTheme="majorHAnsi"/>
      <w:b/>
      <w:caps/>
    </w:rPr>
  </w:style>
  <w:style w:type="paragraph" w:customStyle="1" w:styleId="ECHRHeading1">
    <w:name w:val="ECHR_Heading_1"/>
    <w:aliases w:val="Ju_H_I_Roman"/>
    <w:basedOn w:val="Heading1"/>
    <w:next w:val="ECHRPara"/>
    <w:uiPriority w:val="19"/>
    <w:qFormat/>
    <w:rsid w:val="00907C5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907C5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907C58"/>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907C5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07C58"/>
    <w:rPr>
      <w:sz w:val="24"/>
      <w:lang w:val="en-GB"/>
    </w:rPr>
  </w:style>
  <w:style w:type="character" w:customStyle="1" w:styleId="Heading1Char">
    <w:name w:val="Heading 1 Char"/>
    <w:basedOn w:val="DefaultParagraphFont"/>
    <w:link w:val="Heading1"/>
    <w:uiPriority w:val="99"/>
    <w:semiHidden/>
    <w:rsid w:val="00907C58"/>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907C5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07C58"/>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907C58"/>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907C5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907C58"/>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907C58"/>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907C58"/>
    <w:pPr>
      <w:keepNext/>
      <w:keepLines/>
      <w:spacing w:before="240"/>
      <w:ind w:firstLine="284"/>
    </w:pPr>
  </w:style>
  <w:style w:type="paragraph" w:customStyle="1" w:styleId="JuList">
    <w:name w:val="Ju_List"/>
    <w:basedOn w:val="Normal"/>
    <w:uiPriority w:val="28"/>
    <w:qFormat/>
    <w:rsid w:val="00907C58"/>
    <w:pPr>
      <w:ind w:left="340" w:hanging="340"/>
    </w:pPr>
  </w:style>
  <w:style w:type="character" w:customStyle="1" w:styleId="Heading4Char">
    <w:name w:val="Heading 4 Char"/>
    <w:basedOn w:val="DefaultParagraphFont"/>
    <w:link w:val="Heading4"/>
    <w:uiPriority w:val="99"/>
    <w:semiHidden/>
    <w:rsid w:val="00907C58"/>
    <w:rPr>
      <w:rFonts w:asciiTheme="majorHAnsi" w:eastAsiaTheme="majorEastAsia" w:hAnsiTheme="majorHAnsi" w:cstheme="majorBidi"/>
      <w:b/>
      <w:bCs/>
      <w:i/>
      <w:iCs/>
      <w:color w:val="777777"/>
      <w:sz w:val="24"/>
      <w:lang w:val="en-GB"/>
    </w:rPr>
  </w:style>
  <w:style w:type="paragraph" w:customStyle="1" w:styleId="JuLista">
    <w:name w:val="Ju_List_a"/>
    <w:basedOn w:val="JuList"/>
    <w:uiPriority w:val="28"/>
    <w:qFormat/>
    <w:rsid w:val="00907C58"/>
    <w:pPr>
      <w:ind w:left="346" w:firstLine="0"/>
    </w:pPr>
  </w:style>
  <w:style w:type="character" w:customStyle="1" w:styleId="Heading5Char">
    <w:name w:val="Heading 5 Char"/>
    <w:basedOn w:val="DefaultParagraphFont"/>
    <w:link w:val="Heading5"/>
    <w:uiPriority w:val="99"/>
    <w:semiHidden/>
    <w:rsid w:val="00907C58"/>
    <w:rPr>
      <w:rFonts w:asciiTheme="majorHAnsi" w:eastAsiaTheme="majorEastAsia" w:hAnsiTheme="majorHAnsi" w:cstheme="majorBidi"/>
      <w:b/>
      <w:bCs/>
      <w:color w:val="808080"/>
    </w:rPr>
  </w:style>
  <w:style w:type="paragraph" w:customStyle="1" w:styleId="OpiH1">
    <w:name w:val="Opi_H_1"/>
    <w:basedOn w:val="ECHRHeading2"/>
    <w:uiPriority w:val="42"/>
    <w:qFormat/>
    <w:rsid w:val="00907C58"/>
    <w:pPr>
      <w:ind w:left="635" w:hanging="357"/>
      <w:outlineLvl w:val="2"/>
    </w:pPr>
  </w:style>
  <w:style w:type="paragraph" w:customStyle="1" w:styleId="OpiHa">
    <w:name w:val="Opi_H_a"/>
    <w:basedOn w:val="ECHRHeading3"/>
    <w:uiPriority w:val="43"/>
    <w:qFormat/>
    <w:rsid w:val="00907C58"/>
    <w:pPr>
      <w:ind w:left="833" w:hanging="357"/>
      <w:outlineLvl w:val="3"/>
    </w:pPr>
    <w:rPr>
      <w:b/>
      <w:i w:val="0"/>
      <w:sz w:val="20"/>
    </w:rPr>
  </w:style>
  <w:style w:type="character" w:styleId="SubtleEmphasis">
    <w:name w:val="Subtle Emphasis"/>
    <w:uiPriority w:val="99"/>
    <w:semiHidden/>
    <w:qFormat/>
    <w:rsid w:val="00907C58"/>
    <w:rPr>
      <w:i/>
      <w:iCs/>
    </w:rPr>
  </w:style>
  <w:style w:type="paragraph" w:customStyle="1" w:styleId="OpiHA0">
    <w:name w:val="Opi_H_A"/>
    <w:basedOn w:val="ECHRHeading1"/>
    <w:next w:val="OpiPara"/>
    <w:uiPriority w:val="41"/>
    <w:qFormat/>
    <w:rsid w:val="00907C58"/>
    <w:pPr>
      <w:tabs>
        <w:tab w:val="clear" w:pos="357"/>
      </w:tabs>
      <w:outlineLvl w:val="1"/>
    </w:pPr>
    <w:rPr>
      <w:b/>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i">
    <w:name w:val="Opi_H_i"/>
    <w:basedOn w:val="ECHRHeading4"/>
    <w:uiPriority w:val="44"/>
    <w:qFormat/>
    <w:rsid w:val="00907C58"/>
    <w:pPr>
      <w:ind w:left="1037" w:hanging="357"/>
      <w:outlineLvl w:val="4"/>
    </w:pPr>
    <w:rPr>
      <w:b w:val="0"/>
      <w:i/>
    </w:rPr>
  </w:style>
  <w:style w:type="paragraph" w:customStyle="1" w:styleId="OpiPara">
    <w:name w:val="Opi_Para"/>
    <w:basedOn w:val="ECHRPara"/>
    <w:uiPriority w:val="46"/>
    <w:qFormat/>
    <w:rsid w:val="00907C58"/>
  </w:style>
  <w:style w:type="paragraph" w:styleId="Subtitle">
    <w:name w:val="Subtitle"/>
    <w:basedOn w:val="Normal"/>
    <w:next w:val="Normal"/>
    <w:link w:val="SubtitleChar"/>
    <w:uiPriority w:val="99"/>
    <w:semiHidden/>
    <w:qFormat/>
    <w:rsid w:val="00907C58"/>
    <w:pPr>
      <w:spacing w:after="600"/>
    </w:pPr>
    <w:rPr>
      <w:rFonts w:asciiTheme="majorHAnsi" w:eastAsiaTheme="majorEastAsia" w:hAnsiTheme="majorHAnsi" w:cstheme="majorBidi"/>
      <w:i/>
      <w:iCs/>
      <w:spacing w:val="13"/>
      <w:szCs w:val="24"/>
      <w:lang w:val="en-US" w:bidi="en-US"/>
    </w:rPr>
  </w:style>
  <w:style w:type="character" w:styleId="Emphasis">
    <w:name w:val="Emphasis"/>
    <w:uiPriority w:val="99"/>
    <w:semiHidden/>
    <w:qFormat/>
    <w:rsid w:val="00907C58"/>
    <w:rPr>
      <w:b/>
      <w:bCs/>
      <w:i/>
      <w:iCs/>
      <w:spacing w:val="10"/>
      <w:bdr w:val="none" w:sz="0" w:space="0" w:color="auto"/>
      <w:shd w:val="clear" w:color="auto" w:fill="auto"/>
    </w:rPr>
  </w:style>
  <w:style w:type="paragraph" w:styleId="Footer">
    <w:name w:val="footer"/>
    <w:basedOn w:val="Normal"/>
    <w:link w:val="FooterChar"/>
    <w:uiPriority w:val="57"/>
    <w:semiHidden/>
    <w:rsid w:val="00907C5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07C58"/>
    <w:rPr>
      <w:sz w:val="24"/>
      <w:lang w:val="en-GB"/>
    </w:rPr>
  </w:style>
  <w:style w:type="character" w:styleId="FootnoteReference">
    <w:name w:val="footnote reference"/>
    <w:basedOn w:val="DefaultParagraphFont"/>
    <w:uiPriority w:val="99"/>
    <w:semiHidden/>
    <w:rsid w:val="00907C58"/>
    <w:rPr>
      <w:vertAlign w:val="superscript"/>
    </w:rPr>
  </w:style>
  <w:style w:type="paragraph" w:styleId="FootnoteText">
    <w:name w:val="footnote text"/>
    <w:basedOn w:val="Normal"/>
    <w:link w:val="FootnoteTextChar"/>
    <w:uiPriority w:val="99"/>
    <w:semiHidden/>
    <w:rsid w:val="00907C58"/>
    <w:rPr>
      <w:sz w:val="20"/>
      <w:szCs w:val="20"/>
    </w:rPr>
  </w:style>
  <w:style w:type="character" w:customStyle="1" w:styleId="FootnoteTextChar">
    <w:name w:val="Footnote Text Char"/>
    <w:basedOn w:val="DefaultParagraphFont"/>
    <w:link w:val="FootnoteText"/>
    <w:uiPriority w:val="99"/>
    <w:semiHidden/>
    <w:rsid w:val="00907C58"/>
    <w:rPr>
      <w:rFonts w:eastAsiaTheme="minorEastAsia"/>
      <w:sz w:val="20"/>
      <w:szCs w:val="20"/>
      <w:lang w:val="en-GB"/>
    </w:rPr>
  </w:style>
  <w:style w:type="character" w:customStyle="1" w:styleId="Heading6Char">
    <w:name w:val="Heading 6 Char"/>
    <w:basedOn w:val="DefaultParagraphFont"/>
    <w:link w:val="Heading6"/>
    <w:uiPriority w:val="99"/>
    <w:semiHidden/>
    <w:rsid w:val="00907C5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07C5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07C5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07C5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07C58"/>
    <w:rPr>
      <w:color w:val="0072BC" w:themeColor="hyperlink"/>
      <w:u w:val="single"/>
    </w:rPr>
  </w:style>
  <w:style w:type="character" w:styleId="IntenseEmphasis">
    <w:name w:val="Intense Emphasis"/>
    <w:uiPriority w:val="99"/>
    <w:semiHidden/>
    <w:qFormat/>
    <w:rsid w:val="00907C58"/>
    <w:rPr>
      <w:b/>
      <w:bCs/>
    </w:rPr>
  </w:style>
  <w:style w:type="paragraph" w:styleId="IntenseQuote">
    <w:name w:val="Intense Quote"/>
    <w:basedOn w:val="Normal"/>
    <w:next w:val="Normal"/>
    <w:link w:val="IntenseQuoteChar"/>
    <w:uiPriority w:val="99"/>
    <w:semiHidden/>
    <w:qFormat/>
    <w:rsid w:val="00907C5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907C58"/>
    <w:rPr>
      <w:rFonts w:eastAsiaTheme="minorEastAsia"/>
      <w:b/>
      <w:bCs/>
      <w:i/>
      <w:iCs/>
      <w:lang w:bidi="en-US"/>
    </w:rPr>
  </w:style>
  <w:style w:type="character" w:styleId="IntenseReference">
    <w:name w:val="Intense Reference"/>
    <w:uiPriority w:val="99"/>
    <w:semiHidden/>
    <w:qFormat/>
    <w:rsid w:val="00907C58"/>
    <w:rPr>
      <w:smallCaps/>
      <w:spacing w:val="5"/>
      <w:u w:val="single"/>
    </w:rPr>
  </w:style>
  <w:style w:type="paragraph" w:styleId="ListParagraph">
    <w:name w:val="List Paragraph"/>
    <w:basedOn w:val="Normal"/>
    <w:uiPriority w:val="99"/>
    <w:semiHidden/>
    <w:qFormat/>
    <w:rsid w:val="00907C5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07C5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907C58"/>
    <w:rPr>
      <w:rFonts w:eastAsiaTheme="minorEastAsia"/>
      <w:i/>
      <w:iCs/>
      <w:lang w:bidi="en-US"/>
    </w:rPr>
  </w:style>
  <w:style w:type="character" w:styleId="SubtleReference">
    <w:name w:val="Subtle Reference"/>
    <w:uiPriority w:val="99"/>
    <w:semiHidden/>
    <w:qFormat/>
    <w:rsid w:val="00907C58"/>
    <w:rPr>
      <w:smallCaps/>
    </w:rPr>
  </w:style>
  <w:style w:type="table" w:styleId="TableGrid">
    <w:name w:val="Table Grid"/>
    <w:basedOn w:val="TableNormal"/>
    <w:uiPriority w:val="59"/>
    <w:semiHidden/>
    <w:rsid w:val="00907C5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07C5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07C5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07C5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07C5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07C5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07C5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07C5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907C5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uiPriority w:val="12"/>
    <w:qFormat/>
    <w:rsid w:val="00907C58"/>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07C5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907C58"/>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907C58"/>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uiPriority w:val="99"/>
    <w:semiHidden/>
    <w:rsid w:val="002D2C99"/>
    <w:rPr>
      <w:sz w:val="20"/>
      <w:szCs w:val="20"/>
    </w:rPr>
  </w:style>
  <w:style w:type="character" w:customStyle="1" w:styleId="CommentTextChar">
    <w:name w:val="Comment Text Char"/>
    <w:basedOn w:val="DefaultParagraphFont"/>
    <w:link w:val="CommentText"/>
    <w:uiPriority w:val="99"/>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70"/>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907C58"/>
    <w:rPr>
      <w:vertAlign w:val="superscript"/>
    </w:rPr>
  </w:style>
  <w:style w:type="paragraph" w:styleId="EndnoteText">
    <w:name w:val="endnote text"/>
    <w:basedOn w:val="Normal"/>
    <w:link w:val="EndnoteTextChar"/>
    <w:uiPriority w:val="99"/>
    <w:semiHidden/>
    <w:rsid w:val="00907C58"/>
    <w:rPr>
      <w:sz w:val="20"/>
      <w:szCs w:val="20"/>
    </w:rPr>
  </w:style>
  <w:style w:type="character" w:customStyle="1" w:styleId="EndnoteTextChar">
    <w:name w:val="Endnote Text Char"/>
    <w:basedOn w:val="DefaultParagraphFont"/>
    <w:link w:val="EndnoteText"/>
    <w:uiPriority w:val="99"/>
    <w:semiHidden/>
    <w:rsid w:val="00907C58"/>
    <w:rPr>
      <w:rFonts w:eastAsiaTheme="minorEastAsia"/>
      <w:sz w:val="20"/>
      <w:szCs w:val="20"/>
      <w:lang w:val="en-GB"/>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62"/>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67"/>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paragraph" w:styleId="NoteHeading">
    <w:name w:val="Note Heading"/>
    <w:basedOn w:val="Normal"/>
    <w:next w:val="Normal"/>
    <w:link w:val="NoteHeadingChar"/>
    <w:uiPriority w:val="99"/>
    <w:semiHidden/>
    <w:rsid w:val="002D2C99"/>
  </w:style>
  <w:style w:type="character" w:customStyle="1" w:styleId="NoteHeadingChar">
    <w:name w:val="Note Heading Char"/>
    <w:basedOn w:val="DefaultParagraphFont"/>
    <w:link w:val="NoteHeading"/>
    <w:uiPriority w:val="99"/>
    <w:semiHidden/>
    <w:rsid w:val="002D2C99"/>
    <w:rPr>
      <w:rFonts w:eastAsiaTheme="minorEastAsia"/>
      <w:sz w:val="24"/>
    </w:rPr>
  </w:style>
  <w:style w:type="character" w:styleId="PlaceholderText">
    <w:name w:val="Placeholder Text"/>
    <w:basedOn w:val="DefaultParagraphFont"/>
    <w:uiPriority w:val="99"/>
    <w:semiHidden/>
    <w:rsid w:val="00907C5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07C5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07C5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OpiParaSub">
    <w:name w:val="Opi_Para_Sub"/>
    <w:basedOn w:val="JuParaSub"/>
    <w:uiPriority w:val="47"/>
    <w:qFormat/>
    <w:rsid w:val="00907C58"/>
  </w:style>
  <w:style w:type="paragraph" w:customStyle="1" w:styleId="OpiQuot">
    <w:name w:val="Opi_Quot"/>
    <w:basedOn w:val="ECHRParaQuote"/>
    <w:uiPriority w:val="48"/>
    <w:qFormat/>
    <w:rsid w:val="00907C58"/>
  </w:style>
  <w:style w:type="paragraph" w:customStyle="1" w:styleId="ECHRFooter">
    <w:name w:val="ECHR_Footer"/>
    <w:aliases w:val="Footer_ECHR"/>
    <w:basedOn w:val="Footer"/>
    <w:uiPriority w:val="57"/>
    <w:semiHidden/>
    <w:rsid w:val="00907C58"/>
    <w:pPr>
      <w:jc w:val="left"/>
    </w:pPr>
    <w:rPr>
      <w:sz w:val="8"/>
    </w:rPr>
  </w:style>
  <w:style w:type="paragraph" w:customStyle="1" w:styleId="ECHRFooterLine">
    <w:name w:val="ECHR_Footer_Line"/>
    <w:aliases w:val="Footer_Line"/>
    <w:basedOn w:val="Normal"/>
    <w:next w:val="ECHRFooter"/>
    <w:uiPriority w:val="57"/>
    <w:semiHidden/>
    <w:rsid w:val="00907C58"/>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907C58"/>
    <w:pPr>
      <w:spacing w:after="240"/>
      <w:jc w:val="center"/>
      <w:outlineLvl w:val="0"/>
    </w:pPr>
    <w:rPr>
      <w:rFonts w:asciiTheme="majorHAnsi" w:hAnsiTheme="majorHAnsi"/>
    </w:rPr>
  </w:style>
  <w:style w:type="paragraph" w:customStyle="1" w:styleId="OpiQuotSub">
    <w:name w:val="Opi_Quot_Sub"/>
    <w:basedOn w:val="JuQuotSub"/>
    <w:uiPriority w:val="49"/>
    <w:qFormat/>
    <w:rsid w:val="00907C58"/>
  </w:style>
  <w:style w:type="paragraph" w:customStyle="1" w:styleId="JuHeaderLandscape">
    <w:name w:val="Ju_Header_Landscape"/>
    <w:basedOn w:val="ECHRHeader"/>
    <w:uiPriority w:val="4"/>
    <w:qFormat/>
    <w:rsid w:val="00907C58"/>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907C58"/>
    <w:pPr>
      <w:jc w:val="center"/>
      <w:outlineLvl w:val="0"/>
    </w:pPr>
    <w:rPr>
      <w:i/>
    </w:rPr>
  </w:style>
  <w:style w:type="paragraph" w:customStyle="1" w:styleId="jupara">
    <w:name w:val="jupara"/>
    <w:basedOn w:val="Normal"/>
    <w:rsid w:val="00DD3717"/>
    <w:pPr>
      <w:ind w:firstLine="284"/>
    </w:pPr>
    <w:rPr>
      <w:rFonts w:ascii="Times New Roman" w:eastAsia="Times New Roman" w:hAnsi="Times New Roman" w:cs="Times New Roman"/>
      <w:szCs w:val="24"/>
      <w:lang w:eastAsia="en-GB"/>
    </w:rPr>
  </w:style>
  <w:style w:type="paragraph" w:customStyle="1" w:styleId="jucase0">
    <w:name w:val="jucase"/>
    <w:basedOn w:val="Normal"/>
    <w:rsid w:val="00DD3717"/>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53D340-DB1C-4F7C-B83D-8C470B06ACBF}"/>
</file>

<file path=customXml/itemProps2.xml><?xml version="1.0" encoding="utf-8"?>
<ds:datastoreItem xmlns:ds="http://schemas.openxmlformats.org/officeDocument/2006/customXml" ds:itemID="{43E91817-EF9E-466E-AFE2-0F8C0D95C429}"/>
</file>

<file path=customXml/itemProps3.xml><?xml version="1.0" encoding="utf-8"?>
<ds:datastoreItem xmlns:ds="http://schemas.openxmlformats.org/officeDocument/2006/customXml" ds:itemID="{EBE75242-9BBB-45EB-9938-CAD5FA4AC13C}"/>
</file>

<file path=customXml/itemProps4.xml><?xml version="1.0" encoding="utf-8"?>
<ds:datastoreItem xmlns:ds="http://schemas.openxmlformats.org/officeDocument/2006/customXml" ds:itemID="{6C8ABD78-1898-401F-8362-57B880C8374B}"/>
</file>

<file path=docProps/app.xml><?xml version="1.0" encoding="utf-8"?>
<Properties xmlns="http://schemas.openxmlformats.org/officeDocument/2006/extended-properties" xmlns:vt="http://schemas.openxmlformats.org/officeDocument/2006/docPropsVTypes">
  <Template>Normal.dotm</Template>
  <TotalTime>0</TotalTime>
  <Pages>1</Pages>
  <Words>2469</Words>
  <Characters>14078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16514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2020-08-05T07:22:00Z</dcterms:created>
  <dcterms:modified xsi:type="dcterms:W3CDTF">2020-08-05T07:22:00Z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54558/15</vt:lpwstr>
  </property>
  <property fmtid="{D5CDD505-2E9C-101B-9397-08002B2CF9AE}" pid="4" name="CASEID">
    <vt:lpwstr>1164916</vt:lpwstr>
  </property>
  <property fmtid="{D5CDD505-2E9C-101B-9397-08002B2CF9AE}" pid="5" name="ContentTypeId">
    <vt:lpwstr>0x010100558EB02BDB9E204AB350EDD385B68E10</vt:lpwstr>
  </property>
</Properties>
</file>