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C7592" w:rsidR="00354248" w:rsidP="003C7592" w:rsidRDefault="00354248">
      <w:pPr>
        <w:jc w:val="center"/>
        <w:rPr>
          <w:rFonts w:ascii="Times New Roman" w:hAnsi="Times New Roman" w:cs="Times New Roman"/>
          <w:lang w:val="en-GB"/>
        </w:rPr>
      </w:pPr>
    </w:p>
    <w:p w:rsidRPr="003C7592" w:rsidR="0098410D" w:rsidP="003C7592" w:rsidRDefault="0098410D">
      <w:pPr>
        <w:jc w:val="center"/>
        <w:rPr>
          <w:lang w:val="en-GB"/>
        </w:rPr>
      </w:pPr>
    </w:p>
    <w:p w:rsidRPr="003C7592" w:rsidR="00D30F28" w:rsidP="003C7592" w:rsidRDefault="00D30F28">
      <w:pPr>
        <w:jc w:val="center"/>
        <w:rPr>
          <w:lang w:val="en-GB"/>
        </w:rPr>
      </w:pPr>
    </w:p>
    <w:p w:rsidRPr="003C7592" w:rsidR="0098410D" w:rsidP="003C7592" w:rsidRDefault="00354248">
      <w:pPr>
        <w:tabs>
          <w:tab w:val="left" w:pos="5529"/>
        </w:tabs>
        <w:jc w:val="center"/>
        <w:rPr>
          <w:lang w:val="en-GB"/>
        </w:rPr>
      </w:pPr>
      <w:r w:rsidRPr="003C7592">
        <w:rPr>
          <w:lang w:val="en-GB"/>
        </w:rPr>
        <w:t>SECOND SECTION</w:t>
      </w:r>
    </w:p>
    <w:p w:rsidRPr="003C7592" w:rsidR="00E95C1E" w:rsidP="003C7592" w:rsidRDefault="00E95C1E">
      <w:pPr>
        <w:jc w:val="center"/>
        <w:rPr>
          <w:lang w:val="en-GB"/>
        </w:rPr>
      </w:pPr>
    </w:p>
    <w:p w:rsidRPr="003C7592" w:rsidR="00BF118F" w:rsidP="003C7592" w:rsidRDefault="00BF118F">
      <w:pPr>
        <w:jc w:val="center"/>
        <w:rPr>
          <w:lang w:val="en-GB"/>
        </w:rPr>
      </w:pPr>
    </w:p>
    <w:p w:rsidRPr="003C7592" w:rsidR="00BF118F" w:rsidP="003C7592" w:rsidRDefault="00BF118F">
      <w:pPr>
        <w:jc w:val="center"/>
        <w:rPr>
          <w:lang w:val="en-GB"/>
        </w:rPr>
      </w:pPr>
    </w:p>
    <w:p w:rsidRPr="003C7592" w:rsidR="00D30F28" w:rsidP="003C7592" w:rsidRDefault="00D30F28">
      <w:pPr>
        <w:jc w:val="center"/>
        <w:rPr>
          <w:lang w:val="en-GB"/>
        </w:rPr>
      </w:pPr>
    </w:p>
    <w:p w:rsidRPr="003C7592" w:rsidR="00D30F28" w:rsidP="003C7592" w:rsidRDefault="00D30F28">
      <w:pPr>
        <w:jc w:val="center"/>
        <w:rPr>
          <w:lang w:val="en-GB"/>
        </w:rPr>
      </w:pPr>
    </w:p>
    <w:p w:rsidRPr="003C7592" w:rsidR="00D30F28" w:rsidP="003C7592" w:rsidRDefault="00D30F28">
      <w:pPr>
        <w:jc w:val="center"/>
        <w:rPr>
          <w:lang w:val="en-GB"/>
        </w:rPr>
      </w:pPr>
    </w:p>
    <w:p w:rsidRPr="003C7592" w:rsidR="00D30F28" w:rsidP="003C7592" w:rsidRDefault="00D30F28">
      <w:pPr>
        <w:jc w:val="center"/>
        <w:rPr>
          <w:lang w:val="en-GB"/>
        </w:rPr>
      </w:pPr>
    </w:p>
    <w:p w:rsidRPr="003C7592" w:rsidR="0098410D" w:rsidP="003C7592" w:rsidRDefault="0098410D">
      <w:pPr>
        <w:jc w:val="center"/>
        <w:rPr>
          <w:lang w:val="en-GB"/>
        </w:rPr>
      </w:pPr>
    </w:p>
    <w:p w:rsidRPr="003C7592" w:rsidR="008E6217" w:rsidP="003C7592" w:rsidRDefault="008E6217">
      <w:pPr>
        <w:jc w:val="center"/>
        <w:rPr>
          <w:b/>
          <w:lang w:val="en-GB"/>
        </w:rPr>
      </w:pPr>
      <w:bookmarkStart w:name="To" w:id="0"/>
      <w:r w:rsidRPr="003C7592">
        <w:rPr>
          <w:b/>
          <w:lang w:val="en-GB"/>
        </w:rPr>
        <w:t xml:space="preserve">CASE OF </w:t>
      </w:r>
      <w:bookmarkEnd w:id="0"/>
      <w:r w:rsidRPr="003C7592" w:rsidR="00044A0D">
        <w:rPr>
          <w:b/>
          <w:lang w:val="en-GB"/>
        </w:rPr>
        <w:t>AKSİ</w:t>
      </w:r>
      <w:r w:rsidRPr="003C7592" w:rsidR="00354248">
        <w:rPr>
          <w:b/>
          <w:lang w:val="en-GB"/>
        </w:rPr>
        <w:t>S AND OTHERS v. TURKEY</w:t>
      </w:r>
    </w:p>
    <w:p w:rsidRPr="003C7592" w:rsidR="00170027" w:rsidP="003C7592" w:rsidRDefault="00170027">
      <w:pPr>
        <w:jc w:val="center"/>
        <w:rPr>
          <w:b/>
          <w:lang w:val="en-GB"/>
        </w:rPr>
      </w:pPr>
    </w:p>
    <w:p w:rsidRPr="003C7592" w:rsidR="00D74888" w:rsidP="003C7592" w:rsidRDefault="008E6217">
      <w:pPr>
        <w:jc w:val="center"/>
        <w:rPr>
          <w:i/>
          <w:lang w:val="en-GB"/>
        </w:rPr>
      </w:pPr>
      <w:r w:rsidRPr="003C7592">
        <w:rPr>
          <w:i/>
          <w:lang w:val="en-GB"/>
        </w:rPr>
        <w:t>(</w:t>
      </w:r>
      <w:r w:rsidRPr="003C7592" w:rsidR="00354248">
        <w:rPr>
          <w:i/>
          <w:lang w:val="en-GB"/>
        </w:rPr>
        <w:t>Application no.</w:t>
      </w:r>
      <w:r w:rsidRPr="003C7592">
        <w:rPr>
          <w:i/>
          <w:lang w:val="en-GB"/>
        </w:rPr>
        <w:t xml:space="preserve"> </w:t>
      </w:r>
      <w:r w:rsidRPr="003C7592" w:rsidR="00354248">
        <w:rPr>
          <w:i/>
          <w:lang w:val="en-GB"/>
        </w:rPr>
        <w:t>4529/06</w:t>
      </w:r>
      <w:r w:rsidRPr="003C7592">
        <w:rPr>
          <w:i/>
          <w:lang w:val="en-GB"/>
        </w:rPr>
        <w:t>)</w:t>
      </w:r>
    </w:p>
    <w:p w:rsidRPr="003C7592" w:rsidR="0098410D" w:rsidP="003C7592" w:rsidRDefault="0098410D">
      <w:pPr>
        <w:jc w:val="center"/>
        <w:rPr>
          <w:lang w:val="en-GB"/>
        </w:rPr>
      </w:pPr>
      <w:bookmarkStart w:name="_GoBack" w:id="1"/>
      <w:bookmarkEnd w:id="1"/>
    </w:p>
    <w:p w:rsidRPr="003C7592" w:rsidR="0098410D" w:rsidP="003C7592" w:rsidRDefault="0098410D">
      <w:pPr>
        <w:jc w:val="center"/>
        <w:rPr>
          <w:lang w:val="en-GB"/>
        </w:rPr>
      </w:pPr>
    </w:p>
    <w:p w:rsidRPr="003C7592" w:rsidR="0098410D" w:rsidP="003C7592" w:rsidRDefault="0098410D">
      <w:pPr>
        <w:jc w:val="center"/>
        <w:rPr>
          <w:lang w:val="en-GB"/>
        </w:rPr>
      </w:pPr>
    </w:p>
    <w:p w:rsidRPr="003C7592" w:rsidR="0098410D" w:rsidP="003C7592" w:rsidRDefault="0098410D">
      <w:pPr>
        <w:jc w:val="center"/>
        <w:rPr>
          <w:lang w:val="en-GB"/>
        </w:rPr>
      </w:pPr>
    </w:p>
    <w:p w:rsidRPr="003C7592" w:rsidR="0098410D" w:rsidP="003C7592" w:rsidRDefault="0098410D">
      <w:pPr>
        <w:jc w:val="center"/>
        <w:rPr>
          <w:lang w:val="en-GB"/>
        </w:rPr>
      </w:pPr>
    </w:p>
    <w:p w:rsidRPr="003C7592" w:rsidR="0098410D" w:rsidP="003C7592" w:rsidRDefault="0098410D">
      <w:pPr>
        <w:jc w:val="center"/>
        <w:outlineLvl w:val="0"/>
        <w:rPr>
          <w:lang w:val="en-GB"/>
        </w:rPr>
      </w:pPr>
      <w:r w:rsidRPr="003C7592">
        <w:rPr>
          <w:lang w:val="en-GB"/>
        </w:rPr>
        <w:t>JUDGMENT</w:t>
      </w:r>
    </w:p>
    <w:p w:rsidRPr="003C7592" w:rsidR="0098410D" w:rsidP="003C7592" w:rsidRDefault="0098410D">
      <w:pPr>
        <w:jc w:val="center"/>
        <w:rPr>
          <w:lang w:val="tr-TR"/>
        </w:rPr>
      </w:pPr>
    </w:p>
    <w:p w:rsidRPr="003C7592" w:rsidR="00D30F28" w:rsidP="003C7592" w:rsidRDefault="00D30F28">
      <w:pPr>
        <w:jc w:val="center"/>
        <w:rPr>
          <w:lang w:val="tr-TR"/>
        </w:rPr>
      </w:pPr>
    </w:p>
    <w:p w:rsidRPr="003C7592" w:rsidR="00D30F28" w:rsidP="003C7592" w:rsidRDefault="00D30F28">
      <w:pPr>
        <w:jc w:val="center"/>
        <w:rPr>
          <w:lang w:val="tr-TR"/>
        </w:rPr>
      </w:pPr>
    </w:p>
    <w:p w:rsidRPr="003C7592" w:rsidR="00D30F28" w:rsidP="003C7592" w:rsidRDefault="00D30F28">
      <w:pPr>
        <w:jc w:val="center"/>
        <w:rPr>
          <w:lang w:val="tr-TR"/>
        </w:rPr>
      </w:pPr>
    </w:p>
    <w:p w:rsidRPr="003C7592" w:rsidR="00D30F28" w:rsidP="003C7592" w:rsidRDefault="00D30F28">
      <w:pPr>
        <w:jc w:val="center"/>
        <w:rPr>
          <w:lang w:val="tr-TR"/>
        </w:rPr>
      </w:pPr>
    </w:p>
    <w:p w:rsidRPr="003C7592" w:rsidR="0098410D" w:rsidP="003C7592" w:rsidRDefault="0098410D">
      <w:pPr>
        <w:jc w:val="center"/>
        <w:rPr>
          <w:i/>
          <w:lang w:val="en-GB"/>
        </w:rPr>
      </w:pPr>
    </w:p>
    <w:p w:rsidRPr="003C7592" w:rsidR="0098410D" w:rsidP="003C7592" w:rsidRDefault="0098410D">
      <w:pPr>
        <w:jc w:val="center"/>
        <w:outlineLvl w:val="0"/>
        <w:rPr>
          <w:lang w:val="en-GB"/>
        </w:rPr>
      </w:pPr>
      <w:r w:rsidRPr="003C7592">
        <w:rPr>
          <w:lang w:val="en-GB"/>
        </w:rPr>
        <w:t>STRASBOURG</w:t>
      </w:r>
    </w:p>
    <w:p w:rsidRPr="003C7592" w:rsidR="0098410D" w:rsidP="003C7592" w:rsidRDefault="0098410D">
      <w:pPr>
        <w:jc w:val="center"/>
        <w:rPr>
          <w:lang w:val="en-GB"/>
        </w:rPr>
      </w:pPr>
    </w:p>
    <w:p w:rsidRPr="003C7592" w:rsidR="0098410D" w:rsidP="003C7592" w:rsidRDefault="00354248">
      <w:pPr>
        <w:jc w:val="center"/>
        <w:rPr>
          <w:lang w:val="en-GB"/>
        </w:rPr>
      </w:pPr>
      <w:r w:rsidRPr="003C7592">
        <w:rPr>
          <w:rFonts w:ascii="Times New Roman" w:hAnsi="Times New Roman" w:cs="Times New Roman"/>
          <w:lang w:val="en-GB"/>
        </w:rPr>
        <w:t>30 April 2019</w:t>
      </w:r>
    </w:p>
    <w:p w:rsidRPr="003C7592" w:rsidR="0098410D" w:rsidP="003C7592" w:rsidRDefault="0098410D">
      <w:pPr>
        <w:jc w:val="center"/>
        <w:rPr>
          <w:lang w:val="en-GB"/>
        </w:rPr>
      </w:pPr>
    </w:p>
    <w:p w:rsidRPr="003C7592" w:rsidR="0098410D" w:rsidP="003C7592" w:rsidRDefault="0098410D">
      <w:pPr>
        <w:jc w:val="center"/>
        <w:rPr>
          <w:lang w:val="en-GB"/>
        </w:rPr>
      </w:pPr>
    </w:p>
    <w:p w:rsidR="00191276" w:rsidP="00191276" w:rsidRDefault="00191276">
      <w:pPr>
        <w:pStyle w:val="jucase0"/>
        <w:ind w:firstLine="0"/>
        <w:jc w:val="center"/>
        <w:rPr>
          <w:color w:val="FF0000"/>
          <w:sz w:val="28"/>
          <w:szCs w:val="28"/>
          <w:u w:val="single"/>
        </w:rPr>
      </w:pPr>
      <w:r>
        <w:rPr>
          <w:color w:val="FF0000"/>
          <w:sz w:val="28"/>
          <w:szCs w:val="28"/>
          <w:u w:val="single"/>
        </w:rPr>
        <w:t>FINAL</w:t>
      </w:r>
    </w:p>
    <w:p w:rsidR="00191276" w:rsidP="00191276" w:rsidRDefault="00191276">
      <w:pPr>
        <w:pStyle w:val="jucase0"/>
        <w:ind w:firstLine="0"/>
        <w:jc w:val="center"/>
        <w:rPr>
          <w:color w:val="FF0000"/>
          <w:sz w:val="28"/>
          <w:szCs w:val="28"/>
          <w:u w:val="single"/>
        </w:rPr>
      </w:pPr>
    </w:p>
    <w:p w:rsidR="00191276" w:rsidP="00191276" w:rsidRDefault="00191276">
      <w:pPr>
        <w:pStyle w:val="jupara"/>
        <w:ind w:firstLine="0"/>
        <w:jc w:val="center"/>
        <w:rPr>
          <w:color w:val="FF0000"/>
          <w:sz w:val="28"/>
          <w:szCs w:val="28"/>
        </w:rPr>
      </w:pPr>
      <w:r>
        <w:rPr>
          <w:color w:val="FF0000"/>
          <w:sz w:val="28"/>
          <w:szCs w:val="28"/>
        </w:rPr>
        <w:t>09/09/2019</w:t>
      </w:r>
    </w:p>
    <w:p w:rsidR="00191276" w:rsidP="00191276" w:rsidRDefault="00191276">
      <w:pPr>
        <w:pStyle w:val="jupara"/>
        <w:ind w:firstLine="0"/>
        <w:jc w:val="center"/>
      </w:pPr>
    </w:p>
    <w:p w:rsidRPr="003C7592" w:rsidR="002422B6" w:rsidP="00191276" w:rsidRDefault="00191276">
      <w:pPr>
        <w:rPr>
          <w:i/>
          <w:sz w:val="22"/>
          <w:lang w:val="en-GB"/>
        </w:rPr>
      </w:pPr>
      <w:r>
        <w:rPr>
          <w:i/>
          <w:iCs/>
          <w:sz w:val="22"/>
        </w:rPr>
        <w:t>This judgment has become final under Article 44 § 2 of the Convention. It may be subject to editorial revision.</w:t>
      </w:r>
    </w:p>
    <w:p w:rsidRPr="003C7592" w:rsidR="0098410D" w:rsidP="003C7592" w:rsidRDefault="0098410D">
      <w:pPr>
        <w:rPr>
          <w:lang w:val="en-GB"/>
        </w:rPr>
        <w:sectPr w:rsidRPr="003C7592"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3C7592" w:rsidR="0098410D" w:rsidP="003C7592" w:rsidRDefault="0098410D">
      <w:pPr>
        <w:pStyle w:val="JuCase"/>
        <w:rPr>
          <w:lang w:val="en-GB"/>
        </w:rPr>
      </w:pPr>
      <w:r w:rsidRPr="003C7592">
        <w:rPr>
          <w:lang w:val="en-GB"/>
        </w:rPr>
        <w:t xml:space="preserve">In the case of </w:t>
      </w:r>
      <w:proofErr w:type="spellStart"/>
      <w:r w:rsidRPr="003C7592" w:rsidR="00354248">
        <w:rPr>
          <w:lang w:val="en-GB"/>
        </w:rPr>
        <w:t>Aksis</w:t>
      </w:r>
      <w:proofErr w:type="spellEnd"/>
      <w:r w:rsidRPr="003C7592" w:rsidR="00354248">
        <w:rPr>
          <w:lang w:val="en-GB"/>
        </w:rPr>
        <w:t xml:space="preserve"> and Others v. Turkey</w:t>
      </w:r>
      <w:r w:rsidRPr="003C7592">
        <w:rPr>
          <w:lang w:val="en-GB"/>
        </w:rPr>
        <w:t>,</w:t>
      </w:r>
    </w:p>
    <w:p w:rsidRPr="003C7592" w:rsidR="009F4C8F" w:rsidP="003C7592" w:rsidRDefault="009F4C8F">
      <w:pPr>
        <w:pStyle w:val="ECHRPara"/>
        <w:rPr>
          <w:lang w:val="en-GB"/>
        </w:rPr>
      </w:pPr>
      <w:r w:rsidRPr="003C7592">
        <w:rPr>
          <w:lang w:val="en-GB"/>
        </w:rPr>
        <w:t>The European Court of Human Rights (</w:t>
      </w:r>
      <w:r w:rsidRPr="003C7592" w:rsidR="00354248">
        <w:rPr>
          <w:lang w:val="en-GB"/>
        </w:rPr>
        <w:t>Second Section</w:t>
      </w:r>
      <w:r w:rsidRPr="003C7592">
        <w:rPr>
          <w:lang w:val="en-GB"/>
        </w:rPr>
        <w:t xml:space="preserve">), sitting as a </w:t>
      </w:r>
      <w:r w:rsidRPr="003C7592" w:rsidR="00354248">
        <w:rPr>
          <w:lang w:val="en-GB"/>
        </w:rPr>
        <w:t>Chamber</w:t>
      </w:r>
      <w:r w:rsidRPr="003C7592">
        <w:rPr>
          <w:lang w:val="en-GB"/>
        </w:rPr>
        <w:t xml:space="preserve"> composed of:</w:t>
      </w:r>
    </w:p>
    <w:p w:rsidRPr="003C7592" w:rsidR="009F4C8F" w:rsidP="003C7592" w:rsidRDefault="00044A0D">
      <w:pPr>
        <w:pStyle w:val="ECHRDecisionBody"/>
        <w:rPr>
          <w:lang w:val="en-GB"/>
        </w:rPr>
      </w:pPr>
      <w:r w:rsidRPr="003C7592">
        <w:tab/>
        <w:t>Robert Spano,</w:t>
      </w:r>
      <w:r w:rsidRPr="003C7592">
        <w:rPr>
          <w:i/>
        </w:rPr>
        <w:t xml:space="preserve"> President,</w:t>
      </w:r>
      <w:r w:rsidRPr="003C7592">
        <w:rPr>
          <w:i/>
        </w:rPr>
        <w:br/>
      </w:r>
      <w:r w:rsidRPr="003C7592">
        <w:tab/>
        <w:t>Paul Lemmens,</w:t>
      </w:r>
      <w:r w:rsidRPr="003C7592">
        <w:rPr>
          <w:i/>
        </w:rPr>
        <w:br/>
      </w:r>
      <w:r w:rsidRPr="003C7592">
        <w:tab/>
      </w:r>
      <w:proofErr w:type="spellStart"/>
      <w:r w:rsidRPr="003C7592">
        <w:t>Işıl</w:t>
      </w:r>
      <w:proofErr w:type="spellEnd"/>
      <w:r w:rsidRPr="003C7592">
        <w:t xml:space="preserve"> </w:t>
      </w:r>
      <w:proofErr w:type="spellStart"/>
      <w:r w:rsidRPr="003C7592">
        <w:t>Karakaş</w:t>
      </w:r>
      <w:proofErr w:type="spellEnd"/>
      <w:r w:rsidRPr="003C7592">
        <w:t>,</w:t>
      </w:r>
      <w:r w:rsidRPr="003C7592">
        <w:rPr>
          <w:i/>
        </w:rPr>
        <w:br/>
      </w:r>
      <w:r w:rsidRPr="003C7592">
        <w:tab/>
      </w:r>
      <w:proofErr w:type="spellStart"/>
      <w:r w:rsidRPr="003C7592">
        <w:t>Valeriu</w:t>
      </w:r>
      <w:proofErr w:type="spellEnd"/>
      <w:r w:rsidRPr="003C7592">
        <w:t xml:space="preserve"> </w:t>
      </w:r>
      <w:proofErr w:type="spellStart"/>
      <w:r w:rsidRPr="003C7592">
        <w:t>Griţco</w:t>
      </w:r>
      <w:proofErr w:type="spellEnd"/>
      <w:r w:rsidRPr="003C7592">
        <w:t>,</w:t>
      </w:r>
      <w:r w:rsidRPr="003C7592">
        <w:rPr>
          <w:i/>
        </w:rPr>
        <w:br/>
      </w:r>
      <w:r w:rsidRPr="003C7592">
        <w:tab/>
        <w:t xml:space="preserve">Stéphanie </w:t>
      </w:r>
      <w:proofErr w:type="spellStart"/>
      <w:r w:rsidRPr="003C7592">
        <w:t>Mourou-Vikström</w:t>
      </w:r>
      <w:proofErr w:type="spellEnd"/>
      <w:r w:rsidRPr="003C7592">
        <w:t>,</w:t>
      </w:r>
      <w:r w:rsidRPr="003C7592">
        <w:rPr>
          <w:i/>
        </w:rPr>
        <w:br/>
      </w:r>
      <w:r w:rsidRPr="003C7592">
        <w:tab/>
      </w:r>
      <w:proofErr w:type="spellStart"/>
      <w:r w:rsidRPr="003C7592">
        <w:t>Arnfinn</w:t>
      </w:r>
      <w:proofErr w:type="spellEnd"/>
      <w:r w:rsidRPr="003C7592">
        <w:t xml:space="preserve"> </w:t>
      </w:r>
      <w:proofErr w:type="spellStart"/>
      <w:r w:rsidRPr="003C7592">
        <w:t>Bårdsen</w:t>
      </w:r>
      <w:proofErr w:type="spellEnd"/>
      <w:r w:rsidRPr="003C7592">
        <w:t>,</w:t>
      </w:r>
      <w:r w:rsidRPr="003C7592">
        <w:rPr>
          <w:i/>
        </w:rPr>
        <w:br/>
      </w:r>
      <w:r w:rsidRPr="003C7592">
        <w:tab/>
        <w:t>Darian Pavli,</w:t>
      </w:r>
      <w:r w:rsidRPr="003C7592">
        <w:rPr>
          <w:i/>
        </w:rPr>
        <w:t xml:space="preserve"> judges,</w:t>
      </w:r>
      <w:r w:rsidRPr="003C7592">
        <w:rPr>
          <w:i/>
        </w:rPr>
        <w:br/>
      </w:r>
      <w:r w:rsidRPr="003C7592" w:rsidR="009F4C8F">
        <w:rPr>
          <w:lang w:val="en-GB"/>
        </w:rPr>
        <w:t xml:space="preserve">and </w:t>
      </w:r>
      <w:r w:rsidRPr="003C7592" w:rsidR="00354248">
        <w:rPr>
          <w:lang w:val="en-GB"/>
        </w:rPr>
        <w:t>Stanley Naismith</w:t>
      </w:r>
      <w:r w:rsidRPr="003C7592" w:rsidR="009F4C8F">
        <w:rPr>
          <w:lang w:val="en-GB"/>
        </w:rPr>
        <w:t xml:space="preserve">, </w:t>
      </w:r>
      <w:r w:rsidRPr="003C7592" w:rsidR="00354248">
        <w:rPr>
          <w:i/>
          <w:lang w:val="en-GB"/>
        </w:rPr>
        <w:t xml:space="preserve">Section </w:t>
      </w:r>
      <w:r w:rsidRPr="003C7592" w:rsidR="00354248">
        <w:rPr>
          <w:i/>
          <w:iCs/>
          <w:lang w:val="en-GB"/>
        </w:rPr>
        <w:t>Registrar</w:t>
      </w:r>
      <w:r w:rsidRPr="003C7592" w:rsidR="009F4C8F">
        <w:rPr>
          <w:i/>
          <w:lang w:val="en-GB"/>
        </w:rPr>
        <w:t>,</w:t>
      </w:r>
    </w:p>
    <w:p w:rsidRPr="003C7592" w:rsidR="009F4C8F" w:rsidP="003C7592" w:rsidRDefault="009F4C8F">
      <w:pPr>
        <w:pStyle w:val="ECHRPara"/>
        <w:rPr>
          <w:lang w:val="en-GB"/>
        </w:rPr>
      </w:pPr>
      <w:r w:rsidRPr="003C7592">
        <w:rPr>
          <w:lang w:val="en-GB"/>
        </w:rPr>
        <w:t xml:space="preserve">Having deliberated in private on </w:t>
      </w:r>
      <w:r w:rsidRPr="003C7592" w:rsidR="00354248">
        <w:rPr>
          <w:szCs w:val="24"/>
          <w:lang w:val="en-GB"/>
        </w:rPr>
        <w:t>26 March 2019</w:t>
      </w:r>
      <w:r w:rsidRPr="003C7592">
        <w:rPr>
          <w:lang w:val="en-GB"/>
        </w:rPr>
        <w:t>,</w:t>
      </w:r>
    </w:p>
    <w:p w:rsidRPr="003C7592" w:rsidR="009F4C8F" w:rsidP="003C7592" w:rsidRDefault="009F4C8F">
      <w:pPr>
        <w:pStyle w:val="ECHRPara"/>
        <w:rPr>
          <w:lang w:val="en-GB"/>
        </w:rPr>
      </w:pPr>
      <w:r w:rsidRPr="003C7592">
        <w:rPr>
          <w:lang w:val="en-GB"/>
        </w:rPr>
        <w:t>Delivers the following judgment, which was adopted on that date:</w:t>
      </w:r>
    </w:p>
    <w:p w:rsidRPr="003C7592" w:rsidR="00354248" w:rsidP="003C7592" w:rsidRDefault="00354248">
      <w:pPr>
        <w:pStyle w:val="ECHRTitle1"/>
        <w:rPr>
          <w:lang w:val="en-GB"/>
        </w:rPr>
      </w:pPr>
      <w:r w:rsidRPr="003C7592">
        <w:rPr>
          <w:lang w:val="en-GB"/>
        </w:rPr>
        <w:t>PROCEDURE</w:t>
      </w:r>
    </w:p>
    <w:p w:rsidRPr="003C7592" w:rsidR="00354248" w:rsidP="003C7592" w:rsidRDefault="00354248">
      <w:pPr>
        <w:pStyle w:val="ECHRPara"/>
        <w:rPr>
          <w:lang w:val="en-GB"/>
        </w:rPr>
      </w:pPr>
      <w:r w:rsidRPr="003C7592">
        <w:rPr>
          <w:lang w:val="en-GB"/>
        </w:rPr>
        <w:t>1.  The case originated in an application (no. 4529/06) against the Republic of Turkey lodged with the Court under Article 34 of the Convention for the Protection of Human Rights and Fundamental Freedoms (“the Convention”) by thirteen Turkish nationals (“the applicants”), on 20 December 2005. A list of the applicants and their personal details are set out in the Appendix.</w:t>
      </w:r>
    </w:p>
    <w:p w:rsidRPr="003C7592" w:rsidR="00354248" w:rsidP="003C7592" w:rsidRDefault="00354248">
      <w:pPr>
        <w:pStyle w:val="ECHRPara"/>
        <w:rPr>
          <w:lang w:val="en-GB"/>
        </w:rPr>
      </w:pPr>
      <w:r w:rsidRPr="003C7592">
        <w:rPr>
          <w:lang w:val="en-GB"/>
        </w:rPr>
        <w:t xml:space="preserve">2.  The applicants were represented by Mr E. </w:t>
      </w:r>
      <w:proofErr w:type="spellStart"/>
      <w:r w:rsidRPr="003C7592">
        <w:rPr>
          <w:lang w:val="en-GB"/>
        </w:rPr>
        <w:t>Cinmen</w:t>
      </w:r>
      <w:proofErr w:type="spellEnd"/>
      <w:r w:rsidRPr="003C7592">
        <w:rPr>
          <w:lang w:val="en-GB"/>
        </w:rPr>
        <w:t xml:space="preserve">, a lawyer practising in </w:t>
      </w:r>
      <w:proofErr w:type="spellStart"/>
      <w:r w:rsidRPr="003C7592">
        <w:rPr>
          <w:lang w:val="en-GB"/>
        </w:rPr>
        <w:t>Muğla</w:t>
      </w:r>
      <w:proofErr w:type="spellEnd"/>
      <w:r w:rsidRPr="003C7592">
        <w:rPr>
          <w:lang w:val="en-GB"/>
        </w:rPr>
        <w:t>. The Turkish Government (“the Government”) were represented by their Agent.</w:t>
      </w:r>
    </w:p>
    <w:p w:rsidRPr="003C7592" w:rsidR="00354248" w:rsidP="003C7592" w:rsidRDefault="00354248">
      <w:pPr>
        <w:pStyle w:val="ECHRPara"/>
        <w:rPr>
          <w:lang w:val="en-GB"/>
        </w:rPr>
      </w:pPr>
      <w:r w:rsidRPr="003C7592">
        <w:rPr>
          <w:lang w:val="en-GB"/>
        </w:rPr>
        <w:t>3.  The applicants complained, in particular, of a violation of their right to a fair trial and their right to peaceful enjoyment of their possessions on account of the dismissal of their compensation claims by the domestic courts.</w:t>
      </w:r>
    </w:p>
    <w:p w:rsidRPr="003C7592" w:rsidR="00354248" w:rsidP="003C7592" w:rsidRDefault="00354248">
      <w:pPr>
        <w:pStyle w:val="ECHRPara"/>
        <w:rPr>
          <w:lang w:val="en-GB"/>
        </w:rPr>
      </w:pPr>
      <w:r w:rsidRPr="003C7592">
        <w:rPr>
          <w:lang w:val="en-GB"/>
        </w:rPr>
        <w:t xml:space="preserve">4.  On </w:t>
      </w:r>
      <w:r w:rsidRPr="003C7592">
        <w:rPr>
          <w:szCs w:val="24"/>
          <w:lang w:val="en-GB"/>
        </w:rPr>
        <w:t>13 June 2017</w:t>
      </w:r>
      <w:r w:rsidRPr="003C7592">
        <w:rPr>
          <w:lang w:val="en-GB"/>
        </w:rPr>
        <w:t xml:space="preserve"> notice of the complaints was given to the Government and the remainder of the application was declared inadmissible</w:t>
      </w:r>
      <w:r w:rsidRPr="003C7592">
        <w:rPr>
          <w:szCs w:val="24"/>
          <w:lang w:val="en-GB"/>
        </w:rPr>
        <w:t xml:space="preserve"> </w:t>
      </w:r>
      <w:r w:rsidRPr="003C7592">
        <w:rPr>
          <w:lang w:val="en-GB"/>
        </w:rPr>
        <w:t>pursuant to Rule 54 § 3 of the Rules of Court.</w:t>
      </w:r>
    </w:p>
    <w:p w:rsidRPr="003C7592" w:rsidR="00354248" w:rsidP="003C7592" w:rsidRDefault="00354248">
      <w:pPr>
        <w:pStyle w:val="ECHRPara"/>
        <w:rPr>
          <w:lang w:val="tr-TR"/>
        </w:rPr>
      </w:pPr>
      <w:r w:rsidRPr="003C7592">
        <w:rPr>
          <w:lang w:val="en-GB"/>
        </w:rPr>
        <w:t xml:space="preserve">5.  The Government informed the Court that four applicants, </w:t>
      </w:r>
      <w:proofErr w:type="spellStart"/>
      <w:r w:rsidRPr="003C7592">
        <w:rPr>
          <w:lang w:val="tr-TR"/>
        </w:rPr>
        <w:t>Ms</w:t>
      </w:r>
      <w:proofErr w:type="spellEnd"/>
      <w:r w:rsidRPr="003C7592">
        <w:rPr>
          <w:lang w:val="tr-TR"/>
        </w:rPr>
        <w:t xml:space="preserve"> Fahriye Baran, </w:t>
      </w:r>
      <w:proofErr w:type="spellStart"/>
      <w:r w:rsidRPr="003C7592">
        <w:rPr>
          <w:lang w:val="tr-TR"/>
        </w:rPr>
        <w:t>Ms</w:t>
      </w:r>
      <w:proofErr w:type="spellEnd"/>
      <w:r w:rsidRPr="003C7592">
        <w:rPr>
          <w:lang w:val="tr-TR"/>
        </w:rPr>
        <w:t xml:space="preserve"> Hatice Füsun Giz, </w:t>
      </w:r>
      <w:proofErr w:type="spellStart"/>
      <w:r w:rsidRPr="003C7592">
        <w:rPr>
          <w:lang w:val="tr-TR"/>
        </w:rPr>
        <w:t>Mr</w:t>
      </w:r>
      <w:proofErr w:type="spellEnd"/>
      <w:r w:rsidRPr="003C7592">
        <w:rPr>
          <w:lang w:val="tr-TR"/>
        </w:rPr>
        <w:t xml:space="preserve"> Mustafa Reha Küpçüoğlu </w:t>
      </w:r>
      <w:proofErr w:type="spellStart"/>
      <w:r w:rsidRPr="003C7592">
        <w:rPr>
          <w:lang w:val="tr-TR"/>
        </w:rPr>
        <w:t>and</w:t>
      </w:r>
      <w:proofErr w:type="spellEnd"/>
      <w:r w:rsidRPr="003C7592">
        <w:rPr>
          <w:lang w:val="tr-TR"/>
        </w:rPr>
        <w:t xml:space="preserve"> </w:t>
      </w:r>
      <w:proofErr w:type="spellStart"/>
      <w:r w:rsidRPr="003C7592">
        <w:rPr>
          <w:lang w:val="tr-TR"/>
        </w:rPr>
        <w:t>Mr</w:t>
      </w:r>
      <w:proofErr w:type="spellEnd"/>
      <w:r w:rsidRPr="003C7592">
        <w:rPr>
          <w:lang w:val="tr-TR"/>
        </w:rPr>
        <w:t xml:space="preserve"> Mehmet Semih Yazgan, had </w:t>
      </w:r>
      <w:proofErr w:type="spellStart"/>
      <w:r w:rsidRPr="003C7592">
        <w:rPr>
          <w:lang w:val="tr-TR"/>
        </w:rPr>
        <w:t>died</w:t>
      </w:r>
      <w:proofErr w:type="spellEnd"/>
      <w:r w:rsidRPr="003C7592">
        <w:rPr>
          <w:lang w:val="tr-TR"/>
        </w:rPr>
        <w:t xml:space="preserve"> on 12 </w:t>
      </w:r>
      <w:proofErr w:type="spellStart"/>
      <w:r w:rsidRPr="003C7592">
        <w:rPr>
          <w:lang w:val="tr-TR"/>
        </w:rPr>
        <w:t>June</w:t>
      </w:r>
      <w:proofErr w:type="spellEnd"/>
      <w:r w:rsidRPr="003C7592">
        <w:rPr>
          <w:lang w:val="tr-TR"/>
        </w:rPr>
        <w:t xml:space="preserve"> 2013, 16 May 2013, 13 </w:t>
      </w:r>
      <w:proofErr w:type="spellStart"/>
      <w:r w:rsidRPr="003C7592">
        <w:rPr>
          <w:lang w:val="tr-TR"/>
        </w:rPr>
        <w:t>March</w:t>
      </w:r>
      <w:proofErr w:type="spellEnd"/>
      <w:r w:rsidRPr="003C7592">
        <w:rPr>
          <w:lang w:val="tr-TR"/>
        </w:rPr>
        <w:t xml:space="preserve"> 2011 </w:t>
      </w:r>
      <w:proofErr w:type="spellStart"/>
      <w:r w:rsidRPr="003C7592">
        <w:rPr>
          <w:lang w:val="tr-TR"/>
        </w:rPr>
        <w:t>and</w:t>
      </w:r>
      <w:proofErr w:type="spellEnd"/>
      <w:r w:rsidRPr="003C7592">
        <w:rPr>
          <w:lang w:val="tr-TR"/>
        </w:rPr>
        <w:t xml:space="preserve"> 27 </w:t>
      </w:r>
      <w:proofErr w:type="spellStart"/>
      <w:r w:rsidRPr="003C7592">
        <w:rPr>
          <w:lang w:val="tr-TR"/>
        </w:rPr>
        <w:t>January</w:t>
      </w:r>
      <w:proofErr w:type="spellEnd"/>
      <w:r w:rsidRPr="003C7592">
        <w:rPr>
          <w:lang w:val="tr-TR"/>
        </w:rPr>
        <w:t xml:space="preserve"> 2008 </w:t>
      </w:r>
      <w:proofErr w:type="spellStart"/>
      <w:r w:rsidRPr="003C7592">
        <w:rPr>
          <w:lang w:val="tr-TR"/>
        </w:rPr>
        <w:t>respectively</w:t>
      </w:r>
      <w:proofErr w:type="spellEnd"/>
      <w:r w:rsidRPr="003C7592">
        <w:rPr>
          <w:lang w:val="tr-TR"/>
        </w:rPr>
        <w:t>.</w:t>
      </w:r>
    </w:p>
    <w:p w:rsidRPr="003C7592" w:rsidR="00354248" w:rsidP="003C7592" w:rsidRDefault="00354248">
      <w:pPr>
        <w:pStyle w:val="ECHRPara"/>
        <w:rPr>
          <w:lang w:val="en-GB"/>
        </w:rPr>
      </w:pPr>
      <w:r w:rsidRPr="003C7592">
        <w:rPr>
          <w:lang w:val="en-GB"/>
        </w:rPr>
        <w:t>6.  On 29 January 2018 the applicants</w:t>
      </w:r>
      <w:r w:rsidRPr="003C7592" w:rsidR="003C7592">
        <w:rPr>
          <w:lang w:val="en-GB"/>
        </w:rPr>
        <w:t>’</w:t>
      </w:r>
      <w:r w:rsidRPr="003C7592">
        <w:rPr>
          <w:lang w:val="en-GB"/>
        </w:rPr>
        <w:t xml:space="preserve"> representative informed the Court that the relatives of the applicants Mr </w:t>
      </w:r>
      <w:proofErr w:type="spellStart"/>
      <w:r w:rsidRPr="003C7592">
        <w:rPr>
          <w:lang w:val="en-GB"/>
        </w:rPr>
        <w:t>Yazgan</w:t>
      </w:r>
      <w:proofErr w:type="spellEnd"/>
      <w:r w:rsidRPr="003C7592">
        <w:rPr>
          <w:lang w:val="en-GB"/>
        </w:rPr>
        <w:t xml:space="preserve">, Ms </w:t>
      </w:r>
      <w:proofErr w:type="spellStart"/>
      <w:r w:rsidRPr="003C7592">
        <w:rPr>
          <w:lang w:val="en-GB"/>
        </w:rPr>
        <w:t>Giz</w:t>
      </w:r>
      <w:proofErr w:type="spellEnd"/>
      <w:r w:rsidRPr="003C7592">
        <w:rPr>
          <w:lang w:val="en-GB"/>
        </w:rPr>
        <w:t xml:space="preserve"> and Mr </w:t>
      </w:r>
      <w:proofErr w:type="spellStart"/>
      <w:r w:rsidRPr="003C7592">
        <w:rPr>
          <w:lang w:val="en-GB"/>
        </w:rPr>
        <w:t>Küpçüoğlu</w:t>
      </w:r>
      <w:proofErr w:type="spellEnd"/>
      <w:r w:rsidRPr="003C7592">
        <w:rPr>
          <w:lang w:val="en-GB"/>
        </w:rPr>
        <w:t xml:space="preserve"> expressed their wish to pursue the application in their stead </w:t>
      </w:r>
      <w:r w:rsidRPr="003C7592" w:rsidR="00D30F28">
        <w:rPr>
          <w:lang w:val="en-GB"/>
        </w:rPr>
        <w:t>(see paragraphs </w:t>
      </w:r>
      <w:r w:rsidRPr="003C7592">
        <w:rPr>
          <w:lang w:val="en-GB"/>
        </w:rPr>
        <w:t>30 and 34 below).</w:t>
      </w:r>
    </w:p>
    <w:p w:rsidRPr="003C7592" w:rsidR="00354248" w:rsidP="003C7592" w:rsidRDefault="00354248">
      <w:pPr>
        <w:pStyle w:val="ECHRTitle1"/>
        <w:rPr>
          <w:lang w:val="en-GB"/>
        </w:rPr>
      </w:pPr>
      <w:r w:rsidRPr="003C7592">
        <w:rPr>
          <w:lang w:val="en-GB"/>
        </w:rPr>
        <w:t>THE FACTS</w:t>
      </w:r>
    </w:p>
    <w:p w:rsidRPr="003C7592" w:rsidR="00354248" w:rsidP="003C7592" w:rsidRDefault="00354248">
      <w:pPr>
        <w:pStyle w:val="ECHRHeading1"/>
        <w:rPr>
          <w:lang w:val="en-GB"/>
        </w:rPr>
      </w:pPr>
      <w:r w:rsidRPr="003C7592">
        <w:rPr>
          <w:lang w:val="en-GB"/>
        </w:rPr>
        <w:t>I.  THE CIRCUMSTANCES OF THE CASE</w:t>
      </w:r>
    </w:p>
    <w:p w:rsidRPr="003C7592" w:rsidR="00354248" w:rsidP="003C7592" w:rsidRDefault="00354248">
      <w:pPr>
        <w:pStyle w:val="ECHRPara"/>
        <w:rPr>
          <w:lang w:val="en-GB"/>
        </w:rPr>
      </w:pPr>
      <w:r w:rsidRPr="003C7592">
        <w:rPr>
          <w:lang w:val="en-GB"/>
        </w:rPr>
        <w:t>7.  The facts of the case, as submitted by the parties, and as they appear from the documents submitted by them may be summarised as follows.</w:t>
      </w:r>
    </w:p>
    <w:p w:rsidRPr="003C7592" w:rsidR="00354248" w:rsidP="003C7592" w:rsidRDefault="00354248">
      <w:pPr>
        <w:pStyle w:val="ECHRHeading2"/>
        <w:rPr>
          <w:lang w:val="en-GB"/>
        </w:rPr>
      </w:pPr>
      <w:r w:rsidRPr="003C7592">
        <w:rPr>
          <w:lang w:val="en-GB"/>
        </w:rPr>
        <w:t>A.  Background to the case</w:t>
      </w:r>
    </w:p>
    <w:p w:rsidRPr="003C7592" w:rsidR="00354248" w:rsidP="003C7592" w:rsidRDefault="00354248">
      <w:pPr>
        <w:pStyle w:val="ECHRPara"/>
        <w:rPr>
          <w:lang w:val="en-GB"/>
        </w:rPr>
      </w:pPr>
      <w:r w:rsidRPr="003C7592">
        <w:rPr>
          <w:lang w:val="en-GB"/>
        </w:rPr>
        <w:t xml:space="preserve">8.  The applicants and/or their relatives were owners of apartments in </w:t>
      </w:r>
      <w:proofErr w:type="spellStart"/>
      <w:r w:rsidRPr="003C7592">
        <w:rPr>
          <w:lang w:val="en-GB"/>
        </w:rPr>
        <w:t>Yalova</w:t>
      </w:r>
      <w:proofErr w:type="spellEnd"/>
      <w:r w:rsidRPr="003C7592">
        <w:rPr>
          <w:lang w:val="en-GB"/>
        </w:rPr>
        <w:t>. The permits for the building of those apartments were issued on 23 March 1987.</w:t>
      </w:r>
    </w:p>
    <w:p w:rsidRPr="003C7592" w:rsidR="00354248" w:rsidP="003C7592" w:rsidRDefault="00354248">
      <w:pPr>
        <w:pStyle w:val="ECHRPara"/>
        <w:rPr>
          <w:snapToGrid w:val="0"/>
          <w:lang w:val="en-GB"/>
        </w:rPr>
      </w:pPr>
      <w:r w:rsidRPr="003C7592">
        <w:rPr>
          <w:lang w:val="en-GB"/>
        </w:rPr>
        <w:t xml:space="preserve">9.  On 17 August 1999 an earthquake of a magnitude of 7.4 on the Richter scale hit the city of </w:t>
      </w:r>
      <w:proofErr w:type="spellStart"/>
      <w:r w:rsidRPr="003C7592">
        <w:rPr>
          <w:lang w:val="en-GB"/>
        </w:rPr>
        <w:t>Yalova</w:t>
      </w:r>
      <w:proofErr w:type="spellEnd"/>
      <w:r w:rsidRPr="003C7592">
        <w:rPr>
          <w:lang w:val="en-GB"/>
        </w:rPr>
        <w:t>, causing the collapse of the applicants</w:t>
      </w:r>
      <w:r w:rsidRPr="003C7592" w:rsidR="003C7592">
        <w:rPr>
          <w:lang w:val="en-GB"/>
        </w:rPr>
        <w:t>’</w:t>
      </w:r>
      <w:r w:rsidRPr="003C7592">
        <w:rPr>
          <w:lang w:val="en-GB"/>
        </w:rPr>
        <w:t xml:space="preserve"> apartments (see </w:t>
      </w:r>
      <w:r w:rsidRPr="003C7592">
        <w:rPr>
          <w:i/>
          <w:lang w:val="en-GB"/>
        </w:rPr>
        <w:t xml:space="preserve">M. </w:t>
      </w:r>
      <w:proofErr w:type="spellStart"/>
      <w:r w:rsidRPr="003C7592">
        <w:rPr>
          <w:i/>
          <w:lang w:val="en-GB"/>
        </w:rPr>
        <w:t>Özel</w:t>
      </w:r>
      <w:proofErr w:type="spellEnd"/>
      <w:r w:rsidRPr="003C7592">
        <w:rPr>
          <w:i/>
          <w:lang w:val="en-GB"/>
        </w:rPr>
        <w:t xml:space="preserve"> and Others v. Turkey</w:t>
      </w:r>
      <w:r w:rsidRPr="003C7592">
        <w:rPr>
          <w:lang w:val="en-GB"/>
        </w:rPr>
        <w:t xml:space="preserve">, no. 14350/05 and 2 others, </w:t>
      </w:r>
      <w:r w:rsidRPr="003C7592" w:rsidR="00D30F28">
        <w:rPr>
          <w:snapToGrid w:val="0"/>
          <w:lang w:val="en-GB"/>
        </w:rPr>
        <w:t>17 </w:t>
      </w:r>
      <w:r w:rsidRPr="003C7592">
        <w:rPr>
          <w:snapToGrid w:val="0"/>
          <w:lang w:val="en-GB"/>
        </w:rPr>
        <w:t xml:space="preserve">November 2015, and </w:t>
      </w:r>
      <w:r w:rsidRPr="003C7592">
        <w:rPr>
          <w:i/>
          <w:lang w:val="en-GB"/>
        </w:rPr>
        <w:t xml:space="preserve">Hayati </w:t>
      </w:r>
      <w:proofErr w:type="spellStart"/>
      <w:r w:rsidRPr="003C7592">
        <w:rPr>
          <w:i/>
          <w:lang w:val="en-GB"/>
        </w:rPr>
        <w:t>Çelebi</w:t>
      </w:r>
      <w:proofErr w:type="spellEnd"/>
      <w:r w:rsidRPr="003C7592">
        <w:rPr>
          <w:i/>
          <w:lang w:val="en-GB"/>
        </w:rPr>
        <w:t xml:space="preserve"> and Others v. Turkey</w:t>
      </w:r>
      <w:r w:rsidRPr="003C7592">
        <w:rPr>
          <w:lang w:val="en-GB"/>
        </w:rPr>
        <w:t>, no. 582/05</w:t>
      </w:r>
      <w:r w:rsidRPr="003C7592" w:rsidR="00044A0D">
        <w:rPr>
          <w:snapToGrid w:val="0"/>
          <w:lang w:val="en-GB"/>
        </w:rPr>
        <w:t>, 9 </w:t>
      </w:r>
      <w:r w:rsidRPr="003C7592">
        <w:rPr>
          <w:snapToGrid w:val="0"/>
          <w:lang w:val="en-GB"/>
        </w:rPr>
        <w:t>February 2016, for further details about the earthquake).</w:t>
      </w:r>
    </w:p>
    <w:p w:rsidRPr="003C7592" w:rsidR="00354248" w:rsidP="003C7592" w:rsidRDefault="00354248">
      <w:pPr>
        <w:pStyle w:val="ECHRHeading2"/>
        <w:rPr>
          <w:lang w:val="en-GB"/>
        </w:rPr>
      </w:pPr>
      <w:r w:rsidRPr="003C7592">
        <w:rPr>
          <w:lang w:val="en-GB"/>
        </w:rPr>
        <w:t>B.  Compensation proceedings</w:t>
      </w:r>
    </w:p>
    <w:p w:rsidRPr="003C7592" w:rsidR="00354248" w:rsidP="003C7592" w:rsidRDefault="00354248">
      <w:pPr>
        <w:pStyle w:val="ECHRPara"/>
        <w:rPr>
          <w:lang w:val="en-GB"/>
        </w:rPr>
      </w:pPr>
      <w:r w:rsidRPr="003C7592">
        <w:rPr>
          <w:lang w:val="en-GB"/>
        </w:rPr>
        <w:t xml:space="preserve">10.  On different dates in 1999 and 2000 the applicants brought actions for compensation against the contractors responsible for their apartments and their business associates before the </w:t>
      </w:r>
      <w:proofErr w:type="spellStart"/>
      <w:r w:rsidRPr="003C7592">
        <w:rPr>
          <w:lang w:val="en-GB"/>
        </w:rPr>
        <w:t>Yalova</w:t>
      </w:r>
      <w:proofErr w:type="spellEnd"/>
      <w:r w:rsidRPr="003C7592">
        <w:rPr>
          <w:lang w:val="en-GB"/>
        </w:rPr>
        <w:t xml:space="preserve"> Civil Court (see appended table for some details of the proceedings).</w:t>
      </w:r>
    </w:p>
    <w:p w:rsidRPr="003C7592" w:rsidR="00354248" w:rsidP="003C7592" w:rsidRDefault="00354248">
      <w:pPr>
        <w:pStyle w:val="ECHRPara"/>
        <w:rPr>
          <w:lang w:val="en-GB"/>
        </w:rPr>
      </w:pPr>
      <w:bookmarkStart w:name="Ilkderece" w:id="2"/>
      <w:r w:rsidRPr="003C7592">
        <w:rPr>
          <w:lang w:val="en-GB"/>
        </w:rPr>
        <w:t>11</w:t>
      </w:r>
      <w:bookmarkEnd w:id="2"/>
      <w:r w:rsidRPr="003C7592">
        <w:rPr>
          <w:lang w:val="en-GB"/>
        </w:rPr>
        <w:t xml:space="preserve">.  The applicants maintained, in their petition to the court, that the defendants had failed to construct their apartments in conformity with the applicable laws and regulations and therefore they must be held liable for the losses they had caused in accordance with section 41 of the Code of Obligations </w:t>
      </w:r>
      <w:r w:rsidRPr="003C7592">
        <w:rPr>
          <w:snapToGrid w:val="0"/>
          <w:lang w:val="en-GB"/>
        </w:rPr>
        <w:t>(Law no. 818) in force at the material time (“the former Code of Obligations”)</w:t>
      </w:r>
      <w:r w:rsidRPr="003C7592">
        <w:rPr>
          <w:lang w:val="en-GB"/>
        </w:rPr>
        <w:t xml:space="preserve"> (see paragraph </w:t>
      </w:r>
      <w:r w:rsidRPr="003C7592">
        <w:rPr>
          <w:snapToGrid w:val="0"/>
          <w:lang w:val="en-GB"/>
        </w:rPr>
        <w:t>21</w:t>
      </w:r>
      <w:r w:rsidRPr="003C7592">
        <w:rPr>
          <w:lang w:val="en-GB"/>
        </w:rPr>
        <w:t xml:space="preserve"> below). The applicants claimed pecuniary damages with interest starting from the date of the earthquake and reserved their right to further compensation.</w:t>
      </w:r>
    </w:p>
    <w:p w:rsidRPr="003C7592" w:rsidR="00354248" w:rsidP="003C7592" w:rsidRDefault="00354248">
      <w:pPr>
        <w:pStyle w:val="ECHRPara"/>
        <w:rPr>
          <w:lang w:val="en-GB"/>
        </w:rPr>
      </w:pPr>
      <w:r w:rsidRPr="003C7592">
        <w:rPr>
          <w:lang w:val="en-GB"/>
        </w:rPr>
        <w:t xml:space="preserve">12.  By decisions dated 19 July 2001, the </w:t>
      </w:r>
      <w:proofErr w:type="spellStart"/>
      <w:r w:rsidRPr="003C7592">
        <w:rPr>
          <w:lang w:val="en-GB"/>
        </w:rPr>
        <w:t>Yalova</w:t>
      </w:r>
      <w:proofErr w:type="spellEnd"/>
      <w:r w:rsidRPr="003C7592">
        <w:rPr>
          <w:lang w:val="en-GB"/>
        </w:rPr>
        <w:t xml:space="preserve"> Civil Court dismissed the claims, without an examination on the merits, and held that they had been introduced out of time. It held that the ten-year limitation period for introducing an action for damages, provided in sections 125 and 126 § 4 of the former Code of Obligations, had started running from the date on which the building use permit had been issued, that is 23 March 1987, and that the lawsuit had been filed after the expiry of the limitation period.</w:t>
      </w:r>
    </w:p>
    <w:p w:rsidRPr="003C7592" w:rsidR="00354248" w:rsidP="003C7592" w:rsidRDefault="00354248">
      <w:pPr>
        <w:pStyle w:val="ECHRPara"/>
        <w:rPr>
          <w:lang w:val="en-GB"/>
        </w:rPr>
      </w:pPr>
      <w:r w:rsidRPr="003C7592">
        <w:rPr>
          <w:lang w:val="en-GB"/>
        </w:rPr>
        <w:t>13.  The relevant parts of the court</w:t>
      </w:r>
      <w:r w:rsidRPr="003C7592" w:rsidR="003C7592">
        <w:rPr>
          <w:lang w:val="en-GB"/>
        </w:rPr>
        <w:t>’</w:t>
      </w:r>
      <w:r w:rsidRPr="003C7592">
        <w:rPr>
          <w:lang w:val="en-GB"/>
        </w:rPr>
        <w:t>s decision read as follows:</w:t>
      </w:r>
    </w:p>
    <w:p w:rsidRPr="003C7592" w:rsidR="00354248" w:rsidP="003C7592" w:rsidRDefault="00354248">
      <w:pPr>
        <w:pStyle w:val="ECHRParaQuote"/>
        <w:rPr>
          <w:lang w:val="en-GB"/>
        </w:rPr>
      </w:pPr>
      <w:r w:rsidRPr="003C7592">
        <w:rPr>
          <w:rFonts w:eastAsia="Calibri"/>
          <w:lang w:val="en-GB"/>
        </w:rPr>
        <w:t xml:space="preserve">“(...) </w:t>
      </w:r>
      <w:proofErr w:type="gramStart"/>
      <w:r w:rsidRPr="003C7592">
        <w:rPr>
          <w:lang w:val="en-GB"/>
        </w:rPr>
        <w:t>As</w:t>
      </w:r>
      <w:proofErr w:type="gramEnd"/>
      <w:r w:rsidRPr="003C7592">
        <w:rPr>
          <w:lang w:val="en-GB"/>
        </w:rPr>
        <w:t xml:space="preserve"> a result of the earthquake of 17 August 1999 the apartment that the claimant bought from the defendants was damaged and collapsed. The representatives of the claimant filed the present lawsuit to claim the value of the damaged apartment. It is a known phenomenon that Turkey is located in an earthquake zone. Therefore, earthquake-resistant buildings must be built. The public conscience has been hurt because of the earthquake. Due to the pain, suffering and losses caused by such an incident it is expected that justice be served. And the judge must be conscious of his responsibility towards society in his or her actions. However, when justice is being served, objective and subjective elements in the laws are taken into account. The judge is bound by the legal rules. Doing the opposite would be against the law.</w:t>
      </w:r>
    </w:p>
    <w:p w:rsidRPr="003C7592" w:rsidR="00354248" w:rsidP="003C7592" w:rsidRDefault="00354248">
      <w:pPr>
        <w:pStyle w:val="ECHRParaQuote"/>
        <w:rPr>
          <w:lang w:val="en-GB"/>
        </w:rPr>
      </w:pPr>
      <w:proofErr w:type="gramStart"/>
      <w:r w:rsidRPr="003C7592">
        <w:rPr>
          <w:lang w:val="en-GB"/>
        </w:rPr>
        <w:t>Thus, the judgment of the 2</w:t>
      </w:r>
      <w:r w:rsidRPr="003C7592">
        <w:rPr>
          <w:vertAlign w:val="superscript"/>
          <w:lang w:val="en-GB"/>
        </w:rPr>
        <w:t>nd</w:t>
      </w:r>
      <w:r w:rsidRPr="003C7592">
        <w:rPr>
          <w:lang w:val="en-GB"/>
        </w:rPr>
        <w:t xml:space="preserve"> Criminal Chamber of the Court of Cassation No.</w:t>
      </w:r>
      <w:proofErr w:type="gramEnd"/>
      <w:r w:rsidRPr="003C7592">
        <w:rPr>
          <w:lang w:val="en-GB"/>
        </w:rPr>
        <w:t> </w:t>
      </w:r>
      <w:r w:rsidRPr="003C7592" w:rsidR="00044A0D">
        <w:rPr>
          <w:lang w:val="en-GB"/>
        </w:rPr>
        <w:t>E </w:t>
      </w:r>
      <w:r w:rsidRPr="003C7592">
        <w:rPr>
          <w:lang w:val="en-GB"/>
        </w:rPr>
        <w:t>(2001/7015) and 2001/4778, dated 21 March 2001, shows the most correct and clear path by holding: “(...) whereas, for a building, it is necessary to prepare the plan and the project, especially to make healthy static calculations, to build the building in accordance with such plan and project by using appropriate material in terms of both quality and quantity, and to inspect the compliance of all these features with the legislation in force; (...) that for example in a building considered as having a hidden defect, section 125 of the Code of Obligations, by the reference to the fourth paragraph of section 126 of the same law, prescribes a ten-year limitation period which starts from the date of the end of the construction works, that is the date of obtaining the building use permit or the date it is supposed to have been obtained; and that if the building collapses during this period, criminal liability may be invoked; but if the building collapses after the expiry of this period due to a defect because the criminal liability of the (authors) can no longer be invoked in so far as legally they no longer have the faculty to solve the problem, it is considered that there is no longer a causal link; that these considerations are also valid in case of grave fault (...).” Our court also endorses this approach.</w:t>
      </w:r>
    </w:p>
    <w:p w:rsidRPr="003C7592" w:rsidR="00354248" w:rsidP="003C7592" w:rsidRDefault="00354248">
      <w:pPr>
        <w:pStyle w:val="ECHRParaQuote"/>
        <w:rPr>
          <w:lang w:val="en-GB"/>
        </w:rPr>
      </w:pPr>
      <w:r w:rsidRPr="003C7592">
        <w:rPr>
          <w:lang w:val="en-GB"/>
        </w:rPr>
        <w:t>It is observed that the building use permit for the building of the claimant</w:t>
      </w:r>
      <w:r w:rsidRPr="003C7592" w:rsidR="003C7592">
        <w:rPr>
          <w:lang w:val="en-GB"/>
        </w:rPr>
        <w:t>’</w:t>
      </w:r>
      <w:r w:rsidRPr="003C7592">
        <w:rPr>
          <w:lang w:val="en-GB"/>
        </w:rPr>
        <w:t>s apartment was obtained on 23 March 1987. The ten-year limitation period for filing a lawsuit has elapsed a long time ago. For the purposes of the economy of the procedure and to the extent that there would be no impact on the result, an on-site survey was not ordered. The unfounded objections of the claimant</w:t>
      </w:r>
      <w:r w:rsidRPr="003C7592" w:rsidR="003C7592">
        <w:rPr>
          <w:lang w:val="en-GB"/>
        </w:rPr>
        <w:t>’</w:t>
      </w:r>
      <w:r w:rsidRPr="003C7592">
        <w:rPr>
          <w:lang w:val="en-GB"/>
        </w:rPr>
        <w:t>s representatives [against this decision] were [thus] inadmissible.</w:t>
      </w:r>
    </w:p>
    <w:p w:rsidRPr="003C7592" w:rsidR="00354248" w:rsidP="003C7592" w:rsidRDefault="00354248">
      <w:pPr>
        <w:pStyle w:val="ECHRParaQuote"/>
        <w:rPr>
          <w:lang w:val="en-GB"/>
        </w:rPr>
      </w:pPr>
      <w:r w:rsidRPr="003C7592">
        <w:rPr>
          <w:lang w:val="en-GB"/>
        </w:rPr>
        <w:t>In conclusion, while the claimant</w:t>
      </w:r>
      <w:r w:rsidRPr="003C7592" w:rsidR="003C7592">
        <w:rPr>
          <w:lang w:val="en-GB"/>
        </w:rPr>
        <w:t>’</w:t>
      </w:r>
      <w:r w:rsidRPr="003C7592">
        <w:rPr>
          <w:lang w:val="en-GB"/>
        </w:rPr>
        <w:t>s representatives claimed compensation for the damaged apartment, their claim must be rejected because of the expiry of the ten-year limitation period (...).”</w:t>
      </w:r>
    </w:p>
    <w:p w:rsidRPr="003C7592" w:rsidR="00354248" w:rsidP="003C7592" w:rsidRDefault="00354248">
      <w:pPr>
        <w:pStyle w:val="ECHRPara"/>
        <w:rPr>
          <w:lang w:val="en-GB"/>
        </w:rPr>
      </w:pPr>
      <w:bookmarkStart w:name="Yarg" w:id="3"/>
      <w:r w:rsidRPr="003C7592">
        <w:rPr>
          <w:lang w:val="en-GB"/>
        </w:rPr>
        <w:t>14</w:t>
      </w:r>
      <w:bookmarkEnd w:id="3"/>
      <w:r w:rsidRPr="003C7592">
        <w:rPr>
          <w:lang w:val="en-GB"/>
        </w:rPr>
        <w:t xml:space="preserve">.  On 9 December 2003 the applicants lodged an appeal against the </w:t>
      </w:r>
      <w:proofErr w:type="spellStart"/>
      <w:r w:rsidRPr="003C7592">
        <w:rPr>
          <w:lang w:val="en-GB"/>
        </w:rPr>
        <w:t>Yalova</w:t>
      </w:r>
      <w:proofErr w:type="spellEnd"/>
      <w:r w:rsidRPr="003C7592">
        <w:rPr>
          <w:lang w:val="en-GB"/>
        </w:rPr>
        <w:t xml:space="preserve"> Civil Court</w:t>
      </w:r>
      <w:r w:rsidRPr="003C7592" w:rsidR="003C7592">
        <w:rPr>
          <w:lang w:val="en-GB"/>
        </w:rPr>
        <w:t>’</w:t>
      </w:r>
      <w:r w:rsidRPr="003C7592">
        <w:rPr>
          <w:lang w:val="en-GB"/>
        </w:rPr>
        <w:t>s decision with the Court of Cassation. In their petition of appeal, they firstly argued that even if the dates of the building use permit were to be taken as the starting period of the ten-year limitation period, because the permit issued for their apartments had been renewed in the 1990s, they had introduced their actions within time. They further maintained that, in any event, the date of the earthquake should have been taken as the starting point of the limitation period since the damage caused by the hidden defects in their buildings had become known to them upon the occurrence of the earthquake.</w:t>
      </w:r>
    </w:p>
    <w:p w:rsidRPr="003C7592" w:rsidR="00354248" w:rsidP="003C7592" w:rsidRDefault="00354248">
      <w:pPr>
        <w:pStyle w:val="ECHRPara"/>
        <w:rPr>
          <w:lang w:val="en-GB"/>
        </w:rPr>
      </w:pPr>
      <w:r w:rsidRPr="003C7592">
        <w:rPr>
          <w:lang w:val="en-GB"/>
        </w:rPr>
        <w:t>15.  On different dates in 2004 and 2005 (see appended table) the 13</w:t>
      </w:r>
      <w:r w:rsidRPr="003C7592">
        <w:rPr>
          <w:vertAlign w:val="superscript"/>
          <w:lang w:val="en-GB"/>
        </w:rPr>
        <w:t>th</w:t>
      </w:r>
      <w:r w:rsidRPr="003C7592" w:rsidR="00044A0D">
        <w:rPr>
          <w:lang w:val="en-GB"/>
        </w:rPr>
        <w:t> </w:t>
      </w:r>
      <w:r w:rsidRPr="003C7592">
        <w:rPr>
          <w:lang w:val="en-GB"/>
        </w:rPr>
        <w:t xml:space="preserve">Civil Chamber of the Court of Cassation upheld the </w:t>
      </w:r>
      <w:proofErr w:type="spellStart"/>
      <w:r w:rsidRPr="003C7592">
        <w:rPr>
          <w:lang w:val="en-GB"/>
        </w:rPr>
        <w:t>Yalova</w:t>
      </w:r>
      <w:proofErr w:type="spellEnd"/>
      <w:r w:rsidRPr="003C7592">
        <w:rPr>
          <w:lang w:val="en-GB"/>
        </w:rPr>
        <w:t xml:space="preserve"> Civil Court</w:t>
      </w:r>
      <w:r w:rsidRPr="003C7592" w:rsidR="003C7592">
        <w:rPr>
          <w:lang w:val="en-GB"/>
        </w:rPr>
        <w:t>’</w:t>
      </w:r>
      <w:r w:rsidRPr="003C7592">
        <w:rPr>
          <w:lang w:val="en-GB"/>
        </w:rPr>
        <w:t>s decisions of 19 July 2001. The 13</w:t>
      </w:r>
      <w:r w:rsidRPr="003C7592">
        <w:rPr>
          <w:vertAlign w:val="superscript"/>
          <w:lang w:val="en-GB"/>
        </w:rPr>
        <w:t>th</w:t>
      </w:r>
      <w:r w:rsidRPr="003C7592">
        <w:rPr>
          <w:lang w:val="en-GB"/>
        </w:rPr>
        <w:t xml:space="preserve"> Civil Chamber ruled that, having regard to the documents and evidence in the case file, which were relied on by the first-instance court, and in particular to the expiry of the limitation period prescribed by section 125 of the former Code of Obligations, which started running from the date of the transfer of ownership of the properties in question, the applicants</w:t>
      </w:r>
      <w:r w:rsidRPr="003C7592" w:rsidR="003C7592">
        <w:rPr>
          <w:lang w:val="en-GB"/>
        </w:rPr>
        <w:t>’</w:t>
      </w:r>
      <w:r w:rsidRPr="003C7592">
        <w:rPr>
          <w:lang w:val="en-GB"/>
        </w:rPr>
        <w:t xml:space="preserve"> grounds for appeal had been unfounded.</w:t>
      </w:r>
    </w:p>
    <w:p w:rsidRPr="003C7592" w:rsidR="00354248" w:rsidP="003C7592" w:rsidRDefault="00354248">
      <w:pPr>
        <w:pStyle w:val="ECHRPara"/>
        <w:rPr>
          <w:lang w:val="en-GB"/>
        </w:rPr>
      </w:pPr>
      <w:bookmarkStart w:name="Y4D" w:id="4"/>
      <w:r w:rsidRPr="003C7592">
        <w:rPr>
          <w:lang w:val="en-GB"/>
        </w:rPr>
        <w:t>16</w:t>
      </w:r>
      <w:bookmarkEnd w:id="4"/>
      <w:r w:rsidRPr="003C7592">
        <w:rPr>
          <w:lang w:val="en-GB"/>
        </w:rPr>
        <w:t>.  Meanwhile, on 1 July 2004, the 4</w:t>
      </w:r>
      <w:r w:rsidRPr="003C7592">
        <w:rPr>
          <w:vertAlign w:val="superscript"/>
          <w:lang w:val="en-GB"/>
        </w:rPr>
        <w:t>th</w:t>
      </w:r>
      <w:r w:rsidRPr="003C7592">
        <w:rPr>
          <w:lang w:val="en-GB"/>
        </w:rPr>
        <w:t xml:space="preserve"> Civil Chamber of the Court of Cassation, in a similar case lodged by the applicants</w:t>
      </w:r>
      <w:r w:rsidRPr="003C7592" w:rsidR="003C7592">
        <w:rPr>
          <w:lang w:val="en-GB"/>
        </w:rPr>
        <w:t>’</w:t>
      </w:r>
      <w:r w:rsidRPr="003C7592">
        <w:rPr>
          <w:lang w:val="en-GB"/>
        </w:rPr>
        <w:t xml:space="preserve"> representative on behalf of other claimants, held that the limitation periods for claiming damages started running from the date of the earthquake, since at the time the unlawful act was committed by the defendants, that is, when the construction of the defective buildings was completed, the claimants had not suffered any actual loss. The 4</w:t>
      </w:r>
      <w:r w:rsidRPr="003C7592">
        <w:rPr>
          <w:vertAlign w:val="superscript"/>
          <w:lang w:val="en-GB"/>
        </w:rPr>
        <w:t>th</w:t>
      </w:r>
      <w:r w:rsidRPr="003C7592">
        <w:rPr>
          <w:lang w:val="en-GB"/>
        </w:rPr>
        <w:t xml:space="preserve"> Civ</w:t>
      </w:r>
      <w:r w:rsidRPr="003C7592" w:rsidR="00D30F28">
        <w:rPr>
          <w:lang w:val="en-GB"/>
        </w:rPr>
        <w:t>il Chamber, by applying section </w:t>
      </w:r>
      <w:r w:rsidRPr="003C7592">
        <w:rPr>
          <w:lang w:val="en-GB"/>
        </w:rPr>
        <w:t>60 of the former Code of Obligations, ruled that the claimants</w:t>
      </w:r>
      <w:r w:rsidRPr="003C7592" w:rsidR="003C7592">
        <w:rPr>
          <w:lang w:val="en-GB"/>
        </w:rPr>
        <w:t>’</w:t>
      </w:r>
      <w:r w:rsidRPr="003C7592">
        <w:rPr>
          <w:lang w:val="en-GB"/>
        </w:rPr>
        <w:t xml:space="preserve"> action had been introduced less than one year following the occurrence of the earthquake and therefore it had been introduced within the one-year limitation period. On that basis, it quashed the first-instance court</w:t>
      </w:r>
      <w:r w:rsidRPr="003C7592" w:rsidR="003C7592">
        <w:rPr>
          <w:lang w:val="en-GB"/>
        </w:rPr>
        <w:t>’</w:t>
      </w:r>
      <w:r w:rsidRPr="003C7592">
        <w:rPr>
          <w:lang w:val="en-GB"/>
        </w:rPr>
        <w:t xml:space="preserve">s judgment which had found, applying section 125 of the former Code of Obligations, that the lawsuit had been introduced following the expiry of a period of ten years from the issuance of the building use permit (see </w:t>
      </w:r>
      <w:r w:rsidRPr="003C7592">
        <w:rPr>
          <w:i/>
          <w:lang w:val="en-GB"/>
        </w:rPr>
        <w:t xml:space="preserve">Hayati </w:t>
      </w:r>
      <w:proofErr w:type="spellStart"/>
      <w:r w:rsidRPr="003C7592">
        <w:rPr>
          <w:i/>
          <w:lang w:val="en-GB"/>
        </w:rPr>
        <w:t>Çelebi</w:t>
      </w:r>
      <w:proofErr w:type="spellEnd"/>
      <w:r w:rsidRPr="003C7592">
        <w:rPr>
          <w:i/>
          <w:lang w:val="en-GB"/>
        </w:rPr>
        <w:t xml:space="preserve"> and Others</w:t>
      </w:r>
      <w:r w:rsidRPr="003C7592">
        <w:rPr>
          <w:lang w:val="en-GB"/>
        </w:rPr>
        <w:t xml:space="preserve">, cited above, </w:t>
      </w:r>
      <w:r w:rsidRPr="003C7592">
        <w:rPr>
          <w:rFonts w:cstheme="minorHAnsi"/>
          <w:lang w:val="en-GB"/>
        </w:rPr>
        <w:t>§</w:t>
      </w:r>
      <w:r w:rsidRPr="003C7592">
        <w:rPr>
          <w:lang w:val="en-GB"/>
        </w:rPr>
        <w:t xml:space="preserve"> 37,</w:t>
      </w:r>
      <w:r w:rsidRPr="003C7592">
        <w:rPr>
          <w:i/>
          <w:lang w:val="en-GB"/>
        </w:rPr>
        <w:t xml:space="preserve"> </w:t>
      </w:r>
      <w:r w:rsidRPr="003C7592">
        <w:rPr>
          <w:lang w:val="en-GB"/>
        </w:rPr>
        <w:t>for the relevant parts of a similar decision by the 4</w:t>
      </w:r>
      <w:r w:rsidRPr="003C7592">
        <w:rPr>
          <w:vertAlign w:val="superscript"/>
          <w:lang w:val="en-GB"/>
        </w:rPr>
        <w:t>th</w:t>
      </w:r>
      <w:r w:rsidRPr="003C7592" w:rsidR="00D30F28">
        <w:rPr>
          <w:lang w:val="en-GB"/>
        </w:rPr>
        <w:t> </w:t>
      </w:r>
      <w:r w:rsidRPr="003C7592">
        <w:rPr>
          <w:lang w:val="en-GB"/>
        </w:rPr>
        <w:t>Civil Chamber of the Court of Cassation dated 11 December 2001).</w:t>
      </w:r>
    </w:p>
    <w:p w:rsidRPr="003C7592" w:rsidR="00354248" w:rsidP="003C7592" w:rsidRDefault="00354248">
      <w:pPr>
        <w:pStyle w:val="ECHRPara"/>
        <w:rPr>
          <w:lang w:val="en-GB"/>
        </w:rPr>
      </w:pPr>
      <w:r w:rsidRPr="003C7592">
        <w:rPr>
          <w:lang w:val="en-GB"/>
        </w:rPr>
        <w:t xml:space="preserve">17.  On 5 September 2004 the applicants, except Mr </w:t>
      </w:r>
      <w:proofErr w:type="spellStart"/>
      <w:r w:rsidRPr="003C7592">
        <w:rPr>
          <w:lang w:val="en-GB"/>
        </w:rPr>
        <w:t>Süleyman</w:t>
      </w:r>
      <w:proofErr w:type="spellEnd"/>
      <w:r w:rsidRPr="003C7592">
        <w:rPr>
          <w:lang w:val="en-GB"/>
        </w:rPr>
        <w:t xml:space="preserve"> </w:t>
      </w:r>
      <w:proofErr w:type="spellStart"/>
      <w:r w:rsidRPr="003C7592">
        <w:rPr>
          <w:lang w:val="en-GB"/>
        </w:rPr>
        <w:t>Öner</w:t>
      </w:r>
      <w:proofErr w:type="spellEnd"/>
      <w:r w:rsidRPr="003C7592">
        <w:rPr>
          <w:lang w:val="en-GB"/>
        </w:rPr>
        <w:t xml:space="preserve"> </w:t>
      </w:r>
      <w:proofErr w:type="spellStart"/>
      <w:r w:rsidRPr="003C7592">
        <w:rPr>
          <w:lang w:val="en-GB"/>
        </w:rPr>
        <w:t>Erdoğan</w:t>
      </w:r>
      <w:proofErr w:type="spellEnd"/>
      <w:r w:rsidRPr="003C7592">
        <w:rPr>
          <w:lang w:val="en-GB"/>
        </w:rPr>
        <w:t xml:space="preserve">, Mr Can </w:t>
      </w:r>
      <w:proofErr w:type="spellStart"/>
      <w:r w:rsidRPr="003C7592">
        <w:rPr>
          <w:lang w:val="en-GB"/>
        </w:rPr>
        <w:t>Erdoğan</w:t>
      </w:r>
      <w:proofErr w:type="spellEnd"/>
      <w:r w:rsidRPr="003C7592">
        <w:rPr>
          <w:lang w:val="en-GB"/>
        </w:rPr>
        <w:t xml:space="preserve"> and Ms </w:t>
      </w:r>
      <w:proofErr w:type="spellStart"/>
      <w:r w:rsidRPr="003C7592">
        <w:rPr>
          <w:lang w:val="en-GB"/>
        </w:rPr>
        <w:t>Nevzer</w:t>
      </w:r>
      <w:proofErr w:type="spellEnd"/>
      <w:r w:rsidRPr="003C7592">
        <w:rPr>
          <w:lang w:val="en-GB"/>
        </w:rPr>
        <w:t xml:space="preserve"> </w:t>
      </w:r>
      <w:proofErr w:type="spellStart"/>
      <w:r w:rsidRPr="003C7592">
        <w:rPr>
          <w:lang w:val="en-GB"/>
        </w:rPr>
        <w:t>Zorlu</w:t>
      </w:r>
      <w:proofErr w:type="spellEnd"/>
      <w:r w:rsidRPr="003C7592">
        <w:rPr>
          <w:lang w:val="en-GB"/>
        </w:rPr>
        <w:t xml:space="preserve">, referring to, </w:t>
      </w:r>
      <w:r w:rsidRPr="003C7592">
        <w:rPr>
          <w:i/>
          <w:lang w:val="en-GB"/>
        </w:rPr>
        <w:t>inter alia</w:t>
      </w:r>
      <w:r w:rsidRPr="003C7592">
        <w:rPr>
          <w:lang w:val="en-GB"/>
        </w:rPr>
        <w:t>, the 4</w:t>
      </w:r>
      <w:r w:rsidRPr="003C7592">
        <w:rPr>
          <w:vertAlign w:val="superscript"/>
          <w:lang w:val="en-GB"/>
        </w:rPr>
        <w:t>th</w:t>
      </w:r>
      <w:r w:rsidRPr="003C7592">
        <w:rPr>
          <w:lang w:val="en-GB"/>
        </w:rPr>
        <w:t xml:space="preserve"> Civil Chamber of the Court of Cassation</w:t>
      </w:r>
      <w:r w:rsidRPr="003C7592" w:rsidR="003C7592">
        <w:rPr>
          <w:lang w:val="en-GB"/>
        </w:rPr>
        <w:t>’</w:t>
      </w:r>
      <w:r w:rsidRPr="003C7592">
        <w:rPr>
          <w:lang w:val="en-GB"/>
        </w:rPr>
        <w:t>s decision of 1 July 2004 (see paragraph 16 above), made an application to the First Presidency of the Court of Cassation requesting the harmonisation of the case-law of the 4</w:t>
      </w:r>
      <w:r w:rsidRPr="003C7592">
        <w:rPr>
          <w:vertAlign w:val="superscript"/>
          <w:lang w:val="en-GB"/>
        </w:rPr>
        <w:t>th</w:t>
      </w:r>
      <w:r w:rsidRPr="003C7592">
        <w:rPr>
          <w:lang w:val="en-GB"/>
        </w:rPr>
        <w:t> and 13</w:t>
      </w:r>
      <w:r w:rsidRPr="003C7592">
        <w:rPr>
          <w:vertAlign w:val="superscript"/>
          <w:lang w:val="en-GB"/>
        </w:rPr>
        <w:t>th</w:t>
      </w:r>
      <w:r w:rsidRPr="003C7592">
        <w:rPr>
          <w:lang w:val="en-GB"/>
        </w:rPr>
        <w:t xml:space="preserve"> Civil Chambers of the Court of Cassation on the application of the limitation period to claims for damages arising from the earthquake of 17 August 1999.</w:t>
      </w:r>
    </w:p>
    <w:p w:rsidRPr="003C7592" w:rsidR="00354248" w:rsidP="003C7592" w:rsidRDefault="00354248">
      <w:pPr>
        <w:pStyle w:val="ECHRPara"/>
        <w:rPr>
          <w:lang w:val="en-GB"/>
        </w:rPr>
      </w:pPr>
      <w:r w:rsidRPr="003C7592">
        <w:rPr>
          <w:lang w:val="en-GB"/>
        </w:rPr>
        <w:t xml:space="preserve">18.  On the same date, all applicants, except Ms </w:t>
      </w:r>
      <w:proofErr w:type="spellStart"/>
      <w:r w:rsidRPr="003C7592">
        <w:rPr>
          <w:lang w:val="en-GB"/>
        </w:rPr>
        <w:t>Nevzer</w:t>
      </w:r>
      <w:proofErr w:type="spellEnd"/>
      <w:r w:rsidRPr="003C7592">
        <w:rPr>
          <w:lang w:val="en-GB"/>
        </w:rPr>
        <w:t xml:space="preserve"> </w:t>
      </w:r>
      <w:proofErr w:type="spellStart"/>
      <w:r w:rsidRPr="003C7592">
        <w:rPr>
          <w:lang w:val="en-GB"/>
        </w:rPr>
        <w:t>Zorlu</w:t>
      </w:r>
      <w:proofErr w:type="spellEnd"/>
      <w:r w:rsidRPr="003C7592">
        <w:rPr>
          <w:lang w:val="en-GB"/>
        </w:rPr>
        <w:t>, requested rectification of the 13</w:t>
      </w:r>
      <w:r w:rsidRPr="003C7592">
        <w:rPr>
          <w:vertAlign w:val="superscript"/>
          <w:lang w:val="en-GB"/>
        </w:rPr>
        <w:t>th</w:t>
      </w:r>
      <w:r w:rsidRPr="003C7592">
        <w:rPr>
          <w:lang w:val="en-GB"/>
        </w:rPr>
        <w:t xml:space="preserve"> Civil Chamber of the Court of Cassation</w:t>
      </w:r>
      <w:r w:rsidRPr="003C7592" w:rsidR="003C7592">
        <w:rPr>
          <w:lang w:val="en-GB"/>
        </w:rPr>
        <w:t>’</w:t>
      </w:r>
      <w:r w:rsidRPr="003C7592">
        <w:rPr>
          <w:lang w:val="en-GB"/>
        </w:rPr>
        <w:t>s decisions, drawing its attention to the discrepancy between its approach and that of the 4</w:t>
      </w:r>
      <w:r w:rsidRPr="003C7592">
        <w:rPr>
          <w:vertAlign w:val="superscript"/>
          <w:lang w:val="en-GB"/>
        </w:rPr>
        <w:t>th</w:t>
      </w:r>
      <w:r w:rsidRPr="003C7592">
        <w:rPr>
          <w:lang w:val="en-GB"/>
        </w:rPr>
        <w:t xml:space="preserve"> Civil Chamber in respect of the starting date of the limitation periods. They also asked the 13</w:t>
      </w:r>
      <w:r w:rsidRPr="003C7592">
        <w:rPr>
          <w:vertAlign w:val="superscript"/>
          <w:lang w:val="en-GB"/>
        </w:rPr>
        <w:t>th</w:t>
      </w:r>
      <w:r w:rsidRPr="003C7592">
        <w:rPr>
          <w:lang w:val="en-GB"/>
        </w:rPr>
        <w:t xml:space="preserve"> Civil Chamber to wait for the outcome of their application to the First Presidency of the Court of Cassation for harmonisation of the case-law.</w:t>
      </w:r>
    </w:p>
    <w:p w:rsidRPr="003C7592" w:rsidR="00354248" w:rsidP="003C7592" w:rsidRDefault="00354248">
      <w:pPr>
        <w:pStyle w:val="ECHRPara"/>
        <w:rPr>
          <w:lang w:val="tr-TR"/>
        </w:rPr>
      </w:pPr>
      <w:bookmarkStart w:name="Harmonisation" w:id="5"/>
      <w:r w:rsidRPr="003C7592">
        <w:rPr>
          <w:lang w:val="en-GB"/>
        </w:rPr>
        <w:t>19</w:t>
      </w:r>
      <w:bookmarkEnd w:id="5"/>
      <w:r w:rsidRPr="003C7592">
        <w:rPr>
          <w:lang w:val="en-GB"/>
        </w:rPr>
        <w:t>.  On 23 June 2005 the First Presidency of the Court of Cassation dismissed the applicants</w:t>
      </w:r>
      <w:r w:rsidRPr="003C7592" w:rsidR="003C7592">
        <w:rPr>
          <w:lang w:val="en-GB"/>
        </w:rPr>
        <w:t>’</w:t>
      </w:r>
      <w:r w:rsidRPr="003C7592">
        <w:rPr>
          <w:lang w:val="en-GB"/>
        </w:rPr>
        <w:t xml:space="preserve"> application, holding that there was no need for harmonisation of the case-law having regard to the content and nature of the judgments in question.</w:t>
      </w:r>
    </w:p>
    <w:p w:rsidRPr="003C7592" w:rsidR="00354248" w:rsidP="003C7592" w:rsidRDefault="00354248">
      <w:pPr>
        <w:pStyle w:val="ECHRPara"/>
        <w:rPr>
          <w:lang w:val="en-GB"/>
        </w:rPr>
      </w:pPr>
      <w:bookmarkStart w:name="onyilliksure" w:id="6"/>
      <w:r w:rsidRPr="003C7592">
        <w:rPr>
          <w:lang w:val="en-GB"/>
        </w:rPr>
        <w:t>20</w:t>
      </w:r>
      <w:bookmarkEnd w:id="6"/>
      <w:r w:rsidRPr="003C7592">
        <w:rPr>
          <w:lang w:val="en-GB"/>
        </w:rPr>
        <w:t>.  On unspecified dates in 2005 the 13</w:t>
      </w:r>
      <w:r w:rsidRPr="003C7592">
        <w:rPr>
          <w:vertAlign w:val="superscript"/>
          <w:lang w:val="en-GB"/>
        </w:rPr>
        <w:t>th</w:t>
      </w:r>
      <w:r w:rsidRPr="003C7592">
        <w:rPr>
          <w:lang w:val="en-GB"/>
        </w:rPr>
        <w:t xml:space="preserve"> Civil Chamber dismissed the applicants</w:t>
      </w:r>
      <w:r w:rsidRPr="003C7592" w:rsidR="003C7592">
        <w:rPr>
          <w:lang w:val="en-GB"/>
        </w:rPr>
        <w:t>’</w:t>
      </w:r>
      <w:r w:rsidRPr="003C7592">
        <w:rPr>
          <w:lang w:val="en-GB"/>
        </w:rPr>
        <w:t xml:space="preserve"> request for rectification.</w:t>
      </w:r>
    </w:p>
    <w:p w:rsidRPr="003C7592" w:rsidR="00354248" w:rsidP="003C7592" w:rsidRDefault="00354248">
      <w:pPr>
        <w:pStyle w:val="ECHRHeading1"/>
        <w:rPr>
          <w:lang w:val="en-GB"/>
        </w:rPr>
      </w:pPr>
      <w:r w:rsidRPr="003C7592">
        <w:rPr>
          <w:lang w:val="en-GB"/>
        </w:rPr>
        <w:t>II.</w:t>
      </w:r>
      <w:proofErr w:type="gramStart"/>
      <w:r w:rsidRPr="003C7592">
        <w:rPr>
          <w:lang w:val="en-GB"/>
        </w:rPr>
        <w:t>  RELEVANT</w:t>
      </w:r>
      <w:proofErr w:type="gramEnd"/>
      <w:r w:rsidRPr="003C7592">
        <w:rPr>
          <w:lang w:val="en-GB"/>
        </w:rPr>
        <w:t xml:space="preserve"> DOMESTIC LAW AND PRACTICE</w:t>
      </w:r>
    </w:p>
    <w:p w:rsidRPr="003C7592" w:rsidR="00354248" w:rsidP="003C7592" w:rsidRDefault="00354248">
      <w:pPr>
        <w:pStyle w:val="ECHRPara"/>
        <w:rPr>
          <w:snapToGrid w:val="0"/>
          <w:lang w:val="en-GB"/>
        </w:rPr>
      </w:pPr>
      <w:bookmarkStart w:name="art41" w:id="7"/>
      <w:r w:rsidRPr="003C7592">
        <w:rPr>
          <w:snapToGrid w:val="0"/>
          <w:lang w:val="en-GB"/>
        </w:rPr>
        <w:t>21</w:t>
      </w:r>
      <w:bookmarkEnd w:id="7"/>
      <w:r w:rsidRPr="003C7592">
        <w:rPr>
          <w:snapToGrid w:val="0"/>
          <w:lang w:val="en-GB"/>
        </w:rPr>
        <w:t>.  The second chapter of the former Code of Obligations covered claims arising from tortious acts. The main principle governing tortious acts, as provided in section 41 of the former Code of Obligations, was that any person who causes damage to another in an unjust manner, be it wilfully, negligently or imprudently, shall indemnify that damage.</w:t>
      </w:r>
    </w:p>
    <w:p w:rsidRPr="003C7592" w:rsidR="00354248" w:rsidP="003C7592" w:rsidRDefault="00354248">
      <w:pPr>
        <w:pStyle w:val="ECHRPara"/>
        <w:rPr>
          <w:snapToGrid w:val="0"/>
          <w:lang w:val="en-GB"/>
        </w:rPr>
      </w:pPr>
      <w:r w:rsidRPr="003C7592">
        <w:rPr>
          <w:snapToGrid w:val="0"/>
          <w:lang w:val="en-GB"/>
        </w:rPr>
        <w:t>22.  Section 60 of the former Code of Obligations governed limitation periods applicable to actions for damages resulting from a tort. Under the said provision, such an action in tort would become time-barred one year after the date on which the damage and the identity of the author thereof became known or, at the latest, ten years after the commission of the act that had caused the damage.</w:t>
      </w:r>
    </w:p>
    <w:p w:rsidRPr="003C7592" w:rsidR="00354248" w:rsidP="003C7592" w:rsidRDefault="00354248">
      <w:pPr>
        <w:pStyle w:val="ECHRPara"/>
        <w:rPr>
          <w:snapToGrid w:val="0"/>
          <w:lang w:val="en-GB"/>
        </w:rPr>
      </w:pPr>
      <w:r w:rsidRPr="003C7592">
        <w:rPr>
          <w:snapToGrid w:val="0"/>
          <w:lang w:val="en-GB"/>
        </w:rPr>
        <w:t xml:space="preserve">23.  Section 125 of the former Code of Obligations governed limitation periods applicable to claims under contracts. It provided that unless otherwise specified in the said law all actions for contractual claims would become time-barred within ten years. Section 126 </w:t>
      </w:r>
      <w:r w:rsidRPr="003C7592">
        <w:rPr>
          <w:rFonts w:cstheme="minorHAnsi"/>
          <w:snapToGrid w:val="0"/>
          <w:lang w:val="en-GB"/>
        </w:rPr>
        <w:t>§</w:t>
      </w:r>
      <w:r w:rsidRPr="003C7592">
        <w:rPr>
          <w:snapToGrid w:val="0"/>
          <w:lang w:val="en-GB"/>
        </w:rPr>
        <w:t xml:space="preserve"> 4 specified that the limitation period was five years for claims under construction contracts with the exception of actions to be brought against the contractor if there was improper or no execution of the contract, in which case the ten-year limitation period under section 125 would become applicable.</w:t>
      </w:r>
    </w:p>
    <w:p w:rsidRPr="003C7592" w:rsidR="00354248" w:rsidP="003C7592" w:rsidRDefault="00354248">
      <w:pPr>
        <w:pStyle w:val="ECHRPara"/>
        <w:rPr>
          <w:snapToGrid w:val="0"/>
          <w:lang w:val="en-GB"/>
        </w:rPr>
      </w:pPr>
      <w:r w:rsidRPr="003C7592">
        <w:rPr>
          <w:snapToGrid w:val="0"/>
          <w:lang w:val="en-GB"/>
        </w:rPr>
        <w:t xml:space="preserve">24.  For </w:t>
      </w:r>
      <w:r w:rsidRPr="003C7592">
        <w:rPr>
          <w:lang w:val="en-GB"/>
        </w:rPr>
        <w:t xml:space="preserve">a description of the relevant provisions of applicable laws and regulations pertaining to harmonisation of case-law, see </w:t>
      </w:r>
      <w:r w:rsidRPr="003C7592">
        <w:rPr>
          <w:i/>
          <w:lang w:val="en-GB"/>
        </w:rPr>
        <w:t xml:space="preserve">Hayati </w:t>
      </w:r>
      <w:proofErr w:type="spellStart"/>
      <w:r w:rsidRPr="003C7592">
        <w:rPr>
          <w:i/>
          <w:lang w:val="en-GB"/>
        </w:rPr>
        <w:t>Çelebi</w:t>
      </w:r>
      <w:proofErr w:type="spellEnd"/>
      <w:r w:rsidRPr="003C7592">
        <w:rPr>
          <w:i/>
          <w:lang w:val="en-GB"/>
        </w:rPr>
        <w:t xml:space="preserve"> and Others </w:t>
      </w:r>
      <w:r w:rsidRPr="003C7592">
        <w:rPr>
          <w:lang w:val="en-GB"/>
        </w:rPr>
        <w:t xml:space="preserve">(cited above, </w:t>
      </w:r>
      <w:r w:rsidRPr="003C7592">
        <w:rPr>
          <w:snapToGrid w:val="0"/>
          <w:lang w:val="en-GB"/>
        </w:rPr>
        <w:t>§§ 26-29).</w:t>
      </w:r>
    </w:p>
    <w:p w:rsidRPr="003C7592" w:rsidR="00354248" w:rsidP="003C7592" w:rsidRDefault="00354248">
      <w:pPr>
        <w:pStyle w:val="ECHRPara"/>
        <w:rPr>
          <w:lang w:val="en-GB"/>
        </w:rPr>
      </w:pPr>
      <w:r w:rsidRPr="003C7592">
        <w:rPr>
          <w:snapToGrid w:val="0"/>
          <w:lang w:val="en-GB"/>
        </w:rPr>
        <w:t>25.  </w:t>
      </w:r>
      <w:r w:rsidRPr="003C7592">
        <w:rPr>
          <w:lang w:val="en-GB"/>
        </w:rPr>
        <w:t xml:space="preserve">Section 375 </w:t>
      </w:r>
      <w:r w:rsidRPr="003C7592">
        <w:rPr>
          <w:rFonts w:cstheme="minorHAnsi"/>
          <w:lang w:val="en-GB"/>
        </w:rPr>
        <w:t>§</w:t>
      </w:r>
      <w:r w:rsidRPr="003C7592">
        <w:rPr>
          <w:lang w:val="en-GB"/>
        </w:rPr>
        <w:t xml:space="preserve"> 1 (</w:t>
      </w:r>
      <w:proofErr w:type="spellStart"/>
      <w:r w:rsidRPr="003C7592">
        <w:rPr>
          <w:lang w:val="en-GB"/>
        </w:rPr>
        <w:t>i</w:t>
      </w:r>
      <w:proofErr w:type="spellEnd"/>
      <w:r w:rsidRPr="003C7592">
        <w:rPr>
          <w:lang w:val="en-GB"/>
        </w:rPr>
        <w:t>) of the Code of Civil Procedure of 12 January 2011 (“the CCP”) reads as follows:</w:t>
      </w:r>
    </w:p>
    <w:p w:rsidRPr="003C7592" w:rsidR="00354248" w:rsidP="003C7592" w:rsidRDefault="00354248">
      <w:pPr>
        <w:pStyle w:val="ECHRParaQuote"/>
        <w:ind w:left="567" w:firstLine="0"/>
        <w:rPr>
          <w:lang w:val="en-GB"/>
        </w:rPr>
      </w:pPr>
      <w:r w:rsidRPr="003C7592">
        <w:rPr>
          <w:lang w:val="en-GB"/>
        </w:rPr>
        <w:t>“1.</w:t>
      </w:r>
      <w:proofErr w:type="gramStart"/>
      <w:r w:rsidRPr="003C7592">
        <w:rPr>
          <w:lang w:val="en-GB"/>
        </w:rPr>
        <w:t>  The</w:t>
      </w:r>
      <w:proofErr w:type="gramEnd"/>
      <w:r w:rsidRPr="003C7592">
        <w:rPr>
          <w:lang w:val="en-GB"/>
        </w:rPr>
        <w:t xml:space="preserve"> reopening of proceedings may be requested for the following reasons:</w:t>
      </w:r>
    </w:p>
    <w:p w:rsidRPr="003C7592" w:rsidR="00354248" w:rsidP="003C7592" w:rsidRDefault="00354248">
      <w:pPr>
        <w:pStyle w:val="ECHRParaQuote"/>
        <w:ind w:left="567" w:firstLine="0"/>
        <w:rPr>
          <w:lang w:val="en-GB"/>
        </w:rPr>
      </w:pPr>
      <w:r w:rsidRPr="003C7592">
        <w:rPr>
          <w:lang w:val="en-GB"/>
        </w:rPr>
        <w:t>(...)</w:t>
      </w:r>
    </w:p>
    <w:p w:rsidRPr="003C7592" w:rsidR="00354248" w:rsidP="003C7592" w:rsidRDefault="00354248">
      <w:pPr>
        <w:pStyle w:val="ECHRParaQuote"/>
        <w:ind w:left="567" w:firstLine="0"/>
        <w:rPr>
          <w:lang w:val="en-GB"/>
        </w:rPr>
      </w:pPr>
      <w:r w:rsidRPr="003C7592">
        <w:rPr>
          <w:lang w:val="en-GB"/>
        </w:rPr>
        <w:t>(</w:t>
      </w:r>
      <w:proofErr w:type="spellStart"/>
      <w:proofErr w:type="gramStart"/>
      <w:r w:rsidRPr="003C7592">
        <w:rPr>
          <w:lang w:val="en-GB"/>
        </w:rPr>
        <w:t>i</w:t>
      </w:r>
      <w:proofErr w:type="spellEnd"/>
      <w:proofErr w:type="gramEnd"/>
      <w:r w:rsidRPr="003C7592">
        <w:rPr>
          <w:lang w:val="en-GB"/>
        </w:rPr>
        <w:t>)  Where the European Court of Human Rights has issued a final judgment finding that the [final domestic] decision has been made in breach of the Convention for the Protection of Human Rights and Fundamental Freedoms or its additional protocols (...)”</w:t>
      </w:r>
    </w:p>
    <w:p w:rsidRPr="003C7592" w:rsidR="00354248" w:rsidP="003C7592" w:rsidRDefault="00354248">
      <w:pPr>
        <w:pStyle w:val="ECHRPara"/>
        <w:rPr>
          <w:lang w:val="en-GB"/>
        </w:rPr>
      </w:pPr>
      <w:bookmarkStart w:name="section377" w:id="8"/>
      <w:r w:rsidRPr="003C7592">
        <w:rPr>
          <w:lang w:val="en-GB"/>
        </w:rPr>
        <w:t>26</w:t>
      </w:r>
      <w:bookmarkEnd w:id="8"/>
      <w:r w:rsidRPr="003C7592">
        <w:rPr>
          <w:lang w:val="en-GB"/>
        </w:rPr>
        <w:t xml:space="preserve">.  Section 377 of the CCP provides that the time-limit for reopening of proceedings on the ground stipulated in section 375 </w:t>
      </w:r>
      <w:r w:rsidRPr="003C7592">
        <w:rPr>
          <w:rFonts w:cstheme="minorHAnsi"/>
          <w:lang w:val="en-GB"/>
        </w:rPr>
        <w:t>§</w:t>
      </w:r>
      <w:r w:rsidRPr="003C7592">
        <w:rPr>
          <w:lang w:val="en-GB"/>
        </w:rPr>
        <w:t xml:space="preserve"> 1 (</w:t>
      </w:r>
      <w:proofErr w:type="spellStart"/>
      <w:r w:rsidRPr="003C7592">
        <w:rPr>
          <w:lang w:val="en-GB"/>
        </w:rPr>
        <w:t>i</w:t>
      </w:r>
      <w:proofErr w:type="spellEnd"/>
      <w:r w:rsidRPr="003C7592">
        <w:rPr>
          <w:lang w:val="en-GB"/>
        </w:rPr>
        <w:t>) is three months from the date of notification of the final judgment of the European Court of Human Rights and in any case ten years from the date when the domestic court</w:t>
      </w:r>
      <w:r w:rsidRPr="003C7592" w:rsidR="003C7592">
        <w:rPr>
          <w:lang w:val="en-GB"/>
        </w:rPr>
        <w:t>’</w:t>
      </w:r>
      <w:r w:rsidRPr="003C7592">
        <w:rPr>
          <w:lang w:val="en-GB"/>
        </w:rPr>
        <w:t>s decision that is the subject matter of the request for reopening becomes final.</w:t>
      </w:r>
    </w:p>
    <w:p w:rsidRPr="003C7592" w:rsidR="00354248" w:rsidP="003C7592" w:rsidRDefault="00354248">
      <w:pPr>
        <w:pStyle w:val="ECHRTitle1"/>
        <w:rPr>
          <w:lang w:val="en-GB"/>
        </w:rPr>
      </w:pPr>
      <w:r w:rsidRPr="003C7592">
        <w:rPr>
          <w:lang w:val="en-GB"/>
        </w:rPr>
        <w:t>THE LAW</w:t>
      </w:r>
    </w:p>
    <w:p w:rsidRPr="003C7592" w:rsidR="00354248" w:rsidP="003C7592" w:rsidRDefault="00354248">
      <w:pPr>
        <w:pStyle w:val="ECHRHeading1"/>
        <w:rPr>
          <w:lang w:val="en-GB"/>
        </w:rPr>
      </w:pPr>
      <w:r w:rsidRPr="003C7592">
        <w:rPr>
          <w:lang w:val="en-GB"/>
        </w:rPr>
        <w:t>I.  PRELIMINARY ISSUES</w:t>
      </w:r>
    </w:p>
    <w:p w:rsidRPr="003C7592" w:rsidR="00354248" w:rsidP="003C7592" w:rsidRDefault="00354248">
      <w:pPr>
        <w:pStyle w:val="ECHRHeading2"/>
        <w:rPr>
          <w:lang w:val="en-GB"/>
        </w:rPr>
      </w:pPr>
      <w:r w:rsidRPr="003C7592">
        <w:rPr>
          <w:lang w:val="en-GB"/>
        </w:rPr>
        <w:t>A.  Death of four applicants</w:t>
      </w:r>
    </w:p>
    <w:p w:rsidRPr="003C7592" w:rsidR="00354248" w:rsidP="003C7592" w:rsidRDefault="00354248">
      <w:pPr>
        <w:pStyle w:val="ECHRPara"/>
        <w:rPr>
          <w:snapToGrid w:val="0"/>
          <w:lang w:val="en-GB"/>
        </w:rPr>
      </w:pPr>
      <w:r w:rsidRPr="003C7592">
        <w:rPr>
          <w:lang w:val="en-GB"/>
        </w:rPr>
        <w:t>27.  </w:t>
      </w:r>
      <w:r w:rsidRPr="003C7592">
        <w:rPr>
          <w:snapToGrid w:val="0"/>
          <w:lang w:val="en-GB"/>
        </w:rPr>
        <w:t xml:space="preserve">The Government informed the Court that after the lodging of the application, </w:t>
      </w:r>
      <w:r w:rsidRPr="003C7592">
        <w:rPr>
          <w:lang w:val="en-GB"/>
        </w:rPr>
        <w:t xml:space="preserve">the applicants Ms </w:t>
      </w:r>
      <w:proofErr w:type="spellStart"/>
      <w:r w:rsidRPr="003C7592">
        <w:rPr>
          <w:lang w:val="en-GB"/>
        </w:rPr>
        <w:t>Fahriye</w:t>
      </w:r>
      <w:proofErr w:type="spellEnd"/>
      <w:r w:rsidRPr="003C7592">
        <w:rPr>
          <w:lang w:val="en-GB"/>
        </w:rPr>
        <w:t xml:space="preserve"> Baran, Mr Mehmet </w:t>
      </w:r>
      <w:proofErr w:type="spellStart"/>
      <w:r w:rsidRPr="003C7592">
        <w:rPr>
          <w:lang w:val="en-GB"/>
        </w:rPr>
        <w:t>Semih</w:t>
      </w:r>
      <w:proofErr w:type="spellEnd"/>
      <w:r w:rsidRPr="003C7592">
        <w:rPr>
          <w:lang w:val="en-GB"/>
        </w:rPr>
        <w:t xml:space="preserve"> </w:t>
      </w:r>
      <w:proofErr w:type="spellStart"/>
      <w:r w:rsidRPr="003C7592">
        <w:rPr>
          <w:lang w:val="en-GB"/>
        </w:rPr>
        <w:t>Yazgan</w:t>
      </w:r>
      <w:proofErr w:type="spellEnd"/>
      <w:r w:rsidRPr="003C7592">
        <w:rPr>
          <w:lang w:val="en-GB"/>
        </w:rPr>
        <w:t xml:space="preserve">, Mr Mustafa </w:t>
      </w:r>
      <w:proofErr w:type="spellStart"/>
      <w:r w:rsidRPr="003C7592">
        <w:rPr>
          <w:lang w:val="en-GB"/>
        </w:rPr>
        <w:t>Reha</w:t>
      </w:r>
      <w:proofErr w:type="spellEnd"/>
      <w:r w:rsidRPr="003C7592">
        <w:rPr>
          <w:lang w:val="en-GB"/>
        </w:rPr>
        <w:t xml:space="preserve"> </w:t>
      </w:r>
      <w:proofErr w:type="spellStart"/>
      <w:r w:rsidRPr="003C7592">
        <w:rPr>
          <w:lang w:val="en-GB"/>
        </w:rPr>
        <w:t>Küpçüoğlu</w:t>
      </w:r>
      <w:proofErr w:type="spellEnd"/>
      <w:r w:rsidRPr="003C7592">
        <w:rPr>
          <w:lang w:val="en-GB"/>
        </w:rPr>
        <w:t xml:space="preserve"> and Ms </w:t>
      </w:r>
      <w:proofErr w:type="spellStart"/>
      <w:r w:rsidRPr="003C7592">
        <w:rPr>
          <w:lang w:val="en-GB"/>
        </w:rPr>
        <w:t>Hatice</w:t>
      </w:r>
      <w:proofErr w:type="spellEnd"/>
      <w:r w:rsidRPr="003C7592">
        <w:rPr>
          <w:lang w:val="en-GB"/>
        </w:rPr>
        <w:t xml:space="preserve"> </w:t>
      </w:r>
      <w:proofErr w:type="spellStart"/>
      <w:r w:rsidRPr="003C7592">
        <w:rPr>
          <w:lang w:val="en-GB"/>
        </w:rPr>
        <w:t>Füsun</w:t>
      </w:r>
      <w:proofErr w:type="spellEnd"/>
      <w:r w:rsidRPr="003C7592">
        <w:rPr>
          <w:lang w:val="en-GB"/>
        </w:rPr>
        <w:t xml:space="preserve"> </w:t>
      </w:r>
      <w:proofErr w:type="spellStart"/>
      <w:r w:rsidRPr="003C7592">
        <w:rPr>
          <w:lang w:val="en-GB"/>
        </w:rPr>
        <w:t>Giz</w:t>
      </w:r>
      <w:proofErr w:type="spellEnd"/>
      <w:r w:rsidRPr="003C7592">
        <w:rPr>
          <w:lang w:val="en-GB"/>
        </w:rPr>
        <w:t xml:space="preserve"> had died, and </w:t>
      </w:r>
      <w:r w:rsidRPr="003C7592">
        <w:rPr>
          <w:snapToGrid w:val="0"/>
          <w:lang w:val="en-GB"/>
        </w:rPr>
        <w:t>asked the Court to strike the application out of the list insofar as it concerned those four applicants.</w:t>
      </w:r>
    </w:p>
    <w:p w:rsidRPr="003C7592" w:rsidR="00354248" w:rsidP="003C7592" w:rsidRDefault="00354248">
      <w:pPr>
        <w:pStyle w:val="ECHRHeading3"/>
        <w:rPr>
          <w:lang w:val="en-GB"/>
        </w:rPr>
      </w:pPr>
      <w:r w:rsidRPr="003C7592">
        <w:rPr>
          <w:lang w:val="en-GB"/>
        </w:rPr>
        <w:t xml:space="preserve">1.  As regards the applicants Ms </w:t>
      </w:r>
      <w:proofErr w:type="spellStart"/>
      <w:r w:rsidRPr="003C7592">
        <w:rPr>
          <w:lang w:val="en-GB"/>
        </w:rPr>
        <w:t>Fahriye</w:t>
      </w:r>
      <w:proofErr w:type="spellEnd"/>
      <w:r w:rsidRPr="003C7592">
        <w:rPr>
          <w:lang w:val="en-GB"/>
        </w:rPr>
        <w:t xml:space="preserve"> Baran and Mr Mehmet </w:t>
      </w:r>
      <w:proofErr w:type="spellStart"/>
      <w:r w:rsidRPr="003C7592">
        <w:rPr>
          <w:lang w:val="en-GB"/>
        </w:rPr>
        <w:t>Semih</w:t>
      </w:r>
      <w:proofErr w:type="spellEnd"/>
      <w:r w:rsidRPr="003C7592">
        <w:rPr>
          <w:lang w:val="en-GB"/>
        </w:rPr>
        <w:t> </w:t>
      </w:r>
      <w:proofErr w:type="spellStart"/>
      <w:r w:rsidRPr="003C7592">
        <w:rPr>
          <w:lang w:val="en-GB"/>
        </w:rPr>
        <w:t>Yazgan</w:t>
      </w:r>
      <w:proofErr w:type="spellEnd"/>
    </w:p>
    <w:p w:rsidRPr="003C7592" w:rsidR="00354248" w:rsidP="003C7592" w:rsidRDefault="00354248">
      <w:pPr>
        <w:pStyle w:val="ECHRPara"/>
        <w:rPr>
          <w:snapToGrid w:val="0"/>
          <w:lang w:val="en-GB"/>
        </w:rPr>
      </w:pPr>
      <w:r w:rsidRPr="003C7592">
        <w:rPr>
          <w:snapToGrid w:val="0"/>
          <w:lang w:val="en-GB"/>
        </w:rPr>
        <w:t>28.  The Court firstly observes that no heirs or close relatives of Ms Baran have expressed the wish to pursue the application.</w:t>
      </w:r>
    </w:p>
    <w:p w:rsidRPr="003C7592" w:rsidR="00354248" w:rsidP="003C7592" w:rsidRDefault="00354248">
      <w:pPr>
        <w:pStyle w:val="ECHRPara"/>
        <w:rPr>
          <w:snapToGrid w:val="0"/>
          <w:lang w:val="en-GB"/>
        </w:rPr>
      </w:pPr>
      <w:r w:rsidRPr="003C7592">
        <w:rPr>
          <w:snapToGrid w:val="0"/>
          <w:lang w:val="en-GB"/>
        </w:rPr>
        <w:t>29.  It has been the Court</w:t>
      </w:r>
      <w:r w:rsidRPr="003C7592" w:rsidR="003C7592">
        <w:rPr>
          <w:snapToGrid w:val="0"/>
          <w:lang w:val="en-GB"/>
        </w:rPr>
        <w:t>’</w:t>
      </w:r>
      <w:r w:rsidRPr="003C7592">
        <w:rPr>
          <w:snapToGrid w:val="0"/>
          <w:lang w:val="en-GB"/>
        </w:rPr>
        <w:t>s practice to strike an application out of the list of cases under Article 37 § 1 of the Convention in the absence of any heir or close relative who has expressed the wish to pursue the application (see </w:t>
      </w:r>
      <w:r w:rsidRPr="003C7592">
        <w:rPr>
          <w:i/>
          <w:snapToGrid w:val="0"/>
          <w:lang w:val="en-GB"/>
        </w:rPr>
        <w:t>Léger v. France</w:t>
      </w:r>
      <w:r w:rsidRPr="003C7592">
        <w:rPr>
          <w:snapToGrid w:val="0"/>
          <w:lang w:val="en-GB"/>
        </w:rPr>
        <w:t xml:space="preserve"> (striking out) [GC], no. 19324/02, § 44, 30 March 2009, with further references). Furthermore, in accordance with Article 37 § 1 </w:t>
      </w:r>
      <w:r w:rsidRPr="003C7592">
        <w:rPr>
          <w:i/>
          <w:snapToGrid w:val="0"/>
          <w:lang w:val="en-GB"/>
        </w:rPr>
        <w:t>in fine</w:t>
      </w:r>
      <w:r w:rsidRPr="003C7592">
        <w:rPr>
          <w:snapToGrid w:val="0"/>
          <w:lang w:val="en-GB"/>
        </w:rPr>
        <w:t>, the Court finds no special circumstances regarding respect for human rights as defined in the Convention and its Protocols which require the continued examination of the case in the part related to the application of Ms Baran. In view of the above, it is appropriate to strike the application out of the list of cases insofar as it concerns Ms Baran.</w:t>
      </w:r>
    </w:p>
    <w:p w:rsidRPr="003C7592" w:rsidR="00354248" w:rsidP="003C7592" w:rsidRDefault="00354248">
      <w:pPr>
        <w:pStyle w:val="ECHRPara"/>
        <w:rPr>
          <w:snapToGrid w:val="0"/>
          <w:lang w:val="en-GB"/>
        </w:rPr>
      </w:pPr>
      <w:bookmarkStart w:name="AY" w:id="9"/>
      <w:r w:rsidRPr="003C7592">
        <w:rPr>
          <w:lang w:val="en-GB"/>
        </w:rPr>
        <w:t>30</w:t>
      </w:r>
      <w:bookmarkEnd w:id="9"/>
      <w:r w:rsidRPr="003C7592">
        <w:rPr>
          <w:lang w:val="en-GB"/>
        </w:rPr>
        <w:t>.  </w:t>
      </w:r>
      <w:r w:rsidRPr="003C7592">
        <w:rPr>
          <w:snapToGrid w:val="0"/>
          <w:lang w:val="en-GB"/>
        </w:rPr>
        <w:t xml:space="preserve">As regards the applicant Mr Mehmet </w:t>
      </w:r>
      <w:proofErr w:type="spellStart"/>
      <w:r w:rsidRPr="003C7592">
        <w:rPr>
          <w:snapToGrid w:val="0"/>
          <w:lang w:val="en-GB"/>
        </w:rPr>
        <w:t>Semih</w:t>
      </w:r>
      <w:proofErr w:type="spellEnd"/>
      <w:r w:rsidRPr="003C7592">
        <w:rPr>
          <w:snapToGrid w:val="0"/>
          <w:lang w:val="en-GB"/>
        </w:rPr>
        <w:t xml:space="preserve"> </w:t>
      </w:r>
      <w:proofErr w:type="spellStart"/>
      <w:r w:rsidRPr="003C7592">
        <w:rPr>
          <w:snapToGrid w:val="0"/>
          <w:lang w:val="en-GB"/>
        </w:rPr>
        <w:t>Yazgan</w:t>
      </w:r>
      <w:proofErr w:type="spellEnd"/>
      <w:r w:rsidRPr="003C7592">
        <w:rPr>
          <w:snapToGrid w:val="0"/>
          <w:lang w:val="en-GB"/>
        </w:rPr>
        <w:t>, the Court notes that the applicants</w:t>
      </w:r>
      <w:r w:rsidRPr="003C7592" w:rsidR="003C7592">
        <w:rPr>
          <w:snapToGrid w:val="0"/>
          <w:lang w:val="en-GB"/>
        </w:rPr>
        <w:t>’</w:t>
      </w:r>
      <w:r w:rsidRPr="003C7592">
        <w:rPr>
          <w:snapToGrid w:val="0"/>
          <w:lang w:val="en-GB"/>
        </w:rPr>
        <w:t xml:space="preserve"> representative informed it on 29 January 2018 that Mr Alp </w:t>
      </w:r>
      <w:proofErr w:type="spellStart"/>
      <w:r w:rsidRPr="003C7592">
        <w:rPr>
          <w:snapToGrid w:val="0"/>
          <w:lang w:val="en-GB"/>
        </w:rPr>
        <w:t>Yazgan</w:t>
      </w:r>
      <w:proofErr w:type="spellEnd"/>
      <w:r w:rsidRPr="003C7592">
        <w:rPr>
          <w:snapToGrid w:val="0"/>
          <w:lang w:val="en-GB"/>
        </w:rPr>
        <w:t>, the applicant</w:t>
      </w:r>
      <w:r w:rsidRPr="003C7592" w:rsidR="003C7592">
        <w:rPr>
          <w:snapToGrid w:val="0"/>
          <w:lang w:val="en-GB"/>
        </w:rPr>
        <w:t>’</w:t>
      </w:r>
      <w:r w:rsidRPr="003C7592">
        <w:rPr>
          <w:snapToGrid w:val="0"/>
          <w:lang w:val="en-GB"/>
        </w:rPr>
        <w:t xml:space="preserve">s grandson, wished to pursue the proceedings before the Court in his stead. He also sent by fax domestic court decisions certifying Mr Alp </w:t>
      </w:r>
      <w:proofErr w:type="spellStart"/>
      <w:r w:rsidRPr="003C7592">
        <w:rPr>
          <w:snapToGrid w:val="0"/>
          <w:lang w:val="en-GB"/>
        </w:rPr>
        <w:t>Yazgan</w:t>
      </w:r>
      <w:r w:rsidRPr="003C7592" w:rsidR="003C7592">
        <w:rPr>
          <w:snapToGrid w:val="0"/>
          <w:lang w:val="en-GB"/>
        </w:rPr>
        <w:t>’</w:t>
      </w:r>
      <w:r w:rsidRPr="003C7592">
        <w:rPr>
          <w:snapToGrid w:val="0"/>
          <w:lang w:val="en-GB"/>
        </w:rPr>
        <w:t>s</w:t>
      </w:r>
      <w:proofErr w:type="spellEnd"/>
      <w:r w:rsidRPr="003C7592">
        <w:rPr>
          <w:snapToGrid w:val="0"/>
          <w:lang w:val="en-GB"/>
        </w:rPr>
        <w:t xml:space="preserve"> status as heir of the applicant Mr </w:t>
      </w:r>
      <w:proofErr w:type="spellStart"/>
      <w:r w:rsidRPr="003C7592">
        <w:rPr>
          <w:snapToGrid w:val="0"/>
          <w:lang w:val="en-GB"/>
        </w:rPr>
        <w:t>Yazgan</w:t>
      </w:r>
      <w:proofErr w:type="spellEnd"/>
      <w:r w:rsidRPr="003C7592">
        <w:rPr>
          <w:snapToGrid w:val="0"/>
          <w:lang w:val="en-GB"/>
        </w:rPr>
        <w:t xml:space="preserve"> and the form signed by Mr Alp </w:t>
      </w:r>
      <w:proofErr w:type="spellStart"/>
      <w:r w:rsidRPr="003C7592">
        <w:rPr>
          <w:snapToGrid w:val="0"/>
          <w:lang w:val="en-GB"/>
        </w:rPr>
        <w:t>Yazgan</w:t>
      </w:r>
      <w:proofErr w:type="spellEnd"/>
      <w:r w:rsidRPr="003C7592">
        <w:rPr>
          <w:snapToGrid w:val="0"/>
          <w:lang w:val="en-GB"/>
        </w:rPr>
        <w:t xml:space="preserve"> to authorise the representative to represent him in the proceedings before the Court.</w:t>
      </w:r>
    </w:p>
    <w:p w:rsidRPr="003C7592" w:rsidR="00354248" w:rsidP="003C7592" w:rsidRDefault="00354248">
      <w:pPr>
        <w:pStyle w:val="ECHRPara"/>
        <w:rPr>
          <w:snapToGrid w:val="0"/>
          <w:lang w:val="en-GB"/>
        </w:rPr>
      </w:pPr>
      <w:r w:rsidRPr="003C7592">
        <w:rPr>
          <w:snapToGrid w:val="0"/>
          <w:lang w:val="en-GB"/>
        </w:rPr>
        <w:t xml:space="preserve">31.  By its letter dated </w:t>
      </w:r>
      <w:r w:rsidRPr="003C7592">
        <w:rPr>
          <w:lang w:val="en-GB"/>
        </w:rPr>
        <w:t xml:space="preserve">10 April 2018 the Court asked the representative to submit the hard copy of the authority form which bears the original signature of Mr Alp </w:t>
      </w:r>
      <w:proofErr w:type="spellStart"/>
      <w:r w:rsidRPr="003C7592">
        <w:rPr>
          <w:lang w:val="en-GB"/>
        </w:rPr>
        <w:t>Yazgan</w:t>
      </w:r>
      <w:proofErr w:type="spellEnd"/>
      <w:r w:rsidRPr="003C7592">
        <w:rPr>
          <w:lang w:val="en-GB"/>
        </w:rPr>
        <w:t>. On 24 October 2018 the representative informed the Court that he was unable to contact Mr Alp </w:t>
      </w:r>
      <w:proofErr w:type="spellStart"/>
      <w:r w:rsidRPr="003C7592">
        <w:rPr>
          <w:lang w:val="en-GB"/>
        </w:rPr>
        <w:t>Yazgan</w:t>
      </w:r>
      <w:proofErr w:type="spellEnd"/>
      <w:r w:rsidRPr="003C7592">
        <w:rPr>
          <w:lang w:val="en-GB"/>
        </w:rPr>
        <w:t xml:space="preserve"> and could not submit the hard copy of the authority form signed by him.</w:t>
      </w:r>
    </w:p>
    <w:p w:rsidRPr="003C7592" w:rsidR="00354248" w:rsidP="003C7592" w:rsidRDefault="00354248">
      <w:pPr>
        <w:pStyle w:val="ECHRPara"/>
        <w:rPr>
          <w:lang w:val="en-GB"/>
        </w:rPr>
      </w:pPr>
      <w:r w:rsidRPr="003C7592">
        <w:rPr>
          <w:lang w:val="en-GB"/>
        </w:rPr>
        <w:t>32.  In the Court</w:t>
      </w:r>
      <w:r w:rsidRPr="003C7592" w:rsidR="003C7592">
        <w:rPr>
          <w:lang w:val="en-GB"/>
        </w:rPr>
        <w:t>’</w:t>
      </w:r>
      <w:r w:rsidRPr="003C7592">
        <w:rPr>
          <w:lang w:val="en-GB"/>
        </w:rPr>
        <w:t xml:space="preserve">s view the fact that the representative is unable to contact Mr Alp </w:t>
      </w:r>
      <w:proofErr w:type="spellStart"/>
      <w:r w:rsidRPr="003C7592">
        <w:rPr>
          <w:lang w:val="en-GB"/>
        </w:rPr>
        <w:t>Yazgan</w:t>
      </w:r>
      <w:proofErr w:type="spellEnd"/>
      <w:r w:rsidRPr="003C7592">
        <w:rPr>
          <w:lang w:val="en-GB"/>
        </w:rPr>
        <w:t xml:space="preserve"> must be taken as indicating that the latter has lost interest in pursuing the application within the meaning of Article 37 § 1 (a) of the Convention. Given the representative</w:t>
      </w:r>
      <w:r w:rsidRPr="003C7592" w:rsidR="003C7592">
        <w:rPr>
          <w:lang w:val="en-GB"/>
        </w:rPr>
        <w:t>’</w:t>
      </w:r>
      <w:r w:rsidRPr="003C7592">
        <w:rPr>
          <w:lang w:val="en-GB"/>
        </w:rPr>
        <w:t xml:space="preserve">s inability to establish any communication with Mr Alp </w:t>
      </w:r>
      <w:proofErr w:type="spellStart"/>
      <w:r w:rsidRPr="003C7592">
        <w:rPr>
          <w:lang w:val="en-GB"/>
        </w:rPr>
        <w:t>Yazgan</w:t>
      </w:r>
      <w:proofErr w:type="spellEnd"/>
      <w:r w:rsidRPr="003C7592">
        <w:rPr>
          <w:lang w:val="en-GB"/>
        </w:rPr>
        <w:t xml:space="preserve">, the Court considers that the representative cannot now meaningfully pursue the proceedings before it (see, </w:t>
      </w:r>
      <w:r w:rsidRPr="003C7592">
        <w:rPr>
          <w:i/>
          <w:lang w:val="en-GB"/>
        </w:rPr>
        <w:t>mutatis mutandis</w:t>
      </w:r>
      <w:r w:rsidRPr="003C7592">
        <w:rPr>
          <w:lang w:val="en-GB"/>
        </w:rPr>
        <w:t xml:space="preserve">, </w:t>
      </w:r>
      <w:proofErr w:type="spellStart"/>
      <w:r w:rsidRPr="003C7592">
        <w:rPr>
          <w:i/>
          <w:lang w:val="en-GB"/>
        </w:rPr>
        <w:t>Khawarin</w:t>
      </w:r>
      <w:proofErr w:type="spellEnd"/>
      <w:r w:rsidRPr="003C7592">
        <w:rPr>
          <w:i/>
          <w:lang w:val="en-GB"/>
        </w:rPr>
        <w:t xml:space="preserve"> v. the Netherlands and Greece </w:t>
      </w:r>
      <w:r w:rsidRPr="003C7592">
        <w:rPr>
          <w:lang w:val="en-GB"/>
        </w:rPr>
        <w:t>(</w:t>
      </w:r>
      <w:proofErr w:type="spellStart"/>
      <w:r w:rsidRPr="003C7592">
        <w:rPr>
          <w:lang w:val="en-GB"/>
        </w:rPr>
        <w:t>dec.</w:t>
      </w:r>
      <w:proofErr w:type="spellEnd"/>
      <w:r w:rsidRPr="003C7592">
        <w:rPr>
          <w:lang w:val="en-GB"/>
        </w:rPr>
        <w:t>), no. 32431/09, 30 March 2010 with further references).</w:t>
      </w:r>
    </w:p>
    <w:p w:rsidRPr="003C7592" w:rsidR="00354248" w:rsidP="003C7592" w:rsidRDefault="00354248">
      <w:pPr>
        <w:pStyle w:val="ECHRPara"/>
        <w:rPr>
          <w:lang w:val="en-GB"/>
        </w:rPr>
      </w:pPr>
      <w:r w:rsidRPr="003C7592">
        <w:rPr>
          <w:lang w:val="en-GB"/>
        </w:rPr>
        <w:t>33.  </w:t>
      </w:r>
      <w:r w:rsidRPr="003C7592">
        <w:t xml:space="preserve">In these circumstances, and having regard to Article 37 § 1 (a) of the Convention, the Court concludes that it is no longer justified to continue the examination of the application within the meaning of Article 37 § 1 (c) of the Convention. Furthermore, in accordance with Article 37 § 1 </w:t>
      </w:r>
      <w:r w:rsidRPr="003C7592">
        <w:rPr>
          <w:i/>
        </w:rPr>
        <w:t>in fine</w:t>
      </w:r>
      <w:r w:rsidRPr="003C7592">
        <w:t>, the Court finds no special circumstances regarding respect for human rights as defined in the Convention and its Protocols which require the continued examination of the case. In view of the above, it is appropriate to strike out this part of the application as well.</w:t>
      </w:r>
    </w:p>
    <w:p w:rsidRPr="003C7592" w:rsidR="00354248" w:rsidP="003C7592" w:rsidRDefault="00354248">
      <w:pPr>
        <w:pStyle w:val="ECHRHeading3"/>
        <w:rPr>
          <w:lang w:val="en-GB"/>
        </w:rPr>
      </w:pPr>
      <w:r w:rsidRPr="003C7592">
        <w:rPr>
          <w:lang w:val="en-GB"/>
        </w:rPr>
        <w:t xml:space="preserve">2.  As regards the applicants Mr Mustafa </w:t>
      </w:r>
      <w:proofErr w:type="spellStart"/>
      <w:r w:rsidRPr="003C7592">
        <w:rPr>
          <w:lang w:val="en-GB"/>
        </w:rPr>
        <w:t>Reha</w:t>
      </w:r>
      <w:proofErr w:type="spellEnd"/>
      <w:r w:rsidRPr="003C7592">
        <w:rPr>
          <w:lang w:val="en-GB"/>
        </w:rPr>
        <w:t xml:space="preserve"> </w:t>
      </w:r>
      <w:proofErr w:type="spellStart"/>
      <w:r w:rsidRPr="003C7592">
        <w:rPr>
          <w:lang w:val="en-GB"/>
        </w:rPr>
        <w:t>Küpçüoğlu</w:t>
      </w:r>
      <w:proofErr w:type="spellEnd"/>
      <w:r w:rsidRPr="003C7592">
        <w:rPr>
          <w:lang w:val="en-GB"/>
        </w:rPr>
        <w:t xml:space="preserve"> and Ms </w:t>
      </w:r>
      <w:proofErr w:type="spellStart"/>
      <w:r w:rsidRPr="003C7592">
        <w:rPr>
          <w:lang w:val="en-GB"/>
        </w:rPr>
        <w:t>Hatice</w:t>
      </w:r>
      <w:proofErr w:type="spellEnd"/>
      <w:r w:rsidRPr="003C7592">
        <w:rPr>
          <w:lang w:val="en-GB"/>
        </w:rPr>
        <w:t xml:space="preserve"> </w:t>
      </w:r>
      <w:proofErr w:type="spellStart"/>
      <w:r w:rsidRPr="003C7592">
        <w:rPr>
          <w:lang w:val="en-GB"/>
        </w:rPr>
        <w:t>Füsun</w:t>
      </w:r>
      <w:proofErr w:type="spellEnd"/>
      <w:r w:rsidRPr="003C7592">
        <w:rPr>
          <w:lang w:val="en-GB"/>
        </w:rPr>
        <w:t xml:space="preserve"> </w:t>
      </w:r>
      <w:proofErr w:type="spellStart"/>
      <w:r w:rsidRPr="003C7592">
        <w:rPr>
          <w:lang w:val="en-GB"/>
        </w:rPr>
        <w:t>Giz</w:t>
      </w:r>
      <w:proofErr w:type="spellEnd"/>
    </w:p>
    <w:p w:rsidRPr="003C7592" w:rsidR="00354248" w:rsidP="003C7592" w:rsidRDefault="00354248">
      <w:pPr>
        <w:pStyle w:val="ECHRPara"/>
        <w:rPr>
          <w:snapToGrid w:val="0"/>
          <w:lang w:val="en-GB"/>
        </w:rPr>
      </w:pPr>
      <w:bookmarkStart w:name="Rest" w:id="10"/>
      <w:r w:rsidRPr="003C7592">
        <w:rPr>
          <w:lang w:val="en-GB"/>
        </w:rPr>
        <w:t>34</w:t>
      </w:r>
      <w:bookmarkEnd w:id="10"/>
      <w:r w:rsidRPr="003C7592">
        <w:rPr>
          <w:lang w:val="en-GB"/>
        </w:rPr>
        <w:t>.  On 29 January 2018 the applicants</w:t>
      </w:r>
      <w:r w:rsidRPr="003C7592" w:rsidR="003C7592">
        <w:rPr>
          <w:lang w:val="en-GB"/>
        </w:rPr>
        <w:t>’</w:t>
      </w:r>
      <w:r w:rsidRPr="003C7592">
        <w:rPr>
          <w:lang w:val="en-GB"/>
        </w:rPr>
        <w:t xml:space="preserve"> representative informed the Court that Ms </w:t>
      </w:r>
      <w:proofErr w:type="spellStart"/>
      <w:r w:rsidRPr="003C7592">
        <w:rPr>
          <w:lang w:val="en-GB"/>
        </w:rPr>
        <w:t>Birgül</w:t>
      </w:r>
      <w:proofErr w:type="spellEnd"/>
      <w:r w:rsidRPr="003C7592">
        <w:rPr>
          <w:lang w:val="en-GB"/>
        </w:rPr>
        <w:t xml:space="preserve"> </w:t>
      </w:r>
      <w:proofErr w:type="spellStart"/>
      <w:r w:rsidRPr="003C7592">
        <w:rPr>
          <w:lang w:val="en-GB"/>
        </w:rPr>
        <w:t>Küpçüoğlu</w:t>
      </w:r>
      <w:proofErr w:type="spellEnd"/>
      <w:r w:rsidRPr="003C7592">
        <w:rPr>
          <w:lang w:val="en-GB"/>
        </w:rPr>
        <w:t xml:space="preserve">, the wife of Mr Mustafa </w:t>
      </w:r>
      <w:proofErr w:type="spellStart"/>
      <w:r w:rsidRPr="003C7592">
        <w:rPr>
          <w:lang w:val="en-GB"/>
        </w:rPr>
        <w:t>Reha</w:t>
      </w:r>
      <w:proofErr w:type="spellEnd"/>
      <w:r w:rsidRPr="003C7592">
        <w:rPr>
          <w:lang w:val="en-GB"/>
        </w:rPr>
        <w:t xml:space="preserve"> </w:t>
      </w:r>
      <w:proofErr w:type="spellStart"/>
      <w:r w:rsidRPr="003C7592">
        <w:rPr>
          <w:lang w:val="en-GB"/>
        </w:rPr>
        <w:t>Küpçüoğlu</w:t>
      </w:r>
      <w:proofErr w:type="spellEnd"/>
      <w:r w:rsidRPr="003C7592">
        <w:rPr>
          <w:lang w:val="en-GB"/>
        </w:rPr>
        <w:t>, and Ms </w:t>
      </w:r>
      <w:proofErr w:type="spellStart"/>
      <w:r w:rsidRPr="003C7592">
        <w:rPr>
          <w:lang w:val="en-GB"/>
        </w:rPr>
        <w:t>Meltem</w:t>
      </w:r>
      <w:proofErr w:type="spellEnd"/>
      <w:r w:rsidRPr="003C7592">
        <w:rPr>
          <w:lang w:val="en-GB"/>
        </w:rPr>
        <w:t xml:space="preserve"> </w:t>
      </w:r>
      <w:proofErr w:type="spellStart"/>
      <w:r w:rsidRPr="003C7592">
        <w:rPr>
          <w:lang w:val="en-GB"/>
        </w:rPr>
        <w:t>Giz</w:t>
      </w:r>
      <w:proofErr w:type="spellEnd"/>
      <w:r w:rsidRPr="003C7592">
        <w:rPr>
          <w:lang w:val="en-GB"/>
        </w:rPr>
        <w:t xml:space="preserve"> </w:t>
      </w:r>
      <w:proofErr w:type="spellStart"/>
      <w:r w:rsidRPr="003C7592">
        <w:rPr>
          <w:lang w:val="en-GB"/>
        </w:rPr>
        <w:t>Çağlayaner</w:t>
      </w:r>
      <w:proofErr w:type="spellEnd"/>
      <w:r w:rsidRPr="003C7592">
        <w:rPr>
          <w:lang w:val="en-GB"/>
        </w:rPr>
        <w:t xml:space="preserve">, and Mr </w:t>
      </w:r>
      <w:proofErr w:type="spellStart"/>
      <w:r w:rsidRPr="003C7592">
        <w:rPr>
          <w:lang w:val="en-GB"/>
        </w:rPr>
        <w:t>Tansu</w:t>
      </w:r>
      <w:proofErr w:type="spellEnd"/>
      <w:r w:rsidRPr="003C7592">
        <w:rPr>
          <w:lang w:val="en-GB"/>
        </w:rPr>
        <w:t xml:space="preserve"> </w:t>
      </w:r>
      <w:proofErr w:type="spellStart"/>
      <w:r w:rsidRPr="003C7592">
        <w:rPr>
          <w:lang w:val="en-GB"/>
        </w:rPr>
        <w:t>Giz</w:t>
      </w:r>
      <w:proofErr w:type="spellEnd"/>
      <w:r w:rsidRPr="003C7592">
        <w:rPr>
          <w:lang w:val="en-GB"/>
        </w:rPr>
        <w:t>, the daughter and son of Ms </w:t>
      </w:r>
      <w:proofErr w:type="spellStart"/>
      <w:r w:rsidRPr="003C7592">
        <w:rPr>
          <w:lang w:val="en-GB"/>
        </w:rPr>
        <w:t>Hatice</w:t>
      </w:r>
      <w:proofErr w:type="spellEnd"/>
      <w:r w:rsidRPr="003C7592">
        <w:rPr>
          <w:lang w:val="en-GB"/>
        </w:rPr>
        <w:t xml:space="preserve"> </w:t>
      </w:r>
      <w:proofErr w:type="spellStart"/>
      <w:r w:rsidRPr="003C7592">
        <w:rPr>
          <w:lang w:val="en-GB"/>
        </w:rPr>
        <w:t>Füsun</w:t>
      </w:r>
      <w:proofErr w:type="spellEnd"/>
      <w:r w:rsidRPr="003C7592">
        <w:rPr>
          <w:lang w:val="en-GB"/>
        </w:rPr>
        <w:t xml:space="preserve"> </w:t>
      </w:r>
      <w:proofErr w:type="spellStart"/>
      <w:r w:rsidRPr="003C7592">
        <w:rPr>
          <w:lang w:val="en-GB"/>
        </w:rPr>
        <w:t>Giz</w:t>
      </w:r>
      <w:proofErr w:type="spellEnd"/>
      <w:r w:rsidRPr="003C7592">
        <w:rPr>
          <w:lang w:val="en-GB"/>
        </w:rPr>
        <w:t>, wished to pursue the proceedings before the Court in the applicants</w:t>
      </w:r>
      <w:r w:rsidRPr="003C7592" w:rsidR="003C7592">
        <w:rPr>
          <w:lang w:val="en-GB"/>
        </w:rPr>
        <w:t>’</w:t>
      </w:r>
      <w:r w:rsidRPr="003C7592">
        <w:rPr>
          <w:lang w:val="en-GB"/>
        </w:rPr>
        <w:t xml:space="preserve"> stead. He </w:t>
      </w:r>
      <w:r w:rsidRPr="003C7592">
        <w:rPr>
          <w:snapToGrid w:val="0"/>
          <w:lang w:val="en-GB"/>
        </w:rPr>
        <w:t xml:space="preserve">also sent by fax domestic court decisions certifying that </w:t>
      </w:r>
      <w:r w:rsidRPr="003C7592">
        <w:rPr>
          <w:lang w:val="en-GB"/>
        </w:rPr>
        <w:t xml:space="preserve">Ms </w:t>
      </w:r>
      <w:proofErr w:type="spellStart"/>
      <w:r w:rsidRPr="003C7592">
        <w:rPr>
          <w:lang w:val="en-GB"/>
        </w:rPr>
        <w:t>Birgül</w:t>
      </w:r>
      <w:proofErr w:type="spellEnd"/>
      <w:r w:rsidRPr="003C7592">
        <w:rPr>
          <w:lang w:val="en-GB"/>
        </w:rPr>
        <w:t xml:space="preserve"> </w:t>
      </w:r>
      <w:proofErr w:type="spellStart"/>
      <w:r w:rsidRPr="003C7592">
        <w:rPr>
          <w:lang w:val="en-GB"/>
        </w:rPr>
        <w:t>Küpçüoğlu</w:t>
      </w:r>
      <w:proofErr w:type="spellEnd"/>
      <w:r w:rsidRPr="003C7592">
        <w:rPr>
          <w:lang w:val="en-GB"/>
        </w:rPr>
        <w:t xml:space="preserve"> was the heir of Mr Mustafa </w:t>
      </w:r>
      <w:proofErr w:type="spellStart"/>
      <w:r w:rsidRPr="003C7592">
        <w:rPr>
          <w:lang w:val="en-GB"/>
        </w:rPr>
        <w:t>Reha</w:t>
      </w:r>
      <w:proofErr w:type="spellEnd"/>
      <w:r w:rsidRPr="003C7592">
        <w:rPr>
          <w:lang w:val="en-GB"/>
        </w:rPr>
        <w:t xml:space="preserve"> </w:t>
      </w:r>
      <w:proofErr w:type="spellStart"/>
      <w:r w:rsidRPr="003C7592">
        <w:rPr>
          <w:lang w:val="en-GB"/>
        </w:rPr>
        <w:t>Küpçüoğlu</w:t>
      </w:r>
      <w:proofErr w:type="spellEnd"/>
      <w:r w:rsidRPr="003C7592">
        <w:rPr>
          <w:lang w:val="en-GB"/>
        </w:rPr>
        <w:t xml:space="preserve"> and that Ms </w:t>
      </w:r>
      <w:proofErr w:type="spellStart"/>
      <w:r w:rsidRPr="003C7592">
        <w:rPr>
          <w:lang w:val="en-GB"/>
        </w:rPr>
        <w:t>Meltem</w:t>
      </w:r>
      <w:proofErr w:type="spellEnd"/>
      <w:r w:rsidRPr="003C7592">
        <w:rPr>
          <w:lang w:val="en-GB"/>
        </w:rPr>
        <w:t> </w:t>
      </w:r>
      <w:proofErr w:type="spellStart"/>
      <w:r w:rsidRPr="003C7592">
        <w:rPr>
          <w:lang w:val="en-GB"/>
        </w:rPr>
        <w:t>Giz</w:t>
      </w:r>
      <w:proofErr w:type="spellEnd"/>
      <w:r w:rsidRPr="003C7592">
        <w:rPr>
          <w:lang w:val="en-GB"/>
        </w:rPr>
        <w:t> </w:t>
      </w:r>
      <w:proofErr w:type="spellStart"/>
      <w:r w:rsidRPr="003C7592">
        <w:rPr>
          <w:lang w:val="en-GB"/>
        </w:rPr>
        <w:t>Çağlayaner</w:t>
      </w:r>
      <w:proofErr w:type="spellEnd"/>
      <w:r w:rsidRPr="003C7592">
        <w:rPr>
          <w:lang w:val="en-GB"/>
        </w:rPr>
        <w:t xml:space="preserve"> and Mr </w:t>
      </w:r>
      <w:proofErr w:type="spellStart"/>
      <w:r w:rsidRPr="003C7592">
        <w:rPr>
          <w:lang w:val="en-GB"/>
        </w:rPr>
        <w:t>Tansu</w:t>
      </w:r>
      <w:proofErr w:type="spellEnd"/>
      <w:r w:rsidRPr="003C7592">
        <w:rPr>
          <w:lang w:val="en-GB"/>
        </w:rPr>
        <w:t xml:space="preserve"> </w:t>
      </w:r>
      <w:proofErr w:type="spellStart"/>
      <w:r w:rsidRPr="003C7592">
        <w:rPr>
          <w:lang w:val="en-GB"/>
        </w:rPr>
        <w:t>Giz</w:t>
      </w:r>
      <w:proofErr w:type="spellEnd"/>
      <w:r w:rsidRPr="003C7592">
        <w:rPr>
          <w:lang w:val="en-GB"/>
        </w:rPr>
        <w:t xml:space="preserve"> were the heirs of Ms </w:t>
      </w:r>
      <w:proofErr w:type="spellStart"/>
      <w:r w:rsidRPr="003C7592">
        <w:rPr>
          <w:lang w:val="en-GB"/>
        </w:rPr>
        <w:t>Hatice</w:t>
      </w:r>
      <w:proofErr w:type="spellEnd"/>
      <w:r w:rsidRPr="003C7592">
        <w:rPr>
          <w:lang w:val="en-GB"/>
        </w:rPr>
        <w:t> </w:t>
      </w:r>
      <w:proofErr w:type="spellStart"/>
      <w:r w:rsidRPr="003C7592">
        <w:rPr>
          <w:lang w:val="en-GB"/>
        </w:rPr>
        <w:t>Füsun</w:t>
      </w:r>
      <w:proofErr w:type="spellEnd"/>
      <w:r w:rsidRPr="003C7592">
        <w:rPr>
          <w:lang w:val="en-GB"/>
        </w:rPr>
        <w:t xml:space="preserve"> </w:t>
      </w:r>
      <w:proofErr w:type="spellStart"/>
      <w:r w:rsidRPr="003C7592">
        <w:rPr>
          <w:lang w:val="en-GB"/>
        </w:rPr>
        <w:t>Giz</w:t>
      </w:r>
      <w:proofErr w:type="spellEnd"/>
      <w:r w:rsidRPr="003C7592">
        <w:rPr>
          <w:lang w:val="en-GB"/>
        </w:rPr>
        <w:t>, together with their authority form for legal representation signed by them.</w:t>
      </w:r>
    </w:p>
    <w:p w:rsidRPr="003C7592" w:rsidR="00354248" w:rsidP="003C7592" w:rsidRDefault="00354248">
      <w:pPr>
        <w:pStyle w:val="ECHRPara"/>
        <w:rPr>
          <w:snapToGrid w:val="0"/>
          <w:lang w:val="en-GB"/>
        </w:rPr>
      </w:pPr>
      <w:r w:rsidRPr="003C7592">
        <w:rPr>
          <w:snapToGrid w:val="0"/>
          <w:lang w:val="en-GB"/>
        </w:rPr>
        <w:t xml:space="preserve">35.  By its letter dated </w:t>
      </w:r>
      <w:r w:rsidRPr="003C7592">
        <w:rPr>
          <w:lang w:val="en-GB"/>
        </w:rPr>
        <w:t xml:space="preserve">10 April 2018 the Court asked the representative to submit hard copies of the authority forms bearing the original signatures of Ms </w:t>
      </w:r>
      <w:proofErr w:type="spellStart"/>
      <w:r w:rsidRPr="003C7592">
        <w:rPr>
          <w:lang w:val="en-GB"/>
        </w:rPr>
        <w:t>Birgül</w:t>
      </w:r>
      <w:proofErr w:type="spellEnd"/>
      <w:r w:rsidRPr="003C7592">
        <w:rPr>
          <w:lang w:val="en-GB"/>
        </w:rPr>
        <w:t xml:space="preserve"> </w:t>
      </w:r>
      <w:proofErr w:type="spellStart"/>
      <w:r w:rsidRPr="003C7592">
        <w:rPr>
          <w:lang w:val="en-GB"/>
        </w:rPr>
        <w:t>Küpçüoğlu</w:t>
      </w:r>
      <w:proofErr w:type="spellEnd"/>
      <w:r w:rsidRPr="003C7592">
        <w:rPr>
          <w:lang w:val="en-GB"/>
        </w:rPr>
        <w:t xml:space="preserve">, Ms </w:t>
      </w:r>
      <w:proofErr w:type="spellStart"/>
      <w:r w:rsidRPr="003C7592">
        <w:rPr>
          <w:lang w:val="en-GB"/>
        </w:rPr>
        <w:t>Meltem</w:t>
      </w:r>
      <w:proofErr w:type="spellEnd"/>
      <w:r w:rsidRPr="003C7592">
        <w:rPr>
          <w:lang w:val="en-GB"/>
        </w:rPr>
        <w:t xml:space="preserve"> </w:t>
      </w:r>
      <w:proofErr w:type="spellStart"/>
      <w:r w:rsidRPr="003C7592">
        <w:rPr>
          <w:lang w:val="en-GB"/>
        </w:rPr>
        <w:t>Giz</w:t>
      </w:r>
      <w:proofErr w:type="spellEnd"/>
      <w:r w:rsidRPr="003C7592">
        <w:rPr>
          <w:lang w:val="en-GB"/>
        </w:rPr>
        <w:t xml:space="preserve"> </w:t>
      </w:r>
      <w:proofErr w:type="spellStart"/>
      <w:r w:rsidRPr="003C7592">
        <w:rPr>
          <w:lang w:val="en-GB"/>
        </w:rPr>
        <w:t>Çağlayaner</w:t>
      </w:r>
      <w:proofErr w:type="spellEnd"/>
      <w:r w:rsidRPr="003C7592">
        <w:rPr>
          <w:lang w:val="en-GB"/>
        </w:rPr>
        <w:t xml:space="preserve"> and Mr </w:t>
      </w:r>
      <w:proofErr w:type="spellStart"/>
      <w:r w:rsidRPr="003C7592">
        <w:rPr>
          <w:lang w:val="en-GB"/>
        </w:rPr>
        <w:t>Tansu</w:t>
      </w:r>
      <w:proofErr w:type="spellEnd"/>
      <w:r w:rsidRPr="003C7592">
        <w:rPr>
          <w:lang w:val="en-GB"/>
        </w:rPr>
        <w:t xml:space="preserve"> </w:t>
      </w:r>
      <w:proofErr w:type="spellStart"/>
      <w:r w:rsidRPr="003C7592">
        <w:rPr>
          <w:lang w:val="en-GB"/>
        </w:rPr>
        <w:t>Giz</w:t>
      </w:r>
      <w:proofErr w:type="spellEnd"/>
      <w:r w:rsidRPr="003C7592">
        <w:rPr>
          <w:snapToGrid w:val="0"/>
          <w:lang w:val="en-GB"/>
        </w:rPr>
        <w:t>.</w:t>
      </w:r>
    </w:p>
    <w:p w:rsidRPr="003C7592" w:rsidR="00354248" w:rsidP="003C7592" w:rsidRDefault="00354248">
      <w:pPr>
        <w:pStyle w:val="ECHRPara"/>
        <w:rPr>
          <w:snapToGrid w:val="0"/>
          <w:lang w:val="en-GB"/>
        </w:rPr>
      </w:pPr>
      <w:r w:rsidRPr="003C7592">
        <w:rPr>
          <w:snapToGrid w:val="0"/>
          <w:lang w:val="en-GB"/>
        </w:rPr>
        <w:t xml:space="preserve">36.  The representative submitted on 25 June 2018 the original authority forms signed by </w:t>
      </w:r>
      <w:r w:rsidRPr="003C7592">
        <w:rPr>
          <w:lang w:val="en-GB"/>
        </w:rPr>
        <w:t xml:space="preserve">Ms </w:t>
      </w:r>
      <w:proofErr w:type="spellStart"/>
      <w:r w:rsidRPr="003C7592">
        <w:rPr>
          <w:lang w:val="en-GB"/>
        </w:rPr>
        <w:t>Meltem</w:t>
      </w:r>
      <w:proofErr w:type="spellEnd"/>
      <w:r w:rsidRPr="003C7592">
        <w:rPr>
          <w:lang w:val="en-GB"/>
        </w:rPr>
        <w:t xml:space="preserve"> </w:t>
      </w:r>
      <w:proofErr w:type="spellStart"/>
      <w:r w:rsidRPr="003C7592">
        <w:rPr>
          <w:lang w:val="en-GB"/>
        </w:rPr>
        <w:t>Giz</w:t>
      </w:r>
      <w:proofErr w:type="spellEnd"/>
      <w:r w:rsidRPr="003C7592">
        <w:rPr>
          <w:lang w:val="en-GB"/>
        </w:rPr>
        <w:t xml:space="preserve"> </w:t>
      </w:r>
      <w:proofErr w:type="spellStart"/>
      <w:r w:rsidRPr="003C7592">
        <w:rPr>
          <w:lang w:val="en-GB"/>
        </w:rPr>
        <w:t>Çağlayaner</w:t>
      </w:r>
      <w:proofErr w:type="spellEnd"/>
      <w:r w:rsidRPr="003C7592">
        <w:rPr>
          <w:lang w:val="en-GB"/>
        </w:rPr>
        <w:t xml:space="preserve"> and Mr </w:t>
      </w:r>
      <w:proofErr w:type="spellStart"/>
      <w:r w:rsidRPr="003C7592">
        <w:rPr>
          <w:lang w:val="en-GB"/>
        </w:rPr>
        <w:t>Tansu</w:t>
      </w:r>
      <w:proofErr w:type="spellEnd"/>
      <w:r w:rsidRPr="003C7592">
        <w:rPr>
          <w:lang w:val="en-GB"/>
        </w:rPr>
        <w:t xml:space="preserve"> </w:t>
      </w:r>
      <w:proofErr w:type="spellStart"/>
      <w:r w:rsidRPr="003C7592">
        <w:rPr>
          <w:lang w:val="en-GB"/>
        </w:rPr>
        <w:t>Giz</w:t>
      </w:r>
      <w:proofErr w:type="spellEnd"/>
      <w:r w:rsidRPr="003C7592">
        <w:rPr>
          <w:lang w:val="en-GB"/>
        </w:rPr>
        <w:t xml:space="preserve">. Subsequently, he submitted on 24 October 2018 the original authority form signed by Ms </w:t>
      </w:r>
      <w:proofErr w:type="spellStart"/>
      <w:r w:rsidRPr="003C7592">
        <w:rPr>
          <w:lang w:val="en-GB"/>
        </w:rPr>
        <w:t>Birgül</w:t>
      </w:r>
      <w:proofErr w:type="spellEnd"/>
      <w:r w:rsidRPr="003C7592">
        <w:rPr>
          <w:lang w:val="en-GB"/>
        </w:rPr>
        <w:t xml:space="preserve"> </w:t>
      </w:r>
      <w:proofErr w:type="spellStart"/>
      <w:r w:rsidRPr="003C7592">
        <w:rPr>
          <w:lang w:val="en-GB"/>
        </w:rPr>
        <w:t>Küpçüoğlu</w:t>
      </w:r>
      <w:proofErr w:type="spellEnd"/>
      <w:r w:rsidRPr="003C7592">
        <w:rPr>
          <w:lang w:val="en-GB"/>
        </w:rPr>
        <w:t>.</w:t>
      </w:r>
    </w:p>
    <w:p w:rsidRPr="003C7592" w:rsidR="00354248" w:rsidP="003C7592" w:rsidRDefault="00354248">
      <w:pPr>
        <w:pStyle w:val="ECHRPara"/>
        <w:rPr>
          <w:snapToGrid w:val="0"/>
          <w:lang w:val="en-GB"/>
        </w:rPr>
      </w:pPr>
      <w:r w:rsidRPr="003C7592">
        <w:rPr>
          <w:lang w:val="en-GB"/>
        </w:rPr>
        <w:t xml:space="preserve">37.  The Court reiterates that where an applicant dies during the examination of a case his heirs or next-of-kin may in principle pursue the application on his behalf (see </w:t>
      </w:r>
      <w:proofErr w:type="spellStart"/>
      <w:r w:rsidRPr="003C7592">
        <w:rPr>
          <w:i/>
          <w:lang w:val="en-GB"/>
        </w:rPr>
        <w:t>Ječius</w:t>
      </w:r>
      <w:proofErr w:type="spellEnd"/>
      <w:r w:rsidRPr="003C7592">
        <w:rPr>
          <w:i/>
          <w:lang w:val="en-GB"/>
        </w:rPr>
        <w:t xml:space="preserve"> v. Lithuania</w:t>
      </w:r>
      <w:r w:rsidRPr="003C7592">
        <w:rPr>
          <w:lang w:val="en-GB"/>
        </w:rPr>
        <w:t xml:space="preserve">, no. 34578/97, § 41, ECHR 2000-IX). Furthermore, in a similar case against Turkey, the Court recognised the right of the relative of the deceased applicant to pursue the application (see </w:t>
      </w:r>
      <w:r w:rsidRPr="003C7592">
        <w:rPr>
          <w:i/>
          <w:lang w:val="en-GB"/>
        </w:rPr>
        <w:t xml:space="preserve">Hayati </w:t>
      </w:r>
      <w:proofErr w:type="spellStart"/>
      <w:r w:rsidRPr="003C7592">
        <w:rPr>
          <w:i/>
          <w:lang w:val="en-GB"/>
        </w:rPr>
        <w:t>Çelebi</w:t>
      </w:r>
      <w:proofErr w:type="spellEnd"/>
      <w:r w:rsidRPr="003C7592">
        <w:rPr>
          <w:i/>
          <w:lang w:val="en-GB"/>
        </w:rPr>
        <w:t xml:space="preserve"> and Others</w:t>
      </w:r>
      <w:r w:rsidRPr="003C7592">
        <w:rPr>
          <w:lang w:val="en-GB"/>
        </w:rPr>
        <w:t>, cited above, § 48).</w:t>
      </w:r>
    </w:p>
    <w:p w:rsidRPr="003C7592" w:rsidR="00354248" w:rsidP="003C7592" w:rsidRDefault="00354248">
      <w:pPr>
        <w:pStyle w:val="ECHRPara"/>
        <w:rPr>
          <w:lang w:val="en-GB"/>
        </w:rPr>
      </w:pPr>
      <w:r w:rsidRPr="003C7592">
        <w:rPr>
          <w:lang w:val="en-GB"/>
        </w:rPr>
        <w:t xml:space="preserve">38.  Consequently, the Court holds that Ms </w:t>
      </w:r>
      <w:proofErr w:type="spellStart"/>
      <w:r w:rsidRPr="003C7592">
        <w:rPr>
          <w:lang w:val="en-GB"/>
        </w:rPr>
        <w:t>Birgül</w:t>
      </w:r>
      <w:proofErr w:type="spellEnd"/>
      <w:r w:rsidRPr="003C7592">
        <w:rPr>
          <w:lang w:val="en-GB"/>
        </w:rPr>
        <w:t xml:space="preserve"> </w:t>
      </w:r>
      <w:proofErr w:type="spellStart"/>
      <w:r w:rsidRPr="003C7592">
        <w:rPr>
          <w:lang w:val="en-GB"/>
        </w:rPr>
        <w:t>Küpçüoğlu</w:t>
      </w:r>
      <w:proofErr w:type="spellEnd"/>
      <w:r w:rsidRPr="003C7592">
        <w:rPr>
          <w:lang w:val="en-GB"/>
        </w:rPr>
        <w:t>, Ms </w:t>
      </w:r>
      <w:proofErr w:type="spellStart"/>
      <w:r w:rsidRPr="003C7592">
        <w:rPr>
          <w:lang w:val="en-GB"/>
        </w:rPr>
        <w:t>Meltem</w:t>
      </w:r>
      <w:proofErr w:type="spellEnd"/>
      <w:r w:rsidRPr="003C7592">
        <w:rPr>
          <w:lang w:val="en-GB"/>
        </w:rPr>
        <w:t> </w:t>
      </w:r>
      <w:proofErr w:type="spellStart"/>
      <w:r w:rsidRPr="003C7592">
        <w:rPr>
          <w:lang w:val="en-GB"/>
        </w:rPr>
        <w:t>Giz</w:t>
      </w:r>
      <w:proofErr w:type="spellEnd"/>
      <w:r w:rsidRPr="003C7592">
        <w:rPr>
          <w:lang w:val="en-GB"/>
        </w:rPr>
        <w:t> </w:t>
      </w:r>
      <w:proofErr w:type="spellStart"/>
      <w:r w:rsidRPr="003C7592">
        <w:rPr>
          <w:lang w:val="en-GB"/>
        </w:rPr>
        <w:t>Çağlayaner</w:t>
      </w:r>
      <w:proofErr w:type="spellEnd"/>
      <w:r w:rsidRPr="003C7592">
        <w:rPr>
          <w:lang w:val="en-GB"/>
        </w:rPr>
        <w:t xml:space="preserve"> and Mr </w:t>
      </w:r>
      <w:proofErr w:type="spellStart"/>
      <w:r w:rsidRPr="003C7592">
        <w:rPr>
          <w:lang w:val="en-GB"/>
        </w:rPr>
        <w:t>Tansu</w:t>
      </w:r>
      <w:proofErr w:type="spellEnd"/>
      <w:r w:rsidRPr="003C7592">
        <w:rPr>
          <w:lang w:val="en-GB"/>
        </w:rPr>
        <w:t xml:space="preserve"> </w:t>
      </w:r>
      <w:proofErr w:type="spellStart"/>
      <w:r w:rsidRPr="003C7592">
        <w:rPr>
          <w:lang w:val="en-GB"/>
        </w:rPr>
        <w:t>Giz</w:t>
      </w:r>
      <w:proofErr w:type="spellEnd"/>
      <w:r w:rsidRPr="003C7592">
        <w:rPr>
          <w:lang w:val="en-GB"/>
        </w:rPr>
        <w:t xml:space="preserve"> have standing to continue the present proceedings. For practical reasons, however, Mr Mustafa </w:t>
      </w:r>
      <w:proofErr w:type="spellStart"/>
      <w:r w:rsidRPr="003C7592">
        <w:rPr>
          <w:lang w:val="en-GB"/>
        </w:rPr>
        <w:t>Reha</w:t>
      </w:r>
      <w:proofErr w:type="spellEnd"/>
      <w:r w:rsidRPr="003C7592">
        <w:rPr>
          <w:lang w:val="en-GB"/>
        </w:rPr>
        <w:t xml:space="preserve"> </w:t>
      </w:r>
      <w:proofErr w:type="spellStart"/>
      <w:r w:rsidRPr="003C7592">
        <w:rPr>
          <w:lang w:val="en-GB"/>
        </w:rPr>
        <w:t>Küpçüoğlu</w:t>
      </w:r>
      <w:proofErr w:type="spellEnd"/>
      <w:r w:rsidRPr="003C7592">
        <w:rPr>
          <w:lang w:val="en-GB"/>
        </w:rPr>
        <w:t xml:space="preserve"> and Ms </w:t>
      </w:r>
      <w:proofErr w:type="spellStart"/>
      <w:r w:rsidRPr="003C7592">
        <w:rPr>
          <w:lang w:val="en-GB"/>
        </w:rPr>
        <w:t>Hatice</w:t>
      </w:r>
      <w:proofErr w:type="spellEnd"/>
      <w:r w:rsidRPr="003C7592">
        <w:rPr>
          <w:lang w:val="en-GB"/>
        </w:rPr>
        <w:t xml:space="preserve"> </w:t>
      </w:r>
      <w:proofErr w:type="spellStart"/>
      <w:r w:rsidRPr="003C7592">
        <w:rPr>
          <w:lang w:val="en-GB"/>
        </w:rPr>
        <w:t>Füsun</w:t>
      </w:r>
      <w:proofErr w:type="spellEnd"/>
      <w:r w:rsidRPr="003C7592">
        <w:rPr>
          <w:lang w:val="en-GB"/>
        </w:rPr>
        <w:t xml:space="preserve"> </w:t>
      </w:r>
      <w:proofErr w:type="spellStart"/>
      <w:r w:rsidRPr="003C7592">
        <w:rPr>
          <w:lang w:val="en-GB"/>
        </w:rPr>
        <w:t>Giz</w:t>
      </w:r>
      <w:proofErr w:type="spellEnd"/>
      <w:r w:rsidRPr="003C7592">
        <w:rPr>
          <w:lang w:val="en-GB"/>
        </w:rPr>
        <w:t xml:space="preserve"> will continue to be called as “applicants” in this judgment although Ms </w:t>
      </w:r>
      <w:proofErr w:type="spellStart"/>
      <w:r w:rsidRPr="003C7592">
        <w:rPr>
          <w:lang w:val="en-GB"/>
        </w:rPr>
        <w:t>Birgül</w:t>
      </w:r>
      <w:proofErr w:type="spellEnd"/>
      <w:r w:rsidRPr="003C7592">
        <w:rPr>
          <w:lang w:val="en-GB"/>
        </w:rPr>
        <w:t xml:space="preserve"> </w:t>
      </w:r>
      <w:proofErr w:type="spellStart"/>
      <w:r w:rsidRPr="003C7592">
        <w:rPr>
          <w:lang w:val="en-GB"/>
        </w:rPr>
        <w:t>Küpçüoğlu</w:t>
      </w:r>
      <w:proofErr w:type="spellEnd"/>
      <w:r w:rsidRPr="003C7592">
        <w:rPr>
          <w:lang w:val="en-GB"/>
        </w:rPr>
        <w:t xml:space="preserve">, Ms </w:t>
      </w:r>
      <w:proofErr w:type="spellStart"/>
      <w:r w:rsidRPr="003C7592">
        <w:rPr>
          <w:lang w:val="en-GB"/>
        </w:rPr>
        <w:t>Meltem</w:t>
      </w:r>
      <w:proofErr w:type="spellEnd"/>
      <w:r w:rsidRPr="003C7592">
        <w:rPr>
          <w:lang w:val="en-GB"/>
        </w:rPr>
        <w:t xml:space="preserve"> </w:t>
      </w:r>
      <w:proofErr w:type="spellStart"/>
      <w:r w:rsidRPr="003C7592">
        <w:rPr>
          <w:lang w:val="en-GB"/>
        </w:rPr>
        <w:t>Giz</w:t>
      </w:r>
      <w:proofErr w:type="spellEnd"/>
      <w:r w:rsidRPr="003C7592">
        <w:rPr>
          <w:lang w:val="en-GB"/>
        </w:rPr>
        <w:t xml:space="preserve"> </w:t>
      </w:r>
      <w:r w:rsidRPr="003C7592">
        <w:rPr>
          <w:lang w:val="tr-TR"/>
        </w:rPr>
        <w:t>Ç</w:t>
      </w:r>
      <w:proofErr w:type="spellStart"/>
      <w:r w:rsidRPr="003C7592">
        <w:rPr>
          <w:lang w:val="en-GB"/>
        </w:rPr>
        <w:t>ağlayaner</w:t>
      </w:r>
      <w:proofErr w:type="spellEnd"/>
      <w:r w:rsidRPr="003C7592">
        <w:rPr>
          <w:lang w:val="tr-TR"/>
        </w:rPr>
        <w:t xml:space="preserve"> </w:t>
      </w:r>
      <w:r w:rsidRPr="003C7592">
        <w:rPr>
          <w:lang w:val="en-GB"/>
        </w:rPr>
        <w:t xml:space="preserve">and Mr </w:t>
      </w:r>
      <w:proofErr w:type="spellStart"/>
      <w:r w:rsidRPr="003C7592">
        <w:rPr>
          <w:lang w:val="en-GB"/>
        </w:rPr>
        <w:t>Tansu</w:t>
      </w:r>
      <w:proofErr w:type="spellEnd"/>
      <w:r w:rsidRPr="003C7592">
        <w:rPr>
          <w:lang w:val="en-GB"/>
        </w:rPr>
        <w:t xml:space="preserve"> </w:t>
      </w:r>
      <w:proofErr w:type="spellStart"/>
      <w:r w:rsidRPr="003C7592">
        <w:rPr>
          <w:lang w:val="en-GB"/>
        </w:rPr>
        <w:t>Giz</w:t>
      </w:r>
      <w:proofErr w:type="spellEnd"/>
      <w:r w:rsidRPr="003C7592">
        <w:rPr>
          <w:lang w:val="en-GB"/>
        </w:rPr>
        <w:t xml:space="preserve"> are now to be regarded as such (see </w:t>
      </w:r>
      <w:proofErr w:type="spellStart"/>
      <w:r w:rsidRPr="003C7592">
        <w:rPr>
          <w:i/>
          <w:lang w:val="en-GB"/>
        </w:rPr>
        <w:t>Dalban</w:t>
      </w:r>
      <w:proofErr w:type="spellEnd"/>
      <w:r w:rsidRPr="003C7592">
        <w:rPr>
          <w:i/>
          <w:lang w:val="en-GB"/>
        </w:rPr>
        <w:t xml:space="preserve"> v. Romania</w:t>
      </w:r>
      <w:r w:rsidRPr="003C7592">
        <w:rPr>
          <w:lang w:val="en-GB"/>
        </w:rPr>
        <w:t xml:space="preserve"> [GC], no. 28114/95, § 1, ECHR 1999</w:t>
      </w:r>
      <w:r w:rsidRPr="003C7592">
        <w:rPr>
          <w:lang w:val="en-GB"/>
        </w:rPr>
        <w:noBreakHyphen/>
        <w:t xml:space="preserve">VI, and </w:t>
      </w:r>
      <w:proofErr w:type="spellStart"/>
      <w:r w:rsidRPr="003C7592" w:rsidR="00044A0D">
        <w:rPr>
          <w:i/>
          <w:lang w:val="en-GB"/>
        </w:rPr>
        <w:t>Çakar</w:t>
      </w:r>
      <w:proofErr w:type="spellEnd"/>
      <w:r w:rsidRPr="003C7592" w:rsidR="00044A0D">
        <w:rPr>
          <w:i/>
          <w:lang w:val="en-GB"/>
        </w:rPr>
        <w:t xml:space="preserve"> v. </w:t>
      </w:r>
      <w:r w:rsidRPr="003C7592">
        <w:rPr>
          <w:i/>
          <w:lang w:val="en-GB"/>
        </w:rPr>
        <w:t>Turkey</w:t>
      </w:r>
      <w:r w:rsidRPr="003C7592">
        <w:rPr>
          <w:lang w:val="en-GB"/>
        </w:rPr>
        <w:t>, no. 42741/98, § 2, 23 October 2003).</w:t>
      </w:r>
    </w:p>
    <w:p w:rsidRPr="003C7592" w:rsidR="00354248" w:rsidP="003C7592" w:rsidRDefault="00354248">
      <w:pPr>
        <w:pStyle w:val="ECHRHeading2"/>
        <w:rPr>
          <w:lang w:val="en-GB"/>
        </w:rPr>
      </w:pPr>
      <w:r w:rsidRPr="003C7592">
        <w:rPr>
          <w:lang w:val="en-GB"/>
        </w:rPr>
        <w:t xml:space="preserve">B.  As regards the applicant Ms </w:t>
      </w:r>
      <w:proofErr w:type="spellStart"/>
      <w:r w:rsidRPr="003C7592">
        <w:rPr>
          <w:lang w:val="en-GB"/>
        </w:rPr>
        <w:t>Nevzer</w:t>
      </w:r>
      <w:proofErr w:type="spellEnd"/>
      <w:r w:rsidRPr="003C7592">
        <w:rPr>
          <w:lang w:val="en-GB"/>
        </w:rPr>
        <w:t xml:space="preserve"> </w:t>
      </w:r>
      <w:proofErr w:type="spellStart"/>
      <w:r w:rsidRPr="003C7592">
        <w:rPr>
          <w:lang w:val="en-GB"/>
        </w:rPr>
        <w:t>Zorlu</w:t>
      </w:r>
      <w:proofErr w:type="spellEnd"/>
    </w:p>
    <w:p w:rsidRPr="003C7592" w:rsidR="00354248" w:rsidP="003C7592" w:rsidRDefault="00354248">
      <w:pPr>
        <w:pStyle w:val="ECHRPara"/>
        <w:rPr>
          <w:lang w:val="en-GB"/>
        </w:rPr>
      </w:pPr>
      <w:r w:rsidRPr="003C7592">
        <w:rPr>
          <w:lang w:val="en-GB"/>
        </w:rPr>
        <w:t>39.  The Court first notes that the Government raised a plea of non</w:t>
      </w:r>
      <w:r w:rsidRPr="003C7592">
        <w:rPr>
          <w:lang w:val="en-GB"/>
        </w:rPr>
        <w:noBreakHyphen/>
        <w:t xml:space="preserve">exhaustion in respect of Ms </w:t>
      </w:r>
      <w:proofErr w:type="spellStart"/>
      <w:r w:rsidRPr="003C7592">
        <w:rPr>
          <w:lang w:val="en-GB"/>
        </w:rPr>
        <w:t>Zorlu</w:t>
      </w:r>
      <w:proofErr w:type="spellEnd"/>
      <w:r w:rsidRPr="003C7592">
        <w:rPr>
          <w:lang w:val="en-GB"/>
        </w:rPr>
        <w:t xml:space="preserve"> on account of her failure to request a rectification of the Court of Cassation</w:t>
      </w:r>
      <w:r w:rsidRPr="003C7592" w:rsidR="003C7592">
        <w:rPr>
          <w:lang w:val="en-GB"/>
        </w:rPr>
        <w:t>’</w:t>
      </w:r>
      <w:r w:rsidRPr="003C7592">
        <w:rPr>
          <w:lang w:val="en-GB"/>
        </w:rPr>
        <w:t>s decision on appeal. The applicant contested this argument by submitting that an application for rectification is not an effective remedy according to the Court</w:t>
      </w:r>
      <w:r w:rsidRPr="003C7592" w:rsidR="003C7592">
        <w:rPr>
          <w:lang w:val="en-GB"/>
        </w:rPr>
        <w:t>’</w:t>
      </w:r>
      <w:r w:rsidRPr="003C7592">
        <w:rPr>
          <w:lang w:val="en-GB"/>
        </w:rPr>
        <w:t>s relevant case-law and in any case the applications made by other applicants had not yielded any positive results.</w:t>
      </w:r>
    </w:p>
    <w:p w:rsidRPr="003C7592" w:rsidR="00354248" w:rsidP="003C7592" w:rsidRDefault="00354248">
      <w:pPr>
        <w:pStyle w:val="ECHRPara"/>
        <w:rPr>
          <w:lang w:val="en-GB"/>
        </w:rPr>
      </w:pPr>
      <w:r w:rsidRPr="003C7592">
        <w:rPr>
          <w:lang w:val="en-GB"/>
        </w:rPr>
        <w:t>40.  The Court does not find it necessary to examine the Government</w:t>
      </w:r>
      <w:r w:rsidRPr="003C7592" w:rsidR="003C7592">
        <w:rPr>
          <w:lang w:val="en-GB"/>
        </w:rPr>
        <w:t>’</w:t>
      </w:r>
      <w:r w:rsidRPr="003C7592">
        <w:rPr>
          <w:lang w:val="en-GB"/>
        </w:rPr>
        <w:t>s preliminary objection concerning the applicant</w:t>
      </w:r>
      <w:r w:rsidRPr="003C7592" w:rsidR="003C7592">
        <w:rPr>
          <w:lang w:val="en-GB"/>
        </w:rPr>
        <w:t>’</w:t>
      </w:r>
      <w:r w:rsidRPr="003C7592">
        <w:rPr>
          <w:lang w:val="en-GB"/>
        </w:rPr>
        <w:t xml:space="preserve">s failure to exhaust domestic remedies, since the application of Ms </w:t>
      </w:r>
      <w:proofErr w:type="spellStart"/>
      <w:r w:rsidRPr="003C7592">
        <w:rPr>
          <w:lang w:val="en-GB"/>
        </w:rPr>
        <w:t>Zorlu</w:t>
      </w:r>
      <w:proofErr w:type="spellEnd"/>
      <w:r w:rsidRPr="003C7592">
        <w:rPr>
          <w:lang w:val="en-GB"/>
        </w:rPr>
        <w:t xml:space="preserve"> is in any event inadmissible for reasons set out below.</w:t>
      </w:r>
    </w:p>
    <w:p w:rsidRPr="003C7592" w:rsidR="00354248" w:rsidP="003C7592" w:rsidRDefault="00354248">
      <w:pPr>
        <w:pStyle w:val="ECHRPara"/>
        <w:rPr>
          <w:lang w:val="en-GB"/>
        </w:rPr>
      </w:pPr>
      <w:r w:rsidRPr="003C7592">
        <w:rPr>
          <w:lang w:val="en-GB"/>
        </w:rPr>
        <w:t>41.  On 10 April 2018 the applicants</w:t>
      </w:r>
      <w:r w:rsidRPr="003C7592" w:rsidR="003C7592">
        <w:rPr>
          <w:lang w:val="en-GB"/>
        </w:rPr>
        <w:t>’</w:t>
      </w:r>
      <w:r w:rsidRPr="003C7592">
        <w:rPr>
          <w:lang w:val="en-GB"/>
        </w:rPr>
        <w:t xml:space="preserve"> representative was also asked to provide the Court with an authority form duly signed by Ms </w:t>
      </w:r>
      <w:proofErr w:type="spellStart"/>
      <w:r w:rsidRPr="003C7592">
        <w:rPr>
          <w:lang w:val="en-GB"/>
        </w:rPr>
        <w:t>Zorlu</w:t>
      </w:r>
      <w:proofErr w:type="spellEnd"/>
      <w:r w:rsidRPr="003C7592">
        <w:rPr>
          <w:lang w:val="en-GB"/>
        </w:rPr>
        <w:t xml:space="preserve"> since the power of attorney purported to be submitted together with her application was missing from the case file. On 24 October 2018 the representative informed the Court that he was unable to establish any communication with Ms </w:t>
      </w:r>
      <w:proofErr w:type="spellStart"/>
      <w:r w:rsidRPr="003C7592">
        <w:rPr>
          <w:lang w:val="en-GB"/>
        </w:rPr>
        <w:t>Zorlu</w:t>
      </w:r>
      <w:proofErr w:type="spellEnd"/>
      <w:r w:rsidRPr="003C7592">
        <w:rPr>
          <w:lang w:val="en-GB"/>
        </w:rPr>
        <w:t xml:space="preserve"> and therefore could not submit a power of attorney or an authority form for legal representation signed by her.</w:t>
      </w:r>
    </w:p>
    <w:p w:rsidRPr="003C7592" w:rsidR="00354248" w:rsidP="003C7592" w:rsidRDefault="00354248">
      <w:pPr>
        <w:pStyle w:val="ECHRPara"/>
        <w:rPr>
          <w:lang w:val="en-GB"/>
        </w:rPr>
      </w:pPr>
      <w:r w:rsidRPr="003C7592">
        <w:rPr>
          <w:lang w:val="en-GB"/>
        </w:rPr>
        <w:t xml:space="preserve">42.   The Court considers it essential for representatives to demonstrate that they have received specific and explicit instructions from the alleged victim within the meaning of Article 34 of the Convention on whose behalf they purport to act (see </w:t>
      </w:r>
      <w:r w:rsidRPr="003C7592">
        <w:rPr>
          <w:i/>
          <w:lang w:val="en-GB"/>
        </w:rPr>
        <w:t>Post v. the Netherlands</w:t>
      </w:r>
      <w:r w:rsidRPr="003C7592" w:rsidR="00044A0D">
        <w:rPr>
          <w:lang w:val="en-GB"/>
        </w:rPr>
        <w:t xml:space="preserve"> (</w:t>
      </w:r>
      <w:proofErr w:type="spellStart"/>
      <w:r w:rsidRPr="003C7592" w:rsidR="00044A0D">
        <w:rPr>
          <w:lang w:val="en-GB"/>
        </w:rPr>
        <w:t>dec.</w:t>
      </w:r>
      <w:proofErr w:type="spellEnd"/>
      <w:r w:rsidRPr="003C7592" w:rsidR="00044A0D">
        <w:rPr>
          <w:lang w:val="en-GB"/>
        </w:rPr>
        <w:t>), no. 21727/08, 20 </w:t>
      </w:r>
      <w:r w:rsidRPr="003C7592">
        <w:rPr>
          <w:lang w:val="en-GB"/>
        </w:rPr>
        <w:t>January 2009).</w:t>
      </w:r>
    </w:p>
    <w:p w:rsidRPr="003C7592" w:rsidR="00354248" w:rsidP="003C7592" w:rsidRDefault="00354248">
      <w:pPr>
        <w:pStyle w:val="ECHRPara"/>
        <w:rPr>
          <w:lang w:val="en-GB"/>
        </w:rPr>
      </w:pPr>
      <w:r w:rsidRPr="003C7592">
        <w:rPr>
          <w:lang w:val="en-GB"/>
        </w:rPr>
        <w:t xml:space="preserve">43.  In the present case the file contains no document in which the applicant has indicated that she wished Mr E. </w:t>
      </w:r>
      <w:proofErr w:type="spellStart"/>
      <w:r w:rsidRPr="003C7592">
        <w:rPr>
          <w:lang w:val="en-GB"/>
        </w:rPr>
        <w:t>Cinmen</w:t>
      </w:r>
      <w:proofErr w:type="spellEnd"/>
      <w:r w:rsidRPr="003C7592">
        <w:rPr>
          <w:lang w:val="en-GB"/>
        </w:rPr>
        <w:t xml:space="preserve"> to lodge an application with the Court on her behalf. The applicant has never been in contact with the Court directly either.</w:t>
      </w:r>
    </w:p>
    <w:p w:rsidRPr="003C7592" w:rsidR="00354248" w:rsidP="003C7592" w:rsidRDefault="00354248">
      <w:pPr>
        <w:pStyle w:val="ECHRPara"/>
        <w:rPr>
          <w:lang w:val="en-GB"/>
        </w:rPr>
      </w:pPr>
      <w:r w:rsidRPr="003C7592">
        <w:rPr>
          <w:lang w:val="en-GB"/>
        </w:rPr>
        <w:t xml:space="preserve">44.  Consequently, in the circumstances of the case, this part of the application, in so far as it concerns Ms </w:t>
      </w:r>
      <w:proofErr w:type="spellStart"/>
      <w:r w:rsidRPr="003C7592">
        <w:rPr>
          <w:lang w:val="en-GB"/>
        </w:rPr>
        <w:t>Zorlu</w:t>
      </w:r>
      <w:proofErr w:type="spellEnd"/>
      <w:r w:rsidRPr="003C7592">
        <w:rPr>
          <w:lang w:val="en-GB"/>
        </w:rPr>
        <w:t>, must be rejected for want of an “applicant” for the purposes of Article 34 of the Convention and be declared inadmissible as incompatible </w:t>
      </w:r>
      <w:proofErr w:type="spellStart"/>
      <w:r w:rsidRPr="003C7592">
        <w:rPr>
          <w:i/>
          <w:lang w:val="en-GB"/>
        </w:rPr>
        <w:t>ratione</w:t>
      </w:r>
      <w:proofErr w:type="spellEnd"/>
      <w:r w:rsidRPr="003C7592">
        <w:rPr>
          <w:i/>
          <w:lang w:val="en-GB"/>
        </w:rPr>
        <w:t xml:space="preserve"> personae</w:t>
      </w:r>
      <w:r w:rsidRPr="003C7592">
        <w:rPr>
          <w:lang w:val="en-GB"/>
        </w:rPr>
        <w:t xml:space="preserve">, pursuant to Article 35 §§ 3 and 4 of the Convention (see </w:t>
      </w:r>
      <w:proofErr w:type="spellStart"/>
      <w:r w:rsidRPr="003C7592">
        <w:rPr>
          <w:i/>
          <w:lang w:val="en-GB"/>
        </w:rPr>
        <w:t>Çetin</w:t>
      </w:r>
      <w:proofErr w:type="spellEnd"/>
      <w:r w:rsidRPr="003C7592">
        <w:rPr>
          <w:i/>
          <w:lang w:val="en-GB"/>
        </w:rPr>
        <w:t xml:space="preserve"> v. Turkey</w:t>
      </w:r>
      <w:r w:rsidRPr="003C7592">
        <w:rPr>
          <w:lang w:val="en-GB"/>
        </w:rPr>
        <w:t xml:space="preserve"> (</w:t>
      </w:r>
      <w:proofErr w:type="spellStart"/>
      <w:r w:rsidRPr="003C7592">
        <w:rPr>
          <w:lang w:val="en-GB"/>
        </w:rPr>
        <w:t>dec.</w:t>
      </w:r>
      <w:proofErr w:type="spellEnd"/>
      <w:r w:rsidRPr="003C7592">
        <w:rPr>
          <w:lang w:val="en-GB"/>
        </w:rPr>
        <w:t>), no. 10449/08, 13 September 2011).</w:t>
      </w:r>
    </w:p>
    <w:p w:rsidRPr="003C7592" w:rsidR="00354248" w:rsidP="003C7592" w:rsidRDefault="00354248">
      <w:pPr>
        <w:pStyle w:val="ECHRHeading1"/>
        <w:ind w:left="0" w:firstLine="0"/>
        <w:rPr>
          <w:lang w:val="en-GB"/>
        </w:rPr>
      </w:pPr>
      <w:r w:rsidRPr="003C7592">
        <w:rPr>
          <w:lang w:val="en-GB"/>
        </w:rPr>
        <w:t>II.</w:t>
      </w:r>
      <w:proofErr w:type="gramStart"/>
      <w:r w:rsidRPr="003C7592">
        <w:rPr>
          <w:lang w:val="en-GB"/>
        </w:rPr>
        <w:t>  ALLEGED</w:t>
      </w:r>
      <w:proofErr w:type="gramEnd"/>
      <w:r w:rsidRPr="003C7592">
        <w:rPr>
          <w:lang w:val="en-GB"/>
        </w:rPr>
        <w:t xml:space="preserve"> VIOLATION OF ARTICLE 6 </w:t>
      </w:r>
      <w:r w:rsidRPr="003C7592">
        <w:rPr>
          <w:rFonts w:cstheme="majorHAnsi"/>
          <w:lang w:val="en-GB"/>
        </w:rPr>
        <w:t xml:space="preserve">§ 1 </w:t>
      </w:r>
      <w:r w:rsidRPr="003C7592">
        <w:rPr>
          <w:lang w:val="en-GB"/>
        </w:rPr>
        <w:t>OF THE CONVENTION</w:t>
      </w:r>
    </w:p>
    <w:p w:rsidRPr="003C7592" w:rsidR="00354248" w:rsidP="003C7592" w:rsidRDefault="00354248">
      <w:pPr>
        <w:pStyle w:val="ECHRPara"/>
        <w:rPr>
          <w:snapToGrid w:val="0"/>
          <w:lang w:val="en-GB"/>
        </w:rPr>
      </w:pPr>
      <w:r w:rsidRPr="003C7592">
        <w:rPr>
          <w:lang w:val="en-GB"/>
        </w:rPr>
        <w:t xml:space="preserve">45.  The applicants complained </w:t>
      </w:r>
      <w:r w:rsidRPr="003C7592">
        <w:rPr>
          <w:snapToGrid w:val="0"/>
          <w:lang w:val="en-GB"/>
        </w:rPr>
        <w:t>that the dismissal of their claim as being out of time and the inconsistencies in the application of the limitation periods by different chambers of the Court of Cassation had violated their right to a fair trial as provided in Article 6 § 1 of the Convention, which, in so far as relevant, reads as follows:</w:t>
      </w:r>
    </w:p>
    <w:p w:rsidRPr="003C7592" w:rsidR="00354248" w:rsidP="003C7592" w:rsidRDefault="00354248">
      <w:pPr>
        <w:pStyle w:val="ECHRParaQuote"/>
        <w:rPr>
          <w:lang w:val="en-GB"/>
        </w:rPr>
      </w:pPr>
      <w:r w:rsidRPr="003C7592">
        <w:rPr>
          <w:lang w:val="en-GB"/>
        </w:rPr>
        <w:t xml:space="preserve"> “In the determination of his civil rights and obligations ... everyone is entitled to a fair ... hearing ... by [a] ... tribunal ...”</w:t>
      </w:r>
    </w:p>
    <w:p w:rsidRPr="003C7592" w:rsidR="00354248" w:rsidP="003C7592" w:rsidRDefault="00354248">
      <w:pPr>
        <w:pStyle w:val="ECHRPara"/>
        <w:rPr>
          <w:lang w:val="en-GB"/>
        </w:rPr>
      </w:pPr>
      <w:r w:rsidRPr="003C7592">
        <w:rPr>
          <w:lang w:val="en-GB"/>
        </w:rPr>
        <w:t>46.  The Government contested the applicants</w:t>
      </w:r>
      <w:r w:rsidRPr="003C7592" w:rsidR="003C7592">
        <w:rPr>
          <w:lang w:val="en-GB"/>
        </w:rPr>
        <w:t>’</w:t>
      </w:r>
      <w:r w:rsidRPr="003C7592">
        <w:rPr>
          <w:lang w:val="en-GB"/>
        </w:rPr>
        <w:t xml:space="preserve"> arguments.</w:t>
      </w:r>
    </w:p>
    <w:p w:rsidRPr="003C7592" w:rsidR="00354248" w:rsidP="003C7592" w:rsidRDefault="00354248">
      <w:pPr>
        <w:pStyle w:val="ECHRHeading2"/>
        <w:rPr>
          <w:lang w:val="en-GB"/>
        </w:rPr>
      </w:pPr>
      <w:r w:rsidRPr="003C7592">
        <w:rPr>
          <w:lang w:val="en-GB"/>
        </w:rPr>
        <w:t>A.  Admissibility</w:t>
      </w:r>
    </w:p>
    <w:p w:rsidRPr="003C7592" w:rsidR="00354248" w:rsidP="003C7592" w:rsidRDefault="00354248">
      <w:pPr>
        <w:pStyle w:val="ECHRPara"/>
        <w:rPr>
          <w:lang w:val="en-GB"/>
        </w:rPr>
      </w:pPr>
      <w:r w:rsidRPr="003C7592">
        <w:rPr>
          <w:lang w:val="en-GB"/>
        </w:rPr>
        <w:t>47.  The Court notes that this complaint is not manifestly ill-founded within the meaning of Article 35 § 3 (a) of the Convention. It further notes that it is not inadmissible on any other grounds. It must therefore be declared admissible.</w:t>
      </w:r>
    </w:p>
    <w:p w:rsidRPr="003C7592" w:rsidR="00354248" w:rsidP="003C7592" w:rsidRDefault="00354248">
      <w:pPr>
        <w:pStyle w:val="ECHRHeading2"/>
        <w:rPr>
          <w:lang w:val="en-GB"/>
        </w:rPr>
      </w:pPr>
      <w:r w:rsidRPr="003C7592">
        <w:rPr>
          <w:lang w:val="en-GB"/>
        </w:rPr>
        <w:t>B.  Merits</w:t>
      </w:r>
    </w:p>
    <w:p w:rsidRPr="003C7592" w:rsidR="00354248" w:rsidP="003C7592" w:rsidRDefault="00354248">
      <w:pPr>
        <w:pStyle w:val="ECHRPara"/>
        <w:rPr>
          <w:rFonts w:asciiTheme="majorHAnsi" w:hAnsiTheme="majorHAnsi" w:cstheme="majorHAnsi"/>
          <w:lang w:val="en-GB"/>
        </w:rPr>
      </w:pPr>
      <w:r w:rsidRPr="003C7592">
        <w:rPr>
          <w:lang w:val="en-GB"/>
        </w:rPr>
        <w:t>48.  </w:t>
      </w:r>
      <w:r w:rsidRPr="003C7592">
        <w:rPr>
          <w:rFonts w:asciiTheme="majorHAnsi" w:hAnsiTheme="majorHAnsi" w:cstheme="majorHAnsi"/>
          <w:lang w:val="en-GB"/>
        </w:rPr>
        <w:t>The Government submitted that the applicants had not brought an action in tort but claimed compensation for breach of contract. They maintained that in their petition for appeal the applicants had invoked the contractor</w:t>
      </w:r>
      <w:r w:rsidRPr="003C7592" w:rsidR="003C7592">
        <w:rPr>
          <w:rFonts w:asciiTheme="majorHAnsi" w:hAnsiTheme="majorHAnsi" w:cstheme="majorHAnsi"/>
          <w:lang w:val="en-GB"/>
        </w:rPr>
        <w:t>’</w:t>
      </w:r>
      <w:r w:rsidRPr="003C7592">
        <w:rPr>
          <w:rFonts w:asciiTheme="majorHAnsi" w:hAnsiTheme="majorHAnsi" w:cstheme="majorHAnsi"/>
          <w:lang w:val="en-GB"/>
        </w:rPr>
        <w:t>s liability for hidden defects and therefore based their arguments on the limitation periods applicable to contractual claims. In their view, the 13</w:t>
      </w:r>
      <w:r w:rsidRPr="003C7592">
        <w:rPr>
          <w:rFonts w:asciiTheme="majorHAnsi" w:hAnsiTheme="majorHAnsi" w:cstheme="majorHAnsi"/>
          <w:vertAlign w:val="superscript"/>
          <w:lang w:val="en-GB"/>
        </w:rPr>
        <w:t>th</w:t>
      </w:r>
      <w:r w:rsidRPr="003C7592">
        <w:rPr>
          <w:rFonts w:asciiTheme="majorHAnsi" w:hAnsiTheme="majorHAnsi" w:cstheme="majorHAnsi"/>
          <w:lang w:val="en-GB"/>
        </w:rPr>
        <w:t xml:space="preserve"> Civil Chamber of the Court of Cassation had characterised the dispute in line with the applicants</w:t>
      </w:r>
      <w:r w:rsidRPr="003C7592" w:rsidR="003C7592">
        <w:rPr>
          <w:rFonts w:asciiTheme="majorHAnsi" w:hAnsiTheme="majorHAnsi" w:cstheme="majorHAnsi"/>
          <w:lang w:val="en-GB"/>
        </w:rPr>
        <w:t>’</w:t>
      </w:r>
      <w:r w:rsidRPr="003C7592">
        <w:rPr>
          <w:rFonts w:asciiTheme="majorHAnsi" w:hAnsiTheme="majorHAnsi" w:cstheme="majorHAnsi"/>
          <w:lang w:val="en-GB"/>
        </w:rPr>
        <w:t xml:space="preserve"> requests and calculated the limitation period on the basis of the defendants</w:t>
      </w:r>
      <w:r w:rsidRPr="003C7592" w:rsidR="003C7592">
        <w:rPr>
          <w:rFonts w:asciiTheme="majorHAnsi" w:hAnsiTheme="majorHAnsi" w:cstheme="majorHAnsi"/>
          <w:lang w:val="en-GB"/>
        </w:rPr>
        <w:t>’</w:t>
      </w:r>
      <w:r w:rsidRPr="003C7592">
        <w:rPr>
          <w:rFonts w:asciiTheme="majorHAnsi" w:hAnsiTheme="majorHAnsi" w:cstheme="majorHAnsi"/>
          <w:lang w:val="en-GB"/>
        </w:rPr>
        <w:t xml:space="preserve"> contractual liability. Referring to the Court</w:t>
      </w:r>
      <w:r w:rsidRPr="003C7592" w:rsidR="003C7592">
        <w:rPr>
          <w:rFonts w:asciiTheme="majorHAnsi" w:hAnsiTheme="majorHAnsi" w:cstheme="majorHAnsi"/>
          <w:lang w:val="en-GB"/>
        </w:rPr>
        <w:t>’</w:t>
      </w:r>
      <w:r w:rsidRPr="003C7592">
        <w:rPr>
          <w:rFonts w:asciiTheme="majorHAnsi" w:hAnsiTheme="majorHAnsi" w:cstheme="majorHAnsi"/>
          <w:lang w:val="en-GB"/>
        </w:rPr>
        <w:t xml:space="preserve">s decision in the case of </w:t>
      </w:r>
      <w:r w:rsidRPr="003C7592">
        <w:rPr>
          <w:rFonts w:asciiTheme="majorHAnsi" w:hAnsiTheme="majorHAnsi" w:cstheme="majorHAnsi"/>
          <w:i/>
          <w:lang w:val="en-GB"/>
        </w:rPr>
        <w:t>U</w:t>
      </w:r>
      <w:r w:rsidRPr="003C7592">
        <w:rPr>
          <w:rFonts w:asciiTheme="majorHAnsi" w:hAnsiTheme="majorHAnsi" w:cstheme="majorHAnsi"/>
          <w:i/>
          <w:lang w:val="tr-TR"/>
        </w:rPr>
        <w:t>ç</w:t>
      </w:r>
      <w:proofErr w:type="spellStart"/>
      <w:r w:rsidRPr="003C7592">
        <w:rPr>
          <w:rFonts w:asciiTheme="majorHAnsi" w:hAnsiTheme="majorHAnsi" w:cstheme="majorHAnsi"/>
          <w:i/>
          <w:lang w:val="en-GB"/>
        </w:rPr>
        <w:t>ar</w:t>
      </w:r>
      <w:proofErr w:type="spellEnd"/>
      <w:r w:rsidRPr="003C7592">
        <w:rPr>
          <w:rFonts w:asciiTheme="majorHAnsi" w:hAnsiTheme="majorHAnsi" w:cstheme="majorHAnsi"/>
          <w:i/>
          <w:lang w:val="en-GB"/>
        </w:rPr>
        <w:t xml:space="preserve"> v. Turkey </w:t>
      </w:r>
      <w:r w:rsidRPr="003C7592">
        <w:rPr>
          <w:rFonts w:asciiTheme="majorHAnsi" w:hAnsiTheme="majorHAnsi" w:cstheme="majorHAnsi"/>
          <w:lang w:val="en-GB"/>
        </w:rPr>
        <w:t>((</w:t>
      </w:r>
      <w:proofErr w:type="spellStart"/>
      <w:r w:rsidRPr="003C7592">
        <w:rPr>
          <w:rFonts w:asciiTheme="majorHAnsi" w:hAnsiTheme="majorHAnsi" w:cstheme="majorHAnsi"/>
          <w:lang w:val="en-GB"/>
        </w:rPr>
        <w:t>dec.</w:t>
      </w:r>
      <w:proofErr w:type="spellEnd"/>
      <w:r w:rsidRPr="003C7592">
        <w:rPr>
          <w:rFonts w:asciiTheme="majorHAnsi" w:hAnsiTheme="majorHAnsi" w:cstheme="majorHAnsi"/>
          <w:lang w:val="en-GB"/>
        </w:rPr>
        <w:t>), no. 12960/05, 29 September 2009), the Government argued that the difference between the decisions of the 4</w:t>
      </w:r>
      <w:r w:rsidRPr="003C7592">
        <w:rPr>
          <w:rFonts w:asciiTheme="majorHAnsi" w:hAnsiTheme="majorHAnsi" w:cstheme="majorHAnsi"/>
          <w:vertAlign w:val="superscript"/>
          <w:lang w:val="en-GB"/>
        </w:rPr>
        <w:t>th</w:t>
      </w:r>
      <w:r w:rsidRPr="003C7592">
        <w:rPr>
          <w:rFonts w:asciiTheme="majorHAnsi" w:hAnsiTheme="majorHAnsi" w:cstheme="majorHAnsi"/>
          <w:lang w:val="en-GB"/>
        </w:rPr>
        <w:t xml:space="preserve"> Civil Chamber of the Court of Cassation and the decision of the 13</w:t>
      </w:r>
      <w:r w:rsidRPr="003C7592">
        <w:rPr>
          <w:rFonts w:asciiTheme="majorHAnsi" w:hAnsiTheme="majorHAnsi" w:cstheme="majorHAnsi"/>
          <w:vertAlign w:val="superscript"/>
          <w:lang w:val="en-GB"/>
        </w:rPr>
        <w:t>th</w:t>
      </w:r>
      <w:r w:rsidRPr="003C7592">
        <w:rPr>
          <w:rFonts w:asciiTheme="majorHAnsi" w:hAnsiTheme="majorHAnsi" w:cstheme="majorHAnsi"/>
          <w:lang w:val="en-GB"/>
        </w:rPr>
        <w:t xml:space="preserve"> Civil Chamber of the Court of Cassation delivered in the present case was justified by the difference of facts surrounding those cases and did not amount to conflicting decisions on the same matter. They submitted that the present case should therefore be distinguished from the </w:t>
      </w:r>
      <w:r w:rsidRPr="003C7592">
        <w:rPr>
          <w:rFonts w:asciiTheme="majorHAnsi" w:hAnsiTheme="majorHAnsi" w:cstheme="majorHAnsi"/>
          <w:i/>
          <w:lang w:val="en-GB"/>
        </w:rPr>
        <w:t xml:space="preserve">Hayati </w:t>
      </w:r>
      <w:proofErr w:type="spellStart"/>
      <w:r w:rsidRPr="003C7592">
        <w:rPr>
          <w:rFonts w:asciiTheme="majorHAnsi" w:hAnsiTheme="majorHAnsi" w:cstheme="majorHAnsi"/>
          <w:i/>
          <w:lang w:val="en-GB"/>
        </w:rPr>
        <w:t>Çelebi</w:t>
      </w:r>
      <w:proofErr w:type="spellEnd"/>
      <w:r w:rsidRPr="003C7592">
        <w:rPr>
          <w:rFonts w:asciiTheme="majorHAnsi" w:hAnsiTheme="majorHAnsi" w:cstheme="majorHAnsi"/>
          <w:i/>
          <w:lang w:val="en-GB"/>
        </w:rPr>
        <w:t xml:space="preserve"> and </w:t>
      </w:r>
      <w:proofErr w:type="gramStart"/>
      <w:r w:rsidRPr="003C7592">
        <w:rPr>
          <w:rFonts w:asciiTheme="majorHAnsi" w:hAnsiTheme="majorHAnsi" w:cstheme="majorHAnsi"/>
          <w:i/>
          <w:lang w:val="en-GB"/>
        </w:rPr>
        <w:t>Others</w:t>
      </w:r>
      <w:proofErr w:type="gramEnd"/>
      <w:r w:rsidRPr="003C7592">
        <w:rPr>
          <w:rFonts w:asciiTheme="majorHAnsi" w:hAnsiTheme="majorHAnsi" w:cstheme="majorHAnsi"/>
          <w:lang w:val="en-GB"/>
        </w:rPr>
        <w:t xml:space="preserve"> case (cited above).</w:t>
      </w:r>
    </w:p>
    <w:p w:rsidRPr="003C7592" w:rsidR="00354248" w:rsidP="003C7592" w:rsidRDefault="00354248">
      <w:pPr>
        <w:pStyle w:val="ECHRPara"/>
        <w:rPr>
          <w:lang w:val="en-GB"/>
        </w:rPr>
      </w:pPr>
      <w:r w:rsidRPr="003C7592">
        <w:rPr>
          <w:rFonts w:asciiTheme="majorHAnsi" w:hAnsiTheme="majorHAnsi" w:cstheme="majorHAnsi"/>
          <w:lang w:val="en-GB"/>
        </w:rPr>
        <w:t>49.  The applicants disagreed with the Government</w:t>
      </w:r>
      <w:r w:rsidRPr="003C7592" w:rsidR="003C7592">
        <w:rPr>
          <w:rFonts w:asciiTheme="majorHAnsi" w:hAnsiTheme="majorHAnsi" w:cstheme="majorHAnsi"/>
          <w:lang w:val="en-GB"/>
        </w:rPr>
        <w:t>’</w:t>
      </w:r>
      <w:r w:rsidRPr="003C7592">
        <w:rPr>
          <w:rFonts w:asciiTheme="majorHAnsi" w:hAnsiTheme="majorHAnsi" w:cstheme="majorHAnsi"/>
          <w:lang w:val="en-GB"/>
        </w:rPr>
        <w:t xml:space="preserve">s submissions and argued that the reason why their actions were dismissed as out of time was not that they had filed their claims on the grounds of contractual liability but that different chambers of the Court of Cassation determined the starting point of the limitation periods in actions for damages caused by the earthquake of 17 August 1999 differently. They alleged that </w:t>
      </w:r>
      <w:r w:rsidRPr="003C7592">
        <w:rPr>
          <w:lang w:val="en-GB"/>
        </w:rPr>
        <w:t>if their appeal had been examined by the 4</w:t>
      </w:r>
      <w:r w:rsidRPr="003C7592">
        <w:rPr>
          <w:vertAlign w:val="superscript"/>
          <w:lang w:val="en-GB"/>
        </w:rPr>
        <w:t>th</w:t>
      </w:r>
      <w:r w:rsidRPr="003C7592">
        <w:rPr>
          <w:lang w:val="en-GB"/>
        </w:rPr>
        <w:t xml:space="preserve"> Civil Chamber of the Court of Cassation, which, contrary to the 13</w:t>
      </w:r>
      <w:r w:rsidRPr="003C7592">
        <w:rPr>
          <w:vertAlign w:val="superscript"/>
          <w:lang w:val="en-GB"/>
        </w:rPr>
        <w:t>th</w:t>
      </w:r>
      <w:r w:rsidRPr="003C7592">
        <w:rPr>
          <w:lang w:val="en-GB"/>
        </w:rPr>
        <w:t xml:space="preserve"> Civil Chamber of the Court of Cassation, calculates the limitation periods not from the date of the building use permit but from the date of the earthquake, their actions would have been examined on their merits. In their view, the dismissal of their application to the First Presidency of the Court of Cassation for harmonisation of case-law had deprived them of the possibility of remedying the conflict between the approaches of the 4</w:t>
      </w:r>
      <w:r w:rsidRPr="003C7592">
        <w:rPr>
          <w:vertAlign w:val="superscript"/>
          <w:lang w:val="en-GB"/>
        </w:rPr>
        <w:t>th</w:t>
      </w:r>
      <w:r w:rsidRPr="003C7592">
        <w:rPr>
          <w:lang w:val="en-GB"/>
        </w:rPr>
        <w:t xml:space="preserve"> and 13</w:t>
      </w:r>
      <w:r w:rsidRPr="003C7592">
        <w:rPr>
          <w:vertAlign w:val="superscript"/>
          <w:lang w:val="en-GB"/>
        </w:rPr>
        <w:t>th</w:t>
      </w:r>
      <w:r w:rsidRPr="003C7592">
        <w:rPr>
          <w:lang w:val="en-GB"/>
        </w:rPr>
        <w:t xml:space="preserve"> Civil Chambers of the Court of Cassation.</w:t>
      </w:r>
    </w:p>
    <w:p w:rsidRPr="003C7592" w:rsidR="00354248" w:rsidP="003C7592" w:rsidRDefault="00354248">
      <w:pPr>
        <w:pStyle w:val="ECHRPara"/>
        <w:rPr>
          <w:lang w:val="en-GB"/>
        </w:rPr>
      </w:pPr>
      <w:r w:rsidRPr="003C7592">
        <w:rPr>
          <w:lang w:val="en-GB"/>
        </w:rPr>
        <w:t>50.  </w:t>
      </w:r>
      <w:r w:rsidRPr="003C7592">
        <w:t>The Court notes at the outset that, by declaring the applicants</w:t>
      </w:r>
      <w:r w:rsidRPr="003C7592" w:rsidR="003C7592">
        <w:t>’</w:t>
      </w:r>
      <w:r w:rsidRPr="003C7592">
        <w:t xml:space="preserve"> claims inadmissible for not being introduced within time, the domestic courts seemingly restricted the applicants</w:t>
      </w:r>
      <w:r w:rsidRPr="003C7592" w:rsidR="003C7592">
        <w:t>’</w:t>
      </w:r>
      <w:r w:rsidRPr="003C7592">
        <w:t xml:space="preserve"> right of access to a court. It considers, however, that it is not necessary to examine whether this limitation of the right of access to a court constitutes in itself a violation of Article 6 § 1 of the Convention since it is first and foremost necessary to examine the applicants</w:t>
      </w:r>
      <w:r w:rsidRPr="003C7592" w:rsidR="003C7592">
        <w:t>’</w:t>
      </w:r>
      <w:r w:rsidRPr="003C7592">
        <w:t xml:space="preserve"> complaint about the divergence of case-law within different chambers of the Court of Cassation (see </w:t>
      </w:r>
      <w:r w:rsidRPr="003C7592">
        <w:rPr>
          <w:rFonts w:asciiTheme="majorHAnsi" w:hAnsiTheme="majorHAnsi" w:cstheme="majorHAnsi"/>
          <w:i/>
          <w:lang w:val="en-GB"/>
        </w:rPr>
        <w:t xml:space="preserve">Hayati </w:t>
      </w:r>
      <w:proofErr w:type="spellStart"/>
      <w:r w:rsidRPr="003C7592">
        <w:rPr>
          <w:rFonts w:asciiTheme="majorHAnsi" w:hAnsiTheme="majorHAnsi" w:cstheme="majorHAnsi"/>
          <w:i/>
          <w:lang w:val="en-GB"/>
        </w:rPr>
        <w:t>Çelebi</w:t>
      </w:r>
      <w:proofErr w:type="spellEnd"/>
      <w:r w:rsidRPr="003C7592">
        <w:rPr>
          <w:rFonts w:asciiTheme="majorHAnsi" w:hAnsiTheme="majorHAnsi" w:cstheme="majorHAnsi"/>
          <w:i/>
          <w:lang w:val="en-GB"/>
        </w:rPr>
        <w:t xml:space="preserve"> and Others</w:t>
      </w:r>
      <w:r w:rsidRPr="003C7592">
        <w:rPr>
          <w:rFonts w:asciiTheme="majorHAnsi" w:hAnsiTheme="majorHAnsi" w:cstheme="majorHAnsi"/>
          <w:lang w:val="en-GB"/>
        </w:rPr>
        <w:t>, cited above, § 53)</w:t>
      </w:r>
      <w:r w:rsidRPr="003C7592">
        <w:t>.</w:t>
      </w:r>
    </w:p>
    <w:p w:rsidRPr="003C7592" w:rsidR="00354248" w:rsidP="003C7592" w:rsidRDefault="00354248">
      <w:pPr>
        <w:pStyle w:val="ECHRPara"/>
        <w:rPr>
          <w:rFonts w:asciiTheme="majorHAnsi" w:hAnsiTheme="majorHAnsi" w:cstheme="majorHAnsi"/>
          <w:lang w:val="en-GB"/>
        </w:rPr>
      </w:pPr>
      <w:r w:rsidRPr="003C7592">
        <w:rPr>
          <w:rFonts w:asciiTheme="majorHAnsi" w:hAnsiTheme="majorHAnsi" w:cstheme="majorHAnsi"/>
          <w:lang w:val="en-GB"/>
        </w:rPr>
        <w:t>51.  The Court observes that it was the national courts and not the applicants which qualified the applicants</w:t>
      </w:r>
      <w:r w:rsidRPr="003C7592" w:rsidR="003C7592">
        <w:rPr>
          <w:rFonts w:asciiTheme="majorHAnsi" w:hAnsiTheme="majorHAnsi" w:cstheme="majorHAnsi"/>
          <w:lang w:val="en-GB"/>
        </w:rPr>
        <w:t>’</w:t>
      </w:r>
      <w:r w:rsidRPr="003C7592">
        <w:rPr>
          <w:rFonts w:asciiTheme="majorHAnsi" w:hAnsiTheme="majorHAnsi" w:cstheme="majorHAnsi"/>
          <w:lang w:val="en-GB"/>
        </w:rPr>
        <w:t xml:space="preserve"> action as a contractual claim, by applying sections 125 and 126 § 4 the former Code of Obligations. It notes that section 41 of the former Code of Obligations invoked by the applicants in their claim to the </w:t>
      </w:r>
      <w:proofErr w:type="spellStart"/>
      <w:r w:rsidRPr="003C7592">
        <w:rPr>
          <w:rFonts w:asciiTheme="majorHAnsi" w:hAnsiTheme="majorHAnsi" w:cstheme="majorHAnsi"/>
          <w:lang w:val="en-GB"/>
        </w:rPr>
        <w:t>Yalova</w:t>
      </w:r>
      <w:proofErr w:type="spellEnd"/>
      <w:r w:rsidRPr="003C7592">
        <w:rPr>
          <w:rFonts w:asciiTheme="majorHAnsi" w:hAnsiTheme="majorHAnsi" w:cstheme="majorHAnsi"/>
          <w:lang w:val="en-GB"/>
        </w:rPr>
        <w:t xml:space="preserve"> Civil Court governed tortious liability. Moreover, even though in their appeal they referred to the defendants</w:t>
      </w:r>
      <w:r w:rsidRPr="003C7592" w:rsidR="003C7592">
        <w:rPr>
          <w:rFonts w:asciiTheme="majorHAnsi" w:hAnsiTheme="majorHAnsi" w:cstheme="majorHAnsi"/>
          <w:lang w:val="en-GB"/>
        </w:rPr>
        <w:t>’</w:t>
      </w:r>
      <w:r w:rsidRPr="003C7592">
        <w:rPr>
          <w:rFonts w:asciiTheme="majorHAnsi" w:hAnsiTheme="majorHAnsi" w:cstheme="majorHAnsi"/>
          <w:lang w:val="en-GB"/>
        </w:rPr>
        <w:t xml:space="preserve"> liability for “hidden defects” in their buildings they did not base their claims on breach of the construction contract. Instead, they put emphasis on the fact that the damage caused by the defendants had not been known to them before the occurrence of the earthquake and therefore pleaded that the date of the earthquake should be taken as the starting point of the limitation period (see paragraphs </w:t>
      </w:r>
      <w:r w:rsidRPr="003C7592">
        <w:rPr>
          <w:lang w:val="en-GB"/>
        </w:rPr>
        <w:t>11</w:t>
      </w:r>
      <w:r w:rsidRPr="003C7592">
        <w:rPr>
          <w:rFonts w:asciiTheme="majorHAnsi" w:hAnsiTheme="majorHAnsi" w:cstheme="majorHAnsi"/>
          <w:lang w:val="en-GB"/>
        </w:rPr>
        <w:t xml:space="preserve"> and </w:t>
      </w:r>
      <w:r w:rsidRPr="003C7592">
        <w:rPr>
          <w:lang w:val="en-GB"/>
        </w:rPr>
        <w:t>14</w:t>
      </w:r>
      <w:r w:rsidRPr="003C7592">
        <w:rPr>
          <w:rFonts w:asciiTheme="majorHAnsi" w:hAnsiTheme="majorHAnsi" w:cstheme="majorHAnsi"/>
          <w:lang w:val="en-GB"/>
        </w:rPr>
        <w:t xml:space="preserve"> above).</w:t>
      </w:r>
    </w:p>
    <w:p w:rsidRPr="003C7592" w:rsidR="00354248" w:rsidP="003C7592" w:rsidRDefault="00354248">
      <w:pPr>
        <w:pStyle w:val="ECHRPara"/>
        <w:rPr>
          <w:rFonts w:asciiTheme="majorHAnsi" w:hAnsiTheme="majorHAnsi" w:cstheme="majorHAnsi"/>
          <w:lang w:val="en-GB"/>
        </w:rPr>
      </w:pPr>
      <w:r w:rsidRPr="003C7592">
        <w:rPr>
          <w:rFonts w:asciiTheme="majorHAnsi" w:hAnsiTheme="majorHAnsi" w:cstheme="majorHAnsi"/>
          <w:lang w:val="en-GB"/>
        </w:rPr>
        <w:t xml:space="preserve">52.  The Court considers that in any case the qualification made by the applicants could not be said to have any bearing on the outcome of the present proceedings. The Court recalls that even though the applicants in the case of </w:t>
      </w:r>
      <w:r w:rsidRPr="003C7592">
        <w:rPr>
          <w:rFonts w:asciiTheme="majorHAnsi" w:hAnsiTheme="majorHAnsi" w:cstheme="majorHAnsi"/>
          <w:i/>
          <w:lang w:val="en-GB"/>
        </w:rPr>
        <w:t xml:space="preserve">Hayati </w:t>
      </w:r>
      <w:proofErr w:type="spellStart"/>
      <w:r w:rsidRPr="003C7592">
        <w:rPr>
          <w:rFonts w:asciiTheme="majorHAnsi" w:hAnsiTheme="majorHAnsi" w:cstheme="majorHAnsi"/>
          <w:i/>
          <w:lang w:val="en-GB"/>
        </w:rPr>
        <w:t>Çelebi</w:t>
      </w:r>
      <w:proofErr w:type="spellEnd"/>
      <w:r w:rsidRPr="003C7592">
        <w:rPr>
          <w:rFonts w:asciiTheme="majorHAnsi" w:hAnsiTheme="majorHAnsi" w:cstheme="majorHAnsi"/>
          <w:i/>
          <w:lang w:val="en-GB"/>
        </w:rPr>
        <w:t xml:space="preserve"> and others</w:t>
      </w:r>
      <w:r w:rsidRPr="003C7592">
        <w:rPr>
          <w:rFonts w:asciiTheme="majorHAnsi" w:hAnsiTheme="majorHAnsi" w:cstheme="majorHAnsi"/>
          <w:lang w:val="en-GB"/>
        </w:rPr>
        <w:t xml:space="preserve"> (cited above) had invoked the liability of the contractors of their buildings both in tort and in contract</w:t>
      </w:r>
      <w:r w:rsidRPr="003C7592">
        <w:rPr>
          <w:rFonts w:asciiTheme="majorHAnsi" w:hAnsiTheme="majorHAnsi" w:cstheme="majorHAnsi"/>
          <w:i/>
          <w:lang w:val="en-GB"/>
        </w:rPr>
        <w:t xml:space="preserve">, </w:t>
      </w:r>
      <w:r w:rsidRPr="003C7592">
        <w:rPr>
          <w:rFonts w:asciiTheme="majorHAnsi" w:hAnsiTheme="majorHAnsi" w:cstheme="majorHAnsi"/>
          <w:lang w:val="en-GB"/>
        </w:rPr>
        <w:t>the 13</w:t>
      </w:r>
      <w:r w:rsidRPr="003C7592">
        <w:rPr>
          <w:rFonts w:asciiTheme="majorHAnsi" w:hAnsiTheme="majorHAnsi" w:cstheme="majorHAnsi"/>
          <w:vertAlign w:val="superscript"/>
          <w:lang w:val="en-GB"/>
        </w:rPr>
        <w:t>th</w:t>
      </w:r>
      <w:r w:rsidRPr="003C7592">
        <w:rPr>
          <w:rFonts w:asciiTheme="majorHAnsi" w:hAnsiTheme="majorHAnsi" w:cstheme="majorHAnsi"/>
          <w:lang w:val="en-GB"/>
        </w:rPr>
        <w:t xml:space="preserve"> Civil Chamber of the Court of Cassation, as it was the case for the applicants in the present case, upheld the decision delivered by the first-instance court which characterised the dispute as a contractual dispute and held that the limitation periods started to run from the date when the construction works were completed (ibid., §§ 11-13).</w:t>
      </w:r>
    </w:p>
    <w:p w:rsidRPr="003C7592" w:rsidR="00354248" w:rsidP="003C7592" w:rsidRDefault="00354248">
      <w:pPr>
        <w:pStyle w:val="ECHRPara"/>
        <w:rPr>
          <w:rFonts w:asciiTheme="majorHAnsi" w:hAnsiTheme="majorHAnsi" w:cstheme="majorHAnsi"/>
          <w:lang w:val="en-GB"/>
        </w:rPr>
      </w:pPr>
      <w:r w:rsidRPr="003C7592">
        <w:rPr>
          <w:rFonts w:asciiTheme="majorHAnsi" w:hAnsiTheme="majorHAnsi" w:cstheme="majorHAnsi"/>
          <w:lang w:val="en-GB"/>
        </w:rPr>
        <w:t xml:space="preserve">53.  The Court further recalls that in </w:t>
      </w:r>
      <w:r w:rsidRPr="003C7592">
        <w:rPr>
          <w:rFonts w:asciiTheme="majorHAnsi" w:hAnsiTheme="majorHAnsi" w:cstheme="majorHAnsi"/>
          <w:i/>
          <w:lang w:val="en-GB"/>
        </w:rPr>
        <w:t xml:space="preserve">Hayati </w:t>
      </w:r>
      <w:proofErr w:type="spellStart"/>
      <w:r w:rsidRPr="003C7592">
        <w:rPr>
          <w:rFonts w:asciiTheme="majorHAnsi" w:hAnsiTheme="majorHAnsi" w:cstheme="majorHAnsi"/>
          <w:i/>
          <w:lang w:val="en-GB"/>
        </w:rPr>
        <w:t>Çelebi</w:t>
      </w:r>
      <w:proofErr w:type="spellEnd"/>
      <w:r w:rsidRPr="003C7592">
        <w:rPr>
          <w:rFonts w:asciiTheme="majorHAnsi" w:hAnsiTheme="majorHAnsi" w:cstheme="majorHAnsi"/>
          <w:i/>
          <w:lang w:val="en-GB"/>
        </w:rPr>
        <w:t xml:space="preserve"> and Others </w:t>
      </w:r>
      <w:r w:rsidRPr="003C7592">
        <w:rPr>
          <w:rFonts w:asciiTheme="majorHAnsi" w:hAnsiTheme="majorHAnsi" w:cstheme="majorHAnsi"/>
          <w:lang w:val="en-GB"/>
        </w:rPr>
        <w:t>it found a violation of Article 6 § 1 of the Convention, holding that the apparent contradictions in the case-law of the Court of Cassation and the failure of the mechanism designed to ensure the harmonisation of practice within that court had led to the applicants</w:t>
      </w:r>
      <w:r w:rsidRPr="003C7592" w:rsidR="003C7592">
        <w:rPr>
          <w:rFonts w:asciiTheme="majorHAnsi" w:hAnsiTheme="majorHAnsi" w:cstheme="majorHAnsi"/>
          <w:lang w:val="en-GB"/>
        </w:rPr>
        <w:t>’</w:t>
      </w:r>
      <w:r w:rsidRPr="003C7592">
        <w:rPr>
          <w:rFonts w:asciiTheme="majorHAnsi" w:hAnsiTheme="majorHAnsi" w:cstheme="majorHAnsi"/>
          <w:lang w:val="en-GB"/>
        </w:rPr>
        <w:t xml:space="preserve"> action against the contractors being declared out of time, while other persons in a similar situation were able to have their cases examined on their merits (ibid., § 66).</w:t>
      </w:r>
    </w:p>
    <w:p w:rsidRPr="003C7592" w:rsidR="00354248" w:rsidP="003C7592" w:rsidRDefault="00354248">
      <w:pPr>
        <w:pStyle w:val="ECHRPara"/>
        <w:rPr>
          <w:rFonts w:asciiTheme="majorHAnsi" w:hAnsiTheme="majorHAnsi" w:cstheme="majorHAnsi"/>
          <w:lang w:val="en-GB"/>
        </w:rPr>
      </w:pPr>
      <w:r w:rsidRPr="003C7592">
        <w:rPr>
          <w:rFonts w:asciiTheme="majorHAnsi" w:hAnsiTheme="majorHAnsi" w:cstheme="majorHAnsi"/>
          <w:lang w:val="en-GB"/>
        </w:rPr>
        <w:t>54.  Turning to the present case, the Court finds that the crux of the applicants</w:t>
      </w:r>
      <w:r w:rsidRPr="003C7592" w:rsidR="003C7592">
        <w:rPr>
          <w:rFonts w:asciiTheme="majorHAnsi" w:hAnsiTheme="majorHAnsi" w:cstheme="majorHAnsi"/>
          <w:lang w:val="en-GB"/>
        </w:rPr>
        <w:t>’</w:t>
      </w:r>
      <w:r w:rsidRPr="003C7592">
        <w:rPr>
          <w:rFonts w:asciiTheme="majorHAnsi" w:hAnsiTheme="majorHAnsi" w:cstheme="majorHAnsi"/>
          <w:lang w:val="en-GB"/>
        </w:rPr>
        <w:t xml:space="preserve"> complaints precisely concerns the difference in the way the 4</w:t>
      </w:r>
      <w:r w:rsidRPr="003C7592">
        <w:rPr>
          <w:rFonts w:asciiTheme="majorHAnsi" w:hAnsiTheme="majorHAnsi" w:cstheme="majorHAnsi"/>
          <w:vertAlign w:val="superscript"/>
          <w:lang w:val="en-GB"/>
        </w:rPr>
        <w:t>th</w:t>
      </w:r>
      <w:r w:rsidRPr="003C7592" w:rsidR="00044A0D">
        <w:rPr>
          <w:rFonts w:asciiTheme="majorHAnsi" w:hAnsiTheme="majorHAnsi" w:cstheme="majorHAnsi"/>
          <w:lang w:val="en-GB"/>
        </w:rPr>
        <w:t> </w:t>
      </w:r>
      <w:r w:rsidRPr="003C7592">
        <w:rPr>
          <w:rFonts w:asciiTheme="majorHAnsi" w:hAnsiTheme="majorHAnsi" w:cstheme="majorHAnsi"/>
          <w:lang w:val="en-GB"/>
        </w:rPr>
        <w:t>and 13</w:t>
      </w:r>
      <w:r w:rsidRPr="003C7592">
        <w:rPr>
          <w:rFonts w:asciiTheme="majorHAnsi" w:hAnsiTheme="majorHAnsi" w:cstheme="majorHAnsi"/>
          <w:vertAlign w:val="superscript"/>
          <w:lang w:val="en-GB"/>
        </w:rPr>
        <w:t>th</w:t>
      </w:r>
      <w:r w:rsidRPr="003C7592">
        <w:rPr>
          <w:rFonts w:asciiTheme="majorHAnsi" w:hAnsiTheme="majorHAnsi" w:cstheme="majorHAnsi"/>
          <w:lang w:val="en-GB"/>
        </w:rPr>
        <w:t xml:space="preserve"> Civil Chambers of the Court of Cassation qualified the claims for compensation of losses caused by the earthquake of 17 August 1999 and calculated the limitation periods. The reason why the applicants</w:t>
      </w:r>
      <w:r w:rsidRPr="003C7592" w:rsidR="003C7592">
        <w:rPr>
          <w:rFonts w:asciiTheme="majorHAnsi" w:hAnsiTheme="majorHAnsi" w:cstheme="majorHAnsi"/>
          <w:lang w:val="en-GB"/>
        </w:rPr>
        <w:t>’</w:t>
      </w:r>
      <w:r w:rsidRPr="003C7592">
        <w:rPr>
          <w:rFonts w:asciiTheme="majorHAnsi" w:hAnsiTheme="majorHAnsi" w:cstheme="majorHAnsi"/>
          <w:lang w:val="en-GB"/>
        </w:rPr>
        <w:t xml:space="preserve"> claim for damages was considered out of time was because their appeal was reviewed by the 13</w:t>
      </w:r>
      <w:r w:rsidRPr="003C7592">
        <w:rPr>
          <w:rFonts w:asciiTheme="majorHAnsi" w:hAnsiTheme="majorHAnsi" w:cstheme="majorHAnsi"/>
          <w:vertAlign w:val="superscript"/>
          <w:lang w:val="en-GB"/>
        </w:rPr>
        <w:t>th</w:t>
      </w:r>
      <w:r w:rsidRPr="003C7592">
        <w:rPr>
          <w:rFonts w:asciiTheme="majorHAnsi" w:hAnsiTheme="majorHAnsi" w:cstheme="majorHAnsi"/>
          <w:lang w:val="en-GB"/>
        </w:rPr>
        <w:t xml:space="preserve"> Civil Chamber of the Court of Cassation, which characterised their claim as a contractual claim and took the view that the ten-year limitation period under section 125 of the former Code of Obligations started to run from the date when the construction works had ended, whereas in similar cases, the 4</w:t>
      </w:r>
      <w:r w:rsidRPr="003C7592">
        <w:rPr>
          <w:rFonts w:asciiTheme="majorHAnsi" w:hAnsiTheme="majorHAnsi" w:cstheme="majorHAnsi"/>
          <w:vertAlign w:val="superscript"/>
          <w:lang w:val="en-GB"/>
        </w:rPr>
        <w:t>th</w:t>
      </w:r>
      <w:r w:rsidRPr="003C7592">
        <w:rPr>
          <w:rFonts w:asciiTheme="majorHAnsi" w:hAnsiTheme="majorHAnsi" w:cstheme="majorHAnsi"/>
          <w:lang w:val="en-GB"/>
        </w:rPr>
        <w:t xml:space="preserve"> Civil Chamber of the Court of Cassation characterised claimants</w:t>
      </w:r>
      <w:r w:rsidRPr="003C7592" w:rsidR="003C7592">
        <w:rPr>
          <w:rFonts w:asciiTheme="majorHAnsi" w:hAnsiTheme="majorHAnsi" w:cstheme="majorHAnsi"/>
          <w:lang w:val="en-GB"/>
        </w:rPr>
        <w:t>’</w:t>
      </w:r>
      <w:r w:rsidRPr="003C7592">
        <w:rPr>
          <w:rFonts w:asciiTheme="majorHAnsi" w:hAnsiTheme="majorHAnsi" w:cstheme="majorHAnsi"/>
          <w:lang w:val="en-GB"/>
        </w:rPr>
        <w:t xml:space="preserve"> actions as actions in tort, applied section 60 of the former Code of Obligations and took the date of the earthquake as the basis in calculating the limitation period. The Court further notes that the application made by the applicants for harmonisation of the case-law was dismissed by the First Presidency of the Court of Cassation, which, without giving a detailed explanation, held that there was no need for harmonisation (see paragraph </w:t>
      </w:r>
      <w:r w:rsidRPr="003C7592">
        <w:rPr>
          <w:lang w:val="en-GB"/>
        </w:rPr>
        <w:t>19</w:t>
      </w:r>
      <w:r w:rsidRPr="003C7592">
        <w:rPr>
          <w:rFonts w:asciiTheme="majorHAnsi" w:hAnsiTheme="majorHAnsi" w:cstheme="majorHAnsi"/>
          <w:lang w:val="en-GB"/>
        </w:rPr>
        <w:t xml:space="preserve"> above).</w:t>
      </w:r>
    </w:p>
    <w:p w:rsidRPr="003C7592" w:rsidR="00354248" w:rsidP="003C7592" w:rsidRDefault="00354248">
      <w:pPr>
        <w:pStyle w:val="ECHRPara"/>
        <w:rPr>
          <w:rFonts w:asciiTheme="majorHAnsi" w:hAnsiTheme="majorHAnsi" w:cstheme="majorHAnsi"/>
          <w:lang w:val="en-GB"/>
        </w:rPr>
      </w:pPr>
      <w:r w:rsidRPr="003C7592">
        <w:rPr>
          <w:rFonts w:asciiTheme="majorHAnsi" w:hAnsiTheme="majorHAnsi" w:cstheme="majorHAnsi"/>
          <w:lang w:val="en-GB"/>
        </w:rPr>
        <w:t>55.  In light of the above, the Court cannot accept the Government</w:t>
      </w:r>
      <w:r w:rsidRPr="003C7592" w:rsidR="003C7592">
        <w:rPr>
          <w:rFonts w:asciiTheme="majorHAnsi" w:hAnsiTheme="majorHAnsi" w:cstheme="majorHAnsi"/>
          <w:lang w:val="en-GB"/>
        </w:rPr>
        <w:t>’</w:t>
      </w:r>
      <w:r w:rsidRPr="003C7592">
        <w:rPr>
          <w:rFonts w:asciiTheme="majorHAnsi" w:hAnsiTheme="majorHAnsi" w:cstheme="majorHAnsi"/>
          <w:lang w:val="en-GB"/>
        </w:rPr>
        <w:t xml:space="preserve">s argument that the present case differs from the case of </w:t>
      </w:r>
      <w:r w:rsidRPr="003C7592">
        <w:rPr>
          <w:rFonts w:asciiTheme="majorHAnsi" w:hAnsiTheme="majorHAnsi" w:cstheme="majorHAnsi"/>
          <w:i/>
          <w:lang w:val="en-GB"/>
        </w:rPr>
        <w:t xml:space="preserve">Hayati </w:t>
      </w:r>
      <w:proofErr w:type="spellStart"/>
      <w:r w:rsidRPr="003C7592">
        <w:rPr>
          <w:rFonts w:asciiTheme="majorHAnsi" w:hAnsiTheme="majorHAnsi" w:cstheme="majorHAnsi"/>
          <w:i/>
          <w:lang w:val="en-GB"/>
        </w:rPr>
        <w:t>Çelebi</w:t>
      </w:r>
      <w:proofErr w:type="spellEnd"/>
      <w:r w:rsidRPr="003C7592">
        <w:rPr>
          <w:rFonts w:asciiTheme="majorHAnsi" w:hAnsiTheme="majorHAnsi" w:cstheme="majorHAnsi"/>
          <w:i/>
          <w:lang w:val="en-GB"/>
        </w:rPr>
        <w:t xml:space="preserve"> and </w:t>
      </w:r>
      <w:proofErr w:type="gramStart"/>
      <w:r w:rsidRPr="003C7592">
        <w:rPr>
          <w:rFonts w:asciiTheme="majorHAnsi" w:hAnsiTheme="majorHAnsi" w:cstheme="majorHAnsi"/>
          <w:i/>
          <w:lang w:val="en-GB"/>
        </w:rPr>
        <w:t>Others</w:t>
      </w:r>
      <w:proofErr w:type="gramEnd"/>
      <w:r w:rsidRPr="003C7592">
        <w:rPr>
          <w:rFonts w:asciiTheme="majorHAnsi" w:hAnsiTheme="majorHAnsi" w:cstheme="majorHAnsi"/>
          <w:lang w:val="en-GB"/>
        </w:rPr>
        <w:t xml:space="preserve"> (cited above). It therefore finds that the same considerations are applicable to the instant case and that there is no reason to depart from its finding in that case.</w:t>
      </w:r>
    </w:p>
    <w:p w:rsidRPr="003C7592" w:rsidR="00354248" w:rsidP="003C7592" w:rsidRDefault="00354248">
      <w:pPr>
        <w:pStyle w:val="ECHRPara"/>
        <w:rPr>
          <w:rFonts w:asciiTheme="majorHAnsi" w:hAnsiTheme="majorHAnsi" w:cstheme="majorHAnsi"/>
          <w:i/>
          <w:lang w:val="en-GB"/>
        </w:rPr>
      </w:pPr>
      <w:bookmarkStart w:name="A6violation" w:id="11"/>
      <w:r w:rsidRPr="003C7592">
        <w:rPr>
          <w:rFonts w:asciiTheme="majorHAnsi" w:hAnsiTheme="majorHAnsi" w:cstheme="majorHAnsi"/>
          <w:lang w:val="en-GB"/>
        </w:rPr>
        <w:t>56</w:t>
      </w:r>
      <w:bookmarkEnd w:id="11"/>
      <w:r w:rsidRPr="003C7592">
        <w:rPr>
          <w:rFonts w:asciiTheme="majorHAnsi" w:hAnsiTheme="majorHAnsi" w:cstheme="majorHAnsi"/>
          <w:lang w:val="en-GB"/>
        </w:rPr>
        <w:t>.  It follows that there has been a violation of Article 6 § 1 of the Convention.</w:t>
      </w:r>
    </w:p>
    <w:p w:rsidRPr="003C7592" w:rsidR="00354248" w:rsidP="003C7592" w:rsidRDefault="00354248">
      <w:pPr>
        <w:pStyle w:val="ECHRHeading1"/>
        <w:rPr>
          <w:lang w:val="en-GB"/>
        </w:rPr>
      </w:pPr>
      <w:r w:rsidRPr="003C7592">
        <w:rPr>
          <w:lang w:val="en-GB"/>
        </w:rPr>
        <w:t>III.</w:t>
      </w:r>
      <w:proofErr w:type="gramStart"/>
      <w:r w:rsidRPr="003C7592">
        <w:rPr>
          <w:lang w:val="en-GB"/>
        </w:rPr>
        <w:t>  ALLEGED</w:t>
      </w:r>
      <w:proofErr w:type="gramEnd"/>
      <w:r w:rsidRPr="003C7592">
        <w:rPr>
          <w:lang w:val="en-GB"/>
        </w:rPr>
        <w:t xml:space="preserve"> VIOLATION OF ARTICLE 1 OF PROTOCOL NO. 1</w:t>
      </w:r>
    </w:p>
    <w:p w:rsidRPr="003C7592" w:rsidR="00354248" w:rsidP="003C7592" w:rsidRDefault="00354248">
      <w:pPr>
        <w:pStyle w:val="ECHRPara"/>
        <w:rPr>
          <w:lang w:val="en-GB"/>
        </w:rPr>
      </w:pPr>
      <w:r w:rsidRPr="003C7592">
        <w:rPr>
          <w:lang w:val="en-GB"/>
        </w:rPr>
        <w:t>57.  The applicants further complained that the dismissal of their action for damages for being introduced after the expiry of the limitation period had infringed their right to the peaceful enjoyment of their possessions, as guaranteed by Article 1 of Protocol No. 1.</w:t>
      </w:r>
    </w:p>
    <w:p w:rsidRPr="003C7592" w:rsidR="00354248" w:rsidP="003C7592" w:rsidRDefault="00354248">
      <w:pPr>
        <w:pStyle w:val="ECHRPara"/>
        <w:rPr>
          <w:lang w:val="en-GB"/>
        </w:rPr>
      </w:pPr>
      <w:r w:rsidRPr="003C7592">
        <w:rPr>
          <w:lang w:val="en-GB"/>
        </w:rPr>
        <w:t>58.  The Government contested the applicants</w:t>
      </w:r>
      <w:r w:rsidRPr="003C7592" w:rsidR="003C7592">
        <w:rPr>
          <w:lang w:val="en-GB"/>
        </w:rPr>
        <w:t>’</w:t>
      </w:r>
      <w:r w:rsidRPr="003C7592">
        <w:rPr>
          <w:lang w:val="en-GB"/>
        </w:rPr>
        <w:t xml:space="preserve"> submissions.</w:t>
      </w:r>
    </w:p>
    <w:p w:rsidRPr="003C7592" w:rsidR="00354248" w:rsidP="003C7592" w:rsidRDefault="00354248">
      <w:pPr>
        <w:pStyle w:val="ECHRPara"/>
        <w:rPr>
          <w:lang w:val="en-GB"/>
        </w:rPr>
      </w:pPr>
      <w:r w:rsidRPr="003C7592">
        <w:rPr>
          <w:lang w:val="en-GB"/>
        </w:rPr>
        <w:t xml:space="preserve">59.  The Court notes that this complaint is closely linked to the one examined above and must therefore likewise </w:t>
      </w:r>
      <w:proofErr w:type="gramStart"/>
      <w:r w:rsidRPr="003C7592">
        <w:rPr>
          <w:lang w:val="en-GB"/>
        </w:rPr>
        <w:t>be</w:t>
      </w:r>
      <w:proofErr w:type="gramEnd"/>
      <w:r w:rsidRPr="003C7592">
        <w:rPr>
          <w:lang w:val="en-GB"/>
        </w:rPr>
        <w:t xml:space="preserve"> declared admissible.</w:t>
      </w:r>
    </w:p>
    <w:p w:rsidRPr="003C7592" w:rsidR="00354248" w:rsidP="003C7592" w:rsidRDefault="00354248">
      <w:pPr>
        <w:pStyle w:val="ECHRPara"/>
        <w:rPr>
          <w:lang w:val="en-GB"/>
        </w:rPr>
      </w:pPr>
      <w:r w:rsidRPr="003C7592">
        <w:rPr>
          <w:lang w:val="en-GB"/>
        </w:rPr>
        <w:t xml:space="preserve">60.  Having regard to the finding relating to Article 6 </w:t>
      </w:r>
      <w:r w:rsidRPr="003C7592">
        <w:rPr>
          <w:rFonts w:cstheme="minorHAnsi"/>
          <w:lang w:val="en-GB"/>
        </w:rPr>
        <w:t>§</w:t>
      </w:r>
      <w:r w:rsidRPr="003C7592">
        <w:rPr>
          <w:lang w:val="en-GB"/>
        </w:rPr>
        <w:t xml:space="preserve"> 1 of the Convention (see paragraph </w:t>
      </w:r>
      <w:r w:rsidRPr="003C7592">
        <w:rPr>
          <w:rFonts w:asciiTheme="majorHAnsi" w:hAnsiTheme="majorHAnsi" w:cstheme="majorHAnsi"/>
          <w:lang w:val="en-GB"/>
        </w:rPr>
        <w:t>56</w:t>
      </w:r>
      <w:r w:rsidRPr="003C7592">
        <w:rPr>
          <w:lang w:val="en-GB"/>
        </w:rPr>
        <w:t xml:space="preserve"> above), the Court considers that it is not necessary to examine this complaint separately (see, among other authorities, </w:t>
      </w:r>
      <w:proofErr w:type="spellStart"/>
      <w:r w:rsidRPr="003C7592">
        <w:rPr>
          <w:i/>
          <w:lang w:val="en-GB"/>
        </w:rPr>
        <w:t>Ateş</w:t>
      </w:r>
      <w:proofErr w:type="spellEnd"/>
      <w:r w:rsidRPr="003C7592">
        <w:rPr>
          <w:i/>
          <w:lang w:val="en-GB"/>
        </w:rPr>
        <w:t xml:space="preserve"> </w:t>
      </w:r>
      <w:proofErr w:type="spellStart"/>
      <w:r w:rsidRPr="003C7592">
        <w:rPr>
          <w:i/>
          <w:lang w:val="en-GB"/>
        </w:rPr>
        <w:t>Mimarlik</w:t>
      </w:r>
      <w:proofErr w:type="spellEnd"/>
      <w:r w:rsidRPr="003C7592">
        <w:rPr>
          <w:i/>
          <w:lang w:val="en-GB"/>
        </w:rPr>
        <w:t xml:space="preserve"> </w:t>
      </w:r>
      <w:proofErr w:type="spellStart"/>
      <w:r w:rsidRPr="003C7592">
        <w:rPr>
          <w:i/>
          <w:lang w:val="en-GB"/>
        </w:rPr>
        <w:t>Mühendislik</w:t>
      </w:r>
      <w:proofErr w:type="spellEnd"/>
      <w:r w:rsidRPr="003C7592">
        <w:rPr>
          <w:i/>
          <w:lang w:val="en-GB"/>
        </w:rPr>
        <w:t xml:space="preserve"> A.Ş v. Turkey</w:t>
      </w:r>
      <w:r w:rsidRPr="003C7592">
        <w:rPr>
          <w:lang w:val="en-GB"/>
        </w:rPr>
        <w:t>, no. 33275/05</w:t>
      </w:r>
      <w:r w:rsidRPr="003C7592">
        <w:rPr>
          <w:snapToGrid w:val="0"/>
          <w:lang w:val="en-GB"/>
        </w:rPr>
        <w:t>, § 60, 25 September 2012</w:t>
      </w:r>
      <w:r w:rsidRPr="003C7592">
        <w:rPr>
          <w:lang w:val="en-GB"/>
        </w:rPr>
        <w:t>).</w:t>
      </w:r>
    </w:p>
    <w:p w:rsidRPr="003C7592" w:rsidR="00354248" w:rsidP="003C7592" w:rsidRDefault="00354248">
      <w:pPr>
        <w:pStyle w:val="ECHRHeading1"/>
        <w:rPr>
          <w:lang w:val="en-GB"/>
        </w:rPr>
      </w:pPr>
      <w:r w:rsidRPr="003C7592">
        <w:rPr>
          <w:lang w:val="en-GB"/>
        </w:rPr>
        <w:t>IV.</w:t>
      </w:r>
      <w:proofErr w:type="gramStart"/>
      <w:r w:rsidRPr="003C7592">
        <w:rPr>
          <w:lang w:val="en-GB"/>
        </w:rPr>
        <w:t>  APPLICATION</w:t>
      </w:r>
      <w:proofErr w:type="gramEnd"/>
      <w:r w:rsidRPr="003C7592">
        <w:rPr>
          <w:lang w:val="en-GB"/>
        </w:rPr>
        <w:t xml:space="preserve"> OF ARTICLE 41 OF THE CONVENTION</w:t>
      </w:r>
    </w:p>
    <w:p w:rsidRPr="003C7592" w:rsidR="00354248" w:rsidP="003C7592" w:rsidRDefault="00354248">
      <w:pPr>
        <w:pStyle w:val="ECHRPara"/>
        <w:keepNext/>
        <w:keepLines/>
        <w:rPr>
          <w:lang w:val="en-GB"/>
        </w:rPr>
      </w:pPr>
      <w:r w:rsidRPr="003C7592">
        <w:rPr>
          <w:lang w:val="en-GB"/>
        </w:rPr>
        <w:t>61.  Article 41 of the Convention provides:</w:t>
      </w:r>
    </w:p>
    <w:p w:rsidRPr="003C7592" w:rsidR="00354248" w:rsidP="003C7592" w:rsidRDefault="00354248">
      <w:pPr>
        <w:pStyle w:val="ECHRParaQuote"/>
        <w:keepNext/>
        <w:keepLines/>
        <w:rPr>
          <w:lang w:val="en-GB"/>
        </w:rPr>
      </w:pPr>
      <w:r w:rsidRPr="003C7592">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C7592" w:rsidR="00354248" w:rsidP="003C7592" w:rsidRDefault="00354248">
      <w:pPr>
        <w:pStyle w:val="ECHRHeading2"/>
        <w:rPr>
          <w:lang w:val="en-GB"/>
        </w:rPr>
      </w:pPr>
      <w:r w:rsidRPr="003C7592">
        <w:rPr>
          <w:lang w:val="en-GB"/>
        </w:rPr>
        <w:t>A.  Damage</w:t>
      </w:r>
    </w:p>
    <w:p w:rsidRPr="003C7592" w:rsidR="00354248" w:rsidP="003C7592" w:rsidRDefault="00354248">
      <w:pPr>
        <w:pStyle w:val="ECHRPara"/>
        <w:rPr>
          <w:lang w:val="en-GB"/>
        </w:rPr>
      </w:pPr>
      <w:r w:rsidRPr="003C7592">
        <w:rPr>
          <w:lang w:val="en-GB"/>
        </w:rPr>
        <w:t>62.  Each applicant claimed 334,736 Turkish liras (TRY) (approximately equivalent to 56,500 euros (EUR) at the material time) in respect of pecuniary damage, an amount which corresponds to the alleged appraised value of their apartments together with interest accrued from the date of the earthquake and TRY 20,000 (approximately equivalent to EUR 3,380 at the material time) in respect of non-pecuniary damage.</w:t>
      </w:r>
    </w:p>
    <w:p w:rsidRPr="003C7592" w:rsidR="00354248" w:rsidP="003C7592" w:rsidRDefault="00354248">
      <w:pPr>
        <w:pStyle w:val="ECHRPara"/>
        <w:rPr>
          <w:lang w:val="en-GB"/>
        </w:rPr>
      </w:pPr>
      <w:r w:rsidRPr="003C7592">
        <w:rPr>
          <w:lang w:val="en-GB"/>
        </w:rPr>
        <w:t>63.  The Government submitted that the applicants</w:t>
      </w:r>
      <w:r w:rsidRPr="003C7592" w:rsidR="003C7592">
        <w:rPr>
          <w:lang w:val="en-GB"/>
        </w:rPr>
        <w:t>’</w:t>
      </w:r>
      <w:r w:rsidRPr="003C7592">
        <w:rPr>
          <w:lang w:val="en-GB"/>
        </w:rPr>
        <w:t xml:space="preserve"> just satisfaction claims were excessive and unfounded.</w:t>
      </w:r>
    </w:p>
    <w:p w:rsidRPr="003C7592" w:rsidR="00354248" w:rsidP="003C7592" w:rsidRDefault="00354248">
      <w:pPr>
        <w:pStyle w:val="ECHRPara"/>
        <w:rPr>
          <w:lang w:val="en-GB"/>
        </w:rPr>
      </w:pPr>
      <w:r w:rsidRPr="003C7592">
        <w:rPr>
          <w:lang w:val="en-GB"/>
        </w:rPr>
        <w:t>64.  </w:t>
      </w:r>
      <w:r w:rsidRPr="003C7592">
        <w:rPr>
          <w:rFonts w:eastAsia="Times New Roman"/>
          <w:lang w:eastAsia="en-GB"/>
        </w:rPr>
        <w:t xml:space="preserve">The Court notes that where, as in the instant case, an individual has been the victim of a breach of the requirements of Article 6 of the Convention, a retrial or the reopening of the case, if he or she so requests, represents, in principle an appropriate way of redressing the violation (see, </w:t>
      </w:r>
      <w:r w:rsidRPr="003C7592">
        <w:rPr>
          <w:rFonts w:eastAsia="Times New Roman"/>
          <w:i/>
          <w:lang w:eastAsia="en-GB"/>
        </w:rPr>
        <w:t>mutatis mutandis</w:t>
      </w:r>
      <w:r w:rsidRPr="003C7592">
        <w:rPr>
          <w:rFonts w:eastAsia="Times New Roman"/>
          <w:lang w:eastAsia="en-GB"/>
        </w:rPr>
        <w:t xml:space="preserve">, </w:t>
      </w:r>
      <w:proofErr w:type="spellStart"/>
      <w:r w:rsidRPr="003C7592">
        <w:rPr>
          <w:i/>
          <w:lang w:val="it-IT"/>
        </w:rPr>
        <w:t>Cudak</w:t>
      </w:r>
      <w:proofErr w:type="spellEnd"/>
      <w:r w:rsidRPr="003C7592">
        <w:rPr>
          <w:i/>
          <w:lang w:val="it-IT"/>
        </w:rPr>
        <w:t xml:space="preserve"> v. Lithuania</w:t>
      </w:r>
      <w:r w:rsidRPr="003C7592">
        <w:rPr>
          <w:lang w:val="it-IT"/>
        </w:rPr>
        <w:t xml:space="preserve"> [GC]</w:t>
      </w:r>
      <w:r w:rsidRPr="003C7592">
        <w:rPr>
          <w:snapToGrid w:val="0"/>
          <w:lang w:val="it-IT"/>
        </w:rPr>
        <w:t>, no.</w:t>
      </w:r>
      <w:r w:rsidRPr="003C7592">
        <w:rPr>
          <w:lang w:val="it-IT"/>
        </w:rPr>
        <w:t xml:space="preserve"> 15869/02, § 79, ECHR 2010</w:t>
      </w:r>
      <w:r w:rsidRPr="003C7592">
        <w:t xml:space="preserve">). </w:t>
      </w:r>
      <w:r w:rsidRPr="003C7592">
        <w:rPr>
          <w:rFonts w:eastAsia="Times New Roman"/>
          <w:lang w:eastAsia="en-GB"/>
        </w:rPr>
        <w:t xml:space="preserve">Turning to the present case, </w:t>
      </w:r>
      <w:r w:rsidRPr="003C7592">
        <w:rPr>
          <w:lang w:val="en-GB"/>
        </w:rPr>
        <w:t>the Court notes that section 377 of the CCP provides for a ten-year time-limit for an application to have the proceedings reopened, which starts running from the date when the impugned domestic court decision became final (see paragraph 26 above). In this connection, the Court observes that more than ten years have elapsed since the Court of Cassation</w:t>
      </w:r>
      <w:r w:rsidRPr="003C7592" w:rsidR="003C7592">
        <w:rPr>
          <w:lang w:val="en-GB"/>
        </w:rPr>
        <w:t>’</w:t>
      </w:r>
      <w:r w:rsidRPr="003C7592">
        <w:rPr>
          <w:lang w:val="en-GB"/>
        </w:rPr>
        <w:t xml:space="preserve">s final decisions taken in respect of the applicants in the course of 2005 (see paragraph 20 above). The Court, therefore, notes that the applicants may not be given leave to have the proceedings reopened, should they choose to make such an application, on the grounds that their application has been lodged outside </w:t>
      </w:r>
      <w:r w:rsidRPr="003C7592" w:rsidR="00044A0D">
        <w:rPr>
          <w:lang w:val="en-GB"/>
        </w:rPr>
        <w:t>the ten-year time</w:t>
      </w:r>
      <w:r w:rsidRPr="003C7592" w:rsidR="00044A0D">
        <w:rPr>
          <w:lang w:val="en-GB"/>
        </w:rPr>
        <w:noBreakHyphen/>
      </w:r>
      <w:r w:rsidRPr="003C7592">
        <w:rPr>
          <w:lang w:val="en-GB"/>
        </w:rPr>
        <w:t>limit provided for by section 377 of the CCP.</w:t>
      </w:r>
    </w:p>
    <w:p w:rsidRPr="003C7592" w:rsidR="00354248" w:rsidP="003C7592" w:rsidRDefault="00354248">
      <w:pPr>
        <w:pStyle w:val="ECHRPara"/>
        <w:rPr>
          <w:lang w:val="en-GB"/>
        </w:rPr>
      </w:pPr>
      <w:r w:rsidRPr="003C7592">
        <w:rPr>
          <w:lang w:val="en-GB"/>
        </w:rPr>
        <w:t xml:space="preserve">65.  The Court further notes that while it cannot speculate as to what the outcome of the proceedings complained of would have been had the violation of Article 6 § 1 of the Convention not occurred, it </w:t>
      </w:r>
      <w:r w:rsidRPr="003C7592">
        <w:rPr>
          <w:rFonts w:cstheme="minorHAnsi"/>
          <w:lang w:val="en-GB"/>
        </w:rPr>
        <w:t xml:space="preserve">does not find it unreasonable to regard the applicants as having been deprived of a real opportunity in so far as they were unable to have the merits of their compensation claims examined (see, </w:t>
      </w:r>
      <w:r w:rsidRPr="003C7592">
        <w:rPr>
          <w:rFonts w:cstheme="minorHAnsi"/>
          <w:i/>
          <w:lang w:val="en-GB"/>
        </w:rPr>
        <w:t>mutatis mutandis</w:t>
      </w:r>
      <w:r w:rsidRPr="003C7592">
        <w:rPr>
          <w:rFonts w:cstheme="minorHAnsi"/>
          <w:lang w:val="en-GB"/>
        </w:rPr>
        <w:t xml:space="preserve">, </w:t>
      </w:r>
      <w:r w:rsidRPr="003C7592">
        <w:rPr>
          <w:i/>
          <w:lang w:val="pl-PL"/>
        </w:rPr>
        <w:t>Związek Nauczycielstwa Polskiego v. Poland</w:t>
      </w:r>
      <w:r w:rsidRPr="003C7592">
        <w:rPr>
          <w:lang w:val="pl-PL"/>
        </w:rPr>
        <w:t>, no. 42049/98, § 47, ECHR 2004</w:t>
      </w:r>
      <w:r w:rsidRPr="003C7592">
        <w:rPr>
          <w:lang w:val="pl-PL"/>
        </w:rPr>
        <w:noBreakHyphen/>
        <w:t>IX</w:t>
      </w:r>
      <w:r w:rsidRPr="003C7592">
        <w:rPr>
          <w:rFonts w:cstheme="minorHAnsi"/>
          <w:lang w:val="en-GB"/>
        </w:rPr>
        <w:t>). In addition, the Court considers that the applicants suffered some non</w:t>
      </w:r>
      <w:r w:rsidRPr="003C7592">
        <w:rPr>
          <w:rFonts w:cstheme="minorHAnsi"/>
          <w:lang w:val="en-GB"/>
        </w:rPr>
        <w:noBreakHyphen/>
        <w:t>pecuniary damage which is not sufficiently compensated for by the finding of a violation of the Convention.</w:t>
      </w:r>
    </w:p>
    <w:p w:rsidRPr="003C7592" w:rsidR="00354248" w:rsidP="003C7592" w:rsidRDefault="00354248">
      <w:pPr>
        <w:pStyle w:val="ECHRPara"/>
        <w:rPr>
          <w:lang w:val="en-GB"/>
        </w:rPr>
      </w:pPr>
      <w:r w:rsidRPr="003C7592">
        <w:rPr>
          <w:lang w:val="en-GB"/>
        </w:rPr>
        <w:t>66.  Therefore, taking into account the domestic law provisions which do not allow proceedings to be reopened after ten years from the date when the impugned decision became final and having regard to the nature of the violation found, the Court decides, on an equitable basis, to award under all heads of damage combined, plus any tax that may be chargeable, (</w:t>
      </w:r>
      <w:proofErr w:type="spellStart"/>
      <w:r w:rsidRPr="003C7592">
        <w:rPr>
          <w:lang w:val="en-GB"/>
        </w:rPr>
        <w:t>i</w:t>
      </w:r>
      <w:proofErr w:type="spellEnd"/>
      <w:r w:rsidRPr="003C7592">
        <w:rPr>
          <w:lang w:val="en-GB"/>
        </w:rPr>
        <w:t xml:space="preserve">) EUR 12,500 to Ms </w:t>
      </w:r>
      <w:proofErr w:type="spellStart"/>
      <w:r w:rsidRPr="003C7592">
        <w:rPr>
          <w:lang w:val="en-GB"/>
        </w:rPr>
        <w:t>Birgül</w:t>
      </w:r>
      <w:proofErr w:type="spellEnd"/>
      <w:r w:rsidRPr="003C7592">
        <w:rPr>
          <w:lang w:val="en-GB"/>
        </w:rPr>
        <w:t xml:space="preserve"> </w:t>
      </w:r>
      <w:proofErr w:type="spellStart"/>
      <w:r w:rsidRPr="003C7592">
        <w:rPr>
          <w:lang w:val="en-GB"/>
        </w:rPr>
        <w:t>Küpçüoğlu</w:t>
      </w:r>
      <w:proofErr w:type="spellEnd"/>
      <w:r w:rsidRPr="003C7592">
        <w:rPr>
          <w:lang w:val="en-GB"/>
        </w:rPr>
        <w:t xml:space="preserve"> (the heir of the applicant Mr Mustafa </w:t>
      </w:r>
      <w:proofErr w:type="spellStart"/>
      <w:r w:rsidRPr="003C7592">
        <w:rPr>
          <w:lang w:val="en-GB"/>
        </w:rPr>
        <w:t>Reha</w:t>
      </w:r>
      <w:proofErr w:type="spellEnd"/>
      <w:r w:rsidRPr="003C7592">
        <w:rPr>
          <w:lang w:val="en-GB"/>
        </w:rPr>
        <w:t> </w:t>
      </w:r>
      <w:proofErr w:type="spellStart"/>
      <w:r w:rsidRPr="003C7592">
        <w:rPr>
          <w:lang w:val="en-GB"/>
        </w:rPr>
        <w:t>Küpçüoğlu</w:t>
      </w:r>
      <w:proofErr w:type="spellEnd"/>
      <w:r w:rsidRPr="003C7592">
        <w:rPr>
          <w:lang w:val="en-GB"/>
        </w:rPr>
        <w:t xml:space="preserve">); (ii) EUR 12,500 to Ms </w:t>
      </w:r>
      <w:proofErr w:type="spellStart"/>
      <w:r w:rsidRPr="003C7592">
        <w:rPr>
          <w:lang w:val="en-GB"/>
        </w:rPr>
        <w:t>Meltem</w:t>
      </w:r>
      <w:proofErr w:type="spellEnd"/>
      <w:r w:rsidRPr="003C7592">
        <w:rPr>
          <w:lang w:val="en-GB"/>
        </w:rPr>
        <w:t xml:space="preserve"> </w:t>
      </w:r>
      <w:proofErr w:type="spellStart"/>
      <w:r w:rsidRPr="003C7592">
        <w:rPr>
          <w:lang w:val="en-GB"/>
        </w:rPr>
        <w:t>Giz</w:t>
      </w:r>
      <w:proofErr w:type="spellEnd"/>
      <w:r w:rsidRPr="003C7592">
        <w:rPr>
          <w:lang w:val="en-GB"/>
        </w:rPr>
        <w:t xml:space="preserve"> </w:t>
      </w:r>
      <w:proofErr w:type="spellStart"/>
      <w:r w:rsidRPr="003C7592">
        <w:rPr>
          <w:lang w:val="en-GB"/>
        </w:rPr>
        <w:t>Çağlayaner</w:t>
      </w:r>
      <w:proofErr w:type="spellEnd"/>
      <w:r w:rsidRPr="003C7592">
        <w:rPr>
          <w:lang w:val="en-GB"/>
        </w:rPr>
        <w:t xml:space="preserve"> and Mr </w:t>
      </w:r>
      <w:proofErr w:type="spellStart"/>
      <w:r w:rsidRPr="003C7592">
        <w:rPr>
          <w:lang w:val="en-GB"/>
        </w:rPr>
        <w:t>Tansu</w:t>
      </w:r>
      <w:proofErr w:type="spellEnd"/>
      <w:r w:rsidRPr="003C7592">
        <w:rPr>
          <w:lang w:val="en-GB"/>
        </w:rPr>
        <w:t xml:space="preserve"> </w:t>
      </w:r>
      <w:proofErr w:type="spellStart"/>
      <w:r w:rsidRPr="003C7592">
        <w:rPr>
          <w:lang w:val="en-GB"/>
        </w:rPr>
        <w:t>Giz</w:t>
      </w:r>
      <w:proofErr w:type="spellEnd"/>
      <w:r w:rsidRPr="003C7592">
        <w:rPr>
          <w:lang w:val="en-GB"/>
        </w:rPr>
        <w:t xml:space="preserve"> (the heirs of the applicant Ms </w:t>
      </w:r>
      <w:proofErr w:type="spellStart"/>
      <w:r w:rsidRPr="003C7592">
        <w:rPr>
          <w:lang w:val="en-GB"/>
        </w:rPr>
        <w:t>Hatice</w:t>
      </w:r>
      <w:proofErr w:type="spellEnd"/>
      <w:r w:rsidRPr="003C7592">
        <w:rPr>
          <w:lang w:val="en-GB"/>
        </w:rPr>
        <w:t xml:space="preserve"> </w:t>
      </w:r>
      <w:proofErr w:type="spellStart"/>
      <w:r w:rsidRPr="003C7592">
        <w:rPr>
          <w:lang w:val="en-GB"/>
        </w:rPr>
        <w:t>Füsun</w:t>
      </w:r>
      <w:proofErr w:type="spellEnd"/>
      <w:r w:rsidRPr="003C7592">
        <w:rPr>
          <w:lang w:val="en-GB"/>
        </w:rPr>
        <w:t xml:space="preserve"> </w:t>
      </w:r>
      <w:proofErr w:type="spellStart"/>
      <w:r w:rsidRPr="003C7592">
        <w:rPr>
          <w:lang w:val="en-GB"/>
        </w:rPr>
        <w:t>Giz</w:t>
      </w:r>
      <w:proofErr w:type="spellEnd"/>
      <w:r w:rsidRPr="003C7592">
        <w:rPr>
          <w:lang w:val="en-GB"/>
        </w:rPr>
        <w:t>) jointly; (iii) EUR 12,500 to the applicants Ms </w:t>
      </w:r>
      <w:proofErr w:type="spellStart"/>
      <w:r w:rsidRPr="003C7592">
        <w:rPr>
          <w:lang w:val="en-GB"/>
        </w:rPr>
        <w:t>Müjgan</w:t>
      </w:r>
      <w:proofErr w:type="spellEnd"/>
      <w:r w:rsidRPr="003C7592">
        <w:rPr>
          <w:lang w:val="en-GB"/>
        </w:rPr>
        <w:t> </w:t>
      </w:r>
      <w:proofErr w:type="spellStart"/>
      <w:r w:rsidRPr="003C7592">
        <w:rPr>
          <w:lang w:val="en-GB"/>
        </w:rPr>
        <w:t>Erdoğan</w:t>
      </w:r>
      <w:proofErr w:type="spellEnd"/>
      <w:r w:rsidRPr="003C7592">
        <w:rPr>
          <w:lang w:val="en-GB"/>
        </w:rPr>
        <w:t xml:space="preserve">, </w:t>
      </w:r>
      <w:r w:rsidRPr="003C7592" w:rsidR="00044A0D">
        <w:rPr>
          <w:lang w:val="en-GB"/>
        </w:rPr>
        <w:t>Mr </w:t>
      </w:r>
      <w:proofErr w:type="spellStart"/>
      <w:r w:rsidRPr="003C7592">
        <w:rPr>
          <w:lang w:val="en-GB"/>
        </w:rPr>
        <w:t>Süleyman</w:t>
      </w:r>
      <w:proofErr w:type="spellEnd"/>
      <w:r w:rsidRPr="003C7592">
        <w:rPr>
          <w:lang w:val="en-GB"/>
        </w:rPr>
        <w:t xml:space="preserve"> </w:t>
      </w:r>
      <w:proofErr w:type="spellStart"/>
      <w:r w:rsidRPr="003C7592">
        <w:rPr>
          <w:lang w:val="en-GB"/>
        </w:rPr>
        <w:t>Öner</w:t>
      </w:r>
      <w:proofErr w:type="spellEnd"/>
      <w:r w:rsidRPr="003C7592">
        <w:rPr>
          <w:lang w:val="en-GB"/>
        </w:rPr>
        <w:t xml:space="preserve"> </w:t>
      </w:r>
      <w:proofErr w:type="spellStart"/>
      <w:r w:rsidRPr="003C7592">
        <w:rPr>
          <w:lang w:val="en-GB"/>
        </w:rPr>
        <w:t>Erdoğan</w:t>
      </w:r>
      <w:proofErr w:type="spellEnd"/>
      <w:r w:rsidRPr="003C7592">
        <w:rPr>
          <w:lang w:val="en-GB"/>
        </w:rPr>
        <w:t xml:space="preserve"> and Mr Can </w:t>
      </w:r>
      <w:proofErr w:type="spellStart"/>
      <w:r w:rsidRPr="003C7592">
        <w:rPr>
          <w:lang w:val="en-GB"/>
        </w:rPr>
        <w:t>Erdoğan</w:t>
      </w:r>
      <w:proofErr w:type="spellEnd"/>
      <w:r w:rsidRPr="003C7592">
        <w:rPr>
          <w:lang w:val="en-GB"/>
        </w:rPr>
        <w:t xml:space="preserve"> jointly, on the grounds that they took part as claimant in the same proceedings before domestic courts; and (iv) EUR 12,500 to </w:t>
      </w:r>
      <w:proofErr w:type="spellStart"/>
      <w:r w:rsidRPr="003C7592">
        <w:rPr>
          <w:lang w:val="tr-TR"/>
        </w:rPr>
        <w:t>each</w:t>
      </w:r>
      <w:proofErr w:type="spellEnd"/>
      <w:r w:rsidRPr="003C7592">
        <w:rPr>
          <w:lang w:val="en-GB"/>
        </w:rPr>
        <w:t xml:space="preserve"> of the applicants Ms T</w:t>
      </w:r>
      <w:proofErr w:type="spellStart"/>
      <w:r w:rsidRPr="003C7592">
        <w:rPr>
          <w:lang w:val="tr-TR"/>
        </w:rPr>
        <w:t>ürkan</w:t>
      </w:r>
      <w:proofErr w:type="spellEnd"/>
      <w:r w:rsidRPr="003C7592">
        <w:rPr>
          <w:lang w:val="tr-TR"/>
        </w:rPr>
        <w:t xml:space="preserve"> </w:t>
      </w:r>
      <w:proofErr w:type="spellStart"/>
      <w:r w:rsidRPr="003C7592">
        <w:rPr>
          <w:lang w:val="tr-TR"/>
        </w:rPr>
        <w:t>Aksis</w:t>
      </w:r>
      <w:proofErr w:type="spellEnd"/>
      <w:r w:rsidRPr="003C7592">
        <w:rPr>
          <w:lang w:val="en-GB"/>
        </w:rPr>
        <w:t xml:space="preserve">, </w:t>
      </w:r>
      <w:r w:rsidRPr="003C7592" w:rsidR="00044A0D">
        <w:rPr>
          <w:lang w:val="en-GB"/>
        </w:rPr>
        <w:t>Ms </w:t>
      </w:r>
      <w:r w:rsidRPr="003C7592">
        <w:rPr>
          <w:lang w:val="en-GB"/>
        </w:rPr>
        <w:t>Ay</w:t>
      </w:r>
      <w:r w:rsidRPr="003C7592">
        <w:rPr>
          <w:lang w:val="tr-TR"/>
        </w:rPr>
        <w:t xml:space="preserve">şe </w:t>
      </w:r>
      <w:proofErr w:type="spellStart"/>
      <w:r w:rsidRPr="003C7592">
        <w:rPr>
          <w:lang w:val="tr-TR"/>
        </w:rPr>
        <w:t>Alanur</w:t>
      </w:r>
      <w:proofErr w:type="spellEnd"/>
      <w:r w:rsidRPr="003C7592">
        <w:rPr>
          <w:lang w:val="tr-TR"/>
        </w:rPr>
        <w:t xml:space="preserve"> </w:t>
      </w:r>
      <w:proofErr w:type="spellStart"/>
      <w:r w:rsidRPr="003C7592">
        <w:rPr>
          <w:lang w:val="tr-TR"/>
        </w:rPr>
        <w:t>Çimendağ</w:t>
      </w:r>
      <w:proofErr w:type="spellEnd"/>
      <w:r w:rsidRPr="003C7592">
        <w:rPr>
          <w:lang w:val="tr-TR"/>
        </w:rPr>
        <w:t xml:space="preserve">, </w:t>
      </w:r>
      <w:proofErr w:type="spellStart"/>
      <w:r w:rsidRPr="003C7592">
        <w:rPr>
          <w:lang w:val="tr-TR"/>
        </w:rPr>
        <w:t>Ms</w:t>
      </w:r>
      <w:proofErr w:type="spellEnd"/>
      <w:r w:rsidRPr="003C7592">
        <w:rPr>
          <w:lang w:val="tr-TR"/>
        </w:rPr>
        <w:t xml:space="preserve"> Gülden Okan, </w:t>
      </w:r>
      <w:proofErr w:type="spellStart"/>
      <w:r w:rsidRPr="003C7592">
        <w:rPr>
          <w:lang w:val="tr-TR"/>
        </w:rPr>
        <w:t>Mr</w:t>
      </w:r>
      <w:proofErr w:type="spellEnd"/>
      <w:r w:rsidRPr="003C7592">
        <w:rPr>
          <w:lang w:val="tr-TR"/>
        </w:rPr>
        <w:t xml:space="preserve"> Selçuk Tekbaş </w:t>
      </w:r>
      <w:proofErr w:type="spellStart"/>
      <w:r w:rsidRPr="003C7592">
        <w:rPr>
          <w:lang w:val="tr-TR"/>
        </w:rPr>
        <w:t>and</w:t>
      </w:r>
      <w:proofErr w:type="spellEnd"/>
      <w:r w:rsidRPr="003C7592">
        <w:rPr>
          <w:lang w:val="tr-TR"/>
        </w:rPr>
        <w:t xml:space="preserve"> </w:t>
      </w:r>
      <w:proofErr w:type="spellStart"/>
      <w:r w:rsidRPr="003C7592" w:rsidR="00044A0D">
        <w:rPr>
          <w:lang w:val="tr-TR"/>
        </w:rPr>
        <w:t>Mr</w:t>
      </w:r>
      <w:proofErr w:type="spellEnd"/>
      <w:r w:rsidRPr="003C7592" w:rsidR="00044A0D">
        <w:rPr>
          <w:lang w:val="tr-TR"/>
        </w:rPr>
        <w:t> </w:t>
      </w:r>
      <w:r w:rsidRPr="003C7592">
        <w:rPr>
          <w:lang w:val="tr-TR"/>
        </w:rPr>
        <w:t>Aziz Cüneyt Yüksel</w:t>
      </w:r>
      <w:r w:rsidRPr="003C7592">
        <w:rPr>
          <w:lang w:val="en-GB"/>
        </w:rPr>
        <w:t>.</w:t>
      </w:r>
    </w:p>
    <w:p w:rsidRPr="003C7592" w:rsidR="00354248" w:rsidP="003C7592" w:rsidRDefault="00354248">
      <w:pPr>
        <w:pStyle w:val="ECHRHeading2"/>
        <w:rPr>
          <w:lang w:val="en-GB"/>
        </w:rPr>
      </w:pPr>
      <w:r w:rsidRPr="003C7592">
        <w:rPr>
          <w:lang w:val="en-GB"/>
        </w:rPr>
        <w:t>B.  Costs and expenses</w:t>
      </w:r>
    </w:p>
    <w:p w:rsidRPr="003C7592" w:rsidR="00354248" w:rsidP="003C7592" w:rsidRDefault="00354248">
      <w:pPr>
        <w:pStyle w:val="ECHRPara"/>
        <w:rPr>
          <w:lang w:val="en-GB"/>
        </w:rPr>
      </w:pPr>
      <w:r w:rsidRPr="003C7592">
        <w:rPr>
          <w:lang w:val="en-GB"/>
        </w:rPr>
        <w:t>67.  The applicants claimed an amount equal to 20% of the just satisfaction awarded by the Court in costs under the terms of the legal services agreement they allegedly have entered into with their representative in respect of their legal representation in the proceedings before the Court.</w:t>
      </w:r>
    </w:p>
    <w:p w:rsidRPr="003C7592" w:rsidR="00354248" w:rsidP="003C7592" w:rsidRDefault="00354248">
      <w:pPr>
        <w:pStyle w:val="ECHRPara"/>
        <w:rPr>
          <w:lang w:val="en-GB"/>
        </w:rPr>
      </w:pPr>
      <w:r w:rsidRPr="003C7592">
        <w:rPr>
          <w:lang w:val="en-GB"/>
        </w:rPr>
        <w:t>68.  The Government objected to the applicants</w:t>
      </w:r>
      <w:r w:rsidRPr="003C7592" w:rsidR="003C7592">
        <w:rPr>
          <w:lang w:val="en-GB"/>
        </w:rPr>
        <w:t>’</w:t>
      </w:r>
      <w:r w:rsidRPr="003C7592">
        <w:rPr>
          <w:lang w:val="en-GB"/>
        </w:rPr>
        <w:t xml:space="preserve"> claim, arguing that they had not provided a copy of the legal services agreement or any other document proving they had incurred any costs.</w:t>
      </w:r>
    </w:p>
    <w:p w:rsidRPr="003C7592" w:rsidR="00354248" w:rsidP="003C7592" w:rsidRDefault="00354248">
      <w:pPr>
        <w:pStyle w:val="ECHRPara"/>
        <w:rPr>
          <w:lang w:val="en-GB"/>
        </w:rPr>
      </w:pPr>
      <w:r w:rsidRPr="003C7592">
        <w:rPr>
          <w:lang w:val="en-GB"/>
        </w:rPr>
        <w:t>69.  According to the Court</w:t>
      </w:r>
      <w:r w:rsidRPr="003C7592" w:rsidR="003C7592">
        <w:rPr>
          <w:lang w:val="en-GB"/>
        </w:rPr>
        <w:t>’</w:t>
      </w:r>
      <w:r w:rsidRPr="003C7592">
        <w:rPr>
          <w:lang w:val="en-GB"/>
        </w:rPr>
        <w:t xml:space="preserve">s case-law, an applicant is entitled to reimbursement of his or her costs and expenses only in so far as it has been shown that these have been actually and necessarily incurred and </w:t>
      </w:r>
      <w:proofErr w:type="gramStart"/>
      <w:r w:rsidRPr="003C7592">
        <w:rPr>
          <w:lang w:val="en-GB"/>
        </w:rPr>
        <w:t>were</w:t>
      </w:r>
      <w:proofErr w:type="gramEnd"/>
      <w:r w:rsidRPr="003C7592">
        <w:rPr>
          <w:lang w:val="en-GB"/>
        </w:rPr>
        <w:t xml:space="preserve"> reasonable as to quantum.</w:t>
      </w:r>
    </w:p>
    <w:p w:rsidRPr="003C7592" w:rsidR="00354248" w:rsidP="003C7592" w:rsidRDefault="00354248">
      <w:pPr>
        <w:pStyle w:val="ECHRPara"/>
        <w:rPr>
          <w:lang w:val="en-GB"/>
        </w:rPr>
      </w:pPr>
      <w:r w:rsidRPr="003C7592">
        <w:rPr>
          <w:lang w:val="en-GB"/>
        </w:rPr>
        <w:t xml:space="preserve">70.  The Court observes that the applicants were represented throughout the proceedings before the Court by Mr E. </w:t>
      </w:r>
      <w:proofErr w:type="spellStart"/>
      <w:r w:rsidRPr="003C7592">
        <w:rPr>
          <w:lang w:val="en-GB"/>
        </w:rPr>
        <w:t>Cinmen</w:t>
      </w:r>
      <w:proofErr w:type="spellEnd"/>
      <w:r w:rsidRPr="003C7592">
        <w:rPr>
          <w:lang w:val="en-GB"/>
        </w:rPr>
        <w:t xml:space="preserve">. However, the applicants did not submit a copy of the legal services agreement showing that they had already incurred the above expenses or were under a legally enforceable obligation to pay any fee to Mr E. </w:t>
      </w:r>
      <w:proofErr w:type="spellStart"/>
      <w:r w:rsidRPr="003C7592">
        <w:rPr>
          <w:lang w:val="en-GB"/>
        </w:rPr>
        <w:t>Cinmen</w:t>
      </w:r>
      <w:proofErr w:type="spellEnd"/>
      <w:r w:rsidRPr="003C7592">
        <w:rPr>
          <w:lang w:val="en-GB"/>
        </w:rPr>
        <w:t xml:space="preserve"> (see, </w:t>
      </w:r>
      <w:r w:rsidRPr="003C7592">
        <w:rPr>
          <w:i/>
          <w:lang w:val="en-GB"/>
        </w:rPr>
        <w:t>mutatis mutandis</w:t>
      </w:r>
      <w:r w:rsidRPr="003C7592">
        <w:rPr>
          <w:lang w:val="en-GB"/>
        </w:rPr>
        <w:t xml:space="preserve">, </w:t>
      </w:r>
      <w:proofErr w:type="spellStart"/>
      <w:r w:rsidRPr="003C7592">
        <w:rPr>
          <w:i/>
          <w:lang w:val="en-GB"/>
        </w:rPr>
        <w:t>Salmanov</w:t>
      </w:r>
      <w:proofErr w:type="spellEnd"/>
      <w:r w:rsidRPr="003C7592">
        <w:rPr>
          <w:i/>
          <w:lang w:val="en-GB"/>
        </w:rPr>
        <w:t xml:space="preserve"> v. Russia</w:t>
      </w:r>
      <w:r w:rsidRPr="003C7592">
        <w:rPr>
          <w:lang w:val="en-GB"/>
        </w:rPr>
        <w:t>, no. 3522/04, § 98, 31 July 2008). The Court also observes that the applicants did not submit any itemised statements, or the rates and number of hours for which the representative had charged either.</w:t>
      </w:r>
    </w:p>
    <w:p w:rsidRPr="003C7592" w:rsidR="00354248" w:rsidP="003C7592" w:rsidRDefault="00354248">
      <w:pPr>
        <w:pStyle w:val="ECHRPara"/>
        <w:rPr>
          <w:lang w:val="en-GB"/>
        </w:rPr>
      </w:pPr>
      <w:r w:rsidRPr="003C7592">
        <w:rPr>
          <w:lang w:val="en-GB"/>
        </w:rPr>
        <w:t>71.  The Court therefore rejects the applicants</w:t>
      </w:r>
      <w:r w:rsidRPr="003C7592" w:rsidR="003C7592">
        <w:rPr>
          <w:lang w:val="en-GB"/>
        </w:rPr>
        <w:t>’</w:t>
      </w:r>
      <w:r w:rsidRPr="003C7592">
        <w:rPr>
          <w:lang w:val="en-GB"/>
        </w:rPr>
        <w:t xml:space="preserve"> claim under this head.</w:t>
      </w:r>
    </w:p>
    <w:p w:rsidRPr="003C7592" w:rsidR="00354248" w:rsidP="003C7592" w:rsidRDefault="00354248">
      <w:pPr>
        <w:pStyle w:val="ECHRHeading2"/>
        <w:rPr>
          <w:lang w:val="en-GB"/>
        </w:rPr>
      </w:pPr>
      <w:r w:rsidRPr="003C7592">
        <w:rPr>
          <w:lang w:val="en-GB"/>
        </w:rPr>
        <w:t>C.  Default interest</w:t>
      </w:r>
    </w:p>
    <w:p w:rsidRPr="003C7592" w:rsidR="00354248" w:rsidP="003C7592" w:rsidRDefault="00354248">
      <w:pPr>
        <w:pStyle w:val="ECHRPara"/>
        <w:rPr>
          <w:lang w:val="en-GB"/>
        </w:rPr>
      </w:pPr>
      <w:r w:rsidRPr="003C7592">
        <w:rPr>
          <w:lang w:val="en-GB"/>
        </w:rPr>
        <w:t>72.  The Court considers it appropriate that the default interest rate should be based on the marginal lending rate of the European Central Bank, to which should be added three percentage points.</w:t>
      </w:r>
    </w:p>
    <w:p w:rsidRPr="003C7592" w:rsidR="00354248" w:rsidP="003C7592" w:rsidRDefault="00354248">
      <w:pPr>
        <w:pStyle w:val="ECHRTitle1"/>
        <w:rPr>
          <w:lang w:val="en-GB"/>
        </w:rPr>
      </w:pPr>
      <w:r w:rsidRPr="003C7592">
        <w:rPr>
          <w:lang w:val="en-GB"/>
        </w:rPr>
        <w:t>FOR THESE REASONS, THE COURT, UNANIMOUSLY,</w:t>
      </w:r>
    </w:p>
    <w:p w:rsidRPr="003C7592" w:rsidR="00354248" w:rsidP="003C7592" w:rsidRDefault="00354248">
      <w:pPr>
        <w:pStyle w:val="JuList"/>
        <w:rPr>
          <w:i/>
          <w:lang w:val="en-GB"/>
        </w:rPr>
      </w:pPr>
      <w:r w:rsidRPr="003C7592">
        <w:rPr>
          <w:lang w:val="en-GB"/>
        </w:rPr>
        <w:t>1.  </w:t>
      </w:r>
      <w:r w:rsidRPr="003C7592">
        <w:rPr>
          <w:i/>
          <w:lang w:val="en-GB"/>
        </w:rPr>
        <w:t xml:space="preserve">Decides </w:t>
      </w:r>
      <w:r w:rsidRPr="003C7592">
        <w:rPr>
          <w:lang w:val="en-GB"/>
        </w:rPr>
        <w:t xml:space="preserve">to strike the application out of its list of cases in so far as it concerns the applicants Ms </w:t>
      </w:r>
      <w:proofErr w:type="spellStart"/>
      <w:r w:rsidRPr="003C7592">
        <w:rPr>
          <w:lang w:val="en-GB"/>
        </w:rPr>
        <w:t>Fahriye</w:t>
      </w:r>
      <w:proofErr w:type="spellEnd"/>
      <w:r w:rsidRPr="003C7592">
        <w:rPr>
          <w:lang w:val="en-GB"/>
        </w:rPr>
        <w:t xml:space="preserve"> Baran and Mr Mehmet </w:t>
      </w:r>
      <w:proofErr w:type="spellStart"/>
      <w:r w:rsidRPr="003C7592">
        <w:rPr>
          <w:lang w:val="en-GB"/>
        </w:rPr>
        <w:t>Semih</w:t>
      </w:r>
      <w:proofErr w:type="spellEnd"/>
      <w:r w:rsidRPr="003C7592">
        <w:rPr>
          <w:lang w:val="en-GB"/>
        </w:rPr>
        <w:t> </w:t>
      </w:r>
      <w:proofErr w:type="spellStart"/>
      <w:r w:rsidRPr="003C7592">
        <w:rPr>
          <w:lang w:val="en-GB"/>
        </w:rPr>
        <w:t>Yazgan</w:t>
      </w:r>
      <w:proofErr w:type="spellEnd"/>
      <w:r w:rsidRPr="003C7592">
        <w:rPr>
          <w:lang w:val="en-GB"/>
        </w:rPr>
        <w:t>;</w:t>
      </w:r>
    </w:p>
    <w:p w:rsidRPr="003C7592" w:rsidR="00354248" w:rsidP="003C7592" w:rsidRDefault="00354248">
      <w:pPr>
        <w:pStyle w:val="JuList"/>
        <w:rPr>
          <w:i/>
          <w:lang w:val="en-GB"/>
        </w:rPr>
      </w:pPr>
    </w:p>
    <w:p w:rsidRPr="003C7592" w:rsidR="00354248" w:rsidP="003C7592" w:rsidRDefault="00354248">
      <w:pPr>
        <w:pStyle w:val="JuList"/>
        <w:rPr>
          <w:i/>
          <w:lang w:val="en-GB"/>
        </w:rPr>
      </w:pPr>
      <w:r w:rsidRPr="003C7592">
        <w:rPr>
          <w:lang w:val="en-GB"/>
        </w:rPr>
        <w:t>2.  </w:t>
      </w:r>
      <w:r w:rsidRPr="003C7592">
        <w:rPr>
          <w:i/>
          <w:lang w:val="en-GB"/>
        </w:rPr>
        <w:t xml:space="preserve">Holds </w:t>
      </w:r>
      <w:r w:rsidRPr="003C7592">
        <w:rPr>
          <w:lang w:val="en-GB"/>
        </w:rPr>
        <w:t xml:space="preserve">that the applicant Mr Mustafa </w:t>
      </w:r>
      <w:proofErr w:type="spellStart"/>
      <w:r w:rsidRPr="003C7592">
        <w:rPr>
          <w:lang w:val="en-GB"/>
        </w:rPr>
        <w:t>Reha</w:t>
      </w:r>
      <w:proofErr w:type="spellEnd"/>
      <w:r w:rsidRPr="003C7592">
        <w:rPr>
          <w:lang w:val="en-GB"/>
        </w:rPr>
        <w:t xml:space="preserve"> </w:t>
      </w:r>
      <w:proofErr w:type="spellStart"/>
      <w:r w:rsidRPr="003C7592">
        <w:rPr>
          <w:lang w:val="en-GB"/>
        </w:rPr>
        <w:t>Küpçüoğlu</w:t>
      </w:r>
      <w:r w:rsidRPr="003C7592" w:rsidR="003C7592">
        <w:rPr>
          <w:lang w:val="en-GB"/>
        </w:rPr>
        <w:t>’</w:t>
      </w:r>
      <w:r w:rsidRPr="003C7592">
        <w:rPr>
          <w:lang w:val="en-GB"/>
        </w:rPr>
        <w:t>s</w:t>
      </w:r>
      <w:proofErr w:type="spellEnd"/>
      <w:r w:rsidRPr="003C7592">
        <w:rPr>
          <w:lang w:val="en-GB"/>
        </w:rPr>
        <w:t xml:space="preserve"> wife, Ms </w:t>
      </w:r>
      <w:proofErr w:type="spellStart"/>
      <w:r w:rsidRPr="003C7592">
        <w:rPr>
          <w:lang w:val="en-GB"/>
        </w:rPr>
        <w:t>Birgül</w:t>
      </w:r>
      <w:proofErr w:type="spellEnd"/>
      <w:r w:rsidRPr="003C7592">
        <w:rPr>
          <w:lang w:val="en-GB"/>
        </w:rPr>
        <w:t> </w:t>
      </w:r>
      <w:proofErr w:type="spellStart"/>
      <w:r w:rsidRPr="003C7592">
        <w:rPr>
          <w:lang w:val="en-GB"/>
        </w:rPr>
        <w:t>Küpçüoğlu</w:t>
      </w:r>
      <w:proofErr w:type="spellEnd"/>
      <w:r w:rsidRPr="003C7592">
        <w:rPr>
          <w:lang w:val="en-GB"/>
        </w:rPr>
        <w:t xml:space="preserve">, and the applicant Ms </w:t>
      </w:r>
      <w:proofErr w:type="spellStart"/>
      <w:r w:rsidRPr="003C7592">
        <w:rPr>
          <w:lang w:val="en-GB"/>
        </w:rPr>
        <w:t>Hatice</w:t>
      </w:r>
      <w:proofErr w:type="spellEnd"/>
      <w:r w:rsidRPr="003C7592">
        <w:rPr>
          <w:lang w:val="en-GB"/>
        </w:rPr>
        <w:t xml:space="preserve"> </w:t>
      </w:r>
      <w:proofErr w:type="spellStart"/>
      <w:r w:rsidRPr="003C7592">
        <w:rPr>
          <w:lang w:val="en-GB"/>
        </w:rPr>
        <w:t>Füsun</w:t>
      </w:r>
      <w:proofErr w:type="spellEnd"/>
      <w:r w:rsidRPr="003C7592">
        <w:rPr>
          <w:lang w:val="en-GB"/>
        </w:rPr>
        <w:t xml:space="preserve"> </w:t>
      </w:r>
      <w:proofErr w:type="spellStart"/>
      <w:r w:rsidRPr="003C7592">
        <w:rPr>
          <w:lang w:val="en-GB"/>
        </w:rPr>
        <w:t>Giz</w:t>
      </w:r>
      <w:r w:rsidRPr="003C7592" w:rsidR="003C7592">
        <w:rPr>
          <w:lang w:val="en-GB"/>
        </w:rPr>
        <w:t>’</w:t>
      </w:r>
      <w:r w:rsidRPr="003C7592">
        <w:rPr>
          <w:lang w:val="en-GB"/>
        </w:rPr>
        <w:t>s</w:t>
      </w:r>
      <w:proofErr w:type="spellEnd"/>
      <w:r w:rsidRPr="003C7592">
        <w:rPr>
          <w:lang w:val="en-GB"/>
        </w:rPr>
        <w:t xml:space="preserve"> children, Ms </w:t>
      </w:r>
      <w:proofErr w:type="spellStart"/>
      <w:r w:rsidRPr="003C7592">
        <w:rPr>
          <w:lang w:val="en-GB"/>
        </w:rPr>
        <w:t>Meltem</w:t>
      </w:r>
      <w:proofErr w:type="spellEnd"/>
      <w:r w:rsidRPr="003C7592">
        <w:rPr>
          <w:lang w:val="en-GB"/>
        </w:rPr>
        <w:t xml:space="preserve"> </w:t>
      </w:r>
      <w:proofErr w:type="spellStart"/>
      <w:r w:rsidRPr="003C7592">
        <w:rPr>
          <w:lang w:val="en-GB"/>
        </w:rPr>
        <w:t>Giz</w:t>
      </w:r>
      <w:proofErr w:type="spellEnd"/>
      <w:r w:rsidRPr="003C7592">
        <w:rPr>
          <w:lang w:val="en-GB"/>
        </w:rPr>
        <w:t xml:space="preserve"> </w:t>
      </w:r>
      <w:proofErr w:type="spellStart"/>
      <w:r w:rsidRPr="003C7592">
        <w:rPr>
          <w:lang w:val="en-GB"/>
        </w:rPr>
        <w:t>Ça</w:t>
      </w:r>
      <w:r w:rsidRPr="003C7592">
        <w:rPr>
          <w:lang w:val="tr-TR"/>
        </w:rPr>
        <w:t>ğlayaner</w:t>
      </w:r>
      <w:proofErr w:type="spellEnd"/>
      <w:r w:rsidRPr="003C7592">
        <w:rPr>
          <w:lang w:val="en-GB"/>
        </w:rPr>
        <w:t xml:space="preserve"> and Mr </w:t>
      </w:r>
      <w:proofErr w:type="spellStart"/>
      <w:r w:rsidRPr="003C7592">
        <w:rPr>
          <w:lang w:val="en-GB"/>
        </w:rPr>
        <w:t>Tansu</w:t>
      </w:r>
      <w:proofErr w:type="spellEnd"/>
      <w:r w:rsidRPr="003C7592">
        <w:rPr>
          <w:lang w:val="en-GB"/>
        </w:rPr>
        <w:t xml:space="preserve"> </w:t>
      </w:r>
      <w:proofErr w:type="spellStart"/>
      <w:r w:rsidRPr="003C7592">
        <w:rPr>
          <w:lang w:val="en-GB"/>
        </w:rPr>
        <w:t>Giz</w:t>
      </w:r>
      <w:proofErr w:type="spellEnd"/>
      <w:r w:rsidRPr="003C7592">
        <w:rPr>
          <w:lang w:val="en-GB"/>
        </w:rPr>
        <w:t>, have standing to continue the present proceedings;</w:t>
      </w:r>
    </w:p>
    <w:p w:rsidRPr="003C7592" w:rsidR="00354248" w:rsidP="003C7592" w:rsidRDefault="00354248">
      <w:pPr>
        <w:pStyle w:val="JuList"/>
        <w:rPr>
          <w:i/>
          <w:lang w:val="tr-TR"/>
        </w:rPr>
      </w:pPr>
    </w:p>
    <w:p w:rsidRPr="003C7592" w:rsidR="00354248" w:rsidP="003C7592" w:rsidRDefault="00354248">
      <w:pPr>
        <w:pStyle w:val="JuList"/>
        <w:rPr>
          <w:lang w:val="en-GB"/>
        </w:rPr>
      </w:pPr>
      <w:r w:rsidRPr="003C7592">
        <w:rPr>
          <w:lang w:val="tr-TR"/>
        </w:rPr>
        <w:t>3.</w:t>
      </w:r>
      <w:r w:rsidRPr="003C7592">
        <w:rPr>
          <w:lang w:val="en-GB"/>
        </w:rPr>
        <w:t>  </w:t>
      </w:r>
      <w:r w:rsidRPr="003C7592">
        <w:rPr>
          <w:i/>
          <w:lang w:val="en-GB"/>
        </w:rPr>
        <w:t xml:space="preserve">Declares </w:t>
      </w:r>
      <w:r w:rsidRPr="003C7592">
        <w:rPr>
          <w:lang w:val="en-GB"/>
        </w:rPr>
        <w:t xml:space="preserve">the application in so far as it concerns Ms </w:t>
      </w:r>
      <w:proofErr w:type="spellStart"/>
      <w:r w:rsidRPr="003C7592">
        <w:rPr>
          <w:lang w:val="en-GB"/>
        </w:rPr>
        <w:t>Nevzer</w:t>
      </w:r>
      <w:proofErr w:type="spellEnd"/>
      <w:r w:rsidRPr="003C7592">
        <w:rPr>
          <w:lang w:val="en-GB"/>
        </w:rPr>
        <w:t xml:space="preserve"> </w:t>
      </w:r>
      <w:proofErr w:type="spellStart"/>
      <w:r w:rsidRPr="003C7592">
        <w:rPr>
          <w:lang w:val="en-GB"/>
        </w:rPr>
        <w:t>Zorlu</w:t>
      </w:r>
      <w:proofErr w:type="spellEnd"/>
      <w:r w:rsidRPr="003C7592">
        <w:rPr>
          <w:lang w:val="en-GB"/>
        </w:rPr>
        <w:t xml:space="preserve"> inadmissible;</w:t>
      </w:r>
    </w:p>
    <w:p w:rsidRPr="003C7592" w:rsidR="00354248" w:rsidP="003C7592" w:rsidRDefault="00354248">
      <w:pPr>
        <w:pStyle w:val="JuList"/>
        <w:rPr>
          <w:lang w:val="en-GB"/>
        </w:rPr>
      </w:pPr>
    </w:p>
    <w:p w:rsidRPr="003C7592" w:rsidR="00354248" w:rsidP="003C7592" w:rsidRDefault="00354248">
      <w:pPr>
        <w:pStyle w:val="JuList"/>
        <w:rPr>
          <w:lang w:val="en-GB"/>
        </w:rPr>
      </w:pPr>
      <w:r w:rsidRPr="003C7592">
        <w:rPr>
          <w:lang w:val="en-GB"/>
        </w:rPr>
        <w:t>4.  </w:t>
      </w:r>
      <w:r w:rsidRPr="003C7592">
        <w:rPr>
          <w:i/>
          <w:lang w:val="en-GB"/>
        </w:rPr>
        <w:t xml:space="preserve">Declares </w:t>
      </w:r>
      <w:r w:rsidRPr="003C7592">
        <w:rPr>
          <w:lang w:val="en-GB"/>
        </w:rPr>
        <w:t>the remaining applicants</w:t>
      </w:r>
      <w:r w:rsidRPr="003C7592" w:rsidR="003C7592">
        <w:rPr>
          <w:lang w:val="en-GB"/>
        </w:rPr>
        <w:t>’</w:t>
      </w:r>
      <w:r w:rsidRPr="003C7592">
        <w:rPr>
          <w:lang w:val="en-GB"/>
        </w:rPr>
        <w:t xml:space="preserve"> complaints under Article 6 </w:t>
      </w:r>
      <w:r w:rsidRPr="003C7592">
        <w:rPr>
          <w:rFonts w:cstheme="minorHAnsi"/>
          <w:lang w:val="en-GB"/>
        </w:rPr>
        <w:t>§</w:t>
      </w:r>
      <w:r w:rsidRPr="003C7592">
        <w:rPr>
          <w:lang w:val="en-GB"/>
        </w:rPr>
        <w:t xml:space="preserve"> 1 of the Convention and under Article 1 of Protocol No. 1 admissible;</w:t>
      </w:r>
    </w:p>
    <w:p w:rsidRPr="003C7592" w:rsidR="00354248" w:rsidP="003C7592" w:rsidRDefault="00354248">
      <w:pPr>
        <w:pStyle w:val="JuList"/>
        <w:rPr>
          <w:lang w:val="en-GB"/>
        </w:rPr>
      </w:pPr>
    </w:p>
    <w:p w:rsidRPr="003C7592" w:rsidR="00354248" w:rsidP="003C7592" w:rsidRDefault="00354248">
      <w:pPr>
        <w:pStyle w:val="JuList"/>
        <w:rPr>
          <w:lang w:val="en-GB"/>
        </w:rPr>
      </w:pPr>
      <w:r w:rsidRPr="003C7592">
        <w:rPr>
          <w:lang w:val="en-GB"/>
        </w:rPr>
        <w:t>5.  </w:t>
      </w:r>
      <w:r w:rsidRPr="003C7592">
        <w:rPr>
          <w:i/>
          <w:lang w:val="en-GB"/>
        </w:rPr>
        <w:t>Holds</w:t>
      </w:r>
      <w:r w:rsidRPr="003C7592">
        <w:rPr>
          <w:lang w:val="en-GB"/>
        </w:rPr>
        <w:t xml:space="preserve"> that there has been a violation of Article 6 </w:t>
      </w:r>
      <w:r w:rsidRPr="003C7592">
        <w:rPr>
          <w:rFonts w:cstheme="minorHAnsi"/>
          <w:lang w:val="en-GB"/>
        </w:rPr>
        <w:t>§</w:t>
      </w:r>
      <w:r w:rsidRPr="003C7592">
        <w:rPr>
          <w:lang w:val="en-GB"/>
        </w:rPr>
        <w:t xml:space="preserve"> 1 of the Convention;</w:t>
      </w:r>
    </w:p>
    <w:p w:rsidRPr="003C7592" w:rsidR="00354248" w:rsidP="003C7592" w:rsidRDefault="00354248">
      <w:pPr>
        <w:pStyle w:val="JuList"/>
        <w:rPr>
          <w:lang w:val="en-GB"/>
        </w:rPr>
      </w:pPr>
    </w:p>
    <w:p w:rsidRPr="003C7592" w:rsidR="00354248" w:rsidP="003C7592" w:rsidRDefault="00354248">
      <w:pPr>
        <w:pStyle w:val="JuList"/>
        <w:rPr>
          <w:lang w:val="en-GB"/>
        </w:rPr>
      </w:pPr>
      <w:r w:rsidRPr="003C7592">
        <w:rPr>
          <w:lang w:val="en-GB"/>
        </w:rPr>
        <w:t>6.  </w:t>
      </w:r>
      <w:proofErr w:type="gramStart"/>
      <w:r w:rsidRPr="003C7592">
        <w:rPr>
          <w:i/>
          <w:lang w:val="en-GB"/>
        </w:rPr>
        <w:t>Holds</w:t>
      </w:r>
      <w:proofErr w:type="gramEnd"/>
      <w:r w:rsidRPr="003C7592">
        <w:rPr>
          <w:lang w:val="en-GB"/>
        </w:rPr>
        <w:t xml:space="preserve"> that there is no need to examine the complaints under Article 1 of Protocol No. 1;</w:t>
      </w:r>
    </w:p>
    <w:p w:rsidRPr="003C7592" w:rsidR="00354248" w:rsidP="003C7592" w:rsidRDefault="00354248">
      <w:pPr>
        <w:pStyle w:val="JuList"/>
        <w:ind w:left="0" w:firstLine="0"/>
        <w:rPr>
          <w:lang w:val="en-GB"/>
        </w:rPr>
      </w:pPr>
    </w:p>
    <w:p w:rsidRPr="003C7592" w:rsidR="00354248" w:rsidP="003C7592" w:rsidRDefault="00354248">
      <w:pPr>
        <w:pStyle w:val="JuList"/>
        <w:rPr>
          <w:lang w:val="en-GB"/>
        </w:rPr>
      </w:pPr>
      <w:r w:rsidRPr="003C7592">
        <w:rPr>
          <w:lang w:val="en-GB"/>
        </w:rPr>
        <w:t>7.  </w:t>
      </w:r>
      <w:r w:rsidRPr="003C7592">
        <w:rPr>
          <w:i/>
          <w:lang w:val="en-GB"/>
        </w:rPr>
        <w:t>Holds</w:t>
      </w:r>
    </w:p>
    <w:p w:rsidRPr="003C7592" w:rsidR="00354248" w:rsidP="003C7592" w:rsidRDefault="00354248">
      <w:pPr>
        <w:pStyle w:val="JuLista"/>
        <w:rPr>
          <w:lang w:val="en-GB"/>
        </w:rPr>
      </w:pPr>
      <w:r w:rsidRPr="003C7592">
        <w:rPr>
          <w:lang w:val="en-GB"/>
        </w:rPr>
        <w:t>(a)  that the respondent State is to pay, within three months from the date on which the judgment becomes final in accordance with Article 44 § 2 of the Convention, the following amounts, to be converted into the currency of the respondent State at the rate applicable at the date of settlement, plus any tax that may be chargeable, in respect of pecuniary and non-pecuniary damage:</w:t>
      </w:r>
    </w:p>
    <w:p w:rsidRPr="003C7592" w:rsidR="00354248" w:rsidP="003C7592" w:rsidRDefault="00D30F28">
      <w:pPr>
        <w:pStyle w:val="JuListi"/>
        <w:rPr>
          <w:lang w:val="en-GB"/>
        </w:rPr>
      </w:pPr>
      <w:r w:rsidRPr="003C7592">
        <w:rPr>
          <w:lang w:val="en-GB"/>
        </w:rPr>
        <w:t>(</w:t>
      </w:r>
      <w:proofErr w:type="spellStart"/>
      <w:r w:rsidRPr="003C7592">
        <w:rPr>
          <w:lang w:val="en-GB"/>
        </w:rPr>
        <w:t>i</w:t>
      </w:r>
      <w:proofErr w:type="spellEnd"/>
      <w:r w:rsidRPr="003C7592">
        <w:rPr>
          <w:lang w:val="en-GB"/>
        </w:rPr>
        <w:t>)  </w:t>
      </w:r>
      <w:r w:rsidRPr="003C7592" w:rsidR="00354248">
        <w:rPr>
          <w:lang w:val="en-GB"/>
        </w:rPr>
        <w:t xml:space="preserve">EUR 12,500 (twelve thousand five hundred euros) to </w:t>
      </w:r>
      <w:r w:rsidRPr="003C7592" w:rsidR="00044A0D">
        <w:rPr>
          <w:lang w:val="en-GB"/>
        </w:rPr>
        <w:t>Ms </w:t>
      </w:r>
      <w:proofErr w:type="spellStart"/>
      <w:r w:rsidRPr="003C7592" w:rsidR="00044A0D">
        <w:rPr>
          <w:lang w:val="en-GB"/>
        </w:rPr>
        <w:t>Birgül</w:t>
      </w:r>
      <w:proofErr w:type="spellEnd"/>
      <w:r w:rsidRPr="003C7592" w:rsidR="00044A0D">
        <w:rPr>
          <w:lang w:val="en-GB"/>
        </w:rPr>
        <w:t> </w:t>
      </w:r>
      <w:proofErr w:type="spellStart"/>
      <w:r w:rsidRPr="003C7592" w:rsidR="00354248">
        <w:rPr>
          <w:lang w:val="en-GB"/>
        </w:rPr>
        <w:t>Küpçüoğlu</w:t>
      </w:r>
      <w:proofErr w:type="spellEnd"/>
      <w:r w:rsidRPr="003C7592" w:rsidR="00354248">
        <w:rPr>
          <w:lang w:val="en-GB"/>
        </w:rPr>
        <w:t xml:space="preserve"> (the heir of the applicant Mr Mustafa </w:t>
      </w:r>
      <w:proofErr w:type="spellStart"/>
      <w:r w:rsidRPr="003C7592" w:rsidR="00354248">
        <w:rPr>
          <w:lang w:val="en-GB"/>
        </w:rPr>
        <w:t>Reha</w:t>
      </w:r>
      <w:proofErr w:type="spellEnd"/>
      <w:r w:rsidRPr="003C7592" w:rsidR="00354248">
        <w:rPr>
          <w:lang w:val="en-GB"/>
        </w:rPr>
        <w:t> </w:t>
      </w:r>
      <w:proofErr w:type="spellStart"/>
      <w:r w:rsidRPr="003C7592" w:rsidR="00354248">
        <w:rPr>
          <w:lang w:val="en-GB"/>
        </w:rPr>
        <w:t>Küpçüoğlu</w:t>
      </w:r>
      <w:proofErr w:type="spellEnd"/>
      <w:r w:rsidRPr="003C7592" w:rsidR="00354248">
        <w:rPr>
          <w:lang w:val="en-GB"/>
        </w:rPr>
        <w:t>);</w:t>
      </w:r>
    </w:p>
    <w:p w:rsidRPr="003C7592" w:rsidR="00354248" w:rsidP="003C7592" w:rsidRDefault="00D30F28">
      <w:pPr>
        <w:pStyle w:val="JuListi"/>
        <w:rPr>
          <w:lang w:val="en-GB"/>
        </w:rPr>
      </w:pPr>
      <w:r w:rsidRPr="003C7592">
        <w:rPr>
          <w:lang w:val="en-GB"/>
        </w:rPr>
        <w:t>(ii)  </w:t>
      </w:r>
      <w:r w:rsidRPr="003C7592" w:rsidR="00354248">
        <w:rPr>
          <w:lang w:val="en-GB"/>
        </w:rPr>
        <w:t xml:space="preserve">EUR 12,500 (twelve thousand five hundred euros) to </w:t>
      </w:r>
      <w:r w:rsidRPr="003C7592" w:rsidR="00044A0D">
        <w:rPr>
          <w:lang w:val="en-GB"/>
        </w:rPr>
        <w:t>Ms </w:t>
      </w:r>
      <w:proofErr w:type="spellStart"/>
      <w:r w:rsidRPr="003C7592" w:rsidR="00354248">
        <w:rPr>
          <w:lang w:val="en-GB"/>
        </w:rPr>
        <w:t>Meltem</w:t>
      </w:r>
      <w:proofErr w:type="spellEnd"/>
      <w:r w:rsidRPr="003C7592" w:rsidR="00354248">
        <w:rPr>
          <w:lang w:val="en-GB"/>
        </w:rPr>
        <w:t xml:space="preserve"> </w:t>
      </w:r>
      <w:proofErr w:type="spellStart"/>
      <w:r w:rsidRPr="003C7592" w:rsidR="00354248">
        <w:rPr>
          <w:lang w:val="en-GB"/>
        </w:rPr>
        <w:t>Giz</w:t>
      </w:r>
      <w:proofErr w:type="spellEnd"/>
      <w:r w:rsidRPr="003C7592" w:rsidR="00354248">
        <w:rPr>
          <w:lang w:val="en-GB"/>
        </w:rPr>
        <w:t xml:space="preserve"> </w:t>
      </w:r>
      <w:proofErr w:type="spellStart"/>
      <w:r w:rsidRPr="003C7592" w:rsidR="00354248">
        <w:rPr>
          <w:lang w:val="en-GB"/>
        </w:rPr>
        <w:t>Çağlayaner</w:t>
      </w:r>
      <w:proofErr w:type="spellEnd"/>
      <w:r w:rsidRPr="003C7592" w:rsidR="00354248">
        <w:rPr>
          <w:lang w:val="en-GB"/>
        </w:rPr>
        <w:t xml:space="preserve"> and Mr </w:t>
      </w:r>
      <w:proofErr w:type="spellStart"/>
      <w:r w:rsidRPr="003C7592" w:rsidR="00354248">
        <w:rPr>
          <w:lang w:val="en-GB"/>
        </w:rPr>
        <w:t>Tansu</w:t>
      </w:r>
      <w:proofErr w:type="spellEnd"/>
      <w:r w:rsidRPr="003C7592" w:rsidR="00354248">
        <w:rPr>
          <w:lang w:val="en-GB"/>
        </w:rPr>
        <w:t xml:space="preserve"> </w:t>
      </w:r>
      <w:proofErr w:type="spellStart"/>
      <w:r w:rsidRPr="003C7592" w:rsidR="00354248">
        <w:rPr>
          <w:lang w:val="en-GB"/>
        </w:rPr>
        <w:t>Giz</w:t>
      </w:r>
      <w:proofErr w:type="spellEnd"/>
      <w:r w:rsidRPr="003C7592" w:rsidR="00354248">
        <w:rPr>
          <w:lang w:val="en-GB"/>
        </w:rPr>
        <w:t xml:space="preserve"> (the heirs of </w:t>
      </w:r>
      <w:r w:rsidRPr="003C7592" w:rsidR="00044A0D">
        <w:rPr>
          <w:lang w:val="en-GB"/>
        </w:rPr>
        <w:t>Ms </w:t>
      </w:r>
      <w:proofErr w:type="spellStart"/>
      <w:r w:rsidRPr="003C7592" w:rsidR="00354248">
        <w:rPr>
          <w:lang w:val="en-GB"/>
        </w:rPr>
        <w:t>Hatice</w:t>
      </w:r>
      <w:proofErr w:type="spellEnd"/>
      <w:r w:rsidRPr="003C7592" w:rsidR="00354248">
        <w:rPr>
          <w:lang w:val="en-GB"/>
        </w:rPr>
        <w:t xml:space="preserve"> </w:t>
      </w:r>
      <w:proofErr w:type="spellStart"/>
      <w:r w:rsidRPr="003C7592" w:rsidR="00354248">
        <w:rPr>
          <w:lang w:val="en-GB"/>
        </w:rPr>
        <w:t>Füsun</w:t>
      </w:r>
      <w:proofErr w:type="spellEnd"/>
      <w:r w:rsidRPr="003C7592" w:rsidR="00354248">
        <w:rPr>
          <w:lang w:val="en-GB"/>
        </w:rPr>
        <w:t xml:space="preserve"> </w:t>
      </w:r>
      <w:proofErr w:type="spellStart"/>
      <w:r w:rsidRPr="003C7592" w:rsidR="00354248">
        <w:rPr>
          <w:lang w:val="en-GB"/>
        </w:rPr>
        <w:t>Giz</w:t>
      </w:r>
      <w:proofErr w:type="spellEnd"/>
      <w:r w:rsidRPr="003C7592" w:rsidR="00354248">
        <w:rPr>
          <w:lang w:val="en-GB"/>
        </w:rPr>
        <w:t>) jointly;</w:t>
      </w:r>
    </w:p>
    <w:p w:rsidRPr="003C7592" w:rsidR="00354248" w:rsidP="003C7592" w:rsidRDefault="00D30F28">
      <w:pPr>
        <w:pStyle w:val="JuListi"/>
        <w:rPr>
          <w:rFonts w:cstheme="minorHAnsi"/>
          <w:lang w:val="en-GB"/>
        </w:rPr>
      </w:pPr>
      <w:r w:rsidRPr="003C7592">
        <w:rPr>
          <w:lang w:val="en-GB"/>
        </w:rPr>
        <w:t>(iii)  </w:t>
      </w:r>
      <w:r w:rsidRPr="003C7592" w:rsidR="00354248">
        <w:rPr>
          <w:lang w:val="en-GB"/>
        </w:rPr>
        <w:t xml:space="preserve">EUR 12,500 (twelve thousand five hundred euros) to the applicants, Ms </w:t>
      </w:r>
      <w:proofErr w:type="spellStart"/>
      <w:r w:rsidRPr="003C7592" w:rsidR="00354248">
        <w:rPr>
          <w:lang w:val="en-GB"/>
        </w:rPr>
        <w:t>Müjgan</w:t>
      </w:r>
      <w:proofErr w:type="spellEnd"/>
      <w:r w:rsidRPr="003C7592" w:rsidR="00354248">
        <w:rPr>
          <w:lang w:val="en-GB"/>
        </w:rPr>
        <w:t xml:space="preserve"> </w:t>
      </w:r>
      <w:proofErr w:type="spellStart"/>
      <w:r w:rsidRPr="003C7592" w:rsidR="00354248">
        <w:rPr>
          <w:lang w:val="en-GB"/>
        </w:rPr>
        <w:t>Erdoğan</w:t>
      </w:r>
      <w:proofErr w:type="spellEnd"/>
      <w:r w:rsidRPr="003C7592" w:rsidR="00354248">
        <w:rPr>
          <w:lang w:val="en-GB"/>
        </w:rPr>
        <w:t>, Mr </w:t>
      </w:r>
      <w:proofErr w:type="spellStart"/>
      <w:r w:rsidRPr="003C7592" w:rsidR="00354248">
        <w:rPr>
          <w:lang w:val="en-GB"/>
        </w:rPr>
        <w:t>Süleyman</w:t>
      </w:r>
      <w:proofErr w:type="spellEnd"/>
      <w:r w:rsidRPr="003C7592" w:rsidR="00354248">
        <w:rPr>
          <w:lang w:val="en-GB"/>
        </w:rPr>
        <w:t xml:space="preserve"> </w:t>
      </w:r>
      <w:proofErr w:type="spellStart"/>
      <w:r w:rsidRPr="003C7592" w:rsidR="00354248">
        <w:rPr>
          <w:lang w:val="en-GB"/>
        </w:rPr>
        <w:t>Öner</w:t>
      </w:r>
      <w:proofErr w:type="spellEnd"/>
      <w:r w:rsidRPr="003C7592" w:rsidR="00354248">
        <w:rPr>
          <w:lang w:val="en-GB"/>
        </w:rPr>
        <w:t> </w:t>
      </w:r>
      <w:proofErr w:type="spellStart"/>
      <w:r w:rsidRPr="003C7592" w:rsidR="00354248">
        <w:rPr>
          <w:lang w:val="en-GB"/>
        </w:rPr>
        <w:t>Erdoğan</w:t>
      </w:r>
      <w:proofErr w:type="spellEnd"/>
      <w:r w:rsidRPr="003C7592" w:rsidR="00354248">
        <w:rPr>
          <w:lang w:val="en-GB"/>
        </w:rPr>
        <w:t xml:space="preserve"> and Mr Can </w:t>
      </w:r>
      <w:proofErr w:type="spellStart"/>
      <w:r w:rsidRPr="003C7592" w:rsidR="00354248">
        <w:rPr>
          <w:lang w:val="en-GB"/>
        </w:rPr>
        <w:t>Erdoğan</w:t>
      </w:r>
      <w:proofErr w:type="spellEnd"/>
      <w:r w:rsidRPr="003C7592" w:rsidR="00354248">
        <w:rPr>
          <w:lang w:val="en-GB"/>
        </w:rPr>
        <w:t xml:space="preserve"> jointly;</w:t>
      </w:r>
    </w:p>
    <w:p w:rsidRPr="003C7592" w:rsidR="00354248" w:rsidP="003C7592" w:rsidRDefault="00D30F28">
      <w:pPr>
        <w:pStyle w:val="JuListi"/>
        <w:rPr>
          <w:lang w:val="en-GB"/>
        </w:rPr>
      </w:pPr>
      <w:r w:rsidRPr="003C7592">
        <w:rPr>
          <w:lang w:val="en-GB"/>
        </w:rPr>
        <w:t>(iv)  </w:t>
      </w:r>
      <w:r w:rsidRPr="003C7592" w:rsidR="00354248">
        <w:rPr>
          <w:lang w:val="en-GB"/>
        </w:rPr>
        <w:t>EUR 12,500 (twelve thousand five hundred euros) to each of the applicants, Ms T</w:t>
      </w:r>
      <w:proofErr w:type="spellStart"/>
      <w:r w:rsidRPr="003C7592" w:rsidR="00354248">
        <w:rPr>
          <w:lang w:val="tr-TR"/>
        </w:rPr>
        <w:t>ürkan</w:t>
      </w:r>
      <w:proofErr w:type="spellEnd"/>
      <w:r w:rsidRPr="003C7592" w:rsidR="00354248">
        <w:rPr>
          <w:lang w:val="tr-TR"/>
        </w:rPr>
        <w:t xml:space="preserve"> </w:t>
      </w:r>
      <w:proofErr w:type="spellStart"/>
      <w:r w:rsidRPr="003C7592" w:rsidR="00354248">
        <w:rPr>
          <w:lang w:val="tr-TR"/>
        </w:rPr>
        <w:t>Aksis</w:t>
      </w:r>
      <w:proofErr w:type="spellEnd"/>
      <w:r w:rsidRPr="003C7592" w:rsidR="00354248">
        <w:rPr>
          <w:lang w:val="en-GB"/>
        </w:rPr>
        <w:t>, Ms Ay</w:t>
      </w:r>
      <w:r w:rsidRPr="003C7592" w:rsidR="00354248">
        <w:rPr>
          <w:lang w:val="tr-TR"/>
        </w:rPr>
        <w:t xml:space="preserve">şe </w:t>
      </w:r>
      <w:proofErr w:type="spellStart"/>
      <w:r w:rsidRPr="003C7592" w:rsidR="00354248">
        <w:rPr>
          <w:lang w:val="tr-TR"/>
        </w:rPr>
        <w:t>Alanur</w:t>
      </w:r>
      <w:proofErr w:type="spellEnd"/>
      <w:r w:rsidRPr="003C7592" w:rsidR="00354248">
        <w:rPr>
          <w:lang w:val="tr-TR"/>
        </w:rPr>
        <w:t xml:space="preserve"> </w:t>
      </w:r>
      <w:proofErr w:type="spellStart"/>
      <w:r w:rsidRPr="003C7592" w:rsidR="00354248">
        <w:rPr>
          <w:lang w:val="tr-TR"/>
        </w:rPr>
        <w:t>Çimendağ</w:t>
      </w:r>
      <w:proofErr w:type="spellEnd"/>
      <w:r w:rsidRPr="003C7592" w:rsidR="00354248">
        <w:rPr>
          <w:lang w:val="tr-TR"/>
        </w:rPr>
        <w:t xml:space="preserve">, </w:t>
      </w:r>
      <w:proofErr w:type="spellStart"/>
      <w:r w:rsidRPr="003C7592" w:rsidR="00354248">
        <w:rPr>
          <w:lang w:val="tr-TR"/>
        </w:rPr>
        <w:t>Ms</w:t>
      </w:r>
      <w:proofErr w:type="spellEnd"/>
      <w:r w:rsidRPr="003C7592" w:rsidR="00354248">
        <w:rPr>
          <w:lang w:val="tr-TR"/>
        </w:rPr>
        <w:t xml:space="preserve"> Gülden Okan, </w:t>
      </w:r>
      <w:proofErr w:type="spellStart"/>
      <w:r w:rsidRPr="003C7592" w:rsidR="00354248">
        <w:rPr>
          <w:lang w:val="tr-TR"/>
        </w:rPr>
        <w:t>Mr</w:t>
      </w:r>
      <w:proofErr w:type="spellEnd"/>
      <w:r w:rsidRPr="003C7592" w:rsidR="00354248">
        <w:rPr>
          <w:lang w:val="tr-TR"/>
        </w:rPr>
        <w:t xml:space="preserve"> Selçuk Tekbaş </w:t>
      </w:r>
      <w:proofErr w:type="spellStart"/>
      <w:r w:rsidRPr="003C7592" w:rsidR="00354248">
        <w:rPr>
          <w:lang w:val="tr-TR"/>
        </w:rPr>
        <w:t>and</w:t>
      </w:r>
      <w:proofErr w:type="spellEnd"/>
      <w:r w:rsidRPr="003C7592" w:rsidR="00354248">
        <w:rPr>
          <w:lang w:val="tr-TR"/>
        </w:rPr>
        <w:t xml:space="preserve"> </w:t>
      </w:r>
      <w:proofErr w:type="spellStart"/>
      <w:r w:rsidRPr="003C7592" w:rsidR="00354248">
        <w:rPr>
          <w:lang w:val="tr-TR"/>
        </w:rPr>
        <w:t>Mr</w:t>
      </w:r>
      <w:proofErr w:type="spellEnd"/>
      <w:r w:rsidRPr="003C7592" w:rsidR="00354248">
        <w:rPr>
          <w:lang w:val="tr-TR"/>
        </w:rPr>
        <w:t> Aziz Cüneyt Yüksel;</w:t>
      </w:r>
    </w:p>
    <w:p w:rsidRPr="003C7592" w:rsidR="00354248" w:rsidP="003C7592" w:rsidRDefault="00354248">
      <w:pPr>
        <w:pStyle w:val="JuLista"/>
        <w:rPr>
          <w:lang w:val="en-GB"/>
        </w:rPr>
      </w:pPr>
      <w:r w:rsidRPr="003C7592">
        <w:rPr>
          <w:lang w:val="en-GB"/>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3C7592" w:rsidR="00354248" w:rsidP="003C7592" w:rsidRDefault="00354248">
      <w:pPr>
        <w:pStyle w:val="JuList"/>
        <w:ind w:left="0" w:firstLine="0"/>
        <w:rPr>
          <w:lang w:val="en-GB"/>
        </w:rPr>
      </w:pPr>
    </w:p>
    <w:p w:rsidRPr="003C7592" w:rsidR="004D0EC7" w:rsidP="003C7592" w:rsidRDefault="008125A9">
      <w:pPr>
        <w:pStyle w:val="ECHRPara"/>
        <w:rPr>
          <w:lang w:val="en-GB"/>
        </w:rPr>
      </w:pPr>
      <w:r w:rsidRPr="003C7592">
        <w:rPr>
          <w:lang w:val="en-GB"/>
        </w:rPr>
        <w:t>8</w:t>
      </w:r>
      <w:r w:rsidRPr="003C7592" w:rsidR="00354248">
        <w:rPr>
          <w:lang w:val="en-GB"/>
        </w:rPr>
        <w:t>.  </w:t>
      </w:r>
      <w:r w:rsidRPr="003C7592" w:rsidR="00354248">
        <w:rPr>
          <w:i/>
          <w:lang w:val="en-GB"/>
        </w:rPr>
        <w:t>Dismisses</w:t>
      </w:r>
      <w:r w:rsidRPr="003C7592" w:rsidR="00354248">
        <w:rPr>
          <w:lang w:val="en-GB"/>
        </w:rPr>
        <w:t xml:space="preserve"> the remainder of the applicants</w:t>
      </w:r>
      <w:r w:rsidRPr="003C7592" w:rsidR="003C7592">
        <w:rPr>
          <w:lang w:val="en-GB"/>
        </w:rPr>
        <w:t>’</w:t>
      </w:r>
      <w:r w:rsidRPr="003C7592" w:rsidR="00354248">
        <w:rPr>
          <w:lang w:val="en-GB"/>
        </w:rPr>
        <w:t xml:space="preserve"> claim for just satisfaction.</w:t>
      </w:r>
    </w:p>
    <w:p w:rsidRPr="003C7592" w:rsidR="008E3A08" w:rsidP="003C7592" w:rsidRDefault="007E2C8C">
      <w:pPr>
        <w:pStyle w:val="JuParaLast"/>
        <w:rPr>
          <w:lang w:val="en-GB"/>
        </w:rPr>
      </w:pPr>
      <w:r w:rsidRPr="003C7592">
        <w:rPr>
          <w:lang w:val="en-GB"/>
        </w:rPr>
        <w:t xml:space="preserve">Done in English, and notified in writing on </w:t>
      </w:r>
      <w:r w:rsidRPr="003C7592" w:rsidR="00354248">
        <w:rPr>
          <w:rFonts w:ascii="Times New Roman" w:hAnsi="Times New Roman" w:cs="Times New Roman"/>
          <w:lang w:val="en-GB"/>
        </w:rPr>
        <w:t>30 April 2019</w:t>
      </w:r>
      <w:r w:rsidRPr="003C7592">
        <w:rPr>
          <w:lang w:val="en-GB"/>
        </w:rPr>
        <w:t>, pursuant to Rule 77 §§ 2 and 3 of the Rules of Court.</w:t>
      </w:r>
    </w:p>
    <w:p w:rsidRPr="003C7592" w:rsidR="001C055B" w:rsidP="003C7592" w:rsidRDefault="00354248">
      <w:pPr>
        <w:pStyle w:val="JuSigned"/>
        <w:rPr>
          <w:lang w:val="en-GB"/>
        </w:rPr>
      </w:pPr>
      <w:r w:rsidRPr="003C7592">
        <w:rPr>
          <w:lang w:val="en-GB"/>
        </w:rPr>
        <w:t>Stanley Naismith</w:t>
      </w:r>
      <w:r w:rsidRPr="003C7592" w:rsidR="005879A2">
        <w:rPr>
          <w:lang w:val="en-GB"/>
        </w:rPr>
        <w:t xml:space="preserve"> </w:t>
      </w:r>
      <w:r w:rsidRPr="003C7592" w:rsidR="009F4C8F">
        <w:rPr>
          <w:lang w:val="en-GB"/>
        </w:rPr>
        <w:tab/>
      </w:r>
      <w:r w:rsidRPr="003C7592">
        <w:rPr>
          <w:szCs w:val="24"/>
          <w:lang w:val="en-GB"/>
        </w:rPr>
        <w:t>Robert Spano</w:t>
      </w:r>
      <w:r w:rsidRPr="003C7592" w:rsidR="009F4C8F">
        <w:rPr>
          <w:szCs w:val="24"/>
          <w:lang w:val="en-GB"/>
        </w:rPr>
        <w:br/>
      </w:r>
      <w:r w:rsidRPr="003C7592" w:rsidR="009F4C8F">
        <w:rPr>
          <w:lang w:val="en-GB"/>
        </w:rPr>
        <w:tab/>
      </w:r>
      <w:r w:rsidRPr="003C7592">
        <w:rPr>
          <w:iCs/>
          <w:lang w:val="en-GB"/>
        </w:rPr>
        <w:t>Registrar</w:t>
      </w:r>
      <w:r w:rsidRPr="003C7592" w:rsidR="009F4C8F">
        <w:rPr>
          <w:lang w:val="en-GB"/>
        </w:rPr>
        <w:tab/>
        <w:t>President</w:t>
      </w:r>
    </w:p>
    <w:p w:rsidRPr="003C7592" w:rsidR="00C02B87" w:rsidP="003C7592" w:rsidRDefault="00C02B87">
      <w:pPr>
        <w:rPr>
          <w:lang w:val="en-GB"/>
        </w:rPr>
        <w:sectPr w:rsidRPr="003C7592" w:rsidR="00C02B87"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3C7592" w:rsidR="00C02B87" w:rsidP="003C7592" w:rsidRDefault="00C02B87">
      <w:pPr>
        <w:pStyle w:val="JuTitle"/>
        <w:rPr>
          <w:lang w:val="en-GB"/>
        </w:rPr>
      </w:pPr>
      <w:r w:rsidRPr="003C7592">
        <w:rPr>
          <w:lang w:val="en-GB"/>
        </w:rPr>
        <w:t>List of applicants and details of the domestic proceedings</w:t>
      </w:r>
    </w:p>
    <w:p w:rsidRPr="003C7592" w:rsidR="00C02B87" w:rsidP="003C7592" w:rsidRDefault="00C02B87">
      <w:pPr>
        <w:rPr>
          <w:lang w:val="en-GB"/>
        </w:rPr>
      </w:pPr>
    </w:p>
    <w:tbl>
      <w:tblPr>
        <w:tblStyle w:val="ECHRListTable"/>
        <w:tblW w:w="5611" w:type="pct"/>
        <w:tblInd w:w="-743" w:type="dxa"/>
        <w:tblLayout w:type="fixed"/>
        <w:tblLook w:val="05E0" w:firstRow="1" w:lastRow="1" w:firstColumn="1" w:lastColumn="1" w:noHBand="0" w:noVBand="1"/>
      </w:tblPr>
      <w:tblGrid>
        <w:gridCol w:w="568"/>
        <w:gridCol w:w="3122"/>
        <w:gridCol w:w="1559"/>
        <w:gridCol w:w="1558"/>
        <w:gridCol w:w="2411"/>
        <w:gridCol w:w="4816"/>
      </w:tblGrid>
      <w:tr w:rsidRPr="003C7592" w:rsidR="00C02B87" w:rsidTr="001646D6">
        <w:trPr>
          <w:cnfStyle w:val="100000000000" w:firstRow="1" w:lastRow="0" w:firstColumn="0" w:lastColumn="0" w:oddVBand="0" w:evenVBand="0" w:oddHBand="0" w:evenHBand="0" w:firstRowFirstColumn="0" w:firstRowLastColumn="0" w:lastRowFirstColumn="0" w:lastRowLastColumn="0"/>
        </w:trPr>
        <w:tc>
          <w:tcPr>
            <w:tcW w:w="202" w:type="pct"/>
          </w:tcPr>
          <w:p w:rsidRPr="003C7592" w:rsidR="00C02B87" w:rsidP="003C7592" w:rsidRDefault="00C02B87">
            <w:pPr>
              <w:jc w:val="left"/>
              <w:rPr>
                <w:lang w:val="en-GB"/>
              </w:rPr>
            </w:pPr>
            <w:r w:rsidRPr="003C7592">
              <w:rPr>
                <w:lang w:val="en-GB"/>
              </w:rPr>
              <w:t>No</w:t>
            </w:r>
          </w:p>
        </w:tc>
        <w:tc>
          <w:tcPr>
            <w:tcW w:w="1112" w:type="pct"/>
          </w:tcPr>
          <w:p w:rsidRPr="003C7592" w:rsidR="00C02B87" w:rsidP="003C7592" w:rsidRDefault="00C02B87">
            <w:pPr>
              <w:jc w:val="left"/>
              <w:rPr>
                <w:lang w:val="en-GB"/>
              </w:rPr>
            </w:pPr>
            <w:proofErr w:type="spellStart"/>
            <w:r w:rsidRPr="003C7592">
              <w:rPr>
                <w:lang w:val="en-GB"/>
              </w:rPr>
              <w:t>Firstname</w:t>
            </w:r>
            <w:proofErr w:type="spellEnd"/>
            <w:r w:rsidRPr="003C7592">
              <w:rPr>
                <w:lang w:val="en-GB"/>
              </w:rPr>
              <w:t xml:space="preserve"> LASTNAME</w:t>
            </w:r>
          </w:p>
        </w:tc>
        <w:tc>
          <w:tcPr>
            <w:tcW w:w="555" w:type="pct"/>
          </w:tcPr>
          <w:p w:rsidRPr="003C7592" w:rsidR="00C02B87" w:rsidP="003C7592" w:rsidRDefault="00C02B87">
            <w:pPr>
              <w:jc w:val="left"/>
              <w:rPr>
                <w:lang w:val="en-GB"/>
              </w:rPr>
            </w:pPr>
            <w:r w:rsidRPr="003C7592">
              <w:rPr>
                <w:lang w:val="en-GB"/>
              </w:rPr>
              <w:t>Birth date</w:t>
            </w:r>
          </w:p>
        </w:tc>
        <w:tc>
          <w:tcPr>
            <w:tcW w:w="555" w:type="pct"/>
          </w:tcPr>
          <w:p w:rsidRPr="003C7592" w:rsidR="00C02B87" w:rsidP="003C7592" w:rsidRDefault="00C02B87">
            <w:pPr>
              <w:jc w:val="left"/>
              <w:rPr>
                <w:lang w:val="en-GB"/>
              </w:rPr>
            </w:pPr>
            <w:r w:rsidRPr="003C7592">
              <w:rPr>
                <w:lang w:val="en-GB"/>
              </w:rPr>
              <w:t>Place of residence</w:t>
            </w:r>
          </w:p>
        </w:tc>
        <w:tc>
          <w:tcPr>
            <w:tcW w:w="859" w:type="pct"/>
          </w:tcPr>
          <w:p w:rsidRPr="003C7592" w:rsidR="00C02B87" w:rsidP="003C7592" w:rsidRDefault="00C02B87">
            <w:pPr>
              <w:jc w:val="left"/>
              <w:rPr>
                <w:lang w:val="en-GB"/>
              </w:rPr>
            </w:pPr>
            <w:r w:rsidRPr="003C7592">
              <w:rPr>
                <w:lang w:val="en-GB"/>
              </w:rPr>
              <w:t>Date of the lawsuit and Docket no.</w:t>
            </w:r>
          </w:p>
        </w:tc>
        <w:tc>
          <w:tcPr>
            <w:tcW w:w="1716" w:type="pct"/>
          </w:tcPr>
          <w:p w:rsidRPr="003C7592" w:rsidR="00C02B87" w:rsidP="003C7592" w:rsidRDefault="00C02B87">
            <w:pPr>
              <w:jc w:val="left"/>
              <w:rPr>
                <w:lang w:val="en-GB"/>
              </w:rPr>
            </w:pPr>
            <w:r w:rsidRPr="003C7592">
              <w:rPr>
                <w:lang w:val="en-GB"/>
              </w:rPr>
              <w:t>Date of the 13</w:t>
            </w:r>
            <w:r w:rsidRPr="003C7592">
              <w:rPr>
                <w:vertAlign w:val="superscript"/>
                <w:lang w:val="en-GB"/>
              </w:rPr>
              <w:t>th</w:t>
            </w:r>
            <w:r w:rsidRPr="003C7592">
              <w:rPr>
                <w:lang w:val="en-GB"/>
              </w:rPr>
              <w:t xml:space="preserve"> Civil Chamber of the Court of Cassation</w:t>
            </w:r>
            <w:r w:rsidRPr="003C7592" w:rsidR="003C7592">
              <w:rPr>
                <w:lang w:val="en-GB"/>
              </w:rPr>
              <w:t>’</w:t>
            </w:r>
            <w:r w:rsidRPr="003C7592">
              <w:rPr>
                <w:lang w:val="en-GB"/>
              </w:rPr>
              <w:t>s decision on appeal</w:t>
            </w:r>
          </w:p>
        </w:tc>
      </w:tr>
      <w:tr w:rsidRPr="003C7592" w:rsidR="00C02B87" w:rsidTr="001646D6">
        <w:tc>
          <w:tcPr>
            <w:tcW w:w="202" w:type="pct"/>
          </w:tcPr>
          <w:p w:rsidRPr="003C7592" w:rsidR="00C02B87" w:rsidP="003C7592" w:rsidRDefault="00C02B87">
            <w:pPr>
              <w:pStyle w:val="ListParagraph"/>
              <w:numPr>
                <w:ilvl w:val="0"/>
                <w:numId w:val="22"/>
              </w:numPr>
              <w:jc w:val="left"/>
              <w:rPr>
                <w:b/>
                <w:lang w:val="en-GB"/>
              </w:rPr>
            </w:pPr>
          </w:p>
        </w:tc>
        <w:tc>
          <w:tcPr>
            <w:tcW w:w="1112" w:type="pct"/>
          </w:tcPr>
          <w:p w:rsidRPr="003C7592" w:rsidR="00C02B87" w:rsidP="003C7592" w:rsidRDefault="00C02B87">
            <w:pPr>
              <w:jc w:val="left"/>
              <w:rPr>
                <w:lang w:val="tr-TR"/>
              </w:rPr>
            </w:pPr>
            <w:proofErr w:type="spellStart"/>
            <w:r w:rsidRPr="003C7592">
              <w:rPr>
                <w:lang w:val="en-GB"/>
              </w:rPr>
              <w:t>Türkan</w:t>
            </w:r>
            <w:proofErr w:type="spellEnd"/>
            <w:r w:rsidRPr="003C7592">
              <w:rPr>
                <w:lang w:val="en-GB"/>
              </w:rPr>
              <w:t xml:space="preserve"> AKS</w:t>
            </w:r>
            <w:r w:rsidRPr="003C7592">
              <w:rPr>
                <w:lang w:val="tr-TR"/>
              </w:rPr>
              <w:t>İS</w:t>
            </w:r>
          </w:p>
        </w:tc>
        <w:tc>
          <w:tcPr>
            <w:tcW w:w="555" w:type="pct"/>
          </w:tcPr>
          <w:p w:rsidRPr="003C7592" w:rsidR="00C02B87" w:rsidP="003C7592" w:rsidRDefault="00C02B87">
            <w:pPr>
              <w:jc w:val="left"/>
              <w:rPr>
                <w:lang w:val="en-GB"/>
              </w:rPr>
            </w:pPr>
            <w:r w:rsidRPr="003C7592">
              <w:rPr>
                <w:lang w:val="en-GB"/>
              </w:rPr>
              <w:t>01/03/1926</w:t>
            </w:r>
          </w:p>
        </w:tc>
        <w:tc>
          <w:tcPr>
            <w:tcW w:w="555" w:type="pct"/>
          </w:tcPr>
          <w:p w:rsidRPr="003C7592" w:rsidR="00C02B87" w:rsidP="003C7592" w:rsidRDefault="00C02B87">
            <w:pPr>
              <w:jc w:val="left"/>
              <w:rPr>
                <w:lang w:val="en-GB"/>
              </w:rPr>
            </w:pPr>
            <w:r w:rsidRPr="003C7592">
              <w:rPr>
                <w:lang w:val="en-GB"/>
              </w:rPr>
              <w:t>Istanbul</w:t>
            </w:r>
          </w:p>
        </w:tc>
        <w:tc>
          <w:tcPr>
            <w:tcW w:w="859" w:type="pct"/>
          </w:tcPr>
          <w:p w:rsidRPr="003C7592" w:rsidR="00C02B87" w:rsidP="003C7592" w:rsidRDefault="00C02B87">
            <w:pPr>
              <w:jc w:val="left"/>
              <w:rPr>
                <w:lang w:val="en-GB"/>
              </w:rPr>
            </w:pPr>
            <w:r w:rsidRPr="003C7592">
              <w:rPr>
                <w:lang w:val="en-GB"/>
              </w:rPr>
              <w:t>24/12/1999</w:t>
            </w:r>
          </w:p>
          <w:p w:rsidRPr="003C7592" w:rsidR="00C02B87" w:rsidP="003C7592" w:rsidRDefault="00C02B87">
            <w:pPr>
              <w:jc w:val="left"/>
              <w:rPr>
                <w:lang w:val="en-GB"/>
              </w:rPr>
            </w:pPr>
            <w:r w:rsidRPr="003C7592">
              <w:rPr>
                <w:lang w:val="en-GB"/>
              </w:rPr>
              <w:t xml:space="preserve">1999/1896 E. </w:t>
            </w:r>
          </w:p>
        </w:tc>
        <w:tc>
          <w:tcPr>
            <w:tcW w:w="1716" w:type="pct"/>
          </w:tcPr>
          <w:p w:rsidRPr="003C7592" w:rsidR="00C02B87" w:rsidP="003C7592" w:rsidRDefault="00C02B87">
            <w:pPr>
              <w:jc w:val="left"/>
              <w:rPr>
                <w:lang w:val="en-GB"/>
              </w:rPr>
            </w:pPr>
            <w:r w:rsidRPr="003C7592">
              <w:rPr>
                <w:lang w:val="en-GB"/>
              </w:rPr>
              <w:t>14/06/2004</w:t>
            </w:r>
          </w:p>
        </w:tc>
      </w:tr>
      <w:tr w:rsidRPr="003C7592" w:rsidR="00C02B87" w:rsidTr="001646D6">
        <w:tc>
          <w:tcPr>
            <w:tcW w:w="202" w:type="pct"/>
          </w:tcPr>
          <w:p w:rsidRPr="003C7592" w:rsidR="00C02B87" w:rsidP="003C7592" w:rsidRDefault="00C02B87">
            <w:pPr>
              <w:pStyle w:val="ListParagraph"/>
              <w:numPr>
                <w:ilvl w:val="0"/>
                <w:numId w:val="22"/>
              </w:numPr>
              <w:jc w:val="left"/>
              <w:rPr>
                <w:b/>
                <w:lang w:val="en-GB"/>
              </w:rPr>
            </w:pPr>
          </w:p>
        </w:tc>
        <w:tc>
          <w:tcPr>
            <w:tcW w:w="1112" w:type="pct"/>
          </w:tcPr>
          <w:p w:rsidRPr="003C7592" w:rsidR="00C02B87" w:rsidP="003C7592" w:rsidRDefault="00C02B87">
            <w:pPr>
              <w:jc w:val="left"/>
              <w:rPr>
                <w:lang w:val="en-GB"/>
              </w:rPr>
            </w:pPr>
            <w:r w:rsidRPr="003C7592">
              <w:rPr>
                <w:lang w:val="en-GB"/>
              </w:rPr>
              <w:t xml:space="preserve">Ayşe </w:t>
            </w:r>
            <w:proofErr w:type="spellStart"/>
            <w:r w:rsidRPr="003C7592">
              <w:rPr>
                <w:lang w:val="en-GB"/>
              </w:rPr>
              <w:t>Alanur</w:t>
            </w:r>
            <w:proofErr w:type="spellEnd"/>
            <w:r w:rsidRPr="003C7592">
              <w:rPr>
                <w:lang w:val="en-GB"/>
              </w:rPr>
              <w:t xml:space="preserve"> Ç</w:t>
            </w:r>
            <w:r w:rsidRPr="003C7592">
              <w:rPr>
                <w:lang w:val="tr-TR"/>
              </w:rPr>
              <w:t>İ</w:t>
            </w:r>
            <w:r w:rsidRPr="003C7592">
              <w:rPr>
                <w:lang w:val="en-GB"/>
              </w:rPr>
              <w:t>MENDAĞ</w:t>
            </w:r>
          </w:p>
        </w:tc>
        <w:tc>
          <w:tcPr>
            <w:tcW w:w="555" w:type="pct"/>
          </w:tcPr>
          <w:p w:rsidRPr="003C7592" w:rsidR="00C02B87" w:rsidP="003C7592" w:rsidRDefault="00C02B87">
            <w:pPr>
              <w:jc w:val="left"/>
              <w:rPr>
                <w:lang w:val="en-GB"/>
              </w:rPr>
            </w:pPr>
            <w:r w:rsidRPr="003C7592">
              <w:rPr>
                <w:lang w:val="en-GB"/>
              </w:rPr>
              <w:t>15/05/1949</w:t>
            </w:r>
          </w:p>
        </w:tc>
        <w:tc>
          <w:tcPr>
            <w:tcW w:w="555" w:type="pct"/>
          </w:tcPr>
          <w:p w:rsidRPr="003C7592" w:rsidR="00C02B87" w:rsidP="003C7592" w:rsidRDefault="00C02B87">
            <w:pPr>
              <w:jc w:val="left"/>
              <w:rPr>
                <w:lang w:val="en-GB"/>
              </w:rPr>
            </w:pPr>
            <w:r w:rsidRPr="003C7592">
              <w:rPr>
                <w:lang w:val="en-GB"/>
              </w:rPr>
              <w:t>Istanbul</w:t>
            </w:r>
          </w:p>
        </w:tc>
        <w:tc>
          <w:tcPr>
            <w:tcW w:w="859" w:type="pct"/>
          </w:tcPr>
          <w:p w:rsidRPr="003C7592" w:rsidR="00C02B87" w:rsidP="003C7592" w:rsidRDefault="00C02B87">
            <w:pPr>
              <w:jc w:val="left"/>
              <w:rPr>
                <w:lang w:val="en-GB"/>
              </w:rPr>
            </w:pPr>
            <w:r w:rsidRPr="003C7592">
              <w:rPr>
                <w:lang w:val="en-GB"/>
              </w:rPr>
              <w:t>16/08/2000</w:t>
            </w:r>
          </w:p>
          <w:p w:rsidRPr="003C7592" w:rsidR="00C02B87" w:rsidP="003C7592" w:rsidRDefault="00C02B87">
            <w:pPr>
              <w:jc w:val="left"/>
              <w:rPr>
                <w:lang w:val="en-GB"/>
              </w:rPr>
            </w:pPr>
            <w:r w:rsidRPr="003C7592">
              <w:rPr>
                <w:lang w:val="en-GB"/>
              </w:rPr>
              <w:t>2000/1338 E.</w:t>
            </w:r>
          </w:p>
        </w:tc>
        <w:tc>
          <w:tcPr>
            <w:tcW w:w="1716" w:type="pct"/>
          </w:tcPr>
          <w:p w:rsidRPr="003C7592" w:rsidR="00C02B87" w:rsidP="003C7592" w:rsidRDefault="00C02B87">
            <w:pPr>
              <w:jc w:val="left"/>
              <w:rPr>
                <w:lang w:val="en-GB"/>
              </w:rPr>
            </w:pPr>
            <w:r w:rsidRPr="003C7592">
              <w:rPr>
                <w:lang w:val="en-GB"/>
              </w:rPr>
              <w:t>21/06/2004</w:t>
            </w:r>
          </w:p>
        </w:tc>
      </w:tr>
      <w:tr w:rsidRPr="003C7592" w:rsidR="00C02B87" w:rsidTr="001646D6">
        <w:tc>
          <w:tcPr>
            <w:tcW w:w="202" w:type="pct"/>
          </w:tcPr>
          <w:p w:rsidRPr="003C7592" w:rsidR="00C02B87" w:rsidP="003C7592" w:rsidRDefault="00C02B87">
            <w:pPr>
              <w:pStyle w:val="ListParagraph"/>
              <w:numPr>
                <w:ilvl w:val="0"/>
                <w:numId w:val="22"/>
              </w:numPr>
              <w:jc w:val="left"/>
              <w:rPr>
                <w:b/>
                <w:lang w:val="en-GB"/>
              </w:rPr>
            </w:pPr>
          </w:p>
        </w:tc>
        <w:tc>
          <w:tcPr>
            <w:tcW w:w="1112" w:type="pct"/>
          </w:tcPr>
          <w:p w:rsidRPr="003C7592" w:rsidR="00C02B87" w:rsidP="003C7592" w:rsidRDefault="00C02B87">
            <w:pPr>
              <w:jc w:val="left"/>
              <w:rPr>
                <w:lang w:val="en-GB"/>
              </w:rPr>
            </w:pPr>
            <w:proofErr w:type="spellStart"/>
            <w:r w:rsidRPr="003C7592">
              <w:rPr>
                <w:lang w:val="en-GB"/>
              </w:rPr>
              <w:t>Müjgan</w:t>
            </w:r>
            <w:proofErr w:type="spellEnd"/>
            <w:r w:rsidRPr="003C7592">
              <w:rPr>
                <w:lang w:val="en-GB"/>
              </w:rPr>
              <w:t xml:space="preserve"> ERDOĞAN</w:t>
            </w:r>
          </w:p>
        </w:tc>
        <w:tc>
          <w:tcPr>
            <w:tcW w:w="555" w:type="pct"/>
          </w:tcPr>
          <w:p w:rsidRPr="003C7592" w:rsidR="00C02B87" w:rsidP="003C7592" w:rsidRDefault="00C02B87">
            <w:pPr>
              <w:jc w:val="left"/>
              <w:rPr>
                <w:lang w:val="en-GB"/>
              </w:rPr>
            </w:pPr>
            <w:r w:rsidRPr="003C7592">
              <w:rPr>
                <w:lang w:val="en-GB"/>
              </w:rPr>
              <w:t>01/05/1952</w:t>
            </w:r>
          </w:p>
        </w:tc>
        <w:tc>
          <w:tcPr>
            <w:tcW w:w="555" w:type="pct"/>
          </w:tcPr>
          <w:p w:rsidRPr="003C7592" w:rsidR="00C02B87" w:rsidP="003C7592" w:rsidRDefault="00C02B87">
            <w:pPr>
              <w:jc w:val="left"/>
              <w:rPr>
                <w:lang w:val="en-GB"/>
              </w:rPr>
            </w:pPr>
            <w:r w:rsidRPr="003C7592">
              <w:rPr>
                <w:lang w:val="en-GB"/>
              </w:rPr>
              <w:t>Istanbul</w:t>
            </w:r>
          </w:p>
        </w:tc>
        <w:tc>
          <w:tcPr>
            <w:tcW w:w="859" w:type="pct"/>
            <w:vMerge w:val="restart"/>
            <w:vAlign w:val="center"/>
          </w:tcPr>
          <w:p w:rsidRPr="003C7592" w:rsidR="00C02B87" w:rsidP="003C7592" w:rsidRDefault="00C02B87">
            <w:pPr>
              <w:jc w:val="left"/>
              <w:rPr>
                <w:lang w:val="en-GB"/>
              </w:rPr>
            </w:pPr>
            <w:r w:rsidRPr="003C7592">
              <w:rPr>
                <w:lang w:val="en-GB"/>
              </w:rPr>
              <w:t>28/04/2000</w:t>
            </w:r>
          </w:p>
          <w:p w:rsidRPr="003C7592" w:rsidR="00C02B87" w:rsidP="003C7592" w:rsidRDefault="00C02B87">
            <w:pPr>
              <w:jc w:val="left"/>
              <w:rPr>
                <w:lang w:val="en-GB"/>
              </w:rPr>
            </w:pPr>
            <w:r w:rsidRPr="003C7592">
              <w:rPr>
                <w:lang w:val="en-GB"/>
              </w:rPr>
              <w:t>2000/576 E.</w:t>
            </w:r>
          </w:p>
        </w:tc>
        <w:tc>
          <w:tcPr>
            <w:tcW w:w="1716" w:type="pct"/>
            <w:vMerge w:val="restart"/>
            <w:vAlign w:val="center"/>
          </w:tcPr>
          <w:p w:rsidRPr="003C7592" w:rsidR="00C02B87" w:rsidP="003C7592" w:rsidRDefault="00C02B87">
            <w:pPr>
              <w:jc w:val="left"/>
              <w:rPr>
                <w:lang w:val="en-GB"/>
              </w:rPr>
            </w:pPr>
            <w:r w:rsidRPr="003C7592">
              <w:rPr>
                <w:lang w:val="en-GB"/>
              </w:rPr>
              <w:t>14/06/2004</w:t>
            </w:r>
          </w:p>
        </w:tc>
      </w:tr>
      <w:tr w:rsidRPr="003C7592" w:rsidR="00C02B87" w:rsidTr="001646D6">
        <w:tc>
          <w:tcPr>
            <w:tcW w:w="202" w:type="pct"/>
          </w:tcPr>
          <w:p w:rsidRPr="003C7592" w:rsidR="00C02B87" w:rsidP="003C7592" w:rsidRDefault="00C02B87">
            <w:pPr>
              <w:pStyle w:val="ListParagraph"/>
              <w:numPr>
                <w:ilvl w:val="0"/>
                <w:numId w:val="22"/>
              </w:numPr>
              <w:jc w:val="left"/>
              <w:rPr>
                <w:b/>
                <w:lang w:val="en-GB"/>
              </w:rPr>
            </w:pPr>
          </w:p>
        </w:tc>
        <w:tc>
          <w:tcPr>
            <w:tcW w:w="1112" w:type="pct"/>
          </w:tcPr>
          <w:p w:rsidRPr="003C7592" w:rsidR="00C02B87" w:rsidP="003C7592" w:rsidRDefault="00C02B87">
            <w:pPr>
              <w:jc w:val="left"/>
              <w:rPr>
                <w:lang w:val="tr-TR"/>
              </w:rPr>
            </w:pPr>
            <w:r w:rsidRPr="003C7592">
              <w:rPr>
                <w:lang w:val="en-GB"/>
              </w:rPr>
              <w:t>S</w:t>
            </w:r>
            <w:proofErr w:type="spellStart"/>
            <w:r w:rsidRPr="003C7592">
              <w:rPr>
                <w:lang w:val="tr-TR"/>
              </w:rPr>
              <w:t>üleyman</w:t>
            </w:r>
            <w:proofErr w:type="spellEnd"/>
            <w:r w:rsidRPr="003C7592">
              <w:rPr>
                <w:lang w:val="tr-TR"/>
              </w:rPr>
              <w:t xml:space="preserve"> Öner ERDOĞAN</w:t>
            </w:r>
          </w:p>
        </w:tc>
        <w:tc>
          <w:tcPr>
            <w:tcW w:w="555" w:type="pct"/>
          </w:tcPr>
          <w:p w:rsidRPr="003C7592" w:rsidR="00C02B87" w:rsidP="003C7592" w:rsidRDefault="00C02B87">
            <w:pPr>
              <w:jc w:val="left"/>
              <w:rPr>
                <w:lang w:val="en-GB"/>
              </w:rPr>
            </w:pPr>
            <w:r w:rsidRPr="003C7592">
              <w:rPr>
                <w:lang w:val="en-GB"/>
              </w:rPr>
              <w:t>03/09/1944</w:t>
            </w:r>
          </w:p>
        </w:tc>
        <w:tc>
          <w:tcPr>
            <w:tcW w:w="555" w:type="pct"/>
          </w:tcPr>
          <w:p w:rsidRPr="003C7592" w:rsidR="00C02B87" w:rsidP="003C7592" w:rsidRDefault="00C02B87">
            <w:r w:rsidRPr="003C7592">
              <w:rPr>
                <w:lang w:val="en-GB"/>
              </w:rPr>
              <w:t>Istanbul</w:t>
            </w:r>
          </w:p>
        </w:tc>
        <w:tc>
          <w:tcPr>
            <w:tcW w:w="859" w:type="pct"/>
            <w:vMerge/>
          </w:tcPr>
          <w:p w:rsidRPr="003C7592" w:rsidR="00C02B87" w:rsidP="003C7592" w:rsidRDefault="00C02B87">
            <w:pPr>
              <w:jc w:val="left"/>
              <w:rPr>
                <w:lang w:val="en-GB"/>
              </w:rPr>
            </w:pPr>
          </w:p>
        </w:tc>
        <w:tc>
          <w:tcPr>
            <w:tcW w:w="1716" w:type="pct"/>
            <w:vMerge/>
          </w:tcPr>
          <w:p w:rsidRPr="003C7592" w:rsidR="00C02B87" w:rsidP="003C7592" w:rsidRDefault="00C02B87">
            <w:pPr>
              <w:jc w:val="left"/>
              <w:rPr>
                <w:lang w:val="en-GB"/>
              </w:rPr>
            </w:pPr>
          </w:p>
        </w:tc>
      </w:tr>
      <w:tr w:rsidRPr="003C7592" w:rsidR="00C02B87" w:rsidTr="001646D6">
        <w:tc>
          <w:tcPr>
            <w:tcW w:w="202" w:type="pct"/>
          </w:tcPr>
          <w:p w:rsidRPr="003C7592" w:rsidR="00C02B87" w:rsidP="003C7592" w:rsidRDefault="00C02B87">
            <w:pPr>
              <w:pStyle w:val="ListParagraph"/>
              <w:numPr>
                <w:ilvl w:val="0"/>
                <w:numId w:val="22"/>
              </w:numPr>
              <w:jc w:val="left"/>
              <w:rPr>
                <w:b/>
                <w:lang w:val="en-GB"/>
              </w:rPr>
            </w:pPr>
          </w:p>
        </w:tc>
        <w:tc>
          <w:tcPr>
            <w:tcW w:w="1112" w:type="pct"/>
          </w:tcPr>
          <w:p w:rsidRPr="003C7592" w:rsidR="00C02B87" w:rsidP="003C7592" w:rsidRDefault="00C02B87">
            <w:pPr>
              <w:jc w:val="left"/>
              <w:rPr>
                <w:lang w:val="en-GB"/>
              </w:rPr>
            </w:pPr>
            <w:r w:rsidRPr="003C7592">
              <w:rPr>
                <w:lang w:val="en-GB"/>
              </w:rPr>
              <w:t>Can ERDOĞAN</w:t>
            </w:r>
          </w:p>
        </w:tc>
        <w:tc>
          <w:tcPr>
            <w:tcW w:w="555" w:type="pct"/>
          </w:tcPr>
          <w:p w:rsidRPr="003C7592" w:rsidR="00C02B87" w:rsidP="003C7592" w:rsidRDefault="00C02B87">
            <w:pPr>
              <w:jc w:val="left"/>
              <w:rPr>
                <w:lang w:val="en-GB"/>
              </w:rPr>
            </w:pPr>
            <w:r w:rsidRPr="003C7592">
              <w:rPr>
                <w:lang w:val="en-GB"/>
              </w:rPr>
              <w:t>30/04/1986</w:t>
            </w:r>
          </w:p>
        </w:tc>
        <w:tc>
          <w:tcPr>
            <w:tcW w:w="555" w:type="pct"/>
          </w:tcPr>
          <w:p w:rsidRPr="003C7592" w:rsidR="00C02B87" w:rsidP="003C7592" w:rsidRDefault="00C02B87">
            <w:r w:rsidRPr="003C7592">
              <w:rPr>
                <w:lang w:val="en-GB"/>
              </w:rPr>
              <w:t>Istanbul</w:t>
            </w:r>
          </w:p>
        </w:tc>
        <w:tc>
          <w:tcPr>
            <w:tcW w:w="859" w:type="pct"/>
            <w:vMerge/>
          </w:tcPr>
          <w:p w:rsidRPr="003C7592" w:rsidR="00C02B87" w:rsidP="003C7592" w:rsidRDefault="00C02B87">
            <w:pPr>
              <w:jc w:val="left"/>
              <w:rPr>
                <w:lang w:val="en-GB"/>
              </w:rPr>
            </w:pPr>
          </w:p>
        </w:tc>
        <w:tc>
          <w:tcPr>
            <w:tcW w:w="1716" w:type="pct"/>
            <w:vMerge/>
          </w:tcPr>
          <w:p w:rsidRPr="003C7592" w:rsidR="00C02B87" w:rsidP="003C7592" w:rsidRDefault="00C02B87">
            <w:pPr>
              <w:jc w:val="left"/>
              <w:rPr>
                <w:lang w:val="en-GB"/>
              </w:rPr>
            </w:pPr>
          </w:p>
        </w:tc>
      </w:tr>
      <w:tr w:rsidRPr="003C7592" w:rsidR="00C02B87" w:rsidTr="001646D6">
        <w:tc>
          <w:tcPr>
            <w:tcW w:w="202" w:type="pct"/>
          </w:tcPr>
          <w:p w:rsidRPr="003C7592" w:rsidR="00C02B87" w:rsidP="003C7592" w:rsidRDefault="00C02B87">
            <w:pPr>
              <w:pStyle w:val="ListParagraph"/>
              <w:numPr>
                <w:ilvl w:val="0"/>
                <w:numId w:val="22"/>
              </w:numPr>
              <w:jc w:val="left"/>
              <w:rPr>
                <w:b/>
                <w:lang w:val="en-GB"/>
              </w:rPr>
            </w:pPr>
          </w:p>
        </w:tc>
        <w:tc>
          <w:tcPr>
            <w:tcW w:w="1112" w:type="pct"/>
          </w:tcPr>
          <w:p w:rsidRPr="003C7592" w:rsidR="00C02B87" w:rsidP="003C7592" w:rsidRDefault="00C02B87">
            <w:pPr>
              <w:jc w:val="left"/>
              <w:rPr>
                <w:lang w:val="en-GB"/>
              </w:rPr>
            </w:pPr>
            <w:proofErr w:type="spellStart"/>
            <w:r w:rsidRPr="003C7592">
              <w:rPr>
                <w:lang w:val="en-GB"/>
              </w:rPr>
              <w:t>Hatice</w:t>
            </w:r>
            <w:proofErr w:type="spellEnd"/>
            <w:r w:rsidRPr="003C7592">
              <w:rPr>
                <w:lang w:val="en-GB"/>
              </w:rPr>
              <w:t xml:space="preserve"> </w:t>
            </w:r>
            <w:proofErr w:type="spellStart"/>
            <w:r w:rsidRPr="003C7592">
              <w:rPr>
                <w:lang w:val="en-GB"/>
              </w:rPr>
              <w:t>Füsun</w:t>
            </w:r>
            <w:proofErr w:type="spellEnd"/>
            <w:r w:rsidRPr="003C7592">
              <w:rPr>
                <w:lang w:val="en-GB"/>
              </w:rPr>
              <w:t xml:space="preserve"> G</w:t>
            </w:r>
            <w:r w:rsidRPr="003C7592">
              <w:rPr>
                <w:lang w:val="tr-TR"/>
              </w:rPr>
              <w:t>İ</w:t>
            </w:r>
            <w:r w:rsidRPr="003C7592">
              <w:rPr>
                <w:lang w:val="en-GB"/>
              </w:rPr>
              <w:t>Z</w:t>
            </w:r>
          </w:p>
        </w:tc>
        <w:tc>
          <w:tcPr>
            <w:tcW w:w="555" w:type="pct"/>
          </w:tcPr>
          <w:p w:rsidRPr="003C7592" w:rsidR="00C02B87" w:rsidP="003C7592" w:rsidRDefault="00C02B87">
            <w:pPr>
              <w:jc w:val="left"/>
              <w:rPr>
                <w:lang w:val="en-GB"/>
              </w:rPr>
            </w:pPr>
            <w:r w:rsidRPr="003C7592">
              <w:rPr>
                <w:lang w:val="en-GB"/>
              </w:rPr>
              <w:t>14/06/1928</w:t>
            </w:r>
          </w:p>
        </w:tc>
        <w:tc>
          <w:tcPr>
            <w:tcW w:w="555" w:type="pct"/>
          </w:tcPr>
          <w:p w:rsidRPr="003C7592" w:rsidR="00C02B87" w:rsidP="003C7592" w:rsidRDefault="00C02B87">
            <w:pPr>
              <w:jc w:val="left"/>
              <w:rPr>
                <w:lang w:val="en-GB"/>
              </w:rPr>
            </w:pPr>
            <w:r w:rsidRPr="003C7592">
              <w:rPr>
                <w:lang w:val="en-GB"/>
              </w:rPr>
              <w:t>Istanbul</w:t>
            </w:r>
          </w:p>
        </w:tc>
        <w:tc>
          <w:tcPr>
            <w:tcW w:w="859" w:type="pct"/>
          </w:tcPr>
          <w:p w:rsidRPr="003C7592" w:rsidR="00C02B87" w:rsidP="003C7592" w:rsidRDefault="00C02B87">
            <w:pPr>
              <w:jc w:val="left"/>
              <w:rPr>
                <w:lang w:val="en-GB"/>
              </w:rPr>
            </w:pPr>
            <w:r w:rsidRPr="003C7592">
              <w:rPr>
                <w:lang w:val="en-GB"/>
              </w:rPr>
              <w:t>01/11/1999</w:t>
            </w:r>
          </w:p>
          <w:p w:rsidRPr="003C7592" w:rsidR="00C02B87" w:rsidP="003C7592" w:rsidRDefault="00C02B87">
            <w:pPr>
              <w:jc w:val="left"/>
              <w:rPr>
                <w:lang w:val="en-GB"/>
              </w:rPr>
            </w:pPr>
            <w:r w:rsidRPr="003C7592">
              <w:rPr>
                <w:lang w:val="en-GB"/>
              </w:rPr>
              <w:t>1999/1532 E.</w:t>
            </w:r>
          </w:p>
        </w:tc>
        <w:tc>
          <w:tcPr>
            <w:tcW w:w="1716" w:type="pct"/>
          </w:tcPr>
          <w:p w:rsidRPr="003C7592" w:rsidR="00C02B87" w:rsidP="003C7592" w:rsidRDefault="00C02B87">
            <w:pPr>
              <w:jc w:val="left"/>
              <w:rPr>
                <w:lang w:val="en-GB"/>
              </w:rPr>
            </w:pPr>
            <w:r w:rsidRPr="003C7592">
              <w:rPr>
                <w:lang w:val="en-GB"/>
              </w:rPr>
              <w:t>21/06/2004</w:t>
            </w:r>
          </w:p>
        </w:tc>
      </w:tr>
      <w:tr w:rsidRPr="003C7592" w:rsidR="00C02B87" w:rsidTr="001646D6">
        <w:tc>
          <w:tcPr>
            <w:tcW w:w="202" w:type="pct"/>
          </w:tcPr>
          <w:p w:rsidRPr="003C7592" w:rsidR="00C02B87" w:rsidP="003C7592" w:rsidRDefault="00C02B87">
            <w:pPr>
              <w:pStyle w:val="ListParagraph"/>
              <w:numPr>
                <w:ilvl w:val="0"/>
                <w:numId w:val="22"/>
              </w:numPr>
              <w:jc w:val="left"/>
              <w:rPr>
                <w:b/>
                <w:lang w:val="en-GB"/>
              </w:rPr>
            </w:pPr>
          </w:p>
        </w:tc>
        <w:tc>
          <w:tcPr>
            <w:tcW w:w="1112" w:type="pct"/>
          </w:tcPr>
          <w:p w:rsidRPr="003C7592" w:rsidR="00C02B87" w:rsidP="003C7592" w:rsidRDefault="00C02B87">
            <w:pPr>
              <w:jc w:val="left"/>
              <w:rPr>
                <w:lang w:val="en-GB"/>
              </w:rPr>
            </w:pPr>
            <w:r w:rsidRPr="003C7592">
              <w:rPr>
                <w:lang w:val="en-GB"/>
              </w:rPr>
              <w:t xml:space="preserve">Mustafa </w:t>
            </w:r>
            <w:proofErr w:type="spellStart"/>
            <w:r w:rsidRPr="003C7592">
              <w:rPr>
                <w:lang w:val="en-GB"/>
              </w:rPr>
              <w:t>Reha</w:t>
            </w:r>
            <w:proofErr w:type="spellEnd"/>
            <w:r w:rsidRPr="003C7592">
              <w:rPr>
                <w:lang w:val="en-GB"/>
              </w:rPr>
              <w:t xml:space="preserve"> KÜPÇÜOĞLU</w:t>
            </w:r>
          </w:p>
        </w:tc>
        <w:tc>
          <w:tcPr>
            <w:tcW w:w="555" w:type="pct"/>
          </w:tcPr>
          <w:p w:rsidRPr="003C7592" w:rsidR="00C02B87" w:rsidP="003C7592" w:rsidRDefault="00C02B87">
            <w:pPr>
              <w:jc w:val="left"/>
              <w:rPr>
                <w:lang w:val="en-GB"/>
              </w:rPr>
            </w:pPr>
            <w:r w:rsidRPr="003C7592">
              <w:rPr>
                <w:lang w:val="en-GB"/>
              </w:rPr>
              <w:t>25/03/1931</w:t>
            </w:r>
          </w:p>
        </w:tc>
        <w:tc>
          <w:tcPr>
            <w:tcW w:w="555" w:type="pct"/>
          </w:tcPr>
          <w:p w:rsidRPr="003C7592" w:rsidR="00C02B87" w:rsidP="003C7592" w:rsidRDefault="00C02B87">
            <w:pPr>
              <w:jc w:val="left"/>
              <w:rPr>
                <w:lang w:val="en-GB"/>
              </w:rPr>
            </w:pPr>
            <w:r w:rsidRPr="003C7592">
              <w:rPr>
                <w:lang w:val="en-GB"/>
              </w:rPr>
              <w:t>Istanbul</w:t>
            </w:r>
          </w:p>
        </w:tc>
        <w:tc>
          <w:tcPr>
            <w:tcW w:w="859" w:type="pct"/>
          </w:tcPr>
          <w:p w:rsidRPr="003C7592" w:rsidR="00C02B87" w:rsidP="003C7592" w:rsidRDefault="00C02B87">
            <w:pPr>
              <w:jc w:val="left"/>
              <w:rPr>
                <w:lang w:val="en-GB"/>
              </w:rPr>
            </w:pPr>
            <w:r w:rsidRPr="003C7592">
              <w:rPr>
                <w:lang w:val="en-GB"/>
              </w:rPr>
              <w:t>31/01/2000</w:t>
            </w:r>
          </w:p>
          <w:p w:rsidRPr="003C7592" w:rsidR="00C02B87" w:rsidP="003C7592" w:rsidRDefault="00C02B87">
            <w:pPr>
              <w:jc w:val="left"/>
              <w:rPr>
                <w:lang w:val="en-GB"/>
              </w:rPr>
            </w:pPr>
            <w:r w:rsidRPr="003C7592">
              <w:rPr>
                <w:lang w:val="en-GB"/>
              </w:rPr>
              <w:t xml:space="preserve">2000/114 E. </w:t>
            </w:r>
          </w:p>
        </w:tc>
        <w:tc>
          <w:tcPr>
            <w:tcW w:w="1716" w:type="pct"/>
          </w:tcPr>
          <w:p w:rsidRPr="003C7592" w:rsidR="00C02B87" w:rsidP="003C7592" w:rsidRDefault="00C02B87">
            <w:pPr>
              <w:jc w:val="left"/>
              <w:rPr>
                <w:lang w:val="en-GB"/>
              </w:rPr>
            </w:pPr>
            <w:r w:rsidRPr="003C7592">
              <w:rPr>
                <w:lang w:val="en-GB"/>
              </w:rPr>
              <w:t>14/06/2004</w:t>
            </w:r>
          </w:p>
        </w:tc>
      </w:tr>
      <w:tr w:rsidRPr="003C7592" w:rsidR="00C02B87" w:rsidTr="001646D6">
        <w:tc>
          <w:tcPr>
            <w:tcW w:w="202" w:type="pct"/>
          </w:tcPr>
          <w:p w:rsidRPr="003C7592" w:rsidR="00C02B87" w:rsidP="003C7592" w:rsidRDefault="00C02B87">
            <w:pPr>
              <w:pStyle w:val="ListParagraph"/>
              <w:numPr>
                <w:ilvl w:val="0"/>
                <w:numId w:val="22"/>
              </w:numPr>
              <w:jc w:val="left"/>
              <w:rPr>
                <w:b/>
                <w:lang w:val="en-GB"/>
              </w:rPr>
            </w:pPr>
          </w:p>
        </w:tc>
        <w:tc>
          <w:tcPr>
            <w:tcW w:w="1112" w:type="pct"/>
          </w:tcPr>
          <w:p w:rsidRPr="003C7592" w:rsidR="00C02B87" w:rsidP="003C7592" w:rsidRDefault="00C02B87">
            <w:pPr>
              <w:jc w:val="left"/>
              <w:rPr>
                <w:lang w:val="en-GB"/>
              </w:rPr>
            </w:pPr>
            <w:proofErr w:type="spellStart"/>
            <w:r w:rsidRPr="003C7592">
              <w:rPr>
                <w:lang w:val="en-GB"/>
              </w:rPr>
              <w:t>Gülden</w:t>
            </w:r>
            <w:proofErr w:type="spellEnd"/>
            <w:r w:rsidRPr="003C7592">
              <w:rPr>
                <w:lang w:val="en-GB"/>
              </w:rPr>
              <w:t xml:space="preserve"> OKAN</w:t>
            </w:r>
          </w:p>
        </w:tc>
        <w:tc>
          <w:tcPr>
            <w:tcW w:w="555" w:type="pct"/>
          </w:tcPr>
          <w:p w:rsidRPr="003C7592" w:rsidR="00C02B87" w:rsidP="003C7592" w:rsidRDefault="00C02B87">
            <w:pPr>
              <w:jc w:val="left"/>
              <w:rPr>
                <w:lang w:val="en-GB"/>
              </w:rPr>
            </w:pPr>
            <w:r w:rsidRPr="003C7592">
              <w:rPr>
                <w:lang w:val="en-GB"/>
              </w:rPr>
              <w:t>20/08/1946</w:t>
            </w:r>
          </w:p>
        </w:tc>
        <w:tc>
          <w:tcPr>
            <w:tcW w:w="555" w:type="pct"/>
          </w:tcPr>
          <w:p w:rsidRPr="003C7592" w:rsidR="00C02B87" w:rsidP="003C7592" w:rsidRDefault="00C02B87">
            <w:pPr>
              <w:jc w:val="left"/>
              <w:rPr>
                <w:lang w:val="en-GB"/>
              </w:rPr>
            </w:pPr>
            <w:r w:rsidRPr="003C7592">
              <w:rPr>
                <w:lang w:val="en-GB"/>
              </w:rPr>
              <w:t>Istanbul</w:t>
            </w:r>
          </w:p>
        </w:tc>
        <w:tc>
          <w:tcPr>
            <w:tcW w:w="859" w:type="pct"/>
          </w:tcPr>
          <w:p w:rsidRPr="003C7592" w:rsidR="00C02B87" w:rsidP="003C7592" w:rsidRDefault="00C02B87">
            <w:pPr>
              <w:jc w:val="left"/>
              <w:rPr>
                <w:lang w:val="en-GB"/>
              </w:rPr>
            </w:pPr>
            <w:r w:rsidRPr="003C7592">
              <w:rPr>
                <w:lang w:val="en-GB"/>
              </w:rPr>
              <w:t>24/12/1999</w:t>
            </w:r>
          </w:p>
          <w:p w:rsidRPr="003C7592" w:rsidR="00C02B87" w:rsidP="003C7592" w:rsidRDefault="00C02B87">
            <w:pPr>
              <w:jc w:val="left"/>
              <w:rPr>
                <w:lang w:val="en-GB"/>
              </w:rPr>
            </w:pPr>
            <w:r w:rsidRPr="003C7592">
              <w:rPr>
                <w:lang w:val="en-GB"/>
              </w:rPr>
              <w:t>1999/1922 E.</w:t>
            </w:r>
          </w:p>
        </w:tc>
        <w:tc>
          <w:tcPr>
            <w:tcW w:w="1716" w:type="pct"/>
          </w:tcPr>
          <w:p w:rsidRPr="003C7592" w:rsidR="00C02B87" w:rsidP="003C7592" w:rsidRDefault="00C02B87">
            <w:pPr>
              <w:jc w:val="left"/>
              <w:rPr>
                <w:lang w:val="en-GB"/>
              </w:rPr>
            </w:pPr>
            <w:r w:rsidRPr="003C7592">
              <w:rPr>
                <w:lang w:val="en-GB"/>
              </w:rPr>
              <w:t>25/05/2004</w:t>
            </w:r>
          </w:p>
        </w:tc>
      </w:tr>
      <w:tr w:rsidRPr="003C7592" w:rsidR="00C02B87" w:rsidTr="001646D6">
        <w:tc>
          <w:tcPr>
            <w:tcW w:w="202" w:type="pct"/>
          </w:tcPr>
          <w:p w:rsidRPr="003C7592" w:rsidR="00C02B87" w:rsidP="003C7592" w:rsidRDefault="00C02B87">
            <w:pPr>
              <w:pStyle w:val="ListParagraph"/>
              <w:numPr>
                <w:ilvl w:val="0"/>
                <w:numId w:val="22"/>
              </w:numPr>
              <w:jc w:val="left"/>
              <w:rPr>
                <w:b/>
                <w:lang w:val="en-GB"/>
              </w:rPr>
            </w:pPr>
          </w:p>
        </w:tc>
        <w:tc>
          <w:tcPr>
            <w:tcW w:w="1112" w:type="pct"/>
          </w:tcPr>
          <w:p w:rsidRPr="003C7592" w:rsidR="00C02B87" w:rsidP="003C7592" w:rsidRDefault="00C02B87">
            <w:pPr>
              <w:jc w:val="left"/>
              <w:rPr>
                <w:lang w:val="en-GB"/>
              </w:rPr>
            </w:pPr>
            <w:proofErr w:type="spellStart"/>
            <w:r w:rsidRPr="003C7592">
              <w:rPr>
                <w:lang w:val="en-GB"/>
              </w:rPr>
              <w:t>Selçuk</w:t>
            </w:r>
            <w:proofErr w:type="spellEnd"/>
            <w:r w:rsidRPr="003C7592">
              <w:rPr>
                <w:lang w:val="en-GB"/>
              </w:rPr>
              <w:t xml:space="preserve"> TEKBAŞ</w:t>
            </w:r>
          </w:p>
        </w:tc>
        <w:tc>
          <w:tcPr>
            <w:tcW w:w="555" w:type="pct"/>
          </w:tcPr>
          <w:p w:rsidRPr="003C7592" w:rsidR="00C02B87" w:rsidP="003C7592" w:rsidRDefault="00C02B87">
            <w:pPr>
              <w:jc w:val="left"/>
              <w:rPr>
                <w:lang w:val="en-GB"/>
              </w:rPr>
            </w:pPr>
            <w:r w:rsidRPr="003C7592">
              <w:rPr>
                <w:lang w:val="en-GB"/>
              </w:rPr>
              <w:t>02/02/1937</w:t>
            </w:r>
          </w:p>
        </w:tc>
        <w:tc>
          <w:tcPr>
            <w:tcW w:w="555" w:type="pct"/>
          </w:tcPr>
          <w:p w:rsidRPr="003C7592" w:rsidR="00C02B87" w:rsidP="003C7592" w:rsidRDefault="00C02B87">
            <w:pPr>
              <w:jc w:val="left"/>
              <w:rPr>
                <w:lang w:val="en-GB"/>
              </w:rPr>
            </w:pPr>
            <w:r w:rsidRPr="003C7592">
              <w:rPr>
                <w:lang w:val="en-GB"/>
              </w:rPr>
              <w:t>Bursa</w:t>
            </w:r>
          </w:p>
        </w:tc>
        <w:tc>
          <w:tcPr>
            <w:tcW w:w="859" w:type="pct"/>
          </w:tcPr>
          <w:p w:rsidRPr="003C7592" w:rsidR="00C02B87" w:rsidP="003C7592" w:rsidRDefault="00C02B87">
            <w:pPr>
              <w:jc w:val="left"/>
              <w:rPr>
                <w:lang w:val="en-GB"/>
              </w:rPr>
            </w:pPr>
            <w:r w:rsidRPr="003C7592">
              <w:rPr>
                <w:lang w:val="en-GB"/>
              </w:rPr>
              <w:t>17/08/2000</w:t>
            </w:r>
          </w:p>
          <w:p w:rsidRPr="003C7592" w:rsidR="00C02B87" w:rsidP="003C7592" w:rsidRDefault="00C02B87">
            <w:pPr>
              <w:jc w:val="left"/>
              <w:rPr>
                <w:lang w:val="en-GB"/>
              </w:rPr>
            </w:pPr>
            <w:r w:rsidRPr="003C7592">
              <w:rPr>
                <w:lang w:val="en-GB"/>
              </w:rPr>
              <w:t>2000/1408 E.</w:t>
            </w:r>
          </w:p>
        </w:tc>
        <w:tc>
          <w:tcPr>
            <w:tcW w:w="1716" w:type="pct"/>
          </w:tcPr>
          <w:p w:rsidRPr="003C7592" w:rsidR="00C02B87" w:rsidP="003C7592" w:rsidRDefault="00C02B87">
            <w:pPr>
              <w:jc w:val="left"/>
              <w:rPr>
                <w:lang w:val="en-GB"/>
              </w:rPr>
            </w:pPr>
            <w:r w:rsidRPr="003C7592">
              <w:rPr>
                <w:lang w:val="en-GB"/>
              </w:rPr>
              <w:t>21/06/2004</w:t>
            </w:r>
          </w:p>
        </w:tc>
      </w:tr>
      <w:tr w:rsidRPr="003C7592" w:rsidR="00C02B87" w:rsidTr="001646D6">
        <w:tc>
          <w:tcPr>
            <w:tcW w:w="202" w:type="pct"/>
          </w:tcPr>
          <w:p w:rsidRPr="003C7592" w:rsidR="00C02B87" w:rsidP="003C7592" w:rsidRDefault="00C02B87">
            <w:pPr>
              <w:pStyle w:val="ListParagraph"/>
              <w:numPr>
                <w:ilvl w:val="0"/>
                <w:numId w:val="22"/>
              </w:numPr>
              <w:jc w:val="left"/>
              <w:rPr>
                <w:b/>
                <w:lang w:val="en-GB"/>
              </w:rPr>
            </w:pPr>
          </w:p>
        </w:tc>
        <w:tc>
          <w:tcPr>
            <w:tcW w:w="1112" w:type="pct"/>
          </w:tcPr>
          <w:p w:rsidRPr="003C7592" w:rsidR="00C02B87" w:rsidP="003C7592" w:rsidRDefault="00C02B87">
            <w:pPr>
              <w:jc w:val="left"/>
              <w:rPr>
                <w:lang w:val="en-GB"/>
              </w:rPr>
            </w:pPr>
            <w:r w:rsidRPr="003C7592">
              <w:rPr>
                <w:lang w:val="en-GB"/>
              </w:rPr>
              <w:t xml:space="preserve">Aziz </w:t>
            </w:r>
            <w:proofErr w:type="spellStart"/>
            <w:r w:rsidRPr="003C7592">
              <w:rPr>
                <w:lang w:val="en-GB"/>
              </w:rPr>
              <w:t>Cüneyt</w:t>
            </w:r>
            <w:proofErr w:type="spellEnd"/>
            <w:r w:rsidRPr="003C7592">
              <w:rPr>
                <w:lang w:val="en-GB"/>
              </w:rPr>
              <w:t xml:space="preserve"> YÜKSEL</w:t>
            </w:r>
          </w:p>
        </w:tc>
        <w:tc>
          <w:tcPr>
            <w:tcW w:w="555" w:type="pct"/>
          </w:tcPr>
          <w:p w:rsidRPr="003C7592" w:rsidR="00C02B87" w:rsidP="003C7592" w:rsidRDefault="00C02B87">
            <w:pPr>
              <w:jc w:val="left"/>
              <w:rPr>
                <w:lang w:val="en-GB"/>
              </w:rPr>
            </w:pPr>
            <w:r w:rsidRPr="003C7592">
              <w:rPr>
                <w:lang w:val="en-GB"/>
              </w:rPr>
              <w:t>30/05/1954</w:t>
            </w:r>
          </w:p>
        </w:tc>
        <w:tc>
          <w:tcPr>
            <w:tcW w:w="555" w:type="pct"/>
          </w:tcPr>
          <w:p w:rsidRPr="003C7592" w:rsidR="00C02B87" w:rsidP="003C7592" w:rsidRDefault="00C02B87">
            <w:pPr>
              <w:jc w:val="left"/>
              <w:rPr>
                <w:lang w:val="en-GB"/>
              </w:rPr>
            </w:pPr>
            <w:r w:rsidRPr="003C7592">
              <w:rPr>
                <w:lang w:val="en-GB"/>
              </w:rPr>
              <w:t>Istanbul</w:t>
            </w:r>
          </w:p>
        </w:tc>
        <w:tc>
          <w:tcPr>
            <w:tcW w:w="859" w:type="pct"/>
          </w:tcPr>
          <w:p w:rsidRPr="003C7592" w:rsidR="00C02B87" w:rsidP="003C7592" w:rsidRDefault="00C02B87">
            <w:pPr>
              <w:jc w:val="left"/>
              <w:rPr>
                <w:lang w:val="en-GB"/>
              </w:rPr>
            </w:pPr>
            <w:r w:rsidRPr="003C7592">
              <w:rPr>
                <w:lang w:val="en-GB"/>
              </w:rPr>
              <w:t>01/11/1999</w:t>
            </w:r>
          </w:p>
          <w:p w:rsidRPr="003C7592" w:rsidR="00C02B87" w:rsidP="003C7592" w:rsidRDefault="00C02B87">
            <w:pPr>
              <w:jc w:val="left"/>
              <w:rPr>
                <w:lang w:val="en-GB"/>
              </w:rPr>
            </w:pPr>
            <w:r w:rsidRPr="003C7592">
              <w:rPr>
                <w:lang w:val="en-GB"/>
              </w:rPr>
              <w:t>1999/1536 E.</w:t>
            </w:r>
          </w:p>
        </w:tc>
        <w:tc>
          <w:tcPr>
            <w:tcW w:w="1716" w:type="pct"/>
          </w:tcPr>
          <w:p w:rsidRPr="003C7592" w:rsidR="00C02B87" w:rsidP="003C7592" w:rsidRDefault="00C02B87">
            <w:pPr>
              <w:jc w:val="left"/>
              <w:rPr>
                <w:lang w:val="en-GB"/>
              </w:rPr>
            </w:pPr>
            <w:r w:rsidRPr="003C7592">
              <w:rPr>
                <w:lang w:val="en-GB"/>
              </w:rPr>
              <w:t>14/06/2004</w:t>
            </w:r>
          </w:p>
        </w:tc>
      </w:tr>
      <w:tr w:rsidRPr="003C7592" w:rsidR="00C02B87" w:rsidTr="001646D6">
        <w:tc>
          <w:tcPr>
            <w:tcW w:w="202" w:type="pct"/>
          </w:tcPr>
          <w:p w:rsidRPr="003C7592" w:rsidR="00C02B87" w:rsidP="003C7592" w:rsidRDefault="00C02B87">
            <w:pPr>
              <w:pStyle w:val="ListParagraph"/>
              <w:numPr>
                <w:ilvl w:val="0"/>
                <w:numId w:val="22"/>
              </w:numPr>
              <w:jc w:val="left"/>
              <w:rPr>
                <w:b/>
                <w:lang w:val="en-GB"/>
              </w:rPr>
            </w:pPr>
          </w:p>
        </w:tc>
        <w:tc>
          <w:tcPr>
            <w:tcW w:w="1112" w:type="pct"/>
          </w:tcPr>
          <w:p w:rsidRPr="003C7592" w:rsidR="00C02B87" w:rsidP="003C7592" w:rsidRDefault="00C02B87">
            <w:pPr>
              <w:jc w:val="left"/>
              <w:rPr>
                <w:lang w:val="en-GB"/>
              </w:rPr>
            </w:pPr>
            <w:proofErr w:type="spellStart"/>
            <w:r w:rsidRPr="003C7592">
              <w:rPr>
                <w:lang w:val="en-GB"/>
              </w:rPr>
              <w:t>Fahriye</w:t>
            </w:r>
            <w:proofErr w:type="spellEnd"/>
            <w:r w:rsidRPr="003C7592">
              <w:rPr>
                <w:lang w:val="en-GB"/>
              </w:rPr>
              <w:t xml:space="preserve"> BARAN</w:t>
            </w:r>
          </w:p>
        </w:tc>
        <w:tc>
          <w:tcPr>
            <w:tcW w:w="555" w:type="pct"/>
          </w:tcPr>
          <w:p w:rsidRPr="003C7592" w:rsidR="00C02B87" w:rsidP="003C7592" w:rsidRDefault="00C02B87">
            <w:pPr>
              <w:jc w:val="left"/>
              <w:rPr>
                <w:lang w:val="en-GB"/>
              </w:rPr>
            </w:pPr>
            <w:r w:rsidRPr="003C7592">
              <w:rPr>
                <w:lang w:val="en-GB"/>
              </w:rPr>
              <w:t>19/10/1929</w:t>
            </w:r>
          </w:p>
        </w:tc>
        <w:tc>
          <w:tcPr>
            <w:tcW w:w="555" w:type="pct"/>
          </w:tcPr>
          <w:p w:rsidRPr="003C7592" w:rsidR="00C02B87" w:rsidP="003C7592" w:rsidRDefault="00C02B87">
            <w:pPr>
              <w:jc w:val="left"/>
              <w:rPr>
                <w:lang w:val="en-GB"/>
              </w:rPr>
            </w:pPr>
            <w:r w:rsidRPr="003C7592">
              <w:rPr>
                <w:lang w:val="en-GB"/>
              </w:rPr>
              <w:t>Istanbul</w:t>
            </w:r>
          </w:p>
        </w:tc>
        <w:tc>
          <w:tcPr>
            <w:tcW w:w="859" w:type="pct"/>
          </w:tcPr>
          <w:p w:rsidRPr="003C7592" w:rsidR="00C02B87" w:rsidP="003C7592" w:rsidRDefault="00C02B87">
            <w:pPr>
              <w:jc w:val="left"/>
              <w:rPr>
                <w:lang w:val="en-GB"/>
              </w:rPr>
            </w:pPr>
            <w:r w:rsidRPr="003C7592">
              <w:rPr>
                <w:lang w:val="en-GB"/>
              </w:rPr>
              <w:t>16/08/2000</w:t>
            </w:r>
          </w:p>
          <w:p w:rsidRPr="003C7592" w:rsidR="00C02B87" w:rsidP="003C7592" w:rsidRDefault="00C02B87">
            <w:pPr>
              <w:jc w:val="left"/>
              <w:rPr>
                <w:lang w:val="en-GB"/>
              </w:rPr>
            </w:pPr>
            <w:r w:rsidRPr="003C7592">
              <w:rPr>
                <w:lang w:val="en-GB"/>
              </w:rPr>
              <w:t>2000/1336 E.</w:t>
            </w:r>
          </w:p>
        </w:tc>
        <w:tc>
          <w:tcPr>
            <w:tcW w:w="1716" w:type="pct"/>
          </w:tcPr>
          <w:p w:rsidRPr="003C7592" w:rsidR="00C02B87" w:rsidP="003C7592" w:rsidRDefault="00C02B87">
            <w:pPr>
              <w:jc w:val="left"/>
              <w:rPr>
                <w:lang w:val="en-GB"/>
              </w:rPr>
            </w:pPr>
            <w:r w:rsidRPr="003C7592">
              <w:rPr>
                <w:lang w:val="en-GB"/>
              </w:rPr>
              <w:t>21/06/2004</w:t>
            </w:r>
          </w:p>
        </w:tc>
      </w:tr>
      <w:tr w:rsidRPr="003C7592" w:rsidR="00C02B87" w:rsidTr="001646D6">
        <w:tc>
          <w:tcPr>
            <w:tcW w:w="202" w:type="pct"/>
          </w:tcPr>
          <w:p w:rsidRPr="003C7592" w:rsidR="00C02B87" w:rsidP="003C7592" w:rsidRDefault="00C02B87">
            <w:pPr>
              <w:pStyle w:val="ListParagraph"/>
              <w:numPr>
                <w:ilvl w:val="0"/>
                <w:numId w:val="22"/>
              </w:numPr>
              <w:jc w:val="left"/>
              <w:rPr>
                <w:b/>
                <w:lang w:val="en-GB"/>
              </w:rPr>
            </w:pPr>
          </w:p>
        </w:tc>
        <w:tc>
          <w:tcPr>
            <w:tcW w:w="1112" w:type="pct"/>
          </w:tcPr>
          <w:p w:rsidRPr="003C7592" w:rsidR="00C02B87" w:rsidP="003C7592" w:rsidRDefault="00C02B87">
            <w:pPr>
              <w:jc w:val="left"/>
              <w:rPr>
                <w:lang w:val="en-GB"/>
              </w:rPr>
            </w:pPr>
            <w:r w:rsidRPr="003C7592">
              <w:rPr>
                <w:lang w:val="en-GB"/>
              </w:rPr>
              <w:t xml:space="preserve">Mehmet </w:t>
            </w:r>
            <w:proofErr w:type="spellStart"/>
            <w:r w:rsidRPr="003C7592">
              <w:rPr>
                <w:lang w:val="en-GB"/>
              </w:rPr>
              <w:t>Semih</w:t>
            </w:r>
            <w:proofErr w:type="spellEnd"/>
            <w:r w:rsidRPr="003C7592">
              <w:rPr>
                <w:lang w:val="en-GB"/>
              </w:rPr>
              <w:t xml:space="preserve"> YAZGAN</w:t>
            </w:r>
          </w:p>
        </w:tc>
        <w:tc>
          <w:tcPr>
            <w:tcW w:w="555" w:type="pct"/>
          </w:tcPr>
          <w:p w:rsidRPr="003C7592" w:rsidR="00C02B87" w:rsidP="003C7592" w:rsidRDefault="00C02B87">
            <w:pPr>
              <w:jc w:val="left"/>
              <w:rPr>
                <w:lang w:val="en-GB"/>
              </w:rPr>
            </w:pPr>
            <w:r w:rsidRPr="003C7592">
              <w:rPr>
                <w:lang w:val="en-GB"/>
              </w:rPr>
              <w:t>20/05/1955</w:t>
            </w:r>
          </w:p>
        </w:tc>
        <w:tc>
          <w:tcPr>
            <w:tcW w:w="555" w:type="pct"/>
          </w:tcPr>
          <w:p w:rsidRPr="003C7592" w:rsidR="00C02B87" w:rsidP="003C7592" w:rsidRDefault="00C02B87">
            <w:pPr>
              <w:jc w:val="left"/>
              <w:rPr>
                <w:lang w:val="en-GB"/>
              </w:rPr>
            </w:pPr>
            <w:r w:rsidRPr="003C7592">
              <w:rPr>
                <w:lang w:val="en-GB"/>
              </w:rPr>
              <w:t>Ankara</w:t>
            </w:r>
          </w:p>
        </w:tc>
        <w:tc>
          <w:tcPr>
            <w:tcW w:w="859" w:type="pct"/>
          </w:tcPr>
          <w:p w:rsidRPr="003C7592" w:rsidR="00C02B87" w:rsidP="003C7592" w:rsidRDefault="00C02B87">
            <w:pPr>
              <w:jc w:val="left"/>
              <w:rPr>
                <w:lang w:val="en-GB"/>
              </w:rPr>
            </w:pPr>
            <w:r w:rsidRPr="003C7592">
              <w:rPr>
                <w:lang w:val="en-GB"/>
              </w:rPr>
              <w:t>02/08/2000</w:t>
            </w:r>
          </w:p>
          <w:p w:rsidRPr="003C7592" w:rsidR="00C02B87" w:rsidP="003C7592" w:rsidRDefault="00C02B87">
            <w:pPr>
              <w:jc w:val="left"/>
              <w:rPr>
                <w:lang w:val="en-GB"/>
              </w:rPr>
            </w:pPr>
            <w:r w:rsidRPr="003C7592">
              <w:rPr>
                <w:lang w:val="en-GB"/>
              </w:rPr>
              <w:t>2000/1146 E.</w:t>
            </w:r>
          </w:p>
        </w:tc>
        <w:tc>
          <w:tcPr>
            <w:tcW w:w="1716" w:type="pct"/>
          </w:tcPr>
          <w:p w:rsidRPr="003C7592" w:rsidR="00C02B87" w:rsidP="003C7592" w:rsidRDefault="00C02B87">
            <w:pPr>
              <w:jc w:val="left"/>
              <w:rPr>
                <w:lang w:val="en-GB"/>
              </w:rPr>
            </w:pPr>
            <w:r w:rsidRPr="003C7592">
              <w:rPr>
                <w:lang w:val="en-GB"/>
              </w:rPr>
              <w:t>21/06/2004</w:t>
            </w:r>
          </w:p>
        </w:tc>
      </w:tr>
      <w:tr w:rsidRPr="003C7592" w:rsidR="00C02B87" w:rsidTr="001646D6">
        <w:tc>
          <w:tcPr>
            <w:tcW w:w="202" w:type="pct"/>
          </w:tcPr>
          <w:p w:rsidRPr="003C7592" w:rsidR="00C02B87" w:rsidP="003C7592" w:rsidRDefault="00C02B87">
            <w:pPr>
              <w:pStyle w:val="ListParagraph"/>
              <w:numPr>
                <w:ilvl w:val="0"/>
                <w:numId w:val="22"/>
              </w:numPr>
              <w:jc w:val="left"/>
              <w:rPr>
                <w:lang w:val="en-GB"/>
              </w:rPr>
            </w:pPr>
            <w:r w:rsidRPr="003C7592">
              <w:rPr>
                <w:lang w:val="en-GB"/>
              </w:rPr>
              <w:t>.</w:t>
            </w:r>
          </w:p>
        </w:tc>
        <w:tc>
          <w:tcPr>
            <w:tcW w:w="1112" w:type="pct"/>
          </w:tcPr>
          <w:p w:rsidRPr="003C7592" w:rsidR="00C02B87" w:rsidP="003C7592" w:rsidRDefault="00C02B87">
            <w:pPr>
              <w:jc w:val="left"/>
              <w:rPr>
                <w:lang w:val="en-GB"/>
              </w:rPr>
            </w:pPr>
            <w:proofErr w:type="spellStart"/>
            <w:r w:rsidRPr="003C7592">
              <w:rPr>
                <w:lang w:val="en-GB"/>
              </w:rPr>
              <w:t>Nevzer</w:t>
            </w:r>
            <w:proofErr w:type="spellEnd"/>
            <w:r w:rsidRPr="003C7592">
              <w:rPr>
                <w:lang w:val="en-GB"/>
              </w:rPr>
              <w:t xml:space="preserve"> ZORLU</w:t>
            </w:r>
          </w:p>
        </w:tc>
        <w:tc>
          <w:tcPr>
            <w:tcW w:w="555" w:type="pct"/>
          </w:tcPr>
          <w:p w:rsidRPr="003C7592" w:rsidR="00C02B87" w:rsidP="003C7592" w:rsidRDefault="00C02B87">
            <w:pPr>
              <w:jc w:val="left"/>
              <w:rPr>
                <w:lang w:val="en-GB"/>
              </w:rPr>
            </w:pPr>
            <w:r w:rsidRPr="003C7592">
              <w:rPr>
                <w:lang w:val="en-GB"/>
              </w:rPr>
              <w:t>25/09/1946</w:t>
            </w:r>
          </w:p>
        </w:tc>
        <w:tc>
          <w:tcPr>
            <w:tcW w:w="555" w:type="pct"/>
          </w:tcPr>
          <w:p w:rsidRPr="003C7592" w:rsidR="00C02B87" w:rsidP="003C7592" w:rsidRDefault="00C02B87">
            <w:pPr>
              <w:jc w:val="left"/>
              <w:rPr>
                <w:lang w:val="en-GB"/>
              </w:rPr>
            </w:pPr>
            <w:proofErr w:type="spellStart"/>
            <w:r w:rsidRPr="003C7592">
              <w:rPr>
                <w:lang w:val="en-GB"/>
              </w:rPr>
              <w:t>Yalova</w:t>
            </w:r>
            <w:proofErr w:type="spellEnd"/>
          </w:p>
        </w:tc>
        <w:tc>
          <w:tcPr>
            <w:tcW w:w="859" w:type="pct"/>
          </w:tcPr>
          <w:p w:rsidRPr="003C7592" w:rsidR="00C02B87" w:rsidP="003C7592" w:rsidRDefault="00C02B87">
            <w:pPr>
              <w:jc w:val="left"/>
              <w:rPr>
                <w:lang w:val="en-GB"/>
              </w:rPr>
            </w:pPr>
            <w:r w:rsidRPr="003C7592">
              <w:rPr>
                <w:lang w:val="en-GB"/>
              </w:rPr>
              <w:t>24/12/1999</w:t>
            </w:r>
          </w:p>
          <w:p w:rsidRPr="003C7592" w:rsidR="00C02B87" w:rsidP="003C7592" w:rsidRDefault="00C02B87">
            <w:pPr>
              <w:jc w:val="left"/>
              <w:rPr>
                <w:lang w:val="en-GB"/>
              </w:rPr>
            </w:pPr>
            <w:r w:rsidRPr="003C7592">
              <w:rPr>
                <w:lang w:val="en-GB"/>
              </w:rPr>
              <w:t xml:space="preserve">1999/1918 E. </w:t>
            </w:r>
          </w:p>
        </w:tc>
        <w:tc>
          <w:tcPr>
            <w:tcW w:w="1716" w:type="pct"/>
          </w:tcPr>
          <w:p w:rsidRPr="003C7592" w:rsidR="00C02B87" w:rsidP="003C7592" w:rsidRDefault="00C02B87">
            <w:pPr>
              <w:jc w:val="left"/>
              <w:rPr>
                <w:lang w:val="en-GB"/>
              </w:rPr>
            </w:pPr>
            <w:r w:rsidRPr="003C7592">
              <w:rPr>
                <w:lang w:val="en-GB"/>
              </w:rPr>
              <w:t>13/09/2005</w:t>
            </w:r>
          </w:p>
        </w:tc>
      </w:tr>
    </w:tbl>
    <w:p w:rsidRPr="003C7592" w:rsidR="00C02B87" w:rsidP="003C7592" w:rsidRDefault="00C02B87">
      <w:pPr>
        <w:rPr>
          <w:lang w:val="en-GB"/>
        </w:rPr>
      </w:pPr>
    </w:p>
    <w:p w:rsidRPr="003C7592" w:rsidR="002A613A" w:rsidP="003C7592" w:rsidRDefault="002A613A">
      <w:pPr>
        <w:rPr>
          <w:lang w:val="en-GB"/>
        </w:rPr>
      </w:pPr>
    </w:p>
    <w:sectPr w:rsidRPr="003C7592" w:rsidR="002A613A" w:rsidSect="0036382B">
      <w:headerReference w:type="even" r:id="rId15"/>
      <w:headerReference w:type="default" r:id="rId16"/>
      <w:headerReference w:type="first" r:id="rId17"/>
      <w:footnotePr>
        <w:numRestart w:val="eachSect"/>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4248" w:rsidRPr="00085457" w:rsidRDefault="00354248" w:rsidP="0098410D">
      <w:pPr>
        <w:rPr>
          <w:lang w:val="en-GB"/>
        </w:rPr>
      </w:pPr>
      <w:r w:rsidRPr="00085457">
        <w:rPr>
          <w:lang w:val="en-GB"/>
        </w:rPr>
        <w:separator/>
      </w:r>
    </w:p>
  </w:endnote>
  <w:endnote w:type="continuationSeparator" w:id="0">
    <w:p w:rsidR="00354248" w:rsidRPr="00085457" w:rsidRDefault="00354248" w:rsidP="0098410D">
      <w:pPr>
        <w:rPr>
          <w:lang w:val="en-GB"/>
        </w:rPr>
      </w:pPr>
      <w:r w:rsidRPr="00085457">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4248" w:rsidRPr="00150BFA" w:rsidRDefault="00354248" w:rsidP="0020718E">
    <w:pPr>
      <w:jc w:val="center"/>
    </w:pPr>
    <w:r>
      <w:rPr>
        <w:noProof/>
        <w:lang w:eastAsia="ja-JP"/>
      </w:rPr>
      <w:drawing>
        <wp:inline distT="0" distB="0" distL="0" distR="0" wp14:anchorId="3D4F2A67" wp14:editId="211A97D9">
          <wp:extent cx="771525" cy="619125"/>
          <wp:effectExtent l="0" t="0" r="9525" b="9525"/>
          <wp:docPr id="35" name="Picture 3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
      <w:jc w:val="center"/>
      <w:rPr>
        <w:sz w:val="4"/>
        <w:szCs w:val="4"/>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B965E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B965E5" w:rsidP="00AF12C5">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4248" w:rsidRPr="00085457" w:rsidRDefault="00354248" w:rsidP="0098410D">
      <w:pPr>
        <w:rPr>
          <w:lang w:val="en-GB"/>
        </w:rPr>
      </w:pPr>
      <w:r w:rsidRPr="00085457">
        <w:rPr>
          <w:lang w:val="en-GB"/>
        </w:rPr>
        <w:separator/>
      </w:r>
    </w:p>
  </w:footnote>
  <w:footnote w:type="continuationSeparator" w:id="0">
    <w:p w:rsidR="00354248" w:rsidRPr="00085457" w:rsidRDefault="00354248" w:rsidP="0098410D">
      <w:pPr>
        <w:rPr>
          <w:lang w:val="en-GB"/>
        </w:rPr>
      </w:pPr>
      <w:r w:rsidRPr="00085457">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4248" w:rsidRPr="00A45145" w:rsidRDefault="00354248" w:rsidP="00A45145">
    <w:pPr>
      <w:jc w:val="center"/>
    </w:pPr>
    <w:r>
      <w:rPr>
        <w:noProof/>
        <w:lang w:eastAsia="ja-JP"/>
      </w:rPr>
      <w:drawing>
        <wp:inline distT="0" distB="0" distL="0" distR="0" wp14:anchorId="6CF0E697" wp14:editId="70CB2B75">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4248" w:rsidRPr="00A45145" w:rsidRDefault="00354248" w:rsidP="00A45145">
    <w:pPr>
      <w:jc w:val="center"/>
    </w:pPr>
    <w:r>
      <w:rPr>
        <w:noProof/>
        <w:lang w:eastAsia="ja-JP"/>
      </w:rPr>
      <w:drawing>
        <wp:inline distT="0" distB="0" distL="0" distR="0" wp14:anchorId="14401EED" wp14:editId="7AEF1B53">
          <wp:extent cx="2962275" cy="1219200"/>
          <wp:effectExtent l="0" t="0" r="9525" b="0"/>
          <wp:docPr id="33" name="Picture 3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pP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354248" w:rsidP="004D0EC7">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191276">
      <w:rPr>
        <w:rStyle w:val="PageNumber"/>
        <w:noProof/>
        <w:lang w:val="en-GB"/>
      </w:rPr>
      <w:t>14</w:t>
    </w:r>
    <w:r>
      <w:rPr>
        <w:rStyle w:val="PageNumber"/>
        <w:lang w:val="en-GB"/>
      </w:rPr>
      <w:fldChar w:fldCharType="end"/>
    </w:r>
    <w:r w:rsidR="00882CD5" w:rsidRPr="004D0EC7">
      <w:rPr>
        <w:lang w:val="en-GB"/>
      </w:rPr>
      <w:tab/>
    </w:r>
    <w:r w:rsidR="00044A0D">
      <w:rPr>
        <w:lang w:val="en-GB"/>
      </w:rPr>
      <w:t>AKSİ</w:t>
    </w:r>
    <w:r>
      <w:rPr>
        <w:lang w:val="en-GB"/>
      </w:rPr>
      <w:t>S AND OTHERS v. TURKEY</w:t>
    </w:r>
    <w:r w:rsidR="00882CD5" w:rsidRPr="004D0EC7">
      <w:rPr>
        <w:lang w:val="en-GB"/>
      </w:rPr>
      <w:t xml:space="preserve"> </w:t>
    </w:r>
    <w:r w:rsidR="008E3A08">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ECHRHeader"/>
      <w:rPr>
        <w:lang w:val="en-GB"/>
      </w:rPr>
    </w:pPr>
    <w:r w:rsidRPr="00882CD5">
      <w:rPr>
        <w:lang w:val="en-GB"/>
      </w:rPr>
      <w:tab/>
    </w:r>
    <w:r w:rsidR="00044A0D">
      <w:rPr>
        <w:lang w:val="en-GB"/>
      </w:rPr>
      <w:t>AKSİ</w:t>
    </w:r>
    <w:r w:rsidR="00354248">
      <w:rPr>
        <w:lang w:val="en-GB"/>
      </w:rPr>
      <w:t>S AND OTHERS v. TURKEY</w:t>
    </w:r>
    <w:r w:rsidR="00354248">
      <w:rPr>
        <w:noProof/>
        <w:lang w:val="en-GB"/>
      </w:rPr>
      <w:t xml:space="preserve"> </w:t>
    </w:r>
    <w:r w:rsidRPr="00882CD5">
      <w:rPr>
        <w:lang w:val="en-GB"/>
      </w:rPr>
      <w:t>JUDGMENT</w:t>
    </w:r>
    <w:r w:rsidRPr="00882CD5">
      <w:rPr>
        <w:lang w:val="en-GB"/>
      </w:rPr>
      <w:tab/>
    </w:r>
    <w:r w:rsidR="00354248">
      <w:rPr>
        <w:rStyle w:val="PageNumber"/>
        <w:lang w:val="en-GB"/>
      </w:rPr>
      <w:fldChar w:fldCharType="begin"/>
    </w:r>
    <w:r w:rsidR="00354248">
      <w:rPr>
        <w:rStyle w:val="PageNumber"/>
        <w:lang w:val="en-GB"/>
      </w:rPr>
      <w:instrText xml:space="preserve"> PAGE </w:instrText>
    </w:r>
    <w:r w:rsidR="00354248">
      <w:rPr>
        <w:rStyle w:val="PageNumber"/>
        <w:lang w:val="en-GB"/>
      </w:rPr>
      <w:fldChar w:fldCharType="separate"/>
    </w:r>
    <w:r w:rsidR="00191276">
      <w:rPr>
        <w:rStyle w:val="PageNumber"/>
        <w:noProof/>
        <w:lang w:val="en-GB"/>
      </w:rPr>
      <w:t>1</w:t>
    </w:r>
    <w:r w:rsidR="00354248">
      <w:rPr>
        <w:rStyle w:val="PageNumber"/>
        <w:lang w:val="en-GB"/>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702A" w:rsidRPr="004671F5" w:rsidRDefault="000925EC" w:rsidP="003C7592">
    <w:pPr>
      <w:pStyle w:val="JuHeaderLandscape"/>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191276">
      <w:rPr>
        <w:rStyle w:val="PageNumber"/>
        <w:noProof/>
        <w:szCs w:val="18"/>
        <w:lang w:val="en-GB"/>
      </w:rPr>
      <w:t>16</w:t>
    </w:r>
    <w:r>
      <w:rPr>
        <w:rStyle w:val="PageNumber"/>
        <w:szCs w:val="18"/>
        <w:lang w:val="en-GB"/>
      </w:rPr>
      <w:fldChar w:fldCharType="end"/>
    </w:r>
    <w:r w:rsidRPr="004671F5">
      <w:rPr>
        <w:lang w:val="en-GB"/>
      </w:rPr>
      <w:tab/>
    </w:r>
    <w:r>
      <w:rPr>
        <w:lang w:val="en-GB"/>
      </w:rPr>
      <w:t>AKSİS AND OTHERS v. TURKEY</w:t>
    </w:r>
    <w:r>
      <w:rPr>
        <w:noProof/>
        <w:lang w:val="en-GB"/>
      </w:rPr>
      <w:t xml:space="preserve"> </w:t>
    </w:r>
    <w:r w:rsidRPr="00882CD5">
      <w:rPr>
        <w:lang w:val="en-GB"/>
      </w:rP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702A" w:rsidRPr="004671F5" w:rsidRDefault="000925EC" w:rsidP="003C7592">
    <w:pPr>
      <w:pStyle w:val="JuHeaderLandscape"/>
      <w:rPr>
        <w:rStyle w:val="PageNumber"/>
        <w:szCs w:val="18"/>
        <w:lang w:val="en-GB"/>
      </w:rPr>
    </w:pPr>
    <w:r>
      <w:rPr>
        <w:lang w:val="en-GB"/>
      </w:rPr>
      <w:tab/>
    </w:r>
    <w:r w:rsidRPr="005D5C78">
      <w:rPr>
        <w:lang w:val="en-GB"/>
      </w:rPr>
      <w:t>AKSİS</w:t>
    </w:r>
    <w:r>
      <w:rPr>
        <w:lang w:val="en-GB"/>
      </w:rPr>
      <w:t xml:space="preserve"> AND OTHERS v. TURKEY</w:t>
    </w:r>
    <w:r w:rsidRPr="004671F5">
      <w:rPr>
        <w:rStyle w:val="PageNumber"/>
        <w:szCs w:val="18"/>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191276">
      <w:rPr>
        <w:rStyle w:val="PageNumber"/>
        <w:noProof/>
        <w:szCs w:val="18"/>
        <w:lang w:val="en-GB"/>
      </w:rPr>
      <w:t>17</w:t>
    </w:r>
    <w:r>
      <w:rPr>
        <w:rStyle w:val="PageNumber"/>
        <w:szCs w:val="18"/>
        <w:lang w:val="en-GB"/>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702A" w:rsidRDefault="00B965E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0DA226B5"/>
    <w:multiLevelType w:val="hybridMultilevel"/>
    <w:tmpl w:val="2390CE8C"/>
    <w:lvl w:ilvl="0" w:tplc="44249748">
      <w:start w:val="1"/>
      <w:numFmt w:val="decimal"/>
      <w:lvlRestart w:val="0"/>
      <w:lvlText w:val="%1."/>
      <w:lvlJc w:val="left"/>
      <w:pPr>
        <w:tabs>
          <w:tab w:val="num" w:pos="0"/>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CF2365B"/>
    <w:multiLevelType w:val="hybridMultilevel"/>
    <w:tmpl w:val="E8AE1CCE"/>
    <w:lvl w:ilvl="0" w:tplc="5E6825F0">
      <w:start w:val="1"/>
      <w:numFmt w:val="decimal"/>
      <w:lvlRestart w:val="0"/>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5DB40223"/>
    <w:multiLevelType w:val="hybridMultilevel"/>
    <w:tmpl w:val="D3342FE4"/>
    <w:lvl w:ilvl="0" w:tplc="AB4E45AC">
      <w:start w:val="1"/>
      <w:numFmt w:val="decimal"/>
      <w:lvlRestart w:val="0"/>
      <w:lvlText w:val="%1."/>
      <w:lvlJc w:val="left"/>
      <w:pPr>
        <w:tabs>
          <w:tab w:val="num" w:pos="0"/>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8">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3"/>
  </w:num>
  <w:num w:numId="2">
    <w:abstractNumId w:val="19"/>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9"/>
  </w:num>
  <w:num w:numId="6">
    <w:abstractNumId w:val="19"/>
  </w:num>
  <w:num w:numId="7">
    <w:abstractNumId w:val="9"/>
  </w:num>
  <w:num w:numId="8">
    <w:abstractNumId w:val="6"/>
  </w:num>
  <w:num w:numId="9">
    <w:abstractNumId w:val="17"/>
  </w:num>
  <w:num w:numId="10">
    <w:abstractNumId w:val="14"/>
  </w:num>
  <w:num w:numId="11">
    <w:abstractNumId w:val="12"/>
  </w:num>
  <w:num w:numId="12">
    <w:abstractNumId w:val="11"/>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8"/>
  </w:num>
  <w:num w:numId="22">
    <w:abstractNumId w:val="15"/>
  </w:num>
  <w:num w:numId="23">
    <w:abstractNumId w:val="16"/>
  </w:num>
  <w:num w:numId="24">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354248"/>
    <w:rsid w:val="000041F8"/>
    <w:rsid w:val="000042A8"/>
    <w:rsid w:val="00004308"/>
    <w:rsid w:val="00005BF0"/>
    <w:rsid w:val="00007154"/>
    <w:rsid w:val="000103AE"/>
    <w:rsid w:val="00011D69"/>
    <w:rsid w:val="00012AD3"/>
    <w:rsid w:val="00015C2D"/>
    <w:rsid w:val="00015F00"/>
    <w:rsid w:val="00021548"/>
    <w:rsid w:val="00022C1D"/>
    <w:rsid w:val="00034987"/>
    <w:rsid w:val="00041560"/>
    <w:rsid w:val="00044A0D"/>
    <w:rsid w:val="000602DF"/>
    <w:rsid w:val="00061B05"/>
    <w:rsid w:val="000632D5"/>
    <w:rsid w:val="000644EE"/>
    <w:rsid w:val="00085457"/>
    <w:rsid w:val="000925AD"/>
    <w:rsid w:val="000925EC"/>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067A9"/>
    <w:rsid w:val="00110DA8"/>
    <w:rsid w:val="00111B0C"/>
    <w:rsid w:val="00120D6C"/>
    <w:rsid w:val="001257EC"/>
    <w:rsid w:val="00133D33"/>
    <w:rsid w:val="00134B6A"/>
    <w:rsid w:val="00134D64"/>
    <w:rsid w:val="00135A30"/>
    <w:rsid w:val="0013612C"/>
    <w:rsid w:val="00137FF6"/>
    <w:rsid w:val="00141650"/>
    <w:rsid w:val="00141666"/>
    <w:rsid w:val="001561B6"/>
    <w:rsid w:val="00162A12"/>
    <w:rsid w:val="00166530"/>
    <w:rsid w:val="00170027"/>
    <w:rsid w:val="001832BD"/>
    <w:rsid w:val="00191276"/>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4248"/>
    <w:rsid w:val="00355877"/>
    <w:rsid w:val="00356AC7"/>
    <w:rsid w:val="003609FA"/>
    <w:rsid w:val="003710C8"/>
    <w:rsid w:val="003750BE"/>
    <w:rsid w:val="00385F3D"/>
    <w:rsid w:val="00387B9D"/>
    <w:rsid w:val="00390294"/>
    <w:rsid w:val="0039364F"/>
    <w:rsid w:val="00396686"/>
    <w:rsid w:val="0039778E"/>
    <w:rsid w:val="003B4941"/>
    <w:rsid w:val="003C5714"/>
    <w:rsid w:val="003C6B9F"/>
    <w:rsid w:val="003C6E2A"/>
    <w:rsid w:val="003C7592"/>
    <w:rsid w:val="003D0299"/>
    <w:rsid w:val="003E6D80"/>
    <w:rsid w:val="003F05FA"/>
    <w:rsid w:val="003F244A"/>
    <w:rsid w:val="003F2517"/>
    <w:rsid w:val="003F30B8"/>
    <w:rsid w:val="003F4C45"/>
    <w:rsid w:val="003F5F7B"/>
    <w:rsid w:val="003F7D64"/>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7271C"/>
    <w:rsid w:val="00572845"/>
    <w:rsid w:val="005879A2"/>
    <w:rsid w:val="00592772"/>
    <w:rsid w:val="00594BD7"/>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F1905"/>
    <w:rsid w:val="00802C64"/>
    <w:rsid w:val="00805E52"/>
    <w:rsid w:val="008061D0"/>
    <w:rsid w:val="00810B38"/>
    <w:rsid w:val="008125A9"/>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689"/>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E0A2E"/>
    <w:rsid w:val="00AE354C"/>
    <w:rsid w:val="00AF4B07"/>
    <w:rsid w:val="00AF6186"/>
    <w:rsid w:val="00AF7A3A"/>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2B87"/>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0F28"/>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uiPriority="71"/>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4393B"/>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4393B"/>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64393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64393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64393B"/>
    <w:rPr>
      <w:i/>
      <w:iCs/>
      <w:smallCaps/>
      <w:spacing w:val="5"/>
    </w:rPr>
  </w:style>
  <w:style w:type="paragraph" w:customStyle="1" w:styleId="ECHRHeader">
    <w:name w:val="ECHR_Header"/>
    <w:aliases w:val="Ju_Header"/>
    <w:basedOn w:val="Header"/>
    <w:uiPriority w:val="4"/>
    <w:qFormat/>
    <w:rsid w:val="0064393B"/>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64393B"/>
  </w:style>
  <w:style w:type="character" w:styleId="Strong">
    <w:name w:val="Strong"/>
    <w:uiPriority w:val="99"/>
    <w:semiHidden/>
    <w:qFormat/>
    <w:rsid w:val="0064393B"/>
    <w:rPr>
      <w:b/>
      <w:bCs/>
    </w:rPr>
  </w:style>
  <w:style w:type="paragraph" w:styleId="NoSpacing">
    <w:name w:val="No Spacing"/>
    <w:basedOn w:val="Normal"/>
    <w:link w:val="NoSpacingChar"/>
    <w:semiHidden/>
    <w:qFormat/>
    <w:rsid w:val="0064393B"/>
  </w:style>
  <w:style w:type="character" w:customStyle="1" w:styleId="NoSpacingChar">
    <w:name w:val="No Spacing Char"/>
    <w:basedOn w:val="DefaultParagraphFont"/>
    <w:link w:val="NoSpacing"/>
    <w:semiHidden/>
    <w:rsid w:val="0064393B"/>
    <w:rPr>
      <w:rFonts w:eastAsiaTheme="minorEastAsia"/>
      <w:sz w:val="24"/>
    </w:rPr>
  </w:style>
  <w:style w:type="paragraph" w:customStyle="1" w:styleId="ECHRParaQuote">
    <w:name w:val="ECHR_Para_Quote"/>
    <w:aliases w:val="Ju_Quot"/>
    <w:basedOn w:val="Normal"/>
    <w:qFormat/>
    <w:rsid w:val="0064393B"/>
    <w:pPr>
      <w:spacing w:before="120" w:after="120"/>
      <w:ind w:left="425" w:firstLine="142"/>
    </w:pPr>
    <w:rPr>
      <w:sz w:val="20"/>
    </w:rPr>
  </w:style>
  <w:style w:type="paragraph" w:customStyle="1" w:styleId="JuParaSub">
    <w:name w:val="Ju_Para_Sub"/>
    <w:basedOn w:val="ECHRPara"/>
    <w:uiPriority w:val="13"/>
    <w:unhideWhenUsed/>
    <w:qFormat/>
    <w:rsid w:val="0064393B"/>
    <w:pPr>
      <w:ind w:left="284"/>
    </w:pPr>
  </w:style>
  <w:style w:type="paragraph" w:customStyle="1" w:styleId="OpiParaSub">
    <w:name w:val="Opi_Para_Sub"/>
    <w:basedOn w:val="JuParaSub"/>
    <w:uiPriority w:val="47"/>
    <w:unhideWhenUsed/>
    <w:qFormat/>
    <w:rsid w:val="0064393B"/>
  </w:style>
  <w:style w:type="paragraph" w:customStyle="1" w:styleId="OpiQuot">
    <w:name w:val="Opi_Quot"/>
    <w:basedOn w:val="ECHRParaQuote"/>
    <w:uiPriority w:val="48"/>
    <w:qFormat/>
    <w:rsid w:val="0064393B"/>
  </w:style>
  <w:style w:type="paragraph" w:customStyle="1" w:styleId="OpiQuotSub">
    <w:name w:val="Opi_Quot_Sub"/>
    <w:basedOn w:val="JuQuotSub"/>
    <w:uiPriority w:val="49"/>
    <w:qFormat/>
    <w:rsid w:val="0064393B"/>
  </w:style>
  <w:style w:type="paragraph" w:customStyle="1" w:styleId="ECHRTitleCentre3">
    <w:name w:val="ECHR_Title_Centre_3"/>
    <w:aliases w:val="Ju_H_Article"/>
    <w:basedOn w:val="Normal"/>
    <w:next w:val="ECHRParaQuote"/>
    <w:uiPriority w:val="27"/>
    <w:qFormat/>
    <w:rsid w:val="0064393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4393B"/>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64393B"/>
    <w:pPr>
      <w:ind w:left="567"/>
    </w:pPr>
  </w:style>
  <w:style w:type="paragraph" w:customStyle="1" w:styleId="ECHRTitle1">
    <w:name w:val="ECHR_Title_1"/>
    <w:aliases w:val="Ju_H_Head"/>
    <w:basedOn w:val="Normal"/>
    <w:next w:val="ECHRPara"/>
    <w:uiPriority w:val="18"/>
    <w:qFormat/>
    <w:rsid w:val="0064393B"/>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64393B"/>
    <w:pPr>
      <w:tabs>
        <w:tab w:val="center" w:pos="6407"/>
      </w:tabs>
      <w:spacing w:before="720"/>
      <w:jc w:val="right"/>
    </w:pPr>
  </w:style>
  <w:style w:type="paragraph" w:customStyle="1" w:styleId="JuSigned">
    <w:name w:val="Ju_Signed"/>
    <w:basedOn w:val="Normal"/>
    <w:next w:val="JuParaLast"/>
    <w:uiPriority w:val="32"/>
    <w:qFormat/>
    <w:rsid w:val="0064393B"/>
    <w:pPr>
      <w:tabs>
        <w:tab w:val="center" w:pos="851"/>
        <w:tab w:val="center" w:pos="6407"/>
      </w:tabs>
      <w:spacing w:before="720"/>
      <w:jc w:val="left"/>
    </w:pPr>
  </w:style>
  <w:style w:type="paragraph" w:styleId="Title">
    <w:name w:val="Title"/>
    <w:basedOn w:val="Normal"/>
    <w:next w:val="Normal"/>
    <w:link w:val="TitleChar"/>
    <w:uiPriority w:val="99"/>
    <w:semiHidden/>
    <w:qFormat/>
    <w:rsid w:val="0064393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64393B"/>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64393B"/>
    <w:pPr>
      <w:tabs>
        <w:tab w:val="clear" w:pos="357"/>
      </w:tabs>
      <w:outlineLvl w:val="1"/>
    </w:pPr>
    <w:rPr>
      <w:b/>
    </w:rPr>
  </w:style>
  <w:style w:type="character" w:customStyle="1" w:styleId="JUNAMES">
    <w:name w:val="JU_NAMES"/>
    <w:uiPriority w:val="17"/>
    <w:qFormat/>
    <w:rsid w:val="0064393B"/>
    <w:rPr>
      <w:caps w:val="0"/>
      <w:smallCaps/>
    </w:rPr>
  </w:style>
  <w:style w:type="character" w:customStyle="1" w:styleId="JuITMark">
    <w:name w:val="Ju_ITMark"/>
    <w:basedOn w:val="DefaultParagraphFont"/>
    <w:uiPriority w:val="38"/>
    <w:qFormat/>
    <w:rsid w:val="0064393B"/>
    <w:rPr>
      <w:vanish w:val="0"/>
      <w:color w:val="auto"/>
      <w:sz w:val="14"/>
    </w:rPr>
  </w:style>
  <w:style w:type="paragraph" w:customStyle="1" w:styleId="OpiTranslation">
    <w:name w:val="Opi_Translation"/>
    <w:basedOn w:val="Normal"/>
    <w:next w:val="OpiPara"/>
    <w:uiPriority w:val="40"/>
    <w:qFormat/>
    <w:rsid w:val="0064393B"/>
    <w:pPr>
      <w:jc w:val="center"/>
      <w:outlineLvl w:val="0"/>
    </w:pPr>
    <w:rPr>
      <w:i/>
    </w:rPr>
  </w:style>
  <w:style w:type="paragraph" w:customStyle="1" w:styleId="JuCourt">
    <w:name w:val="Ju_Court"/>
    <w:basedOn w:val="Normal"/>
    <w:next w:val="Normal"/>
    <w:uiPriority w:val="16"/>
    <w:qFormat/>
    <w:rsid w:val="0064393B"/>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64393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4393B"/>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64393B"/>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64393B"/>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4393B"/>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64393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4393B"/>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64393B"/>
    <w:pPr>
      <w:keepNext/>
      <w:keepLines/>
      <w:spacing w:before="240"/>
      <w:ind w:firstLine="284"/>
    </w:pPr>
  </w:style>
  <w:style w:type="paragraph" w:customStyle="1" w:styleId="ECHRDecisionBody">
    <w:name w:val="ECHR_Decision_Body"/>
    <w:aliases w:val="Ju_Judges"/>
    <w:basedOn w:val="Normal"/>
    <w:uiPriority w:val="11"/>
    <w:qFormat/>
    <w:rsid w:val="0064393B"/>
    <w:pPr>
      <w:tabs>
        <w:tab w:val="left" w:pos="567"/>
        <w:tab w:val="left" w:pos="1134"/>
      </w:tabs>
      <w:jc w:val="left"/>
    </w:p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64393B"/>
    <w:pPr>
      <w:ind w:left="340" w:hanging="340"/>
    </w:pPr>
  </w:style>
  <w:style w:type="character" w:customStyle="1" w:styleId="Heading5Char">
    <w:name w:val="Heading 5 Char"/>
    <w:basedOn w:val="DefaultParagraphFont"/>
    <w:link w:val="Heading5"/>
    <w:uiPriority w:val="99"/>
    <w:semiHidden/>
    <w:rsid w:val="0064393B"/>
    <w:rPr>
      <w:rFonts w:asciiTheme="majorHAnsi" w:eastAsiaTheme="majorEastAsia" w:hAnsiTheme="majorHAnsi" w:cstheme="majorBidi"/>
      <w:b/>
      <w:bCs/>
      <w:color w:val="808080"/>
      <w:sz w:val="24"/>
    </w:rPr>
  </w:style>
  <w:style w:type="paragraph" w:customStyle="1" w:styleId="JuLista">
    <w:name w:val="Ju_List_a"/>
    <w:basedOn w:val="JuList"/>
    <w:uiPriority w:val="28"/>
    <w:qFormat/>
    <w:rsid w:val="0064393B"/>
    <w:pPr>
      <w:ind w:left="346" w:firstLine="0"/>
    </w:pPr>
  </w:style>
  <w:style w:type="paragraph" w:customStyle="1" w:styleId="JuListi">
    <w:name w:val="Ju_List_i"/>
    <w:basedOn w:val="Normal"/>
    <w:next w:val="JuLista"/>
    <w:uiPriority w:val="28"/>
    <w:qFormat/>
    <w:rsid w:val="0064393B"/>
    <w:pPr>
      <w:ind w:left="794"/>
    </w:pPr>
  </w:style>
  <w:style w:type="character" w:styleId="SubtleEmphasis">
    <w:name w:val="Subtle Emphasis"/>
    <w:uiPriority w:val="99"/>
    <w:semiHidden/>
    <w:qFormat/>
    <w:rsid w:val="0064393B"/>
    <w:rPr>
      <w:i/>
      <w:iCs/>
    </w:rPr>
  </w:style>
  <w:style w:type="paragraph" w:customStyle="1" w:styleId="OpiH1">
    <w:name w:val="Opi_H_1"/>
    <w:basedOn w:val="ECHRHeading2"/>
    <w:uiPriority w:val="42"/>
    <w:qFormat/>
    <w:rsid w:val="0064393B"/>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64393B"/>
    <w:pPr>
      <w:ind w:left="833" w:hanging="357"/>
      <w:outlineLvl w:val="3"/>
    </w:pPr>
    <w:rPr>
      <w:b/>
      <w:i w:val="0"/>
      <w:sz w:val="20"/>
    </w:rPr>
  </w:style>
  <w:style w:type="paragraph" w:customStyle="1" w:styleId="OpiHi">
    <w:name w:val="Opi_H_i"/>
    <w:basedOn w:val="ECHRHeading4"/>
    <w:uiPriority w:val="44"/>
    <w:qFormat/>
    <w:rsid w:val="0064393B"/>
    <w:pPr>
      <w:ind w:left="1037" w:hanging="357"/>
      <w:outlineLvl w:val="4"/>
    </w:pPr>
    <w:rPr>
      <w:b w:val="0"/>
      <w:i/>
    </w:rPr>
  </w:style>
  <w:style w:type="paragraph" w:customStyle="1" w:styleId="DummyStyle">
    <w:name w:val="Dummy_Style"/>
    <w:basedOn w:val="Normal"/>
    <w:semiHidden/>
    <w:qFormat/>
    <w:rsid w:val="0064393B"/>
    <w:rPr>
      <w:color w:val="00B050"/>
    </w:rPr>
  </w:style>
  <w:style w:type="character" w:styleId="Emphasis">
    <w:name w:val="Emphasis"/>
    <w:uiPriority w:val="99"/>
    <w:semiHidden/>
    <w:qFormat/>
    <w:rsid w:val="0064393B"/>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64393B"/>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64393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4393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64393B"/>
    <w:rPr>
      <w:b/>
      <w:bCs/>
    </w:rPr>
  </w:style>
  <w:style w:type="paragraph" w:styleId="IntenseQuote">
    <w:name w:val="Intense Quote"/>
    <w:basedOn w:val="Normal"/>
    <w:next w:val="Normal"/>
    <w:link w:val="IntenseQuoteChar"/>
    <w:uiPriority w:val="99"/>
    <w:semiHidden/>
    <w:qFormat/>
    <w:rsid w:val="0064393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64393B"/>
    <w:rPr>
      <w:rFonts w:eastAsiaTheme="minorEastAsia"/>
      <w:b/>
      <w:bCs/>
      <w:i/>
      <w:iCs/>
      <w:sz w:val="24"/>
      <w:lang w:bidi="en-US"/>
    </w:rPr>
  </w:style>
  <w:style w:type="character" w:styleId="IntenseReference">
    <w:name w:val="Intense Reference"/>
    <w:uiPriority w:val="99"/>
    <w:semiHidden/>
    <w:qFormat/>
    <w:rsid w:val="0064393B"/>
    <w:rPr>
      <w:smallCaps/>
      <w:spacing w:val="5"/>
      <w:u w:val="single"/>
    </w:rPr>
  </w:style>
  <w:style w:type="paragraph" w:styleId="ListParagraph">
    <w:name w:val="List Paragraph"/>
    <w:basedOn w:val="Normal"/>
    <w:uiPriority w:val="99"/>
    <w:semiHidden/>
    <w:qFormat/>
    <w:rsid w:val="0064393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4393B"/>
    <w:pPr>
      <w:spacing w:before="200"/>
      <w:ind w:left="360" w:right="360"/>
    </w:pPr>
    <w:rPr>
      <w:i/>
      <w:iCs/>
      <w:lang w:bidi="en-US"/>
    </w:rPr>
  </w:style>
  <w:style w:type="character" w:customStyle="1" w:styleId="QuoteChar">
    <w:name w:val="Quote Char"/>
    <w:basedOn w:val="DefaultParagraphFont"/>
    <w:link w:val="Quote"/>
    <w:uiPriority w:val="99"/>
    <w:semiHidden/>
    <w:rsid w:val="0064393B"/>
    <w:rPr>
      <w:rFonts w:eastAsiaTheme="minorEastAsia"/>
      <w:i/>
      <w:iCs/>
      <w:sz w:val="24"/>
      <w:lang w:bidi="en-US"/>
    </w:rPr>
  </w:style>
  <w:style w:type="character" w:styleId="SubtleReference">
    <w:name w:val="Subtle Reference"/>
    <w:uiPriority w:val="99"/>
    <w:semiHidden/>
    <w:qFormat/>
    <w:rsid w:val="0064393B"/>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4393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64393B"/>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64393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Para,Left,First line:  0 cm"/>
    <w:basedOn w:val="Normal"/>
    <w:link w:val="ECHRParaChar"/>
    <w:uiPriority w:val="12"/>
    <w:qFormat/>
    <w:rsid w:val="0064393B"/>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semiHidden/>
    <w:rsid w:val="0098410D"/>
    <w:rPr>
      <w:sz w:val="20"/>
      <w:szCs w:val="20"/>
    </w:rPr>
  </w:style>
  <w:style w:type="character" w:customStyle="1" w:styleId="CommentTextChar">
    <w:name w:val="Comment Text Char"/>
    <w:basedOn w:val="DefaultParagraphFont"/>
    <w:link w:val="CommentText"/>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64393B"/>
  </w:style>
  <w:style w:type="paragraph" w:customStyle="1" w:styleId="DecList">
    <w:name w:val="Dec_List"/>
    <w:basedOn w:val="Normal"/>
    <w:uiPriority w:val="9"/>
    <w:qFormat/>
    <w:rsid w:val="0064393B"/>
    <w:pPr>
      <w:spacing w:before="240"/>
      <w:ind w:left="284"/>
    </w:p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64393B"/>
    <w:pPr>
      <w:spacing w:after="240"/>
      <w:jc w:val="center"/>
      <w:outlineLvl w:val="0"/>
    </w:pPr>
    <w:rPr>
      <w:rFonts w:asciiTheme="majorHAnsi" w:hAnsiTheme="majorHAnsi"/>
      <w:i/>
    </w:rPr>
  </w:style>
  <w:style w:type="paragraph" w:customStyle="1" w:styleId="JuAppQuestion">
    <w:name w:val="Ju_App_Question"/>
    <w:basedOn w:val="Normal"/>
    <w:uiPriority w:val="5"/>
    <w:qFormat/>
    <w:rsid w:val="0064393B"/>
    <w:pPr>
      <w:numPr>
        <w:numId w:val="21"/>
      </w:numPr>
      <w:jc w:val="left"/>
    </w:pPr>
    <w:rPr>
      <w:b/>
    </w:rPr>
  </w:style>
  <w:style w:type="paragraph" w:customStyle="1" w:styleId="JuHeaderLandscape">
    <w:name w:val="Ju_Header_Landscape"/>
    <w:basedOn w:val="ECHRHeader"/>
    <w:uiPriority w:val="4"/>
    <w:qFormat/>
    <w:rsid w:val="0064393B"/>
    <w:pPr>
      <w:tabs>
        <w:tab w:val="clear" w:pos="3686"/>
        <w:tab w:val="clear" w:pos="7371"/>
        <w:tab w:val="center" w:pos="6146"/>
        <w:tab w:val="right" w:pos="12293"/>
      </w:tabs>
    </w:pPr>
  </w:style>
  <w:style w:type="paragraph" w:customStyle="1" w:styleId="JuTitle">
    <w:name w:val="Ju_Title"/>
    <w:basedOn w:val="Normal"/>
    <w:next w:val="ECHRPara"/>
    <w:uiPriority w:val="3"/>
    <w:qFormat/>
    <w:rsid w:val="0064393B"/>
    <w:pPr>
      <w:spacing w:before="720" w:after="240"/>
      <w:jc w:val="center"/>
      <w:outlineLvl w:val="0"/>
    </w:pPr>
    <w:rPr>
      <w:rFonts w:asciiTheme="majorHAnsi" w:hAnsiTheme="majorHAnsi"/>
      <w:b/>
      <w:caps/>
    </w:rPr>
  </w:style>
  <w:style w:type="character" w:customStyle="1" w:styleId="JuNames0">
    <w:name w:val="Ju_Names"/>
    <w:rsid w:val="00354248"/>
    <w:rPr>
      <w:smallCaps/>
    </w:rPr>
  </w:style>
  <w:style w:type="paragraph" w:customStyle="1" w:styleId="NoteHeading1">
    <w:name w:val="Note Heading1"/>
    <w:basedOn w:val="Normal"/>
    <w:next w:val="Normal"/>
    <w:uiPriority w:val="99"/>
    <w:semiHidden/>
    <w:rsid w:val="00354248"/>
  </w:style>
  <w:style w:type="paragraph" w:customStyle="1" w:styleId="LtrCaseName">
    <w:name w:val="Ltr_Case_Name"/>
    <w:aliases w:val="L_Case_Name"/>
    <w:basedOn w:val="Normal"/>
    <w:next w:val="Normal"/>
    <w:link w:val="LtrCaseNameChar"/>
    <w:uiPriority w:val="7"/>
    <w:qFormat/>
    <w:rsid w:val="00354248"/>
    <w:pPr>
      <w:tabs>
        <w:tab w:val="right" w:pos="9072"/>
      </w:tabs>
    </w:pPr>
    <w:rPr>
      <w:b/>
      <w:sz w:val="22"/>
    </w:rPr>
  </w:style>
  <w:style w:type="character" w:customStyle="1" w:styleId="LtrCaseNameChar">
    <w:name w:val="Ltr_Case_Name Char"/>
    <w:aliases w:val="L_Case_Name Char"/>
    <w:basedOn w:val="DefaultParagraphFont"/>
    <w:link w:val="LtrCaseName"/>
    <w:uiPriority w:val="7"/>
    <w:rsid w:val="00354248"/>
    <w:rPr>
      <w:rFonts w:eastAsiaTheme="minorEastAsia"/>
      <w:b/>
    </w:rPr>
  </w:style>
  <w:style w:type="character" w:customStyle="1" w:styleId="ECHRParaChar">
    <w:name w:val="ECHR_Para Char"/>
    <w:aliases w:val="Ju_Para Char"/>
    <w:link w:val="ECHRPara"/>
    <w:uiPriority w:val="12"/>
    <w:rsid w:val="00354248"/>
    <w:rPr>
      <w:rFonts w:eastAsiaTheme="minorEastAsia"/>
      <w:sz w:val="24"/>
    </w:rPr>
  </w:style>
  <w:style w:type="paragraph" w:customStyle="1" w:styleId="ECHRHeaderRefIt">
    <w:name w:val="ECHR_Header_Ref_It"/>
    <w:aliases w:val="Ref_Ital"/>
    <w:basedOn w:val="Normal"/>
    <w:next w:val="Normal"/>
    <w:uiPriority w:val="38"/>
    <w:qFormat/>
    <w:rsid w:val="00354248"/>
    <w:pPr>
      <w:jc w:val="right"/>
    </w:pPr>
    <w:rPr>
      <w:rFonts w:eastAsiaTheme="minorHAnsi"/>
      <w:i/>
      <w:sz w:val="20"/>
      <w:lang w:val="en-GB"/>
    </w:rPr>
  </w:style>
  <w:style w:type="character" w:customStyle="1" w:styleId="column">
    <w:name w:val="column"/>
    <w:basedOn w:val="DefaultParagraphFont"/>
    <w:rsid w:val="00354248"/>
  </w:style>
  <w:style w:type="paragraph" w:styleId="Revision">
    <w:name w:val="Revision"/>
    <w:hidden/>
    <w:uiPriority w:val="99"/>
    <w:semiHidden/>
    <w:rsid w:val="00354248"/>
    <w:rPr>
      <w:rFonts w:eastAsiaTheme="minorEastAsia"/>
      <w:sz w:val="24"/>
    </w:rPr>
  </w:style>
  <w:style w:type="paragraph" w:customStyle="1" w:styleId="jupara">
    <w:name w:val="jupara"/>
    <w:basedOn w:val="Normal"/>
    <w:rsid w:val="00191276"/>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191276"/>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F6C14A-15FD-4A4C-99CF-813F8EEF9743}"/>
</file>

<file path=customXml/itemProps2.xml><?xml version="1.0" encoding="utf-8"?>
<ds:datastoreItem xmlns:ds="http://schemas.openxmlformats.org/officeDocument/2006/customXml" ds:itemID="{2DED04E1-D104-4095-8424-A31137B5856E}"/>
</file>

<file path=customXml/itemProps3.xml><?xml version="1.0" encoding="utf-8"?>
<ds:datastoreItem xmlns:ds="http://schemas.openxmlformats.org/officeDocument/2006/customXml" ds:itemID="{8DBF181A-4C6E-4522-8635-817555417B13}"/>
</file>

<file path=customXml/itemProps4.xml><?xml version="1.0" encoding="utf-8"?>
<ds:datastoreItem xmlns:ds="http://schemas.openxmlformats.org/officeDocument/2006/customXml" ds:itemID="{1FD3C3FA-9649-431C-AA01-527A08ED8D8C}"/>
</file>

<file path=docProps/app.xml><?xml version="1.0" encoding="utf-8"?>
<Properties xmlns="http://schemas.openxmlformats.org/officeDocument/2006/extended-properties" xmlns:vt="http://schemas.openxmlformats.org/officeDocument/2006/docPropsVTypes">
  <Template>Normal.dotm</Template>
  <TotalTime>0</TotalTime>
  <Pages>1</Pages>
  <Words>5635</Words>
  <Characters>32122</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37682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2019-12-16T14:18:00Z</dcterms:created>
  <dcterms:modified xsi:type="dcterms:W3CDTF">2019-12-16T14:18:00Z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4529/06</vt:lpwstr>
  </property>
  <property fmtid="{D5CDD505-2E9C-101B-9397-08002B2CF9AE}" pid="4" name="CASEID">
    <vt:lpwstr>380693</vt:lpwstr>
  </property>
  <property fmtid="{D5CDD505-2E9C-101B-9397-08002B2CF9AE}" pid="5" name="ContentTypeId">
    <vt:lpwstr>0x010100558EB02BDB9E204AB350EDD385B68E10</vt:lpwstr>
  </property>
</Properties>
</file>