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4.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AF183C" w:rsidR="007C7D4A" w:rsidP="00AF183C" w:rsidRDefault="007C7D4A">
      <w:pPr>
        <w:jc w:val="center"/>
      </w:pPr>
    </w:p>
    <w:p w:rsidRPr="00AF183C" w:rsidR="007C7D4A" w:rsidP="00AF183C" w:rsidRDefault="007C7D4A">
      <w:pPr>
        <w:jc w:val="center"/>
      </w:pPr>
    </w:p>
    <w:p w:rsidRPr="00AF183C" w:rsidR="007C7D4A" w:rsidP="00AF183C" w:rsidRDefault="007C7D4A">
      <w:pPr>
        <w:jc w:val="center"/>
      </w:pPr>
    </w:p>
    <w:p w:rsidRPr="00AF183C" w:rsidR="00D420F3" w:rsidP="00AF183C" w:rsidRDefault="00F54B66">
      <w:pPr>
        <w:jc w:val="center"/>
      </w:pPr>
      <w:r w:rsidRPr="00AF183C">
        <w:t>FIRST SECTION</w:t>
      </w:r>
    </w:p>
    <w:p w:rsidRPr="00AF183C" w:rsidR="009500BF" w:rsidP="00AF183C" w:rsidRDefault="009500BF">
      <w:pPr>
        <w:jc w:val="center"/>
      </w:pPr>
    </w:p>
    <w:p w:rsidRPr="00AF183C" w:rsidR="007C7D4A" w:rsidP="00AF183C" w:rsidRDefault="007C7D4A">
      <w:pPr>
        <w:jc w:val="center"/>
      </w:pPr>
    </w:p>
    <w:p w:rsidRPr="00AF183C" w:rsidR="009500BF" w:rsidP="00AF183C" w:rsidRDefault="009500BF">
      <w:pPr>
        <w:jc w:val="center"/>
      </w:pPr>
    </w:p>
    <w:p w:rsidRPr="00AF183C" w:rsidR="009500BF" w:rsidP="00AF183C" w:rsidRDefault="009500BF">
      <w:pPr>
        <w:jc w:val="center"/>
      </w:pPr>
    </w:p>
    <w:p w:rsidRPr="00AF183C" w:rsidR="009500BF" w:rsidP="00AF183C" w:rsidRDefault="009500BF">
      <w:pPr>
        <w:jc w:val="center"/>
      </w:pPr>
    </w:p>
    <w:p w:rsidRPr="00AF183C" w:rsidR="00D420F3" w:rsidP="00AF183C" w:rsidRDefault="0077175D">
      <w:pPr>
        <w:jc w:val="center"/>
        <w:rPr>
          <w:b/>
        </w:rPr>
      </w:pPr>
      <w:bookmarkStart w:name="To" w:id="0"/>
      <w:r w:rsidRPr="00AF183C">
        <w:rPr>
          <w:b/>
        </w:rPr>
        <w:t xml:space="preserve">CASE OF </w:t>
      </w:r>
      <w:bookmarkEnd w:id="0"/>
      <w:r w:rsidRPr="00AF183C" w:rsidR="00F54B66">
        <w:rPr>
          <w:b/>
        </w:rPr>
        <w:t>V.M. v. THE UNITED KINGDOM</w:t>
      </w:r>
      <w:r w:rsidRPr="00AF183C" w:rsidR="00E84C96">
        <w:rPr>
          <w:b/>
        </w:rPr>
        <w:t xml:space="preserve"> (</w:t>
      </w:r>
      <w:r w:rsidRPr="00AF183C" w:rsidR="00A76EF5">
        <w:rPr>
          <w:b/>
        </w:rPr>
        <w:t>N</w:t>
      </w:r>
      <w:r w:rsidRPr="00AF183C" w:rsidR="00E84C96">
        <w:rPr>
          <w:b/>
        </w:rPr>
        <w:t>o. 2)</w:t>
      </w:r>
    </w:p>
    <w:p w:rsidRPr="00AF183C" w:rsidR="00D420F3" w:rsidP="00AF183C" w:rsidRDefault="00D420F3">
      <w:pPr>
        <w:jc w:val="center"/>
      </w:pPr>
    </w:p>
    <w:p w:rsidRPr="00AF183C" w:rsidR="00D420F3" w:rsidP="00AF183C" w:rsidRDefault="0077175D">
      <w:pPr>
        <w:jc w:val="center"/>
        <w:rPr>
          <w:i/>
        </w:rPr>
      </w:pPr>
      <w:r w:rsidRPr="00AF183C">
        <w:rPr>
          <w:i/>
        </w:rPr>
        <w:t>(</w:t>
      </w:r>
      <w:r w:rsidRPr="00AF183C" w:rsidR="00F54B66">
        <w:rPr>
          <w:i/>
        </w:rPr>
        <w:t>Application no. 62824/16</w:t>
      </w:r>
      <w:r w:rsidRPr="00AF183C">
        <w:rPr>
          <w:i/>
        </w:rPr>
        <w:t>)</w:t>
      </w:r>
    </w:p>
    <w:p w:rsidRPr="00AF183C" w:rsidR="00D420F3" w:rsidP="00AF183C" w:rsidRDefault="00D420F3">
      <w:pPr>
        <w:jc w:val="center"/>
      </w:pPr>
    </w:p>
    <w:p w:rsidRPr="00AF183C" w:rsidR="00D420F3" w:rsidP="00AF183C" w:rsidRDefault="00D420F3">
      <w:pPr>
        <w:jc w:val="center"/>
      </w:pPr>
    </w:p>
    <w:p w:rsidRPr="00AF183C" w:rsidR="00D420F3" w:rsidP="00AF183C" w:rsidRDefault="00D420F3">
      <w:pPr>
        <w:jc w:val="center"/>
      </w:pPr>
    </w:p>
    <w:p w:rsidRPr="00AF183C" w:rsidR="00D420F3" w:rsidP="00AF183C" w:rsidRDefault="00D420F3">
      <w:pPr>
        <w:jc w:val="center"/>
      </w:pPr>
    </w:p>
    <w:p w:rsidRPr="00AF183C" w:rsidR="00D420F3" w:rsidP="00AF183C" w:rsidRDefault="00D420F3">
      <w:pPr>
        <w:jc w:val="center"/>
      </w:pPr>
    </w:p>
    <w:p w:rsidRPr="00AF183C" w:rsidR="00AF183C" w:rsidP="00AF183C" w:rsidRDefault="00AF183C">
      <w:pPr>
        <w:jc w:val="center"/>
      </w:pPr>
    </w:p>
    <w:p w:rsidRPr="00AF183C" w:rsidR="00AF183C" w:rsidP="00AF183C" w:rsidRDefault="00AF183C">
      <w:pPr>
        <w:jc w:val="center"/>
      </w:pPr>
    </w:p>
    <w:p w:rsidRPr="00AF183C" w:rsidR="00AF183C" w:rsidP="00AF183C" w:rsidRDefault="00AF183C">
      <w:pPr>
        <w:jc w:val="center"/>
      </w:pPr>
    </w:p>
    <w:p w:rsidRPr="00AF183C" w:rsidR="006B74BF" w:rsidP="00AF183C" w:rsidRDefault="006B74BF">
      <w:pPr>
        <w:jc w:val="center"/>
      </w:pPr>
    </w:p>
    <w:p w:rsidRPr="00AF183C" w:rsidR="006B74BF" w:rsidP="00AF183C" w:rsidRDefault="006B74BF">
      <w:pPr>
        <w:jc w:val="center"/>
      </w:pPr>
    </w:p>
    <w:p w:rsidRPr="00AF183C" w:rsidR="00D420F3" w:rsidP="00AF183C" w:rsidRDefault="009500BF">
      <w:pPr>
        <w:jc w:val="center"/>
        <w:rPr>
          <w:szCs w:val="24"/>
        </w:rPr>
      </w:pPr>
      <w:r w:rsidRPr="00AF183C">
        <w:rPr>
          <w:szCs w:val="24"/>
        </w:rPr>
        <w:t>JUDGMENT</w:t>
      </w:r>
    </w:p>
    <w:p w:rsidRPr="00AF183C" w:rsidR="007C7D4A" w:rsidP="00AF183C" w:rsidRDefault="007C7D4A">
      <w:pPr>
        <w:jc w:val="center"/>
      </w:pPr>
    </w:p>
    <w:p w:rsidRPr="00AF183C" w:rsidR="007C7D4A" w:rsidP="00AF183C" w:rsidRDefault="007C7D4A">
      <w:pPr>
        <w:jc w:val="center"/>
      </w:pPr>
    </w:p>
    <w:p w:rsidRPr="00AF183C" w:rsidR="007C7D4A" w:rsidP="00AF183C" w:rsidRDefault="007C7D4A">
      <w:pPr>
        <w:jc w:val="center"/>
      </w:pPr>
    </w:p>
    <w:p w:rsidRPr="00AF183C" w:rsidR="007C7D4A" w:rsidP="00AF183C" w:rsidRDefault="007C7D4A">
      <w:pPr>
        <w:jc w:val="center"/>
      </w:pPr>
    </w:p>
    <w:p w:rsidRPr="00AF183C" w:rsidR="009500BF" w:rsidP="00AF183C" w:rsidRDefault="009500BF">
      <w:pPr>
        <w:jc w:val="center"/>
      </w:pPr>
      <w:r w:rsidRPr="00AF183C">
        <w:t>STRASBOURG</w:t>
      </w:r>
    </w:p>
    <w:p w:rsidRPr="00AF183C" w:rsidR="007C7D4A" w:rsidP="00AF183C" w:rsidRDefault="007C7D4A">
      <w:pPr>
        <w:jc w:val="center"/>
      </w:pPr>
    </w:p>
    <w:p w:rsidRPr="00AF183C" w:rsidR="009500BF" w:rsidP="00AF183C" w:rsidRDefault="009500BF">
      <w:pPr>
        <w:jc w:val="center"/>
      </w:pPr>
      <w:r w:rsidRPr="00AF183C">
        <w:t>25 April 2019</w:t>
      </w:r>
    </w:p>
    <w:p w:rsidRPr="00AF183C" w:rsidR="007C7D4A" w:rsidP="00AF183C" w:rsidRDefault="007C7D4A">
      <w:pPr>
        <w:jc w:val="center"/>
      </w:pPr>
    </w:p>
    <w:p w:rsidRPr="00AF183C" w:rsidR="007C7D4A" w:rsidP="00AF183C" w:rsidRDefault="007C7D4A">
      <w:pPr>
        <w:jc w:val="center"/>
      </w:pPr>
    </w:p>
    <w:p w:rsidR="00D04890" w:rsidP="00D04890" w:rsidRDefault="00D04890">
      <w:pPr>
        <w:pStyle w:val="jucase0"/>
        <w:ind w:firstLine="0"/>
        <w:jc w:val="center"/>
        <w:rPr>
          <w:color w:val="FF0000"/>
          <w:sz w:val="28"/>
          <w:szCs w:val="28"/>
          <w:u w:val="single"/>
        </w:rPr>
      </w:pPr>
      <w:r>
        <w:rPr>
          <w:color w:val="FF0000"/>
          <w:sz w:val="28"/>
          <w:szCs w:val="28"/>
          <w:u w:val="single"/>
        </w:rPr>
        <w:t>FINAL</w:t>
      </w:r>
    </w:p>
    <w:p w:rsidR="00D04890" w:rsidP="00D04890" w:rsidRDefault="00D04890">
      <w:pPr>
        <w:pStyle w:val="jupara"/>
        <w:tabs>
          <w:tab w:val="left" w:pos="4650"/>
        </w:tabs>
        <w:ind w:firstLine="0"/>
        <w:jc w:val="center"/>
        <w:rPr>
          <w:color w:val="FF0000"/>
          <w:sz w:val="28"/>
          <w:szCs w:val="28"/>
        </w:rPr>
      </w:pPr>
    </w:p>
    <w:p w:rsidR="00D04890" w:rsidP="00D04890" w:rsidRDefault="00D04890">
      <w:pPr>
        <w:pStyle w:val="jupara"/>
        <w:ind w:firstLine="0"/>
        <w:jc w:val="center"/>
        <w:rPr>
          <w:color w:val="FF0000"/>
          <w:sz w:val="28"/>
          <w:szCs w:val="28"/>
        </w:rPr>
      </w:pPr>
      <w:r>
        <w:rPr>
          <w:color w:val="FF0000"/>
          <w:sz w:val="28"/>
          <w:szCs w:val="28"/>
        </w:rPr>
        <w:t>25/07/2019</w:t>
      </w:r>
    </w:p>
    <w:p w:rsidR="00D04890" w:rsidP="00D04890" w:rsidRDefault="00D04890">
      <w:pPr>
        <w:pStyle w:val="jupara"/>
        <w:ind w:firstLine="0"/>
        <w:jc w:val="center"/>
      </w:pPr>
    </w:p>
    <w:p w:rsidRPr="00AF183C" w:rsidR="009500BF" w:rsidP="00D04890" w:rsidRDefault="00D04890">
      <w:pPr>
        <w:jc w:val="center"/>
        <w:rPr>
          <w:i/>
          <w:sz w:val="22"/>
        </w:rPr>
      </w:pPr>
      <w:r>
        <w:rPr>
          <w:i/>
          <w:iCs/>
          <w:sz w:val="22"/>
        </w:rPr>
        <w:t xml:space="preserve">This judgment </w:t>
      </w:r>
      <w:bookmarkStart w:name="_GoBack" w:id="1"/>
      <w:bookmarkEnd w:id="1"/>
      <w:r>
        <w:rPr>
          <w:i/>
          <w:iCs/>
          <w:sz w:val="22"/>
        </w:rPr>
        <w:t>has become final under Article 44 § 2 of the Convention. It may be subject to editorial revision.</w:t>
      </w:r>
    </w:p>
    <w:p w:rsidRPr="00AF183C" w:rsidR="009500BF" w:rsidP="00AF183C" w:rsidRDefault="009500BF">
      <w:pPr>
        <w:pStyle w:val="ECHRPara"/>
        <w:sectPr w:rsidRPr="00AF183C" w:rsidR="009500BF" w:rsidSect="009500BF">
          <w:headerReference w:type="default" r:id="rId8"/>
          <w:headerReference w:type="first" r:id="rId9"/>
          <w:footerReference w:type="first" r:id="rId10"/>
          <w:footnotePr>
            <w:numRestart w:val="eachSect"/>
          </w:footnotePr>
          <w:pgSz w:w="11906" w:h="16838" w:code="9"/>
          <w:pgMar w:top="2274" w:right="2274" w:bottom="2274" w:left="2274" w:header="1701" w:footer="720" w:gutter="0"/>
          <w:pgNumType w:start="1"/>
          <w:cols w:space="720"/>
          <w:titlePg/>
          <w:docGrid w:linePitch="326"/>
        </w:sectPr>
      </w:pPr>
    </w:p>
    <w:p w:rsidRPr="00AF183C" w:rsidR="00D420F3" w:rsidP="00AF183C" w:rsidRDefault="0077175D">
      <w:pPr>
        <w:pStyle w:val="JuCase"/>
        <w:rPr>
          <w:bCs/>
        </w:rPr>
      </w:pPr>
      <w:r w:rsidRPr="00AF183C">
        <w:t xml:space="preserve">In the case of </w:t>
      </w:r>
      <w:r w:rsidRPr="00AF183C" w:rsidR="00F54B66">
        <w:t>V.M. v. the United Kingdom</w:t>
      </w:r>
      <w:r w:rsidRPr="00AF183C" w:rsidR="00E84C96">
        <w:t xml:space="preserve"> (</w:t>
      </w:r>
      <w:r w:rsidRPr="00AF183C" w:rsidR="00A5088D">
        <w:t>N</w:t>
      </w:r>
      <w:r w:rsidRPr="00AF183C" w:rsidR="00E84C96">
        <w:t>o. 2)</w:t>
      </w:r>
      <w:r w:rsidRPr="00AF183C">
        <w:t>,</w:t>
      </w:r>
    </w:p>
    <w:p w:rsidRPr="00AF183C" w:rsidR="00D420F3" w:rsidP="00AF183C" w:rsidRDefault="0077175D">
      <w:pPr>
        <w:pStyle w:val="ECHRPara"/>
      </w:pPr>
      <w:r w:rsidRPr="00AF183C">
        <w:t>The European Court of Human Rights (</w:t>
      </w:r>
      <w:r w:rsidRPr="00AF183C" w:rsidR="00F54B66">
        <w:t>First Section</w:t>
      </w:r>
      <w:r w:rsidRPr="00AF183C">
        <w:t xml:space="preserve">), sitting as a </w:t>
      </w:r>
      <w:r w:rsidRPr="00AF183C" w:rsidR="004F4021">
        <w:t>Chamber</w:t>
      </w:r>
      <w:r w:rsidRPr="00AF183C">
        <w:t xml:space="preserve"> composed of:</w:t>
      </w:r>
    </w:p>
    <w:p w:rsidRPr="00AF183C" w:rsidR="00D420F3" w:rsidP="00AF183C" w:rsidRDefault="00176F1E">
      <w:pPr>
        <w:pStyle w:val="ECHRDecisionBody"/>
      </w:pPr>
      <w:r w:rsidRPr="00AF183C">
        <w:tab/>
        <w:t>Linos-Alexandre Sicilianos,</w:t>
      </w:r>
      <w:r w:rsidRPr="00AF183C">
        <w:rPr>
          <w:i/>
        </w:rPr>
        <w:t xml:space="preserve"> President,</w:t>
      </w:r>
      <w:r w:rsidRPr="00AF183C">
        <w:rPr>
          <w:i/>
        </w:rPr>
        <w:br/>
      </w:r>
      <w:r w:rsidRPr="00AF183C">
        <w:tab/>
      </w:r>
      <w:proofErr w:type="spellStart"/>
      <w:r w:rsidRPr="00AF183C">
        <w:t>Ksenija</w:t>
      </w:r>
      <w:proofErr w:type="spellEnd"/>
      <w:r w:rsidRPr="00AF183C">
        <w:t xml:space="preserve"> </w:t>
      </w:r>
      <w:proofErr w:type="spellStart"/>
      <w:r w:rsidRPr="00AF183C">
        <w:t>Turković</w:t>
      </w:r>
      <w:proofErr w:type="spellEnd"/>
      <w:r w:rsidRPr="00AF183C">
        <w:t>,</w:t>
      </w:r>
      <w:r w:rsidRPr="00AF183C">
        <w:rPr>
          <w:i/>
        </w:rPr>
        <w:br/>
      </w:r>
      <w:r w:rsidRPr="00AF183C">
        <w:tab/>
      </w:r>
      <w:proofErr w:type="spellStart"/>
      <w:r w:rsidRPr="00AF183C">
        <w:t>Aleš</w:t>
      </w:r>
      <w:proofErr w:type="spellEnd"/>
      <w:r w:rsidRPr="00AF183C">
        <w:t xml:space="preserve"> </w:t>
      </w:r>
      <w:proofErr w:type="spellStart"/>
      <w:r w:rsidRPr="00AF183C">
        <w:t>Pejchal</w:t>
      </w:r>
      <w:proofErr w:type="spellEnd"/>
      <w:r w:rsidRPr="00AF183C">
        <w:t>,</w:t>
      </w:r>
      <w:r w:rsidRPr="00AF183C">
        <w:rPr>
          <w:i/>
        </w:rPr>
        <w:br/>
      </w:r>
      <w:r w:rsidRPr="00AF183C">
        <w:tab/>
        <w:t>Krzysztof Wojtyczek,</w:t>
      </w:r>
      <w:r w:rsidRPr="00AF183C">
        <w:rPr>
          <w:i/>
        </w:rPr>
        <w:br/>
      </w:r>
      <w:r w:rsidRPr="00AF183C">
        <w:tab/>
        <w:t xml:space="preserve">Tim </w:t>
      </w:r>
      <w:proofErr w:type="spellStart"/>
      <w:r w:rsidRPr="00AF183C">
        <w:t>Eicke</w:t>
      </w:r>
      <w:proofErr w:type="spellEnd"/>
      <w:r w:rsidRPr="00AF183C">
        <w:t>,</w:t>
      </w:r>
      <w:r w:rsidRPr="00AF183C">
        <w:rPr>
          <w:i/>
        </w:rPr>
        <w:br/>
      </w:r>
      <w:r w:rsidRPr="00AF183C">
        <w:tab/>
        <w:t xml:space="preserve">Jovan </w:t>
      </w:r>
      <w:proofErr w:type="spellStart"/>
      <w:r w:rsidRPr="00AF183C">
        <w:t>Ilievski</w:t>
      </w:r>
      <w:proofErr w:type="spellEnd"/>
      <w:r w:rsidRPr="00AF183C">
        <w:t>,</w:t>
      </w:r>
      <w:r w:rsidRPr="00AF183C">
        <w:rPr>
          <w:i/>
        </w:rPr>
        <w:br/>
      </w:r>
      <w:r w:rsidRPr="00AF183C">
        <w:tab/>
        <w:t xml:space="preserve">Gilberto </w:t>
      </w:r>
      <w:proofErr w:type="spellStart"/>
      <w:r w:rsidRPr="00AF183C">
        <w:t>Felici</w:t>
      </w:r>
      <w:proofErr w:type="spellEnd"/>
      <w:r w:rsidRPr="00AF183C">
        <w:t>,</w:t>
      </w:r>
      <w:r w:rsidRPr="00AF183C">
        <w:rPr>
          <w:i/>
        </w:rPr>
        <w:t xml:space="preserve"> judges,</w:t>
      </w:r>
      <w:r w:rsidRPr="00AF183C" w:rsidR="0077175D">
        <w:rPr>
          <w:szCs w:val="24"/>
        </w:rPr>
        <w:br/>
      </w:r>
      <w:r w:rsidRPr="00AF183C" w:rsidR="0077175D">
        <w:t xml:space="preserve">and </w:t>
      </w:r>
      <w:r w:rsidRPr="00AF183C" w:rsidR="00F54B66">
        <w:t>Abel Campos</w:t>
      </w:r>
      <w:r w:rsidRPr="00AF183C" w:rsidR="0077175D">
        <w:t xml:space="preserve">, </w:t>
      </w:r>
      <w:r w:rsidRPr="00AF183C" w:rsidR="00F54B66">
        <w:rPr>
          <w:i/>
        </w:rPr>
        <w:t xml:space="preserve">Section </w:t>
      </w:r>
      <w:r w:rsidRPr="00AF183C" w:rsidR="00F54B66">
        <w:rPr>
          <w:i/>
          <w:iCs/>
        </w:rPr>
        <w:t>Registrar</w:t>
      </w:r>
      <w:r w:rsidRPr="00AF183C" w:rsidR="0077175D">
        <w:rPr>
          <w:i/>
        </w:rPr>
        <w:t>,</w:t>
      </w:r>
    </w:p>
    <w:p w:rsidRPr="00AF183C" w:rsidR="00D420F3" w:rsidP="00AF183C" w:rsidRDefault="0077175D">
      <w:pPr>
        <w:pStyle w:val="ECHRPara"/>
      </w:pPr>
      <w:r w:rsidRPr="00AF183C">
        <w:t xml:space="preserve">Having deliberated in private on </w:t>
      </w:r>
      <w:r w:rsidRPr="00AF183C" w:rsidR="00176F1E">
        <w:t>12 March 2019</w:t>
      </w:r>
      <w:r w:rsidRPr="00AF183C">
        <w:t>,</w:t>
      </w:r>
    </w:p>
    <w:p w:rsidRPr="00AF183C" w:rsidR="00D420F3" w:rsidP="00AF183C" w:rsidRDefault="0077175D">
      <w:pPr>
        <w:pStyle w:val="ECHRPara"/>
      </w:pPr>
      <w:r w:rsidRPr="00AF183C">
        <w:t>Delivers the following judgment, which was adopted on that date:</w:t>
      </w:r>
    </w:p>
    <w:p w:rsidRPr="00AF183C" w:rsidR="00D420F3" w:rsidP="00AF183C" w:rsidRDefault="0077175D">
      <w:pPr>
        <w:pStyle w:val="ECHRTitle1"/>
      </w:pPr>
      <w:r w:rsidRPr="00AF183C">
        <w:t>PROCEDURE</w:t>
      </w:r>
    </w:p>
    <w:p w:rsidRPr="00AF183C" w:rsidR="00D420F3" w:rsidP="00AF183C" w:rsidRDefault="00F54B66">
      <w:pPr>
        <w:pStyle w:val="ECHRPara"/>
      </w:pPr>
      <w:r w:rsidRPr="00AF183C">
        <w:fldChar w:fldCharType="begin"/>
      </w:r>
      <w:r w:rsidRPr="00AF183C">
        <w:instrText xml:space="preserve"> SEQ level0 \*arabic </w:instrText>
      </w:r>
      <w:r w:rsidRPr="00AF183C">
        <w:fldChar w:fldCharType="separate"/>
      </w:r>
      <w:r w:rsidRPr="00AF183C" w:rsidR="00AF183C">
        <w:rPr>
          <w:noProof/>
        </w:rPr>
        <w:t>1</w:t>
      </w:r>
      <w:r w:rsidRPr="00AF183C">
        <w:fldChar w:fldCharType="end"/>
      </w:r>
      <w:r w:rsidRPr="00AF183C" w:rsidR="0077175D">
        <w:t xml:space="preserve">.  The case originated in </w:t>
      </w:r>
      <w:r w:rsidRPr="00AF183C">
        <w:t>an application (no. 62824/16)</w:t>
      </w:r>
      <w:r w:rsidRPr="00AF183C" w:rsidR="0077175D">
        <w:t xml:space="preserve"> against </w:t>
      </w:r>
      <w:r w:rsidRPr="00AF183C">
        <w:t>the United Kingdom of Great Britain and Northern Ireland</w:t>
      </w:r>
      <w:r w:rsidRPr="00AF183C" w:rsidR="0077175D">
        <w:t xml:space="preserve"> lodged with the </w:t>
      </w:r>
      <w:r w:rsidRPr="00AF183C">
        <w:t>Court under Article 34</w:t>
      </w:r>
      <w:r w:rsidRPr="00AF183C" w:rsidR="0077175D">
        <w:t xml:space="preserve"> of the Convention for the Protection of Human Rights and Fundamental Freedoms (“the Convention”) by </w:t>
      </w:r>
      <w:r w:rsidRPr="00AF183C">
        <w:t>a Nigerian national, Ms V.M. (“the applicant”), on 24 October 2016</w:t>
      </w:r>
      <w:r w:rsidRPr="00AF183C" w:rsidR="0077175D">
        <w:t xml:space="preserve">. </w:t>
      </w:r>
      <w:r w:rsidRPr="00AF183C">
        <w:t>The President of the Section acceded to the applicant</w:t>
      </w:r>
      <w:r w:rsidRPr="00AF183C" w:rsidR="00AF183C">
        <w:t>’</w:t>
      </w:r>
      <w:r w:rsidRPr="00AF183C">
        <w:t>s request not to have her name disclosed (Rule 47 § 4 of the Rules of Court).</w:t>
      </w:r>
    </w:p>
    <w:p w:rsidRPr="00AF183C" w:rsidR="00F54B66" w:rsidP="00AF183C" w:rsidRDefault="00F54B66">
      <w:pPr>
        <w:pStyle w:val="ECHRPara"/>
      </w:pPr>
      <w:r w:rsidRPr="00AF183C">
        <w:fldChar w:fldCharType="begin"/>
      </w:r>
      <w:r w:rsidRPr="00AF183C">
        <w:instrText xml:space="preserve"> SEQ level0 \*arabic </w:instrText>
      </w:r>
      <w:r w:rsidRPr="00AF183C">
        <w:fldChar w:fldCharType="separate"/>
      </w:r>
      <w:r w:rsidRPr="00AF183C" w:rsidR="00AF183C">
        <w:rPr>
          <w:noProof/>
        </w:rPr>
        <w:t>2</w:t>
      </w:r>
      <w:r w:rsidRPr="00AF183C">
        <w:fldChar w:fldCharType="end"/>
      </w:r>
      <w:r w:rsidRPr="00AF183C" w:rsidR="0077175D">
        <w:t>.  </w:t>
      </w:r>
      <w:r w:rsidRPr="00AF183C">
        <w:t xml:space="preserve">The applicant was represented by Mr </w:t>
      </w:r>
      <w:r w:rsidRPr="00AF183C" w:rsidR="003F6E2C">
        <w:t xml:space="preserve">Stefan </w:t>
      </w:r>
      <w:proofErr w:type="spellStart"/>
      <w:r w:rsidRPr="00AF183C" w:rsidR="003F6E2C">
        <w:t>Vnuk</w:t>
      </w:r>
      <w:proofErr w:type="spellEnd"/>
      <w:r w:rsidRPr="00AF183C" w:rsidR="003F6E2C">
        <w:t>,</w:t>
      </w:r>
      <w:r w:rsidRPr="00AF183C">
        <w:t xml:space="preserve"> a lawyer practising in </w:t>
      </w:r>
      <w:r w:rsidRPr="00AF183C" w:rsidR="00D64C1F">
        <w:t>Harrow</w:t>
      </w:r>
      <w:r w:rsidRPr="00AF183C">
        <w:t xml:space="preserve">. </w:t>
      </w:r>
      <w:r w:rsidRPr="00AF183C" w:rsidR="0077175D">
        <w:t xml:space="preserve">The </w:t>
      </w:r>
      <w:r w:rsidRPr="00AF183C" w:rsidR="004F4021">
        <w:t xml:space="preserve">United Kingdom </w:t>
      </w:r>
      <w:r w:rsidRPr="00AF183C" w:rsidR="0077175D">
        <w:t>Government (“the Government”) were represented by their Agent, Mr</w:t>
      </w:r>
      <w:r w:rsidRPr="00AF183C" w:rsidR="007A5BD7">
        <w:t xml:space="preserve"> </w:t>
      </w:r>
      <w:r w:rsidRPr="00AF183C" w:rsidR="004F4021">
        <w:t xml:space="preserve">James </w:t>
      </w:r>
      <w:proofErr w:type="spellStart"/>
      <w:r w:rsidRPr="00AF183C" w:rsidR="004F4021">
        <w:t>Gaughan</w:t>
      </w:r>
      <w:proofErr w:type="spellEnd"/>
      <w:r w:rsidRPr="00AF183C" w:rsidR="0077175D">
        <w:t xml:space="preserve">, </w:t>
      </w:r>
      <w:r w:rsidRPr="00AF183C" w:rsidR="004F4021">
        <w:t>of the Foreign and Commonwealth Office.</w:t>
      </w:r>
    </w:p>
    <w:p w:rsidRPr="00AF183C" w:rsidR="00D420F3" w:rsidP="00AF183C" w:rsidRDefault="00F54B66">
      <w:pPr>
        <w:pStyle w:val="ECHRPara"/>
      </w:pPr>
      <w:r w:rsidRPr="00AF183C">
        <w:fldChar w:fldCharType="begin"/>
      </w:r>
      <w:r w:rsidRPr="00AF183C">
        <w:instrText xml:space="preserve"> SEQ level0 \*arabic </w:instrText>
      </w:r>
      <w:r w:rsidRPr="00AF183C">
        <w:fldChar w:fldCharType="separate"/>
      </w:r>
      <w:r w:rsidRPr="00AF183C" w:rsidR="00AF183C">
        <w:rPr>
          <w:noProof/>
        </w:rPr>
        <w:t>3</w:t>
      </w:r>
      <w:r w:rsidRPr="00AF183C">
        <w:fldChar w:fldCharType="end"/>
      </w:r>
      <w:r w:rsidRPr="00AF183C">
        <w:t xml:space="preserve">.  The applicant alleged, </w:t>
      </w:r>
      <w:r w:rsidRPr="00AF183C" w:rsidR="00B547B3">
        <w:t xml:space="preserve">that her detention pending deportation had been in violation of Article 5 </w:t>
      </w:r>
      <w:r w:rsidRPr="00AF183C" w:rsidR="00B547B3">
        <w:rPr>
          <w:rFonts w:cstheme="minorHAnsi"/>
        </w:rPr>
        <w:t>§</w:t>
      </w:r>
      <w:r w:rsidRPr="00AF183C" w:rsidR="00B547B3">
        <w:t xml:space="preserve"> 1.</w:t>
      </w:r>
    </w:p>
    <w:p w:rsidRPr="00AF183C" w:rsidR="00D420F3" w:rsidP="00AF183C" w:rsidRDefault="00F54B66">
      <w:pPr>
        <w:pStyle w:val="ECHRPara"/>
      </w:pPr>
      <w:r w:rsidRPr="00AF183C">
        <w:fldChar w:fldCharType="begin"/>
      </w:r>
      <w:r w:rsidRPr="00AF183C">
        <w:instrText xml:space="preserve"> SEQ level0 \*arabic </w:instrText>
      </w:r>
      <w:r w:rsidRPr="00AF183C">
        <w:fldChar w:fldCharType="separate"/>
      </w:r>
      <w:r w:rsidRPr="00AF183C" w:rsidR="00AF183C">
        <w:rPr>
          <w:noProof/>
        </w:rPr>
        <w:t>4</w:t>
      </w:r>
      <w:r w:rsidRPr="00AF183C">
        <w:fldChar w:fldCharType="end"/>
      </w:r>
      <w:r w:rsidRPr="00AF183C" w:rsidR="0077175D">
        <w:t>.  </w:t>
      </w:r>
      <w:r w:rsidRPr="00AF183C">
        <w:t xml:space="preserve">On </w:t>
      </w:r>
      <w:r w:rsidRPr="00AF183C">
        <w:rPr>
          <w:szCs w:val="24"/>
        </w:rPr>
        <w:t>1 February 2018</w:t>
      </w:r>
      <w:r w:rsidRPr="00AF183C" w:rsidR="0077175D">
        <w:t xml:space="preserve"> </w:t>
      </w:r>
      <w:r w:rsidRPr="00AF183C" w:rsidR="009A7479">
        <w:t xml:space="preserve">notice of </w:t>
      </w:r>
      <w:r w:rsidRPr="00AF183C" w:rsidR="0077175D">
        <w:t xml:space="preserve">the </w:t>
      </w:r>
      <w:r w:rsidRPr="00AF183C">
        <w:t xml:space="preserve">complaints concerning </w:t>
      </w:r>
      <w:r w:rsidRPr="00AF183C" w:rsidR="00A65180">
        <w:t xml:space="preserve">Article 5 </w:t>
      </w:r>
      <w:r w:rsidRPr="00AF183C" w:rsidR="004F4021">
        <w:rPr>
          <w:rFonts w:cstheme="minorHAnsi"/>
        </w:rPr>
        <w:t>§ </w:t>
      </w:r>
      <w:r w:rsidRPr="00AF183C" w:rsidR="00A65180">
        <w:t>1</w:t>
      </w:r>
      <w:r w:rsidRPr="00AF183C">
        <w:t xml:space="preserve"> was given to the Government and the remainder of the application was declared inadmissible</w:t>
      </w:r>
      <w:r w:rsidRPr="00AF183C">
        <w:rPr>
          <w:szCs w:val="24"/>
        </w:rPr>
        <w:t xml:space="preserve"> </w:t>
      </w:r>
      <w:r w:rsidRPr="00AF183C">
        <w:t>pursuant to Rule 54 § 3 of the Rules of Court</w:t>
      </w:r>
      <w:r w:rsidRPr="00AF183C" w:rsidR="0077175D">
        <w:t>.</w:t>
      </w:r>
    </w:p>
    <w:p w:rsidRPr="00AF183C" w:rsidR="00D420F3" w:rsidP="00AF183C" w:rsidRDefault="0077175D">
      <w:pPr>
        <w:pStyle w:val="ECHRTitle1"/>
        <w:rPr>
          <w:i/>
        </w:rPr>
      </w:pPr>
      <w:r w:rsidRPr="00AF183C">
        <w:t>THE FACTS</w:t>
      </w:r>
    </w:p>
    <w:p w:rsidRPr="00AF183C" w:rsidR="00D420F3" w:rsidP="00AF183C" w:rsidRDefault="0077175D">
      <w:pPr>
        <w:pStyle w:val="ECHRHeading1"/>
      </w:pPr>
      <w:r w:rsidRPr="00AF183C">
        <w:t>I.  THE CIRCUMSTANCES OF THE CASE</w:t>
      </w:r>
    </w:p>
    <w:p w:rsidRPr="00AF183C" w:rsidR="00D420F3" w:rsidP="00AF183C" w:rsidRDefault="00F54B66">
      <w:pPr>
        <w:pStyle w:val="ECHRPara"/>
      </w:pPr>
      <w:r w:rsidRPr="00AF183C">
        <w:fldChar w:fldCharType="begin"/>
      </w:r>
      <w:r w:rsidRPr="00AF183C">
        <w:instrText xml:space="preserve"> SEQ level0 \*arabic </w:instrText>
      </w:r>
      <w:r w:rsidRPr="00AF183C">
        <w:fldChar w:fldCharType="separate"/>
      </w:r>
      <w:r w:rsidRPr="00AF183C" w:rsidR="00AF183C">
        <w:rPr>
          <w:noProof/>
        </w:rPr>
        <w:t>5</w:t>
      </w:r>
      <w:r w:rsidRPr="00AF183C">
        <w:fldChar w:fldCharType="end"/>
      </w:r>
      <w:r w:rsidRPr="00AF183C" w:rsidR="0077175D">
        <w:t xml:space="preserve">.  The </w:t>
      </w:r>
      <w:r w:rsidRPr="00AF183C">
        <w:t>applicant was born in 1977 and lives</w:t>
      </w:r>
      <w:r w:rsidRPr="00AF183C" w:rsidR="0077175D">
        <w:t xml:space="preserve"> in </w:t>
      </w:r>
      <w:r w:rsidRPr="00AF183C">
        <w:t>Uxbridge</w:t>
      </w:r>
      <w:r w:rsidRPr="00AF183C" w:rsidR="0077175D">
        <w:t>.</w:t>
      </w:r>
    </w:p>
    <w:p w:rsidRPr="00AF183C" w:rsidR="00E84C96" w:rsidP="00AF183C" w:rsidRDefault="00E84C96">
      <w:pPr>
        <w:pStyle w:val="ECHRHeading2"/>
      </w:pPr>
      <w:r w:rsidRPr="00AF183C">
        <w:t>A.</w:t>
      </w:r>
      <w:r w:rsidRPr="00AF183C" w:rsidR="00CD7839">
        <w:t>  </w:t>
      </w:r>
      <w:r w:rsidRPr="00AF183C" w:rsidR="00D94FBD">
        <w:t>The Facts</w:t>
      </w:r>
    </w:p>
    <w:p w:rsidRPr="00AF183C" w:rsidR="003F6E2C" w:rsidP="00AF183C" w:rsidRDefault="003F6E2C">
      <w:pPr>
        <w:pStyle w:val="ECHRPara"/>
      </w:pPr>
      <w:r w:rsidRPr="00AF183C">
        <w:fldChar w:fldCharType="begin"/>
      </w:r>
      <w:r w:rsidRPr="00AF183C">
        <w:instrText xml:space="preserve"> SEQ level0 \*arabic </w:instrText>
      </w:r>
      <w:r w:rsidRPr="00AF183C">
        <w:fldChar w:fldCharType="separate"/>
      </w:r>
      <w:r w:rsidRPr="00AF183C" w:rsidR="00AF183C">
        <w:rPr>
          <w:noProof/>
        </w:rPr>
        <w:t>6</w:t>
      </w:r>
      <w:r w:rsidRPr="00AF183C">
        <w:fldChar w:fldCharType="end"/>
      </w:r>
      <w:r w:rsidRPr="00AF183C">
        <w:t>. </w:t>
      </w:r>
      <w:r w:rsidRPr="00AF183C" w:rsidR="004F4021">
        <w:t> </w:t>
      </w:r>
      <w:r w:rsidRPr="00AF183C">
        <w:t>The applicant claims to have entered the United Kingdom illegally o</w:t>
      </w:r>
      <w:r w:rsidRPr="00AF183C" w:rsidR="004F4021">
        <w:t>n 18 </w:t>
      </w:r>
      <w:r w:rsidRPr="00AF183C">
        <w:t>November 2003.</w:t>
      </w:r>
      <w:r w:rsidRPr="00AF183C" w:rsidR="00C46C3C">
        <w:t xml:space="preserve"> She</w:t>
      </w:r>
      <w:r w:rsidRPr="00AF183C" w:rsidR="00C25AF0">
        <w:t xml:space="preserve"> </w:t>
      </w:r>
      <w:r w:rsidRPr="00AF183C" w:rsidR="00C46C3C">
        <w:t>pleaded guilty to offences of cruelty towards her son and was sentence</w:t>
      </w:r>
      <w:r w:rsidRPr="00AF183C" w:rsidR="005737F0">
        <w:t>d</w:t>
      </w:r>
      <w:r w:rsidRPr="00AF183C" w:rsidR="00C46C3C">
        <w:t xml:space="preserve"> to twelve months</w:t>
      </w:r>
      <w:r w:rsidRPr="00AF183C" w:rsidR="00AF183C">
        <w:t>’</w:t>
      </w:r>
      <w:r w:rsidRPr="00AF183C" w:rsidR="00C46C3C">
        <w:t xml:space="preserve"> imprisonment with a recommendation that she be deported. </w:t>
      </w:r>
      <w:r w:rsidRPr="00AF183C" w:rsidR="00CE1512">
        <w:t>On</w:t>
      </w:r>
      <w:r w:rsidRPr="00AF183C" w:rsidR="008C41D8">
        <w:t xml:space="preserve"> 5 August 2008 the Home Secretary served her with </w:t>
      </w:r>
      <w:r w:rsidRPr="00AF183C" w:rsidR="00535D76">
        <w:t>notice</w:t>
      </w:r>
      <w:r w:rsidRPr="00AF183C" w:rsidR="00CE1512">
        <w:t xml:space="preserve"> </w:t>
      </w:r>
      <w:r w:rsidRPr="00AF183C" w:rsidR="008C41D8">
        <w:t xml:space="preserve">of intention to make </w:t>
      </w:r>
      <w:r w:rsidRPr="00AF183C" w:rsidR="00CE1512">
        <w:t xml:space="preserve">a deportation order. </w:t>
      </w:r>
      <w:r w:rsidRPr="00AF183C" w:rsidR="00C46C3C">
        <w:t xml:space="preserve">On 8 August 2008 </w:t>
      </w:r>
      <w:r w:rsidRPr="00AF183C" w:rsidR="00062151">
        <w:t>the applicant</w:t>
      </w:r>
      <w:r w:rsidRPr="00AF183C" w:rsidR="00AF183C">
        <w:t>’</w:t>
      </w:r>
      <w:r w:rsidRPr="00AF183C" w:rsidR="00062151">
        <w:t>s</w:t>
      </w:r>
      <w:r w:rsidRPr="00AF183C" w:rsidR="00C46C3C">
        <w:t xml:space="preserve"> criminal sentence ended and she was </w:t>
      </w:r>
      <w:r w:rsidRPr="00AF183C" w:rsidR="005737F0">
        <w:t xml:space="preserve">thereafter </w:t>
      </w:r>
      <w:r w:rsidRPr="00AF183C" w:rsidR="00C46C3C">
        <w:t xml:space="preserve">detained under immigration powers </w:t>
      </w:r>
      <w:r w:rsidRPr="00AF183C" w:rsidR="002033F3">
        <w:t>from</w:t>
      </w:r>
      <w:r w:rsidRPr="00AF183C">
        <w:t xml:space="preserve"> </w:t>
      </w:r>
      <w:r w:rsidRPr="00AF183C" w:rsidR="002B2F4A">
        <w:t>8 August 2008 to 6 </w:t>
      </w:r>
      <w:r w:rsidRPr="00AF183C" w:rsidR="004F4021">
        <w:t>July 20</w:t>
      </w:r>
      <w:r w:rsidRPr="00AF183C" w:rsidR="002B2F4A">
        <w:t xml:space="preserve">11 (2 </w:t>
      </w:r>
      <w:r w:rsidRPr="00AF183C">
        <w:t>years, 10 months, 27 days). The present application is the second one made to this Court by the applicant.</w:t>
      </w:r>
    </w:p>
    <w:p w:rsidRPr="00AF183C" w:rsidR="003F6E2C" w:rsidP="00AF183C" w:rsidRDefault="003F6E2C">
      <w:pPr>
        <w:pStyle w:val="ECHRPara"/>
      </w:pPr>
      <w:r w:rsidRPr="00AF183C">
        <w:fldChar w:fldCharType="begin"/>
      </w:r>
      <w:r w:rsidRPr="00AF183C">
        <w:instrText xml:space="preserve"> SEQ level0 \*arabic </w:instrText>
      </w:r>
      <w:r w:rsidRPr="00AF183C">
        <w:fldChar w:fldCharType="separate"/>
      </w:r>
      <w:r w:rsidRPr="00AF183C" w:rsidR="00AF183C">
        <w:rPr>
          <w:noProof/>
        </w:rPr>
        <w:t>7</w:t>
      </w:r>
      <w:r w:rsidRPr="00AF183C">
        <w:fldChar w:fldCharType="end"/>
      </w:r>
      <w:r w:rsidRPr="00AF183C">
        <w:t xml:space="preserve">.  In her first application the applicant complained about her detention from 8 August 2008 to 28 April 2010. This Court found that during this period, there was a lack of due diligence on the </w:t>
      </w:r>
      <w:r w:rsidRPr="00AF183C" w:rsidR="004F4021">
        <w:t>part of the authorities from 19 </w:t>
      </w:r>
      <w:r w:rsidRPr="00AF183C">
        <w:t>June 2009 to 14 December 2009 (a period of five months and 26 days). Accordingly, it found a violation of Article 5 § 1 in light of the authorities</w:t>
      </w:r>
      <w:r w:rsidRPr="00AF183C" w:rsidR="00AF183C">
        <w:t>’</w:t>
      </w:r>
      <w:r w:rsidRPr="00AF183C">
        <w:t xml:space="preserve"> delay in </w:t>
      </w:r>
      <w:r w:rsidRPr="00AF183C" w:rsidR="00CA4F06">
        <w:t>considering</w:t>
      </w:r>
      <w:r w:rsidRPr="00AF183C">
        <w:t xml:space="preserve"> the applicant</w:t>
      </w:r>
      <w:r w:rsidRPr="00AF183C" w:rsidR="00AF183C">
        <w:t>’</w:t>
      </w:r>
      <w:r w:rsidRPr="00AF183C">
        <w:t>s</w:t>
      </w:r>
      <w:r w:rsidRPr="00AF183C" w:rsidR="007F7A10">
        <w:t xml:space="preserve"> further</w:t>
      </w:r>
      <w:r w:rsidRPr="00AF183C">
        <w:t xml:space="preserve"> representations in the context of her claim for asylum (see </w:t>
      </w:r>
      <w:r w:rsidRPr="00AF183C">
        <w:rPr>
          <w:i/>
        </w:rPr>
        <w:t>V.M. v. the United Kingdom</w:t>
      </w:r>
      <w:r w:rsidRPr="00AF183C" w:rsidR="00E16035">
        <w:t>, no. </w:t>
      </w:r>
      <w:r w:rsidRPr="00AF183C" w:rsidR="002B2F4A">
        <w:t>49734/12, § </w:t>
      </w:r>
      <w:r w:rsidRPr="00AF183C" w:rsidR="00E16035">
        <w:t>99</w:t>
      </w:r>
      <w:r w:rsidRPr="00AF183C" w:rsidR="00E16035">
        <w:noBreakHyphen/>
      </w:r>
      <w:r w:rsidRPr="00AF183C" w:rsidR="004F4021">
        <w:t>100, 1</w:t>
      </w:r>
      <w:r w:rsidRPr="00AF183C" w:rsidR="003F1B49">
        <w:t xml:space="preserve"> </w:t>
      </w:r>
      <w:r w:rsidRPr="00AF183C">
        <w:t>September 2016). The Court did not examine the period of detention after 2</w:t>
      </w:r>
      <w:r w:rsidRPr="00AF183C" w:rsidR="006D6CB8">
        <w:t>2</w:t>
      </w:r>
      <w:r w:rsidRPr="00AF183C" w:rsidR="003F1B49">
        <w:t xml:space="preserve"> </w:t>
      </w:r>
      <w:r w:rsidRPr="00AF183C">
        <w:t xml:space="preserve">July 2010 in that judgment noting that this was the subject of separate litigation proceedings (see </w:t>
      </w:r>
      <w:r w:rsidRPr="00AF183C">
        <w:rPr>
          <w:i/>
        </w:rPr>
        <w:t>V.M</w:t>
      </w:r>
      <w:r w:rsidRPr="00AF183C">
        <w:t>.</w:t>
      </w:r>
      <w:r w:rsidRPr="00AF183C" w:rsidR="00E84C96">
        <w:t xml:space="preserve"> </w:t>
      </w:r>
      <w:r w:rsidRPr="00AF183C" w:rsidR="00E84C96">
        <w:rPr>
          <w:i/>
        </w:rPr>
        <w:t>v. the United Kingdom</w:t>
      </w:r>
      <w:r w:rsidRPr="00AF183C">
        <w:t>, cited above, § 92).</w:t>
      </w:r>
    </w:p>
    <w:p w:rsidRPr="00AF183C" w:rsidR="003F6E2C" w:rsidP="00AF183C" w:rsidRDefault="003F6E2C">
      <w:pPr>
        <w:pStyle w:val="ECHRPara"/>
        <w:rPr>
          <w:rFonts w:cstheme="minorHAnsi"/>
        </w:rPr>
      </w:pPr>
      <w:r w:rsidRPr="00AF183C">
        <w:fldChar w:fldCharType="begin"/>
      </w:r>
      <w:r w:rsidRPr="00AF183C">
        <w:instrText xml:space="preserve"> SEQ level0 \*arabic </w:instrText>
      </w:r>
      <w:r w:rsidRPr="00AF183C">
        <w:fldChar w:fldCharType="separate"/>
      </w:r>
      <w:r w:rsidRPr="00AF183C" w:rsidR="00AF183C">
        <w:rPr>
          <w:noProof/>
        </w:rPr>
        <w:t>8</w:t>
      </w:r>
      <w:r w:rsidRPr="00AF183C">
        <w:fldChar w:fldCharType="end"/>
      </w:r>
      <w:r w:rsidRPr="00AF183C">
        <w:t>.  The present case concerns that later period of her detention from 2</w:t>
      </w:r>
      <w:r w:rsidRPr="00AF183C" w:rsidR="00785ACA">
        <w:t>2</w:t>
      </w:r>
      <w:r w:rsidRPr="00AF183C" w:rsidR="004F4021">
        <w:t> </w:t>
      </w:r>
      <w:r w:rsidRPr="00AF183C">
        <w:t>July 2010 to 6 July 2011 (11 months, 14 days). A detailed summary of the facts</w:t>
      </w:r>
      <w:r w:rsidRPr="00AF183C" w:rsidR="00F02D4A">
        <w:t xml:space="preserve"> up to 25 July 2010</w:t>
      </w:r>
      <w:r w:rsidRPr="00AF183C">
        <w:t xml:space="preserve"> is set out in </w:t>
      </w:r>
      <w:r w:rsidRPr="00AF183C">
        <w:rPr>
          <w:i/>
        </w:rPr>
        <w:t>V.M.</w:t>
      </w:r>
      <w:r w:rsidRPr="00AF183C" w:rsidR="003758A5">
        <w:rPr>
          <w:i/>
        </w:rPr>
        <w:t xml:space="preserve"> </w:t>
      </w:r>
      <w:r w:rsidRPr="00AF183C" w:rsidR="00E7477E">
        <w:rPr>
          <w:i/>
        </w:rPr>
        <w:t>v. the United Kingdom</w:t>
      </w:r>
      <w:r w:rsidRPr="00AF183C" w:rsidR="004F4021">
        <w:t>,</w:t>
      </w:r>
      <w:r w:rsidRPr="00AF183C">
        <w:rPr>
          <w:i/>
        </w:rPr>
        <w:t xml:space="preserve"> </w:t>
      </w:r>
      <w:r w:rsidRPr="00AF183C">
        <w:t>cited above</w:t>
      </w:r>
      <w:r w:rsidRPr="00AF183C" w:rsidR="004F4021">
        <w:t>,</w:t>
      </w:r>
      <w:r w:rsidRPr="00AF183C">
        <w:t xml:space="preserve"> </w:t>
      </w:r>
      <w:r w:rsidRPr="00AF183C">
        <w:rPr>
          <w:rFonts w:cstheme="minorHAnsi"/>
        </w:rPr>
        <w:t>§§ 16-51.</w:t>
      </w:r>
    </w:p>
    <w:p w:rsidRPr="00AF183C" w:rsidR="006D6CB8" w:rsidP="00AF183C" w:rsidRDefault="006D6CB8">
      <w:pPr>
        <w:pStyle w:val="ECHRPara"/>
      </w:pPr>
      <w:r w:rsidRPr="00AF183C">
        <w:fldChar w:fldCharType="begin"/>
      </w:r>
      <w:r w:rsidRPr="00AF183C">
        <w:instrText xml:space="preserve"> SEQ level0 \*arabic </w:instrText>
      </w:r>
      <w:r w:rsidRPr="00AF183C">
        <w:fldChar w:fldCharType="separate"/>
      </w:r>
      <w:r w:rsidRPr="00AF183C" w:rsidR="00AF183C">
        <w:rPr>
          <w:noProof/>
        </w:rPr>
        <w:t>9</w:t>
      </w:r>
      <w:r w:rsidRPr="00AF183C">
        <w:fldChar w:fldCharType="end"/>
      </w:r>
      <w:r w:rsidRPr="00AF183C">
        <w:t>.  On 25 November 2010 a deportation order was served on the applicant</w:t>
      </w:r>
      <w:r w:rsidRPr="00AF183C" w:rsidR="00A81484">
        <w:t xml:space="preserve">. The applicant subsequently brought </w:t>
      </w:r>
      <w:r w:rsidRPr="00AF183C" w:rsidR="000C5E27">
        <w:t xml:space="preserve">a number of </w:t>
      </w:r>
      <w:r w:rsidRPr="00AF183C" w:rsidR="00F02D4A">
        <w:t>legal challenges</w:t>
      </w:r>
      <w:r w:rsidRPr="00AF183C" w:rsidR="000C5E27">
        <w:t xml:space="preserve"> arguing that the </w:t>
      </w:r>
      <w:r w:rsidRPr="00AF183C" w:rsidR="00F02D4A">
        <w:t>order</w:t>
      </w:r>
      <w:r w:rsidRPr="00AF183C" w:rsidR="000C5E27">
        <w:t xml:space="preserve"> should be</w:t>
      </w:r>
      <w:r w:rsidRPr="00AF183C" w:rsidR="00F02D4A">
        <w:t xml:space="preserve"> </w:t>
      </w:r>
      <w:r w:rsidRPr="00AF183C" w:rsidR="000C5E27">
        <w:t>revoked</w:t>
      </w:r>
      <w:r w:rsidRPr="00AF183C" w:rsidR="00F02D4A">
        <w:t>.</w:t>
      </w:r>
      <w:r w:rsidRPr="00AF183C">
        <w:t xml:space="preserve"> Removal directions were set for a flight departing on </w:t>
      </w:r>
      <w:r w:rsidRPr="00AF183C" w:rsidR="00535D76">
        <w:t>7 February 2011</w:t>
      </w:r>
      <w:r w:rsidRPr="00AF183C">
        <w:t xml:space="preserve">, but </w:t>
      </w:r>
      <w:r w:rsidRPr="00AF183C" w:rsidR="00535D76">
        <w:t>the High Court enjoined the Home Secret</w:t>
      </w:r>
      <w:r w:rsidRPr="00AF183C" w:rsidR="004F4021">
        <w:t>ary from effecting removal on 4 </w:t>
      </w:r>
      <w:r w:rsidRPr="00AF183C" w:rsidR="00535D76">
        <w:t>February 2011.</w:t>
      </w:r>
    </w:p>
    <w:p w:rsidRPr="00AF183C" w:rsidR="006D6CB8" w:rsidP="00AF183C" w:rsidRDefault="00C72F76">
      <w:pPr>
        <w:pStyle w:val="ECHRPara"/>
      </w:pPr>
      <w:r w:rsidRPr="00AF183C">
        <w:fldChar w:fldCharType="begin"/>
      </w:r>
      <w:r w:rsidRPr="00AF183C">
        <w:instrText xml:space="preserve"> SEQ level0 \*arabic </w:instrText>
      </w:r>
      <w:r w:rsidRPr="00AF183C">
        <w:fldChar w:fldCharType="separate"/>
      </w:r>
      <w:r w:rsidRPr="00AF183C" w:rsidR="00AF183C">
        <w:rPr>
          <w:noProof/>
        </w:rPr>
        <w:t>10</w:t>
      </w:r>
      <w:r w:rsidRPr="00AF183C">
        <w:fldChar w:fldCharType="end"/>
      </w:r>
      <w:r w:rsidRPr="00AF183C">
        <w:t>.  </w:t>
      </w:r>
      <w:r w:rsidRPr="00AF183C" w:rsidR="006D6CB8">
        <w:t>On 14 January 2011 an immigration judge refused bail after an ora</w:t>
      </w:r>
      <w:r w:rsidRPr="00AF183C" w:rsidR="004F4021">
        <w:t>l hearing.</w:t>
      </w:r>
    </w:p>
    <w:p w:rsidRPr="00AF183C" w:rsidR="006D6CB8" w:rsidP="00AF183C" w:rsidRDefault="00C72F76">
      <w:pPr>
        <w:pStyle w:val="ECHRPara"/>
      </w:pPr>
      <w:r w:rsidRPr="00AF183C">
        <w:fldChar w:fldCharType="begin"/>
      </w:r>
      <w:r w:rsidRPr="00AF183C">
        <w:instrText xml:space="preserve"> SEQ level0 \*arabic </w:instrText>
      </w:r>
      <w:r w:rsidRPr="00AF183C">
        <w:fldChar w:fldCharType="separate"/>
      </w:r>
      <w:r w:rsidRPr="00AF183C" w:rsidR="00AF183C">
        <w:rPr>
          <w:noProof/>
        </w:rPr>
        <w:t>11</w:t>
      </w:r>
      <w:r w:rsidRPr="00AF183C">
        <w:fldChar w:fldCharType="end"/>
      </w:r>
      <w:r w:rsidRPr="00AF183C">
        <w:t>.  </w:t>
      </w:r>
      <w:r w:rsidRPr="00AF183C" w:rsidR="004F4021">
        <w:t xml:space="preserve">On 10 February 2011 </w:t>
      </w:r>
      <w:r w:rsidRPr="00AF183C" w:rsidR="006D6CB8">
        <w:t xml:space="preserve">Dr </w:t>
      </w:r>
      <w:r w:rsidRPr="00AF183C" w:rsidR="00F75EF0">
        <w:t>A-D</w:t>
      </w:r>
      <w:r w:rsidRPr="00AF183C" w:rsidR="004F4021">
        <w:t>,</w:t>
      </w:r>
      <w:r w:rsidRPr="00AF183C" w:rsidR="006D6CB8">
        <w:t xml:space="preserve"> </w:t>
      </w:r>
      <w:r w:rsidRPr="00AF183C" w:rsidR="00DA20B1">
        <w:t>a clinical psychologist</w:t>
      </w:r>
      <w:r w:rsidRPr="00AF183C" w:rsidR="004F4021">
        <w:t>,</w:t>
      </w:r>
      <w:r w:rsidRPr="00AF183C" w:rsidR="00DA20B1">
        <w:t xml:space="preserve"> </w:t>
      </w:r>
      <w:r w:rsidRPr="00AF183C" w:rsidR="006D6CB8">
        <w:t xml:space="preserve">prepared a psychological report on the instruction of </w:t>
      </w:r>
      <w:r w:rsidRPr="00AF183C" w:rsidR="000C5E27">
        <w:t>the applicant</w:t>
      </w:r>
      <w:r w:rsidRPr="00AF183C" w:rsidR="00AF183C">
        <w:t>’</w:t>
      </w:r>
      <w:r w:rsidRPr="00AF183C" w:rsidR="006D6CB8">
        <w:t>s representatives.</w:t>
      </w:r>
      <w:r w:rsidRPr="00AF183C" w:rsidR="00551BB8">
        <w:t xml:space="preserve"> </w:t>
      </w:r>
      <w:r w:rsidRPr="00AF183C" w:rsidR="00FD4E12">
        <w:t>She</w:t>
      </w:r>
      <w:r w:rsidRPr="00AF183C" w:rsidR="00551BB8">
        <w:t xml:space="preserve"> </w:t>
      </w:r>
      <w:r w:rsidRPr="00AF183C" w:rsidR="00A81484">
        <w:t>concluded</w:t>
      </w:r>
      <w:r w:rsidRPr="00AF183C" w:rsidR="00551BB8">
        <w:t xml:space="preserve"> that the applicant had given a plausible history of suffering physical and sexual abuse at the hands of her uncle; that she suffered from particularly severe</w:t>
      </w:r>
      <w:r w:rsidRPr="00AF183C" w:rsidR="009933C9">
        <w:t xml:space="preserve"> </w:t>
      </w:r>
      <w:r w:rsidRPr="00AF183C" w:rsidR="00830644">
        <w:t>p</w:t>
      </w:r>
      <w:r w:rsidRPr="00AF183C" w:rsidR="009933C9">
        <w:t xml:space="preserve">ost-traumatic </w:t>
      </w:r>
      <w:r w:rsidRPr="00AF183C" w:rsidR="00D44A19">
        <w:t>s</w:t>
      </w:r>
      <w:r w:rsidRPr="00AF183C" w:rsidR="009933C9">
        <w:t xml:space="preserve">tress </w:t>
      </w:r>
      <w:r w:rsidRPr="00AF183C" w:rsidR="00D44A19">
        <w:t>d</w:t>
      </w:r>
      <w:r w:rsidRPr="00AF183C" w:rsidR="009933C9">
        <w:t>isorder</w:t>
      </w:r>
      <w:r w:rsidRPr="00AF183C" w:rsidR="00551BB8">
        <w:t>; that she was not receiving appropriate treatment for her mental health problems in detention; that release would benefit her mental health; and that her deportation was likely to precipitate further suicide attempts.</w:t>
      </w:r>
      <w:r w:rsidRPr="00AF183C" w:rsidR="00FD4E12">
        <w:t xml:space="preserve"> </w:t>
      </w:r>
      <w:r w:rsidRPr="00AF183C" w:rsidR="000C5E27">
        <w:t>On 16 February 2011 the</w:t>
      </w:r>
      <w:r w:rsidRPr="00AF183C" w:rsidR="006D6CB8">
        <w:t xml:space="preserve"> representatives submitted this re</w:t>
      </w:r>
      <w:r w:rsidRPr="00AF183C" w:rsidR="00FC55B9">
        <w:t>port to the Secretary of State.</w:t>
      </w:r>
    </w:p>
    <w:p w:rsidRPr="00AF183C" w:rsidR="00535D76" w:rsidP="00AF183C" w:rsidRDefault="00535D76">
      <w:pPr>
        <w:pStyle w:val="ECHRPara"/>
      </w:pPr>
      <w:r w:rsidRPr="00AF183C">
        <w:fldChar w:fldCharType="begin"/>
      </w:r>
      <w:r w:rsidRPr="00AF183C">
        <w:instrText xml:space="preserve"> SEQ level0 \*arabic </w:instrText>
      </w:r>
      <w:r w:rsidRPr="00AF183C">
        <w:fldChar w:fldCharType="separate"/>
      </w:r>
      <w:r w:rsidRPr="00AF183C" w:rsidR="00AF183C">
        <w:rPr>
          <w:noProof/>
        </w:rPr>
        <w:t>12</w:t>
      </w:r>
      <w:r w:rsidRPr="00AF183C">
        <w:fldChar w:fldCharType="end"/>
      </w:r>
      <w:r w:rsidRPr="00AF183C">
        <w:t>.  On 7 March 2011</w:t>
      </w:r>
      <w:r w:rsidRPr="00AF183C" w:rsidR="00F75EF0">
        <w:t xml:space="preserve"> and 17 June 2011</w:t>
      </w:r>
      <w:r w:rsidRPr="00AF183C">
        <w:t xml:space="preserve"> a tribunal judge refused to grant bail to the applicant.</w:t>
      </w:r>
      <w:r w:rsidRPr="00AF183C" w:rsidR="00FD4E12">
        <w:t xml:space="preserve"> On 30 June 2011 Dr A-D provided an addendum report which </w:t>
      </w:r>
      <w:r w:rsidRPr="00AF183C" w:rsidR="00A81484">
        <w:t>recommended the applicant</w:t>
      </w:r>
      <w:r w:rsidRPr="00AF183C" w:rsidR="00AF183C">
        <w:t>’</w:t>
      </w:r>
      <w:r w:rsidRPr="00AF183C" w:rsidR="00A81484">
        <w:t>s</w:t>
      </w:r>
      <w:r w:rsidRPr="00AF183C" w:rsidR="00FD4E12">
        <w:t xml:space="preserve"> immediate release. Professor K who had previously examined the applicant (see </w:t>
      </w:r>
      <w:r w:rsidRPr="00AF183C" w:rsidR="00FC55B9">
        <w:rPr>
          <w:i/>
        </w:rPr>
        <w:t>V.M</w:t>
      </w:r>
      <w:r w:rsidRPr="00AF183C" w:rsidR="00ED4764">
        <w:rPr>
          <w:i/>
        </w:rPr>
        <w:t>. v. the United Kingdom</w:t>
      </w:r>
      <w:r w:rsidRPr="00AF183C" w:rsidR="00FD4E12">
        <w:rPr>
          <w:i/>
        </w:rPr>
        <w:t xml:space="preserve"> </w:t>
      </w:r>
      <w:r w:rsidRPr="00AF183C" w:rsidR="00FD4E12">
        <w:t xml:space="preserve">cited above, §§ 20-35) also wrote a further report indicating he now agreed with Dr A-D. </w:t>
      </w:r>
      <w:r w:rsidRPr="00AF183C" w:rsidR="00F75EF0">
        <w:t>The tribunal judge granted bail on 1 July 2011 and the applica</w:t>
      </w:r>
      <w:r w:rsidRPr="00AF183C" w:rsidR="002B2F4A">
        <w:t>nt was released on 6</w:t>
      </w:r>
      <w:r w:rsidRPr="00AF183C" w:rsidR="003F1B49">
        <w:t xml:space="preserve"> </w:t>
      </w:r>
      <w:r w:rsidRPr="00AF183C" w:rsidR="00FC55B9">
        <w:t>July 2011.</w:t>
      </w:r>
    </w:p>
    <w:p w:rsidRPr="00AF183C" w:rsidR="00AA04DE" w:rsidP="00AF183C" w:rsidRDefault="00AA04DE">
      <w:pPr>
        <w:pStyle w:val="ECHRPara"/>
      </w:pPr>
      <w:r w:rsidRPr="00AF183C">
        <w:fldChar w:fldCharType="begin"/>
      </w:r>
      <w:r w:rsidRPr="00AF183C">
        <w:instrText xml:space="preserve"> SEQ level0 \*arabic </w:instrText>
      </w:r>
      <w:r w:rsidRPr="00AF183C">
        <w:fldChar w:fldCharType="separate"/>
      </w:r>
      <w:r w:rsidRPr="00AF183C" w:rsidR="00AF183C">
        <w:rPr>
          <w:noProof/>
        </w:rPr>
        <w:t>13</w:t>
      </w:r>
      <w:r w:rsidRPr="00AF183C">
        <w:fldChar w:fldCharType="end"/>
      </w:r>
      <w:r w:rsidRPr="00AF183C">
        <w:t>.  </w:t>
      </w:r>
      <w:bookmarkStart w:name="para24" w:id="2"/>
      <w:r w:rsidRPr="00AF183C">
        <w:t>Six reviews of the applicant</w:t>
      </w:r>
      <w:r w:rsidRPr="00AF183C" w:rsidR="00AF183C">
        <w:t>’</w:t>
      </w:r>
      <w:r w:rsidRPr="00AF183C">
        <w:t>s detention were written</w:t>
      </w:r>
      <w:r w:rsidRPr="00AF183C" w:rsidR="00F360F0">
        <w:t xml:space="preserve"> by the applicant</w:t>
      </w:r>
      <w:r w:rsidRPr="00AF183C" w:rsidR="00AF183C">
        <w:t>’</w:t>
      </w:r>
      <w:r w:rsidRPr="00AF183C" w:rsidR="00F360F0">
        <w:t xml:space="preserve">s </w:t>
      </w:r>
      <w:r w:rsidRPr="00AF183C" w:rsidR="00AF183C">
        <w:t>‘</w:t>
      </w:r>
      <w:r w:rsidRPr="00AF183C" w:rsidR="00F360F0">
        <w:t>caseworker</w:t>
      </w:r>
      <w:r w:rsidRPr="00AF183C" w:rsidR="00AF183C">
        <w:t>’</w:t>
      </w:r>
      <w:r w:rsidRPr="00AF183C">
        <w:t xml:space="preserve"> betwee</w:t>
      </w:r>
      <w:r w:rsidRPr="00AF183C" w:rsidR="00992AC3">
        <w:t>n 4 March 2011 and 4 July 2011. Brief</w:t>
      </w:r>
      <w:r w:rsidRPr="00AF183C">
        <w:t xml:space="preserve"> reference was made to the report of Dr </w:t>
      </w:r>
      <w:r w:rsidRPr="00AF183C" w:rsidR="00F360F0">
        <w:t>A-D</w:t>
      </w:r>
      <w:r w:rsidRPr="00AF183C">
        <w:t xml:space="preserve">. Inserted into the recital in each review of </w:t>
      </w:r>
      <w:r w:rsidRPr="00AF183C" w:rsidR="00992AC3">
        <w:t>the applicant</w:t>
      </w:r>
      <w:r w:rsidRPr="00AF183C" w:rsidR="00AF183C">
        <w:t>’</w:t>
      </w:r>
      <w:r w:rsidRPr="00AF183C">
        <w:t>s protracted immigration history was reference to "yet another psychiatric report", which had been "treated as a further request to revoke" the deportation order.</w:t>
      </w:r>
      <w:r w:rsidRPr="00AF183C" w:rsidR="00F729BD">
        <w:t xml:space="preserve"> T</w:t>
      </w:r>
      <w:r w:rsidRPr="00AF183C">
        <w:t xml:space="preserve">he reviews identified </w:t>
      </w:r>
      <w:r w:rsidRPr="00AF183C" w:rsidR="00F360F0">
        <w:t>the applicant</w:t>
      </w:r>
      <w:r w:rsidRPr="00AF183C" w:rsidR="00AF183C">
        <w:t>’</w:t>
      </w:r>
      <w:r w:rsidRPr="00AF183C" w:rsidR="00F360F0">
        <w:t>s</w:t>
      </w:r>
      <w:r w:rsidRPr="00AF183C">
        <w:t xml:space="preserve"> most recent diagnosis as being that of Dr R on 15 March 2010</w:t>
      </w:r>
      <w:r w:rsidRPr="00AF183C" w:rsidR="00F360F0">
        <w:t xml:space="preserve"> (see </w:t>
      </w:r>
      <w:r w:rsidRPr="00AF183C" w:rsidR="00FC55B9">
        <w:rPr>
          <w:i/>
        </w:rPr>
        <w:t>V.M.</w:t>
      </w:r>
      <w:r w:rsidRPr="00AF183C" w:rsidR="00AF183C">
        <w:rPr>
          <w:i/>
        </w:rPr>
        <w:t> </w:t>
      </w:r>
      <w:r w:rsidRPr="00AF183C" w:rsidR="00317938">
        <w:rPr>
          <w:i/>
        </w:rPr>
        <w:t>v</w:t>
      </w:r>
      <w:r w:rsidRPr="00AF183C" w:rsidR="005B5F72">
        <w:rPr>
          <w:i/>
        </w:rPr>
        <w:t>.</w:t>
      </w:r>
      <w:r w:rsidRPr="00AF183C" w:rsidR="00AF183C">
        <w:rPr>
          <w:i/>
        </w:rPr>
        <w:t> the </w:t>
      </w:r>
      <w:r w:rsidRPr="00AF183C" w:rsidR="00317938">
        <w:rPr>
          <w:i/>
        </w:rPr>
        <w:t>United Kingdom</w:t>
      </w:r>
      <w:r w:rsidRPr="00AF183C" w:rsidR="00FC55B9">
        <w:t xml:space="preserve">, </w:t>
      </w:r>
      <w:r w:rsidRPr="00AF183C" w:rsidR="00F360F0">
        <w:t>cited above</w:t>
      </w:r>
      <w:r w:rsidRPr="00AF183C" w:rsidR="00FC55B9">
        <w:t>,</w:t>
      </w:r>
      <w:r w:rsidRPr="00AF183C" w:rsidR="00F360F0">
        <w:t xml:space="preserve"> </w:t>
      </w:r>
      <w:r w:rsidRPr="00AF183C" w:rsidR="009F7835">
        <w:t>§ 33)</w:t>
      </w:r>
      <w:r w:rsidRPr="00AF183C">
        <w:t xml:space="preserve">. In each case the senior officers </w:t>
      </w:r>
      <w:r w:rsidRPr="00AF183C" w:rsidR="00F729BD">
        <w:t>e</w:t>
      </w:r>
      <w:r w:rsidRPr="00AF183C">
        <w:t xml:space="preserve">ndorsed the conclusion that the risk of </w:t>
      </w:r>
      <w:r w:rsidRPr="00AF183C" w:rsidR="00F729BD">
        <w:t>the applicant</w:t>
      </w:r>
      <w:r w:rsidRPr="00AF183C" w:rsidR="00AF183C">
        <w:t>’</w:t>
      </w:r>
      <w:r w:rsidRPr="00AF183C" w:rsidR="00F729BD">
        <w:t>s</w:t>
      </w:r>
      <w:r w:rsidRPr="00AF183C">
        <w:t xml:space="preserve"> reoffending and absconding outweighed the presumption in favour of release.</w:t>
      </w:r>
      <w:bookmarkEnd w:id="2"/>
    </w:p>
    <w:p w:rsidRPr="00AF183C" w:rsidR="00EE0A0F" w:rsidP="00AF183C" w:rsidRDefault="00E84C96">
      <w:pPr>
        <w:pStyle w:val="ECHRHeading2"/>
      </w:pPr>
      <w:r w:rsidRPr="00AF183C">
        <w:t>B.</w:t>
      </w:r>
      <w:r w:rsidRPr="00AF183C" w:rsidR="00CD7839">
        <w:t>  </w:t>
      </w:r>
      <w:r w:rsidRPr="00AF183C" w:rsidR="00EE0A0F">
        <w:t>The applicant</w:t>
      </w:r>
      <w:r w:rsidRPr="00AF183C" w:rsidR="00AF183C">
        <w:t>’</w:t>
      </w:r>
      <w:r w:rsidRPr="00AF183C" w:rsidR="00EE0A0F">
        <w:t>s legal challenge to her detention</w:t>
      </w:r>
    </w:p>
    <w:p w:rsidRPr="00AF183C" w:rsidR="00EE0A0F" w:rsidP="00AF183C" w:rsidRDefault="00EE0A0F">
      <w:pPr>
        <w:pStyle w:val="ECHRPara"/>
      </w:pPr>
      <w:r w:rsidRPr="00AF183C">
        <w:fldChar w:fldCharType="begin"/>
      </w:r>
      <w:r w:rsidRPr="00AF183C">
        <w:instrText xml:space="preserve"> SEQ level0 \*arabic </w:instrText>
      </w:r>
      <w:r w:rsidRPr="00AF183C">
        <w:fldChar w:fldCharType="separate"/>
      </w:r>
      <w:r w:rsidRPr="00AF183C" w:rsidR="00AF183C">
        <w:rPr>
          <w:noProof/>
        </w:rPr>
        <w:t>14</w:t>
      </w:r>
      <w:r w:rsidRPr="00AF183C">
        <w:fldChar w:fldCharType="end"/>
      </w:r>
      <w:r w:rsidRPr="00AF183C">
        <w:t xml:space="preserve">.  The applicant </w:t>
      </w:r>
      <w:r w:rsidRPr="00AF183C" w:rsidR="00A81484">
        <w:t>initiated</w:t>
      </w:r>
      <w:r w:rsidRPr="00AF183C">
        <w:t xml:space="preserve"> judicial review</w:t>
      </w:r>
      <w:r w:rsidRPr="00AF183C" w:rsidR="00A81484">
        <w:t xml:space="preserve"> proceedings</w:t>
      </w:r>
      <w:r w:rsidRPr="00AF183C">
        <w:t xml:space="preserve"> of the period of her detention from 22 July 2010 to 6 July 2011. The High Court refused </w:t>
      </w:r>
      <w:r w:rsidRPr="00AF183C" w:rsidR="00A81484">
        <w:t>her</w:t>
      </w:r>
      <w:r w:rsidRPr="00AF183C">
        <w:t xml:space="preserve"> permission to bring judicial review</w:t>
      </w:r>
      <w:r w:rsidRPr="00AF183C" w:rsidR="00352D68">
        <w:t xml:space="preserve"> proceedings</w:t>
      </w:r>
      <w:r w:rsidRPr="00AF183C">
        <w:t xml:space="preserve"> on 3 April 2012. However, permission was granted by the Court of Appeal</w:t>
      </w:r>
      <w:r w:rsidRPr="00AF183C" w:rsidR="00A81484">
        <w:t xml:space="preserve"> to appeal that decision</w:t>
      </w:r>
      <w:r w:rsidRPr="00AF183C">
        <w:t>.</w:t>
      </w:r>
    </w:p>
    <w:p w:rsidRPr="00AF183C" w:rsidR="00EE0A0F" w:rsidP="00AF183C" w:rsidRDefault="00EE0A0F">
      <w:pPr>
        <w:pStyle w:val="ECHRPara"/>
      </w:pPr>
      <w:r w:rsidRPr="00AF183C">
        <w:fldChar w:fldCharType="begin"/>
      </w:r>
      <w:r w:rsidRPr="00AF183C">
        <w:instrText xml:space="preserve"> SEQ level0 \*arabic </w:instrText>
      </w:r>
      <w:r w:rsidRPr="00AF183C">
        <w:fldChar w:fldCharType="separate"/>
      </w:r>
      <w:r w:rsidRPr="00AF183C" w:rsidR="00AF183C">
        <w:rPr>
          <w:noProof/>
        </w:rPr>
        <w:t>15</w:t>
      </w:r>
      <w:r w:rsidRPr="00AF183C">
        <w:fldChar w:fldCharType="end"/>
      </w:r>
      <w:r w:rsidRPr="00AF183C">
        <w:t>.  </w:t>
      </w:r>
      <w:r w:rsidRPr="00AF183C" w:rsidR="00A81484">
        <w:t>In its judgment of 17 July 201</w:t>
      </w:r>
      <w:r w:rsidRPr="00AF183C" w:rsidR="003C03AF">
        <w:t>4</w:t>
      </w:r>
      <w:r w:rsidRPr="00AF183C" w:rsidR="00A81484">
        <w:t>, t</w:t>
      </w:r>
      <w:r w:rsidRPr="00AF183C">
        <w:t xml:space="preserve">he Court of Appeal </w:t>
      </w:r>
      <w:r w:rsidRPr="00AF183C" w:rsidR="00517D3D">
        <w:t xml:space="preserve">found that there </w:t>
      </w:r>
      <w:r w:rsidRPr="00AF183C" w:rsidR="00A81484">
        <w:t>had been</w:t>
      </w:r>
      <w:r w:rsidRPr="00AF183C" w:rsidR="00517D3D">
        <w:t xml:space="preserve"> procedural errors in the reviews of the applicant</w:t>
      </w:r>
      <w:r w:rsidRPr="00AF183C" w:rsidR="00AF183C">
        <w:t>’</w:t>
      </w:r>
      <w:r w:rsidRPr="00AF183C" w:rsidR="00517D3D">
        <w:t xml:space="preserve">s detention but </w:t>
      </w:r>
      <w:r w:rsidRPr="00AF183C" w:rsidR="00A81484">
        <w:t xml:space="preserve">it upheld the decision of the High Court </w:t>
      </w:r>
      <w:r w:rsidRPr="00AF183C" w:rsidR="00517D3D">
        <w:t xml:space="preserve">that </w:t>
      </w:r>
      <w:r w:rsidRPr="00AF183C" w:rsidR="00A81484">
        <w:t>the</w:t>
      </w:r>
      <w:r w:rsidRPr="00AF183C" w:rsidR="00C21641">
        <w:t xml:space="preserve"> challenge should fail</w:t>
      </w:r>
      <w:r w:rsidRPr="00AF183C" w:rsidR="002B2F4A">
        <w:t>. Lady </w:t>
      </w:r>
      <w:r w:rsidRPr="00AF183C" w:rsidR="00655105">
        <w:t xml:space="preserve">Justice Arden gave the lead </w:t>
      </w:r>
      <w:r w:rsidRPr="00AF183C" w:rsidR="003F06E1">
        <w:t>opinion</w:t>
      </w:r>
      <w:r w:rsidRPr="00AF183C" w:rsidR="00517D3D">
        <w:t>:</w:t>
      </w:r>
    </w:p>
    <w:p w:rsidRPr="00AF183C" w:rsidR="000D1554" w:rsidP="00AF183C" w:rsidRDefault="00FC55B9">
      <w:pPr>
        <w:pStyle w:val="ECHRParaQuote"/>
      </w:pPr>
      <w:bookmarkStart w:name="para67" w:id="3"/>
      <w:r w:rsidRPr="00AF183C">
        <w:t>“</w:t>
      </w:r>
      <w:bookmarkEnd w:id="3"/>
      <w:r w:rsidRPr="00AF183C" w:rsidR="000D1554">
        <w:rPr>
          <w:b/>
          <w:bCs/>
          <w:i/>
          <w:iCs/>
        </w:rPr>
        <w:t>Conclusion</w:t>
      </w:r>
      <w:bookmarkStart w:name="para68" w:id="4"/>
    </w:p>
    <w:p w:rsidRPr="00AF183C" w:rsidR="000D1554" w:rsidP="00AF183C" w:rsidRDefault="00FC55B9">
      <w:pPr>
        <w:pStyle w:val="ECHRParaQuote"/>
      </w:pPr>
      <w:r w:rsidRPr="00AF183C">
        <w:t>68.  </w:t>
      </w:r>
      <w:r w:rsidRPr="00AF183C" w:rsidR="000D1554">
        <w:t xml:space="preserve">Accordingly, I would dismiss this </w:t>
      </w:r>
      <w:r w:rsidRPr="00AF183C">
        <w:t>appeal. The new diagnosis of Dr </w:t>
      </w:r>
      <w:r w:rsidRPr="00AF183C" w:rsidR="00C21641">
        <w:t>[A-D]</w:t>
      </w:r>
      <w:r w:rsidRPr="00AF183C" w:rsidR="000D1554">
        <w:t xml:space="preserve"> proposed a new treatment for curing her illness but her condition could still be satisfactorily managed in detention. She could still be held in an acceptable stable mental condition in detention under the existing treatment. In any event, there was a risk of reoffending and absconding. While these would have diminished with the passage of time, there still needed to be safeguards if </w:t>
      </w:r>
      <w:r w:rsidRPr="00AF183C" w:rsidR="00E84C96">
        <w:t xml:space="preserve">[the applicant] </w:t>
      </w:r>
      <w:r w:rsidRPr="00AF183C" w:rsidR="000D1554">
        <w:t>was released into the community and these were not put in place to the sa</w:t>
      </w:r>
      <w:r w:rsidRPr="00AF183C">
        <w:t>tisfaction of the court until 6 </w:t>
      </w:r>
      <w:r w:rsidRPr="00AF183C" w:rsidR="000D1554">
        <w:t>July 2011 when she was in fact released on bail.</w:t>
      </w:r>
      <w:r w:rsidRPr="00AF183C" w:rsidR="00C21641">
        <w:t>”</w:t>
      </w:r>
      <w:bookmarkEnd w:id="4"/>
    </w:p>
    <w:bookmarkStart w:name="TheCourtofAppealrefusedpermission" w:id="5"/>
    <w:p w:rsidRPr="00AF183C" w:rsidR="00EE0A0F" w:rsidP="00AF183C" w:rsidRDefault="00EE0A0F">
      <w:pPr>
        <w:pStyle w:val="ECHRPara"/>
      </w:pPr>
      <w:r w:rsidRPr="00AF183C">
        <w:fldChar w:fldCharType="begin"/>
      </w:r>
      <w:r w:rsidRPr="00AF183C">
        <w:instrText xml:space="preserve"> SEQ level0 \*arabic </w:instrText>
      </w:r>
      <w:r w:rsidRPr="00AF183C">
        <w:fldChar w:fldCharType="separate"/>
      </w:r>
      <w:r w:rsidRPr="00AF183C" w:rsidR="00AF183C">
        <w:rPr>
          <w:noProof/>
        </w:rPr>
        <w:t>16</w:t>
      </w:r>
      <w:r w:rsidRPr="00AF183C">
        <w:fldChar w:fldCharType="end"/>
      </w:r>
      <w:bookmarkEnd w:id="5"/>
      <w:r w:rsidRPr="00AF183C">
        <w:t xml:space="preserve">.  The Court of Appeal refused </w:t>
      </w:r>
      <w:r w:rsidRPr="00AF183C" w:rsidR="005E7F59">
        <w:t xml:space="preserve">the applicant </w:t>
      </w:r>
      <w:r w:rsidRPr="00AF183C">
        <w:t>permission to appeal</w:t>
      </w:r>
      <w:r w:rsidRPr="00AF183C" w:rsidR="005E7F59">
        <w:t xml:space="preserve"> its decision</w:t>
      </w:r>
      <w:r w:rsidRPr="00AF183C">
        <w:t xml:space="preserve"> but permission was subsequent</w:t>
      </w:r>
      <w:r w:rsidRPr="00AF183C" w:rsidR="005E7F59">
        <w:t>ly granted by the Supreme Court. The Supreme Court</w:t>
      </w:r>
      <w:r w:rsidRPr="00AF183C" w:rsidR="00352D68">
        <w:t>, in its judgment of 27 April 2016</w:t>
      </w:r>
      <w:r w:rsidRPr="00AF183C" w:rsidR="00651E7C">
        <w:t xml:space="preserve"> (</w:t>
      </w:r>
      <w:r w:rsidRPr="00AF183C" w:rsidR="003E5CC5">
        <w:rPr>
          <w:i/>
        </w:rPr>
        <w:t>R (O</w:t>
      </w:r>
      <w:r w:rsidRPr="00AF183C" w:rsidR="00651E7C">
        <w:rPr>
          <w:i/>
        </w:rPr>
        <w:t xml:space="preserve">) v Secretary of State for the Home Department </w:t>
      </w:r>
      <w:r w:rsidRPr="00AF183C" w:rsidR="00651E7C">
        <w:t>[2016] UKSC 19)</w:t>
      </w:r>
      <w:r w:rsidRPr="00AF183C" w:rsidR="00352D68">
        <w:t>,</w:t>
      </w:r>
      <w:r w:rsidRPr="00AF183C" w:rsidR="005E7F59">
        <w:t xml:space="preserve"> </w:t>
      </w:r>
      <w:r w:rsidRPr="00AF183C" w:rsidR="00C21641">
        <w:t xml:space="preserve">also </w:t>
      </w:r>
      <w:r w:rsidRPr="00AF183C">
        <w:t>concluded that some of the applicant</w:t>
      </w:r>
      <w:r w:rsidRPr="00AF183C" w:rsidR="00AF183C">
        <w:t>’</w:t>
      </w:r>
      <w:r w:rsidRPr="00AF183C">
        <w:t xml:space="preserve">s detention reviews did not refer to available medical evidence where they should have done so. Lord Wilson giving the lead judgment in the Supreme Court summarised </w:t>
      </w:r>
      <w:r w:rsidRPr="00AF183C" w:rsidR="009E171F">
        <w:t>the failings in</w:t>
      </w:r>
      <w:r w:rsidRPr="00AF183C">
        <w:t xml:space="preserve"> the applicant</w:t>
      </w:r>
      <w:r w:rsidRPr="00AF183C" w:rsidR="00AF183C">
        <w:t>’</w:t>
      </w:r>
      <w:r w:rsidRPr="00AF183C">
        <w:t xml:space="preserve">s </w:t>
      </w:r>
      <w:r w:rsidRPr="00AF183C" w:rsidR="0021398F">
        <w:t xml:space="preserve">six </w:t>
      </w:r>
      <w:r w:rsidRPr="00AF183C" w:rsidR="002B2F4A">
        <w:t>detention reviews between 4 </w:t>
      </w:r>
      <w:r w:rsidRPr="00AF183C">
        <w:t>March 2011 and 4 July 2011:</w:t>
      </w:r>
    </w:p>
    <w:p w:rsidRPr="00AF183C" w:rsidR="00EE0A0F" w:rsidP="00AF183C" w:rsidRDefault="00EE0A0F">
      <w:pPr>
        <w:pStyle w:val="ECHRParaQuote"/>
        <w:keepNext/>
        <w:keepLines/>
      </w:pPr>
      <w:r w:rsidRPr="00AF183C">
        <w:t>“25.</w:t>
      </w:r>
      <w:r w:rsidRPr="00AF183C" w:rsidR="003F1B49">
        <w:t> </w:t>
      </w:r>
      <w:r w:rsidRPr="00AF183C" w:rsidR="008E7031">
        <w:t>...</w:t>
      </w:r>
      <w:r w:rsidRPr="00AF183C">
        <w:t xml:space="preserve"> The reviews</w:t>
      </w:r>
    </w:p>
    <w:p w:rsidRPr="00AF183C" w:rsidR="00EE0A0F" w:rsidP="00AF183C" w:rsidRDefault="00237552">
      <w:pPr>
        <w:pStyle w:val="JuQuotSub"/>
        <w:keepNext/>
        <w:keepLines/>
      </w:pPr>
      <w:r w:rsidRPr="00AF183C">
        <w:t>(a)  </w:t>
      </w:r>
      <w:proofErr w:type="gramStart"/>
      <w:r w:rsidRPr="00AF183C" w:rsidR="00EE0A0F">
        <w:t>fa</w:t>
      </w:r>
      <w:r w:rsidRPr="00AF183C" w:rsidR="008A0FC1">
        <w:t>iled</w:t>
      </w:r>
      <w:proofErr w:type="gramEnd"/>
      <w:r w:rsidRPr="00AF183C" w:rsidR="008A0FC1">
        <w:t xml:space="preserve"> to refer to Dr </w:t>
      </w:r>
      <w:r w:rsidRPr="00AF183C" w:rsidR="00362D96">
        <w:t>[</w:t>
      </w:r>
      <w:r w:rsidRPr="00AF183C" w:rsidR="008A0FC1">
        <w:t>A-D]</w:t>
      </w:r>
      <w:r w:rsidRPr="00AF183C" w:rsidR="00AF183C">
        <w:t>’</w:t>
      </w:r>
      <w:r w:rsidRPr="00AF183C" w:rsidR="008A0FC1">
        <w:t>s</w:t>
      </w:r>
      <w:r w:rsidRPr="00AF183C" w:rsidR="00EE0A0F">
        <w:t xml:space="preserve"> diagnosis of </w:t>
      </w:r>
      <w:r w:rsidRPr="00AF183C" w:rsidR="00EE1597">
        <w:t xml:space="preserve">[the applicant] </w:t>
      </w:r>
      <w:r w:rsidRPr="00AF183C" w:rsidR="00EE0A0F">
        <w:t xml:space="preserve">as suffering from </w:t>
      </w:r>
      <w:r w:rsidRPr="00AF183C" w:rsidR="00830644">
        <w:t>[</w:t>
      </w:r>
      <w:r w:rsidRPr="00AF183C" w:rsidR="00CD71A8">
        <w:t>post-traumatic</w:t>
      </w:r>
      <w:r w:rsidRPr="00AF183C" w:rsidR="00830644">
        <w:t xml:space="preserve"> stress disorder] </w:t>
      </w:r>
      <w:r w:rsidRPr="00AF183C" w:rsidR="00EE0A0F">
        <w:t>PTSD:</w:t>
      </w:r>
    </w:p>
    <w:p w:rsidRPr="00AF183C" w:rsidR="00EE0A0F" w:rsidP="00AF183C" w:rsidRDefault="00237552">
      <w:pPr>
        <w:pStyle w:val="JuQuotSub"/>
        <w:keepNext/>
        <w:keepLines/>
      </w:pPr>
      <w:r w:rsidRPr="00AF183C">
        <w:t>(b)  </w:t>
      </w:r>
      <w:proofErr w:type="gramStart"/>
      <w:r w:rsidRPr="00AF183C" w:rsidR="00EE0A0F">
        <w:t>indeed</w:t>
      </w:r>
      <w:proofErr w:type="gramEnd"/>
      <w:r w:rsidRPr="00AF183C" w:rsidR="00EE0A0F">
        <w:t xml:space="preserve"> wrongly stated that the most recent diagnosis of </w:t>
      </w:r>
      <w:r w:rsidRPr="00AF183C" w:rsidR="006F753D">
        <w:t>[the applicant]</w:t>
      </w:r>
      <w:r w:rsidRPr="00AF183C" w:rsidR="00AF183C">
        <w:t>’</w:t>
      </w:r>
      <w:r w:rsidRPr="00AF183C" w:rsidR="006F753D">
        <w:t xml:space="preserve">s </w:t>
      </w:r>
      <w:r w:rsidRPr="00AF183C" w:rsidR="00EE0A0F">
        <w:t xml:space="preserve">mental condition was that of Dr </w:t>
      </w:r>
      <w:r w:rsidRPr="00AF183C" w:rsidR="008A0FC1">
        <w:t>[</w:t>
      </w:r>
      <w:r w:rsidRPr="00AF183C" w:rsidR="00EE0A0F">
        <w:t>R</w:t>
      </w:r>
      <w:r w:rsidRPr="00AF183C" w:rsidR="008A0FC1">
        <w:t>]</w:t>
      </w:r>
      <w:r w:rsidRPr="00AF183C" w:rsidR="00EE0A0F">
        <w:t>;</w:t>
      </w:r>
    </w:p>
    <w:p w:rsidRPr="00AF183C" w:rsidR="00EE0A0F" w:rsidP="00AF183C" w:rsidRDefault="00237552">
      <w:pPr>
        <w:pStyle w:val="JuQuotSub"/>
        <w:keepNext/>
        <w:keepLines/>
      </w:pPr>
      <w:r w:rsidRPr="00AF183C">
        <w:t>(c)  </w:t>
      </w:r>
      <w:proofErr w:type="gramStart"/>
      <w:r w:rsidRPr="00AF183C" w:rsidR="00EE0A0F">
        <w:t>failed</w:t>
      </w:r>
      <w:proofErr w:type="gramEnd"/>
      <w:r w:rsidRPr="00AF183C" w:rsidR="00EE0A0F">
        <w:t xml:space="preserve"> therefore to consider whether </w:t>
      </w:r>
      <w:r w:rsidRPr="00AF183C" w:rsidR="00D130DF">
        <w:t xml:space="preserve">[the applicant] </w:t>
      </w:r>
      <w:r w:rsidRPr="00AF183C" w:rsidR="00EE0A0F">
        <w:t xml:space="preserve">could be “satisfactorily managed” at </w:t>
      </w:r>
      <w:proofErr w:type="spellStart"/>
      <w:r w:rsidRPr="00AF183C" w:rsidR="00EE0A0F">
        <w:t>Yarl</w:t>
      </w:r>
      <w:r w:rsidRPr="00AF183C" w:rsidR="00AF183C">
        <w:t>’</w:t>
      </w:r>
      <w:r w:rsidRPr="00AF183C" w:rsidR="00EE0A0F">
        <w:t>s</w:t>
      </w:r>
      <w:proofErr w:type="spellEnd"/>
      <w:r w:rsidRPr="00AF183C" w:rsidR="00EE0A0F">
        <w:t xml:space="preserve"> </w:t>
      </w:r>
      <w:r w:rsidRPr="00AF183C" w:rsidR="001371FA">
        <w:t>Wood [detention centre] and</w:t>
      </w:r>
      <w:r w:rsidRPr="00AF183C" w:rsidR="00EE0A0F">
        <w:t>, even if not, whether there were very exceptional circumstances which nevertheless justified her continued detention.</w:t>
      </w:r>
    </w:p>
    <w:p w:rsidRPr="00AF183C" w:rsidR="00EE0A0F" w:rsidP="00AF183C" w:rsidRDefault="00237552">
      <w:pPr>
        <w:pStyle w:val="ECHRParaQuote"/>
      </w:pPr>
      <w:r w:rsidRPr="00AF183C">
        <w:t>26.  </w:t>
      </w:r>
      <w:r w:rsidRPr="00AF183C" w:rsidR="00EE0A0F">
        <w:t xml:space="preserve">In the above circumstances the Court of Appeal concluded that the Home Secretary had unlawfully failed to apply the policy set out in para 55.10 of the manual when deciding to continue to detain </w:t>
      </w:r>
      <w:r w:rsidRPr="00AF183C" w:rsidR="00D130DF">
        <w:t xml:space="preserve">[the applicant] </w:t>
      </w:r>
      <w:r w:rsidRPr="00AF183C" w:rsidR="00EE0A0F">
        <w:t>between March and July 2011. This conclusion the Home Secretary now accepts. She does not suggest that the evidence which she would be entitled to file in the event that the claim was permitted to proceed would be likely to throw a different light on it. The defects in the reviews already filed speak for themselves.”</w:t>
      </w:r>
    </w:p>
    <w:bookmarkStart w:name="hewentontotcomment" w:id="6"/>
    <w:p w:rsidRPr="00AF183C" w:rsidR="00EE0A0F" w:rsidP="00AF183C" w:rsidRDefault="00426135">
      <w:pPr>
        <w:pStyle w:val="ECHRPara"/>
      </w:pPr>
      <w:r w:rsidRPr="00AF183C">
        <w:fldChar w:fldCharType="begin"/>
      </w:r>
      <w:r w:rsidRPr="00AF183C">
        <w:instrText xml:space="preserve"> SEQ level0 \*arabic </w:instrText>
      </w:r>
      <w:r w:rsidRPr="00AF183C">
        <w:fldChar w:fldCharType="separate"/>
      </w:r>
      <w:r w:rsidRPr="00AF183C" w:rsidR="00AF183C">
        <w:rPr>
          <w:noProof/>
        </w:rPr>
        <w:t>17</w:t>
      </w:r>
      <w:r w:rsidRPr="00AF183C">
        <w:fldChar w:fldCharType="end"/>
      </w:r>
      <w:bookmarkEnd w:id="6"/>
      <w:r w:rsidRPr="00AF183C">
        <w:t>.  </w:t>
      </w:r>
      <w:r w:rsidRPr="00AF183C" w:rsidR="00EE0A0F">
        <w:t>He went on to comment:</w:t>
      </w:r>
    </w:p>
    <w:p w:rsidRPr="00AF183C" w:rsidR="00EE0A0F" w:rsidP="00AF183C" w:rsidRDefault="00EE0A0F">
      <w:pPr>
        <w:pStyle w:val="ECHRParaQuote"/>
      </w:pPr>
      <w:r w:rsidRPr="00AF183C">
        <w:t xml:space="preserve">“34... Realistically </w:t>
      </w:r>
      <w:r w:rsidRPr="00AF183C" w:rsidR="00D45E27">
        <w:t xml:space="preserve">[the applicant] </w:t>
      </w:r>
      <w:r w:rsidRPr="00AF183C">
        <w:t>accepts that the proper application of the Home Secretary</w:t>
      </w:r>
      <w:r w:rsidRPr="00AF183C" w:rsidR="00AF183C">
        <w:t>’</w:t>
      </w:r>
      <w:r w:rsidRPr="00AF183C">
        <w:t xml:space="preserve">s policy to her case in the light of the report of Dr </w:t>
      </w:r>
      <w:r w:rsidRPr="00AF183C" w:rsidR="00362D96">
        <w:t>[A-D]</w:t>
      </w:r>
      <w:r w:rsidRPr="00AF183C">
        <w:t xml:space="preserve"> would not have led to her immediate release in March 2011. She correctly contends that the report should have led the Home Secretary to make inquiries, most of which, judging by the contents of the reviews, seem never to have been made ... At least however, the limited period between March and her release on bail on 6 July 2011 makes one thing clear: even on the dubious assumption that proper application of her policy should in due course have led the Home Secretary to direct </w:t>
      </w:r>
      <w:r w:rsidRPr="00AF183C" w:rsidR="00772679">
        <w:t>[the applicant]</w:t>
      </w:r>
      <w:r w:rsidRPr="00AF183C" w:rsidR="00AF183C">
        <w:t>’</w:t>
      </w:r>
      <w:r w:rsidRPr="00AF183C" w:rsidR="00772679">
        <w:t xml:space="preserve">s </w:t>
      </w:r>
      <w:r w:rsidRPr="00AF183C">
        <w:t>release, it is unrealistic to consider that the conditions necessary for her release would have been in place prior to 6 July 2011.</w:t>
      </w:r>
    </w:p>
    <w:p w:rsidRPr="00AF183C" w:rsidR="00EE0A0F" w:rsidP="00AF183C" w:rsidRDefault="00237552">
      <w:pPr>
        <w:pStyle w:val="ECHRParaQuote"/>
      </w:pPr>
      <w:r w:rsidRPr="00AF183C">
        <w:t>35.</w:t>
      </w:r>
      <w:proofErr w:type="gramStart"/>
      <w:r w:rsidRPr="00AF183C">
        <w:t>  </w:t>
      </w:r>
      <w:r w:rsidRPr="00AF183C" w:rsidR="00EE0A0F">
        <w:t>For</w:t>
      </w:r>
      <w:proofErr w:type="gramEnd"/>
      <w:r w:rsidRPr="00AF183C" w:rsidR="00EE0A0F">
        <w:t xml:space="preserve"> the above reasons, in agreement with the Court of Appeal, I regard it as already clear that, although the Home Secretary unlawfully failed to apply her policy under para 55.10 of the manual to </w:t>
      </w:r>
      <w:r w:rsidRPr="00AF183C" w:rsidR="007A642C">
        <w:t>[the applicant]</w:t>
      </w:r>
      <w:r w:rsidRPr="00AF183C" w:rsidR="00AF183C">
        <w:t>’</w:t>
      </w:r>
      <w:r w:rsidRPr="00AF183C" w:rsidR="007A642C">
        <w:t xml:space="preserve">s </w:t>
      </w:r>
      <w:r w:rsidRPr="00AF183C" w:rsidR="00EE0A0F">
        <w:t xml:space="preserve">continued detention between March and July 2011, a lawful application of her policy would not have secured </w:t>
      </w:r>
      <w:r w:rsidRPr="00AF183C" w:rsidR="007A642C">
        <w:t>[the applicant]</w:t>
      </w:r>
      <w:r w:rsidRPr="00AF183C" w:rsidR="00AF183C">
        <w:t>’</w:t>
      </w:r>
      <w:r w:rsidRPr="00AF183C" w:rsidR="007A642C">
        <w:t xml:space="preserve">s </w:t>
      </w:r>
      <w:r w:rsidRPr="00AF183C" w:rsidR="00EE0A0F">
        <w:t>release from detention any earlier than the date of her actual release on bail.”</w:t>
      </w:r>
    </w:p>
    <w:bookmarkStart w:name="wereosclaimforjudiical" w:id="7"/>
    <w:bookmarkStart w:name="ITdismissedtheappeal" w:id="8"/>
    <w:p w:rsidRPr="00AF183C" w:rsidR="00EE0A0F" w:rsidP="00AF183C" w:rsidRDefault="00EE0A0F">
      <w:pPr>
        <w:pStyle w:val="ECHRPara"/>
      </w:pPr>
      <w:r w:rsidRPr="00AF183C">
        <w:fldChar w:fldCharType="begin"/>
      </w:r>
      <w:r w:rsidRPr="00AF183C">
        <w:instrText xml:space="preserve"> SEQ level0 \*arabic </w:instrText>
      </w:r>
      <w:r w:rsidRPr="00AF183C">
        <w:fldChar w:fldCharType="separate"/>
      </w:r>
      <w:r w:rsidRPr="00AF183C" w:rsidR="00AF183C">
        <w:rPr>
          <w:noProof/>
        </w:rPr>
        <w:t>18</w:t>
      </w:r>
      <w:r w:rsidRPr="00AF183C">
        <w:fldChar w:fldCharType="end"/>
      </w:r>
      <w:bookmarkEnd w:id="7"/>
      <w:bookmarkEnd w:id="8"/>
      <w:r w:rsidRPr="00AF183C" w:rsidR="00477658">
        <w:t>. </w:t>
      </w:r>
      <w:r w:rsidRPr="00AF183C" w:rsidR="002B2F4A">
        <w:t> </w:t>
      </w:r>
      <w:r w:rsidRPr="00AF183C" w:rsidR="00477658">
        <w:t>Lord Wilson concluded</w:t>
      </w:r>
      <w:r w:rsidRPr="00AF183C">
        <w:t>:</w:t>
      </w:r>
    </w:p>
    <w:p w:rsidRPr="00AF183C" w:rsidR="00EE0A0F" w:rsidP="00AF183C" w:rsidRDefault="00EE0A0F">
      <w:pPr>
        <w:pStyle w:val="ECHRParaQuote"/>
      </w:pPr>
      <w:r w:rsidRPr="00AF183C">
        <w:t xml:space="preserve">“37.... The overall refusal to release </w:t>
      </w:r>
      <w:r w:rsidRPr="00AF183C" w:rsidR="0016228F">
        <w:t xml:space="preserve">[the applicant] </w:t>
      </w:r>
      <w:r w:rsidRPr="00AF183C" w:rsidR="008E7031">
        <w:t>...</w:t>
      </w:r>
      <w:r w:rsidRPr="00AF183C">
        <w:t xml:space="preserve"> was procedurally flawed. What however is clear is that, even in the absence of any flaw, no decision to release </w:t>
      </w:r>
      <w:r w:rsidRPr="00AF183C" w:rsidR="0016228F">
        <w:t xml:space="preserve">[the applicant] </w:t>
      </w:r>
      <w:r w:rsidRPr="00AF183C">
        <w:t>would in any event have been made prior to 6 July 2011.</w:t>
      </w:r>
    </w:p>
    <w:p w:rsidRPr="00AF183C" w:rsidR="00EE0A0F" w:rsidP="00AF183C" w:rsidRDefault="00EE0A0F">
      <w:pPr>
        <w:pStyle w:val="ECHRParaQuote"/>
      </w:pPr>
      <w:r w:rsidRPr="00AF183C">
        <w:t>...</w:t>
      </w:r>
    </w:p>
    <w:p w:rsidRPr="00AF183C" w:rsidR="00EE0A0F" w:rsidP="00AF183C" w:rsidRDefault="00EE0A0F">
      <w:pPr>
        <w:pStyle w:val="ECHRParaQuote"/>
      </w:pPr>
      <w:r w:rsidRPr="00AF183C">
        <w:t>50.</w:t>
      </w:r>
      <w:r w:rsidRPr="00AF183C" w:rsidR="003F1B49">
        <w:t> </w:t>
      </w:r>
      <w:r w:rsidRPr="00AF183C">
        <w:t xml:space="preserve">... were </w:t>
      </w:r>
      <w:r w:rsidRPr="00AF183C" w:rsidR="001B388D">
        <w:t>[the applicant]</w:t>
      </w:r>
      <w:r w:rsidRPr="00AF183C" w:rsidR="00AF183C">
        <w:t>’</w:t>
      </w:r>
      <w:r w:rsidRPr="00AF183C" w:rsidR="001B388D">
        <w:t xml:space="preserve">s </w:t>
      </w:r>
      <w:r w:rsidRPr="00AF183C">
        <w:t xml:space="preserve">claim for judicial review permitted to proceed, the result in all likelihood would be a declaration that her detention from 4 March 2011 to 6 July 2011 was unlawful and an award to her of damages in the sum of £1. The Court of Appeal decided that, since such was – “at most”, so it added – the likely result of the claim, it was appropriate to uphold the refusal of [the High Court] to grant permission for it to proceed. I agree. By the time of its issue </w:t>
      </w:r>
      <w:r w:rsidRPr="00AF183C" w:rsidR="001B388D">
        <w:t xml:space="preserve">[the applicant] </w:t>
      </w:r>
      <w:r w:rsidRPr="00AF183C">
        <w:t>had been released and it could bring her no practical benefit. To the extent that her contentions in these proceeding have deserved to be vindicated, she has secured their vindication in this judgme</w:t>
      </w:r>
      <w:r w:rsidRPr="00AF183C" w:rsidR="00E82F41">
        <w:t>nt. I would dismiss the appeal.”</w:t>
      </w:r>
    </w:p>
    <w:p w:rsidRPr="00AF183C" w:rsidR="00477658" w:rsidP="00AF183C" w:rsidRDefault="00477658">
      <w:pPr>
        <w:pStyle w:val="ECHRPara"/>
      </w:pPr>
      <w:r w:rsidRPr="00AF183C">
        <w:fldChar w:fldCharType="begin"/>
      </w:r>
      <w:r w:rsidRPr="00AF183C">
        <w:instrText xml:space="preserve"> SEQ level0 \*arabic </w:instrText>
      </w:r>
      <w:r w:rsidRPr="00AF183C">
        <w:fldChar w:fldCharType="separate"/>
      </w:r>
      <w:r w:rsidRPr="00AF183C" w:rsidR="00AF183C">
        <w:rPr>
          <w:noProof/>
        </w:rPr>
        <w:t>19</w:t>
      </w:r>
      <w:r w:rsidRPr="00AF183C">
        <w:fldChar w:fldCharType="end"/>
      </w:r>
      <w:r w:rsidRPr="00AF183C">
        <w:t>.  The Supreme Court dismissed the appeal on 27 April 2016</w:t>
      </w:r>
      <w:r w:rsidRPr="00AF183C" w:rsidR="00865D2F">
        <w:t>.</w:t>
      </w:r>
    </w:p>
    <w:p w:rsidRPr="00AF183C" w:rsidR="003C6866" w:rsidP="00AF183C" w:rsidRDefault="003C6866">
      <w:pPr>
        <w:pStyle w:val="ECHRHeading1"/>
      </w:pPr>
      <w:r w:rsidRPr="00AF183C">
        <w:t>II.</w:t>
      </w:r>
      <w:proofErr w:type="gramStart"/>
      <w:r w:rsidRPr="00AF183C">
        <w:t>  RELEVANT</w:t>
      </w:r>
      <w:proofErr w:type="gramEnd"/>
      <w:r w:rsidRPr="00AF183C">
        <w:t xml:space="preserve"> DOMESTIC LAW AND PRACTICE</w:t>
      </w:r>
    </w:p>
    <w:p w:rsidRPr="00AF183C" w:rsidR="003F6E2C" w:rsidP="00AF183C" w:rsidRDefault="003F6E2C">
      <w:pPr>
        <w:pStyle w:val="ECHRPara"/>
        <w:rPr>
          <w:rFonts w:cstheme="minorHAnsi"/>
        </w:rPr>
      </w:pPr>
      <w:r w:rsidRPr="00AF183C">
        <w:fldChar w:fldCharType="begin"/>
      </w:r>
      <w:r w:rsidRPr="00AF183C">
        <w:instrText xml:space="preserve"> SEQ level0 \*arabic </w:instrText>
      </w:r>
      <w:r w:rsidRPr="00AF183C">
        <w:fldChar w:fldCharType="separate"/>
      </w:r>
      <w:r w:rsidRPr="00AF183C" w:rsidR="00AF183C">
        <w:rPr>
          <w:noProof/>
        </w:rPr>
        <w:t>20</w:t>
      </w:r>
      <w:r w:rsidRPr="00AF183C">
        <w:fldChar w:fldCharType="end"/>
      </w:r>
      <w:r w:rsidRPr="00AF183C">
        <w:t xml:space="preserve">.  For a detailed summary of the relevant law and practice see </w:t>
      </w:r>
      <w:r w:rsidRPr="00AF183C">
        <w:rPr>
          <w:i/>
        </w:rPr>
        <w:t>V.M.</w:t>
      </w:r>
      <w:r w:rsidRPr="00AF183C" w:rsidR="00AF183C">
        <w:rPr>
          <w:i/>
        </w:rPr>
        <w:t> </w:t>
      </w:r>
      <w:r w:rsidRPr="00AF183C" w:rsidR="00FC2F08">
        <w:rPr>
          <w:i/>
        </w:rPr>
        <w:t>v.</w:t>
      </w:r>
      <w:r w:rsidRPr="00AF183C" w:rsidR="00941B87">
        <w:rPr>
          <w:i/>
        </w:rPr>
        <w:t> </w:t>
      </w:r>
      <w:r w:rsidRPr="00AF183C" w:rsidR="00FC2F08">
        <w:rPr>
          <w:i/>
        </w:rPr>
        <w:t>the United Kingdom</w:t>
      </w:r>
      <w:r w:rsidRPr="00AF183C">
        <w:rPr>
          <w:i/>
        </w:rPr>
        <w:t xml:space="preserve">, </w:t>
      </w:r>
      <w:r w:rsidRPr="00AF183C">
        <w:t xml:space="preserve">cited above, </w:t>
      </w:r>
      <w:r w:rsidRPr="00AF183C">
        <w:rPr>
          <w:rFonts w:cstheme="minorHAnsi"/>
        </w:rPr>
        <w:t>§§ 52-65.</w:t>
      </w:r>
    </w:p>
    <w:p w:rsidRPr="00AF183C" w:rsidR="00FC2715" w:rsidP="00AF183C" w:rsidRDefault="00604134">
      <w:pPr>
        <w:pStyle w:val="ECHRPara"/>
      </w:pPr>
      <w:r w:rsidRPr="00AF183C">
        <w:fldChar w:fldCharType="begin"/>
      </w:r>
      <w:r w:rsidRPr="00AF183C">
        <w:instrText xml:space="preserve"> SEQ level0 \*arabic </w:instrText>
      </w:r>
      <w:r w:rsidRPr="00AF183C">
        <w:fldChar w:fldCharType="separate"/>
      </w:r>
      <w:r w:rsidRPr="00AF183C" w:rsidR="00AF183C">
        <w:rPr>
          <w:noProof/>
        </w:rPr>
        <w:t>21</w:t>
      </w:r>
      <w:r w:rsidRPr="00AF183C">
        <w:fldChar w:fldCharType="end"/>
      </w:r>
      <w:r w:rsidRPr="00AF183C">
        <w:t>.  </w:t>
      </w:r>
      <w:r w:rsidRPr="00AF183C" w:rsidR="00FC2715">
        <w:t>The Secretary of State for the Home Department</w:t>
      </w:r>
      <w:r w:rsidRPr="00AF183C" w:rsidR="00AF183C">
        <w:t>’</w:t>
      </w:r>
      <w:r w:rsidRPr="00AF183C" w:rsidR="00FC2715">
        <w:t>s policy publication, Enforcement Instructions and Guidance, contains specific provisions pertaining to the use of immigration detention. The Guidance provides that, in general terms, there is a presumption in favour of temporary admission or release and that, wherever possible, alternatives to detention should be used.</w:t>
      </w:r>
    </w:p>
    <w:p w:rsidRPr="00AF183C" w:rsidR="00FC2715" w:rsidP="00AF183C" w:rsidRDefault="009733F5">
      <w:pPr>
        <w:pStyle w:val="ECHRParaQuote"/>
        <w:keepNext/>
        <w:keepLines/>
      </w:pPr>
      <w:r w:rsidRPr="00AF183C">
        <w:t>“59.</w:t>
      </w:r>
      <w:proofErr w:type="gramStart"/>
      <w:r w:rsidRPr="00AF183C">
        <w:t>  </w:t>
      </w:r>
      <w:r w:rsidRPr="00AF183C" w:rsidR="00FC2715">
        <w:t>This</w:t>
      </w:r>
      <w:proofErr w:type="gramEnd"/>
      <w:r w:rsidRPr="00AF183C" w:rsidR="00FC2715">
        <w:t xml:space="preserve"> presumption is qualified in paragraph 55.1.2 by the “risk that ... a person will abscond” or otherwise pose a risk to the public. In such circumstances the presumption in favour of release can be displaced after a global assessment of “the need to detain in the light of the risk of re</w:t>
      </w:r>
      <w:r w:rsidRPr="00AF183C" w:rsidR="00FC2715">
        <w:noBreakHyphen/>
        <w:t>offending and/or risk of absconding.”</w:t>
      </w:r>
    </w:p>
    <w:p w:rsidRPr="00AF183C" w:rsidR="00FC2715" w:rsidP="00AF183C" w:rsidRDefault="00604134">
      <w:pPr>
        <w:pStyle w:val="ECHRPara"/>
      </w:pPr>
      <w:r w:rsidRPr="00AF183C">
        <w:fldChar w:fldCharType="begin"/>
      </w:r>
      <w:r w:rsidRPr="00AF183C">
        <w:instrText xml:space="preserve"> SEQ level0 \*arabic </w:instrText>
      </w:r>
      <w:r w:rsidRPr="00AF183C">
        <w:fldChar w:fldCharType="separate"/>
      </w:r>
      <w:r w:rsidRPr="00AF183C" w:rsidR="00AF183C">
        <w:rPr>
          <w:noProof/>
        </w:rPr>
        <w:t>22</w:t>
      </w:r>
      <w:r w:rsidRPr="00AF183C">
        <w:fldChar w:fldCharType="end"/>
      </w:r>
      <w:r w:rsidRPr="00AF183C">
        <w:t>.  </w:t>
      </w:r>
      <w:r w:rsidRPr="00AF183C" w:rsidR="00FC2715">
        <w:t>A further qualification is contained within paragraph 55.10 of the Guidance which lists cases in which detention may be unsuitable for certain individuals. In particular the policy provides:</w:t>
      </w:r>
    </w:p>
    <w:p w:rsidRPr="00AF183C" w:rsidR="00FC2715" w:rsidP="00AF183C" w:rsidRDefault="00FC2715">
      <w:pPr>
        <w:pStyle w:val="ECHRParaQuote"/>
      </w:pPr>
      <w:r w:rsidRPr="00AF183C">
        <w:t>“The following are normally considered suitable for detention in only very exceptional circumstances, whether in dedicated immigration detention accommodation or prisons:</w:t>
      </w:r>
    </w:p>
    <w:p w:rsidRPr="00AF183C" w:rsidR="00FC2715" w:rsidP="00AF183C" w:rsidRDefault="00FC2715">
      <w:pPr>
        <w:pStyle w:val="ECHRParaQuote"/>
      </w:pPr>
      <w:r w:rsidRPr="00AF183C">
        <w:t>- those suffering from serious medical conditions or the mentally ill</w:t>
      </w:r>
      <w:r w:rsidRPr="00AF183C" w:rsidR="00AF183C">
        <w:t xml:space="preserve"> </w:t>
      </w:r>
      <w:r w:rsidRPr="00AF183C">
        <w:t>...”</w:t>
      </w:r>
    </w:p>
    <w:p w:rsidRPr="00AF183C" w:rsidR="00FC2715" w:rsidP="00AF183C" w:rsidRDefault="00604134">
      <w:pPr>
        <w:pStyle w:val="ECHRPara"/>
      </w:pPr>
      <w:r w:rsidRPr="00AF183C">
        <w:fldChar w:fldCharType="begin"/>
      </w:r>
      <w:r w:rsidRPr="00AF183C">
        <w:instrText xml:space="preserve"> SEQ level0 \*arabic </w:instrText>
      </w:r>
      <w:r w:rsidRPr="00AF183C">
        <w:fldChar w:fldCharType="separate"/>
      </w:r>
      <w:r w:rsidRPr="00AF183C" w:rsidR="00AF183C">
        <w:rPr>
          <w:noProof/>
        </w:rPr>
        <w:t>23</w:t>
      </w:r>
      <w:r w:rsidRPr="00AF183C">
        <w:fldChar w:fldCharType="end"/>
      </w:r>
      <w:r w:rsidRPr="00AF183C">
        <w:t>.  </w:t>
      </w:r>
      <w:r w:rsidRPr="00AF183C" w:rsidR="00FC2715">
        <w:t>The effect of paragraph 55.10 was subsequently qualified in that the words “which cannot be satisfactorily managed in detention” were added with effect from 25 August 2010.</w:t>
      </w:r>
    </w:p>
    <w:p w:rsidRPr="00AF183C" w:rsidR="003F6E2C" w:rsidP="00AF183C" w:rsidRDefault="003F6E2C">
      <w:pPr>
        <w:pStyle w:val="ECHRTitle1"/>
      </w:pPr>
      <w:r w:rsidRPr="00AF183C">
        <w:t>COMPLAINT</w:t>
      </w:r>
    </w:p>
    <w:p w:rsidRPr="00AF183C" w:rsidR="003F6E2C" w:rsidP="00AF183C" w:rsidRDefault="003F6E2C">
      <w:pPr>
        <w:pStyle w:val="ECHRPara"/>
      </w:pPr>
      <w:r w:rsidRPr="00AF183C">
        <w:fldChar w:fldCharType="begin"/>
      </w:r>
      <w:r w:rsidRPr="00AF183C">
        <w:instrText xml:space="preserve"> SEQ level0 \*arabic </w:instrText>
      </w:r>
      <w:r w:rsidRPr="00AF183C">
        <w:fldChar w:fldCharType="separate"/>
      </w:r>
      <w:r w:rsidRPr="00AF183C" w:rsidR="00AF183C">
        <w:rPr>
          <w:noProof/>
        </w:rPr>
        <w:t>24</w:t>
      </w:r>
      <w:r w:rsidRPr="00AF183C">
        <w:fldChar w:fldCharType="end"/>
      </w:r>
      <w:r w:rsidRPr="00AF183C">
        <w:t xml:space="preserve">.  The applicant complained under Article 5 of the Convention that her detention </w:t>
      </w:r>
      <w:r w:rsidRPr="00AF183C" w:rsidR="008A0FC1">
        <w:t>had been arbitrary</w:t>
      </w:r>
      <w:r w:rsidRPr="00AF183C">
        <w:t xml:space="preserve"> as the authorities had failed to act with appropriate </w:t>
      </w:r>
      <w:r w:rsidRPr="00AF183C" w:rsidR="008A0FC1">
        <w:t>“</w:t>
      </w:r>
      <w:r w:rsidRPr="00AF183C">
        <w:t>due diligence</w:t>
      </w:r>
      <w:r w:rsidRPr="00AF183C" w:rsidR="008A0FC1">
        <w:t>”</w:t>
      </w:r>
      <w:r w:rsidRPr="00AF183C">
        <w:t>.</w:t>
      </w:r>
    </w:p>
    <w:p w:rsidRPr="00AF183C" w:rsidR="00CF094A" w:rsidP="00AF183C" w:rsidRDefault="00CF094A">
      <w:pPr>
        <w:pStyle w:val="ECHRTitle1"/>
      </w:pPr>
      <w:r w:rsidRPr="00AF183C">
        <w:t>THE LAW</w:t>
      </w:r>
    </w:p>
    <w:p w:rsidRPr="00AF183C" w:rsidR="002D4B54" w:rsidP="00AF183C" w:rsidRDefault="002D4B54">
      <w:pPr>
        <w:pStyle w:val="ECHRHeading1"/>
      </w:pPr>
      <w:r w:rsidRPr="00AF183C">
        <w:t>I.  ALLEGED VIOLATION OF ARTICLE 5 OF THE CONVENTION</w:t>
      </w:r>
    </w:p>
    <w:p w:rsidRPr="00AF183C" w:rsidR="003F6E2C" w:rsidP="00AF183C" w:rsidRDefault="003F6E2C">
      <w:pPr>
        <w:pStyle w:val="ECHRPara"/>
      </w:pPr>
      <w:r w:rsidRPr="00AF183C">
        <w:fldChar w:fldCharType="begin"/>
      </w:r>
      <w:r w:rsidRPr="00AF183C">
        <w:instrText xml:space="preserve"> SEQ level0 \*arabic </w:instrText>
      </w:r>
      <w:r w:rsidRPr="00AF183C">
        <w:fldChar w:fldCharType="separate"/>
      </w:r>
      <w:r w:rsidRPr="00AF183C" w:rsidR="00AF183C">
        <w:rPr>
          <w:noProof/>
        </w:rPr>
        <w:t>25</w:t>
      </w:r>
      <w:r w:rsidRPr="00AF183C">
        <w:fldChar w:fldCharType="end"/>
      </w:r>
      <w:r w:rsidRPr="00AF183C">
        <w:t>.  Article 5 of the Convention provides as follows:</w:t>
      </w:r>
    </w:p>
    <w:p w:rsidRPr="00AF183C" w:rsidR="003F6E2C" w:rsidP="00AF183C" w:rsidRDefault="003F6E2C">
      <w:pPr>
        <w:pStyle w:val="ECHRParaQuote"/>
      </w:pPr>
      <w:r w:rsidRPr="00AF183C">
        <w:t>“1.</w:t>
      </w:r>
      <w:proofErr w:type="gramStart"/>
      <w:r w:rsidRPr="00AF183C">
        <w:t>  Everyone</w:t>
      </w:r>
      <w:proofErr w:type="gramEnd"/>
      <w:r w:rsidRPr="00AF183C">
        <w:t xml:space="preserve"> has the right to liberty and security of person. No one shall be deprived of his liberty save in the following cases and in accordance with a procedure prescribed by law:</w:t>
      </w:r>
    </w:p>
    <w:p w:rsidRPr="00AF183C" w:rsidR="003F6E2C" w:rsidP="00AF183C" w:rsidRDefault="008E7031">
      <w:pPr>
        <w:pStyle w:val="ECHRParaQuote"/>
      </w:pPr>
      <w:r w:rsidRPr="00AF183C">
        <w:t>...</w:t>
      </w:r>
    </w:p>
    <w:p w:rsidRPr="00AF183C" w:rsidR="003F6E2C" w:rsidP="00AF183C" w:rsidRDefault="009733F5">
      <w:pPr>
        <w:pStyle w:val="ECHRParaQuote"/>
      </w:pPr>
      <w:r w:rsidRPr="00AF183C">
        <w:t>3.</w:t>
      </w:r>
      <w:r w:rsidRPr="00AF183C" w:rsidR="00DF35DF">
        <w:t> </w:t>
      </w:r>
      <w:r w:rsidRPr="00AF183C" w:rsidR="003F6E2C">
        <w:t>(</w:t>
      </w:r>
      <w:proofErr w:type="gramStart"/>
      <w:r w:rsidRPr="00AF183C" w:rsidR="003F6E2C">
        <w:t>f</w:t>
      </w:r>
      <w:proofErr w:type="gramEnd"/>
      <w:r w:rsidRPr="00AF183C" w:rsidR="003F6E2C">
        <w:t>)  the lawful arrest or detention of a person to prevent his effecting an unauthorised entry into the country or of a person against whom action is being taken with a view to deportation or extradition.”</w:t>
      </w:r>
    </w:p>
    <w:p w:rsidRPr="00AF183C" w:rsidR="00EE0A0F" w:rsidP="00AF183C" w:rsidRDefault="00DF35DF">
      <w:pPr>
        <w:pStyle w:val="ECHRHeading2"/>
      </w:pPr>
      <w:r w:rsidRPr="00AF183C">
        <w:t>A.  </w:t>
      </w:r>
      <w:r w:rsidRPr="00AF183C" w:rsidR="00EE0A0F">
        <w:t>Admissibility</w:t>
      </w:r>
    </w:p>
    <w:p w:rsidRPr="00AF183C" w:rsidR="00EE0A0F" w:rsidP="00AF183C" w:rsidRDefault="00EE0A0F">
      <w:pPr>
        <w:pStyle w:val="ECHRPara"/>
        <w:rPr>
          <w:snapToGrid w:val="0"/>
        </w:rPr>
      </w:pPr>
      <w:r w:rsidRPr="00AF183C">
        <w:fldChar w:fldCharType="begin"/>
      </w:r>
      <w:r w:rsidRPr="00AF183C">
        <w:instrText xml:space="preserve"> SEQ level0 \*arabic </w:instrText>
      </w:r>
      <w:r w:rsidRPr="00AF183C">
        <w:fldChar w:fldCharType="separate"/>
      </w:r>
      <w:r w:rsidRPr="00AF183C" w:rsidR="00AF183C">
        <w:rPr>
          <w:noProof/>
        </w:rPr>
        <w:t>26</w:t>
      </w:r>
      <w:r w:rsidRPr="00AF183C">
        <w:fldChar w:fldCharType="end"/>
      </w:r>
      <w:r w:rsidRPr="00AF183C">
        <w:t xml:space="preserve">.  The Government submitted that the application had not been made within six months of the last domestic decision as it was received by the </w:t>
      </w:r>
      <w:r w:rsidRPr="00AF183C" w:rsidR="006C7C7A">
        <w:t>Court</w:t>
      </w:r>
      <w:r w:rsidRPr="00AF183C">
        <w:t xml:space="preserve"> on 2 November 2016. However, accord</w:t>
      </w:r>
      <w:r w:rsidRPr="00AF183C" w:rsidR="00DF35DF">
        <w:t>ing to the Court</w:t>
      </w:r>
      <w:r w:rsidRPr="00AF183C" w:rsidR="00AF183C">
        <w:t>’</w:t>
      </w:r>
      <w:r w:rsidRPr="00AF183C" w:rsidR="00DF35DF">
        <w:t>s settled case</w:t>
      </w:r>
      <w:r w:rsidRPr="00AF183C" w:rsidR="00DF35DF">
        <w:noBreakHyphen/>
      </w:r>
      <w:r w:rsidRPr="00AF183C">
        <w:t>law</w:t>
      </w:r>
      <w:r w:rsidRPr="00AF183C" w:rsidR="00B63FC0">
        <w:t xml:space="preserve"> </w:t>
      </w:r>
      <w:r w:rsidRPr="00AF183C">
        <w:t xml:space="preserve">it is the date of dispatch which is the relevant date for the purposes of </w:t>
      </w:r>
      <w:r w:rsidRPr="00AF183C" w:rsidR="00B31F26">
        <w:t xml:space="preserve">calculating </w:t>
      </w:r>
      <w:r w:rsidRPr="00AF183C">
        <w:t xml:space="preserve">the six-month </w:t>
      </w:r>
      <w:r w:rsidRPr="00AF183C" w:rsidR="00B31F26">
        <w:t>period in Article 35 of the Convention</w:t>
      </w:r>
      <w:r w:rsidRPr="00AF183C">
        <w:t xml:space="preserve"> (see by way of example </w:t>
      </w:r>
      <w:proofErr w:type="spellStart"/>
      <w:r w:rsidRPr="00AF183C" w:rsidR="00DF35DF">
        <w:rPr>
          <w:i/>
        </w:rPr>
        <w:t>Shishkov</w:t>
      </w:r>
      <w:proofErr w:type="spellEnd"/>
      <w:r w:rsidRPr="00AF183C" w:rsidR="00DF35DF">
        <w:rPr>
          <w:i/>
        </w:rPr>
        <w:t xml:space="preserve"> v. </w:t>
      </w:r>
      <w:r w:rsidRPr="00AF183C">
        <w:rPr>
          <w:i/>
        </w:rPr>
        <w:t>Russia</w:t>
      </w:r>
      <w:r w:rsidRPr="00AF183C" w:rsidR="00DF35DF">
        <w:t>, no. </w:t>
      </w:r>
      <w:r w:rsidRPr="00AF183C">
        <w:t>26746/05, § 83, 20 February 2014). The postal records show that the a</w:t>
      </w:r>
      <w:r w:rsidRPr="00AF183C" w:rsidR="002B2F4A">
        <w:t>pplication was dispatched on 24 </w:t>
      </w:r>
      <w:r w:rsidRPr="00AF183C">
        <w:t>October 20</w:t>
      </w:r>
      <w:r w:rsidRPr="00AF183C" w:rsidR="00DF35DF">
        <w:t xml:space="preserve">16 and was therefore </w:t>
      </w:r>
      <w:r w:rsidRPr="00AF183C" w:rsidR="00B31F26">
        <w:t xml:space="preserve">made </w:t>
      </w:r>
      <w:r w:rsidRPr="00AF183C" w:rsidR="00DF35DF">
        <w:t>within six </w:t>
      </w:r>
      <w:r w:rsidRPr="00AF183C">
        <w:t xml:space="preserve">months </w:t>
      </w:r>
      <w:r w:rsidRPr="00AF183C" w:rsidR="00B31F26">
        <w:t>from the date on which the final decision was taken in the case</w:t>
      </w:r>
      <w:r w:rsidRPr="00AF183C">
        <w:t>, which was that of the Supreme Court of 27</w:t>
      </w:r>
      <w:r w:rsidRPr="00AF183C" w:rsidR="002B2F4A">
        <w:t> </w:t>
      </w:r>
      <w:r w:rsidRPr="00AF183C">
        <w:t>April 2016</w:t>
      </w:r>
      <w:r w:rsidRPr="00AF183C">
        <w:rPr>
          <w:snapToGrid w:val="0"/>
        </w:rPr>
        <w:t>.</w:t>
      </w:r>
      <w:r w:rsidRPr="00AF183C" w:rsidR="001371FA">
        <w:rPr>
          <w:snapToGrid w:val="0"/>
        </w:rPr>
        <w:t xml:space="preserve"> </w:t>
      </w:r>
      <w:r w:rsidRPr="00AF183C" w:rsidR="00CD71A8">
        <w:rPr>
          <w:snapToGrid w:val="0"/>
        </w:rPr>
        <w:t>It follows that</w:t>
      </w:r>
      <w:r w:rsidRPr="00AF183C" w:rsidR="00CD71A8">
        <w:rPr>
          <w:b/>
          <w:snapToGrid w:val="0"/>
        </w:rPr>
        <w:t xml:space="preserve"> </w:t>
      </w:r>
      <w:r w:rsidRPr="00AF183C" w:rsidR="001371FA">
        <w:rPr>
          <w:snapToGrid w:val="0"/>
        </w:rPr>
        <w:t>the appl</w:t>
      </w:r>
      <w:r w:rsidRPr="00AF183C" w:rsidR="00B93368">
        <w:rPr>
          <w:snapToGrid w:val="0"/>
        </w:rPr>
        <w:t>ication was made within the six</w:t>
      </w:r>
      <w:r w:rsidRPr="00AF183C" w:rsidR="00B93368">
        <w:rPr>
          <w:snapToGrid w:val="0"/>
        </w:rPr>
        <w:noBreakHyphen/>
      </w:r>
      <w:r w:rsidRPr="00AF183C" w:rsidR="001371FA">
        <w:rPr>
          <w:snapToGrid w:val="0"/>
        </w:rPr>
        <w:t>month time limit.</w:t>
      </w:r>
    </w:p>
    <w:p w:rsidRPr="00AF183C" w:rsidR="00B31F26" w:rsidP="00AF183C" w:rsidRDefault="00EE0A0F">
      <w:pPr>
        <w:pStyle w:val="ECHRPara"/>
        <w:rPr>
          <w:snapToGrid w:val="0"/>
        </w:rPr>
      </w:pPr>
      <w:r w:rsidRPr="00AF183C">
        <w:rPr>
          <w:snapToGrid w:val="0"/>
        </w:rPr>
        <w:fldChar w:fldCharType="begin"/>
      </w:r>
      <w:r w:rsidRPr="00AF183C">
        <w:rPr>
          <w:snapToGrid w:val="0"/>
        </w:rPr>
        <w:instrText xml:space="preserve"> SEQ level0 \*arabic </w:instrText>
      </w:r>
      <w:r w:rsidRPr="00AF183C">
        <w:rPr>
          <w:snapToGrid w:val="0"/>
        </w:rPr>
        <w:fldChar w:fldCharType="separate"/>
      </w:r>
      <w:r w:rsidRPr="00AF183C" w:rsidR="00AF183C">
        <w:rPr>
          <w:noProof/>
          <w:snapToGrid w:val="0"/>
        </w:rPr>
        <w:t>27</w:t>
      </w:r>
      <w:r w:rsidRPr="00AF183C">
        <w:rPr>
          <w:snapToGrid w:val="0"/>
        </w:rPr>
        <w:fldChar w:fldCharType="end"/>
      </w:r>
      <w:r w:rsidRPr="00AF183C">
        <w:rPr>
          <w:snapToGrid w:val="0"/>
        </w:rPr>
        <w:t xml:space="preserve">.  As to the question of whether the applicant </w:t>
      </w:r>
      <w:r w:rsidRPr="00AF183C" w:rsidR="00C37213">
        <w:rPr>
          <w:snapToGrid w:val="0"/>
        </w:rPr>
        <w:t>could</w:t>
      </w:r>
      <w:r w:rsidRPr="00AF183C">
        <w:rPr>
          <w:snapToGrid w:val="0"/>
        </w:rPr>
        <w:t xml:space="preserve"> still</w:t>
      </w:r>
      <w:r w:rsidRPr="00AF183C" w:rsidR="00C37213">
        <w:rPr>
          <w:snapToGrid w:val="0"/>
        </w:rPr>
        <w:t xml:space="preserve"> be considered</w:t>
      </w:r>
      <w:r w:rsidRPr="00AF183C">
        <w:rPr>
          <w:snapToGrid w:val="0"/>
        </w:rPr>
        <w:t xml:space="preserve"> a victim in light of the Supreme Court</w:t>
      </w:r>
      <w:r w:rsidRPr="00AF183C" w:rsidR="00AF183C">
        <w:rPr>
          <w:snapToGrid w:val="0"/>
        </w:rPr>
        <w:t>’</w:t>
      </w:r>
      <w:r w:rsidRPr="00AF183C">
        <w:rPr>
          <w:snapToGrid w:val="0"/>
        </w:rPr>
        <w:t xml:space="preserve">s decision, the Government contended that she </w:t>
      </w:r>
      <w:r w:rsidRPr="00AF183C" w:rsidR="00A56508">
        <w:rPr>
          <w:snapToGrid w:val="0"/>
        </w:rPr>
        <w:t>could</w:t>
      </w:r>
      <w:r w:rsidRPr="00AF183C" w:rsidR="00814F72">
        <w:rPr>
          <w:snapToGrid w:val="0"/>
        </w:rPr>
        <w:t xml:space="preserve"> not</w:t>
      </w:r>
      <w:r w:rsidRPr="00AF183C">
        <w:rPr>
          <w:snapToGrid w:val="0"/>
        </w:rPr>
        <w:t xml:space="preserve"> as the </w:t>
      </w:r>
      <w:r w:rsidRPr="00AF183C" w:rsidR="00E44FFE">
        <w:rPr>
          <w:snapToGrid w:val="0"/>
        </w:rPr>
        <w:t>domestic courts had</w:t>
      </w:r>
      <w:r w:rsidRPr="00AF183C">
        <w:rPr>
          <w:snapToGrid w:val="0"/>
        </w:rPr>
        <w:t xml:space="preserve"> acknowledged</w:t>
      </w:r>
      <w:r w:rsidRPr="00AF183C" w:rsidR="00E44FFE">
        <w:rPr>
          <w:snapToGrid w:val="0"/>
        </w:rPr>
        <w:t xml:space="preserve"> that her detention had been unlawful</w:t>
      </w:r>
      <w:r w:rsidRPr="00AF183C">
        <w:rPr>
          <w:snapToGrid w:val="0"/>
        </w:rPr>
        <w:t xml:space="preserve">. The applicant contended that she remained a victim as </w:t>
      </w:r>
      <w:r w:rsidRPr="00AF183C" w:rsidR="00814F72">
        <w:rPr>
          <w:snapToGrid w:val="0"/>
        </w:rPr>
        <w:t>she had not been afforded sufficient redress</w:t>
      </w:r>
      <w:r w:rsidRPr="00AF183C">
        <w:rPr>
          <w:snapToGrid w:val="0"/>
        </w:rPr>
        <w:t>.</w:t>
      </w:r>
    </w:p>
    <w:p w:rsidRPr="00AF183C" w:rsidR="00EE0A0F" w:rsidP="00AF183C" w:rsidRDefault="00EE0A0F">
      <w:pPr>
        <w:pStyle w:val="ECHRPara"/>
      </w:pPr>
      <w:r w:rsidRPr="00AF183C">
        <w:fldChar w:fldCharType="begin"/>
      </w:r>
      <w:r w:rsidRPr="00AF183C">
        <w:instrText xml:space="preserve"> SEQ level0 \*arabic </w:instrText>
      </w:r>
      <w:r w:rsidRPr="00AF183C">
        <w:fldChar w:fldCharType="separate"/>
      </w:r>
      <w:r w:rsidRPr="00AF183C" w:rsidR="00AF183C">
        <w:rPr>
          <w:noProof/>
        </w:rPr>
        <w:t>28</w:t>
      </w:r>
      <w:r w:rsidRPr="00AF183C">
        <w:fldChar w:fldCharType="end"/>
      </w:r>
      <w:r w:rsidRPr="00AF183C">
        <w:t>.  A decision or measure favourable to the applicant is not, in principle, sufficient to deprive him or her of his or her status as a “victim” for the purposes of Article 34 of the Convention unless the national authorities have acknowledged, either expressly or in substance, and then afforded redress for the breach of the Convention (</w:t>
      </w:r>
      <w:proofErr w:type="spellStart"/>
      <w:r w:rsidRPr="00AF183C">
        <w:rPr>
          <w:i/>
        </w:rPr>
        <w:t>Scordino</w:t>
      </w:r>
      <w:proofErr w:type="spellEnd"/>
      <w:r w:rsidRPr="00AF183C">
        <w:rPr>
          <w:i/>
        </w:rPr>
        <w:t xml:space="preserve"> v. Italy (no. 1) </w:t>
      </w:r>
      <w:r w:rsidRPr="00AF183C" w:rsidR="00DF35DF">
        <w:t>[GC], no. </w:t>
      </w:r>
      <w:r w:rsidRPr="00AF183C">
        <w:t>36813/97, § 180, ECHR 2006</w:t>
      </w:r>
      <w:r w:rsidRPr="00AF183C">
        <w:noBreakHyphen/>
        <w:t xml:space="preserve">V; </w:t>
      </w:r>
      <w:proofErr w:type="spellStart"/>
      <w:r w:rsidRPr="00AF183C">
        <w:rPr>
          <w:i/>
        </w:rPr>
        <w:t>Gäfgen</w:t>
      </w:r>
      <w:proofErr w:type="spellEnd"/>
      <w:r w:rsidRPr="00AF183C">
        <w:rPr>
          <w:i/>
        </w:rPr>
        <w:t xml:space="preserve"> v. Germany</w:t>
      </w:r>
      <w:r w:rsidRPr="00AF183C" w:rsidR="00DF35DF">
        <w:t xml:space="preserve"> [GC], no. </w:t>
      </w:r>
      <w:r w:rsidRPr="00AF183C">
        <w:t xml:space="preserve">22978/05, § 115, ECHR 2010; </w:t>
      </w:r>
      <w:r w:rsidRPr="00AF183C">
        <w:rPr>
          <w:i/>
        </w:rPr>
        <w:t xml:space="preserve">Nada v. Switzerland </w:t>
      </w:r>
      <w:r w:rsidRPr="00AF183C">
        <w:t>[GC], n</w:t>
      </w:r>
      <w:r w:rsidRPr="00AF183C" w:rsidR="00DF35DF">
        <w:t>o. 10593/08, § </w:t>
      </w:r>
      <w:r w:rsidRPr="00AF183C">
        <w:t xml:space="preserve">128, </w:t>
      </w:r>
      <w:r w:rsidRPr="00AF183C">
        <w:rPr>
          <w:snapToGrid w:val="0"/>
        </w:rPr>
        <w:t>ECHR 2012</w:t>
      </w:r>
      <w:r w:rsidRPr="00AF183C">
        <w:t>).</w:t>
      </w:r>
    </w:p>
    <w:p w:rsidRPr="00AF183C" w:rsidR="00E34FA3" w:rsidP="00AF183C" w:rsidRDefault="00E34FA3">
      <w:pPr>
        <w:pStyle w:val="ECHRPara"/>
      </w:pPr>
      <w:r w:rsidRPr="00AF183C">
        <w:fldChar w:fldCharType="begin"/>
      </w:r>
      <w:r w:rsidRPr="00AF183C">
        <w:instrText xml:space="preserve"> SEQ level0 \*arabic </w:instrText>
      </w:r>
      <w:r w:rsidRPr="00AF183C">
        <w:fldChar w:fldCharType="separate"/>
      </w:r>
      <w:r w:rsidRPr="00AF183C" w:rsidR="00AF183C">
        <w:rPr>
          <w:noProof/>
        </w:rPr>
        <w:t>29</w:t>
      </w:r>
      <w:r w:rsidRPr="00AF183C">
        <w:fldChar w:fldCharType="end"/>
      </w:r>
      <w:r w:rsidRPr="00AF183C">
        <w:t xml:space="preserve">.  In </w:t>
      </w:r>
      <w:r w:rsidRPr="00AF183C">
        <w:rPr>
          <w:i/>
        </w:rPr>
        <w:t>V.M</w:t>
      </w:r>
      <w:r w:rsidRPr="00AF183C" w:rsidR="00DC61A6">
        <w:rPr>
          <w:i/>
        </w:rPr>
        <w:t xml:space="preserve">. </w:t>
      </w:r>
      <w:r w:rsidRPr="00AF183C" w:rsidR="00E4273F">
        <w:rPr>
          <w:i/>
        </w:rPr>
        <w:t>v. the United Kingdom</w:t>
      </w:r>
      <w:r w:rsidRPr="00AF183C">
        <w:t>, cited above, the Court found that the applicant</w:t>
      </w:r>
      <w:r w:rsidRPr="00AF183C" w:rsidR="00AF183C">
        <w:t>’</w:t>
      </w:r>
      <w:r w:rsidRPr="00AF183C">
        <w:t xml:space="preserve">s complaint concerning the lawfulness of her detention </w:t>
      </w:r>
      <w:r w:rsidRPr="00AF183C" w:rsidR="00DF35DF">
        <w:t>during an earlier period from 8</w:t>
      </w:r>
      <w:r w:rsidRPr="00AF183C" w:rsidR="003F1B49">
        <w:t xml:space="preserve"> </w:t>
      </w:r>
      <w:r w:rsidRPr="00AF183C">
        <w:t>August 2008 to 22 July 2010 had been dealt with adequately by the domestic courts</w:t>
      </w:r>
      <w:r w:rsidRPr="00AF183C" w:rsidR="004B3409">
        <w:t>,</w:t>
      </w:r>
      <w:r w:rsidRPr="00AF183C">
        <w:t xml:space="preserve"> </w:t>
      </w:r>
      <w:r w:rsidRPr="00AF183C" w:rsidR="00210BE0">
        <w:t>which</w:t>
      </w:r>
      <w:r w:rsidRPr="00AF183C">
        <w:t xml:space="preserve"> acknowledged the breach of the Convention </w:t>
      </w:r>
      <w:r w:rsidRPr="00AF183C" w:rsidR="00C95803">
        <w:t>and awarded nominal damages of GBP 1</w:t>
      </w:r>
      <w:r w:rsidRPr="00AF183C" w:rsidR="00210BE0">
        <w:t>. The Court therefore concluded that element of the applicant</w:t>
      </w:r>
      <w:r w:rsidRPr="00AF183C" w:rsidR="00AF183C">
        <w:t>’</w:t>
      </w:r>
      <w:r w:rsidRPr="00AF183C" w:rsidR="00210BE0">
        <w:t>s complaint to have been inadmissible</w:t>
      </w:r>
      <w:r w:rsidRPr="00AF183C">
        <w:t xml:space="preserve"> (see </w:t>
      </w:r>
      <w:r w:rsidRPr="00AF183C" w:rsidR="002B2F4A">
        <w:rPr>
          <w:i/>
        </w:rPr>
        <w:t>V.M.</w:t>
      </w:r>
      <w:r w:rsidRPr="00AF183C" w:rsidR="00B73A4F">
        <w:rPr>
          <w:i/>
        </w:rPr>
        <w:t xml:space="preserve"> </w:t>
      </w:r>
      <w:r w:rsidRPr="00AF183C" w:rsidR="007C2B9E">
        <w:rPr>
          <w:i/>
        </w:rPr>
        <w:t xml:space="preserve">v. </w:t>
      </w:r>
      <w:r w:rsidRPr="00AF183C" w:rsidR="00B73A4F">
        <w:rPr>
          <w:i/>
        </w:rPr>
        <w:t>the United Kingdom</w:t>
      </w:r>
      <w:r w:rsidRPr="00AF183C" w:rsidR="002B2F4A">
        <w:rPr>
          <w:i/>
        </w:rPr>
        <w:t>,</w:t>
      </w:r>
      <w:r w:rsidRPr="00AF183C" w:rsidR="00D03804">
        <w:rPr>
          <w:i/>
        </w:rPr>
        <w:t xml:space="preserve"> </w:t>
      </w:r>
      <w:r w:rsidRPr="00AF183C">
        <w:t>cited above, §</w:t>
      </w:r>
      <w:r w:rsidRPr="00AF183C" w:rsidR="00C95803">
        <w:t xml:space="preserve"> 48 and </w:t>
      </w:r>
      <w:r w:rsidRPr="00AF183C" w:rsidR="00C95803">
        <w:rPr>
          <w:rFonts w:cstheme="minorHAnsi"/>
        </w:rPr>
        <w:t>§</w:t>
      </w:r>
      <w:r w:rsidRPr="00AF183C" w:rsidR="00DF35DF">
        <w:t>§ 68</w:t>
      </w:r>
      <w:r w:rsidRPr="00AF183C" w:rsidR="00DF35DF">
        <w:noBreakHyphen/>
        <w:t>73).</w:t>
      </w:r>
    </w:p>
    <w:p w:rsidRPr="00AF183C" w:rsidR="00EE0A0F" w:rsidP="00AF183C" w:rsidRDefault="00EE0A0F">
      <w:pPr>
        <w:pStyle w:val="ECHRPara"/>
      </w:pPr>
      <w:r w:rsidRPr="00AF183C">
        <w:fldChar w:fldCharType="begin"/>
      </w:r>
      <w:r w:rsidRPr="00AF183C">
        <w:instrText xml:space="preserve"> SEQ level0 \*arabic </w:instrText>
      </w:r>
      <w:r w:rsidRPr="00AF183C">
        <w:fldChar w:fldCharType="separate"/>
      </w:r>
      <w:r w:rsidRPr="00AF183C" w:rsidR="00AF183C">
        <w:rPr>
          <w:noProof/>
        </w:rPr>
        <w:t>30</w:t>
      </w:r>
      <w:r w:rsidRPr="00AF183C">
        <w:fldChar w:fldCharType="end"/>
      </w:r>
      <w:r w:rsidRPr="00AF183C">
        <w:t xml:space="preserve">.  In the present case, the Supreme Court acknowledged the violation in the sense of making clear that the </w:t>
      </w:r>
      <w:r w:rsidRPr="00AF183C" w:rsidR="00E34FA3">
        <w:t>applicant</w:t>
      </w:r>
      <w:r w:rsidRPr="00AF183C" w:rsidR="00AF183C">
        <w:t>’</w:t>
      </w:r>
      <w:r w:rsidRPr="00AF183C" w:rsidR="00E34FA3">
        <w:t>s dete</w:t>
      </w:r>
      <w:r w:rsidRPr="00AF183C" w:rsidR="00411B80">
        <w:t>n</w:t>
      </w:r>
      <w:r w:rsidRPr="00AF183C" w:rsidR="00E34FA3">
        <w:t xml:space="preserve">tion </w:t>
      </w:r>
      <w:r w:rsidRPr="00AF183C" w:rsidR="00210BE0">
        <w:t>had been</w:t>
      </w:r>
      <w:r w:rsidRPr="00AF183C" w:rsidR="00E34FA3">
        <w:t xml:space="preserve"> unlawful from</w:t>
      </w:r>
      <w:r w:rsidRPr="00AF183C" w:rsidR="00411B80">
        <w:t xml:space="preserve"> 4 March 2011 to 6 July 2011 </w:t>
      </w:r>
      <w:r w:rsidRPr="00AF183C">
        <w:t xml:space="preserve">(see paragraphs </w:t>
      </w:r>
      <w:r w:rsidRPr="00AF183C" w:rsidR="0061054E">
        <w:fldChar w:fldCharType="begin"/>
      </w:r>
      <w:r w:rsidRPr="00AF183C" w:rsidR="0061054E">
        <w:instrText xml:space="preserve"> REF TheCourtofAppealrefusedpermission \h  \* MERGEFORMAT </w:instrText>
      </w:r>
      <w:r w:rsidRPr="00AF183C" w:rsidR="0061054E">
        <w:fldChar w:fldCharType="separate"/>
      </w:r>
      <w:r w:rsidRPr="00AF183C" w:rsidR="00AF183C">
        <w:t>16</w:t>
      </w:r>
      <w:r w:rsidRPr="00AF183C" w:rsidR="0061054E">
        <w:fldChar w:fldCharType="end"/>
      </w:r>
      <w:r w:rsidRPr="00AF183C" w:rsidR="00210BE0">
        <w:t>-</w:t>
      </w:r>
      <w:r w:rsidRPr="00AF183C" w:rsidR="00210BE0">
        <w:fldChar w:fldCharType="begin"/>
      </w:r>
      <w:r w:rsidRPr="00AF183C" w:rsidR="00210BE0">
        <w:instrText xml:space="preserve"> REF hewentontotcomment \h </w:instrText>
      </w:r>
      <w:r w:rsidRPr="00AF183C" w:rsidR="00210BE0">
        <w:fldChar w:fldCharType="separate"/>
      </w:r>
      <w:r w:rsidRPr="00AF183C" w:rsidR="00AF183C">
        <w:rPr>
          <w:noProof/>
        </w:rPr>
        <w:t>17</w:t>
      </w:r>
      <w:r w:rsidRPr="00AF183C" w:rsidR="00210BE0">
        <w:fldChar w:fldCharType="end"/>
      </w:r>
      <w:r w:rsidRPr="00AF183C" w:rsidR="00210BE0">
        <w:t xml:space="preserve"> </w:t>
      </w:r>
      <w:r w:rsidRPr="00AF183C">
        <w:t>above).</w:t>
      </w:r>
      <w:r w:rsidRPr="00AF183C" w:rsidR="00210BE0">
        <w:t xml:space="preserve"> It was not necessary for the domestic courts to remedy the applicant</w:t>
      </w:r>
      <w:r w:rsidRPr="00AF183C" w:rsidR="00AF183C">
        <w:t>’</w:t>
      </w:r>
      <w:r w:rsidRPr="00AF183C" w:rsidR="00210BE0">
        <w:t>s situation</w:t>
      </w:r>
      <w:r w:rsidRPr="00AF183C" w:rsidR="00210BE0">
        <w:rPr>
          <w:i/>
        </w:rPr>
        <w:t>,</w:t>
      </w:r>
      <w:r w:rsidRPr="00AF183C" w:rsidR="00210BE0">
        <w:t xml:space="preserve"> as by the time of their examination of the case she had already been released.</w:t>
      </w:r>
      <w:r w:rsidRPr="00AF183C" w:rsidR="00AF7C48">
        <w:t xml:space="preserve"> </w:t>
      </w:r>
      <w:r w:rsidRPr="00AF183C">
        <w:t>The</w:t>
      </w:r>
      <w:r w:rsidRPr="00AF183C" w:rsidR="00210BE0">
        <w:t>refore the</w:t>
      </w:r>
      <w:r w:rsidRPr="00AF183C">
        <w:t xml:space="preserve"> only question is whether</w:t>
      </w:r>
      <w:r w:rsidRPr="00AF183C" w:rsidR="00CD4CC1">
        <w:t>,</w:t>
      </w:r>
      <w:r w:rsidRPr="00AF183C">
        <w:t xml:space="preserve"> </w:t>
      </w:r>
      <w:r w:rsidRPr="00AF183C" w:rsidR="00FA064F">
        <w:t>in refusing</w:t>
      </w:r>
      <w:r w:rsidRPr="00AF183C">
        <w:t xml:space="preserve"> her </w:t>
      </w:r>
      <w:r w:rsidRPr="00AF183C" w:rsidR="00900462">
        <w:t>permission to challenge that unlawfulness</w:t>
      </w:r>
      <w:r w:rsidRPr="00AF183C">
        <w:t xml:space="preserve"> on the basis that she would only be entitled to nominal damages</w:t>
      </w:r>
      <w:r w:rsidRPr="00AF183C" w:rsidR="00CD4CC1">
        <w:t>, they afforded t</w:t>
      </w:r>
      <w:r w:rsidRPr="00AF183C" w:rsidR="00210BE0">
        <w:t xml:space="preserve">he applicant sufficient redress </w:t>
      </w:r>
      <w:r w:rsidRPr="00AF183C">
        <w:t xml:space="preserve">(see paragraphs </w:t>
      </w:r>
      <w:r w:rsidRPr="00AF183C" w:rsidR="0025476B">
        <w:fldChar w:fldCharType="begin"/>
      </w:r>
      <w:r w:rsidRPr="00AF183C" w:rsidR="0025476B">
        <w:instrText xml:space="preserve"> REF wereosclaimforjudiical \h </w:instrText>
      </w:r>
      <w:r w:rsidRPr="00AF183C" w:rsidR="0025476B">
        <w:fldChar w:fldCharType="separate"/>
      </w:r>
      <w:r w:rsidRPr="00AF183C" w:rsidR="00AF183C">
        <w:rPr>
          <w:noProof/>
        </w:rPr>
        <w:t>18</w:t>
      </w:r>
      <w:r w:rsidRPr="00AF183C" w:rsidR="0025476B">
        <w:fldChar w:fldCharType="end"/>
      </w:r>
      <w:r w:rsidRPr="00AF183C">
        <w:t xml:space="preserve"> above). For the reasons set out below (see paragraphs </w:t>
      </w:r>
      <w:r w:rsidRPr="00AF183C" w:rsidR="00EE1597">
        <w:fldChar w:fldCharType="begin"/>
      </w:r>
      <w:r w:rsidRPr="00AF183C" w:rsidR="00EE1597">
        <w:instrText xml:space="preserve"> REF thecourtsassessment \h </w:instrText>
      </w:r>
      <w:r w:rsidRPr="00AF183C" w:rsidR="00EE1597">
        <w:fldChar w:fldCharType="separate"/>
      </w:r>
      <w:r w:rsidRPr="00AF183C" w:rsidR="00AF183C">
        <w:rPr>
          <w:noProof/>
        </w:rPr>
        <w:t>36</w:t>
      </w:r>
      <w:r w:rsidRPr="00AF183C" w:rsidR="00EE1597">
        <w:fldChar w:fldCharType="end"/>
      </w:r>
      <w:r w:rsidRPr="00AF183C" w:rsidR="00143882">
        <w:t>-</w:t>
      </w:r>
      <w:r w:rsidRPr="00AF183C" w:rsidR="00D35A81">
        <w:fldChar w:fldCharType="begin"/>
      </w:r>
      <w:r w:rsidRPr="00AF183C" w:rsidR="00D35A81">
        <w:instrText xml:space="preserve"> REF therehasaccordingly \h  \* MERGEFORMAT </w:instrText>
      </w:r>
      <w:r w:rsidRPr="00AF183C" w:rsidR="00D35A81">
        <w:fldChar w:fldCharType="separate"/>
      </w:r>
      <w:r w:rsidRPr="00AF183C" w:rsidR="00AF183C">
        <w:t>40</w:t>
      </w:r>
      <w:r w:rsidRPr="00AF183C" w:rsidR="00D35A81">
        <w:fldChar w:fldCharType="end"/>
      </w:r>
      <w:r w:rsidRPr="00AF183C">
        <w:t>) the Court considers that</w:t>
      </w:r>
      <w:r w:rsidRPr="00AF183C" w:rsidR="00210BE0">
        <w:t xml:space="preserve"> they did not offer sufficient redress and</w:t>
      </w:r>
      <w:r w:rsidRPr="00AF183C">
        <w:t xml:space="preserve"> the applicant can </w:t>
      </w:r>
      <w:r w:rsidRPr="00AF183C" w:rsidR="00B16CD5">
        <w:t xml:space="preserve">therefore </w:t>
      </w:r>
      <w:r w:rsidRPr="00AF183C">
        <w:t>claim to be a “victim” of the violation of the Convention within the meaning of Article 34 of the Convention.</w:t>
      </w:r>
    </w:p>
    <w:p w:rsidRPr="00AF183C" w:rsidR="00EE0A0F" w:rsidP="00AF183C" w:rsidRDefault="00DF35DF">
      <w:pPr>
        <w:pStyle w:val="ECHRHeading2"/>
      </w:pPr>
      <w:r w:rsidRPr="00AF183C">
        <w:t>B.  </w:t>
      </w:r>
      <w:r w:rsidRPr="00AF183C" w:rsidR="00EE0A0F">
        <w:t>Merits</w:t>
      </w:r>
    </w:p>
    <w:p w:rsidRPr="00AF183C" w:rsidR="00EE0A0F" w:rsidP="00AF183C" w:rsidRDefault="00DF35DF">
      <w:pPr>
        <w:pStyle w:val="ECHRHeading3"/>
      </w:pPr>
      <w:r w:rsidRPr="00AF183C">
        <w:t>1.  </w:t>
      </w:r>
      <w:r w:rsidRPr="00AF183C" w:rsidR="00EE0A0F">
        <w:t>The parties</w:t>
      </w:r>
      <w:r w:rsidRPr="00AF183C" w:rsidR="00AF183C">
        <w:t>’</w:t>
      </w:r>
      <w:r w:rsidRPr="00AF183C" w:rsidR="00EE0A0F">
        <w:t xml:space="preserve"> submissions</w:t>
      </w:r>
    </w:p>
    <w:p w:rsidRPr="00AF183C" w:rsidR="00EE0A0F" w:rsidP="00AF183C" w:rsidRDefault="00EE0A0F">
      <w:pPr>
        <w:pStyle w:val="ECHRPara"/>
      </w:pPr>
      <w:r w:rsidRPr="00AF183C">
        <w:fldChar w:fldCharType="begin"/>
      </w:r>
      <w:r w:rsidRPr="00AF183C">
        <w:instrText xml:space="preserve"> SEQ level0 \*arabic </w:instrText>
      </w:r>
      <w:r w:rsidRPr="00AF183C">
        <w:fldChar w:fldCharType="separate"/>
      </w:r>
      <w:r w:rsidRPr="00AF183C" w:rsidR="00AF183C">
        <w:rPr>
          <w:noProof/>
        </w:rPr>
        <w:t>31</w:t>
      </w:r>
      <w:r w:rsidRPr="00AF183C">
        <w:fldChar w:fldCharType="end"/>
      </w:r>
      <w:r w:rsidRPr="00AF183C">
        <w:t>.  The applicant argued that</w:t>
      </w:r>
      <w:r w:rsidRPr="00AF183C" w:rsidR="000E0539">
        <w:t xml:space="preserve"> taking into account the fact that she had been detained for nearly three years overall</w:t>
      </w:r>
      <w:r w:rsidRPr="00AF183C" w:rsidR="008961FE">
        <w:t>;</w:t>
      </w:r>
      <w:r w:rsidRPr="00AF183C" w:rsidR="000E0539">
        <w:t xml:space="preserve"> and that this Court had found a violation of Article 5 in respect of an earlier period of her detention, </w:t>
      </w:r>
      <w:r w:rsidRPr="00AF183C" w:rsidR="009932B0">
        <w:t xml:space="preserve">the period of </w:t>
      </w:r>
      <w:r w:rsidRPr="00AF183C" w:rsidR="000E0539">
        <w:t>detention</w:t>
      </w:r>
      <w:r w:rsidRPr="00AF183C" w:rsidR="009932B0">
        <w:t xml:space="preserve"> at issue in the present case</w:t>
      </w:r>
      <w:r w:rsidRPr="00AF183C" w:rsidR="000E0539">
        <w:t xml:space="preserve"> had been unreasonably long and </w:t>
      </w:r>
      <w:r w:rsidRPr="00AF183C" w:rsidR="005546D3">
        <w:t xml:space="preserve">so </w:t>
      </w:r>
      <w:r w:rsidRPr="00AF183C" w:rsidR="000E0539">
        <w:t xml:space="preserve">arbitrary. Moreover, the authorities had not acted with sufficient </w:t>
      </w:r>
      <w:r w:rsidRPr="00AF183C" w:rsidR="008961FE">
        <w:t>“</w:t>
      </w:r>
      <w:r w:rsidRPr="00AF183C" w:rsidR="000E0539">
        <w:t>due diligence</w:t>
      </w:r>
      <w:r w:rsidRPr="00AF183C" w:rsidR="008961FE">
        <w:t>”</w:t>
      </w:r>
      <w:r w:rsidRPr="00AF183C" w:rsidR="000E0539">
        <w:t xml:space="preserve"> where they failed to take into account relevant medical reports in the detention reviews</w:t>
      </w:r>
      <w:r w:rsidRPr="00AF183C">
        <w:t xml:space="preserve"> in the context of the p</w:t>
      </w:r>
      <w:r w:rsidRPr="00AF183C" w:rsidR="008961FE">
        <w:t>olicy for those suffering from</w:t>
      </w:r>
      <w:r w:rsidRPr="00AF183C">
        <w:t xml:space="preserve"> mental health </w:t>
      </w:r>
      <w:r w:rsidRPr="00AF183C" w:rsidR="008961FE">
        <w:t>problems</w:t>
      </w:r>
      <w:r w:rsidRPr="00AF183C" w:rsidR="00DF35DF">
        <w:t>.</w:t>
      </w:r>
    </w:p>
    <w:bookmarkStart w:name="Thegovernmentaccepted" w:id="9"/>
    <w:p w:rsidRPr="00AF183C" w:rsidR="00EE0A0F" w:rsidP="00AF183C" w:rsidRDefault="00EE0A0F">
      <w:pPr>
        <w:pStyle w:val="ECHRPara"/>
      </w:pPr>
      <w:r w:rsidRPr="00AF183C">
        <w:fldChar w:fldCharType="begin"/>
      </w:r>
      <w:r w:rsidRPr="00AF183C">
        <w:instrText xml:space="preserve"> SEQ level0 \*arabic </w:instrText>
      </w:r>
      <w:r w:rsidRPr="00AF183C">
        <w:fldChar w:fldCharType="separate"/>
      </w:r>
      <w:r w:rsidRPr="00AF183C" w:rsidR="00AF183C">
        <w:rPr>
          <w:noProof/>
        </w:rPr>
        <w:t>32</w:t>
      </w:r>
      <w:r w:rsidRPr="00AF183C">
        <w:fldChar w:fldCharType="end"/>
      </w:r>
      <w:bookmarkEnd w:id="9"/>
      <w:r w:rsidRPr="00AF183C">
        <w:t xml:space="preserve">.  The Government </w:t>
      </w:r>
      <w:r w:rsidRPr="00AF183C" w:rsidR="003A5FDC">
        <w:t xml:space="preserve">accepted that there had been a violation of the Convention as the applicant was not detained “in accordance with a procedure described by law” from 4 March 2011 to 6 July 2011. </w:t>
      </w:r>
      <w:r w:rsidRPr="00AF183C" w:rsidR="008961FE">
        <w:t>T</w:t>
      </w:r>
      <w:r w:rsidRPr="00AF183C" w:rsidR="00C2154C">
        <w:t>hey submitted that</w:t>
      </w:r>
      <w:r w:rsidRPr="00AF183C" w:rsidR="008961FE">
        <w:t xml:space="preserve"> this acknowledgement was sufficient and no further redress was needed. T</w:t>
      </w:r>
      <w:r w:rsidRPr="00AF183C" w:rsidR="003C6F7A">
        <w:t xml:space="preserve">herefore the domestic courts acted appropriately in refusing her </w:t>
      </w:r>
      <w:r w:rsidRPr="00AF183C" w:rsidR="0022440A">
        <w:t>permission</w:t>
      </w:r>
      <w:r w:rsidRPr="00AF183C" w:rsidR="00FC3B46">
        <w:t xml:space="preserve"> to judicially review</w:t>
      </w:r>
      <w:r w:rsidRPr="00AF183C" w:rsidR="0022440A">
        <w:t xml:space="preserve"> that period of detention.</w:t>
      </w:r>
      <w:r w:rsidRPr="00AF183C" w:rsidR="002D1545">
        <w:t xml:space="preserve"> They underlined that her detention remained</w:t>
      </w:r>
      <w:r w:rsidRPr="00AF183C" w:rsidR="0024385E">
        <w:t xml:space="preserve"> </w:t>
      </w:r>
      <w:r w:rsidRPr="00AF183C" w:rsidR="002D1545">
        <w:t>lawful until the arrangements that were essential to mitigating the significant risks of releasing her, were in place.</w:t>
      </w:r>
    </w:p>
    <w:p w:rsidRPr="00AF183C" w:rsidR="007B0075" w:rsidP="00AF183C" w:rsidRDefault="007B0075">
      <w:pPr>
        <w:pStyle w:val="ECHRPara"/>
      </w:pPr>
      <w:r w:rsidRPr="00AF183C">
        <w:fldChar w:fldCharType="begin"/>
      </w:r>
      <w:r w:rsidRPr="00AF183C">
        <w:instrText xml:space="preserve"> SEQ level0 \*arabic </w:instrText>
      </w:r>
      <w:r w:rsidRPr="00AF183C">
        <w:fldChar w:fldCharType="separate"/>
      </w:r>
      <w:r w:rsidRPr="00AF183C" w:rsidR="00AF183C">
        <w:rPr>
          <w:noProof/>
        </w:rPr>
        <w:t>33</w:t>
      </w:r>
      <w:r w:rsidRPr="00AF183C">
        <w:fldChar w:fldCharType="end"/>
      </w:r>
      <w:r w:rsidRPr="00AF183C">
        <w:t>.  </w:t>
      </w:r>
      <w:r w:rsidRPr="00AF183C" w:rsidR="00400993">
        <w:t>T</w:t>
      </w:r>
      <w:r w:rsidRPr="00AF183C" w:rsidR="00C2154C">
        <w:t xml:space="preserve">he Government </w:t>
      </w:r>
      <w:r w:rsidRPr="00AF183C" w:rsidR="001A0D5B">
        <w:t xml:space="preserve">recalled that in </w:t>
      </w:r>
      <w:r w:rsidRPr="00AF183C" w:rsidR="001A0D5B">
        <w:rPr>
          <w:i/>
        </w:rPr>
        <w:t>V.M.</w:t>
      </w:r>
      <w:r w:rsidRPr="00AF183C" w:rsidR="007C2B9E">
        <w:rPr>
          <w:i/>
        </w:rPr>
        <w:t xml:space="preserve"> </w:t>
      </w:r>
      <w:r w:rsidRPr="00AF183C" w:rsidR="00EE1597">
        <w:rPr>
          <w:i/>
        </w:rPr>
        <w:t>v. the United Kingdom</w:t>
      </w:r>
      <w:r w:rsidRPr="00AF183C" w:rsidR="001A0D5B">
        <w:rPr>
          <w:i/>
        </w:rPr>
        <w:t xml:space="preserve">, </w:t>
      </w:r>
      <w:r w:rsidRPr="00AF183C" w:rsidR="001A0D5B">
        <w:t xml:space="preserve">cited above, the Court had not found any violation concerning </w:t>
      </w:r>
      <w:r w:rsidRPr="00AF183C" w:rsidR="00DF35DF">
        <w:t>the period of detention from 20 </w:t>
      </w:r>
      <w:r w:rsidRPr="00AF183C" w:rsidR="001A0D5B">
        <w:t xml:space="preserve">December 2009 to 22 July 2010, which was immediately prior to the </w:t>
      </w:r>
      <w:r w:rsidRPr="00AF183C" w:rsidR="00705202">
        <w:t xml:space="preserve">period challenged in the </w:t>
      </w:r>
      <w:r w:rsidRPr="00AF183C" w:rsidR="001A0D5B">
        <w:t xml:space="preserve">present application. As such, it was not possible for the applicant to argue that her detention from 22 July 2010 onwards must be in violation of the Convention. </w:t>
      </w:r>
      <w:r w:rsidRPr="00AF183C" w:rsidR="002E63E4">
        <w:t>T</w:t>
      </w:r>
      <w:r w:rsidRPr="00AF183C" w:rsidR="001A0D5B">
        <w:t>he applicant was at all material times a person against whom action was being taken with a view to deportati</w:t>
      </w:r>
      <w:r w:rsidRPr="00AF183C" w:rsidR="00BD0EF6">
        <w:t>on;</w:t>
      </w:r>
      <w:r w:rsidRPr="00AF183C" w:rsidR="001A0D5B">
        <w:t xml:space="preserve"> they had not acted in “bad faith”</w:t>
      </w:r>
      <w:r w:rsidRPr="00AF183C" w:rsidR="00BD0EF6">
        <w:t>,</w:t>
      </w:r>
      <w:r w:rsidRPr="00AF183C" w:rsidR="001A0D5B">
        <w:t xml:space="preserve"> and </w:t>
      </w:r>
      <w:r w:rsidRPr="00AF183C" w:rsidR="00BD0EF6">
        <w:t>aside from</w:t>
      </w:r>
      <w:r w:rsidRPr="00AF183C" w:rsidR="001A0D5B">
        <w:t xml:space="preserve"> the</w:t>
      </w:r>
      <w:r w:rsidRPr="00AF183C" w:rsidR="00400993">
        <w:t xml:space="preserve"> acknowledged</w:t>
      </w:r>
      <w:r w:rsidRPr="00AF183C" w:rsidR="001A0D5B">
        <w:t xml:space="preserve"> deficiencies </w:t>
      </w:r>
      <w:r w:rsidRPr="00AF183C" w:rsidR="009932B0">
        <w:t>in</w:t>
      </w:r>
      <w:r w:rsidRPr="00AF183C" w:rsidR="001A0D5B">
        <w:t xml:space="preserve"> the detention reviews, the authorities</w:t>
      </w:r>
      <w:r w:rsidRPr="00AF183C" w:rsidR="00FB1139">
        <w:t xml:space="preserve"> had</w:t>
      </w:r>
      <w:r w:rsidRPr="00AF183C" w:rsidR="001A0D5B">
        <w:t xml:space="preserve"> not failed to act with “due diligence”.</w:t>
      </w:r>
    </w:p>
    <w:p w:rsidRPr="00AF183C" w:rsidR="00C2154C" w:rsidP="00AF183C" w:rsidRDefault="007B0075">
      <w:pPr>
        <w:pStyle w:val="ECHRPara"/>
      </w:pPr>
      <w:r w:rsidRPr="00AF183C">
        <w:fldChar w:fldCharType="begin"/>
      </w:r>
      <w:r w:rsidRPr="00AF183C">
        <w:instrText xml:space="preserve"> SEQ level0 \*arabic </w:instrText>
      </w:r>
      <w:r w:rsidRPr="00AF183C">
        <w:fldChar w:fldCharType="separate"/>
      </w:r>
      <w:r w:rsidRPr="00AF183C" w:rsidR="00AF183C">
        <w:rPr>
          <w:noProof/>
        </w:rPr>
        <w:t>34</w:t>
      </w:r>
      <w:r w:rsidRPr="00AF183C">
        <w:fldChar w:fldCharType="end"/>
      </w:r>
      <w:r w:rsidRPr="00AF183C">
        <w:t>.  </w:t>
      </w:r>
      <w:r w:rsidRPr="00AF183C" w:rsidR="009932B0">
        <w:t xml:space="preserve">They also submitted that the applicant was responsible for the delays having initiated different legal challenges </w:t>
      </w:r>
      <w:r w:rsidRPr="00AF183C" w:rsidR="00BD0EF6">
        <w:t xml:space="preserve">to </w:t>
      </w:r>
      <w:r w:rsidRPr="00AF183C" w:rsidR="009932B0">
        <w:t>her detention and that the domestic courts had examined the applicant</w:t>
      </w:r>
      <w:r w:rsidRPr="00AF183C" w:rsidR="00AF183C">
        <w:t>’</w:t>
      </w:r>
      <w:r w:rsidRPr="00AF183C" w:rsidR="009932B0">
        <w:t>s present claim with the appropriate scrutiny giv</w:t>
      </w:r>
      <w:r w:rsidRPr="00AF183C" w:rsidR="00DF35DF">
        <w:t>en the length of her detention.</w:t>
      </w:r>
    </w:p>
    <w:p w:rsidRPr="00AF183C" w:rsidR="008E7031" w:rsidP="00AF183C" w:rsidRDefault="00DF35DF">
      <w:pPr>
        <w:pStyle w:val="ECHRHeading3"/>
      </w:pPr>
      <w:r w:rsidRPr="00AF183C">
        <w:t>2.  </w:t>
      </w:r>
      <w:r w:rsidRPr="00AF183C" w:rsidR="00EE0A0F">
        <w:t>General principles</w:t>
      </w:r>
    </w:p>
    <w:p w:rsidRPr="00AF183C" w:rsidR="00CD1A5A" w:rsidP="00AF183C" w:rsidRDefault="00EE0A0F">
      <w:pPr>
        <w:pStyle w:val="ECHRPara"/>
      </w:pPr>
      <w:r w:rsidRPr="00AF183C">
        <w:fldChar w:fldCharType="begin"/>
      </w:r>
      <w:r w:rsidRPr="00AF183C">
        <w:instrText xml:space="preserve"> SEQ level0 \*arabic </w:instrText>
      </w:r>
      <w:r w:rsidRPr="00AF183C">
        <w:fldChar w:fldCharType="separate"/>
      </w:r>
      <w:r w:rsidRPr="00AF183C" w:rsidR="00AF183C">
        <w:rPr>
          <w:noProof/>
        </w:rPr>
        <w:t>35</w:t>
      </w:r>
      <w:r w:rsidRPr="00AF183C">
        <w:fldChar w:fldCharType="end"/>
      </w:r>
      <w:r w:rsidRPr="00AF183C">
        <w:t xml:space="preserve">.  For a summary of the general principles see </w:t>
      </w:r>
      <w:r w:rsidRPr="00AF183C">
        <w:rPr>
          <w:i/>
        </w:rPr>
        <w:t>V.M.</w:t>
      </w:r>
      <w:r w:rsidRPr="00AF183C" w:rsidR="007C2B9E">
        <w:rPr>
          <w:i/>
        </w:rPr>
        <w:t xml:space="preserve"> </w:t>
      </w:r>
      <w:r w:rsidRPr="00AF183C" w:rsidR="00EE1597">
        <w:rPr>
          <w:i/>
        </w:rPr>
        <w:t>v. the United Kingdom</w:t>
      </w:r>
      <w:r w:rsidRPr="00AF183C">
        <w:t xml:space="preserve">, cited above, </w:t>
      </w:r>
      <w:r w:rsidRPr="00AF183C">
        <w:rPr>
          <w:rFonts w:cstheme="minorHAnsi"/>
        </w:rPr>
        <w:t>§§</w:t>
      </w:r>
      <w:r w:rsidRPr="00AF183C" w:rsidR="00DF35DF">
        <w:rPr>
          <w:rFonts w:cstheme="minorHAnsi"/>
        </w:rPr>
        <w:t> </w:t>
      </w:r>
      <w:r w:rsidRPr="00AF183C" w:rsidR="00DF35DF">
        <w:t>82</w:t>
      </w:r>
      <w:r w:rsidRPr="00AF183C" w:rsidR="00DF35DF">
        <w:noBreakHyphen/>
      </w:r>
      <w:r w:rsidRPr="00AF183C">
        <w:t>87. It is well established in the Court</w:t>
      </w:r>
      <w:r w:rsidRPr="00AF183C" w:rsidR="00AF183C">
        <w:t>’</w:t>
      </w:r>
      <w:r w:rsidRPr="00AF183C" w:rsidR="00E16035">
        <w:t>s case</w:t>
      </w:r>
      <w:r w:rsidRPr="00AF183C" w:rsidR="00E16035">
        <w:noBreakHyphen/>
      </w:r>
      <w:r w:rsidRPr="00AF183C">
        <w:t>law under the sub</w:t>
      </w:r>
      <w:r w:rsidRPr="00AF183C">
        <w:noBreakHyphen/>
        <w:t>paragraphs of Article 5 § 1 that any deprivation of liberty must, in addition to falling within one of the excep</w:t>
      </w:r>
      <w:r w:rsidRPr="00AF183C" w:rsidR="00DF35DF">
        <w:t>tions set out in sub</w:t>
      </w:r>
      <w:r w:rsidRPr="00AF183C" w:rsidR="007C2B9E">
        <w:noBreakHyphen/>
      </w:r>
      <w:r w:rsidRPr="00AF183C" w:rsidR="00DF35DF">
        <w:t>paragraphs </w:t>
      </w:r>
      <w:r w:rsidRPr="00AF183C">
        <w:t>(a) to (f), be “lawful”. In other words, it must conform to the substantive and procedural rules of domestic law</w:t>
      </w:r>
      <w:r w:rsidRPr="00AF183C" w:rsidR="009C38C3">
        <w:t>.</w:t>
      </w:r>
      <w:r w:rsidRPr="00AF183C">
        <w:t xml:space="preserve"> </w:t>
      </w:r>
      <w:r w:rsidRPr="00AF183C" w:rsidR="00CD1A5A">
        <w:t xml:space="preserve">In </w:t>
      </w:r>
      <w:r w:rsidRPr="00AF183C" w:rsidR="000D1636">
        <w:t>addition</w:t>
      </w:r>
      <w:r w:rsidRPr="00AF183C" w:rsidR="00CD1A5A">
        <w:t xml:space="preserve"> to the requirement of “lawfulness”, Article 5 </w:t>
      </w:r>
      <w:r w:rsidRPr="00AF183C" w:rsidR="00CD1A5A">
        <w:rPr>
          <w:rFonts w:cstheme="minorHAnsi"/>
        </w:rPr>
        <w:t>§</w:t>
      </w:r>
      <w:r w:rsidRPr="00AF183C" w:rsidR="00CD1A5A">
        <w:t xml:space="preserve"> 1 also requires that any deprivation of liberty should be in keeping with the purpose of </w:t>
      </w:r>
      <w:r w:rsidRPr="00AF183C" w:rsidR="000D1636">
        <w:t>protection</w:t>
      </w:r>
      <w:r w:rsidRPr="00AF183C" w:rsidR="00CD1A5A">
        <w:t xml:space="preserve"> the individual from arbitrariness (see </w:t>
      </w:r>
      <w:r w:rsidRPr="00AF183C" w:rsidR="00CD1A5A">
        <w:rPr>
          <w:i/>
        </w:rPr>
        <w:t>(V.M.</w:t>
      </w:r>
      <w:r w:rsidRPr="00AF183C" w:rsidR="00EE1597">
        <w:rPr>
          <w:i/>
        </w:rPr>
        <w:t xml:space="preserve"> v. the United Kingdom</w:t>
      </w:r>
      <w:r w:rsidRPr="00AF183C" w:rsidR="00CD1A5A">
        <w:rPr>
          <w:i/>
        </w:rPr>
        <w:t xml:space="preserve">, </w:t>
      </w:r>
      <w:r w:rsidRPr="00AF183C" w:rsidR="00CD1A5A">
        <w:t xml:space="preserve">cited above, </w:t>
      </w:r>
      <w:r w:rsidRPr="00AF183C" w:rsidR="00CD1A5A">
        <w:rPr>
          <w:rFonts w:cstheme="minorHAnsi"/>
        </w:rPr>
        <w:t>§</w:t>
      </w:r>
      <w:r w:rsidRPr="00AF183C" w:rsidR="00B93368">
        <w:t>§ </w:t>
      </w:r>
      <w:r w:rsidRPr="00AF183C" w:rsidR="00CD1A5A">
        <w:t>83-84)</w:t>
      </w:r>
      <w:r w:rsidRPr="00AF183C" w:rsidR="00CD1A5A">
        <w:rPr>
          <w:i/>
        </w:rPr>
        <w:t>.</w:t>
      </w:r>
    </w:p>
    <w:p w:rsidRPr="00AF183C" w:rsidR="00EE0A0F" w:rsidP="00AF183C" w:rsidRDefault="00995434">
      <w:pPr>
        <w:pStyle w:val="ECHRHeading3"/>
      </w:pPr>
      <w:r w:rsidRPr="00AF183C">
        <w:t>3.  </w:t>
      </w:r>
      <w:r w:rsidRPr="00AF183C" w:rsidR="00EE0A0F">
        <w:t>The Court</w:t>
      </w:r>
      <w:r w:rsidRPr="00AF183C" w:rsidR="00AF183C">
        <w:t>’</w:t>
      </w:r>
      <w:r w:rsidRPr="00AF183C" w:rsidR="00EE0A0F">
        <w:t>s assessment</w:t>
      </w:r>
    </w:p>
    <w:bookmarkStart w:name="thecourtsassessment" w:id="10"/>
    <w:p w:rsidRPr="00AF183C" w:rsidR="006223E5" w:rsidP="00AF183C" w:rsidRDefault="006223E5">
      <w:pPr>
        <w:pStyle w:val="ECHRPara"/>
      </w:pPr>
      <w:r w:rsidRPr="00AF183C">
        <w:fldChar w:fldCharType="begin"/>
      </w:r>
      <w:r w:rsidRPr="00AF183C">
        <w:instrText xml:space="preserve"> SEQ level0 \*arabic </w:instrText>
      </w:r>
      <w:r w:rsidRPr="00AF183C">
        <w:fldChar w:fldCharType="separate"/>
      </w:r>
      <w:r w:rsidRPr="00AF183C" w:rsidR="00AF183C">
        <w:rPr>
          <w:noProof/>
        </w:rPr>
        <w:t>36</w:t>
      </w:r>
      <w:r w:rsidRPr="00AF183C">
        <w:fldChar w:fldCharType="end"/>
      </w:r>
      <w:bookmarkEnd w:id="10"/>
      <w:r w:rsidRPr="00AF183C">
        <w:t>.  The Court notes that the applicant has not</w:t>
      </w:r>
      <w:r w:rsidRPr="00AF183C" w:rsidR="00B16CD5">
        <w:t xml:space="preserve"> directly</w:t>
      </w:r>
      <w:r w:rsidRPr="00AF183C">
        <w:t xml:space="preserve"> argued that her detention was </w:t>
      </w:r>
      <w:r w:rsidRPr="00AF183C" w:rsidR="00AF183C">
        <w:t>‘</w:t>
      </w:r>
      <w:r w:rsidRPr="00AF183C">
        <w:t>unlawful</w:t>
      </w:r>
      <w:r w:rsidRPr="00AF183C" w:rsidR="00AF183C">
        <w:t>’</w:t>
      </w:r>
      <w:r w:rsidRPr="00AF183C">
        <w:t>. Rather she has argued that the</w:t>
      </w:r>
      <w:r w:rsidRPr="00AF183C" w:rsidR="00B16CD5">
        <w:t xml:space="preserve"> deficiencies in the reviews of her detention identified by the</w:t>
      </w:r>
      <w:r w:rsidRPr="00AF183C">
        <w:t xml:space="preserve"> domestic courts</w:t>
      </w:r>
      <w:r w:rsidRPr="00AF183C" w:rsidR="00C601BF">
        <w:t xml:space="preserve"> in the context of unlawfulness</w:t>
      </w:r>
      <w:r w:rsidRPr="00AF183C" w:rsidR="00B16CD5">
        <w:t xml:space="preserve"> </w:t>
      </w:r>
      <w:r w:rsidRPr="00AF183C">
        <w:t>“sound” as a failure of “due diligence”</w:t>
      </w:r>
      <w:r w:rsidRPr="00AF183C" w:rsidR="00C601BF">
        <w:t>,</w:t>
      </w:r>
      <w:r w:rsidRPr="00AF183C">
        <w:t xml:space="preserve"> and accordingly </w:t>
      </w:r>
      <w:r w:rsidRPr="00AF183C" w:rsidR="009C38C3">
        <w:t>her detention was “arbitrary”</w:t>
      </w:r>
      <w:r w:rsidRPr="00AF183C">
        <w:t xml:space="preserve">. </w:t>
      </w:r>
      <w:r w:rsidRPr="00AF183C" w:rsidR="008A25DC">
        <w:t xml:space="preserve">However, the Court sees no reason to call into </w:t>
      </w:r>
      <w:r w:rsidRPr="00AF183C" w:rsidR="00010873">
        <w:t>question</w:t>
      </w:r>
      <w:r w:rsidRPr="00AF183C" w:rsidR="008A25DC">
        <w:t xml:space="preserve"> the findings of the </w:t>
      </w:r>
      <w:r w:rsidRPr="00AF183C" w:rsidR="009925B5">
        <w:t>Supreme Court</w:t>
      </w:r>
      <w:r w:rsidRPr="00AF183C" w:rsidR="008A25DC">
        <w:t xml:space="preserve"> that her detention dur</w:t>
      </w:r>
      <w:r w:rsidRPr="00AF183C" w:rsidR="00B31F26">
        <w:t>ing the</w:t>
      </w:r>
      <w:r w:rsidRPr="00AF183C" w:rsidR="00995434">
        <w:t xml:space="preserve"> period</w:t>
      </w:r>
      <w:r w:rsidRPr="00AF183C" w:rsidR="00B31F26">
        <w:t xml:space="preserve"> 4 March 2011 to 6</w:t>
      </w:r>
      <w:r w:rsidRPr="00AF183C" w:rsidR="003F1B49">
        <w:t xml:space="preserve"> </w:t>
      </w:r>
      <w:r w:rsidRPr="00AF183C" w:rsidR="00B31F26">
        <w:t>July 2011</w:t>
      </w:r>
      <w:r w:rsidRPr="00AF183C" w:rsidR="00995434">
        <w:t xml:space="preserve"> was </w:t>
      </w:r>
      <w:r w:rsidRPr="00AF183C" w:rsidR="00AF183C">
        <w:t>‘</w:t>
      </w:r>
      <w:r w:rsidRPr="00AF183C" w:rsidR="00995434">
        <w:t>unlawful</w:t>
      </w:r>
      <w:r w:rsidRPr="00AF183C" w:rsidR="00AF183C">
        <w:t>’</w:t>
      </w:r>
      <w:r w:rsidRPr="00AF183C" w:rsidR="00B16CD5">
        <w:t xml:space="preserve">, as also </w:t>
      </w:r>
      <w:r w:rsidRPr="00AF183C" w:rsidR="003E5A64">
        <w:t>accepted</w:t>
      </w:r>
      <w:r w:rsidRPr="00AF183C" w:rsidR="00B16CD5">
        <w:t xml:space="preserve"> by the Government</w:t>
      </w:r>
      <w:r w:rsidRPr="00AF183C" w:rsidR="005E5FB8">
        <w:t xml:space="preserve"> (see paragraph </w:t>
      </w:r>
      <w:r w:rsidRPr="00AF183C" w:rsidR="003E5A64">
        <w:fldChar w:fldCharType="begin"/>
      </w:r>
      <w:r w:rsidRPr="00AF183C" w:rsidR="003E5A64">
        <w:instrText xml:space="preserve"> REF Thegovernmentaccepted \h </w:instrText>
      </w:r>
      <w:r w:rsidRPr="00AF183C" w:rsidR="003E5A64">
        <w:fldChar w:fldCharType="separate"/>
      </w:r>
      <w:r w:rsidRPr="00AF183C" w:rsidR="00AF183C">
        <w:rPr>
          <w:noProof/>
        </w:rPr>
        <w:t>32</w:t>
      </w:r>
      <w:r w:rsidRPr="00AF183C" w:rsidR="003E5A64">
        <w:fldChar w:fldCharType="end"/>
      </w:r>
      <w:r w:rsidRPr="00AF183C" w:rsidR="005E5FB8">
        <w:t xml:space="preserve"> above)</w:t>
      </w:r>
      <w:r w:rsidRPr="00AF183C" w:rsidR="00B16CD5">
        <w:t>.</w:t>
      </w:r>
    </w:p>
    <w:p w:rsidRPr="00AF183C" w:rsidR="008E7031" w:rsidP="00AF183C" w:rsidRDefault="00EE0A0F">
      <w:pPr>
        <w:pStyle w:val="ECHRPara"/>
      </w:pPr>
      <w:r w:rsidRPr="00AF183C">
        <w:fldChar w:fldCharType="begin"/>
      </w:r>
      <w:r w:rsidRPr="00AF183C">
        <w:instrText xml:space="preserve"> SEQ level0 \*arabic </w:instrText>
      </w:r>
      <w:r w:rsidRPr="00AF183C">
        <w:fldChar w:fldCharType="separate"/>
      </w:r>
      <w:r w:rsidRPr="00AF183C" w:rsidR="00AF183C">
        <w:rPr>
          <w:noProof/>
        </w:rPr>
        <w:t>37</w:t>
      </w:r>
      <w:r w:rsidRPr="00AF183C">
        <w:fldChar w:fldCharType="end"/>
      </w:r>
      <w:r w:rsidRPr="00AF183C">
        <w:t>.  The</w:t>
      </w:r>
      <w:r w:rsidRPr="00AF183C" w:rsidR="003C6F7A">
        <w:t xml:space="preserve"> question is therefore whether the </w:t>
      </w:r>
      <w:r w:rsidRPr="00AF183C" w:rsidR="00C86D44">
        <w:t>applicant received sufficient redress for th</w:t>
      </w:r>
      <w:r w:rsidRPr="00AF183C" w:rsidR="00392558">
        <w:t>at</w:t>
      </w:r>
      <w:r w:rsidRPr="00AF183C" w:rsidR="00C86D44">
        <w:t xml:space="preserve"> </w:t>
      </w:r>
      <w:r w:rsidRPr="00AF183C" w:rsidR="00354F0F">
        <w:t>period of unlawful detention</w:t>
      </w:r>
      <w:r w:rsidRPr="00AF183C" w:rsidR="003C6F7A">
        <w:t xml:space="preserve">. In this connection the </w:t>
      </w:r>
      <w:r w:rsidRPr="00AF183C">
        <w:t xml:space="preserve">Court </w:t>
      </w:r>
      <w:r w:rsidRPr="00AF183C" w:rsidR="003C6F7A">
        <w:t>n</w:t>
      </w:r>
      <w:r w:rsidRPr="00AF183C" w:rsidR="009C460F">
        <w:t>otes that</w:t>
      </w:r>
      <w:r w:rsidRPr="00AF183C" w:rsidR="00C86D44">
        <w:t>,</w:t>
      </w:r>
      <w:r w:rsidRPr="00AF183C" w:rsidR="009C460F">
        <w:t xml:space="preserve"> in taking the </w:t>
      </w:r>
      <w:r w:rsidRPr="00AF183C" w:rsidR="003C6F7A">
        <w:t xml:space="preserve">view that the applicant </w:t>
      </w:r>
      <w:r w:rsidRPr="00AF183C" w:rsidR="00354F0F">
        <w:t>c</w:t>
      </w:r>
      <w:r w:rsidRPr="00AF183C" w:rsidR="003C6F7A">
        <w:t>ould not have been released sooner had her detention reviews been correctly conducted,</w:t>
      </w:r>
      <w:r w:rsidRPr="00AF183C">
        <w:t xml:space="preserve"> the</w:t>
      </w:r>
      <w:r w:rsidRPr="00AF183C" w:rsidR="003C6F7A">
        <w:t xml:space="preserve"> domestic courts accept</w:t>
      </w:r>
      <w:r w:rsidRPr="00AF183C" w:rsidR="00426135">
        <w:t>ed that</w:t>
      </w:r>
      <w:r w:rsidRPr="00AF183C" w:rsidR="00037362">
        <w:t xml:space="preserve"> it would not have been </w:t>
      </w:r>
      <w:r w:rsidRPr="00AF183C" w:rsidR="008C4AA0">
        <w:t xml:space="preserve">possible </w:t>
      </w:r>
      <w:r w:rsidRPr="00AF183C" w:rsidR="009C460F">
        <w:t>to release her sooner</w:t>
      </w:r>
      <w:r w:rsidRPr="00AF183C" w:rsidR="00426135">
        <w:t xml:space="preserve"> for practical reasons</w:t>
      </w:r>
      <w:r w:rsidRPr="00AF183C" w:rsidR="009C460F">
        <w:t xml:space="preserve"> </w:t>
      </w:r>
      <w:r w:rsidRPr="00AF183C" w:rsidR="00037362">
        <w:t xml:space="preserve">(see </w:t>
      </w:r>
      <w:r w:rsidRPr="00AF183C" w:rsidR="008C4AA0">
        <w:t>paragraphs</w:t>
      </w:r>
      <w:r w:rsidRPr="00AF183C" w:rsidR="00037362">
        <w:t xml:space="preserve"> </w:t>
      </w:r>
      <w:r w:rsidRPr="00AF183C" w:rsidR="00003586">
        <w:fldChar w:fldCharType="begin"/>
      </w:r>
      <w:r w:rsidRPr="00AF183C" w:rsidR="00003586">
        <w:instrText xml:space="preserve"> REF hewentontotcomment \h </w:instrText>
      </w:r>
      <w:r w:rsidRPr="00AF183C" w:rsidR="00003586">
        <w:fldChar w:fldCharType="separate"/>
      </w:r>
      <w:r w:rsidRPr="00AF183C" w:rsidR="00AF183C">
        <w:rPr>
          <w:noProof/>
        </w:rPr>
        <w:t>17</w:t>
      </w:r>
      <w:r w:rsidRPr="00AF183C" w:rsidR="00003586">
        <w:fldChar w:fldCharType="end"/>
      </w:r>
      <w:r w:rsidRPr="00AF183C" w:rsidR="00037362">
        <w:t xml:space="preserve"> and </w:t>
      </w:r>
      <w:r w:rsidRPr="00AF183C" w:rsidR="002D3555">
        <w:fldChar w:fldCharType="begin"/>
      </w:r>
      <w:r w:rsidRPr="00AF183C" w:rsidR="002D3555">
        <w:instrText xml:space="preserve"> REF ITdismissedtheappeal \h </w:instrText>
      </w:r>
      <w:r w:rsidRPr="00AF183C" w:rsidR="002D3555">
        <w:fldChar w:fldCharType="separate"/>
      </w:r>
      <w:r w:rsidRPr="00AF183C" w:rsidR="00AF183C">
        <w:rPr>
          <w:noProof/>
        </w:rPr>
        <w:t>18</w:t>
      </w:r>
      <w:r w:rsidRPr="00AF183C" w:rsidR="002D3555">
        <w:fldChar w:fldCharType="end"/>
      </w:r>
      <w:r w:rsidRPr="00AF183C" w:rsidR="00037362">
        <w:t xml:space="preserve"> above)</w:t>
      </w:r>
      <w:r w:rsidRPr="00AF183C" w:rsidR="009C460F">
        <w:t>.</w:t>
      </w:r>
    </w:p>
    <w:p w:rsidRPr="00AF183C" w:rsidR="00EE0A0F" w:rsidP="00AF183C" w:rsidRDefault="00EE0A0F">
      <w:pPr>
        <w:pStyle w:val="ECHRPara"/>
        <w:rPr>
          <w:i/>
        </w:rPr>
      </w:pPr>
      <w:r w:rsidRPr="00AF183C">
        <w:fldChar w:fldCharType="begin"/>
      </w:r>
      <w:r w:rsidRPr="00AF183C">
        <w:instrText xml:space="preserve"> SEQ level0 \*arabic </w:instrText>
      </w:r>
      <w:r w:rsidRPr="00AF183C">
        <w:fldChar w:fldCharType="separate"/>
      </w:r>
      <w:r w:rsidRPr="00AF183C" w:rsidR="00AF183C">
        <w:rPr>
          <w:noProof/>
        </w:rPr>
        <w:t>38</w:t>
      </w:r>
      <w:r w:rsidRPr="00AF183C">
        <w:fldChar w:fldCharType="end"/>
      </w:r>
      <w:r w:rsidRPr="00AF183C">
        <w:t>.  </w:t>
      </w:r>
      <w:r w:rsidRPr="00AF183C" w:rsidR="009C38C3">
        <w:t>T</w:t>
      </w:r>
      <w:r w:rsidRPr="00AF183C">
        <w:t xml:space="preserve">he Court </w:t>
      </w:r>
      <w:r w:rsidRPr="00AF183C" w:rsidR="00C86D44">
        <w:t>has difficulty</w:t>
      </w:r>
      <w:r w:rsidRPr="00AF183C">
        <w:t xml:space="preserve"> accept</w:t>
      </w:r>
      <w:r w:rsidRPr="00AF183C" w:rsidR="00C86D44">
        <w:t>ing</w:t>
      </w:r>
      <w:r w:rsidRPr="00AF183C" w:rsidR="0047660B">
        <w:t xml:space="preserve"> </w:t>
      </w:r>
      <w:r w:rsidRPr="00AF183C">
        <w:t>the Government</w:t>
      </w:r>
      <w:r w:rsidRPr="00AF183C" w:rsidR="00AF183C">
        <w:t>’</w:t>
      </w:r>
      <w:r w:rsidRPr="00AF183C">
        <w:t xml:space="preserve">s </w:t>
      </w:r>
      <w:r w:rsidRPr="00AF183C" w:rsidR="008C4AA0">
        <w:t>submission</w:t>
      </w:r>
      <w:r w:rsidRPr="00AF183C">
        <w:t xml:space="preserve"> that </w:t>
      </w:r>
      <w:r w:rsidRPr="00AF183C" w:rsidR="008C4AA0">
        <w:t>because the necessary practical arrangements had not been made, the applicant could not have been released sooner</w:t>
      </w:r>
      <w:r w:rsidRPr="00AF183C" w:rsidR="00C601BF">
        <w:t xml:space="preserve"> and in particular that her detention would have been lawful until such arrangements had been made (see paragraph </w:t>
      </w:r>
      <w:r w:rsidRPr="00AF183C" w:rsidR="0068444F">
        <w:fldChar w:fldCharType="begin"/>
      </w:r>
      <w:r w:rsidRPr="00AF183C" w:rsidR="0068444F">
        <w:instrText xml:space="preserve"> REF Thegovernmentaccepted \h </w:instrText>
      </w:r>
      <w:r w:rsidRPr="00AF183C" w:rsidR="0068444F">
        <w:fldChar w:fldCharType="separate"/>
      </w:r>
      <w:r w:rsidRPr="00AF183C" w:rsidR="00AF183C">
        <w:rPr>
          <w:noProof/>
        </w:rPr>
        <w:t>32</w:t>
      </w:r>
      <w:r w:rsidRPr="00AF183C" w:rsidR="0068444F">
        <w:fldChar w:fldCharType="end"/>
      </w:r>
      <w:r w:rsidRPr="00AF183C" w:rsidR="00C601BF">
        <w:t xml:space="preserve"> above).</w:t>
      </w:r>
      <w:r w:rsidRPr="00AF183C">
        <w:t xml:space="preserve"> </w:t>
      </w:r>
      <w:r w:rsidRPr="00AF183C" w:rsidR="00763A53">
        <w:t>S</w:t>
      </w:r>
      <w:r w:rsidRPr="00AF183C">
        <w:t>ome delay in implementing a decision to release a detainee is understandable, and often inevitable, in view of practical considerations relating to the running of the courts and the observance of particular formalities. However, the national authorities must attempt to keep this to a minimum. It is for the Contracting States to organise their system</w:t>
      </w:r>
      <w:r w:rsidRPr="00AF183C" w:rsidR="00AA5E84">
        <w:t>s</w:t>
      </w:r>
      <w:r w:rsidRPr="00AF183C">
        <w:t xml:space="preserve"> in such a way that their authorities can meet the obligation to avoid unjustified deprivation of liberty (see </w:t>
      </w:r>
      <w:r w:rsidRPr="00AF183C">
        <w:rPr>
          <w:i/>
        </w:rPr>
        <w:t>Ruslan Yakovenko</w:t>
      </w:r>
      <w:r w:rsidRPr="00AF183C">
        <w:t xml:space="preserve"> </w:t>
      </w:r>
      <w:r w:rsidRPr="00AF183C" w:rsidR="00995434">
        <w:rPr>
          <w:i/>
        </w:rPr>
        <w:t>v.</w:t>
      </w:r>
      <w:r w:rsidRPr="00AF183C" w:rsidR="003F1B49">
        <w:rPr>
          <w:i/>
        </w:rPr>
        <w:t xml:space="preserve"> </w:t>
      </w:r>
      <w:r w:rsidRPr="00AF183C">
        <w:rPr>
          <w:i/>
        </w:rPr>
        <w:t>Ukraine</w:t>
      </w:r>
      <w:r w:rsidRPr="00AF183C" w:rsidR="002B2F4A">
        <w:t>, no. </w:t>
      </w:r>
      <w:r w:rsidRPr="00AF183C">
        <w:t xml:space="preserve">5425/11, § </w:t>
      </w:r>
      <w:r w:rsidRPr="00AF183C" w:rsidR="00FB1139">
        <w:t>6</w:t>
      </w:r>
      <w:r w:rsidRPr="00AF183C">
        <w:t>8, ECHR 2015 with further references).</w:t>
      </w:r>
      <w:r w:rsidRPr="00AF183C" w:rsidR="009C38C3">
        <w:t xml:space="preserve"> As the Government have submitted elsewhere</w:t>
      </w:r>
      <w:r w:rsidRPr="00AF183C" w:rsidR="00675B1C">
        <w:t>,</w:t>
      </w:r>
      <w:r w:rsidRPr="00AF183C" w:rsidR="00610CF3">
        <w:t xml:space="preserve"> as a matter of domestic law</w:t>
      </w:r>
      <w:r w:rsidRPr="00AF183C" w:rsidR="009C38C3">
        <w:t xml:space="preserve"> the right to liberty is</w:t>
      </w:r>
      <w:r w:rsidRPr="00AF183C" w:rsidR="00610CF3">
        <w:t xml:space="preserve"> recognised as being</w:t>
      </w:r>
      <w:r w:rsidRPr="00AF183C" w:rsidR="001056B8">
        <w:t xml:space="preserve"> of ancient origin and</w:t>
      </w:r>
      <w:r w:rsidRPr="00AF183C" w:rsidR="009C38C3">
        <w:t xml:space="preserve"> the burden is on the person who has detained another to show that he had lawful authority to do so: the responsibility lay with the </w:t>
      </w:r>
      <w:r w:rsidRPr="00AF183C" w:rsidR="00675B1C">
        <w:t>Government</w:t>
      </w:r>
      <w:r w:rsidRPr="00AF183C" w:rsidR="009C38C3">
        <w:t xml:space="preserve"> to ensure that the detention was (and remained) lawful (see </w:t>
      </w:r>
      <w:r w:rsidRPr="00AF183C" w:rsidR="009C38C3">
        <w:rPr>
          <w:i/>
          <w:iCs/>
        </w:rPr>
        <w:t>S.M.M. v. the United Kingdom</w:t>
      </w:r>
      <w:r w:rsidRPr="00AF183C" w:rsidR="009C38C3">
        <w:rPr>
          <w:iCs/>
        </w:rPr>
        <w:t xml:space="preserve">, </w:t>
      </w:r>
      <w:r w:rsidRPr="00AF183C" w:rsidR="00995434">
        <w:t>no.</w:t>
      </w:r>
      <w:r w:rsidRPr="00AF183C" w:rsidR="003F1B49">
        <w:t xml:space="preserve"> </w:t>
      </w:r>
      <w:r w:rsidRPr="00AF183C" w:rsidR="00B93368">
        <w:t>77450/12, § </w:t>
      </w:r>
      <w:r w:rsidRPr="00AF183C" w:rsidR="009C38C3">
        <w:t>85</w:t>
      </w:r>
      <w:r w:rsidRPr="00AF183C" w:rsidR="00E15846">
        <w:t>, 22 </w:t>
      </w:r>
      <w:r w:rsidRPr="00AF183C" w:rsidR="009C38C3">
        <w:t>June 2017).</w:t>
      </w:r>
      <w:r w:rsidRPr="00AF183C">
        <w:t xml:space="preserve"> </w:t>
      </w:r>
      <w:r w:rsidRPr="00AF183C" w:rsidR="00E15F76">
        <w:t>In this connection</w:t>
      </w:r>
      <w:r w:rsidRPr="00AF183C" w:rsidR="008B7ADF">
        <w:t>,</w:t>
      </w:r>
      <w:r w:rsidRPr="00AF183C" w:rsidR="00E15F76">
        <w:t xml:space="preserve"> the Court </w:t>
      </w:r>
      <w:r w:rsidRPr="00AF183C" w:rsidR="008B7ADF">
        <w:t>takes account of</w:t>
      </w:r>
      <w:r w:rsidRPr="00AF183C" w:rsidR="00E15F76">
        <w:t xml:space="preserve"> the applicant</w:t>
      </w:r>
      <w:r w:rsidRPr="00AF183C" w:rsidR="00AF183C">
        <w:t>’</w:t>
      </w:r>
      <w:r w:rsidRPr="00AF183C" w:rsidR="008B7ADF">
        <w:t>s</w:t>
      </w:r>
      <w:r w:rsidRPr="00AF183C" w:rsidR="00E15F76">
        <w:t xml:space="preserve"> </w:t>
      </w:r>
      <w:r w:rsidRPr="00AF183C" w:rsidR="00AF183C">
        <w:t>‘</w:t>
      </w:r>
      <w:r w:rsidRPr="00AF183C" w:rsidR="009C460F">
        <w:t>worryingly long</w:t>
      </w:r>
      <w:r w:rsidRPr="00AF183C" w:rsidR="00AF183C">
        <w:t>’</w:t>
      </w:r>
      <w:r w:rsidRPr="00AF183C" w:rsidR="009C460F">
        <w:t xml:space="preserve"> detention and her vulnerability as someone suffering from mental health problems</w:t>
      </w:r>
      <w:r w:rsidRPr="00AF183C" w:rsidR="00675B1C">
        <w:t>, a</w:t>
      </w:r>
      <w:r w:rsidRPr="00AF183C" w:rsidR="00D01C14">
        <w:t>nd that both these elements of her</w:t>
      </w:r>
      <w:r w:rsidRPr="00AF183C" w:rsidR="00675B1C">
        <w:t xml:space="preserve"> situation </w:t>
      </w:r>
      <w:r w:rsidRPr="00AF183C" w:rsidR="00752959">
        <w:t xml:space="preserve">must have been </w:t>
      </w:r>
      <w:r w:rsidRPr="00AF183C" w:rsidR="00675B1C">
        <w:t xml:space="preserve">known </w:t>
      </w:r>
      <w:r w:rsidRPr="00AF183C" w:rsidR="00ED2DB0">
        <w:t>by</w:t>
      </w:r>
      <w:r w:rsidRPr="00AF183C" w:rsidR="00675B1C">
        <w:t xml:space="preserve"> the relevant authorities</w:t>
      </w:r>
      <w:r w:rsidRPr="00AF183C" w:rsidR="009C460F">
        <w:t>.</w:t>
      </w:r>
    </w:p>
    <w:p w:rsidRPr="00AF183C" w:rsidR="00AF7C48" w:rsidP="00AF183C" w:rsidRDefault="00C86D44">
      <w:pPr>
        <w:pStyle w:val="ECHRPara"/>
      </w:pPr>
      <w:r w:rsidRPr="00AF183C">
        <w:fldChar w:fldCharType="begin"/>
      </w:r>
      <w:r w:rsidRPr="00AF183C">
        <w:instrText xml:space="preserve"> SEQ level0 \*arabic </w:instrText>
      </w:r>
      <w:r w:rsidRPr="00AF183C">
        <w:fldChar w:fldCharType="separate"/>
      </w:r>
      <w:r w:rsidRPr="00AF183C" w:rsidR="00AF183C">
        <w:rPr>
          <w:noProof/>
        </w:rPr>
        <w:t>39</w:t>
      </w:r>
      <w:r w:rsidRPr="00AF183C">
        <w:fldChar w:fldCharType="end"/>
      </w:r>
      <w:r w:rsidRPr="00AF183C">
        <w:t>.  </w:t>
      </w:r>
      <w:r w:rsidRPr="00AF183C" w:rsidR="00ED2DB0">
        <w:t>The applicant accepted in the domestic proceedings that she would not have been immediately released</w:t>
      </w:r>
      <w:r w:rsidRPr="00AF183C" w:rsidR="006E4EF8">
        <w:t xml:space="preserve"> in March 2011</w:t>
      </w:r>
      <w:r w:rsidRPr="00AF183C" w:rsidR="00ED2DB0">
        <w:t xml:space="preserve"> even if the detention </w:t>
      </w:r>
      <w:r w:rsidRPr="00AF183C" w:rsidR="00CE15D2">
        <w:t>reviews</w:t>
      </w:r>
      <w:r w:rsidRPr="00AF183C" w:rsidR="00ED2DB0">
        <w:t xml:space="preserve"> had been carried out correctly (see paragraph </w:t>
      </w:r>
      <w:r w:rsidRPr="00AF183C" w:rsidR="00CE15D2">
        <w:fldChar w:fldCharType="begin"/>
      </w:r>
      <w:r w:rsidRPr="00AF183C" w:rsidR="00CE15D2">
        <w:instrText xml:space="preserve"> REF hewentontotcomment \h </w:instrText>
      </w:r>
      <w:r w:rsidRPr="00AF183C" w:rsidR="00CE15D2">
        <w:fldChar w:fldCharType="separate"/>
      </w:r>
      <w:r w:rsidRPr="00AF183C" w:rsidR="00AF183C">
        <w:rPr>
          <w:noProof/>
        </w:rPr>
        <w:t>17</w:t>
      </w:r>
      <w:r w:rsidRPr="00AF183C" w:rsidR="00CE15D2">
        <w:fldChar w:fldCharType="end"/>
      </w:r>
      <w:r w:rsidRPr="00AF183C" w:rsidR="00ED2DB0">
        <w:t xml:space="preserve"> above).</w:t>
      </w:r>
      <w:r w:rsidRPr="00AF183C" w:rsidR="00CE15D2">
        <w:t xml:space="preserve"> The Court </w:t>
      </w:r>
      <w:r w:rsidRPr="00AF183C" w:rsidR="00F705EB">
        <w:t>observes that</w:t>
      </w:r>
      <w:r w:rsidRPr="00AF183C" w:rsidR="00CE15D2">
        <w:t xml:space="preserve"> the Supreme Court </w:t>
      </w:r>
      <w:r w:rsidRPr="00AF183C" w:rsidR="00F705EB">
        <w:t>found</w:t>
      </w:r>
      <w:r w:rsidRPr="00AF183C" w:rsidR="00CE15D2">
        <w:t xml:space="preserve"> this concession was probably realistic but it considers equally that it is not possible</w:t>
      </w:r>
      <w:r w:rsidRPr="00AF183C" w:rsidR="00763A53">
        <w:t xml:space="preserve"> to</w:t>
      </w:r>
      <w:r w:rsidRPr="00AF183C" w:rsidR="00CE15D2">
        <w:t xml:space="preserve"> know</w:t>
      </w:r>
      <w:r w:rsidRPr="00AF183C" w:rsidR="00763A53">
        <w:t xml:space="preserve"> </w:t>
      </w:r>
      <w:r w:rsidRPr="00AF183C" w:rsidR="00CE15D2">
        <w:t xml:space="preserve">when </w:t>
      </w:r>
      <w:r w:rsidRPr="00AF183C" w:rsidR="00763A53">
        <w:t xml:space="preserve">the applicant </w:t>
      </w:r>
      <w:r w:rsidRPr="00AF183C" w:rsidR="00CE15D2">
        <w:t>would</w:t>
      </w:r>
      <w:r w:rsidRPr="00AF183C" w:rsidR="00DB6A1F">
        <w:t xml:space="preserve"> have </w:t>
      </w:r>
      <w:r w:rsidRPr="00AF183C" w:rsidR="00763A53">
        <w:t>been released had the detention reviews been correctly conducted and</w:t>
      </w:r>
      <w:r w:rsidRPr="00AF183C" w:rsidR="00074E2B">
        <w:t xml:space="preserve"> </w:t>
      </w:r>
      <w:r w:rsidRPr="00AF183C" w:rsidR="00763A53">
        <w:t>the appropriate arrangements for her release made in light of the obligation identified above.</w:t>
      </w:r>
      <w:r w:rsidRPr="00AF183C" w:rsidR="00CE15D2">
        <w:t xml:space="preserve"> </w:t>
      </w:r>
      <w:r w:rsidRPr="00AF183C" w:rsidR="009925B5">
        <w:t>I</w:t>
      </w:r>
      <w:r w:rsidRPr="00AF183C" w:rsidR="00CE15D2">
        <w:t>n</w:t>
      </w:r>
      <w:r w:rsidRPr="00AF183C" w:rsidR="00037362">
        <w:t xml:space="preserve"> this respect, t</w:t>
      </w:r>
      <w:r w:rsidRPr="00AF183C" w:rsidR="00613D2C">
        <w:t>he circumstances of the period of unlawful detention in the present case are different from those</w:t>
      </w:r>
      <w:r w:rsidRPr="00AF183C" w:rsidR="00037362">
        <w:t xml:space="preserve"> examined</w:t>
      </w:r>
      <w:r w:rsidRPr="00AF183C" w:rsidR="00613D2C">
        <w:t xml:space="preserve"> in </w:t>
      </w:r>
      <w:r w:rsidRPr="00AF183C" w:rsidR="00037362">
        <w:t>its previous</w:t>
      </w:r>
      <w:r w:rsidRPr="00AF183C" w:rsidR="00613D2C">
        <w:t xml:space="preserve"> judgment</w:t>
      </w:r>
      <w:r w:rsidRPr="00AF183C" w:rsidR="00037362">
        <w:t xml:space="preserve"> concerning the applicant, where</w:t>
      </w:r>
      <w:r w:rsidRPr="00AF183C" w:rsidR="00613D2C">
        <w:t xml:space="preserve"> the </w:t>
      </w:r>
      <w:r w:rsidRPr="00AF183C" w:rsidR="00037362">
        <w:t>Court of Appeal</w:t>
      </w:r>
      <w:r w:rsidRPr="00AF183C" w:rsidR="00FB1139">
        <w:t xml:space="preserve"> had reassessed</w:t>
      </w:r>
      <w:r w:rsidRPr="00AF183C" w:rsidR="00613D2C">
        <w:t xml:space="preserve"> all the evidence in the case and</w:t>
      </w:r>
      <w:r w:rsidRPr="00AF183C" w:rsidR="00FB1139">
        <w:t xml:space="preserve"> had</w:t>
      </w:r>
      <w:r w:rsidRPr="00AF183C" w:rsidR="00613D2C">
        <w:t xml:space="preserve"> concluded that the applicant could have been detained lawfully</w:t>
      </w:r>
      <w:r w:rsidRPr="00AF183C" w:rsidR="008B7ADF">
        <w:t xml:space="preserve"> during the relevant period</w:t>
      </w:r>
      <w:r w:rsidRPr="00AF183C" w:rsidR="00613D2C">
        <w:t xml:space="preserve"> (see </w:t>
      </w:r>
      <w:r w:rsidRPr="00AF183C" w:rsidR="00613D2C">
        <w:rPr>
          <w:i/>
        </w:rPr>
        <w:t>V.M.</w:t>
      </w:r>
      <w:r w:rsidRPr="00AF183C" w:rsidR="0026314B">
        <w:rPr>
          <w:i/>
        </w:rPr>
        <w:t xml:space="preserve"> v</w:t>
      </w:r>
      <w:r w:rsidRPr="00AF183C" w:rsidR="007C2B9E">
        <w:rPr>
          <w:i/>
        </w:rPr>
        <w:t>.</w:t>
      </w:r>
      <w:r w:rsidRPr="00AF183C" w:rsidR="003F1B49">
        <w:rPr>
          <w:i/>
        </w:rPr>
        <w:t xml:space="preserve"> </w:t>
      </w:r>
      <w:r w:rsidRPr="00AF183C" w:rsidR="0026314B">
        <w:rPr>
          <w:i/>
        </w:rPr>
        <w:t>the United Kingdom</w:t>
      </w:r>
      <w:r w:rsidRPr="00AF183C" w:rsidR="00613D2C">
        <w:rPr>
          <w:i/>
        </w:rPr>
        <w:t xml:space="preserve">, </w:t>
      </w:r>
      <w:r w:rsidRPr="00AF183C" w:rsidR="00613D2C">
        <w:t>cited above</w:t>
      </w:r>
      <w:r w:rsidRPr="00AF183C" w:rsidR="00613D2C">
        <w:rPr>
          <w:i/>
        </w:rPr>
        <w:t xml:space="preserve">, </w:t>
      </w:r>
      <w:r w:rsidRPr="00AF183C" w:rsidR="00613D2C">
        <w:rPr>
          <w:rFonts w:cstheme="minorHAnsi"/>
        </w:rPr>
        <w:t>§</w:t>
      </w:r>
      <w:r w:rsidRPr="00AF183C" w:rsidR="00074E2B">
        <w:t xml:space="preserve"> </w:t>
      </w:r>
      <w:r w:rsidRPr="00AF183C" w:rsidR="00613D2C">
        <w:t>45).</w:t>
      </w:r>
      <w:r w:rsidRPr="00AF183C" w:rsidR="00613D2C">
        <w:rPr>
          <w:i/>
        </w:rPr>
        <w:t xml:space="preserve"> </w:t>
      </w:r>
      <w:r w:rsidRPr="00AF183C" w:rsidR="00763A53">
        <w:t>W</w:t>
      </w:r>
      <w:r w:rsidRPr="00AF183C">
        <w:t>hat can be said</w:t>
      </w:r>
      <w:r w:rsidRPr="00AF183C" w:rsidR="00F705EB">
        <w:t xml:space="preserve"> in the present case</w:t>
      </w:r>
      <w:r w:rsidRPr="00AF183C" w:rsidR="00995434">
        <w:t xml:space="preserve"> is that </w:t>
      </w:r>
      <w:r w:rsidRPr="00AF183C">
        <w:t xml:space="preserve">the applicant was </w:t>
      </w:r>
      <w:r w:rsidRPr="00AF183C" w:rsidR="00DB6A1F">
        <w:t xml:space="preserve">unlawfully </w:t>
      </w:r>
      <w:r w:rsidRPr="00AF183C">
        <w:t>detained</w:t>
      </w:r>
      <w:r w:rsidRPr="00AF183C" w:rsidR="00067649">
        <w:t xml:space="preserve"> from 4 March 2011 to 6</w:t>
      </w:r>
      <w:r w:rsidRPr="00AF183C" w:rsidR="003F1B49">
        <w:t xml:space="preserve"> </w:t>
      </w:r>
      <w:r w:rsidRPr="00AF183C" w:rsidR="00067649">
        <w:t>July 2011</w:t>
      </w:r>
      <w:r w:rsidRPr="00AF183C">
        <w:t xml:space="preserve"> </w:t>
      </w:r>
      <w:r w:rsidRPr="00AF183C" w:rsidR="00752959">
        <w:t>due to the deficiencies in her detention reviews</w:t>
      </w:r>
      <w:r w:rsidRPr="00AF183C" w:rsidR="00067649">
        <w:t>;</w:t>
      </w:r>
      <w:r w:rsidRPr="00AF183C" w:rsidR="00752959">
        <w:t xml:space="preserve"> </w:t>
      </w:r>
      <w:r w:rsidRPr="00AF183C" w:rsidR="00067649">
        <w:t>the need to redress that</w:t>
      </w:r>
      <w:r w:rsidRPr="00AF183C" w:rsidR="00F705EB">
        <w:t xml:space="preserve"> unlawfulness was not </w:t>
      </w:r>
      <w:r w:rsidRPr="00AF183C" w:rsidR="006A1948">
        <w:t>lessened</w:t>
      </w:r>
      <w:r w:rsidRPr="00AF183C" w:rsidR="00F705EB">
        <w:t xml:space="preserve"> </w:t>
      </w:r>
      <w:r w:rsidRPr="00AF183C" w:rsidR="006A1948">
        <w:t>b</w:t>
      </w:r>
      <w:r w:rsidRPr="00AF183C" w:rsidR="00067649">
        <w:t>ecause</w:t>
      </w:r>
      <w:r w:rsidRPr="00AF183C" w:rsidR="000D2C5D">
        <w:t xml:space="preserve"> the </w:t>
      </w:r>
      <w:r w:rsidRPr="00AF183C" w:rsidR="006770B7">
        <w:t xml:space="preserve">State did not make </w:t>
      </w:r>
      <w:r w:rsidRPr="00AF183C" w:rsidR="00F705EB">
        <w:t>appropriate</w:t>
      </w:r>
      <w:r w:rsidRPr="00AF183C" w:rsidR="00752959">
        <w:t xml:space="preserve"> arrangements</w:t>
      </w:r>
      <w:r w:rsidRPr="00AF183C" w:rsidR="00F705EB">
        <w:t xml:space="preserve"> for her release</w:t>
      </w:r>
      <w:r w:rsidRPr="00AF183C" w:rsidR="00067649">
        <w:t xml:space="preserve"> during that period</w:t>
      </w:r>
      <w:r w:rsidRPr="00AF183C" w:rsidR="00752959">
        <w:t>.</w:t>
      </w:r>
    </w:p>
    <w:bookmarkStart w:name="therehasaccordingly" w:id="11"/>
    <w:p w:rsidRPr="00AF183C" w:rsidR="00D420F3" w:rsidP="00AF183C" w:rsidRDefault="00DB6A1F">
      <w:pPr>
        <w:pStyle w:val="ECHRPara"/>
      </w:pPr>
      <w:r w:rsidRPr="00AF183C">
        <w:fldChar w:fldCharType="begin"/>
      </w:r>
      <w:r w:rsidRPr="00AF183C">
        <w:instrText xml:space="preserve"> SEQ level0 \*arabic </w:instrText>
      </w:r>
      <w:r w:rsidRPr="00AF183C">
        <w:fldChar w:fldCharType="separate"/>
      </w:r>
      <w:r w:rsidRPr="00AF183C" w:rsidR="00AF183C">
        <w:rPr>
          <w:noProof/>
        </w:rPr>
        <w:t>40</w:t>
      </w:r>
      <w:r w:rsidRPr="00AF183C">
        <w:fldChar w:fldCharType="end"/>
      </w:r>
      <w:bookmarkEnd w:id="11"/>
      <w:r w:rsidRPr="00AF183C">
        <w:t>.  </w:t>
      </w:r>
      <w:r w:rsidRPr="00AF183C" w:rsidR="0077175D">
        <w:t xml:space="preserve">There has accordingly been a violation of Article </w:t>
      </w:r>
      <w:r w:rsidRPr="00AF183C" w:rsidR="0071338C">
        <w:t>5</w:t>
      </w:r>
      <w:r w:rsidRPr="00AF183C" w:rsidR="003D4395">
        <w:t xml:space="preserve"> </w:t>
      </w:r>
      <w:r w:rsidRPr="00AF183C" w:rsidR="0071338C">
        <w:rPr>
          <w:rFonts w:cstheme="minorHAnsi"/>
        </w:rPr>
        <w:t>§</w:t>
      </w:r>
      <w:r w:rsidRPr="00AF183C" w:rsidR="0071338C">
        <w:t xml:space="preserve"> 1</w:t>
      </w:r>
      <w:r w:rsidRPr="00AF183C" w:rsidR="0077175D">
        <w:t xml:space="preserve"> of </w:t>
      </w:r>
      <w:r w:rsidRPr="00AF183C" w:rsidR="00AA5E84">
        <w:t>the Convention</w:t>
      </w:r>
      <w:r w:rsidRPr="00AF183C" w:rsidR="0077175D">
        <w:t>.</w:t>
      </w:r>
    </w:p>
    <w:p w:rsidRPr="00AF183C" w:rsidR="00D420F3" w:rsidP="00AF183C" w:rsidRDefault="00154896">
      <w:pPr>
        <w:pStyle w:val="ECHRHeading1"/>
      </w:pPr>
      <w:r w:rsidRPr="00AF183C">
        <w:t>II</w:t>
      </w:r>
      <w:r w:rsidRPr="00AF183C" w:rsidR="0077175D">
        <w:t>.</w:t>
      </w:r>
      <w:proofErr w:type="gramStart"/>
      <w:r w:rsidRPr="00AF183C" w:rsidR="0077175D">
        <w:t>  APPLICATION</w:t>
      </w:r>
      <w:proofErr w:type="gramEnd"/>
      <w:r w:rsidRPr="00AF183C" w:rsidR="0077175D">
        <w:t xml:space="preserve"> OF ARTICLE 41 OF THE CONVENTION</w:t>
      </w:r>
    </w:p>
    <w:p w:rsidRPr="00AF183C" w:rsidR="00D420F3" w:rsidP="00AF183C" w:rsidRDefault="00F54B66">
      <w:pPr>
        <w:pStyle w:val="ECHRPara"/>
      </w:pPr>
      <w:r w:rsidRPr="00AF183C">
        <w:fldChar w:fldCharType="begin"/>
      </w:r>
      <w:r w:rsidRPr="00AF183C">
        <w:instrText xml:space="preserve"> SEQ level0 \*arabic </w:instrText>
      </w:r>
      <w:r w:rsidRPr="00AF183C">
        <w:fldChar w:fldCharType="separate"/>
      </w:r>
      <w:r w:rsidRPr="00AF183C" w:rsidR="00AF183C">
        <w:rPr>
          <w:noProof/>
        </w:rPr>
        <w:t>41</w:t>
      </w:r>
      <w:r w:rsidRPr="00AF183C">
        <w:fldChar w:fldCharType="end"/>
      </w:r>
      <w:r w:rsidRPr="00AF183C" w:rsidR="0077175D">
        <w:t>.  Article 41 of the Convention provides:</w:t>
      </w:r>
    </w:p>
    <w:p w:rsidRPr="00AF183C" w:rsidR="00D420F3" w:rsidP="00AF183C" w:rsidRDefault="0077175D">
      <w:pPr>
        <w:pStyle w:val="ECHRParaQuote"/>
        <w:keepNext/>
        <w:keepLines/>
      </w:pPr>
      <w:r w:rsidRPr="00AF183C">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AF183C" w:rsidR="00D420F3" w:rsidP="00AF183C" w:rsidRDefault="0077175D">
      <w:pPr>
        <w:pStyle w:val="ECHRHeading2"/>
      </w:pPr>
      <w:r w:rsidRPr="00AF183C">
        <w:t>A.  Damage</w:t>
      </w:r>
    </w:p>
    <w:p w:rsidRPr="00AF183C" w:rsidR="00D420F3" w:rsidP="00AF183C" w:rsidRDefault="00F54B66">
      <w:pPr>
        <w:pStyle w:val="ECHRPara"/>
      </w:pPr>
      <w:r w:rsidRPr="00AF183C">
        <w:fldChar w:fldCharType="begin"/>
      </w:r>
      <w:r w:rsidRPr="00AF183C">
        <w:instrText xml:space="preserve"> SEQ level0 \*arabic </w:instrText>
      </w:r>
      <w:r w:rsidRPr="00AF183C">
        <w:fldChar w:fldCharType="separate"/>
      </w:r>
      <w:r w:rsidRPr="00AF183C" w:rsidR="00AF183C">
        <w:rPr>
          <w:noProof/>
        </w:rPr>
        <w:t>42</w:t>
      </w:r>
      <w:r w:rsidRPr="00AF183C">
        <w:fldChar w:fldCharType="end"/>
      </w:r>
      <w:r w:rsidRPr="00AF183C" w:rsidR="0077175D">
        <w:t xml:space="preserve">.  The applicant claimed </w:t>
      </w:r>
      <w:r w:rsidRPr="00AF183C" w:rsidR="00CE092A">
        <w:t>3,500</w:t>
      </w:r>
      <w:r w:rsidRPr="00AF183C" w:rsidR="000C514F">
        <w:t xml:space="preserve"> euros (EUR) in respect of non</w:t>
      </w:r>
      <w:r w:rsidRPr="00AF183C" w:rsidR="000C514F">
        <w:noBreakHyphen/>
      </w:r>
      <w:r w:rsidRPr="00AF183C" w:rsidR="0077175D">
        <w:t>pecuniary damage.</w:t>
      </w:r>
    </w:p>
    <w:p w:rsidRPr="00AF183C" w:rsidR="00D420F3" w:rsidP="00AF183C" w:rsidRDefault="00F54B66">
      <w:pPr>
        <w:pStyle w:val="ECHRPara"/>
      </w:pPr>
      <w:r w:rsidRPr="00AF183C">
        <w:fldChar w:fldCharType="begin"/>
      </w:r>
      <w:r w:rsidRPr="00AF183C">
        <w:instrText xml:space="preserve"> SEQ level0 \*arabic </w:instrText>
      </w:r>
      <w:r w:rsidRPr="00AF183C">
        <w:fldChar w:fldCharType="separate"/>
      </w:r>
      <w:r w:rsidRPr="00AF183C" w:rsidR="00AF183C">
        <w:rPr>
          <w:noProof/>
        </w:rPr>
        <w:t>43</w:t>
      </w:r>
      <w:r w:rsidRPr="00AF183C">
        <w:fldChar w:fldCharType="end"/>
      </w:r>
      <w:r w:rsidRPr="00AF183C" w:rsidR="0077175D">
        <w:t xml:space="preserve">.  The Government </w:t>
      </w:r>
      <w:r w:rsidRPr="00AF183C" w:rsidR="00CE092A">
        <w:t>argued that this figure was excessive.</w:t>
      </w:r>
    </w:p>
    <w:p w:rsidRPr="00AF183C" w:rsidR="00D17DC3" w:rsidP="00AF183C" w:rsidRDefault="00D17DC3">
      <w:pPr>
        <w:pStyle w:val="ECHRPara"/>
      </w:pPr>
      <w:r w:rsidRPr="00AF183C">
        <w:fldChar w:fldCharType="begin"/>
      </w:r>
      <w:r w:rsidRPr="00AF183C">
        <w:instrText xml:space="preserve"> SEQ level0 \*arabic </w:instrText>
      </w:r>
      <w:r w:rsidRPr="00AF183C">
        <w:fldChar w:fldCharType="separate"/>
      </w:r>
      <w:r w:rsidRPr="00AF183C" w:rsidR="00AF183C">
        <w:rPr>
          <w:noProof/>
        </w:rPr>
        <w:t>44</w:t>
      </w:r>
      <w:r w:rsidRPr="00AF183C">
        <w:fldChar w:fldCharType="end"/>
      </w:r>
      <w:r w:rsidRPr="00AF183C">
        <w:t>.  Taking account of the circumstances of the case, including the fact that it was the second, successful application relating to the applicant</w:t>
      </w:r>
      <w:r w:rsidRPr="00AF183C" w:rsidR="00AF183C">
        <w:t>’</w:t>
      </w:r>
      <w:r w:rsidRPr="00AF183C">
        <w:t xml:space="preserve">s detention (see paragraphs </w:t>
      </w:r>
      <w:r w:rsidRPr="00AF183C" w:rsidR="00397264">
        <w:t>7</w:t>
      </w:r>
      <w:r w:rsidRPr="00AF183C">
        <w:t xml:space="preserve"> and </w:t>
      </w:r>
      <w:r w:rsidRPr="00AF183C" w:rsidR="00397264">
        <w:t>8</w:t>
      </w:r>
      <w:r w:rsidRPr="00AF183C">
        <w:t xml:space="preserve"> above); the Court considers that the applicant must have suffered distress as a result of being unlawfully detained and awards the applicant EUR 3,500 in respect of non-pecuniary damage.</w:t>
      </w:r>
    </w:p>
    <w:p w:rsidRPr="00AF183C" w:rsidR="00D420F3" w:rsidP="00AF183C" w:rsidRDefault="0077175D">
      <w:pPr>
        <w:pStyle w:val="ECHRHeading2"/>
      </w:pPr>
      <w:r w:rsidRPr="00AF183C">
        <w:t>B.  Costs and expenses</w:t>
      </w:r>
    </w:p>
    <w:p w:rsidRPr="00AF183C" w:rsidR="00D420F3" w:rsidP="00AF183C" w:rsidRDefault="00F54B66">
      <w:pPr>
        <w:pStyle w:val="ECHRPara"/>
      </w:pPr>
      <w:r w:rsidRPr="00AF183C">
        <w:fldChar w:fldCharType="begin"/>
      </w:r>
      <w:r w:rsidRPr="00AF183C">
        <w:instrText xml:space="preserve"> SEQ level0 \*arabic </w:instrText>
      </w:r>
      <w:r w:rsidRPr="00AF183C">
        <w:fldChar w:fldCharType="separate"/>
      </w:r>
      <w:r w:rsidRPr="00AF183C" w:rsidR="00AF183C">
        <w:rPr>
          <w:noProof/>
        </w:rPr>
        <w:t>45</w:t>
      </w:r>
      <w:r w:rsidRPr="00AF183C">
        <w:fldChar w:fldCharType="end"/>
      </w:r>
      <w:r w:rsidRPr="00AF183C" w:rsidR="0077175D">
        <w:t>.  The applicant also claimed</w:t>
      </w:r>
      <w:r w:rsidRPr="00AF183C" w:rsidR="000C514F">
        <w:t xml:space="preserve"> twenty-</w:t>
      </w:r>
      <w:r w:rsidRPr="00AF183C" w:rsidR="00CE092A">
        <w:t>five t</w:t>
      </w:r>
      <w:r w:rsidRPr="00AF183C" w:rsidR="000C514F">
        <w:t>housand eight hundred and fifty-</w:t>
      </w:r>
      <w:r w:rsidRPr="00AF183C" w:rsidR="00CE092A">
        <w:t>five pounds</w:t>
      </w:r>
      <w:r w:rsidRPr="00AF183C" w:rsidR="0077175D">
        <w:t xml:space="preserve"> </w:t>
      </w:r>
      <w:r w:rsidRPr="00AF183C" w:rsidR="00CE092A">
        <w:t>(GBP</w:t>
      </w:r>
      <w:r w:rsidRPr="00AF183C" w:rsidR="0077175D">
        <w:t xml:space="preserve"> </w:t>
      </w:r>
      <w:r w:rsidRPr="00AF183C" w:rsidR="00CE092A">
        <w:t>25,855)</w:t>
      </w:r>
      <w:r w:rsidRPr="00AF183C" w:rsidR="0077175D">
        <w:t xml:space="preserve"> for the costs and expenses incurred before the Court.</w:t>
      </w:r>
    </w:p>
    <w:p w:rsidRPr="00AF183C" w:rsidR="000C514F" w:rsidP="00AF183C" w:rsidRDefault="00F54B66">
      <w:pPr>
        <w:pStyle w:val="ECHRPara"/>
      </w:pPr>
      <w:r w:rsidRPr="00AF183C">
        <w:fldChar w:fldCharType="begin"/>
      </w:r>
      <w:r w:rsidRPr="00AF183C">
        <w:instrText xml:space="preserve"> SEQ level0 \*arabic </w:instrText>
      </w:r>
      <w:r w:rsidRPr="00AF183C">
        <w:fldChar w:fldCharType="separate"/>
      </w:r>
      <w:r w:rsidRPr="00AF183C" w:rsidR="00AF183C">
        <w:rPr>
          <w:noProof/>
        </w:rPr>
        <w:t>46</w:t>
      </w:r>
      <w:r w:rsidRPr="00AF183C">
        <w:fldChar w:fldCharType="end"/>
      </w:r>
      <w:r w:rsidRPr="00AF183C" w:rsidR="00D5762F">
        <w:t>.  The Government argued that this figure was excessive</w:t>
      </w:r>
      <w:r w:rsidRPr="00AF183C" w:rsidR="000C514F">
        <w:t>.</w:t>
      </w:r>
    </w:p>
    <w:p w:rsidRPr="00AF183C" w:rsidR="00D420F3" w:rsidP="00AF183C" w:rsidRDefault="00F54B66">
      <w:pPr>
        <w:pStyle w:val="ECHRPara"/>
      </w:pPr>
      <w:r w:rsidRPr="00AF183C">
        <w:fldChar w:fldCharType="begin"/>
      </w:r>
      <w:r w:rsidRPr="00AF183C">
        <w:instrText xml:space="preserve"> SEQ level0 \*arabic </w:instrText>
      </w:r>
      <w:r w:rsidRPr="00AF183C">
        <w:fldChar w:fldCharType="separate"/>
      </w:r>
      <w:r w:rsidRPr="00AF183C" w:rsidR="00AF183C">
        <w:rPr>
          <w:noProof/>
        </w:rPr>
        <w:t>47</w:t>
      </w:r>
      <w:r w:rsidRPr="00AF183C">
        <w:fldChar w:fldCharType="end"/>
      </w:r>
      <w:r w:rsidRPr="00AF183C" w:rsidR="0077175D">
        <w:t>.  </w:t>
      </w:r>
      <w:r w:rsidRPr="00AF183C">
        <w:t>According to the Court</w:t>
      </w:r>
      <w:r w:rsidRPr="00AF183C" w:rsidR="00AF183C">
        <w:t>’</w:t>
      </w:r>
      <w:r w:rsidRPr="00AF183C">
        <w:t>s case-law, an applicant is entitled to the reimbursement of costs and expenses only in so far as it has been shown that these have been actually and necessarily incurred and are reasonable as to quantum. In the present case, regard</w:t>
      </w:r>
      <w:r w:rsidRPr="00AF183C" w:rsidR="0077175D">
        <w:t xml:space="preserve"> being had to the documents in its possession and </w:t>
      </w:r>
      <w:r w:rsidRPr="00AF183C">
        <w:t>the above criteria</w:t>
      </w:r>
      <w:r w:rsidRPr="00AF183C" w:rsidR="0077175D">
        <w:t>, the Court considers it reasonable to award the sum of</w:t>
      </w:r>
      <w:r w:rsidRPr="00AF183C" w:rsidR="004C3114">
        <w:t xml:space="preserve"> </w:t>
      </w:r>
      <w:r w:rsidRPr="00AF183C" w:rsidR="000C514F">
        <w:t>ten thousand seven hundred</w:t>
      </w:r>
      <w:r w:rsidRPr="00AF183C" w:rsidR="004C3114">
        <w:t xml:space="preserve"> euros</w:t>
      </w:r>
      <w:r w:rsidRPr="00AF183C" w:rsidR="0077175D">
        <w:t xml:space="preserve"> </w:t>
      </w:r>
      <w:r w:rsidRPr="00AF183C" w:rsidR="004C3114">
        <w:t>(</w:t>
      </w:r>
      <w:r w:rsidRPr="00AF183C" w:rsidR="0077175D">
        <w:t xml:space="preserve">EUR </w:t>
      </w:r>
      <w:r w:rsidRPr="00AF183C" w:rsidR="00AC5855">
        <w:t>10</w:t>
      </w:r>
      <w:r w:rsidRPr="00AF183C" w:rsidR="004C3114">
        <w:t>,</w:t>
      </w:r>
      <w:r w:rsidRPr="00AF183C" w:rsidR="00AC5855">
        <w:t>7</w:t>
      </w:r>
      <w:r w:rsidRPr="00AF183C" w:rsidR="004C3114">
        <w:t>00)</w:t>
      </w:r>
      <w:r w:rsidRPr="00AF183C" w:rsidR="0077175D">
        <w:t xml:space="preserve"> for the proceedings before the Court</w:t>
      </w:r>
      <w:r w:rsidRPr="00AF183C" w:rsidR="004C3114">
        <w:t>.</w:t>
      </w:r>
    </w:p>
    <w:p w:rsidRPr="00AF183C" w:rsidR="00D420F3" w:rsidP="00AF183C" w:rsidRDefault="0077175D">
      <w:pPr>
        <w:pStyle w:val="ECHRHeading2"/>
      </w:pPr>
      <w:r w:rsidRPr="00AF183C">
        <w:t>C.  Default interest</w:t>
      </w:r>
    </w:p>
    <w:p w:rsidRPr="00AF183C" w:rsidR="00D420F3" w:rsidP="00AF183C" w:rsidRDefault="00F54B66">
      <w:pPr>
        <w:pStyle w:val="ECHRPara"/>
      </w:pPr>
      <w:r w:rsidRPr="00AF183C">
        <w:fldChar w:fldCharType="begin"/>
      </w:r>
      <w:r w:rsidRPr="00AF183C">
        <w:instrText xml:space="preserve"> SEQ level0 \*arabic </w:instrText>
      </w:r>
      <w:r w:rsidRPr="00AF183C">
        <w:fldChar w:fldCharType="separate"/>
      </w:r>
      <w:r w:rsidRPr="00AF183C" w:rsidR="00AF183C">
        <w:rPr>
          <w:noProof/>
        </w:rPr>
        <w:t>48</w:t>
      </w:r>
      <w:r w:rsidRPr="00AF183C">
        <w:fldChar w:fldCharType="end"/>
      </w:r>
      <w:r w:rsidRPr="00AF183C" w:rsidR="0077175D">
        <w:t>.  The Court considers it appropriate that the default interest rate should be based on the marginal lending rate of the European Central Bank, to which should be added three percentage points.</w:t>
      </w:r>
    </w:p>
    <w:p w:rsidRPr="00AF183C" w:rsidR="000A61C3" w:rsidP="00AF183C" w:rsidRDefault="0077175D">
      <w:pPr>
        <w:pStyle w:val="ECHRTitle1"/>
      </w:pPr>
      <w:r w:rsidRPr="00AF183C">
        <w:t>FOR THESE REASONS, THE COURT</w:t>
      </w:r>
      <w:r w:rsidRPr="00AF183C" w:rsidR="00F54B66">
        <w:t>,</w:t>
      </w:r>
    </w:p>
    <w:p w:rsidRPr="00AF183C" w:rsidR="008B1711" w:rsidP="00AF183C" w:rsidRDefault="008B1711">
      <w:pPr>
        <w:pStyle w:val="JuList"/>
      </w:pPr>
      <w:r w:rsidRPr="00AF183C">
        <w:t>1.  </w:t>
      </w:r>
      <w:r w:rsidRPr="00AF183C">
        <w:rPr>
          <w:i/>
        </w:rPr>
        <w:t>Declares</w:t>
      </w:r>
      <w:r w:rsidRPr="00AF183C" w:rsidR="00A026FF">
        <w:t>,</w:t>
      </w:r>
      <w:r w:rsidRPr="00AF183C">
        <w:t xml:space="preserve"> unanimously, the application admissible;</w:t>
      </w:r>
    </w:p>
    <w:p w:rsidRPr="00AF183C" w:rsidR="008B1711" w:rsidP="00AF183C" w:rsidRDefault="008B1711">
      <w:pPr>
        <w:pStyle w:val="JuList"/>
        <w:ind w:left="0" w:firstLine="0"/>
      </w:pPr>
    </w:p>
    <w:p w:rsidRPr="00AF183C" w:rsidR="008B1711" w:rsidP="00AF183C" w:rsidRDefault="008B1711">
      <w:pPr>
        <w:pStyle w:val="JuList"/>
      </w:pPr>
      <w:r w:rsidRPr="00AF183C">
        <w:t>2.  </w:t>
      </w:r>
      <w:r w:rsidRPr="00AF183C">
        <w:rPr>
          <w:i/>
        </w:rPr>
        <w:t>Holds</w:t>
      </w:r>
      <w:r w:rsidRPr="00AF183C" w:rsidR="00A026FF">
        <w:t>,</w:t>
      </w:r>
      <w:r w:rsidRPr="00AF183C">
        <w:t xml:space="preserve"> unanimously,</w:t>
      </w:r>
      <w:r w:rsidRPr="00AF183C">
        <w:rPr>
          <w:color w:val="000000"/>
        </w:rPr>
        <w:t xml:space="preserve"> </w:t>
      </w:r>
      <w:r w:rsidRPr="00AF183C">
        <w:t>that there has been a violation of Article 5 § 1 of the Convention;</w:t>
      </w:r>
    </w:p>
    <w:p w:rsidRPr="00AF183C" w:rsidR="008B1711" w:rsidP="00AF183C" w:rsidRDefault="008B1711">
      <w:pPr>
        <w:pStyle w:val="JuList"/>
      </w:pPr>
    </w:p>
    <w:p w:rsidRPr="00AF183C" w:rsidR="008B1711" w:rsidP="00AF183C" w:rsidRDefault="008B1711">
      <w:pPr>
        <w:pStyle w:val="JuList"/>
      </w:pPr>
      <w:r w:rsidRPr="00AF183C">
        <w:t>3.  </w:t>
      </w:r>
      <w:r w:rsidRPr="00AF183C">
        <w:rPr>
          <w:i/>
        </w:rPr>
        <w:t>Holds</w:t>
      </w:r>
      <w:r w:rsidRPr="00AF183C" w:rsidR="00A026FF">
        <w:t>, by five votes to two,</w:t>
      </w:r>
    </w:p>
    <w:p w:rsidRPr="00AF183C" w:rsidR="008B1711" w:rsidP="00AF183C" w:rsidRDefault="008B1711">
      <w:pPr>
        <w:pStyle w:val="JuLista"/>
      </w:pPr>
      <w:r w:rsidRPr="00AF183C">
        <w:t xml:space="preserve">(a)  that the respondent State is to pay the applicant, within three months from the date on which the judgment becomes final in accordance with Article 44 § 2 of the Convention, the following amounts to be converted into </w:t>
      </w:r>
      <w:r w:rsidRPr="00AF183C">
        <w:rPr>
          <w:color w:val="000000"/>
        </w:rPr>
        <w:t>the currency of the respondent State</w:t>
      </w:r>
      <w:r w:rsidRPr="00AF183C">
        <w:t xml:space="preserve"> at the rate applicable at the date of settlement:</w:t>
      </w:r>
    </w:p>
    <w:p w:rsidRPr="00AF183C" w:rsidR="008B1711" w:rsidP="00AF183C" w:rsidRDefault="008B1711">
      <w:pPr>
        <w:pStyle w:val="JuListi"/>
      </w:pPr>
      <w:r w:rsidRPr="00AF183C">
        <w:t>(</w:t>
      </w:r>
      <w:proofErr w:type="spellStart"/>
      <w:r w:rsidRPr="00AF183C">
        <w:t>i</w:t>
      </w:r>
      <w:proofErr w:type="spellEnd"/>
      <w:r w:rsidRPr="00AF183C">
        <w:t>)  EUR 3,500 (three thousand five hundred euros), plus any tax that may be chargeable, in respect of non-pecuniary damage;</w:t>
      </w:r>
    </w:p>
    <w:p w:rsidRPr="00AF183C" w:rsidR="008B1711" w:rsidP="00AF183C" w:rsidRDefault="008B1711">
      <w:pPr>
        <w:pStyle w:val="JuListi"/>
      </w:pPr>
      <w:r w:rsidRPr="00AF183C">
        <w:t>(ii)  EUR 10,700 (ten thousand seven hundred euros), plus any tax that may be chargeable to the applicant, in respect of costs and expenses;</w:t>
      </w:r>
    </w:p>
    <w:p w:rsidRPr="00AF183C" w:rsidR="008B1711" w:rsidP="00AF183C" w:rsidRDefault="008B1711">
      <w:pPr>
        <w:pStyle w:val="JuLista"/>
      </w:pPr>
      <w:r w:rsidRPr="00AF183C">
        <w:t>(b)  that from the expiry of the above-mentioned three months until settlement simple interest shall be payable on the above amounts at a rate equal to the marginal lending rate of the European Central Bank during the default period plus three percentage points;</w:t>
      </w:r>
    </w:p>
    <w:p w:rsidRPr="00AF183C" w:rsidR="008B1711" w:rsidP="00AF183C" w:rsidRDefault="008B1711">
      <w:pPr>
        <w:pStyle w:val="JuList"/>
      </w:pPr>
    </w:p>
    <w:p w:rsidRPr="00AF183C" w:rsidR="008B1711" w:rsidP="00AF183C" w:rsidRDefault="008B1711">
      <w:pPr>
        <w:pStyle w:val="JuList"/>
      </w:pPr>
      <w:r w:rsidRPr="00AF183C">
        <w:t>4.  </w:t>
      </w:r>
      <w:r w:rsidRPr="00AF183C">
        <w:rPr>
          <w:i/>
        </w:rPr>
        <w:t>Dismisses</w:t>
      </w:r>
      <w:r w:rsidRPr="00AF183C">
        <w:t>, unanimously,</w:t>
      </w:r>
      <w:r w:rsidRPr="00AF183C">
        <w:rPr>
          <w:color w:val="000000"/>
        </w:rPr>
        <w:t xml:space="preserve"> </w:t>
      </w:r>
      <w:r w:rsidRPr="00AF183C">
        <w:t>the remainder of the applicant</w:t>
      </w:r>
      <w:r w:rsidRPr="00AF183C" w:rsidR="00AF183C">
        <w:t>’</w:t>
      </w:r>
      <w:r w:rsidRPr="00AF183C">
        <w:t>s claim for just satisfaction.</w:t>
      </w:r>
    </w:p>
    <w:p w:rsidRPr="00AF183C" w:rsidR="00D420F3" w:rsidP="00AF183C" w:rsidRDefault="0077175D">
      <w:pPr>
        <w:pStyle w:val="JuParaLast"/>
      </w:pPr>
      <w:r w:rsidRPr="00AF183C">
        <w:t xml:space="preserve">Done in English, and notified in writing on </w:t>
      </w:r>
      <w:r w:rsidRPr="00AF183C" w:rsidR="00176F1E">
        <w:t>25 April 2019</w:t>
      </w:r>
      <w:r w:rsidRPr="00AF183C">
        <w:t>, pursuant to Rule 77 §§ 2 and 3 of the Rules of Court.</w:t>
      </w:r>
    </w:p>
    <w:p w:rsidRPr="00AF183C" w:rsidR="00D420F3" w:rsidP="00AF183C" w:rsidRDefault="0077175D">
      <w:pPr>
        <w:pStyle w:val="JuSigned"/>
        <w:tabs>
          <w:tab w:val="clear" w:pos="6407"/>
          <w:tab w:val="center" w:pos="6096"/>
        </w:tabs>
        <w:rPr>
          <w:lang w:val="pt-BR"/>
        </w:rPr>
      </w:pPr>
      <w:r w:rsidRPr="00AF183C">
        <w:tab/>
      </w:r>
      <w:r w:rsidRPr="00AF183C" w:rsidR="00F54B66">
        <w:rPr>
          <w:lang w:val="pt-BR"/>
        </w:rPr>
        <w:t>Abel Campos</w:t>
      </w:r>
      <w:r w:rsidRPr="00AF183C">
        <w:rPr>
          <w:lang w:val="pt-BR"/>
        </w:rPr>
        <w:tab/>
      </w:r>
      <w:r w:rsidRPr="00AF183C" w:rsidR="00F54B66">
        <w:rPr>
          <w:szCs w:val="24"/>
          <w:lang w:val="pt-BR"/>
        </w:rPr>
        <w:t>Linos-Alexandre Sicilianos</w:t>
      </w:r>
      <w:r w:rsidRPr="00AF183C">
        <w:rPr>
          <w:szCs w:val="24"/>
          <w:lang w:val="pt-BR"/>
        </w:rPr>
        <w:br/>
      </w:r>
      <w:r w:rsidRPr="00AF183C">
        <w:rPr>
          <w:lang w:val="pt-BR"/>
        </w:rPr>
        <w:tab/>
      </w:r>
      <w:r w:rsidRPr="00AF183C" w:rsidR="00F54B66">
        <w:rPr>
          <w:iCs/>
          <w:lang w:val="pt-BR"/>
        </w:rPr>
        <w:t>Registrar</w:t>
      </w:r>
      <w:r w:rsidRPr="00AF183C">
        <w:rPr>
          <w:lang w:val="pt-BR"/>
        </w:rPr>
        <w:tab/>
        <w:t>President</w:t>
      </w:r>
    </w:p>
    <w:sectPr w:rsidRPr="00AF183C" w:rsidR="00D420F3" w:rsidSect="009500BF">
      <w:headerReference w:type="even" r:id="rId11"/>
      <w:headerReference w:type="default" r:id="rId12"/>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9022E" w:rsidRPr="009F7835" w:rsidRDefault="00B9022E">
      <w:r w:rsidRPr="009F7835">
        <w:separator/>
      </w:r>
    </w:p>
  </w:endnote>
  <w:endnote w:type="continuationSeparator" w:id="0">
    <w:p w:rsidR="00B9022E" w:rsidRPr="009F7835" w:rsidRDefault="00B9022E">
      <w:r w:rsidRPr="009F783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500BF" w:rsidRPr="00150BFA" w:rsidRDefault="009500BF" w:rsidP="0020718E">
    <w:pPr>
      <w:jc w:val="center"/>
    </w:pPr>
    <w:r>
      <w:rPr>
        <w:noProof/>
        <w:lang w:val="en-US" w:eastAsia="ja-JP"/>
      </w:rPr>
      <w:drawing>
        <wp:inline distT="0" distB="0" distL="0" distR="0" wp14:anchorId="0BA8B016" wp14:editId="6177F04A">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9500BF" w:rsidRDefault="009500B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9022E" w:rsidRPr="009F7835" w:rsidRDefault="00B9022E" w:rsidP="00D420F3">
      <w:r w:rsidRPr="009F7835">
        <w:separator/>
      </w:r>
    </w:p>
  </w:footnote>
  <w:footnote w:type="continuationSeparator" w:id="0">
    <w:p w:rsidR="00B9022E" w:rsidRPr="009F7835" w:rsidRDefault="00B9022E" w:rsidP="00D420F3">
      <w:r w:rsidRPr="009F7835">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9022E" w:rsidRPr="009500BF" w:rsidRDefault="00B9022E" w:rsidP="009500BF">
    <w:pPr>
      <w:pStyle w:val="Heade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500BF" w:rsidRPr="00A45145" w:rsidRDefault="009500BF" w:rsidP="00A45145">
    <w:pPr>
      <w:jc w:val="center"/>
    </w:pPr>
    <w:r>
      <w:rPr>
        <w:noProof/>
        <w:lang w:val="en-US" w:eastAsia="ja-JP"/>
      </w:rPr>
      <w:drawing>
        <wp:inline distT="0" distB="0" distL="0" distR="0" wp14:anchorId="18A93AB9" wp14:editId="2F3E7F5C">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0A61C3" w:rsidRDefault="000A61C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500BF" w:rsidRPr="009F7835" w:rsidRDefault="009500BF" w:rsidP="00D420F3">
    <w:pPr>
      <w:pStyle w:val="ECHRHeader"/>
    </w:pPr>
    <w:r w:rsidRPr="009F7835">
      <w:rPr>
        <w:rStyle w:val="PageNumber"/>
        <w:szCs w:val="18"/>
      </w:rPr>
      <w:fldChar w:fldCharType="begin"/>
    </w:r>
    <w:r w:rsidRPr="009F7835">
      <w:rPr>
        <w:rStyle w:val="PageNumber"/>
        <w:szCs w:val="18"/>
      </w:rPr>
      <w:instrText xml:space="preserve"> PAGE </w:instrText>
    </w:r>
    <w:r w:rsidRPr="009F7835">
      <w:rPr>
        <w:rStyle w:val="PageNumber"/>
        <w:szCs w:val="18"/>
      </w:rPr>
      <w:fldChar w:fldCharType="separate"/>
    </w:r>
    <w:r w:rsidR="00D04890">
      <w:rPr>
        <w:rStyle w:val="PageNumber"/>
        <w:noProof/>
        <w:szCs w:val="18"/>
      </w:rPr>
      <w:t>10</w:t>
    </w:r>
    <w:r w:rsidRPr="009F7835">
      <w:rPr>
        <w:rStyle w:val="PageNumber"/>
        <w:szCs w:val="18"/>
      </w:rPr>
      <w:fldChar w:fldCharType="end"/>
    </w:r>
    <w:r w:rsidRPr="009F7835">
      <w:tab/>
      <w:t>V.M. v. THE UNITED KINGDOM</w:t>
    </w:r>
    <w:r>
      <w:t xml:space="preserve"> (No. 2)</w:t>
    </w:r>
    <w:r w:rsidRPr="009F7835">
      <w:t xml:space="preserve"> </w:t>
    </w:r>
    <w:r w:rsidR="00A5088D">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500BF" w:rsidRPr="009F7835" w:rsidRDefault="009500BF" w:rsidP="00D420F3">
    <w:pPr>
      <w:pStyle w:val="ECHRHeader"/>
    </w:pPr>
    <w:r w:rsidRPr="009F7835">
      <w:tab/>
      <w:t>V.M. v. THE UNITED KINGDOM</w:t>
    </w:r>
    <w:r>
      <w:t xml:space="preserve"> (No. 2)</w:t>
    </w:r>
    <w:r w:rsidRPr="009F7835">
      <w:t xml:space="preserve"> </w:t>
    </w:r>
    <w:r w:rsidR="00A5088D">
      <w:t>JUDGMENT</w:t>
    </w:r>
    <w:r w:rsidRPr="009F7835">
      <w:tab/>
    </w:r>
    <w:r w:rsidRPr="009F7835">
      <w:rPr>
        <w:rStyle w:val="PageNumber"/>
        <w:szCs w:val="18"/>
      </w:rPr>
      <w:fldChar w:fldCharType="begin"/>
    </w:r>
    <w:r w:rsidRPr="009F7835">
      <w:rPr>
        <w:rStyle w:val="PageNumber"/>
        <w:szCs w:val="18"/>
      </w:rPr>
      <w:instrText xml:space="preserve"> PAGE </w:instrText>
    </w:r>
    <w:r w:rsidRPr="009F7835">
      <w:rPr>
        <w:rStyle w:val="PageNumber"/>
        <w:szCs w:val="18"/>
      </w:rPr>
      <w:fldChar w:fldCharType="separate"/>
    </w:r>
    <w:r w:rsidR="00D04890">
      <w:rPr>
        <w:rStyle w:val="PageNumber"/>
        <w:noProof/>
        <w:szCs w:val="18"/>
      </w:rPr>
      <w:t>1</w:t>
    </w:r>
    <w:r w:rsidRPr="009F7835">
      <w:rPr>
        <w:rStyle w:val="PageNumber"/>
        <w:szCs w:val="18"/>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00180FE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90ECFB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5B8BEFC"/>
    <w:lvl w:ilvl="0">
      <w:start w:val="1"/>
      <w:numFmt w:val="decimal"/>
      <w:pStyle w:val="ListNumber3"/>
      <w:lvlText w:val="%1."/>
      <w:lvlJc w:val="left"/>
      <w:pPr>
        <w:tabs>
          <w:tab w:val="num" w:pos="926"/>
        </w:tabs>
        <w:ind w:left="926" w:hanging="360"/>
      </w:pPr>
    </w:lvl>
  </w:abstractNum>
  <w:abstractNum w:abstractNumId="3">
    <w:nsid w:val="FFFFFF7F"/>
    <w:multiLevelType w:val="singleLevel"/>
    <w:tmpl w:val="6F1CF73A"/>
    <w:lvl w:ilvl="0">
      <w:start w:val="1"/>
      <w:numFmt w:val="decimal"/>
      <w:pStyle w:val="ListNumber2"/>
      <w:lvlText w:val="%1."/>
      <w:lvlJc w:val="left"/>
      <w:pPr>
        <w:tabs>
          <w:tab w:val="num" w:pos="643"/>
        </w:tabs>
        <w:ind w:left="643" w:hanging="360"/>
      </w:pPr>
    </w:lvl>
  </w:abstractNum>
  <w:abstractNum w:abstractNumId="4">
    <w:nsid w:val="FFFFFF80"/>
    <w:multiLevelType w:val="singleLevel"/>
    <w:tmpl w:val="2380266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0C2C34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482EC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666B2C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2760110"/>
    <w:lvl w:ilvl="0">
      <w:start w:val="1"/>
      <w:numFmt w:val="decimal"/>
      <w:pStyle w:val="ListNumber"/>
      <w:lvlText w:val="%1."/>
      <w:lvlJc w:val="left"/>
      <w:pPr>
        <w:tabs>
          <w:tab w:val="num" w:pos="360"/>
        </w:tabs>
        <w:ind w:left="360" w:hanging="360"/>
      </w:pPr>
    </w:lvl>
  </w:abstractNum>
  <w:abstractNum w:abstractNumId="9">
    <w:nsid w:val="0066004F"/>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101D4B4B"/>
    <w:multiLevelType w:val="multilevel"/>
    <w:tmpl w:val="AC908F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15DA0CE0"/>
    <w:multiLevelType w:val="multilevel"/>
    <w:tmpl w:val="AC908F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163F153D"/>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nsid w:val="67FD1241"/>
    <w:multiLevelType w:val="hybridMultilevel"/>
    <w:tmpl w:val="F6D86CC2"/>
    <w:lvl w:ilvl="0" w:tplc="135E7E6C">
      <w:start w:val="1"/>
      <w:numFmt w:val="bullet"/>
      <w:pStyle w:val="ListBullet"/>
      <w:lvlText w:val=""/>
      <w:lvlJc w:val="left"/>
      <w:pPr>
        <w:tabs>
          <w:tab w:val="num" w:pos="851"/>
        </w:tabs>
        <w:ind w:left="568" w:firstLine="0"/>
      </w:pPr>
      <w:rPr>
        <w:rFonts w:ascii="Wingdings" w:hAnsi="Wingdings" w:hint="default"/>
        <w:color w:val="808080"/>
        <w:sz w:val="16"/>
      </w:rPr>
    </w:lvl>
    <w:lvl w:ilvl="1" w:tplc="810288C4" w:tentative="1">
      <w:start w:val="1"/>
      <w:numFmt w:val="bullet"/>
      <w:lvlText w:val="o"/>
      <w:lvlJc w:val="left"/>
      <w:pPr>
        <w:tabs>
          <w:tab w:val="num" w:pos="1724"/>
        </w:tabs>
        <w:ind w:left="1724" w:hanging="360"/>
      </w:pPr>
      <w:rPr>
        <w:rFonts w:ascii="Courier New" w:hAnsi="Courier New" w:cs="Courier New" w:hint="default"/>
      </w:rPr>
    </w:lvl>
    <w:lvl w:ilvl="2" w:tplc="4470F988" w:tentative="1">
      <w:start w:val="1"/>
      <w:numFmt w:val="bullet"/>
      <w:lvlText w:val=""/>
      <w:lvlJc w:val="left"/>
      <w:pPr>
        <w:tabs>
          <w:tab w:val="num" w:pos="2444"/>
        </w:tabs>
        <w:ind w:left="2444" w:hanging="360"/>
      </w:pPr>
      <w:rPr>
        <w:rFonts w:ascii="Wingdings" w:hAnsi="Wingdings" w:hint="default"/>
      </w:rPr>
    </w:lvl>
    <w:lvl w:ilvl="3" w:tplc="5FACB78A" w:tentative="1">
      <w:start w:val="1"/>
      <w:numFmt w:val="bullet"/>
      <w:lvlText w:val=""/>
      <w:lvlJc w:val="left"/>
      <w:pPr>
        <w:tabs>
          <w:tab w:val="num" w:pos="3164"/>
        </w:tabs>
        <w:ind w:left="3164" w:hanging="360"/>
      </w:pPr>
      <w:rPr>
        <w:rFonts w:ascii="Symbol" w:hAnsi="Symbol" w:hint="default"/>
      </w:rPr>
    </w:lvl>
    <w:lvl w:ilvl="4" w:tplc="B63E179C" w:tentative="1">
      <w:start w:val="1"/>
      <w:numFmt w:val="bullet"/>
      <w:lvlText w:val="o"/>
      <w:lvlJc w:val="left"/>
      <w:pPr>
        <w:tabs>
          <w:tab w:val="num" w:pos="3884"/>
        </w:tabs>
        <w:ind w:left="3884" w:hanging="360"/>
      </w:pPr>
      <w:rPr>
        <w:rFonts w:ascii="Courier New" w:hAnsi="Courier New" w:cs="Courier New" w:hint="default"/>
      </w:rPr>
    </w:lvl>
    <w:lvl w:ilvl="5" w:tplc="204A3DC2" w:tentative="1">
      <w:start w:val="1"/>
      <w:numFmt w:val="bullet"/>
      <w:lvlText w:val=""/>
      <w:lvlJc w:val="left"/>
      <w:pPr>
        <w:tabs>
          <w:tab w:val="num" w:pos="4604"/>
        </w:tabs>
        <w:ind w:left="4604" w:hanging="360"/>
      </w:pPr>
      <w:rPr>
        <w:rFonts w:ascii="Wingdings" w:hAnsi="Wingdings" w:hint="default"/>
      </w:rPr>
    </w:lvl>
    <w:lvl w:ilvl="6" w:tplc="C58C412E" w:tentative="1">
      <w:start w:val="1"/>
      <w:numFmt w:val="bullet"/>
      <w:lvlText w:val=""/>
      <w:lvlJc w:val="left"/>
      <w:pPr>
        <w:tabs>
          <w:tab w:val="num" w:pos="5324"/>
        </w:tabs>
        <w:ind w:left="5324" w:hanging="360"/>
      </w:pPr>
      <w:rPr>
        <w:rFonts w:ascii="Symbol" w:hAnsi="Symbol" w:hint="default"/>
      </w:rPr>
    </w:lvl>
    <w:lvl w:ilvl="7" w:tplc="D4D47A0A" w:tentative="1">
      <w:start w:val="1"/>
      <w:numFmt w:val="bullet"/>
      <w:lvlText w:val="o"/>
      <w:lvlJc w:val="left"/>
      <w:pPr>
        <w:tabs>
          <w:tab w:val="num" w:pos="6044"/>
        </w:tabs>
        <w:ind w:left="6044" w:hanging="360"/>
      </w:pPr>
      <w:rPr>
        <w:rFonts w:ascii="Courier New" w:hAnsi="Courier New" w:cs="Courier New" w:hint="default"/>
      </w:rPr>
    </w:lvl>
    <w:lvl w:ilvl="8" w:tplc="4AF04BF4" w:tentative="1">
      <w:start w:val="1"/>
      <w:numFmt w:val="bullet"/>
      <w:lvlText w:val=""/>
      <w:lvlJc w:val="left"/>
      <w:pPr>
        <w:tabs>
          <w:tab w:val="num" w:pos="6764"/>
        </w:tabs>
        <w:ind w:left="6764" w:hanging="360"/>
      </w:pPr>
      <w:rPr>
        <w:rFonts w:ascii="Wingdings" w:hAnsi="Wingdings" w:hint="default"/>
      </w:rPr>
    </w:lvl>
  </w:abstractNum>
  <w:abstractNum w:abstractNumId="14">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5">
    <w:nsid w:val="7737461D"/>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13"/>
  </w:num>
  <w:num w:numId="2">
    <w:abstractNumId w:val="12"/>
  </w:num>
  <w:num w:numId="3">
    <w:abstractNumId w:val="9"/>
  </w:num>
  <w:num w:numId="4">
    <w:abstractNumId w:val="15"/>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4"/>
  </w:num>
  <w:num w:numId="15">
    <w:abstractNumId w:val="14"/>
  </w:num>
  <w:num w:numId="16">
    <w:abstractNumId w:val="14"/>
  </w:num>
  <w:num w:numId="17">
    <w:abstractNumId w:val="11"/>
    <w:lvlOverride w:ilvl="0">
      <w:startOverride w:val="67"/>
    </w:lvlOverride>
  </w:num>
  <w:num w:numId="18">
    <w:abstractNumId w:val="11"/>
    <w:lvlOverride w:ilvl="0">
      <w:startOverride w:val="68"/>
    </w:lvlOverride>
  </w:num>
  <w:num w:numId="19">
    <w:abstractNumId w:val="10"/>
  </w:num>
  <w:num w:numId="20">
    <w:abstractNumId w:val="14"/>
  </w:num>
  <w:num w:numId="21">
    <w:abstractNumId w:val="14"/>
  </w:num>
  <w:num w:numId="22">
    <w:abstractNumId w:val="14"/>
  </w:num>
  <w:num w:numId="23">
    <w:abstractNumId w:val="14"/>
  </w:num>
  <w:num w:numId="24">
    <w:abstractNumId w:val="14"/>
  </w:num>
  <w:num w:numId="25">
    <w:abstractNumId w:val="14"/>
  </w:num>
  <w:num w:numId="26">
    <w:abstractNumId w:val="14"/>
  </w:num>
  <w:num w:numId="27">
    <w:abstractNumId w:val="14"/>
  </w:num>
  <w:num w:numId="28">
    <w:abstractNumId w:val="14"/>
  </w:num>
  <w:num w:numId="2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MM" w:val="0"/>
    <w:docVar w:name="NBEMMDOC" w:val="1"/>
  </w:docVars>
  <w:rsids>
    <w:rsidRoot w:val="00F54B66"/>
    <w:rsid w:val="000034ED"/>
    <w:rsid w:val="00003586"/>
    <w:rsid w:val="000039A5"/>
    <w:rsid w:val="00010873"/>
    <w:rsid w:val="00037362"/>
    <w:rsid w:val="0004747B"/>
    <w:rsid w:val="00047F58"/>
    <w:rsid w:val="00062151"/>
    <w:rsid w:val="00065A8D"/>
    <w:rsid w:val="00066560"/>
    <w:rsid w:val="00067649"/>
    <w:rsid w:val="00067BF8"/>
    <w:rsid w:val="00074E2B"/>
    <w:rsid w:val="000A0245"/>
    <w:rsid w:val="000A152A"/>
    <w:rsid w:val="000A61C3"/>
    <w:rsid w:val="000B0A03"/>
    <w:rsid w:val="000B43E6"/>
    <w:rsid w:val="000C514F"/>
    <w:rsid w:val="000C5E27"/>
    <w:rsid w:val="000D1554"/>
    <w:rsid w:val="000D1636"/>
    <w:rsid w:val="000D2C5D"/>
    <w:rsid w:val="000E0539"/>
    <w:rsid w:val="001056B8"/>
    <w:rsid w:val="00116991"/>
    <w:rsid w:val="00120323"/>
    <w:rsid w:val="001371FA"/>
    <w:rsid w:val="00142736"/>
    <w:rsid w:val="00143882"/>
    <w:rsid w:val="00154896"/>
    <w:rsid w:val="0016228F"/>
    <w:rsid w:val="0017525B"/>
    <w:rsid w:val="00176F1E"/>
    <w:rsid w:val="001A0D5B"/>
    <w:rsid w:val="001A1871"/>
    <w:rsid w:val="001B388D"/>
    <w:rsid w:val="001E4CA5"/>
    <w:rsid w:val="002033F3"/>
    <w:rsid w:val="00210BE0"/>
    <w:rsid w:val="0021398F"/>
    <w:rsid w:val="0022440A"/>
    <w:rsid w:val="002260F5"/>
    <w:rsid w:val="00237552"/>
    <w:rsid w:val="0024385E"/>
    <w:rsid w:val="0025476B"/>
    <w:rsid w:val="0026314B"/>
    <w:rsid w:val="002702D4"/>
    <w:rsid w:val="002842EC"/>
    <w:rsid w:val="002B2F4A"/>
    <w:rsid w:val="002D1545"/>
    <w:rsid w:val="002D3555"/>
    <w:rsid w:val="002D4B54"/>
    <w:rsid w:val="002E63E4"/>
    <w:rsid w:val="003176EB"/>
    <w:rsid w:val="00317938"/>
    <w:rsid w:val="00331EA2"/>
    <w:rsid w:val="00347862"/>
    <w:rsid w:val="00352D68"/>
    <w:rsid w:val="00354F0F"/>
    <w:rsid w:val="0036076A"/>
    <w:rsid w:val="00362D96"/>
    <w:rsid w:val="003758A5"/>
    <w:rsid w:val="00386B84"/>
    <w:rsid w:val="00392558"/>
    <w:rsid w:val="0039679F"/>
    <w:rsid w:val="00397264"/>
    <w:rsid w:val="003A2967"/>
    <w:rsid w:val="003A4F1F"/>
    <w:rsid w:val="003A5FDC"/>
    <w:rsid w:val="003C03AF"/>
    <w:rsid w:val="003C35F6"/>
    <w:rsid w:val="003C6866"/>
    <w:rsid w:val="003C6F7A"/>
    <w:rsid w:val="003D4395"/>
    <w:rsid w:val="003E5A64"/>
    <w:rsid w:val="003E5CC5"/>
    <w:rsid w:val="003F06E1"/>
    <w:rsid w:val="003F1B49"/>
    <w:rsid w:val="003F6B58"/>
    <w:rsid w:val="003F6E2C"/>
    <w:rsid w:val="00400993"/>
    <w:rsid w:val="00403E58"/>
    <w:rsid w:val="00411B80"/>
    <w:rsid w:val="00417C17"/>
    <w:rsid w:val="00426135"/>
    <w:rsid w:val="00450DB9"/>
    <w:rsid w:val="004563F6"/>
    <w:rsid w:val="0047660B"/>
    <w:rsid w:val="00477658"/>
    <w:rsid w:val="004B0B37"/>
    <w:rsid w:val="004B3409"/>
    <w:rsid w:val="004C3114"/>
    <w:rsid w:val="004D5038"/>
    <w:rsid w:val="004F4021"/>
    <w:rsid w:val="0050283E"/>
    <w:rsid w:val="00517D3D"/>
    <w:rsid w:val="00524A4C"/>
    <w:rsid w:val="00535D76"/>
    <w:rsid w:val="00544323"/>
    <w:rsid w:val="00551BB8"/>
    <w:rsid w:val="005546D3"/>
    <w:rsid w:val="005737F0"/>
    <w:rsid w:val="00585999"/>
    <w:rsid w:val="005B5F72"/>
    <w:rsid w:val="005C2A7A"/>
    <w:rsid w:val="005E2BC0"/>
    <w:rsid w:val="005E5FB8"/>
    <w:rsid w:val="005E7F59"/>
    <w:rsid w:val="005F6F00"/>
    <w:rsid w:val="00604134"/>
    <w:rsid w:val="0061054E"/>
    <w:rsid w:val="00610CF3"/>
    <w:rsid w:val="00611835"/>
    <w:rsid w:val="00613D2C"/>
    <w:rsid w:val="006223E5"/>
    <w:rsid w:val="00623705"/>
    <w:rsid w:val="006239F3"/>
    <w:rsid w:val="00630F58"/>
    <w:rsid w:val="00650BC7"/>
    <w:rsid w:val="00651E7C"/>
    <w:rsid w:val="00653E88"/>
    <w:rsid w:val="00655105"/>
    <w:rsid w:val="00660AA9"/>
    <w:rsid w:val="00674F08"/>
    <w:rsid w:val="00675B1C"/>
    <w:rsid w:val="00675FEC"/>
    <w:rsid w:val="006770B7"/>
    <w:rsid w:val="0068444F"/>
    <w:rsid w:val="0069276B"/>
    <w:rsid w:val="00696608"/>
    <w:rsid w:val="006A1948"/>
    <w:rsid w:val="006B74BF"/>
    <w:rsid w:val="006C3C6D"/>
    <w:rsid w:val="006C7C7A"/>
    <w:rsid w:val="006D6CB8"/>
    <w:rsid w:val="006E4EF8"/>
    <w:rsid w:val="006F753D"/>
    <w:rsid w:val="00704D3E"/>
    <w:rsid w:val="00705202"/>
    <w:rsid w:val="0071338C"/>
    <w:rsid w:val="00734D5E"/>
    <w:rsid w:val="007509D2"/>
    <w:rsid w:val="00752959"/>
    <w:rsid w:val="00763A53"/>
    <w:rsid w:val="0077175D"/>
    <w:rsid w:val="00772679"/>
    <w:rsid w:val="00781213"/>
    <w:rsid w:val="00785ACA"/>
    <w:rsid w:val="007A5BD7"/>
    <w:rsid w:val="007A642C"/>
    <w:rsid w:val="007B0075"/>
    <w:rsid w:val="007C2B9E"/>
    <w:rsid w:val="007C4DBB"/>
    <w:rsid w:val="007C7D4A"/>
    <w:rsid w:val="007F5A8F"/>
    <w:rsid w:val="007F7A10"/>
    <w:rsid w:val="00803519"/>
    <w:rsid w:val="00814F72"/>
    <w:rsid w:val="00816282"/>
    <w:rsid w:val="00830644"/>
    <w:rsid w:val="00865D2F"/>
    <w:rsid w:val="008710EE"/>
    <w:rsid w:val="008778A8"/>
    <w:rsid w:val="00884FB0"/>
    <w:rsid w:val="008961FE"/>
    <w:rsid w:val="008A0FC1"/>
    <w:rsid w:val="008A25DC"/>
    <w:rsid w:val="008B1711"/>
    <w:rsid w:val="008B7ADF"/>
    <w:rsid w:val="008C029C"/>
    <w:rsid w:val="008C1339"/>
    <w:rsid w:val="008C41D8"/>
    <w:rsid w:val="008C4AA0"/>
    <w:rsid w:val="008E7031"/>
    <w:rsid w:val="00900462"/>
    <w:rsid w:val="009419ED"/>
    <w:rsid w:val="00941B87"/>
    <w:rsid w:val="009500BF"/>
    <w:rsid w:val="0095215C"/>
    <w:rsid w:val="00957991"/>
    <w:rsid w:val="009662EF"/>
    <w:rsid w:val="009733F5"/>
    <w:rsid w:val="00976EB1"/>
    <w:rsid w:val="009925B5"/>
    <w:rsid w:val="00992AC3"/>
    <w:rsid w:val="009932B0"/>
    <w:rsid w:val="009933C9"/>
    <w:rsid w:val="00995434"/>
    <w:rsid w:val="00996ABE"/>
    <w:rsid w:val="009A7479"/>
    <w:rsid w:val="009B020F"/>
    <w:rsid w:val="009B51BB"/>
    <w:rsid w:val="009C38C3"/>
    <w:rsid w:val="009C460F"/>
    <w:rsid w:val="009D5DD8"/>
    <w:rsid w:val="009E171F"/>
    <w:rsid w:val="009F7835"/>
    <w:rsid w:val="00A026FF"/>
    <w:rsid w:val="00A062F4"/>
    <w:rsid w:val="00A12866"/>
    <w:rsid w:val="00A12D94"/>
    <w:rsid w:val="00A17A56"/>
    <w:rsid w:val="00A20A49"/>
    <w:rsid w:val="00A3465F"/>
    <w:rsid w:val="00A43C18"/>
    <w:rsid w:val="00A5088D"/>
    <w:rsid w:val="00A56508"/>
    <w:rsid w:val="00A65180"/>
    <w:rsid w:val="00A76EF5"/>
    <w:rsid w:val="00A81484"/>
    <w:rsid w:val="00A965AA"/>
    <w:rsid w:val="00AA04DE"/>
    <w:rsid w:val="00AA0A2B"/>
    <w:rsid w:val="00AA1B2A"/>
    <w:rsid w:val="00AA5E84"/>
    <w:rsid w:val="00AC5855"/>
    <w:rsid w:val="00AE5131"/>
    <w:rsid w:val="00AF083C"/>
    <w:rsid w:val="00AF183C"/>
    <w:rsid w:val="00AF7C48"/>
    <w:rsid w:val="00B068DE"/>
    <w:rsid w:val="00B11718"/>
    <w:rsid w:val="00B16CD5"/>
    <w:rsid w:val="00B31F26"/>
    <w:rsid w:val="00B40111"/>
    <w:rsid w:val="00B529B8"/>
    <w:rsid w:val="00B547B3"/>
    <w:rsid w:val="00B63FC0"/>
    <w:rsid w:val="00B73A4F"/>
    <w:rsid w:val="00B9022E"/>
    <w:rsid w:val="00B93368"/>
    <w:rsid w:val="00BB34B3"/>
    <w:rsid w:val="00BD0EF6"/>
    <w:rsid w:val="00BE185F"/>
    <w:rsid w:val="00C16B04"/>
    <w:rsid w:val="00C2154C"/>
    <w:rsid w:val="00C21641"/>
    <w:rsid w:val="00C25AF0"/>
    <w:rsid w:val="00C37213"/>
    <w:rsid w:val="00C46C3C"/>
    <w:rsid w:val="00C55110"/>
    <w:rsid w:val="00C5608C"/>
    <w:rsid w:val="00C601BF"/>
    <w:rsid w:val="00C72F76"/>
    <w:rsid w:val="00C86D44"/>
    <w:rsid w:val="00C95803"/>
    <w:rsid w:val="00C9722D"/>
    <w:rsid w:val="00CA4F06"/>
    <w:rsid w:val="00CA5E0E"/>
    <w:rsid w:val="00CB20C3"/>
    <w:rsid w:val="00CC3DE3"/>
    <w:rsid w:val="00CD1A5A"/>
    <w:rsid w:val="00CD4CC1"/>
    <w:rsid w:val="00CD71A8"/>
    <w:rsid w:val="00CD7839"/>
    <w:rsid w:val="00CE092A"/>
    <w:rsid w:val="00CE1512"/>
    <w:rsid w:val="00CE15D2"/>
    <w:rsid w:val="00CE34B8"/>
    <w:rsid w:val="00CE5F3B"/>
    <w:rsid w:val="00CF094A"/>
    <w:rsid w:val="00D01C14"/>
    <w:rsid w:val="00D03804"/>
    <w:rsid w:val="00D04890"/>
    <w:rsid w:val="00D130DF"/>
    <w:rsid w:val="00D17DC3"/>
    <w:rsid w:val="00D35A81"/>
    <w:rsid w:val="00D420F3"/>
    <w:rsid w:val="00D44A19"/>
    <w:rsid w:val="00D45E27"/>
    <w:rsid w:val="00D5762F"/>
    <w:rsid w:val="00D64C1F"/>
    <w:rsid w:val="00D9213E"/>
    <w:rsid w:val="00D94FBD"/>
    <w:rsid w:val="00DA20B1"/>
    <w:rsid w:val="00DA24D0"/>
    <w:rsid w:val="00DB6A1F"/>
    <w:rsid w:val="00DC61A6"/>
    <w:rsid w:val="00DD1EFD"/>
    <w:rsid w:val="00DF35DF"/>
    <w:rsid w:val="00E05160"/>
    <w:rsid w:val="00E15846"/>
    <w:rsid w:val="00E15F76"/>
    <w:rsid w:val="00E16035"/>
    <w:rsid w:val="00E34FA3"/>
    <w:rsid w:val="00E4273F"/>
    <w:rsid w:val="00E44FFE"/>
    <w:rsid w:val="00E56F25"/>
    <w:rsid w:val="00E7477E"/>
    <w:rsid w:val="00E7495A"/>
    <w:rsid w:val="00E81539"/>
    <w:rsid w:val="00E82F41"/>
    <w:rsid w:val="00E83102"/>
    <w:rsid w:val="00E84C96"/>
    <w:rsid w:val="00E87134"/>
    <w:rsid w:val="00E90690"/>
    <w:rsid w:val="00EA45F8"/>
    <w:rsid w:val="00EC2B3D"/>
    <w:rsid w:val="00EC76D5"/>
    <w:rsid w:val="00ED2DB0"/>
    <w:rsid w:val="00ED4764"/>
    <w:rsid w:val="00EE0A0F"/>
    <w:rsid w:val="00EE1597"/>
    <w:rsid w:val="00F01852"/>
    <w:rsid w:val="00F02D4A"/>
    <w:rsid w:val="00F0324C"/>
    <w:rsid w:val="00F11D8F"/>
    <w:rsid w:val="00F360F0"/>
    <w:rsid w:val="00F4728F"/>
    <w:rsid w:val="00F54B66"/>
    <w:rsid w:val="00F62D54"/>
    <w:rsid w:val="00F705EB"/>
    <w:rsid w:val="00F729BD"/>
    <w:rsid w:val="00F749B4"/>
    <w:rsid w:val="00F75EF0"/>
    <w:rsid w:val="00F92DFC"/>
    <w:rsid w:val="00FA064F"/>
    <w:rsid w:val="00FA3824"/>
    <w:rsid w:val="00FA4F8F"/>
    <w:rsid w:val="00FB1139"/>
    <w:rsid w:val="00FB5CEB"/>
    <w:rsid w:val="00FC2715"/>
    <w:rsid w:val="00FC2F08"/>
    <w:rsid w:val="00FC3B46"/>
    <w:rsid w:val="00FC55B9"/>
    <w:rsid w:val="00FD4E12"/>
    <w:rsid w:val="00FE643E"/>
    <w:rsid w:val="00FE654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AF183C"/>
    <w:pPr>
      <w:jc w:val="both"/>
    </w:pPr>
    <w:rPr>
      <w:rFonts w:eastAsiaTheme="minorEastAsia"/>
      <w:sz w:val="24"/>
      <w:lang w:val="en-GB"/>
    </w:rPr>
  </w:style>
  <w:style w:type="paragraph" w:styleId="Heading1">
    <w:name w:val="heading 1"/>
    <w:basedOn w:val="Normal"/>
    <w:next w:val="Normal"/>
    <w:link w:val="Heading1Char"/>
    <w:uiPriority w:val="99"/>
    <w:semiHidden/>
    <w:rsid w:val="00AF183C"/>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AF183C"/>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AF183C"/>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AF183C"/>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AF183C"/>
    <w:pPr>
      <w:spacing w:before="200"/>
      <w:outlineLvl w:val="4"/>
    </w:pPr>
    <w:rPr>
      <w:rFonts w:asciiTheme="majorHAnsi" w:eastAsiaTheme="majorEastAsia" w:hAnsiTheme="majorHAnsi" w:cstheme="majorBidi"/>
      <w:b/>
      <w:bCs/>
      <w:color w:val="808080"/>
      <w:sz w:val="22"/>
      <w:lang w:val="en-US"/>
    </w:rPr>
  </w:style>
  <w:style w:type="paragraph" w:styleId="Heading6">
    <w:name w:val="heading 6"/>
    <w:basedOn w:val="Normal"/>
    <w:next w:val="Normal"/>
    <w:link w:val="Heading6Char"/>
    <w:uiPriority w:val="99"/>
    <w:semiHidden/>
    <w:rsid w:val="00AF183C"/>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AF183C"/>
    <w:pPr>
      <w:outlineLvl w:val="6"/>
    </w:pPr>
    <w:rPr>
      <w:rFonts w:asciiTheme="majorHAnsi" w:eastAsiaTheme="majorEastAsia" w:hAnsiTheme="majorHAnsi" w:cstheme="majorBidi"/>
      <w:i/>
      <w:iCs/>
      <w:sz w:val="22"/>
      <w:lang w:val="en-US" w:bidi="en-US"/>
    </w:rPr>
  </w:style>
  <w:style w:type="paragraph" w:styleId="Heading8">
    <w:name w:val="heading 8"/>
    <w:basedOn w:val="Normal"/>
    <w:next w:val="Normal"/>
    <w:link w:val="Heading8Char"/>
    <w:uiPriority w:val="99"/>
    <w:semiHidden/>
    <w:qFormat/>
    <w:rsid w:val="00AF183C"/>
    <w:pPr>
      <w:outlineLvl w:val="7"/>
    </w:pPr>
    <w:rPr>
      <w:rFonts w:asciiTheme="majorHAnsi" w:eastAsiaTheme="majorEastAsia" w:hAnsiTheme="majorHAnsi" w:cstheme="majorBidi"/>
      <w:sz w:val="20"/>
      <w:szCs w:val="20"/>
      <w:lang w:val="en-US" w:bidi="en-US"/>
    </w:rPr>
  </w:style>
  <w:style w:type="paragraph" w:styleId="Heading9">
    <w:name w:val="heading 9"/>
    <w:basedOn w:val="Normal"/>
    <w:next w:val="Normal"/>
    <w:link w:val="Heading9Char"/>
    <w:uiPriority w:val="99"/>
    <w:semiHidden/>
    <w:qFormat/>
    <w:rsid w:val="00AF183C"/>
    <w:pPr>
      <w:outlineLvl w:val="8"/>
    </w:pPr>
    <w:rPr>
      <w:rFonts w:asciiTheme="majorHAnsi" w:eastAsiaTheme="majorEastAsia" w:hAnsiTheme="majorHAnsi" w:cstheme="majorBidi"/>
      <w:i/>
      <w:iCs/>
      <w:spacing w:val="5"/>
      <w:sz w:val="20"/>
      <w:szCs w:val="20"/>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AF183C"/>
    <w:rPr>
      <w:rFonts w:ascii="Tahoma" w:hAnsi="Tahoma" w:cs="Tahoma"/>
      <w:sz w:val="16"/>
      <w:szCs w:val="16"/>
    </w:rPr>
  </w:style>
  <w:style w:type="character" w:customStyle="1" w:styleId="BalloonTextChar">
    <w:name w:val="Balloon Text Char"/>
    <w:basedOn w:val="DefaultParagraphFont"/>
    <w:link w:val="BalloonText"/>
    <w:uiPriority w:val="99"/>
    <w:semiHidden/>
    <w:rsid w:val="00AF183C"/>
    <w:rPr>
      <w:rFonts w:ascii="Tahoma" w:eastAsiaTheme="minorEastAsia" w:hAnsi="Tahoma" w:cs="Tahoma"/>
      <w:sz w:val="16"/>
      <w:szCs w:val="16"/>
      <w:lang w:val="en-GB"/>
    </w:rPr>
  </w:style>
  <w:style w:type="character" w:styleId="BookTitle">
    <w:name w:val="Book Title"/>
    <w:uiPriority w:val="99"/>
    <w:semiHidden/>
    <w:qFormat/>
    <w:rsid w:val="00AF183C"/>
    <w:rPr>
      <w:i/>
      <w:iCs/>
      <w:smallCaps/>
      <w:spacing w:val="5"/>
    </w:rPr>
  </w:style>
  <w:style w:type="paragraph" w:customStyle="1" w:styleId="ECHRHeader">
    <w:name w:val="ECHR_Header"/>
    <w:aliases w:val="Ju_Header"/>
    <w:basedOn w:val="Header"/>
    <w:uiPriority w:val="4"/>
    <w:qFormat/>
    <w:rsid w:val="00AF183C"/>
    <w:pPr>
      <w:tabs>
        <w:tab w:val="clear" w:pos="4536"/>
        <w:tab w:val="clear" w:pos="9072"/>
        <w:tab w:val="center" w:pos="3686"/>
        <w:tab w:val="right" w:pos="7371"/>
      </w:tabs>
      <w:jc w:val="left"/>
    </w:pPr>
    <w:rPr>
      <w:sz w:val="18"/>
    </w:rPr>
  </w:style>
  <w:style w:type="paragraph" w:customStyle="1" w:styleId="ECHRFooter">
    <w:name w:val="ECHR_Footer"/>
    <w:aliases w:val="Footer_ECHR"/>
    <w:basedOn w:val="Footer"/>
    <w:uiPriority w:val="57"/>
    <w:semiHidden/>
    <w:rsid w:val="00AF183C"/>
    <w:pPr>
      <w:jc w:val="left"/>
    </w:pPr>
    <w:rPr>
      <w:sz w:val="8"/>
    </w:rPr>
  </w:style>
  <w:style w:type="character" w:styleId="Strong">
    <w:name w:val="Strong"/>
    <w:uiPriority w:val="99"/>
    <w:semiHidden/>
    <w:qFormat/>
    <w:rsid w:val="00AF183C"/>
    <w:rPr>
      <w:b/>
      <w:bCs/>
    </w:rPr>
  </w:style>
  <w:style w:type="paragraph" w:styleId="NoSpacing">
    <w:name w:val="No Spacing"/>
    <w:basedOn w:val="Normal"/>
    <w:link w:val="NoSpacingChar"/>
    <w:semiHidden/>
    <w:qFormat/>
    <w:rsid w:val="00AF183C"/>
    <w:rPr>
      <w:sz w:val="22"/>
      <w:lang w:val="en-US"/>
    </w:rPr>
  </w:style>
  <w:style w:type="character" w:customStyle="1" w:styleId="NoSpacingChar">
    <w:name w:val="No Spacing Char"/>
    <w:basedOn w:val="DefaultParagraphFont"/>
    <w:link w:val="NoSpacing"/>
    <w:semiHidden/>
    <w:rsid w:val="00AF183C"/>
    <w:rPr>
      <w:rFonts w:eastAsiaTheme="minorEastAsia"/>
    </w:rPr>
  </w:style>
  <w:style w:type="paragraph" w:customStyle="1" w:styleId="ECHRFooterLine">
    <w:name w:val="ECHR_Footer_Line"/>
    <w:aliases w:val="Footer_Line"/>
    <w:basedOn w:val="Normal"/>
    <w:next w:val="ECHRFooter"/>
    <w:uiPriority w:val="57"/>
    <w:semiHidden/>
    <w:rsid w:val="00AF183C"/>
    <w:pPr>
      <w:pBdr>
        <w:top w:val="single" w:sz="6" w:space="1" w:color="5F5F5F"/>
      </w:pBdr>
      <w:tabs>
        <w:tab w:val="center" w:pos="4536"/>
        <w:tab w:val="right" w:pos="9696"/>
      </w:tabs>
      <w:ind w:left="-680" w:right="-680"/>
      <w:jc w:val="left"/>
    </w:pPr>
    <w:rPr>
      <w:color w:val="5F5F5F"/>
    </w:rPr>
  </w:style>
  <w:style w:type="paragraph" w:customStyle="1" w:styleId="DecHTitle">
    <w:name w:val="Dec_H_Title"/>
    <w:basedOn w:val="ECHRTitleCentre1"/>
    <w:uiPriority w:val="7"/>
    <w:semiHidden/>
    <w:qFormat/>
    <w:rsid w:val="00AF183C"/>
  </w:style>
  <w:style w:type="paragraph" w:customStyle="1" w:styleId="DecList">
    <w:name w:val="Dec_List"/>
    <w:basedOn w:val="Normal"/>
    <w:uiPriority w:val="9"/>
    <w:semiHidden/>
    <w:qFormat/>
    <w:rsid w:val="00AF183C"/>
    <w:pPr>
      <w:spacing w:before="240"/>
      <w:ind w:left="284"/>
    </w:pPr>
  </w:style>
  <w:style w:type="paragraph" w:customStyle="1" w:styleId="DummyStyle">
    <w:name w:val="Dummy_Style"/>
    <w:basedOn w:val="Normal"/>
    <w:semiHidden/>
    <w:qFormat/>
    <w:rsid w:val="00AF183C"/>
    <w:rPr>
      <w:color w:val="00B050"/>
    </w:rPr>
  </w:style>
  <w:style w:type="paragraph" w:customStyle="1" w:styleId="ECHRTitleCentre3">
    <w:name w:val="ECHR_Title_Centre_3"/>
    <w:aliases w:val="Ju_H_Article"/>
    <w:basedOn w:val="Normal"/>
    <w:next w:val="ECHRParaQuote"/>
    <w:uiPriority w:val="27"/>
    <w:qFormat/>
    <w:rsid w:val="00AF183C"/>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AF183C"/>
    <w:pPr>
      <w:keepNext/>
      <w:keepLines/>
      <w:spacing w:after="240"/>
      <w:jc w:val="center"/>
      <w:outlineLvl w:val="0"/>
    </w:pPr>
    <w:rPr>
      <w:rFonts w:asciiTheme="majorHAnsi" w:hAnsiTheme="majorHAnsi"/>
      <w:sz w:val="28"/>
    </w:rPr>
  </w:style>
  <w:style w:type="paragraph" w:customStyle="1" w:styleId="JuAppQuestion">
    <w:name w:val="Ju_App_Question"/>
    <w:basedOn w:val="Normal"/>
    <w:uiPriority w:val="5"/>
    <w:semiHidden/>
    <w:qFormat/>
    <w:rsid w:val="00AF183C"/>
    <w:pPr>
      <w:numPr>
        <w:numId w:val="29"/>
      </w:numPr>
      <w:jc w:val="left"/>
    </w:pPr>
    <w:rPr>
      <w:b/>
    </w:rPr>
  </w:style>
  <w:style w:type="paragraph" w:customStyle="1" w:styleId="JuCourt">
    <w:name w:val="Ju_Court"/>
    <w:basedOn w:val="Normal"/>
    <w:next w:val="Normal"/>
    <w:uiPriority w:val="16"/>
    <w:qFormat/>
    <w:rsid w:val="00AF183C"/>
    <w:pPr>
      <w:tabs>
        <w:tab w:val="left" w:pos="907"/>
        <w:tab w:val="left" w:pos="1701"/>
        <w:tab w:val="right" w:pos="7371"/>
      </w:tabs>
      <w:spacing w:before="240"/>
      <w:ind w:left="397" w:hanging="397"/>
      <w:jc w:val="left"/>
    </w:pPr>
    <w:rPr>
      <w:lang w:bidi="en-US"/>
    </w:rPr>
  </w:style>
  <w:style w:type="paragraph" w:customStyle="1" w:styleId="JuInitialled">
    <w:name w:val="Ju_Initialled"/>
    <w:basedOn w:val="Normal"/>
    <w:uiPriority w:val="31"/>
    <w:qFormat/>
    <w:rsid w:val="00AF183C"/>
    <w:pPr>
      <w:tabs>
        <w:tab w:val="center" w:pos="6407"/>
      </w:tabs>
      <w:spacing w:before="720"/>
      <w:jc w:val="right"/>
    </w:pPr>
  </w:style>
  <w:style w:type="paragraph" w:customStyle="1" w:styleId="ECHRTitleCentre2">
    <w:name w:val="ECHR_Title_Centre_2"/>
    <w:aliases w:val="Dec_H_Case"/>
    <w:basedOn w:val="Normal"/>
    <w:next w:val="ECHRPara"/>
    <w:uiPriority w:val="8"/>
    <w:qFormat/>
    <w:rsid w:val="00AF183C"/>
    <w:pPr>
      <w:spacing w:after="240"/>
      <w:jc w:val="center"/>
      <w:outlineLvl w:val="0"/>
    </w:pPr>
    <w:rPr>
      <w:rFonts w:asciiTheme="majorHAnsi" w:hAnsiTheme="majorHAnsi"/>
    </w:rPr>
  </w:style>
  <w:style w:type="character" w:customStyle="1" w:styleId="JUNAMES">
    <w:name w:val="JU_NAMES"/>
    <w:uiPriority w:val="17"/>
    <w:qFormat/>
    <w:rsid w:val="00AF183C"/>
    <w:rPr>
      <w:caps w:val="0"/>
      <w:smallCaps/>
    </w:rPr>
  </w:style>
  <w:style w:type="paragraph" w:styleId="Title">
    <w:name w:val="Title"/>
    <w:basedOn w:val="Normal"/>
    <w:next w:val="Normal"/>
    <w:link w:val="TitleChar"/>
    <w:uiPriority w:val="99"/>
    <w:semiHidden/>
    <w:qFormat/>
    <w:rsid w:val="00AF183C"/>
    <w:pPr>
      <w:pBdr>
        <w:bottom w:val="single" w:sz="4" w:space="1" w:color="auto"/>
      </w:pBdr>
      <w:contextualSpacing/>
    </w:pPr>
    <w:rPr>
      <w:rFonts w:asciiTheme="majorHAnsi" w:eastAsiaTheme="majorEastAsia" w:hAnsiTheme="majorHAnsi" w:cstheme="majorBidi"/>
      <w:spacing w:val="5"/>
      <w:sz w:val="52"/>
      <w:szCs w:val="52"/>
      <w:lang w:val="en-US" w:bidi="en-US"/>
    </w:rPr>
  </w:style>
  <w:style w:type="character" w:customStyle="1" w:styleId="TitleChar">
    <w:name w:val="Title Char"/>
    <w:basedOn w:val="DefaultParagraphFont"/>
    <w:link w:val="Title"/>
    <w:uiPriority w:val="99"/>
    <w:semiHidden/>
    <w:rsid w:val="00AF183C"/>
    <w:rPr>
      <w:rFonts w:asciiTheme="majorHAnsi" w:eastAsiaTheme="majorEastAsia" w:hAnsiTheme="majorHAnsi" w:cstheme="majorBidi"/>
      <w:spacing w:val="5"/>
      <w:sz w:val="52"/>
      <w:szCs w:val="52"/>
      <w:lang w:bidi="en-US"/>
    </w:rPr>
  </w:style>
  <w:style w:type="paragraph" w:customStyle="1" w:styleId="ECHRHeading3">
    <w:name w:val="ECHR_Heading_3"/>
    <w:aliases w:val="Ju_H_1."/>
    <w:basedOn w:val="Heading3"/>
    <w:next w:val="ECHRPara"/>
    <w:uiPriority w:val="21"/>
    <w:qFormat/>
    <w:rsid w:val="00AF183C"/>
    <w:pPr>
      <w:keepNext/>
      <w:keepLines/>
      <w:tabs>
        <w:tab w:val="left" w:pos="731"/>
      </w:tabs>
      <w:spacing w:before="240" w:after="120" w:line="240" w:lineRule="auto"/>
      <w:ind w:left="732" w:hanging="301"/>
    </w:pPr>
    <w:rPr>
      <w:b w:val="0"/>
      <w:i/>
      <w:color w:val="auto"/>
    </w:rPr>
  </w:style>
  <w:style w:type="paragraph" w:customStyle="1" w:styleId="ECHRHeading4">
    <w:name w:val="ECHR_Heading_4"/>
    <w:aliases w:val="Ju_H_a"/>
    <w:basedOn w:val="Heading4"/>
    <w:next w:val="ECHRPara"/>
    <w:uiPriority w:val="22"/>
    <w:qFormat/>
    <w:rsid w:val="00AF183C"/>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AF183C"/>
    <w:pPr>
      <w:keepNext/>
      <w:keepLines/>
      <w:tabs>
        <w:tab w:val="left" w:pos="1191"/>
      </w:tabs>
      <w:spacing w:before="240" w:after="120"/>
      <w:ind w:left="1190" w:hanging="357"/>
    </w:pPr>
    <w:rPr>
      <w:b w:val="0"/>
      <w:i/>
      <w:color w:val="auto"/>
      <w:sz w:val="20"/>
      <w:lang w:val="en-GB"/>
    </w:rPr>
  </w:style>
  <w:style w:type="paragraph" w:customStyle="1" w:styleId="ECHRHeading6">
    <w:name w:val="ECHR_Heading_6"/>
    <w:aliases w:val="Ju_H_alpha"/>
    <w:basedOn w:val="Heading6"/>
    <w:next w:val="ECHRPara"/>
    <w:uiPriority w:val="24"/>
    <w:qFormat/>
    <w:rsid w:val="00AF183C"/>
    <w:pPr>
      <w:keepNext/>
      <w:keepLines/>
      <w:tabs>
        <w:tab w:val="left" w:pos="1372"/>
      </w:tabs>
      <w:spacing w:before="240" w:after="120" w:line="240" w:lineRule="auto"/>
      <w:ind w:left="1373" w:hanging="335"/>
    </w:pPr>
    <w:rPr>
      <w:b w:val="0"/>
      <w:i w:val="0"/>
      <w:color w:val="auto"/>
      <w:sz w:val="20"/>
    </w:rPr>
  </w:style>
  <w:style w:type="paragraph" w:customStyle="1" w:styleId="ECHRHeading7">
    <w:name w:val="ECHR_Heading_7"/>
    <w:aliases w:val="Ju_H_–"/>
    <w:basedOn w:val="Heading7"/>
    <w:next w:val="ECHRPara"/>
    <w:uiPriority w:val="25"/>
    <w:qFormat/>
    <w:rsid w:val="00AF183C"/>
    <w:pPr>
      <w:keepNext/>
      <w:keepLines/>
      <w:spacing w:before="240" w:after="120"/>
      <w:ind w:left="1236"/>
    </w:pPr>
    <w:rPr>
      <w:sz w:val="20"/>
      <w:lang w:val="en-GB"/>
    </w:rPr>
  </w:style>
  <w:style w:type="paragraph" w:customStyle="1" w:styleId="JuParaSub">
    <w:name w:val="Ju_Para_Sub"/>
    <w:basedOn w:val="ECHRPara"/>
    <w:uiPriority w:val="13"/>
    <w:qFormat/>
    <w:rsid w:val="00AF183C"/>
    <w:pPr>
      <w:ind w:left="284"/>
    </w:pPr>
  </w:style>
  <w:style w:type="paragraph" w:customStyle="1" w:styleId="JuQuotSub">
    <w:name w:val="Ju_Quot_Sub"/>
    <w:basedOn w:val="ECHRParaQuote"/>
    <w:uiPriority w:val="15"/>
    <w:qFormat/>
    <w:rsid w:val="00AF183C"/>
    <w:pPr>
      <w:ind w:left="567"/>
    </w:pPr>
  </w:style>
  <w:style w:type="paragraph" w:customStyle="1" w:styleId="JuTitle">
    <w:name w:val="Ju_Title"/>
    <w:basedOn w:val="Normal"/>
    <w:next w:val="ECHRPara"/>
    <w:uiPriority w:val="3"/>
    <w:semiHidden/>
    <w:qFormat/>
    <w:rsid w:val="00AF183C"/>
    <w:pPr>
      <w:spacing w:before="720" w:after="240"/>
      <w:jc w:val="center"/>
      <w:outlineLvl w:val="0"/>
    </w:pPr>
    <w:rPr>
      <w:rFonts w:asciiTheme="majorHAnsi" w:hAnsiTheme="majorHAnsi"/>
      <w:b/>
      <w:caps/>
    </w:rPr>
  </w:style>
  <w:style w:type="paragraph" w:styleId="Header">
    <w:name w:val="header"/>
    <w:basedOn w:val="Normal"/>
    <w:link w:val="HeaderChar"/>
    <w:uiPriority w:val="57"/>
    <w:semiHidden/>
    <w:rsid w:val="00AF183C"/>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AF183C"/>
    <w:rPr>
      <w:sz w:val="24"/>
      <w:lang w:val="en-GB"/>
    </w:rPr>
  </w:style>
  <w:style w:type="character" w:customStyle="1" w:styleId="Heading1Char">
    <w:name w:val="Heading 1 Char"/>
    <w:basedOn w:val="DefaultParagraphFont"/>
    <w:link w:val="Heading1"/>
    <w:uiPriority w:val="99"/>
    <w:semiHidden/>
    <w:rsid w:val="00AF183C"/>
    <w:rPr>
      <w:rFonts w:asciiTheme="majorHAnsi" w:eastAsiaTheme="majorEastAsia" w:hAnsiTheme="majorHAnsi" w:cstheme="majorBidi"/>
      <w:b/>
      <w:bCs/>
      <w:color w:val="333333"/>
      <w:sz w:val="28"/>
      <w:szCs w:val="28"/>
      <w:lang w:val="en-GB"/>
    </w:rPr>
  </w:style>
  <w:style w:type="paragraph" w:customStyle="1" w:styleId="ECHRHeading1">
    <w:name w:val="ECHR_Heading_1"/>
    <w:aliases w:val="Ju_H_I_Roman"/>
    <w:basedOn w:val="Heading1"/>
    <w:next w:val="ECHRPara"/>
    <w:uiPriority w:val="19"/>
    <w:qFormat/>
    <w:rsid w:val="00AF183C"/>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AF183C"/>
    <w:pPr>
      <w:keepNext/>
      <w:keepLines/>
      <w:tabs>
        <w:tab w:val="left" w:pos="584"/>
      </w:tabs>
      <w:spacing w:before="360" w:after="240"/>
      <w:ind w:left="584" w:hanging="352"/>
    </w:pPr>
    <w:rPr>
      <w:color w:val="auto"/>
      <w:sz w:val="24"/>
    </w:rPr>
  </w:style>
  <w:style w:type="character" w:customStyle="1" w:styleId="Heading2Char">
    <w:name w:val="Heading 2 Char"/>
    <w:basedOn w:val="DefaultParagraphFont"/>
    <w:link w:val="Heading2"/>
    <w:uiPriority w:val="99"/>
    <w:semiHidden/>
    <w:rsid w:val="00AF183C"/>
    <w:rPr>
      <w:rFonts w:asciiTheme="majorHAnsi" w:eastAsiaTheme="majorEastAsia" w:hAnsiTheme="majorHAnsi" w:cstheme="majorBidi"/>
      <w:b/>
      <w:bCs/>
      <w:color w:val="4D4D4D"/>
      <w:sz w:val="26"/>
      <w:szCs w:val="26"/>
      <w:lang w:val="en-GB"/>
    </w:rPr>
  </w:style>
  <w:style w:type="paragraph" w:customStyle="1" w:styleId="OpiH1">
    <w:name w:val="Opi_H_1"/>
    <w:basedOn w:val="ECHRHeading2"/>
    <w:uiPriority w:val="42"/>
    <w:qFormat/>
    <w:rsid w:val="00AF183C"/>
    <w:pPr>
      <w:ind w:left="635" w:hanging="357"/>
      <w:outlineLvl w:val="2"/>
    </w:pPr>
  </w:style>
  <w:style w:type="paragraph" w:customStyle="1" w:styleId="JuCase">
    <w:name w:val="Ju_Case"/>
    <w:basedOn w:val="Normal"/>
    <w:next w:val="ECHRPara"/>
    <w:uiPriority w:val="10"/>
    <w:rsid w:val="00AF183C"/>
    <w:pPr>
      <w:ind w:firstLine="284"/>
    </w:pPr>
    <w:rPr>
      <w:b/>
    </w:rPr>
  </w:style>
  <w:style w:type="character" w:customStyle="1" w:styleId="Heading3Char">
    <w:name w:val="Heading 3 Char"/>
    <w:basedOn w:val="DefaultParagraphFont"/>
    <w:link w:val="Heading3"/>
    <w:uiPriority w:val="99"/>
    <w:semiHidden/>
    <w:rsid w:val="00AF183C"/>
    <w:rPr>
      <w:rFonts w:asciiTheme="majorHAnsi" w:eastAsiaTheme="majorEastAsia" w:hAnsiTheme="majorHAnsi" w:cstheme="majorBidi"/>
      <w:b/>
      <w:bCs/>
      <w:color w:val="5F5F5F"/>
      <w:sz w:val="24"/>
      <w:lang w:val="en-GB"/>
    </w:rPr>
  </w:style>
  <w:style w:type="character" w:customStyle="1" w:styleId="Heading4Char">
    <w:name w:val="Heading 4 Char"/>
    <w:basedOn w:val="DefaultParagraphFont"/>
    <w:link w:val="Heading4"/>
    <w:uiPriority w:val="99"/>
    <w:semiHidden/>
    <w:rsid w:val="00AF183C"/>
    <w:rPr>
      <w:rFonts w:asciiTheme="majorHAnsi" w:eastAsiaTheme="majorEastAsia" w:hAnsiTheme="majorHAnsi" w:cstheme="majorBidi"/>
      <w:b/>
      <w:bCs/>
      <w:i/>
      <w:iCs/>
      <w:color w:val="777777"/>
      <w:sz w:val="24"/>
      <w:lang w:val="en-GB"/>
    </w:rPr>
  </w:style>
  <w:style w:type="character" w:customStyle="1" w:styleId="Heading5Char">
    <w:name w:val="Heading 5 Char"/>
    <w:basedOn w:val="DefaultParagraphFont"/>
    <w:link w:val="Heading5"/>
    <w:uiPriority w:val="99"/>
    <w:semiHidden/>
    <w:rsid w:val="00AF183C"/>
    <w:rPr>
      <w:rFonts w:asciiTheme="majorHAnsi" w:eastAsiaTheme="majorEastAsia" w:hAnsiTheme="majorHAnsi" w:cstheme="majorBidi"/>
      <w:b/>
      <w:bCs/>
      <w:color w:val="808080"/>
    </w:rPr>
  </w:style>
  <w:style w:type="character" w:styleId="SubtleEmphasis">
    <w:name w:val="Subtle Emphasis"/>
    <w:uiPriority w:val="99"/>
    <w:semiHidden/>
    <w:qFormat/>
    <w:rsid w:val="00AF183C"/>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ECHRTitle1">
    <w:name w:val="ECHR_Title_1"/>
    <w:aliases w:val="Ju_H_Head"/>
    <w:basedOn w:val="Normal"/>
    <w:next w:val="ECHRPara"/>
    <w:uiPriority w:val="18"/>
    <w:qFormat/>
    <w:rsid w:val="00AF183C"/>
    <w:pPr>
      <w:keepNext/>
      <w:keepLines/>
      <w:spacing w:before="720" w:after="240"/>
      <w:outlineLvl w:val="0"/>
    </w:pPr>
    <w:rPr>
      <w:rFonts w:asciiTheme="majorHAnsi" w:hAnsiTheme="majorHAnsi"/>
      <w:sz w:val="28"/>
    </w:rPr>
  </w:style>
  <w:style w:type="character" w:styleId="Emphasis">
    <w:name w:val="Emphasis"/>
    <w:uiPriority w:val="99"/>
    <w:semiHidden/>
    <w:qFormat/>
    <w:rsid w:val="00AF183C"/>
    <w:rPr>
      <w:b/>
      <w:bCs/>
      <w:i/>
      <w:iCs/>
      <w:spacing w:val="10"/>
      <w:bdr w:val="none" w:sz="0" w:space="0" w:color="auto"/>
      <w:shd w:val="clear" w:color="auto" w:fill="auto"/>
    </w:rPr>
  </w:style>
  <w:style w:type="paragraph" w:styleId="Footer">
    <w:name w:val="footer"/>
    <w:basedOn w:val="Normal"/>
    <w:link w:val="FooterChar"/>
    <w:uiPriority w:val="57"/>
    <w:semiHidden/>
    <w:rsid w:val="00AF183C"/>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AF183C"/>
    <w:rPr>
      <w:sz w:val="24"/>
      <w:lang w:val="en-GB"/>
    </w:rPr>
  </w:style>
  <w:style w:type="character" w:styleId="FootnoteReference">
    <w:name w:val="footnote reference"/>
    <w:basedOn w:val="DefaultParagraphFont"/>
    <w:uiPriority w:val="99"/>
    <w:semiHidden/>
    <w:rsid w:val="00AF183C"/>
    <w:rPr>
      <w:vertAlign w:val="superscript"/>
    </w:rPr>
  </w:style>
  <w:style w:type="paragraph" w:styleId="FootnoteText">
    <w:name w:val="footnote text"/>
    <w:basedOn w:val="Normal"/>
    <w:link w:val="FootnoteTextChar"/>
    <w:uiPriority w:val="99"/>
    <w:semiHidden/>
    <w:rsid w:val="00AF183C"/>
    <w:rPr>
      <w:sz w:val="20"/>
      <w:szCs w:val="20"/>
    </w:rPr>
  </w:style>
  <w:style w:type="character" w:customStyle="1" w:styleId="FootnoteTextChar">
    <w:name w:val="Footnote Text Char"/>
    <w:basedOn w:val="DefaultParagraphFont"/>
    <w:link w:val="FootnoteText"/>
    <w:uiPriority w:val="99"/>
    <w:semiHidden/>
    <w:rsid w:val="00AF183C"/>
    <w:rPr>
      <w:rFonts w:eastAsiaTheme="minorEastAsia"/>
      <w:sz w:val="20"/>
      <w:szCs w:val="20"/>
      <w:lang w:val="en-GB"/>
    </w:rPr>
  </w:style>
  <w:style w:type="character" w:customStyle="1" w:styleId="Heading6Char">
    <w:name w:val="Heading 6 Char"/>
    <w:basedOn w:val="DefaultParagraphFont"/>
    <w:link w:val="Heading6"/>
    <w:uiPriority w:val="99"/>
    <w:semiHidden/>
    <w:rsid w:val="00AF183C"/>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AF183C"/>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AF183C"/>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AF183C"/>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AF183C"/>
    <w:rPr>
      <w:color w:val="0072BC" w:themeColor="hyperlink"/>
      <w:u w:val="single"/>
    </w:rPr>
  </w:style>
  <w:style w:type="character" w:styleId="IntenseEmphasis">
    <w:name w:val="Intense Emphasis"/>
    <w:uiPriority w:val="99"/>
    <w:semiHidden/>
    <w:qFormat/>
    <w:rsid w:val="00AF183C"/>
    <w:rPr>
      <w:b/>
      <w:bCs/>
    </w:rPr>
  </w:style>
  <w:style w:type="paragraph" w:styleId="IntenseQuote">
    <w:name w:val="Intense Quote"/>
    <w:basedOn w:val="Normal"/>
    <w:next w:val="Normal"/>
    <w:link w:val="IntenseQuoteChar"/>
    <w:uiPriority w:val="99"/>
    <w:semiHidden/>
    <w:qFormat/>
    <w:rsid w:val="00AF183C"/>
    <w:pPr>
      <w:pBdr>
        <w:bottom w:val="single" w:sz="4" w:space="1" w:color="auto"/>
      </w:pBdr>
      <w:spacing w:before="200" w:after="280"/>
      <w:ind w:left="1008" w:right="1152"/>
    </w:pPr>
    <w:rPr>
      <w:b/>
      <w:bCs/>
      <w:i/>
      <w:iCs/>
      <w:sz w:val="22"/>
      <w:lang w:val="en-US" w:bidi="en-US"/>
    </w:rPr>
  </w:style>
  <w:style w:type="character" w:customStyle="1" w:styleId="IntenseQuoteChar">
    <w:name w:val="Intense Quote Char"/>
    <w:basedOn w:val="DefaultParagraphFont"/>
    <w:link w:val="IntenseQuote"/>
    <w:uiPriority w:val="99"/>
    <w:semiHidden/>
    <w:rsid w:val="00AF183C"/>
    <w:rPr>
      <w:rFonts w:eastAsiaTheme="minorEastAsia"/>
      <w:b/>
      <w:bCs/>
      <w:i/>
      <w:iCs/>
      <w:lang w:bidi="en-US"/>
    </w:rPr>
  </w:style>
  <w:style w:type="character" w:styleId="IntenseReference">
    <w:name w:val="Intense Reference"/>
    <w:uiPriority w:val="99"/>
    <w:semiHidden/>
    <w:qFormat/>
    <w:rsid w:val="00AF183C"/>
    <w:rPr>
      <w:smallCaps/>
      <w:spacing w:val="5"/>
      <w:u w:val="single"/>
    </w:rPr>
  </w:style>
  <w:style w:type="paragraph" w:styleId="ListParagraph">
    <w:name w:val="List Paragraph"/>
    <w:basedOn w:val="Normal"/>
    <w:uiPriority w:val="99"/>
    <w:semiHidden/>
    <w:qFormat/>
    <w:rsid w:val="00AF183C"/>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AF183C"/>
    <w:pPr>
      <w:spacing w:before="200"/>
      <w:ind w:left="360" w:right="360"/>
    </w:pPr>
    <w:rPr>
      <w:i/>
      <w:iCs/>
      <w:sz w:val="22"/>
      <w:lang w:val="en-US" w:bidi="en-US"/>
    </w:rPr>
  </w:style>
  <w:style w:type="character" w:customStyle="1" w:styleId="QuoteChar">
    <w:name w:val="Quote Char"/>
    <w:basedOn w:val="DefaultParagraphFont"/>
    <w:link w:val="Quote"/>
    <w:uiPriority w:val="99"/>
    <w:semiHidden/>
    <w:rsid w:val="00AF183C"/>
    <w:rPr>
      <w:rFonts w:eastAsiaTheme="minorEastAsia"/>
      <w:i/>
      <w:iCs/>
      <w:lang w:bidi="en-US"/>
    </w:rPr>
  </w:style>
  <w:style w:type="character" w:styleId="SubtleReference">
    <w:name w:val="Subtle Reference"/>
    <w:uiPriority w:val="99"/>
    <w:semiHidden/>
    <w:qFormat/>
    <w:rsid w:val="00AF183C"/>
    <w:rPr>
      <w:smallCaps/>
    </w:rPr>
  </w:style>
  <w:style w:type="table" w:styleId="TableGrid">
    <w:name w:val="Table Grid"/>
    <w:basedOn w:val="TableNormal"/>
    <w:uiPriority w:val="59"/>
    <w:semiHidden/>
    <w:rsid w:val="00AF183C"/>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AF183C"/>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AF183C"/>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AF183C"/>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AF183C"/>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AF183C"/>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AF183C"/>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AF183C"/>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customStyle="1" w:styleId="ECHRParaQuote">
    <w:name w:val="ECHR_Para_Quote"/>
    <w:aliases w:val="Ju_Quot"/>
    <w:basedOn w:val="Normal"/>
    <w:uiPriority w:val="14"/>
    <w:qFormat/>
    <w:rsid w:val="00AF183C"/>
    <w:pPr>
      <w:spacing w:before="120" w:after="120"/>
      <w:ind w:left="425" w:firstLine="142"/>
    </w:pPr>
    <w:rPr>
      <w:sz w:val="20"/>
    </w:rPr>
  </w:style>
  <w:style w:type="paragraph" w:customStyle="1" w:styleId="ECHRPara">
    <w:name w:val="ECHR_Para"/>
    <w:aliases w:val="Ju_Para"/>
    <w:basedOn w:val="Normal"/>
    <w:link w:val="ECHRParaChar"/>
    <w:uiPriority w:val="12"/>
    <w:qFormat/>
    <w:rsid w:val="00AF183C"/>
    <w:pPr>
      <w:ind w:firstLine="284"/>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AF183C"/>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ECHRDecisionBody">
    <w:name w:val="ECHR_Decision_Body"/>
    <w:aliases w:val="Ju_Judges"/>
    <w:basedOn w:val="Normal"/>
    <w:uiPriority w:val="11"/>
    <w:qFormat/>
    <w:rsid w:val="00AF183C"/>
    <w:pPr>
      <w:tabs>
        <w:tab w:val="left" w:pos="567"/>
        <w:tab w:val="left" w:pos="1134"/>
      </w:tabs>
      <w:jc w:val="left"/>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List">
    <w:name w:val="Ju_List"/>
    <w:basedOn w:val="Normal"/>
    <w:uiPriority w:val="28"/>
    <w:qFormat/>
    <w:rsid w:val="00AF183C"/>
    <w:pPr>
      <w:ind w:left="340" w:hanging="340"/>
    </w:pPr>
  </w:style>
  <w:style w:type="paragraph" w:customStyle="1" w:styleId="JuSigned">
    <w:name w:val="Ju_Signed"/>
    <w:basedOn w:val="Normal"/>
    <w:next w:val="JuParaLast"/>
    <w:uiPriority w:val="32"/>
    <w:qFormat/>
    <w:rsid w:val="00AF183C"/>
    <w:pPr>
      <w:tabs>
        <w:tab w:val="center" w:pos="851"/>
        <w:tab w:val="center" w:pos="6407"/>
      </w:tabs>
      <w:spacing w:before="720"/>
      <w:jc w:val="left"/>
    </w:pPr>
  </w:style>
  <w:style w:type="paragraph" w:customStyle="1" w:styleId="JuParaLast">
    <w:name w:val="Ju_Para_Last"/>
    <w:basedOn w:val="Normal"/>
    <w:next w:val="ECHRPara"/>
    <w:uiPriority w:val="30"/>
    <w:qFormat/>
    <w:rsid w:val="00AF183C"/>
    <w:pPr>
      <w:keepNext/>
      <w:keepLines/>
      <w:spacing w:before="240"/>
      <w:ind w:firstLine="284"/>
    </w:pPr>
  </w:style>
  <w:style w:type="paragraph" w:customStyle="1" w:styleId="OpiHa">
    <w:name w:val="Opi_H_a"/>
    <w:basedOn w:val="ECHRHeading3"/>
    <w:uiPriority w:val="43"/>
    <w:qFormat/>
    <w:rsid w:val="00AF183C"/>
    <w:pPr>
      <w:ind w:left="833" w:hanging="357"/>
      <w:outlineLvl w:val="3"/>
    </w:pPr>
    <w:rPr>
      <w:b/>
      <w:i w:val="0"/>
      <w:sz w:val="20"/>
    </w:rPr>
  </w:style>
  <w:style w:type="character" w:styleId="PageNumber">
    <w:name w:val="page number"/>
    <w:uiPriority w:val="99"/>
    <w:semiHidden/>
    <w:rsid w:val="00014566"/>
    <w:rPr>
      <w:sz w:val="18"/>
    </w:rPr>
  </w:style>
  <w:style w:type="paragraph" w:customStyle="1" w:styleId="JuLista">
    <w:name w:val="Ju_List_a"/>
    <w:basedOn w:val="JuList"/>
    <w:uiPriority w:val="28"/>
    <w:qFormat/>
    <w:rsid w:val="00AF183C"/>
    <w:pPr>
      <w:ind w:left="346" w:firstLine="0"/>
    </w:pPr>
  </w:style>
  <w:style w:type="paragraph" w:customStyle="1" w:styleId="JuListi">
    <w:name w:val="Ju_List_i"/>
    <w:basedOn w:val="Normal"/>
    <w:next w:val="JuLista"/>
    <w:uiPriority w:val="28"/>
    <w:qFormat/>
    <w:rsid w:val="00AF183C"/>
    <w:pPr>
      <w:ind w:left="794"/>
    </w:pPr>
  </w:style>
  <w:style w:type="character" w:styleId="CommentReference">
    <w:name w:val="annotation reference"/>
    <w:uiPriority w:val="99"/>
    <w:semiHidden/>
    <w:rsid w:val="00014566"/>
    <w:rPr>
      <w:sz w:val="16"/>
    </w:rPr>
  </w:style>
  <w:style w:type="paragraph" w:styleId="CommentText">
    <w:name w:val="annotation text"/>
    <w:basedOn w:val="Normal"/>
    <w:link w:val="CommentTextChar"/>
    <w:uiPriority w:val="99"/>
    <w:semiHidden/>
    <w:rsid w:val="00014566"/>
    <w:rPr>
      <w:sz w:val="20"/>
    </w:rPr>
  </w:style>
  <w:style w:type="character" w:customStyle="1" w:styleId="CommentTextChar">
    <w:name w:val="Comment Text Char"/>
    <w:basedOn w:val="DefaultParagraphFont"/>
    <w:link w:val="CommentText"/>
    <w:uiPriority w:val="99"/>
    <w:semiHidden/>
    <w:rsid w:val="00014566"/>
    <w:rPr>
      <w:rFonts w:eastAsiaTheme="minorEastAsia"/>
      <w:sz w:val="20"/>
    </w:rPr>
  </w:style>
  <w:style w:type="paragraph" w:styleId="CommentSubject">
    <w:name w:val="annotation subject"/>
    <w:basedOn w:val="CommentText"/>
    <w:next w:val="CommentText"/>
    <w:link w:val="CommentSubjectChar"/>
    <w:uiPriority w:val="99"/>
    <w:semiHidden/>
    <w:rsid w:val="00014566"/>
    <w:rPr>
      <w:b/>
      <w:bCs/>
    </w:rPr>
  </w:style>
  <w:style w:type="character" w:customStyle="1" w:styleId="CommentSubjectChar">
    <w:name w:val="Comment Subject Char"/>
    <w:basedOn w:val="CommentTextChar"/>
    <w:link w:val="CommentSubject"/>
    <w:uiPriority w:val="99"/>
    <w:semiHidden/>
    <w:rsid w:val="00014566"/>
    <w:rPr>
      <w:rFonts w:eastAsiaTheme="minorEastAsia"/>
      <w:b/>
      <w:bCs/>
      <w:sz w:val="20"/>
    </w:rPr>
  </w:style>
  <w:style w:type="character" w:styleId="EndnoteReference">
    <w:name w:val="endnote reference"/>
    <w:basedOn w:val="DefaultParagraphFont"/>
    <w:uiPriority w:val="99"/>
    <w:semiHidden/>
    <w:rsid w:val="00AF183C"/>
    <w:rPr>
      <w:vertAlign w:val="superscript"/>
    </w:rPr>
  </w:style>
  <w:style w:type="paragraph" w:styleId="EndnoteText">
    <w:name w:val="endnote text"/>
    <w:basedOn w:val="Normal"/>
    <w:link w:val="EndnoteTextChar"/>
    <w:uiPriority w:val="99"/>
    <w:semiHidden/>
    <w:rsid w:val="00AF183C"/>
    <w:rPr>
      <w:sz w:val="20"/>
      <w:szCs w:val="20"/>
    </w:rPr>
  </w:style>
  <w:style w:type="character" w:customStyle="1" w:styleId="EndnoteTextChar">
    <w:name w:val="Endnote Text Char"/>
    <w:basedOn w:val="DefaultParagraphFont"/>
    <w:link w:val="EndnoteText"/>
    <w:uiPriority w:val="99"/>
    <w:semiHidden/>
    <w:rsid w:val="00AF183C"/>
    <w:rPr>
      <w:rFonts w:eastAsiaTheme="minorEastAsia"/>
      <w:sz w:val="20"/>
      <w:szCs w:val="20"/>
      <w:lang w:val="en-GB"/>
    </w:rPr>
  </w:style>
  <w:style w:type="character" w:styleId="FollowedHyperlink">
    <w:name w:val="FollowedHyperlink"/>
    <w:uiPriority w:val="99"/>
    <w:semiHidden/>
    <w:rsid w:val="00014566"/>
    <w:rPr>
      <w:color w:val="800080"/>
      <w:u w:val="single"/>
    </w:rPr>
  </w:style>
  <w:style w:type="paragraph" w:styleId="DocumentMap">
    <w:name w:val="Document Map"/>
    <w:basedOn w:val="Normal"/>
    <w:link w:val="DocumentMapChar"/>
    <w:uiPriority w:val="99"/>
    <w:semiHidden/>
    <w:rsid w:val="00014566"/>
    <w:pPr>
      <w:shd w:val="clear" w:color="auto" w:fill="000080"/>
    </w:pPr>
    <w:rPr>
      <w:rFonts w:ascii="Tahoma" w:hAnsi="Tahoma" w:cs="Tahoma"/>
      <w:sz w:val="20"/>
    </w:rPr>
  </w:style>
  <w:style w:type="character" w:customStyle="1" w:styleId="DocumentMapChar">
    <w:name w:val="Document Map Char"/>
    <w:basedOn w:val="DefaultParagraphFont"/>
    <w:link w:val="DocumentMap"/>
    <w:uiPriority w:val="99"/>
    <w:semiHidden/>
    <w:rsid w:val="00014566"/>
    <w:rPr>
      <w:rFonts w:ascii="Tahoma" w:eastAsiaTheme="minorEastAsia" w:hAnsi="Tahoma" w:cs="Tahoma"/>
      <w:sz w:val="20"/>
      <w:shd w:val="clear" w:color="auto" w:fill="000080"/>
    </w:rPr>
  </w:style>
  <w:style w:type="paragraph" w:customStyle="1" w:styleId="OpiHA0">
    <w:name w:val="Opi_H_A"/>
    <w:basedOn w:val="ECHRHeading1"/>
    <w:next w:val="OpiPara"/>
    <w:uiPriority w:val="41"/>
    <w:qFormat/>
    <w:rsid w:val="00AF183C"/>
    <w:pPr>
      <w:tabs>
        <w:tab w:val="clear" w:pos="357"/>
      </w:tabs>
      <w:outlineLvl w:val="1"/>
    </w:pPr>
    <w:rPr>
      <w:b/>
    </w:rPr>
  </w:style>
  <w:style w:type="paragraph" w:styleId="ListBullet">
    <w:name w:val="List Bullet"/>
    <w:basedOn w:val="Normal"/>
    <w:uiPriority w:val="99"/>
    <w:semiHidden/>
    <w:rsid w:val="00014566"/>
    <w:pPr>
      <w:numPr>
        <w:numId w:val="1"/>
      </w:numPr>
    </w:pPr>
  </w:style>
  <w:style w:type="character" w:customStyle="1" w:styleId="JuITMark">
    <w:name w:val="Ju_ITMark"/>
    <w:basedOn w:val="DefaultParagraphFont"/>
    <w:uiPriority w:val="38"/>
    <w:qFormat/>
    <w:rsid w:val="00AF183C"/>
    <w:rPr>
      <w:vanish w:val="0"/>
      <w:color w:val="auto"/>
      <w:sz w:val="14"/>
      <w:bdr w:val="none" w:sz="0" w:space="0" w:color="auto"/>
      <w:shd w:val="clear" w:color="auto" w:fill="BEE5FF" w:themeFill="background1" w:themeFillTint="33"/>
    </w:rPr>
  </w:style>
  <w:style w:type="paragraph" w:styleId="Subtitle">
    <w:name w:val="Subtitle"/>
    <w:basedOn w:val="Normal"/>
    <w:next w:val="Normal"/>
    <w:link w:val="SubtitleChar"/>
    <w:uiPriority w:val="99"/>
    <w:semiHidden/>
    <w:qFormat/>
    <w:rsid w:val="00AF183C"/>
    <w:pPr>
      <w:spacing w:after="600"/>
    </w:pPr>
    <w:rPr>
      <w:rFonts w:asciiTheme="majorHAnsi" w:eastAsiaTheme="majorEastAsia" w:hAnsiTheme="majorHAnsi" w:cstheme="majorBidi"/>
      <w:i/>
      <w:iCs/>
      <w:spacing w:val="13"/>
      <w:szCs w:val="24"/>
      <w:lang w:val="en-US" w:bidi="en-US"/>
    </w:rPr>
  </w:style>
  <w:style w:type="character" w:customStyle="1" w:styleId="SubtitleChar">
    <w:name w:val="Subtitle Char"/>
    <w:basedOn w:val="DefaultParagraphFont"/>
    <w:link w:val="Subtitle"/>
    <w:uiPriority w:val="99"/>
    <w:semiHidden/>
    <w:rsid w:val="00AF183C"/>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rsid w:val="00014566"/>
    <w:pPr>
      <w:numPr>
        <w:numId w:val="2"/>
      </w:numPr>
    </w:pPr>
  </w:style>
  <w:style w:type="numbering" w:styleId="1ai">
    <w:name w:val="Outline List 1"/>
    <w:basedOn w:val="NoList"/>
    <w:uiPriority w:val="99"/>
    <w:semiHidden/>
    <w:rsid w:val="00014566"/>
    <w:pPr>
      <w:numPr>
        <w:numId w:val="3"/>
      </w:numPr>
    </w:pPr>
  </w:style>
  <w:style w:type="numbering" w:styleId="ArticleSection">
    <w:name w:val="Outline List 3"/>
    <w:basedOn w:val="NoList"/>
    <w:uiPriority w:val="99"/>
    <w:semiHidden/>
    <w:rsid w:val="00014566"/>
    <w:pPr>
      <w:numPr>
        <w:numId w:val="4"/>
      </w:numPr>
    </w:pPr>
  </w:style>
  <w:style w:type="paragraph" w:styleId="Bibliography">
    <w:name w:val="Bibliography"/>
    <w:basedOn w:val="Normal"/>
    <w:next w:val="Normal"/>
    <w:uiPriority w:val="99"/>
    <w:semiHidden/>
    <w:unhideWhenUsed/>
    <w:rsid w:val="00014566"/>
  </w:style>
  <w:style w:type="paragraph" w:styleId="BlockText">
    <w:name w:val="Block Text"/>
    <w:basedOn w:val="Normal"/>
    <w:uiPriority w:val="99"/>
    <w:semiHidden/>
    <w:rsid w:val="00014566"/>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9"/>
    <w:semiHidden/>
    <w:rsid w:val="00014566"/>
    <w:pPr>
      <w:spacing w:after="120"/>
    </w:pPr>
  </w:style>
  <w:style w:type="character" w:customStyle="1" w:styleId="BodyTextChar">
    <w:name w:val="Body Text Char"/>
    <w:basedOn w:val="DefaultParagraphFont"/>
    <w:link w:val="BodyText"/>
    <w:uiPriority w:val="99"/>
    <w:semiHidden/>
    <w:rsid w:val="00014566"/>
    <w:rPr>
      <w:rFonts w:eastAsiaTheme="minorEastAsia"/>
      <w:sz w:val="24"/>
    </w:rPr>
  </w:style>
  <w:style w:type="paragraph" w:styleId="BodyText2">
    <w:name w:val="Body Text 2"/>
    <w:basedOn w:val="Normal"/>
    <w:link w:val="BodyText2Char"/>
    <w:uiPriority w:val="99"/>
    <w:semiHidden/>
    <w:rsid w:val="00014566"/>
    <w:pPr>
      <w:spacing w:after="120" w:line="480" w:lineRule="auto"/>
    </w:pPr>
  </w:style>
  <w:style w:type="character" w:customStyle="1" w:styleId="BodyText2Char">
    <w:name w:val="Body Text 2 Char"/>
    <w:basedOn w:val="DefaultParagraphFont"/>
    <w:link w:val="BodyText2"/>
    <w:uiPriority w:val="99"/>
    <w:semiHidden/>
    <w:rsid w:val="00014566"/>
    <w:rPr>
      <w:rFonts w:eastAsiaTheme="minorEastAsia"/>
      <w:sz w:val="24"/>
    </w:rPr>
  </w:style>
  <w:style w:type="paragraph" w:styleId="BodyText3">
    <w:name w:val="Body Text 3"/>
    <w:basedOn w:val="Normal"/>
    <w:link w:val="BodyText3Char"/>
    <w:uiPriority w:val="99"/>
    <w:semiHidden/>
    <w:rsid w:val="00014566"/>
    <w:pPr>
      <w:spacing w:after="120"/>
    </w:pPr>
    <w:rPr>
      <w:sz w:val="16"/>
      <w:szCs w:val="16"/>
    </w:rPr>
  </w:style>
  <w:style w:type="character" w:customStyle="1" w:styleId="BodyText3Char">
    <w:name w:val="Body Text 3 Char"/>
    <w:basedOn w:val="DefaultParagraphFont"/>
    <w:link w:val="BodyText3"/>
    <w:uiPriority w:val="99"/>
    <w:semiHidden/>
    <w:rsid w:val="00014566"/>
    <w:rPr>
      <w:rFonts w:eastAsiaTheme="minorEastAsia"/>
      <w:sz w:val="16"/>
      <w:szCs w:val="16"/>
    </w:rPr>
  </w:style>
  <w:style w:type="paragraph" w:styleId="BodyTextFirstIndent">
    <w:name w:val="Body Text First Indent"/>
    <w:basedOn w:val="BodyText"/>
    <w:link w:val="BodyTextFirstIndentChar"/>
    <w:uiPriority w:val="99"/>
    <w:semiHidden/>
    <w:rsid w:val="00014566"/>
    <w:pPr>
      <w:spacing w:after="0"/>
      <w:ind w:firstLine="360"/>
    </w:pPr>
  </w:style>
  <w:style w:type="character" w:customStyle="1" w:styleId="BodyTextFirstIndentChar">
    <w:name w:val="Body Text First Indent Char"/>
    <w:basedOn w:val="BodyTextChar"/>
    <w:link w:val="BodyTextFirstIndent"/>
    <w:uiPriority w:val="99"/>
    <w:semiHidden/>
    <w:rsid w:val="00014566"/>
    <w:rPr>
      <w:rFonts w:eastAsiaTheme="minorEastAsia"/>
      <w:sz w:val="24"/>
    </w:rPr>
  </w:style>
  <w:style w:type="paragraph" w:styleId="BodyTextIndent">
    <w:name w:val="Body Text Indent"/>
    <w:basedOn w:val="Normal"/>
    <w:link w:val="BodyTextIndentChar"/>
    <w:uiPriority w:val="99"/>
    <w:semiHidden/>
    <w:rsid w:val="00014566"/>
    <w:pPr>
      <w:spacing w:after="120"/>
      <w:ind w:left="283"/>
    </w:pPr>
  </w:style>
  <w:style w:type="character" w:customStyle="1" w:styleId="BodyTextIndentChar">
    <w:name w:val="Body Text Indent Char"/>
    <w:basedOn w:val="DefaultParagraphFont"/>
    <w:link w:val="BodyTextIndent"/>
    <w:uiPriority w:val="99"/>
    <w:semiHidden/>
    <w:rsid w:val="00014566"/>
    <w:rPr>
      <w:rFonts w:eastAsiaTheme="minorEastAsia"/>
      <w:sz w:val="24"/>
    </w:rPr>
  </w:style>
  <w:style w:type="paragraph" w:styleId="BodyTextFirstIndent2">
    <w:name w:val="Body Text First Indent 2"/>
    <w:basedOn w:val="BodyTextIndent"/>
    <w:link w:val="BodyTextFirstIndent2Char"/>
    <w:uiPriority w:val="99"/>
    <w:semiHidden/>
    <w:rsid w:val="00014566"/>
    <w:pPr>
      <w:spacing w:after="0"/>
      <w:ind w:left="360" w:firstLine="360"/>
    </w:pPr>
  </w:style>
  <w:style w:type="character" w:customStyle="1" w:styleId="BodyTextFirstIndent2Char">
    <w:name w:val="Body Text First Indent 2 Char"/>
    <w:basedOn w:val="BodyTextIndentChar"/>
    <w:link w:val="BodyTextFirstIndent2"/>
    <w:uiPriority w:val="99"/>
    <w:semiHidden/>
    <w:rsid w:val="00014566"/>
    <w:rPr>
      <w:rFonts w:eastAsiaTheme="minorEastAsia"/>
      <w:sz w:val="24"/>
    </w:rPr>
  </w:style>
  <w:style w:type="paragraph" w:styleId="BodyTextIndent2">
    <w:name w:val="Body Text Indent 2"/>
    <w:basedOn w:val="Normal"/>
    <w:link w:val="BodyTextIndent2Char"/>
    <w:uiPriority w:val="99"/>
    <w:semiHidden/>
    <w:rsid w:val="00014566"/>
    <w:pPr>
      <w:spacing w:after="120" w:line="480" w:lineRule="auto"/>
      <w:ind w:left="283"/>
    </w:pPr>
  </w:style>
  <w:style w:type="character" w:customStyle="1" w:styleId="BodyTextIndent2Char">
    <w:name w:val="Body Text Indent 2 Char"/>
    <w:basedOn w:val="DefaultParagraphFont"/>
    <w:link w:val="BodyTextIndent2"/>
    <w:uiPriority w:val="99"/>
    <w:semiHidden/>
    <w:rsid w:val="00014566"/>
    <w:rPr>
      <w:rFonts w:eastAsiaTheme="minorEastAsia"/>
      <w:sz w:val="24"/>
    </w:rPr>
  </w:style>
  <w:style w:type="paragraph" w:styleId="BodyTextIndent3">
    <w:name w:val="Body Text Indent 3"/>
    <w:basedOn w:val="Normal"/>
    <w:link w:val="BodyTextIndent3Char"/>
    <w:uiPriority w:val="99"/>
    <w:semiHidden/>
    <w:rsid w:val="00014566"/>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014566"/>
    <w:rPr>
      <w:rFonts w:eastAsiaTheme="minorEastAsia"/>
      <w:sz w:val="16"/>
      <w:szCs w:val="16"/>
    </w:rPr>
  </w:style>
  <w:style w:type="paragraph" w:styleId="Caption">
    <w:name w:val="caption"/>
    <w:basedOn w:val="Normal"/>
    <w:next w:val="Normal"/>
    <w:uiPriority w:val="99"/>
    <w:semiHidden/>
    <w:qFormat/>
    <w:rsid w:val="00014566"/>
    <w:pPr>
      <w:spacing w:after="200"/>
    </w:pPr>
    <w:rPr>
      <w:b/>
      <w:bCs/>
      <w:color w:val="0072BC" w:themeColor="accent1"/>
      <w:sz w:val="18"/>
      <w:szCs w:val="18"/>
    </w:rPr>
  </w:style>
  <w:style w:type="paragraph" w:styleId="Closing">
    <w:name w:val="Closing"/>
    <w:basedOn w:val="Normal"/>
    <w:link w:val="ClosingChar"/>
    <w:uiPriority w:val="99"/>
    <w:semiHidden/>
    <w:rsid w:val="00014566"/>
    <w:pPr>
      <w:ind w:left="4252"/>
    </w:pPr>
  </w:style>
  <w:style w:type="character" w:customStyle="1" w:styleId="ClosingChar">
    <w:name w:val="Closing Char"/>
    <w:basedOn w:val="DefaultParagraphFont"/>
    <w:link w:val="Closing"/>
    <w:uiPriority w:val="99"/>
    <w:semiHidden/>
    <w:rsid w:val="00014566"/>
    <w:rPr>
      <w:rFonts w:eastAsiaTheme="minorEastAsia"/>
      <w:sz w:val="24"/>
    </w:rPr>
  </w:style>
  <w:style w:type="table" w:styleId="ColorfulGrid">
    <w:name w:val="Colorful Grid"/>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014566"/>
    <w:rPr>
      <w:color w:val="000000" w:themeColor="text1"/>
      <w:lang w:val="fr-FR" w:eastAsia="fr-FR"/>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014566"/>
    <w:rPr>
      <w:color w:val="000000" w:themeColor="text1"/>
      <w:lang w:val="fr-FR" w:eastAsia="fr-FR"/>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014566"/>
    <w:rPr>
      <w:color w:val="000000" w:themeColor="text1"/>
      <w:lang w:val="fr-FR" w:eastAsia="fr-FR"/>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014566"/>
    <w:rPr>
      <w:color w:val="000000" w:themeColor="text1"/>
      <w:lang w:val="fr-FR" w:eastAsia="fr-FR"/>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014566"/>
    <w:rPr>
      <w:color w:val="000000" w:themeColor="text1"/>
      <w:lang w:val="fr-FR" w:eastAsia="fr-FR"/>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014566"/>
    <w:rPr>
      <w:color w:val="000000" w:themeColor="text1"/>
      <w:lang w:val="fr-FR" w:eastAsia="fr-FR"/>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014566"/>
    <w:rPr>
      <w:color w:val="000000" w:themeColor="text1"/>
      <w:lang w:val="fr-FR" w:eastAsia="fr-FR"/>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014566"/>
    <w:rPr>
      <w:color w:val="000000" w:themeColor="text1"/>
      <w:lang w:val="fr-FR" w:eastAsia="fr-FR"/>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014566"/>
    <w:rPr>
      <w:color w:val="000000" w:themeColor="text1"/>
      <w:lang w:val="fr-FR" w:eastAsia="fr-FR"/>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99"/>
    <w:semiHidden/>
    <w:rsid w:val="00014566"/>
    <w:rPr>
      <w:color w:val="0072BC" w:themeColor="background1"/>
      <w:lang w:val="fr-FR" w:eastAsia="fr-FR"/>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014566"/>
    <w:rPr>
      <w:color w:val="0072BC" w:themeColor="background1"/>
      <w:lang w:val="fr-FR" w:eastAsia="fr-FR"/>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014566"/>
    <w:rPr>
      <w:color w:val="0072BC" w:themeColor="background1"/>
      <w:lang w:val="fr-FR" w:eastAsia="fr-FR"/>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014566"/>
    <w:rPr>
      <w:color w:val="0072BC" w:themeColor="background1"/>
      <w:lang w:val="fr-FR" w:eastAsia="fr-FR"/>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014566"/>
    <w:rPr>
      <w:color w:val="0072BC" w:themeColor="background1"/>
      <w:lang w:val="fr-FR" w:eastAsia="fr-FR"/>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014566"/>
  </w:style>
  <w:style w:type="character" w:customStyle="1" w:styleId="DateChar">
    <w:name w:val="Date Char"/>
    <w:basedOn w:val="DefaultParagraphFont"/>
    <w:link w:val="Date"/>
    <w:uiPriority w:val="99"/>
    <w:semiHidden/>
    <w:rsid w:val="00014566"/>
    <w:rPr>
      <w:rFonts w:eastAsiaTheme="minorEastAsia"/>
      <w:sz w:val="24"/>
    </w:rPr>
  </w:style>
  <w:style w:type="paragraph" w:styleId="E-mailSignature">
    <w:name w:val="E-mail Signature"/>
    <w:basedOn w:val="Normal"/>
    <w:link w:val="E-mailSignatureChar"/>
    <w:uiPriority w:val="99"/>
    <w:semiHidden/>
    <w:rsid w:val="00014566"/>
  </w:style>
  <w:style w:type="character" w:customStyle="1" w:styleId="E-mailSignatureChar">
    <w:name w:val="E-mail Signature Char"/>
    <w:basedOn w:val="DefaultParagraphFont"/>
    <w:link w:val="E-mailSignature"/>
    <w:uiPriority w:val="99"/>
    <w:semiHidden/>
    <w:rsid w:val="00014566"/>
    <w:rPr>
      <w:rFonts w:eastAsiaTheme="minorEastAsia"/>
      <w:sz w:val="24"/>
    </w:rPr>
  </w:style>
  <w:style w:type="paragraph" w:styleId="EnvelopeAddress">
    <w:name w:val="envelope address"/>
    <w:basedOn w:val="Normal"/>
    <w:uiPriority w:val="99"/>
    <w:semiHidden/>
    <w:rsid w:val="00014566"/>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014566"/>
    <w:rPr>
      <w:rFonts w:asciiTheme="majorHAnsi" w:eastAsiaTheme="majorEastAsia" w:hAnsiTheme="majorHAnsi" w:cstheme="majorBidi"/>
      <w:sz w:val="20"/>
      <w:szCs w:val="20"/>
    </w:rPr>
  </w:style>
  <w:style w:type="character" w:styleId="HTMLAcronym">
    <w:name w:val="HTML Acronym"/>
    <w:basedOn w:val="DefaultParagraphFont"/>
    <w:uiPriority w:val="99"/>
    <w:semiHidden/>
    <w:rsid w:val="00014566"/>
  </w:style>
  <w:style w:type="paragraph" w:styleId="HTMLAddress">
    <w:name w:val="HTML Address"/>
    <w:basedOn w:val="Normal"/>
    <w:link w:val="HTMLAddressChar"/>
    <w:uiPriority w:val="99"/>
    <w:semiHidden/>
    <w:rsid w:val="00014566"/>
    <w:rPr>
      <w:i/>
      <w:iCs/>
    </w:rPr>
  </w:style>
  <w:style w:type="character" w:customStyle="1" w:styleId="HTMLAddressChar">
    <w:name w:val="HTML Address Char"/>
    <w:basedOn w:val="DefaultParagraphFont"/>
    <w:link w:val="HTMLAddress"/>
    <w:uiPriority w:val="99"/>
    <w:semiHidden/>
    <w:rsid w:val="00014566"/>
    <w:rPr>
      <w:rFonts w:eastAsiaTheme="minorEastAsia"/>
      <w:i/>
      <w:iCs/>
      <w:sz w:val="24"/>
    </w:rPr>
  </w:style>
  <w:style w:type="character" w:styleId="HTMLCite">
    <w:name w:val="HTML Cite"/>
    <w:basedOn w:val="DefaultParagraphFont"/>
    <w:uiPriority w:val="99"/>
    <w:semiHidden/>
    <w:rsid w:val="00014566"/>
    <w:rPr>
      <w:i/>
      <w:iCs/>
    </w:rPr>
  </w:style>
  <w:style w:type="character" w:styleId="HTMLCode">
    <w:name w:val="HTML Code"/>
    <w:basedOn w:val="DefaultParagraphFont"/>
    <w:uiPriority w:val="99"/>
    <w:semiHidden/>
    <w:rsid w:val="00014566"/>
    <w:rPr>
      <w:rFonts w:ascii="Consolas" w:hAnsi="Consolas" w:cs="Consolas"/>
      <w:sz w:val="20"/>
      <w:szCs w:val="20"/>
    </w:rPr>
  </w:style>
  <w:style w:type="character" w:styleId="HTMLDefinition">
    <w:name w:val="HTML Definition"/>
    <w:basedOn w:val="DefaultParagraphFont"/>
    <w:uiPriority w:val="99"/>
    <w:semiHidden/>
    <w:rsid w:val="00014566"/>
    <w:rPr>
      <w:i/>
      <w:iCs/>
    </w:rPr>
  </w:style>
  <w:style w:type="character" w:styleId="HTMLKeyboard">
    <w:name w:val="HTML Keyboard"/>
    <w:basedOn w:val="DefaultParagraphFont"/>
    <w:uiPriority w:val="99"/>
    <w:semiHidden/>
    <w:rsid w:val="00014566"/>
    <w:rPr>
      <w:rFonts w:ascii="Consolas" w:hAnsi="Consolas" w:cs="Consolas"/>
      <w:sz w:val="20"/>
      <w:szCs w:val="20"/>
    </w:rPr>
  </w:style>
  <w:style w:type="paragraph" w:styleId="HTMLPreformatted">
    <w:name w:val="HTML Preformatted"/>
    <w:basedOn w:val="Normal"/>
    <w:link w:val="HTMLPreformattedChar"/>
    <w:uiPriority w:val="99"/>
    <w:semiHidden/>
    <w:rsid w:val="00014566"/>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014566"/>
    <w:rPr>
      <w:rFonts w:ascii="Consolas" w:eastAsiaTheme="minorEastAsia" w:hAnsi="Consolas" w:cs="Consolas"/>
      <w:sz w:val="20"/>
      <w:szCs w:val="20"/>
    </w:rPr>
  </w:style>
  <w:style w:type="character" w:styleId="HTMLSample">
    <w:name w:val="HTML Sample"/>
    <w:basedOn w:val="DefaultParagraphFont"/>
    <w:uiPriority w:val="99"/>
    <w:semiHidden/>
    <w:rsid w:val="00014566"/>
    <w:rPr>
      <w:rFonts w:ascii="Consolas" w:hAnsi="Consolas" w:cs="Consolas"/>
      <w:sz w:val="24"/>
      <w:szCs w:val="24"/>
    </w:rPr>
  </w:style>
  <w:style w:type="character" w:styleId="HTMLTypewriter">
    <w:name w:val="HTML Typewriter"/>
    <w:basedOn w:val="DefaultParagraphFont"/>
    <w:uiPriority w:val="99"/>
    <w:semiHidden/>
    <w:rsid w:val="00014566"/>
    <w:rPr>
      <w:rFonts w:ascii="Consolas" w:hAnsi="Consolas" w:cs="Consolas"/>
      <w:sz w:val="20"/>
      <w:szCs w:val="20"/>
    </w:rPr>
  </w:style>
  <w:style w:type="character" w:styleId="HTMLVariable">
    <w:name w:val="HTML Variable"/>
    <w:basedOn w:val="DefaultParagraphFont"/>
    <w:uiPriority w:val="99"/>
    <w:semiHidden/>
    <w:rsid w:val="00014566"/>
    <w:rPr>
      <w:i/>
      <w:iCs/>
    </w:rPr>
  </w:style>
  <w:style w:type="paragraph" w:styleId="Index1">
    <w:name w:val="index 1"/>
    <w:basedOn w:val="Normal"/>
    <w:next w:val="Normal"/>
    <w:autoRedefine/>
    <w:uiPriority w:val="99"/>
    <w:semiHidden/>
    <w:rsid w:val="00014566"/>
    <w:pPr>
      <w:ind w:left="240" w:hanging="240"/>
    </w:pPr>
  </w:style>
  <w:style w:type="paragraph" w:styleId="Index2">
    <w:name w:val="index 2"/>
    <w:basedOn w:val="Normal"/>
    <w:next w:val="Normal"/>
    <w:autoRedefine/>
    <w:uiPriority w:val="99"/>
    <w:semiHidden/>
    <w:rsid w:val="00014566"/>
    <w:pPr>
      <w:ind w:left="480" w:hanging="240"/>
    </w:pPr>
  </w:style>
  <w:style w:type="paragraph" w:styleId="Index3">
    <w:name w:val="index 3"/>
    <w:basedOn w:val="Normal"/>
    <w:next w:val="Normal"/>
    <w:autoRedefine/>
    <w:uiPriority w:val="99"/>
    <w:semiHidden/>
    <w:rsid w:val="00014566"/>
    <w:pPr>
      <w:ind w:left="720" w:hanging="240"/>
    </w:pPr>
  </w:style>
  <w:style w:type="paragraph" w:styleId="Index4">
    <w:name w:val="index 4"/>
    <w:basedOn w:val="Normal"/>
    <w:next w:val="Normal"/>
    <w:autoRedefine/>
    <w:uiPriority w:val="99"/>
    <w:semiHidden/>
    <w:rsid w:val="00014566"/>
    <w:pPr>
      <w:ind w:left="960" w:hanging="240"/>
    </w:pPr>
  </w:style>
  <w:style w:type="paragraph" w:styleId="Index5">
    <w:name w:val="index 5"/>
    <w:basedOn w:val="Normal"/>
    <w:next w:val="Normal"/>
    <w:autoRedefine/>
    <w:uiPriority w:val="99"/>
    <w:semiHidden/>
    <w:rsid w:val="00014566"/>
    <w:pPr>
      <w:ind w:left="1200" w:hanging="240"/>
    </w:pPr>
  </w:style>
  <w:style w:type="paragraph" w:styleId="Index6">
    <w:name w:val="index 6"/>
    <w:basedOn w:val="Normal"/>
    <w:next w:val="Normal"/>
    <w:autoRedefine/>
    <w:uiPriority w:val="99"/>
    <w:semiHidden/>
    <w:rsid w:val="00014566"/>
    <w:pPr>
      <w:ind w:left="1440" w:hanging="240"/>
    </w:pPr>
  </w:style>
  <w:style w:type="paragraph" w:styleId="Index7">
    <w:name w:val="index 7"/>
    <w:basedOn w:val="Normal"/>
    <w:next w:val="Normal"/>
    <w:autoRedefine/>
    <w:uiPriority w:val="99"/>
    <w:semiHidden/>
    <w:rsid w:val="00014566"/>
    <w:pPr>
      <w:ind w:left="1680" w:hanging="240"/>
    </w:pPr>
  </w:style>
  <w:style w:type="paragraph" w:styleId="Index8">
    <w:name w:val="index 8"/>
    <w:basedOn w:val="Normal"/>
    <w:next w:val="Normal"/>
    <w:autoRedefine/>
    <w:uiPriority w:val="99"/>
    <w:semiHidden/>
    <w:rsid w:val="00014566"/>
    <w:pPr>
      <w:ind w:left="1920" w:hanging="240"/>
    </w:pPr>
  </w:style>
  <w:style w:type="paragraph" w:styleId="Index9">
    <w:name w:val="index 9"/>
    <w:basedOn w:val="Normal"/>
    <w:next w:val="Normal"/>
    <w:autoRedefine/>
    <w:uiPriority w:val="99"/>
    <w:semiHidden/>
    <w:rsid w:val="00014566"/>
    <w:pPr>
      <w:ind w:left="2160" w:hanging="240"/>
    </w:pPr>
  </w:style>
  <w:style w:type="paragraph" w:styleId="IndexHeading">
    <w:name w:val="index heading"/>
    <w:basedOn w:val="Normal"/>
    <w:next w:val="Index1"/>
    <w:uiPriority w:val="99"/>
    <w:semiHidden/>
    <w:rsid w:val="00014566"/>
    <w:rPr>
      <w:rFonts w:asciiTheme="majorHAnsi" w:eastAsiaTheme="majorEastAsia" w:hAnsiTheme="majorHAnsi" w:cstheme="majorBidi"/>
      <w:b/>
      <w:bCs/>
    </w:rPr>
  </w:style>
  <w:style w:type="table" w:styleId="LightGrid">
    <w:name w:val="Light Grid"/>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014566"/>
    <w:rPr>
      <w:color w:val="000000" w:themeColor="text1" w:themeShade="BF"/>
      <w:lang w:val="fr-FR" w:eastAsia="fr-F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014566"/>
    <w:rPr>
      <w:color w:val="00548C" w:themeColor="accent1" w:themeShade="BF"/>
      <w:lang w:val="fr-FR" w:eastAsia="fr-FR"/>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014566"/>
    <w:rPr>
      <w:color w:val="8F0000" w:themeColor="accent2" w:themeShade="BF"/>
      <w:lang w:val="fr-FR" w:eastAsia="fr-FR"/>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014566"/>
    <w:rPr>
      <w:color w:val="474747" w:themeColor="accent3" w:themeShade="BF"/>
      <w:lang w:val="fr-FR" w:eastAsia="fr-FR"/>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014566"/>
    <w:rPr>
      <w:color w:val="707070" w:themeColor="accent4" w:themeShade="BF"/>
      <w:lang w:val="fr-FR" w:eastAsia="fr-FR"/>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014566"/>
    <w:rPr>
      <w:color w:val="474747" w:themeColor="accent5" w:themeShade="BF"/>
      <w:lang w:val="fr-FR" w:eastAsia="fr-FR"/>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014566"/>
    <w:rPr>
      <w:color w:val="393939" w:themeColor="accent6" w:themeShade="BF"/>
      <w:lang w:val="fr-FR" w:eastAsia="fr-FR"/>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014566"/>
  </w:style>
  <w:style w:type="paragraph" w:styleId="List">
    <w:name w:val="List"/>
    <w:basedOn w:val="Normal"/>
    <w:uiPriority w:val="99"/>
    <w:semiHidden/>
    <w:rsid w:val="00014566"/>
    <w:pPr>
      <w:ind w:left="283" w:hanging="283"/>
      <w:contextualSpacing/>
    </w:pPr>
  </w:style>
  <w:style w:type="paragraph" w:styleId="List2">
    <w:name w:val="List 2"/>
    <w:basedOn w:val="Normal"/>
    <w:uiPriority w:val="99"/>
    <w:semiHidden/>
    <w:rsid w:val="00014566"/>
    <w:pPr>
      <w:ind w:left="566" w:hanging="283"/>
      <w:contextualSpacing/>
    </w:pPr>
  </w:style>
  <w:style w:type="paragraph" w:styleId="List3">
    <w:name w:val="List 3"/>
    <w:basedOn w:val="Normal"/>
    <w:uiPriority w:val="99"/>
    <w:semiHidden/>
    <w:rsid w:val="00014566"/>
    <w:pPr>
      <w:ind w:left="849" w:hanging="283"/>
      <w:contextualSpacing/>
    </w:pPr>
  </w:style>
  <w:style w:type="paragraph" w:styleId="List4">
    <w:name w:val="List 4"/>
    <w:basedOn w:val="Normal"/>
    <w:uiPriority w:val="99"/>
    <w:semiHidden/>
    <w:rsid w:val="00014566"/>
    <w:pPr>
      <w:ind w:left="1132" w:hanging="283"/>
      <w:contextualSpacing/>
    </w:pPr>
  </w:style>
  <w:style w:type="paragraph" w:styleId="List5">
    <w:name w:val="List 5"/>
    <w:basedOn w:val="Normal"/>
    <w:uiPriority w:val="99"/>
    <w:semiHidden/>
    <w:rsid w:val="00014566"/>
    <w:pPr>
      <w:ind w:left="1415" w:hanging="283"/>
      <w:contextualSpacing/>
    </w:pPr>
  </w:style>
  <w:style w:type="paragraph" w:styleId="ListBullet2">
    <w:name w:val="List Bullet 2"/>
    <w:basedOn w:val="Normal"/>
    <w:uiPriority w:val="99"/>
    <w:semiHidden/>
    <w:rsid w:val="00014566"/>
    <w:pPr>
      <w:numPr>
        <w:numId w:val="5"/>
      </w:numPr>
      <w:contextualSpacing/>
    </w:pPr>
  </w:style>
  <w:style w:type="paragraph" w:styleId="ListBullet3">
    <w:name w:val="List Bullet 3"/>
    <w:basedOn w:val="Normal"/>
    <w:uiPriority w:val="99"/>
    <w:semiHidden/>
    <w:rsid w:val="00014566"/>
    <w:pPr>
      <w:numPr>
        <w:numId w:val="6"/>
      </w:numPr>
      <w:contextualSpacing/>
    </w:pPr>
  </w:style>
  <w:style w:type="paragraph" w:styleId="ListBullet4">
    <w:name w:val="List Bullet 4"/>
    <w:basedOn w:val="Normal"/>
    <w:uiPriority w:val="99"/>
    <w:semiHidden/>
    <w:rsid w:val="00014566"/>
    <w:pPr>
      <w:numPr>
        <w:numId w:val="7"/>
      </w:numPr>
      <w:contextualSpacing/>
    </w:pPr>
  </w:style>
  <w:style w:type="paragraph" w:styleId="ListBullet5">
    <w:name w:val="List Bullet 5"/>
    <w:basedOn w:val="Normal"/>
    <w:uiPriority w:val="99"/>
    <w:semiHidden/>
    <w:rsid w:val="00014566"/>
    <w:pPr>
      <w:numPr>
        <w:numId w:val="8"/>
      </w:numPr>
      <w:contextualSpacing/>
    </w:pPr>
  </w:style>
  <w:style w:type="paragraph" w:styleId="ListContinue">
    <w:name w:val="List Continue"/>
    <w:basedOn w:val="Normal"/>
    <w:uiPriority w:val="99"/>
    <w:semiHidden/>
    <w:rsid w:val="00014566"/>
    <w:pPr>
      <w:spacing w:after="120"/>
      <w:ind w:left="283"/>
      <w:contextualSpacing/>
    </w:pPr>
  </w:style>
  <w:style w:type="paragraph" w:styleId="ListContinue2">
    <w:name w:val="List Continue 2"/>
    <w:basedOn w:val="Normal"/>
    <w:uiPriority w:val="99"/>
    <w:semiHidden/>
    <w:rsid w:val="00014566"/>
    <w:pPr>
      <w:spacing w:after="120"/>
      <w:ind w:left="566"/>
      <w:contextualSpacing/>
    </w:pPr>
  </w:style>
  <w:style w:type="paragraph" w:styleId="ListContinue3">
    <w:name w:val="List Continue 3"/>
    <w:basedOn w:val="Normal"/>
    <w:uiPriority w:val="99"/>
    <w:semiHidden/>
    <w:rsid w:val="00014566"/>
    <w:pPr>
      <w:spacing w:after="120"/>
      <w:ind w:left="849"/>
      <w:contextualSpacing/>
    </w:pPr>
  </w:style>
  <w:style w:type="paragraph" w:styleId="ListContinue4">
    <w:name w:val="List Continue 4"/>
    <w:basedOn w:val="Normal"/>
    <w:uiPriority w:val="99"/>
    <w:semiHidden/>
    <w:rsid w:val="00014566"/>
    <w:pPr>
      <w:spacing w:after="120"/>
      <w:ind w:left="1132"/>
      <w:contextualSpacing/>
    </w:pPr>
  </w:style>
  <w:style w:type="paragraph" w:styleId="ListContinue5">
    <w:name w:val="List Continue 5"/>
    <w:basedOn w:val="Normal"/>
    <w:uiPriority w:val="99"/>
    <w:semiHidden/>
    <w:rsid w:val="00014566"/>
    <w:pPr>
      <w:spacing w:after="120"/>
      <w:ind w:left="1415"/>
      <w:contextualSpacing/>
    </w:pPr>
  </w:style>
  <w:style w:type="paragraph" w:styleId="ListNumber">
    <w:name w:val="List Number"/>
    <w:basedOn w:val="Normal"/>
    <w:uiPriority w:val="99"/>
    <w:semiHidden/>
    <w:rsid w:val="00014566"/>
    <w:pPr>
      <w:numPr>
        <w:numId w:val="9"/>
      </w:numPr>
      <w:contextualSpacing/>
    </w:pPr>
  </w:style>
  <w:style w:type="paragraph" w:styleId="ListNumber2">
    <w:name w:val="List Number 2"/>
    <w:basedOn w:val="Normal"/>
    <w:uiPriority w:val="99"/>
    <w:semiHidden/>
    <w:rsid w:val="00014566"/>
    <w:pPr>
      <w:numPr>
        <w:numId w:val="10"/>
      </w:numPr>
      <w:contextualSpacing/>
    </w:pPr>
  </w:style>
  <w:style w:type="paragraph" w:styleId="ListNumber3">
    <w:name w:val="List Number 3"/>
    <w:basedOn w:val="Normal"/>
    <w:uiPriority w:val="99"/>
    <w:semiHidden/>
    <w:rsid w:val="00014566"/>
    <w:pPr>
      <w:numPr>
        <w:numId w:val="11"/>
      </w:numPr>
      <w:contextualSpacing/>
    </w:pPr>
  </w:style>
  <w:style w:type="paragraph" w:styleId="ListNumber4">
    <w:name w:val="List Number 4"/>
    <w:basedOn w:val="Normal"/>
    <w:uiPriority w:val="99"/>
    <w:semiHidden/>
    <w:rsid w:val="00014566"/>
    <w:pPr>
      <w:numPr>
        <w:numId w:val="12"/>
      </w:numPr>
      <w:contextualSpacing/>
    </w:pPr>
  </w:style>
  <w:style w:type="paragraph" w:styleId="ListNumber5">
    <w:name w:val="List Number 5"/>
    <w:basedOn w:val="Normal"/>
    <w:uiPriority w:val="99"/>
    <w:semiHidden/>
    <w:rsid w:val="00014566"/>
    <w:pPr>
      <w:numPr>
        <w:numId w:val="13"/>
      </w:numPr>
      <w:contextualSpacing/>
    </w:pPr>
  </w:style>
  <w:style w:type="paragraph" w:styleId="MacroText">
    <w:name w:val="macro"/>
    <w:link w:val="MacroTextChar"/>
    <w:uiPriority w:val="99"/>
    <w:semiHidden/>
    <w:rsid w:val="00014566"/>
    <w:pPr>
      <w:tabs>
        <w:tab w:val="left" w:pos="480"/>
        <w:tab w:val="left" w:pos="960"/>
        <w:tab w:val="left" w:pos="1440"/>
        <w:tab w:val="left" w:pos="1920"/>
        <w:tab w:val="left" w:pos="2400"/>
        <w:tab w:val="left" w:pos="2880"/>
        <w:tab w:val="left" w:pos="3360"/>
        <w:tab w:val="left" w:pos="3840"/>
        <w:tab w:val="left" w:pos="4320"/>
      </w:tabs>
      <w:suppressAutoHyphens/>
    </w:pPr>
    <w:rPr>
      <w:rFonts w:ascii="Consolas" w:hAnsi="Consolas" w:cs="Consolas"/>
      <w:sz w:val="20"/>
      <w:szCs w:val="20"/>
      <w:lang w:val="en-GB" w:eastAsia="fr-FR"/>
    </w:rPr>
  </w:style>
  <w:style w:type="character" w:customStyle="1" w:styleId="MacroTextChar">
    <w:name w:val="Macro Text Char"/>
    <w:basedOn w:val="DefaultParagraphFont"/>
    <w:link w:val="MacroText"/>
    <w:uiPriority w:val="99"/>
    <w:semiHidden/>
    <w:rsid w:val="00014566"/>
    <w:rPr>
      <w:rFonts w:ascii="Consolas" w:hAnsi="Consolas" w:cs="Consolas"/>
      <w:sz w:val="20"/>
      <w:szCs w:val="20"/>
      <w:lang w:val="en-GB" w:eastAsia="fr-FR"/>
    </w:rPr>
  </w:style>
  <w:style w:type="table" w:styleId="MediumGrid1">
    <w:name w:val="Medium Grid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014566"/>
    <w:rPr>
      <w:color w:val="000000" w:themeColor="text1"/>
      <w:lang w:val="fr-FR" w:eastAsia="fr-FR"/>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014566"/>
    <w:rPr>
      <w:color w:val="000000" w:themeColor="text1"/>
      <w:lang w:val="fr-FR" w:eastAsia="fr-FR"/>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014566"/>
    <w:rPr>
      <w:color w:val="000000" w:themeColor="text1"/>
      <w:lang w:val="fr-FR" w:eastAsia="fr-FR"/>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014566"/>
    <w:rPr>
      <w:color w:val="000000" w:themeColor="text1"/>
      <w:lang w:val="fr-FR" w:eastAsia="fr-FR"/>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014566"/>
    <w:rPr>
      <w:color w:val="000000" w:themeColor="text1"/>
      <w:lang w:val="fr-FR" w:eastAsia="fr-FR"/>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014566"/>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014566"/>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014566"/>
    <w:rPr>
      <w:rFonts w:ascii="Times New Roman" w:hAnsi="Times New Roman" w:cs="Times New Roman"/>
      <w:szCs w:val="24"/>
    </w:rPr>
  </w:style>
  <w:style w:type="paragraph" w:styleId="NormalIndent">
    <w:name w:val="Normal Indent"/>
    <w:basedOn w:val="Normal"/>
    <w:uiPriority w:val="99"/>
    <w:semiHidden/>
    <w:rsid w:val="00014566"/>
    <w:pPr>
      <w:ind w:left="720"/>
    </w:pPr>
  </w:style>
  <w:style w:type="paragraph" w:customStyle="1" w:styleId="OpiHi">
    <w:name w:val="Opi_H_i"/>
    <w:basedOn w:val="ECHRHeading4"/>
    <w:uiPriority w:val="44"/>
    <w:qFormat/>
    <w:rsid w:val="00AF183C"/>
    <w:pPr>
      <w:ind w:left="1037" w:hanging="357"/>
      <w:outlineLvl w:val="4"/>
    </w:pPr>
    <w:rPr>
      <w:b w:val="0"/>
      <w:i/>
    </w:rPr>
  </w:style>
  <w:style w:type="paragraph" w:customStyle="1" w:styleId="OpiPara">
    <w:name w:val="Opi_Para"/>
    <w:basedOn w:val="ECHRPara"/>
    <w:uiPriority w:val="46"/>
    <w:qFormat/>
    <w:rsid w:val="00AF183C"/>
  </w:style>
  <w:style w:type="character" w:styleId="PlaceholderText">
    <w:name w:val="Placeholder Text"/>
    <w:basedOn w:val="DefaultParagraphFont"/>
    <w:uiPriority w:val="99"/>
    <w:semiHidden/>
    <w:rsid w:val="00AF183C"/>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014566"/>
    <w:rPr>
      <w:rFonts w:ascii="Consolas" w:hAnsi="Consolas" w:cs="Consolas"/>
      <w:sz w:val="21"/>
      <w:szCs w:val="21"/>
    </w:rPr>
  </w:style>
  <w:style w:type="character" w:customStyle="1" w:styleId="PlainTextChar">
    <w:name w:val="Plain Text Char"/>
    <w:basedOn w:val="DefaultParagraphFont"/>
    <w:link w:val="PlainText"/>
    <w:uiPriority w:val="99"/>
    <w:semiHidden/>
    <w:rsid w:val="00014566"/>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014566"/>
  </w:style>
  <w:style w:type="character" w:customStyle="1" w:styleId="SalutationChar">
    <w:name w:val="Salutation Char"/>
    <w:basedOn w:val="DefaultParagraphFont"/>
    <w:link w:val="Salutation"/>
    <w:uiPriority w:val="99"/>
    <w:semiHidden/>
    <w:rsid w:val="00014566"/>
    <w:rPr>
      <w:rFonts w:eastAsiaTheme="minorEastAsia"/>
      <w:sz w:val="24"/>
    </w:rPr>
  </w:style>
  <w:style w:type="paragraph" w:styleId="Signature">
    <w:name w:val="Signature"/>
    <w:basedOn w:val="Normal"/>
    <w:link w:val="SignatureChar"/>
    <w:uiPriority w:val="99"/>
    <w:semiHidden/>
    <w:rsid w:val="00014566"/>
    <w:pPr>
      <w:ind w:left="4252"/>
    </w:pPr>
  </w:style>
  <w:style w:type="character" w:customStyle="1" w:styleId="SignatureChar">
    <w:name w:val="Signature Char"/>
    <w:basedOn w:val="DefaultParagraphFont"/>
    <w:link w:val="Signature"/>
    <w:uiPriority w:val="99"/>
    <w:semiHidden/>
    <w:rsid w:val="00014566"/>
    <w:rPr>
      <w:rFonts w:eastAsiaTheme="minorEastAsia"/>
      <w:sz w:val="24"/>
    </w:rPr>
  </w:style>
  <w:style w:type="table" w:styleId="Table3Deffects1">
    <w:name w:val="Table 3D effects 1"/>
    <w:basedOn w:val="TableNormal"/>
    <w:uiPriority w:val="99"/>
    <w:semiHidden/>
    <w:rsid w:val="00014566"/>
    <w:pPr>
      <w:suppressAutoHyphens/>
    </w:pPr>
    <w:rPr>
      <w:lang w:val="fr-FR" w:eastAsia="fr-FR"/>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014566"/>
    <w:pPr>
      <w:suppressAutoHyphens/>
    </w:pPr>
    <w:rPr>
      <w:lang w:val="fr-FR" w:eastAsia="fr-FR"/>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014566"/>
    <w:pPr>
      <w:suppressAutoHyphens/>
    </w:pPr>
    <w:rPr>
      <w:lang w:val="fr-FR" w:eastAsia="fr-FR"/>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014566"/>
    <w:pPr>
      <w:suppressAutoHyphens/>
    </w:pPr>
    <w:rPr>
      <w:color w:val="000080"/>
      <w:lang w:val="fr-FR" w:eastAsia="fr-FR"/>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014566"/>
    <w:pPr>
      <w:suppressAutoHyphens/>
    </w:pPr>
    <w:rPr>
      <w:lang w:val="fr-FR" w:eastAsia="fr-FR"/>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014566"/>
    <w:pPr>
      <w:suppressAutoHyphens/>
    </w:pPr>
    <w:rPr>
      <w:color w:val="FFFFFF"/>
      <w:lang w:val="fr-FR" w:eastAsia="fr-FR"/>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014566"/>
    <w:pPr>
      <w:suppressAutoHyphens/>
    </w:pPr>
    <w:rPr>
      <w:lang w:val="fr-FR" w:eastAsia="fr-FR"/>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014566"/>
    <w:pPr>
      <w:suppressAutoHyphens/>
    </w:pPr>
    <w:rPr>
      <w:lang w:val="fr-FR" w:eastAsia="fr-FR"/>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014566"/>
    <w:pPr>
      <w:suppressAutoHyphens/>
    </w:pPr>
    <w:rPr>
      <w:b/>
      <w:bCs/>
      <w:lang w:val="fr-FR" w:eastAsia="fr-FR"/>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014566"/>
    <w:pPr>
      <w:suppressAutoHyphens/>
    </w:pPr>
    <w:rPr>
      <w:b/>
      <w:bCs/>
      <w:lang w:val="fr-FR" w:eastAsia="fr-FR"/>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014566"/>
    <w:pPr>
      <w:suppressAutoHyphens/>
    </w:pPr>
    <w:rPr>
      <w:b/>
      <w:bCs/>
      <w:lang w:val="fr-FR" w:eastAsia="fr-FR"/>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014566"/>
    <w:pPr>
      <w:suppressAutoHyphens/>
    </w:pPr>
    <w:rPr>
      <w:lang w:val="fr-FR" w:eastAsia="fr-FR"/>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014566"/>
    <w:pPr>
      <w:suppressAutoHyphens/>
    </w:pPr>
    <w:rPr>
      <w:lang w:val="fr-FR" w:eastAsia="fr-FR"/>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014566"/>
    <w:pPr>
      <w:suppressAutoHyphens/>
    </w:pPr>
    <w:rPr>
      <w:lang w:val="fr-FR" w:eastAsia="fr-FR"/>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014566"/>
    <w:pPr>
      <w:suppressAutoHyphens/>
    </w:pPr>
    <w:rPr>
      <w:lang w:val="fr-FR" w:eastAsia="fr-F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014566"/>
    <w:pPr>
      <w:suppressAutoHyphens/>
    </w:pPr>
    <w:rPr>
      <w:lang w:val="fr-FR" w:eastAsia="fr-FR"/>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014566"/>
    <w:pPr>
      <w:suppressAutoHyphens/>
    </w:pPr>
    <w:rPr>
      <w:lang w:val="fr-FR" w:eastAsia="fr-FR"/>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014566"/>
    <w:pPr>
      <w:suppressAutoHyphens/>
    </w:pPr>
    <w:rPr>
      <w:lang w:val="fr-FR" w:eastAsia="fr-FR"/>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014566"/>
    <w:pPr>
      <w:suppressAutoHyphens/>
    </w:pPr>
    <w:rPr>
      <w:b/>
      <w:bCs/>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014566"/>
    <w:pPr>
      <w:suppressAutoHyphens/>
    </w:pPr>
    <w:rPr>
      <w:lang w:val="fr-FR" w:eastAsia="fr-F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014566"/>
    <w:pPr>
      <w:suppressAutoHyphens/>
    </w:pPr>
    <w:rPr>
      <w:lang w:val="fr-FR" w:eastAsia="fr-FR"/>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014566"/>
    <w:pPr>
      <w:suppressAutoHyphens/>
    </w:pPr>
    <w:rPr>
      <w:lang w:val="fr-FR" w:eastAsia="fr-FR"/>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014566"/>
    <w:pPr>
      <w:suppressAutoHyphens/>
    </w:pPr>
    <w:rPr>
      <w:lang w:val="fr-FR" w:eastAsia="fr-FR"/>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014566"/>
    <w:pPr>
      <w:suppressAutoHyphens/>
    </w:pPr>
    <w:rPr>
      <w:lang w:val="fr-FR" w:eastAsia="fr-FR"/>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014566"/>
    <w:pPr>
      <w:ind w:left="240" w:hanging="240"/>
    </w:pPr>
  </w:style>
  <w:style w:type="paragraph" w:styleId="TableofFigures">
    <w:name w:val="table of figures"/>
    <w:basedOn w:val="Normal"/>
    <w:next w:val="Normal"/>
    <w:uiPriority w:val="99"/>
    <w:semiHidden/>
    <w:rsid w:val="00014566"/>
  </w:style>
  <w:style w:type="table" w:styleId="TableProfessional">
    <w:name w:val="Table Professional"/>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014566"/>
    <w:pPr>
      <w:suppressAutoHyphens/>
    </w:pPr>
    <w:rPr>
      <w:lang w:val="fr-FR" w:eastAsia="fr-FR"/>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014566"/>
    <w:pPr>
      <w:suppressAutoHyphens/>
    </w:pPr>
    <w:rPr>
      <w:lang w:val="fr-FR" w:eastAsia="fr-FR"/>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014566"/>
    <w:pPr>
      <w:suppressAutoHyphens/>
    </w:pPr>
    <w:rPr>
      <w:lang w:val="fr-FR" w:eastAsia="fr-FR"/>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014566"/>
    <w:pPr>
      <w:suppressAutoHyphens/>
    </w:pPr>
    <w:rPr>
      <w:lang w:val="fr-FR" w:eastAsia="fr-FR"/>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014566"/>
    <w:pPr>
      <w:suppressAutoHyphens/>
    </w:pPr>
    <w:rPr>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014566"/>
    <w:pPr>
      <w:suppressAutoHyphens/>
    </w:pPr>
    <w:rPr>
      <w:lang w:val="fr-FR" w:eastAsia="fr-F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014566"/>
    <w:pPr>
      <w:suppressAutoHyphens/>
    </w:pPr>
    <w:rPr>
      <w:lang w:val="fr-FR" w:eastAsia="fr-F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014566"/>
    <w:pPr>
      <w:suppressAutoHyphens/>
    </w:pPr>
    <w:rPr>
      <w:lang w:val="fr-FR" w:eastAsia="fr-F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AF183C"/>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AF183C"/>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014566"/>
    <w:pPr>
      <w:spacing w:after="100"/>
      <w:ind w:left="1680"/>
    </w:pPr>
  </w:style>
  <w:style w:type="paragraph" w:styleId="TOC9">
    <w:name w:val="toc 9"/>
    <w:basedOn w:val="Normal"/>
    <w:next w:val="Normal"/>
    <w:autoRedefine/>
    <w:uiPriority w:val="99"/>
    <w:semiHidden/>
    <w:rsid w:val="00014566"/>
    <w:pPr>
      <w:spacing w:after="100"/>
      <w:ind w:left="1920"/>
    </w:pPr>
  </w:style>
  <w:style w:type="paragraph" w:customStyle="1" w:styleId="OpiParaSub">
    <w:name w:val="Opi_Para_Sub"/>
    <w:basedOn w:val="JuParaSub"/>
    <w:uiPriority w:val="47"/>
    <w:qFormat/>
    <w:rsid w:val="00AF183C"/>
  </w:style>
  <w:style w:type="paragraph" w:customStyle="1" w:styleId="OpiQuot">
    <w:name w:val="Opi_Quot"/>
    <w:basedOn w:val="ECHRParaQuote"/>
    <w:uiPriority w:val="48"/>
    <w:qFormat/>
    <w:rsid w:val="00AF183C"/>
  </w:style>
  <w:style w:type="paragraph" w:customStyle="1" w:styleId="OpiQuotSub">
    <w:name w:val="Opi_Quot_Sub"/>
    <w:basedOn w:val="JuQuotSub"/>
    <w:uiPriority w:val="49"/>
    <w:qFormat/>
    <w:rsid w:val="00AF183C"/>
  </w:style>
  <w:style w:type="paragraph" w:customStyle="1" w:styleId="OpiTranslation">
    <w:name w:val="Opi_Translation"/>
    <w:basedOn w:val="Normal"/>
    <w:next w:val="OpiPara"/>
    <w:uiPriority w:val="40"/>
    <w:qFormat/>
    <w:rsid w:val="00AF183C"/>
    <w:pPr>
      <w:jc w:val="center"/>
      <w:outlineLvl w:val="0"/>
    </w:pPr>
    <w:rPr>
      <w:i/>
    </w:rPr>
  </w:style>
  <w:style w:type="paragraph" w:styleId="NoteHeading">
    <w:name w:val="Note Heading"/>
    <w:basedOn w:val="Normal"/>
    <w:next w:val="Normal"/>
    <w:link w:val="NoteHeadingChar"/>
    <w:uiPriority w:val="99"/>
    <w:semiHidden/>
    <w:rsid w:val="008E7031"/>
  </w:style>
  <w:style w:type="character" w:customStyle="1" w:styleId="NoteHeadingChar">
    <w:name w:val="Note Heading Char"/>
    <w:basedOn w:val="DefaultParagraphFont"/>
    <w:link w:val="NoteHeading"/>
    <w:uiPriority w:val="99"/>
    <w:semiHidden/>
    <w:rsid w:val="008E7031"/>
    <w:rPr>
      <w:rFonts w:eastAsiaTheme="minorEastAsia"/>
      <w:sz w:val="24"/>
      <w:lang w:val="en-GB"/>
    </w:rPr>
  </w:style>
  <w:style w:type="paragraph" w:customStyle="1" w:styleId="JuHeaderLandscape">
    <w:name w:val="Ju_Header_Landscape"/>
    <w:basedOn w:val="ECHRHeader"/>
    <w:uiPriority w:val="4"/>
    <w:qFormat/>
    <w:rsid w:val="00AF183C"/>
    <w:pPr>
      <w:tabs>
        <w:tab w:val="clear" w:pos="3686"/>
        <w:tab w:val="clear" w:pos="7371"/>
        <w:tab w:val="center" w:pos="6146"/>
        <w:tab w:val="right" w:pos="12293"/>
      </w:tabs>
    </w:pPr>
  </w:style>
  <w:style w:type="character" w:customStyle="1" w:styleId="ECHRParaChar">
    <w:name w:val="ECHR_Para Char"/>
    <w:aliases w:val="Ju_Para Char"/>
    <w:link w:val="ECHRPara"/>
    <w:uiPriority w:val="12"/>
    <w:rsid w:val="00EE0A0F"/>
    <w:rPr>
      <w:rFonts w:eastAsiaTheme="minorEastAsia"/>
      <w:sz w:val="24"/>
      <w:lang w:val="en-GB"/>
    </w:rPr>
  </w:style>
  <w:style w:type="paragraph" w:customStyle="1" w:styleId="jupara">
    <w:name w:val="jupara"/>
    <w:basedOn w:val="Normal"/>
    <w:rsid w:val="00D04890"/>
    <w:pPr>
      <w:ind w:firstLine="284"/>
    </w:pPr>
    <w:rPr>
      <w:rFonts w:ascii="Times New Roman" w:eastAsia="Times New Roman" w:hAnsi="Times New Roman" w:cs="Times New Roman"/>
      <w:szCs w:val="24"/>
      <w:lang w:eastAsia="en-GB"/>
    </w:rPr>
  </w:style>
  <w:style w:type="paragraph" w:customStyle="1" w:styleId="jucase0">
    <w:name w:val="jucase"/>
    <w:basedOn w:val="Normal"/>
    <w:rsid w:val="00D04890"/>
    <w:pPr>
      <w:ind w:firstLine="284"/>
    </w:pPr>
    <w:rPr>
      <w:rFonts w:ascii="Times New Roman" w:eastAsia="Times New Roman" w:hAnsi="Times New Roman" w:cs="Times New Roman"/>
      <w:b/>
      <w:bCs/>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4387045">
      <w:bodyDiv w:val="1"/>
      <w:marLeft w:val="0"/>
      <w:marRight w:val="0"/>
      <w:marTop w:val="0"/>
      <w:marBottom w:val="0"/>
      <w:divBdr>
        <w:top w:val="none" w:sz="0" w:space="0" w:color="auto"/>
        <w:left w:val="none" w:sz="0" w:space="0" w:color="auto"/>
        <w:bottom w:val="none" w:sz="0" w:space="0" w:color="auto"/>
        <w:right w:val="none" w:sz="0" w:space="0" w:color="auto"/>
      </w:divBdr>
      <w:divsChild>
        <w:div w:id="1874688916">
          <w:marLeft w:val="0"/>
          <w:marRight w:val="0"/>
          <w:marTop w:val="0"/>
          <w:marBottom w:val="0"/>
          <w:divBdr>
            <w:top w:val="none" w:sz="0" w:space="0" w:color="auto"/>
            <w:left w:val="none" w:sz="0" w:space="0" w:color="auto"/>
            <w:bottom w:val="none" w:sz="0" w:space="0" w:color="auto"/>
            <w:right w:val="none" w:sz="0" w:space="0" w:color="auto"/>
          </w:divBdr>
          <w:divsChild>
            <w:div w:id="1822234552">
              <w:marLeft w:val="0"/>
              <w:marRight w:val="0"/>
              <w:marTop w:val="0"/>
              <w:marBottom w:val="0"/>
              <w:divBdr>
                <w:top w:val="none" w:sz="0" w:space="0" w:color="auto"/>
                <w:left w:val="none" w:sz="0" w:space="0" w:color="auto"/>
                <w:bottom w:val="none" w:sz="0" w:space="0" w:color="auto"/>
                <w:right w:val="none" w:sz="0" w:space="0" w:color="auto"/>
              </w:divBdr>
              <w:divsChild>
                <w:div w:id="1901667994">
                  <w:marLeft w:val="0"/>
                  <w:marRight w:val="0"/>
                  <w:marTop w:val="0"/>
                  <w:marBottom w:val="0"/>
                  <w:divBdr>
                    <w:top w:val="none" w:sz="0" w:space="0" w:color="auto"/>
                    <w:left w:val="none" w:sz="0" w:space="0" w:color="auto"/>
                    <w:bottom w:val="none" w:sz="0" w:space="0" w:color="auto"/>
                    <w:right w:val="none" w:sz="0" w:space="0" w:color="auto"/>
                  </w:divBdr>
                  <w:divsChild>
                    <w:div w:id="734858667">
                      <w:marLeft w:val="0"/>
                      <w:marRight w:val="0"/>
                      <w:marTop w:val="0"/>
                      <w:marBottom w:val="0"/>
                      <w:divBdr>
                        <w:top w:val="none" w:sz="0" w:space="0" w:color="auto"/>
                        <w:left w:val="none" w:sz="0" w:space="0" w:color="auto"/>
                        <w:bottom w:val="none" w:sz="0" w:space="0" w:color="auto"/>
                        <w:right w:val="none" w:sz="0" w:space="0" w:color="auto"/>
                      </w:divBdr>
                      <w:divsChild>
                        <w:div w:id="970481014">
                          <w:marLeft w:val="0"/>
                          <w:marRight w:val="0"/>
                          <w:marTop w:val="0"/>
                          <w:marBottom w:val="0"/>
                          <w:divBdr>
                            <w:top w:val="none" w:sz="0" w:space="0" w:color="auto"/>
                            <w:left w:val="none" w:sz="0" w:space="0" w:color="auto"/>
                            <w:bottom w:val="none" w:sz="0" w:space="0" w:color="auto"/>
                            <w:right w:val="none" w:sz="0" w:space="0" w:color="auto"/>
                          </w:divBdr>
                          <w:divsChild>
                            <w:div w:id="861430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644182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D998ABE-7C2C-4590-87EA-2D118C0DD687}"/>
</file>

<file path=customXml/itemProps2.xml><?xml version="1.0" encoding="utf-8"?>
<ds:datastoreItem xmlns:ds="http://schemas.openxmlformats.org/officeDocument/2006/customXml" ds:itemID="{88C0478E-2332-42E0-B81E-7B098DB18899}"/>
</file>

<file path=customXml/itemProps3.xml><?xml version="1.0" encoding="utf-8"?>
<ds:datastoreItem xmlns:ds="http://schemas.openxmlformats.org/officeDocument/2006/customXml" ds:itemID="{B7B574E3-4CA8-420C-A739-A54FA8AB460A}"/>
</file>

<file path=customXml/itemProps4.xml><?xml version="1.0" encoding="utf-8"?>
<ds:datastoreItem xmlns:ds="http://schemas.openxmlformats.org/officeDocument/2006/customXml" ds:itemID="{83AC46C4-51BC-43CA-B868-D8D31A509480}"/>
</file>

<file path=docProps/app.xml><?xml version="1.0" encoding="utf-8"?>
<Properties xmlns="http://schemas.openxmlformats.org/officeDocument/2006/extended-properties" xmlns:vt="http://schemas.openxmlformats.org/officeDocument/2006/docPropsVTypes">
  <Template>Normal.dotm</Template>
  <TotalTime>0</TotalTime>
  <Pages>1</Pages>
  <Words>4094</Words>
  <Characters>23339</Characters>
  <Application>Microsoft Office Word</Application>
  <DocSecurity>0</DocSecurity>
  <Lines>194</Lines>
  <Paragraphs>54</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27379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dc:subject>
  <dc:creator/>
  <cp:lastModifiedBy/>
  <cp:revision>1</cp:revision>
  <cp:lastPrinted>2018-10-12T07:34:00Z</cp:lastPrinted>
  <dcterms:created xsi:type="dcterms:W3CDTF">2019-08-31T10:46:00Z</dcterms:created>
  <dcterms:modified xsi:type="dcterms:W3CDTF">2019-08-31T10:46:00Z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62824/16</vt:lpwstr>
  </property>
  <property fmtid="{D5CDD505-2E9C-101B-9397-08002B2CF9AE}" pid="4" name="CASEID">
    <vt:lpwstr>1256315</vt:lpwstr>
  </property>
  <property fmtid="{D5CDD505-2E9C-101B-9397-08002B2CF9AE}" pid="5" name="ContentTypeId">
    <vt:lpwstr>0x010100558EB02BDB9E204AB350EDD385B68E10</vt:lpwstr>
  </property>
</Properties>
</file>