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7B7" w:rsidP="002934D0" w:rsidRDefault="004127B7">
      <w:pPr>
        <w:jc w:val="center"/>
        <w:rPr>
          <w:rFonts w:ascii="Times New Roman" w:hAnsi="Times New Roman" w:cs="Times New Roman"/>
        </w:rPr>
      </w:pPr>
    </w:p>
    <w:p w:rsidRPr="00CA2808" w:rsidR="00B901AD" w:rsidP="002934D0" w:rsidRDefault="00B901AD">
      <w:pPr>
        <w:jc w:val="center"/>
        <w:rPr>
          <w:rFonts w:ascii="Times New Roman" w:hAnsi="Times New Roman" w:cs="Times New Roman"/>
        </w:rPr>
      </w:pPr>
    </w:p>
    <w:p w:rsidRPr="00085457" w:rsidR="0098410D" w:rsidP="0098410D" w:rsidRDefault="0098410D">
      <w:pPr>
        <w:jc w:val="center"/>
      </w:pPr>
    </w:p>
    <w:p w:rsidRPr="00085457" w:rsidR="0098410D" w:rsidP="0098410D" w:rsidRDefault="004127B7">
      <w:pPr>
        <w:tabs>
          <w:tab w:val="left" w:pos="5529"/>
        </w:tabs>
        <w:jc w:val="center"/>
      </w:pPr>
      <w:r>
        <w:t>FOURTH SECTION</w:t>
      </w:r>
    </w:p>
    <w:p w:rsidRPr="00085457" w:rsidR="00E95C1E" w:rsidP="0098410D" w:rsidRDefault="00E95C1E">
      <w:pPr>
        <w:jc w:val="center"/>
      </w:pPr>
    </w:p>
    <w:p w:rsidR="00BF118F" w:rsidP="0098410D" w:rsidRDefault="00BF118F">
      <w:pPr>
        <w:jc w:val="center"/>
      </w:pPr>
    </w:p>
    <w:p w:rsidR="00B901AD" w:rsidP="0098410D" w:rsidRDefault="00B901AD">
      <w:pPr>
        <w:jc w:val="center"/>
      </w:pPr>
    </w:p>
    <w:p w:rsidR="00B901AD" w:rsidP="0098410D" w:rsidRDefault="00B901AD">
      <w:pPr>
        <w:jc w:val="center"/>
      </w:pPr>
    </w:p>
    <w:p w:rsidRPr="00085457" w:rsidR="00B901AD" w:rsidP="0098410D" w:rsidRDefault="00B901AD">
      <w:pPr>
        <w:jc w:val="center"/>
      </w:pPr>
    </w:p>
    <w:p w:rsidRPr="00085457" w:rsidR="00BF118F" w:rsidP="0098410D" w:rsidRDefault="00BF118F">
      <w:pPr>
        <w:jc w:val="center"/>
      </w:pPr>
    </w:p>
    <w:p w:rsidRPr="00085457" w:rsidR="0098410D" w:rsidP="0098410D" w:rsidRDefault="0098410D">
      <w:pPr>
        <w:jc w:val="center"/>
      </w:pPr>
    </w:p>
    <w:p w:rsidRPr="00085457" w:rsidR="008E6217" w:rsidP="008E6217" w:rsidRDefault="008E6217">
      <w:pPr>
        <w:jc w:val="center"/>
        <w:rPr>
          <w:b/>
        </w:rPr>
      </w:pPr>
      <w:bookmarkStart w:name="To" w:id="0"/>
      <w:r w:rsidRPr="00085457">
        <w:rPr>
          <w:b/>
        </w:rPr>
        <w:t xml:space="preserve">CASE OF </w:t>
      </w:r>
      <w:bookmarkEnd w:id="0"/>
      <w:r w:rsidR="004127B7">
        <w:rPr>
          <w:b/>
        </w:rPr>
        <w:t>BALTIC MASTER LTD. v. LITHUANIA</w:t>
      </w:r>
    </w:p>
    <w:p w:rsidRPr="00085457" w:rsidR="00170027" w:rsidP="008E6217" w:rsidRDefault="00170027">
      <w:pPr>
        <w:jc w:val="center"/>
        <w:rPr>
          <w:b/>
        </w:rPr>
      </w:pPr>
    </w:p>
    <w:p w:rsidRPr="00085457" w:rsidR="00D74888" w:rsidP="008E6217" w:rsidRDefault="008E6217">
      <w:pPr>
        <w:jc w:val="center"/>
        <w:rPr>
          <w:i/>
        </w:rPr>
      </w:pPr>
      <w:r w:rsidRPr="00085457">
        <w:rPr>
          <w:i/>
        </w:rPr>
        <w:t>(</w:t>
      </w:r>
      <w:r w:rsidRPr="00085457" w:rsidR="004127B7">
        <w:rPr>
          <w:i/>
        </w:rPr>
        <w:t>Application no.</w:t>
      </w:r>
      <w:r w:rsidRPr="00085457">
        <w:rPr>
          <w:i/>
        </w:rPr>
        <w:t xml:space="preserve"> </w:t>
      </w:r>
      <w:r w:rsidR="004127B7">
        <w:rPr>
          <w:i/>
        </w:rPr>
        <w:t>55092/16</w:t>
      </w:r>
      <w:r w:rsidRPr="00085457">
        <w:rPr>
          <w:i/>
        </w:rPr>
        <w:t>)</w:t>
      </w:r>
    </w:p>
    <w:p w:rsidRPr="00085457" w:rsidR="0098410D" w:rsidP="0098410D" w:rsidRDefault="0098410D">
      <w:pPr>
        <w:jc w:val="center"/>
        <w:rPr>
          <w:i/>
        </w:rPr>
      </w:pPr>
    </w:p>
    <w:p w:rsidRPr="00085457" w:rsidR="0098410D" w:rsidP="0098410D" w:rsidRDefault="0098410D">
      <w:pPr>
        <w:jc w:val="center"/>
      </w:pPr>
    </w:p>
    <w:p w:rsidRPr="00085457" w:rsidR="0098410D" w:rsidP="0098410D" w:rsidRDefault="0098410D">
      <w:pPr>
        <w:jc w:val="center"/>
      </w:pPr>
    </w:p>
    <w:p w:rsidR="00FE6854" w:rsidP="0098410D" w:rsidRDefault="00FE6854">
      <w:pPr>
        <w:jc w:val="center"/>
      </w:pPr>
    </w:p>
    <w:p w:rsidR="00FE6854" w:rsidP="0098410D" w:rsidRDefault="00FE6854">
      <w:pPr>
        <w:jc w:val="center"/>
      </w:pPr>
    </w:p>
    <w:p w:rsidRPr="00085457" w:rsidR="00FE6854" w:rsidP="0098410D" w:rsidRDefault="00FE6854">
      <w:pPr>
        <w:jc w:val="center"/>
      </w:pPr>
    </w:p>
    <w:p w:rsidR="0098410D" w:rsidP="00F1709C" w:rsidRDefault="0098410D">
      <w:pPr>
        <w:jc w:val="center"/>
      </w:pPr>
    </w:p>
    <w:p w:rsidR="00FE6854" w:rsidP="00F1709C" w:rsidRDefault="00FE6854">
      <w:pPr>
        <w:jc w:val="center"/>
      </w:pPr>
    </w:p>
    <w:p w:rsidR="00FE6854" w:rsidP="00F1709C" w:rsidRDefault="00FE6854">
      <w:pPr>
        <w:jc w:val="center"/>
      </w:pPr>
    </w:p>
    <w:p w:rsidRPr="00085457" w:rsidR="00FE6854" w:rsidP="00F1709C" w:rsidRDefault="00FE6854">
      <w:pPr>
        <w:jc w:val="center"/>
      </w:pPr>
    </w:p>
    <w:p w:rsidRPr="00085457" w:rsidR="0098410D" w:rsidP="0098410D" w:rsidRDefault="0098410D">
      <w:pPr>
        <w:jc w:val="center"/>
        <w:outlineLvl w:val="0"/>
      </w:pPr>
      <w:r w:rsidRPr="00085457">
        <w:t>JUDGMENT</w:t>
      </w:r>
    </w:p>
    <w:p w:rsidRPr="00085457" w:rsidR="0098410D" w:rsidP="0098410D" w:rsidRDefault="0098410D">
      <w:pPr>
        <w:jc w:val="center"/>
      </w:pPr>
    </w:p>
    <w:p w:rsidRPr="00085457" w:rsidR="0098410D" w:rsidP="0098410D" w:rsidRDefault="0098410D">
      <w:pPr>
        <w:jc w:val="center"/>
        <w:rPr>
          <w:i/>
        </w:rPr>
      </w:pPr>
    </w:p>
    <w:p w:rsidRPr="00085457" w:rsidR="0098410D" w:rsidP="0098410D" w:rsidRDefault="0098410D">
      <w:pPr>
        <w:jc w:val="center"/>
        <w:outlineLvl w:val="0"/>
      </w:pPr>
      <w:r w:rsidRPr="00085457">
        <w:t>STRASBOURG</w:t>
      </w:r>
    </w:p>
    <w:p w:rsidRPr="00085457" w:rsidR="0098410D" w:rsidP="0098410D" w:rsidRDefault="0098410D">
      <w:pPr>
        <w:jc w:val="center"/>
      </w:pPr>
    </w:p>
    <w:p w:rsidRPr="00CA2808" w:rsidR="0098410D" w:rsidP="00DD37EA" w:rsidRDefault="004127B7">
      <w:pPr>
        <w:jc w:val="center"/>
      </w:pPr>
      <w:r w:rsidRPr="00CA2808">
        <w:rPr>
          <w:rFonts w:ascii="Times New Roman" w:hAnsi="Times New Roman" w:cs="Times New Roman"/>
        </w:rPr>
        <w:t>16 April 2019</w:t>
      </w:r>
    </w:p>
    <w:p w:rsidR="0098410D" w:rsidP="00FE6854" w:rsidRDefault="0098410D"/>
    <w:p w:rsidR="00FE6854" w:rsidP="0098410D" w:rsidRDefault="00FE6854">
      <w:pPr>
        <w:jc w:val="center"/>
      </w:pPr>
    </w:p>
    <w:p w:rsidR="00FE6854" w:rsidP="0098410D" w:rsidRDefault="00FE6854">
      <w:pPr>
        <w:jc w:val="center"/>
      </w:pPr>
    </w:p>
    <w:p w:rsidRPr="00085457" w:rsidR="00B901AD" w:rsidP="0098410D" w:rsidRDefault="00B901AD">
      <w:pPr>
        <w:jc w:val="center"/>
      </w:pPr>
    </w:p>
    <w:p w:rsidRPr="00085457" w:rsidR="0098410D" w:rsidP="0098410D" w:rsidRDefault="0098410D">
      <w:pPr>
        <w:jc w:val="center"/>
      </w:pPr>
    </w:p>
    <w:p w:rsidRPr="00085457" w:rsidR="002422B6" w:rsidP="0098410D" w:rsidRDefault="0098410D">
      <w:pPr>
        <w:rPr>
          <w:i/>
          <w:sz w:val="22"/>
        </w:rPr>
      </w:pPr>
      <w:r w:rsidRPr="00085457">
        <w:rPr>
          <w:i/>
          <w:sz w:val="22"/>
        </w:rPr>
        <w:t xml:space="preserve">This judgment </w:t>
      </w:r>
      <w:r w:rsidRPr="00085457" w:rsidR="004127B7">
        <w:rPr>
          <w:i/>
          <w:sz w:val="22"/>
        </w:rPr>
        <w:t>is final but it</w:t>
      </w:r>
      <w:r w:rsidRPr="00085457">
        <w:rPr>
          <w:i/>
          <w:sz w:val="22"/>
        </w:rPr>
        <w:t xml:space="preserve"> may be subject to editorial revision.</w:t>
      </w:r>
    </w:p>
    <w:p w:rsidR="0098410D" w:rsidP="0098410D" w:rsidRDefault="0098410D"/>
    <w:p w:rsidRPr="00085457" w:rsidR="00B901AD" w:rsidP="0098410D" w:rsidRDefault="00B901AD">
      <w:pPr>
        <w:sectPr w:rsidRPr="00085457" w:rsidR="00B901A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085457" w:rsidR="0098410D" w:rsidP="0098410D" w:rsidRDefault="0098410D">
      <w:pPr>
        <w:pStyle w:val="JuCase"/>
      </w:pPr>
      <w:r w:rsidRPr="00085457">
        <w:t xml:space="preserve">In the case of </w:t>
      </w:r>
      <w:r w:rsidR="004127B7">
        <w:t>Baltic Master Ltd. v. Lithuania</w:t>
      </w:r>
      <w:r w:rsidRPr="00085457">
        <w:t>,</w:t>
      </w:r>
    </w:p>
    <w:p w:rsidRPr="00085457" w:rsidR="009F4C8F" w:rsidP="009F4C8F" w:rsidRDefault="009F4C8F">
      <w:pPr>
        <w:pStyle w:val="ECHRPara"/>
      </w:pPr>
      <w:r w:rsidRPr="00085457">
        <w:t>The European Court of Human Rights (</w:t>
      </w:r>
      <w:r w:rsidR="004127B7">
        <w:t>Fourth Section</w:t>
      </w:r>
      <w:r w:rsidRPr="00085457">
        <w:t xml:space="preserve">), sitting as a </w:t>
      </w:r>
      <w:r w:rsidRPr="00CA2808" w:rsidR="004127B7">
        <w:t>Committee</w:t>
      </w:r>
      <w:r w:rsidRPr="00085457">
        <w:t xml:space="preserve"> composed of:</w:t>
      </w:r>
    </w:p>
    <w:p w:rsidRPr="00085457" w:rsidR="009F4C8F" w:rsidP="009F4C8F" w:rsidRDefault="00CA2808">
      <w:pPr>
        <w:pStyle w:val="ECHRDecisionBody"/>
      </w:pPr>
      <w:r w:rsidRPr="00CA2808">
        <w:tab/>
        <w:t>Paulo</w:t>
      </w:r>
      <w:r>
        <w:t xml:space="preserve"> </w:t>
      </w:r>
      <w:r w:rsidRPr="00CA2808">
        <w:t>Pinto de Albuquerque</w:t>
      </w:r>
      <w:r>
        <w:t>,</w:t>
      </w:r>
      <w:r w:rsidRPr="00CA2808">
        <w:rPr>
          <w:i/>
        </w:rPr>
        <w:t xml:space="preserve"> President,</w:t>
      </w:r>
      <w:r>
        <w:rPr>
          <w:i/>
        </w:rPr>
        <w:br/>
      </w:r>
      <w:r w:rsidRPr="00CA2808">
        <w:tab/>
      </w:r>
      <w:proofErr w:type="spellStart"/>
      <w:r w:rsidRPr="00CA2808">
        <w:t>Egidijus</w:t>
      </w:r>
      <w:proofErr w:type="spellEnd"/>
      <w:r>
        <w:t xml:space="preserve"> </w:t>
      </w:r>
      <w:proofErr w:type="spellStart"/>
      <w:r w:rsidRPr="00CA2808">
        <w:t>Kūris</w:t>
      </w:r>
      <w:proofErr w:type="spellEnd"/>
      <w:r>
        <w:t>,</w:t>
      </w:r>
      <w:r>
        <w:rPr>
          <w:i/>
        </w:rPr>
        <w:br/>
      </w:r>
      <w:r w:rsidRPr="00CA2808">
        <w:tab/>
        <w:t xml:space="preserve">Iulia </w:t>
      </w:r>
      <w:proofErr w:type="spellStart"/>
      <w:r w:rsidRPr="00CA2808">
        <w:t>Antoanella</w:t>
      </w:r>
      <w:proofErr w:type="spellEnd"/>
      <w:r>
        <w:t xml:space="preserve"> </w:t>
      </w:r>
      <w:r w:rsidRPr="00CA2808">
        <w:t>Motoc</w:t>
      </w:r>
      <w:r>
        <w:t>,</w:t>
      </w:r>
      <w:r w:rsidRPr="00CA2808">
        <w:rPr>
          <w:i/>
        </w:rPr>
        <w:t xml:space="preserve"> judges,</w:t>
      </w:r>
      <w:r w:rsidRPr="00085457" w:rsidR="009F4C8F">
        <w:rPr>
          <w:szCs w:val="24"/>
        </w:rPr>
        <w:br/>
      </w:r>
      <w:r w:rsidRPr="00085457" w:rsidR="009F4C8F">
        <w:t xml:space="preserve">and </w:t>
      </w:r>
      <w:r w:rsidR="004127B7">
        <w:t>Andrea</w:t>
      </w:r>
      <w:r w:rsidRPr="00085457" w:rsidR="004127B7">
        <w:t xml:space="preserve"> </w:t>
      </w:r>
      <w:r w:rsidR="004127B7">
        <w:t>Tamietti</w:t>
      </w:r>
      <w:r w:rsidRPr="00085457" w:rsidR="009F4C8F">
        <w:t xml:space="preserve">, </w:t>
      </w:r>
      <w:r w:rsidRPr="00085457" w:rsidR="004127B7">
        <w:rPr>
          <w:i/>
        </w:rPr>
        <w:t xml:space="preserve">Deputy Section </w:t>
      </w:r>
      <w:r w:rsidRPr="00085457" w:rsidR="004127B7">
        <w:rPr>
          <w:i/>
          <w:iCs/>
        </w:rPr>
        <w:t>Registrar</w:t>
      </w:r>
      <w:r w:rsidRPr="00085457" w:rsidR="009F4C8F">
        <w:rPr>
          <w:i/>
        </w:rPr>
        <w:t>,</w:t>
      </w:r>
    </w:p>
    <w:p w:rsidRPr="00085457" w:rsidR="009F4C8F" w:rsidP="009F4C8F" w:rsidRDefault="009F4C8F">
      <w:pPr>
        <w:pStyle w:val="ECHRPara"/>
      </w:pPr>
      <w:r w:rsidRPr="00085457">
        <w:t xml:space="preserve">Having deliberated in private on </w:t>
      </w:r>
      <w:r w:rsidR="004127B7">
        <w:rPr>
          <w:szCs w:val="24"/>
        </w:rPr>
        <w:t>26 March 2019</w:t>
      </w:r>
      <w:r w:rsidRPr="00085457">
        <w:t>,</w:t>
      </w:r>
    </w:p>
    <w:p w:rsidRPr="00085457" w:rsidR="009F4C8F" w:rsidP="009F4C8F" w:rsidRDefault="009F4C8F">
      <w:pPr>
        <w:pStyle w:val="ECHRPara"/>
      </w:pPr>
      <w:r w:rsidRPr="00085457">
        <w:t>Delivers the following judgment, which was adopted on that date:</w:t>
      </w:r>
    </w:p>
    <w:p w:rsidRPr="00301620" w:rsidR="004127B7" w:rsidP="004127B7" w:rsidRDefault="004127B7">
      <w:pPr>
        <w:pStyle w:val="ECHRTitle1"/>
      </w:pPr>
      <w:r w:rsidRPr="00301620">
        <w:t>PROCEDURE</w:t>
      </w:r>
    </w:p>
    <w:p w:rsidR="004127B7" w:rsidP="004127B7" w:rsidRDefault="004127B7">
      <w:pPr>
        <w:pStyle w:val="ECHRPara"/>
      </w:pPr>
      <w:r>
        <w:t>1</w:t>
      </w:r>
      <w:r w:rsidRPr="00301620">
        <w:t xml:space="preserve">.  The case originated in an application (no. </w:t>
      </w:r>
      <w:r>
        <w:t>55092/16</w:t>
      </w:r>
      <w:r w:rsidRPr="00301620">
        <w:t xml:space="preserve">) against </w:t>
      </w:r>
      <w:r>
        <w:t>the Republic of Lithuania</w:t>
      </w:r>
      <w:r w:rsidRPr="00301620">
        <w:t xml:space="preserve"> lodged with the Court under Article 34 of the Convention for the Protection of Human Rights and Fundamental Freedoms (“the Convention”) by a</w:t>
      </w:r>
      <w:r>
        <w:t xml:space="preserve"> limited liability company</w:t>
      </w:r>
      <w:r w:rsidRPr="00BF6080">
        <w:t xml:space="preserve"> registered</w:t>
      </w:r>
      <w:r>
        <w:t xml:space="preserve"> under Lithuanian law</w:t>
      </w:r>
      <w:r w:rsidRPr="00301620">
        <w:t xml:space="preserve">, </w:t>
      </w:r>
      <w:r>
        <w:t>Baltic Master Ltd.</w:t>
      </w:r>
      <w:r w:rsidRPr="00301620">
        <w:t xml:space="preserve"> (“the applicant</w:t>
      </w:r>
      <w:r>
        <w:t xml:space="preserve"> company</w:t>
      </w:r>
      <w:r w:rsidRPr="00301620">
        <w:t xml:space="preserve">”), on </w:t>
      </w:r>
      <w:r>
        <w:t>15 September 2016</w:t>
      </w:r>
      <w:r w:rsidRPr="00301620">
        <w:t>.</w:t>
      </w:r>
    </w:p>
    <w:p w:rsidRPr="00301620" w:rsidR="004127B7" w:rsidP="004127B7" w:rsidRDefault="004127B7">
      <w:pPr>
        <w:pStyle w:val="ECHRPara"/>
      </w:pPr>
      <w:r>
        <w:t>2</w:t>
      </w:r>
      <w:r w:rsidRPr="00301620">
        <w:t xml:space="preserve">.  The applicant </w:t>
      </w:r>
      <w:r>
        <w:t xml:space="preserve">company </w:t>
      </w:r>
      <w:r w:rsidRPr="00301620">
        <w:t xml:space="preserve">was represented by </w:t>
      </w:r>
      <w:r>
        <w:t>Mr</w:t>
      </w:r>
      <w:r w:rsidRPr="00301620">
        <w:t xml:space="preserve"> </w:t>
      </w:r>
      <w:r>
        <w:t>A.</w:t>
      </w:r>
      <w:r w:rsidRPr="00301620">
        <w:t xml:space="preserve"> </w:t>
      </w:r>
      <w:proofErr w:type="spellStart"/>
      <w:r>
        <w:t>Miškinis</w:t>
      </w:r>
      <w:proofErr w:type="spellEnd"/>
      <w:r w:rsidRPr="00301620">
        <w:t xml:space="preserve">, a lawyer practising in </w:t>
      </w:r>
      <w:r>
        <w:t>Vilnius</w:t>
      </w:r>
      <w:r w:rsidRPr="00301620">
        <w:t xml:space="preserve">. The </w:t>
      </w:r>
      <w:r>
        <w:t>Lithuanian</w:t>
      </w:r>
      <w:r w:rsidRPr="00301620">
        <w:t xml:space="preserve"> Government (“the Government”) were represented by their Agent,</w:t>
      </w:r>
      <w:r>
        <w:t xml:space="preserve"> most recently </w:t>
      </w:r>
      <w:r w:rsidRPr="00301620">
        <w:t>Ms</w:t>
      </w:r>
      <w:r>
        <w:t xml:space="preserve"> L. </w:t>
      </w:r>
      <w:proofErr w:type="spellStart"/>
      <w:r>
        <w:t>Urbait</w:t>
      </w:r>
      <w:proofErr w:type="spellEnd"/>
      <w:r>
        <w:rPr>
          <w:lang w:val="lt-LT"/>
        </w:rPr>
        <w:t>ė.</w:t>
      </w:r>
    </w:p>
    <w:p w:rsidRPr="004B5236" w:rsidR="004127B7" w:rsidP="004127B7" w:rsidRDefault="004127B7">
      <w:pPr>
        <w:pStyle w:val="ECHRPara"/>
      </w:pPr>
      <w:r>
        <w:t>3</w:t>
      </w:r>
      <w:r w:rsidRPr="00B5620B">
        <w:t>.  The applicant company alleged that</w:t>
      </w:r>
      <w:r w:rsidRPr="00BF6080">
        <w:t>, in breach of its right to a fair hearing</w:t>
      </w:r>
      <w:r>
        <w:t>,</w:t>
      </w:r>
      <w:r w:rsidRPr="00B5620B">
        <w:t xml:space="preserve"> the Supreme Administrative Court had refused to refer a question to the Court of Justice of the European Union for a preliminary ruling </w:t>
      </w:r>
      <w:r>
        <w:t>without</w:t>
      </w:r>
      <w:r w:rsidRPr="00537342">
        <w:t xml:space="preserve"> provid</w:t>
      </w:r>
      <w:r>
        <w:t>ing</w:t>
      </w:r>
      <w:r w:rsidRPr="00537342">
        <w:t xml:space="preserve"> adequate</w:t>
      </w:r>
      <w:r>
        <w:t xml:space="preserve"> reasons, and that the taxes imposed on it had infringed its right to the peaceful enjoyment of possessions</w:t>
      </w:r>
      <w:r w:rsidRPr="004B5236">
        <w:t>.</w:t>
      </w:r>
    </w:p>
    <w:p w:rsidRPr="00301620" w:rsidR="004127B7" w:rsidP="004127B7" w:rsidRDefault="004127B7">
      <w:pPr>
        <w:pStyle w:val="ECHRPara"/>
      </w:pPr>
      <w:r>
        <w:t>4</w:t>
      </w:r>
      <w:r w:rsidRPr="00B5620B">
        <w:t xml:space="preserve">.  On </w:t>
      </w:r>
      <w:r w:rsidRPr="00B5620B">
        <w:rPr>
          <w:szCs w:val="24"/>
        </w:rPr>
        <w:t>16 May 2018</w:t>
      </w:r>
      <w:r w:rsidRPr="00301620">
        <w:t xml:space="preserve"> </w:t>
      </w:r>
      <w:r>
        <w:t>the application was communicated</w:t>
      </w:r>
      <w:r w:rsidRPr="00301620">
        <w:rPr>
          <w:szCs w:val="24"/>
        </w:rPr>
        <w:t xml:space="preserve"> to the Government</w:t>
      </w:r>
      <w:r w:rsidRPr="00301620">
        <w:t>.</w:t>
      </w:r>
    </w:p>
    <w:p w:rsidRPr="00301620" w:rsidR="004127B7" w:rsidP="004127B7" w:rsidRDefault="004127B7">
      <w:pPr>
        <w:pStyle w:val="ECHRTitle1"/>
      </w:pPr>
      <w:r w:rsidRPr="00301620">
        <w:t>THE FACTS</w:t>
      </w:r>
    </w:p>
    <w:p w:rsidRPr="00301620" w:rsidR="004127B7" w:rsidP="004127B7" w:rsidRDefault="004127B7">
      <w:pPr>
        <w:pStyle w:val="ECHRHeading1"/>
      </w:pPr>
      <w:r w:rsidRPr="00301620">
        <w:t>I.  THE CIRCUMSTANCES OF THE CASE</w:t>
      </w:r>
    </w:p>
    <w:p w:rsidRPr="00301620" w:rsidR="004127B7" w:rsidP="004127B7" w:rsidRDefault="004127B7">
      <w:pPr>
        <w:pStyle w:val="ECHRPara"/>
      </w:pPr>
      <w:r>
        <w:t>5</w:t>
      </w:r>
      <w:r w:rsidRPr="00301620">
        <w:t>.  </w:t>
      </w:r>
      <w:r>
        <w:t>The applicant company is registered in Vilnius.</w:t>
      </w:r>
    </w:p>
    <w:p w:rsidR="004127B7" w:rsidP="004127B7" w:rsidRDefault="004127B7">
      <w:pPr>
        <w:pStyle w:val="ECHRPara"/>
      </w:pPr>
      <w:r>
        <w:t>6</w:t>
      </w:r>
      <w:r w:rsidRPr="00301620">
        <w:t>.  </w:t>
      </w:r>
      <w:r>
        <w:t>It</w:t>
      </w:r>
      <w:r w:rsidRPr="004A744A">
        <w:t xml:space="preserve"> provides heating, cooling, ventilation and air conditioning equipment in Lithuania.</w:t>
      </w:r>
    </w:p>
    <w:p w:rsidRPr="004A744A" w:rsidR="004127B7" w:rsidP="004127B7" w:rsidRDefault="004127B7">
      <w:pPr>
        <w:pStyle w:val="ECHRPara"/>
        <w:tabs>
          <w:tab w:val="left" w:pos="5245"/>
        </w:tabs>
      </w:pPr>
      <w:r>
        <w:t>7.  </w:t>
      </w:r>
      <w:r w:rsidRPr="004A744A">
        <w:t>In 2013 the Vilnius territorial customs office</w:t>
      </w:r>
      <w:r>
        <w:t xml:space="preserve"> (</w:t>
      </w:r>
      <w:r w:rsidRPr="004A744A">
        <w:t>hereinafter</w:t>
      </w:r>
      <w:r>
        <w:t xml:space="preserve"> “the customs office”)</w:t>
      </w:r>
      <w:r w:rsidRPr="004A744A">
        <w:t xml:space="preserve"> carried out an </w:t>
      </w:r>
      <w:r>
        <w:t>audit</w:t>
      </w:r>
      <w:r w:rsidRPr="004A744A">
        <w:t xml:space="preserve"> of the applicant company</w:t>
      </w:r>
      <w:r w:rsidR="001A1698">
        <w:t>’</w:t>
      </w:r>
      <w:r w:rsidRPr="004A744A">
        <w:t xml:space="preserve">s accounting data, related to goods imported </w:t>
      </w:r>
      <w:r w:rsidR="00FC3ADE">
        <w:t>between 1 July 2009 and 31 </w:t>
      </w:r>
      <w:r w:rsidRPr="004A744A">
        <w:t xml:space="preserve">August 2012. During that period the applicant company bought some goods and declared them as air conditioning equipment, </w:t>
      </w:r>
      <w:r>
        <w:t>comprising of</w:t>
      </w:r>
      <w:r w:rsidRPr="004A744A">
        <w:t xml:space="preserve"> one unit and its parts. The goods were bought from a company registered in the United States of America</w:t>
      </w:r>
      <w:r>
        <w:t xml:space="preserve"> (</w:t>
      </w:r>
      <w:r w:rsidRPr="004A744A">
        <w:t xml:space="preserve">hereinafter </w:t>
      </w:r>
      <w:r>
        <w:t xml:space="preserve">“the seller company”) but the applicant company claimed that it had not concluded purchase agreements with that company and that the goods had been </w:t>
      </w:r>
      <w:r w:rsidRPr="00537342">
        <w:t>bought on the basis of an order. In</w:t>
      </w:r>
      <w:r w:rsidRPr="004A744A">
        <w:t xml:space="preserve"> April 2013 the </w:t>
      </w:r>
      <w:r>
        <w:t xml:space="preserve">customs </w:t>
      </w:r>
      <w:r w:rsidR="00FC3ADE">
        <w:t>office found that in twenty</w:t>
      </w:r>
      <w:r w:rsidR="00FC3ADE">
        <w:noBreakHyphen/>
      </w:r>
      <w:r w:rsidRPr="004A744A">
        <w:t xml:space="preserve">three import declarations the value of the goods </w:t>
      </w:r>
      <w:r>
        <w:t xml:space="preserve">had been </w:t>
      </w:r>
      <w:r w:rsidRPr="004A744A">
        <w:t xml:space="preserve">three to four times lower than the value of similar goods declared by other importers. </w:t>
      </w:r>
      <w:r>
        <w:t xml:space="preserve">In addition, invoices provided by the applicant company had not contained any information </w:t>
      </w:r>
      <w:r w:rsidRPr="00816581">
        <w:t>on payment for the goods</w:t>
      </w:r>
      <w:r>
        <w:t xml:space="preserve">. </w:t>
      </w:r>
      <w:r w:rsidRPr="004A744A">
        <w:t xml:space="preserve">Moreover, the </w:t>
      </w:r>
      <w:r>
        <w:t xml:space="preserve">customs </w:t>
      </w:r>
      <w:r w:rsidRPr="004A744A">
        <w:t xml:space="preserve">office stated that the applicant company and </w:t>
      </w:r>
      <w:r w:rsidRPr="00816581">
        <w:t xml:space="preserve">seller company </w:t>
      </w:r>
      <w:r w:rsidRPr="004A744A">
        <w:t>were related because two of the</w:t>
      </w:r>
      <w:r>
        <w:t xml:space="preserve"> latter</w:t>
      </w:r>
      <w:r w:rsidR="001A1698">
        <w:t>’</w:t>
      </w:r>
      <w:r>
        <w:t>s</w:t>
      </w:r>
      <w:r w:rsidRPr="004A744A">
        <w:t xml:space="preserve"> logistics managers were also employed by the applicant company. As a result, the applicant company was ordered to pay 618,083 </w:t>
      </w:r>
      <w:r>
        <w:t xml:space="preserve">euros (EUR) </w:t>
      </w:r>
      <w:r w:rsidRPr="00537342">
        <w:t>in total as customs tax, value added tax,</w:t>
      </w:r>
      <w:r>
        <w:t xml:space="preserve"> late payment interest and</w:t>
      </w:r>
      <w:r w:rsidRPr="00537342">
        <w:t xml:space="preserve"> a fine.</w:t>
      </w:r>
    </w:p>
    <w:p w:rsidR="004127B7" w:rsidP="004127B7" w:rsidRDefault="004127B7">
      <w:pPr>
        <w:pStyle w:val="ECHRPara"/>
      </w:pPr>
      <w:r>
        <w:t>8.  </w:t>
      </w:r>
      <w:r w:rsidRPr="004A744A">
        <w:t xml:space="preserve">The applicant company complained about the </w:t>
      </w:r>
      <w:r>
        <w:t xml:space="preserve">customs </w:t>
      </w:r>
      <w:r w:rsidRPr="004A744A">
        <w:t>office</w:t>
      </w:r>
      <w:r w:rsidR="001A1698">
        <w:t>’</w:t>
      </w:r>
      <w:r>
        <w:t>s</w:t>
      </w:r>
      <w:r w:rsidRPr="004A744A">
        <w:t xml:space="preserve"> report to the Customs Department</w:t>
      </w:r>
      <w:r>
        <w:t xml:space="preserve">. In June 2014 the </w:t>
      </w:r>
      <w:r w:rsidRPr="004A744A">
        <w:t xml:space="preserve">latter annulled </w:t>
      </w:r>
      <w:r>
        <w:t xml:space="preserve">part of </w:t>
      </w:r>
      <w:r w:rsidRPr="004A744A">
        <w:t>the report and ordered the</w:t>
      </w:r>
      <w:r>
        <w:t xml:space="preserve"> customs</w:t>
      </w:r>
      <w:r w:rsidRPr="004A744A">
        <w:t xml:space="preserve"> office to carry out an additional investigation. The Customs Department held</w:t>
      </w:r>
      <w:r>
        <w:t xml:space="preserve"> that the customs office had not precisely indicated which legal provisions had not been complied </w:t>
      </w:r>
      <w:r w:rsidRPr="00D82EBD">
        <w:t>with by the evidence or facts the applicant company had provided.</w:t>
      </w:r>
      <w:r>
        <w:t xml:space="preserve"> Furthermore, it was not</w:t>
      </w:r>
      <w:r w:rsidRPr="004A744A">
        <w:t xml:space="preserve"> clear which of the grounds</w:t>
      </w:r>
      <w:r>
        <w:t xml:space="preserve"> specified in</w:t>
      </w:r>
      <w:r w:rsidRPr="004A744A">
        <w:t xml:space="preserve"> Article 143 of Commission Regulation (EEC) No. 2454/93 of 2 July 1993 laying down provisions for the implementation of the Community Customs Code (hereinafter “Regulation No. 2454/93”)</w:t>
      </w:r>
      <w:r>
        <w:t xml:space="preserve"> (see paragraph 25 below)</w:t>
      </w:r>
      <w:r w:rsidRPr="004A744A">
        <w:t xml:space="preserve"> the </w:t>
      </w:r>
      <w:r>
        <w:t xml:space="preserve">customs </w:t>
      </w:r>
      <w:r w:rsidRPr="004A744A">
        <w:t xml:space="preserve">office </w:t>
      </w:r>
      <w:r>
        <w:t xml:space="preserve">had been </w:t>
      </w:r>
      <w:r w:rsidRPr="004A744A">
        <w:t>referr</w:t>
      </w:r>
      <w:r>
        <w:t>ing</w:t>
      </w:r>
      <w:r w:rsidRPr="004A744A">
        <w:t xml:space="preserve"> to when stating that the applicant company and seller company were related. Moreover, the mere fact that the buyer and seller companies were related and the declared value of goods was small was not enough to</w:t>
      </w:r>
      <w:r>
        <w:t xml:space="preserve"> warrant a</w:t>
      </w:r>
      <w:r w:rsidRPr="004A744A">
        <w:t xml:space="preserve"> recalculat</w:t>
      </w:r>
      <w:r>
        <w:t>ion of</w:t>
      </w:r>
      <w:r w:rsidRPr="004A744A">
        <w:t xml:space="preserve"> the import taxes.</w:t>
      </w:r>
    </w:p>
    <w:p w:rsidR="004127B7" w:rsidP="004127B7" w:rsidRDefault="004127B7">
      <w:pPr>
        <w:pStyle w:val="ECHRPara"/>
      </w:pPr>
      <w:bookmarkStart w:name="para_9" w:id="1"/>
      <w:r>
        <w:t>9</w:t>
      </w:r>
      <w:bookmarkEnd w:id="1"/>
      <w:r>
        <w:t>.  </w:t>
      </w:r>
      <w:r w:rsidRPr="004A744A">
        <w:t xml:space="preserve">In December 2013 the </w:t>
      </w:r>
      <w:r>
        <w:t xml:space="preserve">customs </w:t>
      </w:r>
      <w:r w:rsidRPr="004A744A">
        <w:t xml:space="preserve">office carried out an additional investigation. </w:t>
      </w:r>
      <w:r>
        <w:t>It held that in the absence of any evidence that could prove that employees of the applicant company were not related to the American company, it had to conclude that the buyer and seller were related. The customs office also</w:t>
      </w:r>
      <w:r w:rsidR="00FC3ADE">
        <w:t xml:space="preserve"> refused to approve twenty</w:t>
      </w:r>
      <w:r w:rsidR="00FC3ADE">
        <w:noBreakHyphen/>
      </w:r>
      <w:r w:rsidRPr="004A744A">
        <w:t>three import declarations provided by the applicant company and calculated the value of the imported goods in accordance with Council Regul</w:t>
      </w:r>
      <w:r>
        <w:t>ation (EEC) No. 2913/1992 of 12 </w:t>
      </w:r>
      <w:r w:rsidRPr="004A744A">
        <w:t xml:space="preserve">October 1992 establishing the Community Customs Code (hereinafter “the Community Customs Code”). The </w:t>
      </w:r>
      <w:r>
        <w:t xml:space="preserve">customs </w:t>
      </w:r>
      <w:r w:rsidRPr="004A744A">
        <w:t xml:space="preserve">office ordered the applicant </w:t>
      </w:r>
      <w:r w:rsidRPr="00373665">
        <w:t xml:space="preserve">company to pay </w:t>
      </w:r>
      <w:r w:rsidRPr="00537342">
        <w:t xml:space="preserve">173,005 Lithuanian </w:t>
      </w:r>
      <w:proofErr w:type="spellStart"/>
      <w:r w:rsidRPr="00537342">
        <w:t>litai</w:t>
      </w:r>
      <w:proofErr w:type="spellEnd"/>
      <w:r w:rsidRPr="00537342">
        <w:t xml:space="preserve"> (LTL </w:t>
      </w:r>
      <w:r w:rsidRPr="00537342">
        <w:rPr>
          <w:rFonts w:cstheme="minorHAnsi"/>
        </w:rPr>
        <w:t>–</w:t>
      </w:r>
      <w:r>
        <w:t xml:space="preserve"> approximately EUR </w:t>
      </w:r>
      <w:r w:rsidRPr="00537342">
        <w:t>50,106) in c</w:t>
      </w:r>
      <w:r w:rsidRPr="00D052D8">
        <w:t>ustoms tax, LTL </w:t>
      </w:r>
      <w:r w:rsidRPr="004B5236">
        <w:t>1,457,978 (approximately EUR 422,260) in value added tax, LTL </w:t>
      </w:r>
      <w:r w:rsidRPr="00373665">
        <w:t>437,675 (approximately EUR 126,759) in late payment interest and a fine of LTL 163,098 (approximately EUR 47,236), the total amount being EUR 646,361.</w:t>
      </w:r>
    </w:p>
    <w:p w:rsidR="004127B7" w:rsidP="004127B7" w:rsidRDefault="004127B7">
      <w:pPr>
        <w:pStyle w:val="ECHRPara"/>
      </w:pPr>
      <w:r>
        <w:t>10.  </w:t>
      </w:r>
      <w:r w:rsidRPr="004A744A">
        <w:t>The applicant company complained a</w:t>
      </w:r>
      <w:r>
        <w:t>bout</w:t>
      </w:r>
      <w:r w:rsidRPr="004A744A">
        <w:t xml:space="preserve"> the report </w:t>
      </w:r>
      <w:r>
        <w:t xml:space="preserve">drawn up during </w:t>
      </w:r>
      <w:r w:rsidRPr="004A744A">
        <w:t xml:space="preserve">the additional investigation to the Customs Department </w:t>
      </w:r>
      <w:r>
        <w:t>with a request for it to be</w:t>
      </w:r>
      <w:r w:rsidRPr="004A744A">
        <w:t xml:space="preserve"> annul</w:t>
      </w:r>
      <w:r>
        <w:t>led</w:t>
      </w:r>
      <w:r w:rsidRPr="004A744A">
        <w:t>. The applicant company claimed that the refusal of the</w:t>
      </w:r>
      <w:r>
        <w:t xml:space="preserve"> customs</w:t>
      </w:r>
      <w:r w:rsidRPr="004A744A">
        <w:t xml:space="preserve"> office to approve the value of the goods provided by </w:t>
      </w:r>
      <w:r>
        <w:t>it</w:t>
      </w:r>
      <w:r w:rsidRPr="004A744A">
        <w:t xml:space="preserve"> </w:t>
      </w:r>
      <w:r w:rsidRPr="00537342">
        <w:t xml:space="preserve">in accordance </w:t>
      </w:r>
      <w:r w:rsidRPr="00D82EBD">
        <w:t>with the transaction value method</w:t>
      </w:r>
      <w:r w:rsidRPr="00537342">
        <w:t xml:space="preserve"> was unfounded, as </w:t>
      </w:r>
      <w:r>
        <w:t>was the</w:t>
      </w:r>
      <w:r w:rsidRPr="00537342">
        <w:t xml:space="preserve"> conclusion that the applicant company and seller company were</w:t>
      </w:r>
      <w:r w:rsidRPr="004A744A">
        <w:t xml:space="preserve"> related. Moreover, the applicant company disagreed with the late payment interest because it </w:t>
      </w:r>
      <w:r>
        <w:t>had increased</w:t>
      </w:r>
      <w:r w:rsidRPr="004A744A">
        <w:t xml:space="preserve"> due to the </w:t>
      </w:r>
      <w:proofErr w:type="spellStart"/>
      <w:r w:rsidRPr="004A744A">
        <w:t>protracted</w:t>
      </w:r>
      <w:r>
        <w:t>ness</w:t>
      </w:r>
      <w:proofErr w:type="spellEnd"/>
      <w:r>
        <w:t xml:space="preserve"> of the</w:t>
      </w:r>
      <w:r w:rsidRPr="004A744A">
        <w:t xml:space="preserve"> investigation of the</w:t>
      </w:r>
      <w:r>
        <w:t xml:space="preserve"> customs</w:t>
      </w:r>
      <w:r w:rsidRPr="004A744A">
        <w:t xml:space="preserve"> office.</w:t>
      </w:r>
    </w:p>
    <w:p w:rsidR="004127B7" w:rsidP="004127B7" w:rsidRDefault="004127B7">
      <w:pPr>
        <w:pStyle w:val="ECHRPara"/>
      </w:pPr>
      <w:r>
        <w:t>11.  </w:t>
      </w:r>
      <w:r w:rsidRPr="004A744A">
        <w:t>In March 2014 the Customs Department approved the customs office</w:t>
      </w:r>
      <w:r w:rsidR="001A1698">
        <w:t>’</w:t>
      </w:r>
      <w:r>
        <w:t>s</w:t>
      </w:r>
      <w:r w:rsidRPr="004A744A">
        <w:t xml:space="preserve"> report of December 2013</w:t>
      </w:r>
      <w:r>
        <w:t xml:space="preserve"> (see paragraph 9 above)</w:t>
      </w:r>
      <w:r w:rsidRPr="004A744A">
        <w:t xml:space="preserve"> and dismissed the applicant company</w:t>
      </w:r>
      <w:r w:rsidR="001A1698">
        <w:t>’</w:t>
      </w:r>
      <w:r w:rsidRPr="004A744A">
        <w:t>s complaint.</w:t>
      </w:r>
    </w:p>
    <w:p w:rsidRPr="004A744A" w:rsidR="004127B7" w:rsidP="004127B7" w:rsidRDefault="004127B7">
      <w:pPr>
        <w:pStyle w:val="ECHRPara"/>
      </w:pPr>
      <w:r>
        <w:t>12.  </w:t>
      </w:r>
      <w:r w:rsidRPr="004A744A">
        <w:t>The applicant company appealed against that decision to the Tax Disputes Commission</w:t>
      </w:r>
      <w:r>
        <w:t xml:space="preserve">, </w:t>
      </w:r>
      <w:r w:rsidRPr="004A744A">
        <w:t>provid</w:t>
      </w:r>
      <w:r>
        <w:t>ing</w:t>
      </w:r>
      <w:r w:rsidRPr="004A744A">
        <w:t xml:space="preserve"> documents from the seller company proving that none of its employees were also employed by the applicant company. In July 2014 the Tax Disputes Commission held that </w:t>
      </w:r>
      <w:r>
        <w:t xml:space="preserve">because </w:t>
      </w:r>
      <w:r w:rsidRPr="004A744A">
        <w:t xml:space="preserve">the applicant company </w:t>
      </w:r>
      <w:r>
        <w:t xml:space="preserve">had </w:t>
      </w:r>
      <w:r w:rsidRPr="004A744A">
        <w:t xml:space="preserve">provided incomplete </w:t>
      </w:r>
      <w:r w:rsidRPr="00537342">
        <w:t>data</w:t>
      </w:r>
      <w:r>
        <w:t>,</w:t>
      </w:r>
      <w:r w:rsidRPr="00537342">
        <w:t xml:space="preserve"> </w:t>
      </w:r>
      <w:r>
        <w:t xml:space="preserve">it </w:t>
      </w:r>
      <w:r w:rsidRPr="00537342">
        <w:t xml:space="preserve">had been </w:t>
      </w:r>
      <w:r>
        <w:t>un</w:t>
      </w:r>
      <w:r w:rsidRPr="00537342">
        <w:t>able to determine the</w:t>
      </w:r>
      <w:r w:rsidRPr="004A744A">
        <w:t xml:space="preserve"> exact circumstances of the purchase agreement concluded with the seller company. Nevertheless, the Tax Disputes Commission decided to exempt the applicant company from </w:t>
      </w:r>
      <w:r>
        <w:t xml:space="preserve">paying </w:t>
      </w:r>
      <w:r w:rsidR="00310502">
        <w:t>LTL </w:t>
      </w:r>
      <w:r w:rsidRPr="004A744A">
        <w:t>27,118.40 (approximately EUR 7,854</w:t>
      </w:r>
      <w:r w:rsidRPr="00537342">
        <w:t>) of</w:t>
      </w:r>
      <w:r w:rsidRPr="004A744A">
        <w:t xml:space="preserve"> late payment interest.</w:t>
      </w:r>
    </w:p>
    <w:p w:rsidR="004127B7" w:rsidP="004127B7" w:rsidRDefault="004127B7">
      <w:pPr>
        <w:pStyle w:val="ECHRPara"/>
      </w:pPr>
      <w:r>
        <w:t>13.  </w:t>
      </w:r>
      <w:r w:rsidRPr="004A744A">
        <w:t xml:space="preserve">The applicant company complained to the Vilnius Regional </w:t>
      </w:r>
      <w:r w:rsidRPr="00537342">
        <w:t>Administrative Court. It claimed that it was not clear from the customs office</w:t>
      </w:r>
      <w:r w:rsidR="001A1698">
        <w:t>’</w:t>
      </w:r>
      <w:r w:rsidRPr="00537342">
        <w:t>s report of December 2013 on which of the</w:t>
      </w:r>
      <w:r w:rsidRPr="009C0006">
        <w:t xml:space="preserve"> grounds specified in Article 143 of Regulation No. 2454/93 </w:t>
      </w:r>
      <w:r>
        <w:t xml:space="preserve">(see paragraph 25 below) </w:t>
      </w:r>
      <w:r w:rsidRPr="009C0006">
        <w:t>the customs office had been relying when stating that the applicant company and seller</w:t>
      </w:r>
      <w:r>
        <w:t xml:space="preserve"> company</w:t>
      </w:r>
      <w:r w:rsidRPr="009C0006">
        <w:t xml:space="preserve"> were related.</w:t>
      </w:r>
      <w:r w:rsidRPr="004A744A">
        <w:t xml:space="preserve"> </w:t>
      </w:r>
      <w:r w:rsidRPr="00537342">
        <w:t xml:space="preserve">The mere fact that the applicant company and </w:t>
      </w:r>
      <w:r w:rsidRPr="009C0006">
        <w:t xml:space="preserve">seller company had been involved in the purchase agreements was not </w:t>
      </w:r>
      <w:r w:rsidRPr="00537342">
        <w:t>sufficient to conclude that they were business partners.</w:t>
      </w:r>
      <w:r w:rsidRPr="004A744A">
        <w:t xml:space="preserve"> The applicant company also argued that the customs </w:t>
      </w:r>
      <w:r>
        <w:t>office had</w:t>
      </w:r>
      <w:r w:rsidRPr="004A744A">
        <w:t xml:space="preserve"> refused to apply the </w:t>
      </w:r>
      <w:r w:rsidRPr="00537342">
        <w:t>transaction value method</w:t>
      </w:r>
      <w:r w:rsidRPr="004A744A">
        <w:t xml:space="preserve"> without providing any reasons. </w:t>
      </w:r>
      <w:r>
        <w:t>During the hearing, t</w:t>
      </w:r>
      <w:r w:rsidRPr="004A744A">
        <w:t>he applicant company asked the Vilnius Regional Administrative Court to request a preliminary ruling from the Court of Justice</w:t>
      </w:r>
      <w:r>
        <w:t xml:space="preserve"> of the European Union</w:t>
      </w:r>
      <w:r w:rsidRPr="004A744A">
        <w:t xml:space="preserve"> (</w:t>
      </w:r>
      <w:r>
        <w:t>hereinafter “</w:t>
      </w:r>
      <w:r w:rsidRPr="004A744A">
        <w:t>CJEU</w:t>
      </w:r>
      <w:r>
        <w:t>”</w:t>
      </w:r>
      <w:r w:rsidRPr="004A744A">
        <w:t>).</w:t>
      </w:r>
    </w:p>
    <w:p w:rsidRPr="00795ADF" w:rsidR="004127B7" w:rsidP="004127B7" w:rsidRDefault="004127B7">
      <w:pPr>
        <w:pStyle w:val="ECHRPara"/>
        <w:rPr>
          <w:lang w:val="lt-LT"/>
        </w:rPr>
      </w:pPr>
      <w:bookmarkStart w:name="VAAT" w:id="2"/>
      <w:r>
        <w:t>14</w:t>
      </w:r>
      <w:bookmarkEnd w:id="2"/>
      <w:r>
        <w:t>.  </w:t>
      </w:r>
      <w:r w:rsidRPr="004A744A">
        <w:t>On 22 January 2015 the Vilnius Regional Administrative Court rejected the applicant company</w:t>
      </w:r>
      <w:r w:rsidR="001A1698">
        <w:t>’</w:t>
      </w:r>
      <w:r w:rsidRPr="004A744A">
        <w:t xml:space="preserve">s complaint as unfounded. It held that there was enough information to adopt </w:t>
      </w:r>
      <w:r>
        <w:t>a</w:t>
      </w:r>
      <w:r w:rsidRPr="004A744A">
        <w:t xml:space="preserve"> decision in the case and</w:t>
      </w:r>
      <w:r>
        <w:t xml:space="preserve"> that</w:t>
      </w:r>
      <w:r w:rsidRPr="004A744A">
        <w:t xml:space="preserve"> no question as to the interpretation </w:t>
      </w:r>
      <w:r w:rsidRPr="009C0006">
        <w:t xml:space="preserve">of </w:t>
      </w:r>
      <w:r w:rsidRPr="004A744A">
        <w:t xml:space="preserve">European Union customs law </w:t>
      </w:r>
      <w:r>
        <w:t>had arisen (</w:t>
      </w:r>
      <w:proofErr w:type="spellStart"/>
      <w:r w:rsidRPr="00795ADF">
        <w:rPr>
          <w:i/>
        </w:rPr>
        <w:t>teismas</w:t>
      </w:r>
      <w:proofErr w:type="spellEnd"/>
      <w:r w:rsidRPr="00795ADF">
        <w:rPr>
          <w:i/>
        </w:rPr>
        <w:t xml:space="preserve"> </w:t>
      </w:r>
      <w:proofErr w:type="spellStart"/>
      <w:r w:rsidRPr="00795ADF">
        <w:rPr>
          <w:i/>
        </w:rPr>
        <w:t>pažymi</w:t>
      </w:r>
      <w:proofErr w:type="spellEnd"/>
      <w:r w:rsidRPr="00795ADF">
        <w:rPr>
          <w:i/>
        </w:rPr>
        <w:t xml:space="preserve">, </w:t>
      </w:r>
      <w:proofErr w:type="spellStart"/>
      <w:r w:rsidRPr="00795ADF">
        <w:rPr>
          <w:i/>
        </w:rPr>
        <w:t>kad</w:t>
      </w:r>
      <w:proofErr w:type="spellEnd"/>
      <w:r w:rsidRPr="00795ADF">
        <w:rPr>
          <w:i/>
        </w:rPr>
        <w:t xml:space="preserve"> </w:t>
      </w:r>
      <w:proofErr w:type="spellStart"/>
      <w:r w:rsidRPr="00795ADF">
        <w:rPr>
          <w:i/>
        </w:rPr>
        <w:t>byloje</w:t>
      </w:r>
      <w:proofErr w:type="spellEnd"/>
      <w:r w:rsidRPr="00795ADF">
        <w:rPr>
          <w:i/>
        </w:rPr>
        <w:t xml:space="preserve"> </w:t>
      </w:r>
      <w:proofErr w:type="spellStart"/>
      <w:r w:rsidRPr="00795ADF">
        <w:rPr>
          <w:i/>
        </w:rPr>
        <w:t>yra</w:t>
      </w:r>
      <w:proofErr w:type="spellEnd"/>
      <w:r w:rsidRPr="00795ADF">
        <w:rPr>
          <w:i/>
        </w:rPr>
        <w:t xml:space="preserve"> </w:t>
      </w:r>
      <w:proofErr w:type="spellStart"/>
      <w:r w:rsidRPr="00795ADF">
        <w:rPr>
          <w:i/>
        </w:rPr>
        <w:t>pakankamai</w:t>
      </w:r>
      <w:proofErr w:type="spellEnd"/>
      <w:r w:rsidRPr="00795ADF">
        <w:rPr>
          <w:i/>
        </w:rPr>
        <w:t xml:space="preserve"> </w:t>
      </w:r>
      <w:proofErr w:type="spellStart"/>
      <w:r w:rsidRPr="00795ADF">
        <w:rPr>
          <w:i/>
        </w:rPr>
        <w:t>duomenų</w:t>
      </w:r>
      <w:proofErr w:type="spellEnd"/>
      <w:r w:rsidRPr="00795ADF">
        <w:rPr>
          <w:i/>
        </w:rPr>
        <w:t xml:space="preserve"> </w:t>
      </w:r>
      <w:proofErr w:type="spellStart"/>
      <w:r w:rsidRPr="00795ADF">
        <w:rPr>
          <w:i/>
        </w:rPr>
        <w:t>sprendimo</w:t>
      </w:r>
      <w:proofErr w:type="spellEnd"/>
      <w:r w:rsidRPr="00795ADF">
        <w:rPr>
          <w:i/>
        </w:rPr>
        <w:t xml:space="preserve"> </w:t>
      </w:r>
      <w:proofErr w:type="spellStart"/>
      <w:r w:rsidRPr="00795ADF">
        <w:rPr>
          <w:i/>
        </w:rPr>
        <w:t>priėmimui</w:t>
      </w:r>
      <w:proofErr w:type="spellEnd"/>
      <w:r w:rsidRPr="00795ADF">
        <w:rPr>
          <w:i/>
        </w:rPr>
        <w:t xml:space="preserve">, </w:t>
      </w:r>
      <w:proofErr w:type="spellStart"/>
      <w:r w:rsidRPr="00795ADF">
        <w:rPr>
          <w:i/>
        </w:rPr>
        <w:t>teismui</w:t>
      </w:r>
      <w:proofErr w:type="spellEnd"/>
      <w:r w:rsidRPr="00795ADF">
        <w:rPr>
          <w:i/>
        </w:rPr>
        <w:t xml:space="preserve"> </w:t>
      </w:r>
      <w:proofErr w:type="spellStart"/>
      <w:r w:rsidRPr="00795ADF">
        <w:rPr>
          <w:i/>
        </w:rPr>
        <w:t>jokių</w:t>
      </w:r>
      <w:proofErr w:type="spellEnd"/>
      <w:r w:rsidRPr="00795ADF">
        <w:rPr>
          <w:i/>
        </w:rPr>
        <w:t xml:space="preserve"> </w:t>
      </w:r>
      <w:proofErr w:type="spellStart"/>
      <w:r w:rsidRPr="00795ADF">
        <w:rPr>
          <w:i/>
        </w:rPr>
        <w:t>papildomų</w:t>
      </w:r>
      <w:proofErr w:type="spellEnd"/>
      <w:r w:rsidRPr="00795ADF">
        <w:rPr>
          <w:i/>
        </w:rPr>
        <w:t xml:space="preserve"> </w:t>
      </w:r>
      <w:proofErr w:type="spellStart"/>
      <w:r w:rsidRPr="00795ADF">
        <w:rPr>
          <w:i/>
        </w:rPr>
        <w:t>klausimų</w:t>
      </w:r>
      <w:proofErr w:type="spellEnd"/>
      <w:r w:rsidRPr="00795ADF">
        <w:rPr>
          <w:i/>
        </w:rPr>
        <w:t xml:space="preserve"> </w:t>
      </w:r>
      <w:proofErr w:type="spellStart"/>
      <w:r w:rsidRPr="00795ADF">
        <w:rPr>
          <w:i/>
        </w:rPr>
        <w:t>teisės</w:t>
      </w:r>
      <w:proofErr w:type="spellEnd"/>
      <w:r w:rsidRPr="00795ADF">
        <w:rPr>
          <w:i/>
        </w:rPr>
        <w:t xml:space="preserve"> </w:t>
      </w:r>
      <w:proofErr w:type="spellStart"/>
      <w:r w:rsidRPr="00795ADF">
        <w:rPr>
          <w:i/>
        </w:rPr>
        <w:t>aiškinimo</w:t>
      </w:r>
      <w:proofErr w:type="spellEnd"/>
      <w:r w:rsidRPr="00795ADF">
        <w:rPr>
          <w:i/>
        </w:rPr>
        <w:t xml:space="preserve"> </w:t>
      </w:r>
      <w:proofErr w:type="spellStart"/>
      <w:r w:rsidRPr="00795ADF">
        <w:rPr>
          <w:i/>
        </w:rPr>
        <w:t>klausimais</w:t>
      </w:r>
      <w:proofErr w:type="spellEnd"/>
      <w:r w:rsidRPr="00795ADF">
        <w:rPr>
          <w:i/>
        </w:rPr>
        <w:t xml:space="preserve"> </w:t>
      </w:r>
      <w:proofErr w:type="spellStart"/>
      <w:r w:rsidRPr="00795ADF">
        <w:rPr>
          <w:i/>
        </w:rPr>
        <w:t>nekilo</w:t>
      </w:r>
      <w:proofErr w:type="spellEnd"/>
      <w:r w:rsidRPr="00795ADF">
        <w:rPr>
          <w:i/>
        </w:rPr>
        <w:t xml:space="preserve">, </w:t>
      </w:r>
      <w:proofErr w:type="spellStart"/>
      <w:r w:rsidRPr="00795ADF">
        <w:rPr>
          <w:i/>
        </w:rPr>
        <w:t>todėl</w:t>
      </w:r>
      <w:proofErr w:type="spellEnd"/>
      <w:r w:rsidRPr="00795ADF">
        <w:rPr>
          <w:i/>
        </w:rPr>
        <w:t xml:space="preserve"> </w:t>
      </w:r>
      <w:proofErr w:type="spellStart"/>
      <w:r w:rsidRPr="00795ADF">
        <w:rPr>
          <w:i/>
        </w:rPr>
        <w:t>nėra</w:t>
      </w:r>
      <w:proofErr w:type="spellEnd"/>
      <w:r w:rsidRPr="00795ADF">
        <w:rPr>
          <w:i/>
        </w:rPr>
        <w:t xml:space="preserve"> </w:t>
      </w:r>
      <w:proofErr w:type="spellStart"/>
      <w:r w:rsidRPr="00795ADF">
        <w:rPr>
          <w:i/>
        </w:rPr>
        <w:t>pagrindo</w:t>
      </w:r>
      <w:proofErr w:type="spellEnd"/>
      <w:r w:rsidRPr="00795ADF">
        <w:rPr>
          <w:i/>
        </w:rPr>
        <w:t xml:space="preserve"> </w:t>
      </w:r>
      <w:proofErr w:type="spellStart"/>
      <w:r w:rsidRPr="00795ADF">
        <w:rPr>
          <w:i/>
        </w:rPr>
        <w:t>kreiptis</w:t>
      </w:r>
      <w:proofErr w:type="spellEnd"/>
      <w:r w:rsidRPr="00795ADF">
        <w:rPr>
          <w:i/>
        </w:rPr>
        <w:t xml:space="preserve"> į </w:t>
      </w:r>
      <w:proofErr w:type="spellStart"/>
      <w:r w:rsidRPr="00795ADF">
        <w:rPr>
          <w:i/>
        </w:rPr>
        <w:t>Europos</w:t>
      </w:r>
      <w:proofErr w:type="spellEnd"/>
      <w:r w:rsidRPr="00795ADF">
        <w:rPr>
          <w:i/>
        </w:rPr>
        <w:t xml:space="preserve"> </w:t>
      </w:r>
      <w:proofErr w:type="spellStart"/>
      <w:r w:rsidRPr="00795ADF">
        <w:rPr>
          <w:i/>
        </w:rPr>
        <w:t>Sąjungos</w:t>
      </w:r>
      <w:proofErr w:type="spellEnd"/>
      <w:r w:rsidRPr="00795ADF">
        <w:rPr>
          <w:i/>
        </w:rPr>
        <w:t xml:space="preserve"> </w:t>
      </w:r>
      <w:proofErr w:type="spellStart"/>
      <w:r w:rsidRPr="00795ADF">
        <w:rPr>
          <w:i/>
        </w:rPr>
        <w:t>Teisingumo</w:t>
      </w:r>
      <w:proofErr w:type="spellEnd"/>
      <w:r w:rsidRPr="00795ADF">
        <w:rPr>
          <w:i/>
        </w:rPr>
        <w:t xml:space="preserve"> </w:t>
      </w:r>
      <w:proofErr w:type="spellStart"/>
      <w:r w:rsidRPr="00795ADF">
        <w:rPr>
          <w:i/>
        </w:rPr>
        <w:t>Teismą</w:t>
      </w:r>
      <w:proofErr w:type="spellEnd"/>
      <w:r>
        <w:t>).</w:t>
      </w:r>
    </w:p>
    <w:p w:rsidR="004127B7" w:rsidP="004127B7" w:rsidRDefault="004127B7">
      <w:pPr>
        <w:pStyle w:val="ECHRPara"/>
      </w:pPr>
      <w:bookmarkStart w:name="questionsbybalticmaster" w:id="3"/>
      <w:r>
        <w:t>15</w:t>
      </w:r>
      <w:bookmarkEnd w:id="3"/>
      <w:r>
        <w:t>.  </w:t>
      </w:r>
      <w:r w:rsidRPr="004A744A">
        <w:t>The applicant company appealed against that dec</w:t>
      </w:r>
      <w:r w:rsidR="00FC3ADE">
        <w:t>ision. It stated that the first</w:t>
      </w:r>
      <w:r w:rsidR="00FC3ADE">
        <w:noBreakHyphen/>
      </w:r>
      <w:r w:rsidRPr="004A744A">
        <w:t>instance court</w:t>
      </w:r>
      <w:r>
        <w:t xml:space="preserve"> had</w:t>
      </w:r>
      <w:r w:rsidRPr="004A744A">
        <w:t xml:space="preserve"> misinterpreted the provisions of the Community Customs Code and Regulation No. 2454/93. More</w:t>
      </w:r>
      <w:r w:rsidR="00FC3ADE">
        <w:t>over, the decision of the first</w:t>
      </w:r>
      <w:r w:rsidR="00FC3ADE">
        <w:noBreakHyphen/>
      </w:r>
      <w:r w:rsidRPr="004A744A">
        <w:t xml:space="preserve">instance </w:t>
      </w:r>
      <w:r w:rsidRPr="009C0006">
        <w:t>court had lacked</w:t>
      </w:r>
      <w:r w:rsidRPr="004A744A">
        <w:t xml:space="preserve"> reasoning. </w:t>
      </w:r>
      <w:r>
        <w:t>The applicant company submitted that an interpretation of certain provisions of European Union law was necessary because the case-law of the CJEU regarding</w:t>
      </w:r>
      <w:r w:rsidR="00FC3ADE">
        <w:t xml:space="preserve"> the application of Articles 29</w:t>
      </w:r>
      <w:r w:rsidR="00FC3ADE">
        <w:noBreakHyphen/>
      </w:r>
      <w:r>
        <w:t>31 of the Community Customs Code was inconsistent. According to the applicant company, it was necessary to refer the following questions to the CJEU:</w:t>
      </w:r>
    </w:p>
    <w:p w:rsidR="004127B7" w:rsidP="004127B7" w:rsidRDefault="004127B7">
      <w:pPr>
        <w:pStyle w:val="ECHRPara"/>
      </w:pPr>
      <w:r>
        <w:t xml:space="preserve">- (1) Whether the conditions specified in </w:t>
      </w:r>
      <w:r w:rsidRPr="00B5620B">
        <w:t>Article 29 </w:t>
      </w:r>
      <w:r>
        <w:t>§ </w:t>
      </w:r>
      <w:r w:rsidRPr="00B5620B">
        <w:t xml:space="preserve">1 (b) of the Community Customs Code, </w:t>
      </w:r>
      <w:r w:rsidRPr="001A0C09">
        <w:t xml:space="preserve">which influence the sale and price of the goods and </w:t>
      </w:r>
      <w:r>
        <w:t>whose</w:t>
      </w:r>
      <w:r w:rsidRPr="001A0C09">
        <w:t xml:space="preserve"> effect cannot be assessed</w:t>
      </w:r>
      <w:r w:rsidRPr="00B5620B">
        <w:t>,</w:t>
      </w:r>
      <w:r>
        <w:t xml:space="preserve"> include cases such as the one at hand, where at the time of presentation of the goods to customs and the assessment of those goods a debt </w:t>
      </w:r>
      <w:r w:rsidRPr="009C0006">
        <w:t>of buyer to seller exists?</w:t>
      </w:r>
      <w:r>
        <w:t xml:space="preserve"> If the debt does not have any effect on the sale or price of </w:t>
      </w:r>
      <w:r w:rsidRPr="00EB3CAB">
        <w:t xml:space="preserve">the goods, is it included in the transaction value </w:t>
      </w:r>
      <w:r>
        <w:t>defined</w:t>
      </w:r>
      <w:r w:rsidRPr="00EB3CAB">
        <w:t xml:space="preserve"> in</w:t>
      </w:r>
      <w:r>
        <w:t xml:space="preserve"> Article 29 § 1 (b) of the Community Customs Code?</w:t>
      </w:r>
    </w:p>
    <w:p w:rsidR="004127B7" w:rsidP="004127B7" w:rsidRDefault="004127B7">
      <w:pPr>
        <w:pStyle w:val="ECHRPara"/>
      </w:pPr>
      <w:r>
        <w:t xml:space="preserve">- (2) Can the difference between the price of imported goods and the list of comparative prices collected by customs be independent grounds not to apply the </w:t>
      </w:r>
      <w:r w:rsidRPr="009C0006">
        <w:t>transaction value method,</w:t>
      </w:r>
      <w:r>
        <w:t xml:space="preserve"> and is this difference considered a circumstance </w:t>
      </w:r>
      <w:r w:rsidRPr="00EB3CAB">
        <w:t>whose</w:t>
      </w:r>
      <w:r w:rsidRPr="00D5007F">
        <w:t xml:space="preserve"> effect on the sale or price of goods</w:t>
      </w:r>
      <w:r w:rsidRPr="00B5620B">
        <w:t xml:space="preserve"> cannot be assessed,</w:t>
      </w:r>
      <w:r>
        <w:t xml:space="preserve"> within the meaning of Article 29 § 1 (b) of the Community Customs Code?</w:t>
      </w:r>
    </w:p>
    <w:p w:rsidR="004127B7" w:rsidP="004127B7" w:rsidRDefault="004127B7">
      <w:pPr>
        <w:pStyle w:val="ECHRPara"/>
      </w:pPr>
      <w:r>
        <w:t>- (3) If the seller</w:t>
      </w:r>
      <w:r w:rsidRPr="009B23DD">
        <w:t xml:space="preserve"> authorises</w:t>
      </w:r>
      <w:r>
        <w:t xml:space="preserve"> the buyer</w:t>
      </w:r>
      <w:r w:rsidR="001A1698">
        <w:t>’</w:t>
      </w:r>
      <w:r>
        <w:t xml:space="preserve">s employees to perform certain actions related to the transportation and the customs procedures of the goods, can this be considered a relationship between buyer and seller, within the meaning of Article 29 § 1 (d) of the Community Customs Code, and can it be grounds not to apply the transaction value </w:t>
      </w:r>
      <w:r w:rsidRPr="00B5620B">
        <w:t>method</w:t>
      </w:r>
      <w:r>
        <w:t>?</w:t>
      </w:r>
    </w:p>
    <w:p w:rsidR="004127B7" w:rsidP="004127B7" w:rsidRDefault="004127B7">
      <w:pPr>
        <w:pStyle w:val="ECHRPara"/>
      </w:pPr>
      <w:r>
        <w:t xml:space="preserve">- (4) Can a national customs office rely on Article 31 § 1 of the Community Customs Code independently, without applying the methods set out in Articles 29 and 30 of the Community Customs Code? If the national customs office has to rely on one of the methods set out </w:t>
      </w:r>
      <w:r w:rsidR="004D0143">
        <w:t>in Articles 29 and </w:t>
      </w:r>
      <w:r>
        <w:t xml:space="preserve">30 of the Community Customs Code, comparative data relating to which period is considered relevant? Does the use of the </w:t>
      </w:r>
      <w:r w:rsidRPr="00D052D8">
        <w:t>only case of export as</w:t>
      </w:r>
      <w:r>
        <w:t xml:space="preserve"> a comparative correspond to the criterion of “at the same time or almost at the same time” when applying it to establish the value of goods declared within a period of three years? Can </w:t>
      </w:r>
      <w:r w:rsidRPr="00D052D8">
        <w:t>cases of export</w:t>
      </w:r>
      <w:r>
        <w:t xml:space="preserve"> from other States (for example, Malaysia) be assessed and can this data be considered comparative? Does the national customs office have to rely on the data collected by it and involving </w:t>
      </w:r>
      <w:r w:rsidRPr="00D052D8">
        <w:t>cases of export to</w:t>
      </w:r>
      <w:r>
        <w:t xml:space="preserve"> Lithuania only or does it have to send other member States a request of information?</w:t>
      </w:r>
    </w:p>
    <w:p w:rsidR="004127B7" w:rsidP="004127B7" w:rsidRDefault="004127B7">
      <w:pPr>
        <w:pStyle w:val="ECHRPara"/>
      </w:pPr>
      <w:r>
        <w:t xml:space="preserve">- (5) </w:t>
      </w:r>
      <w:r w:rsidRPr="00D052D8">
        <w:t>Is the provision of domestic law that the customs office use data existing in the Customs Department database when applying th</w:t>
      </w:r>
      <w:r>
        <w:t>e transaction value method of similar and identical g</w:t>
      </w:r>
      <w:r w:rsidR="004D0143">
        <w:t>ood</w:t>
      </w:r>
      <w:r w:rsidR="00FE6CC4">
        <w:t>s in accordance with Article 31 </w:t>
      </w:r>
      <w:r w:rsidR="004D0143">
        <w:t>§ </w:t>
      </w:r>
      <w:r>
        <w:t xml:space="preserve">1 of the Community Customs Code, which provides that where the customs value of imported goods cannot be </w:t>
      </w:r>
      <w:r w:rsidR="004D0143">
        <w:t>determined under Articles 29 or </w:t>
      </w:r>
      <w:r>
        <w:t>30, it must be determined on the basis of data available in the Community?</w:t>
      </w:r>
    </w:p>
    <w:p w:rsidR="004127B7" w:rsidP="004127B7" w:rsidRDefault="004127B7">
      <w:pPr>
        <w:pStyle w:val="ECHRPara"/>
      </w:pPr>
      <w:r>
        <w:t xml:space="preserve">- (6) Can the </w:t>
      </w:r>
      <w:r w:rsidRPr="00D052D8">
        <w:t xml:space="preserve">transaction value of similar goods be compared by comparing not the transaction value of similar goods but the price of one kilogram, which is determined by dividing the </w:t>
      </w:r>
      <w:r>
        <w:t xml:space="preserve">transaction </w:t>
      </w:r>
      <w:r w:rsidRPr="00D052D8">
        <w:t>value existing</w:t>
      </w:r>
      <w:r>
        <w:t xml:space="preserve"> in the national customs database by the amount of kilograms?</w:t>
      </w:r>
    </w:p>
    <w:p w:rsidR="004127B7" w:rsidP="004127B7" w:rsidRDefault="004127B7">
      <w:pPr>
        <w:pStyle w:val="ECHRPara"/>
      </w:pPr>
      <w:bookmarkStart w:name="LVATbalsticmaster" w:id="4"/>
      <w:r>
        <w:t>16</w:t>
      </w:r>
      <w:bookmarkEnd w:id="4"/>
      <w:r>
        <w:t>.  </w:t>
      </w:r>
      <w:r w:rsidRPr="004A744A">
        <w:t>On 22 March 2016 the Supreme Administrative Court upheld the first</w:t>
      </w:r>
      <w:r w:rsidRPr="004A744A">
        <w:noBreakHyphen/>
        <w:t>instance decision.</w:t>
      </w:r>
      <w:r w:rsidR="004D0143">
        <w:t xml:space="preserve"> The court referred to the case</w:t>
      </w:r>
      <w:r w:rsidR="004D0143">
        <w:noBreakHyphen/>
        <w:t>law of the Court that Article 6 § </w:t>
      </w:r>
      <w:r w:rsidRPr="004A744A">
        <w:t xml:space="preserve">1 of the Convention could not be understood as requiring a detailed answer to every argument. The extent to which this duty to give reasons applied </w:t>
      </w:r>
      <w:r>
        <w:t>could</w:t>
      </w:r>
      <w:r w:rsidRPr="004A744A">
        <w:t xml:space="preserve"> vary according to the nature of the decision. </w:t>
      </w:r>
      <w:r>
        <w:t>M</w:t>
      </w:r>
      <w:r w:rsidRPr="004A744A">
        <w:t>oreover</w:t>
      </w:r>
      <w:r>
        <w:t>, i</w:t>
      </w:r>
      <w:r w:rsidRPr="004A744A">
        <w:t xml:space="preserve">t was necessary to take into account, </w:t>
      </w:r>
      <w:r w:rsidRPr="004A744A">
        <w:rPr>
          <w:i/>
        </w:rPr>
        <w:t>inter alia</w:t>
      </w:r>
      <w:r w:rsidRPr="004A744A">
        <w:t xml:space="preserve">, the diversity of the submissions that a litigant </w:t>
      </w:r>
      <w:r>
        <w:t>could</w:t>
      </w:r>
      <w:r w:rsidRPr="004A744A">
        <w:t xml:space="preserve"> bring before the courts and the differences existing in the Contracting States with regard to statutory provisions, customary rules, legal opinion and the presentation and drafting of judgments. This </w:t>
      </w:r>
      <w:r>
        <w:t>was</w:t>
      </w:r>
      <w:r w:rsidRPr="004A744A">
        <w:t xml:space="preserve"> why the question </w:t>
      </w:r>
      <w:r>
        <w:t xml:space="preserve">of </w:t>
      </w:r>
      <w:r w:rsidRPr="004A744A">
        <w:t>whether a court had failed to fulfil the obligation to state</w:t>
      </w:r>
      <w:r w:rsidR="004D0143">
        <w:t xml:space="preserve"> reasons, deriving from Article </w:t>
      </w:r>
      <w:r w:rsidRPr="004A744A">
        <w:t>6 of the Convention, could only be determined in the light of the circumstances of the case</w:t>
      </w:r>
      <w:r>
        <w:t xml:space="preserve">. The Supreme Administrative Court relied on the following authorities: </w:t>
      </w:r>
      <w:r w:rsidRPr="004A744A">
        <w:rPr>
          <w:i/>
        </w:rPr>
        <w:t>Hiro </w:t>
      </w:r>
      <w:proofErr w:type="spellStart"/>
      <w:r w:rsidRPr="004A744A">
        <w:rPr>
          <w:i/>
        </w:rPr>
        <w:t>Balani</w:t>
      </w:r>
      <w:proofErr w:type="spellEnd"/>
      <w:r w:rsidRPr="004A744A">
        <w:rPr>
          <w:i/>
        </w:rPr>
        <w:t xml:space="preserve"> v. Spain</w:t>
      </w:r>
      <w:r w:rsidRPr="004A744A">
        <w:t>, 9 December 1994, § 27, Series A no.</w:t>
      </w:r>
      <w:r>
        <w:t> </w:t>
      </w:r>
      <w:r w:rsidRPr="004A744A">
        <w:t>303</w:t>
      </w:r>
      <w:r w:rsidRPr="004A744A">
        <w:noBreakHyphen/>
        <w:t xml:space="preserve">B; </w:t>
      </w:r>
      <w:r w:rsidRPr="004A744A">
        <w:rPr>
          <w:i/>
        </w:rPr>
        <w:t>Ruiz </w:t>
      </w:r>
      <w:proofErr w:type="spellStart"/>
      <w:r w:rsidRPr="004A744A">
        <w:rPr>
          <w:i/>
        </w:rPr>
        <w:t>Torija</w:t>
      </w:r>
      <w:proofErr w:type="spellEnd"/>
      <w:r w:rsidRPr="004A744A">
        <w:rPr>
          <w:i/>
        </w:rPr>
        <w:t xml:space="preserve"> v. Spain</w:t>
      </w:r>
      <w:r w:rsidRPr="004A744A">
        <w:t>, 9 December 1994, § 29, Series A no.</w:t>
      </w:r>
      <w:r>
        <w:t> </w:t>
      </w:r>
      <w:r w:rsidRPr="004A744A">
        <w:t>303</w:t>
      </w:r>
      <w:r w:rsidRPr="004A744A">
        <w:noBreakHyphen/>
        <w:t xml:space="preserve">A; </w:t>
      </w:r>
      <w:r>
        <w:t xml:space="preserve">and </w:t>
      </w:r>
      <w:r w:rsidRPr="004A744A">
        <w:rPr>
          <w:i/>
        </w:rPr>
        <w:t>Suominen v. Finland</w:t>
      </w:r>
      <w:r w:rsidRPr="004A744A">
        <w:t>,</w:t>
      </w:r>
      <w:r w:rsidRPr="004A744A">
        <w:rPr>
          <w:i/>
        </w:rPr>
        <w:t xml:space="preserve"> </w:t>
      </w:r>
      <w:r w:rsidRPr="004A744A">
        <w:t>no. 37801/97, § 34, 1 July 2003, Series A no. 303</w:t>
      </w:r>
      <w:r w:rsidRPr="004A744A">
        <w:noBreakHyphen/>
        <w:t xml:space="preserve">A. </w:t>
      </w:r>
      <w:r>
        <w:t>It</w:t>
      </w:r>
      <w:r w:rsidR="004D0143">
        <w:t xml:space="preserve"> held that the first</w:t>
      </w:r>
      <w:r w:rsidR="004D0143">
        <w:noBreakHyphen/>
      </w:r>
      <w:r w:rsidRPr="004A744A">
        <w:t xml:space="preserve">instance decision had been adequately reasoned. </w:t>
      </w:r>
      <w:r w:rsidRPr="00D052D8">
        <w:t xml:space="preserve">It </w:t>
      </w:r>
      <w:r>
        <w:t>was</w:t>
      </w:r>
      <w:r w:rsidRPr="00D052D8">
        <w:t xml:space="preserve"> established in domestic </w:t>
      </w:r>
      <w:r w:rsidR="004D0143">
        <w:t>case</w:t>
      </w:r>
      <w:r w:rsidR="004D0143">
        <w:noBreakHyphen/>
      </w:r>
      <w:r w:rsidRPr="00D052D8">
        <w:t>law that t</w:t>
      </w:r>
      <w:r>
        <w:t>he court could refer the issue to the competent judicial institution of the European Union (</w:t>
      </w:r>
      <w:r w:rsidRPr="00641746">
        <w:t>see paragraph</w:t>
      </w:r>
      <w:r w:rsidR="004D0143">
        <w:t> </w:t>
      </w:r>
      <w:r>
        <w:t xml:space="preserve">18 </w:t>
      </w:r>
      <w:r w:rsidRPr="00641746">
        <w:t>below</w:t>
      </w:r>
      <w:r>
        <w:t>). However, the Supreme Administrative Court</w:t>
      </w:r>
      <w:r w:rsidDel="00501898">
        <w:t xml:space="preserve"> </w:t>
      </w:r>
      <w:r>
        <w:t xml:space="preserve">stated that the request of a party to the proceedings to refer a certain question to the judicial institution of the European Union was </w:t>
      </w:r>
      <w:r w:rsidRPr="00D052D8">
        <w:t>not obligatory if the application of European Union law was so obvious that no doubts could arise</w:t>
      </w:r>
      <w:r>
        <w:t xml:space="preserve"> (</w:t>
      </w:r>
      <w:proofErr w:type="spellStart"/>
      <w:r w:rsidRPr="00795ADF">
        <w:rPr>
          <w:i/>
        </w:rPr>
        <w:t>bylos</w:t>
      </w:r>
      <w:proofErr w:type="spellEnd"/>
      <w:r w:rsidRPr="00795ADF">
        <w:rPr>
          <w:i/>
        </w:rPr>
        <w:t xml:space="preserve"> </w:t>
      </w:r>
      <w:proofErr w:type="spellStart"/>
      <w:r w:rsidRPr="00795ADF">
        <w:rPr>
          <w:i/>
        </w:rPr>
        <w:t>šalies</w:t>
      </w:r>
      <w:proofErr w:type="spellEnd"/>
      <w:r w:rsidRPr="00795ADF">
        <w:rPr>
          <w:i/>
        </w:rPr>
        <w:t xml:space="preserve"> </w:t>
      </w:r>
      <w:proofErr w:type="spellStart"/>
      <w:r w:rsidRPr="00795ADF">
        <w:rPr>
          <w:i/>
        </w:rPr>
        <w:t>prašymas</w:t>
      </w:r>
      <w:proofErr w:type="spellEnd"/>
      <w:r w:rsidRPr="00795ADF">
        <w:rPr>
          <w:i/>
        </w:rPr>
        <w:t xml:space="preserve"> </w:t>
      </w:r>
      <w:proofErr w:type="spellStart"/>
      <w:r w:rsidRPr="00795ADF">
        <w:rPr>
          <w:i/>
        </w:rPr>
        <w:t>teismui</w:t>
      </w:r>
      <w:proofErr w:type="spellEnd"/>
      <w:r w:rsidRPr="00795ADF">
        <w:rPr>
          <w:i/>
        </w:rPr>
        <w:t xml:space="preserve"> </w:t>
      </w:r>
      <w:proofErr w:type="spellStart"/>
      <w:r w:rsidRPr="00795ADF">
        <w:rPr>
          <w:i/>
        </w:rPr>
        <w:t>nėra</w:t>
      </w:r>
      <w:proofErr w:type="spellEnd"/>
      <w:r w:rsidRPr="00795ADF">
        <w:rPr>
          <w:i/>
        </w:rPr>
        <w:t xml:space="preserve"> </w:t>
      </w:r>
      <w:proofErr w:type="spellStart"/>
      <w:r w:rsidRPr="00795ADF">
        <w:rPr>
          <w:i/>
        </w:rPr>
        <w:t>privalomas</w:t>
      </w:r>
      <w:proofErr w:type="spellEnd"/>
      <w:r w:rsidRPr="00795ADF">
        <w:rPr>
          <w:i/>
        </w:rPr>
        <w:t xml:space="preserve"> </w:t>
      </w:r>
      <w:proofErr w:type="spellStart"/>
      <w:r w:rsidRPr="00795ADF">
        <w:rPr>
          <w:i/>
        </w:rPr>
        <w:t>ir</w:t>
      </w:r>
      <w:proofErr w:type="spellEnd"/>
      <w:r w:rsidRPr="00795ADF">
        <w:rPr>
          <w:i/>
        </w:rPr>
        <w:t xml:space="preserve"> </w:t>
      </w:r>
      <w:proofErr w:type="spellStart"/>
      <w:r w:rsidRPr="00795ADF">
        <w:rPr>
          <w:i/>
        </w:rPr>
        <w:t>jei</w:t>
      </w:r>
      <w:proofErr w:type="spellEnd"/>
      <w:r w:rsidRPr="00795ADF">
        <w:rPr>
          <w:i/>
        </w:rPr>
        <w:t xml:space="preserve"> </w:t>
      </w:r>
      <w:proofErr w:type="spellStart"/>
      <w:r w:rsidRPr="00795ADF">
        <w:rPr>
          <w:i/>
        </w:rPr>
        <w:t>Europos</w:t>
      </w:r>
      <w:proofErr w:type="spellEnd"/>
      <w:r w:rsidRPr="00795ADF">
        <w:rPr>
          <w:i/>
        </w:rPr>
        <w:t xml:space="preserve"> </w:t>
      </w:r>
      <w:proofErr w:type="spellStart"/>
      <w:r w:rsidRPr="00795ADF">
        <w:rPr>
          <w:i/>
        </w:rPr>
        <w:t>Sąjungos</w:t>
      </w:r>
      <w:proofErr w:type="spellEnd"/>
      <w:r w:rsidRPr="00795ADF">
        <w:rPr>
          <w:i/>
        </w:rPr>
        <w:t xml:space="preserve"> </w:t>
      </w:r>
      <w:proofErr w:type="spellStart"/>
      <w:r w:rsidRPr="00795ADF">
        <w:rPr>
          <w:i/>
        </w:rPr>
        <w:t>teisės</w:t>
      </w:r>
      <w:proofErr w:type="spellEnd"/>
      <w:r w:rsidRPr="00795ADF">
        <w:rPr>
          <w:i/>
        </w:rPr>
        <w:t xml:space="preserve"> </w:t>
      </w:r>
      <w:proofErr w:type="spellStart"/>
      <w:r w:rsidRPr="00795ADF">
        <w:rPr>
          <w:i/>
        </w:rPr>
        <w:t>taikymas</w:t>
      </w:r>
      <w:proofErr w:type="spellEnd"/>
      <w:r w:rsidRPr="00795ADF">
        <w:rPr>
          <w:i/>
        </w:rPr>
        <w:t xml:space="preserve"> </w:t>
      </w:r>
      <w:proofErr w:type="spellStart"/>
      <w:r w:rsidRPr="00795ADF">
        <w:rPr>
          <w:i/>
        </w:rPr>
        <w:t>yra</w:t>
      </w:r>
      <w:proofErr w:type="spellEnd"/>
      <w:r w:rsidRPr="00795ADF">
        <w:rPr>
          <w:i/>
        </w:rPr>
        <w:t xml:space="preserve"> </w:t>
      </w:r>
      <w:proofErr w:type="spellStart"/>
      <w:r w:rsidRPr="00795ADF">
        <w:rPr>
          <w:i/>
        </w:rPr>
        <w:t>toks</w:t>
      </w:r>
      <w:proofErr w:type="spellEnd"/>
      <w:r w:rsidRPr="00795ADF">
        <w:rPr>
          <w:i/>
        </w:rPr>
        <w:t xml:space="preserve"> </w:t>
      </w:r>
      <w:proofErr w:type="spellStart"/>
      <w:r w:rsidRPr="00795ADF">
        <w:rPr>
          <w:i/>
        </w:rPr>
        <w:t>akivaizdus</w:t>
      </w:r>
      <w:proofErr w:type="spellEnd"/>
      <w:r w:rsidRPr="00795ADF">
        <w:rPr>
          <w:i/>
        </w:rPr>
        <w:t xml:space="preserve">, </w:t>
      </w:r>
      <w:proofErr w:type="spellStart"/>
      <w:r w:rsidRPr="00795ADF">
        <w:rPr>
          <w:i/>
        </w:rPr>
        <w:t>kad</w:t>
      </w:r>
      <w:proofErr w:type="spellEnd"/>
      <w:r w:rsidRPr="00795ADF">
        <w:rPr>
          <w:i/>
        </w:rPr>
        <w:t xml:space="preserve"> </w:t>
      </w:r>
      <w:proofErr w:type="spellStart"/>
      <w:r w:rsidRPr="00795ADF">
        <w:rPr>
          <w:i/>
        </w:rPr>
        <w:t>dėl</w:t>
      </w:r>
      <w:proofErr w:type="spellEnd"/>
      <w:r w:rsidRPr="00795ADF">
        <w:rPr>
          <w:i/>
        </w:rPr>
        <w:t xml:space="preserve"> </w:t>
      </w:r>
      <w:proofErr w:type="spellStart"/>
      <w:r w:rsidRPr="00795ADF">
        <w:rPr>
          <w:i/>
        </w:rPr>
        <w:t>pateikto</w:t>
      </w:r>
      <w:proofErr w:type="spellEnd"/>
      <w:r w:rsidRPr="00795ADF">
        <w:rPr>
          <w:i/>
        </w:rPr>
        <w:t xml:space="preserve"> </w:t>
      </w:r>
      <w:proofErr w:type="spellStart"/>
      <w:r w:rsidRPr="00795ADF">
        <w:rPr>
          <w:i/>
        </w:rPr>
        <w:t>klausimo</w:t>
      </w:r>
      <w:proofErr w:type="spellEnd"/>
      <w:r w:rsidRPr="00795ADF">
        <w:rPr>
          <w:i/>
        </w:rPr>
        <w:t xml:space="preserve"> </w:t>
      </w:r>
      <w:proofErr w:type="spellStart"/>
      <w:r w:rsidRPr="00795ADF">
        <w:rPr>
          <w:i/>
        </w:rPr>
        <w:t>sprendimo</w:t>
      </w:r>
      <w:proofErr w:type="spellEnd"/>
      <w:r w:rsidRPr="00795ADF">
        <w:rPr>
          <w:i/>
        </w:rPr>
        <w:t xml:space="preserve"> </w:t>
      </w:r>
      <w:proofErr w:type="spellStart"/>
      <w:r w:rsidRPr="00795ADF">
        <w:rPr>
          <w:i/>
        </w:rPr>
        <w:t>negali</w:t>
      </w:r>
      <w:proofErr w:type="spellEnd"/>
      <w:r w:rsidRPr="00795ADF">
        <w:rPr>
          <w:i/>
        </w:rPr>
        <w:t xml:space="preserve"> </w:t>
      </w:r>
      <w:proofErr w:type="spellStart"/>
      <w:r w:rsidRPr="00795ADF">
        <w:rPr>
          <w:i/>
        </w:rPr>
        <w:t>kilti</w:t>
      </w:r>
      <w:proofErr w:type="spellEnd"/>
      <w:r w:rsidRPr="00795ADF">
        <w:rPr>
          <w:i/>
        </w:rPr>
        <w:t xml:space="preserve"> </w:t>
      </w:r>
      <w:proofErr w:type="spellStart"/>
      <w:r w:rsidRPr="00795ADF">
        <w:rPr>
          <w:i/>
        </w:rPr>
        <w:t>jokių</w:t>
      </w:r>
      <w:proofErr w:type="spellEnd"/>
      <w:r w:rsidRPr="00795ADF">
        <w:rPr>
          <w:i/>
        </w:rPr>
        <w:t xml:space="preserve"> </w:t>
      </w:r>
      <w:proofErr w:type="spellStart"/>
      <w:r w:rsidRPr="00795ADF">
        <w:rPr>
          <w:i/>
        </w:rPr>
        <w:t>pagrįstų</w:t>
      </w:r>
      <w:proofErr w:type="spellEnd"/>
      <w:r w:rsidRPr="00795ADF">
        <w:rPr>
          <w:i/>
        </w:rPr>
        <w:t xml:space="preserve"> </w:t>
      </w:r>
      <w:proofErr w:type="spellStart"/>
      <w:r w:rsidRPr="00795ADF">
        <w:rPr>
          <w:i/>
        </w:rPr>
        <w:t>abejonių</w:t>
      </w:r>
      <w:proofErr w:type="spellEnd"/>
      <w:r w:rsidRPr="00795ADF">
        <w:rPr>
          <w:i/>
        </w:rPr>
        <w:t xml:space="preserve">, </w:t>
      </w:r>
      <w:proofErr w:type="spellStart"/>
      <w:r w:rsidRPr="00795ADF">
        <w:rPr>
          <w:i/>
        </w:rPr>
        <w:t>galutinės</w:t>
      </w:r>
      <w:proofErr w:type="spellEnd"/>
      <w:r w:rsidRPr="00795ADF">
        <w:rPr>
          <w:i/>
        </w:rPr>
        <w:t xml:space="preserve"> </w:t>
      </w:r>
      <w:proofErr w:type="spellStart"/>
      <w:r w:rsidRPr="00795ADF">
        <w:rPr>
          <w:i/>
        </w:rPr>
        <w:t>instancijos</w:t>
      </w:r>
      <w:proofErr w:type="spellEnd"/>
      <w:r w:rsidRPr="00795ADF">
        <w:rPr>
          <w:i/>
        </w:rPr>
        <w:t xml:space="preserve"> </w:t>
      </w:r>
      <w:proofErr w:type="spellStart"/>
      <w:r w:rsidRPr="00795ADF">
        <w:rPr>
          <w:i/>
        </w:rPr>
        <w:t>nacionalinis</w:t>
      </w:r>
      <w:proofErr w:type="spellEnd"/>
      <w:r w:rsidRPr="00795ADF">
        <w:rPr>
          <w:i/>
        </w:rPr>
        <w:t xml:space="preserve"> </w:t>
      </w:r>
      <w:proofErr w:type="spellStart"/>
      <w:r w:rsidRPr="00795ADF">
        <w:rPr>
          <w:i/>
        </w:rPr>
        <w:t>teismas</w:t>
      </w:r>
      <w:proofErr w:type="spellEnd"/>
      <w:r w:rsidRPr="00795ADF">
        <w:rPr>
          <w:i/>
        </w:rPr>
        <w:t xml:space="preserve"> </w:t>
      </w:r>
      <w:proofErr w:type="spellStart"/>
      <w:r w:rsidRPr="00795ADF">
        <w:rPr>
          <w:i/>
        </w:rPr>
        <w:t>neprivalo</w:t>
      </w:r>
      <w:proofErr w:type="spellEnd"/>
      <w:r w:rsidRPr="00795ADF">
        <w:rPr>
          <w:i/>
        </w:rPr>
        <w:t xml:space="preserve"> </w:t>
      </w:r>
      <w:proofErr w:type="spellStart"/>
      <w:r w:rsidRPr="00795ADF">
        <w:rPr>
          <w:i/>
        </w:rPr>
        <w:t>kreiptis</w:t>
      </w:r>
      <w:proofErr w:type="spellEnd"/>
      <w:r w:rsidRPr="00795ADF">
        <w:rPr>
          <w:i/>
        </w:rPr>
        <w:t xml:space="preserve"> į </w:t>
      </w:r>
      <w:proofErr w:type="spellStart"/>
      <w:r w:rsidRPr="00795ADF">
        <w:rPr>
          <w:i/>
        </w:rPr>
        <w:t>Europos</w:t>
      </w:r>
      <w:proofErr w:type="spellEnd"/>
      <w:r w:rsidRPr="00795ADF">
        <w:rPr>
          <w:i/>
        </w:rPr>
        <w:t xml:space="preserve"> </w:t>
      </w:r>
      <w:proofErr w:type="spellStart"/>
      <w:r w:rsidRPr="00795ADF">
        <w:rPr>
          <w:i/>
        </w:rPr>
        <w:t>Sąjungos</w:t>
      </w:r>
      <w:proofErr w:type="spellEnd"/>
      <w:r w:rsidRPr="00795ADF">
        <w:rPr>
          <w:i/>
        </w:rPr>
        <w:t xml:space="preserve"> </w:t>
      </w:r>
      <w:proofErr w:type="spellStart"/>
      <w:r w:rsidRPr="00795ADF">
        <w:rPr>
          <w:i/>
        </w:rPr>
        <w:t>Teisingumo</w:t>
      </w:r>
      <w:proofErr w:type="spellEnd"/>
      <w:r w:rsidRPr="00795ADF">
        <w:rPr>
          <w:i/>
        </w:rPr>
        <w:t xml:space="preserve"> </w:t>
      </w:r>
      <w:proofErr w:type="spellStart"/>
      <w:r w:rsidRPr="00795ADF">
        <w:rPr>
          <w:i/>
        </w:rPr>
        <w:t>Teismą</w:t>
      </w:r>
      <w:proofErr w:type="spellEnd"/>
      <w:r w:rsidRPr="00795ADF">
        <w:rPr>
          <w:i/>
        </w:rPr>
        <w:t xml:space="preserve"> </w:t>
      </w:r>
      <w:proofErr w:type="spellStart"/>
      <w:r w:rsidRPr="00795ADF">
        <w:rPr>
          <w:i/>
        </w:rPr>
        <w:t>su</w:t>
      </w:r>
      <w:proofErr w:type="spellEnd"/>
      <w:r w:rsidRPr="00795ADF">
        <w:rPr>
          <w:i/>
        </w:rPr>
        <w:t xml:space="preserve"> </w:t>
      </w:r>
      <w:proofErr w:type="spellStart"/>
      <w:r w:rsidRPr="00795ADF">
        <w:rPr>
          <w:i/>
        </w:rPr>
        <w:t>prejudiciniu</w:t>
      </w:r>
      <w:proofErr w:type="spellEnd"/>
      <w:r w:rsidRPr="00795ADF">
        <w:rPr>
          <w:i/>
        </w:rPr>
        <w:t xml:space="preserve"> </w:t>
      </w:r>
      <w:proofErr w:type="spellStart"/>
      <w:r w:rsidRPr="00795ADF">
        <w:rPr>
          <w:i/>
        </w:rPr>
        <w:t>klausimu</w:t>
      </w:r>
      <w:proofErr w:type="spellEnd"/>
      <w:r>
        <w:t>)</w:t>
      </w:r>
      <w:r w:rsidRPr="00D052D8">
        <w:t>.</w:t>
      </w:r>
      <w:r>
        <w:t xml:space="preserve"> Also, the mere fact that a party to the proceedings did not agree with the </w:t>
      </w:r>
      <w:r w:rsidRPr="00D052D8">
        <w:t>interpretation of the law provided b</w:t>
      </w:r>
      <w:r w:rsidR="004D0143">
        <w:t>y the first</w:t>
      </w:r>
      <w:r w:rsidR="004D0143">
        <w:noBreakHyphen/>
      </w:r>
      <w:r>
        <w:t xml:space="preserve">instance court did not mean that the substance of </w:t>
      </w:r>
      <w:r w:rsidRPr="00D052D8">
        <w:t>the</w:t>
      </w:r>
      <w:r>
        <w:t xml:space="preserve"> European Union law was not clear and that there was a necessity to refer the question to the CJEU (</w:t>
      </w:r>
      <w:proofErr w:type="spellStart"/>
      <w:r w:rsidRPr="00795ADF">
        <w:rPr>
          <w:i/>
        </w:rPr>
        <w:t>Pastebėtina</w:t>
      </w:r>
      <w:proofErr w:type="spellEnd"/>
      <w:r w:rsidRPr="00795ADF">
        <w:rPr>
          <w:i/>
        </w:rPr>
        <w:t xml:space="preserve">, </w:t>
      </w:r>
      <w:proofErr w:type="spellStart"/>
      <w:r w:rsidRPr="00795ADF">
        <w:rPr>
          <w:i/>
        </w:rPr>
        <w:t>kad</w:t>
      </w:r>
      <w:proofErr w:type="spellEnd"/>
      <w:r w:rsidRPr="00795ADF">
        <w:rPr>
          <w:i/>
        </w:rPr>
        <w:t xml:space="preserve"> </w:t>
      </w:r>
      <w:proofErr w:type="spellStart"/>
      <w:r w:rsidRPr="00795ADF">
        <w:rPr>
          <w:i/>
        </w:rPr>
        <w:t>vien</w:t>
      </w:r>
      <w:proofErr w:type="spellEnd"/>
      <w:r w:rsidRPr="00795ADF">
        <w:rPr>
          <w:i/>
        </w:rPr>
        <w:t xml:space="preserve"> </w:t>
      </w:r>
      <w:proofErr w:type="spellStart"/>
      <w:r w:rsidRPr="00795ADF">
        <w:rPr>
          <w:i/>
        </w:rPr>
        <w:t>faktinė</w:t>
      </w:r>
      <w:proofErr w:type="spellEnd"/>
      <w:r w:rsidRPr="00795ADF">
        <w:rPr>
          <w:i/>
        </w:rPr>
        <w:t xml:space="preserve"> </w:t>
      </w:r>
      <w:proofErr w:type="spellStart"/>
      <w:r w:rsidRPr="00795ADF">
        <w:rPr>
          <w:i/>
        </w:rPr>
        <w:t>aplinkybė</w:t>
      </w:r>
      <w:proofErr w:type="spellEnd"/>
      <w:r w:rsidRPr="00795ADF">
        <w:rPr>
          <w:i/>
        </w:rPr>
        <w:t xml:space="preserve">, jog </w:t>
      </w:r>
      <w:proofErr w:type="spellStart"/>
      <w:r w:rsidRPr="00795ADF">
        <w:rPr>
          <w:i/>
        </w:rPr>
        <w:t>ginčo</w:t>
      </w:r>
      <w:proofErr w:type="spellEnd"/>
      <w:r w:rsidRPr="00795ADF">
        <w:rPr>
          <w:i/>
        </w:rPr>
        <w:t xml:space="preserve"> </w:t>
      </w:r>
      <w:proofErr w:type="spellStart"/>
      <w:r w:rsidRPr="00795ADF">
        <w:rPr>
          <w:i/>
        </w:rPr>
        <w:t>šalis</w:t>
      </w:r>
      <w:proofErr w:type="spellEnd"/>
      <w:r w:rsidRPr="00795ADF">
        <w:rPr>
          <w:i/>
        </w:rPr>
        <w:t xml:space="preserve"> </w:t>
      </w:r>
      <w:proofErr w:type="spellStart"/>
      <w:r w:rsidRPr="00795ADF">
        <w:rPr>
          <w:i/>
        </w:rPr>
        <w:t>nesutinka</w:t>
      </w:r>
      <w:proofErr w:type="spellEnd"/>
      <w:r w:rsidRPr="00795ADF">
        <w:rPr>
          <w:i/>
        </w:rPr>
        <w:t xml:space="preserve"> </w:t>
      </w:r>
      <w:proofErr w:type="spellStart"/>
      <w:r w:rsidRPr="00795ADF">
        <w:rPr>
          <w:i/>
        </w:rPr>
        <w:t>su</w:t>
      </w:r>
      <w:proofErr w:type="spellEnd"/>
      <w:r w:rsidRPr="00795ADF">
        <w:rPr>
          <w:i/>
        </w:rPr>
        <w:t xml:space="preserve"> </w:t>
      </w:r>
      <w:proofErr w:type="spellStart"/>
      <w:r w:rsidRPr="00795ADF">
        <w:rPr>
          <w:i/>
        </w:rPr>
        <w:t>pirmosios</w:t>
      </w:r>
      <w:proofErr w:type="spellEnd"/>
      <w:r w:rsidRPr="00795ADF">
        <w:rPr>
          <w:i/>
        </w:rPr>
        <w:t xml:space="preserve"> </w:t>
      </w:r>
      <w:proofErr w:type="spellStart"/>
      <w:r w:rsidRPr="00795ADF">
        <w:rPr>
          <w:i/>
        </w:rPr>
        <w:t>instancijos</w:t>
      </w:r>
      <w:proofErr w:type="spellEnd"/>
      <w:r w:rsidRPr="00795ADF">
        <w:rPr>
          <w:i/>
        </w:rPr>
        <w:t xml:space="preserve"> </w:t>
      </w:r>
      <w:proofErr w:type="spellStart"/>
      <w:r w:rsidRPr="00795ADF">
        <w:rPr>
          <w:i/>
        </w:rPr>
        <w:t>teismo</w:t>
      </w:r>
      <w:proofErr w:type="spellEnd"/>
      <w:r w:rsidRPr="00795ADF">
        <w:rPr>
          <w:i/>
        </w:rPr>
        <w:t xml:space="preserve"> </w:t>
      </w:r>
      <w:proofErr w:type="spellStart"/>
      <w:r w:rsidRPr="00795ADF">
        <w:rPr>
          <w:i/>
        </w:rPr>
        <w:t>pateiktu</w:t>
      </w:r>
      <w:proofErr w:type="spellEnd"/>
      <w:r w:rsidRPr="00795ADF">
        <w:rPr>
          <w:i/>
        </w:rPr>
        <w:t xml:space="preserve"> </w:t>
      </w:r>
      <w:proofErr w:type="spellStart"/>
      <w:r w:rsidRPr="00795ADF">
        <w:rPr>
          <w:i/>
        </w:rPr>
        <w:t>teisės</w:t>
      </w:r>
      <w:proofErr w:type="spellEnd"/>
      <w:r w:rsidRPr="00795ADF">
        <w:rPr>
          <w:i/>
        </w:rPr>
        <w:t xml:space="preserve"> </w:t>
      </w:r>
      <w:proofErr w:type="spellStart"/>
      <w:r w:rsidRPr="00795ADF">
        <w:rPr>
          <w:i/>
        </w:rPr>
        <w:t>aiškinimu</w:t>
      </w:r>
      <w:proofErr w:type="spellEnd"/>
      <w:r w:rsidRPr="00795ADF">
        <w:rPr>
          <w:i/>
        </w:rPr>
        <w:t xml:space="preserve">, </w:t>
      </w:r>
      <w:proofErr w:type="spellStart"/>
      <w:r w:rsidRPr="00795ADF">
        <w:rPr>
          <w:i/>
        </w:rPr>
        <w:t>savaime</w:t>
      </w:r>
      <w:proofErr w:type="spellEnd"/>
      <w:r w:rsidRPr="00795ADF">
        <w:rPr>
          <w:i/>
        </w:rPr>
        <w:t xml:space="preserve"> </w:t>
      </w:r>
      <w:proofErr w:type="spellStart"/>
      <w:r w:rsidRPr="00795ADF">
        <w:rPr>
          <w:i/>
        </w:rPr>
        <w:t>nereiškia</w:t>
      </w:r>
      <w:proofErr w:type="spellEnd"/>
      <w:r w:rsidRPr="00795ADF">
        <w:rPr>
          <w:i/>
        </w:rPr>
        <w:t xml:space="preserve">, jog </w:t>
      </w:r>
      <w:proofErr w:type="spellStart"/>
      <w:r w:rsidRPr="00795ADF">
        <w:rPr>
          <w:i/>
        </w:rPr>
        <w:t>nėra</w:t>
      </w:r>
      <w:proofErr w:type="spellEnd"/>
      <w:r w:rsidRPr="00795ADF">
        <w:rPr>
          <w:i/>
        </w:rPr>
        <w:t xml:space="preserve"> </w:t>
      </w:r>
      <w:proofErr w:type="spellStart"/>
      <w:r w:rsidRPr="00795ADF">
        <w:rPr>
          <w:i/>
        </w:rPr>
        <w:t>aiškus</w:t>
      </w:r>
      <w:proofErr w:type="spellEnd"/>
      <w:r w:rsidRPr="00795ADF">
        <w:rPr>
          <w:i/>
        </w:rPr>
        <w:t xml:space="preserve"> </w:t>
      </w:r>
      <w:proofErr w:type="spellStart"/>
      <w:r w:rsidRPr="00795ADF">
        <w:rPr>
          <w:i/>
        </w:rPr>
        <w:t>Europos</w:t>
      </w:r>
      <w:proofErr w:type="spellEnd"/>
      <w:r w:rsidRPr="00795ADF">
        <w:rPr>
          <w:i/>
        </w:rPr>
        <w:t xml:space="preserve"> </w:t>
      </w:r>
      <w:proofErr w:type="spellStart"/>
      <w:r w:rsidRPr="00795ADF">
        <w:rPr>
          <w:i/>
        </w:rPr>
        <w:t>Sąjungos</w:t>
      </w:r>
      <w:proofErr w:type="spellEnd"/>
      <w:r w:rsidRPr="00795ADF">
        <w:rPr>
          <w:i/>
        </w:rPr>
        <w:t xml:space="preserve"> </w:t>
      </w:r>
      <w:proofErr w:type="spellStart"/>
      <w:r w:rsidRPr="00795ADF">
        <w:rPr>
          <w:i/>
        </w:rPr>
        <w:t>teisės</w:t>
      </w:r>
      <w:proofErr w:type="spellEnd"/>
      <w:r w:rsidRPr="00795ADF">
        <w:rPr>
          <w:i/>
        </w:rPr>
        <w:t xml:space="preserve"> </w:t>
      </w:r>
      <w:proofErr w:type="spellStart"/>
      <w:r w:rsidRPr="00795ADF">
        <w:rPr>
          <w:i/>
        </w:rPr>
        <w:t>turinys</w:t>
      </w:r>
      <w:proofErr w:type="spellEnd"/>
      <w:r w:rsidRPr="00795ADF">
        <w:rPr>
          <w:i/>
        </w:rPr>
        <w:t xml:space="preserve">, </w:t>
      </w:r>
      <w:proofErr w:type="spellStart"/>
      <w:r w:rsidRPr="00795ADF">
        <w:rPr>
          <w:i/>
        </w:rPr>
        <w:t>ir</w:t>
      </w:r>
      <w:proofErr w:type="spellEnd"/>
      <w:r w:rsidRPr="00795ADF">
        <w:rPr>
          <w:i/>
        </w:rPr>
        <w:t xml:space="preserve">, </w:t>
      </w:r>
      <w:proofErr w:type="spellStart"/>
      <w:r w:rsidRPr="00795ADF">
        <w:rPr>
          <w:i/>
        </w:rPr>
        <w:t>atitinkamai</w:t>
      </w:r>
      <w:proofErr w:type="spellEnd"/>
      <w:r w:rsidRPr="00795ADF">
        <w:rPr>
          <w:i/>
        </w:rPr>
        <w:t xml:space="preserve">, </w:t>
      </w:r>
      <w:proofErr w:type="spellStart"/>
      <w:r w:rsidRPr="00795ADF">
        <w:rPr>
          <w:i/>
        </w:rPr>
        <w:t>kad</w:t>
      </w:r>
      <w:proofErr w:type="spellEnd"/>
      <w:r w:rsidRPr="00795ADF">
        <w:rPr>
          <w:i/>
        </w:rPr>
        <w:t xml:space="preserve"> </w:t>
      </w:r>
      <w:proofErr w:type="spellStart"/>
      <w:r w:rsidRPr="00795ADF">
        <w:rPr>
          <w:i/>
        </w:rPr>
        <w:t>yra</w:t>
      </w:r>
      <w:proofErr w:type="spellEnd"/>
      <w:r w:rsidRPr="00795ADF">
        <w:rPr>
          <w:i/>
        </w:rPr>
        <w:t xml:space="preserve"> </w:t>
      </w:r>
      <w:proofErr w:type="spellStart"/>
      <w:r w:rsidRPr="00795ADF">
        <w:rPr>
          <w:i/>
        </w:rPr>
        <w:t>pagrindas</w:t>
      </w:r>
      <w:proofErr w:type="spellEnd"/>
      <w:r w:rsidRPr="00795ADF">
        <w:rPr>
          <w:i/>
        </w:rPr>
        <w:t xml:space="preserve"> </w:t>
      </w:r>
      <w:proofErr w:type="spellStart"/>
      <w:r w:rsidRPr="00795ADF">
        <w:rPr>
          <w:i/>
        </w:rPr>
        <w:t>kreiptis</w:t>
      </w:r>
      <w:proofErr w:type="spellEnd"/>
      <w:r w:rsidRPr="00795ADF">
        <w:rPr>
          <w:i/>
        </w:rPr>
        <w:t xml:space="preserve"> į ESTT </w:t>
      </w:r>
      <w:proofErr w:type="spellStart"/>
      <w:r w:rsidRPr="00795ADF">
        <w:rPr>
          <w:i/>
        </w:rPr>
        <w:t>prejudicinio</w:t>
      </w:r>
      <w:proofErr w:type="spellEnd"/>
      <w:r w:rsidRPr="00795ADF">
        <w:rPr>
          <w:i/>
        </w:rPr>
        <w:t xml:space="preserve"> </w:t>
      </w:r>
      <w:proofErr w:type="spellStart"/>
      <w:r w:rsidRPr="00795ADF">
        <w:rPr>
          <w:i/>
        </w:rPr>
        <w:t>sprendimo</w:t>
      </w:r>
      <w:proofErr w:type="spellEnd"/>
      <w:r>
        <w:t>). The Supreme Administrative Court</w:t>
      </w:r>
      <w:r w:rsidRPr="004A744A">
        <w:t xml:space="preserve"> also held that the application of European Union law was clear enough </w:t>
      </w:r>
      <w:r>
        <w:t xml:space="preserve">in the present case </w:t>
      </w:r>
      <w:r w:rsidRPr="004A744A">
        <w:t xml:space="preserve">and </w:t>
      </w:r>
      <w:r>
        <w:t xml:space="preserve">that </w:t>
      </w:r>
      <w:r w:rsidRPr="004A744A">
        <w:t>there was no need to refer a question to the CJEU for</w:t>
      </w:r>
      <w:r>
        <w:t xml:space="preserve"> a</w:t>
      </w:r>
      <w:r w:rsidRPr="004A744A">
        <w:t xml:space="preserve"> preliminary ruling</w:t>
      </w:r>
      <w:r>
        <w:t xml:space="preserve"> (</w:t>
      </w:r>
      <w:proofErr w:type="spellStart"/>
      <w:r w:rsidRPr="00A95A24">
        <w:rPr>
          <w:i/>
        </w:rPr>
        <w:t>Šio</w:t>
      </w:r>
      <w:proofErr w:type="spellEnd"/>
      <w:r w:rsidRPr="00A95A24">
        <w:rPr>
          <w:i/>
        </w:rPr>
        <w:t xml:space="preserve"> </w:t>
      </w:r>
      <w:proofErr w:type="spellStart"/>
      <w:r w:rsidRPr="00A95A24">
        <w:rPr>
          <w:i/>
        </w:rPr>
        <w:t>ginčo</w:t>
      </w:r>
      <w:proofErr w:type="spellEnd"/>
      <w:r w:rsidRPr="00A95A24">
        <w:rPr>
          <w:i/>
        </w:rPr>
        <w:t xml:space="preserve"> </w:t>
      </w:r>
      <w:proofErr w:type="spellStart"/>
      <w:r w:rsidRPr="00A95A24">
        <w:rPr>
          <w:i/>
        </w:rPr>
        <w:t>apimtyje</w:t>
      </w:r>
      <w:proofErr w:type="spellEnd"/>
      <w:r w:rsidRPr="00A95A24">
        <w:rPr>
          <w:i/>
        </w:rPr>
        <w:t xml:space="preserve"> </w:t>
      </w:r>
      <w:proofErr w:type="spellStart"/>
      <w:r w:rsidRPr="00A95A24">
        <w:rPr>
          <w:i/>
        </w:rPr>
        <w:t>teismui</w:t>
      </w:r>
      <w:proofErr w:type="spellEnd"/>
      <w:r w:rsidRPr="00A95A24">
        <w:rPr>
          <w:i/>
        </w:rPr>
        <w:t xml:space="preserve"> </w:t>
      </w:r>
      <w:proofErr w:type="spellStart"/>
      <w:r w:rsidRPr="00A95A24">
        <w:rPr>
          <w:i/>
        </w:rPr>
        <w:t>nekyla</w:t>
      </w:r>
      <w:proofErr w:type="spellEnd"/>
      <w:r w:rsidRPr="00A95A24">
        <w:rPr>
          <w:i/>
        </w:rPr>
        <w:t xml:space="preserve"> </w:t>
      </w:r>
      <w:proofErr w:type="spellStart"/>
      <w:r w:rsidRPr="00A95A24">
        <w:rPr>
          <w:i/>
        </w:rPr>
        <w:t>neaiškumų</w:t>
      </w:r>
      <w:proofErr w:type="spellEnd"/>
      <w:r w:rsidRPr="00A95A24">
        <w:rPr>
          <w:i/>
        </w:rPr>
        <w:t xml:space="preserve"> </w:t>
      </w:r>
      <w:proofErr w:type="spellStart"/>
      <w:r w:rsidRPr="00A95A24">
        <w:rPr>
          <w:i/>
        </w:rPr>
        <w:t>dėl</w:t>
      </w:r>
      <w:proofErr w:type="spellEnd"/>
      <w:r w:rsidRPr="00A95A24">
        <w:rPr>
          <w:i/>
        </w:rPr>
        <w:t xml:space="preserve"> </w:t>
      </w:r>
      <w:proofErr w:type="spellStart"/>
      <w:r w:rsidRPr="00A95A24">
        <w:rPr>
          <w:i/>
        </w:rPr>
        <w:t>Bendrijos</w:t>
      </w:r>
      <w:proofErr w:type="spellEnd"/>
      <w:r w:rsidRPr="00A95A24">
        <w:rPr>
          <w:i/>
        </w:rPr>
        <w:t xml:space="preserve"> </w:t>
      </w:r>
      <w:proofErr w:type="spellStart"/>
      <w:r w:rsidRPr="00A95A24">
        <w:rPr>
          <w:i/>
        </w:rPr>
        <w:t>muitinės</w:t>
      </w:r>
      <w:proofErr w:type="spellEnd"/>
      <w:r w:rsidRPr="00A95A24">
        <w:rPr>
          <w:i/>
        </w:rPr>
        <w:t xml:space="preserve"> </w:t>
      </w:r>
      <w:proofErr w:type="spellStart"/>
      <w:r w:rsidRPr="00A95A24">
        <w:rPr>
          <w:i/>
        </w:rPr>
        <w:t>kodekso</w:t>
      </w:r>
      <w:proofErr w:type="spellEnd"/>
      <w:r w:rsidRPr="00A95A24">
        <w:rPr>
          <w:i/>
        </w:rPr>
        <w:t xml:space="preserve"> 29-31 </w:t>
      </w:r>
      <w:proofErr w:type="spellStart"/>
      <w:r w:rsidRPr="00A95A24">
        <w:rPr>
          <w:i/>
        </w:rPr>
        <w:t>straipsnių</w:t>
      </w:r>
      <w:proofErr w:type="spellEnd"/>
      <w:r w:rsidRPr="00A95A24">
        <w:rPr>
          <w:i/>
        </w:rPr>
        <w:t xml:space="preserve"> </w:t>
      </w:r>
      <w:proofErr w:type="spellStart"/>
      <w:r w:rsidRPr="00A95A24">
        <w:rPr>
          <w:i/>
        </w:rPr>
        <w:t>taikymo</w:t>
      </w:r>
      <w:proofErr w:type="spellEnd"/>
      <w:r w:rsidRPr="00A95A24">
        <w:rPr>
          <w:i/>
        </w:rPr>
        <w:t xml:space="preserve">, </w:t>
      </w:r>
      <w:proofErr w:type="spellStart"/>
      <w:r w:rsidRPr="00A95A24">
        <w:rPr>
          <w:i/>
        </w:rPr>
        <w:t>todėl</w:t>
      </w:r>
      <w:proofErr w:type="spellEnd"/>
      <w:r w:rsidRPr="00A95A24">
        <w:rPr>
          <w:i/>
        </w:rPr>
        <w:t xml:space="preserve"> </w:t>
      </w:r>
      <w:proofErr w:type="spellStart"/>
      <w:r w:rsidRPr="00A95A24">
        <w:rPr>
          <w:i/>
        </w:rPr>
        <w:t>pareiškėjo</w:t>
      </w:r>
      <w:proofErr w:type="spellEnd"/>
      <w:r w:rsidRPr="00A95A24">
        <w:rPr>
          <w:i/>
        </w:rPr>
        <w:t xml:space="preserve"> </w:t>
      </w:r>
      <w:proofErr w:type="spellStart"/>
      <w:r w:rsidRPr="00A95A24">
        <w:rPr>
          <w:i/>
        </w:rPr>
        <w:t>prašymas</w:t>
      </w:r>
      <w:proofErr w:type="spellEnd"/>
      <w:r w:rsidRPr="00A95A24">
        <w:rPr>
          <w:i/>
        </w:rPr>
        <w:t xml:space="preserve"> </w:t>
      </w:r>
      <w:proofErr w:type="spellStart"/>
      <w:r w:rsidRPr="00A95A24">
        <w:rPr>
          <w:i/>
        </w:rPr>
        <w:t>kreiptis</w:t>
      </w:r>
      <w:proofErr w:type="spellEnd"/>
      <w:r w:rsidRPr="00A95A24">
        <w:rPr>
          <w:i/>
        </w:rPr>
        <w:t xml:space="preserve"> į </w:t>
      </w:r>
      <w:proofErr w:type="spellStart"/>
      <w:r w:rsidRPr="00A95A24">
        <w:rPr>
          <w:i/>
        </w:rPr>
        <w:t>Europos</w:t>
      </w:r>
      <w:proofErr w:type="spellEnd"/>
      <w:r w:rsidRPr="00A95A24">
        <w:rPr>
          <w:i/>
        </w:rPr>
        <w:t xml:space="preserve"> </w:t>
      </w:r>
      <w:proofErr w:type="spellStart"/>
      <w:r w:rsidRPr="00A95A24">
        <w:rPr>
          <w:i/>
        </w:rPr>
        <w:t>Sąjungos</w:t>
      </w:r>
      <w:proofErr w:type="spellEnd"/>
      <w:r w:rsidRPr="00A95A24">
        <w:rPr>
          <w:i/>
        </w:rPr>
        <w:t xml:space="preserve"> </w:t>
      </w:r>
      <w:proofErr w:type="spellStart"/>
      <w:r w:rsidRPr="00A95A24">
        <w:rPr>
          <w:i/>
        </w:rPr>
        <w:t>Teisingumo</w:t>
      </w:r>
      <w:proofErr w:type="spellEnd"/>
      <w:r w:rsidRPr="00A95A24">
        <w:rPr>
          <w:i/>
        </w:rPr>
        <w:t xml:space="preserve"> </w:t>
      </w:r>
      <w:proofErr w:type="spellStart"/>
      <w:r w:rsidRPr="00A95A24">
        <w:rPr>
          <w:i/>
        </w:rPr>
        <w:t>Teismą</w:t>
      </w:r>
      <w:proofErr w:type="spellEnd"/>
      <w:r w:rsidRPr="00A95A24">
        <w:rPr>
          <w:i/>
        </w:rPr>
        <w:t xml:space="preserve"> </w:t>
      </w:r>
      <w:proofErr w:type="spellStart"/>
      <w:r w:rsidRPr="00A95A24">
        <w:rPr>
          <w:i/>
        </w:rPr>
        <w:t>su</w:t>
      </w:r>
      <w:proofErr w:type="spellEnd"/>
      <w:r w:rsidRPr="00A95A24">
        <w:rPr>
          <w:i/>
        </w:rPr>
        <w:t xml:space="preserve"> </w:t>
      </w:r>
      <w:proofErr w:type="spellStart"/>
      <w:r w:rsidRPr="00A95A24">
        <w:rPr>
          <w:i/>
        </w:rPr>
        <w:t>prejudiciniu</w:t>
      </w:r>
      <w:proofErr w:type="spellEnd"/>
      <w:r w:rsidRPr="00A95A24">
        <w:rPr>
          <w:i/>
        </w:rPr>
        <w:t xml:space="preserve"> </w:t>
      </w:r>
      <w:proofErr w:type="spellStart"/>
      <w:r w:rsidRPr="00A95A24">
        <w:rPr>
          <w:i/>
        </w:rPr>
        <w:t>klausimu</w:t>
      </w:r>
      <w:proofErr w:type="spellEnd"/>
      <w:r w:rsidRPr="00A95A24">
        <w:rPr>
          <w:i/>
        </w:rPr>
        <w:t xml:space="preserve"> </w:t>
      </w:r>
      <w:proofErr w:type="spellStart"/>
      <w:r w:rsidRPr="00A95A24">
        <w:rPr>
          <w:i/>
        </w:rPr>
        <w:t>netenkintinas</w:t>
      </w:r>
      <w:proofErr w:type="spellEnd"/>
      <w:r>
        <w:t>)</w:t>
      </w:r>
      <w:r w:rsidRPr="004A744A">
        <w:t>.</w:t>
      </w:r>
      <w:r>
        <w:t xml:space="preserve"> It quoted another of its cases regarding the interpretation of certain provisions of a directive regulating markets in financial instruments,</w:t>
      </w:r>
      <w:r>
        <w:rPr>
          <w:rFonts w:ascii="Arial" w:hAnsi="Arial" w:cs="Arial"/>
          <w:color w:val="545454"/>
        </w:rPr>
        <w:t xml:space="preserve"> </w:t>
      </w:r>
      <w:r>
        <w:t>where it held that the applicant company in that case had failed to indicate specific uncertainties as to the interpretation of that directive and had not indicated why the referral to the CJEU was necessary (case no. A</w:t>
      </w:r>
      <w:r>
        <w:rPr>
          <w:vertAlign w:val="superscript"/>
        </w:rPr>
        <w:t>858</w:t>
      </w:r>
      <w:r>
        <w:t>-48/2011 of 14 </w:t>
      </w:r>
      <w:r w:rsidRPr="000C057B">
        <w:t>April 2011).</w:t>
      </w:r>
    </w:p>
    <w:p w:rsidR="004127B7" w:rsidP="004127B7" w:rsidRDefault="004127B7">
      <w:pPr>
        <w:pStyle w:val="ECHRPara"/>
      </w:pPr>
      <w:r>
        <w:t>17.  In April 2017 the Supreme Administrative Court dismissed a request lodged by the applicant company to reopen the proceedings.</w:t>
      </w:r>
    </w:p>
    <w:p w:rsidRPr="006D0639" w:rsidR="004127B7" w:rsidP="004127B7" w:rsidRDefault="004127B7">
      <w:pPr>
        <w:pStyle w:val="ECHRPara"/>
      </w:pPr>
    </w:p>
    <w:p w:rsidRPr="00237397" w:rsidR="004127B7" w:rsidP="004127B7" w:rsidRDefault="004127B7">
      <w:pPr>
        <w:pStyle w:val="ECHRHeading1"/>
      </w:pPr>
      <w:r w:rsidRPr="0044748A">
        <w:t>II.</w:t>
      </w:r>
      <w:proofErr w:type="gramStart"/>
      <w:r w:rsidRPr="0044748A">
        <w:t>  RELEVANT</w:t>
      </w:r>
      <w:proofErr w:type="gramEnd"/>
      <w:r w:rsidRPr="0044748A">
        <w:t xml:space="preserve"> DOMESTIC LAW AND PRACTICE</w:t>
      </w:r>
    </w:p>
    <w:p w:rsidR="004127B7" w:rsidP="004127B7" w:rsidRDefault="004127B7">
      <w:pPr>
        <w:pStyle w:val="ECHRPara"/>
      </w:pPr>
      <w:bookmarkStart w:name="ABTI" w:id="5"/>
      <w:r>
        <w:t>18</w:t>
      </w:r>
      <w:bookmarkEnd w:id="5"/>
      <w:r>
        <w:t>.  </w:t>
      </w:r>
      <w:r w:rsidRPr="00D052D8">
        <w:t>Article 4 § 3 of the Law on Administrative Proceedings</w:t>
      </w:r>
      <w:r>
        <w:t xml:space="preserve"> provides that in the cases provided for by law a court may refer an issue concerning the interpretation or validity of legal acts of the European Union to the judicial authority of the European Union with a request for a preliminary ruling.</w:t>
      </w:r>
    </w:p>
    <w:p w:rsidR="004127B7" w:rsidP="004127B7" w:rsidRDefault="004127B7">
      <w:pPr>
        <w:pStyle w:val="ECHRPara"/>
      </w:pPr>
      <w:r>
        <w:t>19</w:t>
      </w:r>
      <w:r w:rsidRPr="00B5620B">
        <w:t>.  Government</w:t>
      </w:r>
      <w:r w:rsidRPr="00FB02DB">
        <w:t xml:space="preserve"> Order</w:t>
      </w:r>
      <w:r w:rsidRPr="00B5620B">
        <w:t xml:space="preserve"> </w:t>
      </w:r>
      <w:r w:rsidRPr="00FB02DB">
        <w:t xml:space="preserve">No. 1332 </w:t>
      </w:r>
      <w:r w:rsidRPr="00B5620B">
        <w:t>of</w:t>
      </w:r>
      <w:r w:rsidRPr="00D052D8">
        <w:t xml:space="preserve"> 27 October 2004, </w:t>
      </w:r>
      <w:r w:rsidRPr="0059173D">
        <w:t xml:space="preserve">approving the implementation of the Community Customs Code and </w:t>
      </w:r>
      <w:r>
        <w:t>Regulation No. </w:t>
      </w:r>
      <w:r w:rsidRPr="004B5236">
        <w:t xml:space="preserve">2454/93, provides that </w:t>
      </w:r>
      <w:r w:rsidRPr="00C4795F">
        <w:t>when applying the transaction value method</w:t>
      </w:r>
      <w:r w:rsidRPr="00373665">
        <w:t xml:space="preserve"> of identical and</w:t>
      </w:r>
      <w:r>
        <w:t xml:space="preserve"> similar goods and Article 31 of the Community Customs Code, the customs office must rely on the data in the database of the Customs Department concerning the customs assessment of goods (Point 12).</w:t>
      </w:r>
    </w:p>
    <w:p w:rsidR="004127B7" w:rsidP="004127B7" w:rsidRDefault="004127B7">
      <w:pPr>
        <w:pStyle w:val="ECHRPara"/>
      </w:pPr>
      <w:bookmarkStart w:name="KT" w:id="6"/>
      <w:r>
        <w:t>20</w:t>
      </w:r>
      <w:bookmarkEnd w:id="6"/>
      <w:r>
        <w:t>.  The Constitutional Court has consistently held that the courts had an obligation to examine cases on the basis of equity and objectivity and they had a duty to adopt reasoned and justified deci</w:t>
      </w:r>
      <w:r w:rsidR="00C806AD">
        <w:t>sions (rulings of 15 May and 24 </w:t>
      </w:r>
      <w:r>
        <w:t>October 2007, 21 January 2008, 31 Januar</w:t>
      </w:r>
      <w:r w:rsidR="00C806AD">
        <w:t>y 2011, 25 September 2012 and 8 </w:t>
      </w:r>
      <w:r>
        <w:t>May 2014).</w:t>
      </w:r>
    </w:p>
    <w:p w:rsidR="004127B7" w:rsidP="004127B7" w:rsidRDefault="004127B7">
      <w:pPr>
        <w:pStyle w:val="ECHRPara"/>
      </w:pPr>
      <w:bookmarkStart w:name="LVATcustoms" w:id="7"/>
      <w:r>
        <w:t>21</w:t>
      </w:r>
      <w:bookmarkEnd w:id="7"/>
      <w:r>
        <w:t xml:space="preserve">.  The Supreme Administrative Court held that the interpretation of the national legal provisions on customs implied that the aim of establishing a customs value was to identify the real value of imported goods. If there were doubts as to the transaction value, it was necessary to establish the real value of the goods. If no objective data was submitted by the declarant, the latter was obliged to justify the value of the goods. If the value was not justified and the customs officers were unable to identify circumstances which had an impact on the sale of goods or their price, the customs authority was entitled not to consider the declared value as the customs value (decisions nos. </w:t>
      </w:r>
      <w:proofErr w:type="gramStart"/>
      <w:r>
        <w:t>A</w:t>
      </w:r>
      <w:r>
        <w:rPr>
          <w:vertAlign w:val="superscript"/>
        </w:rPr>
        <w:t>5</w:t>
      </w:r>
      <w:r>
        <w:t>-145/2005; A</w:t>
      </w:r>
      <w:r>
        <w:rPr>
          <w:vertAlign w:val="superscript"/>
        </w:rPr>
        <w:t>756</w:t>
      </w:r>
      <w:r>
        <w:t>-140/2008; A</w:t>
      </w:r>
      <w:r>
        <w:rPr>
          <w:vertAlign w:val="superscript"/>
        </w:rPr>
        <w:t>3</w:t>
      </w:r>
      <w:r>
        <w:t>-1709/2009; A</w:t>
      </w:r>
      <w:r>
        <w:rPr>
          <w:vertAlign w:val="superscript"/>
        </w:rPr>
        <w:t>575</w:t>
      </w:r>
      <w:r w:rsidR="00C806AD">
        <w:noBreakHyphen/>
      </w:r>
      <w:r>
        <w:t>871/2010; A</w:t>
      </w:r>
      <w:r>
        <w:rPr>
          <w:vertAlign w:val="superscript"/>
        </w:rPr>
        <w:t>143</w:t>
      </w:r>
      <w:r>
        <w:t>-2783/2011; and A</w:t>
      </w:r>
      <w:r>
        <w:rPr>
          <w:vertAlign w:val="superscript"/>
        </w:rPr>
        <w:t>442</w:t>
      </w:r>
      <w:r>
        <w:t>-709/2013).</w:t>
      </w:r>
      <w:proofErr w:type="gramEnd"/>
    </w:p>
    <w:p w:rsidRPr="0068441C" w:rsidR="004127B7" w:rsidP="004127B7" w:rsidRDefault="004127B7">
      <w:pPr>
        <w:pStyle w:val="ECHRPara"/>
      </w:pPr>
      <w:bookmarkStart w:name="LVATtransactionvalue" w:id="8"/>
      <w:r>
        <w:t>22</w:t>
      </w:r>
      <w:bookmarkEnd w:id="8"/>
      <w:r>
        <w:t>.  </w:t>
      </w:r>
      <w:r w:rsidRPr="00D82EBD">
        <w:t>An</w:t>
      </w:r>
      <w:r w:rsidRPr="0059173D">
        <w:t xml:space="preserve"> extended panel of judges of the Supreme Administrative Court ruled on </w:t>
      </w:r>
      <w:r w:rsidRPr="00D82EBD">
        <w:t xml:space="preserve">the </w:t>
      </w:r>
      <w:r w:rsidRPr="0059173D">
        <w:t xml:space="preserve">prerequisites to </w:t>
      </w:r>
      <w:r w:rsidRPr="0064124A">
        <w:t>applying the</w:t>
      </w:r>
      <w:r>
        <w:t xml:space="preserve"> </w:t>
      </w:r>
      <w:r w:rsidRPr="0064124A">
        <w:t>transaction value method</w:t>
      </w:r>
      <w:r>
        <w:t xml:space="preserve"> for imported goods and the process</w:t>
      </w:r>
      <w:r w:rsidRPr="00B5620B">
        <w:t xml:space="preserve"> of</w:t>
      </w:r>
      <w:r w:rsidRPr="00373665">
        <w:t xml:space="preserve"> valuation</w:t>
      </w:r>
      <w:r w:rsidRPr="00B5620B">
        <w:t xml:space="preserve"> of</w:t>
      </w:r>
      <w:r>
        <w:t xml:space="preserve"> those goods where</w:t>
      </w:r>
      <w:r w:rsidRPr="0064124A">
        <w:t xml:space="preserve"> the transaction value method was not applicable</w:t>
      </w:r>
      <w:r>
        <w:t xml:space="preserve">. The court referred to relevant provisions of national and </w:t>
      </w:r>
      <w:r w:rsidR="00C806AD">
        <w:t>European Union law and the case</w:t>
      </w:r>
      <w:r w:rsidR="00C806AD">
        <w:noBreakHyphen/>
      </w:r>
      <w:r>
        <w:t xml:space="preserve">law of the CJEU. The court also considered the possibility of referring the question on the interpretation of the European Union rules </w:t>
      </w:r>
      <w:r w:rsidRPr="00D82EBD">
        <w:t xml:space="preserve">on application of the </w:t>
      </w:r>
      <w:r>
        <w:t>process</w:t>
      </w:r>
      <w:r w:rsidRPr="00D82EBD">
        <w:t xml:space="preserve"> </w:t>
      </w:r>
      <w:r>
        <w:t>for</w:t>
      </w:r>
      <w:r w:rsidRPr="00D82EBD">
        <w:t xml:space="preserve"> identify</w:t>
      </w:r>
      <w:r>
        <w:t>ing</w:t>
      </w:r>
      <w:r w:rsidRPr="00D82EBD">
        <w:t xml:space="preserve"> the customs</w:t>
      </w:r>
      <w:r w:rsidRPr="0059173D">
        <w:t xml:space="preserve"> value of </w:t>
      </w:r>
      <w:r>
        <w:t>g</w:t>
      </w:r>
      <w:r w:rsidRPr="0059173D">
        <w:t>oods but it decided</w:t>
      </w:r>
      <w:r>
        <w:t xml:space="preserve">, after considering various legal </w:t>
      </w:r>
      <w:r w:rsidRPr="0059173D">
        <w:t>acts</w:t>
      </w:r>
      <w:r>
        <w:t xml:space="preserve">, that a </w:t>
      </w:r>
      <w:r w:rsidRPr="0059173D">
        <w:t>preliminary ruling was not necessary. More specifically</w:t>
      </w:r>
      <w:r w:rsidR="00C806AD">
        <w:t>, the court interpreted Article </w:t>
      </w:r>
      <w:r w:rsidRPr="0059173D">
        <w:t xml:space="preserve">29 § 1 (b) of the Community Customs Code regulating the condition not to apply the transaction value method for imported goods (decision no. </w:t>
      </w:r>
      <w:proofErr w:type="gramStart"/>
      <w:r w:rsidRPr="0059173D">
        <w:t>A</w:t>
      </w:r>
      <w:r w:rsidRPr="0059173D">
        <w:rPr>
          <w:vertAlign w:val="superscript"/>
        </w:rPr>
        <w:t>442</w:t>
      </w:r>
      <w:r w:rsidRPr="0059173D">
        <w:t>-709/2013).</w:t>
      </w:r>
      <w:proofErr w:type="gramEnd"/>
    </w:p>
    <w:p w:rsidR="004127B7" w:rsidP="004127B7" w:rsidRDefault="00C806AD">
      <w:pPr>
        <w:pStyle w:val="ECHRHeading1"/>
      </w:pPr>
      <w:r>
        <w:t>III.</w:t>
      </w:r>
      <w:proofErr w:type="gramStart"/>
      <w:r>
        <w:t>  </w:t>
      </w:r>
      <w:r w:rsidR="004127B7">
        <w:t>RELEVANT</w:t>
      </w:r>
      <w:proofErr w:type="gramEnd"/>
      <w:r w:rsidR="004127B7">
        <w:t xml:space="preserve"> EUROPEAN UNION LAW AND PRACTICE</w:t>
      </w:r>
    </w:p>
    <w:p w:rsidR="004127B7" w:rsidP="004127B7" w:rsidRDefault="004127B7">
      <w:pPr>
        <w:pStyle w:val="ECHRPara"/>
      </w:pPr>
      <w:bookmarkStart w:name="TFEU267" w:id="9"/>
      <w:r>
        <w:t>23</w:t>
      </w:r>
      <w:bookmarkEnd w:id="9"/>
      <w:r>
        <w:t>.  Article 267 of the Treaty on the Functioning of the European Union provides that the CJEU has jurisdiction to give preliminary rulings concerning the interpretation of the Treaties and the validity and interpretation of acts of the institutions, bodies, offices or agencies of the Union. Where such a question is raised before any court or tribunal of a member State, that court or tribunal may, if it considers that a decision on the question is necessary to enable it to give judgment, request the CJEU to give a ruling thereon. Where any such question is raised in a case pending before a court or tribunal of a member State against whose decisions there is no judicial remedy under national law, that court or tribunal must bring the matter before the CJEU.</w:t>
      </w:r>
    </w:p>
    <w:p w:rsidRPr="002D2E94" w:rsidR="004127B7" w:rsidP="004127B7" w:rsidRDefault="004127B7">
      <w:pPr>
        <w:pStyle w:val="ECHRPara"/>
      </w:pPr>
      <w:r>
        <w:t xml:space="preserve">24.  For relevant case-law of the CJEU on the conditions for preliminary rulings, see </w:t>
      </w:r>
      <w:proofErr w:type="spellStart"/>
      <w:r w:rsidRPr="009813BB">
        <w:rPr>
          <w:i/>
        </w:rPr>
        <w:t>Ullens</w:t>
      </w:r>
      <w:proofErr w:type="spellEnd"/>
      <w:r w:rsidRPr="009813BB">
        <w:rPr>
          <w:i/>
        </w:rPr>
        <w:t xml:space="preserve"> de </w:t>
      </w:r>
      <w:proofErr w:type="spellStart"/>
      <w:r w:rsidRPr="009813BB">
        <w:rPr>
          <w:i/>
        </w:rPr>
        <w:t>Schooten</w:t>
      </w:r>
      <w:proofErr w:type="spellEnd"/>
      <w:r w:rsidRPr="009813BB">
        <w:rPr>
          <w:i/>
        </w:rPr>
        <w:t xml:space="preserve"> and </w:t>
      </w:r>
      <w:proofErr w:type="spellStart"/>
      <w:r w:rsidRPr="009813BB">
        <w:rPr>
          <w:i/>
        </w:rPr>
        <w:t>Rezabek</w:t>
      </w:r>
      <w:proofErr w:type="spellEnd"/>
      <w:r w:rsidRPr="009813BB">
        <w:rPr>
          <w:i/>
        </w:rPr>
        <w:t xml:space="preserve"> v. Belgium</w:t>
      </w:r>
      <w:r>
        <w:t xml:space="preserve"> (</w:t>
      </w:r>
      <w:r w:rsidR="00C806AD">
        <w:t>nos. 3989/07 and </w:t>
      </w:r>
      <w:r w:rsidRPr="009813BB">
        <w:t xml:space="preserve">38353/07, § </w:t>
      </w:r>
      <w:r>
        <w:t>34</w:t>
      </w:r>
      <w:r w:rsidRPr="009813BB">
        <w:t>, 20 September 2011</w:t>
      </w:r>
      <w:r>
        <w:t xml:space="preserve">); </w:t>
      </w:r>
      <w:proofErr w:type="spellStart"/>
      <w:r w:rsidR="00C806AD">
        <w:rPr>
          <w:i/>
          <w:iCs/>
        </w:rPr>
        <w:t>Baydar</w:t>
      </w:r>
      <w:proofErr w:type="spellEnd"/>
      <w:r w:rsidR="00C806AD">
        <w:rPr>
          <w:i/>
          <w:iCs/>
        </w:rPr>
        <w:t xml:space="preserve"> v. </w:t>
      </w:r>
      <w:r w:rsidRPr="00742FE6">
        <w:rPr>
          <w:i/>
          <w:iCs/>
        </w:rPr>
        <w:t>the Netherlands</w:t>
      </w:r>
      <w:r>
        <w:rPr>
          <w:lang w:eastAsia="en-GB"/>
        </w:rPr>
        <w:t xml:space="preserve"> (</w:t>
      </w:r>
      <w:r w:rsidRPr="002D2E94">
        <w:t>no.</w:t>
      </w:r>
      <w:r>
        <w:t> 55385/14</w:t>
      </w:r>
      <w:r>
        <w:rPr>
          <w:lang w:eastAsia="en-GB"/>
        </w:rPr>
        <w:t xml:space="preserve">, </w:t>
      </w:r>
      <w:r>
        <w:rPr>
          <w:snapToGrid w:val="0"/>
        </w:rPr>
        <w:t xml:space="preserve">§§ 23-29, 24 April 2018); and </w:t>
      </w:r>
      <w:proofErr w:type="spellStart"/>
      <w:r w:rsidR="00C806AD">
        <w:rPr>
          <w:i/>
          <w:iCs/>
        </w:rPr>
        <w:t>Somorjai</w:t>
      </w:r>
      <w:proofErr w:type="spellEnd"/>
      <w:r w:rsidR="00C806AD">
        <w:rPr>
          <w:i/>
          <w:iCs/>
        </w:rPr>
        <w:t xml:space="preserve"> v. </w:t>
      </w:r>
      <w:r w:rsidRPr="003D6BD0">
        <w:rPr>
          <w:i/>
          <w:iCs/>
        </w:rPr>
        <w:t>Hungary</w:t>
      </w:r>
      <w:r>
        <w:rPr>
          <w:lang w:eastAsia="en-GB"/>
        </w:rPr>
        <w:t xml:space="preserve"> (</w:t>
      </w:r>
      <w:r>
        <w:t>no. 60934/13</w:t>
      </w:r>
      <w:r>
        <w:rPr>
          <w:lang w:eastAsia="en-GB"/>
        </w:rPr>
        <w:t xml:space="preserve">, </w:t>
      </w:r>
      <w:r w:rsidRPr="00A51049">
        <w:t xml:space="preserve">§ </w:t>
      </w:r>
      <w:r>
        <w:t>39</w:t>
      </w:r>
      <w:r w:rsidRPr="00A51049">
        <w:t>, 2</w:t>
      </w:r>
      <w:r>
        <w:t>8</w:t>
      </w:r>
      <w:r w:rsidRPr="00A51049">
        <w:t xml:space="preserve"> </w:t>
      </w:r>
      <w:r>
        <w:t>August</w:t>
      </w:r>
      <w:r w:rsidRPr="00A51049">
        <w:t xml:space="preserve"> 2018</w:t>
      </w:r>
      <w:r>
        <w:t>).</w:t>
      </w:r>
    </w:p>
    <w:p w:rsidR="004127B7" w:rsidP="004127B7" w:rsidRDefault="004127B7">
      <w:pPr>
        <w:pStyle w:val="ECHRPara"/>
      </w:pPr>
      <w:bookmarkStart w:name="Regulation245493A143" w:id="10"/>
      <w:r>
        <w:t>25</w:t>
      </w:r>
      <w:bookmarkEnd w:id="10"/>
      <w:r>
        <w:t>.  Article 143 (a) and (b) of Regulation No. 2454/93 provides that for the purposes of Articles 29 § 1 (d) and 30 § 2 (c) of the Community Customs Code, persons are deemed to be related only if they are officers or directors of one another</w:t>
      </w:r>
      <w:r w:rsidR="001A1698">
        <w:t>’</w:t>
      </w:r>
      <w:r>
        <w:t>s businesses or they are legally recognised partners in business.</w:t>
      </w:r>
    </w:p>
    <w:p w:rsidR="004127B7" w:rsidP="004127B7" w:rsidRDefault="004127B7">
      <w:pPr>
        <w:pStyle w:val="ECHRPara"/>
      </w:pPr>
      <w:bookmarkStart w:name="CJEUtransactionvalue" w:id="11"/>
      <w:r>
        <w:t>26</w:t>
      </w:r>
      <w:bookmarkEnd w:id="11"/>
      <w:r w:rsidRPr="00C24B1A">
        <w:t>.</w:t>
      </w:r>
      <w:r>
        <w:rPr>
          <w:i/>
        </w:rPr>
        <w:t>  </w:t>
      </w:r>
      <w:r>
        <w:t xml:space="preserve">The CJEU has </w:t>
      </w:r>
      <w:r w:rsidRPr="00CA2808">
        <w:t xml:space="preserve">interpreted the notion of the “transaction value” numerous times (cases of </w:t>
      </w:r>
      <w:proofErr w:type="spellStart"/>
      <w:r w:rsidRPr="00CA2808">
        <w:rPr>
          <w:i/>
        </w:rPr>
        <w:t>Hauptzollamt</w:t>
      </w:r>
      <w:proofErr w:type="spellEnd"/>
      <w:r w:rsidRPr="00CA2808">
        <w:rPr>
          <w:i/>
        </w:rPr>
        <w:t xml:space="preserve"> Hamburg-</w:t>
      </w:r>
      <w:proofErr w:type="spellStart"/>
      <w:r w:rsidRPr="00CA2808">
        <w:rPr>
          <w:i/>
        </w:rPr>
        <w:t>Ericus</w:t>
      </w:r>
      <w:proofErr w:type="spellEnd"/>
      <w:r w:rsidRPr="00CA2808">
        <w:rPr>
          <w:i/>
        </w:rPr>
        <w:t xml:space="preserve"> v. Van </w:t>
      </w:r>
      <w:proofErr w:type="spellStart"/>
      <w:r w:rsidRPr="00CA2808">
        <w:rPr>
          <w:i/>
        </w:rPr>
        <w:t>Houten</w:t>
      </w:r>
      <w:proofErr w:type="spellEnd"/>
      <w:r w:rsidRPr="00CA2808">
        <w:t xml:space="preserve"> (no. </w:t>
      </w:r>
      <w:proofErr w:type="gramStart"/>
      <w:r w:rsidRPr="00CA2808">
        <w:t>C-65/85) of 4 February 198</w:t>
      </w:r>
      <w:r w:rsidRPr="00F0494B">
        <w:t xml:space="preserve">6; </w:t>
      </w:r>
      <w:proofErr w:type="spellStart"/>
      <w:r w:rsidRPr="00CA2808">
        <w:rPr>
          <w:i/>
        </w:rPr>
        <w:t>Dollond</w:t>
      </w:r>
      <w:proofErr w:type="spellEnd"/>
      <w:r w:rsidRPr="00CA2808">
        <w:rPr>
          <w:i/>
        </w:rPr>
        <w:t xml:space="preserve"> &amp; Aitchison Ltd v. Commissioners of Customs &amp; Excise</w:t>
      </w:r>
      <w:r w:rsidRPr="00CA2808">
        <w:t xml:space="preserve"> (no</w:t>
      </w:r>
      <w:r>
        <w:t xml:space="preserve"> C-491/04) of 23 February 2006; </w:t>
      </w:r>
      <w:r w:rsidRPr="0013077C">
        <w:rPr>
          <w:i/>
        </w:rPr>
        <w:t>Compaq Computer International Corporation v</w:t>
      </w:r>
      <w:r>
        <w:rPr>
          <w:i/>
        </w:rPr>
        <w:t>.</w:t>
      </w:r>
      <w:r w:rsidRPr="0013077C">
        <w:rPr>
          <w:i/>
        </w:rPr>
        <w:t xml:space="preserve"> </w:t>
      </w:r>
      <w:proofErr w:type="spellStart"/>
      <w:r w:rsidRPr="0013077C">
        <w:rPr>
          <w:i/>
        </w:rPr>
        <w:t>Inspecteur</w:t>
      </w:r>
      <w:proofErr w:type="spellEnd"/>
      <w:r w:rsidRPr="0013077C">
        <w:rPr>
          <w:i/>
        </w:rPr>
        <w:t xml:space="preserve"> der </w:t>
      </w:r>
      <w:proofErr w:type="spellStart"/>
      <w:r w:rsidRPr="0013077C">
        <w:rPr>
          <w:i/>
        </w:rPr>
        <w:t>Belastingdienst</w:t>
      </w:r>
      <w:proofErr w:type="spellEnd"/>
      <w:r w:rsidRPr="0013077C">
        <w:rPr>
          <w:i/>
        </w:rPr>
        <w:t xml:space="preserve"> - </w:t>
      </w:r>
      <w:proofErr w:type="spellStart"/>
      <w:r w:rsidRPr="0013077C">
        <w:rPr>
          <w:i/>
        </w:rPr>
        <w:t>Douanedistrict</w:t>
      </w:r>
      <w:proofErr w:type="spellEnd"/>
      <w:r w:rsidRPr="0013077C">
        <w:rPr>
          <w:i/>
        </w:rPr>
        <w:t xml:space="preserve"> Arnhem</w:t>
      </w:r>
      <w:r>
        <w:t xml:space="preserve"> (no.</w:t>
      </w:r>
      <w:proofErr w:type="gramEnd"/>
      <w:r>
        <w:t xml:space="preserve"> </w:t>
      </w:r>
      <w:r w:rsidRPr="0064124A">
        <w:rPr>
          <w:lang w:val="it-IT"/>
        </w:rPr>
        <w:t xml:space="preserve">C-306/04) of </w:t>
      </w:r>
      <w:proofErr w:type="gramStart"/>
      <w:r w:rsidRPr="0064124A">
        <w:rPr>
          <w:lang w:val="it-IT"/>
        </w:rPr>
        <w:t>16</w:t>
      </w:r>
      <w:proofErr w:type="gramEnd"/>
      <w:r w:rsidRPr="0064124A">
        <w:rPr>
          <w:lang w:val="it-IT"/>
        </w:rPr>
        <w:t xml:space="preserve"> </w:t>
      </w:r>
      <w:proofErr w:type="spellStart"/>
      <w:r w:rsidRPr="0064124A">
        <w:rPr>
          <w:lang w:val="it-IT"/>
        </w:rPr>
        <w:t>November</w:t>
      </w:r>
      <w:proofErr w:type="spellEnd"/>
      <w:r w:rsidRPr="0064124A">
        <w:rPr>
          <w:lang w:val="it-IT"/>
        </w:rPr>
        <w:t xml:space="preserve"> 2006; and </w:t>
      </w:r>
      <w:r w:rsidRPr="0064124A">
        <w:rPr>
          <w:i/>
          <w:lang w:val="it-IT"/>
        </w:rPr>
        <w:t xml:space="preserve">Carboni e derivati </w:t>
      </w:r>
      <w:proofErr w:type="spellStart"/>
      <w:r w:rsidRPr="0064124A">
        <w:rPr>
          <w:i/>
          <w:lang w:val="it-IT"/>
        </w:rPr>
        <w:t>Srl</w:t>
      </w:r>
      <w:proofErr w:type="spellEnd"/>
      <w:r w:rsidRPr="0064124A">
        <w:rPr>
          <w:i/>
          <w:lang w:val="it-IT"/>
        </w:rPr>
        <w:t xml:space="preserve"> v. </w:t>
      </w:r>
      <w:r w:rsidRPr="00AF533D">
        <w:rPr>
          <w:i/>
          <w:lang w:val="it-IT"/>
        </w:rPr>
        <w:t>Ministero dell</w:t>
      </w:r>
      <w:r w:rsidR="001A1698">
        <w:rPr>
          <w:i/>
          <w:lang w:val="it-IT"/>
        </w:rPr>
        <w:t>’</w:t>
      </w:r>
      <w:r w:rsidRPr="00AF533D">
        <w:rPr>
          <w:i/>
          <w:lang w:val="it-IT"/>
        </w:rPr>
        <w:t xml:space="preserve">Economia e delle Finanze and Riunione Adriatica di Sicurtà </w:t>
      </w:r>
      <w:proofErr w:type="spellStart"/>
      <w:r w:rsidRPr="00AF533D">
        <w:rPr>
          <w:i/>
          <w:lang w:val="it-IT"/>
        </w:rPr>
        <w:t>SpA</w:t>
      </w:r>
      <w:proofErr w:type="spellEnd"/>
      <w:r w:rsidRPr="00AF533D">
        <w:rPr>
          <w:lang w:val="it-IT"/>
        </w:rPr>
        <w:t xml:space="preserve"> (no. </w:t>
      </w:r>
      <w:proofErr w:type="gramStart"/>
      <w:r w:rsidRPr="0064124A">
        <w:t>C-263/06) of 28 February 2008).</w:t>
      </w:r>
      <w:proofErr w:type="gramEnd"/>
    </w:p>
    <w:p w:rsidRPr="00821A62" w:rsidR="004127B7" w:rsidP="004127B7" w:rsidRDefault="004127B7">
      <w:pPr>
        <w:pStyle w:val="ECHRTitle1"/>
      </w:pPr>
      <w:r w:rsidRPr="00821A62">
        <w:t>THE LAW</w:t>
      </w:r>
    </w:p>
    <w:p w:rsidRPr="00301620" w:rsidR="004127B7" w:rsidP="004127B7" w:rsidRDefault="004127B7">
      <w:pPr>
        <w:pStyle w:val="ECHRHeading1"/>
      </w:pPr>
      <w:r w:rsidRPr="001E5163">
        <w:t>I.</w:t>
      </w:r>
      <w:r w:rsidRPr="00821A62">
        <w:t>  </w:t>
      </w:r>
      <w:r w:rsidRPr="00301620">
        <w:t xml:space="preserve">ALLEGED VIOLATION OF ARTICLE </w:t>
      </w:r>
      <w:r>
        <w:t>6 § 1</w:t>
      </w:r>
      <w:r w:rsidRPr="00301620">
        <w:t xml:space="preserve"> OF THE CONVENTION</w:t>
      </w:r>
    </w:p>
    <w:p w:rsidR="004127B7" w:rsidP="004127B7" w:rsidRDefault="004127B7">
      <w:pPr>
        <w:pStyle w:val="ECHRPara"/>
      </w:pPr>
      <w:r>
        <w:t>27</w:t>
      </w:r>
      <w:r w:rsidRPr="00301620">
        <w:t xml:space="preserve">.  The applicant </w:t>
      </w:r>
      <w:r>
        <w:t xml:space="preserve">company </w:t>
      </w:r>
      <w:r w:rsidRPr="00301620">
        <w:t xml:space="preserve">complained that </w:t>
      </w:r>
      <w:r>
        <w:t xml:space="preserve">the Supreme Administrative Court had refused to refer a </w:t>
      </w:r>
      <w:r w:rsidRPr="00BF6080">
        <w:t>question to the CJEU for a preliminary ruling despite its request in that regard,</w:t>
      </w:r>
      <w:r>
        <w:t xml:space="preserve"> and had failed to provide adequate reasons for the refusal, in breach of its right to a fair hearing within the meaning of Article 6 § 1 of the Convention. The relevant part of this provision reads as follows:</w:t>
      </w:r>
    </w:p>
    <w:p w:rsidRPr="002C562F" w:rsidR="004127B7" w:rsidP="004127B7" w:rsidRDefault="004127B7">
      <w:pPr>
        <w:pStyle w:val="ECHRParaQuote"/>
      </w:pPr>
      <w:r w:rsidRPr="00B50960">
        <w:t>“In the determination of</w:t>
      </w:r>
      <w:r>
        <w:t xml:space="preserve"> his civil rights and obligations or of </w:t>
      </w:r>
      <w:r w:rsidRPr="00B50960">
        <w:t>any criminal charge against him, everyone is entitled to a fair ... hearing ... by [a] ... tribunal...”</w:t>
      </w:r>
    </w:p>
    <w:p w:rsidR="004127B7" w:rsidP="004127B7" w:rsidRDefault="004127B7">
      <w:pPr>
        <w:pStyle w:val="ECHRHeading2"/>
      </w:pPr>
      <w:r w:rsidRPr="00301620">
        <w:t>A.  Admissibility</w:t>
      </w:r>
    </w:p>
    <w:p w:rsidR="004127B7" w:rsidP="004127B7" w:rsidRDefault="004127B7">
      <w:pPr>
        <w:pStyle w:val="ECHRHeading3"/>
      </w:pPr>
      <w:r>
        <w:t>1.  Applicability of Article 6 of the Convention</w:t>
      </w:r>
    </w:p>
    <w:p w:rsidRPr="0064124A" w:rsidR="004127B7" w:rsidP="004127B7" w:rsidRDefault="004127B7">
      <w:pPr>
        <w:pStyle w:val="ECHRPara"/>
      </w:pPr>
      <w:r>
        <w:t>28.  </w:t>
      </w:r>
      <w:r w:rsidRPr="00FC49EC">
        <w:t xml:space="preserve">The Court notes that no plea of inadmissibility for incompatibility </w:t>
      </w:r>
      <w:proofErr w:type="spellStart"/>
      <w:r w:rsidRPr="00FC49EC">
        <w:rPr>
          <w:i/>
        </w:rPr>
        <w:t>ratione</w:t>
      </w:r>
      <w:proofErr w:type="spellEnd"/>
      <w:r w:rsidRPr="00FC49EC">
        <w:rPr>
          <w:i/>
        </w:rPr>
        <w:t xml:space="preserve"> </w:t>
      </w:r>
      <w:proofErr w:type="spellStart"/>
      <w:r w:rsidRPr="00FC49EC">
        <w:rPr>
          <w:i/>
        </w:rPr>
        <w:t>materiae</w:t>
      </w:r>
      <w:proofErr w:type="spellEnd"/>
      <w:r w:rsidRPr="00FC49EC">
        <w:t xml:space="preserve"> with the provisions of Article 6 § 1 of the Convention was made by the Government in their observations. However, since this is a matter which goes to the Court</w:t>
      </w:r>
      <w:r w:rsidR="001A1698">
        <w:t>’</w:t>
      </w:r>
      <w:r w:rsidRPr="00FC49EC">
        <w:t xml:space="preserve">s jurisdiction, the Court may examine it of its own motion (see </w:t>
      </w:r>
      <w:proofErr w:type="spellStart"/>
      <w:r w:rsidRPr="0064124A">
        <w:rPr>
          <w:i/>
          <w:iCs/>
        </w:rPr>
        <w:t>Mirovni</w:t>
      </w:r>
      <w:proofErr w:type="spellEnd"/>
      <w:r w:rsidRPr="0064124A">
        <w:rPr>
          <w:i/>
          <w:iCs/>
        </w:rPr>
        <w:t xml:space="preserve"> </w:t>
      </w:r>
      <w:proofErr w:type="spellStart"/>
      <w:r w:rsidRPr="0064124A">
        <w:rPr>
          <w:i/>
          <w:iCs/>
        </w:rPr>
        <w:t>Inštitut</w:t>
      </w:r>
      <w:proofErr w:type="spellEnd"/>
      <w:r w:rsidRPr="0064124A">
        <w:rPr>
          <w:i/>
          <w:iCs/>
        </w:rPr>
        <w:t xml:space="preserve"> v. Slovenia</w:t>
      </w:r>
      <w:r w:rsidRPr="0064124A">
        <w:rPr>
          <w:lang w:eastAsia="en-GB"/>
        </w:rPr>
        <w:t xml:space="preserve">, </w:t>
      </w:r>
      <w:r w:rsidR="00C806AD">
        <w:t>no. </w:t>
      </w:r>
      <w:r w:rsidRPr="0064124A">
        <w:t>32303/13</w:t>
      </w:r>
      <w:r w:rsidRPr="0064124A">
        <w:rPr>
          <w:lang w:eastAsia="en-GB"/>
        </w:rPr>
        <w:t xml:space="preserve">, </w:t>
      </w:r>
      <w:r w:rsidR="00C806AD">
        <w:t>§ </w:t>
      </w:r>
      <w:r w:rsidRPr="0064124A">
        <w:t>27, 13 March 2018).</w:t>
      </w:r>
    </w:p>
    <w:p w:rsidR="004127B7" w:rsidP="004127B7" w:rsidRDefault="004127B7">
      <w:pPr>
        <w:pStyle w:val="ECHRPara"/>
      </w:pPr>
      <w:r>
        <w:t>29.  </w:t>
      </w:r>
      <w:r w:rsidRPr="0064124A">
        <w:t xml:space="preserve">The present case concerns </w:t>
      </w:r>
      <w:proofErr w:type="spellStart"/>
      <w:r>
        <w:rPr>
          <w:lang w:val="lt-LT"/>
        </w:rPr>
        <w:t>tax</w:t>
      </w:r>
      <w:proofErr w:type="spellEnd"/>
      <w:r>
        <w:rPr>
          <w:lang w:val="lt-LT"/>
        </w:rPr>
        <w:t xml:space="preserve"> </w:t>
      </w:r>
      <w:proofErr w:type="spellStart"/>
      <w:r>
        <w:rPr>
          <w:lang w:val="lt-LT"/>
        </w:rPr>
        <w:t>litigation</w:t>
      </w:r>
      <w:proofErr w:type="spellEnd"/>
      <w:r>
        <w:rPr>
          <w:lang w:val="lt-LT"/>
        </w:rPr>
        <w:t xml:space="preserve"> </w:t>
      </w:r>
      <w:proofErr w:type="spellStart"/>
      <w:r>
        <w:rPr>
          <w:lang w:val="lt-LT"/>
        </w:rPr>
        <w:t>in</w:t>
      </w:r>
      <w:proofErr w:type="spellEnd"/>
      <w:r>
        <w:rPr>
          <w:lang w:val="lt-LT"/>
        </w:rPr>
        <w:t xml:space="preserve"> </w:t>
      </w:r>
      <w:proofErr w:type="spellStart"/>
      <w:r>
        <w:rPr>
          <w:lang w:val="lt-LT"/>
        </w:rPr>
        <w:t>which</w:t>
      </w:r>
      <w:proofErr w:type="spellEnd"/>
      <w:r>
        <w:rPr>
          <w:lang w:val="lt-LT"/>
        </w:rPr>
        <w:t xml:space="preserve"> </w:t>
      </w:r>
      <w:proofErr w:type="spellStart"/>
      <w:r>
        <w:rPr>
          <w:lang w:val="lt-LT"/>
        </w:rPr>
        <w:t>the</w:t>
      </w:r>
      <w:proofErr w:type="spellEnd"/>
      <w:r>
        <w:rPr>
          <w:lang w:val="lt-LT"/>
        </w:rPr>
        <w:t xml:space="preserve"> </w:t>
      </w:r>
      <w:proofErr w:type="spellStart"/>
      <w:r>
        <w:rPr>
          <w:lang w:val="lt-LT"/>
        </w:rPr>
        <w:t>applicant</w:t>
      </w:r>
      <w:proofErr w:type="spellEnd"/>
      <w:r>
        <w:rPr>
          <w:lang w:val="lt-LT"/>
        </w:rPr>
        <w:t xml:space="preserve"> </w:t>
      </w:r>
      <w:proofErr w:type="spellStart"/>
      <w:r>
        <w:rPr>
          <w:lang w:val="lt-LT"/>
        </w:rPr>
        <w:t>company</w:t>
      </w:r>
      <w:proofErr w:type="spellEnd"/>
      <w:r>
        <w:rPr>
          <w:lang w:val="lt-LT"/>
        </w:rPr>
        <w:t xml:space="preserve"> </w:t>
      </w:r>
      <w:proofErr w:type="spellStart"/>
      <w:r>
        <w:rPr>
          <w:lang w:val="lt-LT"/>
        </w:rPr>
        <w:t>was</w:t>
      </w:r>
      <w:proofErr w:type="spellEnd"/>
      <w:r>
        <w:rPr>
          <w:lang w:val="lt-LT"/>
        </w:rPr>
        <w:t xml:space="preserve"> </w:t>
      </w:r>
      <w:proofErr w:type="spellStart"/>
      <w:r>
        <w:rPr>
          <w:lang w:val="lt-LT"/>
        </w:rPr>
        <w:t>ordered</w:t>
      </w:r>
      <w:proofErr w:type="spellEnd"/>
      <w:r>
        <w:rPr>
          <w:lang w:val="lt-LT"/>
        </w:rPr>
        <w:t xml:space="preserve"> to </w:t>
      </w:r>
      <w:proofErr w:type="spellStart"/>
      <w:r>
        <w:rPr>
          <w:lang w:val="lt-LT"/>
        </w:rPr>
        <w:t>pay</w:t>
      </w:r>
      <w:proofErr w:type="spellEnd"/>
      <w:r>
        <w:rPr>
          <w:lang w:val="lt-LT"/>
        </w:rPr>
        <w:t xml:space="preserve"> </w:t>
      </w:r>
      <w:proofErr w:type="spellStart"/>
      <w:r>
        <w:rPr>
          <w:lang w:val="lt-LT"/>
        </w:rPr>
        <w:t>customs</w:t>
      </w:r>
      <w:proofErr w:type="spellEnd"/>
      <w:r>
        <w:rPr>
          <w:lang w:val="lt-LT"/>
        </w:rPr>
        <w:t xml:space="preserve"> </w:t>
      </w:r>
      <w:proofErr w:type="spellStart"/>
      <w:r>
        <w:rPr>
          <w:lang w:val="lt-LT"/>
        </w:rPr>
        <w:t>tax</w:t>
      </w:r>
      <w:proofErr w:type="spellEnd"/>
      <w:r>
        <w:rPr>
          <w:lang w:val="lt-LT"/>
        </w:rPr>
        <w:t xml:space="preserve">, </w:t>
      </w:r>
      <w:proofErr w:type="spellStart"/>
      <w:r>
        <w:rPr>
          <w:lang w:val="lt-LT"/>
        </w:rPr>
        <w:t>value</w:t>
      </w:r>
      <w:proofErr w:type="spellEnd"/>
      <w:r>
        <w:rPr>
          <w:lang w:val="lt-LT"/>
        </w:rPr>
        <w:t xml:space="preserve"> </w:t>
      </w:r>
      <w:proofErr w:type="spellStart"/>
      <w:r>
        <w:rPr>
          <w:lang w:val="lt-LT"/>
        </w:rPr>
        <w:t>added</w:t>
      </w:r>
      <w:proofErr w:type="spellEnd"/>
      <w:r>
        <w:rPr>
          <w:lang w:val="lt-LT"/>
        </w:rPr>
        <w:t xml:space="preserve"> </w:t>
      </w:r>
      <w:proofErr w:type="spellStart"/>
      <w:r>
        <w:rPr>
          <w:lang w:val="lt-LT"/>
        </w:rPr>
        <w:t>tax</w:t>
      </w:r>
      <w:proofErr w:type="spellEnd"/>
      <w:r>
        <w:rPr>
          <w:lang w:val="lt-LT"/>
        </w:rPr>
        <w:t xml:space="preserve">, late </w:t>
      </w:r>
      <w:proofErr w:type="spellStart"/>
      <w:r>
        <w:rPr>
          <w:lang w:val="lt-LT"/>
        </w:rPr>
        <w:t>payment</w:t>
      </w:r>
      <w:proofErr w:type="spellEnd"/>
      <w:r>
        <w:rPr>
          <w:lang w:val="lt-LT"/>
        </w:rPr>
        <w:t xml:space="preserve"> </w:t>
      </w:r>
      <w:proofErr w:type="spellStart"/>
      <w:r>
        <w:rPr>
          <w:lang w:val="lt-LT"/>
        </w:rPr>
        <w:t>interest</w:t>
      </w:r>
      <w:proofErr w:type="spellEnd"/>
      <w:r>
        <w:t xml:space="preserve"> and a fine (</w:t>
      </w:r>
      <w:r w:rsidRPr="00822F02">
        <w:t xml:space="preserve">see paragraph </w:t>
      </w:r>
      <w:r>
        <w:t>9</w:t>
      </w:r>
      <w:r w:rsidRPr="00822F02">
        <w:t xml:space="preserve"> above</w:t>
      </w:r>
      <w:r>
        <w:t>). The assessment of tax and the imposition of late payment interests fa</w:t>
      </w:r>
      <w:r w:rsidR="00C806AD">
        <w:t>ll outside the scope of Article </w:t>
      </w:r>
      <w:r>
        <w:t xml:space="preserve">6 under its civil head (see </w:t>
      </w:r>
      <w:proofErr w:type="spellStart"/>
      <w:r w:rsidRPr="009813BB">
        <w:rPr>
          <w:i/>
        </w:rPr>
        <w:t>Ferrazzini</w:t>
      </w:r>
      <w:proofErr w:type="spellEnd"/>
      <w:r w:rsidRPr="009813BB">
        <w:rPr>
          <w:i/>
        </w:rPr>
        <w:t xml:space="preserve"> v. Italy</w:t>
      </w:r>
      <w:r w:rsidR="00C806AD">
        <w:t xml:space="preserve"> [GC], no. 44759/98, § </w:t>
      </w:r>
      <w:r>
        <w:t>29</w:t>
      </w:r>
      <w:r w:rsidRPr="009813BB">
        <w:t>, ECHR 2001</w:t>
      </w:r>
      <w:r w:rsidRPr="009813BB">
        <w:noBreakHyphen/>
        <w:t>VII</w:t>
      </w:r>
      <w:r>
        <w:t xml:space="preserve">; </w:t>
      </w:r>
      <w:proofErr w:type="spellStart"/>
      <w:r w:rsidRPr="009813BB">
        <w:rPr>
          <w:i/>
        </w:rPr>
        <w:t>Impar</w:t>
      </w:r>
      <w:proofErr w:type="spellEnd"/>
      <w:r w:rsidRPr="009813BB">
        <w:rPr>
          <w:i/>
        </w:rPr>
        <w:t xml:space="preserve"> Ltd v. Lithuania</w:t>
      </w:r>
      <w:r w:rsidRPr="009813BB">
        <w:t>, no. 13102/04</w:t>
      </w:r>
      <w:r w:rsidRPr="009813BB">
        <w:rPr>
          <w:snapToGrid w:val="0"/>
        </w:rPr>
        <w:t xml:space="preserve">, § </w:t>
      </w:r>
      <w:r>
        <w:rPr>
          <w:snapToGrid w:val="0"/>
        </w:rPr>
        <w:t>21</w:t>
      </w:r>
      <w:r w:rsidRPr="009813BB">
        <w:rPr>
          <w:snapToGrid w:val="0"/>
        </w:rPr>
        <w:t>, 5 January 2010</w:t>
      </w:r>
      <w:r>
        <w:rPr>
          <w:snapToGrid w:val="0"/>
        </w:rPr>
        <w:t xml:space="preserve">; and </w:t>
      </w:r>
      <w:proofErr w:type="spellStart"/>
      <w:r w:rsidRPr="009813BB">
        <w:rPr>
          <w:i/>
        </w:rPr>
        <w:t>Agurdino</w:t>
      </w:r>
      <w:proofErr w:type="spellEnd"/>
      <w:r w:rsidRPr="009813BB">
        <w:rPr>
          <w:i/>
        </w:rPr>
        <w:t xml:space="preserve"> S.R.L. v. Moldova</w:t>
      </w:r>
      <w:r w:rsidRPr="009813BB">
        <w:t xml:space="preserve">, no. 7359/06, § </w:t>
      </w:r>
      <w:r>
        <w:t>22</w:t>
      </w:r>
      <w:r w:rsidRPr="009813BB">
        <w:t>, 27 September 2011</w:t>
      </w:r>
      <w:r>
        <w:t>). The issue therefore arises whether the proceedings in this case were “criminal” within the autonomous meaning of Article 6 and thus attracted the guarantees of Article 6 under that head.</w:t>
      </w:r>
    </w:p>
    <w:p w:rsidR="004127B7" w:rsidP="004127B7" w:rsidRDefault="004127B7">
      <w:pPr>
        <w:pStyle w:val="ECHRPara"/>
      </w:pPr>
      <w:r>
        <w:t>30.  Having considered the circumstances of the present case, the Court finds that the general character of the legal provisions imposing fines for tax law violations, the purpose of the penalty, which was both deterrent and punitive, as well as its severity, suffice to show th</w:t>
      </w:r>
      <w:r w:rsidR="00C806AD">
        <w:t>at, for the purposes of Article </w:t>
      </w:r>
      <w:r>
        <w:t xml:space="preserve">6 of the Convention, the applicant company was charged with a criminal offence (see, </w:t>
      </w:r>
      <w:r>
        <w:rPr>
          <w:i/>
        </w:rPr>
        <w:t>mutatis mutandis</w:t>
      </w:r>
      <w:r>
        <w:t xml:space="preserve">, </w:t>
      </w:r>
      <w:proofErr w:type="spellStart"/>
      <w:r w:rsidRPr="009813BB">
        <w:rPr>
          <w:i/>
        </w:rPr>
        <w:t>Jussila</w:t>
      </w:r>
      <w:proofErr w:type="spellEnd"/>
      <w:r w:rsidRPr="009813BB">
        <w:rPr>
          <w:i/>
        </w:rPr>
        <w:t xml:space="preserve"> v. Finland</w:t>
      </w:r>
      <w:r>
        <w:t xml:space="preserve"> [GC], no. 73053/01, §§ 30-38</w:t>
      </w:r>
      <w:r w:rsidRPr="009813BB">
        <w:t>, ECHR 2006</w:t>
      </w:r>
      <w:r w:rsidRPr="009813BB">
        <w:noBreakHyphen/>
        <w:t>XIV</w:t>
      </w:r>
      <w:r>
        <w:t xml:space="preserve">, </w:t>
      </w:r>
      <w:proofErr w:type="spellStart"/>
      <w:r w:rsidRPr="005042F7">
        <w:rPr>
          <w:i/>
        </w:rPr>
        <w:t>Impar</w:t>
      </w:r>
      <w:proofErr w:type="spellEnd"/>
      <w:r w:rsidRPr="005042F7">
        <w:rPr>
          <w:i/>
        </w:rPr>
        <w:t xml:space="preserve"> Ltd.</w:t>
      </w:r>
      <w:r w:rsidR="00C806AD">
        <w:t>, cited above, § </w:t>
      </w:r>
      <w:r>
        <w:t xml:space="preserve">22; and </w:t>
      </w:r>
      <w:proofErr w:type="spellStart"/>
      <w:r w:rsidRPr="00137F70">
        <w:rPr>
          <w:i/>
        </w:rPr>
        <w:t>Rikoma</w:t>
      </w:r>
      <w:proofErr w:type="spellEnd"/>
      <w:r w:rsidRPr="00137F70">
        <w:rPr>
          <w:i/>
        </w:rPr>
        <w:t xml:space="preserve"> </w:t>
      </w:r>
      <w:r>
        <w:rPr>
          <w:i/>
        </w:rPr>
        <w:t>Ltd. v. </w:t>
      </w:r>
      <w:r w:rsidRPr="00137F70">
        <w:rPr>
          <w:i/>
        </w:rPr>
        <w:t>Lithuania</w:t>
      </w:r>
      <w:r>
        <w:t xml:space="preserve"> [Co</w:t>
      </w:r>
      <w:r w:rsidR="0009571A">
        <w:t>mmittee], no. 9668/06, § 17, 18 </w:t>
      </w:r>
      <w:r>
        <w:t xml:space="preserve">January 2011). It notes, in this last respect, that the </w:t>
      </w:r>
      <w:r w:rsidR="00C806AD">
        <w:t>fine imposed (approximately EUR </w:t>
      </w:r>
      <w:r>
        <w:t>47,236) was almost as high as the custom</w:t>
      </w:r>
      <w:r w:rsidR="00C806AD">
        <w:t>s tax itself (approximately EUR </w:t>
      </w:r>
      <w:r>
        <w:t>50,106).</w:t>
      </w:r>
    </w:p>
    <w:p w:rsidR="004127B7" w:rsidP="004127B7" w:rsidRDefault="004127B7">
      <w:pPr>
        <w:pStyle w:val="ECHRPara"/>
      </w:pPr>
      <w:r>
        <w:t>It follows that Article 6 applies under its criminal head.</w:t>
      </w:r>
    </w:p>
    <w:p w:rsidRPr="00822F02" w:rsidR="004127B7" w:rsidP="004127B7" w:rsidRDefault="004127B7">
      <w:pPr>
        <w:pStyle w:val="ECHRHeading3"/>
      </w:pPr>
      <w:r>
        <w:t>2.  Other grounds for inadmissibility</w:t>
      </w:r>
    </w:p>
    <w:p w:rsidRPr="00301620" w:rsidR="004127B7" w:rsidP="004127B7" w:rsidRDefault="004127B7">
      <w:pPr>
        <w:pStyle w:val="ECHRPara"/>
      </w:pPr>
      <w:r>
        <w:t>31</w:t>
      </w:r>
      <w:r w:rsidRPr="00301620">
        <w:t xml:space="preserve">.  The Court </w:t>
      </w:r>
      <w:r>
        <w:t xml:space="preserve">furthermore </w:t>
      </w:r>
      <w:r w:rsidRPr="00301620">
        <w:t xml:space="preserve">notes that this </w:t>
      </w:r>
      <w:r w:rsidR="00C806AD">
        <w:t>complaint is not manifestly ill</w:t>
      </w:r>
      <w:r w:rsidR="00C806AD">
        <w:noBreakHyphen/>
      </w:r>
      <w:r w:rsidRPr="00301620">
        <w:t>founded within the meaning of Article 35 § 3 (a) of the Convention. It further notes that it is not inadmissible on any other grounds. It must therefore be declared admissible.</w:t>
      </w:r>
    </w:p>
    <w:p w:rsidR="004127B7" w:rsidP="004127B7" w:rsidRDefault="004127B7">
      <w:pPr>
        <w:pStyle w:val="ECHRHeading2"/>
      </w:pPr>
      <w:r w:rsidRPr="00301620">
        <w:t>B.  Merits</w:t>
      </w:r>
    </w:p>
    <w:p w:rsidRPr="002C562F" w:rsidR="004127B7" w:rsidP="004127B7" w:rsidRDefault="004127B7">
      <w:pPr>
        <w:pStyle w:val="ECHRHeading3"/>
      </w:pPr>
      <w:r w:rsidRPr="00CA2808">
        <w:t>1</w:t>
      </w:r>
      <w:r w:rsidRPr="00CA2808" w:rsidR="00CA2808">
        <w:t>.</w:t>
      </w:r>
      <w:r w:rsidR="00CA2808">
        <w:t>  </w:t>
      </w:r>
      <w:r>
        <w:t>The parties</w:t>
      </w:r>
      <w:r w:rsidR="001A1698">
        <w:t>’</w:t>
      </w:r>
      <w:r>
        <w:t xml:space="preserve"> submissions</w:t>
      </w:r>
    </w:p>
    <w:p w:rsidR="004127B7" w:rsidP="004127B7" w:rsidRDefault="004127B7">
      <w:pPr>
        <w:pStyle w:val="ECHRPara"/>
      </w:pPr>
      <w:r>
        <w:t>32</w:t>
      </w:r>
      <w:r w:rsidRPr="00301620">
        <w:t xml:space="preserve">.  The applicant </w:t>
      </w:r>
      <w:r>
        <w:t>company alleged that the Supreme Administrative Court, as the court of last resort, had had an obligation under Article 267 of the Treaty on the Functioning of the European Union to refer the question to the CJEU (see paragraph 23 above). It had also had a duty to provide reasons for denying the request for a referral to the CJEU. In the applicant company</w:t>
      </w:r>
      <w:r w:rsidR="001A1698">
        <w:t>’</w:t>
      </w:r>
      <w:r>
        <w:t>s view, the application of the European Union law had not been so obvious that there had been no reasonable doubts over the interpretation of certain provisions of the Community Customs Code.</w:t>
      </w:r>
    </w:p>
    <w:p w:rsidR="004127B7" w:rsidP="004127B7" w:rsidRDefault="004127B7">
      <w:pPr>
        <w:pStyle w:val="ECHRPara"/>
      </w:pPr>
      <w:bookmarkStart w:name="para_30" w:id="12"/>
      <w:r>
        <w:t>33</w:t>
      </w:r>
      <w:bookmarkEnd w:id="12"/>
      <w:r>
        <w:t>.  The Government argued that the obligation to give reasons had been fulfilled by the Supreme Administrative Court because the application of European Union law had been so obvious that there had been no scope for any reasonable doubt and the court had not been required to provide more detailed reasoning. The Government also stated that the domestic case-law in the field of customs law was well-developed (</w:t>
      </w:r>
      <w:r w:rsidRPr="00C24B1A">
        <w:t xml:space="preserve">see paragraph </w:t>
      </w:r>
      <w:r>
        <w:t>21</w:t>
      </w:r>
      <w:r w:rsidRPr="00C24B1A">
        <w:t xml:space="preserve"> above</w:t>
      </w:r>
      <w:r>
        <w:t>), that the case-law of the CJEU was clear in that regard (</w:t>
      </w:r>
      <w:r w:rsidR="00C806AD">
        <w:t>see paragraph </w:t>
      </w:r>
      <w:r>
        <w:t>26</w:t>
      </w:r>
      <w:r w:rsidRPr="00C24B1A">
        <w:t xml:space="preserve"> above</w:t>
      </w:r>
      <w:r>
        <w:t xml:space="preserve">) and that the domestic </w:t>
      </w:r>
      <w:r w:rsidRPr="004738DC">
        <w:t>courts were bound</w:t>
      </w:r>
      <w:r>
        <w:t xml:space="preserve"> by it. The Government also submitted that the domestic courts had already considered a request for a preliminary ruling concerning the same legal provisions as in the applicant company</w:t>
      </w:r>
      <w:r w:rsidR="001A1698">
        <w:t>’</w:t>
      </w:r>
      <w:r>
        <w:t>s case and dismissed it (</w:t>
      </w:r>
      <w:r w:rsidRPr="00C24B1A">
        <w:t xml:space="preserve">see paragraph </w:t>
      </w:r>
      <w:r>
        <w:t>22</w:t>
      </w:r>
      <w:r w:rsidRPr="00C24B1A">
        <w:t xml:space="preserve"> above</w:t>
      </w:r>
      <w:r>
        <w:t xml:space="preserve">). Lastly, the </w:t>
      </w:r>
      <w:r w:rsidRPr="004738DC">
        <w:t>Government considered</w:t>
      </w:r>
      <w:r>
        <w:t xml:space="preserve"> that the questions the applicant company had asked to refer to the CJEU had been irrelevant.</w:t>
      </w:r>
    </w:p>
    <w:p w:rsidR="004127B7" w:rsidP="004127B7" w:rsidRDefault="004127B7">
      <w:pPr>
        <w:pStyle w:val="ECHRHeading3"/>
      </w:pPr>
      <w:r w:rsidRPr="00CA2808">
        <w:t>2</w:t>
      </w:r>
      <w:r w:rsidRPr="00CA2808" w:rsidR="00CA2808">
        <w:t>.  </w:t>
      </w:r>
      <w:r w:rsidRPr="00CA2808">
        <w:t>The</w:t>
      </w:r>
      <w:r>
        <w:t xml:space="preserve"> Court</w:t>
      </w:r>
      <w:r w:rsidR="001A1698">
        <w:t>’</w:t>
      </w:r>
      <w:r>
        <w:t>s assessment</w:t>
      </w:r>
    </w:p>
    <w:p w:rsidRPr="00A21314" w:rsidR="004127B7" w:rsidP="004127B7" w:rsidRDefault="00C806AD">
      <w:pPr>
        <w:pStyle w:val="ECHRHeading4"/>
      </w:pPr>
      <w:r>
        <w:t>(a)  </w:t>
      </w:r>
      <w:r w:rsidR="004127B7">
        <w:t>General principles</w:t>
      </w:r>
    </w:p>
    <w:p w:rsidR="004127B7" w:rsidP="004127B7" w:rsidRDefault="004127B7">
      <w:pPr>
        <w:pStyle w:val="ECHRPara"/>
        <w:rPr>
          <w:snapToGrid w:val="0"/>
        </w:rPr>
      </w:pPr>
      <w:r>
        <w:t>34.  The Court reiterates that it is for the national courts to interpret and apply domestic law, if applicable in conformity with EU law, and decide whether it is necessary to seek a preliminary ruling from the CJEU to enable them to give judgment. It reiterates that the Convention does not guarantee, as such, the right to have a case referred by a domestic court to another national court or to the CJEU for a preliminary ruling. The Court has previously observed that this matter is, however, not unconnected to Article 6 § 1 of the Convention, since a domestic court</w:t>
      </w:r>
      <w:r w:rsidR="001A1698">
        <w:t>’</w:t>
      </w:r>
      <w:r>
        <w:t xml:space="preserve">s refusal to grant a referral may, in certain circumstances, infringe the fairness of proceedings where the refusal proves to have been arbitrary. Such a refusal may be deemed arbitrary in cases where the applicable rules </w:t>
      </w:r>
      <w:r w:rsidRPr="00FB02DB">
        <w:t>do not provide for any</w:t>
      </w:r>
      <w:r w:rsidRPr="004B5236">
        <w:t xml:space="preserve"> exceptions</w:t>
      </w:r>
      <w:r>
        <w:t xml:space="preserve"> to the granting of a referral or where the refusal is based on reasons other than those provided for by the rules, or where the refusal was not duly reasoned. Indeed, the right to a reasoned decision serves the general rule enshrined in the Convention which protects the individual from arbitrariness by demonstrating to the parties that they have been heard and obliges the courts to base their decision on objective reasons (see </w:t>
      </w:r>
      <w:proofErr w:type="spellStart"/>
      <w:r w:rsidR="00C806AD">
        <w:rPr>
          <w:i/>
        </w:rPr>
        <w:t>Ullens</w:t>
      </w:r>
      <w:proofErr w:type="spellEnd"/>
      <w:r w:rsidR="00C806AD">
        <w:rPr>
          <w:i/>
        </w:rPr>
        <w:t> de </w:t>
      </w:r>
      <w:proofErr w:type="spellStart"/>
      <w:r w:rsidRPr="009813BB">
        <w:rPr>
          <w:i/>
        </w:rPr>
        <w:t>Schooten</w:t>
      </w:r>
      <w:proofErr w:type="spellEnd"/>
      <w:r w:rsidRPr="009813BB">
        <w:rPr>
          <w:i/>
        </w:rPr>
        <w:t xml:space="preserve"> and </w:t>
      </w:r>
      <w:proofErr w:type="spellStart"/>
      <w:r w:rsidRPr="009813BB">
        <w:rPr>
          <w:i/>
        </w:rPr>
        <w:t>Rezabek</w:t>
      </w:r>
      <w:proofErr w:type="spellEnd"/>
      <w:r w:rsidRPr="009813BB">
        <w:rPr>
          <w:i/>
        </w:rPr>
        <w:t xml:space="preserve"> v. Belgium</w:t>
      </w:r>
      <w:r w:rsidR="00C806AD">
        <w:t>, nos. 3989/07 and </w:t>
      </w:r>
      <w:r w:rsidRPr="009813BB">
        <w:t xml:space="preserve">38353/07, </w:t>
      </w:r>
      <w:r>
        <w:t>§</w:t>
      </w:r>
      <w:r w:rsidR="00C806AD">
        <w:t>§ </w:t>
      </w:r>
      <w:r>
        <w:t>57-59, 20 </w:t>
      </w:r>
      <w:r w:rsidRPr="009813BB">
        <w:t>September 2011</w:t>
      </w:r>
      <w:r>
        <w:t xml:space="preserve">; </w:t>
      </w:r>
      <w:proofErr w:type="spellStart"/>
      <w:r w:rsidRPr="00742FE6">
        <w:rPr>
          <w:i/>
          <w:iCs/>
        </w:rPr>
        <w:t>Baydar</w:t>
      </w:r>
      <w:proofErr w:type="spellEnd"/>
      <w:r w:rsidRPr="00742FE6">
        <w:rPr>
          <w:i/>
          <w:iCs/>
        </w:rPr>
        <w:t xml:space="preserve"> v. the Netherlands</w:t>
      </w:r>
      <w:r>
        <w:rPr>
          <w:lang w:eastAsia="en-GB"/>
        </w:rPr>
        <w:t xml:space="preserve">, </w:t>
      </w:r>
      <w:r w:rsidR="00C806AD">
        <w:t>no. </w:t>
      </w:r>
      <w:r>
        <w:t>55385/14</w:t>
      </w:r>
      <w:r>
        <w:rPr>
          <w:lang w:eastAsia="en-GB"/>
        </w:rPr>
        <w:t xml:space="preserve">, </w:t>
      </w:r>
      <w:r w:rsidR="00C806AD">
        <w:rPr>
          <w:snapToGrid w:val="0"/>
        </w:rPr>
        <w:t>§ </w:t>
      </w:r>
      <w:r>
        <w:rPr>
          <w:snapToGrid w:val="0"/>
        </w:rPr>
        <w:t xml:space="preserve">39, 24 April 2018; and </w:t>
      </w:r>
      <w:proofErr w:type="spellStart"/>
      <w:r>
        <w:rPr>
          <w:i/>
          <w:iCs/>
        </w:rPr>
        <w:t>Somorjai</w:t>
      </w:r>
      <w:proofErr w:type="spellEnd"/>
      <w:r>
        <w:rPr>
          <w:i/>
          <w:iCs/>
        </w:rPr>
        <w:t xml:space="preserve"> v. </w:t>
      </w:r>
      <w:r w:rsidRPr="003D6BD0">
        <w:rPr>
          <w:i/>
          <w:iCs/>
        </w:rPr>
        <w:t>Hungary</w:t>
      </w:r>
      <w:r>
        <w:rPr>
          <w:lang w:eastAsia="en-GB"/>
        </w:rPr>
        <w:t xml:space="preserve">, </w:t>
      </w:r>
      <w:r w:rsidR="00C806AD">
        <w:t>no. </w:t>
      </w:r>
      <w:r>
        <w:t>60934/13</w:t>
      </w:r>
      <w:r>
        <w:rPr>
          <w:lang w:eastAsia="en-GB"/>
        </w:rPr>
        <w:t xml:space="preserve">, </w:t>
      </w:r>
      <w:r w:rsidRPr="00A51049">
        <w:t>§</w:t>
      </w:r>
      <w:r w:rsidR="00C806AD">
        <w:t> </w:t>
      </w:r>
      <w:r>
        <w:t>56</w:t>
      </w:r>
      <w:r w:rsidRPr="00A51049">
        <w:t>, 2</w:t>
      </w:r>
      <w:r>
        <w:t>8 August </w:t>
      </w:r>
      <w:r w:rsidRPr="00A51049">
        <w:t>2018</w:t>
      </w:r>
      <w:r>
        <w:rPr>
          <w:snapToGrid w:val="0"/>
        </w:rPr>
        <w:t>).</w:t>
      </w:r>
    </w:p>
    <w:p w:rsidR="004127B7" w:rsidP="004127B7" w:rsidRDefault="004127B7">
      <w:pPr>
        <w:pStyle w:val="ECHRPara"/>
      </w:pPr>
      <w:r>
        <w:rPr>
          <w:snapToGrid w:val="0"/>
        </w:rPr>
        <w:t xml:space="preserve">35.  The general principles relating to the obligation of reasoning on the national courts against whose decisions there is no remedy under national law and which decide not to refer a question on the interpretation of EU law that has been raised before them to the CJEU for a preliminary ruling, are recapitulated in the case of </w:t>
      </w:r>
      <w:proofErr w:type="spellStart"/>
      <w:r w:rsidR="00C806AD">
        <w:rPr>
          <w:i/>
        </w:rPr>
        <w:t>Dhahbi</w:t>
      </w:r>
      <w:proofErr w:type="spellEnd"/>
      <w:r w:rsidR="00C806AD">
        <w:rPr>
          <w:i/>
        </w:rPr>
        <w:t xml:space="preserve"> v. </w:t>
      </w:r>
      <w:r w:rsidRPr="009813BB">
        <w:rPr>
          <w:i/>
        </w:rPr>
        <w:t>Italy</w:t>
      </w:r>
      <w:r>
        <w:t xml:space="preserve"> (</w:t>
      </w:r>
      <w:r w:rsidR="00C806AD">
        <w:t>no. 17120/09, § </w:t>
      </w:r>
      <w:r>
        <w:t>31</w:t>
      </w:r>
      <w:r w:rsidRPr="009813BB">
        <w:t>, 8</w:t>
      </w:r>
      <w:r>
        <w:t> </w:t>
      </w:r>
      <w:r w:rsidRPr="009813BB">
        <w:t>April 2014</w:t>
      </w:r>
      <w:r>
        <w:t xml:space="preserve">). The gist of those principles is that the courts are obliged, in accordance with the </w:t>
      </w:r>
      <w:proofErr w:type="spellStart"/>
      <w:r w:rsidRPr="004738DC">
        <w:rPr>
          <w:i/>
        </w:rPr>
        <w:t>Cilfit</w:t>
      </w:r>
      <w:proofErr w:type="spellEnd"/>
      <w:r w:rsidR="00C806AD">
        <w:t xml:space="preserve"> case</w:t>
      </w:r>
      <w:r w:rsidR="00C806AD">
        <w:noBreakHyphen/>
      </w:r>
      <w:r>
        <w:t xml:space="preserve">law (see </w:t>
      </w:r>
      <w:proofErr w:type="spellStart"/>
      <w:r w:rsidRPr="00F86247">
        <w:rPr>
          <w:i/>
        </w:rPr>
        <w:t>Somorjai</w:t>
      </w:r>
      <w:proofErr w:type="spellEnd"/>
      <w:r>
        <w:t>, cited above, §§ 3</w:t>
      </w:r>
      <w:r w:rsidR="00C806AD">
        <w:t>9</w:t>
      </w:r>
      <w:r w:rsidR="00C806AD">
        <w:noBreakHyphen/>
      </w:r>
      <w:r>
        <w:t>40), to state the reasons why they have considered it unnecessary to seek a preliminary ruling; in particular, why they have found that the question is irrelevant, that the EU law provisions in question has already been interpreted by the CJEU, or that the correct application of EU law is so obvious as to leave no scope for any reasonable doubt. Whilst the verification of the presence of such reasoning has to be made thoroughly, it is not for the Court to examine any errors that may have been committed by the domestic courts in interpreting or applying the relevant law.</w:t>
      </w:r>
    </w:p>
    <w:p w:rsidR="004127B7" w:rsidP="004127B7" w:rsidRDefault="004127B7">
      <w:pPr>
        <w:pStyle w:val="ECHRPara"/>
      </w:pPr>
      <w:r>
        <w:t>36</w:t>
      </w:r>
      <w:r w:rsidRPr="00822F02">
        <w:t>.  </w:t>
      </w:r>
      <w:r>
        <w:t xml:space="preserve">In principle, the Court has held that where a request to obtain a preliminary ruling was insufficiently pleaded or where such a request was only formulated in broad or general terms, it is acceptable under Article 6 of the Convention for the </w:t>
      </w:r>
      <w:r w:rsidRPr="004B5236">
        <w:t>national superior courts</w:t>
      </w:r>
      <w:r>
        <w:t xml:space="preserve"> to dismiss the complaint by mere reference to the relevant legal provisions governing such complaints if the matter raises no fundamentally important issue (see </w:t>
      </w:r>
      <w:proofErr w:type="spellStart"/>
      <w:r w:rsidRPr="008E2FDE">
        <w:rPr>
          <w:i/>
        </w:rPr>
        <w:t>Baydar</w:t>
      </w:r>
      <w:proofErr w:type="spellEnd"/>
      <w:r>
        <w:t xml:space="preserve">, § 42 and the references therein, and </w:t>
      </w:r>
      <w:proofErr w:type="spellStart"/>
      <w:r w:rsidRPr="00B60F49">
        <w:rPr>
          <w:i/>
        </w:rPr>
        <w:t>Somorjai</w:t>
      </w:r>
      <w:proofErr w:type="spellEnd"/>
      <w:r>
        <w:t>, §§ 59-60, both cited above).</w:t>
      </w:r>
    </w:p>
    <w:p w:rsidR="004127B7" w:rsidP="004127B7" w:rsidRDefault="004127B7">
      <w:pPr>
        <w:pStyle w:val="ECHRPara"/>
      </w:pPr>
      <w:r>
        <w:t>37.  Furthermore, the Court recently found</w:t>
      </w:r>
      <w:r w:rsidRPr="004B5236">
        <w:t xml:space="preserve"> that</w:t>
      </w:r>
      <w:r>
        <w:t xml:space="preserve"> the summary reasoning used by a supreme court to refuse a request for a preliminary ruling was sufficient, pointing out that it followed already from a conclusion reached in another part of that court</w:t>
      </w:r>
      <w:r w:rsidR="001A1698">
        <w:t>’</w:t>
      </w:r>
      <w:r>
        <w:t xml:space="preserve">s judgment that a request to the CJEU for a preliminary ruling was redundant (see </w:t>
      </w:r>
      <w:proofErr w:type="spellStart"/>
      <w:r w:rsidRPr="00521570">
        <w:rPr>
          <w:i/>
        </w:rPr>
        <w:t>Baydar</w:t>
      </w:r>
      <w:proofErr w:type="spellEnd"/>
      <w:r>
        <w:t xml:space="preserve">, cited above, § 43, and the references therein). </w:t>
      </w:r>
      <w:r w:rsidRPr="0029408D">
        <w:t>Moreover, where it is inherent in a judgment in which the appeal in cassation is declared inadmissible or dismissed – by application of a specific provision to that effect – that there is no need to seek a preliminary ruling since the matter does not raise a legal issue which needs to be determined, the Court accept</w:t>
      </w:r>
      <w:r>
        <w:t>s</w:t>
      </w:r>
      <w:r w:rsidRPr="0029408D">
        <w:t xml:space="preserve"> that the summary reasoning contained in such a judgment implie</w:t>
      </w:r>
      <w:r>
        <w:t>s</w:t>
      </w:r>
      <w:r w:rsidRPr="0029408D">
        <w:t xml:space="preserve"> an acknowledgment that a referral to the CJEU could not lead to a different outcome in the case</w:t>
      </w:r>
      <w:r w:rsidR="00211587">
        <w:t xml:space="preserve"> (ibid., §§ 48</w:t>
      </w:r>
      <w:r w:rsidR="00211587">
        <w:noBreakHyphen/>
      </w:r>
      <w:r>
        <w:t>49).</w:t>
      </w:r>
    </w:p>
    <w:p w:rsidR="004127B7" w:rsidP="004127B7" w:rsidRDefault="004127B7">
      <w:pPr>
        <w:pStyle w:val="ECHRPara"/>
      </w:pPr>
      <w:r>
        <w:t xml:space="preserve">38.  In </w:t>
      </w:r>
      <w:proofErr w:type="spellStart"/>
      <w:r w:rsidRPr="009813BB">
        <w:rPr>
          <w:i/>
        </w:rPr>
        <w:t>Ullens</w:t>
      </w:r>
      <w:proofErr w:type="spellEnd"/>
      <w:r w:rsidRPr="009813BB">
        <w:rPr>
          <w:i/>
        </w:rPr>
        <w:t xml:space="preserve"> de </w:t>
      </w:r>
      <w:proofErr w:type="spellStart"/>
      <w:r w:rsidRPr="009813BB">
        <w:rPr>
          <w:i/>
        </w:rPr>
        <w:t>Schooten</w:t>
      </w:r>
      <w:proofErr w:type="spellEnd"/>
      <w:r w:rsidRPr="009813BB">
        <w:rPr>
          <w:i/>
        </w:rPr>
        <w:t xml:space="preserve"> and </w:t>
      </w:r>
      <w:proofErr w:type="spellStart"/>
      <w:r w:rsidRPr="009813BB">
        <w:rPr>
          <w:i/>
        </w:rPr>
        <w:t>Rezabek</w:t>
      </w:r>
      <w:proofErr w:type="spellEnd"/>
      <w:r w:rsidDel="004B5236">
        <w:t xml:space="preserve"> </w:t>
      </w:r>
      <w:r>
        <w:t>(cited above,</w:t>
      </w:r>
      <w:r w:rsidRPr="009813BB">
        <w:t xml:space="preserve"> §</w:t>
      </w:r>
      <w:r>
        <w:t>§</w:t>
      </w:r>
      <w:r w:rsidRPr="009813BB">
        <w:t xml:space="preserve"> </w:t>
      </w:r>
      <w:r>
        <w:t xml:space="preserve">64 and 67) the Court </w:t>
      </w:r>
      <w:r w:rsidRPr="004B5236">
        <w:t>considere</w:t>
      </w:r>
      <w:r w:rsidRPr="00C4795F">
        <w:t>d</w:t>
      </w:r>
      <w:r>
        <w:t xml:space="preserve"> that when comprehensive rea</w:t>
      </w:r>
      <w:r w:rsidR="00211587">
        <w:t>sons with reference to the case</w:t>
      </w:r>
      <w:r w:rsidR="00211587">
        <w:noBreakHyphen/>
      </w:r>
      <w:r>
        <w:t xml:space="preserve">law of the Court of Justice (currently CJEU) explaining that the issue had already been settled by that court </w:t>
      </w:r>
      <w:r w:rsidRPr="00C4795F">
        <w:t>were giv</w:t>
      </w:r>
      <w:r w:rsidR="00211587">
        <w:t>en, the requirements of Article 6 § </w:t>
      </w:r>
      <w:r w:rsidRPr="00C4795F">
        <w:t>1 had been</w:t>
      </w:r>
      <w:r>
        <w:t xml:space="preserve"> respected.</w:t>
      </w:r>
    </w:p>
    <w:p w:rsidR="004127B7" w:rsidP="004127B7" w:rsidRDefault="004127B7">
      <w:pPr>
        <w:pStyle w:val="ECHRPara"/>
      </w:pPr>
      <w:r>
        <w:t xml:space="preserve">39.  Conversely, in </w:t>
      </w:r>
      <w:proofErr w:type="spellStart"/>
      <w:r>
        <w:rPr>
          <w:i/>
        </w:rPr>
        <w:t>Dhahbi</w:t>
      </w:r>
      <w:proofErr w:type="spellEnd"/>
      <w:r>
        <w:rPr>
          <w:i/>
        </w:rPr>
        <w:t xml:space="preserve"> </w:t>
      </w:r>
      <w:r>
        <w:t>(cited above, §§</w:t>
      </w:r>
      <w:r w:rsidR="00211587">
        <w:t xml:space="preserve"> 33</w:t>
      </w:r>
      <w:r w:rsidR="00211587">
        <w:noBreakHyphen/>
      </w:r>
      <w:r>
        <w:t>34) the Court held that where there was no reference to the applicant</w:t>
      </w:r>
      <w:r w:rsidR="001A1698">
        <w:t>’</w:t>
      </w:r>
      <w:r>
        <w:t xml:space="preserve">s request for a preliminary ruling, to the reasons why the Court of Cassation considered that the question raised did not warrant a referral to the CJEU, </w:t>
      </w:r>
      <w:r w:rsidR="00211587">
        <w:t>or to any relevant case</w:t>
      </w:r>
      <w:r w:rsidR="00211587">
        <w:noBreakHyphen/>
      </w:r>
      <w:r w:rsidRPr="003E2842">
        <w:t>law of the CJEU to that effect</w:t>
      </w:r>
      <w:r w:rsidR="00211587">
        <w:t>, Article 6 § </w:t>
      </w:r>
      <w:r>
        <w:t>1 had been breached.</w:t>
      </w:r>
    </w:p>
    <w:p w:rsidR="004127B7" w:rsidP="004127B7" w:rsidRDefault="004127B7">
      <w:pPr>
        <w:pStyle w:val="ECHRHeading4"/>
      </w:pPr>
      <w:r>
        <w:t>(b) Application of general principles to the present case</w:t>
      </w:r>
    </w:p>
    <w:p w:rsidR="004127B7" w:rsidP="004127B7" w:rsidRDefault="004127B7">
      <w:pPr>
        <w:pStyle w:val="ECHRPara"/>
      </w:pPr>
      <w:r>
        <w:t>40.  Turning to the present case, the Court observes that the Vilnius Regional Administrative Court considered that no question as to the interpretation of European Union customs law had arisen and dismissed the applicant company</w:t>
      </w:r>
      <w:r w:rsidR="001A1698">
        <w:t>’</w:t>
      </w:r>
      <w:r>
        <w:t>s request to seek a preliminary ruling from the CJEU in one sentence (see paragraph 14 above). The Supreme Administrative Court dismissed the applicant company</w:t>
      </w:r>
      <w:r w:rsidR="001A1698">
        <w:t>’</w:t>
      </w:r>
      <w:r>
        <w:t>s request to seek a preliminary ruling from the CJEU by stating that the national superior court had no obligation to seek a preliminary ruling from the CJEU if the application of the EU law was obvious. The Supreme Administrative Court considered that there were no such doubts in the applicant company</w:t>
      </w:r>
      <w:r w:rsidR="001A1698">
        <w:t>’</w:t>
      </w:r>
      <w:r>
        <w:t>s case (</w:t>
      </w:r>
      <w:r w:rsidRPr="00C24B1A">
        <w:t>see paragraph</w:t>
      </w:r>
      <w:r w:rsidR="00211587">
        <w:t> </w:t>
      </w:r>
      <w:r>
        <w:t>16</w:t>
      </w:r>
      <w:r w:rsidRPr="00C24B1A">
        <w:t xml:space="preserve"> above).</w:t>
      </w:r>
    </w:p>
    <w:p w:rsidR="004127B7" w:rsidP="004127B7" w:rsidRDefault="004127B7">
      <w:pPr>
        <w:pStyle w:val="ECHRPara"/>
      </w:pPr>
      <w:r>
        <w:t>41.  The Court notes that the applicant company</w:t>
      </w:r>
      <w:r w:rsidR="001A1698">
        <w:t>’</w:t>
      </w:r>
      <w:r>
        <w:t>s request to seek a preliminary ruling from the CJEU was very specific and included six questions (</w:t>
      </w:r>
      <w:r w:rsidRPr="00C24B1A">
        <w:t xml:space="preserve">see paragraph </w:t>
      </w:r>
      <w:r>
        <w:t>15</w:t>
      </w:r>
      <w:r w:rsidRPr="00C24B1A">
        <w:t xml:space="preserve"> above</w:t>
      </w:r>
      <w:r>
        <w:t xml:space="preserve">), thus it was not formulated in broad or general terms (compare and contrast </w:t>
      </w:r>
      <w:proofErr w:type="spellStart"/>
      <w:r w:rsidRPr="00E12ED4">
        <w:rPr>
          <w:i/>
        </w:rPr>
        <w:t>Baydar</w:t>
      </w:r>
      <w:proofErr w:type="spellEnd"/>
      <w:r w:rsidR="00211587">
        <w:t>, § </w:t>
      </w:r>
      <w:r>
        <w:t xml:space="preserve">42 and </w:t>
      </w:r>
      <w:proofErr w:type="spellStart"/>
      <w:r w:rsidRPr="00E12ED4">
        <w:rPr>
          <w:i/>
        </w:rPr>
        <w:t>Somorjai</w:t>
      </w:r>
      <w:proofErr w:type="spellEnd"/>
      <w:r w:rsidR="00211587">
        <w:t>, §§ 59</w:t>
      </w:r>
      <w:r w:rsidR="00211587">
        <w:noBreakHyphen/>
      </w:r>
      <w:r>
        <w:t xml:space="preserve">60, both cited above). Moreover, the Supreme Administrative Court cannot be said to have used summary reasoning (compare and contrast </w:t>
      </w:r>
      <w:proofErr w:type="spellStart"/>
      <w:r w:rsidRPr="00E12ED4">
        <w:rPr>
          <w:i/>
        </w:rPr>
        <w:t>Baydar</w:t>
      </w:r>
      <w:proofErr w:type="spellEnd"/>
      <w:r w:rsidR="00211587">
        <w:t>, cited above, § </w:t>
      </w:r>
      <w:r>
        <w:t xml:space="preserve">43), nor can it be said that it made extensive references to the </w:t>
      </w:r>
      <w:r w:rsidR="00211587">
        <w:t>relevant case</w:t>
      </w:r>
      <w:r w:rsidR="00211587">
        <w:noBreakHyphen/>
      </w:r>
      <w:r>
        <w:t xml:space="preserve">law of the CJEU (compare and contrast </w:t>
      </w:r>
      <w:proofErr w:type="spellStart"/>
      <w:r w:rsidRPr="009813BB">
        <w:rPr>
          <w:i/>
        </w:rPr>
        <w:t>Ullens</w:t>
      </w:r>
      <w:proofErr w:type="spellEnd"/>
      <w:r w:rsidRPr="009813BB">
        <w:rPr>
          <w:i/>
        </w:rPr>
        <w:t xml:space="preserve"> de </w:t>
      </w:r>
      <w:proofErr w:type="spellStart"/>
      <w:r w:rsidRPr="009813BB">
        <w:rPr>
          <w:i/>
        </w:rPr>
        <w:t>Schooten</w:t>
      </w:r>
      <w:proofErr w:type="spellEnd"/>
      <w:r w:rsidRPr="009813BB">
        <w:rPr>
          <w:i/>
        </w:rPr>
        <w:t xml:space="preserve"> and </w:t>
      </w:r>
      <w:proofErr w:type="spellStart"/>
      <w:r w:rsidRPr="009813BB">
        <w:rPr>
          <w:i/>
        </w:rPr>
        <w:t>Rezabek</w:t>
      </w:r>
      <w:proofErr w:type="spellEnd"/>
      <w:r w:rsidRPr="009813BB">
        <w:t>,</w:t>
      </w:r>
      <w:r>
        <w:t xml:space="preserve"> cited above,</w:t>
      </w:r>
      <w:r w:rsidRPr="009813BB">
        <w:t xml:space="preserve"> §</w:t>
      </w:r>
      <w:r>
        <w:t>§</w:t>
      </w:r>
      <w:r w:rsidRPr="009813BB">
        <w:t xml:space="preserve"> </w:t>
      </w:r>
      <w:r>
        <w:t>64-67).</w:t>
      </w:r>
    </w:p>
    <w:p w:rsidR="004127B7" w:rsidP="004127B7" w:rsidRDefault="004127B7">
      <w:pPr>
        <w:pStyle w:val="ECHRPara"/>
      </w:pPr>
      <w:r>
        <w:t xml:space="preserve">42.  The Court notes that the Government </w:t>
      </w:r>
      <w:r w:rsidR="00211587">
        <w:t>provided domestic and CJEU case</w:t>
      </w:r>
      <w:r w:rsidR="00211587">
        <w:noBreakHyphen/>
      </w:r>
      <w:r>
        <w:t>law in the field of customs law and stated that that case</w:t>
      </w:r>
      <w:r w:rsidR="00211587">
        <w:noBreakHyphen/>
      </w:r>
      <w:r>
        <w:t>law was</w:t>
      </w:r>
      <w:r w:rsidR="00211587">
        <w:t xml:space="preserve"> well</w:t>
      </w:r>
      <w:r w:rsidR="00211587">
        <w:noBreakHyphen/>
      </w:r>
      <w:r>
        <w:t xml:space="preserve">developed (see paragraph 33 above). However, the Court observes that none of the national or CJEU case-law referred to by the Government was explicitly mentioned by the Supreme Administrative Court (see paragraph 16 above). </w:t>
      </w:r>
      <w:r w:rsidRPr="003E2842">
        <w:t>It can</w:t>
      </w:r>
      <w:r>
        <w:t>not</w:t>
      </w:r>
      <w:r w:rsidRPr="003E2842">
        <w:t xml:space="preserve"> therefore be considered to have served as a basis for the dismissal of the request for a referral to the CJEU.</w:t>
      </w:r>
      <w:r>
        <w:t xml:space="preserve"> Moreover, the only decision referred to by that court allegedly explaining why the preliminary ruling was not necessary in the applicant company</w:t>
      </w:r>
      <w:r w:rsidR="001A1698">
        <w:t>’</w:t>
      </w:r>
      <w:r>
        <w:t xml:space="preserve">s case concerned </w:t>
      </w:r>
      <w:r w:rsidRPr="00373665">
        <w:t>different legal acts</w:t>
      </w:r>
      <w:r>
        <w:t xml:space="preserve"> in a case in which the applicant company had failed to indicate the specific circumstances why a referral to the CJEU was necessary (</w:t>
      </w:r>
      <w:r w:rsidRPr="00C24B1A">
        <w:t xml:space="preserve">see paragraph </w:t>
      </w:r>
      <w:r>
        <w:t>16</w:t>
      </w:r>
      <w:r w:rsidRPr="00C24B1A">
        <w:t xml:space="preserve"> </w:t>
      </w:r>
      <w:r>
        <w:rPr>
          <w:i/>
        </w:rPr>
        <w:t xml:space="preserve">in fine </w:t>
      </w:r>
      <w:r w:rsidRPr="00C24B1A">
        <w:t>above).</w:t>
      </w:r>
    </w:p>
    <w:p w:rsidR="004127B7" w:rsidP="004127B7" w:rsidRDefault="004127B7">
      <w:pPr>
        <w:pStyle w:val="ECHRPara"/>
      </w:pPr>
      <w:r>
        <w:t>43.  The Court refers to the obligation that, according to the Constitutional Court, Lithuanian courts had to reason their decisions (see paragraph 20 above) and notes that in the circumstances of the present case it is not clear from the reasoning of the Supreme Administrative Court on what specific legal grounds that court considered the application of the EU law to be so obvious that no dou</w:t>
      </w:r>
      <w:r w:rsidRPr="00373665">
        <w:t>bts</w:t>
      </w:r>
      <w:r>
        <w:t xml:space="preserve"> could arise (compare and contrast </w:t>
      </w:r>
      <w:proofErr w:type="spellStart"/>
      <w:r w:rsidRPr="005E538C">
        <w:rPr>
          <w:i/>
        </w:rPr>
        <w:t>Vergauwen</w:t>
      </w:r>
      <w:proofErr w:type="spellEnd"/>
      <w:r w:rsidRPr="005E538C">
        <w:rPr>
          <w:i/>
        </w:rPr>
        <w:t xml:space="preserve"> and Others v. Belgium</w:t>
      </w:r>
      <w:r>
        <w:t xml:space="preserve"> (</w:t>
      </w:r>
      <w:proofErr w:type="spellStart"/>
      <w:r>
        <w:t>dec.</w:t>
      </w:r>
      <w:proofErr w:type="spellEnd"/>
      <w:r>
        <w:t>), no. 4832/04, § 91, 10 April 2012).</w:t>
      </w:r>
    </w:p>
    <w:p w:rsidR="004127B7" w:rsidP="004127B7" w:rsidRDefault="004127B7">
      <w:pPr>
        <w:pStyle w:val="ECHRPara"/>
      </w:pPr>
      <w:r>
        <w:t>44.  There has accordingly been a violation of Article 6 § 1 of the Convention.</w:t>
      </w:r>
    </w:p>
    <w:p w:rsidRPr="00301620" w:rsidR="004127B7" w:rsidP="004127B7" w:rsidRDefault="004127B7">
      <w:pPr>
        <w:pStyle w:val="ECHRHeading1"/>
      </w:pPr>
      <w:r>
        <w:t>II</w:t>
      </w:r>
      <w:r w:rsidRPr="00301620">
        <w:t>.</w:t>
      </w:r>
      <w:proofErr w:type="gramStart"/>
      <w:r w:rsidRPr="00301620">
        <w:t>  </w:t>
      </w:r>
      <w:proofErr w:type="gramEnd"/>
      <w:r w:rsidRPr="00301620">
        <w:t xml:space="preserve">ALLEGED VIOLATION OF ARTICLE </w:t>
      </w:r>
      <w:r w:rsidR="007A1332">
        <w:t>1 OF PROTOCOL N</w:t>
      </w:r>
      <w:r w:rsidR="00F706DE">
        <w:t>o</w:t>
      </w:r>
      <w:bookmarkStart w:name="_GoBack" w:id="13"/>
      <w:bookmarkEnd w:id="13"/>
      <w:r w:rsidR="007A1332">
        <w:t>.</w:t>
      </w:r>
      <w:r>
        <w:t xml:space="preserve"> 1</w:t>
      </w:r>
      <w:r w:rsidRPr="00301620">
        <w:t xml:space="preserve"> </w:t>
      </w:r>
      <w:r>
        <w:t>TO</w:t>
      </w:r>
      <w:r w:rsidRPr="00301620">
        <w:t xml:space="preserve"> THE CONVENTION</w:t>
      </w:r>
    </w:p>
    <w:p w:rsidR="004127B7" w:rsidP="004127B7" w:rsidRDefault="004127B7">
      <w:pPr>
        <w:pStyle w:val="ECHRPara"/>
      </w:pPr>
      <w:r>
        <w:t>45</w:t>
      </w:r>
      <w:r w:rsidRPr="00301620">
        <w:t xml:space="preserve">.  The applicant </w:t>
      </w:r>
      <w:r>
        <w:t xml:space="preserve">company </w:t>
      </w:r>
      <w:r w:rsidRPr="00301620">
        <w:t xml:space="preserve">complained </w:t>
      </w:r>
      <w:r>
        <w:t>that because of the Supreme Administrative Court</w:t>
      </w:r>
      <w:r w:rsidR="001A1698">
        <w:t>’</w:t>
      </w:r>
      <w:r>
        <w:t>s refusal to request a preliminary ruling from the CJEU, it had had to pay various taxes and had been deprived</w:t>
      </w:r>
      <w:r w:rsidRPr="00301620">
        <w:t xml:space="preserve"> </w:t>
      </w:r>
      <w:r>
        <w:t>of EUR </w:t>
      </w:r>
      <w:r w:rsidRPr="005F4232">
        <w:t>638,507</w:t>
      </w:r>
      <w:r>
        <w:t>. It relied on Article 1 of Protocol No. 1, which reads as follows:</w:t>
      </w:r>
    </w:p>
    <w:p w:rsidRPr="001C24F5" w:rsidR="004127B7" w:rsidP="004127B7" w:rsidRDefault="004127B7">
      <w:pPr>
        <w:pStyle w:val="ECHRParaQuote"/>
      </w:pPr>
      <w:r w:rsidRPr="001C24F5">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4127B7" w:rsidP="004127B7" w:rsidRDefault="004127B7">
      <w:pPr>
        <w:pStyle w:val="ECHRParaQuote"/>
      </w:pPr>
      <w:r w:rsidRPr="001C24F5">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4127B7" w:rsidP="004127B7" w:rsidRDefault="00211587">
      <w:pPr>
        <w:pStyle w:val="ECHRHeading2"/>
      </w:pPr>
      <w:r>
        <w:t>A.  </w:t>
      </w:r>
      <w:r w:rsidR="004127B7">
        <w:t>The parties</w:t>
      </w:r>
      <w:r w:rsidR="001A1698">
        <w:t>’</w:t>
      </w:r>
      <w:r w:rsidR="004127B7">
        <w:t xml:space="preserve"> submissions</w:t>
      </w:r>
    </w:p>
    <w:p w:rsidR="004127B7" w:rsidP="004127B7" w:rsidRDefault="004127B7">
      <w:pPr>
        <w:pStyle w:val="ECHRPara"/>
      </w:pPr>
      <w:r>
        <w:t>46.  The applicant company argued that it had had to pay certain taxes and that the domestic authorities had adopted the decision requiring payment without duly clarifying all the relevant circumstances and disregarding its request to seek a preliminary ruling from the CJEU.</w:t>
      </w:r>
    </w:p>
    <w:p w:rsidR="004127B7" w:rsidP="004127B7" w:rsidRDefault="004127B7">
      <w:pPr>
        <w:pStyle w:val="ECHRPara"/>
      </w:pPr>
      <w:r>
        <w:t>47.  The Government submitted that the authorities had directly applied the Community Customs Code and Regulation No. 2454/93 in the present case. They stated that the proper establishment of the customs value of the imported goods had determined the amount of taxes to be paid. In the applicant company</w:t>
      </w:r>
      <w:r w:rsidR="001A1698">
        <w:t>’</w:t>
      </w:r>
      <w:r>
        <w:t xml:space="preserve">s case, the information provided by it </w:t>
      </w:r>
      <w:r w:rsidRPr="00BF6080">
        <w:t>had been insufficient</w:t>
      </w:r>
      <w:r w:rsidRPr="00373665">
        <w:t xml:space="preserve"> for the authorities to</w:t>
      </w:r>
      <w:r w:rsidRPr="00BF6080">
        <w:t xml:space="preserve"> </w:t>
      </w:r>
      <w:r>
        <w:t xml:space="preserve">apply the transaction value </w:t>
      </w:r>
      <w:proofErr w:type="gramStart"/>
      <w:r>
        <w:t>method,</w:t>
      </w:r>
      <w:proofErr w:type="gramEnd"/>
      <w:r>
        <w:t xml:space="preserve"> therefore they had made use of the existing database to establish the customs value of the goods.</w:t>
      </w:r>
    </w:p>
    <w:p w:rsidR="004127B7" w:rsidP="004127B7" w:rsidRDefault="00211587">
      <w:pPr>
        <w:pStyle w:val="ECHRHeading2"/>
      </w:pPr>
      <w:r>
        <w:t>B.  </w:t>
      </w:r>
      <w:r w:rsidR="004127B7">
        <w:t>The Court</w:t>
      </w:r>
      <w:r w:rsidR="001A1698">
        <w:t>’</w:t>
      </w:r>
      <w:r w:rsidR="004127B7">
        <w:t>s assessment</w:t>
      </w:r>
    </w:p>
    <w:p w:rsidR="004127B7" w:rsidP="004127B7" w:rsidRDefault="004127B7">
      <w:pPr>
        <w:pStyle w:val="ECHRPara"/>
      </w:pPr>
      <w:r>
        <w:t xml:space="preserve">48.  The Court observes that the “possessions” which form the object of this complaint are the sum of money imposed as customs tax, late payment interest and a fine, namely EUR </w:t>
      </w:r>
      <w:r w:rsidRPr="005F4232">
        <w:t>638,507</w:t>
      </w:r>
      <w:r>
        <w:t>. It considers that this measure amounts to an interference with the applicant</w:t>
      </w:r>
      <w:r w:rsidR="001A1698">
        <w:t>’</w:t>
      </w:r>
      <w:r>
        <w:t>s right to peaceful enjoyment of its possessions and that Article 1 of Protocol No. 1 is therefore applicable.</w:t>
      </w:r>
    </w:p>
    <w:p w:rsidR="004127B7" w:rsidP="004127B7" w:rsidRDefault="004127B7">
      <w:pPr>
        <w:pStyle w:val="ECHRPara"/>
      </w:pPr>
      <w:r>
        <w:t>49.  The Court notes that the instant case falls to be examined under the second paragraph of Article 1 of Protocol No. 1 to the Convention, as the interference at stake was clearly aimed at “securing the payment of taxes”. In this connection, the Court reiterates that although the State has a wide margin of appreciation in the field of taxation, an instance of interference must strike a “fair balance” between the demands of the general interest of the community and the requirements of the protection of the individual</w:t>
      </w:r>
      <w:r w:rsidR="001A1698">
        <w:t>’</w:t>
      </w:r>
      <w:r>
        <w:t xml:space="preserve">s fundamental rights (see </w:t>
      </w:r>
      <w:proofErr w:type="spellStart"/>
      <w:r w:rsidRPr="00695380">
        <w:rPr>
          <w:i/>
          <w:iCs/>
        </w:rPr>
        <w:t>Euromak</w:t>
      </w:r>
      <w:proofErr w:type="spellEnd"/>
      <w:r w:rsidRPr="00695380">
        <w:rPr>
          <w:i/>
          <w:iCs/>
        </w:rPr>
        <w:t xml:space="preserve"> Metal Doo </w:t>
      </w:r>
      <w:r w:rsidR="0051046C">
        <w:rPr>
          <w:i/>
        </w:rPr>
        <w:t>v. </w:t>
      </w:r>
      <w:r w:rsidRPr="009813BB">
        <w:rPr>
          <w:i/>
        </w:rPr>
        <w:t>the former Yugoslav Republic of Macedonia</w:t>
      </w:r>
      <w:r>
        <w:rPr>
          <w:lang w:eastAsia="en-GB"/>
        </w:rPr>
        <w:t xml:space="preserve">, </w:t>
      </w:r>
      <w:r>
        <w:rPr>
          <w:snapToGrid w:val="0"/>
          <w:lang w:eastAsia="en-GB"/>
        </w:rPr>
        <w:t xml:space="preserve">no. </w:t>
      </w:r>
      <w:r>
        <w:t>68039/14</w:t>
      </w:r>
      <w:r>
        <w:rPr>
          <w:lang w:eastAsia="en-GB"/>
        </w:rPr>
        <w:t xml:space="preserve">, </w:t>
      </w:r>
      <w:r w:rsidRPr="00295887">
        <w:t xml:space="preserve">§ </w:t>
      </w:r>
      <w:r>
        <w:t>42</w:t>
      </w:r>
      <w:r w:rsidRPr="00295887">
        <w:t xml:space="preserve">, </w:t>
      </w:r>
      <w:r>
        <w:t xml:space="preserve">14 June </w:t>
      </w:r>
      <w:r w:rsidRPr="00295887">
        <w:t>2018</w:t>
      </w:r>
      <w:r>
        <w:t xml:space="preserve"> and the references therein).</w:t>
      </w:r>
    </w:p>
    <w:p w:rsidRPr="005F4232" w:rsidR="004127B7" w:rsidP="004127B7" w:rsidRDefault="004127B7">
      <w:pPr>
        <w:pStyle w:val="ECHRPara"/>
      </w:pPr>
      <w:r>
        <w:t>50.  The Court notes that in the instant case the applicant company was obliged to pay customs tax, late payment interest and a fine, which were determined by domestic law. The Court has not found any indication that the applicant</w:t>
      </w:r>
      <w:r w:rsidR="001A1698">
        <w:t>’</w:t>
      </w:r>
      <w:r>
        <w:t xml:space="preserve">s rights under Article 1 of Protocol No. 1 have been violated. It follows that this part of the application must be rejected as being manifestly ill-founded in accordance </w:t>
      </w:r>
      <w:r w:rsidR="0051046C">
        <w:t>with Article </w:t>
      </w:r>
      <w:r>
        <w:t>35 §§</w:t>
      </w:r>
      <w:r w:rsidR="0051046C">
        <w:t> </w:t>
      </w:r>
      <w:r>
        <w:t>3 and 4 of the Convention.</w:t>
      </w:r>
    </w:p>
    <w:p w:rsidRPr="00301620" w:rsidR="004127B7" w:rsidP="004127B7" w:rsidRDefault="004127B7">
      <w:pPr>
        <w:pStyle w:val="ECHRHeading1"/>
      </w:pPr>
      <w:r>
        <w:t>III</w:t>
      </w:r>
      <w:r w:rsidRPr="00301620">
        <w:t>.</w:t>
      </w:r>
      <w:proofErr w:type="gramStart"/>
      <w:r w:rsidRPr="00301620">
        <w:t>  APPLICATION</w:t>
      </w:r>
      <w:proofErr w:type="gramEnd"/>
      <w:r w:rsidRPr="00301620">
        <w:t xml:space="preserve"> OF ARTICLE 41 OF THE CONVENTION</w:t>
      </w:r>
    </w:p>
    <w:p w:rsidRPr="00301620" w:rsidR="004127B7" w:rsidP="004127B7" w:rsidRDefault="004127B7">
      <w:pPr>
        <w:pStyle w:val="ECHRPara"/>
      </w:pPr>
      <w:r>
        <w:t>51</w:t>
      </w:r>
      <w:r w:rsidRPr="00301620">
        <w:t>.  Article 41 of the Convention provides:</w:t>
      </w:r>
    </w:p>
    <w:p w:rsidRPr="00301620" w:rsidR="004127B7" w:rsidP="004127B7" w:rsidRDefault="004127B7">
      <w:pPr>
        <w:pStyle w:val="ECHRParaQuote"/>
        <w:keepNext/>
        <w:keepLines/>
      </w:pPr>
      <w:r w:rsidRPr="0030162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01620" w:rsidR="004127B7" w:rsidP="004127B7" w:rsidRDefault="004127B7">
      <w:pPr>
        <w:pStyle w:val="ECHRHeading2"/>
      </w:pPr>
      <w:r w:rsidRPr="00301620">
        <w:t>A.  Damage</w:t>
      </w:r>
    </w:p>
    <w:p w:rsidRPr="00301620" w:rsidR="004127B7" w:rsidP="004127B7" w:rsidRDefault="004127B7">
      <w:pPr>
        <w:pStyle w:val="ECHRPara"/>
      </w:pPr>
      <w:r>
        <w:t>52</w:t>
      </w:r>
      <w:r w:rsidRPr="00301620">
        <w:t xml:space="preserve">.  The applicant </w:t>
      </w:r>
      <w:r>
        <w:t xml:space="preserve">company </w:t>
      </w:r>
      <w:r w:rsidRPr="00301620">
        <w:t xml:space="preserve">claimed </w:t>
      </w:r>
      <w:r>
        <w:t>20,000</w:t>
      </w:r>
      <w:r w:rsidR="0051046C">
        <w:t xml:space="preserve"> euros (EUR) in respect of non</w:t>
      </w:r>
      <w:r w:rsidR="0051046C">
        <w:noBreakHyphen/>
      </w:r>
      <w:r w:rsidRPr="00301620">
        <w:t>pecuniary damage.</w:t>
      </w:r>
    </w:p>
    <w:p w:rsidRPr="00301620" w:rsidR="004127B7" w:rsidP="004127B7" w:rsidRDefault="004127B7">
      <w:pPr>
        <w:pStyle w:val="ECHRPara"/>
      </w:pPr>
      <w:r>
        <w:t>53</w:t>
      </w:r>
      <w:r w:rsidRPr="00301620">
        <w:t xml:space="preserve">.  The Government </w:t>
      </w:r>
      <w:r>
        <w:t>submitted that the applicant company</w:t>
      </w:r>
      <w:r w:rsidR="001A1698">
        <w:t>’</w:t>
      </w:r>
      <w:r w:rsidR="0051046C">
        <w:t>s claim in respect of non</w:t>
      </w:r>
      <w:r w:rsidR="0051046C">
        <w:noBreakHyphen/>
      </w:r>
      <w:r>
        <w:t>pecuniary damage was excessive and unsubstantiated.</w:t>
      </w:r>
    </w:p>
    <w:p w:rsidRPr="00301620" w:rsidR="004127B7" w:rsidP="004127B7" w:rsidRDefault="004127B7">
      <w:pPr>
        <w:pStyle w:val="ECHRPara"/>
      </w:pPr>
      <w:r>
        <w:t>54</w:t>
      </w:r>
      <w:r w:rsidRPr="00301620">
        <w:t xml:space="preserve">.  The Court </w:t>
      </w:r>
      <w:r>
        <w:t>considers that the applicant company undoubtedly suffered non-pecuniary damage and awards it EUR 2,000 under this head</w:t>
      </w:r>
      <w:r w:rsidRPr="00301620">
        <w:t>.</w:t>
      </w:r>
    </w:p>
    <w:p w:rsidRPr="00301620" w:rsidR="004127B7" w:rsidP="004127B7" w:rsidRDefault="004127B7">
      <w:pPr>
        <w:pStyle w:val="ECHRHeading2"/>
      </w:pPr>
      <w:r w:rsidRPr="00301620">
        <w:t>B.  Costs and expenses</w:t>
      </w:r>
    </w:p>
    <w:p w:rsidRPr="00301620" w:rsidR="004127B7" w:rsidP="004127B7" w:rsidRDefault="004127B7">
      <w:pPr>
        <w:pStyle w:val="ECHRPara"/>
      </w:pPr>
      <w:r>
        <w:t>55</w:t>
      </w:r>
      <w:r w:rsidRPr="00301620">
        <w:t xml:space="preserve">.  The applicant </w:t>
      </w:r>
      <w:r>
        <w:t xml:space="preserve">company </w:t>
      </w:r>
      <w:r w:rsidRPr="00301620">
        <w:t xml:space="preserve">also claimed EUR </w:t>
      </w:r>
      <w:r>
        <w:t>17,961.30</w:t>
      </w:r>
      <w:r w:rsidRPr="00301620">
        <w:t xml:space="preserve"> for the costs and expenses incurred before the domestic courts and the Court.</w:t>
      </w:r>
    </w:p>
    <w:p w:rsidR="004127B7" w:rsidP="004127B7" w:rsidRDefault="004127B7">
      <w:pPr>
        <w:pStyle w:val="ECHRPara"/>
      </w:pPr>
      <w:r>
        <w:t>56</w:t>
      </w:r>
      <w:r w:rsidRPr="00301620">
        <w:t xml:space="preserve">.  The Government </w:t>
      </w:r>
      <w:r>
        <w:t>submitted that the applicant company</w:t>
      </w:r>
      <w:r w:rsidR="001A1698">
        <w:t>’</w:t>
      </w:r>
      <w:r>
        <w:t>s lawyer</w:t>
      </w:r>
      <w:r w:rsidR="001A1698">
        <w:t>’</w:t>
      </w:r>
      <w:r>
        <w:t>s fees were excessive and unsubstantiated. Moreover, the applicant company had failed to submit evidence of the expenses incurred before the Court.</w:t>
      </w:r>
    </w:p>
    <w:p w:rsidRPr="00301620" w:rsidR="004127B7" w:rsidP="004127B7" w:rsidRDefault="004127B7">
      <w:pPr>
        <w:pStyle w:val="ECHRPara"/>
      </w:pPr>
      <w:r>
        <w:t>57</w:t>
      </w:r>
      <w:r w:rsidRPr="00301620">
        <w:t>.  According to the Court</w:t>
      </w:r>
      <w:r w:rsidR="001A1698">
        <w:t>’</w:t>
      </w:r>
      <w:r w:rsidRPr="00301620">
        <w:t xml:space="preserve">s case-law, an applicant is entitled to the reimbursement of costs and expenses only in so far as it has been shown that these have been actually and necessarily incurred and are reasonable as to quantum. </w:t>
      </w:r>
      <w:r>
        <w:t>In the present case, no invoice has been submitted to substantiate the costs and expenses before the Court. Regard</w:t>
      </w:r>
      <w:r w:rsidRPr="00301620">
        <w:t xml:space="preserve"> being had to the documents in its possession and the above criteria, the Court considers it reasonable to award the sum of EUR </w:t>
      </w:r>
      <w:r>
        <w:t xml:space="preserve">1,000 </w:t>
      </w:r>
      <w:r w:rsidRPr="00301620">
        <w:t xml:space="preserve">for </w:t>
      </w:r>
      <w:r>
        <w:t xml:space="preserve">the </w:t>
      </w:r>
      <w:r w:rsidRPr="00301620">
        <w:t>costs and expenses in the domestic</w:t>
      </w:r>
      <w:r>
        <w:t xml:space="preserve"> proceedings</w:t>
      </w:r>
      <w:r w:rsidRPr="00301620">
        <w:t>.</w:t>
      </w:r>
    </w:p>
    <w:p w:rsidRPr="00301620" w:rsidR="004127B7" w:rsidP="004127B7" w:rsidRDefault="004127B7">
      <w:pPr>
        <w:pStyle w:val="ECHRHeading2"/>
      </w:pPr>
      <w:r w:rsidRPr="00301620">
        <w:t>C.  Default interest</w:t>
      </w:r>
    </w:p>
    <w:p w:rsidRPr="00301620" w:rsidR="004127B7" w:rsidP="004127B7" w:rsidRDefault="004127B7">
      <w:pPr>
        <w:pStyle w:val="ECHRPara"/>
      </w:pPr>
      <w:r>
        <w:t>58</w:t>
      </w:r>
      <w:r w:rsidRPr="00301620">
        <w:t>.  The Court considers it appropriate that the default interest rate should be based on the marginal lending rate of the European Central Bank, to which should be added three percentage points.</w:t>
      </w:r>
    </w:p>
    <w:p w:rsidRPr="00301620" w:rsidR="004127B7" w:rsidP="004127B7" w:rsidRDefault="004127B7">
      <w:pPr>
        <w:pStyle w:val="ECHRTitle1"/>
      </w:pPr>
      <w:r w:rsidRPr="00301620">
        <w:t>FOR THESE REASONS, THE COURT, UNANIMOUSLY,</w:t>
      </w:r>
    </w:p>
    <w:p w:rsidRPr="00301620" w:rsidR="004127B7" w:rsidP="004127B7" w:rsidRDefault="004127B7">
      <w:pPr>
        <w:pStyle w:val="JuList"/>
      </w:pPr>
      <w:r w:rsidRPr="00301620">
        <w:t>1.  </w:t>
      </w:r>
      <w:r w:rsidRPr="00301620">
        <w:rPr>
          <w:i/>
        </w:rPr>
        <w:t>Declares</w:t>
      </w:r>
      <w:r w:rsidRPr="00301620">
        <w:t xml:space="preserve"> the </w:t>
      </w:r>
      <w:r>
        <w:t>complaint under Article 6 § 1</w:t>
      </w:r>
      <w:r w:rsidRPr="00301620">
        <w:t xml:space="preserve"> admissible</w:t>
      </w:r>
      <w:r>
        <w:t xml:space="preserve"> and the remainder of the application inadmissible</w:t>
      </w:r>
      <w:r w:rsidRPr="00301620">
        <w:t>;</w:t>
      </w:r>
    </w:p>
    <w:p w:rsidRPr="00301620" w:rsidR="004127B7" w:rsidP="004127B7" w:rsidRDefault="004127B7">
      <w:pPr>
        <w:pStyle w:val="JuList"/>
        <w:ind w:left="0" w:firstLine="0"/>
      </w:pPr>
    </w:p>
    <w:p w:rsidRPr="00301620" w:rsidR="004127B7" w:rsidP="004127B7" w:rsidRDefault="004127B7">
      <w:pPr>
        <w:pStyle w:val="JuList"/>
      </w:pPr>
      <w:r>
        <w:t>2</w:t>
      </w:r>
      <w:r w:rsidRPr="00301620">
        <w:t>.  </w:t>
      </w:r>
      <w:r w:rsidRPr="00301620">
        <w:rPr>
          <w:i/>
        </w:rPr>
        <w:t>Holds</w:t>
      </w:r>
      <w:r w:rsidRPr="00301620">
        <w:t xml:space="preserve"> that there has been a violation of Article </w:t>
      </w:r>
      <w:r>
        <w:t>6 § 1</w:t>
      </w:r>
      <w:r w:rsidRPr="00301620">
        <w:t xml:space="preserve"> of the Convention;</w:t>
      </w:r>
    </w:p>
    <w:p w:rsidRPr="00301620" w:rsidR="004127B7" w:rsidP="004127B7" w:rsidRDefault="004127B7">
      <w:pPr>
        <w:pStyle w:val="JuList"/>
      </w:pPr>
    </w:p>
    <w:p w:rsidRPr="00301620" w:rsidR="004127B7" w:rsidP="004127B7" w:rsidRDefault="004127B7">
      <w:pPr>
        <w:pStyle w:val="JuList"/>
      </w:pPr>
      <w:r>
        <w:t>3</w:t>
      </w:r>
      <w:r w:rsidRPr="00301620">
        <w:t>.  </w:t>
      </w:r>
      <w:r w:rsidRPr="00301620">
        <w:rPr>
          <w:i/>
        </w:rPr>
        <w:t>Holds</w:t>
      </w:r>
    </w:p>
    <w:p w:rsidRPr="00301620" w:rsidR="004127B7" w:rsidP="004127B7" w:rsidRDefault="004127B7">
      <w:pPr>
        <w:pStyle w:val="JuLista"/>
      </w:pPr>
      <w:r w:rsidRPr="00301620">
        <w:t>(a)  </w:t>
      </w:r>
      <w:proofErr w:type="gramStart"/>
      <w:r w:rsidRPr="00301620">
        <w:t>that</w:t>
      </w:r>
      <w:proofErr w:type="gramEnd"/>
      <w:r w:rsidRPr="00301620">
        <w:t xml:space="preserve"> the respondent State is to pay the applicant</w:t>
      </w:r>
      <w:r>
        <w:t xml:space="preserve"> company</w:t>
      </w:r>
      <w:r w:rsidRPr="00301620">
        <w:t>, within three months, the following amounts:</w:t>
      </w:r>
    </w:p>
    <w:p w:rsidRPr="00301620" w:rsidR="004127B7" w:rsidP="004127B7" w:rsidRDefault="004127B7">
      <w:pPr>
        <w:pStyle w:val="JuListi"/>
      </w:pPr>
      <w:r w:rsidRPr="00301620">
        <w:t>(</w:t>
      </w:r>
      <w:proofErr w:type="spellStart"/>
      <w:r w:rsidRPr="00301620">
        <w:t>i</w:t>
      </w:r>
      <w:proofErr w:type="spellEnd"/>
      <w:r w:rsidRPr="00301620">
        <w:t xml:space="preserve">)  EUR </w:t>
      </w:r>
      <w:r>
        <w:t>2,000</w:t>
      </w:r>
      <w:r w:rsidRPr="00301620">
        <w:t xml:space="preserve"> (</w:t>
      </w:r>
      <w:r>
        <w:t xml:space="preserve">two thousand </w:t>
      </w:r>
      <w:r w:rsidRPr="00301620">
        <w:t xml:space="preserve">euros), plus any tax that may be chargeable, in </w:t>
      </w:r>
      <w:r w:rsidR="0051046C">
        <w:t>respect of non</w:t>
      </w:r>
      <w:r w:rsidR="0051046C">
        <w:noBreakHyphen/>
      </w:r>
      <w:r w:rsidRPr="00301620">
        <w:t>pecuniary damage;</w:t>
      </w:r>
    </w:p>
    <w:p w:rsidRPr="00301620" w:rsidR="004127B7" w:rsidP="004127B7" w:rsidRDefault="004127B7">
      <w:pPr>
        <w:pStyle w:val="JuListi"/>
      </w:pPr>
      <w:r>
        <w:t>(ii</w:t>
      </w:r>
      <w:r w:rsidRPr="00301620">
        <w:t xml:space="preserve">)  EUR </w:t>
      </w:r>
      <w:r>
        <w:t>1,000</w:t>
      </w:r>
      <w:r w:rsidRPr="00301620">
        <w:t xml:space="preserve"> (</w:t>
      </w:r>
      <w:r>
        <w:t>one thousand</w:t>
      </w:r>
      <w:r w:rsidRPr="00301620">
        <w:t xml:space="preserve"> euros), plus any tax that may be chargeable to the applicant</w:t>
      </w:r>
      <w:r>
        <w:t xml:space="preserve"> company</w:t>
      </w:r>
      <w:r w:rsidRPr="00301620">
        <w:t>, in respect of costs and expenses;</w:t>
      </w:r>
    </w:p>
    <w:p w:rsidRPr="00301620" w:rsidR="004127B7" w:rsidP="004127B7" w:rsidRDefault="004127B7">
      <w:pPr>
        <w:pStyle w:val="JuLista"/>
      </w:pPr>
      <w:r w:rsidRPr="00301620">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301620" w:rsidR="004127B7" w:rsidP="004127B7" w:rsidRDefault="004127B7">
      <w:pPr>
        <w:pStyle w:val="JuList"/>
      </w:pPr>
    </w:p>
    <w:p w:rsidRPr="00085457" w:rsidR="004D0EC7" w:rsidP="004127B7" w:rsidRDefault="004127B7">
      <w:pPr>
        <w:pStyle w:val="ECHRPara"/>
      </w:pPr>
      <w:r>
        <w:t>4</w:t>
      </w:r>
      <w:r w:rsidRPr="00301620">
        <w:t>.  </w:t>
      </w:r>
      <w:r w:rsidRPr="00301620">
        <w:rPr>
          <w:i/>
        </w:rPr>
        <w:t>Dismisses</w:t>
      </w:r>
      <w:r w:rsidRPr="00301620">
        <w:t xml:space="preserve"> the remainder of the applicant</w:t>
      </w:r>
      <w:r>
        <w:t xml:space="preserve"> company</w:t>
      </w:r>
      <w:r w:rsidR="001A1698">
        <w:t>’</w:t>
      </w:r>
      <w:r w:rsidRPr="00301620">
        <w:t>s claim for just satisfaction.</w:t>
      </w:r>
    </w:p>
    <w:p w:rsidRPr="00085457" w:rsidR="008E3A08" w:rsidP="007E2C8C" w:rsidRDefault="007E2C8C">
      <w:pPr>
        <w:pStyle w:val="JuParaLast"/>
      </w:pPr>
      <w:r w:rsidRPr="00085457">
        <w:t xml:space="preserve">Done in English, and notified in writing on </w:t>
      </w:r>
      <w:r w:rsidRPr="00CA2808" w:rsidR="004127B7">
        <w:rPr>
          <w:rFonts w:ascii="Times New Roman" w:hAnsi="Times New Roman" w:cs="Times New Roman"/>
        </w:rPr>
        <w:t>16 April 2019</w:t>
      </w:r>
      <w:r w:rsidRPr="00085457">
        <w:t>, pursuant to Rule 77 §§ 2 and 3 of the Rules of Court.</w:t>
      </w:r>
    </w:p>
    <w:p w:rsidRPr="001A1698" w:rsidR="001C055B" w:rsidP="00FE6854" w:rsidRDefault="00FE6854">
      <w:pPr>
        <w:pStyle w:val="JuSigned"/>
        <w:tabs>
          <w:tab w:val="clear" w:pos="6407"/>
          <w:tab w:val="center" w:pos="6096"/>
        </w:tabs>
        <w:rPr>
          <w:lang w:val="es-ES_tradnl"/>
        </w:rPr>
      </w:pPr>
      <w:r>
        <w:tab/>
      </w:r>
      <w:r w:rsidRPr="001A1698" w:rsidR="004127B7">
        <w:rPr>
          <w:lang w:val="es-ES_tradnl"/>
        </w:rPr>
        <w:t>Andrea Tamietti</w:t>
      </w:r>
      <w:r w:rsidRPr="001A1698" w:rsidR="005879A2">
        <w:rPr>
          <w:lang w:val="es-ES_tradnl"/>
        </w:rPr>
        <w:t xml:space="preserve"> </w:t>
      </w:r>
      <w:r w:rsidRPr="001A1698" w:rsidR="009F4C8F">
        <w:rPr>
          <w:lang w:val="es-ES_tradnl"/>
        </w:rPr>
        <w:tab/>
      </w:r>
      <w:r w:rsidRPr="001A1698" w:rsidR="004127B7">
        <w:rPr>
          <w:szCs w:val="24"/>
          <w:lang w:val="es-ES_tradnl"/>
        </w:rPr>
        <w:t>Paulo Pinto de Albuquerque</w:t>
      </w:r>
      <w:r w:rsidRPr="001A1698" w:rsidR="009F4C8F">
        <w:rPr>
          <w:szCs w:val="24"/>
          <w:lang w:val="es-ES_tradnl"/>
        </w:rPr>
        <w:br/>
      </w:r>
      <w:r w:rsidRPr="001A1698" w:rsidR="009F4C8F">
        <w:rPr>
          <w:lang w:val="es-ES_tradnl"/>
        </w:rPr>
        <w:tab/>
      </w:r>
      <w:proofErr w:type="spellStart"/>
      <w:r w:rsidRPr="001A1698" w:rsidR="004127B7">
        <w:rPr>
          <w:lang w:val="es-ES_tradnl"/>
        </w:rPr>
        <w:t>Deputy</w:t>
      </w:r>
      <w:proofErr w:type="spellEnd"/>
      <w:r w:rsidRPr="001A1698" w:rsidR="004127B7">
        <w:rPr>
          <w:lang w:val="es-ES_tradnl"/>
        </w:rPr>
        <w:t xml:space="preserve"> </w:t>
      </w:r>
      <w:r w:rsidRPr="001A1698" w:rsidR="004127B7">
        <w:rPr>
          <w:iCs/>
          <w:lang w:val="es-ES_tradnl"/>
        </w:rPr>
        <w:t>Registrar</w:t>
      </w:r>
      <w:r w:rsidRPr="001A1698" w:rsidR="009F4C8F">
        <w:rPr>
          <w:lang w:val="es-ES_tradnl"/>
        </w:rPr>
        <w:tab/>
      </w:r>
      <w:proofErr w:type="spellStart"/>
      <w:r w:rsidRPr="001A1698" w:rsidR="009F4C8F">
        <w:rPr>
          <w:lang w:val="es-ES_tradnl"/>
        </w:rPr>
        <w:t>President</w:t>
      </w:r>
      <w:proofErr w:type="spellEnd"/>
    </w:p>
    <w:p w:rsidRPr="001A1698" w:rsidR="002A613A" w:rsidP="00D26E72" w:rsidRDefault="002A613A">
      <w:pPr>
        <w:rPr>
          <w:highlight w:val="yellow"/>
          <w:lang w:val="es-ES_tradnl"/>
        </w:rPr>
      </w:pPr>
    </w:p>
    <w:sectPr w:rsidRPr="001A1698"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7B7" w:rsidRPr="00085457" w:rsidRDefault="004127B7" w:rsidP="0098410D">
      <w:r w:rsidRPr="00085457">
        <w:separator/>
      </w:r>
    </w:p>
  </w:endnote>
  <w:endnote w:type="continuationSeparator" w:id="0">
    <w:p w:rsidR="004127B7" w:rsidRPr="00085457" w:rsidRDefault="004127B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1698" w:rsidRDefault="001A16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7B7" w:rsidRPr="00150BFA" w:rsidRDefault="004127B7" w:rsidP="0020718E">
    <w:pPr>
      <w:jc w:val="center"/>
    </w:pPr>
    <w:r>
      <w:rPr>
        <w:noProof/>
        <w:lang w:val="en-US" w:eastAsia="ja-JP"/>
      </w:rPr>
      <w:drawing>
        <wp:inline distT="0" distB="0" distL="0" distR="0" wp14:anchorId="6232C455" wp14:editId="50A2E611">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1698" w:rsidRDefault="001A169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9005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9005E"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7B7" w:rsidRPr="00085457" w:rsidRDefault="004127B7" w:rsidP="0098410D">
      <w:r w:rsidRPr="00085457">
        <w:separator/>
      </w:r>
    </w:p>
  </w:footnote>
  <w:footnote w:type="continuationSeparator" w:id="0">
    <w:p w:rsidR="004127B7" w:rsidRPr="00085457" w:rsidRDefault="004127B7"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1698" w:rsidRDefault="001A16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7B7" w:rsidRPr="00A45145" w:rsidRDefault="004127B7" w:rsidP="00A45145">
    <w:pPr>
      <w:jc w:val="center"/>
    </w:pPr>
    <w:r>
      <w:rPr>
        <w:noProof/>
        <w:lang w:val="en-US" w:eastAsia="ja-JP"/>
      </w:rPr>
      <w:drawing>
        <wp:inline distT="0" distB="0" distL="0" distR="0" wp14:anchorId="52C16A77" wp14:editId="611E4B1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27B7" w:rsidRPr="00A45145" w:rsidRDefault="004127B7" w:rsidP="00A45145">
    <w:pPr>
      <w:jc w:val="center"/>
    </w:pPr>
    <w:r>
      <w:rPr>
        <w:noProof/>
        <w:lang w:val="en-US" w:eastAsia="ja-JP"/>
      </w:rPr>
      <w:drawing>
        <wp:inline distT="0" distB="0" distL="0" distR="0" wp14:anchorId="1460F751" wp14:editId="66FC896F">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127B7" w:rsidP="004D0EC7">
    <w:pPr>
      <w:pStyle w:val="ECHRHeader"/>
    </w:pPr>
    <w:r>
      <w:rPr>
        <w:rStyle w:val="PageNumber"/>
      </w:rPr>
      <w:fldChar w:fldCharType="begin"/>
    </w:r>
    <w:r>
      <w:rPr>
        <w:rStyle w:val="PageNumber"/>
      </w:rPr>
      <w:instrText xml:space="preserve"> PAGE </w:instrText>
    </w:r>
    <w:r>
      <w:rPr>
        <w:rStyle w:val="PageNumber"/>
      </w:rPr>
      <w:fldChar w:fldCharType="separate"/>
    </w:r>
    <w:r w:rsidR="00F706DE">
      <w:rPr>
        <w:rStyle w:val="PageNumber"/>
        <w:noProof/>
      </w:rPr>
      <w:t>14</w:t>
    </w:r>
    <w:r>
      <w:rPr>
        <w:rStyle w:val="PageNumber"/>
      </w:rPr>
      <w:fldChar w:fldCharType="end"/>
    </w:r>
    <w:r w:rsidR="00882CD5" w:rsidRPr="004D0EC7">
      <w:tab/>
    </w:r>
    <w:r>
      <w:t>BALTIC MASTER LTD. v. LITHUANIA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4127B7">
      <w:t>BALTIC MASTER LTD. v. LITHUANIA</w:t>
    </w:r>
    <w:r w:rsidRPr="00882CD5">
      <w:t xml:space="preserve"> JUDGMENT</w:t>
    </w:r>
    <w:r w:rsidRPr="00882CD5">
      <w:tab/>
    </w:r>
    <w:r w:rsidR="004127B7">
      <w:rPr>
        <w:rStyle w:val="PageNumber"/>
      </w:rPr>
      <w:fldChar w:fldCharType="begin"/>
    </w:r>
    <w:r w:rsidR="004127B7">
      <w:rPr>
        <w:rStyle w:val="PageNumber"/>
      </w:rPr>
      <w:instrText xml:space="preserve"> PAGE </w:instrText>
    </w:r>
    <w:r w:rsidR="004127B7">
      <w:rPr>
        <w:rStyle w:val="PageNumber"/>
      </w:rPr>
      <w:fldChar w:fldCharType="separate"/>
    </w:r>
    <w:r w:rsidR="00F706DE">
      <w:rPr>
        <w:rStyle w:val="PageNumber"/>
        <w:noProof/>
      </w:rPr>
      <w:t>15</w:t>
    </w:r>
    <w:r w:rsidR="004127B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127B7"/>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717C3"/>
    <w:rsid w:val="00085457"/>
    <w:rsid w:val="000925AD"/>
    <w:rsid w:val="0009571A"/>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1698"/>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87"/>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0502"/>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27B7"/>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143"/>
    <w:rsid w:val="004D0EC7"/>
    <w:rsid w:val="004D15F3"/>
    <w:rsid w:val="004D4EF1"/>
    <w:rsid w:val="004D5311"/>
    <w:rsid w:val="004D5DCC"/>
    <w:rsid w:val="004D7E45"/>
    <w:rsid w:val="004F10AF"/>
    <w:rsid w:val="004F11A4"/>
    <w:rsid w:val="004F2389"/>
    <w:rsid w:val="004F304D"/>
    <w:rsid w:val="004F61BE"/>
    <w:rsid w:val="004F66B1"/>
    <w:rsid w:val="0051046C"/>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1332"/>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8F7E03"/>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407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1AD"/>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806AD"/>
    <w:rsid w:val="00C90D68"/>
    <w:rsid w:val="00C939FE"/>
    <w:rsid w:val="00CA2808"/>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066"/>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494B"/>
    <w:rsid w:val="00F07C1E"/>
    <w:rsid w:val="00F105DB"/>
    <w:rsid w:val="00F132BC"/>
    <w:rsid w:val="00F13D80"/>
    <w:rsid w:val="00F15B4D"/>
    <w:rsid w:val="00F16AAA"/>
    <w:rsid w:val="00F1709C"/>
    <w:rsid w:val="00F21161"/>
    <w:rsid w:val="00F218EF"/>
    <w:rsid w:val="00F21BC7"/>
    <w:rsid w:val="00F266A2"/>
    <w:rsid w:val="00F320C2"/>
    <w:rsid w:val="00F32269"/>
    <w:rsid w:val="00F35B7A"/>
    <w:rsid w:val="00F56A6F"/>
    <w:rsid w:val="00F5709C"/>
    <w:rsid w:val="00F64EF1"/>
    <w:rsid w:val="00F706DE"/>
    <w:rsid w:val="00F7349B"/>
    <w:rsid w:val="00F8765F"/>
    <w:rsid w:val="00F90767"/>
    <w:rsid w:val="00FA1637"/>
    <w:rsid w:val="00FA685B"/>
    <w:rsid w:val="00FB0C01"/>
    <w:rsid w:val="00FB5934"/>
    <w:rsid w:val="00FC18F2"/>
    <w:rsid w:val="00FC2A17"/>
    <w:rsid w:val="00FC38CF"/>
    <w:rsid w:val="00FC39E5"/>
    <w:rsid w:val="00FC3A78"/>
    <w:rsid w:val="00FC3ADE"/>
    <w:rsid w:val="00FD1005"/>
    <w:rsid w:val="00FD6C75"/>
    <w:rsid w:val="00FD7972"/>
    <w:rsid w:val="00FE6854"/>
    <w:rsid w:val="00FE6CC4"/>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A1698"/>
    <w:pPr>
      <w:jc w:val="both"/>
    </w:pPr>
    <w:rPr>
      <w:rFonts w:eastAsiaTheme="minorEastAsia"/>
      <w:sz w:val="24"/>
      <w:lang w:val="en-GB"/>
    </w:rPr>
  </w:style>
  <w:style w:type="paragraph" w:styleId="Heading1">
    <w:name w:val="heading 1"/>
    <w:basedOn w:val="Normal"/>
    <w:next w:val="Normal"/>
    <w:link w:val="Heading1Char"/>
    <w:uiPriority w:val="99"/>
    <w:semiHidden/>
    <w:rsid w:val="001A169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A169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A169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A169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A169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A169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A169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A169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A169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A1698"/>
    <w:rPr>
      <w:rFonts w:ascii="Tahoma" w:hAnsi="Tahoma" w:cs="Tahoma"/>
      <w:sz w:val="16"/>
      <w:szCs w:val="16"/>
    </w:rPr>
  </w:style>
  <w:style w:type="character" w:customStyle="1" w:styleId="BalloonTextChar">
    <w:name w:val="Balloon Text Char"/>
    <w:basedOn w:val="DefaultParagraphFont"/>
    <w:link w:val="BalloonText"/>
    <w:uiPriority w:val="99"/>
    <w:semiHidden/>
    <w:rsid w:val="001A1698"/>
    <w:rPr>
      <w:rFonts w:ascii="Tahoma" w:eastAsiaTheme="minorEastAsia" w:hAnsi="Tahoma" w:cs="Tahoma"/>
      <w:sz w:val="16"/>
      <w:szCs w:val="16"/>
      <w:lang w:val="en-GB"/>
    </w:rPr>
  </w:style>
  <w:style w:type="character" w:styleId="BookTitle">
    <w:name w:val="Book Title"/>
    <w:uiPriority w:val="99"/>
    <w:semiHidden/>
    <w:qFormat/>
    <w:rsid w:val="001A1698"/>
    <w:rPr>
      <w:i/>
      <w:iCs/>
      <w:smallCaps/>
      <w:spacing w:val="5"/>
    </w:rPr>
  </w:style>
  <w:style w:type="paragraph" w:customStyle="1" w:styleId="ECHRHeader">
    <w:name w:val="ECHR_Header"/>
    <w:aliases w:val="Ju_Header"/>
    <w:basedOn w:val="Header"/>
    <w:uiPriority w:val="4"/>
    <w:qFormat/>
    <w:rsid w:val="001A1698"/>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1A1698"/>
  </w:style>
  <w:style w:type="character" w:styleId="Strong">
    <w:name w:val="Strong"/>
    <w:uiPriority w:val="99"/>
    <w:semiHidden/>
    <w:qFormat/>
    <w:rsid w:val="001A1698"/>
    <w:rPr>
      <w:b/>
      <w:bCs/>
    </w:rPr>
  </w:style>
  <w:style w:type="paragraph" w:styleId="NoSpacing">
    <w:name w:val="No Spacing"/>
    <w:basedOn w:val="Normal"/>
    <w:link w:val="NoSpacingChar"/>
    <w:semiHidden/>
    <w:qFormat/>
    <w:rsid w:val="001A1698"/>
    <w:rPr>
      <w:sz w:val="22"/>
      <w:lang w:val="en-US"/>
    </w:rPr>
  </w:style>
  <w:style w:type="character" w:customStyle="1" w:styleId="NoSpacingChar">
    <w:name w:val="No Spacing Char"/>
    <w:basedOn w:val="DefaultParagraphFont"/>
    <w:link w:val="NoSpacing"/>
    <w:semiHidden/>
    <w:rsid w:val="001A1698"/>
    <w:rPr>
      <w:rFonts w:eastAsiaTheme="minorEastAsia"/>
    </w:rPr>
  </w:style>
  <w:style w:type="paragraph" w:customStyle="1" w:styleId="ECHRParaQuote">
    <w:name w:val="ECHR_Para_Quote"/>
    <w:aliases w:val="Ju_Quot"/>
    <w:basedOn w:val="Normal"/>
    <w:uiPriority w:val="14"/>
    <w:qFormat/>
    <w:rsid w:val="001A1698"/>
    <w:pPr>
      <w:spacing w:before="120" w:after="120"/>
      <w:ind w:left="425" w:firstLine="142"/>
    </w:pPr>
    <w:rPr>
      <w:sz w:val="20"/>
    </w:rPr>
  </w:style>
  <w:style w:type="paragraph" w:customStyle="1" w:styleId="DecList">
    <w:name w:val="Dec_List"/>
    <w:basedOn w:val="Normal"/>
    <w:uiPriority w:val="9"/>
    <w:semiHidden/>
    <w:qFormat/>
    <w:rsid w:val="001A1698"/>
    <w:pPr>
      <w:spacing w:before="240"/>
      <w:ind w:left="284"/>
    </w:pPr>
  </w:style>
  <w:style w:type="paragraph" w:customStyle="1" w:styleId="DummyStyle">
    <w:name w:val="Dummy_Style"/>
    <w:basedOn w:val="Normal"/>
    <w:semiHidden/>
    <w:qFormat/>
    <w:rsid w:val="001A1698"/>
    <w:rPr>
      <w:color w:val="00B050"/>
    </w:rPr>
  </w:style>
  <w:style w:type="paragraph" w:customStyle="1" w:styleId="JuAppQuestion">
    <w:name w:val="Ju_App_Question"/>
    <w:basedOn w:val="Normal"/>
    <w:uiPriority w:val="5"/>
    <w:semiHidden/>
    <w:qFormat/>
    <w:rsid w:val="001A1698"/>
    <w:pPr>
      <w:numPr>
        <w:numId w:val="25"/>
      </w:numPr>
      <w:jc w:val="left"/>
    </w:pPr>
    <w:rPr>
      <w:b/>
    </w:rPr>
  </w:style>
  <w:style w:type="paragraph" w:customStyle="1" w:styleId="JuCourt">
    <w:name w:val="Ju_Court"/>
    <w:basedOn w:val="Normal"/>
    <w:next w:val="Normal"/>
    <w:uiPriority w:val="16"/>
    <w:qFormat/>
    <w:rsid w:val="001A1698"/>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1A169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A1698"/>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1A1698"/>
    <w:pPr>
      <w:tabs>
        <w:tab w:val="center" w:pos="6407"/>
      </w:tabs>
      <w:spacing w:before="720"/>
      <w:jc w:val="right"/>
    </w:pPr>
  </w:style>
  <w:style w:type="paragraph" w:customStyle="1" w:styleId="ECHRTitle1">
    <w:name w:val="ECHR_Title_1"/>
    <w:aliases w:val="Ju_H_Head"/>
    <w:basedOn w:val="Normal"/>
    <w:next w:val="ECHRPara"/>
    <w:uiPriority w:val="18"/>
    <w:qFormat/>
    <w:rsid w:val="001A1698"/>
    <w:pPr>
      <w:keepNext/>
      <w:keepLines/>
      <w:spacing w:before="720" w:after="240"/>
      <w:outlineLvl w:val="0"/>
    </w:pPr>
    <w:rPr>
      <w:rFonts w:asciiTheme="majorHAnsi" w:hAnsiTheme="majorHAnsi"/>
      <w:sz w:val="28"/>
    </w:rPr>
  </w:style>
  <w:style w:type="character" w:customStyle="1" w:styleId="JUNAMES">
    <w:name w:val="JU_NAMES"/>
    <w:uiPriority w:val="17"/>
    <w:qFormat/>
    <w:rsid w:val="001A1698"/>
    <w:rPr>
      <w:caps w:val="0"/>
      <w:smallCaps/>
    </w:rPr>
  </w:style>
  <w:style w:type="paragraph" w:customStyle="1" w:styleId="JuSigned">
    <w:name w:val="Ju_Signed"/>
    <w:basedOn w:val="Normal"/>
    <w:next w:val="JuParaLast"/>
    <w:uiPriority w:val="32"/>
    <w:qFormat/>
    <w:rsid w:val="001A1698"/>
    <w:pPr>
      <w:tabs>
        <w:tab w:val="center" w:pos="851"/>
        <w:tab w:val="center" w:pos="6407"/>
      </w:tabs>
      <w:spacing w:before="720"/>
      <w:jc w:val="left"/>
    </w:pPr>
  </w:style>
  <w:style w:type="paragraph" w:styleId="Title">
    <w:name w:val="Title"/>
    <w:basedOn w:val="Normal"/>
    <w:next w:val="Normal"/>
    <w:link w:val="TitleChar"/>
    <w:uiPriority w:val="99"/>
    <w:semiHidden/>
    <w:qFormat/>
    <w:rsid w:val="001A169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A1698"/>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1A1698"/>
    <w:pPr>
      <w:ind w:left="284"/>
    </w:pPr>
  </w:style>
  <w:style w:type="paragraph" w:customStyle="1" w:styleId="JuQuotSub">
    <w:name w:val="Ju_Quot_Sub"/>
    <w:basedOn w:val="ECHRParaQuote"/>
    <w:uiPriority w:val="15"/>
    <w:qFormat/>
    <w:rsid w:val="001A1698"/>
    <w:pPr>
      <w:ind w:left="567"/>
    </w:pPr>
  </w:style>
  <w:style w:type="character" w:customStyle="1" w:styleId="JuITMark">
    <w:name w:val="Ju_ITMark"/>
    <w:basedOn w:val="DefaultParagraphFont"/>
    <w:uiPriority w:val="38"/>
    <w:qFormat/>
    <w:rsid w:val="001A1698"/>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1A1698"/>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1A1698"/>
    <w:pPr>
      <w:ind w:left="635" w:hanging="357"/>
      <w:outlineLvl w:val="2"/>
    </w:pPr>
  </w:style>
  <w:style w:type="paragraph" w:customStyle="1" w:styleId="ECHRHeading1">
    <w:name w:val="ECHR_Heading_1"/>
    <w:aliases w:val="Ju_H_I_Roman"/>
    <w:basedOn w:val="Heading1"/>
    <w:next w:val="ECHRPara"/>
    <w:uiPriority w:val="19"/>
    <w:qFormat/>
    <w:rsid w:val="001A169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A169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A1698"/>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A169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A1698"/>
    <w:rPr>
      <w:sz w:val="24"/>
      <w:lang w:val="en-GB"/>
    </w:rPr>
  </w:style>
  <w:style w:type="character" w:customStyle="1" w:styleId="Heading1Char">
    <w:name w:val="Heading 1 Char"/>
    <w:basedOn w:val="DefaultParagraphFont"/>
    <w:link w:val="Heading1"/>
    <w:uiPriority w:val="99"/>
    <w:semiHidden/>
    <w:rsid w:val="001A1698"/>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1A169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A169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A1698"/>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1A169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A169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A1698"/>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1A1698"/>
    <w:pPr>
      <w:keepNext/>
      <w:keepLines/>
      <w:spacing w:before="240"/>
      <w:ind w:firstLine="284"/>
    </w:pPr>
  </w:style>
  <w:style w:type="paragraph" w:customStyle="1" w:styleId="ECHRDecisionBody">
    <w:name w:val="ECHR_Decision_Body"/>
    <w:aliases w:val="Ju_Judges"/>
    <w:basedOn w:val="Normal"/>
    <w:uiPriority w:val="11"/>
    <w:qFormat/>
    <w:rsid w:val="001A1698"/>
    <w:pPr>
      <w:tabs>
        <w:tab w:val="left" w:pos="567"/>
        <w:tab w:val="left" w:pos="1134"/>
      </w:tabs>
      <w:jc w:val="left"/>
    </w:pPr>
  </w:style>
  <w:style w:type="character" w:customStyle="1" w:styleId="Heading4Char">
    <w:name w:val="Heading 4 Char"/>
    <w:basedOn w:val="DefaultParagraphFont"/>
    <w:link w:val="Heading4"/>
    <w:uiPriority w:val="99"/>
    <w:semiHidden/>
    <w:rsid w:val="001A1698"/>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1A1698"/>
    <w:pPr>
      <w:ind w:left="340" w:hanging="340"/>
    </w:pPr>
  </w:style>
  <w:style w:type="character" w:customStyle="1" w:styleId="Heading5Char">
    <w:name w:val="Heading 5 Char"/>
    <w:basedOn w:val="DefaultParagraphFont"/>
    <w:link w:val="Heading5"/>
    <w:uiPriority w:val="99"/>
    <w:semiHidden/>
    <w:rsid w:val="001A1698"/>
    <w:rPr>
      <w:rFonts w:asciiTheme="majorHAnsi" w:eastAsiaTheme="majorEastAsia" w:hAnsiTheme="majorHAnsi" w:cstheme="majorBidi"/>
      <w:b/>
      <w:bCs/>
      <w:color w:val="808080"/>
    </w:rPr>
  </w:style>
  <w:style w:type="paragraph" w:customStyle="1" w:styleId="JuLista">
    <w:name w:val="Ju_List_a"/>
    <w:basedOn w:val="JuList"/>
    <w:uiPriority w:val="28"/>
    <w:qFormat/>
    <w:rsid w:val="001A1698"/>
    <w:pPr>
      <w:ind w:left="346" w:firstLine="0"/>
    </w:pPr>
  </w:style>
  <w:style w:type="paragraph" w:customStyle="1" w:styleId="JuListi">
    <w:name w:val="Ju_List_i"/>
    <w:basedOn w:val="Normal"/>
    <w:next w:val="JuLista"/>
    <w:uiPriority w:val="28"/>
    <w:qFormat/>
    <w:rsid w:val="001A1698"/>
    <w:pPr>
      <w:ind w:left="794"/>
    </w:pPr>
  </w:style>
  <w:style w:type="character" w:styleId="SubtleEmphasis">
    <w:name w:val="Subtle Emphasis"/>
    <w:uiPriority w:val="99"/>
    <w:semiHidden/>
    <w:qFormat/>
    <w:rsid w:val="001A1698"/>
    <w:rPr>
      <w:i/>
      <w:iCs/>
    </w:rPr>
  </w:style>
  <w:style w:type="paragraph" w:customStyle="1" w:styleId="OpiHa">
    <w:name w:val="Opi_H_a"/>
    <w:basedOn w:val="ECHRHeading3"/>
    <w:uiPriority w:val="43"/>
    <w:qFormat/>
    <w:rsid w:val="001A1698"/>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1A1698"/>
    <w:pPr>
      <w:tabs>
        <w:tab w:val="clear" w:pos="357"/>
      </w:tabs>
      <w:outlineLvl w:val="1"/>
    </w:pPr>
    <w:rPr>
      <w:b/>
    </w:rPr>
  </w:style>
  <w:style w:type="paragraph" w:customStyle="1" w:styleId="OpiHi">
    <w:name w:val="Opi_H_i"/>
    <w:basedOn w:val="ECHRHeading4"/>
    <w:uiPriority w:val="44"/>
    <w:qFormat/>
    <w:rsid w:val="001A1698"/>
    <w:pPr>
      <w:ind w:left="1037" w:hanging="357"/>
      <w:outlineLvl w:val="4"/>
    </w:pPr>
    <w:rPr>
      <w:b w:val="0"/>
      <w:i/>
    </w:rPr>
  </w:style>
  <w:style w:type="paragraph" w:customStyle="1" w:styleId="OpiPara">
    <w:name w:val="Opi_Para"/>
    <w:basedOn w:val="ECHRPara"/>
    <w:uiPriority w:val="46"/>
    <w:qFormat/>
    <w:rsid w:val="001A1698"/>
  </w:style>
  <w:style w:type="character" w:styleId="Emphasis">
    <w:name w:val="Emphasis"/>
    <w:uiPriority w:val="99"/>
    <w:semiHidden/>
    <w:qFormat/>
    <w:rsid w:val="001A1698"/>
    <w:rPr>
      <w:b/>
      <w:bCs/>
      <w:i/>
      <w:iCs/>
      <w:spacing w:val="10"/>
      <w:bdr w:val="none" w:sz="0" w:space="0" w:color="auto"/>
      <w:shd w:val="clear" w:color="auto" w:fill="auto"/>
    </w:rPr>
  </w:style>
  <w:style w:type="paragraph" w:styleId="Footer">
    <w:name w:val="footer"/>
    <w:basedOn w:val="Normal"/>
    <w:link w:val="FooterChar"/>
    <w:uiPriority w:val="57"/>
    <w:semiHidden/>
    <w:rsid w:val="001A169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A1698"/>
    <w:rPr>
      <w:sz w:val="24"/>
      <w:lang w:val="en-GB"/>
    </w:rPr>
  </w:style>
  <w:style w:type="character" w:styleId="FootnoteReference">
    <w:name w:val="footnote reference"/>
    <w:basedOn w:val="DefaultParagraphFont"/>
    <w:uiPriority w:val="99"/>
    <w:semiHidden/>
    <w:rsid w:val="001A1698"/>
    <w:rPr>
      <w:vertAlign w:val="superscript"/>
    </w:rPr>
  </w:style>
  <w:style w:type="paragraph" w:styleId="FootnoteText">
    <w:name w:val="footnote text"/>
    <w:basedOn w:val="Normal"/>
    <w:link w:val="FootnoteTextChar"/>
    <w:uiPriority w:val="99"/>
    <w:semiHidden/>
    <w:rsid w:val="001A1698"/>
    <w:rPr>
      <w:sz w:val="20"/>
      <w:szCs w:val="20"/>
    </w:rPr>
  </w:style>
  <w:style w:type="character" w:customStyle="1" w:styleId="FootnoteTextChar">
    <w:name w:val="Footnote Text Char"/>
    <w:basedOn w:val="DefaultParagraphFont"/>
    <w:link w:val="FootnoteText"/>
    <w:uiPriority w:val="99"/>
    <w:semiHidden/>
    <w:rsid w:val="001A1698"/>
    <w:rPr>
      <w:rFonts w:eastAsiaTheme="minorEastAsia"/>
      <w:sz w:val="20"/>
      <w:szCs w:val="20"/>
      <w:lang w:val="en-GB"/>
    </w:rPr>
  </w:style>
  <w:style w:type="character" w:customStyle="1" w:styleId="Heading6Char">
    <w:name w:val="Heading 6 Char"/>
    <w:basedOn w:val="DefaultParagraphFont"/>
    <w:link w:val="Heading6"/>
    <w:uiPriority w:val="99"/>
    <w:semiHidden/>
    <w:rsid w:val="001A169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A169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A169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A169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A1698"/>
    <w:rPr>
      <w:color w:val="0072BC" w:themeColor="hyperlink"/>
      <w:u w:val="single"/>
    </w:rPr>
  </w:style>
  <w:style w:type="character" w:styleId="IntenseEmphasis">
    <w:name w:val="Intense Emphasis"/>
    <w:uiPriority w:val="99"/>
    <w:semiHidden/>
    <w:qFormat/>
    <w:rsid w:val="001A1698"/>
    <w:rPr>
      <w:b/>
      <w:bCs/>
    </w:rPr>
  </w:style>
  <w:style w:type="paragraph" w:styleId="IntenseQuote">
    <w:name w:val="Intense Quote"/>
    <w:basedOn w:val="Normal"/>
    <w:next w:val="Normal"/>
    <w:link w:val="IntenseQuoteChar"/>
    <w:uiPriority w:val="99"/>
    <w:semiHidden/>
    <w:qFormat/>
    <w:rsid w:val="001A169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A1698"/>
    <w:rPr>
      <w:rFonts w:eastAsiaTheme="minorEastAsia"/>
      <w:b/>
      <w:bCs/>
      <w:i/>
      <w:iCs/>
      <w:lang w:bidi="en-US"/>
    </w:rPr>
  </w:style>
  <w:style w:type="character" w:styleId="IntenseReference">
    <w:name w:val="Intense Reference"/>
    <w:uiPriority w:val="99"/>
    <w:semiHidden/>
    <w:qFormat/>
    <w:rsid w:val="001A1698"/>
    <w:rPr>
      <w:smallCaps/>
      <w:spacing w:val="5"/>
      <w:u w:val="single"/>
    </w:rPr>
  </w:style>
  <w:style w:type="paragraph" w:styleId="ListParagraph">
    <w:name w:val="List Paragraph"/>
    <w:basedOn w:val="Normal"/>
    <w:uiPriority w:val="99"/>
    <w:semiHidden/>
    <w:qFormat/>
    <w:rsid w:val="001A169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A169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A1698"/>
    <w:rPr>
      <w:rFonts w:eastAsiaTheme="minorEastAsia"/>
      <w:i/>
      <w:iCs/>
      <w:lang w:bidi="en-US"/>
    </w:rPr>
  </w:style>
  <w:style w:type="character" w:styleId="SubtleReference">
    <w:name w:val="Subtle Reference"/>
    <w:uiPriority w:val="99"/>
    <w:semiHidden/>
    <w:qFormat/>
    <w:rsid w:val="001A1698"/>
    <w:rPr>
      <w:smallCaps/>
    </w:rPr>
  </w:style>
  <w:style w:type="table" w:styleId="TableGrid">
    <w:name w:val="Table Grid"/>
    <w:basedOn w:val="TableNormal"/>
    <w:uiPriority w:val="59"/>
    <w:semiHidden/>
    <w:rsid w:val="001A169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A169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A169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A169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A169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A169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A169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A169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A169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A169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1A1698"/>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A169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A1698"/>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1A1698"/>
    <w:rPr>
      <w:vertAlign w:val="superscript"/>
    </w:rPr>
  </w:style>
  <w:style w:type="paragraph" w:styleId="EndnoteText">
    <w:name w:val="endnote text"/>
    <w:basedOn w:val="Normal"/>
    <w:link w:val="EndnoteTextChar"/>
    <w:uiPriority w:val="99"/>
    <w:semiHidden/>
    <w:rsid w:val="001A1698"/>
    <w:rPr>
      <w:sz w:val="20"/>
      <w:szCs w:val="20"/>
    </w:rPr>
  </w:style>
  <w:style w:type="character" w:customStyle="1" w:styleId="EndnoteTextChar">
    <w:name w:val="Endnote Text Char"/>
    <w:basedOn w:val="DefaultParagraphFont"/>
    <w:link w:val="EndnoteText"/>
    <w:uiPriority w:val="99"/>
    <w:semiHidden/>
    <w:rsid w:val="001A1698"/>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1A169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A169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A169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1A1698"/>
  </w:style>
  <w:style w:type="paragraph" w:customStyle="1" w:styleId="OpiQuot">
    <w:name w:val="Opi_Quot"/>
    <w:basedOn w:val="ECHRParaQuote"/>
    <w:uiPriority w:val="48"/>
    <w:qFormat/>
    <w:rsid w:val="001A1698"/>
  </w:style>
  <w:style w:type="paragraph" w:customStyle="1" w:styleId="ECHRFooter">
    <w:name w:val="ECHR_Footer"/>
    <w:aliases w:val="Footer_ECHR"/>
    <w:basedOn w:val="Footer"/>
    <w:uiPriority w:val="57"/>
    <w:semiHidden/>
    <w:rsid w:val="001A1698"/>
    <w:pPr>
      <w:jc w:val="left"/>
    </w:pPr>
    <w:rPr>
      <w:sz w:val="8"/>
    </w:rPr>
  </w:style>
  <w:style w:type="paragraph" w:customStyle="1" w:styleId="ECHRFooterLine">
    <w:name w:val="ECHR_Footer_Line"/>
    <w:aliases w:val="Footer_Line"/>
    <w:basedOn w:val="Normal"/>
    <w:next w:val="ECHRFooter"/>
    <w:uiPriority w:val="57"/>
    <w:semiHidden/>
    <w:rsid w:val="001A1698"/>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1A1698"/>
    <w:pPr>
      <w:spacing w:after="240"/>
      <w:jc w:val="center"/>
      <w:outlineLvl w:val="0"/>
    </w:pPr>
    <w:rPr>
      <w:rFonts w:asciiTheme="majorHAnsi" w:hAnsiTheme="majorHAnsi"/>
    </w:rPr>
  </w:style>
  <w:style w:type="paragraph" w:customStyle="1" w:styleId="OpiQuotSub">
    <w:name w:val="Opi_Quot_Sub"/>
    <w:basedOn w:val="JuQuotSub"/>
    <w:uiPriority w:val="49"/>
    <w:qFormat/>
    <w:rsid w:val="001A1698"/>
  </w:style>
  <w:style w:type="paragraph" w:customStyle="1" w:styleId="JuHeaderLandscape">
    <w:name w:val="Ju_Header_Landscape"/>
    <w:basedOn w:val="ECHRHeader"/>
    <w:uiPriority w:val="4"/>
    <w:qFormat/>
    <w:rsid w:val="001A1698"/>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1A1698"/>
    <w:pPr>
      <w:jc w:val="center"/>
      <w:outlineLvl w:val="0"/>
    </w:pPr>
    <w:rPr>
      <w:i/>
    </w:rPr>
  </w:style>
  <w:style w:type="character" w:customStyle="1" w:styleId="ECHRParaChar">
    <w:name w:val="ECHR_Para Char"/>
    <w:aliases w:val="Ju_Para Char"/>
    <w:link w:val="ECHRPara"/>
    <w:uiPriority w:val="12"/>
    <w:rsid w:val="004127B7"/>
    <w:rPr>
      <w:rFonts w:eastAsiaTheme="minorEastAsia"/>
      <w:sz w:val="24"/>
      <w:lang w:val="en-GB"/>
    </w:rPr>
  </w:style>
  <w:style w:type="paragraph" w:customStyle="1" w:styleId="ECHRHeaderRefIt">
    <w:name w:val="ECHR_Header_Ref_It"/>
    <w:aliases w:val="Ref_Ital"/>
    <w:basedOn w:val="Normal"/>
    <w:next w:val="Normal"/>
    <w:uiPriority w:val="38"/>
    <w:rsid w:val="004127B7"/>
    <w:pPr>
      <w:jc w:val="right"/>
    </w:pPr>
    <w:rPr>
      <w:rFonts w:eastAsiaTheme="minorHAnsi"/>
      <w:i/>
      <w:sz w:val="20"/>
    </w:rPr>
  </w:style>
  <w:style w:type="character" w:customStyle="1" w:styleId="affairetitle">
    <w:name w:val="affaire_title"/>
    <w:basedOn w:val="DefaultParagraphFont"/>
    <w:rsid w:val="004127B7"/>
  </w:style>
  <w:style w:type="paragraph" w:styleId="Revision">
    <w:name w:val="Revision"/>
    <w:hidden/>
    <w:uiPriority w:val="99"/>
    <w:semiHidden/>
    <w:rsid w:val="004127B7"/>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3B530D-FCED-46CF-9DBF-DDC2244ACF90}"/>
</file>

<file path=customXml/itemProps2.xml><?xml version="1.0" encoding="utf-8"?>
<ds:datastoreItem xmlns:ds="http://schemas.openxmlformats.org/officeDocument/2006/customXml" ds:itemID="{2CFF6F2F-5FF1-49B6-BE87-17D86A6A2EEB}"/>
</file>

<file path=customXml/itemProps3.xml><?xml version="1.0" encoding="utf-8"?>
<ds:datastoreItem xmlns:ds="http://schemas.openxmlformats.org/officeDocument/2006/customXml" ds:itemID="{923F7BC2-476E-47A7-A162-859BAD669EAD}"/>
</file>

<file path=customXml/itemProps4.xml><?xml version="1.0" encoding="utf-8"?>
<ds:datastoreItem xmlns:ds="http://schemas.openxmlformats.org/officeDocument/2006/customXml" ds:itemID="{9BE4136C-74FF-4072-A9EF-BCDC65BB7BF5}"/>
</file>

<file path=docProps/app.xml><?xml version="1.0" encoding="utf-8"?>
<Properties xmlns="http://schemas.openxmlformats.org/officeDocument/2006/extended-properties" xmlns:vt="http://schemas.openxmlformats.org/officeDocument/2006/docPropsVTypes">
  <Template>Normal.dotm</Template>
  <TotalTime>0</TotalTime>
  <Pages>1</Pages>
  <Words>5597</Words>
  <Characters>31909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2020-12-23T08:41:00Z</dcterms:created>
  <dcterms:modified xsi:type="dcterms:W3CDTF">2020-12-23T08:41:00Z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55092/16</vt:lpwstr>
  </property>
  <property fmtid="{D5CDD505-2E9C-101B-9397-08002B2CF9AE}" pid="4" name="CASEID">
    <vt:lpwstr>1248583</vt:lpwstr>
  </property>
  <property fmtid="{D5CDD505-2E9C-101B-9397-08002B2CF9AE}" pid="5" name="ContentTypeId">
    <vt:lpwstr>0x010100558EB02BDB9E204AB350EDD385B68E10</vt:lpwstr>
  </property>
</Properties>
</file>