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1F711C" w:rsidR="00D420F3" w:rsidP="001F711C">
      <w:pPr>
        <w:pStyle w:val="ECHRDecisionBody"/>
        <w:jc w:val="center"/>
      </w:pPr>
      <w:bookmarkStart w:name="_GoBack" w:id="0"/>
      <w:bookmarkEnd w:id="0"/>
    </w:p>
    <w:p w:rsidRPr="001F711C" w:rsidR="002E2E5B" w:rsidP="001F711C">
      <w:pPr>
        <w:pStyle w:val="ECHRDecisionBody"/>
        <w:jc w:val="center"/>
      </w:pPr>
    </w:p>
    <w:p w:rsidRPr="001F711C" w:rsidR="002E2E5B" w:rsidP="001F711C">
      <w:pPr>
        <w:pStyle w:val="ECHRDecisionBody"/>
        <w:jc w:val="center"/>
      </w:pPr>
    </w:p>
    <w:p w:rsidRPr="001F711C" w:rsidR="00D420F3" w:rsidP="001F711C">
      <w:pPr>
        <w:jc w:val="center"/>
      </w:pPr>
      <w:r w:rsidRPr="001F711C">
        <w:t>FOURTH SECTION</w:t>
      </w:r>
    </w:p>
    <w:p w:rsidRPr="001F711C" w:rsidR="00D420F3" w:rsidP="001F711C">
      <w:pPr>
        <w:jc w:val="center"/>
      </w:pPr>
    </w:p>
    <w:p w:rsidRPr="001F711C" w:rsidR="002E2E5B" w:rsidP="001F711C">
      <w:pPr>
        <w:jc w:val="center"/>
      </w:pPr>
    </w:p>
    <w:p w:rsidRPr="001F711C" w:rsidR="002E2E5B" w:rsidP="001F711C">
      <w:pPr>
        <w:jc w:val="center"/>
      </w:pPr>
    </w:p>
    <w:p w:rsidRPr="001F711C" w:rsidR="002E2E5B" w:rsidP="001F711C">
      <w:pPr>
        <w:jc w:val="center"/>
      </w:pPr>
    </w:p>
    <w:p w:rsidRPr="001F711C" w:rsidR="001F711C" w:rsidP="001F711C">
      <w:pPr>
        <w:jc w:val="center"/>
      </w:pPr>
    </w:p>
    <w:p w:rsidRPr="001F711C" w:rsidR="002E2E5B" w:rsidP="001F711C">
      <w:pPr>
        <w:jc w:val="center"/>
      </w:pPr>
    </w:p>
    <w:p w:rsidRPr="001F711C" w:rsidR="002E2E5B" w:rsidP="001F711C">
      <w:pPr>
        <w:jc w:val="center"/>
      </w:pPr>
    </w:p>
    <w:p w:rsidRPr="001F711C" w:rsidR="00CA65D0" w:rsidP="001F711C">
      <w:pPr>
        <w:jc w:val="center"/>
        <w:rPr>
          <w:b/>
        </w:rPr>
      </w:pPr>
      <w:bookmarkStart w:name="To" w:id="1"/>
      <w:r w:rsidRPr="001F711C">
        <w:rPr>
          <w:b/>
        </w:rPr>
        <w:t xml:space="preserve">CASE OF </w:t>
      </w:r>
      <w:bookmarkEnd w:id="1"/>
      <w:r w:rsidRPr="001F711C">
        <w:rPr>
          <w:b/>
        </w:rPr>
        <w:t>LINGURAR v. ROMANIA</w:t>
      </w:r>
    </w:p>
    <w:p w:rsidRPr="001F711C" w:rsidR="00D420F3" w:rsidP="001F711C">
      <w:pPr>
        <w:jc w:val="center"/>
      </w:pPr>
    </w:p>
    <w:p w:rsidRPr="001F711C" w:rsidR="00D420F3" w:rsidP="001F711C">
      <w:pPr>
        <w:jc w:val="center"/>
        <w:rPr>
          <w:i/>
        </w:rPr>
      </w:pPr>
      <w:r w:rsidRPr="001F711C">
        <w:rPr>
          <w:i/>
        </w:rPr>
        <w:t>(</w:t>
      </w:r>
      <w:r w:rsidRPr="001F711C" w:rsidR="004A52B2">
        <w:rPr>
          <w:i/>
        </w:rPr>
        <w:t>Application no. 48474/14</w:t>
      </w:r>
      <w:r w:rsidRPr="001F711C">
        <w:rPr>
          <w:i/>
        </w:rPr>
        <w:t>)</w:t>
      </w:r>
    </w:p>
    <w:p w:rsidRPr="001F711C" w:rsidR="00D420F3" w:rsidP="001F711C">
      <w:pPr>
        <w:jc w:val="center"/>
      </w:pPr>
    </w:p>
    <w:p w:rsidRPr="001F711C" w:rsidR="00D420F3" w:rsidP="001F711C">
      <w:pPr>
        <w:jc w:val="center"/>
      </w:pPr>
    </w:p>
    <w:p w:rsidRPr="001F711C" w:rsidR="001F711C" w:rsidP="001F711C">
      <w:pPr>
        <w:jc w:val="center"/>
      </w:pPr>
    </w:p>
    <w:p w:rsidRPr="001F711C" w:rsidR="001F711C" w:rsidP="001F711C">
      <w:pPr>
        <w:jc w:val="center"/>
      </w:pPr>
    </w:p>
    <w:p w:rsidRPr="001F711C" w:rsidR="00D420F3" w:rsidP="001F711C">
      <w:pPr>
        <w:jc w:val="center"/>
      </w:pPr>
    </w:p>
    <w:p w:rsidRPr="001F711C" w:rsidR="00D420F3" w:rsidP="001F711C">
      <w:pPr>
        <w:jc w:val="center"/>
      </w:pPr>
    </w:p>
    <w:p w:rsidRPr="001F711C" w:rsidR="00D420F3" w:rsidP="001F711C">
      <w:pPr>
        <w:jc w:val="center"/>
      </w:pPr>
    </w:p>
    <w:p w:rsidRPr="001F711C" w:rsidR="00D420F3" w:rsidP="001F711C">
      <w:pPr>
        <w:jc w:val="center"/>
      </w:pPr>
    </w:p>
    <w:p w:rsidRPr="001F711C" w:rsidR="00FE6DC9" w:rsidP="001F711C">
      <w:pPr>
        <w:jc w:val="center"/>
        <w:rPr>
          <w:szCs w:val="24"/>
        </w:rPr>
      </w:pPr>
      <w:r w:rsidRPr="001F711C">
        <w:rPr>
          <w:szCs w:val="24"/>
        </w:rPr>
        <w:t>JUDGMENT</w:t>
      </w:r>
    </w:p>
    <w:p w:rsidRPr="001F711C" w:rsidR="00FE6DC9" w:rsidP="001F711C">
      <w:pPr>
        <w:jc w:val="center"/>
        <w:rPr>
          <w:szCs w:val="24"/>
        </w:rPr>
      </w:pPr>
    </w:p>
    <w:p w:rsidRPr="001F711C" w:rsidR="002E2E5B" w:rsidP="001F711C">
      <w:pPr>
        <w:pStyle w:val="JuCase"/>
        <w:ind w:firstLine="0"/>
        <w:jc w:val="center"/>
        <w:rPr>
          <w:b w:val="0"/>
        </w:rPr>
      </w:pPr>
    </w:p>
    <w:p w:rsidRPr="001F711C" w:rsidR="002E2E5B" w:rsidP="001F711C">
      <w:pPr>
        <w:pStyle w:val="JuCase"/>
        <w:ind w:firstLine="0"/>
        <w:jc w:val="center"/>
        <w:rPr>
          <w:b w:val="0"/>
        </w:rPr>
      </w:pPr>
      <w:r w:rsidRPr="001F711C">
        <w:rPr>
          <w:b w:val="0"/>
        </w:rPr>
        <w:t>STRASBOURG</w:t>
      </w:r>
    </w:p>
    <w:p w:rsidRPr="001F711C" w:rsidR="002E2E5B" w:rsidP="001F711C">
      <w:pPr>
        <w:pStyle w:val="JuCase"/>
        <w:ind w:firstLine="0"/>
        <w:jc w:val="center"/>
        <w:rPr>
          <w:b w:val="0"/>
        </w:rPr>
      </w:pPr>
    </w:p>
    <w:p w:rsidRPr="001F711C" w:rsidR="002E2E5B" w:rsidP="001F711C">
      <w:pPr>
        <w:pStyle w:val="JuCase"/>
        <w:ind w:firstLine="0"/>
        <w:jc w:val="center"/>
        <w:rPr>
          <w:b w:val="0"/>
        </w:rPr>
      </w:pPr>
      <w:r w:rsidRPr="001F711C">
        <w:rPr>
          <w:b w:val="0"/>
        </w:rPr>
        <w:t>16 April 2019</w:t>
      </w:r>
    </w:p>
    <w:p w:rsidRPr="001F711C" w:rsidR="002E2E5B" w:rsidP="001F711C">
      <w:pPr>
        <w:pStyle w:val="JuCase"/>
        <w:ind w:firstLine="0"/>
        <w:jc w:val="center"/>
        <w:rPr>
          <w:b w:val="0"/>
        </w:rPr>
      </w:pPr>
    </w:p>
    <w:p w:rsidRPr="001F711C" w:rsidR="002E2E5B" w:rsidP="001F711C">
      <w:pPr>
        <w:pStyle w:val="JuCase"/>
        <w:ind w:firstLine="0"/>
        <w:jc w:val="center"/>
        <w:rPr>
          <w:b w:val="0"/>
        </w:rPr>
      </w:pPr>
    </w:p>
    <w:p w:rsidRPr="001F711C" w:rsidR="001F711C" w:rsidP="001F711C">
      <w:pPr>
        <w:pStyle w:val="ECHRPara"/>
      </w:pPr>
    </w:p>
    <w:p w:rsidRPr="001F711C" w:rsidR="001F711C" w:rsidP="001F711C">
      <w:pPr>
        <w:pStyle w:val="ECHRPara"/>
      </w:pPr>
    </w:p>
    <w:p w:rsidRPr="001F711C" w:rsidR="001F711C" w:rsidP="001F711C">
      <w:pPr>
        <w:pStyle w:val="ECHRPara"/>
      </w:pPr>
    </w:p>
    <w:p w:rsidRPr="001F711C" w:rsidR="001F711C" w:rsidP="001F711C">
      <w:pPr>
        <w:pStyle w:val="ECHRPara"/>
      </w:pPr>
    </w:p>
    <w:p w:rsidRPr="001F711C" w:rsidR="002E2E5B" w:rsidP="001F711C">
      <w:pPr>
        <w:pStyle w:val="JuCase"/>
        <w:ind w:firstLine="0"/>
        <w:rPr>
          <w:b w:val="0"/>
          <w:i/>
          <w:sz w:val="22"/>
        </w:rPr>
      </w:pPr>
      <w:r w:rsidRPr="001F711C">
        <w:rPr>
          <w:b w:val="0"/>
          <w:i/>
          <w:sz w:val="22"/>
        </w:rPr>
        <w:t>This judgment is final but it may be subject to editorial revision.</w:t>
      </w:r>
    </w:p>
    <w:p w:rsidRPr="001F711C" w:rsidR="003F2925" w:rsidP="001F711C">
      <w:pPr>
        <w:pStyle w:val="ECHRPara"/>
      </w:pPr>
    </w:p>
    <w:p w:rsidRPr="001F711C" w:rsidR="001F711C" w:rsidP="001F711C">
      <w:pPr>
        <w:pStyle w:val="ECHRPara"/>
        <w:sectPr w:rsidSect="003F2925">
          <w:headerReference w:type="default" r:id="rId5"/>
          <w:headerReference w:type="first" r:id="rId6"/>
          <w:footerReference w:type="first" r:id="rId7"/>
          <w:footnotePr>
            <w:numRestart w:val="eachSect"/>
          </w:footnotePr>
          <w:pgSz w:w="11906" w:h="16838" w:code="9"/>
          <w:pgMar w:top="2274" w:right="2274" w:bottom="2274" w:left="2274" w:header="1701" w:footer="720" w:gutter="0"/>
          <w:pgNumType w:start="1"/>
          <w:cols w:space="720"/>
          <w:titlePg/>
          <w:docGrid w:linePitch="326"/>
        </w:sectPr>
      </w:pPr>
    </w:p>
    <w:p w:rsidRPr="001F711C" w:rsidR="00D420F3" w:rsidP="001F711C">
      <w:pPr>
        <w:pStyle w:val="JuCase"/>
        <w:rPr>
          <w:bCs/>
        </w:rPr>
      </w:pPr>
      <w:r w:rsidRPr="001F711C">
        <w:t>In the case of Lingurar v. Romania,</w:t>
      </w:r>
    </w:p>
    <w:p w:rsidRPr="001F711C" w:rsidR="00D420F3" w:rsidP="001F711C">
      <w:pPr>
        <w:pStyle w:val="ECHRPara"/>
      </w:pPr>
      <w:r w:rsidRPr="001F711C">
        <w:t>The European Court of Human Rights (</w:t>
      </w:r>
      <w:r w:rsidRPr="001F711C" w:rsidR="004A52B2">
        <w:t>Fourth Section</w:t>
      </w:r>
      <w:r w:rsidRPr="001F711C">
        <w:t xml:space="preserve">), sitting as a </w:t>
      </w:r>
      <w:r w:rsidRPr="001F711C" w:rsidR="004A52B2">
        <w:t>Committee</w:t>
      </w:r>
      <w:r w:rsidRPr="001F711C">
        <w:t xml:space="preserve"> composed of:</w:t>
      </w:r>
    </w:p>
    <w:p w:rsidRPr="001F711C" w:rsidR="00D420F3" w:rsidP="001F711C">
      <w:pPr>
        <w:pStyle w:val="ECHRDecisionBody"/>
      </w:pPr>
      <w:r w:rsidRPr="001F711C">
        <w:tab/>
        <w:t>Paulo Pinto de Albuquerque,</w:t>
      </w:r>
      <w:r w:rsidRPr="001F711C">
        <w:rPr>
          <w:i/>
        </w:rPr>
        <w:t xml:space="preserve"> President,</w:t>
      </w:r>
      <w:r w:rsidRPr="001F711C">
        <w:rPr>
          <w:i/>
        </w:rPr>
        <w:br/>
      </w:r>
      <w:r w:rsidRPr="001F711C">
        <w:tab/>
        <w:t>Egidijus Kūris,</w:t>
      </w:r>
      <w:r w:rsidRPr="001F711C">
        <w:rPr>
          <w:i/>
        </w:rPr>
        <w:br/>
      </w:r>
      <w:r w:rsidRPr="001F711C">
        <w:tab/>
        <w:t>Iulia Antoanella Motoc,</w:t>
      </w:r>
      <w:r w:rsidRPr="001F711C">
        <w:rPr>
          <w:i/>
        </w:rPr>
        <w:t xml:space="preserve"> judges,</w:t>
      </w:r>
      <w:r w:rsidRPr="001F711C" w:rsidR="0077175D">
        <w:rPr>
          <w:szCs w:val="24"/>
        </w:rPr>
        <w:br/>
      </w:r>
      <w:r w:rsidRPr="001F711C" w:rsidR="0077175D">
        <w:t xml:space="preserve">and </w:t>
      </w:r>
      <w:r w:rsidRPr="001F711C" w:rsidR="004A52B2">
        <w:t>Andrea Tamietti</w:t>
      </w:r>
      <w:r w:rsidRPr="001F711C" w:rsidR="0077175D">
        <w:t xml:space="preserve">, </w:t>
      </w:r>
      <w:r w:rsidRPr="001F711C" w:rsidR="004A52B2">
        <w:rPr>
          <w:i/>
        </w:rPr>
        <w:t xml:space="preserve">Deputy Section </w:t>
      </w:r>
      <w:r w:rsidRPr="001F711C" w:rsidR="004A52B2">
        <w:rPr>
          <w:i/>
          <w:iCs/>
        </w:rPr>
        <w:t>Registrar</w:t>
      </w:r>
      <w:r w:rsidRPr="001F711C" w:rsidR="0077175D">
        <w:rPr>
          <w:i/>
        </w:rPr>
        <w:t>,</w:t>
      </w:r>
    </w:p>
    <w:p w:rsidRPr="001F711C" w:rsidR="00D420F3" w:rsidP="001F711C">
      <w:pPr>
        <w:pStyle w:val="ECHRPara"/>
      </w:pPr>
      <w:r w:rsidRPr="001F711C">
        <w:t xml:space="preserve">Having deliberated in private on </w:t>
      </w:r>
      <w:r w:rsidRPr="001F711C" w:rsidR="003F2925">
        <w:t>13 November 2018 and 26 March 2019</w:t>
      </w:r>
      <w:r w:rsidRPr="001F711C">
        <w:t>,</w:t>
      </w:r>
    </w:p>
    <w:p w:rsidRPr="001F711C" w:rsidR="00D420F3" w:rsidP="001F711C">
      <w:pPr>
        <w:pStyle w:val="ECHRPara"/>
      </w:pPr>
      <w:r w:rsidRPr="001F711C">
        <w:t xml:space="preserve">Delivers the following judgment, which was adopted on that </w:t>
      </w:r>
      <w:r w:rsidRPr="001F711C" w:rsidR="003F2925">
        <w:t xml:space="preserve">last mentioned </w:t>
      </w:r>
      <w:r w:rsidRPr="001F711C">
        <w:t>date:</w:t>
      </w:r>
    </w:p>
    <w:p w:rsidRPr="001F711C" w:rsidR="00D420F3" w:rsidP="001F711C">
      <w:pPr>
        <w:pStyle w:val="ECHRTitle1"/>
        <w:keepNext w:val="0"/>
        <w:keepLines w:val="0"/>
      </w:pPr>
      <w:r w:rsidRPr="001F711C">
        <w:t>PROCEDURE</w:t>
      </w:r>
    </w:p>
    <w:p w:rsidRPr="001F711C" w:rsidR="004A52B2"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1</w:t>
      </w:r>
      <w:r w:rsidRPr="001F711C">
        <w:fldChar w:fldCharType="end"/>
      </w:r>
      <w:r w:rsidRPr="001F711C">
        <w:t>.  </w:t>
      </w:r>
      <w:r w:rsidRPr="001F711C" w:rsidR="0077175D">
        <w:t xml:space="preserve">The case originated in </w:t>
      </w:r>
      <w:r w:rsidRPr="001F711C">
        <w:t>an application (no. 48474/14)</w:t>
      </w:r>
      <w:r w:rsidRPr="001F711C" w:rsidR="0077175D">
        <w:t xml:space="preserve"> against </w:t>
      </w:r>
      <w:r w:rsidRPr="001F711C">
        <w:t>Romania</w:t>
      </w:r>
      <w:r w:rsidRPr="001F711C" w:rsidR="0077175D">
        <w:t xml:space="preserve"> lodged with the </w:t>
      </w:r>
      <w:r w:rsidRPr="001F711C">
        <w:t>Court under Article 34</w:t>
      </w:r>
      <w:r w:rsidRPr="001F711C" w:rsidR="0077175D">
        <w:t xml:space="preserve"> of the Convention for the Protection of Human Rights and Fundamental Freedoms (“the Convention”) by </w:t>
      </w:r>
      <w:r w:rsidRPr="001F711C" w:rsidR="00812D0B">
        <w:t>four</w:t>
      </w:r>
      <w:r w:rsidRPr="001F711C">
        <w:t xml:space="preserve"> Romanian nationals (“the applicants”) on 28 June 2014</w:t>
      </w:r>
      <w:r w:rsidRPr="001F711C" w:rsidR="0077175D">
        <w:t>.</w:t>
      </w:r>
      <w:r w:rsidRPr="001F711C" w:rsidR="00812D0B">
        <w:t xml:space="preserve"> A list of the applicants is set out in the appendix.</w:t>
      </w:r>
    </w:p>
    <w:p w:rsidRPr="001F711C" w:rsidR="00D420F3"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2</w:t>
      </w:r>
      <w:r w:rsidRPr="001F711C">
        <w:fldChar w:fldCharType="end"/>
      </w:r>
      <w:r w:rsidRPr="001F711C" w:rsidR="0077175D">
        <w:t>.  </w:t>
      </w:r>
      <w:r w:rsidRPr="001F711C">
        <w:t xml:space="preserve">The applicants </w:t>
      </w:r>
      <w:r w:rsidRPr="001F711C" w:rsidR="00812D0B">
        <w:t>were represented by Ms M. Voinescu</w:t>
      </w:r>
      <w:r w:rsidRPr="001F711C" w:rsidR="00202534">
        <w:t>,</w:t>
      </w:r>
      <w:r w:rsidRPr="001F711C" w:rsidR="00812D0B">
        <w:t xml:space="preserve"> a lawyer practi</w:t>
      </w:r>
      <w:r w:rsidRPr="001F711C" w:rsidR="00202534">
        <w:t>s</w:t>
      </w:r>
      <w:r w:rsidRPr="001F711C" w:rsidR="00812D0B">
        <w:t>ing in Bra</w:t>
      </w:r>
      <w:r w:rsidRPr="001F711C" w:rsidR="00812D0B">
        <w:rPr>
          <w:rFonts w:cstheme="minorHAnsi"/>
        </w:rPr>
        <w:t>ş</w:t>
      </w:r>
      <w:r w:rsidRPr="001F711C" w:rsidR="00812D0B">
        <w:t>ov</w:t>
      </w:r>
      <w:r w:rsidRPr="001F711C" w:rsidR="00202534">
        <w:t>,</w:t>
      </w:r>
      <w:r w:rsidRPr="001F711C" w:rsidR="00812D0B">
        <w:t xml:space="preserve"> and by Romano CRISS, </w:t>
      </w:r>
      <w:r w:rsidRPr="001F711C" w:rsidR="00EF66D5">
        <w:t>a non-</w:t>
      </w:r>
      <w:r w:rsidRPr="001F711C" w:rsidR="00812D0B">
        <w:t>governmental organisation based in Romania. The Romanian Government (“the Government”) were represented by their Agent, Ms</w:t>
      </w:r>
      <w:r w:rsidRPr="001F711C" w:rsidR="00EF66D5">
        <w:t xml:space="preserve"> </w:t>
      </w:r>
      <w:r w:rsidRPr="001F711C" w:rsidR="00812D0B">
        <w:t>C.</w:t>
      </w:r>
      <w:r w:rsidRPr="001F711C" w:rsidR="00EF66D5">
        <w:t xml:space="preserve"> </w:t>
      </w:r>
      <w:r w:rsidRPr="001F711C" w:rsidR="00812D0B">
        <w:t>Brumar, from the Ministry of Foreign Affairs.</w:t>
      </w:r>
    </w:p>
    <w:p w:rsidRPr="001F711C" w:rsidR="00D420F3"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3</w:t>
      </w:r>
      <w:r w:rsidRPr="001F711C">
        <w:fldChar w:fldCharType="end"/>
      </w:r>
      <w:r w:rsidRPr="001F711C" w:rsidR="0077175D">
        <w:t>.  </w:t>
      </w:r>
      <w:r w:rsidRPr="001F711C">
        <w:t xml:space="preserve">On </w:t>
      </w:r>
      <w:r w:rsidRPr="001F711C">
        <w:rPr>
          <w:szCs w:val="24"/>
        </w:rPr>
        <w:t>22 April 2015</w:t>
      </w:r>
      <w:r w:rsidRPr="001F711C" w:rsidR="0077175D">
        <w:t xml:space="preserve"> the </w:t>
      </w:r>
      <w:r w:rsidRPr="001F711C">
        <w:rPr>
          <w:szCs w:val="24"/>
        </w:rPr>
        <w:t>application was communicated to the Government</w:t>
      </w:r>
      <w:r w:rsidRPr="001F711C" w:rsidR="0077175D">
        <w:t>.</w:t>
      </w:r>
    </w:p>
    <w:p w:rsidRPr="001F711C" w:rsidR="00812D0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4</w:t>
      </w:r>
      <w:r w:rsidRPr="001F711C">
        <w:fldChar w:fldCharType="end"/>
      </w:r>
      <w:r w:rsidRPr="001F711C">
        <w:t>.  On 24 August 2015, under Article 36 § 2 of the Convention and Rule 44</w:t>
      </w:r>
      <w:r w:rsidRPr="001F711C" w:rsidR="00EF66D5">
        <w:t> </w:t>
      </w:r>
      <w:r w:rsidRPr="001F711C">
        <w:t>§</w:t>
      </w:r>
      <w:r w:rsidRPr="001F711C" w:rsidR="00EF66D5">
        <w:t> </w:t>
      </w:r>
      <w:r w:rsidRPr="001F711C">
        <w:t>3 of the Rules of Court, the President of the Section granted the European Roma Rights Centre (“the ERRC”) leave to intervene as a third party in the proceedings.</w:t>
      </w:r>
    </w:p>
    <w:p w:rsidRPr="001F711C" w:rsidR="00D420F3" w:rsidP="001F711C">
      <w:pPr>
        <w:pStyle w:val="ECHRTitle1"/>
        <w:keepNext w:val="0"/>
        <w:keepLines w:val="0"/>
      </w:pPr>
      <w:r w:rsidRPr="001F711C">
        <w:t>THE FACTS</w:t>
      </w:r>
    </w:p>
    <w:p w:rsidRPr="001F711C" w:rsidR="00D420F3" w:rsidP="001F711C">
      <w:pPr>
        <w:pStyle w:val="ECHRHeading1"/>
        <w:keepNext w:val="0"/>
        <w:keepLines w:val="0"/>
      </w:pPr>
      <w:r w:rsidRPr="001F711C">
        <w:t>I.  THE CIRCUMSTANCES OF THE CASE</w:t>
      </w:r>
    </w:p>
    <w:p w:rsidRPr="001F711C" w:rsidR="00D420F3"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5</w:t>
      </w:r>
      <w:r w:rsidRPr="001F711C">
        <w:fldChar w:fldCharType="end"/>
      </w:r>
      <w:r w:rsidRPr="001F711C" w:rsidR="0077175D">
        <w:t>.  </w:t>
      </w:r>
      <w:r w:rsidRPr="001F711C" w:rsidR="00642D2A">
        <w:t>The applicants are all Roma who live in Vâlcele.</w:t>
      </w:r>
    </w:p>
    <w:p w:rsidRPr="001F711C" w:rsidR="00642D2A" w:rsidP="001F711C">
      <w:pPr>
        <w:pStyle w:val="ECHRHeading2"/>
        <w:outlineLvl w:val="0"/>
      </w:pPr>
      <w:r w:rsidRPr="001F711C">
        <w:t xml:space="preserve">A.  The </w:t>
      </w:r>
      <w:r w:rsidRPr="001F711C" w:rsidR="00791983">
        <w:t>police raid</w:t>
      </w:r>
      <w:r w:rsidRPr="001F711C">
        <w:t xml:space="preserve"> of 15 December 2011</w:t>
      </w:r>
    </w:p>
    <w:p w:rsidRPr="001F711C" w:rsidR="00642D2A" w:rsidP="001F711C">
      <w:pPr>
        <w:pStyle w:val="ECHRHeading3"/>
      </w:pPr>
      <w:r w:rsidRPr="001F711C">
        <w:t>1.  The applicants</w:t>
      </w:r>
      <w:r w:rsidRPr="001F711C" w:rsidR="001F711C">
        <w:t>’</w:t>
      </w:r>
      <w:r w:rsidRPr="001F711C">
        <w:t xml:space="preserve"> version</w:t>
      </w:r>
    </w:p>
    <w:bookmarkStart w:name="para6" w:id="2"/>
    <w:p w:rsidRPr="001F711C" w:rsidR="002E2E5B" w:rsidP="001F711C">
      <w:pPr>
        <w:pStyle w:val="ECHRPara"/>
        <w:keepNext/>
        <w:keepLines/>
      </w:pPr>
      <w:r w:rsidRPr="001F711C">
        <w:fldChar w:fldCharType="begin"/>
      </w:r>
      <w:r w:rsidRPr="001F711C">
        <w:instrText xml:space="preserve"> SEQ level0 \*arabic </w:instrText>
      </w:r>
      <w:r w:rsidRPr="001F711C">
        <w:fldChar w:fldCharType="separate"/>
      </w:r>
      <w:r w:rsidRPr="001F711C" w:rsidR="001F711C">
        <w:rPr>
          <w:noProof/>
        </w:rPr>
        <w:t>6</w:t>
      </w:r>
      <w:r w:rsidRPr="001F711C">
        <w:fldChar w:fldCharType="end"/>
      </w:r>
      <w:bookmarkEnd w:id="2"/>
      <w:r w:rsidRPr="001F711C">
        <w:t>.  </w:t>
      </w:r>
      <w:r w:rsidRPr="001F711C" w:rsidR="00202534">
        <w:t>At around 5 a.m. on</w:t>
      </w:r>
      <w:r w:rsidRPr="001F711C">
        <w:t xml:space="preserve"> the morning of 15 December 2011 several police </w:t>
      </w:r>
      <w:r w:rsidRPr="001F711C" w:rsidR="00202534">
        <w:t xml:space="preserve">officers </w:t>
      </w:r>
      <w:r w:rsidRPr="001F711C">
        <w:t>and gendarmes</w:t>
      </w:r>
      <w:r w:rsidRPr="001F711C" w:rsidR="00202534">
        <w:t>,</w:t>
      </w:r>
      <w:r w:rsidRPr="001F711C">
        <w:t xml:space="preserve"> together with the local forest ranger – all wearing special intervention clothing – knocked on the applicants</w:t>
      </w:r>
      <w:r w:rsidRPr="001F711C" w:rsidR="001F711C">
        <w:t>’</w:t>
      </w:r>
      <w:r w:rsidRPr="001F711C">
        <w:t xml:space="preserve"> door</w:t>
      </w:r>
      <w:r w:rsidRPr="001F711C" w:rsidR="00202534">
        <w:t>, claiming to be</w:t>
      </w:r>
      <w:r w:rsidRPr="001F711C">
        <w:t xml:space="preserve"> their neighbours. As the applicants hesitated, they broke down the unlocked front door and entered by force. Upon entering</w:t>
      </w:r>
      <w:r w:rsidRPr="001F711C" w:rsidR="00202534">
        <w:t xml:space="preserve"> the applicants</w:t>
      </w:r>
      <w:r w:rsidRPr="001F711C" w:rsidR="001F711C">
        <w:t>’</w:t>
      </w:r>
      <w:r w:rsidRPr="001F711C" w:rsidR="00202534">
        <w:t xml:space="preserve"> home,</w:t>
      </w:r>
      <w:r w:rsidRPr="001F711C">
        <w:t xml:space="preserve"> the forest ranger placed a balaclava on his head. The police </w:t>
      </w:r>
      <w:r w:rsidRPr="001F711C" w:rsidR="003A0F58">
        <w:t xml:space="preserve">officers </w:t>
      </w:r>
      <w:r w:rsidRPr="001F711C">
        <w:t>also wore balaclavas.</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7</w:t>
      </w:r>
      <w:r w:rsidRPr="001F711C">
        <w:fldChar w:fldCharType="end"/>
      </w:r>
      <w:r w:rsidRPr="001F711C">
        <w:t>.  In the first room the</w:t>
      </w:r>
      <w:r w:rsidRPr="001F711C" w:rsidR="003A0F58">
        <w:t xml:space="preserve"> police </w:t>
      </w:r>
      <w:r w:rsidRPr="001F711C">
        <w:t>found the fourth applicant</w:t>
      </w:r>
      <w:r w:rsidRPr="001F711C" w:rsidR="004A2007">
        <w:t xml:space="preserve"> (Ms</w:t>
      </w:r>
      <w:r w:rsidRPr="001F711C" w:rsidR="00EF66D5">
        <w:t> Elena </w:t>
      </w:r>
      <w:r w:rsidRPr="001F711C" w:rsidR="004A2007">
        <w:t>Lingurar)</w:t>
      </w:r>
      <w:r w:rsidRPr="001F711C">
        <w:t xml:space="preserve">, her daughter </w:t>
      </w:r>
      <w:r w:rsidRPr="001F711C" w:rsidR="0042288A">
        <w:t>(</w:t>
      </w:r>
      <w:r w:rsidRPr="001F711C">
        <w:t>the second applicant</w:t>
      </w:r>
      <w:r w:rsidRPr="001F711C" w:rsidR="0042288A">
        <w:t>,</w:t>
      </w:r>
      <w:r w:rsidRPr="001F711C">
        <w:t xml:space="preserve"> </w:t>
      </w:r>
      <w:r w:rsidRPr="001F711C" w:rsidR="00EF66D5">
        <w:t>Ms Ana </w:t>
      </w:r>
      <w:r w:rsidRPr="001F711C" w:rsidR="004A2007">
        <w:t>Maria</w:t>
      </w:r>
      <w:r w:rsidRPr="001F711C" w:rsidR="00EF66D5">
        <w:t> </w:t>
      </w:r>
      <w:r w:rsidRPr="001F711C" w:rsidR="004A2007">
        <w:t xml:space="preserve">Lingurar) </w:t>
      </w:r>
      <w:r w:rsidRPr="001F711C" w:rsidR="00EF66D5">
        <w:t>and her daughter-</w:t>
      </w:r>
      <w:r w:rsidRPr="001F711C">
        <w:t>in</w:t>
      </w:r>
      <w:r w:rsidRPr="001F711C" w:rsidR="00EF66D5">
        <w:t>-</w:t>
      </w:r>
      <w:r w:rsidRPr="001F711C">
        <w:t xml:space="preserve">law with a seven-month-old baby in her arms. The police dragged the two applicants out of their beds and started hitting them. The fourth applicant was hit on her collar bone with </w:t>
      </w:r>
      <w:r w:rsidRPr="001F711C" w:rsidR="003A0F58">
        <w:t xml:space="preserve">a </w:t>
      </w:r>
      <w:r w:rsidRPr="001F711C">
        <w:t xml:space="preserve">police truncheon. When the second applicant asked the police why they were beating her mother, she was hit </w:t>
      </w:r>
      <w:r w:rsidRPr="001F711C" w:rsidR="003A0F58">
        <w:t xml:space="preserve">in the </w:t>
      </w:r>
      <w:r w:rsidRPr="001F711C">
        <w:t>mouth and then forced to wash her face to remove the traces of blood.</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8</w:t>
      </w:r>
      <w:r w:rsidRPr="001F711C">
        <w:fldChar w:fldCharType="end"/>
      </w:r>
      <w:r w:rsidRPr="001F711C">
        <w:t>.  </w:t>
      </w:r>
      <w:r w:rsidRPr="001F711C" w:rsidR="003A0F58">
        <w:t>When t</w:t>
      </w:r>
      <w:r w:rsidRPr="001F711C">
        <w:t>he police entered the next room they found the third applicant</w:t>
      </w:r>
      <w:r w:rsidRPr="001F711C" w:rsidR="00EF66D5">
        <w:t xml:space="preserve"> (Mr </w:t>
      </w:r>
      <w:r w:rsidRPr="001F711C" w:rsidR="0042288A">
        <w:t>Aron</w:t>
      </w:r>
      <w:r w:rsidRPr="001F711C" w:rsidR="00EF66D5">
        <w:t> </w:t>
      </w:r>
      <w:r w:rsidRPr="001F711C" w:rsidR="0042288A">
        <w:t>Lingurar, born in 1985)</w:t>
      </w:r>
      <w:r w:rsidRPr="001F711C">
        <w:t xml:space="preserve"> with his wife. They dragged him on</w:t>
      </w:r>
      <w:r w:rsidRPr="001F711C" w:rsidR="003A0F58">
        <w:t>to</w:t>
      </w:r>
      <w:r w:rsidRPr="001F711C">
        <w:t xml:space="preserve"> the ground, kicked him and shouted abuse. The first applicant</w:t>
      </w:r>
      <w:r w:rsidRPr="001F711C" w:rsidR="0042288A">
        <w:t xml:space="preserve"> (Mr</w:t>
      </w:r>
      <w:r w:rsidRPr="001F711C" w:rsidR="00EF66D5">
        <w:t> </w:t>
      </w:r>
      <w:r w:rsidRPr="001F711C" w:rsidR="0042288A">
        <w:t>Aron</w:t>
      </w:r>
      <w:r w:rsidRPr="001F711C" w:rsidR="00EF66D5">
        <w:t> </w:t>
      </w:r>
      <w:r w:rsidRPr="001F711C" w:rsidR="0042288A">
        <w:t>Lingurar, born in 1949)</w:t>
      </w:r>
      <w:r w:rsidRPr="001F711C">
        <w:t xml:space="preserve"> was also </w:t>
      </w:r>
      <w:r w:rsidRPr="001F711C" w:rsidR="003A0F58">
        <w:t xml:space="preserve">taken </w:t>
      </w:r>
      <w:r w:rsidRPr="001F711C">
        <w:t>in</w:t>
      </w:r>
      <w:r w:rsidRPr="001F711C" w:rsidR="003A0F58">
        <w:t>to</w:t>
      </w:r>
      <w:r w:rsidRPr="001F711C">
        <w:t xml:space="preserve"> that room. He </w:t>
      </w:r>
      <w:r w:rsidRPr="001F711C" w:rsidR="00D03428">
        <w:t xml:space="preserve">had also </w:t>
      </w:r>
      <w:r w:rsidRPr="001F711C">
        <w:t xml:space="preserve">been beaten by </w:t>
      </w:r>
      <w:r w:rsidRPr="001F711C" w:rsidR="003A0F58">
        <w:t xml:space="preserve">the </w:t>
      </w:r>
      <w:r w:rsidRPr="001F711C">
        <w:t>police.</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9</w:t>
      </w:r>
      <w:r w:rsidRPr="001F711C">
        <w:fldChar w:fldCharType="end"/>
      </w:r>
      <w:r w:rsidRPr="001F711C">
        <w:t xml:space="preserve">.  Without allowing them to put any clothes on, the police took the first and third applicants out </w:t>
      </w:r>
      <w:r w:rsidRPr="001F711C" w:rsidR="00B82812">
        <w:t>in</w:t>
      </w:r>
      <w:r w:rsidRPr="001F711C">
        <w:t>to the yard, pushed them on</w:t>
      </w:r>
      <w:r w:rsidRPr="001F711C" w:rsidR="00B82812">
        <w:t>to</w:t>
      </w:r>
      <w:r w:rsidRPr="001F711C">
        <w:t xml:space="preserve"> the ground and hit them. They </w:t>
      </w:r>
      <w:r w:rsidRPr="001F711C" w:rsidR="00B82812">
        <w:t xml:space="preserve">then </w:t>
      </w:r>
      <w:r w:rsidRPr="001F711C">
        <w:t>put the</w:t>
      </w:r>
      <w:r w:rsidRPr="001F711C" w:rsidR="00B82812">
        <w:t>m</w:t>
      </w:r>
      <w:r w:rsidRPr="001F711C">
        <w:t xml:space="preserve"> in </w:t>
      </w:r>
      <w:r w:rsidRPr="001F711C" w:rsidR="00B82812">
        <w:t xml:space="preserve">a </w:t>
      </w:r>
      <w:r w:rsidRPr="001F711C">
        <w:t>police car</w:t>
      </w:r>
      <w:r w:rsidRPr="001F711C" w:rsidR="00B82812">
        <w:t>,</w:t>
      </w:r>
      <w:r w:rsidRPr="001F711C">
        <w:t xml:space="preserve"> where the violence continued. The fourth applicant was not allowed to approach them or </w:t>
      </w:r>
      <w:r w:rsidRPr="001F711C" w:rsidR="00466ABA">
        <w:t xml:space="preserve">take </w:t>
      </w:r>
      <w:r w:rsidRPr="001F711C">
        <w:t>them clothes.</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10</w:t>
      </w:r>
      <w:r w:rsidRPr="001F711C">
        <w:fldChar w:fldCharType="end"/>
      </w:r>
      <w:r w:rsidRPr="001F711C">
        <w:t xml:space="preserve">.  The first and third applicants were taken to </w:t>
      </w:r>
      <w:r w:rsidRPr="001F711C" w:rsidR="00B82812">
        <w:t xml:space="preserve">a </w:t>
      </w:r>
      <w:r w:rsidRPr="001F711C">
        <w:t>police station</w:t>
      </w:r>
      <w:r w:rsidRPr="001F711C" w:rsidR="00B82812">
        <w:t>,</w:t>
      </w:r>
      <w:r w:rsidRPr="001F711C">
        <w:t xml:space="preserve"> where they gave their statements. They were fined and sent back home.</w:t>
      </w:r>
    </w:p>
    <w:p w:rsidRPr="001F711C" w:rsidR="00791983" w:rsidP="001F711C">
      <w:pPr>
        <w:pStyle w:val="ECHRHeading3"/>
        <w:keepNext w:val="0"/>
        <w:keepLines w:val="0"/>
      </w:pPr>
      <w:r w:rsidRPr="001F711C">
        <w:t>2.  The Government</w:t>
      </w:r>
      <w:r w:rsidRPr="001F711C" w:rsidR="001F711C">
        <w:t>’</w:t>
      </w:r>
      <w:r w:rsidRPr="001F711C">
        <w:t>s version</w:t>
      </w:r>
    </w:p>
    <w:bookmarkStart w:name="forest_ranger_report" w:id="3"/>
    <w:p w:rsidRPr="001F711C" w:rsidR="00791983"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11</w:t>
      </w:r>
      <w:r w:rsidRPr="001F711C">
        <w:fldChar w:fldCharType="end"/>
      </w:r>
      <w:bookmarkEnd w:id="3"/>
      <w:r w:rsidRPr="001F711C">
        <w:t>.  On 12 December 201</w:t>
      </w:r>
      <w:r w:rsidRPr="001F711C" w:rsidR="006F678F">
        <w:t>1</w:t>
      </w:r>
      <w:r w:rsidRPr="001F711C">
        <w:t xml:space="preserve"> </w:t>
      </w:r>
      <w:r w:rsidRPr="001F711C" w:rsidR="006F678F">
        <w:t xml:space="preserve">a </w:t>
      </w:r>
      <w:r w:rsidRPr="001F711C">
        <w:t>forest ranger info</w:t>
      </w:r>
      <w:r w:rsidRPr="001F711C" w:rsidR="00EF66D5">
        <w:t xml:space="preserve">rmed the Araci police that on 7 </w:t>
      </w:r>
      <w:r w:rsidRPr="001F711C">
        <w:t xml:space="preserve">December 2011 the first applicant had </w:t>
      </w:r>
      <w:r w:rsidRPr="001F711C" w:rsidR="006F678F">
        <w:t xml:space="preserve">taken </w:t>
      </w:r>
      <w:r w:rsidRPr="001F711C">
        <w:t xml:space="preserve">home timber which had been illegally cut from the forest. When confronted by forest rangers, the first applicant had become aggressive. The forest ranger explained that the first applicant had exhibited </w:t>
      </w:r>
      <w:r w:rsidRPr="001F711C" w:rsidR="006F678F">
        <w:t xml:space="preserve">a </w:t>
      </w:r>
      <w:r w:rsidRPr="001F711C">
        <w:t xml:space="preserve">hostile attitude towards the forest rangers ever since his son, the third applicant, had been fined by the police, in spring 2011. He </w:t>
      </w:r>
      <w:r w:rsidRPr="001F711C" w:rsidR="006F678F">
        <w:t xml:space="preserve">submitted </w:t>
      </w:r>
      <w:r w:rsidRPr="001F711C">
        <w:t xml:space="preserve">that the first applicant </w:t>
      </w:r>
      <w:r w:rsidRPr="001F711C" w:rsidR="006F678F">
        <w:t xml:space="preserve">had </w:t>
      </w:r>
      <w:r w:rsidRPr="001F711C">
        <w:t>set a bad example for his community:</w:t>
      </w:r>
    </w:p>
    <w:p w:rsidRPr="001F711C" w:rsidR="002E2E5B" w:rsidP="001F711C">
      <w:pPr>
        <w:pStyle w:val="ECHRParaQuote"/>
      </w:pPr>
      <w:r w:rsidRPr="001F711C">
        <w:t xml:space="preserve">“We consider that Mr Lingurar Aron, who sees himself as being the leader of the Roma in Vâlcele, </w:t>
      </w:r>
      <w:r w:rsidRPr="001F711C" w:rsidR="006F678F">
        <w:t xml:space="preserve">by </w:t>
      </w:r>
      <w:r w:rsidRPr="001F711C">
        <w:t xml:space="preserve">his attitude, instead of helping us solve the problems connected </w:t>
      </w:r>
      <w:r w:rsidRPr="001F711C">
        <w:t xml:space="preserve">with the Roma community in Vâlcele – which in fact is more peaceful and </w:t>
      </w:r>
      <w:r w:rsidRPr="001F711C" w:rsidR="00EF66D5">
        <w:br/>
      </w:r>
      <w:r w:rsidRPr="001F711C">
        <w:t>hard</w:t>
      </w:r>
      <w:r w:rsidRPr="001F711C" w:rsidR="00EF66D5">
        <w:t>-</w:t>
      </w:r>
      <w:r w:rsidRPr="001F711C">
        <w:t xml:space="preserve">working </w:t>
      </w:r>
      <w:r w:rsidRPr="001F711C" w:rsidR="00466ABA">
        <w:t xml:space="preserve">than </w:t>
      </w:r>
      <w:r w:rsidRPr="001F711C">
        <w:t>the community in Araci – creates more problems with the example he sets for the others.”</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12</w:t>
      </w:r>
      <w:r w:rsidRPr="001F711C">
        <w:fldChar w:fldCharType="end"/>
      </w:r>
      <w:r w:rsidRPr="001F711C">
        <w:t>.  In this context, and in order to reduce and prevent the criminal activity, to strengthen citizens</w:t>
      </w:r>
      <w:r w:rsidRPr="001F711C" w:rsidR="001F711C">
        <w:t>’</w:t>
      </w:r>
      <w:r w:rsidRPr="001F711C">
        <w:t xml:space="preserve"> safety, to identify individuals without identity documents, to summon </w:t>
      </w:r>
      <w:r w:rsidRPr="001F711C" w:rsidR="006F678F">
        <w:t xml:space="preserve">those </w:t>
      </w:r>
      <w:r w:rsidRPr="001F711C">
        <w:t>suspect</w:t>
      </w:r>
      <w:r w:rsidRPr="001F711C" w:rsidR="006F678F">
        <w:t>ed</w:t>
      </w:r>
      <w:r w:rsidRPr="001F711C">
        <w:t xml:space="preserve"> of </w:t>
      </w:r>
      <w:r w:rsidRPr="001F711C" w:rsidR="006F678F">
        <w:t xml:space="preserve">having committed </w:t>
      </w:r>
      <w:r w:rsidRPr="001F711C">
        <w:t xml:space="preserve">several crimes and to recover stolen goods, the </w:t>
      </w:r>
      <w:r w:rsidRPr="001F711C" w:rsidR="00EF66D5">
        <w:t>police organised the raid of 15 </w:t>
      </w:r>
      <w:r w:rsidRPr="001F711C">
        <w:t>December</w:t>
      </w:r>
      <w:r w:rsidRPr="001F711C" w:rsidR="00EF66D5">
        <w:t> </w:t>
      </w:r>
      <w:r w:rsidRPr="001F711C">
        <w:t>2011.</w:t>
      </w:r>
    </w:p>
    <w:bookmarkStart w:name="police_intervention_plan" w:id="4"/>
    <w:p w:rsidRPr="001F711C" w:rsidR="00642D2A"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13</w:t>
      </w:r>
      <w:r w:rsidRPr="001F711C">
        <w:fldChar w:fldCharType="end"/>
      </w:r>
      <w:bookmarkEnd w:id="4"/>
      <w:r w:rsidRPr="001F711C">
        <w:t>.  </w:t>
      </w:r>
      <w:r w:rsidRPr="001F711C" w:rsidR="00791983">
        <w:t>On 14 December 2011</w:t>
      </w:r>
      <w:r w:rsidRPr="001F711C">
        <w:t xml:space="preserve"> </w:t>
      </w:r>
      <w:r w:rsidRPr="001F711C" w:rsidR="00791983">
        <w:t xml:space="preserve">the </w:t>
      </w:r>
      <w:r w:rsidRPr="001F711C">
        <w:t xml:space="preserve">Covasna </w:t>
      </w:r>
      <w:r w:rsidRPr="001F711C" w:rsidR="006F678F">
        <w:t xml:space="preserve">Inspectorate of </w:t>
      </w:r>
      <w:r w:rsidRPr="001F711C">
        <w:t>Police (</w:t>
      </w:r>
      <w:r w:rsidRPr="001F711C" w:rsidR="00EF66D5">
        <w:rPr>
          <w:i/>
        </w:rPr>
        <w:t>Inspectoratul de Poliție Județ</w:t>
      </w:r>
      <w:r w:rsidRPr="001F711C">
        <w:rPr>
          <w:i/>
        </w:rPr>
        <w:t xml:space="preserve">ean Covasna; </w:t>
      </w:r>
      <w:r w:rsidRPr="001F711C" w:rsidR="006F678F">
        <w:t xml:space="preserve">hereinafter </w:t>
      </w:r>
      <w:r w:rsidRPr="001F711C">
        <w:t>“</w:t>
      </w:r>
      <w:r w:rsidRPr="001F711C" w:rsidR="006F678F">
        <w:t xml:space="preserve">the </w:t>
      </w:r>
      <w:r w:rsidRPr="001F711C">
        <w:t>IPJ”)</w:t>
      </w:r>
      <w:r w:rsidRPr="001F711C" w:rsidR="00791983">
        <w:t xml:space="preserve"> drafted an intervention plan </w:t>
      </w:r>
      <w:r w:rsidRPr="001F711C" w:rsidR="00466ABA">
        <w:t xml:space="preserve">with a view to carrying out </w:t>
      </w:r>
      <w:r w:rsidRPr="001F711C" w:rsidR="00791983">
        <w:t xml:space="preserve">a raid in the villages </w:t>
      </w:r>
      <w:r w:rsidRPr="001F711C" w:rsidR="006F678F">
        <w:t xml:space="preserve">in </w:t>
      </w:r>
      <w:r w:rsidRPr="001F711C" w:rsidR="00791983">
        <w:t xml:space="preserve">the municipality of Vâlcele. </w:t>
      </w:r>
      <w:r w:rsidRPr="001F711C" w:rsidR="00466ABA">
        <w:t xml:space="preserve">Describing </w:t>
      </w:r>
      <w:r w:rsidRPr="001F711C">
        <w:t>the population of the applicants</w:t>
      </w:r>
      <w:r w:rsidRPr="001F711C" w:rsidR="001F711C">
        <w:t>’</w:t>
      </w:r>
      <w:r w:rsidRPr="001F711C">
        <w:t xml:space="preserve"> village</w:t>
      </w:r>
      <w:r w:rsidRPr="001F711C" w:rsidR="00466ABA">
        <w:t>,</w:t>
      </w:r>
      <w:r w:rsidRPr="001F711C">
        <w:t xml:space="preserve"> </w:t>
      </w:r>
      <w:r w:rsidRPr="001F711C" w:rsidR="00466ABA">
        <w:t>the plan stated that</w:t>
      </w:r>
      <w:r w:rsidRPr="001F711C">
        <w:t xml:space="preserve"> out of 4,311 inhabitants, 826 had been released on parole, 432 had a criminal record, and 600 had been found guilty of violent crimes. The general context was described as follows:</w:t>
      </w:r>
    </w:p>
    <w:p w:rsidRPr="001F711C" w:rsidR="00642D2A" w:rsidP="001F711C">
      <w:pPr>
        <w:pStyle w:val="ECHRParaQuote"/>
      </w:pPr>
      <w:r w:rsidRPr="001F711C">
        <w:t>“The Vâlcele municipality consists of the villages Vâlcele, Araci, Hetea, and Ariu</w:t>
      </w:r>
      <w:r w:rsidRPr="001F711C">
        <w:rPr>
          <w:rFonts w:cstheme="minorHAnsi"/>
        </w:rPr>
        <w:t>ş</w:t>
      </w:r>
      <w:r w:rsidRPr="001F711C">
        <w:t xml:space="preserve">d. Out of </w:t>
      </w:r>
      <w:r w:rsidRPr="001F711C" w:rsidR="00D61E8B">
        <w:t xml:space="preserve">a </w:t>
      </w:r>
      <w:r w:rsidRPr="001F711C">
        <w:t xml:space="preserve">total population of 4,300 inhabitants, 2,902 are of Roma ethnicity. Most of the members of this ethnicity do not have a steady income and make ends meet from social benefits, </w:t>
      </w:r>
      <w:r w:rsidRPr="001F711C" w:rsidR="00D61E8B">
        <w:t xml:space="preserve">the </w:t>
      </w:r>
      <w:r w:rsidRPr="001F711C">
        <w:t xml:space="preserve">sale of timber stolen from the forest, seasonal and occasional work, and from crime – mostly thefts. </w:t>
      </w:r>
      <w:r w:rsidRPr="001F711C" w:rsidR="002E2E5B">
        <w:t>...</w:t>
      </w:r>
    </w:p>
    <w:p w:rsidRPr="001F711C" w:rsidR="00642D2A" w:rsidP="001F711C">
      <w:pPr>
        <w:pStyle w:val="ECHRParaQuote"/>
      </w:pPr>
      <w:r w:rsidRPr="001F711C">
        <w:t>Of the individuals having committed crimes in 2011, it appears that 80% are of Roma ethnicity, with a variety of</w:t>
      </w:r>
      <w:r w:rsidRPr="001F711C" w:rsidR="00D61E8B">
        <w:t xml:space="preserve"> offences</w:t>
      </w:r>
      <w:r w:rsidRPr="001F711C">
        <w:t xml:space="preserve">. </w:t>
      </w:r>
      <w:r w:rsidRPr="001F711C" w:rsidR="002E2E5B">
        <w:t>...</w:t>
      </w:r>
    </w:p>
    <w:p w:rsidRPr="001F711C" w:rsidR="00642D2A" w:rsidP="001F711C">
      <w:pPr>
        <w:pStyle w:val="ECHRParaQuote"/>
      </w:pPr>
      <w:r w:rsidRPr="001F711C">
        <w:t>As a result of the preventive activity carried out by the [IPJ] in Araci village, six criminal groups ha</w:t>
      </w:r>
      <w:r w:rsidRPr="001F711C" w:rsidR="00D61E8B">
        <w:t>ve</w:t>
      </w:r>
      <w:r w:rsidRPr="001F711C">
        <w:t xml:space="preserve"> been identified, made up of members of Roma families R., B., C., G., L., and N. [nb: the applicants</w:t>
      </w:r>
      <w:r w:rsidRPr="001F711C" w:rsidR="001F711C">
        <w:t>’</w:t>
      </w:r>
      <w:r w:rsidRPr="001F711C">
        <w:t xml:space="preserve"> family is not mentioned among them]”</w:t>
      </w:r>
    </w:p>
    <w:bookmarkStart w:name="para14" w:id="5"/>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14</w:t>
      </w:r>
      <w:r w:rsidRPr="001F711C">
        <w:fldChar w:fldCharType="end"/>
      </w:r>
      <w:bookmarkEnd w:id="5"/>
      <w:r w:rsidRPr="001F711C">
        <w:t>.  </w:t>
      </w:r>
      <w:r w:rsidRPr="001F711C" w:rsidR="00D61E8B">
        <w:t>Given</w:t>
      </w:r>
      <w:r w:rsidRPr="001F711C" w:rsidR="00642D2A">
        <w:t xml:space="preserve"> the range of issues to be tackle</w:t>
      </w:r>
      <w:r w:rsidRPr="001F711C" w:rsidR="00D61E8B">
        <w:t>d</w:t>
      </w:r>
      <w:r w:rsidRPr="001F711C" w:rsidR="00642D2A">
        <w:t xml:space="preserve"> and the goals of the raid, the intervention involved: </w:t>
      </w:r>
      <w:r w:rsidRPr="001F711C" w:rsidR="00D61E8B">
        <w:t>fifty-three</w:t>
      </w:r>
      <w:r w:rsidRPr="001F711C" w:rsidR="00642D2A">
        <w:t xml:space="preserve"> police officers (</w:t>
      </w:r>
      <w:r w:rsidRPr="001F711C" w:rsidR="00D61E8B">
        <w:t>eleven</w:t>
      </w:r>
      <w:r w:rsidRPr="001F711C" w:rsidR="00642D2A">
        <w:t xml:space="preserve"> from the department for public order, </w:t>
      </w:r>
      <w:r w:rsidRPr="001F711C" w:rsidR="00D61E8B">
        <w:t xml:space="preserve">four </w:t>
      </w:r>
      <w:r w:rsidRPr="001F711C" w:rsidR="00642D2A">
        <w:t xml:space="preserve">from the department for criminal investigations, </w:t>
      </w:r>
      <w:r w:rsidRPr="001F711C" w:rsidR="00D61E8B">
        <w:t>eighteen</w:t>
      </w:r>
      <w:r w:rsidRPr="001F711C" w:rsidR="00642D2A">
        <w:t xml:space="preserve"> from the Sfântu Gheorghe police depar</w:t>
      </w:r>
      <w:r w:rsidRPr="001F711C">
        <w:t xml:space="preserve">tment, </w:t>
      </w:r>
      <w:r w:rsidRPr="001F711C" w:rsidR="00D61E8B">
        <w:t xml:space="preserve">six </w:t>
      </w:r>
      <w:r w:rsidRPr="001F711C">
        <w:t>from Vâlcele p</w:t>
      </w:r>
      <w:r w:rsidRPr="001F711C" w:rsidR="00642D2A">
        <w:t xml:space="preserve">olice </w:t>
      </w:r>
      <w:r w:rsidRPr="001F711C">
        <w:t>s</w:t>
      </w:r>
      <w:r w:rsidRPr="001F711C" w:rsidR="00642D2A">
        <w:t xml:space="preserve">tation, </w:t>
      </w:r>
      <w:r w:rsidRPr="001F711C" w:rsidR="00D61E8B">
        <w:t xml:space="preserve">ten </w:t>
      </w:r>
      <w:r w:rsidRPr="001F711C" w:rsidR="00642D2A">
        <w:t>from the Rapid Intervention Squad (</w:t>
      </w:r>
      <w:r w:rsidRPr="001F711C" w:rsidR="00EF66D5">
        <w:rPr>
          <w:i/>
        </w:rPr>
        <w:t>Serviciul de Intervenț</w:t>
      </w:r>
      <w:r w:rsidRPr="001F711C" w:rsidR="00642D2A">
        <w:rPr>
          <w:i/>
        </w:rPr>
        <w:t>i</w:t>
      </w:r>
      <w:r w:rsidRPr="001F711C" w:rsidR="00EF66D5">
        <w:rPr>
          <w:i/>
        </w:rPr>
        <w:t>e</w:t>
      </w:r>
      <w:r w:rsidRPr="001F711C" w:rsidR="00642D2A">
        <w:rPr>
          <w:i/>
        </w:rPr>
        <w:t xml:space="preserve"> Rapid</w:t>
      </w:r>
      <w:r w:rsidRPr="001F711C" w:rsidR="00EF66D5">
        <w:rPr>
          <w:i/>
        </w:rPr>
        <w:t>ă</w:t>
      </w:r>
      <w:r w:rsidRPr="001F711C" w:rsidR="00642D2A">
        <w:t xml:space="preserve">; “SIR”), and </w:t>
      </w:r>
      <w:r w:rsidRPr="001F711C" w:rsidR="00D61E8B">
        <w:t xml:space="preserve">two </w:t>
      </w:r>
      <w:r w:rsidRPr="001F711C" w:rsidR="00642D2A">
        <w:t xml:space="preserve">from the department for criminal forensics) and </w:t>
      </w:r>
      <w:r w:rsidRPr="001F711C" w:rsidR="00D61E8B">
        <w:t>thirty</w:t>
      </w:r>
      <w:r w:rsidRPr="001F711C" w:rsidR="00642D2A">
        <w:t xml:space="preserve"> gendarmes from </w:t>
      </w:r>
      <w:r w:rsidRPr="001F711C" w:rsidR="00466ABA">
        <w:t xml:space="preserve">the </w:t>
      </w:r>
      <w:r w:rsidRPr="001F711C" w:rsidR="00642D2A">
        <w:t xml:space="preserve">Covasna Gendarmerie </w:t>
      </w:r>
      <w:r w:rsidRPr="001F711C" w:rsidR="00D61E8B">
        <w:t xml:space="preserve">Inspectorate </w:t>
      </w:r>
      <w:r w:rsidRPr="001F711C" w:rsidR="00642D2A">
        <w:t>(</w:t>
      </w:r>
      <w:r w:rsidRPr="001F711C" w:rsidR="00EF66D5">
        <w:rPr>
          <w:i/>
        </w:rPr>
        <w:t>Inspectoratul Județ</w:t>
      </w:r>
      <w:r w:rsidRPr="001F711C" w:rsidR="00642D2A">
        <w:rPr>
          <w:i/>
        </w:rPr>
        <w:t>ean de Jandarmi Covasna;</w:t>
      </w:r>
      <w:r w:rsidRPr="001F711C" w:rsidR="00D61E8B">
        <w:rPr>
          <w:i/>
        </w:rPr>
        <w:t xml:space="preserve"> </w:t>
      </w:r>
      <w:r w:rsidRPr="001F711C" w:rsidR="00D61E8B">
        <w:t>hereinafter</w:t>
      </w:r>
      <w:r w:rsidRPr="001F711C" w:rsidR="00642D2A">
        <w:rPr>
          <w:i/>
        </w:rPr>
        <w:t xml:space="preserve"> </w:t>
      </w:r>
      <w:r w:rsidRPr="001F711C" w:rsidR="00642D2A">
        <w:t>“</w:t>
      </w:r>
      <w:r w:rsidRPr="001F711C" w:rsidR="00D61E8B">
        <w:t xml:space="preserve">the </w:t>
      </w:r>
      <w:r w:rsidRPr="001F711C" w:rsidR="00642D2A">
        <w:t>IJJ”). They had thirteen cars at their disposal.</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15</w:t>
      </w:r>
      <w:r w:rsidRPr="001F711C">
        <w:fldChar w:fldCharType="end"/>
      </w:r>
      <w:r w:rsidRPr="001F711C">
        <w:t>.  According to the police report of 15 December 2011</w:t>
      </w:r>
      <w:r w:rsidRPr="001F711C" w:rsidR="00D61E8B">
        <w:t>,</w:t>
      </w:r>
      <w:r w:rsidRPr="001F711C">
        <w:t xml:space="preserve"> the police officers performed the following acts during the raid: they searched 140</w:t>
      </w:r>
      <w:r w:rsidRPr="001F711C" w:rsidR="00EF66D5">
        <w:t> </w:t>
      </w:r>
      <w:r w:rsidRPr="001F711C">
        <w:t>cars and performed 190 identity checks</w:t>
      </w:r>
      <w:r w:rsidRPr="001F711C" w:rsidR="00D61E8B">
        <w:t>;</w:t>
      </w:r>
      <w:r w:rsidRPr="001F711C">
        <w:t xml:space="preserve"> they </w:t>
      </w:r>
      <w:r w:rsidRPr="001F711C" w:rsidR="00D61E8B">
        <w:t>issued eight</w:t>
      </w:r>
      <w:r w:rsidRPr="001F711C">
        <w:t xml:space="preserve"> administrative fines (</w:t>
      </w:r>
      <w:r w:rsidRPr="001F711C">
        <w:rPr>
          <w:i/>
        </w:rPr>
        <w:t>sanc</w:t>
      </w:r>
      <w:r w:rsidRPr="001F711C">
        <w:rPr>
          <w:rFonts w:cstheme="minorHAnsi"/>
          <w:i/>
        </w:rPr>
        <w:t>ţ</w:t>
      </w:r>
      <w:r w:rsidRPr="001F711C">
        <w:rPr>
          <w:i/>
        </w:rPr>
        <w:t>iuni contraven</w:t>
      </w:r>
      <w:r w:rsidRPr="001F711C">
        <w:rPr>
          <w:rFonts w:cstheme="minorHAnsi"/>
          <w:i/>
        </w:rPr>
        <w:t>ţ</w:t>
      </w:r>
      <w:r w:rsidRPr="001F711C">
        <w:rPr>
          <w:i/>
        </w:rPr>
        <w:t>ionale</w:t>
      </w:r>
      <w:r w:rsidRPr="001F711C">
        <w:t>)</w:t>
      </w:r>
      <w:r w:rsidRPr="001F711C" w:rsidR="00D61E8B">
        <w:t>;</w:t>
      </w:r>
      <w:r w:rsidRPr="001F711C">
        <w:t xml:space="preserve"> they confiscated </w:t>
      </w:r>
      <w:r w:rsidRPr="001F711C" w:rsidR="00A3634E">
        <w:t xml:space="preserve">fifteen </w:t>
      </w:r>
      <w:r w:rsidRPr="001F711C">
        <w:t>cubic metres of timber</w:t>
      </w:r>
      <w:r w:rsidRPr="001F711C" w:rsidR="0019580F">
        <w:t>;</w:t>
      </w:r>
      <w:r w:rsidRPr="001F711C">
        <w:t xml:space="preserve"> they </w:t>
      </w:r>
      <w:r w:rsidRPr="001F711C" w:rsidR="00D61E8B">
        <w:t>took sixty-four</w:t>
      </w:r>
      <w:r w:rsidRPr="001F711C">
        <w:t xml:space="preserve"> individuals to the police headquarter</w:t>
      </w:r>
      <w:r w:rsidRPr="001F711C" w:rsidR="00D61E8B">
        <w:t>s</w:t>
      </w:r>
      <w:r w:rsidRPr="001F711C">
        <w:t xml:space="preserve"> for further criminal</w:t>
      </w:r>
      <w:r w:rsidRPr="001F711C" w:rsidR="00D61E8B">
        <w:t xml:space="preserve"> </w:t>
      </w:r>
      <w:r w:rsidRPr="001F711C" w:rsidR="00466ABA">
        <w:t>e</w:t>
      </w:r>
      <w:r w:rsidRPr="001F711C" w:rsidR="00D61E8B">
        <w:t>nquiries</w:t>
      </w:r>
      <w:r w:rsidRPr="001F711C" w:rsidR="0019580F">
        <w:t>;</w:t>
      </w:r>
      <w:r w:rsidRPr="001F711C">
        <w:t xml:space="preserve"> they solved </w:t>
      </w:r>
      <w:r w:rsidRPr="001F711C" w:rsidR="00D61E8B">
        <w:t>six</w:t>
      </w:r>
      <w:r w:rsidRPr="001F711C">
        <w:t xml:space="preserve"> criminal complaints and </w:t>
      </w:r>
      <w:r w:rsidRPr="001F711C" w:rsidR="0019580F">
        <w:t xml:space="preserve">enforced </w:t>
      </w:r>
      <w:r w:rsidRPr="001F711C">
        <w:t xml:space="preserve">two </w:t>
      </w:r>
      <w:r w:rsidRPr="001F711C" w:rsidR="001D3EB8">
        <w:t>orders</w:t>
      </w:r>
      <w:r w:rsidRPr="001F711C">
        <w:t xml:space="preserve"> to appear (</w:t>
      </w:r>
      <w:r w:rsidRPr="001F711C">
        <w:rPr>
          <w:i/>
        </w:rPr>
        <w:t>mandat de aducere</w:t>
      </w:r>
      <w:r w:rsidRPr="001F711C">
        <w:t>)</w:t>
      </w:r>
      <w:r w:rsidRPr="001F711C" w:rsidR="00D61E8B">
        <w:t xml:space="preserve">; </w:t>
      </w:r>
      <w:r w:rsidRPr="001F711C">
        <w:t xml:space="preserve">they identified </w:t>
      </w:r>
      <w:r w:rsidRPr="001F711C" w:rsidR="00D61E8B">
        <w:t xml:space="preserve">ten </w:t>
      </w:r>
      <w:r w:rsidRPr="001F711C">
        <w:t>individuals from police</w:t>
      </w:r>
      <w:r w:rsidRPr="001F711C" w:rsidR="0019580F">
        <w:t xml:space="preserve"> operational information</w:t>
      </w:r>
      <w:r w:rsidRPr="001F711C" w:rsidR="00961DAA">
        <w:t>;</w:t>
      </w:r>
      <w:r w:rsidRPr="001F711C">
        <w:t xml:space="preserve"> and they took fingerprints</w:t>
      </w:r>
      <w:r w:rsidRPr="001F711C" w:rsidR="002E787F">
        <w:t xml:space="preserve"> from</w:t>
      </w:r>
      <w:r w:rsidRPr="001F711C">
        <w:t xml:space="preserve"> and photographs of </w:t>
      </w:r>
      <w:r w:rsidRPr="001F711C" w:rsidR="00961DAA">
        <w:t xml:space="preserve">fourteen </w:t>
      </w:r>
      <w:r w:rsidRPr="001F711C">
        <w:t>individuals.</w:t>
      </w:r>
    </w:p>
    <w:bookmarkStart w:name="para16" w:id="6"/>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16</w:t>
      </w:r>
      <w:r w:rsidRPr="001F711C">
        <w:fldChar w:fldCharType="end"/>
      </w:r>
      <w:bookmarkEnd w:id="6"/>
      <w:r w:rsidRPr="001F711C">
        <w:t>.  The police officers approached the applicants</w:t>
      </w:r>
      <w:r w:rsidRPr="001F711C" w:rsidR="001F711C">
        <w:t>’</w:t>
      </w:r>
      <w:r w:rsidRPr="001F711C">
        <w:t xml:space="preserve"> home after 6 a.m. and knocked on the</w:t>
      </w:r>
      <w:r w:rsidRPr="001F711C" w:rsidR="00517504">
        <w:t xml:space="preserve"> door</w:t>
      </w:r>
      <w:r w:rsidRPr="001F711C">
        <w:t>. When two women (the second and fourth applicants) exited the house</w:t>
      </w:r>
      <w:r w:rsidRPr="001F711C" w:rsidR="00830613">
        <w:t>,</w:t>
      </w:r>
      <w:r w:rsidRPr="001F711C">
        <w:t xml:space="preserve"> the police asked them to call the third applicant</w:t>
      </w:r>
      <w:r w:rsidRPr="001F711C" w:rsidR="00830613">
        <w:t>,</w:t>
      </w:r>
      <w:r w:rsidRPr="001F711C">
        <w:t xml:space="preserve"> who </w:t>
      </w:r>
      <w:r w:rsidRPr="001F711C" w:rsidR="00830613">
        <w:t xml:space="preserve">was wanted for questioning regarding </w:t>
      </w:r>
      <w:r w:rsidRPr="001F711C">
        <w:t xml:space="preserve">several criminal acts. The third applicant </w:t>
      </w:r>
      <w:r w:rsidRPr="001F711C" w:rsidR="00830613">
        <w:t xml:space="preserve">came </w:t>
      </w:r>
      <w:r w:rsidRPr="001F711C">
        <w:t>out of the ho</w:t>
      </w:r>
      <w:r w:rsidRPr="001F711C" w:rsidR="00830613">
        <w:t>u</w:t>
      </w:r>
      <w:r w:rsidRPr="001F711C">
        <w:t xml:space="preserve">se, shouted abuse at the police officers and became physically violent. At that point the police immobilised and handcuffed him, and took him to one of the police cars. The first applicant </w:t>
      </w:r>
      <w:r w:rsidRPr="001F711C" w:rsidR="00830613">
        <w:t xml:space="preserve">then came </w:t>
      </w:r>
      <w:r w:rsidRPr="001F711C">
        <w:t>out of the house shouting abuse at the police officers</w:t>
      </w:r>
      <w:r w:rsidRPr="001F711C" w:rsidR="002E787F">
        <w:t>.</w:t>
      </w:r>
      <w:r w:rsidRPr="001F711C">
        <w:t xml:space="preserve"> </w:t>
      </w:r>
      <w:r w:rsidRPr="001F711C" w:rsidR="00830613">
        <w:t>F</w:t>
      </w:r>
      <w:r w:rsidRPr="001F711C">
        <w:t xml:space="preserve">or safety reasons, </w:t>
      </w:r>
      <w:r w:rsidRPr="001F711C" w:rsidR="00830613">
        <w:t xml:space="preserve">they </w:t>
      </w:r>
      <w:r w:rsidRPr="001F711C">
        <w:t xml:space="preserve">handcuffed him </w:t>
      </w:r>
      <w:r w:rsidRPr="001F711C" w:rsidR="00830613">
        <w:t xml:space="preserve">and </w:t>
      </w:r>
      <w:r w:rsidRPr="001F711C">
        <w:t>took him to the same police car where the third applicant was waiting. The second and fourth applicants were presumably injured in the process, as they tried to oppose the police actions. They pulled their own hair, slapped themselves on their faces, hit the gate with their fists and shouted, in order to intimidate the police officers.</w:t>
      </w:r>
    </w:p>
    <w:p w:rsidRPr="001F711C" w:rsidR="00642D2A" w:rsidP="001F711C">
      <w:pPr>
        <w:pStyle w:val="ECHRHeading2"/>
        <w:keepNext w:val="0"/>
        <w:keepLines w:val="0"/>
      </w:pPr>
      <w:r w:rsidRPr="001F711C">
        <w:t>B.  </w:t>
      </w:r>
      <w:r w:rsidRPr="001F711C" w:rsidR="00830613">
        <w:t>M</w:t>
      </w:r>
      <w:r w:rsidRPr="001F711C">
        <w:t xml:space="preserve">edical </w:t>
      </w:r>
      <w:r w:rsidRPr="001F711C" w:rsidR="002E787F">
        <w:t>reports</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17</w:t>
      </w:r>
      <w:r w:rsidRPr="001F711C">
        <w:fldChar w:fldCharType="end"/>
      </w:r>
      <w:r w:rsidRPr="001F711C">
        <w:t xml:space="preserve">.  On 15 and 16 December 2011 the applicants were examined in the </w:t>
      </w:r>
      <w:r w:rsidRPr="001F711C" w:rsidR="00830613">
        <w:t>e</w:t>
      </w:r>
      <w:r w:rsidRPr="001F711C">
        <w:t xml:space="preserve">mergency </w:t>
      </w:r>
      <w:r w:rsidRPr="001F711C" w:rsidR="00830613">
        <w:t>ward of the local h</w:t>
      </w:r>
      <w:r w:rsidRPr="001F711C">
        <w:t xml:space="preserve">ospital. Subsequently, they also </w:t>
      </w:r>
      <w:r w:rsidRPr="001F711C" w:rsidR="00830613">
        <w:t xml:space="preserve">underwent </w:t>
      </w:r>
      <w:r w:rsidRPr="001F711C">
        <w:t>a forensic</w:t>
      </w:r>
      <w:r w:rsidRPr="001F711C" w:rsidR="00830613">
        <w:t xml:space="preserve"> examination</w:t>
      </w:r>
      <w:r w:rsidRPr="001F711C">
        <w:t>.</w:t>
      </w:r>
    </w:p>
    <w:bookmarkStart w:name="para18" w:id="7"/>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18</w:t>
      </w:r>
      <w:r w:rsidRPr="001F711C">
        <w:fldChar w:fldCharType="end"/>
      </w:r>
      <w:bookmarkEnd w:id="7"/>
      <w:r w:rsidRPr="001F711C">
        <w:t xml:space="preserve">.  The forensic </w:t>
      </w:r>
      <w:r w:rsidRPr="001F711C" w:rsidR="002E787F">
        <w:t xml:space="preserve">report </w:t>
      </w:r>
      <w:r w:rsidRPr="001F711C">
        <w:t xml:space="preserve">delivered on 15 December 2011 </w:t>
      </w:r>
      <w:r w:rsidRPr="001F711C" w:rsidR="00830613">
        <w:t xml:space="preserve">states </w:t>
      </w:r>
      <w:r w:rsidRPr="001F711C">
        <w:t>that the second applicant had dried blood on her lips and left cheek, but no bruises or</w:t>
      </w:r>
      <w:r w:rsidRPr="001F711C" w:rsidR="00830613">
        <w:t xml:space="preserve"> dental pain</w:t>
      </w:r>
      <w:r w:rsidRPr="001F711C">
        <w:t xml:space="preserve">. The reason for the bleeding could not be established. She refused </w:t>
      </w:r>
      <w:r w:rsidRPr="001F711C" w:rsidR="00830613">
        <w:t xml:space="preserve">to undergo </w:t>
      </w:r>
      <w:r w:rsidRPr="001F711C">
        <w:t>further medical</w:t>
      </w:r>
      <w:r w:rsidRPr="001F711C" w:rsidR="00830613">
        <w:t xml:space="preserve"> examinations</w:t>
      </w:r>
      <w:r w:rsidRPr="001F711C">
        <w:t xml:space="preserve">. The conclusion of the report was that she did not present </w:t>
      </w:r>
      <w:r w:rsidRPr="001F711C" w:rsidR="00830613">
        <w:t xml:space="preserve">any </w:t>
      </w:r>
      <w:r w:rsidRPr="001F711C">
        <w:t xml:space="preserve">traumatic lesions but that a trauma caused by an </w:t>
      </w:r>
      <w:r w:rsidRPr="001F711C" w:rsidR="002E787F">
        <w:t xml:space="preserve">act of </w:t>
      </w:r>
      <w:r w:rsidRPr="001F711C">
        <w:t>aggression could not be excluded.</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19</w:t>
      </w:r>
      <w:r w:rsidRPr="001F711C">
        <w:fldChar w:fldCharType="end"/>
      </w:r>
      <w:r w:rsidRPr="001F711C">
        <w:t xml:space="preserve">.  On 20 December 2011 a forensic medical </w:t>
      </w:r>
      <w:r w:rsidRPr="001F711C" w:rsidR="002E787F">
        <w:t xml:space="preserve">report </w:t>
      </w:r>
      <w:r w:rsidRPr="001F711C">
        <w:t xml:space="preserve">was </w:t>
      </w:r>
      <w:r w:rsidRPr="001F711C" w:rsidR="002E787F">
        <w:t xml:space="preserve">drawn up </w:t>
      </w:r>
      <w:r w:rsidRPr="001F711C">
        <w:t xml:space="preserve">for the first applicant. It stated that he </w:t>
      </w:r>
      <w:r w:rsidRPr="001F711C" w:rsidR="00830613">
        <w:t xml:space="preserve">had </w:t>
      </w:r>
      <w:r w:rsidRPr="001F711C">
        <w:t xml:space="preserve">complained of chest pain and had two bruises on his chest. </w:t>
      </w:r>
      <w:r w:rsidRPr="001F711C" w:rsidR="00830613">
        <w:t>An X</w:t>
      </w:r>
      <w:r w:rsidRPr="001F711C">
        <w:noBreakHyphen/>
        <w:t xml:space="preserve">ray examination performed on the same day </w:t>
      </w:r>
      <w:r w:rsidRPr="001F711C" w:rsidR="00830613">
        <w:t xml:space="preserve">had </w:t>
      </w:r>
      <w:r w:rsidRPr="001F711C">
        <w:t>not reveal</w:t>
      </w:r>
      <w:r w:rsidRPr="001F711C" w:rsidR="00830613">
        <w:t>ed</w:t>
      </w:r>
      <w:r w:rsidRPr="001F711C">
        <w:t xml:space="preserve"> any further damage. It was concluded that the trauma could have been caused by being hit with a hard object and that </w:t>
      </w:r>
      <w:r w:rsidRPr="001F711C" w:rsidR="00F754E0">
        <w:t xml:space="preserve">on account of </w:t>
      </w:r>
      <w:r w:rsidRPr="001F711C">
        <w:t>the injuries</w:t>
      </w:r>
      <w:r w:rsidRPr="001F711C" w:rsidR="00F754E0">
        <w:t>,</w:t>
      </w:r>
      <w:r w:rsidRPr="001F711C">
        <w:t xml:space="preserve"> the first applicant needed one to two days of medical care.</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20</w:t>
      </w:r>
      <w:r w:rsidRPr="001F711C">
        <w:fldChar w:fldCharType="end"/>
      </w:r>
      <w:r w:rsidRPr="001F711C">
        <w:t xml:space="preserve">.  On 20 December 2011 a forensic medical </w:t>
      </w:r>
      <w:r w:rsidRPr="001F711C" w:rsidR="002E787F">
        <w:t xml:space="preserve">report </w:t>
      </w:r>
      <w:r w:rsidRPr="001F711C">
        <w:t xml:space="preserve">was </w:t>
      </w:r>
      <w:r w:rsidRPr="001F711C" w:rsidR="002E787F">
        <w:t xml:space="preserve">drawn up </w:t>
      </w:r>
      <w:r w:rsidRPr="001F711C">
        <w:t xml:space="preserve">for the third applicant. </w:t>
      </w:r>
      <w:r w:rsidRPr="001F711C" w:rsidR="00F754E0">
        <w:t>The p</w:t>
      </w:r>
      <w:r w:rsidRPr="001F711C">
        <w:t>resence of bruises on the right eye, chest and right arm were recorded. The examiner concluded that the injuries could have been caused by a blow with a baseball bat and that the third applicant needed four to five days of medical care.</w:t>
      </w:r>
    </w:p>
    <w:bookmarkStart w:name="para21" w:id="8"/>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21</w:t>
      </w:r>
      <w:r w:rsidRPr="001F711C">
        <w:fldChar w:fldCharType="end"/>
      </w:r>
      <w:bookmarkEnd w:id="8"/>
      <w:r w:rsidRPr="001F711C">
        <w:t xml:space="preserve">.  On 21 December 2011 a forensic medical report was </w:t>
      </w:r>
      <w:r w:rsidRPr="001F711C" w:rsidR="00F754E0">
        <w:t xml:space="preserve">drawn up </w:t>
      </w:r>
      <w:r w:rsidRPr="001F711C">
        <w:t>for the fourth applicant. She complained of abdominal and chest pains and had a bruise on her lower chest. It was concluded that her injuries could have been caused by being hit with a hard object and that she needed one to two days of medical care.</w:t>
      </w:r>
    </w:p>
    <w:p w:rsidRPr="001F711C" w:rsidR="00642D2A" w:rsidP="001F711C">
      <w:pPr>
        <w:pStyle w:val="ECHRHeading2"/>
        <w:keepNext w:val="0"/>
        <w:keepLines w:val="0"/>
      </w:pPr>
      <w:r w:rsidRPr="001F711C">
        <w:t>C.  </w:t>
      </w:r>
      <w:r w:rsidRPr="001F711C" w:rsidR="00F754E0">
        <w:t>C</w:t>
      </w:r>
      <w:r w:rsidRPr="001F711C">
        <w:t>riminal prosecution</w:t>
      </w:r>
    </w:p>
    <w:p w:rsidRPr="001F711C" w:rsidR="00642D2A" w:rsidP="001F711C">
      <w:pPr>
        <w:pStyle w:val="ECHRHeading3"/>
        <w:keepNext w:val="0"/>
        <w:keepLines w:val="0"/>
      </w:pPr>
      <w:r w:rsidRPr="001F711C">
        <w:t>1.  Prosecutor</w:t>
      </w:r>
      <w:r w:rsidRPr="001F711C" w:rsidR="001F711C">
        <w:t>’</w:t>
      </w:r>
      <w:r w:rsidRPr="001F711C">
        <w:t>s decision of 11 March 2013</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22</w:t>
      </w:r>
      <w:r w:rsidRPr="001F711C">
        <w:fldChar w:fldCharType="end"/>
      </w:r>
      <w:r w:rsidRPr="001F711C">
        <w:t xml:space="preserve">.  On 20 February 2012 the applicants lodged a criminal complaint against the forest ranger and the police </w:t>
      </w:r>
      <w:r w:rsidRPr="001F711C" w:rsidR="00F754E0">
        <w:t xml:space="preserve">officers </w:t>
      </w:r>
      <w:r w:rsidRPr="001F711C" w:rsidR="00EF66D5">
        <w:t>on duty on 15 </w:t>
      </w:r>
      <w:r w:rsidRPr="001F711C">
        <w:t>December</w:t>
      </w:r>
      <w:r w:rsidRPr="001F711C" w:rsidR="00EF66D5">
        <w:t> </w:t>
      </w:r>
      <w:r w:rsidRPr="001F711C">
        <w:t xml:space="preserve">2011. They accused the officials of </w:t>
      </w:r>
      <w:r w:rsidRPr="001F711C" w:rsidR="00F754E0">
        <w:t xml:space="preserve">beating them </w:t>
      </w:r>
      <w:r w:rsidRPr="001F711C">
        <w:t xml:space="preserve">and </w:t>
      </w:r>
      <w:r w:rsidRPr="001F711C" w:rsidR="00F754E0">
        <w:t xml:space="preserve">committing </w:t>
      </w:r>
      <w:r w:rsidRPr="001F711C">
        <w:t>other acts of violence.</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23</w:t>
      </w:r>
      <w:r w:rsidRPr="001F711C">
        <w:fldChar w:fldCharType="end"/>
      </w:r>
      <w:r w:rsidRPr="001F711C">
        <w:t>.  The case was investigated by the IPJ under the supervision of the prosecutor</w:t>
      </w:r>
      <w:r w:rsidRPr="001F711C" w:rsidR="001F711C">
        <w:t>’</w:t>
      </w:r>
      <w:r w:rsidRPr="001F711C">
        <w:t>s office attached to the Bra</w:t>
      </w:r>
      <w:r w:rsidRPr="001F711C">
        <w:rPr>
          <w:rFonts w:cstheme="minorHAnsi"/>
        </w:rPr>
        <w:t>ş</w:t>
      </w:r>
      <w:r w:rsidRPr="001F711C">
        <w:t xml:space="preserve">ov Court of Appeal. Thirteen police </w:t>
      </w:r>
      <w:r w:rsidRPr="001F711C" w:rsidR="00F754E0">
        <w:t xml:space="preserve">officers </w:t>
      </w:r>
      <w:r w:rsidRPr="001F711C">
        <w:t xml:space="preserve">and three gendarmes were put under investigation. The prosecutor interviewed the applicants and the police </w:t>
      </w:r>
      <w:r w:rsidRPr="001F711C" w:rsidR="00F754E0">
        <w:t xml:space="preserve">officers </w:t>
      </w:r>
      <w:r w:rsidRPr="001F711C">
        <w:t>and gendarmes, as well as three witnesses. The witnesses were the applicants</w:t>
      </w:r>
      <w:r w:rsidRPr="001F711C" w:rsidR="001F711C">
        <w:t>’</w:t>
      </w:r>
      <w:r w:rsidRPr="001F711C">
        <w:t xml:space="preserve"> neighbours who </w:t>
      </w:r>
      <w:r w:rsidRPr="001F711C" w:rsidR="00F754E0">
        <w:t xml:space="preserve">had been </w:t>
      </w:r>
      <w:r w:rsidRPr="001F711C">
        <w:t xml:space="preserve">present during the incidents. </w:t>
      </w:r>
      <w:r w:rsidRPr="001F711C" w:rsidR="00F754E0">
        <w:t>T</w:t>
      </w:r>
      <w:r w:rsidRPr="001F711C">
        <w:t>he applicants</w:t>
      </w:r>
      <w:r w:rsidRPr="001F711C" w:rsidR="00F754E0">
        <w:t xml:space="preserve"> had proposed that they be questioned</w:t>
      </w:r>
      <w:r w:rsidRPr="001F711C">
        <w:t>.</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24</w:t>
      </w:r>
      <w:r w:rsidRPr="001F711C">
        <w:fldChar w:fldCharType="end"/>
      </w:r>
      <w:r w:rsidRPr="001F711C">
        <w:t xml:space="preserve">.  The prosecutor established that the operation had been organised </w:t>
      </w:r>
      <w:r w:rsidRPr="001F711C" w:rsidR="00F754E0">
        <w:t xml:space="preserve">in accordance with </w:t>
      </w:r>
      <w:r w:rsidRPr="001F711C">
        <w:t xml:space="preserve">the </w:t>
      </w:r>
      <w:r w:rsidRPr="001F711C" w:rsidR="00791983">
        <w:t>intervention</w:t>
      </w:r>
      <w:r w:rsidRPr="001F711C">
        <w:t xml:space="preserve"> plan </w:t>
      </w:r>
      <w:r w:rsidRPr="001F711C" w:rsidR="00F754E0">
        <w:t xml:space="preserve">drawn up </w:t>
      </w:r>
      <w:r w:rsidRPr="001F711C">
        <w:t xml:space="preserve">by </w:t>
      </w:r>
      <w:r w:rsidRPr="001F711C" w:rsidR="00F754E0">
        <w:t xml:space="preserve">the </w:t>
      </w:r>
      <w:r w:rsidRPr="001F711C">
        <w:t xml:space="preserve">IPJ and </w:t>
      </w:r>
      <w:r w:rsidRPr="001F711C" w:rsidR="00F754E0">
        <w:t xml:space="preserve">the </w:t>
      </w:r>
      <w:r w:rsidRPr="001F711C">
        <w:t xml:space="preserve">IJJ. The assignment </w:t>
      </w:r>
      <w:r w:rsidRPr="001F711C" w:rsidR="002E787F">
        <w:t xml:space="preserve">had been </w:t>
      </w:r>
      <w:r w:rsidRPr="001F711C">
        <w:t xml:space="preserve">to </w:t>
      </w:r>
      <w:r w:rsidRPr="001F711C" w:rsidR="00F754E0">
        <w:t xml:space="preserve">take </w:t>
      </w:r>
      <w:r w:rsidRPr="001F711C">
        <w:t xml:space="preserve">to the Vâlcele police station several individuals needed </w:t>
      </w:r>
      <w:r w:rsidRPr="001F711C" w:rsidR="00791983">
        <w:t xml:space="preserve">for </w:t>
      </w:r>
      <w:r w:rsidRPr="001F711C" w:rsidR="00F754E0">
        <w:t xml:space="preserve">questioning </w:t>
      </w:r>
      <w:r w:rsidRPr="001F711C">
        <w:t>concerning several criminal complaints linked to various criminal investigations.</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25</w:t>
      </w:r>
      <w:r w:rsidRPr="001F711C">
        <w:fldChar w:fldCharType="end"/>
      </w:r>
      <w:r w:rsidRPr="001F711C">
        <w:t>.  Relying on the statements given by the forest ranger and the police, the prosecutor established that the forest ranger had not participated in the events, and that the raid had started at 7 a.m. and not at 5 a.m. as indicated by the applicants and their neighbours.</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26</w:t>
      </w:r>
      <w:r w:rsidRPr="001F711C">
        <w:fldChar w:fldCharType="end"/>
      </w:r>
      <w:r w:rsidRPr="001F711C">
        <w:t xml:space="preserve">.  The gendarmes denied having committed acts of violence or </w:t>
      </w:r>
      <w:r w:rsidRPr="001F711C" w:rsidR="00791983">
        <w:t xml:space="preserve">having </w:t>
      </w:r>
      <w:r w:rsidRPr="001F711C">
        <w:t xml:space="preserve">seen traces of injuries on the applicants. Police </w:t>
      </w:r>
      <w:r w:rsidRPr="001F711C" w:rsidR="00F754E0">
        <w:t xml:space="preserve">officer </w:t>
      </w:r>
      <w:r w:rsidRPr="001F711C">
        <w:t>P.A. explained that the use of force and the handcuffing had been necessary because of the applicants</w:t>
      </w:r>
      <w:r w:rsidRPr="001F711C" w:rsidR="001F711C">
        <w:t>’</w:t>
      </w:r>
      <w:r w:rsidRPr="001F711C">
        <w:t xml:space="preserve"> violent behaviour. Concretely, the first applicant had opposed the police intervention</w:t>
      </w:r>
      <w:r w:rsidRPr="001F711C" w:rsidR="00F754E0">
        <w:t>,</w:t>
      </w:r>
      <w:r w:rsidRPr="001F711C">
        <w:t xml:space="preserve"> claiming that he was a local counsellor for Roma matters</w:t>
      </w:r>
      <w:r w:rsidRPr="001F711C" w:rsidR="00F754E0">
        <w:t>,</w:t>
      </w:r>
      <w:r w:rsidRPr="001F711C">
        <w:t xml:space="preserve"> and </w:t>
      </w:r>
      <w:r w:rsidRPr="001F711C" w:rsidR="00F754E0">
        <w:t xml:space="preserve">had </w:t>
      </w:r>
      <w:r w:rsidRPr="001F711C">
        <w:t>shouted abuse and threats at the police.</w:t>
      </w:r>
    </w:p>
    <w:p w:rsidRPr="001F711C" w:rsidR="00642D2A"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27</w:t>
      </w:r>
      <w:r w:rsidRPr="001F711C">
        <w:fldChar w:fldCharType="end"/>
      </w:r>
      <w:r w:rsidRPr="001F711C">
        <w:t>.  On 6 July 2012 the investigators examined the applicants</w:t>
      </w:r>
      <w:r w:rsidRPr="001F711C" w:rsidR="001F711C">
        <w:t>’</w:t>
      </w:r>
      <w:r w:rsidRPr="001F711C">
        <w:t xml:space="preserve"> front door. They noted that some of its window panels had been broken, the wood had been splintered, and the paint was missing</w:t>
      </w:r>
      <w:r w:rsidRPr="001F711C" w:rsidR="00F754E0">
        <w:t xml:space="preserve"> from the bottom of the door</w:t>
      </w:r>
      <w:r w:rsidRPr="001F711C">
        <w:t xml:space="preserve">; they </w:t>
      </w:r>
      <w:r w:rsidRPr="001F711C" w:rsidR="00F754E0">
        <w:t xml:space="preserve">were unable to </w:t>
      </w:r>
      <w:r w:rsidRPr="001F711C">
        <w:t>establish</w:t>
      </w:r>
      <w:r w:rsidRPr="001F711C" w:rsidR="00F754E0">
        <w:t xml:space="preserve"> when the door had been damaged</w:t>
      </w:r>
      <w:r w:rsidRPr="001F711C">
        <w:t>.</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28</w:t>
      </w:r>
      <w:r w:rsidRPr="001F711C">
        <w:fldChar w:fldCharType="end"/>
      </w:r>
      <w:r w:rsidRPr="001F711C">
        <w:t xml:space="preserve">.  On 11 March 2013 the prosecutor concluded that there was not enough evidence to </w:t>
      </w:r>
      <w:r w:rsidRPr="001F711C" w:rsidR="00F754E0">
        <w:t xml:space="preserve">institute proceedings </w:t>
      </w:r>
      <w:r w:rsidRPr="001F711C">
        <w:t xml:space="preserve">against the police </w:t>
      </w:r>
      <w:r w:rsidRPr="001F711C" w:rsidR="00791983">
        <w:t>officers</w:t>
      </w:r>
      <w:r w:rsidRPr="001F711C">
        <w:t>.</w:t>
      </w:r>
    </w:p>
    <w:p w:rsidRPr="001F711C" w:rsidR="00642D2A" w:rsidP="001F711C">
      <w:pPr>
        <w:pStyle w:val="ECHRHeading3"/>
        <w:keepNext w:val="0"/>
        <w:keepLines w:val="0"/>
      </w:pPr>
      <w:r w:rsidRPr="001F711C">
        <w:t>2.  Prosecutor</w:t>
      </w:r>
      <w:r w:rsidRPr="001F711C" w:rsidR="001F711C">
        <w:t>’</w:t>
      </w:r>
      <w:r w:rsidRPr="001F711C">
        <w:t>s decision of 17 April 2013</w:t>
      </w:r>
    </w:p>
    <w:bookmarkStart w:name="first_complain_racism" w:id="9"/>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29</w:t>
      </w:r>
      <w:r w:rsidRPr="001F711C">
        <w:fldChar w:fldCharType="end"/>
      </w:r>
      <w:bookmarkEnd w:id="9"/>
      <w:r w:rsidRPr="001F711C">
        <w:t>.  The applicants objected to the prosecutor</w:t>
      </w:r>
      <w:r w:rsidRPr="001F711C" w:rsidR="001F711C">
        <w:t>’</w:t>
      </w:r>
      <w:r w:rsidRPr="001F711C">
        <w:t>s decision. They argued mainly that the prosecutor</w:t>
      </w:r>
      <w:r w:rsidRPr="001F711C" w:rsidR="00791983">
        <w:t>,</w:t>
      </w:r>
      <w:r w:rsidRPr="001F711C">
        <w:t xml:space="preserve"> </w:t>
      </w:r>
      <w:r w:rsidRPr="001F711C" w:rsidR="00791983">
        <w:t xml:space="preserve">without justification, </w:t>
      </w:r>
      <w:r w:rsidRPr="001F711C">
        <w:t xml:space="preserve">had given preference to the statements made by the police to the detriment of those made by the applicants. They also averred that the investigation had </w:t>
      </w:r>
      <w:r w:rsidRPr="001F711C">
        <w:t xml:space="preserve">failed to provide an explanation </w:t>
      </w:r>
      <w:r w:rsidRPr="001F711C" w:rsidR="00F70CC5">
        <w:t xml:space="preserve">for </w:t>
      </w:r>
      <w:r w:rsidRPr="001F711C">
        <w:t xml:space="preserve">the violence perpetrated against them. They stressed that </w:t>
      </w:r>
      <w:r w:rsidRPr="001F711C" w:rsidR="00F70CC5">
        <w:t xml:space="preserve">it was the </w:t>
      </w:r>
      <w:r w:rsidRPr="001F711C">
        <w:t>established and frequent practice of the police in the area to attack members of the Roma community without any justification.</w:t>
      </w:r>
    </w:p>
    <w:bookmarkStart w:name="para30" w:id="10"/>
    <w:p w:rsidRPr="001F711C" w:rsidR="00642D2A"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30</w:t>
      </w:r>
      <w:r w:rsidRPr="001F711C">
        <w:fldChar w:fldCharType="end"/>
      </w:r>
      <w:bookmarkEnd w:id="10"/>
      <w:r w:rsidRPr="001F711C">
        <w:t>.  On 17 April 2013 the prosecutor-in-chief from the prosecutor</w:t>
      </w:r>
      <w:r w:rsidRPr="001F711C" w:rsidR="001F711C">
        <w:t>’</w:t>
      </w:r>
      <w:r w:rsidRPr="001F711C">
        <w:t>s office attached to the Bra</w:t>
      </w:r>
      <w:r w:rsidRPr="001F711C">
        <w:rPr>
          <w:rFonts w:cstheme="minorHAnsi"/>
        </w:rPr>
        <w:t>ş</w:t>
      </w:r>
      <w:r w:rsidRPr="001F711C">
        <w:t>ov Court of Appeal dismissed the objection on the following grounds:</w:t>
      </w:r>
    </w:p>
    <w:p w:rsidRPr="001F711C" w:rsidR="00642D2A" w:rsidP="001F711C">
      <w:pPr>
        <w:pStyle w:val="ECHRPara"/>
      </w:pPr>
      <w:r w:rsidRPr="001F711C">
        <w:t>- the intervention had been lawful;</w:t>
      </w:r>
    </w:p>
    <w:p w:rsidRPr="001F711C" w:rsidR="00642D2A" w:rsidP="001F711C">
      <w:pPr>
        <w:pStyle w:val="ECHRPara"/>
      </w:pPr>
      <w:r w:rsidRPr="001F711C">
        <w:t>- the applicants</w:t>
      </w:r>
      <w:r w:rsidRPr="001F711C" w:rsidR="001F711C">
        <w:t>’</w:t>
      </w:r>
      <w:r w:rsidRPr="001F711C">
        <w:t xml:space="preserve"> immobilisation and the use of handcuffs had been lawful and made necessary by the</w:t>
      </w:r>
      <w:r w:rsidRPr="001F711C" w:rsidR="00F70CC5">
        <w:t>ir</w:t>
      </w:r>
      <w:r w:rsidRPr="001F711C">
        <w:t xml:space="preserve"> aggressive behaviour; they had therefore been taken to the police</w:t>
      </w:r>
      <w:r w:rsidRPr="001F711C" w:rsidR="00F70CC5">
        <w:t xml:space="preserve"> station</w:t>
      </w:r>
      <w:r w:rsidRPr="001F711C">
        <w:t>, interviewed and fined;</w:t>
      </w:r>
    </w:p>
    <w:p w:rsidRPr="001F711C" w:rsidR="002E2E5B" w:rsidP="001F711C">
      <w:pPr>
        <w:pStyle w:val="ECHRPara"/>
      </w:pPr>
      <w:r w:rsidRPr="001F711C">
        <w:t>- the investigation had been complete</w:t>
      </w:r>
      <w:r w:rsidRPr="001F711C" w:rsidR="00F70CC5">
        <w:t>d</w:t>
      </w:r>
      <w:r w:rsidRPr="001F711C">
        <w:t>;</w:t>
      </w:r>
    </w:p>
    <w:p w:rsidRPr="001F711C" w:rsidR="00642D2A" w:rsidP="001F711C">
      <w:pPr>
        <w:pStyle w:val="ECHRPara"/>
      </w:pPr>
      <w:r w:rsidRPr="001F711C">
        <w:t>- the prosecutor had clarified all aspects of the case and examined the evidence gathered;</w:t>
      </w:r>
    </w:p>
    <w:p w:rsidRPr="001F711C" w:rsidR="00642D2A" w:rsidP="001F711C">
      <w:pPr>
        <w:pStyle w:val="ECHRPara"/>
      </w:pPr>
      <w:r w:rsidRPr="001F711C">
        <w:t>- the decision had represented the prosecutor</w:t>
      </w:r>
      <w:r w:rsidRPr="001F711C" w:rsidR="001F711C">
        <w:t>’</w:t>
      </w:r>
      <w:r w:rsidRPr="001F711C">
        <w:t>s own conviction based on the evidence in the file</w:t>
      </w:r>
      <w:r w:rsidRPr="001F711C" w:rsidR="00F70CC5">
        <w:t>,</w:t>
      </w:r>
      <w:r w:rsidRPr="001F711C">
        <w:t xml:space="preserve"> and the reasons given had been adequate;</w:t>
      </w:r>
    </w:p>
    <w:p w:rsidRPr="001F711C" w:rsidR="002E2E5B" w:rsidP="001F711C">
      <w:pPr>
        <w:pStyle w:val="ECHRPara"/>
      </w:pPr>
      <w:r w:rsidRPr="001F711C">
        <w:t xml:space="preserve">- the other assertions made by the applicants had not been </w:t>
      </w:r>
      <w:r w:rsidRPr="001F711C" w:rsidR="00BE3CC1">
        <w:t>substantiated by evidence</w:t>
      </w:r>
      <w:r w:rsidRPr="001F711C">
        <w:t>.</w:t>
      </w:r>
    </w:p>
    <w:p w:rsidRPr="001F711C" w:rsidR="00642D2A" w:rsidP="001F711C">
      <w:pPr>
        <w:pStyle w:val="ECHRHeading3"/>
        <w:keepNext w:val="0"/>
        <w:keepLines w:val="0"/>
      </w:pPr>
      <w:r w:rsidRPr="001F711C">
        <w:t>3.  </w:t>
      </w:r>
      <w:r w:rsidRPr="001F711C" w:rsidR="002E787F">
        <w:t>C</w:t>
      </w:r>
      <w:r w:rsidRPr="001F711C">
        <w:t>ourt</w:t>
      </w:r>
      <w:r w:rsidRPr="001F711C" w:rsidR="001F711C">
        <w:t>’</w:t>
      </w:r>
      <w:r w:rsidRPr="001F711C" w:rsidR="002E787F">
        <w:t>s</w:t>
      </w:r>
      <w:r w:rsidRPr="001F711C">
        <w:t xml:space="preserve"> decision of 23 May 2013</w:t>
      </w:r>
    </w:p>
    <w:bookmarkStart w:name="complain_racism_court" w:id="11"/>
    <w:p w:rsidRPr="001F711C" w:rsidR="00642D2A"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31</w:t>
      </w:r>
      <w:r w:rsidRPr="001F711C">
        <w:fldChar w:fldCharType="end"/>
      </w:r>
      <w:bookmarkEnd w:id="11"/>
      <w:r w:rsidRPr="001F711C">
        <w:t xml:space="preserve">.  The applicants </w:t>
      </w:r>
      <w:r w:rsidRPr="001F711C" w:rsidR="00517504">
        <w:t xml:space="preserve">challenged </w:t>
      </w:r>
      <w:r w:rsidRPr="001F711C">
        <w:t>the prosecutors</w:t>
      </w:r>
      <w:r w:rsidRPr="001F711C" w:rsidR="001F711C">
        <w:t>’</w:t>
      </w:r>
      <w:r w:rsidRPr="001F711C">
        <w:t xml:space="preserve"> decisions</w:t>
      </w:r>
      <w:r w:rsidRPr="001F711C" w:rsidR="00F70CC5">
        <w:t xml:space="preserve">, reiterating </w:t>
      </w:r>
      <w:r w:rsidRPr="001F711C">
        <w:t>the arguments put forward in their objection</w:t>
      </w:r>
      <w:r w:rsidRPr="001F711C" w:rsidR="00E03AE7">
        <w:t xml:space="preserve"> (see paragraph</w:t>
      </w:r>
      <w:r w:rsidRPr="001F711C" w:rsidR="00EF66D5">
        <w:t xml:space="preserve"> 29</w:t>
      </w:r>
      <w:r w:rsidRPr="001F711C" w:rsidR="00E03AE7">
        <w:t xml:space="preserve"> above)</w:t>
      </w:r>
      <w:r w:rsidRPr="001F711C">
        <w:t>.</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32</w:t>
      </w:r>
      <w:r w:rsidRPr="001F711C">
        <w:fldChar w:fldCharType="end"/>
      </w:r>
      <w:r w:rsidRPr="001F711C">
        <w:t>.  The Bra</w:t>
      </w:r>
      <w:r w:rsidRPr="001F711C">
        <w:rPr>
          <w:rFonts w:cstheme="minorHAnsi"/>
        </w:rPr>
        <w:t>ş</w:t>
      </w:r>
      <w:r w:rsidRPr="001F711C">
        <w:t>ov Court of Appeal heard the c</w:t>
      </w:r>
      <w:r w:rsidRPr="001F711C" w:rsidR="00EF66D5">
        <w:t>ase and in a decision of 23 May </w:t>
      </w:r>
      <w:r w:rsidRPr="001F711C">
        <w:t>2013 it sent the case back to the prosecutor</w:t>
      </w:r>
      <w:r w:rsidRPr="001F711C" w:rsidR="001F711C">
        <w:t>’</w:t>
      </w:r>
      <w:r w:rsidRPr="001F711C" w:rsidR="002E787F">
        <w:t>s office</w:t>
      </w:r>
      <w:r w:rsidRPr="001F711C">
        <w:t xml:space="preserve"> for further investigations. It mainly considered that the authorities had to provide justification for the injuries sustained by the applicants. The first and third applicants had been taken to the police station, </w:t>
      </w:r>
      <w:r w:rsidRPr="001F711C" w:rsidR="00F70CC5">
        <w:t xml:space="preserve">and had </w:t>
      </w:r>
      <w:r w:rsidRPr="001F711C">
        <w:t xml:space="preserve">thus </w:t>
      </w:r>
      <w:r w:rsidRPr="001F711C" w:rsidR="00F70CC5">
        <w:t xml:space="preserve">been </w:t>
      </w:r>
      <w:r w:rsidRPr="001F711C">
        <w:t>under police control</w:t>
      </w:r>
      <w:r w:rsidRPr="001F711C" w:rsidR="00F70CC5">
        <w:t xml:space="preserve"> for a few hours</w:t>
      </w:r>
      <w:r w:rsidRPr="001F711C">
        <w:t xml:space="preserve">. The second and fourth applicants </w:t>
      </w:r>
      <w:r w:rsidRPr="001F711C" w:rsidR="00F70CC5">
        <w:t xml:space="preserve">had </w:t>
      </w:r>
      <w:r w:rsidRPr="001F711C">
        <w:t xml:space="preserve">sustained injuries which the prosecutor </w:t>
      </w:r>
      <w:r w:rsidRPr="001F711C" w:rsidR="00F70CC5">
        <w:t xml:space="preserve">had </w:t>
      </w:r>
      <w:r w:rsidRPr="001F711C">
        <w:t>failed to explain.</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33</w:t>
      </w:r>
      <w:r w:rsidRPr="001F711C">
        <w:fldChar w:fldCharType="end"/>
      </w:r>
      <w:r w:rsidRPr="001F711C">
        <w:t xml:space="preserve">.  The court further noted that the prosecutor had not identified the person who had given the order to immobilise the </w:t>
      </w:r>
      <w:r w:rsidRPr="001F711C" w:rsidR="00E03AE7">
        <w:t xml:space="preserve">first and third </w:t>
      </w:r>
      <w:r w:rsidRPr="001F711C">
        <w:t xml:space="preserve">applicants and take them to the police station. </w:t>
      </w:r>
      <w:r w:rsidRPr="001F711C" w:rsidR="00791983">
        <w:t xml:space="preserve">Both the </w:t>
      </w:r>
      <w:r w:rsidRPr="001F711C">
        <w:t xml:space="preserve">gendarmes </w:t>
      </w:r>
      <w:r w:rsidRPr="001F711C" w:rsidR="00791983">
        <w:t xml:space="preserve">and the police officers </w:t>
      </w:r>
      <w:r w:rsidRPr="001F711C">
        <w:t xml:space="preserve">involved </w:t>
      </w:r>
      <w:r w:rsidRPr="001F711C" w:rsidR="00F70CC5">
        <w:t xml:space="preserve">had </w:t>
      </w:r>
      <w:r w:rsidRPr="001F711C">
        <w:t>denied having immobilised the applicants.</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34</w:t>
      </w:r>
      <w:r w:rsidRPr="001F711C">
        <w:fldChar w:fldCharType="end"/>
      </w:r>
      <w:r w:rsidRPr="001F711C">
        <w:t xml:space="preserve">.  The court went on to question the lawfulness of the police intervention. It noted that at that time the applicants had not been </w:t>
      </w:r>
      <w:r w:rsidRPr="001F711C" w:rsidR="002E787F">
        <w:t xml:space="preserve">the </w:t>
      </w:r>
      <w:r w:rsidRPr="001F711C">
        <w:t xml:space="preserve">subject </w:t>
      </w:r>
      <w:r w:rsidRPr="001F711C" w:rsidR="002E787F">
        <w:t xml:space="preserve">of </w:t>
      </w:r>
      <w:r w:rsidRPr="001F711C" w:rsidR="00791983">
        <w:t xml:space="preserve">any criminal investigation </w:t>
      </w:r>
      <w:r w:rsidRPr="001F711C">
        <w:t xml:space="preserve">and that no order to appear before the police had been issued </w:t>
      </w:r>
      <w:r w:rsidRPr="001F711C" w:rsidR="001E0B28">
        <w:t xml:space="preserve">in </w:t>
      </w:r>
      <w:r w:rsidRPr="001F711C">
        <w:t>their names. It further noted that the</w:t>
      </w:r>
      <w:r w:rsidRPr="001F711C" w:rsidR="00E03AE7">
        <w:t xml:space="preserve"> second and fourth</w:t>
      </w:r>
      <w:r w:rsidRPr="001F711C">
        <w:t xml:space="preserve"> applicants had not even been arrested.</w:t>
      </w:r>
    </w:p>
    <w:bookmarkStart w:name="para35" w:id="12"/>
    <w:p w:rsidRPr="001F711C" w:rsidR="00642D2A"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35</w:t>
      </w:r>
      <w:r w:rsidRPr="001F711C">
        <w:fldChar w:fldCharType="end"/>
      </w:r>
      <w:bookmarkEnd w:id="12"/>
      <w:r w:rsidRPr="001F711C">
        <w:t>.  The court concluded that the criminal investigation had not been exhaustive</w:t>
      </w:r>
      <w:r w:rsidRPr="001F711C" w:rsidR="001E0B28">
        <w:t>.</w:t>
      </w:r>
      <w:r w:rsidRPr="001F711C">
        <w:t xml:space="preserve"> </w:t>
      </w:r>
      <w:r w:rsidRPr="001F711C" w:rsidR="001E0B28">
        <w:t xml:space="preserve">It </w:t>
      </w:r>
      <w:r w:rsidRPr="001F711C">
        <w:t>therefore ordered the prosecutor:</w:t>
      </w:r>
    </w:p>
    <w:p w:rsidRPr="001F711C" w:rsidR="002E2E5B" w:rsidP="001F711C">
      <w:pPr>
        <w:pStyle w:val="ECHRPara"/>
      </w:pPr>
      <w:r w:rsidRPr="001F711C">
        <w:t xml:space="preserve">- to hear evidence from witnesses, in particular from other persons who had been targeted by that police intervention and neighbours who could clarify whether the police </w:t>
      </w:r>
      <w:r w:rsidRPr="001F711C" w:rsidR="001E0B28">
        <w:t xml:space="preserve">officers had </w:t>
      </w:r>
      <w:r w:rsidRPr="001F711C">
        <w:t>entered the applicants</w:t>
      </w:r>
      <w:r w:rsidRPr="001F711C" w:rsidR="001F711C">
        <w:t>’</w:t>
      </w:r>
      <w:r w:rsidRPr="001F711C">
        <w:t xml:space="preserve"> home;</w:t>
      </w:r>
    </w:p>
    <w:p w:rsidRPr="001F711C" w:rsidR="002E2E5B" w:rsidP="001F711C">
      <w:pPr>
        <w:pStyle w:val="ECHRPara"/>
      </w:pPr>
      <w:r w:rsidRPr="001F711C">
        <w:t xml:space="preserve">- to hear the police </w:t>
      </w:r>
      <w:r w:rsidRPr="001F711C" w:rsidR="001E0B28">
        <w:t xml:space="preserve">officers </w:t>
      </w:r>
      <w:r w:rsidRPr="001F711C">
        <w:t>involved in the operation and those responsible for mounting the operation</w:t>
      </w:r>
      <w:r w:rsidRPr="001F711C" w:rsidR="001E0B28">
        <w:t>,</w:t>
      </w:r>
      <w:r w:rsidRPr="001F711C">
        <w:t xml:space="preserve"> in order to </w:t>
      </w:r>
      <w:r w:rsidRPr="001F711C" w:rsidR="001E0B28">
        <w:t xml:space="preserve">find out </w:t>
      </w:r>
      <w:r w:rsidRPr="001F711C">
        <w:t xml:space="preserve">who </w:t>
      </w:r>
      <w:r w:rsidRPr="001F711C" w:rsidR="001E0B28">
        <w:t xml:space="preserve">had given </w:t>
      </w:r>
      <w:r w:rsidRPr="001F711C">
        <w:t>the order to immobilise the</w:t>
      </w:r>
      <w:r w:rsidRPr="001F711C" w:rsidR="00E03AE7">
        <w:t xml:space="preserve"> first and third</w:t>
      </w:r>
      <w:r w:rsidRPr="001F711C">
        <w:t xml:space="preserve"> applicants and who </w:t>
      </w:r>
      <w:r w:rsidRPr="001F711C" w:rsidR="001E0B28">
        <w:t xml:space="preserve">had </w:t>
      </w:r>
      <w:r w:rsidRPr="001F711C">
        <w:t>carried out that order;</w:t>
      </w:r>
    </w:p>
    <w:p w:rsidRPr="001F711C" w:rsidR="00642D2A" w:rsidP="001F711C">
      <w:pPr>
        <w:pStyle w:val="ECHRPara"/>
      </w:pPr>
      <w:r w:rsidRPr="001F711C">
        <w:t>- to establish how the immobilisation</w:t>
      </w:r>
      <w:r w:rsidRPr="001F711C" w:rsidR="00E03AE7">
        <w:t xml:space="preserve"> of the first and third applicants</w:t>
      </w:r>
      <w:r w:rsidRPr="001F711C">
        <w:t xml:space="preserve"> had happened;</w:t>
      </w:r>
    </w:p>
    <w:p w:rsidRPr="001F711C" w:rsidR="00642D2A" w:rsidP="001F711C">
      <w:pPr>
        <w:pStyle w:val="ECHRPara"/>
      </w:pPr>
      <w:r w:rsidRPr="001F711C">
        <w:t xml:space="preserve">- to establish how the </w:t>
      </w:r>
      <w:r w:rsidRPr="001F711C" w:rsidR="00E03AE7">
        <w:t>second and fourth</w:t>
      </w:r>
      <w:r w:rsidRPr="001F711C">
        <w:t xml:space="preserve"> applicants, who had not been immobilised by </w:t>
      </w:r>
      <w:r w:rsidRPr="001F711C" w:rsidR="001E0B28">
        <w:t xml:space="preserve">the </w:t>
      </w:r>
      <w:r w:rsidRPr="001F711C">
        <w:t>police, had been injured;</w:t>
      </w:r>
    </w:p>
    <w:p w:rsidRPr="001F711C" w:rsidR="00642D2A" w:rsidP="001F711C">
      <w:pPr>
        <w:pStyle w:val="ECHRPara"/>
      </w:pPr>
      <w:r w:rsidRPr="001F711C">
        <w:t>- to establish who had participated in the operation on behalf of the authorities, whether police</w:t>
      </w:r>
      <w:r w:rsidRPr="001F711C" w:rsidR="002E787F">
        <w:t xml:space="preserve"> officers</w:t>
      </w:r>
      <w:r w:rsidRPr="001F711C">
        <w:t>, gendarmes or other individuals.</w:t>
      </w:r>
    </w:p>
    <w:p w:rsidRPr="001F711C" w:rsidR="00642D2A" w:rsidP="001F711C">
      <w:pPr>
        <w:pStyle w:val="ECHRHeading3"/>
        <w:keepNext w:val="0"/>
        <w:keepLines w:val="0"/>
      </w:pPr>
      <w:r w:rsidRPr="001F711C">
        <w:t>4.  </w:t>
      </w:r>
      <w:r w:rsidRPr="001F711C" w:rsidR="001E0B28">
        <w:t>N</w:t>
      </w:r>
      <w:r w:rsidRPr="001F711C">
        <w:t>ew investigation</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36</w:t>
      </w:r>
      <w:r w:rsidRPr="001F711C">
        <w:fldChar w:fldCharType="end"/>
      </w:r>
      <w:r w:rsidRPr="001F711C">
        <w:t>.  </w:t>
      </w:r>
      <w:r w:rsidRPr="001F711C" w:rsidR="001E0B28">
        <w:t>A</w:t>
      </w:r>
      <w:r w:rsidRPr="001F711C">
        <w:t xml:space="preserve"> new investigation was carried out </w:t>
      </w:r>
      <w:r w:rsidRPr="001F711C" w:rsidR="00791983">
        <w:t>under the supervision of</w:t>
      </w:r>
      <w:r w:rsidRPr="001F711C">
        <w:t xml:space="preserve"> the same prosecutor from the prosecutor</w:t>
      </w:r>
      <w:r w:rsidRPr="001F711C" w:rsidR="001F711C">
        <w:t>’</w:t>
      </w:r>
      <w:r w:rsidRPr="001F711C">
        <w:t>s office attached to the Bra</w:t>
      </w:r>
      <w:r w:rsidRPr="001F711C">
        <w:rPr>
          <w:rFonts w:cstheme="minorHAnsi"/>
        </w:rPr>
        <w:t>ş</w:t>
      </w:r>
      <w:r w:rsidRPr="001F711C">
        <w:t>ov Court of Appeal.</w:t>
      </w:r>
    </w:p>
    <w:bookmarkStart w:name="roma_stereotype_police" w:id="13"/>
    <w:p w:rsidRPr="001F711C" w:rsidR="00642D2A"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37</w:t>
      </w:r>
      <w:r w:rsidRPr="001F711C">
        <w:fldChar w:fldCharType="end"/>
      </w:r>
      <w:bookmarkEnd w:id="13"/>
      <w:r w:rsidRPr="001F711C">
        <w:t xml:space="preserve">.  On 24 July 2013 </w:t>
      </w:r>
      <w:r w:rsidRPr="001F711C" w:rsidR="001E0B28">
        <w:t xml:space="preserve">the </w:t>
      </w:r>
      <w:r w:rsidRPr="001F711C">
        <w:t>IPJ drafted a report on the investigation, confirming the previous findings concerning the use of force and the applicants</w:t>
      </w:r>
      <w:r w:rsidRPr="001F711C" w:rsidR="001F711C">
        <w:t>’</w:t>
      </w:r>
      <w:r w:rsidRPr="001F711C">
        <w:t xml:space="preserve"> conduct. The injuries sustained by the second and fourth applicants were explained in the report</w:t>
      </w:r>
      <w:r w:rsidRPr="001F711C" w:rsidR="001E0B28">
        <w:t xml:space="preserve"> as follows</w:t>
      </w:r>
      <w:r w:rsidRPr="001F711C">
        <w:t>:</w:t>
      </w:r>
    </w:p>
    <w:p w:rsidRPr="001F711C" w:rsidR="00642D2A" w:rsidP="001F711C">
      <w:pPr>
        <w:pStyle w:val="ECHRParaQuote"/>
      </w:pPr>
      <w:r w:rsidRPr="001F711C">
        <w:t>“</w:t>
      </w:r>
      <w:r w:rsidRPr="001F711C" w:rsidR="001E0B28">
        <w:t xml:space="preserve">[The two women] </w:t>
      </w:r>
      <w:r w:rsidRPr="001F711C">
        <w:t>had exhibited behaviour specific to Roma in such circumstances: they had started pulling their own hair, slapping themselves on their faces, hitting the gate with their fists and shouting in order to intimidate the police</w:t>
      </w:r>
      <w:r w:rsidRPr="001F711C" w:rsidR="001E0B28">
        <w:t xml:space="preserve"> officers</w:t>
      </w:r>
      <w:r w:rsidRPr="001F711C">
        <w:t>.”</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38</w:t>
      </w:r>
      <w:r w:rsidRPr="001F711C">
        <w:fldChar w:fldCharType="end"/>
      </w:r>
      <w:r w:rsidRPr="001F711C">
        <w:t>.  </w:t>
      </w:r>
      <w:r w:rsidRPr="001F711C" w:rsidR="00642D2A">
        <w:t>On 5 August 2013 the prosecutor</w:t>
      </w:r>
      <w:r w:rsidRPr="001F711C" w:rsidR="001F711C">
        <w:t>’</w:t>
      </w:r>
      <w:r w:rsidRPr="001F711C" w:rsidR="00642D2A">
        <w:t>s office decided not to prosecute. It considered that all the indications given by the court had been observed during the new investigation and that further clarifications concerning the case and the general situation in Vâlcele had been</w:t>
      </w:r>
      <w:r w:rsidRPr="001F711C" w:rsidR="001E0B28">
        <w:t xml:space="preserve"> provided</w:t>
      </w:r>
      <w:r w:rsidRPr="001F711C" w:rsidR="00642D2A">
        <w:t>.</w:t>
      </w:r>
    </w:p>
    <w:bookmarkStart w:name="police_intervention_plan_prosecutor" w:id="14"/>
    <w:p w:rsidRPr="001F711C" w:rsidR="00642D2A"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39</w:t>
      </w:r>
      <w:r w:rsidRPr="001F711C">
        <w:fldChar w:fldCharType="end"/>
      </w:r>
      <w:bookmarkEnd w:id="14"/>
      <w:r w:rsidRPr="001F711C">
        <w:t>.  The prosecutor explained, in particular, that because of the problems with the Roma community in Vâlcele</w:t>
      </w:r>
      <w:r w:rsidRPr="001F711C" w:rsidR="001E0B28">
        <w:t>,</w:t>
      </w:r>
      <w:r w:rsidRPr="001F711C">
        <w:t xml:space="preserve"> the police and gendarmes had </w:t>
      </w:r>
      <w:r w:rsidRPr="001F711C" w:rsidR="002E787F">
        <w:t xml:space="preserve">had </w:t>
      </w:r>
      <w:r w:rsidRPr="001F711C">
        <w:t xml:space="preserve">to combine forces. </w:t>
      </w:r>
      <w:r w:rsidRPr="001F711C" w:rsidR="001E0B28">
        <w:t xml:space="preserve">He </w:t>
      </w:r>
      <w:r w:rsidRPr="001F711C">
        <w:t xml:space="preserve">recalled that on 27 June 2013 a police </w:t>
      </w:r>
      <w:r w:rsidRPr="001F711C" w:rsidR="001E0B28">
        <w:t xml:space="preserve">officer </w:t>
      </w:r>
      <w:r w:rsidRPr="001F711C">
        <w:t xml:space="preserve">had been injured and was currently in a critical state in hospital following a police intervention aimed at </w:t>
      </w:r>
      <w:r w:rsidRPr="001F711C" w:rsidR="002E787F">
        <w:t xml:space="preserve">settling </w:t>
      </w:r>
      <w:r w:rsidRPr="001F711C">
        <w:t>a conflict between t</w:t>
      </w:r>
      <w:r w:rsidRPr="001F711C" w:rsidR="00791983">
        <w:t>w</w:t>
      </w:r>
      <w:r w:rsidRPr="001F711C">
        <w:t>o rival Roma clans. Likewise, on 15</w:t>
      </w:r>
      <w:r w:rsidRPr="001F711C" w:rsidR="00EF66D5">
        <w:t xml:space="preserve"> </w:t>
      </w:r>
      <w:r w:rsidRPr="001F711C">
        <w:t xml:space="preserve">July 2013 another police officer had </w:t>
      </w:r>
      <w:r w:rsidRPr="001F711C" w:rsidR="00791983">
        <w:t xml:space="preserve">had </w:t>
      </w:r>
      <w:r w:rsidRPr="001F711C">
        <w:t xml:space="preserve">to open fire in self-defence against an individual who had broken the windscreen of </w:t>
      </w:r>
      <w:r w:rsidRPr="001F711C" w:rsidR="001E0B28">
        <w:t xml:space="preserve">a </w:t>
      </w:r>
      <w:r w:rsidRPr="001F711C">
        <w:t xml:space="preserve">police car during a police intervention triggered by a distress call. The prosecutor noted that most of the inhabitants of Vâlcele, and in particular those from three </w:t>
      </w:r>
      <w:r w:rsidRPr="001F711C" w:rsidR="00791983">
        <w:t>villages</w:t>
      </w:r>
      <w:r w:rsidRPr="001F711C">
        <w:t xml:space="preserve"> (Hetea, Vâlcele and Araci), were known for breaking the law and were aggressive towards the police. The applicants</w:t>
      </w:r>
      <w:r w:rsidRPr="001F711C" w:rsidR="001F711C">
        <w:t>’</w:t>
      </w:r>
      <w:r w:rsidRPr="001F711C">
        <w:t xml:space="preserve"> family members had been subject to investigations for </w:t>
      </w:r>
      <w:r w:rsidRPr="001F711C" w:rsidR="001E0B28">
        <w:t xml:space="preserve">the </w:t>
      </w:r>
      <w:r w:rsidRPr="001F711C">
        <w:t>theft of wood or for disturbing public order.</w:t>
      </w:r>
    </w:p>
    <w:bookmarkStart w:name="roma_stereotype_prosecutor" w:id="15"/>
    <w:p w:rsidRPr="001F711C" w:rsidR="00642D2A"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40</w:t>
      </w:r>
      <w:r w:rsidRPr="001F711C">
        <w:fldChar w:fldCharType="end"/>
      </w:r>
      <w:bookmarkEnd w:id="15"/>
      <w:r w:rsidRPr="001F711C">
        <w:t xml:space="preserve">.  The prosecutor </w:t>
      </w:r>
      <w:r w:rsidRPr="001F711C" w:rsidR="002E787F">
        <w:t xml:space="preserve">held </w:t>
      </w:r>
      <w:r w:rsidRPr="001F711C">
        <w:t xml:space="preserve">that the injuries sustained by the first and third applicants </w:t>
      </w:r>
      <w:r w:rsidRPr="001F711C" w:rsidR="00262332">
        <w:t xml:space="preserve">could be </w:t>
      </w:r>
      <w:r w:rsidRPr="001F711C">
        <w:t>explained by the use of force during the immobilisation</w:t>
      </w:r>
      <w:r w:rsidRPr="001F711C" w:rsidR="00791983">
        <w:t>,</w:t>
      </w:r>
      <w:r w:rsidRPr="001F711C">
        <w:t xml:space="preserve"> which </w:t>
      </w:r>
      <w:r w:rsidRPr="001F711C" w:rsidR="00262332">
        <w:t xml:space="preserve">had been </w:t>
      </w:r>
      <w:r w:rsidRPr="001F711C">
        <w:t xml:space="preserve">made necessary by the </w:t>
      </w:r>
      <w:r w:rsidRPr="001F711C">
        <w:t>applicants</w:t>
      </w:r>
      <w:r w:rsidRPr="001F711C" w:rsidR="001F711C">
        <w:t>’</w:t>
      </w:r>
      <w:r w:rsidRPr="001F711C">
        <w:t xml:space="preserve"> violent behaviour. The second and fourth applicants had been injured when they had attacked the police </w:t>
      </w:r>
      <w:r w:rsidRPr="001F711C" w:rsidR="00262332">
        <w:t xml:space="preserve">officers </w:t>
      </w:r>
      <w:r w:rsidRPr="001F711C">
        <w:t xml:space="preserve">in order to prevent them from immobilising their family members. The prosecutor reiterated the explanation given in the police report about the behaviour allegedly exhibited by </w:t>
      </w:r>
      <w:r w:rsidRPr="001F711C" w:rsidR="00262332">
        <w:t xml:space="preserve">the </w:t>
      </w:r>
      <w:r w:rsidRPr="001F711C">
        <w:t>second and fourth applicants. The identities of the four gendarmes who had executed the immobilisation were known, but had to be kept secret for their</w:t>
      </w:r>
      <w:r w:rsidRPr="001F711C" w:rsidR="00791983">
        <w:t xml:space="preserve"> own</w:t>
      </w:r>
      <w:r w:rsidRPr="001F711C">
        <w:t xml:space="preserve"> protection.</w:t>
      </w:r>
    </w:p>
    <w:bookmarkStart w:name="complain_racism_prosecutor_stereotypes" w:id="16"/>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41</w:t>
      </w:r>
      <w:r w:rsidRPr="001F711C">
        <w:fldChar w:fldCharType="end"/>
      </w:r>
      <w:bookmarkEnd w:id="16"/>
      <w:r w:rsidRPr="001F711C">
        <w:t xml:space="preserve">.  The applicants objected to </w:t>
      </w:r>
      <w:r w:rsidRPr="001F711C" w:rsidR="00262332">
        <w:t xml:space="preserve">that </w:t>
      </w:r>
      <w:r w:rsidRPr="001F711C">
        <w:t xml:space="preserve">decision, arguing that the prosecutor had failed to investigate whether the use of force had been proportionate and justified. They also complained </w:t>
      </w:r>
      <w:r w:rsidRPr="001F711C" w:rsidR="00262332">
        <w:t xml:space="preserve">of </w:t>
      </w:r>
      <w:r w:rsidRPr="001F711C">
        <w:t xml:space="preserve">the use of stereotypes </w:t>
      </w:r>
      <w:r w:rsidRPr="001F711C" w:rsidR="00262332">
        <w:t xml:space="preserve">in respect of </w:t>
      </w:r>
      <w:r w:rsidRPr="001F711C">
        <w:t>Roma in the prosecutor</w:t>
      </w:r>
      <w:r w:rsidRPr="001F711C" w:rsidR="001F711C">
        <w:t>’</w:t>
      </w:r>
      <w:r w:rsidRPr="001F711C">
        <w:t>s decision.</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42</w:t>
      </w:r>
      <w:r w:rsidRPr="001F711C">
        <w:fldChar w:fldCharType="end"/>
      </w:r>
      <w:r w:rsidRPr="001F711C">
        <w:t>.  On 20 September 2013 the prosecutor-in-chief from the same prosecutor</w:t>
      </w:r>
      <w:r w:rsidRPr="001F711C" w:rsidR="001F711C">
        <w:t>’</w:t>
      </w:r>
      <w:r w:rsidRPr="001F711C">
        <w:t>s office upheld the decision on similar grounds to those given in the decision of 17 April 2013</w:t>
      </w:r>
      <w:r w:rsidRPr="001F711C" w:rsidR="002535F2">
        <w:t xml:space="preserve"> (see paragraph</w:t>
      </w:r>
      <w:r w:rsidRPr="001F711C" w:rsidR="00EF66D5">
        <w:t xml:space="preserve"> 30</w:t>
      </w:r>
      <w:r w:rsidRPr="001F711C" w:rsidR="002535F2">
        <w:t xml:space="preserve"> above)</w:t>
      </w:r>
      <w:r w:rsidRPr="001F711C">
        <w:t xml:space="preserve"> and, in addition, on the ground that the prosecutor had complied with the </w:t>
      </w:r>
      <w:r w:rsidRPr="001F711C" w:rsidR="00262332">
        <w:t xml:space="preserve">orders </w:t>
      </w:r>
      <w:r w:rsidRPr="001F711C">
        <w:t>made by the court</w:t>
      </w:r>
      <w:r w:rsidRPr="001F711C" w:rsidR="00E03AE7">
        <w:t xml:space="preserve"> (see paragraph</w:t>
      </w:r>
      <w:r w:rsidRPr="001F711C" w:rsidR="00EF66D5">
        <w:t xml:space="preserve"> 35</w:t>
      </w:r>
      <w:r w:rsidRPr="001F711C" w:rsidR="00E03AE7">
        <w:t xml:space="preserve"> above)</w:t>
      </w:r>
      <w:r w:rsidRPr="001F711C">
        <w:t>.</w:t>
      </w:r>
    </w:p>
    <w:p w:rsidRPr="001F711C" w:rsidR="00642D2A" w:rsidP="001F711C">
      <w:pPr>
        <w:pStyle w:val="ECHRHeading3"/>
        <w:keepNext w:val="0"/>
        <w:keepLines w:val="0"/>
      </w:pPr>
      <w:r w:rsidRPr="001F711C">
        <w:t>5.  The court decision of 16 January 2014</w:t>
      </w:r>
    </w:p>
    <w:bookmarkStart w:name="complain_racism_prosecutor_bis" w:id="17"/>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43</w:t>
      </w:r>
      <w:r w:rsidRPr="001F711C">
        <w:fldChar w:fldCharType="end"/>
      </w:r>
      <w:bookmarkEnd w:id="17"/>
      <w:r w:rsidRPr="001F711C">
        <w:t xml:space="preserve">.  The applicants complained </w:t>
      </w:r>
      <w:r w:rsidRPr="001F711C" w:rsidR="002E787F">
        <w:t xml:space="preserve">about </w:t>
      </w:r>
      <w:r w:rsidRPr="001F711C">
        <w:t>the prosecutors</w:t>
      </w:r>
      <w:r w:rsidRPr="001F711C" w:rsidR="001F711C">
        <w:t>’</w:t>
      </w:r>
      <w:r w:rsidRPr="001F711C">
        <w:t xml:space="preserve"> decisions, reiterating their previous arguments.</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44</w:t>
      </w:r>
      <w:r w:rsidRPr="001F711C">
        <w:fldChar w:fldCharType="end"/>
      </w:r>
      <w:r w:rsidRPr="001F711C">
        <w:t>.  On 16 January 2014 the Bra</w:t>
      </w:r>
      <w:r w:rsidRPr="001F711C">
        <w:rPr>
          <w:rFonts w:cstheme="minorHAnsi"/>
        </w:rPr>
        <w:t>ş</w:t>
      </w:r>
      <w:r w:rsidRPr="001F711C">
        <w:t>ov Court of Appeal dismissed the applicants</w:t>
      </w:r>
      <w:r w:rsidRPr="001F711C" w:rsidR="001F711C">
        <w:t>’</w:t>
      </w:r>
      <w:r w:rsidRPr="001F711C">
        <w:t xml:space="preserve"> complaint as unfounded. The decision was final.</w:t>
      </w:r>
    </w:p>
    <w:bookmarkStart w:name="final_court_decision" w:id="18"/>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45</w:t>
      </w:r>
      <w:r w:rsidRPr="001F711C">
        <w:fldChar w:fldCharType="end"/>
      </w:r>
      <w:bookmarkEnd w:id="18"/>
      <w:r w:rsidRPr="001F711C">
        <w:t>.  The court considered that the prosecutor had respected the requirements set by the previous court decision</w:t>
      </w:r>
      <w:r w:rsidRPr="001F711C" w:rsidR="002535F2">
        <w:t xml:space="preserve"> (see paragraph</w:t>
      </w:r>
      <w:r w:rsidRPr="001F711C" w:rsidR="00EF66D5">
        <w:t xml:space="preserve"> 35</w:t>
      </w:r>
      <w:r w:rsidRPr="001F711C" w:rsidR="002535F2">
        <w:t xml:space="preserve"> above)</w:t>
      </w:r>
      <w:r w:rsidRPr="001F711C">
        <w:t xml:space="preserve">. Additional witnesses who did not belong to the police or gendarmerie had been heard. It also considered that the evidence adduced could not prove beyond any reasonable doubt that the police </w:t>
      </w:r>
      <w:r w:rsidRPr="001F711C" w:rsidR="00262332">
        <w:t xml:space="preserve">officers </w:t>
      </w:r>
      <w:r w:rsidRPr="001F711C">
        <w:t>had injured the applicants. The applicants</w:t>
      </w:r>
      <w:r w:rsidRPr="001F711C" w:rsidR="001F711C">
        <w:t>’</w:t>
      </w:r>
      <w:r w:rsidRPr="001F711C">
        <w:t xml:space="preserve"> statements and the medical</w:t>
      </w:r>
      <w:r w:rsidRPr="001F711C" w:rsidR="002E787F">
        <w:t xml:space="preserve"> reports</w:t>
      </w:r>
      <w:r w:rsidRPr="001F711C">
        <w:t>, which remained the only elements supporting that theory, were not sufficient to change the conclusion. According to th</w:t>
      </w:r>
      <w:r w:rsidRPr="001F711C" w:rsidR="002535F2">
        <w:t>e Court of Appeal</w:t>
      </w:r>
      <w:r w:rsidRPr="001F711C">
        <w:t xml:space="preserve">, the explanations offered by the prosecutor as to the cause of injuries were plausible and the police </w:t>
      </w:r>
      <w:r w:rsidRPr="001F711C" w:rsidR="00262332">
        <w:t xml:space="preserve">officers </w:t>
      </w:r>
      <w:r w:rsidRPr="001F711C">
        <w:t xml:space="preserve">had not used excessive force. The court also considered that the applicants had </w:t>
      </w:r>
      <w:r w:rsidRPr="001F711C" w:rsidR="00262332">
        <w:t xml:space="preserve">an </w:t>
      </w:r>
      <w:r w:rsidRPr="001F711C">
        <w:t>obligation to identify the alleged perpetrators. Lastly, the court noted that the investigations had not been influenced by the fact that the applicants were Roma.</w:t>
      </w:r>
    </w:p>
    <w:p w:rsidRPr="001F711C" w:rsidR="00642D2A" w:rsidP="001F711C">
      <w:pPr>
        <w:pStyle w:val="ECHRHeading1"/>
        <w:keepNext w:val="0"/>
        <w:keepLines w:val="0"/>
      </w:pPr>
      <w:r w:rsidRPr="001F711C">
        <w:t>II.  RELEVANT DOMESTIC LAW</w:t>
      </w:r>
    </w:p>
    <w:p w:rsidRPr="001F711C" w:rsidR="002E2E5B" w:rsidP="001F711C">
      <w:pPr>
        <w:pStyle w:val="ECHRPara"/>
        <w:rPr>
          <w:snapToGrid w:val="0"/>
        </w:rPr>
      </w:pPr>
      <w:r w:rsidRPr="001F711C">
        <w:fldChar w:fldCharType="begin"/>
      </w:r>
      <w:r w:rsidRPr="001F711C">
        <w:instrText xml:space="preserve"> SEQ level0 \*arabic </w:instrText>
      </w:r>
      <w:r w:rsidRPr="001F711C">
        <w:fldChar w:fldCharType="separate"/>
      </w:r>
      <w:r w:rsidRPr="001F711C" w:rsidR="001F711C">
        <w:rPr>
          <w:noProof/>
        </w:rPr>
        <w:t>46</w:t>
      </w:r>
      <w:r w:rsidRPr="001F711C">
        <w:fldChar w:fldCharType="end"/>
      </w:r>
      <w:r w:rsidRPr="001F711C">
        <w:t xml:space="preserve">.  A detailed presentation of the relevant legal provisions can be found in </w:t>
      </w:r>
      <w:r w:rsidRPr="001F711C">
        <w:rPr>
          <w:i/>
        </w:rPr>
        <w:t>Ciorcan and Others v. Romania</w:t>
      </w:r>
      <w:r w:rsidRPr="001F711C">
        <w:t xml:space="preserve"> (nos. 29414/09 and 44841/09</w:t>
      </w:r>
      <w:r w:rsidRPr="001F711C">
        <w:rPr>
          <w:snapToGrid w:val="0"/>
        </w:rPr>
        <w:t>, §§</w:t>
      </w:r>
      <w:r w:rsidRPr="001F711C" w:rsidR="00EF66D5">
        <w:rPr>
          <w:snapToGrid w:val="0"/>
        </w:rPr>
        <w:t> </w:t>
      </w:r>
      <w:r w:rsidRPr="001F711C">
        <w:rPr>
          <w:snapToGrid w:val="0"/>
        </w:rPr>
        <w:t>71-74</w:t>
      </w:r>
      <w:r w:rsidRPr="001F711C" w:rsidR="00EF66D5">
        <w:rPr>
          <w:snapToGrid w:val="0"/>
        </w:rPr>
        <w:t>, 27 </w:t>
      </w:r>
      <w:r w:rsidRPr="001F711C">
        <w:rPr>
          <w:snapToGrid w:val="0"/>
        </w:rPr>
        <w:t>January</w:t>
      </w:r>
      <w:r w:rsidRPr="001F711C" w:rsidR="00EF66D5">
        <w:rPr>
          <w:snapToGrid w:val="0"/>
        </w:rPr>
        <w:t> </w:t>
      </w:r>
      <w:r w:rsidRPr="001F711C">
        <w:rPr>
          <w:snapToGrid w:val="0"/>
        </w:rPr>
        <w:t>2015).</w:t>
      </w:r>
    </w:p>
    <w:p w:rsidRPr="001F711C" w:rsidR="00642D2A" w:rsidP="001F711C">
      <w:pPr>
        <w:pStyle w:val="ECHRHeading1"/>
        <w:keepNext w:val="0"/>
        <w:keepLines w:val="0"/>
        <w:rPr>
          <w:snapToGrid w:val="0"/>
        </w:rPr>
      </w:pPr>
      <w:r w:rsidRPr="001F711C">
        <w:rPr>
          <w:snapToGrid w:val="0"/>
        </w:rPr>
        <w:t>III.  RELEVANT INTERNATIONAL MATERIAL</w:t>
      </w:r>
    </w:p>
    <w:bookmarkStart w:name="international_materials" w:id="19"/>
    <w:p w:rsidRPr="001F711C" w:rsidR="00642D2A"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47</w:t>
      </w:r>
      <w:r w:rsidRPr="001F711C">
        <w:fldChar w:fldCharType="end"/>
      </w:r>
      <w:bookmarkEnd w:id="19"/>
      <w:r w:rsidRPr="001F711C">
        <w:t xml:space="preserve">.  The relevant international material concerning the situation of Roma in Romania </w:t>
      </w:r>
      <w:r w:rsidRPr="001F711C" w:rsidR="00403002">
        <w:t>is</w:t>
      </w:r>
      <w:r w:rsidRPr="001F711C">
        <w:t xml:space="preserve"> described in </w:t>
      </w:r>
      <w:r w:rsidRPr="001F711C">
        <w:rPr>
          <w:i/>
        </w:rPr>
        <w:t>Boacă and Others v. Romania</w:t>
      </w:r>
      <w:r w:rsidRPr="001F711C">
        <w:t xml:space="preserve"> (no.</w:t>
      </w:r>
      <w:r w:rsidRPr="001F711C" w:rsidR="00EF66D5">
        <w:t> </w:t>
      </w:r>
      <w:r w:rsidRPr="001F711C">
        <w:t>40355/11</w:t>
      </w:r>
      <w:r w:rsidRPr="001F711C" w:rsidR="00EF66D5">
        <w:rPr>
          <w:snapToGrid w:val="0"/>
        </w:rPr>
        <w:t>, §§ 35-</w:t>
      </w:r>
      <w:r w:rsidRPr="001F711C">
        <w:rPr>
          <w:snapToGrid w:val="0"/>
        </w:rPr>
        <w:t>40, 12 January 2016).</w:t>
      </w:r>
    </w:p>
    <w:p w:rsidRPr="001F711C" w:rsidR="00D420F3" w:rsidP="001F711C">
      <w:pPr>
        <w:pStyle w:val="ECHRTitle1"/>
      </w:pPr>
      <w:r w:rsidRPr="001F711C">
        <w:t>THE LAW</w:t>
      </w:r>
    </w:p>
    <w:p w:rsidRPr="001F711C" w:rsidR="00D420F3" w:rsidP="001F711C">
      <w:pPr>
        <w:pStyle w:val="ECHRHeading1"/>
      </w:pPr>
      <w:r w:rsidRPr="001F711C">
        <w:t>I.  ALLEGED VIOLATION OF ARTICLE</w:t>
      </w:r>
      <w:r w:rsidRPr="001F711C" w:rsidR="00642D2A">
        <w:t>S</w:t>
      </w:r>
      <w:r w:rsidRPr="001F711C">
        <w:t xml:space="preserve"> </w:t>
      </w:r>
      <w:r w:rsidRPr="001F711C" w:rsidR="00642D2A">
        <w:t>3 AND 14</w:t>
      </w:r>
      <w:r w:rsidRPr="001F711C">
        <w:t xml:space="preserve"> OF THE CONVENTION</w:t>
      </w:r>
    </w:p>
    <w:bookmarkStart w:name="complaint" w:id="20"/>
    <w:p w:rsidRPr="001F711C" w:rsidR="0028280D" w:rsidP="001F711C">
      <w:pPr>
        <w:pStyle w:val="ECHRPara"/>
        <w:keepNext/>
        <w:keepLines/>
      </w:pPr>
      <w:r w:rsidRPr="001F711C">
        <w:fldChar w:fldCharType="begin"/>
      </w:r>
      <w:r w:rsidRPr="001F711C">
        <w:instrText xml:space="preserve"> SEQ level0 \*arabic </w:instrText>
      </w:r>
      <w:r w:rsidRPr="001F711C">
        <w:fldChar w:fldCharType="separate"/>
      </w:r>
      <w:r w:rsidRPr="001F711C" w:rsidR="001F711C">
        <w:rPr>
          <w:noProof/>
        </w:rPr>
        <w:t>48</w:t>
      </w:r>
      <w:r w:rsidRPr="001F711C">
        <w:fldChar w:fldCharType="end"/>
      </w:r>
      <w:bookmarkEnd w:id="20"/>
      <w:r w:rsidRPr="001F711C" w:rsidR="0077175D">
        <w:t>.  </w:t>
      </w:r>
      <w:r w:rsidRPr="001F711C" w:rsidR="00642D2A">
        <w:t>The applicants complained</w:t>
      </w:r>
      <w:r w:rsidRPr="001F711C" w:rsidR="00262332">
        <w:t>,</w:t>
      </w:r>
      <w:r w:rsidRPr="001F711C" w:rsidR="00642D2A">
        <w:t xml:space="preserve"> </w:t>
      </w:r>
      <w:r w:rsidRPr="001F711C" w:rsidR="00262332">
        <w:t>under Articles 3</w:t>
      </w:r>
      <w:r w:rsidRPr="001F711C" w:rsidR="00D47FF1">
        <w:t>, 6</w:t>
      </w:r>
      <w:r w:rsidRPr="001F711C" w:rsidR="00262332">
        <w:t xml:space="preserve"> and 14 of the Convention, </w:t>
      </w:r>
      <w:r w:rsidRPr="001F711C" w:rsidR="00642D2A">
        <w:t xml:space="preserve">that police officers had ill-treated them during </w:t>
      </w:r>
      <w:r w:rsidRPr="001F711C" w:rsidR="00262332">
        <w:t xml:space="preserve">a raid on </w:t>
      </w:r>
      <w:r w:rsidRPr="001F711C" w:rsidR="00642D2A">
        <w:t>15</w:t>
      </w:r>
      <w:r w:rsidRPr="001F711C" w:rsidR="00D47FF1">
        <w:t> </w:t>
      </w:r>
      <w:r w:rsidRPr="001F711C" w:rsidR="00EF66D5">
        <w:t>December </w:t>
      </w:r>
      <w:r w:rsidRPr="001F711C" w:rsidR="00642D2A">
        <w:t>2011</w:t>
      </w:r>
      <w:r w:rsidRPr="001F711C" w:rsidR="00262332">
        <w:t xml:space="preserve"> and</w:t>
      </w:r>
      <w:r w:rsidRPr="001F711C" w:rsidR="00642D2A">
        <w:t xml:space="preserve"> that the investigation into those events had not been effective</w:t>
      </w:r>
      <w:r w:rsidRPr="001F711C" w:rsidR="003019F9">
        <w:t>. They further complained</w:t>
      </w:r>
      <w:r w:rsidRPr="001F711C" w:rsidR="00642D2A">
        <w:t xml:space="preserve"> that the authorities had used stereotypical arguments to justify the police intervention, which had been accepted by the courts.</w:t>
      </w:r>
    </w:p>
    <w:p w:rsidRPr="001F711C" w:rsidR="00642D2A"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49</w:t>
      </w:r>
      <w:r w:rsidRPr="001F711C">
        <w:rPr>
          <w:noProof/>
        </w:rPr>
        <w:fldChar w:fldCharType="end"/>
      </w:r>
      <w:r w:rsidRPr="001F711C" w:rsidR="0028280D">
        <w:t xml:space="preserve">.  Being master of the characterisation to be given in law to the facts of the case (see </w:t>
      </w:r>
      <w:r w:rsidRPr="001F711C" w:rsidR="0028280D">
        <w:rPr>
          <w:i/>
        </w:rPr>
        <w:t>Radomilja and Others v. Croatia</w:t>
      </w:r>
      <w:r w:rsidRPr="001F711C" w:rsidR="0028280D">
        <w:t xml:space="preserve"> [GC], nos. 37685/10 and 22768/12, §§ 114 and 126, ECHR 2018), the Court considers that the applicant</w:t>
      </w:r>
      <w:r w:rsidRPr="001F711C" w:rsidR="001F711C">
        <w:t>’</w:t>
      </w:r>
      <w:r w:rsidRPr="001F711C" w:rsidR="0028280D">
        <w:t xml:space="preserve">s complaints should be examined only from the standpoint of </w:t>
      </w:r>
      <w:r w:rsidRPr="001F711C">
        <w:t>Articles </w:t>
      </w:r>
      <w:r w:rsidRPr="001F711C">
        <w:t>3 and 14 of the Convention</w:t>
      </w:r>
      <w:r w:rsidRPr="001F711C" w:rsidR="0028280D">
        <w:t>, which</w:t>
      </w:r>
      <w:r w:rsidRPr="001F711C">
        <w:t xml:space="preserve"> read as follows:</w:t>
      </w:r>
    </w:p>
    <w:p w:rsidRPr="001F711C" w:rsidR="00642D2A" w:rsidP="001F711C">
      <w:pPr>
        <w:pStyle w:val="ECHRTitleCentre3"/>
        <w:keepNext w:val="0"/>
        <w:keepLines w:val="0"/>
      </w:pPr>
      <w:r w:rsidRPr="001F711C">
        <w:t>Article 3</w:t>
      </w:r>
    </w:p>
    <w:p w:rsidRPr="001F711C" w:rsidR="00642D2A" w:rsidP="001F711C">
      <w:pPr>
        <w:pStyle w:val="ECHRParaQuote"/>
      </w:pPr>
      <w:r w:rsidRPr="001F711C">
        <w:t>“No one shall be subjected to torture or to inhuman or degrading treatment or punishment.”</w:t>
      </w:r>
    </w:p>
    <w:p w:rsidRPr="001F711C" w:rsidR="00642D2A" w:rsidP="001F711C">
      <w:pPr>
        <w:pStyle w:val="ECHRTitleCentre3"/>
        <w:keepNext w:val="0"/>
        <w:keepLines w:val="0"/>
      </w:pPr>
      <w:r w:rsidRPr="001F711C">
        <w:t>Article 14</w:t>
      </w:r>
    </w:p>
    <w:p w:rsidRPr="001F711C" w:rsidR="00642D2A" w:rsidP="001F711C">
      <w:pPr>
        <w:pStyle w:val="ECHRParaQuote"/>
      </w:pPr>
      <w:r w:rsidRPr="001F711C">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1F711C" w:rsidR="00D420F3" w:rsidP="001F711C">
      <w:pPr>
        <w:pStyle w:val="ECHRHeading2"/>
        <w:keepNext w:val="0"/>
        <w:keepLines w:val="0"/>
      </w:pPr>
      <w:r w:rsidRPr="001F711C">
        <w:t>A.  Admissibility</w:t>
      </w:r>
    </w:p>
    <w:p w:rsidRPr="001F711C" w:rsidR="00D420F3"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50</w:t>
      </w:r>
      <w:r w:rsidRPr="001F711C">
        <w:fldChar w:fldCharType="end"/>
      </w:r>
      <w:r w:rsidRPr="001F711C" w:rsidR="0077175D">
        <w:t>.  The Court notes that the application is not manifestly ill-founded within the meaning of Article 35 § 3 (a) of the Convention. It further notes that it is not inadmissible on any other grounds. It must therefore be declared admissible.</w:t>
      </w:r>
    </w:p>
    <w:p w:rsidRPr="001F711C" w:rsidR="00D420F3" w:rsidP="001F711C">
      <w:pPr>
        <w:pStyle w:val="ECHRHeading2"/>
        <w:keepNext w:val="0"/>
        <w:keepLines w:val="0"/>
      </w:pPr>
      <w:r w:rsidRPr="001F711C">
        <w:t>B.  Merits</w:t>
      </w:r>
    </w:p>
    <w:p w:rsidRPr="001F711C" w:rsidR="00642D2A" w:rsidP="001F711C">
      <w:pPr>
        <w:pStyle w:val="ECHRHeading3"/>
        <w:keepNext w:val="0"/>
        <w:keepLines w:val="0"/>
      </w:pPr>
      <w:r w:rsidRPr="001F711C">
        <w:t>1.  The parties</w:t>
      </w:r>
      <w:r w:rsidRPr="001F711C" w:rsidR="001F711C">
        <w:t>’</w:t>
      </w:r>
      <w:r w:rsidRPr="001F711C">
        <w:t xml:space="preserve"> submissions</w:t>
      </w:r>
    </w:p>
    <w:p w:rsidRPr="001F711C" w:rsidR="00642D2A" w:rsidP="001F711C">
      <w:pPr>
        <w:pStyle w:val="ECHRHeading4"/>
        <w:keepNext w:val="0"/>
        <w:keepLines w:val="0"/>
      </w:pPr>
      <w:r w:rsidRPr="001F711C">
        <w:t>(a)  The applicants</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51</w:t>
      </w:r>
      <w:r w:rsidRPr="001F711C">
        <w:fldChar w:fldCharType="end"/>
      </w:r>
      <w:r w:rsidRPr="001F711C">
        <w:t xml:space="preserve">.  The applicants </w:t>
      </w:r>
      <w:r w:rsidRPr="001F711C" w:rsidR="003122E0">
        <w:t xml:space="preserve">contended that the evidence in the file, namely </w:t>
      </w:r>
      <w:r w:rsidRPr="001F711C" w:rsidR="00D96FF8">
        <w:t xml:space="preserve">medical </w:t>
      </w:r>
      <w:r w:rsidRPr="001F711C" w:rsidR="002E787F">
        <w:t xml:space="preserve">reports </w:t>
      </w:r>
      <w:r w:rsidRPr="001F711C" w:rsidR="00D96FF8">
        <w:t>and witness statements, contradicted the Government</w:t>
      </w:r>
      <w:r w:rsidRPr="001F711C" w:rsidR="001F711C">
        <w:t>’</w:t>
      </w:r>
      <w:r w:rsidRPr="001F711C" w:rsidR="00CA215D">
        <w:t>s version of facts (see paragraphs</w:t>
      </w:r>
      <w:r w:rsidRPr="001F711C" w:rsidR="00EF66D5">
        <w:t xml:space="preserve"> 11-16</w:t>
      </w:r>
      <w:r w:rsidRPr="001F711C" w:rsidR="00CA215D">
        <w:t xml:space="preserve"> above)</w:t>
      </w:r>
      <w:r w:rsidRPr="001F711C" w:rsidR="00D96FF8">
        <w:t xml:space="preserve">. They further </w:t>
      </w:r>
      <w:r w:rsidRPr="001F711C">
        <w:t>argued that the domestic courts had ignored the conclusions of the forensic reports</w:t>
      </w:r>
      <w:r w:rsidRPr="001F711C" w:rsidR="00EB0F12">
        <w:t>,</w:t>
      </w:r>
      <w:r w:rsidRPr="001F711C">
        <w:t xml:space="preserve"> as well as the witness statements</w:t>
      </w:r>
      <w:r w:rsidRPr="001F711C" w:rsidR="00EB0F12">
        <w:t>,</w:t>
      </w:r>
      <w:r w:rsidRPr="001F711C">
        <w:t xml:space="preserve"> and </w:t>
      </w:r>
      <w:r w:rsidRPr="001F711C" w:rsidR="00EB0F12">
        <w:t xml:space="preserve">had </w:t>
      </w:r>
      <w:r w:rsidRPr="001F711C">
        <w:t>turned a blind eye to the racist overtones of the abuse and to the abuse itself. There was no evidence that the applicants had been violent or provocative during the incidents</w:t>
      </w:r>
      <w:r w:rsidRPr="001F711C" w:rsidR="002E787F">
        <w:t>,</w:t>
      </w:r>
      <w:r w:rsidRPr="001F711C">
        <w:t xml:space="preserve"> and remarks </w:t>
      </w:r>
      <w:r w:rsidRPr="001F711C" w:rsidR="00EB0F12">
        <w:t xml:space="preserve">to that effect </w:t>
      </w:r>
      <w:r w:rsidRPr="001F711C">
        <w:t xml:space="preserve">by the police were mere excuses to cover up their own abusive and violent conduct against the applicants. </w:t>
      </w:r>
      <w:r w:rsidRPr="001F711C" w:rsidR="00D96FF8">
        <w:t>There was also no evidence to sustain the Government</w:t>
      </w:r>
      <w:r w:rsidRPr="001F711C" w:rsidR="001F711C">
        <w:t>’</w:t>
      </w:r>
      <w:r w:rsidRPr="001F711C" w:rsidR="00D96FF8">
        <w:t xml:space="preserve">s position that the injuries had been self-inflicted. </w:t>
      </w:r>
      <w:r w:rsidRPr="001F711C">
        <w:t>They lastly point</w:t>
      </w:r>
      <w:r w:rsidRPr="001F711C" w:rsidR="003019F9">
        <w:t>ed</w:t>
      </w:r>
      <w:r w:rsidRPr="001F711C">
        <w:t xml:space="preserve"> out that the allegations that they had attempted to </w:t>
      </w:r>
      <w:r w:rsidRPr="001F711C" w:rsidR="003019F9">
        <w:t>intimidate the police officers we</w:t>
      </w:r>
      <w:r w:rsidRPr="001F711C">
        <w:t xml:space="preserve">re unfounded. They reiterated that </w:t>
      </w:r>
      <w:r w:rsidRPr="001F711C" w:rsidR="00EB0F12">
        <w:t xml:space="preserve">when the incident had occurred they had been aged </w:t>
      </w:r>
      <w:r w:rsidRPr="001F711C">
        <w:t xml:space="preserve">62, 17, 55 and 26 and </w:t>
      </w:r>
      <w:r w:rsidRPr="001F711C" w:rsidR="00EB0F12">
        <w:t xml:space="preserve">had been </w:t>
      </w:r>
      <w:r w:rsidRPr="001F711C">
        <w:t>unarmed</w:t>
      </w:r>
      <w:r w:rsidRPr="001F711C" w:rsidR="00EB0F12">
        <w:t>;</w:t>
      </w:r>
      <w:r w:rsidRPr="001F711C">
        <w:t xml:space="preserve"> </w:t>
      </w:r>
      <w:r w:rsidRPr="001F711C" w:rsidR="00EB0F12">
        <w:t xml:space="preserve">they had been </w:t>
      </w:r>
      <w:r w:rsidRPr="001F711C">
        <w:t xml:space="preserve">tackled by </w:t>
      </w:r>
      <w:r w:rsidRPr="001F711C" w:rsidR="00EB0F12">
        <w:t xml:space="preserve">eighty-three </w:t>
      </w:r>
      <w:r w:rsidRPr="001F711C">
        <w:t>law</w:t>
      </w:r>
      <w:r w:rsidRPr="001F711C" w:rsidR="00EB0F12">
        <w:t>-</w:t>
      </w:r>
      <w:r w:rsidRPr="001F711C">
        <w:t xml:space="preserve">enforcement </w:t>
      </w:r>
      <w:r w:rsidRPr="001F711C" w:rsidR="00EB0F12">
        <w:t xml:space="preserve">officers, </w:t>
      </w:r>
      <w:r w:rsidRPr="001F711C">
        <w:t xml:space="preserve">all of whom </w:t>
      </w:r>
      <w:r w:rsidRPr="001F711C" w:rsidR="00EB0F12">
        <w:t xml:space="preserve">had been </w:t>
      </w:r>
      <w:r w:rsidRPr="001F711C">
        <w:t>carrying lethal weapons.</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52</w:t>
      </w:r>
      <w:r w:rsidRPr="001F711C">
        <w:fldChar w:fldCharType="end"/>
      </w:r>
      <w:r w:rsidRPr="001F711C">
        <w:t xml:space="preserve">.  The applicants further contended that the investigation had been neither independent nor effective. They pointed out that the police investigators </w:t>
      </w:r>
      <w:r w:rsidRPr="001F711C" w:rsidR="00EB0F12">
        <w:t xml:space="preserve">had been </w:t>
      </w:r>
      <w:r w:rsidRPr="001F711C">
        <w:t xml:space="preserve">part of the same police unit as the </w:t>
      </w:r>
      <w:r w:rsidRPr="001F711C" w:rsidR="00EF66D5">
        <w:t>police officers accused of ill-</w:t>
      </w:r>
      <w:r w:rsidRPr="001F711C">
        <w:t>treatment</w:t>
      </w:r>
      <w:r w:rsidRPr="001F711C" w:rsidR="002E787F">
        <w:t>,</w:t>
      </w:r>
      <w:r w:rsidRPr="001F711C">
        <w:t xml:space="preserve"> and that therefore an institutional and hierarchical relationship existed between them. They relied on </w:t>
      </w:r>
      <w:r w:rsidRPr="001F711C">
        <w:rPr>
          <w:i/>
        </w:rPr>
        <w:t>Anton v.</w:t>
      </w:r>
      <w:r w:rsidRPr="001F711C" w:rsidR="00EF66D5">
        <w:rPr>
          <w:i/>
        </w:rPr>
        <w:t> </w:t>
      </w:r>
      <w:r w:rsidRPr="001F711C">
        <w:rPr>
          <w:i/>
        </w:rPr>
        <w:t>Romania</w:t>
      </w:r>
      <w:r w:rsidRPr="001F711C" w:rsidR="00D96FF8">
        <w:t xml:space="preserve"> </w:t>
      </w:r>
      <w:r w:rsidRPr="001F711C" w:rsidR="00EB0F12">
        <w:t>(</w:t>
      </w:r>
      <w:r w:rsidRPr="001F711C" w:rsidR="00D96FF8">
        <w:t>no. </w:t>
      </w:r>
      <w:r w:rsidRPr="001F711C">
        <w:t>57365/12, 19 May 2015</w:t>
      </w:r>
      <w:r w:rsidRPr="001F711C" w:rsidR="00EB0F12">
        <w:t>)</w:t>
      </w:r>
      <w:r w:rsidRPr="001F711C" w:rsidR="003019F9">
        <w:t>. They</w:t>
      </w:r>
      <w:r w:rsidRPr="001F711C">
        <w:t xml:space="preserve"> reiterated that the Commissioner for Human Rights had urged the Romanian authorities to set up an independent and effective mechanism for investigating complaints against the police.</w:t>
      </w:r>
    </w:p>
    <w:bookmarkStart w:name="superficial" w:id="21"/>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53</w:t>
      </w:r>
      <w:r w:rsidRPr="001F711C">
        <w:fldChar w:fldCharType="end"/>
      </w:r>
      <w:bookmarkEnd w:id="21"/>
      <w:r w:rsidRPr="001F711C">
        <w:t>.  The</w:t>
      </w:r>
      <w:r w:rsidRPr="001F711C" w:rsidR="00EB0F12">
        <w:t xml:space="preserve"> applicants</w:t>
      </w:r>
      <w:r w:rsidRPr="001F711C">
        <w:t xml:space="preserve"> further claimed that the investigation had failed to examine the necessity and proportionality of the use of force. Moreover, the conclusion of the investigation had been based solely on the statements by the police officers, </w:t>
      </w:r>
      <w:r w:rsidRPr="001F711C" w:rsidR="003019F9">
        <w:t xml:space="preserve">thus </w:t>
      </w:r>
      <w:r w:rsidRPr="001F711C" w:rsidR="00423354">
        <w:t xml:space="preserve">failing </w:t>
      </w:r>
      <w:r w:rsidRPr="001F711C">
        <w:t>to reconcile the conflicting versions presented by the parties involved. The</w:t>
      </w:r>
      <w:r w:rsidRPr="001F711C" w:rsidR="002E787F">
        <w:t xml:space="preserve"> applicants</w:t>
      </w:r>
      <w:r w:rsidRPr="001F711C">
        <w:t xml:space="preserve"> concluded that the investigation had been conducted in a superficial and subjective manner.</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54</w:t>
      </w:r>
      <w:r w:rsidRPr="001F711C">
        <w:fldChar w:fldCharType="end"/>
      </w:r>
      <w:r w:rsidRPr="001F711C">
        <w:t xml:space="preserve">.  The applicants complained that the prosecutor had justified the proportionality of the police intervention by using stereotypical arguments concerning what </w:t>
      </w:r>
      <w:r w:rsidRPr="001F711C" w:rsidR="00EB0F12">
        <w:t xml:space="preserve">was </w:t>
      </w:r>
      <w:r w:rsidRPr="001F711C">
        <w:t>perceived to be the attitude of Roma in general and by referring to other unrelated incidents involving members of the Roma community.</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55</w:t>
      </w:r>
      <w:r w:rsidRPr="001F711C">
        <w:fldChar w:fldCharType="end"/>
      </w:r>
      <w:r w:rsidRPr="001F711C">
        <w:t>.  The</w:t>
      </w:r>
      <w:r w:rsidRPr="001F711C" w:rsidR="00EB0F12">
        <w:t xml:space="preserve"> applicants</w:t>
      </w:r>
      <w:r w:rsidRPr="001F711C">
        <w:t xml:space="preserve"> maintained that the Roma communities faced an institutional racist bias</w:t>
      </w:r>
      <w:r w:rsidRPr="001F711C" w:rsidR="006E0261">
        <w:t>,</w:t>
      </w:r>
      <w:r w:rsidRPr="001F711C">
        <w:t xml:space="preserve"> manifested throughout police policies and procedures aimed at their communities. They argued that th</w:t>
      </w:r>
      <w:r w:rsidRPr="001F711C" w:rsidR="003019F9">
        <w:t>e</w:t>
      </w:r>
      <w:r w:rsidRPr="001F711C" w:rsidR="00EF66D5">
        <w:t xml:space="preserve"> police intervention plan of 15 </w:t>
      </w:r>
      <w:r w:rsidRPr="001F711C">
        <w:t xml:space="preserve">December 2011 </w:t>
      </w:r>
      <w:r w:rsidRPr="001F711C" w:rsidR="00EB0F12">
        <w:t xml:space="preserve">had </w:t>
      </w:r>
      <w:r w:rsidRPr="001F711C">
        <w:t xml:space="preserve">clearly </w:t>
      </w:r>
      <w:r w:rsidRPr="001F711C" w:rsidR="00EB0F12">
        <w:t xml:space="preserve">shown </w:t>
      </w:r>
      <w:r w:rsidRPr="001F711C">
        <w:t>that the raid had been intended against the Roma community, which had been portrayed as a criminal community. The very essence of the police intervention</w:t>
      </w:r>
      <w:r w:rsidRPr="001F711C" w:rsidR="006E0261">
        <w:t xml:space="preserve"> had been</w:t>
      </w:r>
      <w:r w:rsidRPr="001F711C">
        <w:t>, in their view, racist.</w:t>
      </w:r>
      <w:r w:rsidRPr="001F711C" w:rsidR="007A62D7">
        <w:t xml:space="preserve"> </w:t>
      </w:r>
      <w:r w:rsidRPr="001F711C">
        <w:t xml:space="preserve">Moreover, they averred that the </w:t>
      </w:r>
      <w:r w:rsidRPr="001F711C">
        <w:t xml:space="preserve">statistical data provided in the intervention plan did not coincide with the figures available from the official census. In their view, this proved that the police </w:t>
      </w:r>
      <w:r w:rsidRPr="001F711C" w:rsidR="00EB0F12">
        <w:t xml:space="preserve">had </w:t>
      </w:r>
      <w:r w:rsidRPr="001F711C">
        <w:t>conducted their own census of the Vâlcele population and collected data on criminality based on the ethnic appurtenance of the suspects. Therefore the police portrayed the whole Roma community as being a criminal community and made generalisations which were incompatible with the requirements of Article</w:t>
      </w:r>
      <w:r w:rsidRPr="001F711C" w:rsidR="00EF66D5">
        <w:t> </w:t>
      </w:r>
      <w:r w:rsidRPr="001F711C">
        <w:t>14 of the Convention.</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56</w:t>
      </w:r>
      <w:r w:rsidRPr="001F711C">
        <w:fldChar w:fldCharType="end"/>
      </w:r>
      <w:r w:rsidRPr="001F711C">
        <w:t>.  The</w:t>
      </w:r>
      <w:r w:rsidRPr="001F711C" w:rsidR="00EB0F12">
        <w:t xml:space="preserve"> applicants</w:t>
      </w:r>
      <w:r w:rsidRPr="001F711C">
        <w:t xml:space="preserve"> denied the so</w:t>
      </w:r>
      <w:r w:rsidRPr="001F711C" w:rsidR="00EB0F12">
        <w:t>-</w:t>
      </w:r>
      <w:r w:rsidRPr="001F711C">
        <w:t>called “Roma behaviour” allegedly exhibited by the second and fourth applicants</w:t>
      </w:r>
      <w:r w:rsidRPr="001F711C" w:rsidR="00EB0F12">
        <w:t>,</w:t>
      </w:r>
      <w:r w:rsidRPr="001F711C">
        <w:t xml:space="preserve"> which the authorities </w:t>
      </w:r>
      <w:r w:rsidRPr="001F711C" w:rsidR="006E0261">
        <w:t xml:space="preserve">had used </w:t>
      </w:r>
      <w:r w:rsidRPr="001F711C">
        <w:t>to justify the injuries suffered by those applicants</w:t>
      </w:r>
      <w:r w:rsidRPr="001F711C" w:rsidR="00423354">
        <w:t xml:space="preserve"> (see paragraphs</w:t>
      </w:r>
      <w:r w:rsidRPr="001F711C" w:rsidR="00EF66D5">
        <w:t> 37</w:t>
      </w:r>
      <w:r w:rsidRPr="001F711C" w:rsidR="00423354">
        <w:t xml:space="preserve"> and</w:t>
      </w:r>
      <w:r w:rsidRPr="001F711C" w:rsidR="00EF66D5">
        <w:t xml:space="preserve"> 40</w:t>
      </w:r>
      <w:r w:rsidRPr="001F711C" w:rsidR="00423354">
        <w:t xml:space="preserve"> above)</w:t>
      </w:r>
      <w:r w:rsidRPr="001F711C">
        <w:t>.</w:t>
      </w:r>
    </w:p>
    <w:p w:rsidRPr="001F711C" w:rsidR="00642D2A"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57</w:t>
      </w:r>
      <w:r w:rsidRPr="001F711C">
        <w:fldChar w:fldCharType="end"/>
      </w:r>
      <w:r w:rsidRPr="001F711C">
        <w:t>.  </w:t>
      </w:r>
      <w:r w:rsidRPr="001F711C" w:rsidR="00403002">
        <w:t>Lastly</w:t>
      </w:r>
      <w:r w:rsidRPr="001F711C">
        <w:t>, the applicants argued that the prosecutor had failed to react to the evidence that the police action had been planned and justified in a purely racist manner.</w:t>
      </w:r>
    </w:p>
    <w:p w:rsidRPr="001F711C" w:rsidR="00642D2A" w:rsidP="001F711C">
      <w:pPr>
        <w:pStyle w:val="ECHRHeading4"/>
        <w:keepNext w:val="0"/>
        <w:keepLines w:val="0"/>
      </w:pPr>
      <w:r w:rsidRPr="001F711C">
        <w:t>(b)  The Government</w:t>
      </w:r>
    </w:p>
    <w:bookmarkStart w:name="Gov_obs_proport" w:id="22"/>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58</w:t>
      </w:r>
      <w:r w:rsidRPr="001F711C">
        <w:fldChar w:fldCharType="end"/>
      </w:r>
      <w:bookmarkEnd w:id="22"/>
      <w:r w:rsidRPr="001F711C">
        <w:t xml:space="preserve">.  The Government accepted that the applicants </w:t>
      </w:r>
      <w:r w:rsidRPr="001F711C" w:rsidR="00C5662C">
        <w:t xml:space="preserve">had </w:t>
      </w:r>
      <w:r w:rsidRPr="001F711C">
        <w:t xml:space="preserve">suffered physical harm at the hands of the police, but argued that the injuries </w:t>
      </w:r>
      <w:r w:rsidRPr="001F711C" w:rsidR="00C5662C">
        <w:t xml:space="preserve">had </w:t>
      </w:r>
      <w:r w:rsidRPr="001F711C">
        <w:t>not reach</w:t>
      </w:r>
      <w:r w:rsidRPr="001F711C" w:rsidR="00C5662C">
        <w:t>ed</w:t>
      </w:r>
      <w:r w:rsidRPr="001F711C">
        <w:t xml:space="preserve"> </w:t>
      </w:r>
      <w:r w:rsidRPr="001F711C" w:rsidR="00C5662C">
        <w:t xml:space="preserve">a </w:t>
      </w:r>
      <w:r w:rsidRPr="001F711C">
        <w:t>level of severity sufficient to bring them within the scope of Article 3</w:t>
      </w:r>
      <w:r w:rsidRPr="001F711C" w:rsidR="007A62D7">
        <w:t xml:space="preserve"> of the Convention</w:t>
      </w:r>
      <w:r w:rsidRPr="001F711C">
        <w:t>. Moreover, they pointed out that the use of force had been justified and appropriate in the circumstances of the case, bearing in mind the breadth of the criminal activity in the area where the police intervention had occurred, and the applicants</w:t>
      </w:r>
      <w:r w:rsidRPr="001F711C" w:rsidR="001F711C">
        <w:t>’</w:t>
      </w:r>
      <w:r w:rsidRPr="001F711C">
        <w:t xml:space="preserve"> provocative conduct. They considered that there was no reason for the Court to depart from the assessment made by the domestic courts in this respect.</w:t>
      </w:r>
    </w:p>
    <w:bookmarkStart w:name="Gov_obs_proport_disrespect" w:id="23"/>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59</w:t>
      </w:r>
      <w:r w:rsidRPr="001F711C">
        <w:fldChar w:fldCharType="end"/>
      </w:r>
      <w:bookmarkEnd w:id="23"/>
      <w:r w:rsidRPr="001F711C">
        <w:t>.  The</w:t>
      </w:r>
      <w:r w:rsidRPr="001F711C" w:rsidR="00C5662C">
        <w:t xml:space="preserve"> Government</w:t>
      </w:r>
      <w:r w:rsidRPr="001F711C">
        <w:t xml:space="preserve"> further pointed out that the police officers had not used firearms and that the police operation had been set up in order to tackle issues in the whole neighbourhood, </w:t>
      </w:r>
      <w:r w:rsidRPr="001F711C" w:rsidR="00C5662C">
        <w:t xml:space="preserve">so it had </w:t>
      </w:r>
      <w:r w:rsidRPr="001F711C">
        <w:t xml:space="preserve">not </w:t>
      </w:r>
      <w:r w:rsidRPr="001F711C" w:rsidR="00C5662C">
        <w:t xml:space="preserve">been </w:t>
      </w:r>
      <w:r w:rsidRPr="001F711C">
        <w:t xml:space="preserve">directly aimed </w:t>
      </w:r>
      <w:r w:rsidRPr="001F711C" w:rsidR="00C5662C">
        <w:t xml:space="preserve">at </w:t>
      </w:r>
      <w:r w:rsidRPr="001F711C">
        <w:t>the applicants</w:t>
      </w:r>
      <w:r w:rsidRPr="001F711C" w:rsidR="001F711C">
        <w:t>’</w:t>
      </w:r>
      <w:r w:rsidRPr="001F711C">
        <w:t xml:space="preserve"> family. Lastly</w:t>
      </w:r>
      <w:r w:rsidRPr="001F711C" w:rsidR="00C5662C">
        <w:t>,</w:t>
      </w:r>
      <w:r w:rsidRPr="001F711C">
        <w:t xml:space="preserve"> they reiterated that </w:t>
      </w:r>
      <w:r w:rsidRPr="001F711C" w:rsidR="00C5662C">
        <w:t xml:space="preserve">the State had a monopoly on </w:t>
      </w:r>
      <w:r w:rsidRPr="001F711C">
        <w:t>the use of lawful violence and that anomy and disrespectful conduct towards the law</w:t>
      </w:r>
      <w:r w:rsidRPr="001F711C" w:rsidR="006E0261">
        <w:t>-enforcement authorities</w:t>
      </w:r>
      <w:r w:rsidRPr="001F711C">
        <w:t xml:space="preserve"> should not be tolerated.</w:t>
      </w:r>
    </w:p>
    <w:p w:rsidRPr="001F711C" w:rsidR="00642D2A"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60</w:t>
      </w:r>
      <w:r w:rsidRPr="001F711C">
        <w:fldChar w:fldCharType="end"/>
      </w:r>
      <w:r w:rsidRPr="001F711C">
        <w:t xml:space="preserve">.  The Government noted that the prosecutor had initiated a very complex </w:t>
      </w:r>
      <w:r w:rsidRPr="001F711C" w:rsidR="00C5662C">
        <w:t xml:space="preserve">inquiry into the conduct of </w:t>
      </w:r>
      <w:r w:rsidRPr="001F711C">
        <w:t>the police officers and that the decisions taken had been based on a significant amount of evidence, including statements from the applicants</w:t>
      </w:r>
      <w:r w:rsidRPr="001F711C" w:rsidR="006E0261">
        <w:t xml:space="preserve"> and</w:t>
      </w:r>
      <w:r w:rsidRPr="001F711C">
        <w:t xml:space="preserve"> from all </w:t>
      </w:r>
      <w:r w:rsidRPr="001F711C" w:rsidR="006E0261">
        <w:t xml:space="preserve">the </w:t>
      </w:r>
      <w:r w:rsidRPr="001F711C">
        <w:t xml:space="preserve">police officers involved, witness statements, medical </w:t>
      </w:r>
      <w:r w:rsidRPr="001F711C" w:rsidR="002E787F">
        <w:t xml:space="preserve">reports </w:t>
      </w:r>
      <w:r w:rsidRPr="001F711C">
        <w:t xml:space="preserve">and material evidence gathered at the </w:t>
      </w:r>
      <w:r w:rsidRPr="001F711C" w:rsidR="00C5662C">
        <w:t xml:space="preserve">scene </w:t>
      </w:r>
      <w:r w:rsidRPr="001F711C">
        <w:t xml:space="preserve">of the incident. The decisions that the use of force had been legitimate </w:t>
      </w:r>
      <w:r w:rsidRPr="001F711C" w:rsidR="00C5662C">
        <w:t xml:space="preserve">had been </w:t>
      </w:r>
      <w:r w:rsidRPr="001F711C">
        <w:t>supported by compelling evidence. The</w:t>
      </w:r>
      <w:r w:rsidRPr="001F711C" w:rsidR="006E0261">
        <w:t xml:space="preserve"> Government</w:t>
      </w:r>
      <w:r w:rsidRPr="001F711C">
        <w:t xml:space="preserve"> </w:t>
      </w:r>
      <w:r w:rsidRPr="001F711C" w:rsidR="00C5662C">
        <w:t xml:space="preserve">stressed </w:t>
      </w:r>
      <w:r w:rsidRPr="001F711C">
        <w:t>that the Court</w:t>
      </w:r>
      <w:r w:rsidRPr="001F711C" w:rsidR="001F711C">
        <w:t>’</w:t>
      </w:r>
      <w:r w:rsidRPr="001F711C">
        <w:t xml:space="preserve">s assessment must remain subsidiary to that </w:t>
      </w:r>
      <w:r w:rsidRPr="001F711C" w:rsidR="00C5662C">
        <w:t xml:space="preserve">of </w:t>
      </w:r>
      <w:r w:rsidRPr="001F711C">
        <w:t>the domestic authorities.</w:t>
      </w:r>
    </w:p>
    <w:bookmarkStart w:name="Gov_ethnic_profiling" w:id="24"/>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61</w:t>
      </w:r>
      <w:r w:rsidRPr="001F711C">
        <w:fldChar w:fldCharType="end"/>
      </w:r>
      <w:bookmarkEnd w:id="24"/>
      <w:r w:rsidRPr="001F711C">
        <w:t>.  The Government contended that the applicants had failed to substantiate in any manner the allegations of racial motives behind the police officers</w:t>
      </w:r>
      <w:r w:rsidRPr="001F711C" w:rsidR="001F711C">
        <w:t>’</w:t>
      </w:r>
      <w:r w:rsidRPr="001F711C">
        <w:t xml:space="preserve"> actions. They further argued that the expression </w:t>
      </w:r>
      <w:r w:rsidRPr="001F711C">
        <w:t>of concern by the Council of Europe</w:t>
      </w:r>
      <w:r w:rsidRPr="001F711C" w:rsidR="001F711C">
        <w:t>’</w:t>
      </w:r>
      <w:r w:rsidRPr="001F711C">
        <w:t>s Advisory Committee on the Framework Convention for the Protection of National Minorities about allegations of violence against Roma by Romanian law</w:t>
      </w:r>
      <w:r w:rsidRPr="001F711C" w:rsidR="00AE39D6">
        <w:t>-</w:t>
      </w:r>
      <w:r w:rsidRPr="001F711C">
        <w:t xml:space="preserve">enforcement officers and the repeated failure of the Romanian authorities to remedy the situation and provide redress for discrimination did not suffice to consider </w:t>
      </w:r>
      <w:r w:rsidRPr="001F711C" w:rsidR="006E0261">
        <w:t xml:space="preserve">it </w:t>
      </w:r>
      <w:r w:rsidRPr="001F711C">
        <w:t xml:space="preserve">established that racist attitudes had played a role in the current case. They contended that the police raid had been linked </w:t>
      </w:r>
      <w:r w:rsidRPr="001F711C" w:rsidR="006E0261">
        <w:t xml:space="preserve">not to </w:t>
      </w:r>
      <w:r w:rsidRPr="001F711C">
        <w:t>the applicants</w:t>
      </w:r>
      <w:r w:rsidRPr="001F711C" w:rsidR="001F711C">
        <w:t>’</w:t>
      </w:r>
      <w:r w:rsidRPr="001F711C">
        <w:t xml:space="preserve"> ethnicity but rather to the need to curb the criminality in the area.</w:t>
      </w:r>
    </w:p>
    <w:p w:rsidRPr="001F711C" w:rsidR="00642D2A"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62</w:t>
      </w:r>
      <w:r w:rsidRPr="001F711C">
        <w:fldChar w:fldCharType="end"/>
      </w:r>
      <w:r w:rsidRPr="001F711C">
        <w:t>.  The authorities</w:t>
      </w:r>
      <w:r w:rsidRPr="001F711C" w:rsidR="001F711C">
        <w:t>’</w:t>
      </w:r>
      <w:r w:rsidRPr="001F711C">
        <w:t xml:space="preserve"> conduct </w:t>
      </w:r>
      <w:r w:rsidRPr="001F711C" w:rsidR="00AE39D6">
        <w:t xml:space="preserve">had </w:t>
      </w:r>
      <w:r w:rsidRPr="001F711C">
        <w:t xml:space="preserve">not </w:t>
      </w:r>
      <w:r w:rsidRPr="001F711C" w:rsidR="00AE39D6">
        <w:t xml:space="preserve">been </w:t>
      </w:r>
      <w:r w:rsidRPr="001F711C">
        <w:t>provocative, but strictly defensive. The</w:t>
      </w:r>
      <w:r w:rsidRPr="001F711C" w:rsidR="00AE39D6">
        <w:t xml:space="preserve"> Government</w:t>
      </w:r>
      <w:r w:rsidRPr="001F711C">
        <w:t xml:space="preserve"> pointed out that the forest ranger had </w:t>
      </w:r>
      <w:r w:rsidRPr="001F711C" w:rsidR="00AE39D6">
        <w:t xml:space="preserve">shown </w:t>
      </w:r>
      <w:r w:rsidRPr="001F711C">
        <w:t>no bias against the Roma community</w:t>
      </w:r>
      <w:r w:rsidRPr="001F711C" w:rsidR="00AE39D6">
        <w:t>,</w:t>
      </w:r>
      <w:r w:rsidRPr="001F711C">
        <w:t xml:space="preserve"> which he </w:t>
      </w:r>
      <w:r w:rsidRPr="001F711C" w:rsidR="00AE39D6">
        <w:t xml:space="preserve">had </w:t>
      </w:r>
      <w:r w:rsidRPr="001F711C">
        <w:t>commended for being peaceful and hardworking (</w:t>
      </w:r>
      <w:r w:rsidRPr="001F711C" w:rsidR="00423354">
        <w:t xml:space="preserve">see </w:t>
      </w:r>
      <w:r w:rsidRPr="001F711C">
        <w:t>paragraph</w:t>
      </w:r>
      <w:r w:rsidRPr="001F711C" w:rsidR="00EF66D5">
        <w:t xml:space="preserve"> 11</w:t>
      </w:r>
      <w:r w:rsidRPr="001F711C">
        <w:t xml:space="preserve"> above). As for the expression in the prosecutor</w:t>
      </w:r>
      <w:r w:rsidRPr="001F711C" w:rsidR="001F711C">
        <w:t>’</w:t>
      </w:r>
      <w:r w:rsidRPr="001F711C">
        <w:t xml:space="preserve">s decision of </w:t>
      </w:r>
      <w:r w:rsidRPr="001F711C" w:rsidR="007A62D7">
        <w:t>5 August 2013</w:t>
      </w:r>
      <w:r w:rsidRPr="001F711C" w:rsidR="00AE39D6">
        <w:t>,</w:t>
      </w:r>
      <w:r w:rsidRPr="001F711C">
        <w:t xml:space="preserve"> they argued that it was no more than a description </w:t>
      </w:r>
      <w:r w:rsidRPr="001F711C" w:rsidR="006E0261">
        <w:t xml:space="preserve">taken from </w:t>
      </w:r>
      <w:r w:rsidRPr="001F711C">
        <w:t>the police report (</w:t>
      </w:r>
      <w:r w:rsidRPr="001F711C" w:rsidR="007A62D7">
        <w:t xml:space="preserve">see </w:t>
      </w:r>
      <w:r w:rsidRPr="001F711C">
        <w:t>paragraph</w:t>
      </w:r>
      <w:r w:rsidRPr="001F711C" w:rsidR="007A62D7">
        <w:t>s</w:t>
      </w:r>
      <w:r w:rsidRPr="001F711C" w:rsidR="00EF66D5">
        <w:t xml:space="preserve"> 37</w:t>
      </w:r>
      <w:r w:rsidRPr="001F711C">
        <w:t xml:space="preserve"> </w:t>
      </w:r>
      <w:r w:rsidRPr="001F711C" w:rsidR="007A62D7">
        <w:t xml:space="preserve">and </w:t>
      </w:r>
      <w:r w:rsidRPr="001F711C" w:rsidR="00EF66D5">
        <w:t xml:space="preserve">40 </w:t>
      </w:r>
      <w:r w:rsidRPr="001F711C">
        <w:t>above), and was mere</w:t>
      </w:r>
      <w:r w:rsidRPr="001F711C" w:rsidR="006E0261">
        <w:t>ly a case of</w:t>
      </w:r>
      <w:r w:rsidRPr="001F711C">
        <w:t xml:space="preserve"> linguistic negligence. The details given in the police reports were a sign of thoroughness in the preparation of their mission</w:t>
      </w:r>
      <w:r w:rsidRPr="001F711C" w:rsidR="006E0261">
        <w:t>,</w:t>
      </w:r>
      <w:r w:rsidRPr="001F711C">
        <w:t xml:space="preserve"> rather than of bias </w:t>
      </w:r>
      <w:r w:rsidRPr="001F711C" w:rsidR="00AE39D6">
        <w:t xml:space="preserve">against </w:t>
      </w:r>
      <w:r w:rsidRPr="001F711C">
        <w:t>the applicants</w:t>
      </w:r>
      <w:r w:rsidRPr="001F711C" w:rsidR="001F711C">
        <w:t>’</w:t>
      </w:r>
      <w:r w:rsidRPr="001F711C">
        <w:t xml:space="preserve"> ethnicity.</w:t>
      </w:r>
    </w:p>
    <w:p w:rsidRPr="001F711C" w:rsidR="00642D2A" w:rsidP="001F711C">
      <w:pPr>
        <w:pStyle w:val="ECHRHeading4"/>
        <w:keepNext w:val="0"/>
        <w:keepLines w:val="0"/>
      </w:pPr>
      <w:r w:rsidRPr="001F711C">
        <w:t>(c)  The third party</w:t>
      </w:r>
    </w:p>
    <w:bookmarkStart w:name="ERRC_ethnic_profiling" w:id="25"/>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63</w:t>
      </w:r>
      <w:r w:rsidRPr="001F711C">
        <w:fldChar w:fldCharType="end"/>
      </w:r>
      <w:bookmarkEnd w:id="25"/>
      <w:r w:rsidRPr="001F711C">
        <w:t xml:space="preserve">.  The </w:t>
      </w:r>
      <w:r w:rsidRPr="001F711C" w:rsidR="00BE4E12">
        <w:t>ERRC</w:t>
      </w:r>
      <w:r w:rsidRPr="001F711C">
        <w:t xml:space="preserve"> referred to various international reports and surveys </w:t>
      </w:r>
      <w:r w:rsidRPr="001F711C" w:rsidR="00296443">
        <w:t xml:space="preserve">(by the OSCE, Amnesty International, European Union Fundamental Rights Agency – “the FRA”) </w:t>
      </w:r>
      <w:r w:rsidRPr="001F711C">
        <w:t xml:space="preserve">concerning the increase, in recent years, of </w:t>
      </w:r>
      <w:r w:rsidRPr="001F711C" w:rsidR="00EF66D5">
        <w:br/>
      </w:r>
      <w:r w:rsidRPr="001F711C">
        <w:t>anti-Gypsy attitudes in Europe, evidenced in part by an increase in violence against Roma</w:t>
      </w:r>
      <w:r w:rsidRPr="001F711C" w:rsidR="007C5BC4">
        <w:t xml:space="preserve"> and by</w:t>
      </w:r>
      <w:r w:rsidRPr="001F711C">
        <w:t xml:space="preserve"> violent police raids apparently motivated by stereotypical views on Roma criminality</w:t>
      </w:r>
      <w:r w:rsidRPr="001F711C" w:rsidR="00296443">
        <w:t>.</w:t>
      </w:r>
      <w:r w:rsidRPr="001F711C">
        <w:t xml:space="preserve"> Various international bodies </w:t>
      </w:r>
      <w:r w:rsidRPr="001F711C" w:rsidR="00296443">
        <w:t xml:space="preserve">had shown </w:t>
      </w:r>
      <w:r w:rsidRPr="001F711C">
        <w:t xml:space="preserve">their concern </w:t>
      </w:r>
      <w:r w:rsidRPr="001F711C" w:rsidR="00296443">
        <w:t xml:space="preserve">about </w:t>
      </w:r>
      <w:r w:rsidRPr="001F711C">
        <w:t xml:space="preserve">reports of racial stereotyping and racist hate crimes against Roma in Romania: the UN Committee on the Elimination of Racial Discrimination (“the CERD”), </w:t>
      </w:r>
      <w:r w:rsidRPr="001F711C" w:rsidR="00296443">
        <w:t xml:space="preserve">the </w:t>
      </w:r>
      <w:r w:rsidRPr="001F711C">
        <w:t xml:space="preserve">UN Committee against Torture, </w:t>
      </w:r>
      <w:r w:rsidRPr="001F711C" w:rsidR="00296443">
        <w:t xml:space="preserve">and </w:t>
      </w:r>
      <w:r w:rsidRPr="001F711C">
        <w:t>the Council of Europe</w:t>
      </w:r>
      <w:r w:rsidRPr="001F711C" w:rsidR="001F711C">
        <w:t>’</w:t>
      </w:r>
      <w:r w:rsidRPr="001F711C">
        <w:t xml:space="preserve">s European Commission against Racism and Intolerance (“ECRI”). In addition, surveys conducted </w:t>
      </w:r>
      <w:r w:rsidRPr="001F711C" w:rsidR="006E0261">
        <w:t xml:space="preserve">between 2005 and 2015 </w:t>
      </w:r>
      <w:r w:rsidRPr="001F711C">
        <w:t xml:space="preserve">by the National Council for Combating Discrimination and the National Institute for the Study of the Holocaust in Romania </w:t>
      </w:r>
      <w:r w:rsidRPr="001F711C" w:rsidR="00296443">
        <w:t xml:space="preserve">had </w:t>
      </w:r>
      <w:r w:rsidRPr="001F711C">
        <w:t>indicated that between 41% and 68% of respondents would prefer not to have a Roma work colleague, neighbour, friend or family member</w:t>
      </w:r>
      <w:r w:rsidRPr="001F711C" w:rsidR="00296443">
        <w:t>;</w:t>
      </w:r>
      <w:r w:rsidRPr="001F711C">
        <w:t xml:space="preserve"> 21% considered Roma to be a threat</w:t>
      </w:r>
      <w:r w:rsidRPr="001F711C" w:rsidR="00296443">
        <w:t>;</w:t>
      </w:r>
      <w:r w:rsidRPr="001F711C">
        <w:t xml:space="preserve"> 61% thought that Roma were a source of shame for Romania</w:t>
      </w:r>
      <w:r w:rsidRPr="001F711C" w:rsidR="00296443">
        <w:t>;</w:t>
      </w:r>
      <w:r w:rsidRPr="001F711C">
        <w:t xml:space="preserve"> and 52% said that Roma should not be allowed to travel outside the country.</w:t>
      </w:r>
    </w:p>
    <w:p w:rsidRPr="001F711C" w:rsidR="00642D2A"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64</w:t>
      </w:r>
      <w:r w:rsidRPr="001F711C">
        <w:rPr>
          <w:noProof/>
        </w:rPr>
        <w:fldChar w:fldCharType="end"/>
      </w:r>
      <w:r w:rsidRPr="001F711C">
        <w:t>.  The ERRC further pointed out that, according to research done by the FRA and the UN Special Rapport</w:t>
      </w:r>
      <w:r w:rsidRPr="001F711C">
        <w:t>eur on extreme poverty, Phillip </w:t>
      </w:r>
      <w:r w:rsidRPr="001F711C">
        <w:t>Alston, Romania did not keep any record of racially-motivated crimes, lacking a comprehensive data-collection system. In the ERRC</w:t>
      </w:r>
      <w:r w:rsidRPr="001F711C" w:rsidR="001F711C">
        <w:t>’</w:t>
      </w:r>
      <w:r w:rsidRPr="001F711C">
        <w:t>s view, the Romanian authorities</w:t>
      </w:r>
      <w:r w:rsidRPr="001F711C" w:rsidR="001F711C">
        <w:t>’</w:t>
      </w:r>
      <w:r w:rsidRPr="001F711C">
        <w:t xml:space="preserve"> failure to compile data on racially motivated crimes was a symptom of institutional racism</w:t>
      </w:r>
      <w:r w:rsidRPr="001F711C" w:rsidR="006E0261">
        <w:t>,</w:t>
      </w:r>
      <w:r w:rsidRPr="001F711C">
        <w:t xml:space="preserve"> which also </w:t>
      </w:r>
      <w:r w:rsidRPr="001F711C">
        <w:t xml:space="preserve">undermined the ability to identify patterns of racist violence (they relied </w:t>
      </w:r>
      <w:r w:rsidRPr="001F711C" w:rsidR="00BE4E12">
        <w:t xml:space="preserve">in this respect </w:t>
      </w:r>
      <w:r w:rsidRPr="001F711C">
        <w:t xml:space="preserve">on </w:t>
      </w:r>
      <w:r w:rsidRPr="001F711C">
        <w:rPr>
          <w:i/>
        </w:rPr>
        <w:t>Milanović v.</w:t>
      </w:r>
      <w:r w:rsidRPr="001F711C">
        <w:rPr>
          <w:i/>
        </w:rPr>
        <w:t> </w:t>
      </w:r>
      <w:r w:rsidRPr="001F711C">
        <w:rPr>
          <w:i/>
        </w:rPr>
        <w:t>Serbia</w:t>
      </w:r>
      <w:r w:rsidRPr="001F711C">
        <w:t xml:space="preserve">, no. </w:t>
      </w:r>
      <w:r w:rsidRPr="001F711C">
        <w:t>44614/07, §</w:t>
      </w:r>
      <w:r w:rsidRPr="001F711C">
        <w:t xml:space="preserve"> 89, 14 </w:t>
      </w:r>
      <w:r w:rsidRPr="001F711C">
        <w:t xml:space="preserve">December 2010). They pointed out that, according to information gathered from </w:t>
      </w:r>
      <w:r w:rsidRPr="001F711C" w:rsidR="00296443">
        <w:t xml:space="preserve">the </w:t>
      </w:r>
      <w:r w:rsidRPr="001F711C">
        <w:t xml:space="preserve">mass media, the </w:t>
      </w:r>
      <w:r w:rsidRPr="001F711C" w:rsidR="007C5BC4">
        <w:t>applicants</w:t>
      </w:r>
      <w:r w:rsidRPr="001F711C" w:rsidR="001F711C">
        <w:t>’</w:t>
      </w:r>
      <w:r w:rsidRPr="001F711C" w:rsidR="007C5BC4">
        <w:t xml:space="preserve"> </w:t>
      </w:r>
      <w:r w:rsidRPr="001F711C">
        <w:t xml:space="preserve">village </w:t>
      </w:r>
      <w:r w:rsidRPr="001F711C" w:rsidR="007C5BC4">
        <w:t>belonged</w:t>
      </w:r>
      <w:r w:rsidRPr="001F711C">
        <w:t xml:space="preserve"> to an area with a significant Roma population and with </w:t>
      </w:r>
      <w:r w:rsidRPr="001F711C" w:rsidR="00296443">
        <w:t xml:space="preserve">a </w:t>
      </w:r>
      <w:r w:rsidRPr="001F711C">
        <w:t xml:space="preserve">recent history of serious violence </w:t>
      </w:r>
      <w:r w:rsidRPr="001F711C" w:rsidR="00296443">
        <w:t xml:space="preserve">perpetrated </w:t>
      </w:r>
      <w:r w:rsidRPr="001F711C">
        <w:t>against Roma, such as allegations of repeated police abuse, ethnic tensions, and alleged lynching.</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65</w:t>
      </w:r>
      <w:r w:rsidRPr="001F711C">
        <w:rPr>
          <w:noProof/>
        </w:rPr>
        <w:fldChar w:fldCharType="end"/>
      </w:r>
      <w:r w:rsidRPr="001F711C" w:rsidR="00642D2A">
        <w:t>.  </w:t>
      </w:r>
      <w:r w:rsidRPr="001F711C" w:rsidR="007C5BC4">
        <w:t>T</w:t>
      </w:r>
      <w:r w:rsidRPr="001F711C" w:rsidR="00642D2A">
        <w:t xml:space="preserve">he ERRC </w:t>
      </w:r>
      <w:r w:rsidRPr="001F711C" w:rsidR="007C5BC4">
        <w:t xml:space="preserve">urged </w:t>
      </w:r>
      <w:r w:rsidRPr="001F711C" w:rsidR="00642D2A">
        <w:t xml:space="preserve">the Court </w:t>
      </w:r>
      <w:r w:rsidRPr="001F711C" w:rsidR="007C5BC4">
        <w:t>to pay particular attention</w:t>
      </w:r>
      <w:r w:rsidRPr="001F711C" w:rsidR="00642D2A">
        <w:t xml:space="preserve"> to (1) </w:t>
      </w:r>
      <w:r w:rsidRPr="001F711C" w:rsidR="007C5BC4">
        <w:t>the</w:t>
      </w:r>
      <w:r w:rsidRPr="001F711C" w:rsidR="00642D2A">
        <w:t xml:space="preserve"> lack of appropriate institutional arrangements for protecting Roma (such as lack of training or appropriate records and data); and (2) </w:t>
      </w:r>
      <w:r w:rsidRPr="001F711C" w:rsidR="007C5BC4">
        <w:t xml:space="preserve">the </w:t>
      </w:r>
      <w:r w:rsidRPr="001F711C" w:rsidR="00642D2A">
        <w:t xml:space="preserve">evidence of negative stereotypes </w:t>
      </w:r>
      <w:r w:rsidRPr="001F711C" w:rsidR="00296443">
        <w:t xml:space="preserve">in respect of </w:t>
      </w:r>
      <w:r w:rsidRPr="001F711C" w:rsidR="00642D2A">
        <w:t xml:space="preserve">the behaviour </w:t>
      </w:r>
      <w:r w:rsidRPr="001F711C" w:rsidR="00296443">
        <w:t xml:space="preserve">of Roma </w:t>
      </w:r>
      <w:r w:rsidRPr="001F711C" w:rsidR="00642D2A">
        <w:t xml:space="preserve">or </w:t>
      </w:r>
      <w:r w:rsidRPr="001F711C" w:rsidR="00296443">
        <w:t xml:space="preserve">the </w:t>
      </w:r>
      <w:r w:rsidRPr="001F711C" w:rsidR="00642D2A">
        <w:t xml:space="preserve">credibility of complaints brought by Roma. They argued that the racial stereotyping of Roma </w:t>
      </w:r>
      <w:r w:rsidRPr="001F711C" w:rsidR="00296443">
        <w:t xml:space="preserve">was </w:t>
      </w:r>
      <w:r w:rsidRPr="001F711C" w:rsidR="00642D2A">
        <w:t xml:space="preserve">likely to corrupt the </w:t>
      </w:r>
      <w:r w:rsidRPr="001F711C" w:rsidR="00AA3AED">
        <w:t xml:space="preserve">assessment </w:t>
      </w:r>
      <w:r w:rsidRPr="001F711C" w:rsidR="00642D2A">
        <w:t xml:space="preserve">of the facts </w:t>
      </w:r>
      <w:r w:rsidRPr="001F711C" w:rsidR="007C5BC4">
        <w:t>by the domestic authorities</w:t>
      </w:r>
      <w:r w:rsidRPr="001F711C" w:rsidR="00642D2A">
        <w:t xml:space="preserve">, particularly in the context of widespread anti-Roma sentiment. They contended that the police </w:t>
      </w:r>
      <w:r w:rsidRPr="001F711C" w:rsidR="00AA3AED">
        <w:t xml:space="preserve">might </w:t>
      </w:r>
      <w:r w:rsidRPr="001F711C" w:rsidR="00642D2A">
        <w:t xml:space="preserve">be motivated by stereotypical views of “Roma criminality” in their choice of investigative priorities and by notions of “Roma violence” in choosing the means to intervene in a Roma neighbourhood, just as those stereotypes </w:t>
      </w:r>
      <w:r w:rsidRPr="001F711C" w:rsidR="00AA3AED">
        <w:t xml:space="preserve">could </w:t>
      </w:r>
      <w:r w:rsidRPr="001F711C" w:rsidR="00642D2A">
        <w:t xml:space="preserve">affect </w:t>
      </w:r>
      <w:r w:rsidRPr="001F711C" w:rsidR="006E0261">
        <w:t xml:space="preserve">the opinion of </w:t>
      </w:r>
      <w:r w:rsidRPr="001F711C" w:rsidR="00642D2A">
        <w:t>a judge reviewing a complaint concerning police intervention.</w:t>
      </w:r>
    </w:p>
    <w:p w:rsidRPr="001F711C" w:rsidR="00642D2A"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66</w:t>
      </w:r>
      <w:r w:rsidRPr="001F711C">
        <w:rPr>
          <w:noProof/>
        </w:rPr>
        <w:fldChar w:fldCharType="end"/>
      </w:r>
      <w:r w:rsidRPr="001F711C">
        <w:t>.  </w:t>
      </w:r>
      <w:r w:rsidRPr="001F711C" w:rsidR="00AA3AED">
        <w:t>L</w:t>
      </w:r>
      <w:r w:rsidRPr="001F711C">
        <w:t>astly</w:t>
      </w:r>
      <w:r w:rsidRPr="001F711C" w:rsidR="00AA3AED">
        <w:t>, the ERRC</w:t>
      </w:r>
      <w:r w:rsidRPr="001F711C">
        <w:t xml:space="preserve"> submitted that vulnerable victims</w:t>
      </w:r>
      <w:r w:rsidRPr="001F711C" w:rsidR="007C5BC4">
        <w:t xml:space="preserve"> –</w:t>
      </w:r>
      <w:r w:rsidRPr="001F711C">
        <w:t xml:space="preserve"> such</w:t>
      </w:r>
      <w:r w:rsidRPr="001F711C" w:rsidR="007C5BC4">
        <w:t xml:space="preserve"> </w:t>
      </w:r>
      <w:r w:rsidRPr="001F711C">
        <w:t>as Roma</w:t>
      </w:r>
      <w:r w:rsidRPr="001F711C" w:rsidR="007C5BC4">
        <w:t xml:space="preserve"> – </w:t>
      </w:r>
      <w:r w:rsidRPr="001F711C">
        <w:t>alleging</w:t>
      </w:r>
      <w:r w:rsidRPr="001F711C" w:rsidR="007C5BC4">
        <w:t xml:space="preserve"> </w:t>
      </w:r>
      <w:r w:rsidRPr="001F711C">
        <w:t>racially motivated violence were unlikely to be able to prove beyond reasonable doubt that they had been subjected to discrimination, especially when they were also victims of a failure on the part of the domestic authorities to carry out an effective investigation. They asserted that the authorities</w:t>
      </w:r>
      <w:r w:rsidRPr="001F711C" w:rsidR="001F711C">
        <w:t>’</w:t>
      </w:r>
      <w:r w:rsidRPr="001F711C">
        <w:t xml:space="preserve"> failure to implement appropriate legal </w:t>
      </w:r>
      <w:r w:rsidRPr="001F711C" w:rsidR="00AA3AED">
        <w:t xml:space="preserve">measures </w:t>
      </w:r>
      <w:r w:rsidRPr="001F711C">
        <w:t xml:space="preserve">and </w:t>
      </w:r>
      <w:r w:rsidRPr="001F711C" w:rsidR="00AA3AED">
        <w:t xml:space="preserve">policies </w:t>
      </w:r>
      <w:r w:rsidRPr="001F711C">
        <w:t>disclosed</w:t>
      </w:r>
      <w:r w:rsidRPr="001F711C" w:rsidR="007C5BC4">
        <w:t xml:space="preserve"> the existence of</w:t>
      </w:r>
      <w:r w:rsidRPr="001F711C">
        <w:t xml:space="preserve"> institutional racism.</w:t>
      </w:r>
    </w:p>
    <w:p w:rsidRPr="001F711C" w:rsidR="00642D2A" w:rsidP="001F711C">
      <w:pPr>
        <w:pStyle w:val="ECHRHeading3"/>
        <w:keepNext w:val="0"/>
        <w:keepLines w:val="0"/>
      </w:pPr>
      <w:r w:rsidRPr="001F711C">
        <w:t>2.  The Court</w:t>
      </w:r>
      <w:r w:rsidRPr="001F711C" w:rsidR="001F711C">
        <w:t>’</w:t>
      </w:r>
      <w:r w:rsidRPr="001F711C">
        <w:t>s assessment</w:t>
      </w:r>
    </w:p>
    <w:p w:rsidRPr="001F711C" w:rsidR="00642D2A" w:rsidP="001F711C">
      <w:pPr>
        <w:pStyle w:val="ECHRHeading4"/>
        <w:keepNext w:val="0"/>
        <w:keepLines w:val="0"/>
      </w:pPr>
      <w:r w:rsidRPr="001F711C">
        <w:t>(a)  General principles</w:t>
      </w:r>
    </w:p>
    <w:p w:rsidRPr="001F711C" w:rsidR="00642D2A"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67</w:t>
      </w:r>
      <w:r w:rsidRPr="001F711C">
        <w:fldChar w:fldCharType="end"/>
      </w:r>
      <w:r w:rsidRPr="001F711C">
        <w:t>.  The Court refers to the general principles set out in its case-law concerning the prohibition of ill-treatment and the requirement of an effective investigation into such allegations</w:t>
      </w:r>
      <w:r w:rsidRPr="001F711C" w:rsidR="006E0261">
        <w:t>,</w:t>
      </w:r>
      <w:r w:rsidRPr="001F711C">
        <w:t xml:space="preserve"> as enshrined in A</w:t>
      </w:r>
      <w:r w:rsidRPr="001F711C" w:rsidR="00EF66D5">
        <w:t xml:space="preserve">rticle 3 of the Convention (see </w:t>
      </w:r>
      <w:r w:rsidRPr="001F711C">
        <w:rPr>
          <w:i/>
          <w:iCs/>
        </w:rPr>
        <w:t>Bouyid v. Belgium</w:t>
      </w:r>
      <w:r w:rsidRPr="001F711C" w:rsidR="00EF66D5">
        <w:rPr>
          <w:i/>
          <w:iCs/>
        </w:rPr>
        <w:t xml:space="preserve"> </w:t>
      </w:r>
      <w:r w:rsidRPr="001F711C">
        <w:t>[GC], no.</w:t>
      </w:r>
      <w:r w:rsidRPr="001F711C" w:rsidR="00EF66D5">
        <w:t xml:space="preserve"> </w:t>
      </w:r>
      <w:r w:rsidRPr="001F711C">
        <w:t xml:space="preserve">23380/09, §§ 81-90 and </w:t>
      </w:r>
      <w:r w:rsidRPr="001F711C" w:rsidR="00EF66D5">
        <w:br/>
      </w:r>
      <w:r w:rsidRPr="001F711C">
        <w:t>114</w:t>
      </w:r>
      <w:r w:rsidRPr="001F711C" w:rsidR="00EF66D5">
        <w:t>-</w:t>
      </w:r>
      <w:r w:rsidRPr="001F711C">
        <w:t xml:space="preserve">23, ECHR 2015; </w:t>
      </w:r>
      <w:r w:rsidRPr="001F711C">
        <w:rPr>
          <w:i/>
          <w:iCs/>
        </w:rPr>
        <w:t>Boacă</w:t>
      </w:r>
      <w:r w:rsidRPr="001F711C">
        <w:rPr>
          <w:i/>
        </w:rPr>
        <w:t xml:space="preserve"> and Others v. Romania</w:t>
      </w:r>
      <w:r w:rsidRPr="001F711C">
        <w:t xml:space="preserve">, </w:t>
      </w:r>
      <w:r w:rsidRPr="001F711C" w:rsidR="00EF66D5">
        <w:t>no. </w:t>
      </w:r>
      <w:r w:rsidRPr="001F711C">
        <w:t>40355/11</w:t>
      </w:r>
      <w:r w:rsidRPr="001F711C">
        <w:rPr>
          <w:snapToGrid w:val="0"/>
        </w:rPr>
        <w:t xml:space="preserve">, </w:t>
      </w:r>
      <w:r w:rsidRPr="001F711C" w:rsidR="00EF66D5">
        <w:rPr>
          <w:snapToGrid w:val="0"/>
        </w:rPr>
        <w:br/>
      </w:r>
      <w:r w:rsidRPr="001F711C">
        <w:t>§§ 66</w:t>
      </w:r>
      <w:r w:rsidRPr="001F711C" w:rsidR="00EF66D5">
        <w:t>-</w:t>
      </w:r>
      <w:r w:rsidRPr="001F711C">
        <w:t>67, 74-75 and 81-84</w:t>
      </w:r>
      <w:r w:rsidRPr="001F711C">
        <w:rPr>
          <w:snapToGrid w:val="0"/>
        </w:rPr>
        <w:t>, 12 January 2016</w:t>
      </w:r>
      <w:r w:rsidRPr="001F711C">
        <w:t>; and</w:t>
      </w:r>
      <w:r w:rsidRPr="001F711C" w:rsidR="00EF66D5">
        <w:t xml:space="preserve"> </w:t>
      </w:r>
      <w:r w:rsidRPr="001F711C">
        <w:rPr>
          <w:i/>
          <w:iCs/>
        </w:rPr>
        <w:t>Samachișă v.</w:t>
      </w:r>
      <w:r w:rsidRPr="001F711C" w:rsidR="00EF66D5">
        <w:rPr>
          <w:i/>
          <w:iCs/>
        </w:rPr>
        <w:t> </w:t>
      </w:r>
      <w:r w:rsidRPr="001F711C">
        <w:rPr>
          <w:i/>
          <w:iCs/>
        </w:rPr>
        <w:t>Romania</w:t>
      </w:r>
      <w:r w:rsidRPr="001F711C">
        <w:t>, no. 57467/10, §§ 59-64, 16 July 2015).</w:t>
      </w:r>
    </w:p>
    <w:bookmarkStart w:name="discrimination" w:id="26"/>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68</w:t>
      </w:r>
      <w:r w:rsidRPr="001F711C">
        <w:fldChar w:fldCharType="end"/>
      </w:r>
      <w:bookmarkEnd w:id="26"/>
      <w:r w:rsidRPr="001F711C">
        <w:t>.  </w:t>
      </w:r>
      <w:r w:rsidRPr="001F711C" w:rsidR="00372E82">
        <w:t>The Court</w:t>
      </w:r>
      <w:r w:rsidRPr="001F711C">
        <w:t xml:space="preserve"> makes further reference to the principles it established under Article 14 of the Convention taken together with Article 3</w:t>
      </w:r>
      <w:r w:rsidRPr="001F711C" w:rsidR="007E3EEB">
        <w:t xml:space="preserve">. In particular, it reiterates that a difference in treatment is discriminatory if “it has no objective and reasonable justification”, that is, if it does not pursue a “legitimate aim” or if there is not a “reasonable </w:t>
      </w:r>
      <w:r w:rsidRPr="001F711C" w:rsidR="007E3EEB">
        <w:t xml:space="preserve">relationship of proportionality” between the means employed and the aim sought to be realised. Where the difference in treatment is based on race, colour or ethnic origin, the notion of objective and reasonable justification must be interpreted as strictly as possible (see </w:t>
      </w:r>
      <w:r w:rsidRPr="001F711C" w:rsidR="007E3EEB">
        <w:rPr>
          <w:i/>
        </w:rPr>
        <w:t>D.H. and Others v. the Czech Republic</w:t>
      </w:r>
      <w:r w:rsidRPr="001F711C" w:rsidR="007E3EEB">
        <w:t xml:space="preserve"> [GC], no. 57325/00, § 196, ECHR 2007</w:t>
      </w:r>
      <w:r w:rsidRPr="001F711C" w:rsidR="007E3EEB">
        <w:noBreakHyphen/>
        <w:t xml:space="preserve">IV). Moreover, </w:t>
      </w:r>
      <w:r w:rsidRPr="001F711C" w:rsidR="007C5BC4">
        <w:t>w</w:t>
      </w:r>
      <w:r w:rsidRPr="001F711C">
        <w:t xml:space="preserve">hen investigating violent incidents, State authorities have an additional duty to take all reasonable steps to unmask any racist motives and to establish whether or not ethnic hatred or prejudice may have played a role in the events (see </w:t>
      </w:r>
      <w:r w:rsidRPr="001F711C">
        <w:rPr>
          <w:i/>
        </w:rPr>
        <w:t>Ciorcan and Others v. Romania</w:t>
      </w:r>
      <w:r w:rsidRPr="001F711C" w:rsidR="00372E82">
        <w:rPr>
          <w:i/>
        </w:rPr>
        <w:t>,</w:t>
      </w:r>
      <w:r w:rsidRPr="001F711C">
        <w:t xml:space="preserve"> nos. 29414/09 and 44841/09, §§</w:t>
      </w:r>
      <w:r w:rsidRPr="001F711C" w:rsidR="00EF66D5">
        <w:t> </w:t>
      </w:r>
      <w:r w:rsidRPr="001F711C">
        <w:t>156-59, 27 January 2015).</w:t>
      </w:r>
    </w:p>
    <w:p w:rsidRPr="001F711C" w:rsidR="00642D2A" w:rsidP="001F711C">
      <w:pPr>
        <w:pStyle w:val="ECHRHeading4"/>
      </w:pPr>
      <w:r w:rsidRPr="001F711C">
        <w:t>(b)  Application of those principles to the present case</w:t>
      </w:r>
    </w:p>
    <w:p w:rsidRPr="001F711C" w:rsidR="00642D2A" w:rsidP="001F711C">
      <w:pPr>
        <w:pStyle w:val="ECHRHeading5"/>
      </w:pPr>
      <w:r w:rsidRPr="001F711C">
        <w:t>(i)  Alleged ill-treatment</w:t>
      </w:r>
    </w:p>
    <w:p w:rsidRPr="001F711C" w:rsidR="00642D2A" w:rsidP="001F711C">
      <w:pPr>
        <w:pStyle w:val="ECHRPara"/>
        <w:keepNext/>
        <w:keepLines/>
      </w:pPr>
      <w:r w:rsidRPr="001F711C">
        <w:fldChar w:fldCharType="begin"/>
      </w:r>
      <w:r w:rsidRPr="001F711C">
        <w:instrText xml:space="preserve"> SEQ level0 \*arabic </w:instrText>
      </w:r>
      <w:r w:rsidRPr="001F711C">
        <w:fldChar w:fldCharType="separate"/>
      </w:r>
      <w:r w:rsidRPr="001F711C" w:rsidR="001F711C">
        <w:rPr>
          <w:noProof/>
        </w:rPr>
        <w:t>69</w:t>
      </w:r>
      <w:r w:rsidRPr="001F711C">
        <w:fldChar w:fldCharType="end"/>
      </w:r>
      <w:r w:rsidRPr="001F711C">
        <w:t xml:space="preserve">.  The Court notes that </w:t>
      </w:r>
      <w:r w:rsidRPr="001F711C" w:rsidR="00372E82">
        <w:t xml:space="preserve">on </w:t>
      </w:r>
      <w:r w:rsidRPr="001F711C">
        <w:t xml:space="preserve">the morning of 15 December 2011 the applicants received </w:t>
      </w:r>
      <w:r w:rsidRPr="001F711C" w:rsidR="00372E82">
        <w:t xml:space="preserve">a </w:t>
      </w:r>
      <w:r w:rsidRPr="001F711C">
        <w:t xml:space="preserve">visit </w:t>
      </w:r>
      <w:r w:rsidRPr="001F711C" w:rsidR="00372E82">
        <w:t>from eighty-five</w:t>
      </w:r>
      <w:r w:rsidRPr="001F711C">
        <w:t xml:space="preserve"> armed law-enforcement officers</w:t>
      </w:r>
      <w:r w:rsidRPr="001F711C" w:rsidR="001406F3">
        <w:t xml:space="preserve"> (see paragraphs</w:t>
      </w:r>
      <w:r w:rsidRPr="001F711C" w:rsidR="00EF66D5">
        <w:t xml:space="preserve"> 6, 14 and 16</w:t>
      </w:r>
      <w:r w:rsidRPr="001F711C" w:rsidR="001406F3">
        <w:t xml:space="preserve"> above)</w:t>
      </w:r>
      <w:r w:rsidRPr="001F711C">
        <w:t xml:space="preserve">. The applicants were unarmed and were not sought by the police for any violent crimes (see, </w:t>
      </w:r>
      <w:r w:rsidRPr="001F711C">
        <w:rPr>
          <w:i/>
        </w:rPr>
        <w:t>mutatis mutandis</w:t>
      </w:r>
      <w:r w:rsidRPr="001F711C">
        <w:t xml:space="preserve">, </w:t>
      </w:r>
      <w:r w:rsidRPr="001F711C">
        <w:rPr>
          <w:i/>
        </w:rPr>
        <w:t>Petruş Iacob v. Romania</w:t>
      </w:r>
      <w:r w:rsidRPr="001F711C" w:rsidR="00EF66D5">
        <w:t xml:space="preserve">, no. </w:t>
      </w:r>
      <w:r w:rsidRPr="001F711C">
        <w:t>13524/05,</w:t>
      </w:r>
      <w:r w:rsidRPr="001F711C" w:rsidR="006E0261">
        <w:t xml:space="preserve"> </w:t>
      </w:r>
      <w:r w:rsidRPr="001F711C">
        <w:t>§ 36, 4 December 2012).</w:t>
      </w:r>
      <w:r w:rsidRPr="001F711C" w:rsidR="007C5BC4">
        <w:t xml:space="preserve"> In the aftermath of </w:t>
      </w:r>
      <w:r w:rsidRPr="001F711C" w:rsidR="00372E82">
        <w:t xml:space="preserve">that </w:t>
      </w:r>
      <w:r w:rsidRPr="001F711C" w:rsidR="007C5BC4">
        <w:t>intervention, t</w:t>
      </w:r>
      <w:r w:rsidRPr="001F711C">
        <w:t xml:space="preserve">hey </w:t>
      </w:r>
      <w:r w:rsidRPr="001F711C" w:rsidR="007C5BC4">
        <w:t xml:space="preserve">were left with </w:t>
      </w:r>
      <w:r w:rsidRPr="001F711C">
        <w:t>injuries that needed medical care. The Court considers that in the circumstances of the case</w:t>
      </w:r>
      <w:r w:rsidRPr="001F711C" w:rsidR="00372E82">
        <w:t>,</w:t>
      </w:r>
      <w:r w:rsidRPr="001F711C">
        <w:t xml:space="preserve"> the injuries alleged by the victims</w:t>
      </w:r>
      <w:r w:rsidRPr="001F711C" w:rsidR="001406F3">
        <w:t>, as established in the forensic medical reports described in paragraphs</w:t>
      </w:r>
      <w:r w:rsidRPr="001F711C" w:rsidR="00EF66D5">
        <w:t xml:space="preserve"> 18-21</w:t>
      </w:r>
      <w:r w:rsidRPr="001F711C" w:rsidR="001406F3">
        <w:t xml:space="preserve"> above,</w:t>
      </w:r>
      <w:r w:rsidRPr="001F711C">
        <w:t xml:space="preserve"> attained the minimum level of severity required by Article 3 of the Convention (see</w:t>
      </w:r>
      <w:r w:rsidRPr="001F711C" w:rsidR="001406F3">
        <w:t xml:space="preserve">, </w:t>
      </w:r>
      <w:r w:rsidRPr="001F711C" w:rsidR="001406F3">
        <w:rPr>
          <w:i/>
        </w:rPr>
        <w:t>mutatis mutandis</w:t>
      </w:r>
      <w:r w:rsidRPr="001F711C" w:rsidR="001406F3">
        <w:t>,</w:t>
      </w:r>
      <w:r w:rsidRPr="001F711C">
        <w:t xml:space="preserve"> </w:t>
      </w:r>
      <w:r w:rsidRPr="001F711C">
        <w:rPr>
          <w:i/>
        </w:rPr>
        <w:t>Boac</w:t>
      </w:r>
      <w:r w:rsidRPr="001F711C">
        <w:rPr>
          <w:rFonts w:cstheme="minorHAnsi"/>
          <w:i/>
        </w:rPr>
        <w:t>ă</w:t>
      </w:r>
      <w:r w:rsidRPr="001F711C">
        <w:rPr>
          <w:i/>
        </w:rPr>
        <w:t xml:space="preserve"> and Others v. Romania</w:t>
      </w:r>
      <w:r w:rsidRPr="001F711C" w:rsidR="00EF66D5">
        <w:t xml:space="preserve"> [Committee], no. </w:t>
      </w:r>
      <w:r w:rsidRPr="001F711C">
        <w:t>40374/11, § 51, 17</w:t>
      </w:r>
      <w:r w:rsidRPr="001F711C" w:rsidR="00EF66D5">
        <w:t> January </w:t>
      </w:r>
      <w:r w:rsidRPr="001F711C">
        <w:t>2017).</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70</w:t>
      </w:r>
      <w:r w:rsidRPr="001F711C">
        <w:fldChar w:fldCharType="end"/>
      </w:r>
      <w:r w:rsidRPr="001F711C">
        <w:t>.  </w:t>
      </w:r>
      <w:r w:rsidRPr="001F711C" w:rsidR="00642D2A">
        <w:t xml:space="preserve">The Court notes that in their submissions the Government argued that the use of force had been necessary and proportionate and that the applicants had been provocative and disrespectful towards the </w:t>
      </w:r>
      <w:r w:rsidRPr="001F711C" w:rsidR="00EF66D5">
        <w:br/>
      </w:r>
      <w:r w:rsidRPr="001F711C" w:rsidR="00642D2A">
        <w:t>law</w:t>
      </w:r>
      <w:r w:rsidRPr="001F711C" w:rsidR="00EF66D5">
        <w:t>-</w:t>
      </w:r>
      <w:r w:rsidRPr="001F711C" w:rsidR="00642D2A">
        <w:t xml:space="preserve">enforcement </w:t>
      </w:r>
      <w:r w:rsidRPr="001F711C" w:rsidR="00372E82">
        <w:t xml:space="preserve">authorities </w:t>
      </w:r>
      <w:r w:rsidRPr="001F711C" w:rsidR="00642D2A">
        <w:t>(see paragraphs</w:t>
      </w:r>
      <w:r w:rsidRPr="001F711C" w:rsidR="00EF66D5">
        <w:t xml:space="preserve"> 58 </w:t>
      </w:r>
      <w:r w:rsidRPr="001F711C" w:rsidR="00642D2A">
        <w:t xml:space="preserve">and </w:t>
      </w:r>
      <w:r w:rsidRPr="001F711C" w:rsidR="00EF66D5">
        <w:t>59</w:t>
      </w:r>
      <w:r w:rsidRPr="001F711C" w:rsidR="00642D2A">
        <w:t xml:space="preserve"> above). However, no action, be it criminal</w:t>
      </w:r>
      <w:r w:rsidRPr="001F711C" w:rsidR="00016692">
        <w:t>, administrative</w:t>
      </w:r>
      <w:r w:rsidRPr="001F711C" w:rsidR="00642D2A">
        <w:t xml:space="preserve"> or civil, was taken against the applicants for alleged abusive behaviour. Moreover, it is to be noted that the applicants were faced with highly-trained officers specialised in rapid intervention</w:t>
      </w:r>
      <w:r w:rsidRPr="001F711C" w:rsidR="00016692">
        <w:t>,</w:t>
      </w:r>
      <w:r w:rsidRPr="001F711C" w:rsidR="00642D2A">
        <w:t xml:space="preserve"> in a relatively confined space (their home). Nothing suggests that the four gendarmes who had immobili</w:t>
      </w:r>
      <w:r w:rsidRPr="001F711C" w:rsidR="00372E82">
        <w:t>s</w:t>
      </w:r>
      <w:r w:rsidRPr="001F711C" w:rsidR="00642D2A">
        <w:t xml:space="preserve">ed the applicants and who were part of a police force of </w:t>
      </w:r>
      <w:r w:rsidRPr="001F711C" w:rsidR="00372E82">
        <w:t xml:space="preserve">eighty-five </w:t>
      </w:r>
      <w:r w:rsidRPr="001F711C" w:rsidR="00642D2A">
        <w:t xml:space="preserve">officers present </w:t>
      </w:r>
      <w:r w:rsidRPr="001F711C" w:rsidR="00F92E0F">
        <w:t xml:space="preserve">at </w:t>
      </w:r>
      <w:r w:rsidRPr="001F711C" w:rsidR="00642D2A">
        <w:t>the</w:t>
      </w:r>
      <w:r w:rsidRPr="001F711C" w:rsidR="002947BD">
        <w:t xml:space="preserve"> </w:t>
      </w:r>
      <w:r w:rsidRPr="001F711C" w:rsidR="00F92E0F">
        <w:t>scene</w:t>
      </w:r>
      <w:r w:rsidRPr="001F711C" w:rsidR="00642D2A">
        <w:t xml:space="preserve"> were overwhelmed by the applicants.</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71</w:t>
      </w:r>
      <w:r w:rsidRPr="001F711C">
        <w:rPr>
          <w:noProof/>
        </w:rPr>
        <w:fldChar w:fldCharType="end"/>
      </w:r>
      <w:r w:rsidRPr="001F711C" w:rsidR="00642D2A">
        <w:t xml:space="preserve">.  As to the </w:t>
      </w:r>
      <w:r w:rsidRPr="001F711C" w:rsidR="001903F0">
        <w:t>authorities</w:t>
      </w:r>
      <w:r w:rsidRPr="001F711C" w:rsidR="001F711C">
        <w:t>’</w:t>
      </w:r>
      <w:r w:rsidRPr="001F711C" w:rsidR="001903F0">
        <w:t xml:space="preserve"> </w:t>
      </w:r>
      <w:r w:rsidRPr="001F711C" w:rsidR="00642D2A">
        <w:t xml:space="preserve">hypothesis that the </w:t>
      </w:r>
      <w:r w:rsidRPr="001F711C" w:rsidR="00016692">
        <w:t xml:space="preserve">injuries suffered by the second and fourth applicants </w:t>
      </w:r>
      <w:r w:rsidRPr="001F711C" w:rsidR="00F92E0F">
        <w:t xml:space="preserve">had been </w:t>
      </w:r>
      <w:r w:rsidRPr="001F711C" w:rsidR="00016692">
        <w:t xml:space="preserve">self-inflicted </w:t>
      </w:r>
      <w:r w:rsidRPr="001F711C" w:rsidR="00642D2A">
        <w:t>(see paragraphs</w:t>
      </w:r>
      <w:r w:rsidRPr="001F711C">
        <w:t xml:space="preserve"> 37</w:t>
      </w:r>
      <w:r w:rsidRPr="001F711C" w:rsidR="00642D2A">
        <w:t xml:space="preserve"> and </w:t>
      </w:r>
      <w:r w:rsidRPr="001F711C">
        <w:t xml:space="preserve">40 </w:t>
      </w:r>
      <w:r w:rsidRPr="001F711C" w:rsidR="00642D2A">
        <w:t>above), the Court notes that</w:t>
      </w:r>
      <w:r w:rsidRPr="001F711C" w:rsidR="00081FBB">
        <w:t>, other than the statements of the police officers present on the scene,</w:t>
      </w:r>
      <w:r w:rsidRPr="001F711C" w:rsidR="00642D2A">
        <w:t xml:space="preserve"> there is no evidence to corroborate it (see</w:t>
      </w:r>
      <w:r w:rsidRPr="001F711C" w:rsidR="001903F0">
        <w:t xml:space="preserve">, </w:t>
      </w:r>
      <w:r w:rsidRPr="001F711C" w:rsidR="001903F0">
        <w:rPr>
          <w:i/>
        </w:rPr>
        <w:t>mutatis mutandis</w:t>
      </w:r>
      <w:r w:rsidRPr="001F711C" w:rsidR="001903F0">
        <w:t>,</w:t>
      </w:r>
      <w:r w:rsidRPr="001F711C" w:rsidR="00642D2A">
        <w:t xml:space="preserve"> </w:t>
      </w:r>
      <w:r w:rsidRPr="001F711C" w:rsidR="00642D2A">
        <w:rPr>
          <w:i/>
        </w:rPr>
        <w:t>Bouyid</w:t>
      </w:r>
      <w:r w:rsidRPr="001F711C">
        <w:t xml:space="preserve">, cited above, § </w:t>
      </w:r>
      <w:r w:rsidRPr="001F711C" w:rsidR="00642D2A">
        <w:t>97).</w:t>
      </w:r>
    </w:p>
    <w:bookmarkStart w:name="viol_3_mat" w:id="27"/>
    <w:p w:rsidRPr="001F711C" w:rsidR="00642D2A"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72</w:t>
      </w:r>
      <w:r w:rsidRPr="001F711C">
        <w:fldChar w:fldCharType="end"/>
      </w:r>
      <w:bookmarkEnd w:id="27"/>
      <w:r w:rsidRPr="001F711C">
        <w:t xml:space="preserve">.  In the light of the above findings, the Court considers that neither the domestic courts nor the Government have convincingly shown that, in the particular circumstances of the present case, the force employed by the </w:t>
      </w:r>
      <w:r w:rsidRPr="001F711C" w:rsidR="00EF66D5">
        <w:br/>
        <w:t>law-</w:t>
      </w:r>
      <w:r w:rsidRPr="001F711C">
        <w:t>enforcement officers during the events of 15 December 2011 was proportionate (see</w:t>
      </w:r>
      <w:r w:rsidRPr="001F711C" w:rsidR="001903F0">
        <w:t xml:space="preserve">, </w:t>
      </w:r>
      <w:r w:rsidRPr="001F711C" w:rsidR="001903F0">
        <w:rPr>
          <w:i/>
        </w:rPr>
        <w:t>mutatis mutandis</w:t>
      </w:r>
      <w:r w:rsidRPr="001F711C" w:rsidR="001903F0">
        <w:t>,</w:t>
      </w:r>
      <w:r w:rsidRPr="001F711C">
        <w:t xml:space="preserve"> </w:t>
      </w:r>
      <w:r w:rsidRPr="001F711C">
        <w:rPr>
          <w:i/>
          <w:iCs/>
        </w:rPr>
        <w:t>Boac</w:t>
      </w:r>
      <w:r w:rsidRPr="001F711C">
        <w:rPr>
          <w:rFonts w:cstheme="minorHAnsi"/>
          <w:i/>
          <w:iCs/>
        </w:rPr>
        <w:t xml:space="preserve">ă </w:t>
      </w:r>
      <w:r w:rsidRPr="001F711C">
        <w:t>[Committee], cited above, §</w:t>
      </w:r>
      <w:r w:rsidRPr="001F711C" w:rsidR="00D32002">
        <w:t> </w:t>
      </w:r>
      <w:r w:rsidRPr="001F711C">
        <w:t>55).</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73</w:t>
      </w:r>
      <w:r w:rsidRPr="001F711C">
        <w:fldChar w:fldCharType="end"/>
      </w:r>
      <w:r w:rsidRPr="001F711C">
        <w:t>.  Accordingly, there has been a breach of Article 3 of the Convention under its substantive limb.</w:t>
      </w:r>
    </w:p>
    <w:p w:rsidRPr="001F711C" w:rsidR="00C92AEE" w:rsidP="001F711C">
      <w:pPr>
        <w:pStyle w:val="ECHRHeading5"/>
        <w:keepNext w:val="0"/>
        <w:keepLines w:val="0"/>
      </w:pPr>
      <w:r w:rsidRPr="001F711C">
        <w:t>(ii)  Allege</w:t>
      </w:r>
      <w:r w:rsidRPr="001F711C" w:rsidR="00641391">
        <w:t>d</w:t>
      </w:r>
      <w:r w:rsidRPr="001F711C">
        <w:t xml:space="preserve"> racial motives for the organisation of the police raid</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74</w:t>
      </w:r>
      <w:r w:rsidRPr="001F711C">
        <w:fldChar w:fldCharType="end"/>
      </w:r>
      <w:r w:rsidRPr="001F711C">
        <w:t>.  </w:t>
      </w:r>
      <w:r w:rsidRPr="001F711C" w:rsidR="00010A5A">
        <w:t xml:space="preserve">As for the allegations of discrimination, the Court must establish whether or not racial prejudice was a causal factor behind the police intervention (see, </w:t>
      </w:r>
      <w:r w:rsidRPr="001F711C" w:rsidR="00010A5A">
        <w:rPr>
          <w:i/>
        </w:rPr>
        <w:t>mutatis mutandis</w:t>
      </w:r>
      <w:r w:rsidRPr="001F711C" w:rsidR="00010A5A">
        <w:t xml:space="preserve">, </w:t>
      </w:r>
      <w:r w:rsidRPr="001F711C" w:rsidR="00010A5A">
        <w:rPr>
          <w:i/>
        </w:rPr>
        <w:t>Ciorcan</w:t>
      </w:r>
      <w:r w:rsidRPr="001F711C" w:rsidR="00010A5A">
        <w:t>, cited above, § 160).</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75</w:t>
      </w:r>
      <w:r w:rsidRPr="001F711C">
        <w:fldChar w:fldCharType="end"/>
      </w:r>
      <w:r w:rsidRPr="001F711C">
        <w:t>.  </w:t>
      </w:r>
      <w:r w:rsidRPr="001F711C" w:rsidR="00D2370A">
        <w:t>In this</w:t>
      </w:r>
      <w:r w:rsidRPr="001F711C" w:rsidR="00641391">
        <w:t xml:space="preserve"> connection</w:t>
      </w:r>
      <w:r w:rsidRPr="001F711C" w:rsidR="00D2370A">
        <w:t>, the</w:t>
      </w:r>
      <w:r w:rsidRPr="001F711C">
        <w:t xml:space="preserve"> Court note</w:t>
      </w:r>
      <w:r w:rsidRPr="001F711C" w:rsidR="00D2370A">
        <w:t>s</w:t>
      </w:r>
      <w:r w:rsidRPr="001F711C">
        <w:t xml:space="preserve"> that </w:t>
      </w:r>
      <w:r w:rsidRPr="001F711C" w:rsidR="005430FA">
        <w:t>in the police intervention plan</w:t>
      </w:r>
      <w:r w:rsidRPr="001F711C">
        <w:t>,</w:t>
      </w:r>
      <w:r w:rsidRPr="001F711C" w:rsidR="005430FA">
        <w:t xml:space="preserve"> drafted prior to the police raid of 15 December 2011, the authorities identified the ethnic composition of the targeted community</w:t>
      </w:r>
      <w:r w:rsidRPr="001F711C">
        <w:t xml:space="preserve"> and </w:t>
      </w:r>
      <w:r w:rsidRPr="001F711C" w:rsidR="00D2370A">
        <w:t xml:space="preserve">referred to </w:t>
      </w:r>
      <w:r w:rsidRPr="001F711C">
        <w:t xml:space="preserve">the </w:t>
      </w:r>
      <w:r w:rsidRPr="001F711C" w:rsidR="005430FA">
        <w:t xml:space="preserve">alleged anti-social behaviour of </w:t>
      </w:r>
      <w:r w:rsidRPr="001F711C" w:rsidR="00641391">
        <w:t xml:space="preserve">ethnic </w:t>
      </w:r>
      <w:r w:rsidRPr="001F711C" w:rsidR="005430FA">
        <w:t>Roma and the alleged high criminality among Roma (see paragraph</w:t>
      </w:r>
      <w:r w:rsidRPr="001F711C" w:rsidR="00EF66D5">
        <w:t xml:space="preserve"> 13</w:t>
      </w:r>
      <w:r w:rsidRPr="001F711C" w:rsidR="005430FA">
        <w:t xml:space="preserve"> above). </w:t>
      </w:r>
      <w:r w:rsidRPr="001F711C">
        <w:t>T</w:t>
      </w:r>
      <w:r w:rsidRPr="001F711C" w:rsidR="00AE6AC4">
        <w:t xml:space="preserve">he same </w:t>
      </w:r>
      <w:r w:rsidRPr="001F711C">
        <w:t xml:space="preserve">assertions </w:t>
      </w:r>
      <w:r w:rsidRPr="001F711C" w:rsidR="00D2370A">
        <w:t>we</w:t>
      </w:r>
      <w:r w:rsidRPr="001F711C">
        <w:t>re made by the investigators</w:t>
      </w:r>
      <w:r w:rsidRPr="001F711C" w:rsidR="00641391">
        <w:t>,</w:t>
      </w:r>
      <w:r w:rsidRPr="001F711C">
        <w:t xml:space="preserve"> who explained</w:t>
      </w:r>
      <w:r w:rsidRPr="001F711C" w:rsidR="00AE6AC4">
        <w:t xml:space="preserve"> the applicants</w:t>
      </w:r>
      <w:r w:rsidRPr="001F711C" w:rsidR="001F711C">
        <w:t>’</w:t>
      </w:r>
      <w:r w:rsidRPr="001F711C" w:rsidR="00AE6AC4">
        <w:t xml:space="preserve"> </w:t>
      </w:r>
      <w:r w:rsidRPr="001F711C">
        <w:t xml:space="preserve">alleged aggressiveness </w:t>
      </w:r>
      <w:r w:rsidRPr="001F711C" w:rsidR="00AE6AC4">
        <w:t xml:space="preserve">by </w:t>
      </w:r>
      <w:r w:rsidRPr="001F711C">
        <w:t xml:space="preserve">their </w:t>
      </w:r>
      <w:r w:rsidRPr="001F711C" w:rsidR="00AE6AC4">
        <w:t xml:space="preserve">ethnic traits or </w:t>
      </w:r>
      <w:r w:rsidRPr="001F711C">
        <w:t xml:space="preserve">by </w:t>
      </w:r>
      <w:r w:rsidRPr="001F711C" w:rsidR="00AE6AC4">
        <w:t>habits “specific to Roma” (see paragraph</w:t>
      </w:r>
      <w:r w:rsidRPr="001F711C" w:rsidR="00EF66D5">
        <w:t> 37</w:t>
      </w:r>
      <w:r w:rsidRPr="001F711C" w:rsidR="00AE6AC4">
        <w:t xml:space="preserve"> above). The prosecutor </w:t>
      </w:r>
      <w:r w:rsidRPr="001F711C" w:rsidR="008236D1">
        <w:t xml:space="preserve">also considered that the police raid had been rendered necessary by the problems </w:t>
      </w:r>
      <w:r w:rsidRPr="001F711C" w:rsidR="008C3BEE">
        <w:t xml:space="preserve">experienced </w:t>
      </w:r>
      <w:r w:rsidRPr="001F711C" w:rsidR="008236D1">
        <w:t>with the Roma community and their criminal behaviour (see paragraph</w:t>
      </w:r>
      <w:r w:rsidRPr="001F711C" w:rsidR="00EF66D5">
        <w:t xml:space="preserve"> 39</w:t>
      </w:r>
      <w:r w:rsidRPr="001F711C">
        <w:t xml:space="preserve"> above). </w:t>
      </w:r>
      <w:r w:rsidRPr="001F711C" w:rsidR="00A51EBC">
        <w:t xml:space="preserve">The Court observes that the authorities extended to the whole community the criminal behaviour of </w:t>
      </w:r>
      <w:r w:rsidRPr="001F711C" w:rsidR="00641391">
        <w:t xml:space="preserve">a </w:t>
      </w:r>
      <w:r w:rsidRPr="001F711C" w:rsidR="00A51EBC">
        <w:t>few of their members on the sole ground of their common ethnic origin (see paragraph</w:t>
      </w:r>
      <w:r w:rsidRPr="001F711C" w:rsidR="00EF66D5">
        <w:t xml:space="preserve"> 40</w:t>
      </w:r>
      <w:r w:rsidRPr="001F711C" w:rsidR="00A51EBC">
        <w:t xml:space="preserve"> above).</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76</w:t>
      </w:r>
      <w:r w:rsidRPr="001F711C">
        <w:fldChar w:fldCharType="end"/>
      </w:r>
      <w:r w:rsidRPr="001F711C">
        <w:t>.  </w:t>
      </w:r>
      <w:r w:rsidRPr="001F711C" w:rsidR="00D2370A">
        <w:t>Turning to the facts of the current case, t</w:t>
      </w:r>
      <w:r w:rsidRPr="001F711C">
        <w:t xml:space="preserve">he Court considers that the </w:t>
      </w:r>
      <w:r w:rsidRPr="001F711C" w:rsidR="00D2370A">
        <w:t>manner in which the authorities justified and executed the police raid show</w:t>
      </w:r>
      <w:r w:rsidRPr="001F711C" w:rsidR="00641391">
        <w:t>s</w:t>
      </w:r>
      <w:r w:rsidRPr="001F711C" w:rsidR="00D2370A">
        <w:t xml:space="preserve"> </w:t>
      </w:r>
      <w:r w:rsidRPr="001F711C">
        <w:t>that the police had exercised their powers in a discriminatory manner</w:t>
      </w:r>
      <w:r w:rsidRPr="001F711C" w:rsidR="00A51EBC">
        <w:t xml:space="preserve">, expecting </w:t>
      </w:r>
      <w:r w:rsidRPr="001F711C">
        <w:t xml:space="preserve">the applicants </w:t>
      </w:r>
      <w:r w:rsidRPr="001F711C" w:rsidR="00A51EBC">
        <w:t xml:space="preserve">to be </w:t>
      </w:r>
      <w:r w:rsidRPr="001F711C">
        <w:t>criminal</w:t>
      </w:r>
      <w:r w:rsidRPr="001F711C" w:rsidR="00A51EBC">
        <w:t>s</w:t>
      </w:r>
      <w:r w:rsidRPr="001F711C">
        <w:t xml:space="preserve"> because of their ethnic origin. </w:t>
      </w:r>
      <w:r w:rsidRPr="001F711C" w:rsidR="00A51EBC">
        <w:t>The applicants</w:t>
      </w:r>
      <w:r w:rsidRPr="001F711C" w:rsidR="001F711C">
        <w:t>’</w:t>
      </w:r>
      <w:r w:rsidRPr="001F711C" w:rsidR="00A51EBC">
        <w:t xml:space="preserve"> own behaviour was extrapolated from a stereotypical perception that the authorities had </w:t>
      </w:r>
      <w:r w:rsidRPr="001F711C" w:rsidR="00662052">
        <w:t xml:space="preserve">of </w:t>
      </w:r>
      <w:r w:rsidRPr="001F711C" w:rsidR="00A51EBC">
        <w:t xml:space="preserve">the Roma community as a whole. </w:t>
      </w:r>
      <w:r w:rsidRPr="001F711C">
        <w:t xml:space="preserve">The Court considers that </w:t>
      </w:r>
      <w:r w:rsidRPr="001F711C" w:rsidR="001C7B98">
        <w:t>the applicants were targeted because they were Roma and because the authorities perceived the Roma community as anti-social</w:t>
      </w:r>
      <w:r w:rsidRPr="001F711C" w:rsidR="00D2370A">
        <w:t xml:space="preserve"> and criminal</w:t>
      </w:r>
      <w:r w:rsidRPr="001F711C" w:rsidR="001C7B98">
        <w:t xml:space="preserve">. </w:t>
      </w:r>
      <w:r w:rsidRPr="001F711C" w:rsidR="00D2370A">
        <w:t xml:space="preserve">This conclusion, </w:t>
      </w:r>
      <w:r w:rsidRPr="001F711C" w:rsidR="00214CE8">
        <w:t xml:space="preserve">also </w:t>
      </w:r>
      <w:r w:rsidRPr="001F711C" w:rsidR="00D2370A">
        <w:t xml:space="preserve">supported by the </w:t>
      </w:r>
      <w:r w:rsidRPr="001F711C" w:rsidR="00214CE8">
        <w:t xml:space="preserve">general </w:t>
      </w:r>
      <w:r w:rsidRPr="001F711C" w:rsidR="00D2370A">
        <w:t>reports of racial stereotyping of Roma presented by the third party (see paragraph</w:t>
      </w:r>
      <w:r w:rsidRPr="001F711C" w:rsidR="00EF66D5">
        <w:t xml:space="preserve"> 63</w:t>
      </w:r>
      <w:r w:rsidRPr="001F711C" w:rsidR="00D2370A">
        <w:t xml:space="preserve"> above)</w:t>
      </w:r>
      <w:r w:rsidRPr="001F711C" w:rsidR="008C3BEE">
        <w:t>,</w:t>
      </w:r>
      <w:r w:rsidRPr="001F711C" w:rsidR="00D2370A">
        <w:t xml:space="preserve"> goes beyond a simple expression of concern about ethnic discrimination in Romania (see paragraph</w:t>
      </w:r>
      <w:r w:rsidRPr="001F711C" w:rsidR="00EF66D5">
        <w:t xml:space="preserve"> 61</w:t>
      </w:r>
      <w:r w:rsidRPr="001F711C" w:rsidR="00D2370A">
        <w:t xml:space="preserve"> above</w:t>
      </w:r>
      <w:r w:rsidRPr="001F711C" w:rsidR="0016233C">
        <w:t xml:space="preserve"> and, </w:t>
      </w:r>
      <w:r w:rsidRPr="001F711C" w:rsidR="00662052">
        <w:t>conversely</w:t>
      </w:r>
      <w:r w:rsidRPr="001F711C" w:rsidR="0016233C">
        <w:t xml:space="preserve">, </w:t>
      </w:r>
      <w:r w:rsidRPr="001F711C" w:rsidR="00062966">
        <w:rPr>
          <w:i/>
        </w:rPr>
        <w:t>Ciorcan</w:t>
      </w:r>
      <w:r w:rsidRPr="001F711C" w:rsidR="00EF66D5">
        <w:t>, cited above, § </w:t>
      </w:r>
      <w:r w:rsidRPr="001F711C" w:rsidR="00062966">
        <w:t>160</w:t>
      </w:r>
      <w:r w:rsidRPr="001F711C" w:rsidR="00D2370A">
        <w:t>)</w:t>
      </w:r>
      <w:r w:rsidRPr="001F711C" w:rsidR="00662052">
        <w:t>.</w:t>
      </w:r>
      <w:r w:rsidRPr="001F711C" w:rsidR="00062966">
        <w:t xml:space="preserve"> </w:t>
      </w:r>
      <w:r w:rsidRPr="001F711C" w:rsidR="00662052">
        <w:t xml:space="preserve">It </w:t>
      </w:r>
      <w:r w:rsidRPr="001F711C" w:rsidR="00062966">
        <w:t>show</w:t>
      </w:r>
      <w:r w:rsidRPr="001F711C" w:rsidR="00662052">
        <w:t>s</w:t>
      </w:r>
      <w:r w:rsidRPr="001F711C" w:rsidR="00062966">
        <w:t xml:space="preserve"> concretely that the decisions to organise the police raid and to use force against the applicants were made on considerations based on the applicants</w:t>
      </w:r>
      <w:r w:rsidRPr="001F711C" w:rsidR="001F711C">
        <w:t>’</w:t>
      </w:r>
      <w:r w:rsidRPr="001F711C" w:rsidR="00062966">
        <w:t xml:space="preserve"> ethnic origin</w:t>
      </w:r>
      <w:r w:rsidRPr="001F711C" w:rsidR="00214CE8">
        <w:t>.</w:t>
      </w:r>
      <w:r w:rsidRPr="001F711C" w:rsidR="00062966">
        <w:t xml:space="preserve"> The authorities </w:t>
      </w:r>
      <w:r w:rsidRPr="001F711C" w:rsidR="00062966">
        <w:t xml:space="preserve">automatically connected ethnicity to criminal behaviour, thus </w:t>
      </w:r>
      <w:r w:rsidRPr="001F711C" w:rsidR="008C3BEE">
        <w:t xml:space="preserve">their </w:t>
      </w:r>
      <w:r w:rsidRPr="001F711C" w:rsidR="00062966">
        <w:t>ethnic profiling of the applicants</w:t>
      </w:r>
      <w:r w:rsidRPr="001F711C" w:rsidR="008C3BEE">
        <w:t xml:space="preserve"> was discriminatory</w:t>
      </w:r>
      <w:r w:rsidRPr="001F711C" w:rsidR="00062966">
        <w:t>.</w:t>
      </w:r>
    </w:p>
    <w:p w:rsidRPr="001F711C" w:rsidR="00214CE8" w:rsidP="001F711C">
      <w:pPr>
        <w:pStyle w:val="ECHRPara"/>
        <w:rPr>
          <w:rFonts w:eastAsia="Times New Roman"/>
        </w:rPr>
      </w:pPr>
      <w:r w:rsidRPr="001F711C">
        <w:fldChar w:fldCharType="begin"/>
      </w:r>
      <w:r w:rsidRPr="001F711C">
        <w:instrText xml:space="preserve"> SEQ level0 \*arabic </w:instrText>
      </w:r>
      <w:r w:rsidRPr="001F711C">
        <w:fldChar w:fldCharType="separate"/>
      </w:r>
      <w:r w:rsidRPr="001F711C" w:rsidR="001F711C">
        <w:rPr>
          <w:noProof/>
        </w:rPr>
        <w:t>77</w:t>
      </w:r>
      <w:r w:rsidRPr="001F711C">
        <w:fldChar w:fldCharType="end"/>
      </w:r>
      <w:r w:rsidRPr="001F711C">
        <w:t>.  </w:t>
      </w:r>
      <w:r w:rsidRPr="001F711C">
        <w:rPr>
          <w:rFonts w:eastAsia="Times New Roman"/>
        </w:rPr>
        <w:t>Reiterating its findings that the police response was disproportionate to the applicants</w:t>
      </w:r>
      <w:r w:rsidRPr="001F711C" w:rsidR="001F711C">
        <w:rPr>
          <w:rFonts w:eastAsia="Times New Roman"/>
        </w:rPr>
        <w:t>’</w:t>
      </w:r>
      <w:r w:rsidRPr="001F711C">
        <w:rPr>
          <w:rFonts w:eastAsia="Times New Roman"/>
        </w:rPr>
        <w:t xml:space="preserve"> behaviour (see paragraph</w:t>
      </w:r>
      <w:r w:rsidRPr="001F711C" w:rsidR="00EF66D5">
        <w:rPr>
          <w:rFonts w:eastAsia="Times New Roman"/>
        </w:rPr>
        <w:t xml:space="preserve"> 72</w:t>
      </w:r>
      <w:r w:rsidRPr="001F711C">
        <w:rPr>
          <w:rFonts w:eastAsia="Times New Roman"/>
        </w:rPr>
        <w:t xml:space="preserve"> above), the Court considers that in the case at hand, the Government failed to prove that considerations other than the applicants</w:t>
      </w:r>
      <w:r w:rsidRPr="001F711C" w:rsidR="001F711C">
        <w:rPr>
          <w:rFonts w:eastAsia="Times New Roman"/>
        </w:rPr>
        <w:t>’</w:t>
      </w:r>
      <w:r w:rsidRPr="001F711C">
        <w:rPr>
          <w:rFonts w:eastAsia="Times New Roman"/>
        </w:rPr>
        <w:t xml:space="preserve"> ethnicity played an important role in the manner in which the police raid of 15 December 2011 </w:t>
      </w:r>
      <w:r w:rsidRPr="001F711C" w:rsidR="008C3BEE">
        <w:rPr>
          <w:rFonts w:eastAsia="Times New Roman"/>
        </w:rPr>
        <w:t xml:space="preserve">had been </w:t>
      </w:r>
      <w:r w:rsidRPr="001F711C">
        <w:rPr>
          <w:rFonts w:eastAsia="Times New Roman"/>
        </w:rPr>
        <w:t>organised and carried out.</w:t>
      </w:r>
    </w:p>
    <w:p w:rsidRPr="001F711C" w:rsidR="00432491" w:rsidP="001F711C">
      <w:pPr>
        <w:pStyle w:val="ECHRPara"/>
        <w:rPr>
          <w:rFonts w:eastAsia="Times New Roman"/>
        </w:rPr>
      </w:pPr>
      <w:r w:rsidRPr="001F711C">
        <w:rPr>
          <w:rFonts w:eastAsia="Times New Roman"/>
        </w:rPr>
        <w:fldChar w:fldCharType="begin"/>
      </w:r>
      <w:r w:rsidRPr="001F711C">
        <w:rPr>
          <w:rFonts w:eastAsia="Times New Roman"/>
        </w:rPr>
        <w:instrText xml:space="preserve"> SEQ level0 \*arabic </w:instrText>
      </w:r>
      <w:r w:rsidRPr="001F711C">
        <w:rPr>
          <w:rFonts w:eastAsia="Times New Roman"/>
        </w:rPr>
        <w:fldChar w:fldCharType="separate"/>
      </w:r>
      <w:r w:rsidRPr="001F711C" w:rsidR="001F711C">
        <w:rPr>
          <w:rFonts w:eastAsia="Times New Roman"/>
          <w:noProof/>
        </w:rPr>
        <w:t>78</w:t>
      </w:r>
      <w:r w:rsidRPr="001F711C">
        <w:rPr>
          <w:rFonts w:eastAsia="Times New Roman"/>
        </w:rPr>
        <w:fldChar w:fldCharType="end"/>
      </w:r>
      <w:r w:rsidRPr="001F711C">
        <w:rPr>
          <w:rFonts w:eastAsia="Times New Roman"/>
        </w:rPr>
        <w:t>.  It follows that there has been a violation of Article 14 of the Convention taken in conjunction with Article 3 of the Convention under its substantive limb.</w:t>
      </w:r>
    </w:p>
    <w:p w:rsidRPr="001F711C" w:rsidR="00642D2A" w:rsidP="001F711C">
      <w:pPr>
        <w:pStyle w:val="ECHRHeading5"/>
        <w:keepNext w:val="0"/>
        <w:keepLines w:val="0"/>
      </w:pPr>
      <w:r w:rsidRPr="001F711C">
        <w:t>(i</w:t>
      </w:r>
      <w:r w:rsidRPr="001F711C" w:rsidR="00C55BA4">
        <w:t>i</w:t>
      </w:r>
      <w:r w:rsidRPr="001F711C">
        <w:t>i)  Alleged lack of an effective investigation</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79</w:t>
      </w:r>
      <w:r w:rsidRPr="001F711C">
        <w:fldChar w:fldCharType="end"/>
      </w:r>
      <w:r w:rsidRPr="001F711C">
        <w:t xml:space="preserve">.  The </w:t>
      </w:r>
      <w:r w:rsidRPr="001F711C" w:rsidR="001903F0">
        <w:t xml:space="preserve">Court observes that the </w:t>
      </w:r>
      <w:r w:rsidRPr="001F711C">
        <w:t>applicants complained to the authorities about what they perceived to be frequent and unwarranted acts of violence by police officers against the Roma community (see paragraphs</w:t>
      </w:r>
      <w:r w:rsidRPr="001F711C" w:rsidR="00EF66D5">
        <w:t xml:space="preserve"> 29, 31, 41 </w:t>
      </w:r>
      <w:r w:rsidRPr="001F711C">
        <w:t>and</w:t>
      </w:r>
      <w:r w:rsidRPr="001F711C" w:rsidR="00EF66D5">
        <w:t xml:space="preserve"> 43</w:t>
      </w:r>
      <w:r w:rsidRPr="001F711C">
        <w:t xml:space="preserve"> above). Nonetheless, the authorities accepted as justification for the use of force an assessment made by the police in which negative inference </w:t>
      </w:r>
      <w:r w:rsidRPr="001F711C" w:rsidR="00F92E0F">
        <w:t xml:space="preserve">seemed </w:t>
      </w:r>
      <w:r w:rsidRPr="001F711C">
        <w:t xml:space="preserve">to </w:t>
      </w:r>
      <w:r w:rsidRPr="001F711C" w:rsidR="00F92E0F">
        <w:t xml:space="preserve">have </w:t>
      </w:r>
      <w:r w:rsidRPr="001F711C">
        <w:t>be</w:t>
      </w:r>
      <w:r w:rsidRPr="001F711C" w:rsidR="00F92E0F">
        <w:t>en</w:t>
      </w:r>
      <w:r w:rsidRPr="001F711C">
        <w:t xml:space="preserve"> drawn from the ethnic composition of the community</w:t>
      </w:r>
      <w:r w:rsidRPr="001F711C" w:rsidR="004F74EA">
        <w:t xml:space="preserve"> (see paragraphs</w:t>
      </w:r>
      <w:r w:rsidRPr="001F711C" w:rsidR="00EF66D5">
        <w:t xml:space="preserve"> 13</w:t>
      </w:r>
      <w:r w:rsidRPr="001F711C" w:rsidR="004F74EA">
        <w:t xml:space="preserve"> and</w:t>
      </w:r>
      <w:r w:rsidRPr="001F711C" w:rsidR="00EF66D5">
        <w:t xml:space="preserve"> 39</w:t>
      </w:r>
      <w:r w:rsidRPr="001F711C" w:rsidR="004F74EA">
        <w:t xml:space="preserve"> above)</w:t>
      </w:r>
      <w:r w:rsidRPr="001F711C">
        <w:t xml:space="preserve">. In accepting </w:t>
      </w:r>
      <w:r w:rsidRPr="001F711C" w:rsidR="00F92E0F">
        <w:t xml:space="preserve">that </w:t>
      </w:r>
      <w:r w:rsidRPr="001F711C">
        <w:t xml:space="preserve">justification, the domestic courts did not censure what seems to be a discriminatory use of ethnic profiling by the authorities. Moreover, the authorities fell back on references to cases in which members of </w:t>
      </w:r>
      <w:r w:rsidRPr="001F711C" w:rsidR="00F92E0F">
        <w:t xml:space="preserve">the </w:t>
      </w:r>
      <w:r w:rsidRPr="001F711C">
        <w:t>Roma community had been violent towards law</w:t>
      </w:r>
      <w:r w:rsidRPr="001F711C" w:rsidR="00EF66D5">
        <w:t>-</w:t>
      </w:r>
      <w:r w:rsidRPr="001F711C">
        <w:t>enforcement officials, without explaining how th</w:t>
      </w:r>
      <w:r w:rsidRPr="001F711C" w:rsidR="00F92E0F">
        <w:t>o</w:t>
      </w:r>
      <w:r w:rsidRPr="001F711C">
        <w:t>se examples were of any relevance to the case</w:t>
      </w:r>
      <w:r w:rsidRPr="001F711C" w:rsidR="00F92E0F">
        <w:t xml:space="preserve"> in issue</w:t>
      </w:r>
      <w:r w:rsidRPr="001F711C">
        <w:t>, in so far as they bore no resemblance to the applicants</w:t>
      </w:r>
      <w:r w:rsidRPr="001F711C" w:rsidR="001F711C">
        <w:t>’</w:t>
      </w:r>
      <w:r w:rsidRPr="001F711C">
        <w:t xml:space="preserve"> situation and had no direct link to the present case.</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80</w:t>
      </w:r>
      <w:r w:rsidRPr="001F711C">
        <w:fldChar w:fldCharType="end"/>
      </w:r>
      <w:r w:rsidRPr="001F711C">
        <w:t>.  </w:t>
      </w:r>
      <w:r w:rsidRPr="001F711C" w:rsidR="00403002">
        <w:t>I</w:t>
      </w:r>
      <w:r w:rsidRPr="001F711C">
        <w:t>n the Court</w:t>
      </w:r>
      <w:r w:rsidRPr="001F711C" w:rsidR="001F711C">
        <w:t>’</w:t>
      </w:r>
      <w:r w:rsidRPr="001F711C">
        <w:t xml:space="preserve">s view, in situations where there is evidence of patterns of violence and intolerance against an ethnic minority, the positive obligations incumbent </w:t>
      </w:r>
      <w:r w:rsidRPr="001F711C" w:rsidR="00F92E0F">
        <w:t xml:space="preserve">on member States </w:t>
      </w:r>
      <w:r w:rsidRPr="001F711C">
        <w:t xml:space="preserve">require a higher standard of </w:t>
      </w:r>
      <w:r w:rsidRPr="001F711C" w:rsidR="00F92E0F">
        <w:t xml:space="preserve">response </w:t>
      </w:r>
      <w:r w:rsidRPr="001F711C">
        <w:t>to alleged bias-motivated incidents</w:t>
      </w:r>
      <w:r w:rsidRPr="001F711C" w:rsidR="00016692">
        <w:t xml:space="preserve"> (see </w:t>
      </w:r>
      <w:r w:rsidRPr="001F711C" w:rsidR="00B80736">
        <w:t xml:space="preserve">the case-law quoted in </w:t>
      </w:r>
      <w:r w:rsidRPr="001F711C" w:rsidR="00016692">
        <w:t>paragraph</w:t>
      </w:r>
      <w:r w:rsidRPr="001F711C" w:rsidR="00EF66D5">
        <w:t> 68</w:t>
      </w:r>
      <w:r w:rsidRPr="001F711C" w:rsidR="00016692">
        <w:t xml:space="preserve"> above)</w:t>
      </w:r>
      <w:r w:rsidRPr="001F711C">
        <w:t xml:space="preserve">. </w:t>
      </w:r>
      <w:r w:rsidRPr="001F711C" w:rsidR="00016692">
        <w:t xml:space="preserve">The Court is mindful of the evidence produced by the parties and the </w:t>
      </w:r>
      <w:r w:rsidRPr="001F711C" w:rsidR="00F92E0F">
        <w:t xml:space="preserve">available </w:t>
      </w:r>
      <w:r w:rsidRPr="001F711C" w:rsidR="00016692">
        <w:t xml:space="preserve">material which show that, in the respondent State, the Roma communities are often confronted with institutionalised racism and are prone to excessive use of force by </w:t>
      </w:r>
      <w:r w:rsidRPr="001F711C" w:rsidR="00F92E0F">
        <w:t xml:space="preserve">the </w:t>
      </w:r>
      <w:r w:rsidRPr="001F711C" w:rsidR="00EF66D5">
        <w:t>law-</w:t>
      </w:r>
      <w:r w:rsidRPr="001F711C" w:rsidR="00016692">
        <w:t>enforcement authorities (see the references in paragraph</w:t>
      </w:r>
      <w:r w:rsidRPr="001F711C" w:rsidR="00EF66D5">
        <w:t xml:space="preserve"> 47</w:t>
      </w:r>
      <w:r w:rsidRPr="001F711C" w:rsidR="00016692">
        <w:t xml:space="preserve"> above)</w:t>
      </w:r>
      <w:r w:rsidRPr="001F711C" w:rsidR="00AA4D36">
        <w:t xml:space="preserve">. In this context, the mere fact that </w:t>
      </w:r>
      <w:r w:rsidRPr="001F711C" w:rsidR="00403002">
        <w:t xml:space="preserve">in the present case </w:t>
      </w:r>
      <w:r w:rsidRPr="001F711C" w:rsidR="00AA4D36">
        <w:t>stereotypes about “Roma behaviour” feature in the authorities</w:t>
      </w:r>
      <w:r w:rsidRPr="001F711C" w:rsidR="001F711C">
        <w:t>’</w:t>
      </w:r>
      <w:r w:rsidRPr="001F711C" w:rsidR="00AA4D36">
        <w:t xml:space="preserve"> assessment of the situation</w:t>
      </w:r>
      <w:r w:rsidRPr="001F711C" w:rsidR="00403002">
        <w:t xml:space="preserve"> (see paragraph</w:t>
      </w:r>
      <w:r w:rsidRPr="001F711C" w:rsidR="00EF66D5">
        <w:t xml:space="preserve"> 37</w:t>
      </w:r>
      <w:r w:rsidRPr="001F711C" w:rsidR="00403002">
        <w:t xml:space="preserve"> and</w:t>
      </w:r>
      <w:r w:rsidRPr="001F711C" w:rsidR="00EF66D5">
        <w:t xml:space="preserve"> 40</w:t>
      </w:r>
      <w:r w:rsidRPr="001F711C" w:rsidR="00403002">
        <w:t xml:space="preserve"> above)</w:t>
      </w:r>
      <w:r w:rsidRPr="001F711C" w:rsidR="00AA4D36">
        <w:t xml:space="preserve">, may give rise to </w:t>
      </w:r>
      <w:r w:rsidRPr="001F711C" w:rsidR="00B80736">
        <w:t>suspicions</w:t>
      </w:r>
      <w:r w:rsidRPr="001F711C" w:rsidR="00AA4D36">
        <w:t xml:space="preserve"> of discrimination</w:t>
      </w:r>
      <w:r w:rsidRPr="001F711C" w:rsidR="00B80736">
        <w:t xml:space="preserve"> based on ethnic grounds</w:t>
      </w:r>
      <w:r w:rsidRPr="001F711C" w:rsidR="00AA4D36">
        <w:t xml:space="preserve">. </w:t>
      </w:r>
      <w:r w:rsidRPr="001F711C" w:rsidR="00B80736">
        <w:t>Such suspicions, coupled with the modal</w:t>
      </w:r>
      <w:r w:rsidRPr="001F711C" w:rsidR="00EF66D5">
        <w:t>ities of the intervention of 15 December </w:t>
      </w:r>
      <w:r w:rsidRPr="001F711C" w:rsidR="00B80736">
        <w:t>2011, should have prompted the authorities to take all possible steps to investigate whether or not discrimination may have played a role in the events. However, the applicants</w:t>
      </w:r>
      <w:r w:rsidRPr="001F711C" w:rsidR="001F711C">
        <w:t>’</w:t>
      </w:r>
      <w:r w:rsidRPr="001F711C" w:rsidR="00B80736">
        <w:t xml:space="preserve"> allegations of discrimination against and criminalization of the Roma community have </w:t>
      </w:r>
      <w:r w:rsidRPr="001F711C" w:rsidR="00B80736">
        <w:t>been dismissed by the domestic authorities and courts without any in-depth</w:t>
      </w:r>
      <w:r w:rsidRPr="001F711C" w:rsidR="00AA4D36">
        <w:t xml:space="preserve"> </w:t>
      </w:r>
      <w:r w:rsidRPr="001F711C" w:rsidR="00B80736">
        <w:t xml:space="preserve">analysis of all the </w:t>
      </w:r>
      <w:r w:rsidRPr="001F711C" w:rsidR="00C0782C">
        <w:t xml:space="preserve">relevant </w:t>
      </w:r>
      <w:r w:rsidRPr="001F711C" w:rsidR="00B80736">
        <w:t>circumstances of the case</w:t>
      </w:r>
      <w:r w:rsidRPr="001F711C" w:rsidR="00C0782C">
        <w:t xml:space="preserve"> (see paragraphs</w:t>
      </w:r>
      <w:r w:rsidRPr="001F711C" w:rsidR="00EF66D5">
        <w:t xml:space="preserve"> 30</w:t>
      </w:r>
      <w:r w:rsidRPr="001F711C" w:rsidR="00AF2AAC">
        <w:t xml:space="preserve"> and</w:t>
      </w:r>
      <w:r w:rsidRPr="001F711C" w:rsidR="00EF66D5">
        <w:t xml:space="preserve"> 45</w:t>
      </w:r>
      <w:r w:rsidRPr="001F711C" w:rsidR="00C0782C">
        <w:t xml:space="preserve"> above).</w:t>
      </w:r>
    </w:p>
    <w:bookmarkStart w:name="viol_3and14_procedural" w:id="28"/>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81</w:t>
      </w:r>
      <w:r w:rsidRPr="001F711C">
        <w:rPr>
          <w:noProof/>
        </w:rPr>
        <w:fldChar w:fldCharType="end"/>
      </w:r>
      <w:bookmarkEnd w:id="28"/>
      <w:r w:rsidRPr="001F711C" w:rsidR="00C0782C">
        <w:t>.  </w:t>
      </w:r>
      <w:r w:rsidRPr="001F711C" w:rsidR="00642D2A">
        <w:t>It follows that there has been a violation of Article 14 of the Convention taken in conjunction with Article 3 of the Convention in its procedural aspect.</w:t>
      </w:r>
    </w:p>
    <w:p w:rsidRPr="001F711C" w:rsidR="003D211C"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82</w:t>
      </w:r>
      <w:r w:rsidRPr="001F711C">
        <w:rPr>
          <w:noProof/>
        </w:rPr>
        <w:fldChar w:fldCharType="end"/>
      </w:r>
      <w:r w:rsidRPr="001F711C" w:rsidR="00642D2A">
        <w:t>.  </w:t>
      </w:r>
      <w:r w:rsidRPr="001F711C">
        <w:t>Lastly, the Court notes that the applicants complained under the procedural limb of Article 3, that the criminal investigation had been ineffective (see paragraph</w:t>
      </w:r>
      <w:r w:rsidRPr="001F711C">
        <w:t xml:space="preserve"> 48</w:t>
      </w:r>
      <w:r w:rsidRPr="001F711C">
        <w:t xml:space="preserve"> above). In particular, they argued that the investigation had been conducted in a superficial and subjective manner (see paragraph</w:t>
      </w:r>
      <w:r w:rsidRPr="001F711C">
        <w:t> 53</w:t>
      </w:r>
      <w:r w:rsidRPr="001F711C">
        <w:t xml:space="preserve"> above). Therefore this complaint is related to the one already examined under Article 14 of the Convention taken in conjunction with Article</w:t>
      </w:r>
      <w:r w:rsidRPr="001F711C">
        <w:t> </w:t>
      </w:r>
      <w:r w:rsidRPr="001F711C">
        <w:t>3. Having found a violation of Articles 3 an</w:t>
      </w:r>
      <w:r w:rsidRPr="001F711C" w:rsidR="00557EF8">
        <w:t>d 14 together</w:t>
      </w:r>
      <w:r w:rsidRPr="001F711C">
        <w:t xml:space="preserve"> (see paragraph</w:t>
      </w:r>
      <w:r w:rsidRPr="001F711C">
        <w:t> 81</w:t>
      </w:r>
      <w:r w:rsidRPr="001F711C">
        <w:t xml:space="preserve"> above), the Court considers that no separate issue arises under Article</w:t>
      </w:r>
      <w:r w:rsidRPr="001F711C">
        <w:t> </w:t>
      </w:r>
      <w:r w:rsidRPr="001F711C" w:rsidR="00013238">
        <w:t>3</w:t>
      </w:r>
      <w:r w:rsidRPr="001F711C">
        <w:t xml:space="preserve"> of the Convention (see,</w:t>
      </w:r>
      <w:r w:rsidRPr="001F711C">
        <w:rPr>
          <w:i/>
        </w:rPr>
        <w:t xml:space="preserve"> mutatis mutandis, Hirst v. the United Kingdom (no. 2)</w:t>
      </w:r>
      <w:r w:rsidRPr="001F711C">
        <w:t xml:space="preserve">, no. 74025/01, § 87, 6 </w:t>
      </w:r>
      <w:r w:rsidRPr="001F711C">
        <w:t>October 2005).</w:t>
      </w:r>
    </w:p>
    <w:p w:rsidRPr="001F711C" w:rsidR="00D420F3" w:rsidP="001F711C">
      <w:pPr>
        <w:pStyle w:val="ECHRHeading1"/>
      </w:pPr>
      <w:r w:rsidRPr="001F711C">
        <w:t>II</w:t>
      </w:r>
      <w:r w:rsidRPr="001F711C" w:rsidR="0077175D">
        <w:t>.  APPLICATION OF ARTICLE 41 OF THE CONVENTION</w:t>
      </w:r>
    </w:p>
    <w:p w:rsidRPr="001F711C" w:rsidR="00D420F3" w:rsidP="001F711C">
      <w:pPr>
        <w:pStyle w:val="ECHRPara"/>
        <w:keepNext/>
        <w:keepLines/>
      </w:pPr>
      <w:r w:rsidRPr="001F711C">
        <w:fldChar w:fldCharType="begin"/>
      </w:r>
      <w:r w:rsidRPr="001F711C">
        <w:instrText xml:space="preserve"> SEQ level0 \*arabic </w:instrText>
      </w:r>
      <w:r w:rsidRPr="001F711C">
        <w:fldChar w:fldCharType="separate"/>
      </w:r>
      <w:r w:rsidRPr="001F711C" w:rsidR="001F711C">
        <w:rPr>
          <w:noProof/>
        </w:rPr>
        <w:t>83</w:t>
      </w:r>
      <w:r w:rsidRPr="001F711C">
        <w:fldChar w:fldCharType="end"/>
      </w:r>
      <w:r w:rsidRPr="001F711C" w:rsidR="0077175D">
        <w:t>.  Article 41 of the Convention provides:</w:t>
      </w:r>
    </w:p>
    <w:p w:rsidRPr="001F711C" w:rsidR="00D420F3" w:rsidP="001F711C">
      <w:pPr>
        <w:pStyle w:val="ECHRParaQuote"/>
        <w:keepNext/>
        <w:keepLines/>
      </w:pPr>
      <w:r w:rsidRPr="001F711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F711C" w:rsidR="00D420F3" w:rsidP="001F711C">
      <w:pPr>
        <w:pStyle w:val="ECHRHeading2"/>
        <w:keepNext w:val="0"/>
        <w:keepLines w:val="0"/>
      </w:pPr>
      <w:r w:rsidRPr="001F711C">
        <w:t>A.  Damage</w:t>
      </w:r>
    </w:p>
    <w:p w:rsidRPr="001F711C" w:rsidR="00D420F3"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84</w:t>
      </w:r>
      <w:r w:rsidRPr="001F711C">
        <w:fldChar w:fldCharType="end"/>
      </w:r>
      <w:r w:rsidRPr="001F711C" w:rsidR="0077175D">
        <w:t>.  The applicant</w:t>
      </w:r>
      <w:r w:rsidRPr="001F711C">
        <w:t>s</w:t>
      </w:r>
      <w:r w:rsidRPr="001F711C" w:rsidR="0077175D">
        <w:t xml:space="preserve"> claimed </w:t>
      </w:r>
      <w:r w:rsidRPr="001F711C" w:rsidR="00D96FF8">
        <w:t xml:space="preserve">the following amounts in </w:t>
      </w:r>
      <w:r w:rsidRPr="001F711C" w:rsidR="0077175D">
        <w:t xml:space="preserve">respect of </w:t>
      </w:r>
      <w:r w:rsidRPr="001F711C" w:rsidR="00D96FF8">
        <w:t>non</w:t>
      </w:r>
      <w:r w:rsidRPr="001F711C" w:rsidR="00D96FF8">
        <w:noBreakHyphen/>
      </w:r>
      <w:r w:rsidRPr="001F711C" w:rsidR="0077175D">
        <w:t>pecuniary damage</w:t>
      </w:r>
      <w:r w:rsidRPr="001F711C" w:rsidR="00D96FF8">
        <w:t>:</w:t>
      </w:r>
    </w:p>
    <w:p w:rsidRPr="001F711C" w:rsidR="00D96FF8" w:rsidP="001F711C">
      <w:pPr>
        <w:pStyle w:val="ECHRPara"/>
      </w:pPr>
      <w:r w:rsidRPr="001F711C">
        <w:t xml:space="preserve">(a)  25,000 euros (EUR) each </w:t>
      </w:r>
      <w:r w:rsidRPr="001F711C" w:rsidR="006E0261">
        <w:t xml:space="preserve">for </w:t>
      </w:r>
      <w:r w:rsidRPr="001F711C">
        <w:t>the first, second and fourth applicants; and</w:t>
      </w:r>
    </w:p>
    <w:p w:rsidRPr="001F711C" w:rsidR="002E2E5B" w:rsidP="001F711C">
      <w:pPr>
        <w:pStyle w:val="ECHRPara"/>
      </w:pPr>
      <w:r w:rsidRPr="001F711C">
        <w:t>(b)  EUR 30,000 for the third applicant.</w:t>
      </w:r>
    </w:p>
    <w:p w:rsidRPr="001F711C" w:rsidR="002E2E5B" w:rsidP="001F711C">
      <w:pPr>
        <w:pStyle w:val="ECHRPara"/>
      </w:pPr>
      <w:r w:rsidRPr="001F711C">
        <w:t xml:space="preserve">They also asked that the State adopt a plan of measures of general interest aimed at </w:t>
      </w:r>
      <w:r w:rsidRPr="001F711C" w:rsidR="00DB51CF">
        <w:t xml:space="preserve">preventing </w:t>
      </w:r>
      <w:r w:rsidRPr="001F711C">
        <w:t xml:space="preserve">similar cases from </w:t>
      </w:r>
      <w:r w:rsidRPr="001F711C" w:rsidR="00DB51CF">
        <w:t xml:space="preserve">arising </w:t>
      </w:r>
      <w:r w:rsidRPr="001F711C">
        <w:t>in the future.</w:t>
      </w:r>
    </w:p>
    <w:p w:rsidRPr="001F711C" w:rsidR="002E2E5B"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85</w:t>
      </w:r>
      <w:r w:rsidRPr="001F711C">
        <w:fldChar w:fldCharType="end"/>
      </w:r>
      <w:r w:rsidRPr="001F711C" w:rsidR="0077175D">
        <w:t xml:space="preserve">.  The Government </w:t>
      </w:r>
      <w:r w:rsidRPr="001F711C" w:rsidR="00BC6686">
        <w:t xml:space="preserve">argued that the claim was excessive and made reference to the awards </w:t>
      </w:r>
      <w:r w:rsidRPr="001F711C" w:rsidR="00214286">
        <w:t>granted</w:t>
      </w:r>
      <w:r w:rsidRPr="001F711C" w:rsidR="00BC6686">
        <w:t xml:space="preserve"> by the Court in similar cases.</w:t>
      </w:r>
    </w:p>
    <w:p w:rsidRPr="001F711C" w:rsidR="00D420F3"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86</w:t>
      </w:r>
      <w:r w:rsidRPr="001F711C">
        <w:fldChar w:fldCharType="end"/>
      </w:r>
      <w:r w:rsidRPr="001F711C" w:rsidR="0077175D">
        <w:t>.  </w:t>
      </w:r>
      <w:r w:rsidRPr="001F711C" w:rsidR="00175AE5">
        <w:t>Having regard to all the circumstances of the present case, the Court accepts that the applicants must have suffered non-pecuniary damage which cannot be compensated solely by the finding of a violation. Making its assessment on an equitable basis, the Court awards each applicant EUR 11,700 in respect of non-pecuniary damage, plus any tax that may be chargeable thereon.</w:t>
      </w:r>
    </w:p>
    <w:p w:rsidRPr="001F711C" w:rsidR="00D420F3" w:rsidP="001F711C">
      <w:pPr>
        <w:pStyle w:val="ECHRHeading2"/>
        <w:keepNext w:val="0"/>
        <w:keepLines w:val="0"/>
      </w:pPr>
      <w:r w:rsidRPr="001F711C">
        <w:t>B.  Costs and expenses</w:t>
      </w:r>
    </w:p>
    <w:p w:rsidRPr="001F711C" w:rsidR="00D420F3"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87</w:t>
      </w:r>
      <w:r w:rsidRPr="001F711C">
        <w:fldChar w:fldCharType="end"/>
      </w:r>
      <w:r w:rsidRPr="001F711C" w:rsidR="0077175D">
        <w:t>.  The applicant</w:t>
      </w:r>
      <w:r w:rsidRPr="001F711C">
        <w:t>s</w:t>
      </w:r>
      <w:r w:rsidRPr="001F711C" w:rsidR="0077175D">
        <w:t xml:space="preserve"> also claimed EUR </w:t>
      </w:r>
      <w:r w:rsidRPr="001F711C" w:rsidR="00BC6686">
        <w:t>2,251</w:t>
      </w:r>
      <w:r w:rsidRPr="001F711C" w:rsidR="0077175D">
        <w:t xml:space="preserve"> for the costs and expenses incurred before the domestic courts and before the Court</w:t>
      </w:r>
      <w:r w:rsidRPr="001F711C" w:rsidR="00BC6686">
        <w:t>, to be paid directly into the bank account of Romano CRISS</w:t>
      </w:r>
      <w:r w:rsidRPr="001F711C" w:rsidR="0077175D">
        <w:t>.</w:t>
      </w:r>
    </w:p>
    <w:p w:rsidRPr="001F711C" w:rsidR="00D420F3"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88</w:t>
      </w:r>
      <w:r w:rsidRPr="001F711C">
        <w:fldChar w:fldCharType="end"/>
      </w:r>
      <w:r w:rsidRPr="001F711C" w:rsidR="0077175D">
        <w:t xml:space="preserve">.  The Government </w:t>
      </w:r>
      <w:r w:rsidRPr="001F711C" w:rsidR="00175AE5">
        <w:t>contested the reality and the necessity of those costs</w:t>
      </w:r>
      <w:r w:rsidRPr="001F711C">
        <w:t>.</w:t>
      </w:r>
    </w:p>
    <w:p w:rsidRPr="001F711C" w:rsidR="00D420F3" w:rsidP="001F711C">
      <w:pPr>
        <w:pStyle w:val="ECHRPara"/>
      </w:pPr>
      <w:r w:rsidRPr="001F711C">
        <w:fldChar w:fldCharType="begin"/>
      </w:r>
      <w:r w:rsidRPr="001F711C">
        <w:instrText xml:space="preserve"> SEQ level0 \*arabic </w:instrText>
      </w:r>
      <w:r w:rsidRPr="001F711C">
        <w:fldChar w:fldCharType="separate"/>
      </w:r>
      <w:r w:rsidRPr="001F711C" w:rsidR="001F711C">
        <w:rPr>
          <w:noProof/>
        </w:rPr>
        <w:t>89</w:t>
      </w:r>
      <w:r w:rsidRPr="001F711C">
        <w:fldChar w:fldCharType="end"/>
      </w:r>
      <w:r w:rsidRPr="001F711C" w:rsidR="0077175D">
        <w:t>.  </w:t>
      </w:r>
      <w:r w:rsidRPr="001F711C">
        <w:t>Regard</w:t>
      </w:r>
      <w:r w:rsidRPr="001F711C" w:rsidR="0077175D">
        <w:t xml:space="preserve"> being had to the documents in its possession and </w:t>
      </w:r>
      <w:r w:rsidRPr="001F711C" w:rsidR="00EF66D5">
        <w:t xml:space="preserve">to its </w:t>
      </w:r>
      <w:r w:rsidRPr="001F711C" w:rsidR="00EF66D5">
        <w:br/>
        <w:t>case-</w:t>
      </w:r>
      <w:r w:rsidRPr="001F711C">
        <w:t>law</w:t>
      </w:r>
      <w:r w:rsidRPr="001F711C" w:rsidR="0077175D">
        <w:t>, the Court</w:t>
      </w:r>
      <w:r w:rsidRPr="001F711C" w:rsidR="00175AE5">
        <w:t xml:space="preserve"> </w:t>
      </w:r>
      <w:r w:rsidRPr="001F711C" w:rsidR="0077175D">
        <w:t>considers it rea</w:t>
      </w:r>
      <w:r w:rsidRPr="001F711C" w:rsidR="00EB2C28">
        <w:t>sonable to award the sum of EUR 2,251</w:t>
      </w:r>
      <w:r w:rsidRPr="001F711C" w:rsidR="0077175D">
        <w:t xml:space="preserve"> covering costs under all heads</w:t>
      </w:r>
      <w:r w:rsidRPr="001F711C" w:rsidR="00EB2C28">
        <w:t xml:space="preserve">, to be </w:t>
      </w:r>
      <w:r w:rsidRPr="001F711C" w:rsidR="006B0727">
        <w:t>paid</w:t>
      </w:r>
      <w:r w:rsidRPr="001F711C" w:rsidR="00EB2C28">
        <w:t xml:space="preserve"> </w:t>
      </w:r>
      <w:r w:rsidRPr="001F711C" w:rsidR="0095331A">
        <w:t>directly in</w:t>
      </w:r>
      <w:r w:rsidRPr="001F711C" w:rsidR="00EB2C28">
        <w:t xml:space="preserve">to </w:t>
      </w:r>
      <w:r w:rsidRPr="001F711C" w:rsidR="00DB51CF">
        <w:t xml:space="preserve">the </w:t>
      </w:r>
      <w:r w:rsidRPr="001F711C" w:rsidR="00EB2C28">
        <w:t>bank account of Romano CRISS</w:t>
      </w:r>
      <w:r w:rsidRPr="001F711C" w:rsidR="006B0727">
        <w:t xml:space="preserve"> (see, </w:t>
      </w:r>
      <w:r w:rsidRPr="001F711C" w:rsidR="006B0727">
        <w:rPr>
          <w:i/>
        </w:rPr>
        <w:t>mutatis mutandis</w:t>
      </w:r>
      <w:r w:rsidRPr="001F711C" w:rsidR="006B0727">
        <w:t xml:space="preserve">, </w:t>
      </w:r>
      <w:r w:rsidRPr="001F711C" w:rsidR="00EF66D5">
        <w:rPr>
          <w:i/>
        </w:rPr>
        <w:t xml:space="preserve">Khlaifia and Others v. </w:t>
      </w:r>
      <w:r w:rsidRPr="001F711C" w:rsidR="006B0727">
        <w:rPr>
          <w:i/>
        </w:rPr>
        <w:t xml:space="preserve">Italy </w:t>
      </w:r>
      <w:r w:rsidRPr="001F711C" w:rsidR="006B0727">
        <w:t>[GC], no.</w:t>
      </w:r>
      <w:r w:rsidRPr="001F711C" w:rsidR="00EF66D5">
        <w:t> </w:t>
      </w:r>
      <w:r w:rsidRPr="001F711C" w:rsidR="006B0727">
        <w:t xml:space="preserve">16483/12, § 288 and point 12 </w:t>
      </w:r>
      <w:r w:rsidRPr="001F711C" w:rsidR="00EF66D5">
        <w:t>(a) of the operative part, ECHR </w:t>
      </w:r>
      <w:r w:rsidRPr="001F711C" w:rsidR="006B0727">
        <w:t>2016 (extracts))</w:t>
      </w:r>
      <w:r w:rsidRPr="001F711C" w:rsidR="0077175D">
        <w:t>.</w:t>
      </w:r>
    </w:p>
    <w:p w:rsidRPr="001F711C" w:rsidR="00D420F3" w:rsidP="001F711C">
      <w:pPr>
        <w:pStyle w:val="ECHRHeading2"/>
      </w:pPr>
      <w:r w:rsidRPr="001F711C">
        <w:t>C.  Default interest</w:t>
      </w:r>
    </w:p>
    <w:p w:rsidRPr="001F711C" w:rsidR="00D420F3" w:rsidP="001F711C">
      <w:pPr>
        <w:pStyle w:val="ECHRPara"/>
        <w:keepNext/>
        <w:keepLines/>
      </w:pPr>
      <w:r w:rsidRPr="001F711C">
        <w:fldChar w:fldCharType="begin"/>
      </w:r>
      <w:r w:rsidRPr="001F711C">
        <w:instrText xml:space="preserve"> SEQ level0 \*arabic </w:instrText>
      </w:r>
      <w:r w:rsidRPr="001F711C">
        <w:fldChar w:fldCharType="separate"/>
      </w:r>
      <w:r w:rsidRPr="001F711C" w:rsidR="001F711C">
        <w:rPr>
          <w:noProof/>
        </w:rPr>
        <w:t>90</w:t>
      </w:r>
      <w:r w:rsidRPr="001F711C">
        <w:fldChar w:fldCharType="end"/>
      </w:r>
      <w:r w:rsidRPr="001F711C" w:rsidR="0077175D">
        <w:t>.  The Court considers it appropriate that the default interest rate should be based on the marginal lending rate of the European Central Bank, to which should be added three percentage points.</w:t>
      </w:r>
    </w:p>
    <w:p w:rsidRPr="001F711C" w:rsidR="00D420F3" w:rsidP="001F711C">
      <w:pPr>
        <w:pStyle w:val="ECHRTitle1"/>
        <w:keepNext w:val="0"/>
        <w:keepLines w:val="0"/>
      </w:pPr>
      <w:r w:rsidRPr="001F711C">
        <w:t>FOR THESE REASONS, THE COURT</w:t>
      </w:r>
      <w:r w:rsidRPr="001F711C" w:rsidR="004A52B2">
        <w:t>, UNANIMOUSLY,</w:t>
      </w:r>
    </w:p>
    <w:p w:rsidRPr="001F711C" w:rsidR="00D420F3" w:rsidP="001F711C">
      <w:pPr>
        <w:pStyle w:val="JuList"/>
      </w:pPr>
      <w:r w:rsidRPr="001F711C">
        <w:t>1.  </w:t>
      </w:r>
      <w:r w:rsidRPr="001F711C">
        <w:rPr>
          <w:i/>
        </w:rPr>
        <w:t>Declares</w:t>
      </w:r>
      <w:r w:rsidRPr="001F711C">
        <w:rPr>
          <w:color w:val="000000"/>
        </w:rPr>
        <w:t xml:space="preserve"> </w:t>
      </w:r>
      <w:r w:rsidRPr="001F711C">
        <w:t xml:space="preserve">the </w:t>
      </w:r>
      <w:r w:rsidRPr="001F711C" w:rsidR="004A52B2">
        <w:t>application</w:t>
      </w:r>
      <w:r w:rsidRPr="001F711C">
        <w:t xml:space="preserve"> admissible;</w:t>
      </w:r>
    </w:p>
    <w:p w:rsidRPr="001F711C" w:rsidR="00EB2C28" w:rsidP="001F711C">
      <w:pPr>
        <w:pStyle w:val="JuList"/>
      </w:pPr>
    </w:p>
    <w:p w:rsidRPr="001F711C" w:rsidR="00D420F3" w:rsidP="001F711C">
      <w:pPr>
        <w:pStyle w:val="JuList"/>
      </w:pPr>
      <w:r w:rsidRPr="001F711C">
        <w:t>2</w:t>
      </w:r>
      <w:r w:rsidRPr="001F711C" w:rsidR="0077175D">
        <w:t>.  </w:t>
      </w:r>
      <w:r w:rsidRPr="001F711C" w:rsidR="0077175D">
        <w:rPr>
          <w:i/>
        </w:rPr>
        <w:t>Holds</w:t>
      </w:r>
      <w:r w:rsidRPr="001F711C" w:rsidR="0077175D">
        <w:rPr>
          <w:color w:val="000000"/>
        </w:rPr>
        <w:t xml:space="preserve"> </w:t>
      </w:r>
      <w:r w:rsidRPr="001F711C" w:rsidR="0077175D">
        <w:t xml:space="preserve">that there has been a violation of Article </w:t>
      </w:r>
      <w:r w:rsidRPr="001F711C">
        <w:t>3</w:t>
      </w:r>
      <w:r w:rsidRPr="001F711C" w:rsidR="0077175D">
        <w:t xml:space="preserve"> of the Convention</w:t>
      </w:r>
      <w:r w:rsidRPr="001F711C">
        <w:t xml:space="preserve"> in its substantive limb</w:t>
      </w:r>
      <w:r w:rsidRPr="001F711C" w:rsidR="0077175D">
        <w:t>;</w:t>
      </w:r>
    </w:p>
    <w:p w:rsidRPr="001F711C" w:rsidR="00D420F3" w:rsidP="001F711C">
      <w:pPr>
        <w:pStyle w:val="JuList"/>
      </w:pPr>
    </w:p>
    <w:p w:rsidRPr="001F711C" w:rsidR="00715FBF" w:rsidP="001F711C">
      <w:pPr>
        <w:pStyle w:val="JuList"/>
      </w:pPr>
      <w:r w:rsidRPr="001F711C">
        <w:t>3.  </w:t>
      </w:r>
      <w:r w:rsidRPr="001F711C">
        <w:rPr>
          <w:i/>
        </w:rPr>
        <w:t>Holds</w:t>
      </w:r>
      <w:r w:rsidRPr="001F711C">
        <w:t xml:space="preserve"> that there has been </w:t>
      </w:r>
      <w:r w:rsidRPr="001F711C" w:rsidR="00062966">
        <w:t>a</w:t>
      </w:r>
      <w:r w:rsidRPr="001F711C">
        <w:t xml:space="preserve"> violation of Article 14 read in conjunction with Article 3 in its substantive limb;</w:t>
      </w:r>
    </w:p>
    <w:p w:rsidRPr="001F711C" w:rsidR="00715FBF" w:rsidP="001F711C">
      <w:pPr>
        <w:pStyle w:val="JuList"/>
      </w:pPr>
    </w:p>
    <w:p w:rsidRPr="001F711C" w:rsidR="00EB2C28" w:rsidP="001F711C">
      <w:pPr>
        <w:pStyle w:val="JuList"/>
      </w:pPr>
      <w:r w:rsidRPr="001F711C">
        <w:t>4</w:t>
      </w:r>
      <w:r w:rsidRPr="001F711C">
        <w:t>.  </w:t>
      </w:r>
      <w:r w:rsidRPr="001F711C">
        <w:rPr>
          <w:i/>
        </w:rPr>
        <w:t>Holds</w:t>
      </w:r>
      <w:r w:rsidRPr="001F711C">
        <w:rPr>
          <w:color w:val="000000"/>
        </w:rPr>
        <w:t xml:space="preserve"> </w:t>
      </w:r>
      <w:r w:rsidRPr="001F711C">
        <w:t>that there has been a violation of Article 14 of the Convention read</w:t>
      </w:r>
      <w:r w:rsidRPr="001F711C" w:rsidR="0095331A">
        <w:t xml:space="preserve"> in conjunction</w:t>
      </w:r>
      <w:r w:rsidRPr="001F711C">
        <w:t xml:space="preserve"> with Article 3 in its procedural limb;</w:t>
      </w:r>
    </w:p>
    <w:p w:rsidRPr="001F711C" w:rsidR="00EB2C28" w:rsidP="001F711C">
      <w:pPr>
        <w:pStyle w:val="JuList"/>
      </w:pPr>
    </w:p>
    <w:p w:rsidRPr="001F711C" w:rsidR="00D420F3" w:rsidP="001F711C">
      <w:pPr>
        <w:pStyle w:val="JuList"/>
      </w:pPr>
      <w:r w:rsidRPr="001F711C">
        <w:t>5</w:t>
      </w:r>
      <w:r w:rsidRPr="001F711C" w:rsidR="0077175D">
        <w:t>.  </w:t>
      </w:r>
      <w:r w:rsidRPr="001F711C" w:rsidR="0077175D">
        <w:rPr>
          <w:i/>
        </w:rPr>
        <w:t>Holds</w:t>
      </w:r>
      <w:r w:rsidRPr="001F711C" w:rsidR="0077175D">
        <w:rPr>
          <w:color w:val="000000"/>
        </w:rPr>
        <w:t xml:space="preserve"> </w:t>
      </w:r>
      <w:r w:rsidRPr="001F711C" w:rsidR="0077175D">
        <w:t xml:space="preserve">that </w:t>
      </w:r>
      <w:r w:rsidRPr="001F711C" w:rsidR="00E0750E">
        <w:t>no separate issue arises concerning</w:t>
      </w:r>
      <w:r w:rsidRPr="001F711C" w:rsidR="0077175D">
        <w:t xml:space="preserve"> </w:t>
      </w:r>
      <w:r w:rsidRPr="001F711C" w:rsidR="00DB51CF">
        <w:t xml:space="preserve">the </w:t>
      </w:r>
      <w:r w:rsidRPr="001F711C" w:rsidR="00EB2C28">
        <w:t xml:space="preserve">procedural limb </w:t>
      </w:r>
      <w:r w:rsidRPr="001F711C" w:rsidR="00DB51CF">
        <w:t>of Article</w:t>
      </w:r>
      <w:r w:rsidRPr="001F711C" w:rsidR="00EF66D5">
        <w:t> </w:t>
      </w:r>
      <w:r w:rsidRPr="001F711C" w:rsidR="00DB51CF">
        <w:t xml:space="preserve">3 </w:t>
      </w:r>
      <w:r w:rsidRPr="001F711C" w:rsidR="00EB2C28">
        <w:t>alone</w:t>
      </w:r>
      <w:r w:rsidRPr="001F711C" w:rsidR="0077175D">
        <w:t>;</w:t>
      </w:r>
    </w:p>
    <w:p w:rsidRPr="001F711C" w:rsidR="00D420F3" w:rsidP="001F711C">
      <w:pPr>
        <w:pStyle w:val="JuList"/>
      </w:pPr>
    </w:p>
    <w:p w:rsidRPr="001F711C" w:rsidR="004A52B2" w:rsidP="001F711C">
      <w:pPr>
        <w:pStyle w:val="JuList"/>
      </w:pPr>
      <w:r w:rsidRPr="001F711C">
        <w:t>6</w:t>
      </w:r>
      <w:r w:rsidRPr="001F711C" w:rsidR="0077175D">
        <w:t>.  </w:t>
      </w:r>
      <w:r w:rsidRPr="001F711C" w:rsidR="0077175D">
        <w:rPr>
          <w:i/>
        </w:rPr>
        <w:t>Holds</w:t>
      </w:r>
    </w:p>
    <w:p w:rsidRPr="001F711C" w:rsidR="00D420F3" w:rsidP="001F711C">
      <w:pPr>
        <w:pStyle w:val="JuLista"/>
      </w:pPr>
      <w:r w:rsidRPr="001F711C">
        <w:t>(a)  that the respondent State is to pay, within three months</w:t>
      </w:r>
      <w:r w:rsidRPr="001F711C" w:rsidR="00DB51CF">
        <w:t>,</w:t>
      </w:r>
      <w:r w:rsidRPr="001F711C" w:rsidR="004A52B2">
        <w:t xml:space="preserve"> </w:t>
      </w:r>
      <w:r w:rsidRPr="001F711C">
        <w:t xml:space="preserve">the following amounts, to be converted into </w:t>
      </w:r>
      <w:r w:rsidRPr="001F711C">
        <w:rPr>
          <w:color w:val="000000"/>
        </w:rPr>
        <w:t>the currency of the respondent State</w:t>
      </w:r>
      <w:r w:rsidRPr="001F711C" w:rsidR="00EB2C28">
        <w:rPr>
          <w:b/>
          <w:color w:val="000000"/>
        </w:rPr>
        <w:t xml:space="preserve"> </w:t>
      </w:r>
      <w:r w:rsidRPr="001F711C">
        <w:t>at the rate applicable at the date of settlement:</w:t>
      </w:r>
    </w:p>
    <w:p w:rsidRPr="001F711C" w:rsidR="00D420F3" w:rsidP="001F711C">
      <w:pPr>
        <w:pStyle w:val="JuListi"/>
      </w:pPr>
      <w:r w:rsidRPr="001F711C">
        <w:t xml:space="preserve">(i)  EUR </w:t>
      </w:r>
      <w:r w:rsidRPr="001F711C" w:rsidR="00EB2C28">
        <w:t>11,700</w:t>
      </w:r>
      <w:r w:rsidRPr="001F711C">
        <w:t xml:space="preserve"> (</w:t>
      </w:r>
      <w:r w:rsidRPr="001F711C" w:rsidR="00EB2C28">
        <w:t>eleven thousand seven hundred euros) to each applicant</w:t>
      </w:r>
      <w:r w:rsidRPr="001F711C">
        <w:t>, plus any tax that may b</w:t>
      </w:r>
      <w:r w:rsidRPr="001F711C" w:rsidR="00EF66D5">
        <w:t>e chargeable, in respect of non</w:t>
      </w:r>
      <w:r w:rsidRPr="001F711C" w:rsidR="001F711C">
        <w:noBreakHyphen/>
      </w:r>
      <w:r w:rsidRPr="001F711C">
        <w:t>pecuniary damage;</w:t>
      </w:r>
    </w:p>
    <w:p w:rsidRPr="001F711C" w:rsidR="00D420F3" w:rsidP="001F711C">
      <w:pPr>
        <w:pStyle w:val="JuListi"/>
      </w:pPr>
      <w:r w:rsidRPr="001F711C">
        <w:t xml:space="preserve">(ii)  EUR </w:t>
      </w:r>
      <w:r w:rsidRPr="001F711C" w:rsidR="00EB2C28">
        <w:t>2,251</w:t>
      </w:r>
      <w:r w:rsidRPr="001F711C">
        <w:t xml:space="preserve"> (</w:t>
      </w:r>
      <w:r w:rsidRPr="001F711C" w:rsidR="00EB2C28">
        <w:t>two thousand two hundred and fifty</w:t>
      </w:r>
      <w:r w:rsidRPr="001F711C" w:rsidR="00DB51CF">
        <w:t>-</w:t>
      </w:r>
      <w:r w:rsidRPr="001F711C" w:rsidR="00EB2C28">
        <w:t>one</w:t>
      </w:r>
      <w:r w:rsidRPr="001F711C">
        <w:t xml:space="preserve"> euros), plus any tax that may be chargeable to the applicant</w:t>
      </w:r>
      <w:r w:rsidRPr="001F711C" w:rsidR="004A52B2">
        <w:t>s</w:t>
      </w:r>
      <w:r w:rsidRPr="001F711C">
        <w:t>, in respect of costs and expenses</w:t>
      </w:r>
      <w:r w:rsidRPr="001F711C" w:rsidR="00EB2C28">
        <w:t xml:space="preserve">, to be </w:t>
      </w:r>
      <w:r w:rsidRPr="001F711C" w:rsidR="0095331A">
        <w:t>paid</w:t>
      </w:r>
      <w:r w:rsidRPr="001F711C" w:rsidR="00EB2C28">
        <w:t xml:space="preserve"> into the </w:t>
      </w:r>
      <w:r w:rsidRPr="001F711C" w:rsidR="0095331A">
        <w:t xml:space="preserve">bank </w:t>
      </w:r>
      <w:r w:rsidRPr="001F711C" w:rsidR="00EB2C28">
        <w:t>account of the applicants</w:t>
      </w:r>
      <w:r w:rsidRPr="001F711C" w:rsidR="001F711C">
        <w:t>’</w:t>
      </w:r>
      <w:r w:rsidRPr="001F711C" w:rsidR="00EB2C28">
        <w:t xml:space="preserve"> representative Romano CRISS</w:t>
      </w:r>
      <w:r w:rsidRPr="001F711C">
        <w:t>;</w:t>
      </w:r>
    </w:p>
    <w:p w:rsidRPr="001F711C" w:rsidR="00D420F3" w:rsidP="001F711C">
      <w:pPr>
        <w:pStyle w:val="JuLista"/>
      </w:pPr>
      <w:r w:rsidRPr="001F711C">
        <w:t>(b)  that from the expiry of the above-mentioned three months until settlement</w:t>
      </w:r>
      <w:r w:rsidRPr="001F711C" w:rsidR="00DB51CF">
        <w:t>,</w:t>
      </w:r>
      <w:r w:rsidRPr="001F711C">
        <w:t xml:space="preserve"> simple interest shall be payable on the above amounts at a rate equal to the marginal lending rate of the European Central Bank during the default period</w:t>
      </w:r>
      <w:r w:rsidRPr="001F711C" w:rsidR="00DB51CF">
        <w:t>,</w:t>
      </w:r>
      <w:r w:rsidRPr="001F711C">
        <w:t xml:space="preserve"> plus three percentage points;</w:t>
      </w:r>
    </w:p>
    <w:p w:rsidRPr="001F711C" w:rsidR="000159E4" w:rsidP="001F711C">
      <w:pPr>
        <w:pStyle w:val="JuList"/>
      </w:pPr>
    </w:p>
    <w:p w:rsidRPr="001F711C" w:rsidR="00D420F3" w:rsidP="001F711C">
      <w:pPr>
        <w:pStyle w:val="JuList"/>
        <w:keepNext/>
        <w:keepLines/>
      </w:pPr>
      <w:r w:rsidRPr="001F711C">
        <w:t>7</w:t>
      </w:r>
      <w:r w:rsidRPr="001F711C" w:rsidR="0077175D">
        <w:t>.  </w:t>
      </w:r>
      <w:r w:rsidRPr="001F711C" w:rsidR="0077175D">
        <w:rPr>
          <w:i/>
        </w:rPr>
        <w:t>Dismisses</w:t>
      </w:r>
      <w:r w:rsidRPr="001F711C" w:rsidR="0077175D">
        <w:rPr>
          <w:color w:val="000000"/>
        </w:rPr>
        <w:t xml:space="preserve"> </w:t>
      </w:r>
      <w:r w:rsidRPr="001F711C" w:rsidR="0077175D">
        <w:t>the remainder of the applicant</w:t>
      </w:r>
      <w:r w:rsidRPr="001F711C" w:rsidR="004A52B2">
        <w:t>s</w:t>
      </w:r>
      <w:r w:rsidRPr="001F711C" w:rsidR="001F711C">
        <w:t>’</w:t>
      </w:r>
      <w:r w:rsidRPr="001F711C" w:rsidR="0077175D">
        <w:t xml:space="preserve"> claim for just satisfaction.</w:t>
      </w:r>
    </w:p>
    <w:p w:rsidRPr="001F711C" w:rsidR="00D420F3" w:rsidP="001F711C">
      <w:pPr>
        <w:pStyle w:val="JuParaLast"/>
      </w:pPr>
      <w:r w:rsidRPr="001F711C">
        <w:t>Done in Engl</w:t>
      </w:r>
      <w:r w:rsidRPr="001F711C" w:rsidR="003F2925">
        <w:t>ish, and notified in writing on 16 April 2019</w:t>
      </w:r>
      <w:r w:rsidRPr="001F711C">
        <w:t>, pursuant to Rule 77 §§ 2 and 3 of the Rules of Court.</w:t>
      </w:r>
    </w:p>
    <w:p w:rsidRPr="001F711C" w:rsidR="001F711C" w:rsidP="001F711C">
      <w:pPr>
        <w:pStyle w:val="JuSigned"/>
        <w:keepNext/>
        <w:keepLines/>
      </w:pPr>
      <w:r w:rsidRPr="001F711C">
        <w:tab/>
      </w:r>
      <w:r w:rsidRPr="001F711C" w:rsidR="004A52B2">
        <w:t>Andrea Tamietti</w:t>
      </w:r>
      <w:r w:rsidRPr="001F711C">
        <w:tab/>
      </w:r>
      <w:r w:rsidRPr="001F711C" w:rsidR="00C45DF6">
        <w:rPr>
          <w:szCs w:val="24"/>
        </w:rPr>
        <w:t>Paulo Pinto de Albuquerque</w:t>
      </w:r>
      <w:r w:rsidRPr="001F711C">
        <w:rPr>
          <w:szCs w:val="24"/>
        </w:rPr>
        <w:br/>
      </w:r>
      <w:r w:rsidRPr="001F711C">
        <w:tab/>
      </w:r>
      <w:r w:rsidRPr="001F711C" w:rsidR="004A52B2">
        <w:t xml:space="preserve">Deputy </w:t>
      </w:r>
      <w:r w:rsidRPr="001F711C" w:rsidR="004A52B2">
        <w:rPr>
          <w:iCs/>
        </w:rPr>
        <w:t>Registrar</w:t>
      </w:r>
      <w:r w:rsidRPr="001F711C">
        <w:tab/>
        <w:t>President</w:t>
      </w:r>
    </w:p>
    <w:p w:rsidRPr="001F711C" w:rsidR="001F711C" w:rsidP="001F711C">
      <w:pPr>
        <w:pStyle w:val="JuSigned"/>
        <w:keepNext/>
        <w:keepLines/>
      </w:pPr>
    </w:p>
    <w:p w:rsidRPr="001F711C" w:rsidR="00D96FF8" w:rsidP="001F711C">
      <w:pPr>
        <w:pStyle w:val="JuSigned"/>
        <w:keepNext/>
        <w:keepLines/>
      </w:pPr>
      <w:r w:rsidRPr="001F711C">
        <w:br w:type="page"/>
      </w:r>
    </w:p>
    <w:p w:rsidRPr="001F711C" w:rsidR="003F2925" w:rsidP="001F711C">
      <w:pPr>
        <w:pStyle w:val="JuAppQuestion"/>
        <w:numPr>
          <w:ilvl w:val="0"/>
          <w:numId w:val="0"/>
        </w:numPr>
        <w:ind w:left="360"/>
        <w:jc w:val="center"/>
        <w:rPr>
          <w:b w:val="0"/>
        </w:rPr>
      </w:pPr>
      <w:r w:rsidRPr="001F711C">
        <w:t>Appendix</w:t>
      </w:r>
    </w:p>
    <w:p w:rsidRPr="001F711C" w:rsidR="003F2925" w:rsidP="001F711C">
      <w:pPr>
        <w:pStyle w:val="JuAppQuestion"/>
        <w:numPr>
          <w:ilvl w:val="0"/>
          <w:numId w:val="0"/>
        </w:numPr>
        <w:ind w:left="360"/>
        <w:jc w:val="center"/>
        <w:rPr>
          <w:b w:val="0"/>
        </w:rPr>
      </w:pPr>
    </w:p>
    <w:p w:rsidRPr="001F711C" w:rsidR="00D96FF8" w:rsidP="001F711C">
      <w:pPr>
        <w:pStyle w:val="JuAppQuestion"/>
        <w:numPr>
          <w:ilvl w:val="0"/>
          <w:numId w:val="0"/>
        </w:numPr>
        <w:ind w:left="720"/>
        <w:jc w:val="center"/>
      </w:pPr>
      <w:r w:rsidRPr="001F711C">
        <w:t>List of Applicants</w:t>
      </w:r>
    </w:p>
    <w:p w:rsidRPr="001F711C" w:rsidR="003F2925" w:rsidP="001F711C">
      <w:pPr>
        <w:pStyle w:val="JuList"/>
      </w:pPr>
    </w:p>
    <w:p w:rsidRPr="001F711C" w:rsidR="00D96FF8" w:rsidP="001F711C">
      <w:pPr>
        <w:pStyle w:val="JuList"/>
      </w:pPr>
      <w:r w:rsidRPr="001F711C">
        <w:t>1.  Mr Aron Lingurar, who was born in 1949</w:t>
      </w:r>
    </w:p>
    <w:p w:rsidRPr="001F711C" w:rsidR="00D96FF8" w:rsidP="001F711C">
      <w:pPr>
        <w:pStyle w:val="JuList"/>
      </w:pPr>
      <w:r w:rsidRPr="001F711C">
        <w:t>2.  Ms Ana Maria Lingurar, who was born in 1994</w:t>
      </w:r>
    </w:p>
    <w:p w:rsidRPr="001F711C" w:rsidR="00D96FF8" w:rsidP="001F711C">
      <w:pPr>
        <w:pStyle w:val="JuList"/>
      </w:pPr>
      <w:r w:rsidRPr="001F711C">
        <w:t>3.  Mr Aron Lingurar, who was born in 1985</w:t>
      </w:r>
    </w:p>
    <w:p w:rsidRPr="001F711C" w:rsidR="00D420F3" w:rsidP="001F711C">
      <w:pPr>
        <w:pStyle w:val="JuList"/>
      </w:pPr>
      <w:r w:rsidRPr="001F711C">
        <w:t>4.  Ms Elena Lingurar, who was born in 1957</w:t>
      </w:r>
    </w:p>
    <w:p w:rsidRPr="001F711C" w:rsidR="001F711C" w:rsidP="001F711C">
      <w:pPr>
        <w:pStyle w:val="JuList"/>
      </w:pPr>
    </w:p>
    <w:sectPr w:rsidSect="003F2925">
      <w:headerReference w:type="even" r:id="rId8"/>
      <w:headerReference w:type="default" r:id="rId9"/>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2E5B" w:rsidRPr="00150BFA" w:rsidP="002E2E5B">
    <w:pPr>
      <w:jc w:val="center"/>
    </w:pPr>
    <w:r>
      <w:rPr>
        <w:noProof/>
        <w:lang w:val="en-US"/>
      </w:rPr>
      <w:drawing>
        <wp:inline distT="0" distB="0" distL="0" distR="0">
          <wp:extent cx="771525" cy="619125"/>
          <wp:effectExtent l="0" t="0" r="9525" b="9525"/>
          <wp:docPr id="25" name="Picture 2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2E2E5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2E5B" w:rsidRPr="002E2E5B" w:rsidP="002E2E5B">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2E5B" w:rsidRPr="00A45145" w:rsidP="002E2E5B">
    <w:pPr>
      <w:jc w:val="center"/>
    </w:pPr>
    <w:r>
      <w:rPr>
        <w:noProof/>
        <w:lang w:val="en-US"/>
      </w:rPr>
      <w:drawing>
        <wp:inline distT="0" distB="0" distL="0" distR="0">
          <wp:extent cx="2962275" cy="1219200"/>
          <wp:effectExtent l="0" t="0" r="9525" b="0"/>
          <wp:docPr id="13" name="Picture 1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2E2E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2E5B" w:rsidRPr="003152BA"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1F711C">
      <w:rPr>
        <w:rStyle w:val="PageNumber"/>
        <w:noProof/>
        <w:szCs w:val="18"/>
      </w:rPr>
      <w:t>20</w:t>
    </w:r>
    <w:r>
      <w:rPr>
        <w:rStyle w:val="PageNumber"/>
        <w:szCs w:val="18"/>
      </w:rPr>
      <w:fldChar w:fldCharType="end"/>
    </w:r>
    <w:r w:rsidRPr="003152BA">
      <w:tab/>
    </w:r>
    <w:r>
      <w:t>LINGURAR v. ROMANIA</w:t>
    </w:r>
    <w:r w:rsidRPr="00301620">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2E5B" w:rsidRPr="003152BA" w:rsidP="00D420F3">
    <w:pPr>
      <w:pStyle w:val="ECHRHeader"/>
    </w:pPr>
    <w:r w:rsidRPr="003152BA">
      <w:tab/>
    </w:r>
    <w:r>
      <w:t>LINGURAR v. ROMANIA</w:t>
    </w:r>
    <w:r w:rsidRPr="00301620">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1F711C">
      <w:rPr>
        <w:rStyle w:val="PageNumber"/>
        <w:noProof/>
        <w:szCs w:val="18"/>
      </w:rPr>
      <w:t>19</w:t>
    </w:r>
    <w:r>
      <w:rPr>
        <w:rStyle w:val="PageNumber"/>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2B2"/>
    <w:rsid w:val="00010A5A"/>
    <w:rsid w:val="00013238"/>
    <w:rsid w:val="000141E5"/>
    <w:rsid w:val="000159E4"/>
    <w:rsid w:val="00016692"/>
    <w:rsid w:val="00062966"/>
    <w:rsid w:val="000649D4"/>
    <w:rsid w:val="00081FBB"/>
    <w:rsid w:val="000926AB"/>
    <w:rsid w:val="001406F3"/>
    <w:rsid w:val="00150BF9"/>
    <w:rsid w:val="00150BFA"/>
    <w:rsid w:val="0016233C"/>
    <w:rsid w:val="00175AE5"/>
    <w:rsid w:val="00181E22"/>
    <w:rsid w:val="001903F0"/>
    <w:rsid w:val="0019580F"/>
    <w:rsid w:val="001A1B32"/>
    <w:rsid w:val="001C7B98"/>
    <w:rsid w:val="001D0D21"/>
    <w:rsid w:val="001D3EB8"/>
    <w:rsid w:val="001E0B28"/>
    <w:rsid w:val="001F711C"/>
    <w:rsid w:val="00202534"/>
    <w:rsid w:val="002044CE"/>
    <w:rsid w:val="00214286"/>
    <w:rsid w:val="00214CE8"/>
    <w:rsid w:val="002535F2"/>
    <w:rsid w:val="002567EB"/>
    <w:rsid w:val="00262332"/>
    <w:rsid w:val="0028280D"/>
    <w:rsid w:val="002842EC"/>
    <w:rsid w:val="002947BD"/>
    <w:rsid w:val="00296443"/>
    <w:rsid w:val="002B2476"/>
    <w:rsid w:val="002D11E4"/>
    <w:rsid w:val="002E2E5B"/>
    <w:rsid w:val="002E787F"/>
    <w:rsid w:val="00300B14"/>
    <w:rsid w:val="00301620"/>
    <w:rsid w:val="003019F9"/>
    <w:rsid w:val="003122E0"/>
    <w:rsid w:val="003152BA"/>
    <w:rsid w:val="0032443D"/>
    <w:rsid w:val="00372E82"/>
    <w:rsid w:val="003A0F58"/>
    <w:rsid w:val="003B3228"/>
    <w:rsid w:val="003D211C"/>
    <w:rsid w:val="003F2925"/>
    <w:rsid w:val="003F49A6"/>
    <w:rsid w:val="00403002"/>
    <w:rsid w:val="004058A6"/>
    <w:rsid w:val="004145ED"/>
    <w:rsid w:val="0042039F"/>
    <w:rsid w:val="0042288A"/>
    <w:rsid w:val="00423354"/>
    <w:rsid w:val="00432491"/>
    <w:rsid w:val="00466ABA"/>
    <w:rsid w:val="004A2007"/>
    <w:rsid w:val="004A4DA0"/>
    <w:rsid w:val="004A52B2"/>
    <w:rsid w:val="004C677E"/>
    <w:rsid w:val="004F4ED1"/>
    <w:rsid w:val="004F74EA"/>
    <w:rsid w:val="0051576D"/>
    <w:rsid w:val="00517504"/>
    <w:rsid w:val="00520EF8"/>
    <w:rsid w:val="005430FA"/>
    <w:rsid w:val="00557EF8"/>
    <w:rsid w:val="005B60F6"/>
    <w:rsid w:val="00630F58"/>
    <w:rsid w:val="00641391"/>
    <w:rsid w:val="00642D2A"/>
    <w:rsid w:val="00662052"/>
    <w:rsid w:val="0068638E"/>
    <w:rsid w:val="00697E97"/>
    <w:rsid w:val="006B0727"/>
    <w:rsid w:val="006D608B"/>
    <w:rsid w:val="006E0261"/>
    <w:rsid w:val="006F678F"/>
    <w:rsid w:val="00704D3E"/>
    <w:rsid w:val="00715FBF"/>
    <w:rsid w:val="0077175D"/>
    <w:rsid w:val="00787BD5"/>
    <w:rsid w:val="00790E27"/>
    <w:rsid w:val="007918A9"/>
    <w:rsid w:val="00791983"/>
    <w:rsid w:val="007A62D7"/>
    <w:rsid w:val="007C5BC4"/>
    <w:rsid w:val="007E3EEB"/>
    <w:rsid w:val="00812D0B"/>
    <w:rsid w:val="00814050"/>
    <w:rsid w:val="008236D1"/>
    <w:rsid w:val="0082508C"/>
    <w:rsid w:val="00830613"/>
    <w:rsid w:val="00852BE7"/>
    <w:rsid w:val="00863BB1"/>
    <w:rsid w:val="00881AAD"/>
    <w:rsid w:val="0088777F"/>
    <w:rsid w:val="008C3BEE"/>
    <w:rsid w:val="00932AD3"/>
    <w:rsid w:val="00937D51"/>
    <w:rsid w:val="00952EAA"/>
    <w:rsid w:val="0095331A"/>
    <w:rsid w:val="00961DAA"/>
    <w:rsid w:val="00A062F4"/>
    <w:rsid w:val="00A2542B"/>
    <w:rsid w:val="00A3634E"/>
    <w:rsid w:val="00A45145"/>
    <w:rsid w:val="00A51EBC"/>
    <w:rsid w:val="00AA3AED"/>
    <w:rsid w:val="00AA4D36"/>
    <w:rsid w:val="00AE39D6"/>
    <w:rsid w:val="00AE6AC4"/>
    <w:rsid w:val="00AF2AAC"/>
    <w:rsid w:val="00B45C0C"/>
    <w:rsid w:val="00B67420"/>
    <w:rsid w:val="00B80736"/>
    <w:rsid w:val="00B82812"/>
    <w:rsid w:val="00BA123F"/>
    <w:rsid w:val="00BC6686"/>
    <w:rsid w:val="00BE185F"/>
    <w:rsid w:val="00BE3CC1"/>
    <w:rsid w:val="00BE4E12"/>
    <w:rsid w:val="00C0782C"/>
    <w:rsid w:val="00C16B04"/>
    <w:rsid w:val="00C22EB0"/>
    <w:rsid w:val="00C45DF6"/>
    <w:rsid w:val="00C55BA4"/>
    <w:rsid w:val="00C5662C"/>
    <w:rsid w:val="00C815AF"/>
    <w:rsid w:val="00C92AEE"/>
    <w:rsid w:val="00CA215D"/>
    <w:rsid w:val="00CA65D0"/>
    <w:rsid w:val="00CB20C3"/>
    <w:rsid w:val="00CC3DE3"/>
    <w:rsid w:val="00CF2E79"/>
    <w:rsid w:val="00D03428"/>
    <w:rsid w:val="00D2370A"/>
    <w:rsid w:val="00D32002"/>
    <w:rsid w:val="00D420F3"/>
    <w:rsid w:val="00D47FF1"/>
    <w:rsid w:val="00D61E8B"/>
    <w:rsid w:val="00D94B84"/>
    <w:rsid w:val="00D96FF8"/>
    <w:rsid w:val="00DA071F"/>
    <w:rsid w:val="00DB51CF"/>
    <w:rsid w:val="00DB77D1"/>
    <w:rsid w:val="00E03AE7"/>
    <w:rsid w:val="00E0750E"/>
    <w:rsid w:val="00E1256C"/>
    <w:rsid w:val="00E8510B"/>
    <w:rsid w:val="00E87134"/>
    <w:rsid w:val="00EB0F12"/>
    <w:rsid w:val="00EB2C28"/>
    <w:rsid w:val="00EF66D5"/>
    <w:rsid w:val="00F10824"/>
    <w:rsid w:val="00F11D8F"/>
    <w:rsid w:val="00F21D47"/>
    <w:rsid w:val="00F451A2"/>
    <w:rsid w:val="00F61253"/>
    <w:rsid w:val="00F62D54"/>
    <w:rsid w:val="00F70CC5"/>
    <w:rsid w:val="00F754E0"/>
    <w:rsid w:val="00F90463"/>
    <w:rsid w:val="00F92E0F"/>
    <w:rsid w:val="00FA4F8F"/>
    <w:rsid w:val="00FD4435"/>
    <w:rsid w:val="00FE33CA"/>
    <w:rsid w:val="00FE6DC9"/>
    <w:rsid w:val="00FE7D35"/>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000067"/>
    <w:pPr>
      <w:jc w:val="both"/>
    </w:pPr>
    <w:rPr>
      <w:rFonts w:eastAsiaTheme="minorEastAsia"/>
      <w:sz w:val="24"/>
      <w:lang w:val="en-GB"/>
    </w:rPr>
  </w:style>
  <w:style w:type="paragraph" w:styleId="Heading1">
    <w:name w:val="heading 1"/>
    <w:basedOn w:val="Normal"/>
    <w:next w:val="Normal"/>
    <w:link w:val="Heading1Char"/>
    <w:uiPriority w:val="99"/>
    <w:semiHidden/>
    <w:rsid w:val="000000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000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000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000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81E22"/>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0000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81E22"/>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181E22"/>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181E22"/>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00067"/>
    <w:rPr>
      <w:rFonts w:ascii="Tahoma" w:hAnsi="Tahoma" w:cs="Tahoma"/>
      <w:sz w:val="16"/>
      <w:szCs w:val="16"/>
    </w:rPr>
  </w:style>
  <w:style w:type="character" w:customStyle="1" w:styleId="BalloonTextChar">
    <w:name w:val="Balloon Text Char"/>
    <w:basedOn w:val="DefaultParagraphFont"/>
    <w:link w:val="BalloonText"/>
    <w:uiPriority w:val="99"/>
    <w:semiHidden/>
    <w:rsid w:val="00000067"/>
    <w:rPr>
      <w:rFonts w:ascii="Tahoma" w:hAnsi="Tahoma" w:eastAsiaTheme="minorEastAsia" w:cs="Tahoma"/>
      <w:sz w:val="16"/>
      <w:szCs w:val="16"/>
    </w:rPr>
  </w:style>
  <w:style w:type="character" w:styleId="BookTitle">
    <w:name w:val="Book Title"/>
    <w:uiPriority w:val="99"/>
    <w:semiHidden/>
    <w:qFormat/>
    <w:rsid w:val="00181E22"/>
    <w:rPr>
      <w:i/>
      <w:iCs/>
      <w:smallCaps/>
      <w:spacing w:val="5"/>
    </w:rPr>
  </w:style>
  <w:style w:type="paragraph" w:customStyle="1" w:styleId="ECHRHeader">
    <w:name w:val="ECHR_Header"/>
    <w:aliases w:val="Ju_Header"/>
    <w:basedOn w:val="Header"/>
    <w:uiPriority w:val="4"/>
    <w:qFormat/>
    <w:rsid w:val="00181E22"/>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000067"/>
    <w:pPr>
      <w:jc w:val="left"/>
    </w:pPr>
    <w:rPr>
      <w:sz w:val="8"/>
    </w:rPr>
  </w:style>
  <w:style w:type="character" w:styleId="Strong">
    <w:name w:val="Strong"/>
    <w:uiPriority w:val="99"/>
    <w:semiHidden/>
    <w:qFormat/>
    <w:rsid w:val="00181E22"/>
    <w:rPr>
      <w:b/>
      <w:bCs/>
    </w:rPr>
  </w:style>
  <w:style w:type="paragraph" w:styleId="NoSpacing">
    <w:name w:val="No Spacing"/>
    <w:basedOn w:val="Normal"/>
    <w:link w:val="NoSpacingChar"/>
    <w:semiHidden/>
    <w:qFormat/>
    <w:rsid w:val="00181E22"/>
    <w:rPr>
      <w:sz w:val="22"/>
      <w:lang w:val="en-US"/>
    </w:rPr>
  </w:style>
  <w:style w:type="character" w:customStyle="1" w:styleId="NoSpacingChar">
    <w:name w:val="No Spacing Char"/>
    <w:basedOn w:val="DefaultParagraphFont"/>
    <w:link w:val="NoSpacing"/>
    <w:semiHidden/>
    <w:rsid w:val="00181E22"/>
    <w:rPr>
      <w:rFonts w:eastAsiaTheme="minorEastAsia"/>
    </w:rPr>
  </w:style>
  <w:style w:type="paragraph" w:customStyle="1" w:styleId="ECHRFooterLine">
    <w:name w:val="ECHR_Footer_Line"/>
    <w:aliases w:val="Footer_Line"/>
    <w:basedOn w:val="Normal"/>
    <w:next w:val="ECHRFooter"/>
    <w:uiPriority w:val="57"/>
    <w:semiHidden/>
    <w:rsid w:val="0000006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181E22"/>
    <w:pPr>
      <w:numPr>
        <w:numId w:val="18"/>
      </w:numPr>
      <w:jc w:val="left"/>
    </w:pPr>
    <w:rPr>
      <w:b/>
    </w:rPr>
  </w:style>
  <w:style w:type="paragraph" w:customStyle="1" w:styleId="OpiPara">
    <w:name w:val="Opi_Para"/>
    <w:basedOn w:val="ECHRPara"/>
    <w:uiPriority w:val="46"/>
    <w:qFormat/>
    <w:rsid w:val="00181E22"/>
  </w:style>
  <w:style w:type="paragraph" w:customStyle="1" w:styleId="JuParaSub">
    <w:name w:val="Ju_Para_Sub"/>
    <w:basedOn w:val="ECHRPara"/>
    <w:uiPriority w:val="13"/>
    <w:qFormat/>
    <w:rsid w:val="00181E22"/>
    <w:pPr>
      <w:ind w:left="284"/>
    </w:pPr>
  </w:style>
  <w:style w:type="paragraph" w:customStyle="1" w:styleId="ECHRTitleCentre3">
    <w:name w:val="ECHR_Title_Centre_3"/>
    <w:aliases w:val="Ju_H_Article"/>
    <w:basedOn w:val="Normal"/>
    <w:next w:val="ECHRParaQuote"/>
    <w:uiPriority w:val="27"/>
    <w:qFormat/>
    <w:rsid w:val="00181E2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181E22"/>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181E22"/>
  </w:style>
  <w:style w:type="paragraph" w:customStyle="1" w:styleId="OpiQuot">
    <w:name w:val="Opi_Quot"/>
    <w:basedOn w:val="ECHRParaQuote"/>
    <w:uiPriority w:val="48"/>
    <w:qFormat/>
    <w:rsid w:val="00181E22"/>
  </w:style>
  <w:style w:type="paragraph" w:customStyle="1" w:styleId="OpiQuotSub">
    <w:name w:val="Opi_Quot_Sub"/>
    <w:basedOn w:val="JuQuotSub"/>
    <w:uiPriority w:val="49"/>
    <w:qFormat/>
    <w:rsid w:val="00181E22"/>
  </w:style>
  <w:style w:type="paragraph" w:customStyle="1" w:styleId="ECHRTitleCentre2">
    <w:name w:val="ECHR_Title_Centre_2"/>
    <w:aliases w:val="Dec_H_Case"/>
    <w:basedOn w:val="Normal"/>
    <w:next w:val="ECHRPara"/>
    <w:uiPriority w:val="8"/>
    <w:qFormat/>
    <w:rsid w:val="00181E22"/>
    <w:pPr>
      <w:spacing w:after="240"/>
      <w:jc w:val="center"/>
      <w:outlineLvl w:val="0"/>
    </w:pPr>
    <w:rPr>
      <w:rFonts w:asciiTheme="majorHAnsi" w:hAnsiTheme="majorHAnsi"/>
    </w:rPr>
  </w:style>
  <w:style w:type="paragraph" w:customStyle="1" w:styleId="JuTitle">
    <w:name w:val="Ju_Title"/>
    <w:basedOn w:val="Normal"/>
    <w:next w:val="ECHRPara"/>
    <w:uiPriority w:val="3"/>
    <w:semiHidden/>
    <w:qFormat/>
    <w:rsid w:val="00181E22"/>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181E22"/>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181E22"/>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181E22"/>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181E2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181E22"/>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181E22"/>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181E22"/>
    <w:pPr>
      <w:keepNext/>
      <w:keepLines/>
      <w:spacing w:before="240" w:after="120"/>
      <w:ind w:left="1236"/>
    </w:pPr>
    <w:rPr>
      <w:sz w:val="20"/>
      <w:lang w:val="en-GB"/>
    </w:rPr>
  </w:style>
  <w:style w:type="paragraph" w:customStyle="1" w:styleId="JuQuotSub">
    <w:name w:val="Ju_Quot_Sub"/>
    <w:basedOn w:val="ECHRParaQuote"/>
    <w:uiPriority w:val="15"/>
    <w:qFormat/>
    <w:rsid w:val="00181E22"/>
    <w:pPr>
      <w:ind w:left="567"/>
    </w:pPr>
  </w:style>
  <w:style w:type="paragraph" w:customStyle="1" w:styleId="JuInitialled">
    <w:name w:val="Ju_Initialled"/>
    <w:basedOn w:val="Normal"/>
    <w:uiPriority w:val="31"/>
    <w:qFormat/>
    <w:rsid w:val="00181E22"/>
    <w:pPr>
      <w:tabs>
        <w:tab w:val="center" w:pos="6407"/>
      </w:tabs>
      <w:spacing w:before="720"/>
      <w:jc w:val="right"/>
    </w:pPr>
  </w:style>
  <w:style w:type="paragraph" w:customStyle="1" w:styleId="OpiHA">
    <w:name w:val="Opi_H_A"/>
    <w:basedOn w:val="ECHRHeading1"/>
    <w:next w:val="OpiPara"/>
    <w:uiPriority w:val="41"/>
    <w:qFormat/>
    <w:rsid w:val="00181E22"/>
    <w:pPr>
      <w:tabs>
        <w:tab w:val="clear" w:pos="357"/>
      </w:tabs>
      <w:outlineLvl w:val="1"/>
    </w:pPr>
    <w:rPr>
      <w:b/>
    </w:rPr>
  </w:style>
  <w:style w:type="paragraph" w:styleId="Header">
    <w:name w:val="header"/>
    <w:basedOn w:val="Normal"/>
    <w:link w:val="HeaderChar"/>
    <w:uiPriority w:val="57"/>
    <w:semiHidden/>
    <w:rsid w:val="0000006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00067"/>
    <w:rPr>
      <w:sz w:val="24"/>
    </w:rPr>
  </w:style>
  <w:style w:type="character" w:customStyle="1" w:styleId="Heading1Char">
    <w:name w:val="Heading 1 Char"/>
    <w:basedOn w:val="DefaultParagraphFont"/>
    <w:link w:val="Heading1"/>
    <w:uiPriority w:val="99"/>
    <w:semiHidden/>
    <w:rsid w:val="00000067"/>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181E2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181E22"/>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000067"/>
    <w:rPr>
      <w:rFonts w:asciiTheme="majorHAnsi" w:eastAsiaTheme="majorEastAsia" w:hAnsiTheme="majorHAnsi" w:cstheme="majorBidi"/>
      <w:b/>
      <w:bCs/>
      <w:color w:val="4D4D4D"/>
      <w:sz w:val="26"/>
      <w:szCs w:val="26"/>
    </w:rPr>
  </w:style>
  <w:style w:type="character" w:customStyle="1" w:styleId="JUNAMES">
    <w:name w:val="JU_NAMES"/>
    <w:uiPriority w:val="17"/>
    <w:qFormat/>
    <w:rsid w:val="00181E22"/>
    <w:rPr>
      <w:caps w:val="0"/>
      <w:smallCaps/>
    </w:rPr>
  </w:style>
  <w:style w:type="paragraph" w:customStyle="1" w:styleId="JuCase">
    <w:name w:val="Ju_Case"/>
    <w:basedOn w:val="Normal"/>
    <w:next w:val="ECHRPara"/>
    <w:uiPriority w:val="10"/>
    <w:rsid w:val="00000067"/>
    <w:pPr>
      <w:ind w:firstLine="284"/>
    </w:pPr>
    <w:rPr>
      <w:b/>
    </w:rPr>
  </w:style>
  <w:style w:type="character" w:customStyle="1" w:styleId="Heading3Char">
    <w:name w:val="Heading 3 Char"/>
    <w:basedOn w:val="DefaultParagraphFont"/>
    <w:link w:val="Heading3"/>
    <w:uiPriority w:val="99"/>
    <w:semiHidden/>
    <w:rsid w:val="00000067"/>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000067"/>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181E22"/>
    <w:rPr>
      <w:rFonts w:asciiTheme="majorHAnsi" w:eastAsiaTheme="majorEastAsia" w:hAnsiTheme="majorHAnsi" w:cstheme="majorBidi"/>
      <w:b/>
      <w:bCs/>
      <w:color w:val="808080"/>
    </w:rPr>
  </w:style>
  <w:style w:type="character" w:styleId="SubtleEmphasis">
    <w:name w:val="Subtle Emphasis"/>
    <w:uiPriority w:val="99"/>
    <w:semiHidden/>
    <w:qFormat/>
    <w:rsid w:val="00181E22"/>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181E22"/>
    <w:pPr>
      <w:keepNext/>
      <w:keepLines/>
      <w:spacing w:before="720" w:after="240"/>
      <w:outlineLvl w:val="0"/>
    </w:pPr>
    <w:rPr>
      <w:rFonts w:asciiTheme="majorHAnsi" w:hAnsiTheme="majorHAnsi"/>
      <w:sz w:val="28"/>
    </w:rPr>
  </w:style>
  <w:style w:type="character" w:styleId="Emphasis">
    <w:name w:val="Emphasis"/>
    <w:uiPriority w:val="99"/>
    <w:semiHidden/>
    <w:qFormat/>
    <w:rsid w:val="00181E22"/>
    <w:rPr>
      <w:b/>
      <w:bCs/>
      <w:i/>
      <w:iCs/>
      <w:spacing w:val="10"/>
      <w:bdr w:val="none" w:sz="0" w:space="0" w:color="auto"/>
      <w:shd w:val="clear" w:color="auto" w:fill="auto"/>
    </w:rPr>
  </w:style>
  <w:style w:type="paragraph" w:styleId="Footer">
    <w:name w:val="footer"/>
    <w:basedOn w:val="Normal"/>
    <w:link w:val="FooterChar"/>
    <w:uiPriority w:val="57"/>
    <w:semiHidden/>
    <w:rsid w:val="0000006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00067"/>
    <w:rPr>
      <w:sz w:val="24"/>
    </w:rPr>
  </w:style>
  <w:style w:type="character" w:styleId="FootnoteReference">
    <w:name w:val="footnote reference"/>
    <w:basedOn w:val="DefaultParagraphFont"/>
    <w:uiPriority w:val="99"/>
    <w:semiHidden/>
    <w:rsid w:val="00000067"/>
    <w:rPr>
      <w:vertAlign w:val="superscript"/>
    </w:rPr>
  </w:style>
  <w:style w:type="paragraph" w:styleId="FootnoteText">
    <w:name w:val="footnote text"/>
    <w:basedOn w:val="Normal"/>
    <w:link w:val="FootnoteTextChar"/>
    <w:uiPriority w:val="99"/>
    <w:semiHidden/>
    <w:rsid w:val="00000067"/>
    <w:rPr>
      <w:sz w:val="20"/>
      <w:szCs w:val="20"/>
    </w:rPr>
  </w:style>
  <w:style w:type="character" w:customStyle="1" w:styleId="FootnoteTextChar">
    <w:name w:val="Footnote Text Char"/>
    <w:basedOn w:val="DefaultParagraphFont"/>
    <w:link w:val="FootnoteText"/>
    <w:uiPriority w:val="99"/>
    <w:semiHidden/>
    <w:rsid w:val="00000067"/>
    <w:rPr>
      <w:rFonts w:eastAsiaTheme="minorEastAsia"/>
      <w:sz w:val="20"/>
      <w:szCs w:val="20"/>
    </w:rPr>
  </w:style>
  <w:style w:type="character" w:customStyle="1" w:styleId="Heading6Char">
    <w:name w:val="Heading 6 Char"/>
    <w:basedOn w:val="DefaultParagraphFont"/>
    <w:link w:val="Heading6"/>
    <w:uiPriority w:val="99"/>
    <w:semiHidden/>
    <w:rsid w:val="00000067"/>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181E2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181E2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81E2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00067"/>
    <w:rPr>
      <w:color w:val="0072BC" w:themeColor="hyperlink"/>
      <w:u w:val="single"/>
    </w:rPr>
  </w:style>
  <w:style w:type="character" w:styleId="IntenseEmphasis">
    <w:name w:val="Intense Emphasis"/>
    <w:uiPriority w:val="99"/>
    <w:semiHidden/>
    <w:qFormat/>
    <w:rsid w:val="00181E22"/>
    <w:rPr>
      <w:b/>
      <w:bCs/>
    </w:rPr>
  </w:style>
  <w:style w:type="paragraph" w:styleId="IntenseQuote">
    <w:name w:val="Intense Quote"/>
    <w:basedOn w:val="Normal"/>
    <w:next w:val="Normal"/>
    <w:link w:val="IntenseQuoteChar"/>
    <w:uiPriority w:val="99"/>
    <w:semiHidden/>
    <w:qFormat/>
    <w:rsid w:val="00181E22"/>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181E22"/>
    <w:rPr>
      <w:rFonts w:eastAsiaTheme="minorEastAsia"/>
      <w:b/>
      <w:bCs/>
      <w:i/>
      <w:iCs/>
      <w:lang w:bidi="en-US"/>
    </w:rPr>
  </w:style>
  <w:style w:type="character" w:styleId="IntenseReference">
    <w:name w:val="Intense Reference"/>
    <w:uiPriority w:val="99"/>
    <w:semiHidden/>
    <w:qFormat/>
    <w:rsid w:val="00181E22"/>
    <w:rPr>
      <w:smallCaps/>
      <w:spacing w:val="5"/>
      <w:u w:val="single"/>
    </w:rPr>
  </w:style>
  <w:style w:type="paragraph" w:styleId="ListParagraph">
    <w:name w:val="List Paragraph"/>
    <w:basedOn w:val="Normal"/>
    <w:uiPriority w:val="99"/>
    <w:semiHidden/>
    <w:qFormat/>
    <w:rsid w:val="00181E2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81E22"/>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181E22"/>
    <w:rPr>
      <w:rFonts w:eastAsiaTheme="minorEastAsia"/>
      <w:i/>
      <w:iCs/>
      <w:lang w:bidi="en-US"/>
    </w:rPr>
  </w:style>
  <w:style w:type="character" w:styleId="SubtleReference">
    <w:name w:val="Subtle Reference"/>
    <w:uiPriority w:val="99"/>
    <w:semiHidden/>
    <w:qFormat/>
    <w:rsid w:val="00181E22"/>
    <w:rPr>
      <w:smallCaps/>
    </w:rPr>
  </w:style>
  <w:style w:type="table" w:styleId="TableGrid">
    <w:name w:val="Table Grid"/>
    <w:basedOn w:val="TableNormal"/>
    <w:uiPriority w:val="59"/>
    <w:semiHidden/>
    <w:rsid w:val="000000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000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000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000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000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000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81E2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000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181E22"/>
    <w:pPr>
      <w:spacing w:before="120" w:after="120"/>
      <w:ind w:left="425" w:firstLine="142"/>
    </w:pPr>
    <w:rPr>
      <w:sz w:val="20"/>
    </w:rPr>
  </w:style>
  <w:style w:type="paragraph" w:customStyle="1" w:styleId="ECHRPara">
    <w:name w:val="ECHR_Para"/>
    <w:aliases w:val="Ju_Para"/>
    <w:basedOn w:val="Normal"/>
    <w:link w:val="ECHRParaChar"/>
    <w:uiPriority w:val="12"/>
    <w:qFormat/>
    <w:rsid w:val="00181E22"/>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000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181E22"/>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181E22"/>
    <w:pPr>
      <w:ind w:left="340" w:hanging="340"/>
    </w:pPr>
  </w:style>
  <w:style w:type="paragraph" w:customStyle="1" w:styleId="JuSigned">
    <w:name w:val="Ju_Signed"/>
    <w:basedOn w:val="Normal"/>
    <w:next w:val="JuParaLast"/>
    <w:uiPriority w:val="32"/>
    <w:qFormat/>
    <w:rsid w:val="00181E22"/>
    <w:pPr>
      <w:tabs>
        <w:tab w:val="center" w:pos="851"/>
        <w:tab w:val="center" w:pos="6407"/>
      </w:tabs>
      <w:spacing w:before="720"/>
      <w:jc w:val="left"/>
    </w:pPr>
  </w:style>
  <w:style w:type="paragraph" w:customStyle="1" w:styleId="JuParaLast">
    <w:name w:val="Ju_Para_Last"/>
    <w:basedOn w:val="Normal"/>
    <w:next w:val="ECHRPara"/>
    <w:uiPriority w:val="30"/>
    <w:qFormat/>
    <w:rsid w:val="00181E22"/>
    <w:pPr>
      <w:keepNext/>
      <w:keepLines/>
      <w:spacing w:before="240"/>
      <w:ind w:firstLine="284"/>
    </w:pPr>
  </w:style>
  <w:style w:type="paragraph" w:customStyle="1" w:styleId="OpiTranslation">
    <w:name w:val="Opi_Translation"/>
    <w:basedOn w:val="Normal"/>
    <w:next w:val="OpiPara"/>
    <w:uiPriority w:val="40"/>
    <w:qFormat/>
    <w:rsid w:val="00181E22"/>
    <w:pPr>
      <w:jc w:val="center"/>
      <w:outlineLvl w:val="0"/>
    </w:pPr>
    <w:rPr>
      <w:i/>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181E22"/>
    <w:pPr>
      <w:ind w:left="346" w:firstLine="0"/>
    </w:pPr>
  </w:style>
  <w:style w:type="paragraph" w:customStyle="1" w:styleId="JuListi">
    <w:name w:val="Ju_List_i"/>
    <w:basedOn w:val="Normal"/>
    <w:next w:val="JuLista"/>
    <w:uiPriority w:val="28"/>
    <w:qFormat/>
    <w:rsid w:val="00181E22"/>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paragraph" w:customStyle="1" w:styleId="DecHTitle">
    <w:name w:val="Dec_H_Title"/>
    <w:basedOn w:val="ECHRTitleCentre1"/>
    <w:uiPriority w:val="7"/>
    <w:semiHidden/>
    <w:qFormat/>
    <w:rsid w:val="00181E22"/>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181E22"/>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181E22"/>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181E2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JuCourt">
    <w:name w:val="Ju_Court"/>
    <w:basedOn w:val="Normal"/>
    <w:next w:val="Normal"/>
    <w:uiPriority w:val="16"/>
    <w:qFormat/>
    <w:rsid w:val="00181E22"/>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semiHidden/>
    <w:qFormat/>
    <w:rsid w:val="00181E22"/>
    <w:pPr>
      <w:spacing w:before="240"/>
      <w:ind w:left="284"/>
    </w:pPr>
  </w:style>
  <w:style w:type="character" w:styleId="PlaceholderText">
    <w:name w:val="Placeholder Text"/>
    <w:basedOn w:val="DefaultParagraphFont"/>
    <w:uiPriority w:val="99"/>
    <w:semiHidden/>
    <w:rsid w:val="000000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000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000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1">
    <w:name w:val="Opi_H_1"/>
    <w:basedOn w:val="ECHRHeading2"/>
    <w:uiPriority w:val="42"/>
    <w:qFormat/>
    <w:rsid w:val="00181E22"/>
    <w:pPr>
      <w:ind w:left="635" w:hanging="357"/>
      <w:outlineLvl w:val="2"/>
    </w:pPr>
  </w:style>
  <w:style w:type="paragraph" w:customStyle="1" w:styleId="OpiHa0">
    <w:name w:val="Opi_H_a"/>
    <w:basedOn w:val="ECHRHeading3"/>
    <w:uiPriority w:val="43"/>
    <w:qFormat/>
    <w:rsid w:val="00181E22"/>
    <w:pPr>
      <w:ind w:left="833" w:hanging="357"/>
      <w:outlineLvl w:val="3"/>
    </w:pPr>
    <w:rPr>
      <w:b/>
      <w:i w:val="0"/>
      <w:sz w:val="20"/>
    </w:rPr>
  </w:style>
  <w:style w:type="paragraph" w:customStyle="1" w:styleId="OpiHi">
    <w:name w:val="Opi_H_i"/>
    <w:basedOn w:val="ECHRHeading4"/>
    <w:uiPriority w:val="44"/>
    <w:qFormat/>
    <w:rsid w:val="00181E22"/>
    <w:pPr>
      <w:ind w:left="1037" w:hanging="357"/>
      <w:outlineLvl w:val="4"/>
    </w:pPr>
    <w:rPr>
      <w:b w:val="0"/>
      <w:i/>
    </w:rPr>
  </w:style>
  <w:style w:type="paragraph" w:customStyle="1" w:styleId="DummyStyle">
    <w:name w:val="Dummy_Style"/>
    <w:basedOn w:val="Normal"/>
    <w:semiHidden/>
    <w:qFormat/>
    <w:rsid w:val="00181E22"/>
    <w:rPr>
      <w:color w:val="00B050"/>
    </w:rPr>
  </w:style>
  <w:style w:type="paragraph" w:styleId="NoteHeading">
    <w:name w:val="Note Heading"/>
    <w:basedOn w:val="Normal"/>
    <w:next w:val="Normal"/>
    <w:link w:val="NoteHeadingChar"/>
    <w:uiPriority w:val="99"/>
    <w:semiHidden/>
    <w:rsid w:val="00181E22"/>
  </w:style>
  <w:style w:type="character" w:customStyle="1" w:styleId="NoteHeadingChar">
    <w:name w:val="Note Heading Char"/>
    <w:basedOn w:val="DefaultParagraphFont"/>
    <w:link w:val="NoteHeading"/>
    <w:uiPriority w:val="99"/>
    <w:semiHidden/>
    <w:rsid w:val="00181E22"/>
    <w:rPr>
      <w:rFonts w:eastAsiaTheme="minorEastAsia"/>
      <w:sz w:val="24"/>
      <w:lang w:val="en-GB"/>
    </w:rPr>
  </w:style>
  <w:style w:type="paragraph" w:customStyle="1" w:styleId="JuHeaderLandscape">
    <w:name w:val="Ju_Header_Landscape"/>
    <w:basedOn w:val="ECHRHeader"/>
    <w:uiPriority w:val="4"/>
    <w:qFormat/>
    <w:rsid w:val="00181E22"/>
    <w:pPr>
      <w:tabs>
        <w:tab w:val="clear" w:pos="3686"/>
        <w:tab w:val="center" w:pos="6146"/>
        <w:tab w:val="clear" w:pos="7371"/>
        <w:tab w:val="right" w:pos="12293"/>
      </w:tabs>
    </w:pPr>
  </w:style>
  <w:style w:type="character" w:customStyle="1" w:styleId="ECHRParaChar">
    <w:name w:val="ECHR_Para Char"/>
    <w:aliases w:val="Ju_Para Char"/>
    <w:link w:val="ECHRPara"/>
    <w:uiPriority w:val="12"/>
    <w:rsid w:val="00812D0B"/>
    <w:rPr>
      <w:rFonts w:eastAsiaTheme="minorEastAsia"/>
      <w:sz w:val="24"/>
      <w:lang w:val="en-GB"/>
    </w:rPr>
  </w:style>
  <w:style w:type="paragraph" w:styleId="Revision">
    <w:name w:val="Revision"/>
    <w:hidden/>
    <w:uiPriority w:val="99"/>
    <w:semiHidden/>
    <w:rsid w:val="00D61E8B"/>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8775CF-8B5C-44CC-83A9-1A6051388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7812</Words>
  <Characters>40626</Characters>
  <Application>Microsoft Office Word</Application>
  <DocSecurity>0</DocSecurity>
  <Lines>812</Lines>
  <Paragraphs>224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48214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dcterms:created xsi:type="dcterms:W3CDTF">2019-04-11T13:12:00Z</dcterms:created>
  <dcterms:modified xsi:type="dcterms:W3CDTF">2019-04-11T13:15:00Z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1030199</vt:lpwstr>
  </property>
  <property fmtid="{D5CDD505-2E9C-101B-9397-08002B2CF9AE}" pid="3" name="cstLanguage">
    <vt:i4>2057</vt:i4>
  </property>
  <property fmtid="{D5CDD505-2E9C-101B-9397-08002B2CF9AE}" pid="4" name="RegisteredNo">
    <vt:lpwstr>48474/14</vt:lpwstr>
  </property>
</Properties>
</file>