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2.xml" ContentType="application/vnd.openxmlformats-officedocument.wordprocessingml.footer+xml"/>
  <Override PartName="/word/footer1.xml" ContentType="application/vnd.openxmlformats-officedocument.wordprocessingml.footer+xml"/>
  <Override PartName="/word/endnotes.xml" ContentType="application/vnd.openxmlformats-officedocument.wordprocessingml.endnotes+xml"/>
  <Override PartName="/word/footnotes.xml" ContentType="application/vnd.openxmlformats-officedocument.wordprocessingml.footnotes+xml"/>
  <Override PartName="/word/header2.xml" ContentType="application/vnd.openxmlformats-officedocument.wordprocessingml.header+xml"/>
  <Override PartName="/word/header1.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customXml/itemProps1.xml" ContentType="application/vnd.openxmlformats-officedocument.customXmlProperties+xml"/>
  <Override PartName="/docProps/custom.xml" ContentType="application/vnd.openxmlformats-officedocument.custom-properti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Override PartName="/customXml/itemProps3.xml" ContentType="application/vnd.openxmlformats-officedocument.customXmlProperties+xml"/>
  <Override PartName="/customXml/itemProps2.xml" ContentType="application/vnd.openxmlformats-officedocument.customXml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Pr="000C3635" w:rsidR="009217FF" w:rsidP="000C3635" w:rsidRDefault="009217FF">
      <w:pPr>
        <w:jc w:val="center"/>
        <w:rPr>
          <w:rFonts w:ascii="Times New Roman" w:hAnsi="Times New Roman" w:cs="Times New Roman"/>
          <w:lang w:val="en-GB"/>
        </w:rPr>
      </w:pPr>
      <w:bookmarkStart w:name="_GoBack" w:id="0"/>
      <w:bookmarkEnd w:id="0"/>
    </w:p>
    <w:p w:rsidRPr="000C3635" w:rsidR="0098410D" w:rsidP="000C3635" w:rsidRDefault="0098410D">
      <w:pPr>
        <w:jc w:val="center"/>
        <w:rPr>
          <w:lang w:val="en-GB"/>
        </w:rPr>
      </w:pPr>
    </w:p>
    <w:p w:rsidRPr="000C3635" w:rsidR="008F72F3" w:rsidP="000C3635" w:rsidRDefault="008F72F3">
      <w:pPr>
        <w:jc w:val="center"/>
        <w:rPr>
          <w:lang w:val="en-GB"/>
        </w:rPr>
      </w:pPr>
    </w:p>
    <w:p w:rsidRPr="000C3635" w:rsidR="0098410D" w:rsidP="000C3635" w:rsidRDefault="009217FF">
      <w:pPr>
        <w:tabs>
          <w:tab w:val="left" w:pos="5529"/>
        </w:tabs>
        <w:jc w:val="center"/>
        <w:rPr>
          <w:lang w:val="en-GB"/>
        </w:rPr>
      </w:pPr>
      <w:r w:rsidRPr="000C3635">
        <w:rPr>
          <w:lang w:val="en-GB"/>
        </w:rPr>
        <w:t>FOURTH SECTION</w:t>
      </w:r>
    </w:p>
    <w:p w:rsidRPr="000C3635" w:rsidR="00E95C1E" w:rsidP="000C3635" w:rsidRDefault="00E95C1E">
      <w:pPr>
        <w:jc w:val="center"/>
        <w:rPr>
          <w:lang w:val="en-GB"/>
        </w:rPr>
      </w:pPr>
    </w:p>
    <w:p w:rsidRPr="000C3635" w:rsidR="00BF118F" w:rsidP="000C3635" w:rsidRDefault="00BF118F">
      <w:pPr>
        <w:jc w:val="center"/>
        <w:rPr>
          <w:lang w:val="en-GB"/>
        </w:rPr>
      </w:pPr>
    </w:p>
    <w:p w:rsidRPr="000C3635" w:rsidR="008F72F3" w:rsidP="000C3635" w:rsidRDefault="008F72F3">
      <w:pPr>
        <w:jc w:val="center"/>
        <w:rPr>
          <w:lang w:val="en-GB"/>
        </w:rPr>
      </w:pPr>
    </w:p>
    <w:p w:rsidRPr="000C3635" w:rsidR="008F72F3" w:rsidP="000C3635" w:rsidRDefault="008F72F3">
      <w:pPr>
        <w:jc w:val="center"/>
        <w:rPr>
          <w:lang w:val="en-GB"/>
        </w:rPr>
      </w:pPr>
    </w:p>
    <w:p w:rsidRPr="000C3635" w:rsidR="008F72F3" w:rsidP="000C3635" w:rsidRDefault="008F72F3">
      <w:pPr>
        <w:jc w:val="center"/>
        <w:rPr>
          <w:lang w:val="en-GB"/>
        </w:rPr>
      </w:pPr>
    </w:p>
    <w:p w:rsidRPr="000C3635" w:rsidR="00BF118F" w:rsidP="000C3635" w:rsidRDefault="00BF118F">
      <w:pPr>
        <w:jc w:val="center"/>
        <w:rPr>
          <w:lang w:val="en-GB"/>
        </w:rPr>
      </w:pPr>
    </w:p>
    <w:p w:rsidRPr="000C3635" w:rsidR="0098410D" w:rsidP="000C3635" w:rsidRDefault="0098410D">
      <w:pPr>
        <w:jc w:val="center"/>
        <w:rPr>
          <w:lang w:val="en-GB"/>
        </w:rPr>
      </w:pPr>
    </w:p>
    <w:p w:rsidRPr="000C3635" w:rsidR="008E6217" w:rsidP="000C3635" w:rsidRDefault="008E6217">
      <w:pPr>
        <w:jc w:val="center"/>
        <w:rPr>
          <w:b/>
          <w:lang w:val="en-GB"/>
        </w:rPr>
      </w:pPr>
      <w:bookmarkStart w:name="To" w:id="1"/>
      <w:r w:rsidRPr="000C3635">
        <w:rPr>
          <w:b/>
          <w:lang w:val="en-GB"/>
        </w:rPr>
        <w:t xml:space="preserve">CASE OF </w:t>
      </w:r>
      <w:bookmarkEnd w:id="1"/>
      <w:r w:rsidRPr="000C3635" w:rsidR="009217FF">
        <w:rPr>
          <w:b/>
          <w:lang w:val="en-GB"/>
        </w:rPr>
        <w:t>MILIUKAS v. LITHUANIA</w:t>
      </w:r>
    </w:p>
    <w:p w:rsidRPr="000C3635" w:rsidR="00170027" w:rsidP="000C3635" w:rsidRDefault="00170027">
      <w:pPr>
        <w:jc w:val="center"/>
        <w:rPr>
          <w:b/>
          <w:lang w:val="en-GB"/>
        </w:rPr>
      </w:pPr>
    </w:p>
    <w:p w:rsidRPr="000C3635" w:rsidR="00D74888" w:rsidP="000C3635" w:rsidRDefault="008E6217">
      <w:pPr>
        <w:jc w:val="center"/>
        <w:rPr>
          <w:i/>
          <w:lang w:val="en-GB"/>
        </w:rPr>
      </w:pPr>
      <w:r w:rsidRPr="000C3635">
        <w:rPr>
          <w:i/>
          <w:lang w:val="en-GB"/>
        </w:rPr>
        <w:t>(</w:t>
      </w:r>
      <w:r w:rsidRPr="000C3635" w:rsidR="009217FF">
        <w:rPr>
          <w:i/>
          <w:lang w:val="en-GB"/>
        </w:rPr>
        <w:t>Application no.</w:t>
      </w:r>
      <w:r w:rsidRPr="000C3635">
        <w:rPr>
          <w:i/>
          <w:lang w:val="en-GB"/>
        </w:rPr>
        <w:t xml:space="preserve"> </w:t>
      </w:r>
      <w:r w:rsidRPr="000C3635" w:rsidR="009217FF">
        <w:rPr>
          <w:i/>
          <w:lang w:val="en-GB"/>
        </w:rPr>
        <w:t>10992/14</w:t>
      </w:r>
      <w:r w:rsidRPr="000C3635">
        <w:rPr>
          <w:i/>
          <w:lang w:val="en-GB"/>
        </w:rPr>
        <w:t>)</w:t>
      </w:r>
    </w:p>
    <w:p w:rsidRPr="000C3635" w:rsidR="0098410D" w:rsidP="000C3635" w:rsidRDefault="0098410D">
      <w:pPr>
        <w:jc w:val="center"/>
        <w:rPr>
          <w:i/>
          <w:lang w:val="en-GB"/>
        </w:rPr>
      </w:pPr>
    </w:p>
    <w:p w:rsidRPr="000C3635" w:rsidR="0098410D" w:rsidP="000C3635" w:rsidRDefault="0098410D">
      <w:pPr>
        <w:jc w:val="center"/>
        <w:rPr>
          <w:lang w:val="en-GB"/>
        </w:rPr>
      </w:pPr>
    </w:p>
    <w:p w:rsidRPr="000C3635" w:rsidR="0098410D" w:rsidP="000C3635" w:rsidRDefault="0098410D">
      <w:pPr>
        <w:jc w:val="center"/>
        <w:rPr>
          <w:lang w:val="en-GB"/>
        </w:rPr>
      </w:pPr>
    </w:p>
    <w:p w:rsidRPr="000C3635" w:rsidR="0098410D" w:rsidP="000C3635" w:rsidRDefault="0098410D">
      <w:pPr>
        <w:jc w:val="center"/>
        <w:rPr>
          <w:lang w:val="en-GB"/>
        </w:rPr>
      </w:pPr>
    </w:p>
    <w:p w:rsidRPr="000C3635" w:rsidR="0098410D" w:rsidP="000C3635" w:rsidRDefault="0098410D">
      <w:pPr>
        <w:jc w:val="center"/>
        <w:rPr>
          <w:lang w:val="en-GB"/>
        </w:rPr>
      </w:pPr>
    </w:p>
    <w:p w:rsidRPr="000C3635" w:rsidR="00B94A3E" w:rsidP="000C3635" w:rsidRDefault="00B94A3E">
      <w:pPr>
        <w:jc w:val="center"/>
        <w:rPr>
          <w:lang w:val="en-GB"/>
        </w:rPr>
      </w:pPr>
    </w:p>
    <w:p w:rsidRPr="000C3635" w:rsidR="00B94A3E" w:rsidP="000C3635" w:rsidRDefault="00B94A3E">
      <w:pPr>
        <w:jc w:val="center"/>
        <w:rPr>
          <w:lang w:val="en-GB"/>
        </w:rPr>
      </w:pPr>
    </w:p>
    <w:p w:rsidRPr="000C3635" w:rsidR="00B94A3E" w:rsidP="000C3635" w:rsidRDefault="00B94A3E">
      <w:pPr>
        <w:jc w:val="center"/>
        <w:rPr>
          <w:lang w:val="en-GB"/>
        </w:rPr>
      </w:pPr>
    </w:p>
    <w:p w:rsidRPr="000C3635" w:rsidR="00B94A3E" w:rsidP="000C3635" w:rsidRDefault="00B94A3E">
      <w:pPr>
        <w:jc w:val="center"/>
        <w:rPr>
          <w:lang w:val="en-GB"/>
        </w:rPr>
      </w:pPr>
    </w:p>
    <w:p w:rsidRPr="000C3635" w:rsidR="0098410D" w:rsidP="000C3635" w:rsidRDefault="0098410D">
      <w:pPr>
        <w:jc w:val="center"/>
        <w:rPr>
          <w:lang w:val="en-GB"/>
        </w:rPr>
      </w:pPr>
    </w:p>
    <w:p w:rsidRPr="000C3635" w:rsidR="0098410D" w:rsidP="000C3635" w:rsidRDefault="0098410D">
      <w:pPr>
        <w:jc w:val="center"/>
        <w:outlineLvl w:val="0"/>
        <w:rPr>
          <w:lang w:val="en-GB"/>
        </w:rPr>
      </w:pPr>
      <w:r w:rsidRPr="000C3635">
        <w:rPr>
          <w:lang w:val="en-GB"/>
        </w:rPr>
        <w:t>JUDGMENT</w:t>
      </w:r>
    </w:p>
    <w:p w:rsidRPr="000C3635" w:rsidR="0098410D" w:rsidP="000C3635" w:rsidRDefault="0098410D">
      <w:pPr>
        <w:jc w:val="center"/>
        <w:rPr>
          <w:lang w:val="en-GB"/>
        </w:rPr>
      </w:pPr>
    </w:p>
    <w:p w:rsidRPr="000C3635" w:rsidR="0098410D" w:rsidP="000C3635" w:rsidRDefault="0098410D">
      <w:pPr>
        <w:jc w:val="center"/>
        <w:rPr>
          <w:i/>
          <w:lang w:val="en-GB"/>
        </w:rPr>
      </w:pPr>
    </w:p>
    <w:p w:rsidRPr="000C3635" w:rsidR="0098410D" w:rsidP="000C3635" w:rsidRDefault="0098410D">
      <w:pPr>
        <w:jc w:val="center"/>
        <w:outlineLvl w:val="0"/>
        <w:rPr>
          <w:lang w:val="en-GB"/>
        </w:rPr>
      </w:pPr>
      <w:r w:rsidRPr="000C3635">
        <w:rPr>
          <w:lang w:val="en-GB"/>
        </w:rPr>
        <w:t>STRASBOURG</w:t>
      </w:r>
    </w:p>
    <w:p w:rsidRPr="000C3635" w:rsidR="0098410D" w:rsidP="000C3635" w:rsidRDefault="0098410D">
      <w:pPr>
        <w:jc w:val="center"/>
        <w:rPr>
          <w:lang w:val="en-GB"/>
        </w:rPr>
      </w:pPr>
    </w:p>
    <w:p w:rsidRPr="000C3635" w:rsidR="0098410D" w:rsidP="000C3635" w:rsidRDefault="009217FF">
      <w:pPr>
        <w:jc w:val="center"/>
        <w:rPr>
          <w:lang w:val="en-GB"/>
        </w:rPr>
      </w:pPr>
      <w:r w:rsidRPr="000C3635">
        <w:rPr>
          <w:rFonts w:ascii="Times New Roman" w:hAnsi="Times New Roman" w:cs="Times New Roman"/>
          <w:lang w:val="en-GB"/>
        </w:rPr>
        <w:t>16 April 2019</w:t>
      </w:r>
    </w:p>
    <w:p w:rsidRPr="000C3635" w:rsidR="0098410D" w:rsidP="000C3635" w:rsidRDefault="0098410D">
      <w:pPr>
        <w:jc w:val="center"/>
        <w:rPr>
          <w:lang w:val="en-GB"/>
        </w:rPr>
      </w:pPr>
    </w:p>
    <w:p w:rsidRPr="000C3635" w:rsidR="0098410D" w:rsidP="000C3635" w:rsidRDefault="0098410D">
      <w:pPr>
        <w:jc w:val="center"/>
        <w:rPr>
          <w:lang w:val="en-GB"/>
        </w:rPr>
      </w:pPr>
    </w:p>
    <w:p w:rsidRPr="000C3635" w:rsidR="00B94A3E" w:rsidP="000C3635" w:rsidRDefault="00B94A3E">
      <w:pPr>
        <w:jc w:val="center"/>
        <w:rPr>
          <w:lang w:val="en-GB"/>
        </w:rPr>
      </w:pPr>
    </w:p>
    <w:p w:rsidRPr="000C3635" w:rsidR="008F72F3" w:rsidP="000C3635" w:rsidRDefault="008F72F3">
      <w:pPr>
        <w:jc w:val="center"/>
        <w:rPr>
          <w:lang w:val="en-GB"/>
        </w:rPr>
      </w:pPr>
    </w:p>
    <w:p w:rsidRPr="000C3635" w:rsidR="0098410D" w:rsidP="000C3635" w:rsidRDefault="0098410D">
      <w:pPr>
        <w:jc w:val="center"/>
        <w:rPr>
          <w:lang w:val="en-GB"/>
        </w:rPr>
      </w:pPr>
    </w:p>
    <w:p w:rsidRPr="000C3635" w:rsidR="002422B6" w:rsidP="000C3635" w:rsidRDefault="0098410D">
      <w:pPr>
        <w:rPr>
          <w:i/>
          <w:sz w:val="22"/>
          <w:lang w:val="en-GB"/>
        </w:rPr>
      </w:pPr>
      <w:r w:rsidRPr="000C3635">
        <w:rPr>
          <w:i/>
          <w:sz w:val="22"/>
          <w:lang w:val="en-GB"/>
        </w:rPr>
        <w:t xml:space="preserve">This judgment </w:t>
      </w:r>
      <w:r w:rsidRPr="000C3635" w:rsidR="009217FF">
        <w:rPr>
          <w:i/>
          <w:sz w:val="22"/>
          <w:lang w:val="en-GB"/>
        </w:rPr>
        <w:t>is final but it</w:t>
      </w:r>
      <w:r w:rsidRPr="000C3635">
        <w:rPr>
          <w:i/>
          <w:sz w:val="22"/>
          <w:lang w:val="en-GB"/>
        </w:rPr>
        <w:t xml:space="preserve"> may be subject to editorial revision.</w:t>
      </w:r>
    </w:p>
    <w:p w:rsidRPr="000C3635" w:rsidR="0098410D" w:rsidP="000C3635" w:rsidRDefault="0098410D">
      <w:pPr>
        <w:rPr>
          <w:lang w:val="en-GB"/>
        </w:rPr>
      </w:pPr>
    </w:p>
    <w:p w:rsidRPr="000C3635" w:rsidR="008F72F3" w:rsidP="000C3635" w:rsidRDefault="008F72F3">
      <w:pPr>
        <w:rPr>
          <w:lang w:val="en-GB"/>
        </w:rPr>
        <w:sectPr w:rsidRPr="000C3635" w:rsidR="008F72F3">
          <w:headerReference w:type="even" r:id="rId8"/>
          <w:headerReference w:type="default" r:id="rId9"/>
          <w:footerReference w:type="even" r:id="rId10"/>
          <w:footerReference w:type="default" r:id="rId11"/>
          <w:headerReference w:type="first" r:id="rId12"/>
          <w:footerReference w:type="first" r:id="rId13"/>
          <w:footnotePr>
            <w:numRestart w:val="eachSect"/>
          </w:footnotePr>
          <w:pgSz w:w="11906" w:h="16838" w:code="9"/>
          <w:pgMar w:top="2274" w:right="2274" w:bottom="2274" w:left="2274" w:header="1701" w:footer="720" w:gutter="0"/>
          <w:pgNumType w:start="1"/>
          <w:cols w:space="720"/>
          <w:noEndnote/>
        </w:sectPr>
      </w:pPr>
    </w:p>
    <w:p w:rsidRPr="000C3635" w:rsidR="0098410D" w:rsidP="000C3635" w:rsidRDefault="0098410D">
      <w:pPr>
        <w:pStyle w:val="JuCase"/>
        <w:rPr>
          <w:lang w:val="en-GB"/>
        </w:rPr>
      </w:pPr>
      <w:r w:rsidRPr="000C3635">
        <w:rPr>
          <w:lang w:val="en-GB"/>
        </w:rPr>
        <w:t xml:space="preserve">In the case of </w:t>
      </w:r>
      <w:proofErr w:type="spellStart"/>
      <w:r w:rsidRPr="000C3635" w:rsidR="009217FF">
        <w:rPr>
          <w:lang w:val="en-GB"/>
        </w:rPr>
        <w:t>Miliukas</w:t>
      </w:r>
      <w:proofErr w:type="spellEnd"/>
      <w:r w:rsidRPr="000C3635" w:rsidR="009217FF">
        <w:rPr>
          <w:lang w:val="en-GB"/>
        </w:rPr>
        <w:t xml:space="preserve"> v. Lithuania</w:t>
      </w:r>
      <w:r w:rsidRPr="000C3635">
        <w:rPr>
          <w:lang w:val="en-GB"/>
        </w:rPr>
        <w:t>,</w:t>
      </w:r>
    </w:p>
    <w:p w:rsidRPr="000C3635" w:rsidR="009F4C8F" w:rsidP="000C3635" w:rsidRDefault="009F4C8F">
      <w:pPr>
        <w:pStyle w:val="ECHRPara"/>
      </w:pPr>
      <w:r w:rsidRPr="000C3635">
        <w:t>The European Court of Human Rights (</w:t>
      </w:r>
      <w:r w:rsidRPr="000C3635" w:rsidR="009217FF">
        <w:t>Fourth Section</w:t>
      </w:r>
      <w:r w:rsidRPr="000C3635">
        <w:t xml:space="preserve">), sitting as a </w:t>
      </w:r>
      <w:r w:rsidRPr="000C3635" w:rsidR="009217FF">
        <w:t>Committee</w:t>
      </w:r>
      <w:r w:rsidRPr="000C3635">
        <w:t xml:space="preserve"> composed of:</w:t>
      </w:r>
    </w:p>
    <w:p w:rsidRPr="000C3635" w:rsidR="009F4C8F" w:rsidP="000C3635" w:rsidRDefault="000A3B6D">
      <w:pPr>
        <w:pStyle w:val="ECHRDecisionBody"/>
      </w:pPr>
      <w:r w:rsidRPr="000C3635">
        <w:tab/>
        <w:t>Paulo Pinto de Albuquerque,</w:t>
      </w:r>
      <w:r w:rsidRPr="000C3635">
        <w:rPr>
          <w:i/>
        </w:rPr>
        <w:t xml:space="preserve"> President,</w:t>
      </w:r>
      <w:r w:rsidRPr="000C3635">
        <w:rPr>
          <w:i/>
        </w:rPr>
        <w:br/>
      </w:r>
      <w:r w:rsidRPr="000C3635">
        <w:tab/>
      </w:r>
      <w:proofErr w:type="spellStart"/>
      <w:r w:rsidRPr="000C3635">
        <w:t>Egidijus</w:t>
      </w:r>
      <w:proofErr w:type="spellEnd"/>
      <w:r w:rsidRPr="000C3635">
        <w:t xml:space="preserve"> </w:t>
      </w:r>
      <w:proofErr w:type="spellStart"/>
      <w:r w:rsidRPr="000C3635">
        <w:t>Kūris</w:t>
      </w:r>
      <w:proofErr w:type="spellEnd"/>
      <w:r w:rsidRPr="000C3635">
        <w:t>,</w:t>
      </w:r>
      <w:r w:rsidRPr="000C3635">
        <w:rPr>
          <w:i/>
        </w:rPr>
        <w:br/>
      </w:r>
      <w:r w:rsidRPr="000C3635">
        <w:tab/>
        <w:t xml:space="preserve">Iulia </w:t>
      </w:r>
      <w:proofErr w:type="spellStart"/>
      <w:r w:rsidRPr="000C3635">
        <w:t>Antoanella</w:t>
      </w:r>
      <w:proofErr w:type="spellEnd"/>
      <w:r w:rsidRPr="000C3635">
        <w:t xml:space="preserve"> Motoc,</w:t>
      </w:r>
      <w:r w:rsidRPr="000C3635">
        <w:rPr>
          <w:i/>
        </w:rPr>
        <w:t xml:space="preserve"> judges,</w:t>
      </w:r>
      <w:r w:rsidRPr="000C3635" w:rsidR="009F4C8F">
        <w:rPr>
          <w:szCs w:val="24"/>
        </w:rPr>
        <w:br/>
      </w:r>
      <w:r w:rsidRPr="000C3635" w:rsidR="009F4C8F">
        <w:t xml:space="preserve">and </w:t>
      </w:r>
      <w:r w:rsidRPr="000C3635" w:rsidR="009217FF">
        <w:t>Andrea Tamietti</w:t>
      </w:r>
      <w:r w:rsidRPr="000C3635" w:rsidR="009F4C8F">
        <w:t xml:space="preserve">, </w:t>
      </w:r>
      <w:r w:rsidRPr="000C3635" w:rsidR="009217FF">
        <w:rPr>
          <w:i/>
        </w:rPr>
        <w:t xml:space="preserve">Deputy Section </w:t>
      </w:r>
      <w:r w:rsidRPr="000C3635" w:rsidR="009217FF">
        <w:rPr>
          <w:i/>
          <w:iCs/>
        </w:rPr>
        <w:t>Registrar</w:t>
      </w:r>
      <w:r w:rsidRPr="000C3635" w:rsidR="009F4C8F">
        <w:rPr>
          <w:i/>
        </w:rPr>
        <w:t>,</w:t>
      </w:r>
    </w:p>
    <w:p w:rsidRPr="000C3635" w:rsidR="009F4C8F" w:rsidP="000C3635" w:rsidRDefault="009F4C8F">
      <w:pPr>
        <w:pStyle w:val="ECHRPara"/>
      </w:pPr>
      <w:r w:rsidRPr="000C3635">
        <w:t xml:space="preserve">Having deliberated in private on </w:t>
      </w:r>
      <w:r w:rsidRPr="000C3635" w:rsidR="009217FF">
        <w:rPr>
          <w:szCs w:val="24"/>
        </w:rPr>
        <w:t>26 March 2019</w:t>
      </w:r>
      <w:r w:rsidRPr="000C3635">
        <w:t>,</w:t>
      </w:r>
    </w:p>
    <w:p w:rsidRPr="000C3635" w:rsidR="009F4C8F" w:rsidP="000C3635" w:rsidRDefault="009F4C8F">
      <w:pPr>
        <w:pStyle w:val="ECHRPara"/>
      </w:pPr>
      <w:r w:rsidRPr="000C3635">
        <w:t>Delivers the following judgment, which was adopted on that date:</w:t>
      </w:r>
    </w:p>
    <w:p w:rsidRPr="000C3635" w:rsidR="009217FF" w:rsidP="000C3635" w:rsidRDefault="009217FF">
      <w:pPr>
        <w:pStyle w:val="ECHRTitle1"/>
      </w:pPr>
      <w:r w:rsidRPr="000C3635">
        <w:t>PROCEDURE</w:t>
      </w:r>
    </w:p>
    <w:p w:rsidRPr="000C3635" w:rsidR="009217FF" w:rsidP="000C3635" w:rsidRDefault="009217FF">
      <w:pPr>
        <w:pStyle w:val="ECHRPara"/>
      </w:pPr>
      <w:r w:rsidRPr="000C3635">
        <w:t>1.  The case originated in an application (no.</w:t>
      </w:r>
      <w:r w:rsidRPr="000C3635" w:rsidR="00B94A3E">
        <w:t> </w:t>
      </w:r>
      <w:r w:rsidRPr="000C3635">
        <w:t xml:space="preserve">10992/14) against the Republic of Lithuania lodged with the Court under Article 34 of the Convention for the Protection of Human Rights and Fundamental Freedoms (“the Convention”) by a Lithuanian national, Mr Tomas </w:t>
      </w:r>
      <w:proofErr w:type="spellStart"/>
      <w:r w:rsidRPr="000C3635">
        <w:t>Miliukas</w:t>
      </w:r>
      <w:proofErr w:type="spellEnd"/>
      <w:r w:rsidRPr="000C3635">
        <w:t xml:space="preserve"> (“the applicant”), on 26 January 2014.</w:t>
      </w:r>
    </w:p>
    <w:p w:rsidRPr="000C3635" w:rsidR="009217FF" w:rsidP="000C3635" w:rsidRDefault="009217FF">
      <w:pPr>
        <w:pStyle w:val="ECHRPara"/>
        <w:rPr>
          <w:lang w:val="lt-LT"/>
        </w:rPr>
      </w:pPr>
      <w:r w:rsidRPr="000C3635">
        <w:t xml:space="preserve">2.  The applicant was represented by Mr A. </w:t>
      </w:r>
      <w:proofErr w:type="spellStart"/>
      <w:r w:rsidRPr="000C3635">
        <w:t>Rybin</w:t>
      </w:r>
      <w:proofErr w:type="spellEnd"/>
      <w:r w:rsidRPr="000C3635">
        <w:t xml:space="preserve">, a lawyer practising in Moscow. The Lithuanian Government (“the Government”) were represented by their Agent, most recently Ms Lina </w:t>
      </w:r>
      <w:proofErr w:type="spellStart"/>
      <w:r w:rsidRPr="000C3635">
        <w:t>Urbait</w:t>
      </w:r>
      <w:proofErr w:type="spellEnd"/>
      <w:r w:rsidRPr="000C3635">
        <w:rPr>
          <w:lang w:val="lt-LT"/>
        </w:rPr>
        <w:t>ė.</w:t>
      </w:r>
    </w:p>
    <w:p w:rsidRPr="000C3635" w:rsidR="009217FF" w:rsidP="000C3635" w:rsidRDefault="009217FF">
      <w:pPr>
        <w:pStyle w:val="ECHRPara"/>
      </w:pPr>
      <w:r w:rsidRPr="000C3635">
        <w:t xml:space="preserve">3.  On </w:t>
      </w:r>
      <w:r w:rsidRPr="000C3635">
        <w:rPr>
          <w:szCs w:val="24"/>
        </w:rPr>
        <w:t>28 September 2017</w:t>
      </w:r>
      <w:r w:rsidRPr="000C3635">
        <w:t xml:space="preserve"> the complaints under Articles 2 and 3 of the Convention concerning the applicant</w:t>
      </w:r>
      <w:r w:rsidRPr="000C3635" w:rsidR="000C3635">
        <w:t>’</w:t>
      </w:r>
      <w:r w:rsidRPr="000C3635">
        <w:t>s conditions of detention and the fire in the prison were communicated to the Government and the remainder of the application was declared inadmissible</w:t>
      </w:r>
      <w:r w:rsidRPr="000C3635">
        <w:rPr>
          <w:szCs w:val="24"/>
        </w:rPr>
        <w:t xml:space="preserve"> </w:t>
      </w:r>
      <w:r w:rsidRPr="000C3635">
        <w:t>pursuant to Rule 54 § 3 of the Rules of Court.</w:t>
      </w:r>
    </w:p>
    <w:p w:rsidRPr="000C3635" w:rsidR="009217FF" w:rsidP="000C3635" w:rsidRDefault="009217FF">
      <w:pPr>
        <w:pStyle w:val="ECHRTitle1"/>
      </w:pPr>
      <w:r w:rsidRPr="000C3635">
        <w:t>THE FACTS</w:t>
      </w:r>
    </w:p>
    <w:p w:rsidRPr="000C3635" w:rsidR="009217FF" w:rsidP="000C3635" w:rsidRDefault="009217FF">
      <w:pPr>
        <w:pStyle w:val="ECHRHeading1"/>
      </w:pPr>
      <w:r w:rsidRPr="000C3635">
        <w:t>I.  THE CIRCUMSTANCES OF THE CASE</w:t>
      </w:r>
    </w:p>
    <w:p w:rsidRPr="000C3635" w:rsidR="009217FF" w:rsidP="000C3635" w:rsidRDefault="009217FF">
      <w:pPr>
        <w:pStyle w:val="ECHRPara"/>
      </w:pPr>
      <w:r w:rsidRPr="000C3635">
        <w:t xml:space="preserve">4.  The applicant was born in 1978 and lives in </w:t>
      </w:r>
      <w:proofErr w:type="spellStart"/>
      <w:r w:rsidRPr="000C3635">
        <w:t>Druskininkai</w:t>
      </w:r>
      <w:proofErr w:type="spellEnd"/>
      <w:r w:rsidRPr="000C3635">
        <w:t>.</w:t>
      </w:r>
    </w:p>
    <w:p w:rsidRPr="000C3635" w:rsidR="009217FF" w:rsidP="000C3635" w:rsidRDefault="009217FF">
      <w:pPr>
        <w:pStyle w:val="ECHRPara"/>
      </w:pPr>
      <w:r w:rsidRPr="000C3635">
        <w:t xml:space="preserve">5.  The applicant was detained in </w:t>
      </w:r>
      <w:proofErr w:type="spellStart"/>
      <w:r w:rsidRPr="000C3635">
        <w:t>Luki</w:t>
      </w:r>
      <w:r w:rsidRPr="000C3635">
        <w:rPr>
          <w:lang w:val="lt-LT"/>
        </w:rPr>
        <w:t>škės</w:t>
      </w:r>
      <w:proofErr w:type="spellEnd"/>
      <w:r w:rsidRPr="000C3635">
        <w:rPr>
          <w:lang w:val="lt-LT"/>
        </w:rPr>
        <w:t xml:space="preserve"> </w:t>
      </w:r>
      <w:proofErr w:type="spellStart"/>
      <w:r w:rsidRPr="000C3635">
        <w:rPr>
          <w:lang w:val="lt-LT"/>
        </w:rPr>
        <w:t>Remand</w:t>
      </w:r>
      <w:proofErr w:type="spellEnd"/>
      <w:r w:rsidRPr="000C3635">
        <w:rPr>
          <w:lang w:val="lt-LT"/>
        </w:rPr>
        <w:t xml:space="preserve"> </w:t>
      </w:r>
      <w:proofErr w:type="spellStart"/>
      <w:r w:rsidRPr="000C3635">
        <w:rPr>
          <w:lang w:val="lt-LT"/>
        </w:rPr>
        <w:t>Prison</w:t>
      </w:r>
      <w:proofErr w:type="spellEnd"/>
      <w:r w:rsidRPr="000C3635">
        <w:rPr>
          <w:lang w:val="lt-LT"/>
        </w:rPr>
        <w:t xml:space="preserve"> </w:t>
      </w:r>
      <w:proofErr w:type="spellStart"/>
      <w:r w:rsidRPr="000C3635">
        <w:rPr>
          <w:lang w:val="lt-LT"/>
        </w:rPr>
        <w:t>periodically</w:t>
      </w:r>
      <w:proofErr w:type="spellEnd"/>
      <w:r w:rsidRPr="000C3635">
        <w:rPr>
          <w:lang w:val="lt-LT"/>
        </w:rPr>
        <w:t xml:space="preserve"> </w:t>
      </w:r>
      <w:proofErr w:type="spellStart"/>
      <w:r w:rsidRPr="000C3635">
        <w:rPr>
          <w:lang w:val="lt-LT"/>
        </w:rPr>
        <w:t>between</w:t>
      </w:r>
      <w:proofErr w:type="spellEnd"/>
      <w:r w:rsidRPr="000C3635">
        <w:rPr>
          <w:lang w:val="lt-LT"/>
        </w:rPr>
        <w:t xml:space="preserve"> 7 </w:t>
      </w:r>
      <w:proofErr w:type="spellStart"/>
      <w:r w:rsidRPr="000C3635">
        <w:rPr>
          <w:lang w:val="lt-LT"/>
        </w:rPr>
        <w:t>June</w:t>
      </w:r>
      <w:proofErr w:type="spellEnd"/>
      <w:r w:rsidRPr="000C3635">
        <w:rPr>
          <w:lang w:val="lt-LT"/>
        </w:rPr>
        <w:t xml:space="preserve"> 2011 </w:t>
      </w:r>
      <w:proofErr w:type="spellStart"/>
      <w:r w:rsidRPr="000C3635">
        <w:rPr>
          <w:lang w:val="lt-LT"/>
        </w:rPr>
        <w:t>and</w:t>
      </w:r>
      <w:proofErr w:type="spellEnd"/>
      <w:r w:rsidRPr="000C3635">
        <w:rPr>
          <w:lang w:val="lt-LT"/>
        </w:rPr>
        <w:t xml:space="preserve"> </w:t>
      </w:r>
      <w:r w:rsidRPr="000C3635">
        <w:t>25 May 2012. He was held in other facilities between 21 June and 5 July 2011; 30 August and 6 September 2011; 27 September and 11 October 2011; 25 October and 8 November 2011; 15 and 17 November 2011; and 6 and 18 January 2012. Between those breaks, the periods he had to spend in overcrowded cells were fourteen, fifty</w:t>
      </w:r>
      <w:r w:rsidRPr="000C3635">
        <w:noBreakHyphen/>
        <w:t xml:space="preserve">five, twenty and a half, </w:t>
      </w:r>
      <w:r w:rsidRPr="000C3635" w:rsidR="00B94A3E">
        <w:t>thirteen, six and a half, forty</w:t>
      </w:r>
      <w:r w:rsidRPr="000C3635" w:rsidR="00B94A3E">
        <w:noBreakHyphen/>
      </w:r>
      <w:r w:rsidRPr="000C3635">
        <w:t>eight and ninety</w:t>
      </w:r>
      <w:r w:rsidRPr="000C3635">
        <w:noBreakHyphen/>
        <w:t>five and a half days respectively.</w:t>
      </w:r>
    </w:p>
    <w:p w:rsidRPr="000C3635" w:rsidR="009217FF" w:rsidP="000C3635" w:rsidRDefault="009217FF">
      <w:pPr>
        <w:pStyle w:val="ECHRPara"/>
        <w:rPr>
          <w:lang w:val="lt-LT"/>
        </w:rPr>
      </w:pPr>
      <w:bookmarkStart w:name="firecoma" w:id="2"/>
      <w:r w:rsidRPr="000C3635">
        <w:t>6</w:t>
      </w:r>
      <w:bookmarkEnd w:id="2"/>
      <w:r w:rsidRPr="000C3635">
        <w:t xml:space="preserve">.  On 5 January 2011 there was a fire in </w:t>
      </w:r>
      <w:proofErr w:type="spellStart"/>
      <w:r w:rsidRPr="000C3635">
        <w:t>Luki</w:t>
      </w:r>
      <w:r w:rsidRPr="000C3635">
        <w:rPr>
          <w:lang w:val="lt-LT"/>
        </w:rPr>
        <w:t>škės</w:t>
      </w:r>
      <w:proofErr w:type="spellEnd"/>
      <w:r w:rsidRPr="000C3635">
        <w:rPr>
          <w:lang w:val="lt-LT"/>
        </w:rPr>
        <w:t xml:space="preserve"> </w:t>
      </w:r>
      <w:proofErr w:type="spellStart"/>
      <w:r w:rsidRPr="000C3635">
        <w:rPr>
          <w:lang w:val="lt-LT"/>
        </w:rPr>
        <w:t>Remand</w:t>
      </w:r>
      <w:proofErr w:type="spellEnd"/>
      <w:r w:rsidRPr="000C3635">
        <w:rPr>
          <w:lang w:val="lt-LT"/>
        </w:rPr>
        <w:t xml:space="preserve"> </w:t>
      </w:r>
      <w:proofErr w:type="spellStart"/>
      <w:r w:rsidRPr="000C3635">
        <w:rPr>
          <w:lang w:val="lt-LT"/>
        </w:rPr>
        <w:t>Prison</w:t>
      </w:r>
      <w:proofErr w:type="spellEnd"/>
      <w:r w:rsidRPr="000C3635">
        <w:rPr>
          <w:lang w:val="lt-LT"/>
        </w:rPr>
        <w:t xml:space="preserve">. </w:t>
      </w:r>
      <w:proofErr w:type="spellStart"/>
      <w:r w:rsidRPr="000C3635">
        <w:rPr>
          <w:lang w:val="lt-LT"/>
        </w:rPr>
        <w:t>The</w:t>
      </w:r>
      <w:proofErr w:type="spellEnd"/>
      <w:r w:rsidRPr="000C3635">
        <w:rPr>
          <w:lang w:val="lt-LT"/>
        </w:rPr>
        <w:t xml:space="preserve"> </w:t>
      </w:r>
      <w:proofErr w:type="spellStart"/>
      <w:r w:rsidRPr="000C3635">
        <w:rPr>
          <w:lang w:val="lt-LT"/>
        </w:rPr>
        <w:t>applicant</w:t>
      </w:r>
      <w:proofErr w:type="spellEnd"/>
      <w:r w:rsidRPr="000C3635">
        <w:rPr>
          <w:lang w:val="lt-LT"/>
        </w:rPr>
        <w:t xml:space="preserve"> </w:t>
      </w:r>
      <w:proofErr w:type="spellStart"/>
      <w:r w:rsidRPr="000C3635">
        <w:rPr>
          <w:lang w:val="lt-LT"/>
        </w:rPr>
        <w:t>suffered</w:t>
      </w:r>
      <w:proofErr w:type="spellEnd"/>
      <w:r w:rsidRPr="000C3635">
        <w:rPr>
          <w:lang w:val="lt-LT"/>
        </w:rPr>
        <w:t xml:space="preserve"> </w:t>
      </w:r>
      <w:proofErr w:type="spellStart"/>
      <w:r w:rsidRPr="000C3635">
        <w:rPr>
          <w:lang w:val="lt-LT"/>
        </w:rPr>
        <w:t>acute</w:t>
      </w:r>
      <w:proofErr w:type="spellEnd"/>
      <w:r w:rsidRPr="000C3635">
        <w:rPr>
          <w:lang w:val="lt-LT"/>
        </w:rPr>
        <w:t xml:space="preserve"> </w:t>
      </w:r>
      <w:proofErr w:type="spellStart"/>
      <w:r w:rsidRPr="000C3635">
        <w:rPr>
          <w:lang w:val="lt-LT"/>
        </w:rPr>
        <w:t>poisoning</w:t>
      </w:r>
      <w:proofErr w:type="spellEnd"/>
      <w:r w:rsidRPr="000C3635">
        <w:rPr>
          <w:lang w:val="lt-LT"/>
        </w:rPr>
        <w:t xml:space="preserve"> </w:t>
      </w:r>
      <w:proofErr w:type="spellStart"/>
      <w:r w:rsidRPr="000C3635">
        <w:rPr>
          <w:lang w:val="lt-LT"/>
        </w:rPr>
        <w:t>caused</w:t>
      </w:r>
      <w:proofErr w:type="spellEnd"/>
      <w:r w:rsidRPr="000C3635">
        <w:rPr>
          <w:lang w:val="lt-LT"/>
        </w:rPr>
        <w:t xml:space="preserve"> </w:t>
      </w:r>
      <w:proofErr w:type="spellStart"/>
      <w:r w:rsidRPr="000C3635">
        <w:rPr>
          <w:lang w:val="lt-LT"/>
        </w:rPr>
        <w:t>by</w:t>
      </w:r>
      <w:proofErr w:type="spellEnd"/>
      <w:r w:rsidRPr="000C3635">
        <w:rPr>
          <w:lang w:val="lt-LT"/>
        </w:rPr>
        <w:t xml:space="preserve"> </w:t>
      </w:r>
      <w:proofErr w:type="spellStart"/>
      <w:r w:rsidRPr="000C3635">
        <w:rPr>
          <w:lang w:val="lt-LT"/>
        </w:rPr>
        <w:t>smoke</w:t>
      </w:r>
      <w:proofErr w:type="spellEnd"/>
      <w:r w:rsidRPr="000C3635">
        <w:rPr>
          <w:lang w:val="lt-LT"/>
        </w:rPr>
        <w:t xml:space="preserve"> </w:t>
      </w:r>
      <w:proofErr w:type="spellStart"/>
      <w:r w:rsidRPr="000C3635">
        <w:rPr>
          <w:lang w:val="lt-LT"/>
        </w:rPr>
        <w:t>inhalation</w:t>
      </w:r>
      <w:proofErr w:type="spellEnd"/>
      <w:r w:rsidRPr="000C3635">
        <w:rPr>
          <w:lang w:val="lt-LT"/>
        </w:rPr>
        <w:t xml:space="preserve"> </w:t>
      </w:r>
      <w:proofErr w:type="spellStart"/>
      <w:r w:rsidRPr="000C3635">
        <w:rPr>
          <w:lang w:val="lt-LT"/>
        </w:rPr>
        <w:t>and</w:t>
      </w:r>
      <w:proofErr w:type="spellEnd"/>
      <w:r w:rsidRPr="000C3635">
        <w:rPr>
          <w:lang w:val="lt-LT"/>
        </w:rPr>
        <w:t xml:space="preserve"> </w:t>
      </w:r>
      <w:proofErr w:type="spellStart"/>
      <w:r w:rsidRPr="000C3635">
        <w:rPr>
          <w:lang w:val="lt-LT"/>
        </w:rPr>
        <w:t>fell</w:t>
      </w:r>
      <w:proofErr w:type="spellEnd"/>
      <w:r w:rsidRPr="000C3635">
        <w:rPr>
          <w:lang w:val="lt-LT"/>
        </w:rPr>
        <w:t xml:space="preserve"> </w:t>
      </w:r>
      <w:proofErr w:type="spellStart"/>
      <w:r w:rsidRPr="000C3635">
        <w:rPr>
          <w:lang w:val="lt-LT"/>
        </w:rPr>
        <w:t>into</w:t>
      </w:r>
      <w:proofErr w:type="spellEnd"/>
      <w:r w:rsidRPr="000C3635">
        <w:rPr>
          <w:lang w:val="lt-LT"/>
        </w:rPr>
        <w:t xml:space="preserve"> a </w:t>
      </w:r>
      <w:proofErr w:type="spellStart"/>
      <w:r w:rsidRPr="000C3635">
        <w:rPr>
          <w:lang w:val="lt-LT"/>
        </w:rPr>
        <w:t>coma</w:t>
      </w:r>
      <w:proofErr w:type="spellEnd"/>
      <w:r w:rsidRPr="000C3635">
        <w:rPr>
          <w:lang w:val="lt-LT"/>
        </w:rPr>
        <w:t xml:space="preserve"> </w:t>
      </w:r>
      <w:proofErr w:type="spellStart"/>
      <w:r w:rsidRPr="000C3635">
        <w:rPr>
          <w:lang w:val="lt-LT"/>
        </w:rPr>
        <w:t>for</w:t>
      </w:r>
      <w:proofErr w:type="spellEnd"/>
      <w:r w:rsidRPr="000C3635">
        <w:rPr>
          <w:lang w:val="lt-LT"/>
        </w:rPr>
        <w:t xml:space="preserve"> a </w:t>
      </w:r>
      <w:proofErr w:type="spellStart"/>
      <w:r w:rsidRPr="000C3635">
        <w:rPr>
          <w:lang w:val="lt-LT"/>
        </w:rPr>
        <w:t>few</w:t>
      </w:r>
      <w:proofErr w:type="spellEnd"/>
      <w:r w:rsidRPr="000C3635">
        <w:rPr>
          <w:lang w:val="lt-LT"/>
        </w:rPr>
        <w:t xml:space="preserve"> </w:t>
      </w:r>
      <w:proofErr w:type="spellStart"/>
      <w:r w:rsidRPr="000C3635">
        <w:rPr>
          <w:lang w:val="lt-LT"/>
        </w:rPr>
        <w:t>hours</w:t>
      </w:r>
      <w:proofErr w:type="spellEnd"/>
      <w:r w:rsidRPr="000C3635">
        <w:rPr>
          <w:lang w:val="lt-LT"/>
        </w:rPr>
        <w:t xml:space="preserve">. </w:t>
      </w:r>
      <w:proofErr w:type="spellStart"/>
      <w:r w:rsidRPr="000C3635">
        <w:rPr>
          <w:lang w:val="lt-LT"/>
        </w:rPr>
        <w:t>After</w:t>
      </w:r>
      <w:proofErr w:type="spellEnd"/>
      <w:r w:rsidRPr="000C3635">
        <w:rPr>
          <w:lang w:val="lt-LT"/>
        </w:rPr>
        <w:t xml:space="preserve"> </w:t>
      </w:r>
      <w:proofErr w:type="spellStart"/>
      <w:r w:rsidRPr="000C3635">
        <w:rPr>
          <w:lang w:val="lt-LT"/>
        </w:rPr>
        <w:t>th</w:t>
      </w:r>
      <w:r w:rsidRPr="000C3635" w:rsidR="00B94A3E">
        <w:rPr>
          <w:lang w:val="lt-LT"/>
        </w:rPr>
        <w:t>at</w:t>
      </w:r>
      <w:proofErr w:type="spellEnd"/>
      <w:r w:rsidRPr="000C3635" w:rsidR="00B94A3E">
        <w:rPr>
          <w:lang w:val="lt-LT"/>
        </w:rPr>
        <w:t xml:space="preserve">, </w:t>
      </w:r>
      <w:proofErr w:type="spellStart"/>
      <w:r w:rsidRPr="000C3635" w:rsidR="00B94A3E">
        <w:rPr>
          <w:lang w:val="lt-LT"/>
        </w:rPr>
        <w:t>he</w:t>
      </w:r>
      <w:proofErr w:type="spellEnd"/>
      <w:r w:rsidRPr="000C3635" w:rsidR="00B94A3E">
        <w:rPr>
          <w:lang w:val="lt-LT"/>
        </w:rPr>
        <w:t xml:space="preserve"> </w:t>
      </w:r>
      <w:proofErr w:type="spellStart"/>
      <w:r w:rsidRPr="000C3635" w:rsidR="00B94A3E">
        <w:rPr>
          <w:lang w:val="lt-LT"/>
        </w:rPr>
        <w:t>was</w:t>
      </w:r>
      <w:proofErr w:type="spellEnd"/>
      <w:r w:rsidRPr="000C3635" w:rsidR="00B94A3E">
        <w:rPr>
          <w:lang w:val="lt-LT"/>
        </w:rPr>
        <w:t xml:space="preserve"> </w:t>
      </w:r>
      <w:proofErr w:type="spellStart"/>
      <w:r w:rsidRPr="000C3635" w:rsidR="00B94A3E">
        <w:rPr>
          <w:lang w:val="lt-LT"/>
        </w:rPr>
        <w:t>hospitalised</w:t>
      </w:r>
      <w:proofErr w:type="spellEnd"/>
      <w:r w:rsidRPr="000C3635" w:rsidR="00B94A3E">
        <w:rPr>
          <w:lang w:val="lt-LT"/>
        </w:rPr>
        <w:t xml:space="preserve"> </w:t>
      </w:r>
      <w:proofErr w:type="spellStart"/>
      <w:r w:rsidRPr="000C3635" w:rsidR="00B94A3E">
        <w:rPr>
          <w:lang w:val="lt-LT"/>
        </w:rPr>
        <w:t>between</w:t>
      </w:r>
      <w:proofErr w:type="spellEnd"/>
      <w:r w:rsidRPr="000C3635" w:rsidR="00B94A3E">
        <w:rPr>
          <w:lang w:val="lt-LT"/>
        </w:rPr>
        <w:t> </w:t>
      </w:r>
      <w:r w:rsidRPr="000C3635">
        <w:rPr>
          <w:lang w:val="lt-LT"/>
        </w:rPr>
        <w:t xml:space="preserve">7 </w:t>
      </w:r>
      <w:proofErr w:type="spellStart"/>
      <w:r w:rsidRPr="000C3635">
        <w:rPr>
          <w:lang w:val="lt-LT"/>
        </w:rPr>
        <w:t>and</w:t>
      </w:r>
      <w:proofErr w:type="spellEnd"/>
      <w:r w:rsidRPr="000C3635">
        <w:rPr>
          <w:lang w:val="lt-LT"/>
        </w:rPr>
        <w:t xml:space="preserve"> 18 </w:t>
      </w:r>
      <w:proofErr w:type="spellStart"/>
      <w:r w:rsidRPr="000C3635">
        <w:rPr>
          <w:lang w:val="lt-LT"/>
        </w:rPr>
        <w:t>January</w:t>
      </w:r>
      <w:proofErr w:type="spellEnd"/>
      <w:r w:rsidRPr="000C3635">
        <w:rPr>
          <w:lang w:val="lt-LT"/>
        </w:rPr>
        <w:t xml:space="preserve"> 2012.</w:t>
      </w:r>
    </w:p>
    <w:p w:rsidRPr="000C3635" w:rsidR="009217FF" w:rsidP="000C3635" w:rsidRDefault="009217FF">
      <w:pPr>
        <w:pStyle w:val="ECHRPara"/>
      </w:pPr>
      <w:bookmarkStart w:name="pretrialopened" w:id="3"/>
      <w:r w:rsidRPr="000C3635">
        <w:rPr>
          <w:lang w:val="lt-LT"/>
        </w:rPr>
        <w:t>7</w:t>
      </w:r>
      <w:bookmarkEnd w:id="3"/>
      <w:r w:rsidRPr="000C3635" w:rsidR="00B94A3E">
        <w:rPr>
          <w:lang w:val="lt-LT"/>
        </w:rPr>
        <w:t>.  </w:t>
      </w:r>
      <w:proofErr w:type="spellStart"/>
      <w:r w:rsidRPr="000C3635" w:rsidR="00B94A3E">
        <w:rPr>
          <w:lang w:val="lt-LT"/>
        </w:rPr>
        <w:t>On</w:t>
      </w:r>
      <w:proofErr w:type="spellEnd"/>
      <w:r w:rsidRPr="000C3635" w:rsidR="00B94A3E">
        <w:rPr>
          <w:lang w:val="lt-LT"/>
        </w:rPr>
        <w:t xml:space="preserve"> 5 </w:t>
      </w:r>
      <w:proofErr w:type="spellStart"/>
      <w:r w:rsidRPr="000C3635" w:rsidR="00B94A3E">
        <w:rPr>
          <w:lang w:val="lt-LT"/>
        </w:rPr>
        <w:t>January</w:t>
      </w:r>
      <w:proofErr w:type="spellEnd"/>
      <w:r w:rsidRPr="000C3635" w:rsidR="00B94A3E">
        <w:rPr>
          <w:lang w:val="lt-LT"/>
        </w:rPr>
        <w:t xml:space="preserve"> 2012 a prie</w:t>
      </w:r>
      <w:r w:rsidRPr="000C3635" w:rsidR="00B94A3E">
        <w:rPr>
          <w:lang w:val="lt-LT"/>
        </w:rPr>
        <w:noBreakHyphen/>
      </w:r>
      <w:proofErr w:type="spellStart"/>
      <w:r w:rsidRPr="000C3635">
        <w:rPr>
          <w:lang w:val="lt-LT"/>
        </w:rPr>
        <w:t>trial</w:t>
      </w:r>
      <w:proofErr w:type="spellEnd"/>
      <w:r w:rsidRPr="000C3635">
        <w:rPr>
          <w:lang w:val="lt-LT"/>
        </w:rPr>
        <w:t xml:space="preserve"> </w:t>
      </w:r>
      <w:proofErr w:type="spellStart"/>
      <w:r w:rsidRPr="000C3635">
        <w:rPr>
          <w:lang w:val="lt-LT"/>
        </w:rPr>
        <w:t>investig</w:t>
      </w:r>
      <w:r w:rsidRPr="000C3635">
        <w:t>ation</w:t>
      </w:r>
      <w:proofErr w:type="spellEnd"/>
      <w:r w:rsidRPr="000C3635">
        <w:t xml:space="preserve"> was opened regarding destruction of property and serious health impairment caused by negligence.</w:t>
      </w:r>
    </w:p>
    <w:p w:rsidRPr="000C3635" w:rsidR="009217FF" w:rsidP="000C3635" w:rsidRDefault="009217FF">
      <w:pPr>
        <w:pStyle w:val="ECHRPara"/>
      </w:pPr>
      <w:r w:rsidRPr="000C3635">
        <w:t>8.  </w:t>
      </w:r>
      <w:proofErr w:type="gramStart"/>
      <w:r w:rsidRPr="000C3635">
        <w:t>On</w:t>
      </w:r>
      <w:proofErr w:type="gramEnd"/>
      <w:r w:rsidRPr="000C3635">
        <w:t xml:space="preserve"> 9 January 2012 a commission was set up to establish the circumstances surrounding the fire and the actions of the officers of </w:t>
      </w:r>
      <w:proofErr w:type="spellStart"/>
      <w:r w:rsidRPr="000C3635">
        <w:t>Luki</w:t>
      </w:r>
      <w:r w:rsidRPr="000C3635">
        <w:rPr>
          <w:lang w:val="lt-LT"/>
        </w:rPr>
        <w:t>škės</w:t>
      </w:r>
      <w:proofErr w:type="spellEnd"/>
      <w:r w:rsidRPr="000C3635">
        <w:rPr>
          <w:lang w:val="lt-LT"/>
        </w:rPr>
        <w:t xml:space="preserve"> </w:t>
      </w:r>
      <w:r w:rsidRPr="000C3635">
        <w:t>Remand Prison during the fire.</w:t>
      </w:r>
    </w:p>
    <w:p w:rsidRPr="000C3635" w:rsidR="009217FF" w:rsidP="000C3635" w:rsidRDefault="009217FF">
      <w:pPr>
        <w:pStyle w:val="ECHRPara"/>
      </w:pPr>
      <w:bookmarkStart w:name="expertreport" w:id="4"/>
      <w:r w:rsidRPr="000C3635">
        <w:t>9</w:t>
      </w:r>
      <w:bookmarkEnd w:id="4"/>
      <w:r w:rsidRPr="000C3635">
        <w:t>.  On 14 August 2012 the experts received a task to answer two ques</w:t>
      </w:r>
      <w:r w:rsidRPr="000C3635" w:rsidR="00B94A3E">
        <w:t>tions: where did the fire start</w:t>
      </w:r>
      <w:r w:rsidRPr="000C3635">
        <w:t xml:space="preserve"> and what was the reason of the fire. On 13 September 2012 an expert report stated that the fire had been caused by an electrical fault, causing short circuits and the electrothermal heating in the utility premises to break down. It also noted that eight persons had been taken to a hospital and 217 persons had been evacuated.</w:t>
      </w:r>
    </w:p>
    <w:p w:rsidRPr="000C3635" w:rsidR="009217FF" w:rsidP="000C3635" w:rsidRDefault="009217FF">
      <w:pPr>
        <w:pStyle w:val="ECHRPara"/>
      </w:pPr>
      <w:bookmarkStart w:name="applicantquestioned" w:id="5"/>
      <w:r w:rsidRPr="000C3635">
        <w:t>10</w:t>
      </w:r>
      <w:bookmarkEnd w:id="5"/>
      <w:r w:rsidRPr="000C3635">
        <w:t>.  On 30 January 2013 the applicant was quest</w:t>
      </w:r>
      <w:r w:rsidRPr="000C3635" w:rsidR="00B94A3E">
        <w:t>ioned in the context of the pre</w:t>
      </w:r>
      <w:r w:rsidRPr="000C3635" w:rsidR="00B94A3E">
        <w:noBreakHyphen/>
      </w:r>
      <w:r w:rsidRPr="000C3635">
        <w:t xml:space="preserve">trial investigation. He stated that his cellmate had woken him up and that within twenty minutes they had hardly been able to see each other because of the smoke. They had started shouting for help, the applicant had started choking, and he had not been able to breathe. He and other inmates had wet towels and put them on their faces. He remembered only that a firefighter had opened the doors of the cell and taken him by his hand, but then the applicant had fainted and later woken up in the hospital (see paragraph </w:t>
      </w:r>
      <w:r w:rsidRPr="000C3635">
        <w:rPr>
          <w:lang w:val="lt-LT"/>
        </w:rPr>
        <w:t>13</w:t>
      </w:r>
      <w:r w:rsidRPr="000C3635">
        <w:t xml:space="preserve"> below).</w:t>
      </w:r>
    </w:p>
    <w:p w:rsidRPr="000C3635" w:rsidR="009217FF" w:rsidP="000C3635" w:rsidRDefault="009217FF">
      <w:pPr>
        <w:pStyle w:val="ECHRPara"/>
      </w:pPr>
      <w:r w:rsidRPr="000C3635">
        <w:t>On the same day he asked to be granted victim status. His request was upheld later that day.</w:t>
      </w:r>
    </w:p>
    <w:p w:rsidRPr="000C3635" w:rsidR="009217FF" w:rsidP="000C3635" w:rsidRDefault="009217FF">
      <w:pPr>
        <w:pStyle w:val="ECHRPara"/>
      </w:pPr>
      <w:bookmarkStart w:name="nocopy" w:id="6"/>
      <w:r w:rsidRPr="000C3635">
        <w:t>11</w:t>
      </w:r>
      <w:bookmarkEnd w:id="6"/>
      <w:r w:rsidRPr="000C3635">
        <w:t>.</w:t>
      </w:r>
      <w:r w:rsidRPr="000C3635" w:rsidR="00B94A3E">
        <w:t>  The pre</w:t>
      </w:r>
      <w:r w:rsidRPr="000C3635" w:rsidR="00B94A3E">
        <w:noBreakHyphen/>
      </w:r>
      <w:r w:rsidRPr="000C3635">
        <w:t>trial investigation was suspended on 5 November 2013 because of the failure to determine who had caused the fire. The following investigative actions had been performed: the scene of the accident had been examined; the electrics had been inspected; various reports had been received; several witnesses had been questioned; and medical examinations of the victims had been carried out. The applicant claimed that he had not received a copy of the decision to suspend the pre-trial investigation.</w:t>
      </w:r>
    </w:p>
    <w:p w:rsidRPr="000C3635" w:rsidR="009217FF" w:rsidP="000C3635" w:rsidRDefault="009217FF">
      <w:pPr>
        <w:pStyle w:val="ECHRPara"/>
      </w:pPr>
      <w:bookmarkStart w:name="transcriptsofvideos" w:id="7"/>
      <w:r w:rsidRPr="000C3635">
        <w:t>12</w:t>
      </w:r>
      <w:bookmarkEnd w:id="7"/>
      <w:r w:rsidRPr="000C3635">
        <w:t>.  The transcripts of the surveillance cameras show that one of the officers smelled smoke at 7.01 a.m. At 7.25 a.m. the officers poured water down the ventilation chamber. The fire brigade was called at 7.37 a.m.</w:t>
      </w:r>
      <w:proofErr w:type="gramStart"/>
      <w:r w:rsidRPr="000C3635">
        <w:t>,</w:t>
      </w:r>
      <w:proofErr w:type="gramEnd"/>
      <w:r w:rsidRPr="000C3635">
        <w:t xml:space="preserve"> the officers were instructed how to carry out the evacuation at 7.40 a.m. and the fire brigade arrived at around 7.44 a.m. The first ambulance arrived at 8.06 a.m. The evacuation of the inmates was finished at 8.08 a.m. The ambulances started taking the victims to the hospital at 8.30 a.m., the applicant was taken to the hospital at 8.40 a.m. and the last ambulance left the prison at 8.58 a.m. It appears that the medical staff of </w:t>
      </w:r>
      <w:proofErr w:type="spellStart"/>
      <w:r w:rsidRPr="000C3635">
        <w:t>Lukiškės</w:t>
      </w:r>
      <w:proofErr w:type="spellEnd"/>
      <w:r w:rsidRPr="000C3635">
        <w:t xml:space="preserve"> Remand Prison were present during the fire and that the head of the Health Care Service was instructed to organise the provision of first aid for those in need.</w:t>
      </w:r>
    </w:p>
    <w:p w:rsidRPr="000C3635" w:rsidR="009217FF" w:rsidP="000C3635" w:rsidRDefault="009217FF">
      <w:pPr>
        <w:pStyle w:val="ECHRPara"/>
      </w:pPr>
      <w:bookmarkStart w:name="appscomplainttothecourts" w:id="8"/>
      <w:r w:rsidRPr="000C3635">
        <w:rPr>
          <w:lang w:val="lt-LT"/>
        </w:rPr>
        <w:t>13</w:t>
      </w:r>
      <w:bookmarkEnd w:id="8"/>
      <w:r w:rsidRPr="000C3635">
        <w:rPr>
          <w:lang w:val="lt-LT"/>
        </w:rPr>
        <w:t>.  </w:t>
      </w:r>
      <w:proofErr w:type="spellStart"/>
      <w:r w:rsidRPr="000C3635">
        <w:rPr>
          <w:lang w:val="lt-LT"/>
        </w:rPr>
        <w:t>In</w:t>
      </w:r>
      <w:proofErr w:type="spellEnd"/>
      <w:r w:rsidRPr="000C3635">
        <w:rPr>
          <w:lang w:val="lt-LT"/>
        </w:rPr>
        <w:t xml:space="preserve"> </w:t>
      </w:r>
      <w:r w:rsidRPr="000C3635">
        <w:t>November 2012 the applicant lodged a complaint with the Vilnius Regional Administrative Court, requesting compensation in respect of non</w:t>
      </w:r>
      <w:r w:rsidRPr="000C3635">
        <w:noBreakHyphen/>
        <w:t xml:space="preserve">pecuniary damage for overcrowding, lack of proper separation between sanitary facilities and the cell, insufficient ventilation in </w:t>
      </w:r>
      <w:proofErr w:type="spellStart"/>
      <w:r w:rsidRPr="000C3635">
        <w:t>Lukiškės</w:t>
      </w:r>
      <w:proofErr w:type="spellEnd"/>
      <w:r w:rsidRPr="000C3635">
        <w:t xml:space="preserve"> Remand Prison from 7 June 2011 until 25 May 2012 and in respect of the alleged inadequate actions of the prison authorities during the fire in that institution on 5 January 2012. The applicant claimed that he had screamed for help during the fire but owing to the untimely actions of the prison authorities he had fallen into a coma that had lasted fo</w:t>
      </w:r>
      <w:r w:rsidRPr="000C3635" w:rsidR="00086C42">
        <w:t>r several hours (see paragraphs </w:t>
      </w:r>
      <w:r w:rsidRPr="000C3635">
        <w:t>6 and 10 above). During the hearing, the applicant submitted that the inmates had been told to open the windows before the evacuation. He also confirmed that he had fainted when he had been taken to the ground floor.</w:t>
      </w:r>
    </w:p>
    <w:p w:rsidRPr="000C3635" w:rsidR="009217FF" w:rsidP="000C3635" w:rsidRDefault="009217FF">
      <w:pPr>
        <w:pStyle w:val="ECHRPara"/>
      </w:pPr>
      <w:bookmarkStart w:name="instructions" w:id="9"/>
      <w:r w:rsidRPr="000C3635">
        <w:t>14</w:t>
      </w:r>
      <w:bookmarkEnd w:id="9"/>
      <w:r w:rsidRPr="000C3635">
        <w:t xml:space="preserve">.  In December 2012 </w:t>
      </w:r>
      <w:proofErr w:type="spellStart"/>
      <w:r w:rsidRPr="000C3635">
        <w:t>Luki</w:t>
      </w:r>
      <w:r w:rsidRPr="000C3635">
        <w:rPr>
          <w:lang w:val="lt-LT"/>
        </w:rPr>
        <w:t>škės</w:t>
      </w:r>
      <w:proofErr w:type="spellEnd"/>
      <w:r w:rsidRPr="000C3635">
        <w:rPr>
          <w:lang w:val="lt-LT"/>
        </w:rPr>
        <w:t xml:space="preserve"> </w:t>
      </w:r>
      <w:proofErr w:type="spellStart"/>
      <w:r w:rsidRPr="000C3635">
        <w:rPr>
          <w:lang w:val="lt-LT"/>
        </w:rPr>
        <w:t>Remand</w:t>
      </w:r>
      <w:proofErr w:type="spellEnd"/>
      <w:r w:rsidRPr="000C3635">
        <w:rPr>
          <w:lang w:val="lt-LT"/>
        </w:rPr>
        <w:t xml:space="preserve"> </w:t>
      </w:r>
      <w:proofErr w:type="spellStart"/>
      <w:r w:rsidRPr="000C3635">
        <w:rPr>
          <w:lang w:val="lt-LT"/>
        </w:rPr>
        <w:t>Prison</w:t>
      </w:r>
      <w:proofErr w:type="spellEnd"/>
      <w:r w:rsidRPr="000C3635">
        <w:rPr>
          <w:lang w:val="lt-LT"/>
        </w:rPr>
        <w:t xml:space="preserve"> </w:t>
      </w:r>
      <w:proofErr w:type="spellStart"/>
      <w:r w:rsidRPr="000C3635">
        <w:rPr>
          <w:lang w:val="lt-LT"/>
        </w:rPr>
        <w:t>submitted</w:t>
      </w:r>
      <w:proofErr w:type="spellEnd"/>
      <w:r w:rsidRPr="000C3635">
        <w:rPr>
          <w:lang w:val="lt-LT"/>
        </w:rPr>
        <w:t xml:space="preserve"> </w:t>
      </w:r>
      <w:proofErr w:type="spellStart"/>
      <w:r w:rsidRPr="000C3635">
        <w:rPr>
          <w:lang w:val="lt-LT"/>
        </w:rPr>
        <w:t>their</w:t>
      </w:r>
      <w:proofErr w:type="spellEnd"/>
      <w:r w:rsidRPr="000C3635">
        <w:rPr>
          <w:lang w:val="lt-LT"/>
        </w:rPr>
        <w:t xml:space="preserve"> </w:t>
      </w:r>
      <w:proofErr w:type="spellStart"/>
      <w:r w:rsidRPr="000C3635">
        <w:rPr>
          <w:lang w:val="lt-LT"/>
        </w:rPr>
        <w:t>comments</w:t>
      </w:r>
      <w:proofErr w:type="spellEnd"/>
      <w:r w:rsidRPr="000C3635">
        <w:rPr>
          <w:lang w:val="lt-LT"/>
        </w:rPr>
        <w:t xml:space="preserve"> </w:t>
      </w:r>
      <w:r w:rsidRPr="000C3635">
        <w:t>and, as regards the fire, they claimed the prison officers had been instructing the prisoners to put wet towels on their faces. The prison officers had also been given instructions on what actions to take. The medical staff distributed the inmates according to their condition and the ones who had been severely injured had been transferred to the hospital.</w:t>
      </w:r>
    </w:p>
    <w:p w:rsidRPr="000C3635" w:rsidR="009217FF" w:rsidP="000C3635" w:rsidRDefault="009217FF">
      <w:pPr>
        <w:pStyle w:val="ECHRPara"/>
      </w:pPr>
      <w:bookmarkStart w:name="VAAT" w:id="10"/>
      <w:r w:rsidRPr="000C3635">
        <w:t>15</w:t>
      </w:r>
      <w:bookmarkEnd w:id="10"/>
      <w:r w:rsidRPr="000C3635">
        <w:t>.  On 30 January 2013 the Vilnius Regional Administrative Court held that the applicant had not had enough personal space for 268 days, ten evenings and three mornings, and that this had constituted a violation of both the domestic norms and Article 3 of the Convention. As regards proper separation between the sanitary facilities and the cell and alleged lack of ventilation, the court found no violation. As for the fire, the court held that the applican</w:t>
      </w:r>
      <w:r w:rsidRPr="000C3635" w:rsidR="00086C42">
        <w:t>t had been hospitalised between 7 and 18 </w:t>
      </w:r>
      <w:r w:rsidRPr="000C3635">
        <w:t>January 2012 for irritation of the respiratory system due to acute poisoning caused by smoke inhalation. The applicant had been referred to a psychiatrist later and had received medication. The court further held that the prison authorities had merely provided a general description of the actions of the relevant representatives of the prison during the fire and had not provided any information about the specific actions they had taken in order to immediately remove the applicant from his cell or about the first aid he had received. Although the authorities had stated that the inmates had been instructed how to act in case of fire, the applicant had indicated that he had received no such instructions. The authorities had not indicated within what period of time the applicant had received medical help and what that help had entailed. The applicant had stated that he had spent approximately ninety minutes in a cell full of smoke. The court held that the fact that the applicant had been taken to hospital in a coma had proven that the authorities had failed to evacuate him on time. The applicant had had</w:t>
      </w:r>
      <w:r w:rsidRPr="000C3635">
        <w:rPr>
          <w:rFonts w:ascii="Arial" w:hAnsi="Arial" w:cs="Arial"/>
          <w:b/>
          <w:bCs/>
          <w:i/>
          <w:iCs/>
          <w:color w:val="6A6A6A"/>
        </w:rPr>
        <w:t xml:space="preserve"> </w:t>
      </w:r>
      <w:r w:rsidRPr="000C3635">
        <w:t>bronchial asthma but the authorities had failed to provide evidence that his condition had been taken into account during the fire. The applicant</w:t>
      </w:r>
      <w:r w:rsidRPr="000C3635" w:rsidR="000C3635">
        <w:t>’</w:t>
      </w:r>
      <w:r w:rsidRPr="000C3635">
        <w:t xml:space="preserve">s liberty had been restricted because of his status, and the responsibility for his health had fallen on </w:t>
      </w:r>
      <w:proofErr w:type="spellStart"/>
      <w:r w:rsidRPr="000C3635">
        <w:t>Lukiškės</w:t>
      </w:r>
      <w:proofErr w:type="spellEnd"/>
      <w:r w:rsidRPr="000C3635">
        <w:t xml:space="preserve"> Remand Prison. However, it had not been proved that the officers had acted in a manner prescribed by the law in order to avoid negative consequences to the applicant</w:t>
      </w:r>
      <w:r w:rsidRPr="000C3635" w:rsidR="000C3635">
        <w:t>’</w:t>
      </w:r>
      <w:r w:rsidRPr="000C3635">
        <w:t>s health. As a result, the Vilnius Regional Administrative Cou</w:t>
      </w:r>
      <w:r w:rsidRPr="000C3635" w:rsidR="00086C42">
        <w:t>rt awarded the applicant 10,000 </w:t>
      </w:r>
      <w:r w:rsidRPr="000C3635">
        <w:t xml:space="preserve">Lithuanian </w:t>
      </w:r>
      <w:proofErr w:type="spellStart"/>
      <w:r w:rsidRPr="000C3635">
        <w:t>litai</w:t>
      </w:r>
      <w:proofErr w:type="spellEnd"/>
      <w:r w:rsidRPr="000C3635">
        <w:t xml:space="preserve"> (LTL – approximately 2,896 euros (EUR)) in compensation in total: LTL 2,000 (approximately EUR 579) for the conditions of detention and LTL 8,000 (approximately EUR 2,317) for the consequences suffered because of the fire.</w:t>
      </w:r>
    </w:p>
    <w:p w:rsidRPr="000C3635" w:rsidR="009217FF" w:rsidP="000C3635" w:rsidRDefault="009217FF">
      <w:pPr>
        <w:pStyle w:val="ECHRPara"/>
      </w:pPr>
      <w:bookmarkStart w:name="LVAT" w:id="11"/>
      <w:r w:rsidRPr="000C3635">
        <w:t>16</w:t>
      </w:r>
      <w:bookmarkEnd w:id="11"/>
      <w:r w:rsidRPr="000C3635">
        <w:t>.  The applicant and the authorities appealed. On 5 August 2013 the Supreme Administrative Court allowed the authorities</w:t>
      </w:r>
      <w:r w:rsidRPr="000C3635" w:rsidR="000C3635">
        <w:t>’</w:t>
      </w:r>
      <w:r w:rsidRPr="000C3635">
        <w:t xml:space="preserve"> appeal in part. It agreed with the first-instance decision as regards the overcrowding and the violation of both the domestic norms and Article 3 of the Convention, but held that there was no information that the prison authorities had breached the requirements for fire prevention or for evacuation of people. The court further held that the prison staff had been active in their response and thus no unlawful actions by the authorities had taken place. The court thus amended the first-instance decisio</w:t>
      </w:r>
      <w:r w:rsidRPr="000C3635" w:rsidR="00086C42">
        <w:t>n and awarded the applicant LTL </w:t>
      </w:r>
      <w:r w:rsidRPr="000C3635">
        <w:t>2,000 (approximately EUR 579) in respect of non</w:t>
      </w:r>
      <w:r w:rsidRPr="000C3635">
        <w:noBreakHyphen/>
        <w:t>pecuniary damage for overcrowding only.</w:t>
      </w:r>
    </w:p>
    <w:p w:rsidRPr="000C3635" w:rsidR="009217FF" w:rsidP="000C3635" w:rsidRDefault="009217FF">
      <w:pPr>
        <w:pStyle w:val="ECHRHeading1"/>
      </w:pPr>
      <w:r w:rsidRPr="000C3635">
        <w:t>II.</w:t>
      </w:r>
      <w:proofErr w:type="gramStart"/>
      <w:r w:rsidRPr="000C3635">
        <w:t>  RELEVANT</w:t>
      </w:r>
      <w:proofErr w:type="gramEnd"/>
      <w:r w:rsidRPr="000C3635">
        <w:t xml:space="preserve"> DOMESTIC LAW</w:t>
      </w:r>
    </w:p>
    <w:p w:rsidRPr="000C3635" w:rsidR="009217FF" w:rsidP="000C3635" w:rsidRDefault="009217FF">
      <w:pPr>
        <w:pStyle w:val="ECHRPara"/>
      </w:pPr>
      <w:r w:rsidRPr="000C3635">
        <w:t xml:space="preserve">17.  For the relevant domestic law and practice and international material on conditions of detention see </w:t>
      </w:r>
      <w:proofErr w:type="spellStart"/>
      <w:r w:rsidRPr="000C3635">
        <w:rPr>
          <w:i/>
        </w:rPr>
        <w:t>Mironovas</w:t>
      </w:r>
      <w:proofErr w:type="spellEnd"/>
      <w:r w:rsidRPr="000C3635">
        <w:rPr>
          <w:i/>
        </w:rPr>
        <w:t xml:space="preserve"> and Others v. Lithuania</w:t>
      </w:r>
      <w:r w:rsidRPr="000C3635">
        <w:t xml:space="preserve"> (nos. 40828/12 and 6 others, §§ 50-69, 8 December 2015).</w:t>
      </w:r>
    </w:p>
    <w:p w:rsidRPr="000C3635" w:rsidR="009217FF" w:rsidP="000C3635" w:rsidRDefault="009217FF">
      <w:pPr>
        <w:pStyle w:val="ECHRPara"/>
      </w:pPr>
      <w:bookmarkStart w:name="CCP" w:id="12"/>
      <w:r w:rsidRPr="000C3635">
        <w:t>18</w:t>
      </w:r>
      <w:bookmarkEnd w:id="12"/>
      <w:r w:rsidRPr="000C3635">
        <w:t>.  Article 3</w:t>
      </w:r>
      <w:r w:rsidRPr="000C3635">
        <w:rPr>
          <w:vertAlign w:val="superscript"/>
        </w:rPr>
        <w:t>1</w:t>
      </w:r>
      <w:r w:rsidRPr="000C3635">
        <w:t xml:space="preserve"> § 1 of the Code of Criminal Procedure provides that when all the necessary procedural actions have been carried out and all the possibilities have been exhausted during the pre-trial investigation but a perpetrator has not been determined, the pre-trial investigation can be suspended by a reasoned decision of the prosecutor. Such a decision can be appealed against within seven days of the service of a copy of the decision on the victim or his or her representative.</w:t>
      </w:r>
    </w:p>
    <w:p w:rsidRPr="000C3635" w:rsidR="009217FF" w:rsidP="000C3635" w:rsidRDefault="009217FF">
      <w:pPr>
        <w:pStyle w:val="ECHRTitle1"/>
      </w:pPr>
      <w:r w:rsidRPr="000C3635">
        <w:t>THE LAW</w:t>
      </w:r>
    </w:p>
    <w:p w:rsidRPr="000C3635" w:rsidR="009217FF" w:rsidP="000C3635" w:rsidRDefault="00086C42">
      <w:pPr>
        <w:pStyle w:val="ECHRHeading1"/>
      </w:pPr>
      <w:r w:rsidRPr="000C3635">
        <w:t>I.  </w:t>
      </w:r>
      <w:r w:rsidRPr="000C3635" w:rsidR="009217FF">
        <w:t>SCOPE OF THE CASE</w:t>
      </w:r>
    </w:p>
    <w:p w:rsidRPr="000C3635" w:rsidR="009217FF" w:rsidP="000C3635" w:rsidRDefault="009217FF">
      <w:pPr>
        <w:pStyle w:val="ECHRPara"/>
      </w:pPr>
      <w:r w:rsidRPr="000C3635">
        <w:t>19.  The Court notes that in his reply to the Government</w:t>
      </w:r>
      <w:r w:rsidRPr="000C3635" w:rsidR="000C3635">
        <w:t>’</w:t>
      </w:r>
      <w:r w:rsidRPr="000C3635">
        <w:t>s observations the applicant raised a complaint concerning the alleged failure of the authorities to take necessary measures to prevent the fire in prison by repairing the electrics in due time. This complaint had not been communicated to the Government. The Court considers that this complaint does not fall within the scope of the present application and therefore there is no need for the Court to examine it (see, </w:t>
      </w:r>
      <w:r w:rsidRPr="000C3635">
        <w:rPr>
          <w:i/>
        </w:rPr>
        <w:t>mutatis mutandis</w:t>
      </w:r>
      <w:r w:rsidRPr="000C3635">
        <w:t>, </w:t>
      </w:r>
      <w:r w:rsidRPr="000C3635">
        <w:rPr>
          <w:i/>
        </w:rPr>
        <w:t>N. v. Romania</w:t>
      </w:r>
      <w:r w:rsidRPr="000C3635">
        <w:t>, no. 59</w:t>
      </w:r>
      <w:r w:rsidRPr="000C3635" w:rsidR="002F6627">
        <w:t>152/08, § 110, 28 November 2017</w:t>
      </w:r>
      <w:r w:rsidRPr="000C3635">
        <w:t xml:space="preserve"> and the cases cited therein, as well as </w:t>
      </w:r>
      <w:proofErr w:type="spellStart"/>
      <w:r w:rsidRPr="000C3635">
        <w:rPr>
          <w:i/>
        </w:rPr>
        <w:t>Daktaras</w:t>
      </w:r>
      <w:proofErr w:type="spellEnd"/>
      <w:r w:rsidRPr="000C3635">
        <w:rPr>
          <w:i/>
        </w:rPr>
        <w:t xml:space="preserve"> v. Lithuania </w:t>
      </w:r>
      <w:r w:rsidRPr="000C3635" w:rsidR="000A3B6D">
        <w:t>(</w:t>
      </w:r>
      <w:proofErr w:type="spellStart"/>
      <w:r w:rsidRPr="000C3635" w:rsidR="000A3B6D">
        <w:t>dec.</w:t>
      </w:r>
      <w:proofErr w:type="spellEnd"/>
      <w:r w:rsidRPr="000C3635" w:rsidR="000A3B6D">
        <w:t>) [Committee], no. </w:t>
      </w:r>
      <w:r w:rsidRPr="000C3635">
        <w:t>78123/13</w:t>
      </w:r>
      <w:r w:rsidRPr="000C3635" w:rsidR="000A3B6D">
        <w:t>, § </w:t>
      </w:r>
      <w:r w:rsidRPr="000C3635" w:rsidR="00086C42">
        <w:t>34, 7 </w:t>
      </w:r>
      <w:r w:rsidRPr="000C3635">
        <w:t>July 2018).</w:t>
      </w:r>
    </w:p>
    <w:p w:rsidRPr="000C3635" w:rsidR="009217FF" w:rsidP="000C3635" w:rsidRDefault="009217FF">
      <w:pPr>
        <w:pStyle w:val="ECHRHeading1"/>
      </w:pPr>
      <w:r w:rsidRPr="000C3635">
        <w:t>II.</w:t>
      </w:r>
      <w:proofErr w:type="gramStart"/>
      <w:r w:rsidRPr="000C3635">
        <w:t>  ALLEGED</w:t>
      </w:r>
      <w:proofErr w:type="gramEnd"/>
      <w:r w:rsidRPr="000C3635">
        <w:t xml:space="preserve"> VIOLATION OF ARTICLE 2 OF THE CONVENTION</w:t>
      </w:r>
    </w:p>
    <w:p w:rsidRPr="000C3635" w:rsidR="009217FF" w:rsidP="000C3635" w:rsidRDefault="009217FF">
      <w:pPr>
        <w:pStyle w:val="ECHRPara"/>
      </w:pPr>
      <w:r w:rsidRPr="000C3635">
        <w:t xml:space="preserve">20.  Relying on Articles 2 and 3 of the Convention, the applicant complained that the domestic authorities had failed to protect his life during the fire in </w:t>
      </w:r>
      <w:proofErr w:type="spellStart"/>
      <w:r w:rsidRPr="000C3635">
        <w:t>Luki</w:t>
      </w:r>
      <w:r w:rsidRPr="000C3635">
        <w:rPr>
          <w:lang w:val="lt-LT"/>
        </w:rPr>
        <w:t>škės</w:t>
      </w:r>
      <w:proofErr w:type="spellEnd"/>
      <w:r w:rsidRPr="000C3635">
        <w:rPr>
          <w:lang w:val="lt-LT"/>
        </w:rPr>
        <w:t xml:space="preserve"> </w:t>
      </w:r>
      <w:r w:rsidRPr="000C3635">
        <w:t>Remand Prison. He also complained that the domestic authorities had failed to carry out an effective investigation into the circumstances surrounding the fire.</w:t>
      </w:r>
    </w:p>
    <w:p w:rsidRPr="000C3635" w:rsidR="009217FF" w:rsidP="000C3635" w:rsidRDefault="009217FF">
      <w:pPr>
        <w:pStyle w:val="ECHRPara"/>
      </w:pPr>
      <w:r w:rsidRPr="000C3635">
        <w:t xml:space="preserve">21.  The Court notes at the outset that the Government did not challenge the applicability of Article 2 of the Convention in the present case. In any event, the Court notes that it has found Article 2 applicable in a number of cases where an individual has survived a serious incident in which the right to life or physical integrity was at stake (see </w:t>
      </w:r>
      <w:r w:rsidRPr="000C3635">
        <w:rPr>
          <w:i/>
          <w:iCs/>
        </w:rPr>
        <w:t>R.Š. v. Latvia</w:t>
      </w:r>
      <w:r w:rsidRPr="000C3635">
        <w:rPr>
          <w:lang w:eastAsia="en-GB"/>
        </w:rPr>
        <w:t xml:space="preserve">, </w:t>
      </w:r>
      <w:r w:rsidRPr="000C3635" w:rsidR="00086C42">
        <w:t>no. </w:t>
      </w:r>
      <w:r w:rsidRPr="000C3635">
        <w:t>44154/14</w:t>
      </w:r>
      <w:r w:rsidRPr="000C3635">
        <w:rPr>
          <w:lang w:eastAsia="en-GB"/>
        </w:rPr>
        <w:t xml:space="preserve">, </w:t>
      </w:r>
      <w:r w:rsidRPr="000C3635">
        <w:t>§ 63, 8</w:t>
      </w:r>
      <w:r w:rsidRPr="000C3635" w:rsidR="002F6627">
        <w:t> March 2018</w:t>
      </w:r>
      <w:r w:rsidRPr="000C3635">
        <w:t xml:space="preserve"> and the references therein). The particular circumstances of the present case (see paragraph 6 above) leave no doubt as to the existence of a threat to the applicant</w:t>
      </w:r>
      <w:r w:rsidRPr="000C3635" w:rsidR="000C3635">
        <w:t>’</w:t>
      </w:r>
      <w:r w:rsidRPr="000C3635">
        <w:t>s life or physical integrity such as to bring his complaints within the ambit of Article 2, which is therefore applicable to the present case.</w:t>
      </w:r>
    </w:p>
    <w:p w:rsidRPr="000C3635" w:rsidR="009217FF" w:rsidP="000C3635" w:rsidRDefault="009217FF">
      <w:pPr>
        <w:pStyle w:val="ECHRPara"/>
      </w:pPr>
      <w:r w:rsidRPr="000C3635">
        <w:t xml:space="preserve">22.  Being master of the characterisation to be given in law to the facts of the case (see </w:t>
      </w:r>
      <w:proofErr w:type="spellStart"/>
      <w:r w:rsidRPr="000C3635">
        <w:rPr>
          <w:i/>
        </w:rPr>
        <w:t>Radomilja</w:t>
      </w:r>
      <w:proofErr w:type="spellEnd"/>
      <w:r w:rsidRPr="000C3635">
        <w:rPr>
          <w:i/>
        </w:rPr>
        <w:t xml:space="preserve"> and Others v. Croatia</w:t>
      </w:r>
      <w:r w:rsidRPr="000C3635">
        <w:t xml:space="preserve"> [GC], nos. </w:t>
      </w:r>
      <w:r w:rsidRPr="000C3635" w:rsidR="000A3B6D">
        <w:t>37685/10 and </w:t>
      </w:r>
      <w:r w:rsidRPr="000C3635">
        <w:t>22768/12, §§ 114 and 126, 20 March 2018), the Court also considers that the applicant</w:t>
      </w:r>
      <w:r w:rsidRPr="000C3635" w:rsidR="000C3635">
        <w:t>’</w:t>
      </w:r>
      <w:r w:rsidRPr="000C3635">
        <w:t>s complaints should be examined solely from the standpoint of Article 2 of the Convention, which provides, in so far as relevant:</w:t>
      </w:r>
    </w:p>
    <w:p w:rsidRPr="000C3635" w:rsidR="009217FF" w:rsidP="000C3635" w:rsidRDefault="00086C42">
      <w:pPr>
        <w:pStyle w:val="ECHRParaQuote"/>
      </w:pPr>
      <w:r w:rsidRPr="000C3635">
        <w:t>“1. </w:t>
      </w:r>
      <w:r w:rsidRPr="000C3635" w:rsidR="009217FF">
        <w:t>Everyone</w:t>
      </w:r>
      <w:r w:rsidRPr="000C3635" w:rsidR="000C3635">
        <w:t>’</w:t>
      </w:r>
      <w:r w:rsidRPr="000C3635" w:rsidR="009217FF">
        <w:t>s right to life shall be protected by law. ...”</w:t>
      </w:r>
    </w:p>
    <w:p w:rsidRPr="000C3635" w:rsidR="009217FF" w:rsidP="000C3635" w:rsidRDefault="009217FF">
      <w:pPr>
        <w:pStyle w:val="ECHRHeading2"/>
      </w:pPr>
      <w:r w:rsidRPr="000C3635">
        <w:t>A.  Admissibility</w:t>
      </w:r>
    </w:p>
    <w:p w:rsidRPr="000C3635" w:rsidR="009217FF" w:rsidP="000C3635" w:rsidRDefault="009217FF">
      <w:pPr>
        <w:pStyle w:val="ECHRPara"/>
      </w:pPr>
      <w:r w:rsidRPr="000C3635">
        <w:t>23.  The Government submitted that the applicant had failed to exhaust domestic remedies by failing to complain against the State</w:t>
      </w:r>
      <w:r w:rsidRPr="000C3635" w:rsidR="000C3635">
        <w:t>’</w:t>
      </w:r>
      <w:r w:rsidRPr="000C3635">
        <w:t>s alleged responsibility for the fire and the suspensio</w:t>
      </w:r>
      <w:r w:rsidRPr="000C3635" w:rsidR="00086C42">
        <w:t>n or ineffectiveness of the pre</w:t>
      </w:r>
      <w:r w:rsidRPr="000C3635" w:rsidR="00086C42">
        <w:noBreakHyphen/>
      </w:r>
      <w:r w:rsidRPr="000C3635">
        <w:t>trial investigation.</w:t>
      </w:r>
    </w:p>
    <w:p w:rsidRPr="000C3635" w:rsidR="009217FF" w:rsidP="000C3635" w:rsidRDefault="009217FF">
      <w:pPr>
        <w:pStyle w:val="ECHRPara"/>
      </w:pPr>
      <w:r w:rsidRPr="000C3635">
        <w:t>24.  The applicant did not comment on the matter.</w:t>
      </w:r>
    </w:p>
    <w:p w:rsidRPr="000C3635" w:rsidR="009217FF" w:rsidP="000C3635" w:rsidRDefault="009217FF">
      <w:pPr>
        <w:pStyle w:val="ECHRHeading3"/>
      </w:pPr>
      <w:r w:rsidRPr="000C3635">
        <w:t>1.  Complaint for the State</w:t>
      </w:r>
      <w:r w:rsidRPr="000C3635" w:rsidR="000C3635">
        <w:t>’</w:t>
      </w:r>
      <w:r w:rsidRPr="000C3635">
        <w:t>s responsibility for the fire</w:t>
      </w:r>
    </w:p>
    <w:p w:rsidRPr="000C3635" w:rsidR="009217FF" w:rsidP="000C3635" w:rsidRDefault="009217FF">
      <w:pPr>
        <w:pStyle w:val="ECHRPara"/>
      </w:pPr>
      <w:r w:rsidRPr="000C3635">
        <w:t>25.  As for the Government</w:t>
      </w:r>
      <w:r w:rsidRPr="000C3635" w:rsidR="000C3635">
        <w:t>’</w:t>
      </w:r>
      <w:r w:rsidRPr="000C3635">
        <w:t>s argument that the applicant had failed to raise the complaint regarding the State</w:t>
      </w:r>
      <w:r w:rsidRPr="000C3635" w:rsidR="000C3635">
        <w:t>’</w:t>
      </w:r>
      <w:r w:rsidRPr="000C3635">
        <w:t>s responsibility for the fire, the Court notes that the applicant asked to award him damages for the causal link between the fire and his health impairment, alleging that the actions of the prison authorities on 5 January 2012 had</w:t>
      </w:r>
      <w:r w:rsidRPr="000C3635" w:rsidR="00086C42">
        <w:t xml:space="preserve"> been inadequate (see paragraph </w:t>
      </w:r>
      <w:r w:rsidRPr="000C3635">
        <w:rPr>
          <w:lang w:val="lt-LT"/>
        </w:rPr>
        <w:t>13</w:t>
      </w:r>
      <w:r w:rsidRPr="000C3635">
        <w:t xml:space="preserve"> above). His claim against the State for damages was rejected by the Supreme Administrati</w:t>
      </w:r>
      <w:r w:rsidRPr="000C3635" w:rsidR="00086C42">
        <w:t>ve Court in final decision of 5 August 2013 (see paragraph </w:t>
      </w:r>
      <w:r w:rsidRPr="000C3635">
        <w:t xml:space="preserve">16 above). The Court reiterates that in the event of there being a number of domestic remedies which an individual can pursue, that person is entitled to choose a remedy which addresses his or her essential grievance. In other words, when a remedy has been pursued, use of another remedy which has essentially the same objective is not required (see </w:t>
      </w:r>
      <w:proofErr w:type="spellStart"/>
      <w:r w:rsidRPr="000C3635">
        <w:rPr>
          <w:i/>
        </w:rPr>
        <w:t>Bajić</w:t>
      </w:r>
      <w:proofErr w:type="spellEnd"/>
      <w:r w:rsidRPr="000C3635">
        <w:rPr>
          <w:i/>
        </w:rPr>
        <w:t xml:space="preserve"> v. Croatia</w:t>
      </w:r>
      <w:r w:rsidRPr="000C3635">
        <w:t>, no. 41108/10, § 74, 13 November 2012).</w:t>
      </w:r>
    </w:p>
    <w:p w:rsidRPr="000C3635" w:rsidR="009217FF" w:rsidP="000C3635" w:rsidRDefault="009217FF">
      <w:pPr>
        <w:pStyle w:val="ECHRPara"/>
      </w:pPr>
      <w:r w:rsidRPr="000C3635">
        <w:t>26.  The Court therefore considers that in the circumstances of the present case the applicant has made a normal use of the remedies available to him in order to complain about the consequences of the fire and of the allegedly inadequate behavior of the authorities on that occasion. It follows that the Government</w:t>
      </w:r>
      <w:r w:rsidRPr="000C3635" w:rsidR="000C3635">
        <w:t>’</w:t>
      </w:r>
      <w:r w:rsidRPr="000C3635">
        <w:t>s objection has to be dismissed.</w:t>
      </w:r>
    </w:p>
    <w:p w:rsidRPr="000C3635" w:rsidR="009217FF" w:rsidP="000C3635" w:rsidRDefault="009217FF">
      <w:pPr>
        <w:pStyle w:val="ECHRHeading3"/>
      </w:pPr>
      <w:r w:rsidRPr="000C3635">
        <w:t>2.  Complaint against the suspension or ineffectiveness of the pre-trial investigation</w:t>
      </w:r>
    </w:p>
    <w:p w:rsidRPr="000C3635" w:rsidR="009217FF" w:rsidP="000C3635" w:rsidRDefault="009217FF">
      <w:pPr>
        <w:pStyle w:val="ECHRPara"/>
      </w:pPr>
      <w:bookmarkStart w:name="GOVdidnotappeal" w:id="13"/>
      <w:r w:rsidRPr="000C3635">
        <w:t>27</w:t>
      </w:r>
      <w:bookmarkEnd w:id="13"/>
      <w:r w:rsidRPr="000C3635">
        <w:t>.  In relation to the Government</w:t>
      </w:r>
      <w:r w:rsidRPr="000C3635" w:rsidR="000C3635">
        <w:t>’</w:t>
      </w:r>
      <w:r w:rsidRPr="000C3635">
        <w:t>s argument that, with regard to procedural obligation to investigate, the applicant could have complained against the decision to suspend the pre-trial investigation, the Court notes that according to the applicant</w:t>
      </w:r>
      <w:r w:rsidRPr="000C3635" w:rsidR="000C3635">
        <w:t>’</w:t>
      </w:r>
      <w:r w:rsidRPr="000C3635">
        <w:t>s submissions, which were not contested by the Government, he did not receive that decision and thus he could not have appealed against it in accordance with dome</w:t>
      </w:r>
      <w:r w:rsidRPr="000C3635" w:rsidR="00086C42">
        <w:t>stic law (see paragraphs 11 and </w:t>
      </w:r>
      <w:r w:rsidRPr="000C3635">
        <w:t>18 above). The Court thus dismisses the non-exhaustion argument submitted by the Government in this regard.</w:t>
      </w:r>
    </w:p>
    <w:p w:rsidRPr="000C3635" w:rsidR="009217FF" w:rsidP="000C3635" w:rsidRDefault="009217FF">
      <w:pPr>
        <w:pStyle w:val="ECHRHeading3"/>
      </w:pPr>
      <w:r w:rsidRPr="000C3635">
        <w:t>3.  Conclusion on admissibility</w:t>
      </w:r>
    </w:p>
    <w:p w:rsidRPr="000C3635" w:rsidR="009217FF" w:rsidP="000C3635" w:rsidRDefault="009217FF">
      <w:pPr>
        <w:pStyle w:val="ECHRPara"/>
      </w:pPr>
      <w:r w:rsidRPr="000C3635">
        <w:t xml:space="preserve">28.  The Court notes that this </w:t>
      </w:r>
      <w:r w:rsidRPr="000C3635" w:rsidR="00086C42">
        <w:t>complaint is not manifestly ill</w:t>
      </w:r>
      <w:r w:rsidRPr="000C3635" w:rsidR="00086C42">
        <w:noBreakHyphen/>
      </w:r>
      <w:r w:rsidRPr="000C3635">
        <w:t>founded within the meaning of Article 35 § 3 (a) of the Convention. It further notes that it is not inadmissible on any other grounds. It must therefore be declared admissible.</w:t>
      </w:r>
    </w:p>
    <w:p w:rsidRPr="000C3635" w:rsidR="009217FF" w:rsidP="000C3635" w:rsidRDefault="009217FF">
      <w:pPr>
        <w:pStyle w:val="ECHRHeading2"/>
      </w:pPr>
      <w:r w:rsidRPr="000C3635">
        <w:t>B.  Merits</w:t>
      </w:r>
    </w:p>
    <w:p w:rsidRPr="000C3635" w:rsidR="009217FF" w:rsidP="000C3635" w:rsidRDefault="009217FF">
      <w:pPr>
        <w:pStyle w:val="ECHRHeading3"/>
      </w:pPr>
      <w:r w:rsidRPr="000C3635">
        <w:t>1.  Substantive aspect of Article 2 of the Convention</w:t>
      </w:r>
    </w:p>
    <w:p w:rsidRPr="000C3635" w:rsidR="009217FF" w:rsidP="000C3635" w:rsidRDefault="009217FF">
      <w:pPr>
        <w:pStyle w:val="ECHRHeading4"/>
      </w:pPr>
      <w:r w:rsidRPr="000C3635">
        <w:t>(a)</w:t>
      </w:r>
      <w:r w:rsidRPr="000C3635" w:rsidR="00086C42">
        <w:t> </w:t>
      </w:r>
      <w:r w:rsidRPr="000C3635">
        <w:t> The parties</w:t>
      </w:r>
      <w:r w:rsidRPr="000C3635" w:rsidR="000C3635">
        <w:t>’</w:t>
      </w:r>
      <w:r w:rsidRPr="000C3635">
        <w:t xml:space="preserve"> submissions</w:t>
      </w:r>
    </w:p>
    <w:p w:rsidRPr="000C3635" w:rsidR="009217FF" w:rsidP="000C3635" w:rsidRDefault="009217FF">
      <w:pPr>
        <w:pStyle w:val="ECHRPara"/>
      </w:pPr>
      <w:r w:rsidRPr="000C3635">
        <w:t>29.  The applicant stated that he had not been evacuated on time, resulting in his falling into a coma, and that the smoke from the fire had intensified his asthma.</w:t>
      </w:r>
    </w:p>
    <w:p w:rsidRPr="000C3635" w:rsidR="009217FF" w:rsidP="000C3635" w:rsidRDefault="009217FF">
      <w:pPr>
        <w:pStyle w:val="ECHRPara"/>
      </w:pPr>
      <w:r w:rsidRPr="000C3635">
        <w:t>30.  The Government observed that the fire had started when the prisoners had already been awake and breakfast had been served, and officers had been on duty at all posts. Immediate action had been taken to locate the fire and the fire brigade had been called when it had become clear that the officers would not be able to put the fire out. Also, the evacuation had been carried out in due time. The evacuation had begun in the area where the smoke had been detected and which had been most affected. The Government stated that the applicant</w:t>
      </w:r>
      <w:r w:rsidRPr="000C3635" w:rsidR="000C3635">
        <w:t>’</w:t>
      </w:r>
      <w:r w:rsidRPr="000C3635">
        <w:t>s having asthma could not have affected the sequence of evacuation because not all officers had been aware of his condition because of confidentiality regulations. Once the applicant had been evacuated, he had been taken to the ground floor and afterwards to hospital, where he had received proper medical assistance and had fully recovered.</w:t>
      </w:r>
    </w:p>
    <w:p w:rsidRPr="000C3635" w:rsidR="009217FF" w:rsidP="000C3635" w:rsidRDefault="009217FF">
      <w:pPr>
        <w:pStyle w:val="ECHRHeading4"/>
      </w:pPr>
      <w:r w:rsidRPr="000C3635">
        <w:t>(b) </w:t>
      </w:r>
      <w:r w:rsidRPr="000C3635" w:rsidR="00086C42">
        <w:t> </w:t>
      </w:r>
      <w:r w:rsidRPr="000C3635">
        <w:t>The Court</w:t>
      </w:r>
      <w:r w:rsidRPr="000C3635" w:rsidR="000C3635">
        <w:t>’</w:t>
      </w:r>
      <w:r w:rsidRPr="000C3635">
        <w:t>s assessment</w:t>
      </w:r>
    </w:p>
    <w:p w:rsidRPr="000C3635" w:rsidR="009217FF" w:rsidP="000C3635" w:rsidRDefault="009217FF">
      <w:pPr>
        <w:pStyle w:val="ECHRHeading5"/>
      </w:pPr>
      <w:r w:rsidRPr="000C3635">
        <w:t>(</w:t>
      </w:r>
      <w:proofErr w:type="spellStart"/>
      <w:r w:rsidRPr="000C3635">
        <w:t>i</w:t>
      </w:r>
      <w:proofErr w:type="spellEnd"/>
      <w:r w:rsidRPr="000C3635">
        <w:t>)</w:t>
      </w:r>
      <w:r w:rsidRPr="000C3635" w:rsidR="00086C42">
        <w:t>  </w:t>
      </w:r>
      <w:r w:rsidRPr="000C3635">
        <w:t>General principles</w:t>
      </w:r>
    </w:p>
    <w:p w:rsidRPr="000C3635" w:rsidR="009217FF" w:rsidP="000C3635" w:rsidRDefault="009217FF">
      <w:pPr>
        <w:pStyle w:val="ECHRPara"/>
      </w:pPr>
      <w:r w:rsidRPr="000C3635">
        <w:t>31.  The Court reiterates that Article 2, which safeguards the right to life, enshrines one of the basic values of the democratic societies making up the Council of Europe. The object and purpose of the Convention as an instrument for the protection of individual hum</w:t>
      </w:r>
      <w:r w:rsidRPr="000C3635" w:rsidR="00086C42">
        <w:t>an beings requires that Article </w:t>
      </w:r>
      <w:r w:rsidRPr="000C3635">
        <w:t xml:space="preserve">2 be interpreted and applied so as to make its safeguards practical and effective (see </w:t>
      </w:r>
      <w:r w:rsidRPr="000C3635">
        <w:rPr>
          <w:i/>
        </w:rPr>
        <w:t>Salman v. Turkey</w:t>
      </w:r>
      <w:r w:rsidRPr="000C3635">
        <w:t xml:space="preserve"> [GC], no. 21986/93, § 97, ECHR 2000</w:t>
      </w:r>
      <w:r w:rsidRPr="000C3635">
        <w:noBreakHyphen/>
        <w:t xml:space="preserve">VII, and </w:t>
      </w:r>
      <w:proofErr w:type="spellStart"/>
      <w:r w:rsidRPr="000C3635">
        <w:rPr>
          <w:i/>
        </w:rPr>
        <w:t>Banel</w:t>
      </w:r>
      <w:proofErr w:type="spellEnd"/>
      <w:r w:rsidRPr="000C3635">
        <w:rPr>
          <w:i/>
        </w:rPr>
        <w:t xml:space="preserve"> v. Lithuania</w:t>
      </w:r>
      <w:r w:rsidRPr="000C3635">
        <w:rPr>
          <w:snapToGrid w:val="0"/>
        </w:rPr>
        <w:t>, no. 14326/11, § 62, 18 June 2013</w:t>
      </w:r>
      <w:r w:rsidRPr="000C3635">
        <w:t>).</w:t>
      </w:r>
    </w:p>
    <w:p w:rsidRPr="000C3635" w:rsidR="009217FF" w:rsidP="000C3635" w:rsidRDefault="009217FF">
      <w:pPr>
        <w:pStyle w:val="ECHRPara"/>
      </w:pPr>
      <w:r w:rsidRPr="000C3635">
        <w:t xml:space="preserve">32.  The first sentence of Article 2 § 1 enjoins the States not only to refrain from the intentional and unlawful taking of life, but also lays down a positive obligation on the States to take appropriate steps to safeguard the lives of those within their jurisdiction (see </w:t>
      </w:r>
      <w:r w:rsidRPr="000C3635" w:rsidR="00086C42">
        <w:rPr>
          <w:i/>
        </w:rPr>
        <w:t>Mustafayev v. </w:t>
      </w:r>
      <w:r w:rsidRPr="000C3635">
        <w:rPr>
          <w:i/>
        </w:rPr>
        <w:t>Azerbaijan</w:t>
      </w:r>
      <w:r w:rsidRPr="000C3635">
        <w:t xml:space="preserve">, no. 47095/09, § 53, 4 May 2017 and the references therein). In the context of prisoners, the Court has previously had occasion to emphasise that persons in custody are in a vulnerable position and that the authorities are under a duty to protect them (see </w:t>
      </w:r>
      <w:r w:rsidRPr="000C3635" w:rsidR="00402306">
        <w:rPr>
          <w:i/>
        </w:rPr>
        <w:t>Salman</w:t>
      </w:r>
      <w:r w:rsidRPr="000C3635" w:rsidR="00402306">
        <w:t>, cited above, § 99</w:t>
      </w:r>
      <w:r w:rsidRPr="000C3635">
        <w:t xml:space="preserve"> and </w:t>
      </w:r>
      <w:proofErr w:type="spellStart"/>
      <w:r w:rsidRPr="000C3635">
        <w:rPr>
          <w:i/>
        </w:rPr>
        <w:t>Česnulevičius</w:t>
      </w:r>
      <w:proofErr w:type="spellEnd"/>
      <w:r w:rsidRPr="000C3635">
        <w:rPr>
          <w:i/>
        </w:rPr>
        <w:t xml:space="preserve"> v. Lithuania</w:t>
      </w:r>
      <w:r w:rsidRPr="000C3635" w:rsidR="00402306">
        <w:t>, no. 13462/06, § 84, 10 </w:t>
      </w:r>
      <w:r w:rsidRPr="000C3635">
        <w:t>January 2012). The national authorities also have an obligation</w:t>
      </w:r>
      <w:r w:rsidRPr="000C3635" w:rsidR="00086C42">
        <w:t xml:space="preserve"> to protect the health and well</w:t>
      </w:r>
      <w:r w:rsidRPr="000C3635" w:rsidR="00086C42">
        <w:noBreakHyphen/>
      </w:r>
      <w:r w:rsidRPr="000C3635">
        <w:t xml:space="preserve">being of persons who have been deprived of their liberty (see </w:t>
      </w:r>
      <w:r w:rsidRPr="000C3635">
        <w:rPr>
          <w:i/>
        </w:rPr>
        <w:t>Mustafayev</w:t>
      </w:r>
      <w:r w:rsidRPr="000C3635">
        <w:t>, cited above, § 54 and the references therein). In the context of Article 2, the obligation to protect the life of individuals in custody also implies an obligation for the authorities to provide them with the medical care necessary to safeguard their life (ibid., § 54).</w:t>
      </w:r>
    </w:p>
    <w:p w:rsidRPr="000C3635" w:rsidR="009217FF" w:rsidP="000C3635" w:rsidRDefault="00086C42">
      <w:pPr>
        <w:pStyle w:val="ECHRHeading5"/>
      </w:pPr>
      <w:r w:rsidRPr="000C3635">
        <w:t>(ii)  </w:t>
      </w:r>
      <w:r w:rsidRPr="000C3635" w:rsidR="009217FF">
        <w:t>Application of these principles to the present case</w:t>
      </w:r>
    </w:p>
    <w:p w:rsidRPr="000C3635" w:rsidR="009217FF" w:rsidP="000C3635" w:rsidRDefault="009217FF">
      <w:pPr>
        <w:pStyle w:val="ECHRPara"/>
      </w:pPr>
      <w:r w:rsidRPr="000C3635">
        <w:t>33.  First of all, the Court, based on all the material in its possession, points out at the outset that it does not appear to be in dispute that the fire began at around 7 a.m., that the fire brigade was called at</w:t>
      </w:r>
      <w:r w:rsidRPr="000C3635" w:rsidR="00086C42">
        <w:t xml:space="preserve"> around 7.37 </w:t>
      </w:r>
      <w:r w:rsidRPr="000C3635">
        <w:t xml:space="preserve">a.m. and arrived at around 7.44 a.m. and that the applicant was evacuated before 8.08 a.m. The first ambulance arrived at 8.06 a.m., the ambulances started taking the victims to the hospital at 8.30 a.m. and the applicant was taken there at 8:40 a.m. (see paragraph 12 above). He remained in the hospital for several days. In that connection, the Court notes that it only took seven minutes after the telephone call for the fire brigade to arrive at the prison; the first ambulance also arrived without undue delay. In that connection, the Court notes that, although </w:t>
      </w:r>
      <w:proofErr w:type="spellStart"/>
      <w:r w:rsidRPr="000C3635">
        <w:t>Lukiškės</w:t>
      </w:r>
      <w:proofErr w:type="spellEnd"/>
      <w:r w:rsidRPr="000C3635">
        <w:t xml:space="preserve"> Remand Prison is in the city centre, it being the rush hour at the time of the fire, it might have made it difficult for the ambulances and fire brigades to reach. The Court is thus satisfied that the applicant</w:t>
      </w:r>
      <w:r w:rsidRPr="000C3635" w:rsidR="000C3635">
        <w:t>’</w:t>
      </w:r>
      <w:r w:rsidRPr="000C3635">
        <w:t>s condition was taken into account by the prison authorities and the medical staff and that he was transferred to the hospital without undue delay.</w:t>
      </w:r>
    </w:p>
    <w:p w:rsidRPr="000C3635" w:rsidR="009217FF" w:rsidP="000C3635" w:rsidRDefault="009217FF">
      <w:pPr>
        <w:pStyle w:val="ECHRPara"/>
      </w:pPr>
      <w:r w:rsidRPr="000C3635">
        <w:t>34.  In those circumstances the Court considers that the State cannot be blamed for the authorities</w:t>
      </w:r>
      <w:r w:rsidRPr="000C3635" w:rsidR="000C3635">
        <w:t>’</w:t>
      </w:r>
      <w:r w:rsidRPr="000C3635">
        <w:t xml:space="preserve"> actions during the fire, especially taking into account that the fire started in the prison, 217 people were evacuated (see paragraph 9 above) and certain security measures had to be taken. The authorities instructed the inmates to put wet towels on their faces during the fire and distributed the evacuated inmates according to their state of health (see paragraph 14 above). Moreover, the applicant was taken to the hospital where he was given treatment and fully recovered from his condition. It therefore cannot be stated that the authorities were ignorant of the seriousness of the applicant</w:t>
      </w:r>
      <w:r w:rsidRPr="000C3635" w:rsidR="000C3635">
        <w:t>’</w:t>
      </w:r>
      <w:r w:rsidRPr="000C3635">
        <w:t>s injuries or that they failed to fulfil their duty to safeguard his life by providing him with proper assistance in a timely manner.</w:t>
      </w:r>
    </w:p>
    <w:p w:rsidRPr="000C3635" w:rsidR="009217FF" w:rsidP="000C3635" w:rsidRDefault="009217FF">
      <w:pPr>
        <w:pStyle w:val="ECHRPara"/>
      </w:pPr>
      <w:r w:rsidRPr="000C3635">
        <w:t>35.  There has accordingly been no violation of Article 2 of the Convention under its substantive aspect.</w:t>
      </w:r>
    </w:p>
    <w:p w:rsidRPr="000C3635" w:rsidR="009217FF" w:rsidP="000C3635" w:rsidRDefault="009217FF">
      <w:pPr>
        <w:pStyle w:val="ECHRHeading3"/>
      </w:pPr>
      <w:r w:rsidRPr="000C3635">
        <w:t>2.  Procedural aspect of Article 2 of the Convention</w:t>
      </w:r>
    </w:p>
    <w:p w:rsidRPr="000C3635" w:rsidR="009217FF" w:rsidP="000C3635" w:rsidRDefault="009217FF">
      <w:pPr>
        <w:pStyle w:val="ECHRHeading4"/>
      </w:pPr>
      <w:r w:rsidRPr="000C3635">
        <w:t>(a) </w:t>
      </w:r>
      <w:r w:rsidRPr="000C3635" w:rsidR="00086C42">
        <w:t> </w:t>
      </w:r>
      <w:r w:rsidRPr="000C3635">
        <w:t>The parties</w:t>
      </w:r>
      <w:r w:rsidRPr="000C3635" w:rsidR="000C3635">
        <w:t>’</w:t>
      </w:r>
      <w:r w:rsidRPr="000C3635">
        <w:t xml:space="preserve"> submissions</w:t>
      </w:r>
    </w:p>
    <w:p w:rsidRPr="000C3635" w:rsidR="009217FF" w:rsidP="000C3635" w:rsidRDefault="009217FF">
      <w:pPr>
        <w:pStyle w:val="ECHRPara"/>
      </w:pPr>
      <w:r w:rsidRPr="000C3635">
        <w:t>36.  The applicant claimed that there had been no effective investigation, capable of leading to the identification and punishment of those responsible for the fire and that he had not received any compensation. He also submitted that he had not been inform</w:t>
      </w:r>
      <w:r w:rsidRPr="000C3635" w:rsidR="00086C42">
        <w:t>ed of the suspension of the pre</w:t>
      </w:r>
      <w:r w:rsidRPr="000C3635" w:rsidR="00086C42">
        <w:noBreakHyphen/>
      </w:r>
      <w:r w:rsidRPr="000C3635">
        <w:t>trial investigation (see paragraph 11 above).</w:t>
      </w:r>
    </w:p>
    <w:p w:rsidRPr="000C3635" w:rsidR="009217FF" w:rsidP="000C3635" w:rsidRDefault="009217FF">
      <w:pPr>
        <w:pStyle w:val="ECHRPara"/>
      </w:pPr>
      <w:r w:rsidRPr="000C3635">
        <w:t>37.  The Government argued that it had been established that the fire had been caused by the failure of the electrics. These circumstances had been established by an independent expert and the pre-trial investigation had been suspended because no responsible person had been identified. The authorities h</w:t>
      </w:r>
      <w:r w:rsidRPr="000C3635" w:rsidR="00F2644D">
        <w:t>ad been criticised by the first</w:t>
      </w:r>
      <w:r w:rsidRPr="000C3635" w:rsidR="00F2644D">
        <w:noBreakHyphen/>
      </w:r>
      <w:r w:rsidRPr="000C3635">
        <w:t>instance court for not submitting certain necessary information but the Government explained that the disclosure of such information could have resulted in a security breach. The Government stated that the authorities had submitted detailed information enabling the courts to examine all the relevant circumstances of the fire.</w:t>
      </w:r>
    </w:p>
    <w:p w:rsidRPr="000C3635" w:rsidR="009217FF" w:rsidP="000C3635" w:rsidRDefault="009217FF">
      <w:pPr>
        <w:pStyle w:val="ECHRPara"/>
      </w:pPr>
      <w:r w:rsidRPr="000C3635">
        <w:t>38.  The Government also submitted that an obligation to investigate was an obligation not of result but of means. This meant that not every investigation had to provide conclusions that would conform to the applicant</w:t>
      </w:r>
      <w:r w:rsidRPr="000C3635" w:rsidR="000C3635">
        <w:t>’</w:t>
      </w:r>
      <w:r w:rsidRPr="000C3635">
        <w:t>s version of events. Moreover, Article 2 of the Convention did not require criminal conviction.</w:t>
      </w:r>
    </w:p>
    <w:p w:rsidRPr="000C3635" w:rsidR="009217FF" w:rsidP="000C3635" w:rsidRDefault="009217FF">
      <w:pPr>
        <w:pStyle w:val="ECHRHeading4"/>
      </w:pPr>
      <w:r w:rsidRPr="000C3635">
        <w:t>(b)</w:t>
      </w:r>
      <w:r w:rsidRPr="000C3635" w:rsidR="00F2644D">
        <w:t> </w:t>
      </w:r>
      <w:r w:rsidRPr="000C3635">
        <w:t> The Court</w:t>
      </w:r>
      <w:r w:rsidRPr="000C3635" w:rsidR="000C3635">
        <w:t>’</w:t>
      </w:r>
      <w:r w:rsidRPr="000C3635">
        <w:t>s assessment</w:t>
      </w:r>
    </w:p>
    <w:p w:rsidRPr="000C3635" w:rsidR="009217FF" w:rsidP="000C3635" w:rsidRDefault="00F2644D">
      <w:pPr>
        <w:pStyle w:val="ECHRHeading5"/>
      </w:pPr>
      <w:r w:rsidRPr="000C3635">
        <w:t>(</w:t>
      </w:r>
      <w:proofErr w:type="spellStart"/>
      <w:r w:rsidRPr="000C3635">
        <w:t>i</w:t>
      </w:r>
      <w:proofErr w:type="spellEnd"/>
      <w:r w:rsidRPr="000C3635">
        <w:t>)  </w:t>
      </w:r>
      <w:r w:rsidRPr="000C3635" w:rsidR="009217FF">
        <w:t>General principles</w:t>
      </w:r>
    </w:p>
    <w:p w:rsidRPr="000C3635" w:rsidR="009217FF" w:rsidP="000C3635" w:rsidRDefault="009217FF">
      <w:pPr>
        <w:pStyle w:val="ECHRPara"/>
        <w:rPr>
          <w:rFonts w:eastAsiaTheme="majorEastAsia"/>
        </w:rPr>
      </w:pPr>
      <w:r w:rsidRPr="000C3635">
        <w:t xml:space="preserve">39.  The Court reiterates that the system required by Article 2 of the Convention must provide for an independent and impartial official investigation that satisfies certain minimum standards as to effectiveness (see </w:t>
      </w:r>
      <w:proofErr w:type="spellStart"/>
      <w:r w:rsidRPr="000C3635">
        <w:rPr>
          <w:i/>
        </w:rPr>
        <w:t>Karakhanyan</w:t>
      </w:r>
      <w:proofErr w:type="spellEnd"/>
      <w:r w:rsidRPr="000C3635">
        <w:rPr>
          <w:i/>
        </w:rPr>
        <w:t xml:space="preserve"> v. Russia</w:t>
      </w:r>
      <w:r w:rsidRPr="000C3635">
        <w:t xml:space="preserve">, no. 24421/11, § 53, 14 February 2017). </w:t>
      </w:r>
      <w:r w:rsidRPr="000C3635">
        <w:rPr>
          <w:rFonts w:eastAsiaTheme="majorEastAsia"/>
        </w:rPr>
        <w:t xml:space="preserve">In such cases, the competent authorities must act with exemplary diligence and promptness and must of their own motion initiate investigations capable of, firstly, ascertaining the circumstances in which the incident took place and any shortcomings in the operation of the regulatory system and, secondly, identifying the State officials or authorities involved. The requirement of public scrutiny is also relevant in this context (see </w:t>
      </w:r>
      <w:proofErr w:type="spellStart"/>
      <w:r w:rsidRPr="000C3635" w:rsidR="00F2644D">
        <w:rPr>
          <w:i/>
        </w:rPr>
        <w:t>Fanziyeva</w:t>
      </w:r>
      <w:proofErr w:type="spellEnd"/>
      <w:r w:rsidRPr="000C3635" w:rsidR="00F2644D">
        <w:rPr>
          <w:i/>
        </w:rPr>
        <w:t xml:space="preserve"> v. </w:t>
      </w:r>
      <w:r w:rsidRPr="000C3635">
        <w:rPr>
          <w:i/>
        </w:rPr>
        <w:t>Russia</w:t>
      </w:r>
      <w:r w:rsidRPr="000C3635">
        <w:rPr>
          <w:snapToGrid w:val="0"/>
        </w:rPr>
        <w:t xml:space="preserve">, </w:t>
      </w:r>
      <w:r w:rsidRPr="000C3635">
        <w:t>no. 41675/08</w:t>
      </w:r>
      <w:r w:rsidRPr="000C3635">
        <w:rPr>
          <w:snapToGrid w:val="0"/>
        </w:rPr>
        <w:t xml:space="preserve">, § 51, 18 </w:t>
      </w:r>
      <w:r w:rsidRPr="000C3635">
        <w:t>June</w:t>
      </w:r>
      <w:r w:rsidRPr="000C3635">
        <w:rPr>
          <w:snapToGrid w:val="0"/>
        </w:rPr>
        <w:t xml:space="preserve"> 2015)</w:t>
      </w:r>
      <w:r w:rsidRPr="000C3635">
        <w:rPr>
          <w:rFonts w:eastAsiaTheme="majorEastAsia"/>
        </w:rPr>
        <w:t>.</w:t>
      </w:r>
    </w:p>
    <w:p w:rsidRPr="000C3635" w:rsidR="009217FF" w:rsidP="000C3635" w:rsidRDefault="00F2644D">
      <w:pPr>
        <w:pStyle w:val="ECHRHeading5"/>
      </w:pPr>
      <w:r w:rsidRPr="000C3635">
        <w:t>(ii)  </w:t>
      </w:r>
      <w:r w:rsidRPr="000C3635" w:rsidR="009217FF">
        <w:t>Application of these principles to the present case</w:t>
      </w:r>
    </w:p>
    <w:p w:rsidRPr="000C3635" w:rsidR="009217FF" w:rsidP="000C3635" w:rsidRDefault="009217FF">
      <w:pPr>
        <w:pStyle w:val="ECHRPara"/>
      </w:pPr>
      <w:r w:rsidRPr="000C3635">
        <w:t>40.  Turning to the circumstances of the present case, the Court notes that the available documents show that the authorities did take certain investigative measures. A pre-trial investigation</w:t>
      </w:r>
      <w:r w:rsidRPr="000C3635" w:rsidR="00F2644D">
        <w:t xml:space="preserve"> was opened on 5 </w:t>
      </w:r>
      <w:r w:rsidRPr="000C3635">
        <w:t>January 2012 – the day of the fire. However, the applicant was questione</w:t>
      </w:r>
      <w:r w:rsidRPr="000C3635" w:rsidR="00F2644D">
        <w:t>d only a year later and the pre</w:t>
      </w:r>
      <w:r w:rsidRPr="000C3635" w:rsidR="00F2644D">
        <w:noBreakHyphen/>
      </w:r>
      <w:r w:rsidRPr="000C3635">
        <w:t>trial inv</w:t>
      </w:r>
      <w:r w:rsidRPr="000C3635" w:rsidR="00F2644D">
        <w:t>estigation was suspended twenty</w:t>
      </w:r>
      <w:r w:rsidRPr="000C3635" w:rsidR="00F2644D">
        <w:noBreakHyphen/>
      </w:r>
      <w:r w:rsidRPr="000C3635">
        <w:t xml:space="preserve">two months later, on 5 November 2013 (see paragraphs </w:t>
      </w:r>
      <w:r w:rsidRPr="000C3635">
        <w:rPr>
          <w:lang w:val="lt-LT"/>
        </w:rPr>
        <w:t>7</w:t>
      </w:r>
      <w:r w:rsidRPr="000C3635">
        <w:t>, 10 and 11 above).</w:t>
      </w:r>
    </w:p>
    <w:p w:rsidRPr="000C3635" w:rsidR="009217FF" w:rsidP="000C3635" w:rsidRDefault="009217FF">
      <w:pPr>
        <w:pStyle w:val="ECHRPara"/>
      </w:pPr>
      <w:r w:rsidRPr="000C3635">
        <w:t>41.  The Court notes that the investigation did not establish anyone responsible. Although the decision to suspend it was quite concise, the fact that no one responsible for the fire had been identified does not raise an issue in itself.</w:t>
      </w:r>
    </w:p>
    <w:p w:rsidRPr="000C3635" w:rsidR="009217FF" w:rsidP="000C3635" w:rsidRDefault="009217FF">
      <w:pPr>
        <w:pStyle w:val="ECHRPara"/>
      </w:pPr>
      <w:r w:rsidRPr="000C3635">
        <w:t>42.  The Court notes that the applicant claimed that he had not been informed of the suspension of the pre-tri</w:t>
      </w:r>
      <w:r w:rsidRPr="000C3635" w:rsidR="00F2644D">
        <w:t>al investigation (see paragraph </w:t>
      </w:r>
      <w:r w:rsidRPr="000C3635">
        <w:t>11 and 27 above). The Government claimed that the applicant had to appeal against the suspension of the pre-tri</w:t>
      </w:r>
      <w:r w:rsidRPr="000C3635" w:rsidR="00F2644D">
        <w:t>al investigation (see paragraph </w:t>
      </w:r>
      <w:r w:rsidRPr="000C3635">
        <w:t xml:space="preserve">27 above). However, in the absence of any explanation from the Government, the Court considers that the prosecuting authorities failed to inform the applicant of the progress of the investigation and to provide him in a timely manner with the relevant decisions taken within the framework of the criminal proceedings. </w:t>
      </w:r>
      <w:proofErr w:type="gramStart"/>
      <w:r w:rsidRPr="000C3635">
        <w:t>The applicant, who was granted victim status (see paragraph 10 above), thus could not appeal against the decision to suspend the pre-trial investigation.</w:t>
      </w:r>
      <w:proofErr w:type="gramEnd"/>
      <w:r w:rsidRPr="000C3635">
        <w:t xml:space="preserve"> The Court reiterates that it is not its role to speculate as to whether the outcome of the proceedings would have been different if the applicant had been informed </w:t>
      </w:r>
      <w:r w:rsidRPr="000C3635" w:rsidR="00F2644D">
        <w:t>about the suspension of the pre</w:t>
      </w:r>
      <w:r w:rsidRPr="000C3635" w:rsidR="00F2644D">
        <w:noBreakHyphen/>
      </w:r>
      <w:r w:rsidRPr="000C3635">
        <w:t>trial investigation. Nevertheless, the fire had had an impact on the applicant</w:t>
      </w:r>
      <w:r w:rsidRPr="000C3635" w:rsidR="000C3635">
        <w:t>’</w:t>
      </w:r>
      <w:r w:rsidRPr="000C3635">
        <w:t>s life and health, and in these circumstances the deprivation of the possibility to appeal had been of certain importance.</w:t>
      </w:r>
    </w:p>
    <w:p w:rsidRPr="000C3635" w:rsidR="009217FF" w:rsidP="000C3635" w:rsidRDefault="009217FF">
      <w:pPr>
        <w:pStyle w:val="ECHRPara"/>
        <w:rPr>
          <w:snapToGrid w:val="0"/>
        </w:rPr>
      </w:pPr>
      <w:r w:rsidRPr="000C3635">
        <w:rPr>
          <w:snapToGrid w:val="0"/>
        </w:rPr>
        <w:t xml:space="preserve">43.  The foregoing considerations are sufficient to enable the Court to conclude that the failure to inform the applicant of </w:t>
      </w:r>
      <w:r w:rsidRPr="000C3635" w:rsidR="00F2644D">
        <w:rPr>
          <w:snapToGrid w:val="0"/>
        </w:rPr>
        <w:t>the decision to suspend the pre</w:t>
      </w:r>
      <w:r w:rsidRPr="000C3635" w:rsidR="00F2644D">
        <w:rPr>
          <w:snapToGrid w:val="0"/>
        </w:rPr>
        <w:noBreakHyphen/>
      </w:r>
      <w:r w:rsidRPr="000C3635">
        <w:rPr>
          <w:snapToGrid w:val="0"/>
        </w:rPr>
        <w:t>trial investigation deprived him of an opportunity to appeal against it. It accordingly holds that there has been a violation of Article 2 of the Convention under its procedural limb on that account.</w:t>
      </w:r>
    </w:p>
    <w:p w:rsidRPr="000C3635" w:rsidR="009217FF" w:rsidP="000C3635" w:rsidRDefault="009217FF">
      <w:pPr>
        <w:pStyle w:val="ECHRHeading1"/>
      </w:pPr>
      <w:r w:rsidRPr="000C3635">
        <w:t>III.</w:t>
      </w:r>
      <w:proofErr w:type="gramStart"/>
      <w:r w:rsidRPr="000C3635">
        <w:t>  ALLEGED</w:t>
      </w:r>
      <w:proofErr w:type="gramEnd"/>
      <w:r w:rsidRPr="000C3635">
        <w:t xml:space="preserve"> VIOLATION OF ARTICLE 3 OF THE CONVENTION</w:t>
      </w:r>
    </w:p>
    <w:p w:rsidRPr="000C3635" w:rsidR="009217FF" w:rsidP="000C3635" w:rsidRDefault="009217FF">
      <w:pPr>
        <w:pStyle w:val="ECHRPara"/>
      </w:pPr>
      <w:r w:rsidRPr="000C3635">
        <w:t>44.  The applicant complained of inadequate conditions of detention. He relied on Article 3, which reads as follows:</w:t>
      </w:r>
    </w:p>
    <w:p w:rsidRPr="000C3635" w:rsidR="009217FF" w:rsidP="000C3635" w:rsidRDefault="009217FF">
      <w:pPr>
        <w:pStyle w:val="ECHRParaQuote"/>
      </w:pPr>
      <w:r w:rsidRPr="000C3635">
        <w:t>“No one shall be subjected to torture or to inhuman or degrading treatment or punishment.”</w:t>
      </w:r>
    </w:p>
    <w:p w:rsidRPr="000C3635" w:rsidR="009217FF" w:rsidP="000C3635" w:rsidRDefault="009217FF">
      <w:pPr>
        <w:pStyle w:val="ECHRHeading2"/>
      </w:pPr>
      <w:r w:rsidRPr="000C3635">
        <w:t>A.  Admissibility</w:t>
      </w:r>
    </w:p>
    <w:p w:rsidRPr="000C3635" w:rsidR="009217FF" w:rsidP="000C3635" w:rsidRDefault="009217FF">
      <w:pPr>
        <w:pStyle w:val="ECHRPara"/>
      </w:pPr>
      <w:r w:rsidRPr="000C3635">
        <w:t>45.  The Government submitted that the domestic courts had acknowledged a violation of domestic norms and of Article 3 of the Convention and had awarded the applicant sufficient compensation, and that this had deprived him of victim status.</w:t>
      </w:r>
    </w:p>
    <w:p w:rsidRPr="000C3635" w:rsidR="009217FF" w:rsidP="000C3635" w:rsidRDefault="009217FF">
      <w:pPr>
        <w:pStyle w:val="ECHRPara"/>
      </w:pPr>
      <w:r w:rsidRPr="000C3635">
        <w:t>46.  The applicant considered that he retained his victim status because the compensation awarded had been insufficient.</w:t>
      </w:r>
    </w:p>
    <w:p w:rsidRPr="000C3635" w:rsidR="009217FF" w:rsidP="000C3635" w:rsidRDefault="009217FF">
      <w:pPr>
        <w:pStyle w:val="ECHRPara"/>
      </w:pPr>
      <w:r w:rsidRPr="000C3635">
        <w:t>47.  The principles governing the assessment of an applicant</w:t>
      </w:r>
      <w:r w:rsidRPr="000C3635" w:rsidR="000C3635">
        <w:t>’</w:t>
      </w:r>
      <w:r w:rsidRPr="000C3635">
        <w:t>s victim status have been summarised in paragraphs 178-92 of the Court</w:t>
      </w:r>
      <w:r w:rsidRPr="000C3635" w:rsidR="000C3635">
        <w:t>’</w:t>
      </w:r>
      <w:r w:rsidRPr="000C3635">
        <w:t xml:space="preserve">s judgment in the case of </w:t>
      </w:r>
      <w:proofErr w:type="spellStart"/>
      <w:r w:rsidRPr="000C3635">
        <w:rPr>
          <w:i/>
        </w:rPr>
        <w:t>Scordino</w:t>
      </w:r>
      <w:proofErr w:type="spellEnd"/>
      <w:r w:rsidRPr="000C3635">
        <w:rPr>
          <w:i/>
        </w:rPr>
        <w:t xml:space="preserve"> v. Italy</w:t>
      </w:r>
      <w:r w:rsidRPr="000C3635">
        <w:t xml:space="preserve"> (no. 1) ([GC], no. 36813/97, ECHR 2006</w:t>
      </w:r>
      <w:r w:rsidRPr="000C3635">
        <w:noBreakHyphen/>
        <w:t>V). In that connection, the Court notes that a decision or measure favourable to the applicant is not, in principle, sufficient to deprive him or her of his or her status as a “victim” for the purposes of Article 34 of the Convention unless the national authorities have acknowledged, either expressly or in substance, and then afforded redress for the breach of the Convention. One of the characteristics of sufficient redress which may remove a litigant</w:t>
      </w:r>
      <w:r w:rsidRPr="000C3635" w:rsidR="000C3635">
        <w:t>’</w:t>
      </w:r>
      <w:r w:rsidRPr="000C3635">
        <w:t>s victim status relates to the amount awarded as a result of using the domestic remedy. The Court indicates that an applicant</w:t>
      </w:r>
      <w:r w:rsidRPr="000C3635" w:rsidR="000C3635">
        <w:t>’</w:t>
      </w:r>
      <w:r w:rsidRPr="000C3635">
        <w:t>s victim status may depend on the level of compensation awarded at domestic level on the basis of the facts about which he or she compla</w:t>
      </w:r>
      <w:r w:rsidRPr="000C3635" w:rsidR="00F2644D">
        <w:t>ins before the Court (ibid., §§ 180 and </w:t>
      </w:r>
      <w:r w:rsidRPr="000C3635">
        <w:t>202).</w:t>
      </w:r>
    </w:p>
    <w:p w:rsidRPr="000C3635" w:rsidR="009217FF" w:rsidP="000C3635" w:rsidRDefault="009217FF">
      <w:pPr>
        <w:pStyle w:val="ECHRPara"/>
      </w:pPr>
      <w:r w:rsidRPr="000C3635">
        <w:t>48.  The Court also refers to the general principles concerning the assessment of an applicant</w:t>
      </w:r>
      <w:r w:rsidRPr="000C3635" w:rsidR="000C3635">
        <w:t>’</w:t>
      </w:r>
      <w:r w:rsidRPr="000C3635">
        <w:t>s victim status in cases of conditions of detention, stemming from its case</w:t>
      </w:r>
      <w:r w:rsidRPr="000C3635">
        <w:noBreakHyphen/>
        <w:t>law and to its earlier findings (</w:t>
      </w:r>
      <w:proofErr w:type="gramStart"/>
      <w:r w:rsidRPr="000C3635">
        <w:t>see</w:t>
      </w:r>
      <w:proofErr w:type="gramEnd"/>
      <w:r w:rsidRPr="000C3635">
        <w:t xml:space="preserve"> </w:t>
      </w:r>
      <w:proofErr w:type="spellStart"/>
      <w:r w:rsidRPr="000C3635">
        <w:rPr>
          <w:i/>
        </w:rPr>
        <w:t>Mironovas</w:t>
      </w:r>
      <w:proofErr w:type="spellEnd"/>
      <w:r w:rsidRPr="000C3635">
        <w:rPr>
          <w:i/>
        </w:rPr>
        <w:t xml:space="preserve"> and Others v. Lithuania</w:t>
      </w:r>
      <w:r w:rsidRPr="000C3635">
        <w:t xml:space="preserve">, nos. </w:t>
      </w:r>
      <w:hyperlink w:tgtFrame="_blank" w:history="1" w:anchor="{&quot;appno&quot;:[&quot;40828/12&quot;]}" r:id="rId14">
        <w:r w:rsidRPr="000C3635">
          <w:t>40828/12</w:t>
        </w:r>
      </w:hyperlink>
      <w:r w:rsidRPr="000C3635" w:rsidR="00F2644D">
        <w:t xml:space="preserve"> and 6 others, §§ 84</w:t>
      </w:r>
      <w:r w:rsidRPr="000C3635" w:rsidR="00F2644D">
        <w:noBreakHyphen/>
      </w:r>
      <w:r w:rsidRPr="000C3635">
        <w:t xml:space="preserve">85 </w:t>
      </w:r>
      <w:r w:rsidRPr="000C3635" w:rsidR="00F2644D">
        <w:t>and 93</w:t>
      </w:r>
      <w:r w:rsidRPr="000C3635" w:rsidR="00F2644D">
        <w:noBreakHyphen/>
      </w:r>
      <w:r w:rsidRPr="000C3635">
        <w:t>94, 8 December 2015) and the specific aspects of victim status in Lithuanian conditions o</w:t>
      </w:r>
      <w:r w:rsidRPr="000C3635" w:rsidR="00F2644D">
        <w:t>f detention cases (</w:t>
      </w:r>
      <w:proofErr w:type="gramStart"/>
      <w:r w:rsidRPr="000C3635" w:rsidR="00F2644D">
        <w:t>ibid.,</w:t>
      </w:r>
      <w:proofErr w:type="gramEnd"/>
      <w:r w:rsidRPr="000C3635" w:rsidR="00F2644D">
        <w:t xml:space="preserve"> §§ 86</w:t>
      </w:r>
      <w:r w:rsidRPr="000C3635" w:rsidR="00F2644D">
        <w:noBreakHyphen/>
      </w:r>
      <w:r w:rsidRPr="000C3635">
        <w:t>88).</w:t>
      </w:r>
    </w:p>
    <w:p w:rsidRPr="000C3635" w:rsidR="009217FF" w:rsidP="000C3635" w:rsidRDefault="009217FF">
      <w:pPr>
        <w:pStyle w:val="ECHRPara"/>
      </w:pPr>
      <w:r w:rsidRPr="000C3635">
        <w:t>49.  In the applicant</w:t>
      </w:r>
      <w:r w:rsidRPr="000C3635" w:rsidR="000C3635">
        <w:t>’</w:t>
      </w:r>
      <w:r w:rsidRPr="000C3635">
        <w:t xml:space="preserve">s case the Lithuanian courts admitted a violation of both the domestic legal norms and Article 3 of the Convention, setting out specific aspects pertinent to the conditions of detention in </w:t>
      </w:r>
      <w:proofErr w:type="spellStart"/>
      <w:r w:rsidRPr="000C3635">
        <w:t>Luki</w:t>
      </w:r>
      <w:r w:rsidRPr="000C3635">
        <w:rPr>
          <w:lang w:val="lt-LT"/>
        </w:rPr>
        <w:t>škės</w:t>
      </w:r>
      <w:proofErr w:type="spellEnd"/>
      <w:r w:rsidRPr="000C3635">
        <w:rPr>
          <w:lang w:val="lt-LT"/>
        </w:rPr>
        <w:t xml:space="preserve"> </w:t>
      </w:r>
      <w:proofErr w:type="spellStart"/>
      <w:r w:rsidRPr="000C3635">
        <w:rPr>
          <w:lang w:val="lt-LT"/>
        </w:rPr>
        <w:t>Remand</w:t>
      </w:r>
      <w:proofErr w:type="spellEnd"/>
      <w:r w:rsidRPr="000C3635">
        <w:rPr>
          <w:lang w:val="lt-LT"/>
        </w:rPr>
        <w:t xml:space="preserve"> </w:t>
      </w:r>
      <w:proofErr w:type="spellStart"/>
      <w:r w:rsidRPr="000C3635">
        <w:rPr>
          <w:lang w:val="lt-LT"/>
        </w:rPr>
        <w:t>Prison</w:t>
      </w:r>
      <w:proofErr w:type="spellEnd"/>
      <w:r w:rsidRPr="000C3635">
        <w:rPr>
          <w:lang w:val="lt-LT"/>
        </w:rPr>
        <w:t xml:space="preserve"> (</w:t>
      </w:r>
      <w:proofErr w:type="spellStart"/>
      <w:r w:rsidRPr="000C3635">
        <w:rPr>
          <w:lang w:val="lt-LT"/>
        </w:rPr>
        <w:t>see</w:t>
      </w:r>
      <w:proofErr w:type="spellEnd"/>
      <w:r w:rsidRPr="000C3635">
        <w:rPr>
          <w:lang w:val="lt-LT"/>
        </w:rPr>
        <w:t xml:space="preserve"> </w:t>
      </w:r>
      <w:proofErr w:type="spellStart"/>
      <w:r w:rsidRPr="000C3635">
        <w:rPr>
          <w:lang w:val="lt-LT"/>
        </w:rPr>
        <w:t>paragraphs</w:t>
      </w:r>
      <w:proofErr w:type="spellEnd"/>
      <w:r w:rsidRPr="000C3635">
        <w:rPr>
          <w:lang w:val="lt-LT"/>
        </w:rPr>
        <w:t xml:space="preserve"> </w:t>
      </w:r>
      <w:r w:rsidRPr="000C3635">
        <w:t>15</w:t>
      </w:r>
      <w:r w:rsidRPr="000C3635">
        <w:rPr>
          <w:lang w:val="lt-LT"/>
        </w:rPr>
        <w:t xml:space="preserve"> </w:t>
      </w:r>
      <w:proofErr w:type="spellStart"/>
      <w:r w:rsidRPr="000C3635">
        <w:rPr>
          <w:lang w:val="lt-LT"/>
        </w:rPr>
        <w:t>and</w:t>
      </w:r>
      <w:proofErr w:type="spellEnd"/>
      <w:r w:rsidRPr="000C3635">
        <w:rPr>
          <w:lang w:val="lt-LT"/>
        </w:rPr>
        <w:t xml:space="preserve"> </w:t>
      </w:r>
      <w:r w:rsidRPr="000C3635">
        <w:t>16</w:t>
      </w:r>
      <w:r w:rsidRPr="000C3635">
        <w:rPr>
          <w:lang w:val="lt-LT"/>
        </w:rPr>
        <w:t xml:space="preserve"> </w:t>
      </w:r>
      <w:proofErr w:type="spellStart"/>
      <w:r w:rsidRPr="000C3635">
        <w:rPr>
          <w:lang w:val="lt-LT"/>
        </w:rPr>
        <w:t>above</w:t>
      </w:r>
      <w:proofErr w:type="spellEnd"/>
      <w:r w:rsidRPr="000C3635">
        <w:rPr>
          <w:lang w:val="lt-LT"/>
        </w:rPr>
        <w:t xml:space="preserve">). </w:t>
      </w:r>
      <w:proofErr w:type="spellStart"/>
      <w:r w:rsidRPr="000C3635">
        <w:rPr>
          <w:lang w:val="lt-LT"/>
        </w:rPr>
        <w:t>However</w:t>
      </w:r>
      <w:proofErr w:type="spellEnd"/>
      <w:r w:rsidRPr="000C3635">
        <w:rPr>
          <w:lang w:val="lt-LT"/>
        </w:rPr>
        <w:t xml:space="preserve">, </w:t>
      </w:r>
      <w:proofErr w:type="spellStart"/>
      <w:r w:rsidRPr="000C3635">
        <w:rPr>
          <w:lang w:val="lt-LT"/>
        </w:rPr>
        <w:t>the</w:t>
      </w:r>
      <w:proofErr w:type="spellEnd"/>
      <w:r w:rsidRPr="000C3635">
        <w:rPr>
          <w:lang w:val="lt-LT"/>
        </w:rPr>
        <w:t xml:space="preserve"> </w:t>
      </w:r>
      <w:proofErr w:type="spellStart"/>
      <w:r w:rsidRPr="000C3635">
        <w:rPr>
          <w:lang w:val="lt-LT"/>
        </w:rPr>
        <w:t>Court</w:t>
      </w:r>
      <w:proofErr w:type="spellEnd"/>
      <w:r w:rsidRPr="000C3635">
        <w:rPr>
          <w:lang w:val="lt-LT"/>
        </w:rPr>
        <w:t xml:space="preserve"> </w:t>
      </w:r>
      <w:proofErr w:type="spellStart"/>
      <w:r w:rsidRPr="000C3635">
        <w:rPr>
          <w:lang w:val="lt-LT"/>
        </w:rPr>
        <w:t>considers</w:t>
      </w:r>
      <w:proofErr w:type="spellEnd"/>
      <w:r w:rsidRPr="000C3635">
        <w:rPr>
          <w:lang w:val="lt-LT"/>
        </w:rPr>
        <w:t xml:space="preserve"> </w:t>
      </w:r>
      <w:proofErr w:type="spellStart"/>
      <w:r w:rsidRPr="000C3635">
        <w:rPr>
          <w:lang w:val="lt-LT"/>
        </w:rPr>
        <w:t>that</w:t>
      </w:r>
      <w:proofErr w:type="spellEnd"/>
      <w:r w:rsidRPr="000C3635">
        <w:rPr>
          <w:lang w:val="lt-LT"/>
        </w:rPr>
        <w:t xml:space="preserve"> </w:t>
      </w:r>
      <w:r w:rsidRPr="000C3635">
        <w:t>even thoug</w:t>
      </w:r>
      <w:r w:rsidRPr="000C3635" w:rsidR="00F2644D">
        <w:t>h the applicant was awarded EUR </w:t>
      </w:r>
      <w:r w:rsidRPr="000C3635">
        <w:t xml:space="preserve">579 for the time spent in </w:t>
      </w:r>
      <w:proofErr w:type="spellStart"/>
      <w:r w:rsidRPr="000C3635">
        <w:t>Luki</w:t>
      </w:r>
      <w:r w:rsidRPr="000C3635">
        <w:rPr>
          <w:lang w:val="lt-LT"/>
        </w:rPr>
        <w:t>škės</w:t>
      </w:r>
      <w:proofErr w:type="spellEnd"/>
      <w:r w:rsidRPr="000C3635">
        <w:rPr>
          <w:lang w:val="lt-LT"/>
        </w:rPr>
        <w:t xml:space="preserve"> </w:t>
      </w:r>
      <w:proofErr w:type="spellStart"/>
      <w:r w:rsidRPr="000C3635">
        <w:rPr>
          <w:lang w:val="lt-LT"/>
        </w:rPr>
        <w:t>Remand</w:t>
      </w:r>
      <w:proofErr w:type="spellEnd"/>
      <w:r w:rsidRPr="000C3635">
        <w:rPr>
          <w:lang w:val="lt-LT"/>
        </w:rPr>
        <w:t xml:space="preserve"> </w:t>
      </w:r>
      <w:proofErr w:type="spellStart"/>
      <w:r w:rsidRPr="000C3635">
        <w:rPr>
          <w:lang w:val="lt-LT"/>
        </w:rPr>
        <w:t>Prison</w:t>
      </w:r>
      <w:proofErr w:type="spellEnd"/>
      <w:r w:rsidRPr="000C3635">
        <w:rPr>
          <w:lang w:val="lt-LT"/>
        </w:rPr>
        <w:t xml:space="preserve">, </w:t>
      </w:r>
      <w:proofErr w:type="spellStart"/>
      <w:r w:rsidRPr="000C3635">
        <w:rPr>
          <w:lang w:val="lt-LT"/>
        </w:rPr>
        <w:t>this</w:t>
      </w:r>
      <w:proofErr w:type="spellEnd"/>
      <w:r w:rsidRPr="000C3635">
        <w:rPr>
          <w:lang w:val="lt-LT"/>
        </w:rPr>
        <w:t xml:space="preserve"> </w:t>
      </w:r>
      <w:proofErr w:type="spellStart"/>
      <w:r w:rsidRPr="000C3635">
        <w:rPr>
          <w:lang w:val="lt-LT"/>
        </w:rPr>
        <w:t>amount</w:t>
      </w:r>
      <w:proofErr w:type="spellEnd"/>
      <w:r w:rsidRPr="000C3635">
        <w:rPr>
          <w:lang w:val="lt-LT"/>
        </w:rPr>
        <w:t xml:space="preserve">, </w:t>
      </w:r>
      <w:proofErr w:type="spellStart"/>
      <w:r w:rsidRPr="000C3635">
        <w:rPr>
          <w:lang w:val="lt-LT"/>
        </w:rPr>
        <w:t>whilst</w:t>
      </w:r>
      <w:proofErr w:type="spellEnd"/>
      <w:r w:rsidRPr="000C3635">
        <w:rPr>
          <w:lang w:val="lt-LT"/>
        </w:rPr>
        <w:t xml:space="preserve"> </w:t>
      </w:r>
      <w:r w:rsidRPr="000C3635">
        <w:t xml:space="preserve">apparently consistent with Lithuanian case-law at that time, is significantly lower than the amounts the Court awards in similar cases (see </w:t>
      </w:r>
      <w:proofErr w:type="spellStart"/>
      <w:r w:rsidRPr="000C3635">
        <w:rPr>
          <w:i/>
        </w:rPr>
        <w:t>Mironovas</w:t>
      </w:r>
      <w:proofErr w:type="spellEnd"/>
      <w:r w:rsidRPr="000C3635">
        <w:rPr>
          <w:i/>
        </w:rPr>
        <w:t xml:space="preserve"> and Others</w:t>
      </w:r>
      <w:r w:rsidRPr="000C3635">
        <w:t>, cited above, §§ 99 and 156). The Court thus considers that the applicant retains his victim status under Article 34 of the Convention and dismisses the Government</w:t>
      </w:r>
      <w:r w:rsidRPr="000C3635" w:rsidR="000C3635">
        <w:t>’</w:t>
      </w:r>
      <w:r w:rsidRPr="000C3635">
        <w:t>s preliminary objection of loss of victim status.</w:t>
      </w:r>
    </w:p>
    <w:p w:rsidRPr="000C3635" w:rsidR="009217FF" w:rsidP="000C3635" w:rsidRDefault="009217FF">
      <w:pPr>
        <w:pStyle w:val="ECHRPara"/>
      </w:pPr>
      <w:r w:rsidRPr="000C3635">
        <w:t>50.  The Court furthermore notes that the applicant</w:t>
      </w:r>
      <w:r w:rsidRPr="000C3635" w:rsidR="000C3635">
        <w:t>’</w:t>
      </w:r>
      <w:r w:rsidRPr="000C3635">
        <w:t>s complaint about his conditions of detention is not manifestly ill-founde</w:t>
      </w:r>
      <w:r w:rsidRPr="000C3635" w:rsidR="00F2644D">
        <w:t>d within the meaning of Article </w:t>
      </w:r>
      <w:r w:rsidRPr="000C3635">
        <w:t>35 § 3 (a) of the Convention. It furthermore notes that it is not inadmissible on any other grounds. It must therefore be declared admissible.</w:t>
      </w:r>
    </w:p>
    <w:p w:rsidRPr="000C3635" w:rsidR="009217FF" w:rsidP="000C3635" w:rsidRDefault="009217FF">
      <w:pPr>
        <w:pStyle w:val="ECHRHeading2"/>
        <w:rPr>
          <w:rStyle w:val="Emphasis"/>
          <w:b/>
          <w:bCs/>
          <w:i w:val="0"/>
          <w:iCs w:val="0"/>
          <w:spacing w:val="0"/>
        </w:rPr>
      </w:pPr>
      <w:r w:rsidRPr="000C3635">
        <w:t>B.  Merits</w:t>
      </w:r>
    </w:p>
    <w:p w:rsidRPr="000C3635" w:rsidR="009217FF" w:rsidP="000C3635" w:rsidRDefault="009217FF">
      <w:pPr>
        <w:pStyle w:val="ECHRHeading3"/>
      </w:pPr>
      <w:r w:rsidRPr="000C3635">
        <w:t>1.  The parties</w:t>
      </w:r>
      <w:r w:rsidRPr="000C3635" w:rsidR="000C3635">
        <w:t>’</w:t>
      </w:r>
      <w:r w:rsidRPr="000C3635">
        <w:t xml:space="preserve"> submissions</w:t>
      </w:r>
    </w:p>
    <w:p w:rsidRPr="000C3635" w:rsidR="009217FF" w:rsidP="000C3635" w:rsidRDefault="009217FF">
      <w:pPr>
        <w:pStyle w:val="ECHRPara"/>
      </w:pPr>
      <w:r w:rsidRPr="000C3635">
        <w:t xml:space="preserve">51.  The applicant submitted that in </w:t>
      </w:r>
      <w:proofErr w:type="spellStart"/>
      <w:r w:rsidRPr="000C3635">
        <w:t>Luki</w:t>
      </w:r>
      <w:r w:rsidRPr="000C3635">
        <w:rPr>
          <w:lang w:val="lt-LT"/>
        </w:rPr>
        <w:t>škės</w:t>
      </w:r>
      <w:proofErr w:type="spellEnd"/>
      <w:r w:rsidRPr="000C3635">
        <w:t xml:space="preserve"> Remand Prison he had been detained in overcrowded cells. He also complained of other unsanitary conditions (open toilets, insufficient ventilation).</w:t>
      </w:r>
    </w:p>
    <w:p w:rsidRPr="000C3635" w:rsidR="009217FF" w:rsidP="000C3635" w:rsidRDefault="009217FF">
      <w:pPr>
        <w:pStyle w:val="ECHRPara"/>
      </w:pPr>
      <w:r w:rsidRPr="000C3635">
        <w:t>52.  The Government acknowledged that for 268 days, ten evenings and three mornings the applicant had not had access to sufficient personal space. The Government observed, however, that the applicant ha</w:t>
      </w:r>
      <w:r w:rsidRPr="000C3635" w:rsidR="00F2644D">
        <w:t>d been detained for several non</w:t>
      </w:r>
      <w:r w:rsidRPr="000C3635" w:rsidR="00F2644D">
        <w:noBreakHyphen/>
      </w:r>
      <w:r w:rsidRPr="000C3635">
        <w:t>consecutive periods because he had been transferred to other facilities during this detention. The Government also noted that the applicant had bee</w:t>
      </w:r>
      <w:r w:rsidRPr="000C3635" w:rsidR="00F2644D">
        <w:t>n able to engage in various out</w:t>
      </w:r>
      <w:r w:rsidRPr="000C3635" w:rsidR="00F2644D">
        <w:noBreakHyphen/>
      </w:r>
      <w:r w:rsidRPr="000C3635">
        <w:t>of</w:t>
      </w:r>
      <w:r w:rsidRPr="000C3635" w:rsidR="00F2644D">
        <w:noBreakHyphen/>
      </w:r>
      <w:r w:rsidRPr="000C3635">
        <w:t>cell activities, and participate in sports, in cultural and religious events and social rehabilitation activities.</w:t>
      </w:r>
    </w:p>
    <w:p w:rsidRPr="000C3635" w:rsidR="009217FF" w:rsidP="000C3635" w:rsidRDefault="009217FF">
      <w:pPr>
        <w:pStyle w:val="ECHRHeading3"/>
      </w:pPr>
      <w:r w:rsidRPr="000C3635">
        <w:t>2.  The Court</w:t>
      </w:r>
      <w:r w:rsidRPr="000C3635" w:rsidR="000C3635">
        <w:t>’</w:t>
      </w:r>
      <w:r w:rsidRPr="000C3635">
        <w:t>s assessment</w:t>
      </w:r>
    </w:p>
    <w:p w:rsidRPr="000C3635" w:rsidR="009217FF" w:rsidP="000C3635" w:rsidRDefault="009217FF">
      <w:pPr>
        <w:pStyle w:val="ECHRHeading4"/>
        <w:rPr>
          <w:lang w:val="lt-LT"/>
        </w:rPr>
      </w:pPr>
      <w:r w:rsidRPr="000C3635">
        <w:t>(a)</w:t>
      </w:r>
      <w:r w:rsidRPr="000C3635" w:rsidR="00F2644D">
        <w:t> </w:t>
      </w:r>
      <w:r w:rsidRPr="000C3635">
        <w:t xml:space="preserve"> General remarks about </w:t>
      </w:r>
      <w:proofErr w:type="spellStart"/>
      <w:r w:rsidRPr="000C3635">
        <w:t>Luki</w:t>
      </w:r>
      <w:r w:rsidRPr="000C3635">
        <w:rPr>
          <w:lang w:val="lt-LT"/>
        </w:rPr>
        <w:t>škės</w:t>
      </w:r>
      <w:proofErr w:type="spellEnd"/>
      <w:r w:rsidRPr="000C3635">
        <w:rPr>
          <w:lang w:val="lt-LT"/>
        </w:rPr>
        <w:t xml:space="preserve"> </w:t>
      </w:r>
      <w:proofErr w:type="spellStart"/>
      <w:r w:rsidRPr="000C3635">
        <w:rPr>
          <w:lang w:val="lt-LT"/>
        </w:rPr>
        <w:t>Remand</w:t>
      </w:r>
      <w:proofErr w:type="spellEnd"/>
      <w:r w:rsidRPr="000C3635">
        <w:rPr>
          <w:lang w:val="lt-LT"/>
        </w:rPr>
        <w:t xml:space="preserve"> </w:t>
      </w:r>
      <w:proofErr w:type="spellStart"/>
      <w:r w:rsidRPr="000C3635">
        <w:rPr>
          <w:lang w:val="lt-LT"/>
        </w:rPr>
        <w:t>Prison</w:t>
      </w:r>
      <w:proofErr w:type="spellEnd"/>
    </w:p>
    <w:p w:rsidRPr="000C3635" w:rsidR="009217FF" w:rsidP="000C3635" w:rsidRDefault="009217FF">
      <w:pPr>
        <w:pStyle w:val="ECHRPara"/>
      </w:pPr>
      <w:bookmarkStart w:name="CPTlukiskes" w:id="14"/>
      <w:r w:rsidRPr="000C3635">
        <w:rPr>
          <w:lang w:val="lt-LT"/>
        </w:rPr>
        <w:t>53</w:t>
      </w:r>
      <w:bookmarkEnd w:id="14"/>
      <w:r w:rsidRPr="000C3635">
        <w:rPr>
          <w:lang w:val="lt-LT"/>
        </w:rPr>
        <w:t>.  </w:t>
      </w:r>
      <w:r w:rsidRPr="000C3635">
        <w:t xml:space="preserve">The Court notes that it had already had a chance to make general remarks about </w:t>
      </w:r>
      <w:proofErr w:type="spellStart"/>
      <w:r w:rsidRPr="000C3635">
        <w:t>Lukiškės</w:t>
      </w:r>
      <w:proofErr w:type="spellEnd"/>
      <w:r w:rsidRPr="000C3635">
        <w:t xml:space="preserve"> Remand Prison (see </w:t>
      </w:r>
      <w:proofErr w:type="spellStart"/>
      <w:r w:rsidRPr="000C3635" w:rsidR="00F2644D">
        <w:rPr>
          <w:i/>
          <w:iCs/>
        </w:rPr>
        <w:t>Ščensnovičius</w:t>
      </w:r>
      <w:proofErr w:type="spellEnd"/>
      <w:r w:rsidRPr="000C3635" w:rsidR="00F2644D">
        <w:rPr>
          <w:i/>
          <w:iCs/>
        </w:rPr>
        <w:t xml:space="preserve"> v. </w:t>
      </w:r>
      <w:r w:rsidRPr="000C3635">
        <w:rPr>
          <w:i/>
          <w:iCs/>
        </w:rPr>
        <w:t>Lithuania</w:t>
      </w:r>
      <w:r w:rsidRPr="000C3635">
        <w:rPr>
          <w:lang w:eastAsia="en-GB"/>
        </w:rPr>
        <w:t>, no. </w:t>
      </w:r>
      <w:r w:rsidRPr="000C3635">
        <w:t>62663/13</w:t>
      </w:r>
      <w:r w:rsidRPr="000C3635">
        <w:rPr>
          <w:lang w:eastAsia="en-GB"/>
        </w:rPr>
        <w:t xml:space="preserve">, </w:t>
      </w:r>
      <w:r w:rsidRPr="000C3635" w:rsidR="00402306">
        <w:t>§ 76, 10 July 2018</w:t>
      </w:r>
      <w:r w:rsidRPr="000C3635">
        <w:t xml:space="preserve"> and </w:t>
      </w:r>
      <w:proofErr w:type="spellStart"/>
      <w:r w:rsidRPr="000C3635">
        <w:rPr>
          <w:i/>
        </w:rPr>
        <w:t>Aleksandravičius</w:t>
      </w:r>
      <w:proofErr w:type="spellEnd"/>
      <w:r w:rsidRPr="000C3635">
        <w:rPr>
          <w:i/>
        </w:rPr>
        <w:t xml:space="preserve"> and Others v. Lithuania</w:t>
      </w:r>
      <w:r w:rsidRPr="000C3635">
        <w:t xml:space="preserve"> [Committee], nos. 32344/13 and 4 others, § 37, 4 July 2017).</w:t>
      </w:r>
    </w:p>
    <w:p w:rsidRPr="000C3635" w:rsidR="009217FF" w:rsidP="000C3635" w:rsidRDefault="009217FF">
      <w:pPr>
        <w:pStyle w:val="ECHRHeading4"/>
      </w:pPr>
      <w:r w:rsidRPr="000C3635">
        <w:t>(b)</w:t>
      </w:r>
      <w:r w:rsidRPr="000C3635" w:rsidR="00F2644D">
        <w:t> </w:t>
      </w:r>
      <w:r w:rsidRPr="000C3635">
        <w:t> The applicant</w:t>
      </w:r>
      <w:r w:rsidRPr="000C3635" w:rsidR="000C3635">
        <w:t>’</w:t>
      </w:r>
      <w:r w:rsidRPr="000C3635">
        <w:t>s situation</w:t>
      </w:r>
    </w:p>
    <w:p w:rsidRPr="000C3635" w:rsidR="009217FF" w:rsidP="000C3635" w:rsidRDefault="009217FF">
      <w:pPr>
        <w:pStyle w:val="ECHRPara"/>
        <w:rPr>
          <w:lang w:val="pt-PT"/>
        </w:rPr>
      </w:pPr>
      <w:r w:rsidRPr="000C3635">
        <w:t>54.  The Court refers to the pr</w:t>
      </w:r>
      <w:r w:rsidRPr="000C3635" w:rsidR="00F2644D">
        <w:t>inciples summarised in its case</w:t>
      </w:r>
      <w:r w:rsidRPr="000C3635" w:rsidR="00F2644D">
        <w:noBreakHyphen/>
      </w:r>
      <w:r w:rsidRPr="000C3635">
        <w:t xml:space="preserve">law regarding overcrowding (see </w:t>
      </w:r>
      <w:proofErr w:type="spellStart"/>
      <w:r w:rsidRPr="000C3635">
        <w:rPr>
          <w:i/>
          <w:lang w:val="pt-PT"/>
        </w:rPr>
        <w:t>Muršić</w:t>
      </w:r>
      <w:proofErr w:type="spellEnd"/>
      <w:r w:rsidRPr="000C3635">
        <w:rPr>
          <w:lang w:val="pt-PT"/>
        </w:rPr>
        <w:t xml:space="preserve"> </w:t>
      </w:r>
      <w:r w:rsidRPr="000C3635">
        <w:rPr>
          <w:i/>
        </w:rPr>
        <w:t>v. Croatia</w:t>
      </w:r>
      <w:r w:rsidRPr="000C3635" w:rsidR="00F2644D">
        <w:t xml:space="preserve"> [GC], no. 7334/13, §§ 136</w:t>
      </w:r>
      <w:r w:rsidRPr="000C3635" w:rsidR="00F2644D">
        <w:noBreakHyphen/>
      </w:r>
      <w:r w:rsidRPr="000C3635">
        <w:t>41, ECHR 2016</w:t>
      </w:r>
      <w:r w:rsidRPr="000C3635">
        <w:rPr>
          <w:lang w:val="pt-PT"/>
        </w:rPr>
        <w:t>).</w:t>
      </w:r>
    </w:p>
    <w:p w:rsidRPr="000C3635" w:rsidR="009217FF" w:rsidP="000C3635" w:rsidRDefault="009217FF">
      <w:pPr>
        <w:pStyle w:val="ECHRPara"/>
        <w:rPr>
          <w:rFonts w:eastAsiaTheme="majorEastAsia"/>
        </w:rPr>
      </w:pPr>
      <w:r w:rsidRPr="000C3635">
        <w:rPr>
          <w:lang w:val="pt-PT"/>
        </w:rPr>
        <w:t>55.  </w:t>
      </w:r>
      <w:proofErr w:type="spellStart"/>
      <w:r w:rsidRPr="000C3635">
        <w:rPr>
          <w:lang w:val="pt-PT"/>
        </w:rPr>
        <w:t>The</w:t>
      </w:r>
      <w:proofErr w:type="spellEnd"/>
      <w:r w:rsidRPr="000C3635">
        <w:rPr>
          <w:lang w:val="pt-PT"/>
        </w:rPr>
        <w:t xml:space="preserve"> </w:t>
      </w:r>
      <w:proofErr w:type="spellStart"/>
      <w:r w:rsidRPr="000C3635">
        <w:rPr>
          <w:lang w:val="pt-PT"/>
        </w:rPr>
        <w:t>applicant</w:t>
      </w:r>
      <w:proofErr w:type="spellEnd"/>
      <w:r w:rsidRPr="000C3635">
        <w:rPr>
          <w:lang w:val="pt-PT"/>
        </w:rPr>
        <w:t xml:space="preserve"> </w:t>
      </w:r>
      <w:proofErr w:type="spellStart"/>
      <w:r w:rsidRPr="000C3635">
        <w:rPr>
          <w:lang w:val="pt-PT"/>
        </w:rPr>
        <w:t>complained</w:t>
      </w:r>
      <w:proofErr w:type="spellEnd"/>
      <w:r w:rsidRPr="000C3635">
        <w:rPr>
          <w:lang w:val="pt-PT"/>
        </w:rPr>
        <w:t xml:space="preserve"> </w:t>
      </w:r>
      <w:proofErr w:type="spellStart"/>
      <w:r w:rsidRPr="000C3635">
        <w:rPr>
          <w:lang w:val="pt-PT"/>
        </w:rPr>
        <w:t>of</w:t>
      </w:r>
      <w:proofErr w:type="spellEnd"/>
      <w:r w:rsidRPr="000C3635">
        <w:rPr>
          <w:lang w:val="pt-PT"/>
        </w:rPr>
        <w:t xml:space="preserve"> </w:t>
      </w:r>
      <w:proofErr w:type="spellStart"/>
      <w:r w:rsidRPr="000C3635">
        <w:rPr>
          <w:lang w:val="pt-PT"/>
        </w:rPr>
        <w:t>the</w:t>
      </w:r>
      <w:proofErr w:type="spellEnd"/>
      <w:r w:rsidRPr="000C3635">
        <w:rPr>
          <w:lang w:val="pt-PT"/>
        </w:rPr>
        <w:t xml:space="preserve"> </w:t>
      </w:r>
      <w:r w:rsidRPr="000C3635">
        <w:t xml:space="preserve">conditions of his detention in </w:t>
      </w:r>
      <w:r w:rsidRPr="000C3635">
        <w:rPr>
          <w:lang w:val="lt-LT"/>
        </w:rPr>
        <w:t xml:space="preserve">Lukiškės </w:t>
      </w:r>
      <w:r w:rsidRPr="000C3635">
        <w:t>Remand Prison from 7 June 2011 until 25 May 2012. The domestic courts found that for 268 days, ten evenings and three mornings the applicant had been held in overcrowded cells (see paragraphs 15</w:t>
      </w:r>
      <w:r w:rsidRPr="000C3635" w:rsidR="00F2644D">
        <w:rPr>
          <w:lang w:val="lt-LT"/>
        </w:rPr>
        <w:t xml:space="preserve"> </w:t>
      </w:r>
      <w:proofErr w:type="spellStart"/>
      <w:r w:rsidRPr="000C3635" w:rsidR="00F2644D">
        <w:rPr>
          <w:lang w:val="lt-LT"/>
        </w:rPr>
        <w:t>and</w:t>
      </w:r>
      <w:proofErr w:type="spellEnd"/>
      <w:r w:rsidRPr="000C3635" w:rsidR="00F2644D">
        <w:rPr>
          <w:lang w:val="lt-LT"/>
        </w:rPr>
        <w:t> </w:t>
      </w:r>
      <w:r w:rsidRPr="000C3635">
        <w:t>16</w:t>
      </w:r>
      <w:r w:rsidRPr="000C3635">
        <w:rPr>
          <w:lang w:val="lt-LT"/>
        </w:rPr>
        <w:t xml:space="preserve"> </w:t>
      </w:r>
      <w:proofErr w:type="spellStart"/>
      <w:r w:rsidRPr="000C3635">
        <w:rPr>
          <w:lang w:val="lt-LT"/>
        </w:rPr>
        <w:t>above</w:t>
      </w:r>
      <w:proofErr w:type="spellEnd"/>
      <w:r w:rsidRPr="000C3635">
        <w:t xml:space="preserve">). The Court finds that this is the relevant period to consider because although he had spent time also in other facilities, the applicant had less than 3 sq. m of personal space at his disposal for the majority of this period, and this created a strong presumption of a violation of Article 3 (see </w:t>
      </w:r>
      <w:proofErr w:type="spellStart"/>
      <w:r w:rsidRPr="000C3635">
        <w:rPr>
          <w:i/>
        </w:rPr>
        <w:t>Muršić</w:t>
      </w:r>
      <w:proofErr w:type="spellEnd"/>
      <w:r w:rsidRPr="000C3635" w:rsidR="00F2644D">
        <w:t>, cited above, §§ 136</w:t>
      </w:r>
      <w:r w:rsidRPr="000C3635" w:rsidR="00F2644D">
        <w:noBreakHyphen/>
      </w:r>
      <w:r w:rsidRPr="000C3635">
        <w:t>37). As for the days he had between 3 and 4 sq. m at his disposal, which, according to the information at the Court</w:t>
      </w:r>
      <w:r w:rsidRPr="000C3635" w:rsidR="000C3635">
        <w:t>’</w:t>
      </w:r>
      <w:r w:rsidRPr="000C3635" w:rsidR="00F2644D">
        <w:t>s disposal, amounted to twenty</w:t>
      </w:r>
      <w:r w:rsidRPr="000C3635" w:rsidR="00F2644D">
        <w:noBreakHyphen/>
      </w:r>
      <w:r w:rsidRPr="000C3635">
        <w:t xml:space="preserve">five and a half days </w:t>
      </w:r>
      <w:r w:rsidRPr="000C3635">
        <w:rPr>
          <w:rFonts w:eastAsiaTheme="majorEastAsia"/>
        </w:rPr>
        <w:t>and in respect of which no strong presumption of a violation of Article 3 of the Convention arises, the Court must have regard to other relevant factors (ibid., § 139). Those are the possibility of suffici</w:t>
      </w:r>
      <w:r w:rsidRPr="000C3635" w:rsidR="00F2644D">
        <w:rPr>
          <w:rFonts w:eastAsiaTheme="majorEastAsia"/>
        </w:rPr>
        <w:t>ent freedom of movement and out</w:t>
      </w:r>
      <w:r w:rsidRPr="000C3635" w:rsidR="00F2644D">
        <w:rPr>
          <w:rFonts w:eastAsiaTheme="majorEastAsia"/>
        </w:rPr>
        <w:noBreakHyphen/>
        <w:t>of</w:t>
      </w:r>
      <w:r w:rsidRPr="000C3635" w:rsidR="00F2644D">
        <w:rPr>
          <w:rFonts w:eastAsiaTheme="majorEastAsia"/>
        </w:rPr>
        <w:noBreakHyphen/>
      </w:r>
      <w:r w:rsidRPr="000C3635">
        <w:rPr>
          <w:rFonts w:eastAsiaTheme="majorEastAsia"/>
        </w:rPr>
        <w:t>cell activities and the general conditions of the applicant</w:t>
      </w:r>
      <w:r w:rsidRPr="000C3635" w:rsidR="000C3635">
        <w:rPr>
          <w:rFonts w:eastAsiaTheme="majorEastAsia"/>
        </w:rPr>
        <w:t>’</w:t>
      </w:r>
      <w:r w:rsidRPr="000C3635">
        <w:rPr>
          <w:rFonts w:eastAsiaTheme="majorEastAsia"/>
        </w:rPr>
        <w:t>s detention.</w:t>
      </w:r>
    </w:p>
    <w:p w:rsidRPr="000C3635" w:rsidR="009217FF" w:rsidP="000C3635" w:rsidRDefault="009217FF">
      <w:pPr>
        <w:pStyle w:val="ECHRPara"/>
        <w:rPr>
          <w:rFonts w:eastAsiaTheme="majorEastAsia"/>
        </w:rPr>
      </w:pPr>
      <w:r w:rsidRPr="000C3635">
        <w:rPr>
          <w:rFonts w:eastAsiaTheme="majorEastAsia"/>
        </w:rPr>
        <w:t xml:space="preserve">56.  The Court reiterates its findings as regards </w:t>
      </w:r>
      <w:proofErr w:type="spellStart"/>
      <w:r w:rsidRPr="000C3635">
        <w:rPr>
          <w:rFonts w:eastAsiaTheme="majorEastAsia"/>
        </w:rPr>
        <w:t>Lukiškės</w:t>
      </w:r>
      <w:proofErr w:type="spellEnd"/>
      <w:r w:rsidRPr="000C3635">
        <w:rPr>
          <w:rFonts w:eastAsiaTheme="majorEastAsia"/>
        </w:rPr>
        <w:t xml:space="preserve"> Remand Prison and considers that the lack of personal space was coupled with inappropriate physical conditions of detention (see </w:t>
      </w:r>
      <w:proofErr w:type="spellStart"/>
      <w:r w:rsidRPr="000C3635">
        <w:rPr>
          <w:rFonts w:eastAsiaTheme="majorEastAsia"/>
          <w:i/>
        </w:rPr>
        <w:t>Aleksandravičius</w:t>
      </w:r>
      <w:proofErr w:type="spellEnd"/>
      <w:r w:rsidRPr="000C3635">
        <w:rPr>
          <w:rFonts w:eastAsiaTheme="majorEastAsia"/>
          <w:i/>
        </w:rPr>
        <w:t xml:space="preserve"> and Others</w:t>
      </w:r>
      <w:r w:rsidRPr="000C3635" w:rsidR="00F2644D">
        <w:rPr>
          <w:rFonts w:eastAsiaTheme="majorEastAsia"/>
        </w:rPr>
        <w:t>, § </w:t>
      </w:r>
      <w:r w:rsidRPr="000C3635">
        <w:rPr>
          <w:rFonts w:eastAsiaTheme="majorEastAsia"/>
        </w:rPr>
        <w:t xml:space="preserve">37 and </w:t>
      </w:r>
      <w:proofErr w:type="spellStart"/>
      <w:r w:rsidRPr="000C3635">
        <w:rPr>
          <w:rFonts w:eastAsiaTheme="majorEastAsia"/>
          <w:i/>
        </w:rPr>
        <w:t>Ščensnovičius</w:t>
      </w:r>
      <w:proofErr w:type="spellEnd"/>
      <w:r w:rsidRPr="000C3635">
        <w:rPr>
          <w:rFonts w:eastAsiaTheme="majorEastAsia"/>
        </w:rPr>
        <w:t>, § 76, both cited above). The Court therefore finds that the applicant</w:t>
      </w:r>
      <w:r w:rsidRPr="000C3635" w:rsidR="000C3635">
        <w:rPr>
          <w:rFonts w:eastAsiaTheme="majorEastAsia"/>
        </w:rPr>
        <w:t>’</w:t>
      </w:r>
      <w:r w:rsidRPr="000C3635">
        <w:rPr>
          <w:rFonts w:eastAsiaTheme="majorEastAsia"/>
        </w:rPr>
        <w:t>s conditions of detention subjected him to hardship going beyond the unavoidable level of suffering inherent in detention and thus amounted to degrading treatment prohibited by Article 3 of the Convention.</w:t>
      </w:r>
    </w:p>
    <w:p w:rsidRPr="000C3635" w:rsidR="009217FF" w:rsidP="000C3635" w:rsidRDefault="009217FF">
      <w:pPr>
        <w:pStyle w:val="ECHRHeading1"/>
      </w:pPr>
      <w:r w:rsidRPr="000C3635">
        <w:t>IV.</w:t>
      </w:r>
      <w:proofErr w:type="gramStart"/>
      <w:r w:rsidRPr="000C3635">
        <w:t>  APPLICATION</w:t>
      </w:r>
      <w:proofErr w:type="gramEnd"/>
      <w:r w:rsidRPr="000C3635">
        <w:t xml:space="preserve"> OF ARTICLE 41 OF THE CONVENTION</w:t>
      </w:r>
    </w:p>
    <w:p w:rsidRPr="000C3635" w:rsidR="009217FF" w:rsidP="000C3635" w:rsidRDefault="009217FF">
      <w:pPr>
        <w:pStyle w:val="ECHRPara"/>
      </w:pPr>
      <w:r w:rsidRPr="000C3635">
        <w:t>57.  Article 41 of the Convention provides:</w:t>
      </w:r>
    </w:p>
    <w:p w:rsidRPr="000C3635" w:rsidR="009217FF" w:rsidP="000C3635" w:rsidRDefault="009217FF">
      <w:pPr>
        <w:pStyle w:val="ECHRParaQuote"/>
        <w:keepNext/>
        <w:keepLines/>
      </w:pPr>
      <w:r w:rsidRPr="000C3635">
        <w:t>“If the Court finds that there has been a violation of the Convention or the Protocols thereto, and if the internal law of the High Contracting Party concerned allows only partial reparation to be made, the Court shall, if necessary, afford just satisfaction to the injured party.”</w:t>
      </w:r>
    </w:p>
    <w:p w:rsidRPr="000C3635" w:rsidR="009217FF" w:rsidP="000C3635" w:rsidRDefault="009217FF">
      <w:pPr>
        <w:pStyle w:val="ECHRHeading2"/>
      </w:pPr>
      <w:r w:rsidRPr="000C3635">
        <w:t>A.  Damage</w:t>
      </w:r>
    </w:p>
    <w:p w:rsidRPr="000C3635" w:rsidR="009217FF" w:rsidP="000C3635" w:rsidRDefault="009217FF">
      <w:pPr>
        <w:pStyle w:val="ECHRPara"/>
      </w:pPr>
      <w:r w:rsidRPr="000C3635">
        <w:t>58.  The applicant claimed 160,00</w:t>
      </w:r>
      <w:r w:rsidRPr="000C3635" w:rsidR="00F2644D">
        <w:t>0 euros (EUR) in respect of non</w:t>
      </w:r>
      <w:r w:rsidRPr="000C3635" w:rsidR="00F2644D">
        <w:noBreakHyphen/>
      </w:r>
      <w:r w:rsidRPr="000C3635">
        <w:t>pecuniary damage.</w:t>
      </w:r>
    </w:p>
    <w:p w:rsidRPr="000C3635" w:rsidR="009217FF" w:rsidP="000C3635" w:rsidRDefault="009217FF">
      <w:pPr>
        <w:pStyle w:val="ECHRPara"/>
      </w:pPr>
      <w:r w:rsidRPr="000C3635">
        <w:t>59.  The Government considered the amount excessive, unreasoned and unsubstantiated.</w:t>
      </w:r>
    </w:p>
    <w:p w:rsidRPr="000C3635" w:rsidR="009217FF" w:rsidP="000C3635" w:rsidRDefault="009217FF">
      <w:pPr>
        <w:pStyle w:val="ECHRPara"/>
      </w:pPr>
      <w:r w:rsidRPr="000C3635">
        <w:t>60.  The Court considers that the applicant undoubtedly suffered distress and frustration in view of his conditions of detention and of the lack of effective investigation into the authorities</w:t>
      </w:r>
      <w:r w:rsidRPr="000C3635" w:rsidR="000C3635">
        <w:t>’</w:t>
      </w:r>
      <w:r w:rsidRPr="000C3635">
        <w:t xml:space="preserve"> conduct during the fire. However, it considers the amount claimed by him excessive. Making its assessment on an equitable basis, the</w:t>
      </w:r>
      <w:r w:rsidRPr="000C3635" w:rsidR="00F2644D">
        <w:t xml:space="preserve"> Court awards the applicant EUR </w:t>
      </w:r>
      <w:r w:rsidRPr="000C3635">
        <w:t>8,000 in respect of non</w:t>
      </w:r>
      <w:r w:rsidRPr="000C3635">
        <w:noBreakHyphen/>
        <w:t>pecuniary damage.</w:t>
      </w:r>
    </w:p>
    <w:p w:rsidRPr="000C3635" w:rsidR="009217FF" w:rsidP="000C3635" w:rsidRDefault="009217FF">
      <w:pPr>
        <w:pStyle w:val="ECHRHeading2"/>
      </w:pPr>
      <w:r w:rsidRPr="000C3635">
        <w:t>B.  Costs and expenses</w:t>
      </w:r>
    </w:p>
    <w:p w:rsidRPr="000C3635" w:rsidR="009217FF" w:rsidP="000C3635" w:rsidRDefault="009217FF">
      <w:pPr>
        <w:pStyle w:val="ECHRPara"/>
      </w:pPr>
      <w:r w:rsidRPr="000C3635">
        <w:t>61.  The applicant did not submit any claim in respect of costs and expenses. The Court is therefore not called to make any award under this head.</w:t>
      </w:r>
    </w:p>
    <w:p w:rsidRPr="000C3635" w:rsidR="009217FF" w:rsidP="000C3635" w:rsidRDefault="009217FF">
      <w:pPr>
        <w:pStyle w:val="ECHRHeading2"/>
      </w:pPr>
      <w:r w:rsidRPr="000C3635">
        <w:t>C.  Default interest</w:t>
      </w:r>
    </w:p>
    <w:p w:rsidRPr="000C3635" w:rsidR="009217FF" w:rsidP="000C3635" w:rsidRDefault="009217FF">
      <w:pPr>
        <w:pStyle w:val="ECHRPara"/>
      </w:pPr>
      <w:r w:rsidRPr="000C3635">
        <w:t>62.  The Court considers it appropriate that the default interest rate should be based on the marginal lending rate of the European Central Bank, to which should be added three percentage points.</w:t>
      </w:r>
    </w:p>
    <w:p w:rsidRPr="000C3635" w:rsidR="009217FF" w:rsidP="000C3635" w:rsidRDefault="009217FF">
      <w:pPr>
        <w:pStyle w:val="ECHRTitle1"/>
      </w:pPr>
      <w:r w:rsidRPr="000C3635">
        <w:t>FOR THESE REASONS, THE COURT, UNANIMOUSLY,</w:t>
      </w:r>
    </w:p>
    <w:p w:rsidRPr="000C3635" w:rsidR="009217FF" w:rsidP="000C3635" w:rsidRDefault="009217FF">
      <w:pPr>
        <w:pStyle w:val="JuList"/>
      </w:pPr>
      <w:r w:rsidRPr="000C3635">
        <w:t>1.  </w:t>
      </w:r>
      <w:proofErr w:type="gramStart"/>
      <w:r w:rsidRPr="000C3635">
        <w:rPr>
          <w:i/>
        </w:rPr>
        <w:t>Declares</w:t>
      </w:r>
      <w:proofErr w:type="gramEnd"/>
      <w:r w:rsidRPr="000C3635">
        <w:rPr>
          <w:color w:val="000000"/>
        </w:rPr>
        <w:t xml:space="preserve"> </w:t>
      </w:r>
      <w:r w:rsidRPr="000C3635">
        <w:t>the application admissible;</w:t>
      </w:r>
    </w:p>
    <w:p w:rsidRPr="000C3635" w:rsidR="009217FF" w:rsidP="000C3635" w:rsidRDefault="009217FF">
      <w:pPr>
        <w:pStyle w:val="JuList"/>
        <w:ind w:left="0" w:firstLine="0"/>
      </w:pPr>
    </w:p>
    <w:p w:rsidRPr="000C3635" w:rsidR="009217FF" w:rsidP="000C3635" w:rsidRDefault="009217FF">
      <w:pPr>
        <w:pStyle w:val="JuList"/>
      </w:pPr>
      <w:r w:rsidRPr="000C3635">
        <w:t>2.  </w:t>
      </w:r>
      <w:proofErr w:type="gramStart"/>
      <w:r w:rsidRPr="000C3635">
        <w:rPr>
          <w:i/>
        </w:rPr>
        <w:t>Holds</w:t>
      </w:r>
      <w:proofErr w:type="gramEnd"/>
      <w:r w:rsidRPr="000C3635">
        <w:rPr>
          <w:color w:val="000000"/>
        </w:rPr>
        <w:t xml:space="preserve"> </w:t>
      </w:r>
      <w:r w:rsidRPr="000C3635">
        <w:t>that there has been no violation of Article 2 of the Convention in its substantive limb;</w:t>
      </w:r>
    </w:p>
    <w:p w:rsidRPr="000C3635" w:rsidR="009217FF" w:rsidP="000C3635" w:rsidRDefault="009217FF">
      <w:pPr>
        <w:pStyle w:val="JuList"/>
      </w:pPr>
    </w:p>
    <w:p w:rsidRPr="000C3635" w:rsidR="009217FF" w:rsidP="000C3635" w:rsidRDefault="009217FF">
      <w:pPr>
        <w:pStyle w:val="JuList"/>
      </w:pPr>
      <w:r w:rsidRPr="000C3635">
        <w:t>3.  </w:t>
      </w:r>
      <w:proofErr w:type="gramStart"/>
      <w:r w:rsidRPr="000C3635">
        <w:rPr>
          <w:i/>
        </w:rPr>
        <w:t>Holds</w:t>
      </w:r>
      <w:proofErr w:type="gramEnd"/>
      <w:r w:rsidRPr="000C3635">
        <w:rPr>
          <w:color w:val="000000"/>
        </w:rPr>
        <w:t xml:space="preserve"> </w:t>
      </w:r>
      <w:r w:rsidRPr="000C3635">
        <w:t>that there has been a violation of Article 2 of the Convention in its procedural limb;</w:t>
      </w:r>
    </w:p>
    <w:p w:rsidRPr="000C3635" w:rsidR="009217FF" w:rsidP="000C3635" w:rsidRDefault="009217FF">
      <w:pPr>
        <w:pStyle w:val="JuList"/>
      </w:pPr>
    </w:p>
    <w:p w:rsidRPr="000C3635" w:rsidR="009217FF" w:rsidP="000C3635" w:rsidRDefault="009217FF">
      <w:pPr>
        <w:pStyle w:val="JuList"/>
      </w:pPr>
      <w:r w:rsidRPr="000C3635">
        <w:t>4.  </w:t>
      </w:r>
      <w:proofErr w:type="gramStart"/>
      <w:r w:rsidRPr="000C3635">
        <w:rPr>
          <w:i/>
        </w:rPr>
        <w:t>Holds</w:t>
      </w:r>
      <w:proofErr w:type="gramEnd"/>
      <w:r w:rsidRPr="000C3635">
        <w:rPr>
          <w:color w:val="000000"/>
        </w:rPr>
        <w:t xml:space="preserve"> </w:t>
      </w:r>
      <w:r w:rsidRPr="000C3635">
        <w:t>that there has been a violation of Article 3 of the Convention;</w:t>
      </w:r>
    </w:p>
    <w:p w:rsidRPr="000C3635" w:rsidR="009217FF" w:rsidP="000C3635" w:rsidRDefault="009217FF">
      <w:pPr>
        <w:pStyle w:val="JuList"/>
      </w:pPr>
    </w:p>
    <w:p w:rsidRPr="000C3635" w:rsidR="009217FF" w:rsidP="000C3635" w:rsidRDefault="009217FF">
      <w:pPr>
        <w:pStyle w:val="JuList"/>
      </w:pPr>
      <w:r w:rsidRPr="000C3635">
        <w:t>5.  </w:t>
      </w:r>
      <w:r w:rsidRPr="000C3635">
        <w:rPr>
          <w:i/>
        </w:rPr>
        <w:t>Holds</w:t>
      </w:r>
    </w:p>
    <w:p w:rsidRPr="000C3635" w:rsidR="009217FF" w:rsidP="000C3635" w:rsidRDefault="009217FF">
      <w:pPr>
        <w:pStyle w:val="JuLista"/>
      </w:pPr>
      <w:r w:rsidRPr="000C3635">
        <w:t>(a)  </w:t>
      </w:r>
      <w:proofErr w:type="gramStart"/>
      <w:r w:rsidRPr="000C3635">
        <w:t>that</w:t>
      </w:r>
      <w:proofErr w:type="gramEnd"/>
      <w:r w:rsidRPr="000C3635">
        <w:t xml:space="preserve"> the respondent State is to pay the applicant, within three months, EUR 8,000 (eight thousand euros), plus any tax that may be chargeable, in respect of non-pecuniary damage;</w:t>
      </w:r>
    </w:p>
    <w:p w:rsidRPr="000C3635" w:rsidR="009217FF" w:rsidP="000C3635" w:rsidRDefault="009217FF">
      <w:pPr>
        <w:pStyle w:val="JuLista"/>
      </w:pPr>
      <w:r w:rsidRPr="000C3635">
        <w:t>(b)  that from the expiry of the above-mentioned three months until settlement simple interest shall be payable on the above amount at a rate equal to the marginal lending rate of the European Central Bank during the default period plus three percentage points;</w:t>
      </w:r>
    </w:p>
    <w:p w:rsidRPr="000C3635" w:rsidR="009217FF" w:rsidP="000C3635" w:rsidRDefault="009217FF">
      <w:pPr>
        <w:pStyle w:val="JuList"/>
      </w:pPr>
    </w:p>
    <w:p w:rsidRPr="000C3635" w:rsidR="004D0EC7" w:rsidP="000C3635" w:rsidRDefault="009217FF">
      <w:pPr>
        <w:pStyle w:val="ECHRPara"/>
      </w:pPr>
      <w:r w:rsidRPr="000C3635">
        <w:t>6.  </w:t>
      </w:r>
      <w:r w:rsidRPr="000C3635">
        <w:rPr>
          <w:i/>
        </w:rPr>
        <w:t>Dismisses</w:t>
      </w:r>
      <w:r w:rsidRPr="000C3635">
        <w:rPr>
          <w:color w:val="000000"/>
        </w:rPr>
        <w:t xml:space="preserve"> </w:t>
      </w:r>
      <w:r w:rsidRPr="000C3635">
        <w:t>the remainder of the applicant</w:t>
      </w:r>
      <w:r w:rsidRPr="000C3635" w:rsidR="000C3635">
        <w:t>’</w:t>
      </w:r>
      <w:r w:rsidRPr="000C3635">
        <w:t>s claim for just satisfaction.</w:t>
      </w:r>
    </w:p>
    <w:p w:rsidRPr="000C3635" w:rsidR="008E3A08" w:rsidP="000C3635" w:rsidRDefault="007E2C8C">
      <w:pPr>
        <w:pStyle w:val="JuParaLast"/>
      </w:pPr>
      <w:r w:rsidRPr="000C3635">
        <w:t xml:space="preserve">Done in English, and notified in writing on </w:t>
      </w:r>
      <w:r w:rsidRPr="000C3635" w:rsidR="009217FF">
        <w:rPr>
          <w:rFonts w:ascii="Times New Roman" w:hAnsi="Times New Roman" w:cs="Times New Roman"/>
        </w:rPr>
        <w:t>16 April 2019</w:t>
      </w:r>
      <w:r w:rsidRPr="000C3635">
        <w:t>, pursuant to Rule 77 §§ 2 and 3 of the Rules of Court.</w:t>
      </w:r>
    </w:p>
    <w:p w:rsidRPr="000C3635" w:rsidR="001C055B" w:rsidP="000C3635" w:rsidRDefault="00842EAD">
      <w:pPr>
        <w:pStyle w:val="JuSigned"/>
        <w:tabs>
          <w:tab w:val="clear" w:pos="6407"/>
          <w:tab w:val="center" w:pos="5954"/>
        </w:tabs>
      </w:pPr>
      <w:r w:rsidRPr="000C3635">
        <w:tab/>
      </w:r>
      <w:r w:rsidRPr="000C3635" w:rsidR="009217FF">
        <w:t>Andrea Tamietti</w:t>
      </w:r>
      <w:r w:rsidRPr="000C3635" w:rsidR="005879A2">
        <w:t xml:space="preserve"> </w:t>
      </w:r>
      <w:r w:rsidRPr="000C3635" w:rsidR="009F4C8F">
        <w:tab/>
      </w:r>
      <w:r w:rsidRPr="000C3635" w:rsidR="009217FF">
        <w:rPr>
          <w:szCs w:val="24"/>
        </w:rPr>
        <w:t>Paulo Pinto de Albuquerque</w:t>
      </w:r>
      <w:r w:rsidRPr="000C3635" w:rsidR="009F4C8F">
        <w:rPr>
          <w:szCs w:val="24"/>
        </w:rPr>
        <w:br/>
      </w:r>
      <w:r w:rsidRPr="000C3635" w:rsidR="009F4C8F">
        <w:tab/>
      </w:r>
      <w:r w:rsidRPr="000C3635" w:rsidR="009217FF">
        <w:t xml:space="preserve">Deputy </w:t>
      </w:r>
      <w:r w:rsidRPr="000C3635" w:rsidR="009217FF">
        <w:rPr>
          <w:iCs/>
        </w:rPr>
        <w:t>Registrar</w:t>
      </w:r>
      <w:r w:rsidRPr="000C3635" w:rsidR="009F4C8F">
        <w:tab/>
        <w:t>President</w:t>
      </w:r>
    </w:p>
    <w:p w:rsidRPr="000C3635" w:rsidR="002A613A" w:rsidP="000C3635" w:rsidRDefault="002A613A">
      <w:pPr>
        <w:rPr>
          <w:lang w:val="en-GB"/>
        </w:rPr>
      </w:pPr>
    </w:p>
    <w:sectPr w:rsidRPr="000C3635" w:rsidR="002A613A" w:rsidSect="000B7195">
      <w:headerReference w:type="even" r:id="rId15"/>
      <w:headerReference w:type="default" r:id="rId16"/>
      <w:footerReference w:type="even" r:id="rId17"/>
      <w:footerReference w:type="default" r:id="rId18"/>
      <w:footnotePr>
        <w:numRestart w:val="eachSect"/>
      </w:footnotePr>
      <w:pgSz w:w="11906" w:h="16838" w:code="9"/>
      <w:pgMar w:top="2274" w:right="2274" w:bottom="2274" w:left="2274" w:header="1701" w:footer="720" w:gutter="0"/>
      <w:pgNumType w:start="1"/>
      <w:cols w:space="720"/>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9217FF" w:rsidRPr="00085457" w:rsidRDefault="009217FF" w:rsidP="0098410D">
      <w:pPr>
        <w:rPr>
          <w:lang w:val="en-GB"/>
        </w:rPr>
      </w:pPr>
      <w:r w:rsidRPr="00085457">
        <w:rPr>
          <w:lang w:val="en-GB"/>
        </w:rPr>
        <w:separator/>
      </w:r>
    </w:p>
  </w:endnote>
  <w:endnote w:type="continuationSeparator" w:id="0">
    <w:p w:rsidR="009217FF" w:rsidRPr="00085457" w:rsidRDefault="009217FF" w:rsidP="0098410D">
      <w:pPr>
        <w:rPr>
          <w:lang w:val="en-GB"/>
        </w:rPr>
      </w:pPr>
      <w:r w:rsidRPr="00085457">
        <w:rPr>
          <w:lang w:val="en-GB"/>
        </w:rP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 w:name="Consolas">
    <w:panose1 w:val="020B0609020204030204"/>
    <w:charset w:val="00"/>
    <w:family w:val="modern"/>
    <w:pitch w:val="fixed"/>
    <w:sig w:usb0="E10002FF" w:usb1="4000FCFF" w:usb2="00000009" w:usb3="00000000" w:csb0="0000019F" w:csb1="00000000"/>
  </w:font>
  <w:font w:name="Arial">
    <w:panose1 w:val="020B0604020202020204"/>
    <w:charset w:val="00"/>
    <w:family w:val="swiss"/>
    <w:pitch w:val="variable"/>
    <w:sig w:usb0="E0002AFF" w:usb1="C0007843"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42EAD" w:rsidRDefault="00842EAD">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217FF" w:rsidRPr="00150BFA" w:rsidRDefault="009217FF" w:rsidP="0020718E">
    <w:pPr>
      <w:jc w:val="center"/>
    </w:pPr>
    <w:r>
      <w:rPr>
        <w:noProof/>
        <w:lang w:eastAsia="ja-JP"/>
      </w:rPr>
      <w:drawing>
        <wp:inline distT="0" distB="0" distL="0" distR="0" wp14:anchorId="3A9A7000" wp14:editId="51C7760F">
          <wp:extent cx="771525" cy="619125"/>
          <wp:effectExtent l="0" t="0" r="9525" b="9525"/>
          <wp:docPr id="34" name="Picture 34" descr="R:\1_Graphics&amp;Web\Court_Graphic_Charter\2013\ECHR_Stationery\Documents_and_Letters\Cover_Pages_And_Docs\White_600_dpi\ECHR_CoverpageCS61_ECHR_Coverpage_Footer_COE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R:\1_Graphics&amp;Web\Court_Graphic_Charter\2013\ECHR_Stationery\Documents_and_Letters\Cover_Pages_And_Docs\White_600_dpi\ECHR_CoverpageCS61_ECHR_Coverpage_Footer_COE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71525" cy="619125"/>
                  </a:xfrm>
                  <a:prstGeom prst="rect">
                    <a:avLst/>
                  </a:prstGeom>
                  <a:noFill/>
                  <a:ln>
                    <a:noFill/>
                  </a:ln>
                </pic:spPr>
              </pic:pic>
            </a:graphicData>
          </a:graphic>
        </wp:inline>
      </w:drawing>
    </w:r>
  </w:p>
  <w:p w:rsidR="0098410D" w:rsidRPr="00085457" w:rsidRDefault="0098410D" w:rsidP="00AF12C5">
    <w:pPr>
      <w:pStyle w:val="Footer"/>
      <w:jc w:val="center"/>
      <w:rPr>
        <w:sz w:val="4"/>
        <w:szCs w:val="4"/>
        <w:lang w:val="en-GB"/>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42EAD" w:rsidRDefault="00842EAD">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26D3D" w:rsidRDefault="00511E6C">
    <w:pPr>
      <w:pStyle w:val="Footer"/>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26D3D" w:rsidRPr="000B7195" w:rsidRDefault="00511E6C" w:rsidP="00AF12C5">
    <w:pPr>
      <w:pStyle w:val="Footer"/>
      <w:rPr>
        <w:lang w:val="en-GB"/>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9217FF" w:rsidRPr="00085457" w:rsidRDefault="009217FF" w:rsidP="0098410D">
      <w:pPr>
        <w:rPr>
          <w:lang w:val="en-GB"/>
        </w:rPr>
      </w:pPr>
      <w:r w:rsidRPr="00085457">
        <w:rPr>
          <w:lang w:val="en-GB"/>
        </w:rPr>
        <w:separator/>
      </w:r>
    </w:p>
  </w:footnote>
  <w:footnote w:type="continuationSeparator" w:id="0">
    <w:p w:rsidR="009217FF" w:rsidRPr="00085457" w:rsidRDefault="009217FF" w:rsidP="0098410D">
      <w:pPr>
        <w:rPr>
          <w:lang w:val="en-GB"/>
        </w:rPr>
      </w:pPr>
      <w:r w:rsidRPr="00085457">
        <w:rPr>
          <w:lang w:val="en-GB"/>
        </w:rP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42EAD" w:rsidRDefault="00842EAD">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217FF" w:rsidRPr="00A45145" w:rsidRDefault="009217FF" w:rsidP="00A45145">
    <w:pPr>
      <w:jc w:val="center"/>
    </w:pPr>
    <w:r>
      <w:rPr>
        <w:noProof/>
        <w:lang w:eastAsia="ja-JP"/>
      </w:rPr>
      <w:drawing>
        <wp:inline distT="0" distB="0" distL="0" distR="0" wp14:anchorId="1DC69EC9" wp14:editId="67C6398B">
          <wp:extent cx="2962275" cy="1219200"/>
          <wp:effectExtent l="0" t="0" r="9525" b="0"/>
          <wp:docPr id="1" name="Picture 1"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962275" cy="1219200"/>
                  </a:xfrm>
                  <a:prstGeom prst="rect">
                    <a:avLst/>
                  </a:prstGeom>
                  <a:noFill/>
                  <a:ln>
                    <a:noFill/>
                  </a:ln>
                </pic:spPr>
              </pic:pic>
            </a:graphicData>
          </a:graphic>
        </wp:inline>
      </w:drawing>
    </w:r>
  </w:p>
  <w:p w:rsidR="0098410D" w:rsidRPr="00085457" w:rsidRDefault="0098410D" w:rsidP="00B14793">
    <w:pPr>
      <w:jc w:val="center"/>
      <w:rPr>
        <w:sz w:val="4"/>
        <w:szCs w:val="4"/>
        <w:lang w:val="en-GB"/>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217FF" w:rsidRPr="00A45145" w:rsidRDefault="009217FF" w:rsidP="00A45145">
    <w:pPr>
      <w:jc w:val="center"/>
    </w:pPr>
    <w:r>
      <w:rPr>
        <w:noProof/>
        <w:lang w:eastAsia="ja-JP"/>
      </w:rPr>
      <w:drawing>
        <wp:inline distT="0" distB="0" distL="0" distR="0" wp14:anchorId="6C08F0EB" wp14:editId="2E0F4E8C">
          <wp:extent cx="2962275" cy="1219200"/>
          <wp:effectExtent l="0" t="0" r="9525" b="0"/>
          <wp:docPr id="32" name="Picture 32"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962275" cy="1219200"/>
                  </a:xfrm>
                  <a:prstGeom prst="rect">
                    <a:avLst/>
                  </a:prstGeom>
                  <a:noFill/>
                  <a:ln>
                    <a:noFill/>
                  </a:ln>
                </pic:spPr>
              </pic:pic>
            </a:graphicData>
          </a:graphic>
        </wp:inline>
      </w:drawing>
    </w:r>
  </w:p>
  <w:p w:rsidR="0098410D" w:rsidRPr="00085457" w:rsidRDefault="0098410D">
    <w:pPr>
      <w:rPr>
        <w:lang w:val="en-GB"/>
      </w:rP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26D3D" w:rsidRPr="004D0EC7" w:rsidRDefault="009217FF" w:rsidP="004D0EC7">
    <w:pPr>
      <w:pStyle w:val="ECHRHeader"/>
    </w:pPr>
    <w:r>
      <w:rPr>
        <w:rStyle w:val="PageNumber"/>
      </w:rPr>
      <w:fldChar w:fldCharType="begin"/>
    </w:r>
    <w:r>
      <w:rPr>
        <w:rStyle w:val="PageNumber"/>
      </w:rPr>
      <w:instrText xml:space="preserve"> PAGE </w:instrText>
    </w:r>
    <w:r>
      <w:rPr>
        <w:rStyle w:val="PageNumber"/>
      </w:rPr>
      <w:fldChar w:fldCharType="separate"/>
    </w:r>
    <w:r w:rsidR="000C3635">
      <w:rPr>
        <w:rStyle w:val="PageNumber"/>
        <w:noProof/>
      </w:rPr>
      <w:t>14</w:t>
    </w:r>
    <w:r>
      <w:rPr>
        <w:rStyle w:val="PageNumber"/>
      </w:rPr>
      <w:fldChar w:fldCharType="end"/>
    </w:r>
    <w:r w:rsidR="00882CD5" w:rsidRPr="004D0EC7">
      <w:tab/>
    </w:r>
    <w:r>
      <w:t>MILIUKAS v. LITHUANIA</w:t>
    </w:r>
    <w:r w:rsidR="00882CD5" w:rsidRPr="004D0EC7">
      <w:t xml:space="preserve"> </w:t>
    </w:r>
    <w:r w:rsidR="008E3A08">
      <w:t>JUDGMENT</w:t>
    </w: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26D3D" w:rsidRPr="00882CD5" w:rsidRDefault="00882CD5" w:rsidP="00882CD5">
    <w:pPr>
      <w:pStyle w:val="ECHRHeader"/>
    </w:pPr>
    <w:r w:rsidRPr="00882CD5">
      <w:tab/>
    </w:r>
    <w:r w:rsidR="009217FF">
      <w:t>MILIUKAS v. LITHUANIA</w:t>
    </w:r>
    <w:r w:rsidRPr="00882CD5">
      <w:t xml:space="preserve"> JUDGMENT</w:t>
    </w:r>
    <w:r w:rsidRPr="00882CD5">
      <w:tab/>
    </w:r>
    <w:r w:rsidR="009217FF">
      <w:rPr>
        <w:rStyle w:val="PageNumber"/>
      </w:rPr>
      <w:fldChar w:fldCharType="begin"/>
    </w:r>
    <w:r w:rsidR="009217FF">
      <w:rPr>
        <w:rStyle w:val="PageNumber"/>
      </w:rPr>
      <w:instrText xml:space="preserve"> PAGE </w:instrText>
    </w:r>
    <w:r w:rsidR="009217FF">
      <w:rPr>
        <w:rStyle w:val="PageNumber"/>
      </w:rPr>
      <w:fldChar w:fldCharType="separate"/>
    </w:r>
    <w:r w:rsidR="000C3635">
      <w:rPr>
        <w:rStyle w:val="PageNumber"/>
        <w:noProof/>
      </w:rPr>
      <w:t>13</w:t>
    </w:r>
    <w:r w:rsidR="009217FF">
      <w:rPr>
        <w:rStyle w:val="PageNumber"/>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C"/>
    <w:multiLevelType w:val="singleLevel"/>
    <w:tmpl w:val="D67019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23283F32"/>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2F369A7C"/>
    <w:lvl w:ilvl="0">
      <w:start w:val="1"/>
      <w:numFmt w:val="decimal"/>
      <w:pStyle w:val="ListNumber3"/>
      <w:lvlText w:val="%1."/>
      <w:lvlJc w:val="left"/>
      <w:pPr>
        <w:tabs>
          <w:tab w:val="num" w:pos="926"/>
        </w:tabs>
        <w:ind w:left="926" w:hanging="360"/>
      </w:pPr>
    </w:lvl>
  </w:abstractNum>
  <w:abstractNum w:abstractNumId="3">
    <w:nsid w:val="FFFFFF7F"/>
    <w:multiLevelType w:val="singleLevel"/>
    <w:tmpl w:val="3346880A"/>
    <w:lvl w:ilvl="0">
      <w:start w:val="1"/>
      <w:numFmt w:val="decimal"/>
      <w:pStyle w:val="ListNumber2"/>
      <w:lvlText w:val="%1."/>
      <w:lvlJc w:val="left"/>
      <w:pPr>
        <w:tabs>
          <w:tab w:val="num" w:pos="643"/>
        </w:tabs>
        <w:ind w:left="643" w:hanging="360"/>
      </w:pPr>
    </w:lvl>
  </w:abstractNum>
  <w:abstractNum w:abstractNumId="4">
    <w:nsid w:val="FFFFFF80"/>
    <w:multiLevelType w:val="singleLevel"/>
    <w:tmpl w:val="552A83E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085AC83C"/>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87486FE2"/>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4A528BA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366C20B0"/>
    <w:lvl w:ilvl="0">
      <w:start w:val="1"/>
      <w:numFmt w:val="decimal"/>
      <w:pStyle w:val="ListNumber"/>
      <w:lvlText w:val="%1."/>
      <w:lvlJc w:val="left"/>
      <w:pPr>
        <w:tabs>
          <w:tab w:val="num" w:pos="360"/>
        </w:tabs>
        <w:ind w:left="360" w:hanging="360"/>
      </w:pPr>
    </w:lvl>
  </w:abstractNum>
  <w:abstractNum w:abstractNumId="9">
    <w:nsid w:val="0C641157"/>
    <w:multiLevelType w:val="multilevel"/>
    <w:tmpl w:val="9B34AC6C"/>
    <w:lvl w:ilvl="0">
      <w:start w:val="1"/>
      <w:numFmt w:val="decimal"/>
      <w:lvlText w:val="%1."/>
      <w:lvlJc w:val="left"/>
      <w:pPr>
        <w:tabs>
          <w:tab w:val="num" w:pos="964"/>
        </w:tabs>
        <w:ind w:left="964" w:hanging="397"/>
      </w:pPr>
      <w:rPr>
        <w:rFonts w:hint="default"/>
      </w:rPr>
    </w:lvl>
    <w:lvl w:ilvl="1">
      <w:start w:val="1"/>
      <w:numFmt w:val="lowerLetter"/>
      <w:lvlText w:val="%2."/>
      <w:lvlJc w:val="left"/>
      <w:pPr>
        <w:tabs>
          <w:tab w:val="num" w:pos="1361"/>
        </w:tabs>
        <w:ind w:left="1361" w:hanging="397"/>
      </w:pPr>
      <w:rPr>
        <w:rFonts w:hint="default"/>
      </w:rPr>
    </w:lvl>
    <w:lvl w:ilvl="2">
      <w:start w:val="1"/>
      <w:numFmt w:val="lowerRoman"/>
      <w:lvlText w:val="%3."/>
      <w:lvlJc w:val="left"/>
      <w:pPr>
        <w:tabs>
          <w:tab w:val="num" w:pos="1758"/>
        </w:tabs>
        <w:ind w:left="1758" w:hanging="397"/>
      </w:pPr>
      <w:rPr>
        <w:rFonts w:hint="default"/>
      </w:rPr>
    </w:lvl>
    <w:lvl w:ilvl="3">
      <w:start w:val="1"/>
      <w:numFmt w:val="decimal"/>
      <w:lvlText w:val="(%4)"/>
      <w:lvlJc w:val="left"/>
      <w:pPr>
        <w:tabs>
          <w:tab w:val="num" w:pos="1703"/>
        </w:tabs>
        <w:ind w:left="1703" w:hanging="284"/>
      </w:pPr>
      <w:rPr>
        <w:rFonts w:hint="default"/>
      </w:rPr>
    </w:lvl>
    <w:lvl w:ilvl="4">
      <w:start w:val="1"/>
      <w:numFmt w:val="lowerLetter"/>
      <w:lvlText w:val="(%5)"/>
      <w:lvlJc w:val="left"/>
      <w:pPr>
        <w:tabs>
          <w:tab w:val="num" w:pos="1987"/>
        </w:tabs>
        <w:ind w:left="1987" w:hanging="284"/>
      </w:pPr>
      <w:rPr>
        <w:rFonts w:hint="default"/>
      </w:rPr>
    </w:lvl>
    <w:lvl w:ilvl="5">
      <w:start w:val="1"/>
      <w:numFmt w:val="lowerRoman"/>
      <w:lvlText w:val="(%6)"/>
      <w:lvlJc w:val="left"/>
      <w:pPr>
        <w:tabs>
          <w:tab w:val="num" w:pos="2271"/>
        </w:tabs>
        <w:ind w:left="2271" w:hanging="284"/>
      </w:pPr>
      <w:rPr>
        <w:rFonts w:hint="default"/>
      </w:rPr>
    </w:lvl>
    <w:lvl w:ilvl="6">
      <w:start w:val="1"/>
      <w:numFmt w:val="decimal"/>
      <w:lvlText w:val="%7."/>
      <w:lvlJc w:val="left"/>
      <w:pPr>
        <w:tabs>
          <w:tab w:val="num" w:pos="2555"/>
        </w:tabs>
        <w:ind w:left="2555" w:hanging="284"/>
      </w:pPr>
      <w:rPr>
        <w:rFonts w:hint="default"/>
      </w:rPr>
    </w:lvl>
    <w:lvl w:ilvl="7">
      <w:start w:val="1"/>
      <w:numFmt w:val="lowerLetter"/>
      <w:lvlText w:val="%8."/>
      <w:lvlJc w:val="left"/>
      <w:pPr>
        <w:tabs>
          <w:tab w:val="num" w:pos="2839"/>
        </w:tabs>
        <w:ind w:left="2839" w:hanging="284"/>
      </w:pPr>
      <w:rPr>
        <w:rFonts w:hint="default"/>
      </w:rPr>
    </w:lvl>
    <w:lvl w:ilvl="8">
      <w:start w:val="1"/>
      <w:numFmt w:val="lowerRoman"/>
      <w:lvlText w:val="%9."/>
      <w:lvlJc w:val="left"/>
      <w:pPr>
        <w:tabs>
          <w:tab w:val="num" w:pos="3123"/>
        </w:tabs>
        <w:ind w:left="3123" w:hanging="284"/>
      </w:pPr>
      <w:rPr>
        <w:rFonts w:hint="default"/>
      </w:rPr>
    </w:lvl>
  </w:abstractNum>
  <w:abstractNum w:abstractNumId="10">
    <w:nsid w:val="1AA96CEA"/>
    <w:multiLevelType w:val="multilevel"/>
    <w:tmpl w:val="040C0023"/>
    <w:styleLink w:val="ArticleSection"/>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1">
    <w:nsid w:val="1D27094A"/>
    <w:multiLevelType w:val="multilevel"/>
    <w:tmpl w:val="040C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nsid w:val="388D47DE"/>
    <w:multiLevelType w:val="multilevel"/>
    <w:tmpl w:val="8012C870"/>
    <w:lvl w:ilvl="0">
      <w:start w:val="1"/>
      <w:numFmt w:val="decimal"/>
      <w:lvlText w:val="%1."/>
      <w:lvlJc w:val="left"/>
      <w:pPr>
        <w:ind w:left="992" w:hanging="425"/>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3">
    <w:nsid w:val="40B939E1"/>
    <w:multiLevelType w:val="multilevel"/>
    <w:tmpl w:val="040C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4">
    <w:nsid w:val="67FD1241"/>
    <w:multiLevelType w:val="hybridMultilevel"/>
    <w:tmpl w:val="F6D86CC2"/>
    <w:lvl w:ilvl="0" w:tplc="E4205412">
      <w:start w:val="1"/>
      <w:numFmt w:val="bullet"/>
      <w:pStyle w:val="ListBullet"/>
      <w:lvlText w:val=""/>
      <w:lvlJc w:val="left"/>
      <w:pPr>
        <w:tabs>
          <w:tab w:val="num" w:pos="851"/>
        </w:tabs>
        <w:ind w:left="568" w:firstLine="0"/>
      </w:pPr>
      <w:rPr>
        <w:rFonts w:ascii="Wingdings" w:hAnsi="Wingdings" w:hint="default"/>
        <w:color w:val="808080"/>
        <w:sz w:val="16"/>
      </w:rPr>
    </w:lvl>
    <w:lvl w:ilvl="1" w:tplc="08090003" w:tentative="1">
      <w:start w:val="1"/>
      <w:numFmt w:val="bullet"/>
      <w:lvlText w:val="o"/>
      <w:lvlJc w:val="left"/>
      <w:pPr>
        <w:tabs>
          <w:tab w:val="num" w:pos="1724"/>
        </w:tabs>
        <w:ind w:left="1724" w:hanging="360"/>
      </w:pPr>
      <w:rPr>
        <w:rFonts w:ascii="Courier New" w:hAnsi="Courier New" w:cs="Courier New" w:hint="default"/>
      </w:rPr>
    </w:lvl>
    <w:lvl w:ilvl="2" w:tplc="08090005" w:tentative="1">
      <w:start w:val="1"/>
      <w:numFmt w:val="bullet"/>
      <w:lvlText w:val=""/>
      <w:lvlJc w:val="left"/>
      <w:pPr>
        <w:tabs>
          <w:tab w:val="num" w:pos="2444"/>
        </w:tabs>
        <w:ind w:left="2444" w:hanging="360"/>
      </w:pPr>
      <w:rPr>
        <w:rFonts w:ascii="Wingdings" w:hAnsi="Wingdings" w:hint="default"/>
      </w:rPr>
    </w:lvl>
    <w:lvl w:ilvl="3" w:tplc="08090001" w:tentative="1">
      <w:start w:val="1"/>
      <w:numFmt w:val="bullet"/>
      <w:lvlText w:val=""/>
      <w:lvlJc w:val="left"/>
      <w:pPr>
        <w:tabs>
          <w:tab w:val="num" w:pos="3164"/>
        </w:tabs>
        <w:ind w:left="3164" w:hanging="360"/>
      </w:pPr>
      <w:rPr>
        <w:rFonts w:ascii="Symbol" w:hAnsi="Symbol" w:hint="default"/>
      </w:rPr>
    </w:lvl>
    <w:lvl w:ilvl="4" w:tplc="08090003" w:tentative="1">
      <w:start w:val="1"/>
      <w:numFmt w:val="bullet"/>
      <w:lvlText w:val="o"/>
      <w:lvlJc w:val="left"/>
      <w:pPr>
        <w:tabs>
          <w:tab w:val="num" w:pos="3884"/>
        </w:tabs>
        <w:ind w:left="3884" w:hanging="360"/>
      </w:pPr>
      <w:rPr>
        <w:rFonts w:ascii="Courier New" w:hAnsi="Courier New" w:cs="Courier New" w:hint="default"/>
      </w:rPr>
    </w:lvl>
    <w:lvl w:ilvl="5" w:tplc="08090005" w:tentative="1">
      <w:start w:val="1"/>
      <w:numFmt w:val="bullet"/>
      <w:lvlText w:val=""/>
      <w:lvlJc w:val="left"/>
      <w:pPr>
        <w:tabs>
          <w:tab w:val="num" w:pos="4604"/>
        </w:tabs>
        <w:ind w:left="4604" w:hanging="360"/>
      </w:pPr>
      <w:rPr>
        <w:rFonts w:ascii="Wingdings" w:hAnsi="Wingdings" w:hint="default"/>
      </w:rPr>
    </w:lvl>
    <w:lvl w:ilvl="6" w:tplc="08090001" w:tentative="1">
      <w:start w:val="1"/>
      <w:numFmt w:val="bullet"/>
      <w:lvlText w:val=""/>
      <w:lvlJc w:val="left"/>
      <w:pPr>
        <w:tabs>
          <w:tab w:val="num" w:pos="5324"/>
        </w:tabs>
        <w:ind w:left="5324" w:hanging="360"/>
      </w:pPr>
      <w:rPr>
        <w:rFonts w:ascii="Symbol" w:hAnsi="Symbol" w:hint="default"/>
      </w:rPr>
    </w:lvl>
    <w:lvl w:ilvl="7" w:tplc="08090003" w:tentative="1">
      <w:start w:val="1"/>
      <w:numFmt w:val="bullet"/>
      <w:lvlText w:val="o"/>
      <w:lvlJc w:val="left"/>
      <w:pPr>
        <w:tabs>
          <w:tab w:val="num" w:pos="6044"/>
        </w:tabs>
        <w:ind w:left="6044" w:hanging="360"/>
      </w:pPr>
      <w:rPr>
        <w:rFonts w:ascii="Courier New" w:hAnsi="Courier New" w:cs="Courier New" w:hint="default"/>
      </w:rPr>
    </w:lvl>
    <w:lvl w:ilvl="8" w:tplc="08090005" w:tentative="1">
      <w:start w:val="1"/>
      <w:numFmt w:val="bullet"/>
      <w:lvlText w:val=""/>
      <w:lvlJc w:val="left"/>
      <w:pPr>
        <w:tabs>
          <w:tab w:val="num" w:pos="6764"/>
        </w:tabs>
        <w:ind w:left="6764" w:hanging="360"/>
      </w:pPr>
      <w:rPr>
        <w:rFonts w:ascii="Wingdings" w:hAnsi="Wingdings" w:hint="default"/>
      </w:rPr>
    </w:lvl>
  </w:abstractNum>
  <w:abstractNum w:abstractNumId="15">
    <w:nsid w:val="76903243"/>
    <w:multiLevelType w:val="multilevel"/>
    <w:tmpl w:val="E884A926"/>
    <w:lvl w:ilvl="0">
      <w:start w:val="1"/>
      <w:numFmt w:val="decimal"/>
      <w:pStyle w:val="JuAppQuestion"/>
      <w:lvlText w:val="%1."/>
      <w:lvlJc w:val="left"/>
      <w:pPr>
        <w:tabs>
          <w:tab w:val="num" w:pos="720"/>
        </w:tabs>
        <w:ind w:left="720" w:hanging="36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6">
    <w:nsid w:val="7C970851"/>
    <w:multiLevelType w:val="multilevel"/>
    <w:tmpl w:val="F842BC8C"/>
    <w:lvl w:ilvl="0">
      <w:start w:val="1"/>
      <w:numFmt w:val="bullet"/>
      <w:lvlText w:val=""/>
      <w:lvlJc w:val="left"/>
      <w:pPr>
        <w:tabs>
          <w:tab w:val="num" w:pos="851"/>
        </w:tabs>
        <w:ind w:left="851" w:hanging="284"/>
      </w:pPr>
      <w:rPr>
        <w:rFonts w:ascii="Wingdings" w:hAnsi="Wingdings" w:hint="default"/>
        <w:color w:val="0072BC" w:themeColor="background1"/>
      </w:rPr>
    </w:lvl>
    <w:lvl w:ilvl="1">
      <w:start w:val="1"/>
      <w:numFmt w:val="bullet"/>
      <w:lvlText w:val=""/>
      <w:lvlJc w:val="left"/>
      <w:pPr>
        <w:tabs>
          <w:tab w:val="num" w:pos="1134"/>
        </w:tabs>
        <w:ind w:left="1135" w:hanging="284"/>
      </w:pPr>
      <w:rPr>
        <w:rFonts w:ascii="Wingdings" w:hAnsi="Wingdings" w:hint="default"/>
        <w:color w:val="0072BC" w:themeColor="background1"/>
      </w:rPr>
    </w:lvl>
    <w:lvl w:ilvl="2">
      <w:start w:val="1"/>
      <w:numFmt w:val="bullet"/>
      <w:lvlText w:val=""/>
      <w:lvlJc w:val="left"/>
      <w:pPr>
        <w:tabs>
          <w:tab w:val="num" w:pos="1418"/>
        </w:tabs>
        <w:ind w:left="1419" w:hanging="284"/>
      </w:pPr>
      <w:rPr>
        <w:rFonts w:ascii="Wingdings" w:hAnsi="Wingdings" w:hint="default"/>
        <w:color w:val="7F7F7F" w:themeColor="text1" w:themeTint="80"/>
      </w:rPr>
    </w:lvl>
    <w:lvl w:ilvl="3">
      <w:start w:val="1"/>
      <w:numFmt w:val="bullet"/>
      <w:lvlText w:val=""/>
      <w:lvlJc w:val="left"/>
      <w:pPr>
        <w:tabs>
          <w:tab w:val="num" w:pos="1701"/>
        </w:tabs>
        <w:ind w:left="1703" w:hanging="284"/>
      </w:pPr>
      <w:rPr>
        <w:rFonts w:ascii="Wingdings" w:hAnsi="Wingdings" w:hint="default"/>
        <w:color w:val="7F7F7F" w:themeColor="text1" w:themeTint="80"/>
      </w:rPr>
    </w:lvl>
    <w:lvl w:ilvl="4">
      <w:start w:val="1"/>
      <w:numFmt w:val="bullet"/>
      <w:lvlText w:val=""/>
      <w:lvlJc w:val="left"/>
      <w:pPr>
        <w:tabs>
          <w:tab w:val="num" w:pos="1760"/>
        </w:tabs>
        <w:ind w:left="1987" w:hanging="284"/>
      </w:pPr>
      <w:rPr>
        <w:rFonts w:ascii="Wingdings" w:hAnsi="Wingdings" w:hint="default"/>
        <w:color w:val="0072BC" w:themeColor="background1"/>
      </w:rPr>
    </w:lvl>
    <w:lvl w:ilvl="5">
      <w:start w:val="1"/>
      <w:numFmt w:val="bullet"/>
      <w:lvlText w:val=""/>
      <w:lvlJc w:val="left"/>
      <w:pPr>
        <w:tabs>
          <w:tab w:val="num" w:pos="2044"/>
        </w:tabs>
        <w:ind w:left="2271" w:hanging="284"/>
      </w:pPr>
      <w:rPr>
        <w:rFonts w:ascii="Wingdings" w:hAnsi="Wingdings" w:hint="default"/>
        <w:color w:val="5F5F5F" w:themeColor="accent5"/>
      </w:rPr>
    </w:lvl>
    <w:lvl w:ilvl="6">
      <w:start w:val="1"/>
      <w:numFmt w:val="bullet"/>
      <w:lvlText w:val=""/>
      <w:lvlJc w:val="left"/>
      <w:pPr>
        <w:tabs>
          <w:tab w:val="num" w:pos="2328"/>
        </w:tabs>
        <w:ind w:left="2555" w:hanging="284"/>
      </w:pPr>
      <w:rPr>
        <w:rFonts w:ascii="Symbol" w:hAnsi="Symbol" w:hint="default"/>
      </w:rPr>
    </w:lvl>
    <w:lvl w:ilvl="7">
      <w:start w:val="1"/>
      <w:numFmt w:val="bullet"/>
      <w:lvlText w:val="o"/>
      <w:lvlJc w:val="left"/>
      <w:pPr>
        <w:tabs>
          <w:tab w:val="num" w:pos="2612"/>
        </w:tabs>
        <w:ind w:left="2839" w:hanging="284"/>
      </w:pPr>
      <w:rPr>
        <w:rFonts w:ascii="Courier New" w:hAnsi="Courier New" w:hint="default"/>
      </w:rPr>
    </w:lvl>
    <w:lvl w:ilvl="8">
      <w:start w:val="1"/>
      <w:numFmt w:val="bullet"/>
      <w:lvlText w:val=""/>
      <w:lvlJc w:val="left"/>
      <w:pPr>
        <w:tabs>
          <w:tab w:val="num" w:pos="2896"/>
        </w:tabs>
        <w:ind w:left="3123" w:hanging="284"/>
      </w:pPr>
      <w:rPr>
        <w:rFonts w:ascii="Wingdings" w:hAnsi="Wingdings" w:hint="default"/>
      </w:rPr>
    </w:lvl>
  </w:abstractNum>
  <w:num w:numId="1">
    <w:abstractNumId w:val="12"/>
  </w:num>
  <w:num w:numId="2">
    <w:abstractNumId w:val="16"/>
  </w:num>
  <w:num w:numId="3">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6"/>
  </w:num>
  <w:num w:numId="5">
    <w:abstractNumId w:val="9"/>
  </w:num>
  <w:num w:numId="6">
    <w:abstractNumId w:val="16"/>
  </w:num>
  <w:num w:numId="7">
    <w:abstractNumId w:val="9"/>
  </w:num>
  <w:num w:numId="8">
    <w:abstractNumId w:val="6"/>
  </w:num>
  <w:num w:numId="9">
    <w:abstractNumId w:val="14"/>
  </w:num>
  <w:num w:numId="10">
    <w:abstractNumId w:val="13"/>
  </w:num>
  <w:num w:numId="11">
    <w:abstractNumId w:val="11"/>
  </w:num>
  <w:num w:numId="12">
    <w:abstractNumId w:val="10"/>
  </w:num>
  <w:num w:numId="13">
    <w:abstractNumId w:val="7"/>
  </w:num>
  <w:num w:numId="14">
    <w:abstractNumId w:val="5"/>
  </w:num>
  <w:num w:numId="15">
    <w:abstractNumId w:val="4"/>
  </w:num>
  <w:num w:numId="16">
    <w:abstractNumId w:val="8"/>
  </w:num>
  <w:num w:numId="17">
    <w:abstractNumId w:val="3"/>
  </w:num>
  <w:num w:numId="18">
    <w:abstractNumId w:val="2"/>
  </w:num>
  <w:num w:numId="19">
    <w:abstractNumId w:val="1"/>
  </w:num>
  <w:num w:numId="20">
    <w:abstractNumId w:val="0"/>
  </w:num>
  <w:num w:numId="21">
    <w:abstractNumId w:val="15"/>
  </w:num>
  <w:num w:numId="22">
    <w:abstractNumId w:val="15"/>
  </w:num>
  <w:num w:numId="23">
    <w:abstractNumId w:val="15"/>
  </w:num>
  <w:num w:numId="24">
    <w:abstractNumId w:val="15"/>
  </w:num>
  <w:num w:numId="25">
    <w:abstractNumId w:val="15"/>
  </w:num>
  <w:num w:numId="26">
    <w:abstractNumId w:val="15"/>
  </w:num>
  <w:num w:numId="27">
    <w:abstractNumId w:val="15"/>
  </w:num>
  <w:num w:numId="28">
    <w:abstractNumId w:val="15"/>
  </w:num>
  <w:num w:numId="29">
    <w:abstractNumId w:val="15"/>
  </w:num>
  <w:num w:numId="30">
    <w:abstractNumId w:val="15"/>
  </w:num>
  <w:num w:numId="31">
    <w:abstractNumId w:val="15"/>
  </w:num>
  <w:num w:numId="32">
    <w:abstractNumId w:val="15"/>
  </w:num>
  <w:num w:numId="33">
    <w:abstractNumId w:val="15"/>
  </w:num>
  <w:num w:numId="34">
    <w:abstractNumId w:val="15"/>
  </w:num>
  <w:num w:numId="35">
    <w:abstractNumId w:val="15"/>
  </w:num>
  <w:num w:numId="36">
    <w:abstractNumId w:val="15"/>
  </w:num>
  <w:num w:numId="37">
    <w:abstractNumId w:val="15"/>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removePersonalInformation/>
  <w:proofState w:spelling="clean" w:grammar="clean"/>
  <w:stylePaneFormatFilter w:val="D004" w:allStyles="0" w:customStyles="0" w:latentStyles="1" w:stylesInUse="0" w:headingStyles="0" w:numberingStyles="0" w:tableStyles="0" w:directFormattingOnRuns="0" w:directFormattingOnParagraphs="0" w:directFormattingOnNumbering="0" w:directFormattingOnTables="0" w:clearFormatting="1" w:top3HeadingStyles="0" w:visibleStyles="1" w:alternateStyleNames="1"/>
  <w:defaultTabStop w:val="720"/>
  <w:hyphenationZone w:val="425"/>
  <w:evenAndOddHeaders/>
  <w:drawingGridHorizontalSpacing w:val="110"/>
  <w:displayHorizontalDrawingGridEvery w:val="2"/>
  <w:displayVerticalDrawingGridEvery w:val="2"/>
  <w:characterSpacingControl w:val="doNotCompress"/>
  <w:hdrShapeDefaults>
    <o:shapedefaults v:ext="edit" spidmax="14337"/>
  </w:hdrShapeDefaults>
  <w:footnotePr>
    <w:numRestart w:val="eachSect"/>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ApplicationsApp" w:val="1"/>
    <w:docVar w:name="EMM" w:val="0"/>
    <w:docVar w:name="NBEMMDOC" w:val="0"/>
  </w:docVars>
  <w:rsids>
    <w:rsidRoot w:val="009217FF"/>
    <w:rsid w:val="000041F8"/>
    <w:rsid w:val="000042A8"/>
    <w:rsid w:val="00004308"/>
    <w:rsid w:val="00005BF0"/>
    <w:rsid w:val="00007154"/>
    <w:rsid w:val="000103AE"/>
    <w:rsid w:val="00011D69"/>
    <w:rsid w:val="00012AD3"/>
    <w:rsid w:val="00015C2D"/>
    <w:rsid w:val="00015F00"/>
    <w:rsid w:val="00022C1D"/>
    <w:rsid w:val="00034987"/>
    <w:rsid w:val="00041560"/>
    <w:rsid w:val="000602DF"/>
    <w:rsid w:val="00061B05"/>
    <w:rsid w:val="000632D5"/>
    <w:rsid w:val="000644EE"/>
    <w:rsid w:val="00085457"/>
    <w:rsid w:val="00086C42"/>
    <w:rsid w:val="000925AD"/>
    <w:rsid w:val="00096FE1"/>
    <w:rsid w:val="00097A62"/>
    <w:rsid w:val="000A24EB"/>
    <w:rsid w:val="000A3B6D"/>
    <w:rsid w:val="000B686A"/>
    <w:rsid w:val="000B6923"/>
    <w:rsid w:val="000B7195"/>
    <w:rsid w:val="000C3635"/>
    <w:rsid w:val="000C5F3C"/>
    <w:rsid w:val="000C6DCC"/>
    <w:rsid w:val="000C770B"/>
    <w:rsid w:val="000D47AA"/>
    <w:rsid w:val="000D721F"/>
    <w:rsid w:val="000E069B"/>
    <w:rsid w:val="000E0E82"/>
    <w:rsid w:val="000E1DC5"/>
    <w:rsid w:val="000E223F"/>
    <w:rsid w:val="000E46B8"/>
    <w:rsid w:val="000E7D45"/>
    <w:rsid w:val="000F7851"/>
    <w:rsid w:val="00101505"/>
    <w:rsid w:val="00104E23"/>
    <w:rsid w:val="00110DA8"/>
    <w:rsid w:val="00111B0C"/>
    <w:rsid w:val="00120D6C"/>
    <w:rsid w:val="001257EC"/>
    <w:rsid w:val="00133D33"/>
    <w:rsid w:val="00134B6A"/>
    <w:rsid w:val="00134D64"/>
    <w:rsid w:val="00135A30"/>
    <w:rsid w:val="0013612C"/>
    <w:rsid w:val="00137FF6"/>
    <w:rsid w:val="00141650"/>
    <w:rsid w:val="001561B6"/>
    <w:rsid w:val="00162A12"/>
    <w:rsid w:val="00166530"/>
    <w:rsid w:val="00170027"/>
    <w:rsid w:val="001832BD"/>
    <w:rsid w:val="001943B5"/>
    <w:rsid w:val="00195134"/>
    <w:rsid w:val="001A145B"/>
    <w:rsid w:val="001A674C"/>
    <w:rsid w:val="001B3B24"/>
    <w:rsid w:val="001C055B"/>
    <w:rsid w:val="001C0F98"/>
    <w:rsid w:val="001C2A42"/>
    <w:rsid w:val="001D63ED"/>
    <w:rsid w:val="001D7348"/>
    <w:rsid w:val="001E035B"/>
    <w:rsid w:val="001E0961"/>
    <w:rsid w:val="001E3EAE"/>
    <w:rsid w:val="001E6857"/>
    <w:rsid w:val="001E6F32"/>
    <w:rsid w:val="001F2145"/>
    <w:rsid w:val="001F562A"/>
    <w:rsid w:val="001F6262"/>
    <w:rsid w:val="001F67B0"/>
    <w:rsid w:val="001F7B3D"/>
    <w:rsid w:val="0020335A"/>
    <w:rsid w:val="002052BC"/>
    <w:rsid w:val="00205F9F"/>
    <w:rsid w:val="00210338"/>
    <w:rsid w:val="002115FC"/>
    <w:rsid w:val="0021423C"/>
    <w:rsid w:val="00230D00"/>
    <w:rsid w:val="00231DF7"/>
    <w:rsid w:val="00231FD1"/>
    <w:rsid w:val="002339E0"/>
    <w:rsid w:val="00233CF8"/>
    <w:rsid w:val="0023575D"/>
    <w:rsid w:val="00237148"/>
    <w:rsid w:val="0024222D"/>
    <w:rsid w:val="002422B6"/>
    <w:rsid w:val="00244B0E"/>
    <w:rsid w:val="00244F6C"/>
    <w:rsid w:val="00246B89"/>
    <w:rsid w:val="00252C4E"/>
    <w:rsid w:val="002532C5"/>
    <w:rsid w:val="00254DF2"/>
    <w:rsid w:val="00260C03"/>
    <w:rsid w:val="0026540E"/>
    <w:rsid w:val="00275123"/>
    <w:rsid w:val="00282240"/>
    <w:rsid w:val="00287AD5"/>
    <w:rsid w:val="002934D0"/>
    <w:rsid w:val="002948AD"/>
    <w:rsid w:val="002A01CC"/>
    <w:rsid w:val="002A613A"/>
    <w:rsid w:val="002A61B1"/>
    <w:rsid w:val="002A663C"/>
    <w:rsid w:val="002B444B"/>
    <w:rsid w:val="002B5887"/>
    <w:rsid w:val="002C0E27"/>
    <w:rsid w:val="002C3040"/>
    <w:rsid w:val="002C4433"/>
    <w:rsid w:val="002C7826"/>
    <w:rsid w:val="002D022D"/>
    <w:rsid w:val="002D24BB"/>
    <w:rsid w:val="002D2FA7"/>
    <w:rsid w:val="002D47BA"/>
    <w:rsid w:val="002D77B9"/>
    <w:rsid w:val="002E46DA"/>
    <w:rsid w:val="002F2AF7"/>
    <w:rsid w:val="002F6627"/>
    <w:rsid w:val="002F69C4"/>
    <w:rsid w:val="002F7D9E"/>
    <w:rsid w:val="002F7E1C"/>
    <w:rsid w:val="00301A75"/>
    <w:rsid w:val="00302F70"/>
    <w:rsid w:val="0030336F"/>
    <w:rsid w:val="0030375E"/>
    <w:rsid w:val="00312A30"/>
    <w:rsid w:val="00320F72"/>
    <w:rsid w:val="0032463E"/>
    <w:rsid w:val="00326224"/>
    <w:rsid w:val="00337EE4"/>
    <w:rsid w:val="00340FFD"/>
    <w:rsid w:val="00345C41"/>
    <w:rsid w:val="003506B1"/>
    <w:rsid w:val="00355877"/>
    <w:rsid w:val="00356AC7"/>
    <w:rsid w:val="003609FA"/>
    <w:rsid w:val="003710C8"/>
    <w:rsid w:val="003750BE"/>
    <w:rsid w:val="00385F3D"/>
    <w:rsid w:val="00387B9D"/>
    <w:rsid w:val="00390294"/>
    <w:rsid w:val="0039364F"/>
    <w:rsid w:val="00396686"/>
    <w:rsid w:val="0039778E"/>
    <w:rsid w:val="003B4941"/>
    <w:rsid w:val="003C5714"/>
    <w:rsid w:val="003C6B9F"/>
    <w:rsid w:val="003C6E2A"/>
    <w:rsid w:val="003D0299"/>
    <w:rsid w:val="003E6D80"/>
    <w:rsid w:val="003F05FA"/>
    <w:rsid w:val="003F244A"/>
    <w:rsid w:val="003F2517"/>
    <w:rsid w:val="003F30B8"/>
    <w:rsid w:val="003F4C45"/>
    <w:rsid w:val="003F5F7B"/>
    <w:rsid w:val="003F7D64"/>
    <w:rsid w:val="00402306"/>
    <w:rsid w:val="00414300"/>
    <w:rsid w:val="00414F27"/>
    <w:rsid w:val="00420703"/>
    <w:rsid w:val="00425C67"/>
    <w:rsid w:val="00427E7A"/>
    <w:rsid w:val="004355AC"/>
    <w:rsid w:val="00436C49"/>
    <w:rsid w:val="00443D98"/>
    <w:rsid w:val="00445366"/>
    <w:rsid w:val="00447F5B"/>
    <w:rsid w:val="00461DB0"/>
    <w:rsid w:val="00463926"/>
    <w:rsid w:val="00464C9A"/>
    <w:rsid w:val="00474F3D"/>
    <w:rsid w:val="00477E3A"/>
    <w:rsid w:val="00483E5F"/>
    <w:rsid w:val="00485FF9"/>
    <w:rsid w:val="004907F0"/>
    <w:rsid w:val="0049140B"/>
    <w:rsid w:val="004923A5"/>
    <w:rsid w:val="0049310E"/>
    <w:rsid w:val="00496BFB"/>
    <w:rsid w:val="004A15C7"/>
    <w:rsid w:val="004B013B"/>
    <w:rsid w:val="004B112B"/>
    <w:rsid w:val="004B444E"/>
    <w:rsid w:val="004C01E4"/>
    <w:rsid w:val="004C086C"/>
    <w:rsid w:val="004C1F56"/>
    <w:rsid w:val="004C27BC"/>
    <w:rsid w:val="004D0EC7"/>
    <w:rsid w:val="004D15F3"/>
    <w:rsid w:val="004D4EF1"/>
    <w:rsid w:val="004D5311"/>
    <w:rsid w:val="004D5DCC"/>
    <w:rsid w:val="004D7E45"/>
    <w:rsid w:val="004F10AF"/>
    <w:rsid w:val="004F11A4"/>
    <w:rsid w:val="004F2389"/>
    <w:rsid w:val="004F304D"/>
    <w:rsid w:val="004F61BE"/>
    <w:rsid w:val="004F66B1"/>
    <w:rsid w:val="00511C07"/>
    <w:rsid w:val="005125CB"/>
    <w:rsid w:val="005173A6"/>
    <w:rsid w:val="00520354"/>
    <w:rsid w:val="00520BAA"/>
    <w:rsid w:val="005217D8"/>
    <w:rsid w:val="00525208"/>
    <w:rsid w:val="005257A5"/>
    <w:rsid w:val="005264C0"/>
    <w:rsid w:val="00526A8A"/>
    <w:rsid w:val="00530FE6"/>
    <w:rsid w:val="00531DF2"/>
    <w:rsid w:val="00537476"/>
    <w:rsid w:val="005442EE"/>
    <w:rsid w:val="00545DA6"/>
    <w:rsid w:val="00547353"/>
    <w:rsid w:val="005474E7"/>
    <w:rsid w:val="005512A3"/>
    <w:rsid w:val="005578CE"/>
    <w:rsid w:val="00562781"/>
    <w:rsid w:val="00562B6C"/>
    <w:rsid w:val="0057271C"/>
    <w:rsid w:val="00572845"/>
    <w:rsid w:val="005879A2"/>
    <w:rsid w:val="00592772"/>
    <w:rsid w:val="0059574A"/>
    <w:rsid w:val="005A1B9B"/>
    <w:rsid w:val="005A2E79"/>
    <w:rsid w:val="005A6751"/>
    <w:rsid w:val="005B092E"/>
    <w:rsid w:val="005B152C"/>
    <w:rsid w:val="005B1EE0"/>
    <w:rsid w:val="005B2B24"/>
    <w:rsid w:val="005B4425"/>
    <w:rsid w:val="005B4B94"/>
    <w:rsid w:val="005C3EE8"/>
    <w:rsid w:val="005D34F9"/>
    <w:rsid w:val="005D4190"/>
    <w:rsid w:val="005D67A3"/>
    <w:rsid w:val="005E2988"/>
    <w:rsid w:val="005E3085"/>
    <w:rsid w:val="005F51E1"/>
    <w:rsid w:val="00611C80"/>
    <w:rsid w:val="00620692"/>
    <w:rsid w:val="006242CA"/>
    <w:rsid w:val="00627507"/>
    <w:rsid w:val="00633717"/>
    <w:rsid w:val="006344E1"/>
    <w:rsid w:val="00643524"/>
    <w:rsid w:val="0064393B"/>
    <w:rsid w:val="006545C4"/>
    <w:rsid w:val="00661971"/>
    <w:rsid w:val="00661CE8"/>
    <w:rsid w:val="006623D9"/>
    <w:rsid w:val="006642A5"/>
    <w:rsid w:val="0066550C"/>
    <w:rsid w:val="00665BD2"/>
    <w:rsid w:val="006716F2"/>
    <w:rsid w:val="00682BF2"/>
    <w:rsid w:val="0068573E"/>
    <w:rsid w:val="006859CE"/>
    <w:rsid w:val="00691270"/>
    <w:rsid w:val="00694BA8"/>
    <w:rsid w:val="006A037C"/>
    <w:rsid w:val="006A36F4"/>
    <w:rsid w:val="006A406F"/>
    <w:rsid w:val="006A5D3A"/>
    <w:rsid w:val="006C23D4"/>
    <w:rsid w:val="006C7BB0"/>
    <w:rsid w:val="006D3237"/>
    <w:rsid w:val="006E2E37"/>
    <w:rsid w:val="006E3CF1"/>
    <w:rsid w:val="006E7E80"/>
    <w:rsid w:val="006F48CA"/>
    <w:rsid w:val="006F64DD"/>
    <w:rsid w:val="006F712D"/>
    <w:rsid w:val="00715127"/>
    <w:rsid w:val="00715E8E"/>
    <w:rsid w:val="00723580"/>
    <w:rsid w:val="00723755"/>
    <w:rsid w:val="0073136C"/>
    <w:rsid w:val="00731F0F"/>
    <w:rsid w:val="00733250"/>
    <w:rsid w:val="00741404"/>
    <w:rsid w:val="007449E5"/>
    <w:rsid w:val="0074750E"/>
    <w:rsid w:val="00747FF0"/>
    <w:rsid w:val="00763602"/>
    <w:rsid w:val="00764D4E"/>
    <w:rsid w:val="00765A1F"/>
    <w:rsid w:val="00775B6D"/>
    <w:rsid w:val="00776D68"/>
    <w:rsid w:val="0078323E"/>
    <w:rsid w:val="007850EE"/>
    <w:rsid w:val="00785B95"/>
    <w:rsid w:val="00790E96"/>
    <w:rsid w:val="00793366"/>
    <w:rsid w:val="007A716F"/>
    <w:rsid w:val="007B270A"/>
    <w:rsid w:val="007B4182"/>
    <w:rsid w:val="007C0695"/>
    <w:rsid w:val="007C419A"/>
    <w:rsid w:val="007C4CC8"/>
    <w:rsid w:val="007C5426"/>
    <w:rsid w:val="007C5798"/>
    <w:rsid w:val="007D1ECD"/>
    <w:rsid w:val="007D4832"/>
    <w:rsid w:val="007E21B2"/>
    <w:rsid w:val="007E2C4E"/>
    <w:rsid w:val="007E2C8C"/>
    <w:rsid w:val="007E51BA"/>
    <w:rsid w:val="007F1905"/>
    <w:rsid w:val="00802C64"/>
    <w:rsid w:val="00805E52"/>
    <w:rsid w:val="008061D0"/>
    <w:rsid w:val="00810B38"/>
    <w:rsid w:val="008204C7"/>
    <w:rsid w:val="00820992"/>
    <w:rsid w:val="00823602"/>
    <w:rsid w:val="008255F5"/>
    <w:rsid w:val="0083014E"/>
    <w:rsid w:val="0083214A"/>
    <w:rsid w:val="00834220"/>
    <w:rsid w:val="00842EAD"/>
    <w:rsid w:val="00845723"/>
    <w:rsid w:val="008519E7"/>
    <w:rsid w:val="00851EF9"/>
    <w:rsid w:val="008577FD"/>
    <w:rsid w:val="00860B03"/>
    <w:rsid w:val="0086497A"/>
    <w:rsid w:val="00867066"/>
    <w:rsid w:val="008713A1"/>
    <w:rsid w:val="00872584"/>
    <w:rsid w:val="008754AB"/>
    <w:rsid w:val="0088060C"/>
    <w:rsid w:val="00882CD5"/>
    <w:rsid w:val="00883151"/>
    <w:rsid w:val="00893576"/>
    <w:rsid w:val="00893E73"/>
    <w:rsid w:val="008B02DC"/>
    <w:rsid w:val="008B57CE"/>
    <w:rsid w:val="008C26DE"/>
    <w:rsid w:val="008D2225"/>
    <w:rsid w:val="008D4752"/>
    <w:rsid w:val="008D5A13"/>
    <w:rsid w:val="008E271C"/>
    <w:rsid w:val="008E3A08"/>
    <w:rsid w:val="008E418E"/>
    <w:rsid w:val="008E5BC6"/>
    <w:rsid w:val="008E6217"/>
    <w:rsid w:val="008E6A25"/>
    <w:rsid w:val="008F2554"/>
    <w:rsid w:val="008F3AEC"/>
    <w:rsid w:val="008F4D80"/>
    <w:rsid w:val="008F5193"/>
    <w:rsid w:val="008F6B36"/>
    <w:rsid w:val="008F72F3"/>
    <w:rsid w:val="009013A7"/>
    <w:rsid w:val="009017FB"/>
    <w:rsid w:val="009017FC"/>
    <w:rsid w:val="0090506B"/>
    <w:rsid w:val="009050C9"/>
    <w:rsid w:val="009066FC"/>
    <w:rsid w:val="009140A3"/>
    <w:rsid w:val="009144A2"/>
    <w:rsid w:val="0091510C"/>
    <w:rsid w:val="009217FF"/>
    <w:rsid w:val="009259AC"/>
    <w:rsid w:val="00926F38"/>
    <w:rsid w:val="00927BEB"/>
    <w:rsid w:val="00934301"/>
    <w:rsid w:val="00936CD1"/>
    <w:rsid w:val="00941747"/>
    <w:rsid w:val="00941EFB"/>
    <w:rsid w:val="00947AFB"/>
    <w:rsid w:val="00951AA3"/>
    <w:rsid w:val="00951D7D"/>
    <w:rsid w:val="00956D0C"/>
    <w:rsid w:val="009630C7"/>
    <w:rsid w:val="00972B55"/>
    <w:rsid w:val="009743B7"/>
    <w:rsid w:val="0098228B"/>
    <w:rsid w:val="009828DA"/>
    <w:rsid w:val="0098410D"/>
    <w:rsid w:val="00985BAB"/>
    <w:rsid w:val="00986B3C"/>
    <w:rsid w:val="009B1B5F"/>
    <w:rsid w:val="009B6673"/>
    <w:rsid w:val="009C191B"/>
    <w:rsid w:val="009C2BD6"/>
    <w:rsid w:val="009E1F32"/>
    <w:rsid w:val="009E2CC2"/>
    <w:rsid w:val="009E776C"/>
    <w:rsid w:val="009F4C8F"/>
    <w:rsid w:val="00A05588"/>
    <w:rsid w:val="00A1726E"/>
    <w:rsid w:val="00A204CF"/>
    <w:rsid w:val="00A21D2B"/>
    <w:rsid w:val="00A23D49"/>
    <w:rsid w:val="00A27004"/>
    <w:rsid w:val="00A30198"/>
    <w:rsid w:val="00A308CE"/>
    <w:rsid w:val="00A30C29"/>
    <w:rsid w:val="00A34DD6"/>
    <w:rsid w:val="00A36819"/>
    <w:rsid w:val="00A36989"/>
    <w:rsid w:val="00A43628"/>
    <w:rsid w:val="00A51D0F"/>
    <w:rsid w:val="00A54192"/>
    <w:rsid w:val="00A57147"/>
    <w:rsid w:val="00A6035E"/>
    <w:rsid w:val="00A6144C"/>
    <w:rsid w:val="00A66617"/>
    <w:rsid w:val="00A671F8"/>
    <w:rsid w:val="00A673A4"/>
    <w:rsid w:val="00A724AE"/>
    <w:rsid w:val="00A73329"/>
    <w:rsid w:val="00A82359"/>
    <w:rsid w:val="00A865D2"/>
    <w:rsid w:val="00A90BCD"/>
    <w:rsid w:val="00A94C20"/>
    <w:rsid w:val="00AA1B09"/>
    <w:rsid w:val="00AA227F"/>
    <w:rsid w:val="00AA3BC7"/>
    <w:rsid w:val="00AA754A"/>
    <w:rsid w:val="00AB099E"/>
    <w:rsid w:val="00AB4328"/>
    <w:rsid w:val="00AE0A2E"/>
    <w:rsid w:val="00AE354C"/>
    <w:rsid w:val="00AF4B07"/>
    <w:rsid w:val="00AF6186"/>
    <w:rsid w:val="00AF7A3A"/>
    <w:rsid w:val="00B160DB"/>
    <w:rsid w:val="00B20836"/>
    <w:rsid w:val="00B235BB"/>
    <w:rsid w:val="00B27A44"/>
    <w:rsid w:val="00B30BBF"/>
    <w:rsid w:val="00B33C03"/>
    <w:rsid w:val="00B4421F"/>
    <w:rsid w:val="00B44E56"/>
    <w:rsid w:val="00B45917"/>
    <w:rsid w:val="00B46543"/>
    <w:rsid w:val="00B47D33"/>
    <w:rsid w:val="00B52BE0"/>
    <w:rsid w:val="00B54133"/>
    <w:rsid w:val="00B701ED"/>
    <w:rsid w:val="00B748F7"/>
    <w:rsid w:val="00B8086C"/>
    <w:rsid w:val="00B81C58"/>
    <w:rsid w:val="00B861B4"/>
    <w:rsid w:val="00B86DFE"/>
    <w:rsid w:val="00B90990"/>
    <w:rsid w:val="00B922FF"/>
    <w:rsid w:val="00B9281E"/>
    <w:rsid w:val="00B93925"/>
    <w:rsid w:val="00B94A3E"/>
    <w:rsid w:val="00B95187"/>
    <w:rsid w:val="00BA2D55"/>
    <w:rsid w:val="00BA71B1"/>
    <w:rsid w:val="00BB0637"/>
    <w:rsid w:val="00BB345F"/>
    <w:rsid w:val="00BB68EA"/>
    <w:rsid w:val="00BC0B99"/>
    <w:rsid w:val="00BC1C27"/>
    <w:rsid w:val="00BC6BBF"/>
    <w:rsid w:val="00BD1572"/>
    <w:rsid w:val="00BE14E3"/>
    <w:rsid w:val="00BE3774"/>
    <w:rsid w:val="00BE41E5"/>
    <w:rsid w:val="00BF118F"/>
    <w:rsid w:val="00BF4109"/>
    <w:rsid w:val="00BF4CC3"/>
    <w:rsid w:val="00C054C7"/>
    <w:rsid w:val="00C057B5"/>
    <w:rsid w:val="00C115C3"/>
    <w:rsid w:val="00C15547"/>
    <w:rsid w:val="00C22687"/>
    <w:rsid w:val="00C32E4D"/>
    <w:rsid w:val="00C333A0"/>
    <w:rsid w:val="00C36A81"/>
    <w:rsid w:val="00C41974"/>
    <w:rsid w:val="00C44A2C"/>
    <w:rsid w:val="00C477F7"/>
    <w:rsid w:val="00C509A6"/>
    <w:rsid w:val="00C53F4A"/>
    <w:rsid w:val="00C54125"/>
    <w:rsid w:val="00C55B54"/>
    <w:rsid w:val="00C6098E"/>
    <w:rsid w:val="00C6152C"/>
    <w:rsid w:val="00C74810"/>
    <w:rsid w:val="00C90D68"/>
    <w:rsid w:val="00C939FE"/>
    <w:rsid w:val="00CA4BDA"/>
    <w:rsid w:val="00CB13E3"/>
    <w:rsid w:val="00CB1F66"/>
    <w:rsid w:val="00CB2951"/>
    <w:rsid w:val="00CB4277"/>
    <w:rsid w:val="00CC5067"/>
    <w:rsid w:val="00CD11D3"/>
    <w:rsid w:val="00CD282B"/>
    <w:rsid w:val="00CD4C35"/>
    <w:rsid w:val="00CD7369"/>
    <w:rsid w:val="00CE0B0E"/>
    <w:rsid w:val="00CE3831"/>
    <w:rsid w:val="00CF2397"/>
    <w:rsid w:val="00D00ABB"/>
    <w:rsid w:val="00D02EEC"/>
    <w:rsid w:val="00D03551"/>
    <w:rsid w:val="00D06A63"/>
    <w:rsid w:val="00D07E0E"/>
    <w:rsid w:val="00D11478"/>
    <w:rsid w:val="00D15ED0"/>
    <w:rsid w:val="00D164BF"/>
    <w:rsid w:val="00D21B3E"/>
    <w:rsid w:val="00D21FED"/>
    <w:rsid w:val="00D23048"/>
    <w:rsid w:val="00D24251"/>
    <w:rsid w:val="00D26E72"/>
    <w:rsid w:val="00D343E2"/>
    <w:rsid w:val="00D361A2"/>
    <w:rsid w:val="00D44C2E"/>
    <w:rsid w:val="00D45414"/>
    <w:rsid w:val="00D50A0A"/>
    <w:rsid w:val="00D566BD"/>
    <w:rsid w:val="00D57A4D"/>
    <w:rsid w:val="00D60AA7"/>
    <w:rsid w:val="00D6435F"/>
    <w:rsid w:val="00D70641"/>
    <w:rsid w:val="00D74888"/>
    <w:rsid w:val="00D75E28"/>
    <w:rsid w:val="00D772C2"/>
    <w:rsid w:val="00D8008E"/>
    <w:rsid w:val="00D82C45"/>
    <w:rsid w:val="00D908A8"/>
    <w:rsid w:val="00D977B6"/>
    <w:rsid w:val="00DA1223"/>
    <w:rsid w:val="00DA4A31"/>
    <w:rsid w:val="00DA7B04"/>
    <w:rsid w:val="00DB36C2"/>
    <w:rsid w:val="00DC169B"/>
    <w:rsid w:val="00DC2AB9"/>
    <w:rsid w:val="00DC63F0"/>
    <w:rsid w:val="00DD37EA"/>
    <w:rsid w:val="00DD6EE5"/>
    <w:rsid w:val="00DE386C"/>
    <w:rsid w:val="00DE4D35"/>
    <w:rsid w:val="00DF098B"/>
    <w:rsid w:val="00DF11C4"/>
    <w:rsid w:val="00DF210C"/>
    <w:rsid w:val="00DF4B6A"/>
    <w:rsid w:val="00E02C09"/>
    <w:rsid w:val="00E04D59"/>
    <w:rsid w:val="00E07DA1"/>
    <w:rsid w:val="00E123CB"/>
    <w:rsid w:val="00E13B09"/>
    <w:rsid w:val="00E20E13"/>
    <w:rsid w:val="00E21DBC"/>
    <w:rsid w:val="00E275D7"/>
    <w:rsid w:val="00E27DBE"/>
    <w:rsid w:val="00E32AB1"/>
    <w:rsid w:val="00E36C71"/>
    <w:rsid w:val="00E40404"/>
    <w:rsid w:val="00E4126A"/>
    <w:rsid w:val="00E42A06"/>
    <w:rsid w:val="00E459C6"/>
    <w:rsid w:val="00E47589"/>
    <w:rsid w:val="00E63EC7"/>
    <w:rsid w:val="00E64915"/>
    <w:rsid w:val="00E64D3A"/>
    <w:rsid w:val="00E661D4"/>
    <w:rsid w:val="00E70091"/>
    <w:rsid w:val="00E70D2E"/>
    <w:rsid w:val="00E720F5"/>
    <w:rsid w:val="00E76D47"/>
    <w:rsid w:val="00E827BC"/>
    <w:rsid w:val="00E849F7"/>
    <w:rsid w:val="00E90302"/>
    <w:rsid w:val="00E91663"/>
    <w:rsid w:val="00E95C1E"/>
    <w:rsid w:val="00E97396"/>
    <w:rsid w:val="00EA185E"/>
    <w:rsid w:val="00EA592A"/>
    <w:rsid w:val="00EB14E4"/>
    <w:rsid w:val="00EB32A5"/>
    <w:rsid w:val="00EB34ED"/>
    <w:rsid w:val="00EB447C"/>
    <w:rsid w:val="00EB7BE0"/>
    <w:rsid w:val="00EC315E"/>
    <w:rsid w:val="00ED077C"/>
    <w:rsid w:val="00ED10A9"/>
    <w:rsid w:val="00ED1190"/>
    <w:rsid w:val="00ED6544"/>
    <w:rsid w:val="00EE0277"/>
    <w:rsid w:val="00EE2899"/>
    <w:rsid w:val="00EE3E00"/>
    <w:rsid w:val="00EE5DD2"/>
    <w:rsid w:val="00EF3DB4"/>
    <w:rsid w:val="00F00A79"/>
    <w:rsid w:val="00F00E86"/>
    <w:rsid w:val="00F07C1E"/>
    <w:rsid w:val="00F105DB"/>
    <w:rsid w:val="00F132BC"/>
    <w:rsid w:val="00F13D80"/>
    <w:rsid w:val="00F15B4D"/>
    <w:rsid w:val="00F16AAA"/>
    <w:rsid w:val="00F1709C"/>
    <w:rsid w:val="00F21161"/>
    <w:rsid w:val="00F218EF"/>
    <w:rsid w:val="00F21BC7"/>
    <w:rsid w:val="00F2644D"/>
    <w:rsid w:val="00F266A2"/>
    <w:rsid w:val="00F32269"/>
    <w:rsid w:val="00F35B7A"/>
    <w:rsid w:val="00F56A6F"/>
    <w:rsid w:val="00F5709C"/>
    <w:rsid w:val="00F64EF1"/>
    <w:rsid w:val="00F7349B"/>
    <w:rsid w:val="00F8765F"/>
    <w:rsid w:val="00F90767"/>
    <w:rsid w:val="00FA1637"/>
    <w:rsid w:val="00FA685B"/>
    <w:rsid w:val="00FB0C01"/>
    <w:rsid w:val="00FB5934"/>
    <w:rsid w:val="00FC18F2"/>
    <w:rsid w:val="00FC2A17"/>
    <w:rsid w:val="00FC38CF"/>
    <w:rsid w:val="00FC39E5"/>
    <w:rsid w:val="00FC3A78"/>
    <w:rsid w:val="00FD1005"/>
    <w:rsid w:val="00FD6C75"/>
    <w:rsid w:val="00FD7972"/>
    <w:rsid w:val="00FE71B3"/>
    <w:rsid w:val="00FF42C5"/>
    <w:rsid w:val="00FF7FF0"/>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433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0" w:defUnhideWhenUsed="0" w:defQFormat="0" w:count="371">
    <w:lsdException w:name="Normal" w:uiPriority="0"/>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57" w:unhideWhenUsed="1"/>
    <w:lsdException w:name="footer" w:semiHidden="1" w:uiPriority="57"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lsdException w:name="List 2" w:semiHidden="1" w:unhideWhenUsed="1"/>
    <w:lsdException w:name="List 3" w:semiHidden="1" w:unhideWhenUsed="1"/>
    <w:lsdException w:name="List 4" w:semiHidden="1"/>
    <w:lsdException w:name="List 5" w:semiHidden="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qFormat="1"/>
    <w:lsdException w:name="Salutation" w:semiHidden="1"/>
    <w:lsdException w:name="Date" w:semiHidden="1"/>
    <w:lsdException w:name="Body Text First Indent" w:semiHidden="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qFormat="1"/>
    <w:lsdException w:name="Quote" w:qFormat="1"/>
    <w:lsdException w:name="Intense Quote"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qFormat="1"/>
    <w:lsdException w:name="Intense Emphasis" w:qFormat="1"/>
    <w:lsdException w:name="Subtle Reference" w:qFormat="1"/>
    <w:lsdException w:name="Intense Reference" w:qFormat="1"/>
    <w:lsdException w:name="Book Title" w:qFormat="1"/>
    <w:lsdException w:name="Bibliography" w:semiHidden="1"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semiHidden/>
    <w:rsid w:val="0064393B"/>
    <w:pPr>
      <w:jc w:val="both"/>
    </w:pPr>
    <w:rPr>
      <w:rFonts w:eastAsiaTheme="minorEastAsia"/>
      <w:sz w:val="24"/>
    </w:rPr>
  </w:style>
  <w:style w:type="paragraph" w:styleId="Heading1">
    <w:name w:val="heading 1"/>
    <w:basedOn w:val="Normal"/>
    <w:next w:val="Normal"/>
    <w:link w:val="Heading1Char"/>
    <w:uiPriority w:val="99"/>
    <w:semiHidden/>
    <w:rsid w:val="0064393B"/>
    <w:pPr>
      <w:spacing w:before="480"/>
      <w:contextualSpacing/>
      <w:outlineLvl w:val="0"/>
    </w:pPr>
    <w:rPr>
      <w:rFonts w:asciiTheme="majorHAnsi" w:eastAsiaTheme="majorEastAsia" w:hAnsiTheme="majorHAnsi" w:cstheme="majorBidi"/>
      <w:b/>
      <w:bCs/>
      <w:color w:val="333333"/>
      <w:sz w:val="28"/>
      <w:szCs w:val="28"/>
    </w:rPr>
  </w:style>
  <w:style w:type="paragraph" w:styleId="Heading2">
    <w:name w:val="heading 2"/>
    <w:basedOn w:val="Normal"/>
    <w:next w:val="Normal"/>
    <w:link w:val="Heading2Char"/>
    <w:uiPriority w:val="99"/>
    <w:semiHidden/>
    <w:rsid w:val="0064393B"/>
    <w:pPr>
      <w:spacing w:before="200"/>
      <w:outlineLvl w:val="1"/>
    </w:pPr>
    <w:rPr>
      <w:rFonts w:asciiTheme="majorHAnsi" w:eastAsiaTheme="majorEastAsia" w:hAnsiTheme="majorHAnsi" w:cstheme="majorBidi"/>
      <w:b/>
      <w:bCs/>
      <w:color w:val="4D4D4D"/>
      <w:sz w:val="26"/>
      <w:szCs w:val="26"/>
    </w:rPr>
  </w:style>
  <w:style w:type="paragraph" w:styleId="Heading3">
    <w:name w:val="heading 3"/>
    <w:basedOn w:val="Normal"/>
    <w:next w:val="Normal"/>
    <w:link w:val="Heading3Char"/>
    <w:uiPriority w:val="99"/>
    <w:semiHidden/>
    <w:rsid w:val="0064393B"/>
    <w:pPr>
      <w:spacing w:before="200" w:line="271" w:lineRule="auto"/>
      <w:outlineLvl w:val="2"/>
    </w:pPr>
    <w:rPr>
      <w:rFonts w:asciiTheme="majorHAnsi" w:eastAsiaTheme="majorEastAsia" w:hAnsiTheme="majorHAnsi" w:cstheme="majorBidi"/>
      <w:b/>
      <w:bCs/>
      <w:color w:val="5F5F5F"/>
    </w:rPr>
  </w:style>
  <w:style w:type="paragraph" w:styleId="Heading4">
    <w:name w:val="heading 4"/>
    <w:basedOn w:val="Normal"/>
    <w:next w:val="Normal"/>
    <w:link w:val="Heading4Char"/>
    <w:uiPriority w:val="99"/>
    <w:semiHidden/>
    <w:rsid w:val="0064393B"/>
    <w:pPr>
      <w:spacing w:before="200"/>
      <w:outlineLvl w:val="3"/>
    </w:pPr>
    <w:rPr>
      <w:rFonts w:asciiTheme="majorHAnsi" w:eastAsiaTheme="majorEastAsia" w:hAnsiTheme="majorHAnsi" w:cstheme="majorBidi"/>
      <w:b/>
      <w:bCs/>
      <w:i/>
      <w:iCs/>
      <w:color w:val="777777"/>
    </w:rPr>
  </w:style>
  <w:style w:type="paragraph" w:styleId="Heading5">
    <w:name w:val="heading 5"/>
    <w:basedOn w:val="Normal"/>
    <w:next w:val="Normal"/>
    <w:link w:val="Heading5Char"/>
    <w:uiPriority w:val="99"/>
    <w:semiHidden/>
    <w:qFormat/>
    <w:rsid w:val="00842EAD"/>
    <w:pPr>
      <w:spacing w:before="200"/>
      <w:outlineLvl w:val="4"/>
    </w:pPr>
    <w:rPr>
      <w:rFonts w:asciiTheme="majorHAnsi" w:eastAsiaTheme="majorEastAsia" w:hAnsiTheme="majorHAnsi" w:cstheme="majorBidi"/>
      <w:b/>
      <w:bCs/>
      <w:color w:val="808080"/>
      <w:sz w:val="22"/>
    </w:rPr>
  </w:style>
  <w:style w:type="paragraph" w:styleId="Heading6">
    <w:name w:val="heading 6"/>
    <w:basedOn w:val="Normal"/>
    <w:next w:val="Normal"/>
    <w:link w:val="Heading6Char"/>
    <w:uiPriority w:val="99"/>
    <w:semiHidden/>
    <w:rsid w:val="0064393B"/>
    <w:pPr>
      <w:spacing w:line="271" w:lineRule="auto"/>
      <w:outlineLvl w:val="5"/>
    </w:pPr>
    <w:rPr>
      <w:rFonts w:asciiTheme="majorHAnsi" w:eastAsiaTheme="majorEastAsia" w:hAnsiTheme="majorHAnsi" w:cstheme="majorBidi"/>
      <w:b/>
      <w:bCs/>
      <w:i/>
      <w:iCs/>
      <w:color w:val="7F7F7F" w:themeColor="text1" w:themeTint="80"/>
      <w:lang w:bidi="en-US"/>
    </w:rPr>
  </w:style>
  <w:style w:type="paragraph" w:styleId="Heading7">
    <w:name w:val="heading 7"/>
    <w:basedOn w:val="Normal"/>
    <w:next w:val="Normal"/>
    <w:link w:val="Heading7Char"/>
    <w:uiPriority w:val="99"/>
    <w:semiHidden/>
    <w:qFormat/>
    <w:rsid w:val="00842EAD"/>
    <w:pPr>
      <w:outlineLvl w:val="6"/>
    </w:pPr>
    <w:rPr>
      <w:rFonts w:asciiTheme="majorHAnsi" w:eastAsiaTheme="majorEastAsia" w:hAnsiTheme="majorHAnsi" w:cstheme="majorBidi"/>
      <w:i/>
      <w:iCs/>
      <w:sz w:val="22"/>
      <w:lang w:bidi="en-US"/>
    </w:rPr>
  </w:style>
  <w:style w:type="paragraph" w:styleId="Heading8">
    <w:name w:val="heading 8"/>
    <w:basedOn w:val="Normal"/>
    <w:next w:val="Normal"/>
    <w:link w:val="Heading8Char"/>
    <w:uiPriority w:val="99"/>
    <w:semiHidden/>
    <w:qFormat/>
    <w:rsid w:val="00842EAD"/>
    <w:pPr>
      <w:outlineLvl w:val="7"/>
    </w:pPr>
    <w:rPr>
      <w:rFonts w:asciiTheme="majorHAnsi" w:eastAsiaTheme="majorEastAsia" w:hAnsiTheme="majorHAnsi" w:cstheme="majorBidi"/>
      <w:sz w:val="20"/>
      <w:szCs w:val="20"/>
      <w:lang w:bidi="en-US"/>
    </w:rPr>
  </w:style>
  <w:style w:type="paragraph" w:styleId="Heading9">
    <w:name w:val="heading 9"/>
    <w:basedOn w:val="Normal"/>
    <w:next w:val="Normal"/>
    <w:link w:val="Heading9Char"/>
    <w:uiPriority w:val="99"/>
    <w:semiHidden/>
    <w:qFormat/>
    <w:rsid w:val="00842EAD"/>
    <w:pPr>
      <w:outlineLvl w:val="8"/>
    </w:pPr>
    <w:rPr>
      <w:rFonts w:asciiTheme="majorHAnsi" w:eastAsiaTheme="majorEastAsia" w:hAnsiTheme="majorHAnsi" w:cstheme="majorBidi"/>
      <w:i/>
      <w:iCs/>
      <w:spacing w:val="5"/>
      <w:sz w:val="20"/>
      <w:szCs w:val="20"/>
      <w:lang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rsid w:val="0064393B"/>
    <w:rPr>
      <w:rFonts w:ascii="Tahoma" w:hAnsi="Tahoma" w:cs="Tahoma"/>
      <w:sz w:val="16"/>
      <w:szCs w:val="16"/>
    </w:rPr>
  </w:style>
  <w:style w:type="character" w:customStyle="1" w:styleId="BalloonTextChar">
    <w:name w:val="Balloon Text Char"/>
    <w:basedOn w:val="DefaultParagraphFont"/>
    <w:link w:val="BalloonText"/>
    <w:uiPriority w:val="99"/>
    <w:semiHidden/>
    <w:rsid w:val="0064393B"/>
    <w:rPr>
      <w:rFonts w:ascii="Tahoma" w:eastAsiaTheme="minorEastAsia" w:hAnsi="Tahoma" w:cs="Tahoma"/>
      <w:sz w:val="16"/>
      <w:szCs w:val="16"/>
    </w:rPr>
  </w:style>
  <w:style w:type="character" w:styleId="BookTitle">
    <w:name w:val="Book Title"/>
    <w:uiPriority w:val="99"/>
    <w:semiHidden/>
    <w:qFormat/>
    <w:rsid w:val="00842EAD"/>
    <w:rPr>
      <w:i/>
      <w:iCs/>
      <w:smallCaps/>
      <w:spacing w:val="5"/>
    </w:rPr>
  </w:style>
  <w:style w:type="paragraph" w:customStyle="1" w:styleId="ECHRHeader">
    <w:name w:val="ECHR_Header"/>
    <w:aliases w:val="Ju_Header"/>
    <w:basedOn w:val="Header"/>
    <w:uiPriority w:val="4"/>
    <w:qFormat/>
    <w:rsid w:val="00842EAD"/>
    <w:pPr>
      <w:tabs>
        <w:tab w:val="clear" w:pos="4536"/>
        <w:tab w:val="clear" w:pos="9072"/>
        <w:tab w:val="center" w:pos="3686"/>
        <w:tab w:val="right" w:pos="7371"/>
      </w:tabs>
      <w:jc w:val="left"/>
    </w:pPr>
    <w:rPr>
      <w:sz w:val="18"/>
      <w:lang w:val="en-GB"/>
    </w:rPr>
  </w:style>
  <w:style w:type="paragraph" w:customStyle="1" w:styleId="JuAppQuestion">
    <w:name w:val="Ju_App_Question"/>
    <w:basedOn w:val="Normal"/>
    <w:uiPriority w:val="5"/>
    <w:semiHidden/>
    <w:qFormat/>
    <w:rsid w:val="00842EAD"/>
    <w:pPr>
      <w:numPr>
        <w:numId w:val="37"/>
      </w:numPr>
      <w:jc w:val="left"/>
    </w:pPr>
    <w:rPr>
      <w:b/>
      <w:lang w:val="en-GB"/>
    </w:rPr>
  </w:style>
  <w:style w:type="character" w:styleId="Strong">
    <w:name w:val="Strong"/>
    <w:uiPriority w:val="99"/>
    <w:semiHidden/>
    <w:qFormat/>
    <w:rsid w:val="00842EAD"/>
    <w:rPr>
      <w:b/>
      <w:bCs/>
    </w:rPr>
  </w:style>
  <w:style w:type="paragraph" w:styleId="NoSpacing">
    <w:name w:val="No Spacing"/>
    <w:basedOn w:val="Normal"/>
    <w:link w:val="NoSpacingChar"/>
    <w:semiHidden/>
    <w:qFormat/>
    <w:rsid w:val="00842EAD"/>
    <w:rPr>
      <w:sz w:val="22"/>
    </w:rPr>
  </w:style>
  <w:style w:type="character" w:customStyle="1" w:styleId="NoSpacingChar">
    <w:name w:val="No Spacing Char"/>
    <w:basedOn w:val="DefaultParagraphFont"/>
    <w:link w:val="NoSpacing"/>
    <w:semiHidden/>
    <w:rsid w:val="00842EAD"/>
    <w:rPr>
      <w:rFonts w:eastAsiaTheme="minorEastAsia"/>
    </w:rPr>
  </w:style>
  <w:style w:type="paragraph" w:customStyle="1" w:styleId="ECHRParaQuote">
    <w:name w:val="ECHR_Para_Quote"/>
    <w:aliases w:val="Ju_Quot"/>
    <w:basedOn w:val="Normal"/>
    <w:uiPriority w:val="14"/>
    <w:qFormat/>
    <w:rsid w:val="00842EAD"/>
    <w:pPr>
      <w:spacing w:before="120" w:after="120"/>
      <w:ind w:left="425" w:firstLine="142"/>
    </w:pPr>
    <w:rPr>
      <w:sz w:val="20"/>
      <w:lang w:val="en-GB"/>
    </w:rPr>
  </w:style>
  <w:style w:type="paragraph" w:customStyle="1" w:styleId="OpiPara">
    <w:name w:val="Opi_Para"/>
    <w:basedOn w:val="ECHRPara"/>
    <w:uiPriority w:val="46"/>
    <w:qFormat/>
    <w:rsid w:val="00842EAD"/>
  </w:style>
  <w:style w:type="paragraph" w:customStyle="1" w:styleId="JuParaSub">
    <w:name w:val="Ju_Para_Sub"/>
    <w:basedOn w:val="ECHRPara"/>
    <w:uiPriority w:val="13"/>
    <w:qFormat/>
    <w:rsid w:val="00842EAD"/>
    <w:pPr>
      <w:ind w:left="284"/>
    </w:pPr>
  </w:style>
  <w:style w:type="paragraph" w:customStyle="1" w:styleId="OpiParaSub">
    <w:name w:val="Opi_Para_Sub"/>
    <w:basedOn w:val="JuParaSub"/>
    <w:uiPriority w:val="47"/>
    <w:qFormat/>
    <w:rsid w:val="00842EAD"/>
  </w:style>
  <w:style w:type="paragraph" w:customStyle="1" w:styleId="OpiQuot">
    <w:name w:val="Opi_Quot"/>
    <w:basedOn w:val="ECHRParaQuote"/>
    <w:uiPriority w:val="48"/>
    <w:qFormat/>
    <w:rsid w:val="00842EAD"/>
  </w:style>
  <w:style w:type="paragraph" w:customStyle="1" w:styleId="ECHRTitleCentre3">
    <w:name w:val="ECHR_Title_Centre_3"/>
    <w:aliases w:val="Ju_H_Article"/>
    <w:basedOn w:val="Normal"/>
    <w:next w:val="ECHRParaQuote"/>
    <w:uiPriority w:val="27"/>
    <w:qFormat/>
    <w:rsid w:val="00842EAD"/>
    <w:pPr>
      <w:keepNext/>
      <w:keepLines/>
      <w:spacing w:before="240" w:after="120"/>
      <w:jc w:val="center"/>
      <w:outlineLvl w:val="3"/>
    </w:pPr>
    <w:rPr>
      <w:rFonts w:asciiTheme="majorHAnsi" w:hAnsiTheme="majorHAnsi"/>
      <w:b/>
      <w:sz w:val="20"/>
      <w:lang w:val="en-GB" w:bidi="en-US"/>
    </w:rPr>
  </w:style>
  <w:style w:type="paragraph" w:customStyle="1" w:styleId="ECHRTitleCentre1">
    <w:name w:val="ECHR_Title_Centre_1"/>
    <w:aliases w:val="Opi_H_Head"/>
    <w:basedOn w:val="Normal"/>
    <w:next w:val="OpiPara"/>
    <w:uiPriority w:val="39"/>
    <w:qFormat/>
    <w:rsid w:val="00842EAD"/>
    <w:pPr>
      <w:keepNext/>
      <w:keepLines/>
      <w:spacing w:after="240"/>
      <w:jc w:val="center"/>
      <w:outlineLvl w:val="0"/>
    </w:pPr>
    <w:rPr>
      <w:rFonts w:asciiTheme="majorHAnsi" w:hAnsiTheme="majorHAnsi"/>
      <w:sz w:val="28"/>
      <w:lang w:val="en-GB"/>
    </w:rPr>
  </w:style>
  <w:style w:type="paragraph" w:customStyle="1" w:styleId="OpiQuotSub">
    <w:name w:val="Opi_Quot_Sub"/>
    <w:basedOn w:val="JuQuotSub"/>
    <w:uiPriority w:val="49"/>
    <w:qFormat/>
    <w:rsid w:val="00842EAD"/>
  </w:style>
  <w:style w:type="paragraph" w:customStyle="1" w:styleId="ECHRTitle1">
    <w:name w:val="ECHR_Title_1"/>
    <w:aliases w:val="Ju_H_Head"/>
    <w:basedOn w:val="Normal"/>
    <w:next w:val="ECHRPara"/>
    <w:uiPriority w:val="18"/>
    <w:qFormat/>
    <w:rsid w:val="00842EAD"/>
    <w:pPr>
      <w:keepNext/>
      <w:keepLines/>
      <w:spacing w:before="720" w:after="240"/>
      <w:outlineLvl w:val="0"/>
    </w:pPr>
    <w:rPr>
      <w:rFonts w:asciiTheme="majorHAnsi" w:hAnsiTheme="majorHAnsi"/>
      <w:sz w:val="28"/>
      <w:lang w:val="en-GB"/>
    </w:rPr>
  </w:style>
  <w:style w:type="paragraph" w:customStyle="1" w:styleId="JuTitle">
    <w:name w:val="Ju_Title"/>
    <w:basedOn w:val="Normal"/>
    <w:next w:val="ECHRPara"/>
    <w:uiPriority w:val="3"/>
    <w:semiHidden/>
    <w:qFormat/>
    <w:rsid w:val="00842EAD"/>
    <w:pPr>
      <w:spacing w:before="720" w:after="240"/>
      <w:jc w:val="center"/>
      <w:outlineLvl w:val="0"/>
    </w:pPr>
    <w:rPr>
      <w:rFonts w:asciiTheme="majorHAnsi" w:hAnsiTheme="majorHAnsi"/>
      <w:b/>
      <w:caps/>
      <w:lang w:val="en-GB"/>
    </w:rPr>
  </w:style>
  <w:style w:type="paragraph" w:customStyle="1" w:styleId="JuSigned">
    <w:name w:val="Ju_Signed"/>
    <w:basedOn w:val="Normal"/>
    <w:next w:val="JuParaLast"/>
    <w:uiPriority w:val="32"/>
    <w:qFormat/>
    <w:rsid w:val="00842EAD"/>
    <w:pPr>
      <w:tabs>
        <w:tab w:val="center" w:pos="851"/>
        <w:tab w:val="center" w:pos="6407"/>
      </w:tabs>
      <w:spacing w:before="720"/>
      <w:jc w:val="left"/>
    </w:pPr>
    <w:rPr>
      <w:lang w:val="en-GB"/>
    </w:rPr>
  </w:style>
  <w:style w:type="paragraph" w:styleId="Title">
    <w:name w:val="Title"/>
    <w:basedOn w:val="Normal"/>
    <w:next w:val="Normal"/>
    <w:link w:val="TitleChar"/>
    <w:uiPriority w:val="99"/>
    <w:semiHidden/>
    <w:qFormat/>
    <w:rsid w:val="00842EAD"/>
    <w:pPr>
      <w:pBdr>
        <w:bottom w:val="single" w:sz="4" w:space="1" w:color="auto"/>
      </w:pBdr>
      <w:contextualSpacing/>
    </w:pPr>
    <w:rPr>
      <w:rFonts w:asciiTheme="majorHAnsi" w:eastAsiaTheme="majorEastAsia" w:hAnsiTheme="majorHAnsi" w:cstheme="majorBidi"/>
      <w:spacing w:val="5"/>
      <w:sz w:val="52"/>
      <w:szCs w:val="52"/>
      <w:lang w:bidi="en-US"/>
    </w:rPr>
  </w:style>
  <w:style w:type="character" w:customStyle="1" w:styleId="TitleChar">
    <w:name w:val="Title Char"/>
    <w:basedOn w:val="DefaultParagraphFont"/>
    <w:link w:val="Title"/>
    <w:uiPriority w:val="99"/>
    <w:semiHidden/>
    <w:rsid w:val="00842EAD"/>
    <w:rPr>
      <w:rFonts w:asciiTheme="majorHAnsi" w:eastAsiaTheme="majorEastAsia" w:hAnsiTheme="majorHAnsi" w:cstheme="majorBidi"/>
      <w:spacing w:val="5"/>
      <w:sz w:val="52"/>
      <w:szCs w:val="52"/>
      <w:lang w:bidi="en-US"/>
    </w:rPr>
  </w:style>
  <w:style w:type="paragraph" w:customStyle="1" w:styleId="JuQuotSub">
    <w:name w:val="Ju_Quot_Sub"/>
    <w:basedOn w:val="ECHRParaQuote"/>
    <w:uiPriority w:val="15"/>
    <w:qFormat/>
    <w:rsid w:val="00842EAD"/>
    <w:pPr>
      <w:ind w:left="567"/>
    </w:pPr>
  </w:style>
  <w:style w:type="paragraph" w:customStyle="1" w:styleId="JuInitialled">
    <w:name w:val="Ju_Initialled"/>
    <w:basedOn w:val="Normal"/>
    <w:uiPriority w:val="31"/>
    <w:qFormat/>
    <w:rsid w:val="00842EAD"/>
    <w:pPr>
      <w:tabs>
        <w:tab w:val="center" w:pos="6407"/>
      </w:tabs>
      <w:spacing w:before="720"/>
      <w:jc w:val="right"/>
    </w:pPr>
    <w:rPr>
      <w:lang w:val="en-GB"/>
    </w:rPr>
  </w:style>
  <w:style w:type="character" w:customStyle="1" w:styleId="JuITMark">
    <w:name w:val="Ju_ITMark"/>
    <w:basedOn w:val="DefaultParagraphFont"/>
    <w:uiPriority w:val="38"/>
    <w:qFormat/>
    <w:rsid w:val="00842EAD"/>
    <w:rPr>
      <w:vanish w:val="0"/>
      <w:color w:val="auto"/>
      <w:sz w:val="14"/>
      <w:bdr w:val="none" w:sz="0" w:space="0" w:color="auto"/>
      <w:shd w:val="clear" w:color="auto" w:fill="BEE5FF" w:themeFill="background1" w:themeFillTint="33"/>
    </w:rPr>
  </w:style>
  <w:style w:type="paragraph" w:customStyle="1" w:styleId="OpiHA">
    <w:name w:val="Opi_H_A"/>
    <w:basedOn w:val="ECHRHeading1"/>
    <w:next w:val="OpiPara"/>
    <w:uiPriority w:val="41"/>
    <w:qFormat/>
    <w:rsid w:val="00842EAD"/>
    <w:pPr>
      <w:tabs>
        <w:tab w:val="clear" w:pos="357"/>
      </w:tabs>
      <w:outlineLvl w:val="1"/>
    </w:pPr>
    <w:rPr>
      <w:b/>
    </w:rPr>
  </w:style>
  <w:style w:type="character" w:customStyle="1" w:styleId="JUNAMES">
    <w:name w:val="JU_NAMES"/>
    <w:uiPriority w:val="17"/>
    <w:qFormat/>
    <w:rsid w:val="00842EAD"/>
    <w:rPr>
      <w:caps w:val="0"/>
      <w:smallCaps/>
    </w:rPr>
  </w:style>
  <w:style w:type="paragraph" w:customStyle="1" w:styleId="ECHRHeading1">
    <w:name w:val="ECHR_Heading_1"/>
    <w:aliases w:val="Ju_H_I_Roman"/>
    <w:basedOn w:val="Heading1"/>
    <w:next w:val="ECHRPara"/>
    <w:uiPriority w:val="19"/>
    <w:qFormat/>
    <w:rsid w:val="00842EAD"/>
    <w:pPr>
      <w:keepNext/>
      <w:keepLines/>
      <w:tabs>
        <w:tab w:val="left" w:pos="357"/>
      </w:tabs>
      <w:spacing w:before="360" w:after="240"/>
      <w:ind w:left="357" w:hanging="357"/>
      <w:contextualSpacing w:val="0"/>
    </w:pPr>
    <w:rPr>
      <w:b w:val="0"/>
      <w:color w:val="auto"/>
      <w:sz w:val="24"/>
      <w:lang w:val="en-GB"/>
    </w:rPr>
  </w:style>
  <w:style w:type="paragraph" w:customStyle="1" w:styleId="ECHRHeading2">
    <w:name w:val="ECHR_Heading_2"/>
    <w:aliases w:val="Ju_H_A"/>
    <w:basedOn w:val="Heading2"/>
    <w:next w:val="ECHRPara"/>
    <w:uiPriority w:val="20"/>
    <w:qFormat/>
    <w:rsid w:val="00842EAD"/>
    <w:pPr>
      <w:keepNext/>
      <w:keepLines/>
      <w:tabs>
        <w:tab w:val="left" w:pos="584"/>
      </w:tabs>
      <w:spacing w:before="360" w:after="240"/>
      <w:ind w:left="584" w:hanging="352"/>
    </w:pPr>
    <w:rPr>
      <w:color w:val="auto"/>
      <w:sz w:val="24"/>
      <w:lang w:val="en-GB"/>
    </w:rPr>
  </w:style>
  <w:style w:type="paragraph" w:customStyle="1" w:styleId="ECHRHeading3">
    <w:name w:val="ECHR_Heading_3"/>
    <w:aliases w:val="Ju_H_1."/>
    <w:basedOn w:val="Heading3"/>
    <w:next w:val="ECHRPara"/>
    <w:uiPriority w:val="21"/>
    <w:qFormat/>
    <w:rsid w:val="00842EAD"/>
    <w:pPr>
      <w:keepNext/>
      <w:keepLines/>
      <w:tabs>
        <w:tab w:val="left" w:pos="731"/>
      </w:tabs>
      <w:spacing w:before="240" w:after="120" w:line="240" w:lineRule="auto"/>
      <w:ind w:left="732" w:hanging="301"/>
    </w:pPr>
    <w:rPr>
      <w:b w:val="0"/>
      <w:i/>
      <w:color w:val="auto"/>
      <w:lang w:val="en-GB"/>
    </w:rPr>
  </w:style>
  <w:style w:type="paragraph" w:styleId="Header">
    <w:name w:val="header"/>
    <w:basedOn w:val="Normal"/>
    <w:link w:val="HeaderChar"/>
    <w:uiPriority w:val="57"/>
    <w:semiHidden/>
    <w:rsid w:val="0064393B"/>
    <w:pPr>
      <w:tabs>
        <w:tab w:val="center" w:pos="4536"/>
        <w:tab w:val="right" w:pos="9072"/>
      </w:tabs>
    </w:pPr>
    <w:rPr>
      <w:rFonts w:eastAsiaTheme="minorHAnsi"/>
    </w:rPr>
  </w:style>
  <w:style w:type="character" w:customStyle="1" w:styleId="HeaderChar">
    <w:name w:val="Header Char"/>
    <w:basedOn w:val="DefaultParagraphFont"/>
    <w:link w:val="Header"/>
    <w:uiPriority w:val="57"/>
    <w:semiHidden/>
    <w:rsid w:val="0064393B"/>
    <w:rPr>
      <w:sz w:val="24"/>
    </w:rPr>
  </w:style>
  <w:style w:type="character" w:customStyle="1" w:styleId="Heading1Char">
    <w:name w:val="Heading 1 Char"/>
    <w:basedOn w:val="DefaultParagraphFont"/>
    <w:link w:val="Heading1"/>
    <w:uiPriority w:val="99"/>
    <w:semiHidden/>
    <w:rsid w:val="0064393B"/>
    <w:rPr>
      <w:rFonts w:asciiTheme="majorHAnsi" w:eastAsiaTheme="majorEastAsia" w:hAnsiTheme="majorHAnsi" w:cstheme="majorBidi"/>
      <w:b/>
      <w:bCs/>
      <w:color w:val="333333"/>
      <w:sz w:val="28"/>
      <w:szCs w:val="28"/>
    </w:rPr>
  </w:style>
  <w:style w:type="paragraph" w:customStyle="1" w:styleId="ECHRHeading4">
    <w:name w:val="ECHR_Heading_4"/>
    <w:aliases w:val="Ju_H_a"/>
    <w:basedOn w:val="Heading4"/>
    <w:next w:val="ECHRPara"/>
    <w:uiPriority w:val="22"/>
    <w:qFormat/>
    <w:rsid w:val="00842EAD"/>
    <w:pPr>
      <w:keepNext/>
      <w:keepLines/>
      <w:tabs>
        <w:tab w:val="left" w:pos="975"/>
      </w:tabs>
      <w:spacing w:before="240" w:after="120"/>
      <w:ind w:left="975" w:hanging="340"/>
    </w:pPr>
    <w:rPr>
      <w:i w:val="0"/>
      <w:color w:val="auto"/>
      <w:sz w:val="20"/>
      <w:lang w:val="en-GB"/>
    </w:rPr>
  </w:style>
  <w:style w:type="paragraph" w:customStyle="1" w:styleId="ECHRHeading5">
    <w:name w:val="ECHR_Heading_5"/>
    <w:aliases w:val="Ju_H_i"/>
    <w:basedOn w:val="Heading5"/>
    <w:next w:val="ECHRPara"/>
    <w:uiPriority w:val="23"/>
    <w:qFormat/>
    <w:rsid w:val="00842EAD"/>
    <w:pPr>
      <w:keepNext/>
      <w:keepLines/>
      <w:tabs>
        <w:tab w:val="left" w:pos="1191"/>
      </w:tabs>
      <w:spacing w:before="240" w:after="120"/>
      <w:ind w:left="1190" w:hanging="357"/>
    </w:pPr>
    <w:rPr>
      <w:b w:val="0"/>
      <w:i/>
      <w:color w:val="auto"/>
      <w:sz w:val="20"/>
      <w:lang w:val="en-GB"/>
    </w:rPr>
  </w:style>
  <w:style w:type="character" w:customStyle="1" w:styleId="Heading2Char">
    <w:name w:val="Heading 2 Char"/>
    <w:basedOn w:val="DefaultParagraphFont"/>
    <w:link w:val="Heading2"/>
    <w:uiPriority w:val="99"/>
    <w:semiHidden/>
    <w:rsid w:val="0064393B"/>
    <w:rPr>
      <w:rFonts w:asciiTheme="majorHAnsi" w:eastAsiaTheme="majorEastAsia" w:hAnsiTheme="majorHAnsi" w:cstheme="majorBidi"/>
      <w:b/>
      <w:bCs/>
      <w:color w:val="4D4D4D"/>
      <w:sz w:val="26"/>
      <w:szCs w:val="26"/>
    </w:rPr>
  </w:style>
  <w:style w:type="paragraph" w:customStyle="1" w:styleId="ECHRHeading6">
    <w:name w:val="ECHR_Heading_6"/>
    <w:aliases w:val="Ju_H_alpha"/>
    <w:basedOn w:val="Heading6"/>
    <w:next w:val="ECHRPara"/>
    <w:uiPriority w:val="24"/>
    <w:qFormat/>
    <w:rsid w:val="00842EAD"/>
    <w:pPr>
      <w:keepNext/>
      <w:keepLines/>
      <w:tabs>
        <w:tab w:val="left" w:pos="1372"/>
      </w:tabs>
      <w:spacing w:before="240" w:after="120" w:line="240" w:lineRule="auto"/>
      <w:ind w:left="1373" w:hanging="335"/>
    </w:pPr>
    <w:rPr>
      <w:b w:val="0"/>
      <w:i w:val="0"/>
      <w:color w:val="auto"/>
      <w:sz w:val="20"/>
      <w:lang w:val="en-GB"/>
    </w:rPr>
  </w:style>
  <w:style w:type="paragraph" w:customStyle="1" w:styleId="ECHRHeading7">
    <w:name w:val="ECHR_Heading_7"/>
    <w:aliases w:val="Ju_H_–"/>
    <w:basedOn w:val="Heading7"/>
    <w:next w:val="ECHRPara"/>
    <w:uiPriority w:val="25"/>
    <w:qFormat/>
    <w:rsid w:val="00842EAD"/>
    <w:pPr>
      <w:keepNext/>
      <w:keepLines/>
      <w:spacing w:before="240" w:after="120"/>
      <w:ind w:left="1236"/>
    </w:pPr>
    <w:rPr>
      <w:sz w:val="20"/>
      <w:lang w:val="en-GB"/>
    </w:rPr>
  </w:style>
  <w:style w:type="character" w:customStyle="1" w:styleId="Heading3Char">
    <w:name w:val="Heading 3 Char"/>
    <w:basedOn w:val="DefaultParagraphFont"/>
    <w:link w:val="Heading3"/>
    <w:uiPriority w:val="99"/>
    <w:semiHidden/>
    <w:rsid w:val="0064393B"/>
    <w:rPr>
      <w:rFonts w:asciiTheme="majorHAnsi" w:eastAsiaTheme="majorEastAsia" w:hAnsiTheme="majorHAnsi" w:cstheme="majorBidi"/>
      <w:b/>
      <w:bCs/>
      <w:color w:val="5F5F5F"/>
      <w:sz w:val="24"/>
    </w:rPr>
  </w:style>
  <w:style w:type="paragraph" w:customStyle="1" w:styleId="JuParaLast">
    <w:name w:val="Ju_Para_Last"/>
    <w:basedOn w:val="Normal"/>
    <w:next w:val="ECHRPara"/>
    <w:uiPriority w:val="30"/>
    <w:qFormat/>
    <w:rsid w:val="00842EAD"/>
    <w:pPr>
      <w:keepNext/>
      <w:keepLines/>
      <w:spacing w:before="240"/>
      <w:ind w:firstLine="284"/>
    </w:pPr>
    <w:rPr>
      <w:lang w:val="en-GB"/>
    </w:rPr>
  </w:style>
  <w:style w:type="paragraph" w:customStyle="1" w:styleId="ECHRDecisionBody">
    <w:name w:val="ECHR_Decision_Body"/>
    <w:aliases w:val="Ju_Judges"/>
    <w:basedOn w:val="Normal"/>
    <w:uiPriority w:val="11"/>
    <w:qFormat/>
    <w:rsid w:val="00842EAD"/>
    <w:pPr>
      <w:tabs>
        <w:tab w:val="left" w:pos="567"/>
        <w:tab w:val="left" w:pos="1134"/>
      </w:tabs>
      <w:jc w:val="left"/>
    </w:pPr>
    <w:rPr>
      <w:lang w:val="en-GB"/>
    </w:rPr>
  </w:style>
  <w:style w:type="character" w:customStyle="1" w:styleId="Heading4Char">
    <w:name w:val="Heading 4 Char"/>
    <w:basedOn w:val="DefaultParagraphFont"/>
    <w:link w:val="Heading4"/>
    <w:uiPriority w:val="99"/>
    <w:semiHidden/>
    <w:rsid w:val="0064393B"/>
    <w:rPr>
      <w:rFonts w:asciiTheme="majorHAnsi" w:eastAsiaTheme="majorEastAsia" w:hAnsiTheme="majorHAnsi" w:cstheme="majorBidi"/>
      <w:b/>
      <w:bCs/>
      <w:i/>
      <w:iCs/>
      <w:color w:val="777777"/>
      <w:sz w:val="24"/>
    </w:rPr>
  </w:style>
  <w:style w:type="paragraph" w:customStyle="1" w:styleId="JuList">
    <w:name w:val="Ju_List"/>
    <w:basedOn w:val="Normal"/>
    <w:uiPriority w:val="28"/>
    <w:qFormat/>
    <w:rsid w:val="00842EAD"/>
    <w:pPr>
      <w:ind w:left="340" w:hanging="340"/>
    </w:pPr>
    <w:rPr>
      <w:lang w:val="en-GB"/>
    </w:rPr>
  </w:style>
  <w:style w:type="character" w:customStyle="1" w:styleId="Heading5Char">
    <w:name w:val="Heading 5 Char"/>
    <w:basedOn w:val="DefaultParagraphFont"/>
    <w:link w:val="Heading5"/>
    <w:uiPriority w:val="99"/>
    <w:semiHidden/>
    <w:rsid w:val="00842EAD"/>
    <w:rPr>
      <w:rFonts w:asciiTheme="majorHAnsi" w:eastAsiaTheme="majorEastAsia" w:hAnsiTheme="majorHAnsi" w:cstheme="majorBidi"/>
      <w:b/>
      <w:bCs/>
      <w:color w:val="808080"/>
    </w:rPr>
  </w:style>
  <w:style w:type="paragraph" w:customStyle="1" w:styleId="JuLista">
    <w:name w:val="Ju_List_a"/>
    <w:basedOn w:val="JuList"/>
    <w:uiPriority w:val="28"/>
    <w:qFormat/>
    <w:rsid w:val="00842EAD"/>
    <w:pPr>
      <w:ind w:left="346" w:firstLine="0"/>
    </w:pPr>
  </w:style>
  <w:style w:type="paragraph" w:customStyle="1" w:styleId="OpiTranslation">
    <w:name w:val="Opi_Translation"/>
    <w:basedOn w:val="Normal"/>
    <w:next w:val="OpiPara"/>
    <w:uiPriority w:val="40"/>
    <w:qFormat/>
    <w:rsid w:val="00842EAD"/>
    <w:pPr>
      <w:jc w:val="center"/>
      <w:outlineLvl w:val="0"/>
    </w:pPr>
    <w:rPr>
      <w:i/>
      <w:lang w:val="en-GB"/>
    </w:rPr>
  </w:style>
  <w:style w:type="character" w:styleId="SubtleEmphasis">
    <w:name w:val="Subtle Emphasis"/>
    <w:uiPriority w:val="99"/>
    <w:semiHidden/>
    <w:qFormat/>
    <w:rsid w:val="00842EAD"/>
    <w:rPr>
      <w:i/>
      <w:iCs/>
    </w:rPr>
  </w:style>
  <w:style w:type="paragraph" w:customStyle="1" w:styleId="DecHTitle">
    <w:name w:val="Dec_H_Title"/>
    <w:basedOn w:val="ECHRTitleCentre1"/>
    <w:uiPriority w:val="7"/>
    <w:semiHidden/>
    <w:qFormat/>
    <w:rsid w:val="00842EAD"/>
  </w:style>
  <w:style w:type="table" w:customStyle="1" w:styleId="ECHRTable">
    <w:name w:val="ECHR_Table"/>
    <w:basedOn w:val="TableNormal"/>
    <w:rsid w:val="00860B03"/>
    <w:rPr>
      <w:rFonts w:eastAsia="Times New Roman" w:cs="Times New Roman"/>
      <w:sz w:val="20"/>
      <w:szCs w:val="20"/>
      <w:lang w:val="en-GB"/>
    </w:rPr>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tblStylePr w:type="firstCol">
      <w:rPr>
        <w:b/>
      </w:rPr>
    </w:tblStylePr>
    <w:tblStylePr w:type="band2Vert">
      <w:tblPr/>
      <w:tcPr>
        <w:tcBorders>
          <w:top w:val="nil"/>
          <w:left w:val="nil"/>
          <w:bottom w:val="nil"/>
          <w:right w:val="nil"/>
          <w:insideH w:val="nil"/>
          <w:insideV w:val="nil"/>
          <w:tl2br w:val="nil"/>
          <w:tr2bl w:val="nil"/>
        </w:tcBorders>
        <w:shd w:val="clear" w:color="auto" w:fill="DFDFDF" w:themeFill="background2" w:themeFillShade="E6"/>
      </w:tcPr>
    </w:tblStylePr>
    <w:tblStylePr w:type="band2Horz">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style>
  <w:style w:type="table" w:customStyle="1" w:styleId="ECHRTableBoxHeader">
    <w:name w:val="ECHR_Table_Box_Header"/>
    <w:basedOn w:val="TableNormal"/>
    <w:rsid w:val="004C086C"/>
    <w:rPr>
      <w:rFonts w:ascii="Verdana" w:eastAsia="Times New Roman" w:hAnsi="Verdana" w:cs="Times New Roman"/>
      <w:sz w:val="20"/>
      <w:szCs w:val="20"/>
      <w:lang w:val="en-GB"/>
    </w:rPr>
    <w:tblPr>
      <w:tblCellMar>
        <w:top w:w="57" w:type="dxa"/>
        <w:left w:w="57" w:type="dxa"/>
        <w:bottom w:w="57" w:type="dxa"/>
        <w:right w:w="57" w:type="dxa"/>
      </w:tblCellMar>
    </w:tblPr>
    <w:tcPr>
      <w:shd w:val="clear" w:color="auto" w:fill="F8F8F8" w:themeFill="background2"/>
    </w:tcPr>
    <w:tblStylePr w:type="firstCol">
      <w:rPr>
        <w:b/>
        <w:color w:val="5F5F5F" w:themeColor="accent3"/>
      </w:rPr>
    </w:tblStylePr>
  </w:style>
  <w:style w:type="paragraph" w:customStyle="1" w:styleId="JuCourt">
    <w:name w:val="Ju_Court"/>
    <w:basedOn w:val="Normal"/>
    <w:next w:val="Normal"/>
    <w:uiPriority w:val="16"/>
    <w:qFormat/>
    <w:rsid w:val="00842EAD"/>
    <w:pPr>
      <w:tabs>
        <w:tab w:val="left" w:pos="907"/>
        <w:tab w:val="left" w:pos="1701"/>
        <w:tab w:val="right" w:pos="7371"/>
      </w:tabs>
      <w:spacing w:before="240"/>
      <w:ind w:left="397" w:hanging="397"/>
      <w:jc w:val="left"/>
    </w:pPr>
    <w:rPr>
      <w:lang w:val="en-GB" w:bidi="en-US"/>
    </w:rPr>
  </w:style>
  <w:style w:type="paragraph" w:customStyle="1" w:styleId="DecList">
    <w:name w:val="Dec_List"/>
    <w:basedOn w:val="Normal"/>
    <w:uiPriority w:val="9"/>
    <w:semiHidden/>
    <w:qFormat/>
    <w:rsid w:val="00842EAD"/>
    <w:pPr>
      <w:spacing w:before="240"/>
      <w:ind w:left="284"/>
    </w:pPr>
    <w:rPr>
      <w:lang w:val="en-GB"/>
    </w:rPr>
  </w:style>
  <w:style w:type="paragraph" w:customStyle="1" w:styleId="JuListi">
    <w:name w:val="Ju_List_i"/>
    <w:basedOn w:val="Normal"/>
    <w:next w:val="JuLista"/>
    <w:uiPriority w:val="28"/>
    <w:qFormat/>
    <w:rsid w:val="00842EAD"/>
    <w:pPr>
      <w:ind w:left="794"/>
    </w:pPr>
    <w:rPr>
      <w:lang w:val="en-GB"/>
    </w:rPr>
  </w:style>
  <w:style w:type="character" w:styleId="Emphasis">
    <w:name w:val="Emphasis"/>
    <w:uiPriority w:val="99"/>
    <w:semiHidden/>
    <w:qFormat/>
    <w:rsid w:val="00842EAD"/>
    <w:rPr>
      <w:b/>
      <w:bCs/>
      <w:i/>
      <w:iCs/>
      <w:spacing w:val="10"/>
      <w:bdr w:val="none" w:sz="0" w:space="0" w:color="auto"/>
      <w:shd w:val="clear" w:color="auto" w:fill="auto"/>
    </w:rPr>
  </w:style>
  <w:style w:type="paragraph" w:styleId="Footer">
    <w:name w:val="footer"/>
    <w:basedOn w:val="Normal"/>
    <w:link w:val="FooterChar"/>
    <w:uiPriority w:val="57"/>
    <w:semiHidden/>
    <w:rsid w:val="0064393B"/>
    <w:pPr>
      <w:tabs>
        <w:tab w:val="center" w:pos="4536"/>
        <w:tab w:val="right" w:pos="9696"/>
      </w:tabs>
      <w:ind w:left="-680" w:right="-680"/>
    </w:pPr>
    <w:rPr>
      <w:rFonts w:eastAsiaTheme="minorHAnsi"/>
    </w:rPr>
  </w:style>
  <w:style w:type="character" w:customStyle="1" w:styleId="FooterChar">
    <w:name w:val="Footer Char"/>
    <w:basedOn w:val="DefaultParagraphFont"/>
    <w:link w:val="Footer"/>
    <w:uiPriority w:val="57"/>
    <w:semiHidden/>
    <w:rsid w:val="0064393B"/>
    <w:rPr>
      <w:sz w:val="24"/>
    </w:rPr>
  </w:style>
  <w:style w:type="character" w:styleId="FootnoteReference">
    <w:name w:val="footnote reference"/>
    <w:basedOn w:val="DefaultParagraphFont"/>
    <w:uiPriority w:val="99"/>
    <w:semiHidden/>
    <w:rsid w:val="0064393B"/>
    <w:rPr>
      <w:vertAlign w:val="superscript"/>
    </w:rPr>
  </w:style>
  <w:style w:type="paragraph" w:styleId="FootnoteText">
    <w:name w:val="footnote text"/>
    <w:basedOn w:val="Normal"/>
    <w:link w:val="FootnoteTextChar"/>
    <w:uiPriority w:val="99"/>
    <w:semiHidden/>
    <w:rsid w:val="0064393B"/>
    <w:rPr>
      <w:sz w:val="20"/>
      <w:szCs w:val="20"/>
    </w:rPr>
  </w:style>
  <w:style w:type="character" w:customStyle="1" w:styleId="FootnoteTextChar">
    <w:name w:val="Footnote Text Char"/>
    <w:basedOn w:val="DefaultParagraphFont"/>
    <w:link w:val="FootnoteText"/>
    <w:uiPriority w:val="99"/>
    <w:semiHidden/>
    <w:rsid w:val="0064393B"/>
    <w:rPr>
      <w:rFonts w:eastAsiaTheme="minorEastAsia"/>
      <w:sz w:val="20"/>
      <w:szCs w:val="20"/>
    </w:rPr>
  </w:style>
  <w:style w:type="character" w:customStyle="1" w:styleId="Heading6Char">
    <w:name w:val="Heading 6 Char"/>
    <w:basedOn w:val="DefaultParagraphFont"/>
    <w:link w:val="Heading6"/>
    <w:uiPriority w:val="99"/>
    <w:semiHidden/>
    <w:rsid w:val="0064393B"/>
    <w:rPr>
      <w:rFonts w:asciiTheme="majorHAnsi" w:eastAsiaTheme="majorEastAsia" w:hAnsiTheme="majorHAnsi" w:cstheme="majorBidi"/>
      <w:b/>
      <w:bCs/>
      <w:i/>
      <w:iCs/>
      <w:color w:val="7F7F7F" w:themeColor="text1" w:themeTint="80"/>
      <w:sz w:val="24"/>
      <w:lang w:bidi="en-US"/>
    </w:rPr>
  </w:style>
  <w:style w:type="character" w:customStyle="1" w:styleId="Heading7Char">
    <w:name w:val="Heading 7 Char"/>
    <w:basedOn w:val="DefaultParagraphFont"/>
    <w:link w:val="Heading7"/>
    <w:uiPriority w:val="99"/>
    <w:semiHidden/>
    <w:rsid w:val="00842EAD"/>
    <w:rPr>
      <w:rFonts w:asciiTheme="majorHAnsi" w:eastAsiaTheme="majorEastAsia" w:hAnsiTheme="majorHAnsi" w:cstheme="majorBidi"/>
      <w:i/>
      <w:iCs/>
      <w:lang w:bidi="en-US"/>
    </w:rPr>
  </w:style>
  <w:style w:type="character" w:customStyle="1" w:styleId="Heading8Char">
    <w:name w:val="Heading 8 Char"/>
    <w:basedOn w:val="DefaultParagraphFont"/>
    <w:link w:val="Heading8"/>
    <w:uiPriority w:val="99"/>
    <w:semiHidden/>
    <w:rsid w:val="00842EAD"/>
    <w:rPr>
      <w:rFonts w:asciiTheme="majorHAnsi" w:eastAsiaTheme="majorEastAsia" w:hAnsiTheme="majorHAnsi" w:cstheme="majorBidi"/>
      <w:sz w:val="20"/>
      <w:szCs w:val="20"/>
      <w:lang w:bidi="en-US"/>
    </w:rPr>
  </w:style>
  <w:style w:type="character" w:customStyle="1" w:styleId="Heading9Char">
    <w:name w:val="Heading 9 Char"/>
    <w:basedOn w:val="DefaultParagraphFont"/>
    <w:link w:val="Heading9"/>
    <w:uiPriority w:val="99"/>
    <w:semiHidden/>
    <w:rsid w:val="00842EAD"/>
    <w:rPr>
      <w:rFonts w:asciiTheme="majorHAnsi" w:eastAsiaTheme="majorEastAsia" w:hAnsiTheme="majorHAnsi" w:cstheme="majorBidi"/>
      <w:i/>
      <w:iCs/>
      <w:spacing w:val="5"/>
      <w:sz w:val="20"/>
      <w:szCs w:val="20"/>
      <w:lang w:bidi="en-US"/>
    </w:rPr>
  </w:style>
  <w:style w:type="character" w:styleId="Hyperlink">
    <w:name w:val="Hyperlink"/>
    <w:basedOn w:val="DefaultParagraphFont"/>
    <w:uiPriority w:val="99"/>
    <w:semiHidden/>
    <w:rsid w:val="0064393B"/>
    <w:rPr>
      <w:color w:val="0072BC" w:themeColor="hyperlink"/>
      <w:u w:val="single"/>
    </w:rPr>
  </w:style>
  <w:style w:type="character" w:styleId="IntenseEmphasis">
    <w:name w:val="Intense Emphasis"/>
    <w:uiPriority w:val="99"/>
    <w:semiHidden/>
    <w:qFormat/>
    <w:rsid w:val="00842EAD"/>
    <w:rPr>
      <w:b/>
      <w:bCs/>
    </w:rPr>
  </w:style>
  <w:style w:type="paragraph" w:styleId="IntenseQuote">
    <w:name w:val="Intense Quote"/>
    <w:basedOn w:val="Normal"/>
    <w:next w:val="Normal"/>
    <w:link w:val="IntenseQuoteChar"/>
    <w:uiPriority w:val="99"/>
    <w:semiHidden/>
    <w:qFormat/>
    <w:rsid w:val="00842EAD"/>
    <w:pPr>
      <w:pBdr>
        <w:bottom w:val="single" w:sz="4" w:space="1" w:color="auto"/>
      </w:pBdr>
      <w:spacing w:before="200" w:after="280"/>
      <w:ind w:left="1008" w:right="1152"/>
    </w:pPr>
    <w:rPr>
      <w:b/>
      <w:bCs/>
      <w:i/>
      <w:iCs/>
      <w:sz w:val="22"/>
      <w:lang w:bidi="en-US"/>
    </w:rPr>
  </w:style>
  <w:style w:type="character" w:customStyle="1" w:styleId="IntenseQuoteChar">
    <w:name w:val="Intense Quote Char"/>
    <w:basedOn w:val="DefaultParagraphFont"/>
    <w:link w:val="IntenseQuote"/>
    <w:uiPriority w:val="99"/>
    <w:semiHidden/>
    <w:rsid w:val="00842EAD"/>
    <w:rPr>
      <w:rFonts w:eastAsiaTheme="minorEastAsia"/>
      <w:b/>
      <w:bCs/>
      <w:i/>
      <w:iCs/>
      <w:lang w:bidi="en-US"/>
    </w:rPr>
  </w:style>
  <w:style w:type="character" w:styleId="IntenseReference">
    <w:name w:val="Intense Reference"/>
    <w:uiPriority w:val="99"/>
    <w:semiHidden/>
    <w:qFormat/>
    <w:rsid w:val="00842EAD"/>
    <w:rPr>
      <w:smallCaps/>
      <w:spacing w:val="5"/>
      <w:u w:val="single"/>
    </w:rPr>
  </w:style>
  <w:style w:type="paragraph" w:styleId="ListParagraph">
    <w:name w:val="List Paragraph"/>
    <w:basedOn w:val="Normal"/>
    <w:uiPriority w:val="99"/>
    <w:semiHidden/>
    <w:qFormat/>
    <w:rsid w:val="00842EAD"/>
    <w:pPr>
      <w:ind w:left="720"/>
      <w:contextualSpacing/>
    </w:pPr>
    <w:rPr>
      <w:lang w:val="en-GB"/>
    </w:rPr>
  </w:style>
  <w:style w:type="table" w:customStyle="1" w:styleId="LtrTableAddress">
    <w:name w:val="Ltr_Table_Address"/>
    <w:basedOn w:val="TableNormal"/>
    <w:uiPriority w:val="99"/>
    <w:rsid w:val="001E6F32"/>
    <w:tblPr>
      <w:tblInd w:w="5103" w:type="dxa"/>
    </w:tblPr>
  </w:style>
  <w:style w:type="paragraph" w:styleId="Quote">
    <w:name w:val="Quote"/>
    <w:basedOn w:val="Normal"/>
    <w:next w:val="Normal"/>
    <w:link w:val="QuoteChar"/>
    <w:uiPriority w:val="99"/>
    <w:semiHidden/>
    <w:qFormat/>
    <w:rsid w:val="00842EAD"/>
    <w:pPr>
      <w:spacing w:before="200"/>
      <w:ind w:left="360" w:right="360"/>
    </w:pPr>
    <w:rPr>
      <w:i/>
      <w:iCs/>
      <w:sz w:val="22"/>
      <w:lang w:bidi="en-US"/>
    </w:rPr>
  </w:style>
  <w:style w:type="character" w:customStyle="1" w:styleId="QuoteChar">
    <w:name w:val="Quote Char"/>
    <w:basedOn w:val="DefaultParagraphFont"/>
    <w:link w:val="Quote"/>
    <w:uiPriority w:val="99"/>
    <w:semiHidden/>
    <w:rsid w:val="00842EAD"/>
    <w:rPr>
      <w:rFonts w:eastAsiaTheme="minorEastAsia"/>
      <w:i/>
      <w:iCs/>
      <w:lang w:bidi="en-US"/>
    </w:rPr>
  </w:style>
  <w:style w:type="character" w:styleId="SubtleReference">
    <w:name w:val="Subtle Reference"/>
    <w:uiPriority w:val="99"/>
    <w:semiHidden/>
    <w:qFormat/>
    <w:rsid w:val="00842EAD"/>
    <w:rPr>
      <w:smallCaps/>
    </w:rPr>
  </w:style>
  <w:style w:type="table" w:styleId="TableGrid">
    <w:name w:val="Table Grid"/>
    <w:basedOn w:val="TableNormal"/>
    <w:uiPriority w:val="59"/>
    <w:semiHidden/>
    <w:rsid w:val="0064393B"/>
    <w:rPr>
      <w:rFonts w:eastAsiaTheme="minorEastAs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1">
    <w:name w:val="toc 1"/>
    <w:basedOn w:val="Normal"/>
    <w:next w:val="Normal"/>
    <w:autoRedefine/>
    <w:uiPriority w:val="99"/>
    <w:semiHidden/>
    <w:rsid w:val="0064393B"/>
    <w:pPr>
      <w:keepNext/>
      <w:tabs>
        <w:tab w:val="right" w:leader="dot" w:pos="7371"/>
      </w:tabs>
      <w:spacing w:before="160" w:after="60" w:line="240" w:lineRule="exact"/>
      <w:ind w:left="340" w:right="567" w:hanging="340"/>
    </w:pPr>
    <w:rPr>
      <w:b/>
      <w:sz w:val="22"/>
    </w:rPr>
  </w:style>
  <w:style w:type="paragraph" w:styleId="TOC2">
    <w:name w:val="toc 2"/>
    <w:basedOn w:val="Normal"/>
    <w:next w:val="Normal"/>
    <w:autoRedefine/>
    <w:uiPriority w:val="99"/>
    <w:semiHidden/>
    <w:rsid w:val="0064393B"/>
    <w:pPr>
      <w:keepNext/>
      <w:tabs>
        <w:tab w:val="right" w:leader="dot" w:pos="7371"/>
      </w:tabs>
      <w:spacing w:after="60" w:line="240" w:lineRule="exact"/>
      <w:ind w:left="680" w:right="567" w:hanging="340"/>
    </w:pPr>
    <w:rPr>
      <w:sz w:val="22"/>
    </w:rPr>
  </w:style>
  <w:style w:type="paragraph" w:styleId="TOC3">
    <w:name w:val="toc 3"/>
    <w:basedOn w:val="Normal"/>
    <w:next w:val="Normal"/>
    <w:autoRedefine/>
    <w:uiPriority w:val="99"/>
    <w:semiHidden/>
    <w:rsid w:val="0064393B"/>
    <w:pPr>
      <w:keepNext/>
      <w:tabs>
        <w:tab w:val="right" w:leader="dot" w:pos="7371"/>
      </w:tabs>
      <w:spacing w:after="60" w:line="240" w:lineRule="exact"/>
      <w:ind w:left="1020" w:right="567" w:hanging="340"/>
    </w:pPr>
    <w:rPr>
      <w:sz w:val="20"/>
    </w:rPr>
  </w:style>
  <w:style w:type="paragraph" w:styleId="TOC4">
    <w:name w:val="toc 4"/>
    <w:basedOn w:val="Normal"/>
    <w:next w:val="Normal"/>
    <w:autoRedefine/>
    <w:uiPriority w:val="99"/>
    <w:semiHidden/>
    <w:rsid w:val="0064393B"/>
    <w:pPr>
      <w:tabs>
        <w:tab w:val="right" w:leader="dot" w:pos="7371"/>
      </w:tabs>
      <w:spacing w:after="60" w:line="240" w:lineRule="exact"/>
      <w:ind w:left="1361" w:right="567" w:hanging="340"/>
    </w:pPr>
    <w:rPr>
      <w:sz w:val="20"/>
    </w:rPr>
  </w:style>
  <w:style w:type="paragraph" w:styleId="TOC5">
    <w:name w:val="toc 5"/>
    <w:basedOn w:val="Normal"/>
    <w:next w:val="Normal"/>
    <w:autoRedefine/>
    <w:uiPriority w:val="99"/>
    <w:semiHidden/>
    <w:rsid w:val="0064393B"/>
    <w:pPr>
      <w:tabs>
        <w:tab w:val="right" w:leader="dot" w:pos="7371"/>
      </w:tabs>
      <w:spacing w:after="60" w:line="240" w:lineRule="exact"/>
      <w:ind w:left="1701" w:right="567" w:hanging="340"/>
    </w:pPr>
    <w:rPr>
      <w:sz w:val="20"/>
    </w:rPr>
  </w:style>
  <w:style w:type="paragraph" w:styleId="TOCHeading">
    <w:name w:val="TOC Heading"/>
    <w:basedOn w:val="Normal"/>
    <w:next w:val="Normal"/>
    <w:uiPriority w:val="99"/>
    <w:semiHidden/>
    <w:qFormat/>
    <w:rsid w:val="00842EAD"/>
    <w:pPr>
      <w:keepNext/>
      <w:keepLines/>
      <w:spacing w:before="240"/>
      <w:contextualSpacing/>
      <w:jc w:val="center"/>
    </w:pPr>
    <w:rPr>
      <w:rFonts w:asciiTheme="majorHAnsi" w:eastAsiaTheme="minorHAnsi" w:hAnsiTheme="majorHAnsi"/>
      <w:b/>
      <w:color w:val="474747" w:themeColor="accent3" w:themeShade="BF"/>
      <w:sz w:val="28"/>
      <w:lang w:val="en-GB"/>
    </w:rPr>
  </w:style>
  <w:style w:type="table" w:customStyle="1" w:styleId="UGTable">
    <w:name w:val="UG_Table"/>
    <w:basedOn w:val="TableNormal"/>
    <w:uiPriority w:val="99"/>
    <w:rsid w:val="00572845"/>
    <w:rPr>
      <w:rFonts w:eastAsiaTheme="minorEastAsia"/>
      <w:sz w:val="20"/>
      <w:lang w:val="en-GB" w:eastAsia="en-GB"/>
    </w:rPr>
    <w:tblPr>
      <w:tblInd w:w="-964" w:type="dxa"/>
      <w:tblCellMar>
        <w:left w:w="57" w:type="dxa"/>
        <w:bottom w:w="57" w:type="dxa"/>
        <w:right w:w="113" w:type="dxa"/>
      </w:tblCellMar>
    </w:tblPr>
    <w:tblStylePr w:type="swCell">
      <w:tblPr/>
      <w:tcPr>
        <w:tcBorders>
          <w:top w:val="nil"/>
          <w:left w:val="nil"/>
          <w:bottom w:val="nil"/>
          <w:right w:val="nil"/>
          <w:insideH w:val="nil"/>
          <w:insideV w:val="nil"/>
          <w:tl2br w:val="nil"/>
          <w:tr2bl w:val="nil"/>
        </w:tcBorders>
        <w:shd w:val="clear" w:color="auto" w:fill="EAEAEA"/>
      </w:tcPr>
    </w:tblStylePr>
  </w:style>
  <w:style w:type="table" w:customStyle="1" w:styleId="UGTableWhiteBox">
    <w:name w:val="UG_Table_White_Box"/>
    <w:basedOn w:val="TableNormal"/>
    <w:uiPriority w:val="99"/>
    <w:rsid w:val="003609FA"/>
    <w:rPr>
      <w:rFonts w:eastAsiaTheme="minorEastAsia"/>
      <w:lang w:val="en-GB" w:eastAsia="en-GB"/>
    </w:rPr>
    <w:tblPr>
      <w:tblInd w:w="113" w:type="dxa"/>
      <w:tblBorders>
        <w:top w:val="single" w:sz="4" w:space="0" w:color="B9B9B9" w:themeColor="background2" w:themeShade="BF"/>
        <w:left w:val="single" w:sz="4" w:space="0" w:color="B9B9B9" w:themeColor="background2" w:themeShade="BF"/>
        <w:bottom w:val="single" w:sz="4" w:space="0" w:color="B9B9B9" w:themeColor="background2" w:themeShade="BF"/>
        <w:right w:val="single" w:sz="4" w:space="0" w:color="B9B9B9" w:themeColor="background2" w:themeShade="BF"/>
      </w:tblBorders>
      <w:tblCellMar>
        <w:top w:w="113" w:type="dxa"/>
        <w:left w:w="113" w:type="dxa"/>
        <w:bottom w:w="113" w:type="dxa"/>
        <w:right w:w="113" w:type="dxa"/>
      </w:tblCellMar>
    </w:tblPr>
    <w:tcPr>
      <w:shd w:val="clear" w:color="auto" w:fill="FFFFFF"/>
    </w:tcPr>
  </w:style>
  <w:style w:type="table" w:customStyle="1" w:styleId="PCFTableStyle">
    <w:name w:val="PCF_Table_Style"/>
    <w:basedOn w:val="TableNormal"/>
    <w:uiPriority w:val="99"/>
    <w:rsid w:val="00810B38"/>
    <w:rPr>
      <w:color w:val="000000" w:themeColor="text1"/>
      <w:sz w:val="18"/>
    </w:rPr>
    <w:tblPr>
      <w:tblBorders>
        <w:top w:val="single" w:sz="8" w:space="0" w:color="9F9F9F" w:themeColor="accent3" w:themeTint="99"/>
        <w:left w:val="single" w:sz="8" w:space="0" w:color="9F9F9F" w:themeColor="accent3" w:themeTint="99"/>
        <w:bottom w:val="single" w:sz="8" w:space="0" w:color="9F9F9F" w:themeColor="accent3" w:themeTint="99"/>
        <w:right w:val="single" w:sz="8" w:space="0" w:color="9F9F9F" w:themeColor="accent3" w:themeTint="99"/>
        <w:insideH w:val="single" w:sz="8" w:space="0" w:color="9F9F9F" w:themeColor="accent3" w:themeTint="99"/>
        <w:insideV w:val="single" w:sz="8" w:space="0" w:color="9F9F9F" w:themeColor="accent3" w:themeTint="99"/>
      </w:tblBorders>
    </w:tblPr>
    <w:tblStylePr w:type="firstRow">
      <w:pPr>
        <w:wordWrap/>
        <w:spacing w:beforeLines="0" w:before="120" w:beforeAutospacing="0" w:afterLines="0" w:after="120" w:afterAutospacing="0" w:line="240" w:lineRule="auto"/>
        <w:contextualSpacing/>
        <w:jc w:val="center"/>
      </w:pPr>
      <w:rPr>
        <w:b/>
        <w:i w:val="0"/>
        <w:color w:val="FFFFFF"/>
        <w:sz w:val="20"/>
      </w:rPr>
      <w:tblPr/>
      <w:tcPr>
        <w:tcBorders>
          <w:top w:val="nil"/>
          <w:left w:val="nil"/>
          <w:bottom w:val="nil"/>
          <w:right w:val="nil"/>
          <w:insideH w:val="nil"/>
          <w:insideV w:val="nil"/>
          <w:tl2br w:val="nil"/>
          <w:tr2bl w:val="nil"/>
        </w:tcBorders>
        <w:shd w:val="clear" w:color="auto" w:fill="0072BC" w:themeFill="accent1"/>
        <w:vAlign w:val="center"/>
      </w:tcPr>
    </w:tblStylePr>
    <w:tblStylePr w:type="firstCol">
      <w:pPr>
        <w:jc w:val="left"/>
      </w:pPr>
      <w:tblPr/>
      <w:tcPr>
        <w:vAlign w:val="center"/>
      </w:tcPr>
    </w:tblStylePr>
  </w:style>
  <w:style w:type="table" w:customStyle="1" w:styleId="ECHRTableFax">
    <w:name w:val="ECHR_Table_Fax"/>
    <w:basedOn w:val="TableNormal"/>
    <w:uiPriority w:val="99"/>
    <w:rsid w:val="00893576"/>
    <w:rPr>
      <w:color w:val="000000" w:themeColor="text1"/>
    </w:rPr>
    <w:tblPr>
      <w:tblInd w:w="-680" w:type="dxa"/>
      <w:tblBorders>
        <w:insideH w:val="single" w:sz="4" w:space="0" w:color="C6C6C6" w:themeColor="text2"/>
        <w:insideV w:val="single" w:sz="4" w:space="0" w:color="C6C6C6" w:themeColor="text2"/>
      </w:tblBorders>
      <w:tblCellMar>
        <w:top w:w="142" w:type="dxa"/>
        <w:bottom w:w="142" w:type="dxa"/>
      </w:tblCellMar>
    </w:tblPr>
    <w:trPr>
      <w:cantSplit/>
    </w:trPr>
  </w:style>
  <w:style w:type="table" w:customStyle="1" w:styleId="ECHRTableMemo">
    <w:name w:val="ECHR_Table_Memo"/>
    <w:basedOn w:val="TableNormal"/>
    <w:uiPriority w:val="99"/>
    <w:rsid w:val="00210338"/>
    <w:tblPr>
      <w:jc w:val="center"/>
      <w:tblCellMar>
        <w:top w:w="113" w:type="dxa"/>
        <w:left w:w="0" w:type="dxa"/>
        <w:bottom w:w="113" w:type="dxa"/>
        <w:right w:w="0" w:type="dxa"/>
      </w:tblCellMar>
    </w:tblPr>
    <w:trPr>
      <w:jc w:val="center"/>
    </w:trPr>
    <w:tblStylePr w:type="lastRow">
      <w:tblPr/>
      <w:tcPr>
        <w:tcBorders>
          <w:top w:val="nil"/>
          <w:left w:val="nil"/>
          <w:bottom w:val="single" w:sz="4" w:space="0" w:color="949494" w:themeColor="text2" w:themeShade="BF"/>
          <w:right w:val="nil"/>
          <w:insideH w:val="nil"/>
          <w:insideV w:val="nil"/>
          <w:tl2br w:val="nil"/>
          <w:tr2bl w:val="nil"/>
        </w:tcBorders>
      </w:tcPr>
    </w:tblStylePr>
  </w:style>
  <w:style w:type="table" w:customStyle="1" w:styleId="ECHRDNTable">
    <w:name w:val="ECHR_DN_Table"/>
    <w:aliases w:val="DN_Table"/>
    <w:basedOn w:val="TableNormal"/>
    <w:uiPriority w:val="99"/>
    <w:rsid w:val="0090506B"/>
    <w:tblPr>
      <w:jc w:val="center"/>
      <w:tblBorders>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57" w:type="dxa"/>
        <w:bottom w:w="57" w:type="dxa"/>
      </w:tblCellMar>
    </w:tblPr>
    <w:trPr>
      <w:jc w:val="center"/>
    </w:trPr>
    <w:tcPr>
      <w:vAlign w:val="center"/>
    </w:tcPr>
    <w:tblStylePr w:type="firstRow">
      <w:pPr>
        <w:wordWrap/>
        <w:spacing w:beforeLines="0"/>
        <w:ind w:leftChars="0" w:left="0"/>
      </w:pPr>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nil"/>
          <w:right w:val="single" w:sz="4" w:space="0" w:color="949494" w:themeColor="text2" w:themeShade="BF"/>
          <w:insideH w:val="nil"/>
          <w:insideV w:val="nil"/>
          <w:tl2br w:val="nil"/>
          <w:tr2bl w:val="nil"/>
        </w:tcBorders>
        <w:shd w:val="clear" w:color="auto" w:fill="DFDFDF" w:themeFill="background2" w:themeFillShade="E6"/>
      </w:tcPr>
    </w:tblStylePr>
  </w:style>
  <w:style w:type="paragraph" w:styleId="TOAHeading">
    <w:name w:val="toa heading"/>
    <w:basedOn w:val="Normal"/>
    <w:next w:val="Normal"/>
    <w:uiPriority w:val="99"/>
    <w:semiHidden/>
    <w:rsid w:val="0064393B"/>
    <w:pPr>
      <w:keepNext/>
      <w:keepLines/>
      <w:spacing w:before="240"/>
      <w:contextualSpacing/>
      <w:jc w:val="center"/>
    </w:pPr>
    <w:rPr>
      <w:rFonts w:asciiTheme="majorHAnsi" w:eastAsiaTheme="majorEastAsia" w:hAnsiTheme="majorHAnsi" w:cstheme="majorBidi"/>
      <w:b/>
      <w:bCs/>
      <w:color w:val="474747" w:themeColor="accent3" w:themeShade="BF"/>
      <w:sz w:val="28"/>
      <w:szCs w:val="24"/>
    </w:rPr>
  </w:style>
  <w:style w:type="paragraph" w:styleId="Subtitle">
    <w:name w:val="Subtitle"/>
    <w:basedOn w:val="Normal"/>
    <w:next w:val="Normal"/>
    <w:link w:val="SubtitleChar"/>
    <w:uiPriority w:val="99"/>
    <w:semiHidden/>
    <w:qFormat/>
    <w:rsid w:val="00842EAD"/>
    <w:pPr>
      <w:spacing w:after="600"/>
    </w:pPr>
    <w:rPr>
      <w:rFonts w:asciiTheme="majorHAnsi" w:eastAsiaTheme="majorEastAsia" w:hAnsiTheme="majorHAnsi" w:cstheme="majorBidi"/>
      <w:i/>
      <w:iCs/>
      <w:spacing w:val="13"/>
      <w:szCs w:val="24"/>
      <w:lang w:bidi="en-US"/>
    </w:rPr>
  </w:style>
  <w:style w:type="character" w:customStyle="1" w:styleId="SubtitleChar">
    <w:name w:val="Subtitle Char"/>
    <w:basedOn w:val="DefaultParagraphFont"/>
    <w:link w:val="Subtitle"/>
    <w:uiPriority w:val="99"/>
    <w:semiHidden/>
    <w:rsid w:val="00842EAD"/>
    <w:rPr>
      <w:rFonts w:asciiTheme="majorHAnsi" w:eastAsiaTheme="majorEastAsia" w:hAnsiTheme="majorHAnsi" w:cstheme="majorBidi"/>
      <w:i/>
      <w:iCs/>
      <w:spacing w:val="13"/>
      <w:sz w:val="24"/>
      <w:szCs w:val="24"/>
      <w:lang w:bidi="en-US"/>
    </w:rPr>
  </w:style>
  <w:style w:type="numbering" w:styleId="111111">
    <w:name w:val="Outline List 2"/>
    <w:basedOn w:val="NoList"/>
    <w:uiPriority w:val="99"/>
    <w:semiHidden/>
    <w:unhideWhenUsed/>
    <w:rsid w:val="0098410D"/>
    <w:pPr>
      <w:numPr>
        <w:numId w:val="10"/>
      </w:numPr>
    </w:pPr>
  </w:style>
  <w:style w:type="paragraph" w:customStyle="1" w:styleId="ECHRPara">
    <w:name w:val="ECHR_Para"/>
    <w:aliases w:val="Ju_Para"/>
    <w:basedOn w:val="Normal"/>
    <w:link w:val="ECHRParaChar"/>
    <w:uiPriority w:val="12"/>
    <w:qFormat/>
    <w:rsid w:val="00842EAD"/>
    <w:pPr>
      <w:ind w:firstLine="284"/>
    </w:pPr>
    <w:rPr>
      <w:lang w:val="en-GB"/>
    </w:rPr>
  </w:style>
  <w:style w:type="numbering" w:styleId="1ai">
    <w:name w:val="Outline List 1"/>
    <w:basedOn w:val="NoList"/>
    <w:uiPriority w:val="99"/>
    <w:semiHidden/>
    <w:unhideWhenUsed/>
    <w:rsid w:val="0098410D"/>
    <w:pPr>
      <w:numPr>
        <w:numId w:val="11"/>
      </w:numPr>
    </w:pPr>
  </w:style>
  <w:style w:type="table" w:customStyle="1" w:styleId="ECHRTableSimpleBox">
    <w:name w:val="ECHR_Table_Simple_Box"/>
    <w:basedOn w:val="TableNormal"/>
    <w:uiPriority w:val="99"/>
    <w:rsid w:val="00AE354C"/>
    <w:tblPr>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tblBorders>
      <w:tblCellMar>
        <w:top w:w="113" w:type="dxa"/>
        <w:bottom w:w="113" w:type="dxa"/>
      </w:tblCellMar>
    </w:tblPr>
  </w:style>
  <w:style w:type="table" w:customStyle="1" w:styleId="ECHRTableNoLines">
    <w:name w:val="ECHR_Table_No_Lines"/>
    <w:basedOn w:val="TableNormal"/>
    <w:uiPriority w:val="99"/>
    <w:rsid w:val="00F218EF"/>
    <w:tblPr>
      <w:tblCellMar>
        <w:top w:w="85" w:type="dxa"/>
        <w:left w:w="142" w:type="dxa"/>
        <w:bottom w:w="28" w:type="dxa"/>
        <w:right w:w="142" w:type="dxa"/>
      </w:tblCellMar>
    </w:tblPr>
    <w:tblStylePr w:type="firstRow">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nil"/>
          <w:tl2br w:val="nil"/>
          <w:tr2bl w:val="nil"/>
        </w:tcBorders>
        <w:shd w:val="clear" w:color="auto" w:fill="DFDFDF" w:themeFill="background2" w:themeFillShade="E6"/>
      </w:tcPr>
    </w:tblStylePr>
    <w:tblStylePr w:type="firstCol">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tcPr>
    </w:tblStylePr>
  </w:style>
  <w:style w:type="numbering" w:styleId="ArticleSection">
    <w:name w:val="Outline List 3"/>
    <w:basedOn w:val="NoList"/>
    <w:uiPriority w:val="99"/>
    <w:semiHidden/>
    <w:unhideWhenUsed/>
    <w:rsid w:val="0098410D"/>
    <w:pPr>
      <w:numPr>
        <w:numId w:val="12"/>
      </w:numPr>
    </w:pPr>
  </w:style>
  <w:style w:type="table" w:customStyle="1" w:styleId="ECHRTableForInternalUse">
    <w:name w:val="ECHR_Table_For_Internal_Use"/>
    <w:basedOn w:val="TableNormal"/>
    <w:uiPriority w:val="99"/>
    <w:rsid w:val="005474E7"/>
    <w:rPr>
      <w:color w:val="636363" w:themeColor="text2" w:themeShade="80"/>
      <w:sz w:val="18"/>
    </w:rPr>
    <w:tblPr>
      <w:tblStyleColBandSize w:val="1"/>
      <w:jc w:val="right"/>
      <w:tblCellMar>
        <w:top w:w="113" w:type="dxa"/>
        <w:bottom w:w="28" w:type="dxa"/>
      </w:tblCellMar>
    </w:tblPr>
    <w:trPr>
      <w:jc w:val="right"/>
    </w:trPr>
    <w:tblStylePr w:type="firstRow">
      <w:rPr>
        <w:b/>
      </w:rPr>
    </w:tblStylePr>
    <w:tblStylePr w:type="lastCol">
      <w:pPr>
        <w:jc w:val="right"/>
      </w:p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tblStylePr w:type="band1Vert">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style>
  <w:style w:type="table" w:customStyle="1" w:styleId="ECHRListTable">
    <w:name w:val="ECHR_List_Table"/>
    <w:basedOn w:val="TableNormal"/>
    <w:uiPriority w:val="99"/>
    <w:rsid w:val="0064393B"/>
    <w:tblPr>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b/>
        <w:color w:val="474747" w:themeColor="accent3" w:themeShade="BF"/>
      </w:rPr>
      <w:tblPr/>
      <w:trPr>
        <w:tblHeader/>
      </w:tr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shd w:val="clear" w:color="auto" w:fill="DFDFDF" w:themeFill="background2" w:themeFillShade="E6"/>
      </w:tcPr>
    </w:tblStylePr>
  </w:style>
  <w:style w:type="paragraph" w:styleId="Bibliography">
    <w:name w:val="Bibliography"/>
    <w:basedOn w:val="Normal"/>
    <w:next w:val="Normal"/>
    <w:uiPriority w:val="99"/>
    <w:semiHidden/>
    <w:rsid w:val="0098410D"/>
  </w:style>
  <w:style w:type="paragraph" w:styleId="BlockText">
    <w:name w:val="Block Text"/>
    <w:basedOn w:val="Normal"/>
    <w:uiPriority w:val="99"/>
    <w:semiHidden/>
    <w:rsid w:val="0098410D"/>
    <w:pPr>
      <w:pBdr>
        <w:top w:val="single" w:sz="2" w:space="10" w:color="0072BC" w:themeColor="accent1" w:shadow="1" w:frame="1"/>
        <w:left w:val="single" w:sz="2" w:space="10" w:color="0072BC" w:themeColor="accent1" w:shadow="1" w:frame="1"/>
        <w:bottom w:val="single" w:sz="2" w:space="10" w:color="0072BC" w:themeColor="accent1" w:shadow="1" w:frame="1"/>
        <w:right w:val="single" w:sz="2" w:space="10" w:color="0072BC" w:themeColor="accent1" w:shadow="1" w:frame="1"/>
      </w:pBdr>
      <w:ind w:left="1152" w:right="1152"/>
    </w:pPr>
    <w:rPr>
      <w:i/>
      <w:iCs/>
      <w:color w:val="0072BC" w:themeColor="accent1"/>
    </w:rPr>
  </w:style>
  <w:style w:type="table" w:customStyle="1" w:styleId="ECHRHeaderTable">
    <w:name w:val="ECHR_Header_Table"/>
    <w:basedOn w:val="TableNormal"/>
    <w:uiPriority w:val="99"/>
    <w:rsid w:val="00661971"/>
    <w:tblPr>
      <w:tblInd w:w="-680" w:type="dxa"/>
      <w:tblBorders>
        <w:bottom w:val="single" w:sz="6" w:space="0" w:color="949494" w:themeColor="text2" w:themeShade="BF"/>
      </w:tblBorders>
      <w:tblCellMar>
        <w:left w:w="0" w:type="dxa"/>
        <w:bottom w:w="28" w:type="dxa"/>
        <w:right w:w="0" w:type="dxa"/>
      </w:tblCellMar>
    </w:tblPr>
    <w:tcPr>
      <w:vAlign w:val="bottom"/>
    </w:tcPr>
    <w:tblStylePr w:type="lastCol">
      <w:pPr>
        <w:wordWrap/>
        <w:jc w:val="both"/>
      </w:pPr>
    </w:tblStylePr>
  </w:style>
  <w:style w:type="paragraph" w:styleId="BodyText">
    <w:name w:val="Body Text"/>
    <w:basedOn w:val="Normal"/>
    <w:link w:val="BodyTextChar"/>
    <w:uiPriority w:val="99"/>
    <w:semiHidden/>
    <w:rsid w:val="0098410D"/>
    <w:pPr>
      <w:spacing w:after="120"/>
    </w:pPr>
  </w:style>
  <w:style w:type="character" w:customStyle="1" w:styleId="BodyTextChar">
    <w:name w:val="Body Text Char"/>
    <w:basedOn w:val="DefaultParagraphFont"/>
    <w:link w:val="BodyText"/>
    <w:uiPriority w:val="99"/>
    <w:semiHidden/>
    <w:rsid w:val="0098410D"/>
    <w:rPr>
      <w:rFonts w:eastAsiaTheme="minorEastAsia"/>
      <w:sz w:val="24"/>
    </w:rPr>
  </w:style>
  <w:style w:type="table" w:customStyle="1" w:styleId="ECHRTableOddBanded">
    <w:name w:val="ECHR_Table_Odd_Banded"/>
    <w:basedOn w:val="TableNormal"/>
    <w:uiPriority w:val="99"/>
    <w:rsid w:val="00860B03"/>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single" w:sz="4" w:space="0" w:color="949494" w:themeColor="text2" w:themeShade="BF"/>
          <w:tl2br w:val="nil"/>
          <w:tr2bl w:val="nil"/>
        </w:tcBorders>
        <w:shd w:val="clear" w:color="auto" w:fill="DFDFDF" w:themeFill="background2" w:themeFillShade="E6"/>
      </w:tcPr>
    </w:tblStylePr>
    <w:tblStylePr w:type="band1Vert">
      <w:tblPr/>
      <w:tcPr>
        <w:tcBorders>
          <w:top w:val="nil"/>
          <w:left w:val="nil"/>
          <w:bottom w:val="nil"/>
          <w:right w:val="nil"/>
          <w:insideH w:val="nil"/>
          <w:insideV w:val="nil"/>
          <w:tl2br w:val="nil"/>
          <w:tr2bl w:val="nil"/>
        </w:tcBorders>
        <w:shd w:val="clear" w:color="auto" w:fill="DFDFDF" w:themeFill="background2" w:themeFillShade="E6"/>
      </w:tcPr>
    </w:tblStylePr>
    <w:tblStylePr w:type="band1Horz">
      <w:rPr>
        <w:b/>
      </w:rPr>
      <w:tblPr/>
      <w:tcPr>
        <w:shd w:val="clear" w:color="auto" w:fill="DFDFDF" w:themeFill="background2" w:themeFillShade="E6"/>
      </w:tcPr>
    </w:tblStylePr>
  </w:style>
  <w:style w:type="paragraph" w:styleId="BodyText2">
    <w:name w:val="Body Text 2"/>
    <w:basedOn w:val="Normal"/>
    <w:link w:val="BodyText2Char"/>
    <w:uiPriority w:val="99"/>
    <w:semiHidden/>
    <w:rsid w:val="0098410D"/>
    <w:pPr>
      <w:spacing w:after="120" w:line="480" w:lineRule="auto"/>
    </w:pPr>
  </w:style>
  <w:style w:type="table" w:customStyle="1" w:styleId="ECHRHeaderTableReduced">
    <w:name w:val="ECHR_Header_Table_Reduced"/>
    <w:basedOn w:val="TableNormal"/>
    <w:uiPriority w:val="99"/>
    <w:rsid w:val="00B52BE0"/>
    <w:tblPr>
      <w:tblInd w:w="-680" w:type="dxa"/>
      <w:tblCellMar>
        <w:left w:w="0" w:type="dxa"/>
        <w:right w:w="0" w:type="dxa"/>
      </w:tblCellMar>
    </w:tblPr>
    <w:tcPr>
      <w:vAlign w:val="bottom"/>
    </w:tcPr>
    <w:tblStylePr w:type="firstRow">
      <w:tblPr/>
      <w:tcPr>
        <w:tcBorders>
          <w:top w:val="nil"/>
          <w:left w:val="nil"/>
          <w:bottom w:val="single" w:sz="6" w:space="0" w:color="949494" w:themeColor="text2" w:themeShade="BF"/>
          <w:right w:val="nil"/>
          <w:insideH w:val="nil"/>
          <w:insideV w:val="nil"/>
          <w:tl2br w:val="nil"/>
          <w:tr2bl w:val="nil"/>
        </w:tcBorders>
      </w:tcPr>
    </w:tblStylePr>
    <w:tblStylePr w:type="lastRow">
      <w:pPr>
        <w:jc w:val="right"/>
      </w:pPr>
      <w:tblPr/>
      <w:tcPr>
        <w:tcBorders>
          <w:top w:val="single" w:sz="6" w:space="0" w:color="949494" w:themeColor="text2" w:themeShade="BF"/>
          <w:left w:val="nil"/>
          <w:bottom w:val="nil"/>
          <w:right w:val="nil"/>
          <w:insideH w:val="nil"/>
          <w:insideV w:val="nil"/>
          <w:tl2br w:val="nil"/>
          <w:tr2bl w:val="nil"/>
        </w:tcBorders>
      </w:tcPr>
    </w:tblStylePr>
  </w:style>
  <w:style w:type="paragraph" w:customStyle="1" w:styleId="JuCase">
    <w:name w:val="Ju_Case"/>
    <w:basedOn w:val="Normal"/>
    <w:next w:val="ECHRPara"/>
    <w:uiPriority w:val="10"/>
    <w:rsid w:val="0064393B"/>
    <w:pPr>
      <w:ind w:firstLine="284"/>
    </w:pPr>
    <w:rPr>
      <w:b/>
    </w:rPr>
  </w:style>
  <w:style w:type="character" w:styleId="PageNumber">
    <w:name w:val="page number"/>
    <w:uiPriority w:val="99"/>
    <w:semiHidden/>
    <w:rsid w:val="0098410D"/>
    <w:rPr>
      <w:sz w:val="18"/>
    </w:rPr>
  </w:style>
  <w:style w:type="paragraph" w:styleId="ListBullet">
    <w:name w:val="List Bullet"/>
    <w:basedOn w:val="Normal"/>
    <w:uiPriority w:val="99"/>
    <w:semiHidden/>
    <w:rsid w:val="0098410D"/>
    <w:pPr>
      <w:numPr>
        <w:numId w:val="9"/>
      </w:numPr>
    </w:pPr>
  </w:style>
  <w:style w:type="paragraph" w:styleId="ListBullet3">
    <w:name w:val="List Bullet 3"/>
    <w:basedOn w:val="Normal"/>
    <w:uiPriority w:val="99"/>
    <w:semiHidden/>
    <w:rsid w:val="0098410D"/>
    <w:pPr>
      <w:numPr>
        <w:numId w:val="8"/>
      </w:numPr>
      <w:contextualSpacing/>
    </w:pPr>
  </w:style>
  <w:style w:type="character" w:customStyle="1" w:styleId="BodyText2Char">
    <w:name w:val="Body Text 2 Char"/>
    <w:basedOn w:val="DefaultParagraphFont"/>
    <w:link w:val="BodyText2"/>
    <w:uiPriority w:val="99"/>
    <w:semiHidden/>
    <w:rsid w:val="0098410D"/>
    <w:rPr>
      <w:rFonts w:eastAsiaTheme="minorEastAsia"/>
      <w:sz w:val="24"/>
    </w:rPr>
  </w:style>
  <w:style w:type="paragraph" w:styleId="BodyText3">
    <w:name w:val="Body Text 3"/>
    <w:basedOn w:val="Normal"/>
    <w:link w:val="BodyText3Char"/>
    <w:uiPriority w:val="99"/>
    <w:semiHidden/>
    <w:rsid w:val="0098410D"/>
    <w:pPr>
      <w:spacing w:after="120"/>
    </w:pPr>
    <w:rPr>
      <w:sz w:val="16"/>
      <w:szCs w:val="16"/>
    </w:rPr>
  </w:style>
  <w:style w:type="character" w:customStyle="1" w:styleId="BodyText3Char">
    <w:name w:val="Body Text 3 Char"/>
    <w:basedOn w:val="DefaultParagraphFont"/>
    <w:link w:val="BodyText3"/>
    <w:uiPriority w:val="99"/>
    <w:semiHidden/>
    <w:rsid w:val="0098410D"/>
    <w:rPr>
      <w:rFonts w:eastAsiaTheme="minorEastAsia"/>
      <w:sz w:val="16"/>
      <w:szCs w:val="16"/>
    </w:rPr>
  </w:style>
  <w:style w:type="paragraph" w:styleId="BodyTextFirstIndent">
    <w:name w:val="Body Text First Indent"/>
    <w:basedOn w:val="BodyText"/>
    <w:link w:val="BodyTextFirstIndentChar"/>
    <w:uiPriority w:val="99"/>
    <w:semiHidden/>
    <w:rsid w:val="0098410D"/>
    <w:pPr>
      <w:spacing w:after="0"/>
      <w:ind w:firstLine="360"/>
    </w:pPr>
  </w:style>
  <w:style w:type="character" w:customStyle="1" w:styleId="BodyTextFirstIndentChar">
    <w:name w:val="Body Text First Indent Char"/>
    <w:basedOn w:val="BodyTextChar"/>
    <w:link w:val="BodyTextFirstIndent"/>
    <w:uiPriority w:val="99"/>
    <w:semiHidden/>
    <w:rsid w:val="0098410D"/>
    <w:rPr>
      <w:rFonts w:eastAsiaTheme="minorEastAsia"/>
      <w:sz w:val="24"/>
    </w:rPr>
  </w:style>
  <w:style w:type="paragraph" w:styleId="BodyTextIndent">
    <w:name w:val="Body Text Indent"/>
    <w:basedOn w:val="Normal"/>
    <w:link w:val="BodyTextIndentChar"/>
    <w:uiPriority w:val="99"/>
    <w:semiHidden/>
    <w:rsid w:val="0098410D"/>
    <w:pPr>
      <w:spacing w:after="120"/>
      <w:ind w:left="283"/>
    </w:pPr>
  </w:style>
  <w:style w:type="character" w:customStyle="1" w:styleId="BodyTextIndentChar">
    <w:name w:val="Body Text Indent Char"/>
    <w:basedOn w:val="DefaultParagraphFont"/>
    <w:link w:val="BodyTextIndent"/>
    <w:uiPriority w:val="99"/>
    <w:semiHidden/>
    <w:rsid w:val="0098410D"/>
    <w:rPr>
      <w:rFonts w:eastAsiaTheme="minorEastAsia"/>
      <w:sz w:val="24"/>
    </w:rPr>
  </w:style>
  <w:style w:type="paragraph" w:styleId="BodyTextFirstIndent2">
    <w:name w:val="Body Text First Indent 2"/>
    <w:basedOn w:val="BodyTextIndent"/>
    <w:link w:val="BodyTextFirstIndent2Char"/>
    <w:uiPriority w:val="99"/>
    <w:semiHidden/>
    <w:rsid w:val="0098410D"/>
    <w:pPr>
      <w:spacing w:after="0"/>
      <w:ind w:left="360" w:firstLine="360"/>
    </w:pPr>
  </w:style>
  <w:style w:type="character" w:customStyle="1" w:styleId="BodyTextFirstIndent2Char">
    <w:name w:val="Body Text First Indent 2 Char"/>
    <w:basedOn w:val="BodyTextIndentChar"/>
    <w:link w:val="BodyTextFirstIndent2"/>
    <w:uiPriority w:val="99"/>
    <w:semiHidden/>
    <w:rsid w:val="0098410D"/>
    <w:rPr>
      <w:rFonts w:eastAsiaTheme="minorEastAsia"/>
      <w:sz w:val="24"/>
    </w:rPr>
  </w:style>
  <w:style w:type="paragraph" w:styleId="BodyTextIndent2">
    <w:name w:val="Body Text Indent 2"/>
    <w:basedOn w:val="Normal"/>
    <w:link w:val="BodyTextIndent2Char"/>
    <w:uiPriority w:val="99"/>
    <w:semiHidden/>
    <w:rsid w:val="0098410D"/>
    <w:pPr>
      <w:spacing w:after="120" w:line="480" w:lineRule="auto"/>
      <w:ind w:left="283"/>
    </w:pPr>
  </w:style>
  <w:style w:type="character" w:customStyle="1" w:styleId="BodyTextIndent2Char">
    <w:name w:val="Body Text Indent 2 Char"/>
    <w:basedOn w:val="DefaultParagraphFont"/>
    <w:link w:val="BodyTextIndent2"/>
    <w:uiPriority w:val="99"/>
    <w:semiHidden/>
    <w:rsid w:val="0098410D"/>
    <w:rPr>
      <w:rFonts w:eastAsiaTheme="minorEastAsia"/>
      <w:sz w:val="24"/>
    </w:rPr>
  </w:style>
  <w:style w:type="paragraph" w:styleId="BodyTextIndent3">
    <w:name w:val="Body Text Indent 3"/>
    <w:basedOn w:val="Normal"/>
    <w:link w:val="BodyTextIndent3Char"/>
    <w:uiPriority w:val="99"/>
    <w:semiHidden/>
    <w:rsid w:val="0098410D"/>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98410D"/>
    <w:rPr>
      <w:rFonts w:eastAsiaTheme="minorEastAsia"/>
      <w:sz w:val="16"/>
      <w:szCs w:val="16"/>
    </w:rPr>
  </w:style>
  <w:style w:type="paragraph" w:styleId="Caption">
    <w:name w:val="caption"/>
    <w:basedOn w:val="Normal"/>
    <w:next w:val="Normal"/>
    <w:uiPriority w:val="99"/>
    <w:semiHidden/>
    <w:qFormat/>
    <w:rsid w:val="0098410D"/>
    <w:pPr>
      <w:spacing w:after="200"/>
    </w:pPr>
    <w:rPr>
      <w:b/>
      <w:bCs/>
      <w:color w:val="0072BC" w:themeColor="accent1"/>
      <w:sz w:val="18"/>
      <w:szCs w:val="18"/>
      <w:lang w:val="en-GB"/>
    </w:rPr>
  </w:style>
  <w:style w:type="paragraph" w:styleId="Closing">
    <w:name w:val="Closing"/>
    <w:basedOn w:val="Normal"/>
    <w:link w:val="ClosingChar"/>
    <w:uiPriority w:val="99"/>
    <w:semiHidden/>
    <w:rsid w:val="0098410D"/>
    <w:pPr>
      <w:ind w:left="4252"/>
    </w:pPr>
  </w:style>
  <w:style w:type="character" w:customStyle="1" w:styleId="ClosingChar">
    <w:name w:val="Closing Char"/>
    <w:basedOn w:val="DefaultParagraphFont"/>
    <w:link w:val="Closing"/>
    <w:uiPriority w:val="99"/>
    <w:semiHidden/>
    <w:rsid w:val="0098410D"/>
    <w:rPr>
      <w:rFonts w:eastAsiaTheme="minorEastAsia"/>
      <w:sz w:val="24"/>
    </w:rPr>
  </w:style>
  <w:style w:type="table" w:styleId="ColorfulGrid">
    <w:name w:val="Colorful Grid"/>
    <w:basedOn w:val="TableNormal"/>
    <w:uiPriority w:val="99"/>
    <w:semiHidden/>
    <w:rsid w:val="0098410D"/>
    <w:rPr>
      <w:color w:val="000000" w:themeColor="text1"/>
    </w:rPr>
    <w:tblPr>
      <w:tblStyleRowBandSize w:val="1"/>
      <w:tblStyleColBandSize w:val="1"/>
      <w:tblBorders>
        <w:insideH w:val="single" w:sz="4" w:space="0" w:color="0072BC"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0072BC" w:themeColor="background1"/>
      </w:rPr>
      <w:tblPr/>
      <w:tcPr>
        <w:shd w:val="clear" w:color="auto" w:fill="000000" w:themeFill="text1" w:themeFillShade="BF"/>
      </w:tcPr>
    </w:tblStylePr>
    <w:tblStylePr w:type="lastCol">
      <w:rPr>
        <w:color w:val="0072BC"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99"/>
    <w:semiHidden/>
    <w:rsid w:val="0098410D"/>
    <w:rPr>
      <w:color w:val="000000" w:themeColor="text1"/>
    </w:rPr>
    <w:tblPr>
      <w:tblStyleRowBandSize w:val="1"/>
      <w:tblStyleColBandSize w:val="1"/>
      <w:tblBorders>
        <w:insideH w:val="single" w:sz="4" w:space="0" w:color="0072BC" w:themeColor="background1"/>
      </w:tblBorders>
    </w:tblPr>
    <w:tcPr>
      <w:shd w:val="clear" w:color="auto" w:fill="BEE5FF" w:themeFill="accent1" w:themeFillTint="33"/>
    </w:tcPr>
    <w:tblStylePr w:type="firstRow">
      <w:rPr>
        <w:b/>
        <w:bCs/>
      </w:rPr>
      <w:tblPr/>
      <w:tcPr>
        <w:shd w:val="clear" w:color="auto" w:fill="7ECBFF" w:themeFill="accent1" w:themeFillTint="66"/>
      </w:tcPr>
    </w:tblStylePr>
    <w:tblStylePr w:type="lastRow">
      <w:rPr>
        <w:b/>
        <w:bCs/>
        <w:color w:val="000000" w:themeColor="text1"/>
      </w:rPr>
      <w:tblPr/>
      <w:tcPr>
        <w:shd w:val="clear" w:color="auto" w:fill="7ECBFF" w:themeFill="accent1" w:themeFillTint="66"/>
      </w:tcPr>
    </w:tblStylePr>
    <w:tblStylePr w:type="firstCol">
      <w:rPr>
        <w:color w:val="0072BC" w:themeColor="background1"/>
      </w:rPr>
      <w:tblPr/>
      <w:tcPr>
        <w:shd w:val="clear" w:color="auto" w:fill="00548C" w:themeFill="accent1" w:themeFillShade="BF"/>
      </w:tcPr>
    </w:tblStylePr>
    <w:tblStylePr w:type="lastCol">
      <w:rPr>
        <w:color w:val="0072BC" w:themeColor="background1"/>
      </w:rPr>
      <w:tblPr/>
      <w:tcPr>
        <w:shd w:val="clear" w:color="auto" w:fill="00548C" w:themeFill="accent1" w:themeFillShade="BF"/>
      </w:tc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ColorfulGrid-Accent2">
    <w:name w:val="Colorful Grid Accent 2"/>
    <w:basedOn w:val="TableNormal"/>
    <w:uiPriority w:val="99"/>
    <w:semiHidden/>
    <w:rsid w:val="0098410D"/>
    <w:rPr>
      <w:color w:val="000000" w:themeColor="text1"/>
    </w:rPr>
    <w:tblPr>
      <w:tblStyleRowBandSize w:val="1"/>
      <w:tblStyleColBandSize w:val="1"/>
      <w:tblBorders>
        <w:insideH w:val="single" w:sz="4" w:space="0" w:color="0072BC" w:themeColor="background1"/>
      </w:tblBorders>
    </w:tblPr>
    <w:tcPr>
      <w:shd w:val="clear" w:color="auto" w:fill="FFBFBF" w:themeFill="accent2" w:themeFillTint="33"/>
    </w:tcPr>
    <w:tblStylePr w:type="firstRow">
      <w:rPr>
        <w:b/>
        <w:bCs/>
      </w:rPr>
      <w:tblPr/>
      <w:tcPr>
        <w:shd w:val="clear" w:color="auto" w:fill="FF7F7F" w:themeFill="accent2" w:themeFillTint="66"/>
      </w:tcPr>
    </w:tblStylePr>
    <w:tblStylePr w:type="lastRow">
      <w:rPr>
        <w:b/>
        <w:bCs/>
        <w:color w:val="000000" w:themeColor="text1"/>
      </w:rPr>
      <w:tblPr/>
      <w:tcPr>
        <w:shd w:val="clear" w:color="auto" w:fill="FF7F7F" w:themeFill="accent2" w:themeFillTint="66"/>
      </w:tcPr>
    </w:tblStylePr>
    <w:tblStylePr w:type="firstCol">
      <w:rPr>
        <w:color w:val="0072BC" w:themeColor="background1"/>
      </w:rPr>
      <w:tblPr/>
      <w:tcPr>
        <w:shd w:val="clear" w:color="auto" w:fill="8F0000" w:themeFill="accent2" w:themeFillShade="BF"/>
      </w:tcPr>
    </w:tblStylePr>
    <w:tblStylePr w:type="lastCol">
      <w:rPr>
        <w:color w:val="0072BC" w:themeColor="background1"/>
      </w:rPr>
      <w:tblPr/>
      <w:tcPr>
        <w:shd w:val="clear" w:color="auto" w:fill="8F0000" w:themeFill="accent2" w:themeFillShade="BF"/>
      </w:tc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ColorfulGrid-Accent3">
    <w:name w:val="Colorful Grid Accent 3"/>
    <w:basedOn w:val="TableNormal"/>
    <w:uiPriority w:val="99"/>
    <w:semiHidden/>
    <w:rsid w:val="0098410D"/>
    <w:rPr>
      <w:color w:val="000000" w:themeColor="text1"/>
    </w:rPr>
    <w:tblPr>
      <w:tblStyleRowBandSize w:val="1"/>
      <w:tblStyleColBandSize w:val="1"/>
      <w:tblBorders>
        <w:insideH w:val="single" w:sz="4" w:space="0" w:color="0072BC" w:themeColor="background1"/>
      </w:tblBorders>
    </w:tblPr>
    <w:tcPr>
      <w:shd w:val="clear" w:color="auto" w:fill="DFDFDF" w:themeFill="accent3" w:themeFillTint="33"/>
    </w:tcPr>
    <w:tblStylePr w:type="firstRow">
      <w:rPr>
        <w:b/>
        <w:bCs/>
      </w:rPr>
      <w:tblPr/>
      <w:tcPr>
        <w:shd w:val="clear" w:color="auto" w:fill="BFBFBF" w:themeFill="accent3" w:themeFillTint="66"/>
      </w:tcPr>
    </w:tblStylePr>
    <w:tblStylePr w:type="lastRow">
      <w:rPr>
        <w:b/>
        <w:bCs/>
        <w:color w:val="000000" w:themeColor="text1"/>
      </w:rPr>
      <w:tblPr/>
      <w:tcPr>
        <w:shd w:val="clear" w:color="auto" w:fill="BFBFBF" w:themeFill="accent3" w:themeFillTint="66"/>
      </w:tcPr>
    </w:tblStylePr>
    <w:tblStylePr w:type="firstCol">
      <w:rPr>
        <w:color w:val="0072BC" w:themeColor="background1"/>
      </w:rPr>
      <w:tblPr/>
      <w:tcPr>
        <w:shd w:val="clear" w:color="auto" w:fill="474747" w:themeFill="accent3" w:themeFillShade="BF"/>
      </w:tcPr>
    </w:tblStylePr>
    <w:tblStylePr w:type="lastCol">
      <w:rPr>
        <w:color w:val="0072BC" w:themeColor="background1"/>
      </w:rPr>
      <w:tblPr/>
      <w:tcPr>
        <w:shd w:val="clear" w:color="auto" w:fill="474747" w:themeFill="accent3" w:themeFillShade="BF"/>
      </w:tc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ColorfulGrid-Accent4">
    <w:name w:val="Colorful Grid Accent 4"/>
    <w:basedOn w:val="TableNormal"/>
    <w:uiPriority w:val="99"/>
    <w:semiHidden/>
    <w:rsid w:val="0098410D"/>
    <w:rPr>
      <w:color w:val="000000" w:themeColor="text1"/>
    </w:rPr>
    <w:tblPr>
      <w:tblStyleRowBandSize w:val="1"/>
      <w:tblStyleColBandSize w:val="1"/>
      <w:tblBorders>
        <w:insideH w:val="single" w:sz="4" w:space="0" w:color="0072BC" w:themeColor="background1"/>
      </w:tblBorders>
    </w:tblPr>
    <w:tcPr>
      <w:shd w:val="clear" w:color="auto" w:fill="EAEAEA" w:themeFill="accent4" w:themeFillTint="33"/>
    </w:tcPr>
    <w:tblStylePr w:type="firstRow">
      <w:rPr>
        <w:b/>
        <w:bCs/>
      </w:rPr>
      <w:tblPr/>
      <w:tcPr>
        <w:shd w:val="clear" w:color="auto" w:fill="D5D5D5" w:themeFill="accent4" w:themeFillTint="66"/>
      </w:tcPr>
    </w:tblStylePr>
    <w:tblStylePr w:type="lastRow">
      <w:rPr>
        <w:b/>
        <w:bCs/>
        <w:color w:val="000000" w:themeColor="text1"/>
      </w:rPr>
      <w:tblPr/>
      <w:tcPr>
        <w:shd w:val="clear" w:color="auto" w:fill="D5D5D5" w:themeFill="accent4" w:themeFillTint="66"/>
      </w:tcPr>
    </w:tblStylePr>
    <w:tblStylePr w:type="firstCol">
      <w:rPr>
        <w:color w:val="0072BC" w:themeColor="background1"/>
      </w:rPr>
      <w:tblPr/>
      <w:tcPr>
        <w:shd w:val="clear" w:color="auto" w:fill="707070" w:themeFill="accent4" w:themeFillShade="BF"/>
      </w:tcPr>
    </w:tblStylePr>
    <w:tblStylePr w:type="lastCol">
      <w:rPr>
        <w:color w:val="0072BC" w:themeColor="background1"/>
      </w:rPr>
      <w:tblPr/>
      <w:tcPr>
        <w:shd w:val="clear" w:color="auto" w:fill="707070" w:themeFill="accent4" w:themeFillShade="BF"/>
      </w:tc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ColorfulGrid-Accent5">
    <w:name w:val="Colorful Grid Accent 5"/>
    <w:basedOn w:val="TableNormal"/>
    <w:uiPriority w:val="99"/>
    <w:semiHidden/>
    <w:rsid w:val="0098410D"/>
    <w:rPr>
      <w:color w:val="000000" w:themeColor="text1"/>
    </w:rPr>
    <w:tblPr>
      <w:tblStyleRowBandSize w:val="1"/>
      <w:tblStyleColBandSize w:val="1"/>
      <w:tblBorders>
        <w:insideH w:val="single" w:sz="4" w:space="0" w:color="0072BC" w:themeColor="background1"/>
      </w:tblBorders>
    </w:tblPr>
    <w:tcPr>
      <w:shd w:val="clear" w:color="auto" w:fill="DFDFDF" w:themeFill="accent5" w:themeFillTint="33"/>
    </w:tcPr>
    <w:tblStylePr w:type="firstRow">
      <w:rPr>
        <w:b/>
        <w:bCs/>
      </w:rPr>
      <w:tblPr/>
      <w:tcPr>
        <w:shd w:val="clear" w:color="auto" w:fill="BFBFBF" w:themeFill="accent5" w:themeFillTint="66"/>
      </w:tcPr>
    </w:tblStylePr>
    <w:tblStylePr w:type="lastRow">
      <w:rPr>
        <w:b/>
        <w:bCs/>
        <w:color w:val="000000" w:themeColor="text1"/>
      </w:rPr>
      <w:tblPr/>
      <w:tcPr>
        <w:shd w:val="clear" w:color="auto" w:fill="BFBFBF" w:themeFill="accent5" w:themeFillTint="66"/>
      </w:tcPr>
    </w:tblStylePr>
    <w:tblStylePr w:type="firstCol">
      <w:rPr>
        <w:color w:val="0072BC" w:themeColor="background1"/>
      </w:rPr>
      <w:tblPr/>
      <w:tcPr>
        <w:shd w:val="clear" w:color="auto" w:fill="474747" w:themeFill="accent5" w:themeFillShade="BF"/>
      </w:tcPr>
    </w:tblStylePr>
    <w:tblStylePr w:type="lastCol">
      <w:rPr>
        <w:color w:val="0072BC" w:themeColor="background1"/>
      </w:rPr>
      <w:tblPr/>
      <w:tcPr>
        <w:shd w:val="clear" w:color="auto" w:fill="474747" w:themeFill="accent5" w:themeFillShade="BF"/>
      </w:tc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ColorfulGrid-Accent6">
    <w:name w:val="Colorful Grid Accent 6"/>
    <w:basedOn w:val="TableNormal"/>
    <w:uiPriority w:val="99"/>
    <w:semiHidden/>
    <w:rsid w:val="0098410D"/>
    <w:rPr>
      <w:color w:val="000000" w:themeColor="text1"/>
    </w:rPr>
    <w:tblPr>
      <w:tblStyleRowBandSize w:val="1"/>
      <w:tblStyleColBandSize w:val="1"/>
      <w:tblBorders>
        <w:insideH w:val="single" w:sz="4" w:space="0" w:color="0072BC" w:themeColor="background1"/>
      </w:tblBorders>
    </w:tblPr>
    <w:tcPr>
      <w:shd w:val="clear" w:color="auto" w:fill="DBDBDB" w:themeFill="accent6" w:themeFillTint="33"/>
    </w:tcPr>
    <w:tblStylePr w:type="firstRow">
      <w:rPr>
        <w:b/>
        <w:bCs/>
      </w:rPr>
      <w:tblPr/>
      <w:tcPr>
        <w:shd w:val="clear" w:color="auto" w:fill="B7B7B7" w:themeFill="accent6" w:themeFillTint="66"/>
      </w:tcPr>
    </w:tblStylePr>
    <w:tblStylePr w:type="lastRow">
      <w:rPr>
        <w:b/>
        <w:bCs/>
        <w:color w:val="000000" w:themeColor="text1"/>
      </w:rPr>
      <w:tblPr/>
      <w:tcPr>
        <w:shd w:val="clear" w:color="auto" w:fill="B7B7B7" w:themeFill="accent6" w:themeFillTint="66"/>
      </w:tcPr>
    </w:tblStylePr>
    <w:tblStylePr w:type="firstCol">
      <w:rPr>
        <w:color w:val="0072BC" w:themeColor="background1"/>
      </w:rPr>
      <w:tblPr/>
      <w:tcPr>
        <w:shd w:val="clear" w:color="auto" w:fill="393939" w:themeFill="accent6" w:themeFillShade="BF"/>
      </w:tcPr>
    </w:tblStylePr>
    <w:tblStylePr w:type="lastCol">
      <w:rPr>
        <w:color w:val="0072BC" w:themeColor="background1"/>
      </w:rPr>
      <w:tblPr/>
      <w:tcPr>
        <w:shd w:val="clear" w:color="auto" w:fill="393939" w:themeFill="accent6" w:themeFillShade="BF"/>
      </w:tc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ColorfulList">
    <w:name w:val="Colorful List"/>
    <w:basedOn w:val="TableNormal"/>
    <w:uiPriority w:val="99"/>
    <w:semiHidden/>
    <w:rsid w:val="0098410D"/>
    <w:rPr>
      <w:color w:val="000000" w:themeColor="text1"/>
    </w:rPr>
    <w:tblPr>
      <w:tblStyleRowBandSize w:val="1"/>
      <w:tblStyleColBandSize w:val="1"/>
    </w:tblPr>
    <w:tcPr>
      <w:shd w:val="clear" w:color="auto" w:fill="E6E6E6" w:themeFill="tex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99"/>
    <w:semiHidden/>
    <w:rsid w:val="0098410D"/>
    <w:rPr>
      <w:color w:val="000000" w:themeColor="text1"/>
    </w:rPr>
    <w:tblPr>
      <w:tblStyleRowBandSize w:val="1"/>
      <w:tblStyleColBandSize w:val="1"/>
    </w:tblPr>
    <w:tcPr>
      <w:shd w:val="clear" w:color="auto" w:fill="DFF2FF" w:themeFill="accen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FDFFF" w:themeFill="accent1" w:themeFillTint="3F"/>
      </w:tcPr>
    </w:tblStylePr>
    <w:tblStylePr w:type="band1Horz">
      <w:tblPr/>
      <w:tcPr>
        <w:shd w:val="clear" w:color="auto" w:fill="BEE5FF" w:themeFill="accent1" w:themeFillTint="33"/>
      </w:tcPr>
    </w:tblStylePr>
  </w:style>
  <w:style w:type="table" w:styleId="ColorfulList-Accent2">
    <w:name w:val="Colorful List Accent 2"/>
    <w:basedOn w:val="TableNormal"/>
    <w:uiPriority w:val="99"/>
    <w:semiHidden/>
    <w:rsid w:val="0098410D"/>
    <w:rPr>
      <w:color w:val="000000" w:themeColor="text1"/>
    </w:rPr>
    <w:tblPr>
      <w:tblStyleRowBandSize w:val="1"/>
      <w:tblStyleColBandSize w:val="1"/>
    </w:tblPr>
    <w:tcPr>
      <w:shd w:val="clear" w:color="auto" w:fill="FFDFDF" w:themeFill="accent2"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B0B0" w:themeFill="accent2" w:themeFillTint="3F"/>
      </w:tcPr>
    </w:tblStylePr>
    <w:tblStylePr w:type="band1Horz">
      <w:tblPr/>
      <w:tcPr>
        <w:shd w:val="clear" w:color="auto" w:fill="FFBFBF" w:themeFill="accent2" w:themeFillTint="33"/>
      </w:tcPr>
    </w:tblStylePr>
  </w:style>
  <w:style w:type="table" w:styleId="ColorfulList-Accent3">
    <w:name w:val="Colorful List Accent 3"/>
    <w:basedOn w:val="TableNormal"/>
    <w:uiPriority w:val="99"/>
    <w:semiHidden/>
    <w:rsid w:val="0098410D"/>
    <w:rPr>
      <w:color w:val="000000" w:themeColor="text1"/>
    </w:rPr>
    <w:tblPr>
      <w:tblStyleRowBandSize w:val="1"/>
      <w:tblStyleColBandSize w:val="1"/>
    </w:tblPr>
    <w:tcPr>
      <w:shd w:val="clear" w:color="auto" w:fill="EFEFEF" w:themeFill="accent3" w:themeFillTint="19"/>
    </w:tcPr>
    <w:tblStylePr w:type="firstRow">
      <w:rPr>
        <w:b/>
        <w:bCs/>
        <w:color w:val="0072BC" w:themeColor="background1"/>
      </w:rPr>
      <w:tblPr/>
      <w:tcPr>
        <w:tcBorders>
          <w:bottom w:val="single" w:sz="12" w:space="0" w:color="0072BC" w:themeColor="background1"/>
        </w:tcBorders>
        <w:shd w:val="clear" w:color="auto" w:fill="787878" w:themeFill="accent4" w:themeFillShade="CC"/>
      </w:tcPr>
    </w:tblStylePr>
    <w:tblStylePr w:type="lastRow">
      <w:rPr>
        <w:b/>
        <w:bCs/>
        <w:color w:val="787878" w:themeColor="accent4"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3" w:themeFillTint="3F"/>
      </w:tcPr>
    </w:tblStylePr>
    <w:tblStylePr w:type="band1Horz">
      <w:tblPr/>
      <w:tcPr>
        <w:shd w:val="clear" w:color="auto" w:fill="DFDFDF" w:themeFill="accent3" w:themeFillTint="33"/>
      </w:tcPr>
    </w:tblStylePr>
  </w:style>
  <w:style w:type="table" w:styleId="ColorfulList-Accent4">
    <w:name w:val="Colorful List Accent 4"/>
    <w:basedOn w:val="TableNormal"/>
    <w:uiPriority w:val="99"/>
    <w:semiHidden/>
    <w:rsid w:val="0098410D"/>
    <w:rPr>
      <w:color w:val="000000" w:themeColor="text1"/>
    </w:rPr>
    <w:tblPr>
      <w:tblStyleRowBandSize w:val="1"/>
      <w:tblStyleColBandSize w:val="1"/>
    </w:tblPr>
    <w:tcPr>
      <w:shd w:val="clear" w:color="auto" w:fill="F4F4F4" w:themeFill="accent4" w:themeFillTint="19"/>
    </w:tcPr>
    <w:tblStylePr w:type="firstRow">
      <w:rPr>
        <w:b/>
        <w:bCs/>
        <w:color w:val="0072BC" w:themeColor="background1"/>
      </w:rPr>
      <w:tblPr/>
      <w:tcPr>
        <w:tcBorders>
          <w:bottom w:val="single" w:sz="12" w:space="0" w:color="0072BC" w:themeColor="background1"/>
        </w:tcBorders>
        <w:shd w:val="clear" w:color="auto" w:fill="4C4C4C" w:themeFill="accent3" w:themeFillShade="CC"/>
      </w:tcPr>
    </w:tblStylePr>
    <w:tblStylePr w:type="lastRow">
      <w:rPr>
        <w:b/>
        <w:bCs/>
        <w:color w:val="4C4C4C" w:themeColor="accent3"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5E5E5" w:themeFill="accent4" w:themeFillTint="3F"/>
      </w:tcPr>
    </w:tblStylePr>
    <w:tblStylePr w:type="band1Horz">
      <w:tblPr/>
      <w:tcPr>
        <w:shd w:val="clear" w:color="auto" w:fill="EAEAEA" w:themeFill="accent4" w:themeFillTint="33"/>
      </w:tcPr>
    </w:tblStylePr>
  </w:style>
  <w:style w:type="table" w:styleId="ColorfulList-Accent5">
    <w:name w:val="Colorful List Accent 5"/>
    <w:basedOn w:val="TableNormal"/>
    <w:uiPriority w:val="99"/>
    <w:semiHidden/>
    <w:rsid w:val="0098410D"/>
    <w:rPr>
      <w:color w:val="000000" w:themeColor="text1"/>
    </w:rPr>
    <w:tblPr>
      <w:tblStyleRowBandSize w:val="1"/>
      <w:tblStyleColBandSize w:val="1"/>
    </w:tblPr>
    <w:tcPr>
      <w:shd w:val="clear" w:color="auto" w:fill="EFEFEF" w:themeFill="accent5" w:themeFillTint="19"/>
    </w:tcPr>
    <w:tblStylePr w:type="firstRow">
      <w:rPr>
        <w:b/>
        <w:bCs/>
        <w:color w:val="0072BC" w:themeColor="background1"/>
      </w:rPr>
      <w:tblPr/>
      <w:tcPr>
        <w:tcBorders>
          <w:bottom w:val="single" w:sz="12" w:space="0" w:color="0072BC" w:themeColor="background1"/>
        </w:tcBorders>
        <w:shd w:val="clear" w:color="auto" w:fill="3D3D3D" w:themeFill="accent6" w:themeFillShade="CC"/>
      </w:tcPr>
    </w:tblStylePr>
    <w:tblStylePr w:type="lastRow">
      <w:rPr>
        <w:b/>
        <w:bCs/>
        <w:color w:val="3D3D3D" w:themeColor="accent6"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5" w:themeFillTint="3F"/>
      </w:tcPr>
    </w:tblStylePr>
    <w:tblStylePr w:type="band1Horz">
      <w:tblPr/>
      <w:tcPr>
        <w:shd w:val="clear" w:color="auto" w:fill="DFDFDF" w:themeFill="accent5" w:themeFillTint="33"/>
      </w:tcPr>
    </w:tblStylePr>
  </w:style>
  <w:style w:type="table" w:styleId="ColorfulList-Accent6">
    <w:name w:val="Colorful List Accent 6"/>
    <w:basedOn w:val="TableNormal"/>
    <w:uiPriority w:val="99"/>
    <w:semiHidden/>
    <w:rsid w:val="0098410D"/>
    <w:rPr>
      <w:color w:val="000000" w:themeColor="text1"/>
    </w:rPr>
    <w:tblPr>
      <w:tblStyleRowBandSize w:val="1"/>
      <w:tblStyleColBandSize w:val="1"/>
    </w:tblPr>
    <w:tcPr>
      <w:shd w:val="clear" w:color="auto" w:fill="EDEDED" w:themeFill="accent6" w:themeFillTint="19"/>
    </w:tcPr>
    <w:tblStylePr w:type="firstRow">
      <w:rPr>
        <w:b/>
        <w:bCs/>
        <w:color w:val="0072BC" w:themeColor="background1"/>
      </w:rPr>
      <w:tblPr/>
      <w:tcPr>
        <w:tcBorders>
          <w:bottom w:val="single" w:sz="12" w:space="0" w:color="0072BC" w:themeColor="background1"/>
        </w:tcBorders>
        <w:shd w:val="clear" w:color="auto" w:fill="4C4C4C" w:themeFill="accent5" w:themeFillShade="CC"/>
      </w:tcPr>
    </w:tblStylePr>
    <w:tblStylePr w:type="lastRow">
      <w:rPr>
        <w:b/>
        <w:bCs/>
        <w:color w:val="4C4C4C" w:themeColor="accent5"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3D3" w:themeFill="accent6" w:themeFillTint="3F"/>
      </w:tcPr>
    </w:tblStylePr>
    <w:tblStylePr w:type="band1Horz">
      <w:tblPr/>
      <w:tcPr>
        <w:shd w:val="clear" w:color="auto" w:fill="DBDBDB" w:themeFill="accent6" w:themeFillTint="33"/>
      </w:tcPr>
    </w:tblStylePr>
  </w:style>
  <w:style w:type="table" w:styleId="ColorfulShading">
    <w:name w:val="Colorful Shading"/>
    <w:basedOn w:val="TableNormal"/>
    <w:uiPriority w:val="99"/>
    <w:semiHidden/>
    <w:rsid w:val="0098410D"/>
    <w:rPr>
      <w:color w:val="000000" w:themeColor="text1"/>
    </w:rPr>
    <w:tblPr>
      <w:tblStyleRowBandSize w:val="1"/>
      <w:tblStyleColBandSize w:val="1"/>
      <w:tblBorders>
        <w:top w:val="single" w:sz="24" w:space="0" w:color="C00000" w:themeColor="accent2"/>
        <w:left w:val="single" w:sz="4" w:space="0" w:color="000000" w:themeColor="text1"/>
        <w:bottom w:val="single" w:sz="4" w:space="0" w:color="000000" w:themeColor="text1"/>
        <w:right w:val="single" w:sz="4" w:space="0" w:color="000000" w:themeColor="text1"/>
        <w:insideH w:val="single" w:sz="4" w:space="0" w:color="0072BC" w:themeColor="background1"/>
        <w:insideV w:val="single" w:sz="4" w:space="0" w:color="0072BC" w:themeColor="background1"/>
      </w:tblBorders>
    </w:tblPr>
    <w:tcPr>
      <w:shd w:val="clear" w:color="auto" w:fill="E6E6E6" w:themeFill="tex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0000" w:themeFill="text1" w:themeFillShade="99"/>
      </w:tcPr>
    </w:tblStylePr>
    <w:tblStylePr w:type="firstCol">
      <w:rPr>
        <w:color w:val="0072BC"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0072BC"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99"/>
    <w:semiHidden/>
    <w:rsid w:val="0098410D"/>
    <w:rPr>
      <w:color w:val="000000" w:themeColor="text1"/>
    </w:rPr>
    <w:tblPr>
      <w:tblStyleRowBandSize w:val="1"/>
      <w:tblStyleColBandSize w:val="1"/>
      <w:tblBorders>
        <w:top w:val="single" w:sz="24" w:space="0" w:color="C00000" w:themeColor="accent2"/>
        <w:left w:val="single" w:sz="4" w:space="0" w:color="0072BC" w:themeColor="accent1"/>
        <w:bottom w:val="single" w:sz="4" w:space="0" w:color="0072BC" w:themeColor="accent1"/>
        <w:right w:val="single" w:sz="4" w:space="0" w:color="0072BC" w:themeColor="accent1"/>
        <w:insideH w:val="single" w:sz="4" w:space="0" w:color="0072BC" w:themeColor="background1"/>
        <w:insideV w:val="single" w:sz="4" w:space="0" w:color="0072BC" w:themeColor="background1"/>
      </w:tblBorders>
    </w:tblPr>
    <w:tcPr>
      <w:shd w:val="clear" w:color="auto" w:fill="DFF2FF" w:themeFill="accen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4470" w:themeFill="accent1" w:themeFillShade="99"/>
      </w:tcPr>
    </w:tblStylePr>
    <w:tblStylePr w:type="firstCol">
      <w:rPr>
        <w:color w:val="0072BC" w:themeColor="background1"/>
      </w:rPr>
      <w:tblPr/>
      <w:tcPr>
        <w:tcBorders>
          <w:top w:val="nil"/>
          <w:left w:val="nil"/>
          <w:bottom w:val="nil"/>
          <w:right w:val="nil"/>
          <w:insideH w:val="single" w:sz="4" w:space="0" w:color="004470" w:themeColor="accent1" w:themeShade="99"/>
          <w:insideV w:val="nil"/>
        </w:tcBorders>
        <w:shd w:val="clear" w:color="auto" w:fill="004470" w:themeFill="accent1" w:themeFillShade="99"/>
      </w:tcPr>
    </w:tblStylePr>
    <w:tblStylePr w:type="lastCol">
      <w:rPr>
        <w:color w:val="0072BC" w:themeColor="background1"/>
      </w:rPr>
      <w:tblPr/>
      <w:tcPr>
        <w:tcBorders>
          <w:top w:val="nil"/>
          <w:left w:val="nil"/>
          <w:bottom w:val="nil"/>
          <w:right w:val="nil"/>
          <w:insideH w:val="nil"/>
          <w:insideV w:val="nil"/>
        </w:tcBorders>
        <w:shd w:val="clear" w:color="auto" w:fill="004470" w:themeFill="accent1" w:themeFillShade="99"/>
      </w:tcPr>
    </w:tblStylePr>
    <w:tblStylePr w:type="band1Vert">
      <w:tblPr/>
      <w:tcPr>
        <w:shd w:val="clear" w:color="auto" w:fill="7ECBFF" w:themeFill="accent1" w:themeFillTint="66"/>
      </w:tcPr>
    </w:tblStylePr>
    <w:tblStylePr w:type="band1Horz">
      <w:tblPr/>
      <w:tcPr>
        <w:shd w:val="clear" w:color="auto" w:fill="5EBFFF"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99"/>
    <w:semiHidden/>
    <w:rsid w:val="0098410D"/>
    <w:rPr>
      <w:color w:val="000000" w:themeColor="text1"/>
    </w:rPr>
    <w:tblPr>
      <w:tblStyleRowBandSize w:val="1"/>
      <w:tblStyleColBandSize w:val="1"/>
      <w:tblBorders>
        <w:top w:val="single" w:sz="24" w:space="0" w:color="C00000" w:themeColor="accent2"/>
        <w:left w:val="single" w:sz="4" w:space="0" w:color="C00000" w:themeColor="accent2"/>
        <w:bottom w:val="single" w:sz="4" w:space="0" w:color="C00000" w:themeColor="accent2"/>
        <w:right w:val="single" w:sz="4" w:space="0" w:color="C00000" w:themeColor="accent2"/>
        <w:insideH w:val="single" w:sz="4" w:space="0" w:color="0072BC" w:themeColor="background1"/>
        <w:insideV w:val="single" w:sz="4" w:space="0" w:color="0072BC" w:themeColor="background1"/>
      </w:tblBorders>
    </w:tblPr>
    <w:tcPr>
      <w:shd w:val="clear" w:color="auto" w:fill="FFDFDF" w:themeFill="accent2"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730000" w:themeFill="accent2" w:themeFillShade="99"/>
      </w:tcPr>
    </w:tblStylePr>
    <w:tblStylePr w:type="firstCol">
      <w:rPr>
        <w:color w:val="0072BC" w:themeColor="background1"/>
      </w:rPr>
      <w:tblPr/>
      <w:tcPr>
        <w:tcBorders>
          <w:top w:val="nil"/>
          <w:left w:val="nil"/>
          <w:bottom w:val="nil"/>
          <w:right w:val="nil"/>
          <w:insideH w:val="single" w:sz="4" w:space="0" w:color="730000" w:themeColor="accent2" w:themeShade="99"/>
          <w:insideV w:val="nil"/>
        </w:tcBorders>
        <w:shd w:val="clear" w:color="auto" w:fill="730000" w:themeFill="accent2" w:themeFillShade="99"/>
      </w:tcPr>
    </w:tblStylePr>
    <w:tblStylePr w:type="lastCol">
      <w:rPr>
        <w:color w:val="0072BC" w:themeColor="background1"/>
      </w:rPr>
      <w:tblPr/>
      <w:tcPr>
        <w:tcBorders>
          <w:top w:val="nil"/>
          <w:left w:val="nil"/>
          <w:bottom w:val="nil"/>
          <w:right w:val="nil"/>
          <w:insideH w:val="nil"/>
          <w:insideV w:val="nil"/>
        </w:tcBorders>
        <w:shd w:val="clear" w:color="auto" w:fill="730000" w:themeFill="accent2" w:themeFillShade="99"/>
      </w:tcPr>
    </w:tblStylePr>
    <w:tblStylePr w:type="band1Vert">
      <w:tblPr/>
      <w:tcPr>
        <w:shd w:val="clear" w:color="auto" w:fill="FF7F7F" w:themeFill="accent2" w:themeFillTint="66"/>
      </w:tcPr>
    </w:tblStylePr>
    <w:tblStylePr w:type="band1Horz">
      <w:tblPr/>
      <w:tcPr>
        <w:shd w:val="clear" w:color="auto" w:fill="FF6060"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99"/>
    <w:semiHidden/>
    <w:rsid w:val="0098410D"/>
    <w:rPr>
      <w:color w:val="000000" w:themeColor="text1"/>
    </w:rPr>
    <w:tblPr>
      <w:tblStyleRowBandSize w:val="1"/>
      <w:tblStyleColBandSize w:val="1"/>
      <w:tblBorders>
        <w:top w:val="single" w:sz="24" w:space="0" w:color="969696" w:themeColor="accent4"/>
        <w:left w:val="single" w:sz="4" w:space="0" w:color="5F5F5F" w:themeColor="accent3"/>
        <w:bottom w:val="single" w:sz="4" w:space="0" w:color="5F5F5F" w:themeColor="accent3"/>
        <w:right w:val="single" w:sz="4" w:space="0" w:color="5F5F5F" w:themeColor="accent3"/>
        <w:insideH w:val="single" w:sz="4" w:space="0" w:color="0072BC" w:themeColor="background1"/>
        <w:insideV w:val="single" w:sz="4" w:space="0" w:color="0072BC" w:themeColor="background1"/>
      </w:tblBorders>
    </w:tblPr>
    <w:tcPr>
      <w:shd w:val="clear" w:color="auto" w:fill="EFEFEF" w:themeFill="accent3" w:themeFillTint="19"/>
    </w:tcPr>
    <w:tblStylePr w:type="firstRow">
      <w:rPr>
        <w:b/>
        <w:bCs/>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3" w:themeFillShade="99"/>
      </w:tcPr>
    </w:tblStylePr>
    <w:tblStylePr w:type="firstCol">
      <w:rPr>
        <w:color w:val="0072BC" w:themeColor="background1"/>
      </w:rPr>
      <w:tblPr/>
      <w:tcPr>
        <w:tcBorders>
          <w:top w:val="nil"/>
          <w:left w:val="nil"/>
          <w:bottom w:val="nil"/>
          <w:right w:val="nil"/>
          <w:insideH w:val="single" w:sz="4" w:space="0" w:color="393939" w:themeColor="accent3" w:themeShade="99"/>
          <w:insideV w:val="nil"/>
        </w:tcBorders>
        <w:shd w:val="clear" w:color="auto" w:fill="393939" w:themeFill="accent3"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3" w:themeFillShade="99"/>
      </w:tcPr>
    </w:tblStylePr>
    <w:tblStylePr w:type="band1Vert">
      <w:tblPr/>
      <w:tcPr>
        <w:shd w:val="clear" w:color="auto" w:fill="BFBFBF" w:themeFill="accent3" w:themeFillTint="66"/>
      </w:tcPr>
    </w:tblStylePr>
    <w:tblStylePr w:type="band1Horz">
      <w:tblPr/>
      <w:tcPr>
        <w:shd w:val="clear" w:color="auto" w:fill="AFAFAF" w:themeFill="accent3" w:themeFillTint="7F"/>
      </w:tcPr>
    </w:tblStylePr>
  </w:style>
  <w:style w:type="table" w:styleId="ColorfulShading-Accent4">
    <w:name w:val="Colorful Shading Accent 4"/>
    <w:basedOn w:val="TableNormal"/>
    <w:uiPriority w:val="99"/>
    <w:semiHidden/>
    <w:rsid w:val="0098410D"/>
    <w:rPr>
      <w:color w:val="000000" w:themeColor="text1"/>
    </w:rPr>
    <w:tblPr>
      <w:tblStyleRowBandSize w:val="1"/>
      <w:tblStyleColBandSize w:val="1"/>
      <w:tblBorders>
        <w:top w:val="single" w:sz="24" w:space="0" w:color="5F5F5F" w:themeColor="accent3"/>
        <w:left w:val="single" w:sz="4" w:space="0" w:color="969696" w:themeColor="accent4"/>
        <w:bottom w:val="single" w:sz="4" w:space="0" w:color="969696" w:themeColor="accent4"/>
        <w:right w:val="single" w:sz="4" w:space="0" w:color="969696" w:themeColor="accent4"/>
        <w:insideH w:val="single" w:sz="4" w:space="0" w:color="0072BC" w:themeColor="background1"/>
        <w:insideV w:val="single" w:sz="4" w:space="0" w:color="0072BC" w:themeColor="background1"/>
      </w:tblBorders>
    </w:tblPr>
    <w:tcPr>
      <w:shd w:val="clear" w:color="auto" w:fill="F4F4F4" w:themeFill="accent4" w:themeFillTint="19"/>
    </w:tcPr>
    <w:tblStylePr w:type="firstRow">
      <w:rPr>
        <w:b/>
        <w:bCs/>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5A5A5A" w:themeFill="accent4" w:themeFillShade="99"/>
      </w:tcPr>
    </w:tblStylePr>
    <w:tblStylePr w:type="firstCol">
      <w:rPr>
        <w:color w:val="0072BC" w:themeColor="background1"/>
      </w:rPr>
      <w:tblPr/>
      <w:tcPr>
        <w:tcBorders>
          <w:top w:val="nil"/>
          <w:left w:val="nil"/>
          <w:bottom w:val="nil"/>
          <w:right w:val="nil"/>
          <w:insideH w:val="single" w:sz="4" w:space="0" w:color="5A5A5A" w:themeColor="accent4" w:themeShade="99"/>
          <w:insideV w:val="nil"/>
        </w:tcBorders>
        <w:shd w:val="clear" w:color="auto" w:fill="5A5A5A" w:themeFill="accent4" w:themeFillShade="99"/>
      </w:tcPr>
    </w:tblStylePr>
    <w:tblStylePr w:type="lastCol">
      <w:rPr>
        <w:color w:val="0072BC" w:themeColor="background1"/>
      </w:rPr>
      <w:tblPr/>
      <w:tcPr>
        <w:tcBorders>
          <w:top w:val="nil"/>
          <w:left w:val="nil"/>
          <w:bottom w:val="nil"/>
          <w:right w:val="nil"/>
          <w:insideH w:val="nil"/>
          <w:insideV w:val="nil"/>
        </w:tcBorders>
        <w:shd w:val="clear" w:color="auto" w:fill="5A5A5A" w:themeFill="accent4" w:themeFillShade="99"/>
      </w:tcPr>
    </w:tblStylePr>
    <w:tblStylePr w:type="band1Vert">
      <w:tblPr/>
      <w:tcPr>
        <w:shd w:val="clear" w:color="auto" w:fill="D5D5D5" w:themeFill="accent4" w:themeFillTint="66"/>
      </w:tcPr>
    </w:tblStylePr>
    <w:tblStylePr w:type="band1Horz">
      <w:tblPr/>
      <w:tcPr>
        <w:shd w:val="clear" w:color="auto" w:fill="CACACA"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99"/>
    <w:semiHidden/>
    <w:rsid w:val="0098410D"/>
    <w:rPr>
      <w:color w:val="000000" w:themeColor="text1"/>
    </w:rPr>
    <w:tblPr>
      <w:tblStyleRowBandSize w:val="1"/>
      <w:tblStyleColBandSize w:val="1"/>
      <w:tblBorders>
        <w:top w:val="single" w:sz="24" w:space="0" w:color="4D4D4D" w:themeColor="accent6"/>
        <w:left w:val="single" w:sz="4" w:space="0" w:color="5F5F5F" w:themeColor="accent5"/>
        <w:bottom w:val="single" w:sz="4" w:space="0" w:color="5F5F5F" w:themeColor="accent5"/>
        <w:right w:val="single" w:sz="4" w:space="0" w:color="5F5F5F" w:themeColor="accent5"/>
        <w:insideH w:val="single" w:sz="4" w:space="0" w:color="0072BC" w:themeColor="background1"/>
        <w:insideV w:val="single" w:sz="4" w:space="0" w:color="0072BC" w:themeColor="background1"/>
      </w:tblBorders>
    </w:tblPr>
    <w:tcPr>
      <w:shd w:val="clear" w:color="auto" w:fill="EFEFEF" w:themeFill="accent5" w:themeFillTint="19"/>
    </w:tcPr>
    <w:tblStylePr w:type="firstRow">
      <w:rPr>
        <w:b/>
        <w:bCs/>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5" w:themeFillShade="99"/>
      </w:tcPr>
    </w:tblStylePr>
    <w:tblStylePr w:type="firstCol">
      <w:rPr>
        <w:color w:val="0072BC" w:themeColor="background1"/>
      </w:rPr>
      <w:tblPr/>
      <w:tcPr>
        <w:tcBorders>
          <w:top w:val="nil"/>
          <w:left w:val="nil"/>
          <w:bottom w:val="nil"/>
          <w:right w:val="nil"/>
          <w:insideH w:val="single" w:sz="4" w:space="0" w:color="393939" w:themeColor="accent5" w:themeShade="99"/>
          <w:insideV w:val="nil"/>
        </w:tcBorders>
        <w:shd w:val="clear" w:color="auto" w:fill="393939" w:themeFill="accent5"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5" w:themeFillShade="99"/>
      </w:tcPr>
    </w:tblStylePr>
    <w:tblStylePr w:type="band1Vert">
      <w:tblPr/>
      <w:tcPr>
        <w:shd w:val="clear" w:color="auto" w:fill="BFBFBF" w:themeFill="accent5" w:themeFillTint="66"/>
      </w:tcPr>
    </w:tblStylePr>
    <w:tblStylePr w:type="band1Horz">
      <w:tblPr/>
      <w:tcPr>
        <w:shd w:val="clear" w:color="auto" w:fill="AFAFAF"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99"/>
    <w:semiHidden/>
    <w:rsid w:val="0098410D"/>
    <w:rPr>
      <w:color w:val="000000" w:themeColor="text1"/>
    </w:rPr>
    <w:tblPr>
      <w:tblStyleRowBandSize w:val="1"/>
      <w:tblStyleColBandSize w:val="1"/>
      <w:tblBorders>
        <w:top w:val="single" w:sz="24" w:space="0" w:color="5F5F5F" w:themeColor="accent5"/>
        <w:left w:val="single" w:sz="4" w:space="0" w:color="4D4D4D" w:themeColor="accent6"/>
        <w:bottom w:val="single" w:sz="4" w:space="0" w:color="4D4D4D" w:themeColor="accent6"/>
        <w:right w:val="single" w:sz="4" w:space="0" w:color="4D4D4D" w:themeColor="accent6"/>
        <w:insideH w:val="single" w:sz="4" w:space="0" w:color="0072BC" w:themeColor="background1"/>
        <w:insideV w:val="single" w:sz="4" w:space="0" w:color="0072BC" w:themeColor="background1"/>
      </w:tblBorders>
    </w:tblPr>
    <w:tcPr>
      <w:shd w:val="clear" w:color="auto" w:fill="EDEDED" w:themeFill="accent6" w:themeFillTint="19"/>
    </w:tcPr>
    <w:tblStylePr w:type="firstRow">
      <w:rPr>
        <w:b/>
        <w:bCs/>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2E2E2E" w:themeFill="accent6" w:themeFillShade="99"/>
      </w:tcPr>
    </w:tblStylePr>
    <w:tblStylePr w:type="firstCol">
      <w:rPr>
        <w:color w:val="0072BC" w:themeColor="background1"/>
      </w:rPr>
      <w:tblPr/>
      <w:tcPr>
        <w:tcBorders>
          <w:top w:val="nil"/>
          <w:left w:val="nil"/>
          <w:bottom w:val="nil"/>
          <w:right w:val="nil"/>
          <w:insideH w:val="single" w:sz="4" w:space="0" w:color="2E2E2E" w:themeColor="accent6" w:themeShade="99"/>
          <w:insideV w:val="nil"/>
        </w:tcBorders>
        <w:shd w:val="clear" w:color="auto" w:fill="2E2E2E" w:themeFill="accent6" w:themeFillShade="99"/>
      </w:tcPr>
    </w:tblStylePr>
    <w:tblStylePr w:type="lastCol">
      <w:rPr>
        <w:color w:val="0072BC" w:themeColor="background1"/>
      </w:rPr>
      <w:tblPr/>
      <w:tcPr>
        <w:tcBorders>
          <w:top w:val="nil"/>
          <w:left w:val="nil"/>
          <w:bottom w:val="nil"/>
          <w:right w:val="nil"/>
          <w:insideH w:val="nil"/>
          <w:insideV w:val="nil"/>
        </w:tcBorders>
        <w:shd w:val="clear" w:color="auto" w:fill="2E2E2E" w:themeFill="accent6" w:themeFillShade="99"/>
      </w:tcPr>
    </w:tblStylePr>
    <w:tblStylePr w:type="band1Vert">
      <w:tblPr/>
      <w:tcPr>
        <w:shd w:val="clear" w:color="auto" w:fill="B7B7B7" w:themeFill="accent6" w:themeFillTint="66"/>
      </w:tcPr>
    </w:tblStylePr>
    <w:tblStylePr w:type="band1Horz">
      <w:tblPr/>
      <w:tcPr>
        <w:shd w:val="clear" w:color="auto" w:fill="A6A6A6" w:themeFill="accent6" w:themeFillTint="7F"/>
      </w:tcPr>
    </w:tblStylePr>
    <w:tblStylePr w:type="neCell">
      <w:rPr>
        <w:color w:val="000000" w:themeColor="text1"/>
      </w:rPr>
    </w:tblStylePr>
    <w:tblStylePr w:type="nwCell">
      <w:rPr>
        <w:color w:val="000000" w:themeColor="text1"/>
      </w:rPr>
    </w:tblStylePr>
  </w:style>
  <w:style w:type="character" w:styleId="CommentReference">
    <w:name w:val="annotation reference"/>
    <w:basedOn w:val="DefaultParagraphFont"/>
    <w:uiPriority w:val="99"/>
    <w:semiHidden/>
    <w:rsid w:val="0098410D"/>
    <w:rPr>
      <w:sz w:val="16"/>
      <w:szCs w:val="16"/>
    </w:rPr>
  </w:style>
  <w:style w:type="paragraph" w:styleId="CommentText">
    <w:name w:val="annotation text"/>
    <w:basedOn w:val="Normal"/>
    <w:link w:val="CommentTextChar"/>
    <w:uiPriority w:val="99"/>
    <w:semiHidden/>
    <w:rsid w:val="0098410D"/>
    <w:rPr>
      <w:sz w:val="20"/>
      <w:szCs w:val="20"/>
    </w:rPr>
  </w:style>
  <w:style w:type="character" w:customStyle="1" w:styleId="CommentTextChar">
    <w:name w:val="Comment Text Char"/>
    <w:basedOn w:val="DefaultParagraphFont"/>
    <w:link w:val="CommentText"/>
    <w:uiPriority w:val="99"/>
    <w:semiHidden/>
    <w:rsid w:val="0098410D"/>
    <w:rPr>
      <w:rFonts w:eastAsiaTheme="minorEastAsia"/>
      <w:sz w:val="20"/>
      <w:szCs w:val="20"/>
    </w:rPr>
  </w:style>
  <w:style w:type="paragraph" w:styleId="CommentSubject">
    <w:name w:val="annotation subject"/>
    <w:basedOn w:val="CommentText"/>
    <w:next w:val="CommentText"/>
    <w:link w:val="CommentSubjectChar"/>
    <w:uiPriority w:val="99"/>
    <w:semiHidden/>
    <w:rsid w:val="0098410D"/>
    <w:rPr>
      <w:b/>
      <w:bCs/>
    </w:rPr>
  </w:style>
  <w:style w:type="character" w:customStyle="1" w:styleId="CommentSubjectChar">
    <w:name w:val="Comment Subject Char"/>
    <w:basedOn w:val="CommentTextChar"/>
    <w:link w:val="CommentSubject"/>
    <w:uiPriority w:val="99"/>
    <w:semiHidden/>
    <w:rsid w:val="0098410D"/>
    <w:rPr>
      <w:rFonts w:eastAsiaTheme="minorEastAsia"/>
      <w:b/>
      <w:bCs/>
      <w:sz w:val="20"/>
      <w:szCs w:val="20"/>
    </w:rPr>
  </w:style>
  <w:style w:type="table" w:styleId="DarkList">
    <w:name w:val="Dark List"/>
    <w:basedOn w:val="TableNormal"/>
    <w:uiPriority w:val="99"/>
    <w:semiHidden/>
    <w:rsid w:val="0098410D"/>
    <w:rPr>
      <w:color w:val="0072BC"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0072BC" w:themeColor="background1"/>
          <w:insideH w:val="nil"/>
          <w:insideV w:val="nil"/>
        </w:tcBorders>
        <w:shd w:val="clear" w:color="auto" w:fill="000000" w:themeFill="text1" w:themeFillShade="BF"/>
      </w:tcPr>
    </w:tblStylePr>
    <w:tblStylePr w:type="lastCol">
      <w:tblPr/>
      <w:tcPr>
        <w:tcBorders>
          <w:top w:val="nil"/>
          <w:left w:val="single" w:sz="18" w:space="0" w:color="0072BC"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99"/>
    <w:semiHidden/>
    <w:rsid w:val="0098410D"/>
    <w:rPr>
      <w:color w:val="0072BC" w:themeColor="background1"/>
    </w:rPr>
    <w:tblPr>
      <w:tblStyleRowBandSize w:val="1"/>
      <w:tblStyleColBandSize w:val="1"/>
    </w:tblPr>
    <w:tcPr>
      <w:shd w:val="clear" w:color="auto" w:fill="0072BC" w:themeFill="accen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385D" w:themeFill="accent1" w:themeFillShade="7F"/>
      </w:tcPr>
    </w:tblStylePr>
    <w:tblStylePr w:type="firstCol">
      <w:tblPr/>
      <w:tcPr>
        <w:tcBorders>
          <w:top w:val="nil"/>
          <w:left w:val="nil"/>
          <w:bottom w:val="nil"/>
          <w:right w:val="single" w:sz="18" w:space="0" w:color="0072BC" w:themeColor="background1"/>
          <w:insideH w:val="nil"/>
          <w:insideV w:val="nil"/>
        </w:tcBorders>
        <w:shd w:val="clear" w:color="auto" w:fill="00548C" w:themeFill="accent1" w:themeFillShade="BF"/>
      </w:tcPr>
    </w:tblStylePr>
    <w:tblStylePr w:type="lastCol">
      <w:tblPr/>
      <w:tcPr>
        <w:tcBorders>
          <w:top w:val="nil"/>
          <w:left w:val="single" w:sz="18" w:space="0" w:color="0072BC" w:themeColor="background1"/>
          <w:bottom w:val="nil"/>
          <w:right w:val="nil"/>
          <w:insideH w:val="nil"/>
          <w:insideV w:val="nil"/>
        </w:tcBorders>
        <w:shd w:val="clear" w:color="auto" w:fill="00548C" w:themeFill="accent1" w:themeFillShade="BF"/>
      </w:tcPr>
    </w:tblStylePr>
    <w:tblStylePr w:type="band1Vert">
      <w:tblPr/>
      <w:tcPr>
        <w:tcBorders>
          <w:top w:val="nil"/>
          <w:left w:val="nil"/>
          <w:bottom w:val="nil"/>
          <w:right w:val="nil"/>
          <w:insideH w:val="nil"/>
          <w:insideV w:val="nil"/>
        </w:tcBorders>
        <w:shd w:val="clear" w:color="auto" w:fill="00548C" w:themeFill="accent1" w:themeFillShade="BF"/>
      </w:tcPr>
    </w:tblStylePr>
    <w:tblStylePr w:type="band1Horz">
      <w:tblPr/>
      <w:tcPr>
        <w:tcBorders>
          <w:top w:val="nil"/>
          <w:left w:val="nil"/>
          <w:bottom w:val="nil"/>
          <w:right w:val="nil"/>
          <w:insideH w:val="nil"/>
          <w:insideV w:val="nil"/>
        </w:tcBorders>
        <w:shd w:val="clear" w:color="auto" w:fill="00548C" w:themeFill="accent1" w:themeFillShade="BF"/>
      </w:tcPr>
    </w:tblStylePr>
  </w:style>
  <w:style w:type="table" w:styleId="DarkList-Accent2">
    <w:name w:val="Dark List Accent 2"/>
    <w:basedOn w:val="TableNormal"/>
    <w:uiPriority w:val="99"/>
    <w:semiHidden/>
    <w:rsid w:val="0098410D"/>
    <w:rPr>
      <w:color w:val="0072BC" w:themeColor="background1"/>
    </w:rPr>
    <w:tblPr>
      <w:tblStyleRowBandSize w:val="1"/>
      <w:tblStyleColBandSize w:val="1"/>
    </w:tblPr>
    <w:tcPr>
      <w:shd w:val="clear" w:color="auto" w:fill="C00000" w:themeFill="accent2"/>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5F0000" w:themeFill="accent2" w:themeFillShade="7F"/>
      </w:tcPr>
    </w:tblStylePr>
    <w:tblStylePr w:type="firstCol">
      <w:tblPr/>
      <w:tcPr>
        <w:tcBorders>
          <w:top w:val="nil"/>
          <w:left w:val="nil"/>
          <w:bottom w:val="nil"/>
          <w:right w:val="single" w:sz="18" w:space="0" w:color="0072BC" w:themeColor="background1"/>
          <w:insideH w:val="nil"/>
          <w:insideV w:val="nil"/>
        </w:tcBorders>
        <w:shd w:val="clear" w:color="auto" w:fill="8F0000" w:themeFill="accent2" w:themeFillShade="BF"/>
      </w:tcPr>
    </w:tblStylePr>
    <w:tblStylePr w:type="lastCol">
      <w:tblPr/>
      <w:tcPr>
        <w:tcBorders>
          <w:top w:val="nil"/>
          <w:left w:val="single" w:sz="18" w:space="0" w:color="0072BC" w:themeColor="background1"/>
          <w:bottom w:val="nil"/>
          <w:right w:val="nil"/>
          <w:insideH w:val="nil"/>
          <w:insideV w:val="nil"/>
        </w:tcBorders>
        <w:shd w:val="clear" w:color="auto" w:fill="8F0000" w:themeFill="accent2" w:themeFillShade="BF"/>
      </w:tcPr>
    </w:tblStylePr>
    <w:tblStylePr w:type="band1Vert">
      <w:tblPr/>
      <w:tcPr>
        <w:tcBorders>
          <w:top w:val="nil"/>
          <w:left w:val="nil"/>
          <w:bottom w:val="nil"/>
          <w:right w:val="nil"/>
          <w:insideH w:val="nil"/>
          <w:insideV w:val="nil"/>
        </w:tcBorders>
        <w:shd w:val="clear" w:color="auto" w:fill="8F0000" w:themeFill="accent2" w:themeFillShade="BF"/>
      </w:tcPr>
    </w:tblStylePr>
    <w:tblStylePr w:type="band1Horz">
      <w:tblPr/>
      <w:tcPr>
        <w:tcBorders>
          <w:top w:val="nil"/>
          <w:left w:val="nil"/>
          <w:bottom w:val="nil"/>
          <w:right w:val="nil"/>
          <w:insideH w:val="nil"/>
          <w:insideV w:val="nil"/>
        </w:tcBorders>
        <w:shd w:val="clear" w:color="auto" w:fill="8F0000" w:themeFill="accent2" w:themeFillShade="BF"/>
      </w:tcPr>
    </w:tblStylePr>
  </w:style>
  <w:style w:type="table" w:styleId="DarkList-Accent3">
    <w:name w:val="Dark List Accent 3"/>
    <w:basedOn w:val="TableNormal"/>
    <w:uiPriority w:val="99"/>
    <w:semiHidden/>
    <w:rsid w:val="0098410D"/>
    <w:rPr>
      <w:color w:val="0072BC" w:themeColor="background1"/>
    </w:rPr>
    <w:tblPr>
      <w:tblStyleRowBandSize w:val="1"/>
      <w:tblStyleColBandSize w:val="1"/>
    </w:tblPr>
    <w:tcPr>
      <w:shd w:val="clear" w:color="auto" w:fill="5F5F5F" w:themeFill="accent3"/>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3"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3"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3" w:themeFillShade="BF"/>
      </w:tcPr>
    </w:tblStylePr>
    <w:tblStylePr w:type="band1Vert">
      <w:tblPr/>
      <w:tcPr>
        <w:tcBorders>
          <w:top w:val="nil"/>
          <w:left w:val="nil"/>
          <w:bottom w:val="nil"/>
          <w:right w:val="nil"/>
          <w:insideH w:val="nil"/>
          <w:insideV w:val="nil"/>
        </w:tcBorders>
        <w:shd w:val="clear" w:color="auto" w:fill="474747" w:themeFill="accent3" w:themeFillShade="BF"/>
      </w:tcPr>
    </w:tblStylePr>
    <w:tblStylePr w:type="band1Horz">
      <w:tblPr/>
      <w:tcPr>
        <w:tcBorders>
          <w:top w:val="nil"/>
          <w:left w:val="nil"/>
          <w:bottom w:val="nil"/>
          <w:right w:val="nil"/>
          <w:insideH w:val="nil"/>
          <w:insideV w:val="nil"/>
        </w:tcBorders>
        <w:shd w:val="clear" w:color="auto" w:fill="474747" w:themeFill="accent3" w:themeFillShade="BF"/>
      </w:tcPr>
    </w:tblStylePr>
  </w:style>
  <w:style w:type="table" w:styleId="DarkList-Accent4">
    <w:name w:val="Dark List Accent 4"/>
    <w:basedOn w:val="TableNormal"/>
    <w:uiPriority w:val="99"/>
    <w:semiHidden/>
    <w:rsid w:val="0098410D"/>
    <w:rPr>
      <w:color w:val="0072BC" w:themeColor="background1"/>
    </w:rPr>
    <w:tblPr>
      <w:tblStyleRowBandSize w:val="1"/>
      <w:tblStyleColBandSize w:val="1"/>
    </w:tblPr>
    <w:tcPr>
      <w:shd w:val="clear" w:color="auto" w:fill="969696" w:themeFill="accent4"/>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4A4A4A" w:themeFill="accent4" w:themeFillShade="7F"/>
      </w:tcPr>
    </w:tblStylePr>
    <w:tblStylePr w:type="firstCol">
      <w:tblPr/>
      <w:tcPr>
        <w:tcBorders>
          <w:top w:val="nil"/>
          <w:left w:val="nil"/>
          <w:bottom w:val="nil"/>
          <w:right w:val="single" w:sz="18" w:space="0" w:color="0072BC" w:themeColor="background1"/>
          <w:insideH w:val="nil"/>
          <w:insideV w:val="nil"/>
        </w:tcBorders>
        <w:shd w:val="clear" w:color="auto" w:fill="707070" w:themeFill="accent4" w:themeFillShade="BF"/>
      </w:tcPr>
    </w:tblStylePr>
    <w:tblStylePr w:type="lastCol">
      <w:tblPr/>
      <w:tcPr>
        <w:tcBorders>
          <w:top w:val="nil"/>
          <w:left w:val="single" w:sz="18" w:space="0" w:color="0072BC" w:themeColor="background1"/>
          <w:bottom w:val="nil"/>
          <w:right w:val="nil"/>
          <w:insideH w:val="nil"/>
          <w:insideV w:val="nil"/>
        </w:tcBorders>
        <w:shd w:val="clear" w:color="auto" w:fill="707070" w:themeFill="accent4" w:themeFillShade="BF"/>
      </w:tcPr>
    </w:tblStylePr>
    <w:tblStylePr w:type="band1Vert">
      <w:tblPr/>
      <w:tcPr>
        <w:tcBorders>
          <w:top w:val="nil"/>
          <w:left w:val="nil"/>
          <w:bottom w:val="nil"/>
          <w:right w:val="nil"/>
          <w:insideH w:val="nil"/>
          <w:insideV w:val="nil"/>
        </w:tcBorders>
        <w:shd w:val="clear" w:color="auto" w:fill="707070" w:themeFill="accent4" w:themeFillShade="BF"/>
      </w:tcPr>
    </w:tblStylePr>
    <w:tblStylePr w:type="band1Horz">
      <w:tblPr/>
      <w:tcPr>
        <w:tcBorders>
          <w:top w:val="nil"/>
          <w:left w:val="nil"/>
          <w:bottom w:val="nil"/>
          <w:right w:val="nil"/>
          <w:insideH w:val="nil"/>
          <w:insideV w:val="nil"/>
        </w:tcBorders>
        <w:shd w:val="clear" w:color="auto" w:fill="707070" w:themeFill="accent4" w:themeFillShade="BF"/>
      </w:tcPr>
    </w:tblStylePr>
  </w:style>
  <w:style w:type="table" w:styleId="DarkList-Accent5">
    <w:name w:val="Dark List Accent 5"/>
    <w:basedOn w:val="TableNormal"/>
    <w:uiPriority w:val="99"/>
    <w:semiHidden/>
    <w:rsid w:val="0098410D"/>
    <w:rPr>
      <w:color w:val="0072BC" w:themeColor="background1"/>
    </w:rPr>
    <w:tblPr>
      <w:tblStyleRowBandSize w:val="1"/>
      <w:tblStyleColBandSize w:val="1"/>
    </w:tblPr>
    <w:tcPr>
      <w:shd w:val="clear" w:color="auto" w:fill="5F5F5F" w:themeFill="accent5"/>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5"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5"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5" w:themeFillShade="BF"/>
      </w:tcPr>
    </w:tblStylePr>
    <w:tblStylePr w:type="band1Vert">
      <w:tblPr/>
      <w:tcPr>
        <w:tcBorders>
          <w:top w:val="nil"/>
          <w:left w:val="nil"/>
          <w:bottom w:val="nil"/>
          <w:right w:val="nil"/>
          <w:insideH w:val="nil"/>
          <w:insideV w:val="nil"/>
        </w:tcBorders>
        <w:shd w:val="clear" w:color="auto" w:fill="474747" w:themeFill="accent5" w:themeFillShade="BF"/>
      </w:tcPr>
    </w:tblStylePr>
    <w:tblStylePr w:type="band1Horz">
      <w:tblPr/>
      <w:tcPr>
        <w:tcBorders>
          <w:top w:val="nil"/>
          <w:left w:val="nil"/>
          <w:bottom w:val="nil"/>
          <w:right w:val="nil"/>
          <w:insideH w:val="nil"/>
          <w:insideV w:val="nil"/>
        </w:tcBorders>
        <w:shd w:val="clear" w:color="auto" w:fill="474747" w:themeFill="accent5" w:themeFillShade="BF"/>
      </w:tcPr>
    </w:tblStylePr>
  </w:style>
  <w:style w:type="table" w:styleId="DarkList-Accent6">
    <w:name w:val="Dark List Accent 6"/>
    <w:basedOn w:val="TableNormal"/>
    <w:uiPriority w:val="99"/>
    <w:semiHidden/>
    <w:rsid w:val="0098410D"/>
    <w:rPr>
      <w:color w:val="0072BC" w:themeColor="background1"/>
    </w:rPr>
    <w:tblPr>
      <w:tblStyleRowBandSize w:val="1"/>
      <w:tblStyleColBandSize w:val="1"/>
    </w:tblPr>
    <w:tcPr>
      <w:shd w:val="clear" w:color="auto" w:fill="4D4D4D" w:themeFill="accent6"/>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62626" w:themeFill="accent6" w:themeFillShade="7F"/>
      </w:tcPr>
    </w:tblStylePr>
    <w:tblStylePr w:type="firstCol">
      <w:tblPr/>
      <w:tcPr>
        <w:tcBorders>
          <w:top w:val="nil"/>
          <w:left w:val="nil"/>
          <w:bottom w:val="nil"/>
          <w:right w:val="single" w:sz="18" w:space="0" w:color="0072BC" w:themeColor="background1"/>
          <w:insideH w:val="nil"/>
          <w:insideV w:val="nil"/>
        </w:tcBorders>
        <w:shd w:val="clear" w:color="auto" w:fill="393939" w:themeFill="accent6" w:themeFillShade="BF"/>
      </w:tcPr>
    </w:tblStylePr>
    <w:tblStylePr w:type="lastCol">
      <w:tblPr/>
      <w:tcPr>
        <w:tcBorders>
          <w:top w:val="nil"/>
          <w:left w:val="single" w:sz="18" w:space="0" w:color="0072BC" w:themeColor="background1"/>
          <w:bottom w:val="nil"/>
          <w:right w:val="nil"/>
          <w:insideH w:val="nil"/>
          <w:insideV w:val="nil"/>
        </w:tcBorders>
        <w:shd w:val="clear" w:color="auto" w:fill="393939" w:themeFill="accent6" w:themeFillShade="BF"/>
      </w:tcPr>
    </w:tblStylePr>
    <w:tblStylePr w:type="band1Vert">
      <w:tblPr/>
      <w:tcPr>
        <w:tcBorders>
          <w:top w:val="nil"/>
          <w:left w:val="nil"/>
          <w:bottom w:val="nil"/>
          <w:right w:val="nil"/>
          <w:insideH w:val="nil"/>
          <w:insideV w:val="nil"/>
        </w:tcBorders>
        <w:shd w:val="clear" w:color="auto" w:fill="393939" w:themeFill="accent6" w:themeFillShade="BF"/>
      </w:tcPr>
    </w:tblStylePr>
    <w:tblStylePr w:type="band1Horz">
      <w:tblPr/>
      <w:tcPr>
        <w:tcBorders>
          <w:top w:val="nil"/>
          <w:left w:val="nil"/>
          <w:bottom w:val="nil"/>
          <w:right w:val="nil"/>
          <w:insideH w:val="nil"/>
          <w:insideV w:val="nil"/>
        </w:tcBorders>
        <w:shd w:val="clear" w:color="auto" w:fill="393939" w:themeFill="accent6" w:themeFillShade="BF"/>
      </w:tcPr>
    </w:tblStylePr>
  </w:style>
  <w:style w:type="paragraph" w:styleId="Date">
    <w:name w:val="Date"/>
    <w:basedOn w:val="Normal"/>
    <w:next w:val="Normal"/>
    <w:link w:val="DateChar"/>
    <w:uiPriority w:val="99"/>
    <w:semiHidden/>
    <w:rsid w:val="0098410D"/>
  </w:style>
  <w:style w:type="character" w:customStyle="1" w:styleId="DateChar">
    <w:name w:val="Date Char"/>
    <w:basedOn w:val="DefaultParagraphFont"/>
    <w:link w:val="Date"/>
    <w:uiPriority w:val="99"/>
    <w:semiHidden/>
    <w:rsid w:val="0098410D"/>
    <w:rPr>
      <w:rFonts w:eastAsiaTheme="minorEastAsia"/>
      <w:sz w:val="24"/>
    </w:rPr>
  </w:style>
  <w:style w:type="paragraph" w:styleId="DocumentMap">
    <w:name w:val="Document Map"/>
    <w:basedOn w:val="Normal"/>
    <w:link w:val="DocumentMapChar"/>
    <w:uiPriority w:val="99"/>
    <w:semiHidden/>
    <w:rsid w:val="0098410D"/>
    <w:rPr>
      <w:rFonts w:ascii="Tahoma" w:hAnsi="Tahoma" w:cs="Tahoma"/>
      <w:sz w:val="16"/>
      <w:szCs w:val="16"/>
    </w:rPr>
  </w:style>
  <w:style w:type="character" w:customStyle="1" w:styleId="DocumentMapChar">
    <w:name w:val="Document Map Char"/>
    <w:basedOn w:val="DefaultParagraphFont"/>
    <w:link w:val="DocumentMap"/>
    <w:uiPriority w:val="99"/>
    <w:semiHidden/>
    <w:rsid w:val="0098410D"/>
    <w:rPr>
      <w:rFonts w:ascii="Tahoma" w:eastAsiaTheme="minorEastAsia" w:hAnsi="Tahoma" w:cs="Tahoma"/>
      <w:sz w:val="16"/>
      <w:szCs w:val="16"/>
    </w:rPr>
  </w:style>
  <w:style w:type="paragraph" w:styleId="E-mailSignature">
    <w:name w:val="E-mail Signature"/>
    <w:basedOn w:val="Normal"/>
    <w:link w:val="E-mailSignatureChar"/>
    <w:uiPriority w:val="99"/>
    <w:semiHidden/>
    <w:rsid w:val="0098410D"/>
  </w:style>
  <w:style w:type="character" w:customStyle="1" w:styleId="E-mailSignatureChar">
    <w:name w:val="E-mail Signature Char"/>
    <w:basedOn w:val="DefaultParagraphFont"/>
    <w:link w:val="E-mailSignature"/>
    <w:uiPriority w:val="99"/>
    <w:semiHidden/>
    <w:rsid w:val="0098410D"/>
    <w:rPr>
      <w:rFonts w:eastAsiaTheme="minorEastAsia"/>
      <w:sz w:val="24"/>
    </w:rPr>
  </w:style>
  <w:style w:type="character" w:styleId="EndnoteReference">
    <w:name w:val="endnote reference"/>
    <w:basedOn w:val="DefaultParagraphFont"/>
    <w:uiPriority w:val="99"/>
    <w:semiHidden/>
    <w:rsid w:val="0098410D"/>
    <w:rPr>
      <w:vertAlign w:val="superscript"/>
    </w:rPr>
  </w:style>
  <w:style w:type="paragraph" w:styleId="EndnoteText">
    <w:name w:val="endnote text"/>
    <w:basedOn w:val="Normal"/>
    <w:link w:val="EndnoteTextChar"/>
    <w:uiPriority w:val="99"/>
    <w:semiHidden/>
    <w:rsid w:val="0098410D"/>
    <w:rPr>
      <w:sz w:val="20"/>
      <w:szCs w:val="20"/>
    </w:rPr>
  </w:style>
  <w:style w:type="character" w:customStyle="1" w:styleId="EndnoteTextChar">
    <w:name w:val="Endnote Text Char"/>
    <w:basedOn w:val="DefaultParagraphFont"/>
    <w:link w:val="EndnoteText"/>
    <w:uiPriority w:val="99"/>
    <w:semiHidden/>
    <w:rsid w:val="0098410D"/>
    <w:rPr>
      <w:rFonts w:eastAsiaTheme="minorEastAsia"/>
      <w:sz w:val="20"/>
      <w:szCs w:val="20"/>
    </w:rPr>
  </w:style>
  <w:style w:type="paragraph" w:styleId="EnvelopeAddress">
    <w:name w:val="envelope address"/>
    <w:basedOn w:val="Normal"/>
    <w:uiPriority w:val="99"/>
    <w:semiHidden/>
    <w:rsid w:val="0098410D"/>
    <w:pPr>
      <w:framePr w:w="7938" w:h="1985" w:hRule="exact" w:hSpace="141" w:wrap="auto" w:hAnchor="page" w:xAlign="center" w:yAlign="bottom"/>
      <w:ind w:left="2835"/>
    </w:pPr>
    <w:rPr>
      <w:rFonts w:asciiTheme="majorHAnsi" w:eastAsiaTheme="majorEastAsia" w:hAnsiTheme="majorHAnsi" w:cstheme="majorBidi"/>
      <w:szCs w:val="24"/>
    </w:rPr>
  </w:style>
  <w:style w:type="paragraph" w:styleId="EnvelopeReturn">
    <w:name w:val="envelope return"/>
    <w:basedOn w:val="Normal"/>
    <w:uiPriority w:val="99"/>
    <w:semiHidden/>
    <w:rsid w:val="0098410D"/>
    <w:rPr>
      <w:rFonts w:asciiTheme="majorHAnsi" w:eastAsiaTheme="majorEastAsia" w:hAnsiTheme="majorHAnsi" w:cstheme="majorBidi"/>
      <w:sz w:val="20"/>
      <w:szCs w:val="20"/>
    </w:rPr>
  </w:style>
  <w:style w:type="character" w:styleId="FollowedHyperlink">
    <w:name w:val="FollowedHyperlink"/>
    <w:basedOn w:val="DefaultParagraphFont"/>
    <w:uiPriority w:val="99"/>
    <w:semiHidden/>
    <w:rsid w:val="0098410D"/>
    <w:rPr>
      <w:color w:val="7030A0" w:themeColor="followedHyperlink"/>
      <w:u w:val="single"/>
    </w:rPr>
  </w:style>
  <w:style w:type="character" w:styleId="HTMLAcronym">
    <w:name w:val="HTML Acronym"/>
    <w:basedOn w:val="DefaultParagraphFont"/>
    <w:uiPriority w:val="99"/>
    <w:semiHidden/>
    <w:rsid w:val="0098410D"/>
  </w:style>
  <w:style w:type="paragraph" w:styleId="HTMLAddress">
    <w:name w:val="HTML Address"/>
    <w:basedOn w:val="Normal"/>
    <w:link w:val="HTMLAddressChar"/>
    <w:uiPriority w:val="99"/>
    <w:semiHidden/>
    <w:rsid w:val="0098410D"/>
    <w:rPr>
      <w:i/>
      <w:iCs/>
    </w:rPr>
  </w:style>
  <w:style w:type="character" w:customStyle="1" w:styleId="HTMLAddressChar">
    <w:name w:val="HTML Address Char"/>
    <w:basedOn w:val="DefaultParagraphFont"/>
    <w:link w:val="HTMLAddress"/>
    <w:uiPriority w:val="99"/>
    <w:semiHidden/>
    <w:rsid w:val="0098410D"/>
    <w:rPr>
      <w:rFonts w:eastAsiaTheme="minorEastAsia"/>
      <w:i/>
      <w:iCs/>
      <w:sz w:val="24"/>
    </w:rPr>
  </w:style>
  <w:style w:type="character" w:styleId="HTMLCite">
    <w:name w:val="HTML Cite"/>
    <w:basedOn w:val="DefaultParagraphFont"/>
    <w:uiPriority w:val="99"/>
    <w:semiHidden/>
    <w:rsid w:val="0098410D"/>
    <w:rPr>
      <w:i/>
      <w:iCs/>
    </w:rPr>
  </w:style>
  <w:style w:type="character" w:styleId="HTMLCode">
    <w:name w:val="HTML Code"/>
    <w:basedOn w:val="DefaultParagraphFont"/>
    <w:uiPriority w:val="99"/>
    <w:semiHidden/>
    <w:rsid w:val="0098410D"/>
    <w:rPr>
      <w:rFonts w:ascii="Consolas" w:hAnsi="Consolas" w:cs="Consolas"/>
      <w:sz w:val="20"/>
      <w:szCs w:val="20"/>
    </w:rPr>
  </w:style>
  <w:style w:type="character" w:styleId="HTMLDefinition">
    <w:name w:val="HTML Definition"/>
    <w:basedOn w:val="DefaultParagraphFont"/>
    <w:uiPriority w:val="99"/>
    <w:semiHidden/>
    <w:rsid w:val="0098410D"/>
    <w:rPr>
      <w:i/>
      <w:iCs/>
    </w:rPr>
  </w:style>
  <w:style w:type="character" w:styleId="HTMLKeyboard">
    <w:name w:val="HTML Keyboard"/>
    <w:basedOn w:val="DefaultParagraphFont"/>
    <w:uiPriority w:val="99"/>
    <w:semiHidden/>
    <w:rsid w:val="0098410D"/>
    <w:rPr>
      <w:rFonts w:ascii="Consolas" w:hAnsi="Consolas" w:cs="Consolas"/>
      <w:sz w:val="20"/>
      <w:szCs w:val="20"/>
    </w:rPr>
  </w:style>
  <w:style w:type="paragraph" w:styleId="HTMLPreformatted">
    <w:name w:val="HTML Preformatted"/>
    <w:basedOn w:val="Normal"/>
    <w:link w:val="HTMLPreformattedChar"/>
    <w:uiPriority w:val="99"/>
    <w:semiHidden/>
    <w:rsid w:val="0098410D"/>
    <w:rPr>
      <w:rFonts w:ascii="Consolas" w:hAnsi="Consolas" w:cs="Consolas"/>
      <w:sz w:val="20"/>
      <w:szCs w:val="20"/>
    </w:rPr>
  </w:style>
  <w:style w:type="character" w:customStyle="1" w:styleId="HTMLPreformattedChar">
    <w:name w:val="HTML Preformatted Char"/>
    <w:basedOn w:val="DefaultParagraphFont"/>
    <w:link w:val="HTMLPreformatted"/>
    <w:uiPriority w:val="99"/>
    <w:semiHidden/>
    <w:rsid w:val="0098410D"/>
    <w:rPr>
      <w:rFonts w:ascii="Consolas" w:eastAsiaTheme="minorEastAsia" w:hAnsi="Consolas" w:cs="Consolas"/>
      <w:sz w:val="20"/>
      <w:szCs w:val="20"/>
    </w:rPr>
  </w:style>
  <w:style w:type="character" w:styleId="HTMLSample">
    <w:name w:val="HTML Sample"/>
    <w:basedOn w:val="DefaultParagraphFont"/>
    <w:uiPriority w:val="99"/>
    <w:semiHidden/>
    <w:rsid w:val="0098410D"/>
    <w:rPr>
      <w:rFonts w:ascii="Consolas" w:hAnsi="Consolas" w:cs="Consolas"/>
      <w:sz w:val="24"/>
      <w:szCs w:val="24"/>
    </w:rPr>
  </w:style>
  <w:style w:type="character" w:styleId="HTMLTypewriter">
    <w:name w:val="HTML Typewriter"/>
    <w:basedOn w:val="DefaultParagraphFont"/>
    <w:uiPriority w:val="99"/>
    <w:semiHidden/>
    <w:rsid w:val="0098410D"/>
    <w:rPr>
      <w:rFonts w:ascii="Consolas" w:hAnsi="Consolas" w:cs="Consolas"/>
      <w:sz w:val="20"/>
      <w:szCs w:val="20"/>
    </w:rPr>
  </w:style>
  <w:style w:type="character" w:styleId="HTMLVariable">
    <w:name w:val="HTML Variable"/>
    <w:basedOn w:val="DefaultParagraphFont"/>
    <w:uiPriority w:val="99"/>
    <w:semiHidden/>
    <w:rsid w:val="0098410D"/>
    <w:rPr>
      <w:i/>
      <w:iCs/>
    </w:rPr>
  </w:style>
  <w:style w:type="paragraph" w:styleId="Index1">
    <w:name w:val="index 1"/>
    <w:basedOn w:val="Normal"/>
    <w:next w:val="Normal"/>
    <w:autoRedefine/>
    <w:uiPriority w:val="99"/>
    <w:semiHidden/>
    <w:rsid w:val="0098410D"/>
    <w:pPr>
      <w:ind w:left="240" w:hanging="240"/>
    </w:pPr>
  </w:style>
  <w:style w:type="paragraph" w:styleId="Index2">
    <w:name w:val="index 2"/>
    <w:basedOn w:val="Normal"/>
    <w:next w:val="Normal"/>
    <w:autoRedefine/>
    <w:uiPriority w:val="99"/>
    <w:semiHidden/>
    <w:rsid w:val="0098410D"/>
    <w:pPr>
      <w:ind w:left="480" w:hanging="240"/>
    </w:pPr>
  </w:style>
  <w:style w:type="paragraph" w:styleId="Index3">
    <w:name w:val="index 3"/>
    <w:basedOn w:val="Normal"/>
    <w:next w:val="Normal"/>
    <w:autoRedefine/>
    <w:uiPriority w:val="99"/>
    <w:semiHidden/>
    <w:rsid w:val="0098410D"/>
    <w:pPr>
      <w:ind w:left="720" w:hanging="240"/>
    </w:pPr>
  </w:style>
  <w:style w:type="paragraph" w:styleId="Index4">
    <w:name w:val="index 4"/>
    <w:basedOn w:val="Normal"/>
    <w:next w:val="Normal"/>
    <w:autoRedefine/>
    <w:uiPriority w:val="99"/>
    <w:semiHidden/>
    <w:rsid w:val="0098410D"/>
    <w:pPr>
      <w:ind w:left="960" w:hanging="240"/>
    </w:pPr>
  </w:style>
  <w:style w:type="paragraph" w:styleId="Index5">
    <w:name w:val="index 5"/>
    <w:basedOn w:val="Normal"/>
    <w:next w:val="Normal"/>
    <w:autoRedefine/>
    <w:uiPriority w:val="99"/>
    <w:semiHidden/>
    <w:rsid w:val="0098410D"/>
    <w:pPr>
      <w:ind w:left="1200" w:hanging="240"/>
    </w:pPr>
  </w:style>
  <w:style w:type="paragraph" w:styleId="Index6">
    <w:name w:val="index 6"/>
    <w:basedOn w:val="Normal"/>
    <w:next w:val="Normal"/>
    <w:autoRedefine/>
    <w:uiPriority w:val="99"/>
    <w:semiHidden/>
    <w:rsid w:val="0098410D"/>
    <w:pPr>
      <w:ind w:left="1440" w:hanging="240"/>
    </w:pPr>
  </w:style>
  <w:style w:type="paragraph" w:styleId="Index7">
    <w:name w:val="index 7"/>
    <w:basedOn w:val="Normal"/>
    <w:next w:val="Normal"/>
    <w:autoRedefine/>
    <w:uiPriority w:val="99"/>
    <w:semiHidden/>
    <w:rsid w:val="0098410D"/>
    <w:pPr>
      <w:ind w:left="1680" w:hanging="240"/>
    </w:pPr>
  </w:style>
  <w:style w:type="paragraph" w:styleId="Index8">
    <w:name w:val="index 8"/>
    <w:basedOn w:val="Normal"/>
    <w:next w:val="Normal"/>
    <w:autoRedefine/>
    <w:uiPriority w:val="99"/>
    <w:semiHidden/>
    <w:rsid w:val="0098410D"/>
    <w:pPr>
      <w:ind w:left="1920" w:hanging="240"/>
    </w:pPr>
  </w:style>
  <w:style w:type="paragraph" w:styleId="Index9">
    <w:name w:val="index 9"/>
    <w:basedOn w:val="Normal"/>
    <w:next w:val="Normal"/>
    <w:autoRedefine/>
    <w:uiPriority w:val="99"/>
    <w:semiHidden/>
    <w:rsid w:val="0098410D"/>
    <w:pPr>
      <w:ind w:left="2160" w:hanging="240"/>
    </w:pPr>
  </w:style>
  <w:style w:type="paragraph" w:styleId="IndexHeading">
    <w:name w:val="index heading"/>
    <w:basedOn w:val="Normal"/>
    <w:next w:val="Index1"/>
    <w:uiPriority w:val="99"/>
    <w:semiHidden/>
    <w:rsid w:val="0098410D"/>
    <w:rPr>
      <w:rFonts w:asciiTheme="majorHAnsi" w:eastAsiaTheme="majorEastAsia" w:hAnsiTheme="majorHAnsi" w:cstheme="majorBidi"/>
      <w:b/>
      <w:bCs/>
    </w:rPr>
  </w:style>
  <w:style w:type="table" w:styleId="LightGrid">
    <w:name w:val="Light Grid"/>
    <w:basedOn w:val="TableNormal"/>
    <w:uiPriority w:val="99"/>
    <w:semiHidden/>
    <w:rsid w:val="0098410D"/>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99"/>
    <w:semiHidden/>
    <w:rsid w:val="0098410D"/>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18" w:space="0" w:color="0072BC" w:themeColor="accent1"/>
          <w:right w:val="single" w:sz="8" w:space="0" w:color="0072BC" w:themeColor="accent1"/>
          <w:insideH w:val="nil"/>
          <w:insideV w:val="single" w:sz="8" w:space="0" w:color="0072BC"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insideH w:val="nil"/>
          <w:insideV w:val="single" w:sz="8" w:space="0" w:color="0072BC"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shd w:val="clear" w:color="auto" w:fill="AFDFFF" w:themeFill="accent1" w:themeFillTint="3F"/>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shd w:val="clear" w:color="auto" w:fill="AFDFFF" w:themeFill="accent1" w:themeFillTint="3F"/>
      </w:tcPr>
    </w:tblStylePr>
    <w:tblStylePr w:type="band2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tcPr>
    </w:tblStylePr>
  </w:style>
  <w:style w:type="table" w:styleId="LightGrid-Accent2">
    <w:name w:val="Light Grid Accent 2"/>
    <w:basedOn w:val="TableNormal"/>
    <w:uiPriority w:val="99"/>
    <w:semiHidden/>
    <w:rsid w:val="0098410D"/>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18" w:space="0" w:color="C00000" w:themeColor="accent2"/>
          <w:right w:val="single" w:sz="8" w:space="0" w:color="C00000" w:themeColor="accent2"/>
          <w:insideH w:val="nil"/>
          <w:insideV w:val="single" w:sz="8" w:space="0" w:color="C00000"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insideH w:val="nil"/>
          <w:insideV w:val="single" w:sz="8" w:space="0" w:color="C00000"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shd w:val="clear" w:color="auto" w:fill="FFB0B0" w:themeFill="accent2" w:themeFillTint="3F"/>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shd w:val="clear" w:color="auto" w:fill="FFB0B0" w:themeFill="accent2" w:themeFillTint="3F"/>
      </w:tcPr>
    </w:tblStylePr>
    <w:tblStylePr w:type="band2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tcPr>
    </w:tblStylePr>
  </w:style>
  <w:style w:type="table" w:styleId="LightGrid-Accent3">
    <w:name w:val="Light Grid Accent 3"/>
    <w:basedOn w:val="TableNormal"/>
    <w:uiPriority w:val="99"/>
    <w:semiHidden/>
    <w:rsid w:val="0098410D"/>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18" w:space="0" w:color="5F5F5F" w:themeColor="accent3"/>
          <w:right w:val="single" w:sz="8" w:space="0" w:color="5F5F5F" w:themeColor="accent3"/>
          <w:insideH w:val="nil"/>
          <w:insideV w:val="single" w:sz="8" w:space="0" w:color="5F5F5F"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insideH w:val="nil"/>
          <w:insideV w:val="single" w:sz="8" w:space="0" w:color="5F5F5F"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shd w:val="clear" w:color="auto" w:fill="D7D7D7" w:themeFill="accent3" w:themeFillTint="3F"/>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shd w:val="clear" w:color="auto" w:fill="D7D7D7" w:themeFill="accent3" w:themeFillTint="3F"/>
      </w:tcPr>
    </w:tblStylePr>
    <w:tblStylePr w:type="band2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tcPr>
    </w:tblStylePr>
  </w:style>
  <w:style w:type="table" w:styleId="LightGrid-Accent4">
    <w:name w:val="Light Grid Accent 4"/>
    <w:basedOn w:val="TableNormal"/>
    <w:uiPriority w:val="99"/>
    <w:semiHidden/>
    <w:rsid w:val="0098410D"/>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18" w:space="0" w:color="969696" w:themeColor="accent4"/>
          <w:right w:val="single" w:sz="8" w:space="0" w:color="969696" w:themeColor="accent4"/>
          <w:insideH w:val="nil"/>
          <w:insideV w:val="single" w:sz="8" w:space="0" w:color="969696"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insideH w:val="nil"/>
          <w:insideV w:val="single" w:sz="8" w:space="0" w:color="969696"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shd w:val="clear" w:color="auto" w:fill="E5E5E5" w:themeFill="accent4" w:themeFillTint="3F"/>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shd w:val="clear" w:color="auto" w:fill="E5E5E5" w:themeFill="accent4" w:themeFillTint="3F"/>
      </w:tcPr>
    </w:tblStylePr>
    <w:tblStylePr w:type="band2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tcPr>
    </w:tblStylePr>
  </w:style>
  <w:style w:type="table" w:styleId="LightGrid-Accent5">
    <w:name w:val="Light Grid Accent 5"/>
    <w:basedOn w:val="TableNormal"/>
    <w:uiPriority w:val="99"/>
    <w:semiHidden/>
    <w:rsid w:val="0098410D"/>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18" w:space="0" w:color="5F5F5F" w:themeColor="accent5"/>
          <w:right w:val="single" w:sz="8" w:space="0" w:color="5F5F5F" w:themeColor="accent5"/>
          <w:insideH w:val="nil"/>
          <w:insideV w:val="single" w:sz="8" w:space="0" w:color="5F5F5F"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insideH w:val="nil"/>
          <w:insideV w:val="single" w:sz="8" w:space="0" w:color="5F5F5F"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shd w:val="clear" w:color="auto" w:fill="D7D7D7" w:themeFill="accent5" w:themeFillTint="3F"/>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shd w:val="clear" w:color="auto" w:fill="D7D7D7" w:themeFill="accent5" w:themeFillTint="3F"/>
      </w:tcPr>
    </w:tblStylePr>
    <w:tblStylePr w:type="band2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tcPr>
    </w:tblStylePr>
  </w:style>
  <w:style w:type="table" w:styleId="LightGrid-Accent6">
    <w:name w:val="Light Grid Accent 6"/>
    <w:basedOn w:val="TableNormal"/>
    <w:uiPriority w:val="99"/>
    <w:semiHidden/>
    <w:rsid w:val="0098410D"/>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18" w:space="0" w:color="4D4D4D" w:themeColor="accent6"/>
          <w:right w:val="single" w:sz="8" w:space="0" w:color="4D4D4D" w:themeColor="accent6"/>
          <w:insideH w:val="nil"/>
          <w:insideV w:val="single" w:sz="8" w:space="0" w:color="4D4D4D"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insideH w:val="nil"/>
          <w:insideV w:val="single" w:sz="8" w:space="0" w:color="4D4D4D"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shd w:val="clear" w:color="auto" w:fill="D3D3D3" w:themeFill="accent6" w:themeFillTint="3F"/>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shd w:val="clear" w:color="auto" w:fill="D3D3D3" w:themeFill="accent6" w:themeFillTint="3F"/>
      </w:tcPr>
    </w:tblStylePr>
    <w:tblStylePr w:type="band2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tcPr>
    </w:tblStylePr>
  </w:style>
  <w:style w:type="table" w:styleId="LightList">
    <w:name w:val="Light List"/>
    <w:basedOn w:val="TableNormal"/>
    <w:uiPriority w:val="99"/>
    <w:semiHidden/>
    <w:rsid w:val="0098410D"/>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0072BC"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99"/>
    <w:semiHidden/>
    <w:rsid w:val="0098410D"/>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pPr>
        <w:spacing w:before="0" w:after="0" w:line="240" w:lineRule="auto"/>
      </w:pPr>
      <w:rPr>
        <w:b/>
        <w:bCs/>
        <w:color w:val="0072BC" w:themeColor="background1"/>
      </w:rPr>
      <w:tblPr/>
      <w:tcPr>
        <w:shd w:val="clear" w:color="auto" w:fill="0072BC" w:themeFill="accent1"/>
      </w:tcPr>
    </w:tblStylePr>
    <w:tblStylePr w:type="lastRow">
      <w:pPr>
        <w:spacing w:before="0" w:after="0" w:line="240" w:lineRule="auto"/>
      </w:pPr>
      <w:rPr>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tcBorders>
      </w:tcPr>
    </w:tblStylePr>
    <w:tblStylePr w:type="firstCol">
      <w:rPr>
        <w:b/>
        <w:bCs/>
      </w:rPr>
    </w:tblStylePr>
    <w:tblStylePr w:type="lastCol">
      <w:rPr>
        <w:b/>
        <w:bCs/>
      </w:r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style>
  <w:style w:type="table" w:styleId="LightList-Accent2">
    <w:name w:val="Light List Accent 2"/>
    <w:basedOn w:val="TableNormal"/>
    <w:uiPriority w:val="99"/>
    <w:semiHidden/>
    <w:rsid w:val="0098410D"/>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pPr>
        <w:spacing w:before="0" w:after="0" w:line="240" w:lineRule="auto"/>
      </w:pPr>
      <w:rPr>
        <w:b/>
        <w:bCs/>
        <w:color w:val="0072BC" w:themeColor="background1"/>
      </w:rPr>
      <w:tblPr/>
      <w:tcPr>
        <w:shd w:val="clear" w:color="auto" w:fill="C00000" w:themeFill="accent2"/>
      </w:tcPr>
    </w:tblStylePr>
    <w:tblStylePr w:type="lastRow">
      <w:pPr>
        <w:spacing w:before="0" w:after="0" w:line="240" w:lineRule="auto"/>
      </w:pPr>
      <w:rPr>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tcBorders>
      </w:tcPr>
    </w:tblStylePr>
    <w:tblStylePr w:type="firstCol">
      <w:rPr>
        <w:b/>
        <w:bCs/>
      </w:rPr>
    </w:tblStylePr>
    <w:tblStylePr w:type="lastCol">
      <w:rPr>
        <w:b/>
        <w:bCs/>
      </w:r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style>
  <w:style w:type="table" w:styleId="LightList-Accent3">
    <w:name w:val="Light List Accent 3"/>
    <w:basedOn w:val="TableNormal"/>
    <w:uiPriority w:val="99"/>
    <w:semiHidden/>
    <w:rsid w:val="0098410D"/>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pPr>
        <w:spacing w:before="0" w:after="0" w:line="240" w:lineRule="auto"/>
      </w:pPr>
      <w:rPr>
        <w:b/>
        <w:bCs/>
        <w:color w:val="0072BC" w:themeColor="background1"/>
      </w:rPr>
      <w:tblPr/>
      <w:tcPr>
        <w:shd w:val="clear" w:color="auto" w:fill="5F5F5F" w:themeFill="accent3"/>
      </w:tcPr>
    </w:tblStylePr>
    <w:tblStylePr w:type="lastRow">
      <w:pPr>
        <w:spacing w:before="0" w:after="0" w:line="240" w:lineRule="auto"/>
      </w:pPr>
      <w:rPr>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tcBorders>
      </w:tcPr>
    </w:tblStylePr>
    <w:tblStylePr w:type="firstCol">
      <w:rPr>
        <w:b/>
        <w:bCs/>
      </w:rPr>
    </w:tblStylePr>
    <w:tblStylePr w:type="lastCol">
      <w:rPr>
        <w:b/>
        <w:bCs/>
      </w:r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style>
  <w:style w:type="table" w:styleId="LightList-Accent4">
    <w:name w:val="Light List Accent 4"/>
    <w:basedOn w:val="TableNormal"/>
    <w:uiPriority w:val="99"/>
    <w:semiHidden/>
    <w:rsid w:val="0098410D"/>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pPr>
        <w:spacing w:before="0" w:after="0" w:line="240" w:lineRule="auto"/>
      </w:pPr>
      <w:rPr>
        <w:b/>
        <w:bCs/>
        <w:color w:val="0072BC" w:themeColor="background1"/>
      </w:rPr>
      <w:tblPr/>
      <w:tcPr>
        <w:shd w:val="clear" w:color="auto" w:fill="969696" w:themeFill="accent4"/>
      </w:tcPr>
    </w:tblStylePr>
    <w:tblStylePr w:type="lastRow">
      <w:pPr>
        <w:spacing w:before="0" w:after="0" w:line="240" w:lineRule="auto"/>
      </w:pPr>
      <w:rPr>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tcBorders>
      </w:tcPr>
    </w:tblStylePr>
    <w:tblStylePr w:type="firstCol">
      <w:rPr>
        <w:b/>
        <w:bCs/>
      </w:rPr>
    </w:tblStylePr>
    <w:tblStylePr w:type="lastCol">
      <w:rPr>
        <w:b/>
        <w:bCs/>
      </w:r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style>
  <w:style w:type="table" w:styleId="LightList-Accent5">
    <w:name w:val="Light List Accent 5"/>
    <w:basedOn w:val="TableNormal"/>
    <w:uiPriority w:val="99"/>
    <w:semiHidden/>
    <w:rsid w:val="0098410D"/>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pPr>
        <w:spacing w:before="0" w:after="0" w:line="240" w:lineRule="auto"/>
      </w:pPr>
      <w:rPr>
        <w:b/>
        <w:bCs/>
        <w:color w:val="0072BC" w:themeColor="background1"/>
      </w:rPr>
      <w:tblPr/>
      <w:tcPr>
        <w:shd w:val="clear" w:color="auto" w:fill="5F5F5F" w:themeFill="accent5"/>
      </w:tcPr>
    </w:tblStylePr>
    <w:tblStylePr w:type="lastRow">
      <w:pPr>
        <w:spacing w:before="0" w:after="0" w:line="240" w:lineRule="auto"/>
      </w:pPr>
      <w:rPr>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tcBorders>
      </w:tcPr>
    </w:tblStylePr>
    <w:tblStylePr w:type="firstCol">
      <w:rPr>
        <w:b/>
        <w:bCs/>
      </w:rPr>
    </w:tblStylePr>
    <w:tblStylePr w:type="lastCol">
      <w:rPr>
        <w:b/>
        <w:bCs/>
      </w:r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style>
  <w:style w:type="table" w:styleId="LightList-Accent6">
    <w:name w:val="Light List Accent 6"/>
    <w:basedOn w:val="TableNormal"/>
    <w:uiPriority w:val="99"/>
    <w:semiHidden/>
    <w:rsid w:val="0098410D"/>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pPr>
        <w:spacing w:before="0" w:after="0" w:line="240" w:lineRule="auto"/>
      </w:pPr>
      <w:rPr>
        <w:b/>
        <w:bCs/>
        <w:color w:val="0072BC" w:themeColor="background1"/>
      </w:rPr>
      <w:tblPr/>
      <w:tcPr>
        <w:shd w:val="clear" w:color="auto" w:fill="4D4D4D" w:themeFill="accent6"/>
      </w:tcPr>
    </w:tblStylePr>
    <w:tblStylePr w:type="lastRow">
      <w:pPr>
        <w:spacing w:before="0" w:after="0" w:line="240" w:lineRule="auto"/>
      </w:pPr>
      <w:rPr>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tcBorders>
      </w:tcPr>
    </w:tblStylePr>
    <w:tblStylePr w:type="firstCol">
      <w:rPr>
        <w:b/>
        <w:bCs/>
      </w:rPr>
    </w:tblStylePr>
    <w:tblStylePr w:type="lastCol">
      <w:rPr>
        <w:b/>
        <w:bCs/>
      </w:r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style>
  <w:style w:type="table" w:styleId="LightShading">
    <w:name w:val="Light Shading"/>
    <w:basedOn w:val="TableNormal"/>
    <w:uiPriority w:val="99"/>
    <w:semiHidden/>
    <w:rsid w:val="0098410D"/>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99"/>
    <w:semiHidden/>
    <w:rsid w:val="0098410D"/>
    <w:rPr>
      <w:color w:val="00548C" w:themeColor="accent1" w:themeShade="BF"/>
    </w:rPr>
    <w:tblPr>
      <w:tblStyleRowBandSize w:val="1"/>
      <w:tblStyleColBandSize w:val="1"/>
      <w:tblBorders>
        <w:top w:val="single" w:sz="8" w:space="0" w:color="0072BC" w:themeColor="accent1"/>
        <w:bottom w:val="single" w:sz="8" w:space="0" w:color="0072BC" w:themeColor="accent1"/>
      </w:tblBorders>
    </w:tblPr>
    <w:tblStylePr w:type="fir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la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left w:val="nil"/>
          <w:right w:val="nil"/>
          <w:insideH w:val="nil"/>
          <w:insideV w:val="nil"/>
        </w:tcBorders>
        <w:shd w:val="clear" w:color="auto" w:fill="AFDFFF" w:themeFill="accent1" w:themeFillTint="3F"/>
      </w:tcPr>
    </w:tblStylePr>
  </w:style>
  <w:style w:type="table" w:styleId="LightShading-Accent2">
    <w:name w:val="Light Shading Accent 2"/>
    <w:basedOn w:val="TableNormal"/>
    <w:uiPriority w:val="99"/>
    <w:semiHidden/>
    <w:rsid w:val="0098410D"/>
    <w:rPr>
      <w:color w:val="8F0000" w:themeColor="accent2" w:themeShade="BF"/>
    </w:rPr>
    <w:tblPr>
      <w:tblStyleRowBandSize w:val="1"/>
      <w:tblStyleColBandSize w:val="1"/>
      <w:tblBorders>
        <w:top w:val="single" w:sz="8" w:space="0" w:color="C00000" w:themeColor="accent2"/>
        <w:bottom w:val="single" w:sz="8" w:space="0" w:color="C00000" w:themeColor="accent2"/>
      </w:tblBorders>
    </w:tblPr>
    <w:tblStylePr w:type="fir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la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left w:val="nil"/>
          <w:right w:val="nil"/>
          <w:insideH w:val="nil"/>
          <w:insideV w:val="nil"/>
        </w:tcBorders>
        <w:shd w:val="clear" w:color="auto" w:fill="FFB0B0" w:themeFill="accent2" w:themeFillTint="3F"/>
      </w:tcPr>
    </w:tblStylePr>
  </w:style>
  <w:style w:type="table" w:styleId="LightShading-Accent3">
    <w:name w:val="Light Shading Accent 3"/>
    <w:basedOn w:val="TableNormal"/>
    <w:uiPriority w:val="99"/>
    <w:semiHidden/>
    <w:rsid w:val="0098410D"/>
    <w:rPr>
      <w:color w:val="474747" w:themeColor="accent3" w:themeShade="BF"/>
    </w:rPr>
    <w:tblPr>
      <w:tblStyleRowBandSize w:val="1"/>
      <w:tblStyleColBandSize w:val="1"/>
      <w:tblBorders>
        <w:top w:val="single" w:sz="8" w:space="0" w:color="5F5F5F" w:themeColor="accent3"/>
        <w:bottom w:val="single" w:sz="8" w:space="0" w:color="5F5F5F" w:themeColor="accent3"/>
      </w:tblBorders>
    </w:tblPr>
    <w:tblStylePr w:type="fir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la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left w:val="nil"/>
          <w:right w:val="nil"/>
          <w:insideH w:val="nil"/>
          <w:insideV w:val="nil"/>
        </w:tcBorders>
        <w:shd w:val="clear" w:color="auto" w:fill="D7D7D7" w:themeFill="accent3" w:themeFillTint="3F"/>
      </w:tcPr>
    </w:tblStylePr>
  </w:style>
  <w:style w:type="table" w:styleId="LightShading-Accent4">
    <w:name w:val="Light Shading Accent 4"/>
    <w:basedOn w:val="TableNormal"/>
    <w:uiPriority w:val="99"/>
    <w:semiHidden/>
    <w:rsid w:val="0098410D"/>
    <w:rPr>
      <w:color w:val="707070" w:themeColor="accent4" w:themeShade="BF"/>
    </w:rPr>
    <w:tblPr>
      <w:tblStyleRowBandSize w:val="1"/>
      <w:tblStyleColBandSize w:val="1"/>
      <w:tblBorders>
        <w:top w:val="single" w:sz="8" w:space="0" w:color="969696" w:themeColor="accent4"/>
        <w:bottom w:val="single" w:sz="8" w:space="0" w:color="969696" w:themeColor="accent4"/>
      </w:tblBorders>
    </w:tblPr>
    <w:tblStylePr w:type="fir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la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left w:val="nil"/>
          <w:right w:val="nil"/>
          <w:insideH w:val="nil"/>
          <w:insideV w:val="nil"/>
        </w:tcBorders>
        <w:shd w:val="clear" w:color="auto" w:fill="E5E5E5" w:themeFill="accent4" w:themeFillTint="3F"/>
      </w:tcPr>
    </w:tblStylePr>
  </w:style>
  <w:style w:type="table" w:styleId="LightShading-Accent5">
    <w:name w:val="Light Shading Accent 5"/>
    <w:basedOn w:val="TableNormal"/>
    <w:uiPriority w:val="99"/>
    <w:semiHidden/>
    <w:rsid w:val="0098410D"/>
    <w:rPr>
      <w:color w:val="474747" w:themeColor="accent5" w:themeShade="BF"/>
    </w:rPr>
    <w:tblPr>
      <w:tblStyleRowBandSize w:val="1"/>
      <w:tblStyleColBandSize w:val="1"/>
      <w:tblBorders>
        <w:top w:val="single" w:sz="8" w:space="0" w:color="5F5F5F" w:themeColor="accent5"/>
        <w:bottom w:val="single" w:sz="8" w:space="0" w:color="5F5F5F" w:themeColor="accent5"/>
      </w:tblBorders>
    </w:tblPr>
    <w:tblStylePr w:type="fir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la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left w:val="nil"/>
          <w:right w:val="nil"/>
          <w:insideH w:val="nil"/>
          <w:insideV w:val="nil"/>
        </w:tcBorders>
        <w:shd w:val="clear" w:color="auto" w:fill="D7D7D7" w:themeFill="accent5" w:themeFillTint="3F"/>
      </w:tcPr>
    </w:tblStylePr>
  </w:style>
  <w:style w:type="table" w:styleId="LightShading-Accent6">
    <w:name w:val="Light Shading Accent 6"/>
    <w:basedOn w:val="TableNormal"/>
    <w:uiPriority w:val="99"/>
    <w:semiHidden/>
    <w:rsid w:val="0098410D"/>
    <w:rPr>
      <w:color w:val="393939" w:themeColor="accent6" w:themeShade="BF"/>
    </w:rPr>
    <w:tblPr>
      <w:tblStyleRowBandSize w:val="1"/>
      <w:tblStyleColBandSize w:val="1"/>
      <w:tblBorders>
        <w:top w:val="single" w:sz="8" w:space="0" w:color="4D4D4D" w:themeColor="accent6"/>
        <w:bottom w:val="single" w:sz="8" w:space="0" w:color="4D4D4D" w:themeColor="accent6"/>
      </w:tblBorders>
    </w:tblPr>
    <w:tblStylePr w:type="fir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la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left w:val="nil"/>
          <w:right w:val="nil"/>
          <w:insideH w:val="nil"/>
          <w:insideV w:val="nil"/>
        </w:tcBorders>
        <w:shd w:val="clear" w:color="auto" w:fill="D3D3D3" w:themeFill="accent6" w:themeFillTint="3F"/>
      </w:tcPr>
    </w:tblStylePr>
  </w:style>
  <w:style w:type="character" w:styleId="LineNumber">
    <w:name w:val="line number"/>
    <w:basedOn w:val="DefaultParagraphFont"/>
    <w:uiPriority w:val="99"/>
    <w:semiHidden/>
    <w:rsid w:val="0098410D"/>
  </w:style>
  <w:style w:type="paragraph" w:styleId="List">
    <w:name w:val="List"/>
    <w:basedOn w:val="Normal"/>
    <w:uiPriority w:val="99"/>
    <w:semiHidden/>
    <w:rsid w:val="0098410D"/>
    <w:pPr>
      <w:ind w:left="283" w:hanging="283"/>
      <w:contextualSpacing/>
    </w:pPr>
  </w:style>
  <w:style w:type="paragraph" w:styleId="List2">
    <w:name w:val="List 2"/>
    <w:basedOn w:val="Normal"/>
    <w:uiPriority w:val="99"/>
    <w:semiHidden/>
    <w:rsid w:val="0098410D"/>
    <w:pPr>
      <w:ind w:left="566" w:hanging="283"/>
      <w:contextualSpacing/>
    </w:pPr>
  </w:style>
  <w:style w:type="paragraph" w:styleId="List3">
    <w:name w:val="List 3"/>
    <w:basedOn w:val="Normal"/>
    <w:uiPriority w:val="99"/>
    <w:semiHidden/>
    <w:rsid w:val="0098410D"/>
    <w:pPr>
      <w:ind w:left="849" w:hanging="283"/>
      <w:contextualSpacing/>
    </w:pPr>
  </w:style>
  <w:style w:type="paragraph" w:styleId="List4">
    <w:name w:val="List 4"/>
    <w:basedOn w:val="Normal"/>
    <w:uiPriority w:val="99"/>
    <w:semiHidden/>
    <w:rsid w:val="0098410D"/>
    <w:pPr>
      <w:ind w:left="1132" w:hanging="283"/>
      <w:contextualSpacing/>
    </w:pPr>
  </w:style>
  <w:style w:type="paragraph" w:styleId="List5">
    <w:name w:val="List 5"/>
    <w:basedOn w:val="Normal"/>
    <w:uiPriority w:val="99"/>
    <w:semiHidden/>
    <w:rsid w:val="0098410D"/>
    <w:pPr>
      <w:ind w:left="1415" w:hanging="283"/>
      <w:contextualSpacing/>
    </w:pPr>
  </w:style>
  <w:style w:type="paragraph" w:styleId="ListBullet2">
    <w:name w:val="List Bullet 2"/>
    <w:basedOn w:val="Normal"/>
    <w:uiPriority w:val="99"/>
    <w:semiHidden/>
    <w:rsid w:val="0098410D"/>
    <w:pPr>
      <w:numPr>
        <w:numId w:val="13"/>
      </w:numPr>
      <w:contextualSpacing/>
    </w:pPr>
  </w:style>
  <w:style w:type="paragraph" w:styleId="ListBullet4">
    <w:name w:val="List Bullet 4"/>
    <w:basedOn w:val="Normal"/>
    <w:uiPriority w:val="99"/>
    <w:semiHidden/>
    <w:rsid w:val="0098410D"/>
    <w:pPr>
      <w:numPr>
        <w:numId w:val="14"/>
      </w:numPr>
      <w:contextualSpacing/>
    </w:pPr>
  </w:style>
  <w:style w:type="paragraph" w:styleId="ListBullet5">
    <w:name w:val="List Bullet 5"/>
    <w:basedOn w:val="Normal"/>
    <w:uiPriority w:val="99"/>
    <w:semiHidden/>
    <w:rsid w:val="0098410D"/>
    <w:pPr>
      <w:numPr>
        <w:numId w:val="15"/>
      </w:numPr>
      <w:contextualSpacing/>
    </w:pPr>
  </w:style>
  <w:style w:type="paragraph" w:styleId="ListContinue">
    <w:name w:val="List Continue"/>
    <w:basedOn w:val="Normal"/>
    <w:uiPriority w:val="99"/>
    <w:semiHidden/>
    <w:rsid w:val="0098410D"/>
    <w:pPr>
      <w:spacing w:after="120"/>
      <w:ind w:left="283"/>
      <w:contextualSpacing/>
    </w:pPr>
  </w:style>
  <w:style w:type="paragraph" w:styleId="ListContinue2">
    <w:name w:val="List Continue 2"/>
    <w:basedOn w:val="Normal"/>
    <w:uiPriority w:val="99"/>
    <w:semiHidden/>
    <w:rsid w:val="0098410D"/>
    <w:pPr>
      <w:spacing w:after="120"/>
      <w:ind w:left="566"/>
      <w:contextualSpacing/>
    </w:pPr>
  </w:style>
  <w:style w:type="paragraph" w:styleId="ListContinue3">
    <w:name w:val="List Continue 3"/>
    <w:basedOn w:val="Normal"/>
    <w:uiPriority w:val="99"/>
    <w:semiHidden/>
    <w:rsid w:val="0098410D"/>
    <w:pPr>
      <w:spacing w:after="120"/>
      <w:ind w:left="849"/>
      <w:contextualSpacing/>
    </w:pPr>
  </w:style>
  <w:style w:type="paragraph" w:styleId="ListContinue4">
    <w:name w:val="List Continue 4"/>
    <w:basedOn w:val="Normal"/>
    <w:uiPriority w:val="99"/>
    <w:semiHidden/>
    <w:rsid w:val="0098410D"/>
    <w:pPr>
      <w:spacing w:after="120"/>
      <w:ind w:left="1132"/>
      <w:contextualSpacing/>
    </w:pPr>
  </w:style>
  <w:style w:type="paragraph" w:styleId="ListContinue5">
    <w:name w:val="List Continue 5"/>
    <w:basedOn w:val="Normal"/>
    <w:uiPriority w:val="99"/>
    <w:semiHidden/>
    <w:rsid w:val="0098410D"/>
    <w:pPr>
      <w:spacing w:after="120"/>
      <w:ind w:left="1415"/>
      <w:contextualSpacing/>
    </w:pPr>
  </w:style>
  <w:style w:type="paragraph" w:styleId="ListNumber">
    <w:name w:val="List Number"/>
    <w:basedOn w:val="Normal"/>
    <w:uiPriority w:val="99"/>
    <w:semiHidden/>
    <w:rsid w:val="0098410D"/>
    <w:pPr>
      <w:numPr>
        <w:numId w:val="16"/>
      </w:numPr>
      <w:contextualSpacing/>
    </w:pPr>
  </w:style>
  <w:style w:type="paragraph" w:styleId="ListNumber2">
    <w:name w:val="List Number 2"/>
    <w:basedOn w:val="Normal"/>
    <w:uiPriority w:val="99"/>
    <w:semiHidden/>
    <w:rsid w:val="0098410D"/>
    <w:pPr>
      <w:numPr>
        <w:numId w:val="17"/>
      </w:numPr>
      <w:contextualSpacing/>
    </w:pPr>
  </w:style>
  <w:style w:type="paragraph" w:styleId="ListNumber3">
    <w:name w:val="List Number 3"/>
    <w:basedOn w:val="Normal"/>
    <w:uiPriority w:val="99"/>
    <w:semiHidden/>
    <w:rsid w:val="0098410D"/>
    <w:pPr>
      <w:numPr>
        <w:numId w:val="18"/>
      </w:numPr>
      <w:contextualSpacing/>
    </w:pPr>
  </w:style>
  <w:style w:type="paragraph" w:styleId="ListNumber4">
    <w:name w:val="List Number 4"/>
    <w:basedOn w:val="Normal"/>
    <w:uiPriority w:val="99"/>
    <w:semiHidden/>
    <w:rsid w:val="0098410D"/>
    <w:pPr>
      <w:numPr>
        <w:numId w:val="19"/>
      </w:numPr>
      <w:contextualSpacing/>
    </w:pPr>
  </w:style>
  <w:style w:type="paragraph" w:styleId="ListNumber5">
    <w:name w:val="List Number 5"/>
    <w:basedOn w:val="Normal"/>
    <w:uiPriority w:val="99"/>
    <w:semiHidden/>
    <w:rsid w:val="0098410D"/>
    <w:pPr>
      <w:numPr>
        <w:numId w:val="20"/>
      </w:numPr>
      <w:contextualSpacing/>
    </w:pPr>
  </w:style>
  <w:style w:type="paragraph" w:styleId="MacroText">
    <w:name w:val="macro"/>
    <w:link w:val="MacroTextChar"/>
    <w:uiPriority w:val="99"/>
    <w:semiHidden/>
    <w:rsid w:val="0098410D"/>
    <w:pPr>
      <w:tabs>
        <w:tab w:val="left" w:pos="480"/>
        <w:tab w:val="left" w:pos="960"/>
        <w:tab w:val="left" w:pos="1440"/>
        <w:tab w:val="left" w:pos="1920"/>
        <w:tab w:val="left" w:pos="2400"/>
        <w:tab w:val="left" w:pos="2880"/>
        <w:tab w:val="left" w:pos="3360"/>
        <w:tab w:val="left" w:pos="3840"/>
        <w:tab w:val="left" w:pos="4320"/>
      </w:tabs>
      <w:jc w:val="both"/>
    </w:pPr>
    <w:rPr>
      <w:rFonts w:ascii="Consolas" w:eastAsiaTheme="minorEastAsia" w:hAnsi="Consolas" w:cs="Consolas"/>
      <w:sz w:val="20"/>
      <w:szCs w:val="20"/>
    </w:rPr>
  </w:style>
  <w:style w:type="character" w:customStyle="1" w:styleId="MacroTextChar">
    <w:name w:val="Macro Text Char"/>
    <w:basedOn w:val="DefaultParagraphFont"/>
    <w:link w:val="MacroText"/>
    <w:uiPriority w:val="99"/>
    <w:semiHidden/>
    <w:rsid w:val="0098410D"/>
    <w:rPr>
      <w:rFonts w:ascii="Consolas" w:eastAsiaTheme="minorEastAsia" w:hAnsi="Consolas" w:cs="Consolas"/>
      <w:sz w:val="20"/>
      <w:szCs w:val="20"/>
    </w:rPr>
  </w:style>
  <w:style w:type="table" w:styleId="MediumGrid1">
    <w:name w:val="Medium Grid 1"/>
    <w:basedOn w:val="TableNormal"/>
    <w:uiPriority w:val="99"/>
    <w:semiHidden/>
    <w:rsid w:val="0098410D"/>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99"/>
    <w:semiHidden/>
    <w:rsid w:val="0098410D"/>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insideV w:val="single" w:sz="8" w:space="0" w:color="0D9FFF" w:themeColor="accent1" w:themeTint="BF"/>
      </w:tblBorders>
    </w:tblPr>
    <w:tcPr>
      <w:shd w:val="clear" w:color="auto" w:fill="AFDFFF" w:themeFill="accent1" w:themeFillTint="3F"/>
    </w:tcPr>
    <w:tblStylePr w:type="firstRow">
      <w:rPr>
        <w:b/>
        <w:bCs/>
      </w:rPr>
    </w:tblStylePr>
    <w:tblStylePr w:type="lastRow">
      <w:rPr>
        <w:b/>
        <w:bCs/>
      </w:rPr>
      <w:tblPr/>
      <w:tcPr>
        <w:tcBorders>
          <w:top w:val="single" w:sz="18" w:space="0" w:color="0D9FFF" w:themeColor="accent1" w:themeTint="BF"/>
        </w:tcBorders>
      </w:tcPr>
    </w:tblStylePr>
    <w:tblStylePr w:type="firstCol">
      <w:rPr>
        <w:b/>
        <w:bCs/>
      </w:rPr>
    </w:tblStylePr>
    <w:tblStylePr w:type="lastCol">
      <w:rPr>
        <w:b/>
        <w:bCs/>
      </w:r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MediumGrid1-Accent2">
    <w:name w:val="Medium Grid 1 Accent 2"/>
    <w:basedOn w:val="TableNormal"/>
    <w:uiPriority w:val="99"/>
    <w:semiHidden/>
    <w:rsid w:val="0098410D"/>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insideV w:val="single" w:sz="8" w:space="0" w:color="FF1010" w:themeColor="accent2" w:themeTint="BF"/>
      </w:tblBorders>
    </w:tblPr>
    <w:tcPr>
      <w:shd w:val="clear" w:color="auto" w:fill="FFB0B0" w:themeFill="accent2" w:themeFillTint="3F"/>
    </w:tcPr>
    <w:tblStylePr w:type="firstRow">
      <w:rPr>
        <w:b/>
        <w:bCs/>
      </w:rPr>
    </w:tblStylePr>
    <w:tblStylePr w:type="lastRow">
      <w:rPr>
        <w:b/>
        <w:bCs/>
      </w:rPr>
      <w:tblPr/>
      <w:tcPr>
        <w:tcBorders>
          <w:top w:val="single" w:sz="18" w:space="0" w:color="FF1010" w:themeColor="accent2" w:themeTint="BF"/>
        </w:tcBorders>
      </w:tcPr>
    </w:tblStylePr>
    <w:tblStylePr w:type="firstCol">
      <w:rPr>
        <w:b/>
        <w:bCs/>
      </w:rPr>
    </w:tblStylePr>
    <w:tblStylePr w:type="lastCol">
      <w:rPr>
        <w:b/>
        <w:bCs/>
      </w:r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MediumGrid1-Accent3">
    <w:name w:val="Medium Grid 1 Accent 3"/>
    <w:basedOn w:val="TableNormal"/>
    <w:uiPriority w:val="99"/>
    <w:semiHidden/>
    <w:rsid w:val="0098410D"/>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insideV w:val="single" w:sz="8" w:space="0" w:color="878787" w:themeColor="accent3" w:themeTint="BF"/>
      </w:tblBorders>
    </w:tblPr>
    <w:tcPr>
      <w:shd w:val="clear" w:color="auto" w:fill="D7D7D7" w:themeFill="accent3" w:themeFillTint="3F"/>
    </w:tcPr>
    <w:tblStylePr w:type="firstRow">
      <w:rPr>
        <w:b/>
        <w:bCs/>
      </w:rPr>
    </w:tblStylePr>
    <w:tblStylePr w:type="lastRow">
      <w:rPr>
        <w:b/>
        <w:bCs/>
      </w:rPr>
      <w:tblPr/>
      <w:tcPr>
        <w:tcBorders>
          <w:top w:val="single" w:sz="18" w:space="0" w:color="878787" w:themeColor="accent3" w:themeTint="BF"/>
        </w:tcBorders>
      </w:tcPr>
    </w:tblStylePr>
    <w:tblStylePr w:type="firstCol">
      <w:rPr>
        <w:b/>
        <w:bCs/>
      </w:rPr>
    </w:tblStylePr>
    <w:tblStylePr w:type="lastCol">
      <w:rPr>
        <w:b/>
        <w:bCs/>
      </w:r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MediumGrid1-Accent4">
    <w:name w:val="Medium Grid 1 Accent 4"/>
    <w:basedOn w:val="TableNormal"/>
    <w:uiPriority w:val="99"/>
    <w:semiHidden/>
    <w:rsid w:val="0098410D"/>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insideV w:val="single" w:sz="8" w:space="0" w:color="B0B0B0" w:themeColor="accent4" w:themeTint="BF"/>
      </w:tblBorders>
    </w:tblPr>
    <w:tcPr>
      <w:shd w:val="clear" w:color="auto" w:fill="E5E5E5" w:themeFill="accent4" w:themeFillTint="3F"/>
    </w:tcPr>
    <w:tblStylePr w:type="firstRow">
      <w:rPr>
        <w:b/>
        <w:bCs/>
      </w:rPr>
    </w:tblStylePr>
    <w:tblStylePr w:type="lastRow">
      <w:rPr>
        <w:b/>
        <w:bCs/>
      </w:rPr>
      <w:tblPr/>
      <w:tcPr>
        <w:tcBorders>
          <w:top w:val="single" w:sz="18" w:space="0" w:color="B0B0B0" w:themeColor="accent4" w:themeTint="BF"/>
        </w:tcBorders>
      </w:tcPr>
    </w:tblStylePr>
    <w:tblStylePr w:type="firstCol">
      <w:rPr>
        <w:b/>
        <w:bCs/>
      </w:rPr>
    </w:tblStylePr>
    <w:tblStylePr w:type="lastCol">
      <w:rPr>
        <w:b/>
        <w:bCs/>
      </w:r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MediumGrid1-Accent5">
    <w:name w:val="Medium Grid 1 Accent 5"/>
    <w:basedOn w:val="TableNormal"/>
    <w:uiPriority w:val="99"/>
    <w:semiHidden/>
    <w:rsid w:val="0098410D"/>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insideV w:val="single" w:sz="8" w:space="0" w:color="878787" w:themeColor="accent5" w:themeTint="BF"/>
      </w:tblBorders>
    </w:tblPr>
    <w:tcPr>
      <w:shd w:val="clear" w:color="auto" w:fill="D7D7D7" w:themeFill="accent5" w:themeFillTint="3F"/>
    </w:tcPr>
    <w:tblStylePr w:type="firstRow">
      <w:rPr>
        <w:b/>
        <w:bCs/>
      </w:rPr>
    </w:tblStylePr>
    <w:tblStylePr w:type="lastRow">
      <w:rPr>
        <w:b/>
        <w:bCs/>
      </w:rPr>
      <w:tblPr/>
      <w:tcPr>
        <w:tcBorders>
          <w:top w:val="single" w:sz="18" w:space="0" w:color="878787" w:themeColor="accent5" w:themeTint="BF"/>
        </w:tcBorders>
      </w:tcPr>
    </w:tblStylePr>
    <w:tblStylePr w:type="firstCol">
      <w:rPr>
        <w:b/>
        <w:bCs/>
      </w:rPr>
    </w:tblStylePr>
    <w:tblStylePr w:type="lastCol">
      <w:rPr>
        <w:b/>
        <w:bCs/>
      </w:r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MediumGrid1-Accent6">
    <w:name w:val="Medium Grid 1 Accent 6"/>
    <w:basedOn w:val="TableNormal"/>
    <w:uiPriority w:val="99"/>
    <w:semiHidden/>
    <w:rsid w:val="0098410D"/>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insideV w:val="single" w:sz="8" w:space="0" w:color="797979" w:themeColor="accent6" w:themeTint="BF"/>
      </w:tblBorders>
    </w:tblPr>
    <w:tcPr>
      <w:shd w:val="clear" w:color="auto" w:fill="D3D3D3" w:themeFill="accent6" w:themeFillTint="3F"/>
    </w:tcPr>
    <w:tblStylePr w:type="firstRow">
      <w:rPr>
        <w:b/>
        <w:bCs/>
      </w:rPr>
    </w:tblStylePr>
    <w:tblStylePr w:type="lastRow">
      <w:rPr>
        <w:b/>
        <w:bCs/>
      </w:rPr>
      <w:tblPr/>
      <w:tcPr>
        <w:tcBorders>
          <w:top w:val="single" w:sz="18" w:space="0" w:color="797979" w:themeColor="accent6" w:themeTint="BF"/>
        </w:tcBorders>
      </w:tcPr>
    </w:tblStylePr>
    <w:tblStylePr w:type="firstCol">
      <w:rPr>
        <w:b/>
        <w:bCs/>
      </w:rPr>
    </w:tblStylePr>
    <w:tblStylePr w:type="lastCol">
      <w:rPr>
        <w:b/>
        <w:bCs/>
      </w:r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MediumGrid2">
    <w:name w:val="Medium Grid 2"/>
    <w:basedOn w:val="TableNormal"/>
    <w:uiPriority w:val="99"/>
    <w:semiHidden/>
    <w:rsid w:val="0098410D"/>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0072BC" w:themeFill="background1"/>
      </w:tcPr>
    </w:tblStylePr>
  </w:style>
  <w:style w:type="table" w:styleId="MediumGrid2-Accent1">
    <w:name w:val="Medium Grid 2 Accent 1"/>
    <w:basedOn w:val="TableNormal"/>
    <w:uiPriority w:val="99"/>
    <w:semiHidden/>
    <w:rsid w:val="0098410D"/>
    <w:rPr>
      <w:rFonts w:asciiTheme="majorHAnsi" w:eastAsiaTheme="majorEastAsia" w:hAnsiTheme="majorHAnsi" w:cstheme="majorBidi"/>
      <w:color w:val="000000" w:themeColor="text1"/>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cPr>
      <w:shd w:val="clear" w:color="auto" w:fill="AFDFFF" w:themeFill="accent1" w:themeFillTint="3F"/>
    </w:tcPr>
    <w:tblStylePr w:type="firstRow">
      <w:rPr>
        <w:b/>
        <w:bCs/>
        <w:color w:val="000000" w:themeColor="text1"/>
      </w:rPr>
      <w:tblPr/>
      <w:tcPr>
        <w:shd w:val="clear" w:color="auto" w:fill="DFF2FF"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BEE5FF" w:themeFill="accent1" w:themeFillTint="33"/>
      </w:tcPr>
    </w:tblStylePr>
    <w:tblStylePr w:type="band1Vert">
      <w:tblPr/>
      <w:tcPr>
        <w:shd w:val="clear" w:color="auto" w:fill="5EBFFF" w:themeFill="accent1" w:themeFillTint="7F"/>
      </w:tcPr>
    </w:tblStylePr>
    <w:tblStylePr w:type="band1Horz">
      <w:tblPr/>
      <w:tcPr>
        <w:tcBorders>
          <w:insideH w:val="single" w:sz="6" w:space="0" w:color="0072BC" w:themeColor="accent1"/>
          <w:insideV w:val="single" w:sz="6" w:space="0" w:color="0072BC" w:themeColor="accent1"/>
        </w:tcBorders>
        <w:shd w:val="clear" w:color="auto" w:fill="5EBFFF" w:themeFill="accent1" w:themeFillTint="7F"/>
      </w:tcPr>
    </w:tblStylePr>
    <w:tblStylePr w:type="nwCell">
      <w:tblPr/>
      <w:tcPr>
        <w:shd w:val="clear" w:color="auto" w:fill="0072BC" w:themeFill="background1"/>
      </w:tcPr>
    </w:tblStylePr>
  </w:style>
  <w:style w:type="table" w:styleId="MediumGrid2-Accent2">
    <w:name w:val="Medium Grid 2 Accent 2"/>
    <w:basedOn w:val="TableNormal"/>
    <w:uiPriority w:val="99"/>
    <w:semiHidden/>
    <w:rsid w:val="0098410D"/>
    <w:rPr>
      <w:rFonts w:asciiTheme="majorHAnsi" w:eastAsiaTheme="majorEastAsia" w:hAnsiTheme="majorHAnsi" w:cstheme="majorBidi"/>
      <w:color w:val="000000" w:themeColor="text1"/>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cPr>
      <w:shd w:val="clear" w:color="auto" w:fill="FFB0B0" w:themeFill="accent2" w:themeFillTint="3F"/>
    </w:tcPr>
    <w:tblStylePr w:type="firstRow">
      <w:rPr>
        <w:b/>
        <w:bCs/>
        <w:color w:val="000000" w:themeColor="text1"/>
      </w:rPr>
      <w:tblPr/>
      <w:tcPr>
        <w:shd w:val="clear" w:color="auto" w:fill="FFDFDF"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BFBF" w:themeFill="accent2" w:themeFillTint="33"/>
      </w:tcPr>
    </w:tblStylePr>
    <w:tblStylePr w:type="band1Vert">
      <w:tblPr/>
      <w:tcPr>
        <w:shd w:val="clear" w:color="auto" w:fill="FF6060" w:themeFill="accent2" w:themeFillTint="7F"/>
      </w:tcPr>
    </w:tblStylePr>
    <w:tblStylePr w:type="band1Horz">
      <w:tblPr/>
      <w:tcPr>
        <w:tcBorders>
          <w:insideH w:val="single" w:sz="6" w:space="0" w:color="C00000" w:themeColor="accent2"/>
          <w:insideV w:val="single" w:sz="6" w:space="0" w:color="C00000" w:themeColor="accent2"/>
        </w:tcBorders>
        <w:shd w:val="clear" w:color="auto" w:fill="FF6060" w:themeFill="accent2" w:themeFillTint="7F"/>
      </w:tcPr>
    </w:tblStylePr>
    <w:tblStylePr w:type="nwCell">
      <w:tblPr/>
      <w:tcPr>
        <w:shd w:val="clear" w:color="auto" w:fill="0072BC" w:themeFill="background1"/>
      </w:tcPr>
    </w:tblStylePr>
  </w:style>
  <w:style w:type="table" w:styleId="MediumGrid2-Accent3">
    <w:name w:val="Medium Grid 2 Accent 3"/>
    <w:basedOn w:val="TableNormal"/>
    <w:uiPriority w:val="99"/>
    <w:semiHidden/>
    <w:rsid w:val="0098410D"/>
    <w:rPr>
      <w:rFonts w:asciiTheme="majorHAnsi" w:eastAsiaTheme="majorEastAsia" w:hAnsiTheme="majorHAnsi" w:cstheme="majorBidi"/>
      <w:color w:val="000000" w:themeColor="text1"/>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cPr>
      <w:shd w:val="clear" w:color="auto" w:fill="D7D7D7" w:themeFill="accent3" w:themeFillTint="3F"/>
    </w:tcPr>
    <w:tblStylePr w:type="firstRow">
      <w:rPr>
        <w:b/>
        <w:bCs/>
        <w:color w:val="000000" w:themeColor="text1"/>
      </w:rPr>
      <w:tblPr/>
      <w:tcPr>
        <w:shd w:val="clear" w:color="auto" w:fill="EFEFEF"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3" w:themeFillTint="33"/>
      </w:tcPr>
    </w:tblStylePr>
    <w:tblStylePr w:type="band1Vert">
      <w:tblPr/>
      <w:tcPr>
        <w:shd w:val="clear" w:color="auto" w:fill="AFAFAF" w:themeFill="accent3" w:themeFillTint="7F"/>
      </w:tcPr>
    </w:tblStylePr>
    <w:tblStylePr w:type="band1Horz">
      <w:tblPr/>
      <w:tcPr>
        <w:tcBorders>
          <w:insideH w:val="single" w:sz="6" w:space="0" w:color="5F5F5F" w:themeColor="accent3"/>
          <w:insideV w:val="single" w:sz="6" w:space="0" w:color="5F5F5F" w:themeColor="accent3"/>
        </w:tcBorders>
        <w:shd w:val="clear" w:color="auto" w:fill="AFAFAF" w:themeFill="accent3" w:themeFillTint="7F"/>
      </w:tcPr>
    </w:tblStylePr>
    <w:tblStylePr w:type="nwCell">
      <w:tblPr/>
      <w:tcPr>
        <w:shd w:val="clear" w:color="auto" w:fill="0072BC" w:themeFill="background1"/>
      </w:tcPr>
    </w:tblStylePr>
  </w:style>
  <w:style w:type="table" w:styleId="MediumGrid2-Accent4">
    <w:name w:val="Medium Grid 2 Accent 4"/>
    <w:basedOn w:val="TableNormal"/>
    <w:uiPriority w:val="99"/>
    <w:semiHidden/>
    <w:rsid w:val="0098410D"/>
    <w:rPr>
      <w:rFonts w:asciiTheme="majorHAnsi" w:eastAsiaTheme="majorEastAsia" w:hAnsiTheme="majorHAnsi" w:cstheme="majorBidi"/>
      <w:color w:val="000000" w:themeColor="text1"/>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cPr>
      <w:shd w:val="clear" w:color="auto" w:fill="E5E5E5" w:themeFill="accent4" w:themeFillTint="3F"/>
    </w:tcPr>
    <w:tblStylePr w:type="firstRow">
      <w:rPr>
        <w:b/>
        <w:bCs/>
        <w:color w:val="000000" w:themeColor="text1"/>
      </w:rPr>
      <w:tblPr/>
      <w:tcPr>
        <w:shd w:val="clear" w:color="auto" w:fill="F4F4F4"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EAEA" w:themeFill="accent4" w:themeFillTint="33"/>
      </w:tcPr>
    </w:tblStylePr>
    <w:tblStylePr w:type="band1Vert">
      <w:tblPr/>
      <w:tcPr>
        <w:shd w:val="clear" w:color="auto" w:fill="CACACA" w:themeFill="accent4" w:themeFillTint="7F"/>
      </w:tcPr>
    </w:tblStylePr>
    <w:tblStylePr w:type="band1Horz">
      <w:tblPr/>
      <w:tcPr>
        <w:tcBorders>
          <w:insideH w:val="single" w:sz="6" w:space="0" w:color="969696" w:themeColor="accent4"/>
          <w:insideV w:val="single" w:sz="6" w:space="0" w:color="969696" w:themeColor="accent4"/>
        </w:tcBorders>
        <w:shd w:val="clear" w:color="auto" w:fill="CACACA" w:themeFill="accent4" w:themeFillTint="7F"/>
      </w:tcPr>
    </w:tblStylePr>
    <w:tblStylePr w:type="nwCell">
      <w:tblPr/>
      <w:tcPr>
        <w:shd w:val="clear" w:color="auto" w:fill="0072BC" w:themeFill="background1"/>
      </w:tcPr>
    </w:tblStylePr>
  </w:style>
  <w:style w:type="table" w:styleId="MediumGrid2-Accent5">
    <w:name w:val="Medium Grid 2 Accent 5"/>
    <w:basedOn w:val="TableNormal"/>
    <w:uiPriority w:val="99"/>
    <w:semiHidden/>
    <w:rsid w:val="0098410D"/>
    <w:rPr>
      <w:rFonts w:asciiTheme="majorHAnsi" w:eastAsiaTheme="majorEastAsia" w:hAnsiTheme="majorHAnsi" w:cstheme="majorBidi"/>
      <w:color w:val="000000" w:themeColor="text1"/>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cPr>
      <w:shd w:val="clear" w:color="auto" w:fill="D7D7D7" w:themeFill="accent5" w:themeFillTint="3F"/>
    </w:tcPr>
    <w:tblStylePr w:type="firstRow">
      <w:rPr>
        <w:b/>
        <w:bCs/>
        <w:color w:val="000000" w:themeColor="text1"/>
      </w:rPr>
      <w:tblPr/>
      <w:tcPr>
        <w:shd w:val="clear" w:color="auto" w:fill="EFEFEF"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5" w:themeFillTint="33"/>
      </w:tcPr>
    </w:tblStylePr>
    <w:tblStylePr w:type="band1Vert">
      <w:tblPr/>
      <w:tcPr>
        <w:shd w:val="clear" w:color="auto" w:fill="AFAFAF" w:themeFill="accent5" w:themeFillTint="7F"/>
      </w:tcPr>
    </w:tblStylePr>
    <w:tblStylePr w:type="band1Horz">
      <w:tblPr/>
      <w:tcPr>
        <w:tcBorders>
          <w:insideH w:val="single" w:sz="6" w:space="0" w:color="5F5F5F" w:themeColor="accent5"/>
          <w:insideV w:val="single" w:sz="6" w:space="0" w:color="5F5F5F" w:themeColor="accent5"/>
        </w:tcBorders>
        <w:shd w:val="clear" w:color="auto" w:fill="AFAFAF" w:themeFill="accent5" w:themeFillTint="7F"/>
      </w:tcPr>
    </w:tblStylePr>
    <w:tblStylePr w:type="nwCell">
      <w:tblPr/>
      <w:tcPr>
        <w:shd w:val="clear" w:color="auto" w:fill="0072BC" w:themeFill="background1"/>
      </w:tcPr>
    </w:tblStylePr>
  </w:style>
  <w:style w:type="table" w:styleId="MediumGrid2-Accent6">
    <w:name w:val="Medium Grid 2 Accent 6"/>
    <w:basedOn w:val="TableNormal"/>
    <w:uiPriority w:val="99"/>
    <w:semiHidden/>
    <w:rsid w:val="0098410D"/>
    <w:rPr>
      <w:rFonts w:asciiTheme="majorHAnsi" w:eastAsiaTheme="majorEastAsia" w:hAnsiTheme="majorHAnsi" w:cstheme="majorBidi"/>
      <w:color w:val="000000" w:themeColor="text1"/>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cPr>
      <w:shd w:val="clear" w:color="auto" w:fill="D3D3D3" w:themeFill="accent6" w:themeFillTint="3F"/>
    </w:tcPr>
    <w:tblStylePr w:type="firstRow">
      <w:rPr>
        <w:b/>
        <w:bCs/>
        <w:color w:val="000000" w:themeColor="text1"/>
      </w:rPr>
      <w:tblPr/>
      <w:tcPr>
        <w:shd w:val="clear" w:color="auto" w:fill="EDEDED"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DBDB" w:themeFill="accent6" w:themeFillTint="33"/>
      </w:tcPr>
    </w:tblStylePr>
    <w:tblStylePr w:type="band1Vert">
      <w:tblPr/>
      <w:tcPr>
        <w:shd w:val="clear" w:color="auto" w:fill="A6A6A6" w:themeFill="accent6" w:themeFillTint="7F"/>
      </w:tcPr>
    </w:tblStylePr>
    <w:tblStylePr w:type="band1Horz">
      <w:tblPr/>
      <w:tcPr>
        <w:tcBorders>
          <w:insideH w:val="single" w:sz="6" w:space="0" w:color="4D4D4D" w:themeColor="accent6"/>
          <w:insideV w:val="single" w:sz="6" w:space="0" w:color="4D4D4D" w:themeColor="accent6"/>
        </w:tcBorders>
        <w:shd w:val="clear" w:color="auto" w:fill="A6A6A6" w:themeFill="accent6" w:themeFillTint="7F"/>
      </w:tcPr>
    </w:tblStylePr>
    <w:tblStylePr w:type="nwCell">
      <w:tblPr/>
      <w:tcPr>
        <w:shd w:val="clear" w:color="auto" w:fill="0072BC" w:themeFill="background1"/>
      </w:tcPr>
    </w:tblStylePr>
  </w:style>
  <w:style w:type="table" w:styleId="MediumGrid3">
    <w:name w:val="Medium Grid 3"/>
    <w:basedOn w:val="TableNormal"/>
    <w:uiPriority w:val="99"/>
    <w:semiHidden/>
    <w:rsid w:val="0098410D"/>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C0C0C0" w:themeFill="tex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0000" w:themeFill="tex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0000" w:themeFill="tex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808080" w:themeFill="tex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808080" w:themeFill="text1" w:themeFillTint="7F"/>
      </w:tcPr>
    </w:tblStylePr>
  </w:style>
  <w:style w:type="table" w:styleId="MediumGrid3-Accent1">
    <w:name w:val="Medium Grid 3 Accent 1"/>
    <w:basedOn w:val="TableNormal"/>
    <w:uiPriority w:val="99"/>
    <w:semiHidden/>
    <w:rsid w:val="0098410D"/>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AFDFFF" w:themeFill="accen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72BC" w:themeFill="accen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72BC" w:themeFill="accen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5EBFFF" w:themeFill="accen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5EBFFF" w:themeFill="accent1" w:themeFillTint="7F"/>
      </w:tcPr>
    </w:tblStylePr>
  </w:style>
  <w:style w:type="table" w:styleId="MediumGrid3-Accent2">
    <w:name w:val="Medium Grid 3 Accent 2"/>
    <w:basedOn w:val="TableNormal"/>
    <w:uiPriority w:val="99"/>
    <w:semiHidden/>
    <w:rsid w:val="0098410D"/>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FFB0B0" w:themeFill="accent2"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C00000" w:themeFill="accent2"/>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C00000" w:themeFill="accent2"/>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FF6060" w:themeFill="accent2"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FF6060" w:themeFill="accent2" w:themeFillTint="7F"/>
      </w:tcPr>
    </w:tblStylePr>
  </w:style>
  <w:style w:type="table" w:styleId="MediumGrid3-Accent3">
    <w:name w:val="Medium Grid 3 Accent 3"/>
    <w:basedOn w:val="TableNormal"/>
    <w:uiPriority w:val="99"/>
    <w:semiHidden/>
    <w:rsid w:val="0098410D"/>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3"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3"/>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3"/>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3"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3" w:themeFillTint="7F"/>
      </w:tcPr>
    </w:tblStylePr>
  </w:style>
  <w:style w:type="table" w:styleId="MediumGrid3-Accent4">
    <w:name w:val="Medium Grid 3 Accent 4"/>
    <w:basedOn w:val="TableNormal"/>
    <w:uiPriority w:val="99"/>
    <w:semiHidden/>
    <w:rsid w:val="0098410D"/>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E5E5E5" w:themeFill="accent4"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969696" w:themeFill="accent4"/>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969696" w:themeFill="accent4"/>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CACACA" w:themeFill="accent4"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CACACA" w:themeFill="accent4" w:themeFillTint="7F"/>
      </w:tcPr>
    </w:tblStylePr>
  </w:style>
  <w:style w:type="table" w:styleId="MediumGrid3-Accent5">
    <w:name w:val="Medium Grid 3 Accent 5"/>
    <w:basedOn w:val="TableNormal"/>
    <w:uiPriority w:val="99"/>
    <w:semiHidden/>
    <w:rsid w:val="0098410D"/>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5"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5"/>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5"/>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5"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5" w:themeFillTint="7F"/>
      </w:tcPr>
    </w:tblStylePr>
  </w:style>
  <w:style w:type="table" w:styleId="MediumGrid3-Accent6">
    <w:name w:val="Medium Grid 3 Accent 6"/>
    <w:basedOn w:val="TableNormal"/>
    <w:uiPriority w:val="99"/>
    <w:semiHidden/>
    <w:rsid w:val="0098410D"/>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3D3D3" w:themeFill="accent6"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4D4D4D" w:themeFill="accent6"/>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4D4D4D" w:themeFill="accent6"/>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6A6A6" w:themeFill="accent6"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6A6A6" w:themeFill="accent6" w:themeFillTint="7F"/>
      </w:tcPr>
    </w:tblStylePr>
  </w:style>
  <w:style w:type="table" w:styleId="MediumList1">
    <w:name w:val="Medium List 1"/>
    <w:basedOn w:val="TableNormal"/>
    <w:uiPriority w:val="99"/>
    <w:semiHidden/>
    <w:rsid w:val="0098410D"/>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C6C6C6"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99"/>
    <w:semiHidden/>
    <w:rsid w:val="0098410D"/>
    <w:rPr>
      <w:color w:val="000000" w:themeColor="text1"/>
    </w:rPr>
    <w:tblPr>
      <w:tblStyleRowBandSize w:val="1"/>
      <w:tblStyleColBandSize w:val="1"/>
      <w:tblBorders>
        <w:top w:val="single" w:sz="8" w:space="0" w:color="0072BC" w:themeColor="accent1"/>
        <w:bottom w:val="single" w:sz="8" w:space="0" w:color="0072BC" w:themeColor="accent1"/>
      </w:tblBorders>
    </w:tblPr>
    <w:tblStylePr w:type="firstRow">
      <w:rPr>
        <w:rFonts w:asciiTheme="majorHAnsi" w:eastAsiaTheme="majorEastAsia" w:hAnsiTheme="majorHAnsi" w:cstheme="majorBidi"/>
      </w:rPr>
      <w:tblPr/>
      <w:tcPr>
        <w:tcBorders>
          <w:top w:val="nil"/>
          <w:bottom w:val="single" w:sz="8" w:space="0" w:color="0072BC" w:themeColor="accent1"/>
        </w:tcBorders>
      </w:tcPr>
    </w:tblStylePr>
    <w:tblStylePr w:type="lastRow">
      <w:rPr>
        <w:b/>
        <w:bCs/>
        <w:color w:val="C6C6C6" w:themeColor="text2"/>
      </w:rPr>
      <w:tblPr/>
      <w:tcPr>
        <w:tcBorders>
          <w:top w:val="single" w:sz="8" w:space="0" w:color="0072BC" w:themeColor="accent1"/>
          <w:bottom w:val="single" w:sz="8" w:space="0" w:color="0072BC" w:themeColor="accent1"/>
        </w:tcBorders>
      </w:tcPr>
    </w:tblStylePr>
    <w:tblStylePr w:type="firstCol">
      <w:rPr>
        <w:b/>
        <w:bCs/>
      </w:rPr>
    </w:tblStylePr>
    <w:tblStylePr w:type="lastCol">
      <w:rPr>
        <w:b/>
        <w:bCs/>
      </w:rPr>
      <w:tblPr/>
      <w:tcPr>
        <w:tcBorders>
          <w:top w:val="single" w:sz="8" w:space="0" w:color="0072BC" w:themeColor="accent1"/>
          <w:bottom w:val="single" w:sz="8" w:space="0" w:color="0072BC" w:themeColor="accent1"/>
        </w:tcBorders>
      </w:tcPr>
    </w:tblStylePr>
    <w:tblStylePr w:type="band1Vert">
      <w:tblPr/>
      <w:tcPr>
        <w:shd w:val="clear" w:color="auto" w:fill="AFDFFF" w:themeFill="accent1" w:themeFillTint="3F"/>
      </w:tcPr>
    </w:tblStylePr>
    <w:tblStylePr w:type="band1Horz">
      <w:tblPr/>
      <w:tcPr>
        <w:shd w:val="clear" w:color="auto" w:fill="AFDFFF" w:themeFill="accent1" w:themeFillTint="3F"/>
      </w:tcPr>
    </w:tblStylePr>
  </w:style>
  <w:style w:type="table" w:styleId="MediumList1-Accent2">
    <w:name w:val="Medium List 1 Accent 2"/>
    <w:basedOn w:val="TableNormal"/>
    <w:uiPriority w:val="99"/>
    <w:semiHidden/>
    <w:rsid w:val="0098410D"/>
    <w:rPr>
      <w:color w:val="000000" w:themeColor="text1"/>
    </w:rPr>
    <w:tblPr>
      <w:tblStyleRowBandSize w:val="1"/>
      <w:tblStyleColBandSize w:val="1"/>
      <w:tblBorders>
        <w:top w:val="single" w:sz="8" w:space="0" w:color="C00000" w:themeColor="accent2"/>
        <w:bottom w:val="single" w:sz="8" w:space="0" w:color="C00000" w:themeColor="accent2"/>
      </w:tblBorders>
    </w:tblPr>
    <w:tblStylePr w:type="firstRow">
      <w:rPr>
        <w:rFonts w:asciiTheme="majorHAnsi" w:eastAsiaTheme="majorEastAsia" w:hAnsiTheme="majorHAnsi" w:cstheme="majorBidi"/>
      </w:rPr>
      <w:tblPr/>
      <w:tcPr>
        <w:tcBorders>
          <w:top w:val="nil"/>
          <w:bottom w:val="single" w:sz="8" w:space="0" w:color="C00000" w:themeColor="accent2"/>
        </w:tcBorders>
      </w:tcPr>
    </w:tblStylePr>
    <w:tblStylePr w:type="lastRow">
      <w:rPr>
        <w:b/>
        <w:bCs/>
        <w:color w:val="C6C6C6" w:themeColor="text2"/>
      </w:rPr>
      <w:tblPr/>
      <w:tcPr>
        <w:tcBorders>
          <w:top w:val="single" w:sz="8" w:space="0" w:color="C00000" w:themeColor="accent2"/>
          <w:bottom w:val="single" w:sz="8" w:space="0" w:color="C00000" w:themeColor="accent2"/>
        </w:tcBorders>
      </w:tcPr>
    </w:tblStylePr>
    <w:tblStylePr w:type="firstCol">
      <w:rPr>
        <w:b/>
        <w:bCs/>
      </w:rPr>
    </w:tblStylePr>
    <w:tblStylePr w:type="lastCol">
      <w:rPr>
        <w:b/>
        <w:bCs/>
      </w:rPr>
      <w:tblPr/>
      <w:tcPr>
        <w:tcBorders>
          <w:top w:val="single" w:sz="8" w:space="0" w:color="C00000" w:themeColor="accent2"/>
          <w:bottom w:val="single" w:sz="8" w:space="0" w:color="C00000" w:themeColor="accent2"/>
        </w:tcBorders>
      </w:tcPr>
    </w:tblStylePr>
    <w:tblStylePr w:type="band1Vert">
      <w:tblPr/>
      <w:tcPr>
        <w:shd w:val="clear" w:color="auto" w:fill="FFB0B0" w:themeFill="accent2" w:themeFillTint="3F"/>
      </w:tcPr>
    </w:tblStylePr>
    <w:tblStylePr w:type="band1Horz">
      <w:tblPr/>
      <w:tcPr>
        <w:shd w:val="clear" w:color="auto" w:fill="FFB0B0" w:themeFill="accent2" w:themeFillTint="3F"/>
      </w:tcPr>
    </w:tblStylePr>
  </w:style>
  <w:style w:type="table" w:styleId="MediumList1-Accent3">
    <w:name w:val="Medium List 1 Accent 3"/>
    <w:basedOn w:val="TableNormal"/>
    <w:uiPriority w:val="99"/>
    <w:semiHidden/>
    <w:rsid w:val="0098410D"/>
    <w:rPr>
      <w:color w:val="000000" w:themeColor="text1"/>
    </w:rPr>
    <w:tblPr>
      <w:tblStyleRowBandSize w:val="1"/>
      <w:tblStyleColBandSize w:val="1"/>
      <w:tblBorders>
        <w:top w:val="single" w:sz="8" w:space="0" w:color="5F5F5F" w:themeColor="accent3"/>
        <w:bottom w:val="single" w:sz="8" w:space="0" w:color="5F5F5F" w:themeColor="accent3"/>
      </w:tblBorders>
    </w:tblPr>
    <w:tblStylePr w:type="firstRow">
      <w:rPr>
        <w:rFonts w:asciiTheme="majorHAnsi" w:eastAsiaTheme="majorEastAsia" w:hAnsiTheme="majorHAnsi" w:cstheme="majorBidi"/>
      </w:rPr>
      <w:tblPr/>
      <w:tcPr>
        <w:tcBorders>
          <w:top w:val="nil"/>
          <w:bottom w:val="single" w:sz="8" w:space="0" w:color="5F5F5F" w:themeColor="accent3"/>
        </w:tcBorders>
      </w:tcPr>
    </w:tblStylePr>
    <w:tblStylePr w:type="lastRow">
      <w:rPr>
        <w:b/>
        <w:bCs/>
        <w:color w:val="C6C6C6" w:themeColor="text2"/>
      </w:rPr>
      <w:tblPr/>
      <w:tcPr>
        <w:tcBorders>
          <w:top w:val="single" w:sz="8" w:space="0" w:color="5F5F5F" w:themeColor="accent3"/>
          <w:bottom w:val="single" w:sz="8" w:space="0" w:color="5F5F5F" w:themeColor="accent3"/>
        </w:tcBorders>
      </w:tcPr>
    </w:tblStylePr>
    <w:tblStylePr w:type="firstCol">
      <w:rPr>
        <w:b/>
        <w:bCs/>
      </w:rPr>
    </w:tblStylePr>
    <w:tblStylePr w:type="lastCol">
      <w:rPr>
        <w:b/>
        <w:bCs/>
      </w:rPr>
      <w:tblPr/>
      <w:tcPr>
        <w:tcBorders>
          <w:top w:val="single" w:sz="8" w:space="0" w:color="5F5F5F" w:themeColor="accent3"/>
          <w:bottom w:val="single" w:sz="8" w:space="0" w:color="5F5F5F" w:themeColor="accent3"/>
        </w:tcBorders>
      </w:tcPr>
    </w:tblStylePr>
    <w:tblStylePr w:type="band1Vert">
      <w:tblPr/>
      <w:tcPr>
        <w:shd w:val="clear" w:color="auto" w:fill="D7D7D7" w:themeFill="accent3" w:themeFillTint="3F"/>
      </w:tcPr>
    </w:tblStylePr>
    <w:tblStylePr w:type="band1Horz">
      <w:tblPr/>
      <w:tcPr>
        <w:shd w:val="clear" w:color="auto" w:fill="D7D7D7" w:themeFill="accent3" w:themeFillTint="3F"/>
      </w:tcPr>
    </w:tblStylePr>
  </w:style>
  <w:style w:type="table" w:styleId="MediumList1-Accent4">
    <w:name w:val="Medium List 1 Accent 4"/>
    <w:basedOn w:val="TableNormal"/>
    <w:uiPriority w:val="99"/>
    <w:semiHidden/>
    <w:rsid w:val="0098410D"/>
    <w:rPr>
      <w:color w:val="000000" w:themeColor="text1"/>
    </w:rPr>
    <w:tblPr>
      <w:tblStyleRowBandSize w:val="1"/>
      <w:tblStyleColBandSize w:val="1"/>
      <w:tblBorders>
        <w:top w:val="single" w:sz="8" w:space="0" w:color="969696" w:themeColor="accent4"/>
        <w:bottom w:val="single" w:sz="8" w:space="0" w:color="969696" w:themeColor="accent4"/>
      </w:tblBorders>
    </w:tblPr>
    <w:tblStylePr w:type="firstRow">
      <w:rPr>
        <w:rFonts w:asciiTheme="majorHAnsi" w:eastAsiaTheme="majorEastAsia" w:hAnsiTheme="majorHAnsi" w:cstheme="majorBidi"/>
      </w:rPr>
      <w:tblPr/>
      <w:tcPr>
        <w:tcBorders>
          <w:top w:val="nil"/>
          <w:bottom w:val="single" w:sz="8" w:space="0" w:color="969696" w:themeColor="accent4"/>
        </w:tcBorders>
      </w:tcPr>
    </w:tblStylePr>
    <w:tblStylePr w:type="lastRow">
      <w:rPr>
        <w:b/>
        <w:bCs/>
        <w:color w:val="C6C6C6" w:themeColor="text2"/>
      </w:rPr>
      <w:tblPr/>
      <w:tcPr>
        <w:tcBorders>
          <w:top w:val="single" w:sz="8" w:space="0" w:color="969696" w:themeColor="accent4"/>
          <w:bottom w:val="single" w:sz="8" w:space="0" w:color="969696" w:themeColor="accent4"/>
        </w:tcBorders>
      </w:tcPr>
    </w:tblStylePr>
    <w:tblStylePr w:type="firstCol">
      <w:rPr>
        <w:b/>
        <w:bCs/>
      </w:rPr>
    </w:tblStylePr>
    <w:tblStylePr w:type="lastCol">
      <w:rPr>
        <w:b/>
        <w:bCs/>
      </w:rPr>
      <w:tblPr/>
      <w:tcPr>
        <w:tcBorders>
          <w:top w:val="single" w:sz="8" w:space="0" w:color="969696" w:themeColor="accent4"/>
          <w:bottom w:val="single" w:sz="8" w:space="0" w:color="969696" w:themeColor="accent4"/>
        </w:tcBorders>
      </w:tcPr>
    </w:tblStylePr>
    <w:tblStylePr w:type="band1Vert">
      <w:tblPr/>
      <w:tcPr>
        <w:shd w:val="clear" w:color="auto" w:fill="E5E5E5" w:themeFill="accent4" w:themeFillTint="3F"/>
      </w:tcPr>
    </w:tblStylePr>
    <w:tblStylePr w:type="band1Horz">
      <w:tblPr/>
      <w:tcPr>
        <w:shd w:val="clear" w:color="auto" w:fill="E5E5E5" w:themeFill="accent4" w:themeFillTint="3F"/>
      </w:tcPr>
    </w:tblStylePr>
  </w:style>
  <w:style w:type="table" w:styleId="MediumList1-Accent5">
    <w:name w:val="Medium List 1 Accent 5"/>
    <w:basedOn w:val="TableNormal"/>
    <w:uiPriority w:val="99"/>
    <w:semiHidden/>
    <w:rsid w:val="0098410D"/>
    <w:rPr>
      <w:color w:val="000000" w:themeColor="text1"/>
    </w:rPr>
    <w:tblPr>
      <w:tblStyleRowBandSize w:val="1"/>
      <w:tblStyleColBandSize w:val="1"/>
      <w:tblBorders>
        <w:top w:val="single" w:sz="8" w:space="0" w:color="5F5F5F" w:themeColor="accent5"/>
        <w:bottom w:val="single" w:sz="8" w:space="0" w:color="5F5F5F" w:themeColor="accent5"/>
      </w:tblBorders>
    </w:tblPr>
    <w:tblStylePr w:type="firstRow">
      <w:rPr>
        <w:rFonts w:asciiTheme="majorHAnsi" w:eastAsiaTheme="majorEastAsia" w:hAnsiTheme="majorHAnsi" w:cstheme="majorBidi"/>
      </w:rPr>
      <w:tblPr/>
      <w:tcPr>
        <w:tcBorders>
          <w:top w:val="nil"/>
          <w:bottom w:val="single" w:sz="8" w:space="0" w:color="5F5F5F" w:themeColor="accent5"/>
        </w:tcBorders>
      </w:tcPr>
    </w:tblStylePr>
    <w:tblStylePr w:type="lastRow">
      <w:rPr>
        <w:b/>
        <w:bCs/>
        <w:color w:val="C6C6C6" w:themeColor="text2"/>
      </w:rPr>
      <w:tblPr/>
      <w:tcPr>
        <w:tcBorders>
          <w:top w:val="single" w:sz="8" w:space="0" w:color="5F5F5F" w:themeColor="accent5"/>
          <w:bottom w:val="single" w:sz="8" w:space="0" w:color="5F5F5F" w:themeColor="accent5"/>
        </w:tcBorders>
      </w:tcPr>
    </w:tblStylePr>
    <w:tblStylePr w:type="firstCol">
      <w:rPr>
        <w:b/>
        <w:bCs/>
      </w:rPr>
    </w:tblStylePr>
    <w:tblStylePr w:type="lastCol">
      <w:rPr>
        <w:b/>
        <w:bCs/>
      </w:rPr>
      <w:tblPr/>
      <w:tcPr>
        <w:tcBorders>
          <w:top w:val="single" w:sz="8" w:space="0" w:color="5F5F5F" w:themeColor="accent5"/>
          <w:bottom w:val="single" w:sz="8" w:space="0" w:color="5F5F5F" w:themeColor="accent5"/>
        </w:tcBorders>
      </w:tcPr>
    </w:tblStylePr>
    <w:tblStylePr w:type="band1Vert">
      <w:tblPr/>
      <w:tcPr>
        <w:shd w:val="clear" w:color="auto" w:fill="D7D7D7" w:themeFill="accent5" w:themeFillTint="3F"/>
      </w:tcPr>
    </w:tblStylePr>
    <w:tblStylePr w:type="band1Horz">
      <w:tblPr/>
      <w:tcPr>
        <w:shd w:val="clear" w:color="auto" w:fill="D7D7D7" w:themeFill="accent5" w:themeFillTint="3F"/>
      </w:tcPr>
    </w:tblStylePr>
  </w:style>
  <w:style w:type="table" w:styleId="MediumList1-Accent6">
    <w:name w:val="Medium List 1 Accent 6"/>
    <w:basedOn w:val="TableNormal"/>
    <w:uiPriority w:val="99"/>
    <w:semiHidden/>
    <w:rsid w:val="0098410D"/>
    <w:rPr>
      <w:color w:val="000000" w:themeColor="text1"/>
    </w:rPr>
    <w:tblPr>
      <w:tblStyleRowBandSize w:val="1"/>
      <w:tblStyleColBandSize w:val="1"/>
      <w:tblBorders>
        <w:top w:val="single" w:sz="8" w:space="0" w:color="4D4D4D" w:themeColor="accent6"/>
        <w:bottom w:val="single" w:sz="8" w:space="0" w:color="4D4D4D" w:themeColor="accent6"/>
      </w:tblBorders>
    </w:tblPr>
    <w:tblStylePr w:type="firstRow">
      <w:rPr>
        <w:rFonts w:asciiTheme="majorHAnsi" w:eastAsiaTheme="majorEastAsia" w:hAnsiTheme="majorHAnsi" w:cstheme="majorBidi"/>
      </w:rPr>
      <w:tblPr/>
      <w:tcPr>
        <w:tcBorders>
          <w:top w:val="nil"/>
          <w:bottom w:val="single" w:sz="8" w:space="0" w:color="4D4D4D" w:themeColor="accent6"/>
        </w:tcBorders>
      </w:tcPr>
    </w:tblStylePr>
    <w:tblStylePr w:type="lastRow">
      <w:rPr>
        <w:b/>
        <w:bCs/>
        <w:color w:val="C6C6C6" w:themeColor="text2"/>
      </w:rPr>
      <w:tblPr/>
      <w:tcPr>
        <w:tcBorders>
          <w:top w:val="single" w:sz="8" w:space="0" w:color="4D4D4D" w:themeColor="accent6"/>
          <w:bottom w:val="single" w:sz="8" w:space="0" w:color="4D4D4D" w:themeColor="accent6"/>
        </w:tcBorders>
      </w:tcPr>
    </w:tblStylePr>
    <w:tblStylePr w:type="firstCol">
      <w:rPr>
        <w:b/>
        <w:bCs/>
      </w:rPr>
    </w:tblStylePr>
    <w:tblStylePr w:type="lastCol">
      <w:rPr>
        <w:b/>
        <w:bCs/>
      </w:rPr>
      <w:tblPr/>
      <w:tcPr>
        <w:tcBorders>
          <w:top w:val="single" w:sz="8" w:space="0" w:color="4D4D4D" w:themeColor="accent6"/>
          <w:bottom w:val="single" w:sz="8" w:space="0" w:color="4D4D4D" w:themeColor="accent6"/>
        </w:tcBorders>
      </w:tcPr>
    </w:tblStylePr>
    <w:tblStylePr w:type="band1Vert">
      <w:tblPr/>
      <w:tcPr>
        <w:shd w:val="clear" w:color="auto" w:fill="D3D3D3" w:themeFill="accent6" w:themeFillTint="3F"/>
      </w:tcPr>
    </w:tblStylePr>
    <w:tblStylePr w:type="band1Horz">
      <w:tblPr/>
      <w:tcPr>
        <w:shd w:val="clear" w:color="auto" w:fill="D3D3D3" w:themeFill="accent6" w:themeFillTint="3F"/>
      </w:tcPr>
    </w:tblStylePr>
  </w:style>
  <w:style w:type="table" w:styleId="MediumList2">
    <w:name w:val="Medium List 2"/>
    <w:basedOn w:val="TableNormal"/>
    <w:uiPriority w:val="99"/>
    <w:semiHidden/>
    <w:rsid w:val="0098410D"/>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0072BC" w:themeFill="background1"/>
      </w:tcPr>
    </w:tblStylePr>
    <w:tblStylePr w:type="lastRow">
      <w:tblPr/>
      <w:tcPr>
        <w:tcBorders>
          <w:top w:val="single" w:sz="8" w:space="0" w:color="000000" w:themeColor="tex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0000" w:themeColor="text1"/>
          <w:insideH w:val="nil"/>
          <w:insideV w:val="nil"/>
        </w:tcBorders>
        <w:shd w:val="clear" w:color="auto" w:fill="0072BC" w:themeFill="background1"/>
      </w:tcPr>
    </w:tblStylePr>
    <w:tblStylePr w:type="lastCol">
      <w:tblPr/>
      <w:tcPr>
        <w:tcBorders>
          <w:top w:val="nil"/>
          <w:left w:val="single" w:sz="8" w:space="0" w:color="000000" w:themeColor="tex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1">
    <w:name w:val="Medium List 2 Accent 1"/>
    <w:basedOn w:val="TableNormal"/>
    <w:uiPriority w:val="99"/>
    <w:semiHidden/>
    <w:rsid w:val="0098410D"/>
    <w:rPr>
      <w:rFonts w:asciiTheme="majorHAnsi" w:eastAsiaTheme="majorEastAsia" w:hAnsiTheme="majorHAnsi" w:cstheme="majorBidi"/>
      <w:color w:val="000000" w:themeColor="text1"/>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rPr>
        <w:sz w:val="24"/>
        <w:szCs w:val="24"/>
      </w:rPr>
      <w:tblPr/>
      <w:tcPr>
        <w:tcBorders>
          <w:top w:val="nil"/>
          <w:left w:val="nil"/>
          <w:bottom w:val="single" w:sz="24" w:space="0" w:color="0072BC" w:themeColor="accent1"/>
          <w:right w:val="nil"/>
          <w:insideH w:val="nil"/>
          <w:insideV w:val="nil"/>
        </w:tcBorders>
        <w:shd w:val="clear" w:color="auto" w:fill="0072BC" w:themeFill="background1"/>
      </w:tcPr>
    </w:tblStylePr>
    <w:tblStylePr w:type="lastRow">
      <w:tblPr/>
      <w:tcPr>
        <w:tcBorders>
          <w:top w:val="single" w:sz="8" w:space="0" w:color="0072BC" w:themeColor="accen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72BC" w:themeColor="accent1"/>
          <w:insideH w:val="nil"/>
          <w:insideV w:val="nil"/>
        </w:tcBorders>
        <w:shd w:val="clear" w:color="auto" w:fill="0072BC" w:themeFill="background1"/>
      </w:tcPr>
    </w:tblStylePr>
    <w:tblStylePr w:type="lastCol">
      <w:tblPr/>
      <w:tcPr>
        <w:tcBorders>
          <w:top w:val="nil"/>
          <w:left w:val="single" w:sz="8" w:space="0" w:color="0072BC" w:themeColor="accen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top w:val="nil"/>
          <w:bottom w:val="nil"/>
          <w:insideH w:val="nil"/>
          <w:insideV w:val="nil"/>
        </w:tcBorders>
        <w:shd w:val="clear" w:color="auto" w:fill="AFDFFF" w:themeFill="accen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2">
    <w:name w:val="Medium List 2 Accent 2"/>
    <w:basedOn w:val="TableNormal"/>
    <w:uiPriority w:val="99"/>
    <w:semiHidden/>
    <w:rsid w:val="0098410D"/>
    <w:rPr>
      <w:rFonts w:asciiTheme="majorHAnsi" w:eastAsiaTheme="majorEastAsia" w:hAnsiTheme="majorHAnsi" w:cstheme="majorBidi"/>
      <w:color w:val="000000" w:themeColor="text1"/>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rPr>
        <w:sz w:val="24"/>
        <w:szCs w:val="24"/>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tblPr/>
      <w:tcPr>
        <w:tcBorders>
          <w:top w:val="single" w:sz="8" w:space="0" w:color="C00000" w:themeColor="accent2"/>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C00000" w:themeColor="accent2"/>
          <w:insideH w:val="nil"/>
          <w:insideV w:val="nil"/>
        </w:tcBorders>
        <w:shd w:val="clear" w:color="auto" w:fill="0072BC" w:themeFill="background1"/>
      </w:tcPr>
    </w:tblStylePr>
    <w:tblStylePr w:type="lastCol">
      <w:tblPr/>
      <w:tcPr>
        <w:tcBorders>
          <w:top w:val="nil"/>
          <w:left w:val="single" w:sz="8" w:space="0" w:color="C00000" w:themeColor="accent2"/>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top w:val="nil"/>
          <w:bottom w:val="nil"/>
          <w:insideH w:val="nil"/>
          <w:insideV w:val="nil"/>
        </w:tcBorders>
        <w:shd w:val="clear" w:color="auto" w:fill="FFB0B0" w:themeFill="accent2"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3">
    <w:name w:val="Medium List 2 Accent 3"/>
    <w:basedOn w:val="TableNormal"/>
    <w:uiPriority w:val="99"/>
    <w:semiHidden/>
    <w:rsid w:val="0098410D"/>
    <w:rPr>
      <w:rFonts w:asciiTheme="majorHAnsi" w:eastAsiaTheme="majorEastAsia" w:hAnsiTheme="majorHAnsi" w:cstheme="majorBidi"/>
      <w:color w:val="000000" w:themeColor="text1"/>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rPr>
        <w:sz w:val="24"/>
        <w:szCs w:val="24"/>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tblPr/>
      <w:tcPr>
        <w:tcBorders>
          <w:top w:val="single" w:sz="8" w:space="0" w:color="5F5F5F" w:themeColor="accent3"/>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3"/>
          <w:insideH w:val="nil"/>
          <w:insideV w:val="nil"/>
        </w:tcBorders>
        <w:shd w:val="clear" w:color="auto" w:fill="0072BC" w:themeFill="background1"/>
      </w:tcPr>
    </w:tblStylePr>
    <w:tblStylePr w:type="lastCol">
      <w:tblPr/>
      <w:tcPr>
        <w:tcBorders>
          <w:top w:val="nil"/>
          <w:left w:val="single" w:sz="8" w:space="0" w:color="5F5F5F" w:themeColor="accent3"/>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top w:val="nil"/>
          <w:bottom w:val="nil"/>
          <w:insideH w:val="nil"/>
          <w:insideV w:val="nil"/>
        </w:tcBorders>
        <w:shd w:val="clear" w:color="auto" w:fill="D7D7D7" w:themeFill="accent3"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4">
    <w:name w:val="Medium List 2 Accent 4"/>
    <w:basedOn w:val="TableNormal"/>
    <w:uiPriority w:val="99"/>
    <w:semiHidden/>
    <w:rsid w:val="0098410D"/>
    <w:rPr>
      <w:rFonts w:asciiTheme="majorHAnsi" w:eastAsiaTheme="majorEastAsia" w:hAnsiTheme="majorHAnsi" w:cstheme="majorBidi"/>
      <w:color w:val="000000" w:themeColor="text1"/>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rPr>
        <w:sz w:val="24"/>
        <w:szCs w:val="24"/>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tblPr/>
      <w:tcPr>
        <w:tcBorders>
          <w:top w:val="single" w:sz="8" w:space="0" w:color="969696" w:themeColor="accent4"/>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969696" w:themeColor="accent4"/>
          <w:insideH w:val="nil"/>
          <w:insideV w:val="nil"/>
        </w:tcBorders>
        <w:shd w:val="clear" w:color="auto" w:fill="0072BC" w:themeFill="background1"/>
      </w:tcPr>
    </w:tblStylePr>
    <w:tblStylePr w:type="lastCol">
      <w:tblPr/>
      <w:tcPr>
        <w:tcBorders>
          <w:top w:val="nil"/>
          <w:left w:val="single" w:sz="8" w:space="0" w:color="969696" w:themeColor="accent4"/>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top w:val="nil"/>
          <w:bottom w:val="nil"/>
          <w:insideH w:val="nil"/>
          <w:insideV w:val="nil"/>
        </w:tcBorders>
        <w:shd w:val="clear" w:color="auto" w:fill="E5E5E5" w:themeFill="accent4"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5">
    <w:name w:val="Medium List 2 Accent 5"/>
    <w:basedOn w:val="TableNormal"/>
    <w:uiPriority w:val="99"/>
    <w:semiHidden/>
    <w:rsid w:val="0098410D"/>
    <w:rPr>
      <w:rFonts w:asciiTheme="majorHAnsi" w:eastAsiaTheme="majorEastAsia" w:hAnsiTheme="majorHAnsi" w:cstheme="majorBidi"/>
      <w:color w:val="000000" w:themeColor="text1"/>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rPr>
        <w:sz w:val="24"/>
        <w:szCs w:val="24"/>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tblPr/>
      <w:tcPr>
        <w:tcBorders>
          <w:top w:val="single" w:sz="8" w:space="0" w:color="5F5F5F" w:themeColor="accent5"/>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5"/>
          <w:insideH w:val="nil"/>
          <w:insideV w:val="nil"/>
        </w:tcBorders>
        <w:shd w:val="clear" w:color="auto" w:fill="0072BC" w:themeFill="background1"/>
      </w:tcPr>
    </w:tblStylePr>
    <w:tblStylePr w:type="lastCol">
      <w:tblPr/>
      <w:tcPr>
        <w:tcBorders>
          <w:top w:val="nil"/>
          <w:left w:val="single" w:sz="8" w:space="0" w:color="5F5F5F" w:themeColor="accent5"/>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top w:val="nil"/>
          <w:bottom w:val="nil"/>
          <w:insideH w:val="nil"/>
          <w:insideV w:val="nil"/>
        </w:tcBorders>
        <w:shd w:val="clear" w:color="auto" w:fill="D7D7D7" w:themeFill="accent5"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6">
    <w:name w:val="Medium List 2 Accent 6"/>
    <w:basedOn w:val="TableNormal"/>
    <w:uiPriority w:val="99"/>
    <w:semiHidden/>
    <w:rsid w:val="0098410D"/>
    <w:rPr>
      <w:rFonts w:asciiTheme="majorHAnsi" w:eastAsiaTheme="majorEastAsia" w:hAnsiTheme="majorHAnsi" w:cstheme="majorBidi"/>
      <w:color w:val="000000" w:themeColor="text1"/>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rPr>
        <w:sz w:val="24"/>
        <w:szCs w:val="24"/>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tblPr/>
      <w:tcPr>
        <w:tcBorders>
          <w:top w:val="single" w:sz="8" w:space="0" w:color="4D4D4D" w:themeColor="accent6"/>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4D4D4D" w:themeColor="accent6"/>
          <w:insideH w:val="nil"/>
          <w:insideV w:val="nil"/>
        </w:tcBorders>
        <w:shd w:val="clear" w:color="auto" w:fill="0072BC" w:themeFill="background1"/>
      </w:tcPr>
    </w:tblStylePr>
    <w:tblStylePr w:type="lastCol">
      <w:tblPr/>
      <w:tcPr>
        <w:tcBorders>
          <w:top w:val="nil"/>
          <w:left w:val="single" w:sz="8" w:space="0" w:color="4D4D4D" w:themeColor="accent6"/>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top w:val="nil"/>
          <w:bottom w:val="nil"/>
          <w:insideH w:val="nil"/>
          <w:insideV w:val="nil"/>
        </w:tcBorders>
        <w:shd w:val="clear" w:color="auto" w:fill="D3D3D3" w:themeFill="accent6"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Shading1">
    <w:name w:val="Medium Shading 1"/>
    <w:basedOn w:val="TableNormal"/>
    <w:uiPriority w:val="99"/>
    <w:semiHidden/>
    <w:rsid w:val="0098410D"/>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0072BC"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99"/>
    <w:semiHidden/>
    <w:rsid w:val="0098410D"/>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tblBorders>
    </w:tblPr>
    <w:tblStylePr w:type="firstRow">
      <w:pPr>
        <w:spacing w:before="0" w:after="0" w:line="240" w:lineRule="auto"/>
      </w:pPr>
      <w:rPr>
        <w:b/>
        <w:bCs/>
        <w:color w:val="0072BC" w:themeColor="background1"/>
      </w:rPr>
      <w:tblPr/>
      <w:tcPr>
        <w:tc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shd w:val="clear" w:color="auto" w:fill="0072BC" w:themeFill="accent1"/>
      </w:tcPr>
    </w:tblStylePr>
    <w:tblStylePr w:type="lastRow">
      <w:pPr>
        <w:spacing w:before="0" w:after="0" w:line="240" w:lineRule="auto"/>
      </w:pPr>
      <w:rPr>
        <w:b/>
        <w:bCs/>
      </w:rPr>
      <w:tblPr/>
      <w:tcPr>
        <w:tcBorders>
          <w:top w:val="double" w:sz="6"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tcPr>
    </w:tblStylePr>
    <w:tblStylePr w:type="firstCol">
      <w:rPr>
        <w:b/>
        <w:bCs/>
      </w:rPr>
    </w:tblStylePr>
    <w:tblStylePr w:type="lastCol">
      <w:rPr>
        <w:b/>
        <w:bCs/>
      </w:rPr>
    </w:tblStylePr>
    <w:tblStylePr w:type="band1Vert">
      <w:tblPr/>
      <w:tcPr>
        <w:shd w:val="clear" w:color="auto" w:fill="AFDFFF" w:themeFill="accent1" w:themeFillTint="3F"/>
      </w:tcPr>
    </w:tblStylePr>
    <w:tblStylePr w:type="band1Horz">
      <w:tblPr/>
      <w:tcPr>
        <w:tcBorders>
          <w:insideH w:val="nil"/>
          <w:insideV w:val="nil"/>
        </w:tcBorders>
        <w:shd w:val="clear" w:color="auto" w:fill="AFDFFF"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99"/>
    <w:semiHidden/>
    <w:rsid w:val="0098410D"/>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tblBorders>
    </w:tblPr>
    <w:tblStylePr w:type="firstRow">
      <w:pPr>
        <w:spacing w:before="0" w:after="0" w:line="240" w:lineRule="auto"/>
      </w:pPr>
      <w:rPr>
        <w:b/>
        <w:bCs/>
        <w:color w:val="0072BC" w:themeColor="background1"/>
      </w:rPr>
      <w:tblPr/>
      <w:tcPr>
        <w:tc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shd w:val="clear" w:color="auto" w:fill="C00000" w:themeFill="accent2"/>
      </w:tcPr>
    </w:tblStylePr>
    <w:tblStylePr w:type="lastRow">
      <w:pPr>
        <w:spacing w:before="0" w:after="0" w:line="240" w:lineRule="auto"/>
      </w:pPr>
      <w:rPr>
        <w:b/>
        <w:bCs/>
      </w:rPr>
      <w:tblPr/>
      <w:tcPr>
        <w:tcBorders>
          <w:top w:val="double" w:sz="6"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tcPr>
    </w:tblStylePr>
    <w:tblStylePr w:type="firstCol">
      <w:rPr>
        <w:b/>
        <w:bCs/>
      </w:rPr>
    </w:tblStylePr>
    <w:tblStylePr w:type="lastCol">
      <w:rPr>
        <w:b/>
        <w:bCs/>
      </w:rPr>
    </w:tblStylePr>
    <w:tblStylePr w:type="band1Vert">
      <w:tblPr/>
      <w:tcPr>
        <w:shd w:val="clear" w:color="auto" w:fill="FFB0B0" w:themeFill="accent2" w:themeFillTint="3F"/>
      </w:tcPr>
    </w:tblStylePr>
    <w:tblStylePr w:type="band1Horz">
      <w:tblPr/>
      <w:tcPr>
        <w:tcBorders>
          <w:insideH w:val="nil"/>
          <w:insideV w:val="nil"/>
        </w:tcBorders>
        <w:shd w:val="clear" w:color="auto" w:fill="FFB0B0"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99"/>
    <w:semiHidden/>
    <w:rsid w:val="0098410D"/>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tblBorders>
    </w:tblPr>
    <w:tblStylePr w:type="firstRow">
      <w:pPr>
        <w:spacing w:before="0" w:after="0" w:line="240" w:lineRule="auto"/>
      </w:pPr>
      <w:rPr>
        <w:b/>
        <w:bCs/>
        <w:color w:val="0072BC" w:themeColor="background1"/>
      </w:rPr>
      <w:tblPr/>
      <w:tcPr>
        <w:tc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shd w:val="clear" w:color="auto" w:fill="5F5F5F" w:themeFill="accent3"/>
      </w:tcPr>
    </w:tblStylePr>
    <w:tblStylePr w:type="lastRow">
      <w:pPr>
        <w:spacing w:before="0" w:after="0" w:line="240" w:lineRule="auto"/>
      </w:pPr>
      <w:rPr>
        <w:b/>
        <w:bCs/>
      </w:rPr>
      <w:tblPr/>
      <w:tcPr>
        <w:tcBorders>
          <w:top w:val="double" w:sz="6"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3" w:themeFillTint="3F"/>
      </w:tcPr>
    </w:tblStylePr>
    <w:tblStylePr w:type="band1Horz">
      <w:tblPr/>
      <w:tcPr>
        <w:tcBorders>
          <w:insideH w:val="nil"/>
          <w:insideV w:val="nil"/>
        </w:tcBorders>
        <w:shd w:val="clear" w:color="auto" w:fill="D7D7D7"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99"/>
    <w:semiHidden/>
    <w:rsid w:val="0098410D"/>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tblBorders>
    </w:tblPr>
    <w:tblStylePr w:type="firstRow">
      <w:pPr>
        <w:spacing w:before="0" w:after="0" w:line="240" w:lineRule="auto"/>
      </w:pPr>
      <w:rPr>
        <w:b/>
        <w:bCs/>
        <w:color w:val="0072BC" w:themeColor="background1"/>
      </w:rPr>
      <w:tblPr/>
      <w:tcPr>
        <w:tc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shd w:val="clear" w:color="auto" w:fill="969696" w:themeFill="accent4"/>
      </w:tcPr>
    </w:tblStylePr>
    <w:tblStylePr w:type="lastRow">
      <w:pPr>
        <w:spacing w:before="0" w:after="0" w:line="240" w:lineRule="auto"/>
      </w:pPr>
      <w:rPr>
        <w:b/>
        <w:bCs/>
      </w:rPr>
      <w:tblPr/>
      <w:tcPr>
        <w:tcBorders>
          <w:top w:val="double" w:sz="6"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tcPr>
    </w:tblStylePr>
    <w:tblStylePr w:type="firstCol">
      <w:rPr>
        <w:b/>
        <w:bCs/>
      </w:rPr>
    </w:tblStylePr>
    <w:tblStylePr w:type="lastCol">
      <w:rPr>
        <w:b/>
        <w:bCs/>
      </w:rPr>
    </w:tblStylePr>
    <w:tblStylePr w:type="band1Vert">
      <w:tblPr/>
      <w:tcPr>
        <w:shd w:val="clear" w:color="auto" w:fill="E5E5E5" w:themeFill="accent4" w:themeFillTint="3F"/>
      </w:tcPr>
    </w:tblStylePr>
    <w:tblStylePr w:type="band1Horz">
      <w:tblPr/>
      <w:tcPr>
        <w:tcBorders>
          <w:insideH w:val="nil"/>
          <w:insideV w:val="nil"/>
        </w:tcBorders>
        <w:shd w:val="clear" w:color="auto" w:fill="E5E5E5"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99"/>
    <w:semiHidden/>
    <w:rsid w:val="0098410D"/>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tblBorders>
    </w:tblPr>
    <w:tblStylePr w:type="firstRow">
      <w:pPr>
        <w:spacing w:before="0" w:after="0" w:line="240" w:lineRule="auto"/>
      </w:pPr>
      <w:rPr>
        <w:b/>
        <w:bCs/>
        <w:color w:val="0072BC" w:themeColor="background1"/>
      </w:rPr>
      <w:tblPr/>
      <w:tcPr>
        <w:tc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shd w:val="clear" w:color="auto" w:fill="5F5F5F" w:themeFill="accent5"/>
      </w:tcPr>
    </w:tblStylePr>
    <w:tblStylePr w:type="lastRow">
      <w:pPr>
        <w:spacing w:before="0" w:after="0" w:line="240" w:lineRule="auto"/>
      </w:pPr>
      <w:rPr>
        <w:b/>
        <w:bCs/>
      </w:rPr>
      <w:tblPr/>
      <w:tcPr>
        <w:tcBorders>
          <w:top w:val="double" w:sz="6"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5" w:themeFillTint="3F"/>
      </w:tcPr>
    </w:tblStylePr>
    <w:tblStylePr w:type="band1Horz">
      <w:tblPr/>
      <w:tcPr>
        <w:tcBorders>
          <w:insideH w:val="nil"/>
          <w:insideV w:val="nil"/>
        </w:tcBorders>
        <w:shd w:val="clear" w:color="auto" w:fill="D7D7D7"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99"/>
    <w:semiHidden/>
    <w:rsid w:val="0098410D"/>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tblBorders>
    </w:tblPr>
    <w:tblStylePr w:type="firstRow">
      <w:pPr>
        <w:spacing w:before="0" w:after="0" w:line="240" w:lineRule="auto"/>
      </w:pPr>
      <w:rPr>
        <w:b/>
        <w:bCs/>
        <w:color w:val="0072BC" w:themeColor="background1"/>
      </w:rPr>
      <w:tblPr/>
      <w:tcPr>
        <w:tc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shd w:val="clear" w:color="auto" w:fill="4D4D4D" w:themeFill="accent6"/>
      </w:tcPr>
    </w:tblStylePr>
    <w:tblStylePr w:type="lastRow">
      <w:pPr>
        <w:spacing w:before="0" w:after="0" w:line="240" w:lineRule="auto"/>
      </w:pPr>
      <w:rPr>
        <w:b/>
        <w:bCs/>
      </w:rPr>
      <w:tblPr/>
      <w:tcPr>
        <w:tcBorders>
          <w:top w:val="double" w:sz="6"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tcPr>
    </w:tblStylePr>
    <w:tblStylePr w:type="firstCol">
      <w:rPr>
        <w:b/>
        <w:bCs/>
      </w:rPr>
    </w:tblStylePr>
    <w:tblStylePr w:type="lastCol">
      <w:rPr>
        <w:b/>
        <w:bCs/>
      </w:rPr>
    </w:tblStylePr>
    <w:tblStylePr w:type="band1Vert">
      <w:tblPr/>
      <w:tcPr>
        <w:shd w:val="clear" w:color="auto" w:fill="D3D3D3" w:themeFill="accent6" w:themeFillTint="3F"/>
      </w:tcPr>
    </w:tblStylePr>
    <w:tblStylePr w:type="band1Horz">
      <w:tblPr/>
      <w:tcPr>
        <w:tcBorders>
          <w:insideH w:val="nil"/>
          <w:insideV w:val="nil"/>
        </w:tcBorders>
        <w:shd w:val="clear" w:color="auto" w:fill="D3D3D3"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99"/>
    <w:semiHidden/>
    <w:rsid w:val="0098410D"/>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0072BC"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99"/>
    <w:semiHidden/>
    <w:rsid w:val="0098410D"/>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72BC"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72BC" w:themeFill="accent1"/>
      </w:tcPr>
    </w:tblStylePr>
    <w:tblStylePr w:type="lastCol">
      <w:rPr>
        <w:b/>
        <w:bCs/>
        <w:color w:val="0072BC" w:themeColor="background1"/>
      </w:rPr>
      <w:tblPr/>
      <w:tcPr>
        <w:tcBorders>
          <w:left w:val="nil"/>
          <w:right w:val="nil"/>
          <w:insideH w:val="nil"/>
          <w:insideV w:val="nil"/>
        </w:tcBorders>
        <w:shd w:val="clear" w:color="auto" w:fill="0072BC" w:themeFill="accen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99"/>
    <w:semiHidden/>
    <w:rsid w:val="0098410D"/>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C00000"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C00000" w:themeFill="accent2"/>
      </w:tcPr>
    </w:tblStylePr>
    <w:tblStylePr w:type="lastCol">
      <w:rPr>
        <w:b/>
        <w:bCs/>
        <w:color w:val="0072BC" w:themeColor="background1"/>
      </w:rPr>
      <w:tblPr/>
      <w:tcPr>
        <w:tcBorders>
          <w:left w:val="nil"/>
          <w:right w:val="nil"/>
          <w:insideH w:val="nil"/>
          <w:insideV w:val="nil"/>
        </w:tcBorders>
        <w:shd w:val="clear" w:color="auto" w:fill="C00000" w:themeFill="accent2"/>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99"/>
    <w:semiHidden/>
    <w:rsid w:val="0098410D"/>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3"/>
      </w:tcPr>
    </w:tblStylePr>
    <w:tblStylePr w:type="lastCol">
      <w:rPr>
        <w:b/>
        <w:bCs/>
        <w:color w:val="0072BC" w:themeColor="background1"/>
      </w:rPr>
      <w:tblPr/>
      <w:tcPr>
        <w:tcBorders>
          <w:left w:val="nil"/>
          <w:right w:val="nil"/>
          <w:insideH w:val="nil"/>
          <w:insideV w:val="nil"/>
        </w:tcBorders>
        <w:shd w:val="clear" w:color="auto" w:fill="5F5F5F" w:themeFill="accent3"/>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99"/>
    <w:semiHidden/>
    <w:rsid w:val="0098410D"/>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969696"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969696" w:themeFill="accent4"/>
      </w:tcPr>
    </w:tblStylePr>
    <w:tblStylePr w:type="lastCol">
      <w:rPr>
        <w:b/>
        <w:bCs/>
        <w:color w:val="0072BC" w:themeColor="background1"/>
      </w:rPr>
      <w:tblPr/>
      <w:tcPr>
        <w:tcBorders>
          <w:left w:val="nil"/>
          <w:right w:val="nil"/>
          <w:insideH w:val="nil"/>
          <w:insideV w:val="nil"/>
        </w:tcBorders>
        <w:shd w:val="clear" w:color="auto" w:fill="969696" w:themeFill="accent4"/>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99"/>
    <w:semiHidden/>
    <w:rsid w:val="0098410D"/>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5"/>
      </w:tcPr>
    </w:tblStylePr>
    <w:tblStylePr w:type="lastCol">
      <w:rPr>
        <w:b/>
        <w:bCs/>
        <w:color w:val="0072BC" w:themeColor="background1"/>
      </w:rPr>
      <w:tblPr/>
      <w:tcPr>
        <w:tcBorders>
          <w:left w:val="nil"/>
          <w:right w:val="nil"/>
          <w:insideH w:val="nil"/>
          <w:insideV w:val="nil"/>
        </w:tcBorders>
        <w:shd w:val="clear" w:color="auto" w:fill="5F5F5F" w:themeFill="accent5"/>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99"/>
    <w:semiHidden/>
    <w:rsid w:val="0098410D"/>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4D4D4D"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4D4D4D" w:themeFill="accent6"/>
      </w:tcPr>
    </w:tblStylePr>
    <w:tblStylePr w:type="lastCol">
      <w:rPr>
        <w:b/>
        <w:bCs/>
        <w:color w:val="0072BC" w:themeColor="background1"/>
      </w:rPr>
      <w:tblPr/>
      <w:tcPr>
        <w:tcBorders>
          <w:left w:val="nil"/>
          <w:right w:val="nil"/>
          <w:insideH w:val="nil"/>
          <w:insideV w:val="nil"/>
        </w:tcBorders>
        <w:shd w:val="clear" w:color="auto" w:fill="4D4D4D" w:themeFill="accent6"/>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paragraph" w:styleId="MessageHeader">
    <w:name w:val="Message Header"/>
    <w:basedOn w:val="Normal"/>
    <w:link w:val="MessageHeaderChar"/>
    <w:uiPriority w:val="99"/>
    <w:semiHidden/>
    <w:rsid w:val="0098410D"/>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Cs w:val="24"/>
    </w:rPr>
  </w:style>
  <w:style w:type="character" w:customStyle="1" w:styleId="MessageHeaderChar">
    <w:name w:val="Message Header Char"/>
    <w:basedOn w:val="DefaultParagraphFont"/>
    <w:link w:val="MessageHeader"/>
    <w:uiPriority w:val="99"/>
    <w:semiHidden/>
    <w:rsid w:val="0098410D"/>
    <w:rPr>
      <w:rFonts w:asciiTheme="majorHAnsi" w:eastAsiaTheme="majorEastAsia" w:hAnsiTheme="majorHAnsi" w:cstheme="majorBidi"/>
      <w:sz w:val="24"/>
      <w:szCs w:val="24"/>
      <w:shd w:val="pct20" w:color="auto" w:fill="auto"/>
    </w:rPr>
  </w:style>
  <w:style w:type="paragraph" w:styleId="NormalWeb">
    <w:name w:val="Normal (Web)"/>
    <w:basedOn w:val="Normal"/>
    <w:uiPriority w:val="99"/>
    <w:semiHidden/>
    <w:rsid w:val="0098410D"/>
    <w:rPr>
      <w:rFonts w:ascii="Times New Roman" w:hAnsi="Times New Roman" w:cs="Times New Roman"/>
      <w:szCs w:val="24"/>
    </w:rPr>
  </w:style>
  <w:style w:type="paragraph" w:styleId="NormalIndent">
    <w:name w:val="Normal Indent"/>
    <w:basedOn w:val="Normal"/>
    <w:uiPriority w:val="99"/>
    <w:semiHidden/>
    <w:rsid w:val="0098410D"/>
    <w:pPr>
      <w:ind w:left="720"/>
    </w:pPr>
  </w:style>
  <w:style w:type="paragraph" w:styleId="NoteHeading">
    <w:name w:val="Note Heading"/>
    <w:basedOn w:val="Normal"/>
    <w:next w:val="Normal"/>
    <w:link w:val="NoteHeadingChar"/>
    <w:uiPriority w:val="99"/>
    <w:semiHidden/>
    <w:rsid w:val="0098410D"/>
  </w:style>
  <w:style w:type="character" w:customStyle="1" w:styleId="NoteHeadingChar">
    <w:name w:val="Note Heading Char"/>
    <w:basedOn w:val="DefaultParagraphFont"/>
    <w:link w:val="NoteHeading"/>
    <w:uiPriority w:val="99"/>
    <w:semiHidden/>
    <w:rsid w:val="0098410D"/>
    <w:rPr>
      <w:rFonts w:eastAsiaTheme="minorEastAsia"/>
      <w:sz w:val="24"/>
    </w:rPr>
  </w:style>
  <w:style w:type="character" w:styleId="PlaceholderText">
    <w:name w:val="Placeholder Text"/>
    <w:basedOn w:val="DefaultParagraphFont"/>
    <w:uiPriority w:val="99"/>
    <w:semiHidden/>
    <w:rsid w:val="0064393B"/>
    <w:rPr>
      <w:color w:val="auto"/>
      <w:bdr w:val="none" w:sz="0" w:space="0" w:color="auto"/>
      <w:shd w:val="clear" w:color="auto" w:fill="DFDFDF" w:themeFill="background2" w:themeFillShade="E6"/>
    </w:rPr>
  </w:style>
  <w:style w:type="paragraph" w:styleId="PlainText">
    <w:name w:val="Plain Text"/>
    <w:basedOn w:val="Normal"/>
    <w:link w:val="PlainTextChar"/>
    <w:uiPriority w:val="99"/>
    <w:semiHidden/>
    <w:rsid w:val="0098410D"/>
    <w:rPr>
      <w:rFonts w:ascii="Consolas" w:hAnsi="Consolas" w:cs="Consolas"/>
      <w:sz w:val="21"/>
      <w:szCs w:val="21"/>
    </w:rPr>
  </w:style>
  <w:style w:type="character" w:customStyle="1" w:styleId="PlainTextChar">
    <w:name w:val="Plain Text Char"/>
    <w:basedOn w:val="DefaultParagraphFont"/>
    <w:link w:val="PlainText"/>
    <w:uiPriority w:val="99"/>
    <w:semiHidden/>
    <w:rsid w:val="0098410D"/>
    <w:rPr>
      <w:rFonts w:ascii="Consolas" w:eastAsiaTheme="minorEastAsia" w:hAnsi="Consolas" w:cs="Consolas"/>
      <w:sz w:val="21"/>
      <w:szCs w:val="21"/>
    </w:rPr>
  </w:style>
  <w:style w:type="paragraph" w:styleId="Salutation">
    <w:name w:val="Salutation"/>
    <w:basedOn w:val="Normal"/>
    <w:next w:val="Normal"/>
    <w:link w:val="SalutationChar"/>
    <w:uiPriority w:val="99"/>
    <w:semiHidden/>
    <w:rsid w:val="0098410D"/>
  </w:style>
  <w:style w:type="character" w:customStyle="1" w:styleId="SalutationChar">
    <w:name w:val="Salutation Char"/>
    <w:basedOn w:val="DefaultParagraphFont"/>
    <w:link w:val="Salutation"/>
    <w:uiPriority w:val="99"/>
    <w:semiHidden/>
    <w:rsid w:val="0098410D"/>
    <w:rPr>
      <w:rFonts w:eastAsiaTheme="minorEastAsia"/>
      <w:sz w:val="24"/>
    </w:rPr>
  </w:style>
  <w:style w:type="paragraph" w:styleId="Signature">
    <w:name w:val="Signature"/>
    <w:basedOn w:val="Normal"/>
    <w:link w:val="SignatureChar"/>
    <w:uiPriority w:val="99"/>
    <w:semiHidden/>
    <w:rsid w:val="0098410D"/>
    <w:pPr>
      <w:ind w:left="4252"/>
    </w:pPr>
  </w:style>
  <w:style w:type="character" w:customStyle="1" w:styleId="SignatureChar">
    <w:name w:val="Signature Char"/>
    <w:basedOn w:val="DefaultParagraphFont"/>
    <w:link w:val="Signature"/>
    <w:uiPriority w:val="99"/>
    <w:semiHidden/>
    <w:rsid w:val="0098410D"/>
    <w:rPr>
      <w:rFonts w:eastAsiaTheme="minorEastAsia"/>
      <w:sz w:val="24"/>
    </w:rPr>
  </w:style>
  <w:style w:type="table" w:styleId="Table3Deffects1">
    <w:name w:val="Table 3D effects 1"/>
    <w:basedOn w:val="TableNormal"/>
    <w:uiPriority w:val="99"/>
    <w:semiHidden/>
    <w:unhideWhenUsed/>
    <w:rsid w:val="0098410D"/>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98410D"/>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98410D"/>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98410D"/>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98410D"/>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98410D"/>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98410D"/>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98410D"/>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98410D"/>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98410D"/>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98410D"/>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98410D"/>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98410D"/>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98410D"/>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98410D"/>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98410D"/>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98410D"/>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98410D"/>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98410D"/>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98410D"/>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98410D"/>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98410D"/>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98410D"/>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98410D"/>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98410D"/>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98410D"/>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98410D"/>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98410D"/>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98410D"/>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98410D"/>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98410D"/>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98410D"/>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98410D"/>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rsid w:val="0098410D"/>
    <w:pPr>
      <w:ind w:left="240" w:hanging="240"/>
    </w:pPr>
  </w:style>
  <w:style w:type="paragraph" w:styleId="TableofFigures">
    <w:name w:val="table of figures"/>
    <w:basedOn w:val="Normal"/>
    <w:next w:val="Normal"/>
    <w:uiPriority w:val="99"/>
    <w:semiHidden/>
    <w:rsid w:val="0098410D"/>
  </w:style>
  <w:style w:type="table" w:styleId="TableProfessional">
    <w:name w:val="Table Professional"/>
    <w:basedOn w:val="TableNormal"/>
    <w:uiPriority w:val="99"/>
    <w:semiHidden/>
    <w:unhideWhenUsed/>
    <w:rsid w:val="0098410D"/>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98410D"/>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98410D"/>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98410D"/>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98410D"/>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98410D"/>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98410D"/>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98410D"/>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98410D"/>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98410D"/>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6">
    <w:name w:val="toc 6"/>
    <w:basedOn w:val="Normal"/>
    <w:next w:val="Normal"/>
    <w:autoRedefine/>
    <w:uiPriority w:val="99"/>
    <w:semiHidden/>
    <w:rsid w:val="0064393B"/>
    <w:pPr>
      <w:tabs>
        <w:tab w:val="right" w:leader="dot" w:pos="7371"/>
      </w:tabs>
      <w:spacing w:after="60" w:line="240" w:lineRule="exact"/>
      <w:ind w:left="2041" w:right="567" w:hanging="340"/>
    </w:pPr>
    <w:rPr>
      <w:sz w:val="20"/>
    </w:rPr>
  </w:style>
  <w:style w:type="paragraph" w:styleId="TOC7">
    <w:name w:val="toc 7"/>
    <w:basedOn w:val="Normal"/>
    <w:next w:val="Normal"/>
    <w:autoRedefine/>
    <w:uiPriority w:val="99"/>
    <w:semiHidden/>
    <w:rsid w:val="0064393B"/>
    <w:pPr>
      <w:tabs>
        <w:tab w:val="right" w:leader="dot" w:pos="7371"/>
      </w:tabs>
      <w:spacing w:after="60" w:line="240" w:lineRule="exact"/>
      <w:ind w:left="2381" w:right="567" w:hanging="340"/>
    </w:pPr>
    <w:rPr>
      <w:sz w:val="20"/>
    </w:rPr>
  </w:style>
  <w:style w:type="paragraph" w:styleId="TOC8">
    <w:name w:val="toc 8"/>
    <w:basedOn w:val="Normal"/>
    <w:next w:val="Normal"/>
    <w:autoRedefine/>
    <w:uiPriority w:val="99"/>
    <w:semiHidden/>
    <w:rsid w:val="0098410D"/>
    <w:pPr>
      <w:spacing w:after="100"/>
      <w:ind w:left="1680"/>
    </w:pPr>
  </w:style>
  <w:style w:type="paragraph" w:styleId="TOC9">
    <w:name w:val="toc 9"/>
    <w:basedOn w:val="Normal"/>
    <w:next w:val="Normal"/>
    <w:autoRedefine/>
    <w:uiPriority w:val="99"/>
    <w:semiHidden/>
    <w:rsid w:val="0098410D"/>
    <w:pPr>
      <w:spacing w:after="100"/>
      <w:ind w:left="1920"/>
    </w:pPr>
  </w:style>
  <w:style w:type="paragraph" w:customStyle="1" w:styleId="OpiH1">
    <w:name w:val="Opi_H_1"/>
    <w:basedOn w:val="ECHRHeading2"/>
    <w:uiPriority w:val="42"/>
    <w:qFormat/>
    <w:rsid w:val="00842EAD"/>
    <w:pPr>
      <w:ind w:left="635" w:hanging="357"/>
      <w:outlineLvl w:val="2"/>
    </w:pPr>
  </w:style>
  <w:style w:type="paragraph" w:customStyle="1" w:styleId="OpiHa0">
    <w:name w:val="Opi_H_a"/>
    <w:basedOn w:val="ECHRHeading3"/>
    <w:uiPriority w:val="43"/>
    <w:qFormat/>
    <w:rsid w:val="00842EAD"/>
    <w:pPr>
      <w:ind w:left="833" w:hanging="357"/>
      <w:outlineLvl w:val="3"/>
    </w:pPr>
    <w:rPr>
      <w:b/>
      <w:i w:val="0"/>
      <w:sz w:val="20"/>
    </w:rPr>
  </w:style>
  <w:style w:type="paragraph" w:customStyle="1" w:styleId="ECHRFooter">
    <w:name w:val="ECHR_Footer"/>
    <w:aliases w:val="Footer_ECHR"/>
    <w:basedOn w:val="Footer"/>
    <w:uiPriority w:val="57"/>
    <w:semiHidden/>
    <w:rsid w:val="0064393B"/>
    <w:pPr>
      <w:jc w:val="left"/>
    </w:pPr>
    <w:rPr>
      <w:sz w:val="8"/>
    </w:rPr>
  </w:style>
  <w:style w:type="paragraph" w:customStyle="1" w:styleId="ECHRFooterLine">
    <w:name w:val="ECHR_Footer_Line"/>
    <w:aliases w:val="Footer_Line"/>
    <w:basedOn w:val="Normal"/>
    <w:next w:val="ECHRFooter"/>
    <w:uiPriority w:val="57"/>
    <w:semiHidden/>
    <w:rsid w:val="0064393B"/>
    <w:pPr>
      <w:pBdr>
        <w:top w:val="single" w:sz="6" w:space="1" w:color="5F5F5F"/>
      </w:pBdr>
      <w:tabs>
        <w:tab w:val="center" w:pos="4536"/>
        <w:tab w:val="right" w:pos="9696"/>
      </w:tabs>
      <w:ind w:left="-680" w:right="-680"/>
      <w:jc w:val="left"/>
    </w:pPr>
    <w:rPr>
      <w:color w:val="5F5F5F"/>
    </w:rPr>
  </w:style>
  <w:style w:type="paragraph" w:customStyle="1" w:styleId="ECHRTitleCentre2">
    <w:name w:val="ECHR_Title_Centre_2"/>
    <w:aliases w:val="Dec_H_Case"/>
    <w:basedOn w:val="Normal"/>
    <w:next w:val="ECHRPara"/>
    <w:uiPriority w:val="8"/>
    <w:qFormat/>
    <w:rsid w:val="00842EAD"/>
    <w:pPr>
      <w:spacing w:after="240"/>
      <w:jc w:val="center"/>
      <w:outlineLvl w:val="0"/>
    </w:pPr>
    <w:rPr>
      <w:rFonts w:asciiTheme="majorHAnsi" w:hAnsiTheme="majorHAnsi"/>
      <w:lang w:val="en-GB"/>
    </w:rPr>
  </w:style>
  <w:style w:type="paragraph" w:customStyle="1" w:styleId="OpiHi">
    <w:name w:val="Opi_H_i"/>
    <w:basedOn w:val="ECHRHeading4"/>
    <w:uiPriority w:val="44"/>
    <w:qFormat/>
    <w:rsid w:val="00842EAD"/>
    <w:pPr>
      <w:ind w:left="1037" w:hanging="357"/>
      <w:outlineLvl w:val="4"/>
    </w:pPr>
    <w:rPr>
      <w:b w:val="0"/>
      <w:i/>
    </w:rPr>
  </w:style>
  <w:style w:type="paragraph" w:customStyle="1" w:styleId="JuHeaderLandscape">
    <w:name w:val="Ju_Header_Landscape"/>
    <w:basedOn w:val="ECHRHeader"/>
    <w:uiPriority w:val="4"/>
    <w:qFormat/>
    <w:rsid w:val="00842EAD"/>
    <w:pPr>
      <w:tabs>
        <w:tab w:val="clear" w:pos="3686"/>
        <w:tab w:val="clear" w:pos="7371"/>
        <w:tab w:val="center" w:pos="6146"/>
        <w:tab w:val="right" w:pos="12293"/>
      </w:tabs>
    </w:pPr>
  </w:style>
  <w:style w:type="paragraph" w:customStyle="1" w:styleId="DummyStyle">
    <w:name w:val="Dummy_Style"/>
    <w:basedOn w:val="Normal"/>
    <w:semiHidden/>
    <w:qFormat/>
    <w:rsid w:val="00842EAD"/>
    <w:rPr>
      <w:color w:val="00B050"/>
      <w:lang w:val="en-GB"/>
    </w:rPr>
  </w:style>
  <w:style w:type="character" w:customStyle="1" w:styleId="ECHRParaChar">
    <w:name w:val="ECHR_Para Char"/>
    <w:aliases w:val="Ju_Para Char"/>
    <w:link w:val="ECHRPara"/>
    <w:uiPriority w:val="12"/>
    <w:rsid w:val="009217FF"/>
    <w:rPr>
      <w:rFonts w:eastAsiaTheme="minorEastAsia"/>
      <w:sz w:val="24"/>
      <w:lang w:val="en-GB"/>
    </w:rPr>
  </w:style>
  <w:style w:type="paragraph" w:customStyle="1" w:styleId="ECHRHeaderRefIt">
    <w:name w:val="ECHR_Header_Ref_It"/>
    <w:aliases w:val="Ref_Ital"/>
    <w:basedOn w:val="Normal"/>
    <w:next w:val="Normal"/>
    <w:uiPriority w:val="38"/>
    <w:rsid w:val="009217FF"/>
    <w:pPr>
      <w:jc w:val="right"/>
    </w:pPr>
    <w:rPr>
      <w:rFonts w:eastAsiaTheme="minorHAnsi"/>
      <w:i/>
      <w:sz w:val="20"/>
      <w:lang w:val="en-GB"/>
    </w:rPr>
  </w:style>
  <w:style w:type="paragraph" w:styleId="Revision">
    <w:name w:val="Revision"/>
    <w:hidden/>
    <w:uiPriority w:val="99"/>
    <w:semiHidden/>
    <w:rsid w:val="009217FF"/>
    <w:rPr>
      <w:rFonts w:eastAsiaTheme="minorEastAsia"/>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6454315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5.xml"/><Relationship Id="rId3" Type="http://schemas.openxmlformats.org/officeDocument/2006/relationships/styles" Target="styles.xml"/><Relationship Id="rId21" Type="http://schemas.openxmlformats.org/officeDocument/2006/relationships/customXml" Target="../customXml/item2.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4.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customXml" Target="../customXml/item4.xml"/><Relationship Id="rId10" Type="http://schemas.openxmlformats.org/officeDocument/2006/relationships/footer" Target="footer1.xm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yperlink" Target="https://hudoc.echr.coe.int/eng" TargetMode="External"/><Relationship Id="rId22" Type="http://schemas.openxmlformats.org/officeDocument/2006/relationships/customXml" Target="../customXml/item3.xml"/></Relationships>
</file>

<file path=word/_rels/footer2.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ECHR_Theme_Judgments_Decisions_Reports">
  <a:themeElements>
    <a:clrScheme name="ECHR_grey">
      <a:dk1>
        <a:sysClr val="windowText" lastClr="000000"/>
      </a:dk1>
      <a:lt1>
        <a:srgbClr val="0072BC"/>
      </a:lt1>
      <a:dk2>
        <a:srgbClr val="C6C6C6"/>
      </a:dk2>
      <a:lt2>
        <a:srgbClr val="F8F8F8"/>
      </a:lt2>
      <a:accent1>
        <a:srgbClr val="0072BC"/>
      </a:accent1>
      <a:accent2>
        <a:srgbClr val="C00000"/>
      </a:accent2>
      <a:accent3>
        <a:srgbClr val="5F5F5F"/>
      </a:accent3>
      <a:accent4>
        <a:srgbClr val="969696"/>
      </a:accent4>
      <a:accent5>
        <a:srgbClr val="5F5F5F"/>
      </a:accent5>
      <a:accent6>
        <a:srgbClr val="4D4D4D"/>
      </a:accent6>
      <a:hlink>
        <a:srgbClr val="0072BC"/>
      </a:hlink>
      <a:folHlink>
        <a:srgbClr val="7030A0"/>
      </a:folHlink>
    </a:clrScheme>
    <a:fontScheme name="ECHR_Judgments_Reports_Decisions">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shade val="50000"/>
                <a:satMod val="155000"/>
              </a:schemeClr>
            </a:gs>
            <a:gs pos="35000">
              <a:schemeClr val="phClr">
                <a:shade val="75000"/>
                <a:satMod val="155000"/>
              </a:schemeClr>
            </a:gs>
            <a:gs pos="100000">
              <a:schemeClr val="phClr">
                <a:tint val="80000"/>
                <a:satMod val="255000"/>
              </a:schemeClr>
            </a:gs>
          </a:gsLst>
          <a:lin ang="16200000" scaled="0"/>
        </a:gradFill>
        <a:gradFill rotWithShape="1">
          <a:gsLst>
            <a:gs pos="0">
              <a:schemeClr val="phClr">
                <a:tint val="80000"/>
                <a:satMod val="300000"/>
              </a:schemeClr>
            </a:gs>
            <a:gs pos="100000">
              <a:schemeClr val="phClr">
                <a:shade val="30000"/>
                <a:satMod val="200000"/>
              </a:schemeClr>
            </a:gs>
          </a:gsLst>
          <a:path path="circle">
            <a:fillToRect l="100000" t="100000" r="100000" b="10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558EB02BDB9E204AB350EDD385B68E10" ma:contentTypeVersion="0" ma:contentTypeDescription="Create a new document." ma:contentTypeScope="" ma:versionID="4c0f801ee557d5c8fba2c83aceb7a3a2">
  <xsd:schema xmlns:xsd="http://www.w3.org/2001/XMLSchema" xmlns:xs="http://www.w3.org/2001/XMLSchema" xmlns:p="http://schemas.microsoft.com/office/2006/metadata/properties" targetNamespace="http://schemas.microsoft.com/office/2006/metadata/properties" ma:root="true" ma:fieldsID="66a9e0779a85d62bb2248c31b91edb7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9D18C102-AB6D-4F3A-B6F5-41F9CBCCE9A2}"/>
</file>

<file path=customXml/itemProps2.xml><?xml version="1.0" encoding="utf-8"?>
<ds:datastoreItem xmlns:ds="http://schemas.openxmlformats.org/officeDocument/2006/customXml" ds:itemID="{E360E0B6-A5A7-427F-9A0A-D5A4A070F556}"/>
</file>

<file path=customXml/itemProps3.xml><?xml version="1.0" encoding="utf-8"?>
<ds:datastoreItem xmlns:ds="http://schemas.openxmlformats.org/officeDocument/2006/customXml" ds:itemID="{19BAD10B-641B-4B1E-8214-7EE9CABDCB82}"/>
</file>

<file path=customXml/itemProps4.xml><?xml version="1.0" encoding="utf-8"?>
<ds:datastoreItem xmlns:ds="http://schemas.openxmlformats.org/officeDocument/2006/customXml" ds:itemID="{5CAB0E1B-0AE9-4D36-8C9D-A9D2E3CF9F34}"/>
</file>

<file path=docProps/app.xml><?xml version="1.0" encoding="utf-8"?>
<Properties xmlns="http://schemas.openxmlformats.org/officeDocument/2006/extended-properties" xmlns:vt="http://schemas.openxmlformats.org/officeDocument/2006/docPropsVTypes">
  <Template>Normal.dotm</Template>
  <TotalTime>0</TotalTime>
  <Pages>1</Pages>
  <Words>4908</Words>
  <Characters>27976</Characters>
  <Application>Microsoft Office Word</Application>
  <DocSecurity>0</DocSecurity>
  <Lines>233</Lines>
  <Paragraphs>65</Paragraphs>
  <ScaleCrop>false</ScaleCrop>
  <HeadingPairs>
    <vt:vector size="2" baseType="variant">
      <vt:variant>
        <vt:lpstr>Title</vt:lpstr>
      </vt:variant>
      <vt:variant>
        <vt:i4>1</vt:i4>
      </vt:variant>
    </vt:vector>
  </HeadingPairs>
  <TitlesOfParts>
    <vt:vector size="1" baseType="lpstr">
      <vt:lpstr>ECHR</vt:lpstr>
    </vt:vector>
  </TitlesOfParts>
  <Manager/>
  <Company/>
  <LinksUpToDate>false</LinksUpToDate>
  <CharactersWithSpaces>32819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ECHR</dc:title>
  <dc:subject>JUD</dc:subject>
  <dc:creator/>
  <cp:keywords/>
  <cp:lastModifiedBy/>
  <cp:revision>1</cp:revision>
  <dcterms:created xsi:type="dcterms:W3CDTF">2019-08-31T10:57:00Z</dcterms:created>
  <dcterms:modified xsi:type="dcterms:W3CDTF">2019-08-31T10:57:00Z</dcterms:modified>
  <cp:category>ECHR Template</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stLanguage">
    <vt:i4>2057</vt:i4>
  </property>
  <property fmtid="{D5CDD505-2E9C-101B-9397-08002B2CF9AE}" pid="3" name="RegisteredNo">
    <vt:lpwstr>10992/14</vt:lpwstr>
  </property>
  <property fmtid="{D5CDD505-2E9C-101B-9397-08002B2CF9AE}" pid="4" name="CASEID">
    <vt:lpwstr>972727</vt:lpwstr>
  </property>
  <property fmtid="{D5CDD505-2E9C-101B-9397-08002B2CF9AE}" pid="5" name="ContentTypeId">
    <vt:lpwstr>0x010100558EB02BDB9E204AB350EDD385B68E10</vt:lpwstr>
  </property>
</Properties>
</file>