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55066" w:rsidR="00587FCD" w:rsidP="00E55066" w:rsidRDefault="00587FCD">
      <w:pPr>
        <w:jc w:val="center"/>
        <w:rPr>
          <w:rFonts w:ascii="Times New Roman" w:hAnsi="Times New Roman" w:cs="Times New Roman"/>
        </w:rPr>
      </w:pPr>
      <w:bookmarkStart w:name="_GoBack" w:id="0"/>
      <w:bookmarkEnd w:id="0"/>
    </w:p>
    <w:p w:rsidRPr="00E55066" w:rsidR="00BB5E22" w:rsidP="00E55066" w:rsidRDefault="00BB5E22">
      <w:pPr>
        <w:jc w:val="center"/>
        <w:rPr>
          <w:rFonts w:ascii="Times New Roman" w:hAnsi="Times New Roman" w:cs="Times New Roman"/>
        </w:rPr>
      </w:pPr>
    </w:p>
    <w:p w:rsidRPr="00E55066" w:rsidR="0098410D" w:rsidP="00E55066" w:rsidRDefault="0098410D">
      <w:pPr>
        <w:jc w:val="center"/>
      </w:pPr>
    </w:p>
    <w:p w:rsidRPr="00E55066" w:rsidR="0098410D" w:rsidP="00E55066" w:rsidRDefault="00587FCD">
      <w:pPr>
        <w:tabs>
          <w:tab w:val="left" w:pos="5529"/>
        </w:tabs>
        <w:jc w:val="center"/>
      </w:pPr>
      <w:r w:rsidRPr="00E55066">
        <w:t>FIRST SECTION</w:t>
      </w:r>
    </w:p>
    <w:p w:rsidRPr="00E55066" w:rsidR="00E95C1E" w:rsidP="00E55066" w:rsidRDefault="00E95C1E">
      <w:pPr>
        <w:jc w:val="center"/>
      </w:pPr>
    </w:p>
    <w:p w:rsidRPr="00E55066" w:rsidR="00BF118F" w:rsidP="00E55066" w:rsidRDefault="00BF118F">
      <w:pPr>
        <w:jc w:val="center"/>
      </w:pPr>
    </w:p>
    <w:p w:rsidRPr="00E55066" w:rsidR="00BF118F" w:rsidP="00E55066" w:rsidRDefault="00BF118F">
      <w:pPr>
        <w:jc w:val="center"/>
      </w:pPr>
    </w:p>
    <w:p w:rsidRPr="00E55066" w:rsidR="00BB5E22" w:rsidP="00E55066" w:rsidRDefault="00BB5E22">
      <w:pPr>
        <w:jc w:val="center"/>
      </w:pPr>
    </w:p>
    <w:p w:rsidRPr="00E55066" w:rsidR="00BB5E22" w:rsidP="00E55066" w:rsidRDefault="00BB5E22">
      <w:pPr>
        <w:jc w:val="center"/>
      </w:pPr>
    </w:p>
    <w:p w:rsidRPr="00E55066" w:rsidR="0098410D" w:rsidP="00E55066" w:rsidRDefault="0098410D">
      <w:pPr>
        <w:jc w:val="center"/>
      </w:pPr>
    </w:p>
    <w:p w:rsidRPr="00E55066" w:rsidR="008E6217" w:rsidP="00E55066" w:rsidRDefault="008E6217">
      <w:pPr>
        <w:jc w:val="center"/>
        <w:rPr>
          <w:b/>
        </w:rPr>
      </w:pPr>
      <w:bookmarkStart w:name="To" w:id="1"/>
      <w:r w:rsidRPr="00E55066">
        <w:rPr>
          <w:b/>
        </w:rPr>
        <w:t xml:space="preserve">CASE OF </w:t>
      </w:r>
      <w:bookmarkEnd w:id="1"/>
      <w:r w:rsidRPr="00E55066" w:rsidR="00587FCD">
        <w:rPr>
          <w:b/>
        </w:rPr>
        <w:t>KLIBA v. CROATIA</w:t>
      </w:r>
    </w:p>
    <w:p w:rsidRPr="00E55066" w:rsidR="00170027" w:rsidP="00E55066" w:rsidRDefault="00170027">
      <w:pPr>
        <w:jc w:val="center"/>
        <w:rPr>
          <w:b/>
        </w:rPr>
      </w:pPr>
    </w:p>
    <w:p w:rsidRPr="00E55066" w:rsidR="00D74888" w:rsidP="00E55066" w:rsidRDefault="008E6217">
      <w:pPr>
        <w:jc w:val="center"/>
        <w:rPr>
          <w:i/>
        </w:rPr>
      </w:pPr>
      <w:r w:rsidRPr="00E55066">
        <w:rPr>
          <w:i/>
        </w:rPr>
        <w:t>(</w:t>
      </w:r>
      <w:r w:rsidRPr="00E55066" w:rsidR="00587FCD">
        <w:rPr>
          <w:i/>
        </w:rPr>
        <w:t>Application no.</w:t>
      </w:r>
      <w:r w:rsidRPr="00E55066">
        <w:rPr>
          <w:i/>
        </w:rPr>
        <w:t xml:space="preserve"> </w:t>
      </w:r>
      <w:r w:rsidRPr="00E55066" w:rsidR="00587FCD">
        <w:rPr>
          <w:i/>
        </w:rPr>
        <w:t>30375/16</w:t>
      </w:r>
      <w:r w:rsidRPr="00E55066">
        <w:rPr>
          <w:i/>
        </w:rPr>
        <w:t>)</w:t>
      </w:r>
    </w:p>
    <w:p w:rsidRPr="00E55066" w:rsidR="0098410D" w:rsidP="00E55066" w:rsidRDefault="0098410D">
      <w:pPr>
        <w:jc w:val="center"/>
        <w:rPr>
          <w:i/>
        </w:rPr>
      </w:pPr>
    </w:p>
    <w:p w:rsidRPr="00E55066" w:rsidR="0098410D" w:rsidP="00E55066" w:rsidRDefault="0098410D">
      <w:pPr>
        <w:jc w:val="center"/>
      </w:pPr>
    </w:p>
    <w:p w:rsidRPr="00E55066" w:rsidR="0098410D" w:rsidP="00E55066" w:rsidRDefault="0098410D">
      <w:pPr>
        <w:jc w:val="center"/>
      </w:pPr>
    </w:p>
    <w:p w:rsidRPr="00E55066" w:rsidR="0098410D" w:rsidP="00E55066" w:rsidRDefault="0098410D">
      <w:pPr>
        <w:jc w:val="center"/>
      </w:pPr>
    </w:p>
    <w:p w:rsidRPr="00E55066" w:rsidR="0098410D" w:rsidP="00E55066" w:rsidRDefault="0098410D">
      <w:pPr>
        <w:jc w:val="center"/>
      </w:pPr>
    </w:p>
    <w:p w:rsidRPr="00E55066" w:rsidR="0098410D" w:rsidP="00E55066" w:rsidRDefault="0098410D">
      <w:pPr>
        <w:jc w:val="center"/>
      </w:pPr>
    </w:p>
    <w:p w:rsidRPr="00E55066" w:rsidR="0098410D" w:rsidP="00E55066" w:rsidRDefault="0098410D">
      <w:pPr>
        <w:jc w:val="center"/>
      </w:pPr>
    </w:p>
    <w:p w:rsidRPr="00E55066" w:rsidR="00BB5E22" w:rsidP="00E55066" w:rsidRDefault="00BB5E22">
      <w:pPr>
        <w:jc w:val="center"/>
      </w:pPr>
    </w:p>
    <w:p w:rsidRPr="00E55066" w:rsidR="006462D5" w:rsidP="00E55066" w:rsidRDefault="006462D5">
      <w:pPr>
        <w:jc w:val="center"/>
      </w:pPr>
    </w:p>
    <w:p w:rsidRPr="00E55066" w:rsidR="006462D5" w:rsidP="00E55066" w:rsidRDefault="006462D5">
      <w:pPr>
        <w:jc w:val="center"/>
      </w:pPr>
    </w:p>
    <w:p w:rsidRPr="00E55066" w:rsidR="006462D5" w:rsidP="00E55066" w:rsidRDefault="006462D5">
      <w:pPr>
        <w:jc w:val="center"/>
      </w:pPr>
    </w:p>
    <w:p w:rsidRPr="00E55066" w:rsidR="006462D5" w:rsidP="00E55066" w:rsidRDefault="006462D5">
      <w:pPr>
        <w:jc w:val="center"/>
      </w:pPr>
    </w:p>
    <w:p w:rsidRPr="00E55066" w:rsidR="0098410D" w:rsidP="00E55066" w:rsidRDefault="0098410D">
      <w:pPr>
        <w:jc w:val="center"/>
      </w:pPr>
    </w:p>
    <w:p w:rsidRPr="00E55066" w:rsidR="0098410D" w:rsidP="00E55066" w:rsidRDefault="0098410D">
      <w:pPr>
        <w:jc w:val="center"/>
      </w:pPr>
    </w:p>
    <w:p w:rsidRPr="00E55066" w:rsidR="0098410D" w:rsidP="00E55066" w:rsidRDefault="0098410D">
      <w:pPr>
        <w:jc w:val="center"/>
        <w:outlineLvl w:val="0"/>
      </w:pPr>
      <w:r w:rsidRPr="00E55066">
        <w:t>JUDGMENT</w:t>
      </w:r>
    </w:p>
    <w:p w:rsidRPr="00E55066" w:rsidR="0098410D" w:rsidP="00E55066" w:rsidRDefault="0098410D">
      <w:pPr>
        <w:jc w:val="center"/>
      </w:pPr>
    </w:p>
    <w:p w:rsidRPr="00E55066" w:rsidR="006462D5" w:rsidP="00E55066" w:rsidRDefault="006462D5">
      <w:pPr>
        <w:jc w:val="center"/>
      </w:pPr>
    </w:p>
    <w:p w:rsidRPr="00E55066" w:rsidR="006462D5" w:rsidP="00E55066" w:rsidRDefault="006462D5">
      <w:pPr>
        <w:jc w:val="center"/>
      </w:pPr>
    </w:p>
    <w:p w:rsidRPr="00E55066" w:rsidR="0098410D" w:rsidP="00E55066" w:rsidRDefault="0098410D">
      <w:pPr>
        <w:jc w:val="center"/>
        <w:rPr>
          <w:i/>
        </w:rPr>
      </w:pPr>
    </w:p>
    <w:p w:rsidRPr="00E55066" w:rsidR="0098410D" w:rsidP="00E55066" w:rsidRDefault="0098410D">
      <w:pPr>
        <w:jc w:val="center"/>
        <w:outlineLvl w:val="0"/>
      </w:pPr>
      <w:r w:rsidRPr="00E55066">
        <w:t>STRASBOURG</w:t>
      </w:r>
    </w:p>
    <w:p w:rsidRPr="00E55066" w:rsidR="0098410D" w:rsidP="00E55066" w:rsidRDefault="0098410D">
      <w:pPr>
        <w:jc w:val="center"/>
      </w:pPr>
    </w:p>
    <w:p w:rsidRPr="00E55066" w:rsidR="0098410D" w:rsidP="00E55066" w:rsidRDefault="00587FCD">
      <w:pPr>
        <w:jc w:val="center"/>
      </w:pPr>
      <w:r w:rsidRPr="00E55066">
        <w:rPr>
          <w:rFonts w:ascii="Times New Roman" w:hAnsi="Times New Roman" w:cs="Times New Roman"/>
        </w:rPr>
        <w:t>18 April 2019</w:t>
      </w:r>
    </w:p>
    <w:p w:rsidRPr="00E55066" w:rsidR="0098410D" w:rsidP="00E55066" w:rsidRDefault="0098410D">
      <w:pPr>
        <w:jc w:val="center"/>
      </w:pPr>
    </w:p>
    <w:p w:rsidRPr="00E55066" w:rsidR="0098410D" w:rsidP="00E55066" w:rsidRDefault="0098410D">
      <w:pPr>
        <w:jc w:val="center"/>
      </w:pPr>
    </w:p>
    <w:p w:rsidRPr="00E55066" w:rsidR="0098410D" w:rsidP="00E55066" w:rsidRDefault="0098410D">
      <w:pPr>
        <w:jc w:val="center"/>
      </w:pPr>
    </w:p>
    <w:p w:rsidRPr="00E55066" w:rsidR="002422B6" w:rsidP="00E55066" w:rsidRDefault="0098410D">
      <w:pPr>
        <w:jc w:val="center"/>
        <w:rPr>
          <w:i/>
          <w:sz w:val="22"/>
        </w:rPr>
      </w:pPr>
      <w:r w:rsidRPr="00E55066">
        <w:rPr>
          <w:i/>
          <w:sz w:val="22"/>
        </w:rPr>
        <w:t xml:space="preserve">This judgment </w:t>
      </w:r>
      <w:r w:rsidRPr="00E55066" w:rsidR="00587FCD">
        <w:rPr>
          <w:i/>
          <w:sz w:val="22"/>
        </w:rPr>
        <w:t>is final but it</w:t>
      </w:r>
      <w:r w:rsidRPr="00E55066">
        <w:rPr>
          <w:i/>
          <w:sz w:val="22"/>
        </w:rPr>
        <w:t xml:space="preserve"> may be subject to editorial revision.</w:t>
      </w:r>
    </w:p>
    <w:p w:rsidRPr="00E55066" w:rsidR="0098410D" w:rsidP="00E55066" w:rsidRDefault="0098410D">
      <w:pPr>
        <w:sectPr w:rsidRPr="00E5506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E55066" w:rsidR="0098410D" w:rsidP="00E55066" w:rsidRDefault="0098410D">
      <w:pPr>
        <w:pStyle w:val="JuCase"/>
      </w:pPr>
      <w:r w:rsidRPr="00E55066">
        <w:t xml:space="preserve">In the case of </w:t>
      </w:r>
      <w:proofErr w:type="spellStart"/>
      <w:r w:rsidRPr="00E55066" w:rsidR="00587FCD">
        <w:t>Kliba</w:t>
      </w:r>
      <w:proofErr w:type="spellEnd"/>
      <w:r w:rsidRPr="00E55066" w:rsidR="00587FCD">
        <w:t xml:space="preserve"> v. Croatia</w:t>
      </w:r>
      <w:r w:rsidRPr="00E55066">
        <w:t>,</w:t>
      </w:r>
    </w:p>
    <w:p w:rsidRPr="00E55066" w:rsidR="009F4C8F" w:rsidP="00E55066" w:rsidRDefault="009F4C8F">
      <w:pPr>
        <w:pStyle w:val="ECHRPara"/>
      </w:pPr>
      <w:r w:rsidRPr="00E55066">
        <w:t>The European Court of Human Rights (</w:t>
      </w:r>
      <w:r w:rsidRPr="00E55066" w:rsidR="00587FCD">
        <w:t>First Section</w:t>
      </w:r>
      <w:r w:rsidRPr="00E55066">
        <w:t xml:space="preserve">), sitting as a </w:t>
      </w:r>
      <w:r w:rsidRPr="00E55066" w:rsidR="00587FCD">
        <w:t>Committee</w:t>
      </w:r>
      <w:r w:rsidRPr="00E55066">
        <w:t xml:space="preserve"> composed of:</w:t>
      </w:r>
    </w:p>
    <w:p w:rsidRPr="00E55066" w:rsidR="009F4C8F" w:rsidP="00E55066" w:rsidRDefault="00BB5E22">
      <w:pPr>
        <w:pStyle w:val="ECHRDecisionBody"/>
      </w:pPr>
      <w:r w:rsidRPr="00E55066">
        <w:tab/>
      </w:r>
      <w:proofErr w:type="spellStart"/>
      <w:r w:rsidRPr="00E55066">
        <w:t>Aleš</w:t>
      </w:r>
      <w:proofErr w:type="spellEnd"/>
      <w:r w:rsidRPr="00E55066">
        <w:t xml:space="preserve"> </w:t>
      </w:r>
      <w:proofErr w:type="spellStart"/>
      <w:r w:rsidRPr="00E55066">
        <w:t>Pejchal</w:t>
      </w:r>
      <w:proofErr w:type="spellEnd"/>
      <w:r w:rsidRPr="00E55066">
        <w:t>,</w:t>
      </w:r>
      <w:r w:rsidRPr="00E55066">
        <w:rPr>
          <w:i/>
        </w:rPr>
        <w:t xml:space="preserve"> President,</w:t>
      </w:r>
      <w:r w:rsidRPr="00E55066">
        <w:rPr>
          <w:i/>
        </w:rPr>
        <w:br/>
      </w:r>
      <w:r w:rsidRPr="00E55066">
        <w:tab/>
        <w:t>Tim Eicke,</w:t>
      </w:r>
      <w:r w:rsidRPr="00E55066">
        <w:rPr>
          <w:i/>
        </w:rPr>
        <w:br/>
      </w:r>
      <w:r w:rsidRPr="00E55066">
        <w:tab/>
        <w:t>Jovan Ilievski,</w:t>
      </w:r>
      <w:r w:rsidRPr="00E55066">
        <w:rPr>
          <w:i/>
        </w:rPr>
        <w:t xml:space="preserve"> judges,</w:t>
      </w:r>
      <w:r w:rsidRPr="00E55066" w:rsidR="009F4C8F">
        <w:rPr>
          <w:szCs w:val="24"/>
        </w:rPr>
        <w:br/>
      </w:r>
      <w:r w:rsidRPr="00E55066" w:rsidR="009F4C8F">
        <w:t xml:space="preserve">and </w:t>
      </w:r>
      <w:r w:rsidRPr="00E55066" w:rsidR="00587FCD">
        <w:t>Renata Degener</w:t>
      </w:r>
      <w:r w:rsidRPr="00E55066" w:rsidR="009F4C8F">
        <w:t xml:space="preserve">, </w:t>
      </w:r>
      <w:r w:rsidRPr="00E55066" w:rsidR="00587FCD">
        <w:rPr>
          <w:i/>
        </w:rPr>
        <w:t xml:space="preserve">Deputy Section </w:t>
      </w:r>
      <w:r w:rsidRPr="00E55066" w:rsidR="00587FCD">
        <w:rPr>
          <w:i/>
          <w:iCs/>
        </w:rPr>
        <w:t>Registrar</w:t>
      </w:r>
      <w:r w:rsidRPr="00E55066" w:rsidR="009F4C8F">
        <w:rPr>
          <w:i/>
        </w:rPr>
        <w:t>,</w:t>
      </w:r>
    </w:p>
    <w:p w:rsidRPr="00E55066" w:rsidR="009F4C8F" w:rsidP="00E55066" w:rsidRDefault="009F4C8F">
      <w:pPr>
        <w:pStyle w:val="ECHRPara"/>
      </w:pPr>
      <w:r w:rsidRPr="00E55066">
        <w:t xml:space="preserve">Having deliberated in private on </w:t>
      </w:r>
      <w:r w:rsidRPr="00E55066" w:rsidR="00587FCD">
        <w:rPr>
          <w:szCs w:val="24"/>
        </w:rPr>
        <w:t>26 March 2019</w:t>
      </w:r>
      <w:r w:rsidRPr="00E55066">
        <w:t>,</w:t>
      </w:r>
    </w:p>
    <w:p w:rsidRPr="00E55066" w:rsidR="009F4C8F" w:rsidP="00E55066" w:rsidRDefault="009F4C8F">
      <w:pPr>
        <w:pStyle w:val="ECHRPara"/>
      </w:pPr>
      <w:r w:rsidRPr="00E55066">
        <w:t>Delivers the following judgment, which was adopted on that date:</w:t>
      </w:r>
    </w:p>
    <w:p w:rsidRPr="00E55066" w:rsidR="00587FCD" w:rsidP="00E55066" w:rsidRDefault="00587FCD">
      <w:pPr>
        <w:pStyle w:val="ECHRTitle1"/>
      </w:pPr>
      <w:r w:rsidRPr="00E55066">
        <w:t>PROCEDURE</w:t>
      </w:r>
    </w:p>
    <w:p w:rsidRPr="00E55066" w:rsidR="00587FCD" w:rsidP="00E55066" w:rsidRDefault="00587FCD">
      <w:pPr>
        <w:pStyle w:val="ECHRPara"/>
      </w:pPr>
      <w:r w:rsidRPr="00E55066">
        <w:t xml:space="preserve">1.  The case originated in an application (no. 30375/16) against the Republic of Croatia lodged with the Court under Article 34 of the Convention for the Protection of Human Rights and Fundamental Freedoms (“the Convention”) by a Croatian national, Mr Slobodan </w:t>
      </w:r>
      <w:proofErr w:type="spellStart"/>
      <w:r w:rsidRPr="00E55066">
        <w:t>Kliba</w:t>
      </w:r>
      <w:proofErr w:type="spellEnd"/>
      <w:r w:rsidRPr="00E55066">
        <w:t xml:space="preserve"> (“the applicant”), on 24 May 2016.</w:t>
      </w:r>
    </w:p>
    <w:p w:rsidRPr="00E55066" w:rsidR="00587FCD" w:rsidP="00E55066" w:rsidRDefault="00587FCD">
      <w:pPr>
        <w:pStyle w:val="ECHRPara"/>
      </w:pPr>
      <w:r w:rsidRPr="00E55066">
        <w:t xml:space="preserve">2.  The applicant was represented by Ms V. </w:t>
      </w:r>
      <w:proofErr w:type="spellStart"/>
      <w:r w:rsidRPr="00E55066">
        <w:t>Drenški</w:t>
      </w:r>
      <w:proofErr w:type="spellEnd"/>
      <w:r w:rsidRPr="00E55066">
        <w:t xml:space="preserve"> </w:t>
      </w:r>
      <w:proofErr w:type="spellStart"/>
      <w:r w:rsidRPr="00E55066">
        <w:t>Lasan</w:t>
      </w:r>
      <w:proofErr w:type="spellEnd"/>
      <w:r w:rsidRPr="00E55066">
        <w:t xml:space="preserve">, a lawyer practising in Zagreb. The Croatian Government (“the Government”) were represented by their Agent, Ms </w:t>
      </w:r>
      <w:r w:rsidRPr="00E55066">
        <w:rPr>
          <w:rFonts w:cstheme="minorHAnsi"/>
        </w:rPr>
        <w:t>Š</w:t>
      </w:r>
      <w:r w:rsidRPr="00E55066">
        <w:t xml:space="preserve">. </w:t>
      </w:r>
      <w:proofErr w:type="spellStart"/>
      <w:r w:rsidRPr="00E55066">
        <w:t>Sta</w:t>
      </w:r>
      <w:r w:rsidRPr="00E55066">
        <w:rPr>
          <w:rFonts w:cstheme="minorHAnsi"/>
        </w:rPr>
        <w:t>ž</w:t>
      </w:r>
      <w:r w:rsidRPr="00E55066">
        <w:t>nik</w:t>
      </w:r>
      <w:proofErr w:type="spellEnd"/>
      <w:r w:rsidRPr="00E55066">
        <w:t>.</w:t>
      </w:r>
    </w:p>
    <w:p w:rsidRPr="00E55066" w:rsidR="00587FCD" w:rsidP="00E55066" w:rsidRDefault="00587FCD">
      <w:pPr>
        <w:pStyle w:val="ECHRPara"/>
      </w:pPr>
      <w:r w:rsidRPr="00E55066">
        <w:t xml:space="preserve">3.  On </w:t>
      </w:r>
      <w:r w:rsidRPr="00E55066">
        <w:rPr>
          <w:szCs w:val="24"/>
        </w:rPr>
        <w:t>12 July 2018</w:t>
      </w:r>
      <w:r w:rsidRPr="00E55066">
        <w:t xml:space="preserve"> notice of the complaint concerning the fairness of the criminal proceedings was given to the Government and the remainder of the application was declared inadmissible</w:t>
      </w:r>
      <w:r w:rsidRPr="00E55066">
        <w:rPr>
          <w:szCs w:val="24"/>
        </w:rPr>
        <w:t xml:space="preserve"> </w:t>
      </w:r>
      <w:r w:rsidRPr="00E55066" w:rsidR="006462D5">
        <w:t xml:space="preserve">pursuant to Rule </w:t>
      </w:r>
      <w:r w:rsidRPr="00E55066">
        <w:t>54 § 3 of the Rules of Court.</w:t>
      </w:r>
    </w:p>
    <w:p w:rsidRPr="00E55066" w:rsidR="00587FCD" w:rsidP="00E55066" w:rsidRDefault="00587FCD">
      <w:pPr>
        <w:pStyle w:val="ECHRTitle1"/>
      </w:pPr>
      <w:r w:rsidRPr="00E55066">
        <w:t>THE FACTS</w:t>
      </w:r>
    </w:p>
    <w:p w:rsidRPr="00E55066" w:rsidR="00587FCD" w:rsidP="00E55066" w:rsidRDefault="00587FCD">
      <w:pPr>
        <w:pStyle w:val="ECHRHeading1"/>
      </w:pPr>
      <w:r w:rsidRPr="00E55066">
        <w:t>I.  THE CIRCUMSTANCES OF THE CASE</w:t>
      </w:r>
    </w:p>
    <w:p w:rsidRPr="00E55066" w:rsidR="00587FCD" w:rsidP="00E55066" w:rsidRDefault="00587FCD">
      <w:pPr>
        <w:pStyle w:val="ECHRPara"/>
      </w:pPr>
      <w:r w:rsidRPr="00E55066">
        <w:t xml:space="preserve">4.  The applicant was born in 1954 and lives in </w:t>
      </w:r>
      <w:proofErr w:type="spellStart"/>
      <w:r w:rsidRPr="00E55066">
        <w:t>Vodnjan</w:t>
      </w:r>
      <w:proofErr w:type="spellEnd"/>
      <w:r w:rsidRPr="00E55066">
        <w:t>.</w:t>
      </w:r>
    </w:p>
    <w:p w:rsidRPr="00E55066" w:rsidR="00587FCD" w:rsidP="00E55066" w:rsidRDefault="00587FCD">
      <w:pPr>
        <w:pStyle w:val="ECHRPara"/>
      </w:pPr>
      <w:r w:rsidRPr="00E55066">
        <w:t>5.  The facts of the case, as submitted by the parties, may be summarised as follows.</w:t>
      </w:r>
    </w:p>
    <w:p w:rsidRPr="00E55066" w:rsidR="00587FCD" w:rsidP="00E55066" w:rsidRDefault="00587FCD">
      <w:pPr>
        <w:pStyle w:val="ECHRPara"/>
      </w:pPr>
      <w:r w:rsidRPr="00E55066">
        <w:t>6.  On 9 July 2010 the applicant was indicted before the Pula-</w:t>
      </w:r>
      <w:proofErr w:type="spellStart"/>
      <w:r w:rsidRPr="00E55066">
        <w:t>Pola</w:t>
      </w:r>
      <w:proofErr w:type="spellEnd"/>
      <w:r w:rsidRPr="00E55066">
        <w:t xml:space="preserve"> Municipal Court (</w:t>
      </w:r>
      <w:proofErr w:type="spellStart"/>
      <w:r w:rsidRPr="00E55066">
        <w:rPr>
          <w:i/>
        </w:rPr>
        <w:t>Općinski</w:t>
      </w:r>
      <w:proofErr w:type="spellEnd"/>
      <w:r w:rsidRPr="00E55066">
        <w:rPr>
          <w:i/>
        </w:rPr>
        <w:t xml:space="preserve"> </w:t>
      </w:r>
      <w:proofErr w:type="spellStart"/>
      <w:r w:rsidRPr="00E55066">
        <w:rPr>
          <w:i/>
        </w:rPr>
        <w:t>sud</w:t>
      </w:r>
      <w:proofErr w:type="spellEnd"/>
      <w:r w:rsidRPr="00E55066">
        <w:rPr>
          <w:i/>
        </w:rPr>
        <w:t xml:space="preserve"> u Puli-</w:t>
      </w:r>
      <w:proofErr w:type="spellStart"/>
      <w:r w:rsidRPr="00E55066">
        <w:rPr>
          <w:i/>
        </w:rPr>
        <w:t>Pola</w:t>
      </w:r>
      <w:proofErr w:type="spellEnd"/>
      <w:r w:rsidRPr="00E55066">
        <w:t>) on charges of indecent behaviour.</w:t>
      </w:r>
    </w:p>
    <w:p w:rsidRPr="00E55066" w:rsidR="00587FCD" w:rsidP="00E55066" w:rsidRDefault="00587FCD">
      <w:pPr>
        <w:pStyle w:val="ECHRPara"/>
      </w:pPr>
      <w:r w:rsidRPr="00E55066">
        <w:t>7.  He was tried in summary proceedings (</w:t>
      </w:r>
      <w:proofErr w:type="spellStart"/>
      <w:r w:rsidRPr="00E55066">
        <w:rPr>
          <w:i/>
        </w:rPr>
        <w:t>skraćeni</w:t>
      </w:r>
      <w:proofErr w:type="spellEnd"/>
      <w:r w:rsidRPr="00E55066">
        <w:rPr>
          <w:i/>
        </w:rPr>
        <w:t xml:space="preserve"> </w:t>
      </w:r>
      <w:proofErr w:type="spellStart"/>
      <w:r w:rsidRPr="00E55066">
        <w:rPr>
          <w:i/>
        </w:rPr>
        <w:t>postupak</w:t>
      </w:r>
      <w:proofErr w:type="spellEnd"/>
      <w:r w:rsidRPr="00E55066">
        <w:t>). During the proceedings before the first- and the second-instance courts he was represented by a lawyer, M.K.</w:t>
      </w:r>
    </w:p>
    <w:p w:rsidRPr="00E55066" w:rsidR="00587FCD" w:rsidP="00E55066" w:rsidRDefault="00587FCD">
      <w:pPr>
        <w:pStyle w:val="ECHRPara"/>
      </w:pPr>
      <w:r w:rsidRPr="00E55066">
        <w:t>8.  On 11 October 2011 the Pula-</w:t>
      </w:r>
      <w:proofErr w:type="spellStart"/>
      <w:r w:rsidRPr="00E55066">
        <w:t>Pola</w:t>
      </w:r>
      <w:proofErr w:type="spellEnd"/>
      <w:r w:rsidRPr="00E55066">
        <w:t xml:space="preserve"> Municipal Court found the applicant guilty as charged and sentenced him to one year</w:t>
      </w:r>
      <w:r w:rsidRPr="00E55066" w:rsidR="00E55066">
        <w:t>’</w:t>
      </w:r>
      <w:r w:rsidRPr="00E55066">
        <w:t>s imprisonment.</w:t>
      </w:r>
    </w:p>
    <w:p w:rsidRPr="00E55066" w:rsidR="00587FCD" w:rsidP="00E55066" w:rsidRDefault="00587FCD">
      <w:pPr>
        <w:pStyle w:val="ECHRPara"/>
        <w:rPr>
          <w:rFonts w:ascii="Times New Roman" w:hAnsi="Times New Roman" w:eastAsia="Times New Roman" w:cs="Times New Roman"/>
          <w:szCs w:val="20"/>
          <w:lang w:eastAsia="fr-FR"/>
        </w:rPr>
      </w:pPr>
      <w:r w:rsidRPr="00E55066">
        <w:t>9.  On 7 November 2011 the applicant lodged an appeal with the Pula</w:t>
      </w:r>
      <w:r w:rsidRPr="00E55066">
        <w:noBreakHyphen/>
      </w:r>
      <w:proofErr w:type="spellStart"/>
      <w:r w:rsidRPr="00E55066">
        <w:t>Pola</w:t>
      </w:r>
      <w:proofErr w:type="spellEnd"/>
      <w:r w:rsidRPr="00E55066">
        <w:t xml:space="preserve"> County Court (</w:t>
      </w:r>
      <w:proofErr w:type="spellStart"/>
      <w:r w:rsidRPr="00E55066">
        <w:rPr>
          <w:i/>
        </w:rPr>
        <w:t>Županijski</w:t>
      </w:r>
      <w:proofErr w:type="spellEnd"/>
      <w:r w:rsidRPr="00E55066">
        <w:rPr>
          <w:i/>
        </w:rPr>
        <w:t xml:space="preserve"> </w:t>
      </w:r>
      <w:proofErr w:type="spellStart"/>
      <w:r w:rsidRPr="00E55066">
        <w:rPr>
          <w:i/>
        </w:rPr>
        <w:t>sud</w:t>
      </w:r>
      <w:proofErr w:type="spellEnd"/>
      <w:r w:rsidRPr="00E55066">
        <w:rPr>
          <w:i/>
        </w:rPr>
        <w:t xml:space="preserve"> u Puli-</w:t>
      </w:r>
      <w:proofErr w:type="spellStart"/>
      <w:r w:rsidRPr="00E55066">
        <w:rPr>
          <w:i/>
        </w:rPr>
        <w:t>Pola</w:t>
      </w:r>
      <w:proofErr w:type="spellEnd"/>
      <w:r w:rsidRPr="00E55066">
        <w:t xml:space="preserve">), challenging the factual and legal grounds for his conviction and sentence. </w:t>
      </w:r>
      <w:r w:rsidRPr="00E55066">
        <w:rPr>
          <w:rFonts w:ascii="Times New Roman" w:hAnsi="Times New Roman" w:eastAsia="Times New Roman" w:cs="Times New Roman"/>
          <w:szCs w:val="20"/>
          <w:lang w:eastAsia="fr-FR"/>
        </w:rPr>
        <w:t>He did not ask that he or his lawyer be invited to the session of the appeal panel.</w:t>
      </w:r>
    </w:p>
    <w:p w:rsidRPr="00E55066" w:rsidR="00587FCD" w:rsidP="00E55066" w:rsidRDefault="00587FCD">
      <w:pPr>
        <w:pStyle w:val="ECHRPara"/>
      </w:pPr>
      <w:r w:rsidRPr="00E55066">
        <w:t>10.  On an unspecified date in 2011, the Pula-</w:t>
      </w:r>
      <w:proofErr w:type="spellStart"/>
      <w:r w:rsidRPr="00E55066">
        <w:t>Pola</w:t>
      </w:r>
      <w:proofErr w:type="spellEnd"/>
      <w:r w:rsidRPr="00E55066">
        <w:t xml:space="preserve"> County Court, acting as the court of appeal, forwarded the applicant</w:t>
      </w:r>
      <w:r w:rsidRPr="00E55066" w:rsidR="00E55066">
        <w:t>’</w:t>
      </w:r>
      <w:r w:rsidRPr="00E55066">
        <w:t>s appeal and the Pula-</w:t>
      </w:r>
      <w:proofErr w:type="spellStart"/>
      <w:r w:rsidRPr="00E55066">
        <w:t>Pola</w:t>
      </w:r>
      <w:proofErr w:type="spellEnd"/>
      <w:r w:rsidRPr="00E55066">
        <w:t xml:space="preserve"> Municipal Court</w:t>
      </w:r>
      <w:r w:rsidRPr="00E55066" w:rsidR="00E55066">
        <w:t>’</w:t>
      </w:r>
      <w:r w:rsidRPr="00E55066">
        <w:t>s case file to the Pula</w:t>
      </w:r>
      <w:r w:rsidRPr="00E55066">
        <w:noBreakHyphen/>
      </w:r>
      <w:proofErr w:type="spellStart"/>
      <w:r w:rsidRPr="00E55066">
        <w:t>Pola</w:t>
      </w:r>
      <w:proofErr w:type="spellEnd"/>
      <w:r w:rsidRPr="00E55066">
        <w:t xml:space="preserve"> County </w:t>
      </w:r>
      <w:r w:rsidRPr="00E55066">
        <w:rPr>
          <w:rFonts w:ascii="Times New Roman" w:hAnsi="Times New Roman" w:eastAsia="Times New Roman" w:cs="Times New Roman"/>
          <w:szCs w:val="20"/>
          <w:lang w:eastAsia="fr-FR"/>
        </w:rPr>
        <w:t>State Attorney</w:t>
      </w:r>
      <w:r w:rsidRPr="00E55066" w:rsidR="00E55066">
        <w:rPr>
          <w:rFonts w:ascii="Times New Roman" w:hAnsi="Times New Roman" w:eastAsia="Times New Roman" w:cs="Times New Roman"/>
          <w:szCs w:val="20"/>
          <w:lang w:eastAsia="fr-FR"/>
        </w:rPr>
        <w:t>’</w:t>
      </w:r>
      <w:r w:rsidRPr="00E55066">
        <w:rPr>
          <w:rFonts w:ascii="Times New Roman" w:hAnsi="Times New Roman" w:eastAsia="Times New Roman" w:cs="Times New Roman"/>
          <w:szCs w:val="20"/>
          <w:lang w:eastAsia="fr-FR"/>
        </w:rPr>
        <w:t xml:space="preserve">s Office </w:t>
      </w:r>
      <w:r w:rsidRPr="00E55066">
        <w:t>(</w:t>
      </w:r>
      <w:proofErr w:type="spellStart"/>
      <w:r w:rsidRPr="00E55066">
        <w:rPr>
          <w:i/>
        </w:rPr>
        <w:t>Županijsko</w:t>
      </w:r>
      <w:proofErr w:type="spellEnd"/>
      <w:r w:rsidRPr="00E55066">
        <w:rPr>
          <w:i/>
        </w:rPr>
        <w:t xml:space="preserve"> </w:t>
      </w:r>
      <w:proofErr w:type="spellStart"/>
      <w:r w:rsidRPr="00E55066">
        <w:rPr>
          <w:i/>
        </w:rPr>
        <w:t>državno</w:t>
      </w:r>
      <w:proofErr w:type="spellEnd"/>
      <w:r w:rsidRPr="00E55066">
        <w:rPr>
          <w:i/>
        </w:rPr>
        <w:t xml:space="preserve"> </w:t>
      </w:r>
      <w:proofErr w:type="spellStart"/>
      <w:r w:rsidRPr="00E55066">
        <w:rPr>
          <w:i/>
        </w:rPr>
        <w:t>odvjetništvo</w:t>
      </w:r>
      <w:proofErr w:type="spellEnd"/>
      <w:r w:rsidRPr="00E55066">
        <w:rPr>
          <w:i/>
        </w:rPr>
        <w:t xml:space="preserve"> u Puli-</w:t>
      </w:r>
      <w:proofErr w:type="spellStart"/>
      <w:r w:rsidRPr="00E55066">
        <w:rPr>
          <w:i/>
        </w:rPr>
        <w:t>Pola</w:t>
      </w:r>
      <w:proofErr w:type="spellEnd"/>
      <w:r w:rsidRPr="00E55066">
        <w:t xml:space="preserve">) </w:t>
      </w:r>
      <w:r w:rsidRPr="00E55066">
        <w:rPr>
          <w:rFonts w:ascii="Times New Roman" w:hAnsi="Times New Roman" w:eastAsia="Times New Roman" w:cs="Times New Roman"/>
          <w:szCs w:val="20"/>
          <w:lang w:eastAsia="fr-FR"/>
        </w:rPr>
        <w:t>for their examination and opinion.</w:t>
      </w:r>
    </w:p>
    <w:p w:rsidRPr="00E55066" w:rsidR="00587FCD" w:rsidP="00E55066" w:rsidRDefault="00587FCD">
      <w:pPr>
        <w:pStyle w:val="ECHRPara"/>
        <w:rPr>
          <w:lang w:eastAsia="fr-FR"/>
        </w:rPr>
      </w:pPr>
      <w:r w:rsidRPr="00E55066">
        <w:rPr>
          <w:lang w:eastAsia="fr-FR"/>
        </w:rPr>
        <w:t xml:space="preserve">11.  On 7 December 2011 the </w:t>
      </w:r>
      <w:r w:rsidRPr="00E55066">
        <w:t>Pula-</w:t>
      </w:r>
      <w:proofErr w:type="spellStart"/>
      <w:r w:rsidRPr="00E55066">
        <w:t>Pola</w:t>
      </w:r>
      <w:proofErr w:type="spellEnd"/>
      <w:r w:rsidRPr="00E55066">
        <w:t xml:space="preserve"> County </w:t>
      </w:r>
      <w:r w:rsidRPr="00E55066">
        <w:rPr>
          <w:lang w:eastAsia="fr-FR"/>
        </w:rPr>
        <w:t>State Attorney</w:t>
      </w:r>
      <w:r w:rsidRPr="00E55066" w:rsidR="00E55066">
        <w:rPr>
          <w:lang w:eastAsia="fr-FR"/>
        </w:rPr>
        <w:t>’</w:t>
      </w:r>
      <w:r w:rsidRPr="00E55066">
        <w:rPr>
          <w:lang w:eastAsia="fr-FR"/>
        </w:rPr>
        <w:t>s Office returned the case file to Pula-</w:t>
      </w:r>
      <w:proofErr w:type="spellStart"/>
      <w:r w:rsidRPr="00E55066">
        <w:rPr>
          <w:lang w:eastAsia="fr-FR"/>
        </w:rPr>
        <w:t>Pola</w:t>
      </w:r>
      <w:proofErr w:type="spellEnd"/>
      <w:r w:rsidRPr="00E55066">
        <w:rPr>
          <w:lang w:eastAsia="fr-FR"/>
        </w:rPr>
        <w:t xml:space="preserve"> County Court accompanied by a submission which read as follows:</w:t>
      </w:r>
    </w:p>
    <w:p w:rsidRPr="00E55066" w:rsidR="00587FCD" w:rsidP="00E55066" w:rsidRDefault="00587FCD">
      <w:pPr>
        <w:pStyle w:val="ECHRParaQuote"/>
        <w:rPr>
          <w:lang w:eastAsia="fr-FR"/>
        </w:rPr>
      </w:pPr>
      <w:r w:rsidRPr="00E55066">
        <w:rPr>
          <w:lang w:eastAsia="fr-FR"/>
        </w:rPr>
        <w:t xml:space="preserve">“In the criminal case against Slobodan </w:t>
      </w:r>
      <w:proofErr w:type="spellStart"/>
      <w:r w:rsidRPr="00E55066">
        <w:rPr>
          <w:lang w:eastAsia="fr-FR"/>
        </w:rPr>
        <w:t>Kliba</w:t>
      </w:r>
      <w:proofErr w:type="spellEnd"/>
      <w:r w:rsidRPr="00E55066">
        <w:rPr>
          <w:lang w:eastAsia="fr-FR"/>
        </w:rPr>
        <w:t xml:space="preserve">, accused of the criminal offence referred to in Article 193 § 2 in conjunction with Article 192 § 1 of the Criminal Code, the defence lodged an </w:t>
      </w:r>
      <w:r w:rsidRPr="00E55066" w:rsidR="003837DC">
        <w:rPr>
          <w:lang w:eastAsia="fr-FR"/>
        </w:rPr>
        <w:t>appeal against the judg</w:t>
      </w:r>
      <w:r w:rsidRPr="00E55066">
        <w:rPr>
          <w:lang w:eastAsia="fr-FR"/>
        </w:rPr>
        <w:t>ment of the Pula Municipal Court No. K-344/10 of 11 October 2011 complaining about errors of facts, alleging that the Criminal Code had been violated and challenging the sanction as well as the decision concerning costs and expenses.</w:t>
      </w:r>
    </w:p>
    <w:p w:rsidRPr="00E55066" w:rsidR="00587FCD" w:rsidP="00E55066" w:rsidRDefault="00587FCD">
      <w:pPr>
        <w:pStyle w:val="ECHRParaQuote"/>
        <w:rPr>
          <w:lang w:eastAsia="fr-FR"/>
        </w:rPr>
      </w:pPr>
      <w:r w:rsidRPr="00E55066">
        <w:rPr>
          <w:lang w:eastAsia="fr-FR"/>
        </w:rPr>
        <w:t>I consider the appeal unfounded, therefore I propose that it be dismissed as in my opinion the facts in the criminal proceedings in question were duly established. The Criminal Code was not violated and the sanction inflicted is appropriate, considering the type and seriousness of the criminal offence of which the accused was found guilty. The costs of proceedings were properly estimated and can be borne by the accused, regard being had to his financial status.”</w:t>
      </w:r>
    </w:p>
    <w:p w:rsidRPr="00E55066" w:rsidR="00587FCD" w:rsidP="00E55066" w:rsidRDefault="00587FCD">
      <w:pPr>
        <w:pStyle w:val="ECHRPara"/>
      </w:pPr>
      <w:r w:rsidRPr="00E55066">
        <w:rPr>
          <w:lang w:eastAsia="fr-FR"/>
        </w:rPr>
        <w:t>The submission in question was not forwarded to the defence.</w:t>
      </w:r>
    </w:p>
    <w:p w:rsidRPr="00E55066" w:rsidR="00587FCD" w:rsidP="00E55066" w:rsidRDefault="00587FCD">
      <w:pPr>
        <w:pStyle w:val="ECHRPara"/>
      </w:pPr>
      <w:r w:rsidRPr="00E55066">
        <w:t>12.  On 20 January 2012 the Pula-</w:t>
      </w:r>
      <w:proofErr w:type="spellStart"/>
      <w:r w:rsidRPr="00E55066">
        <w:t>Pola</w:t>
      </w:r>
      <w:proofErr w:type="spellEnd"/>
      <w:r w:rsidRPr="00E55066">
        <w:t xml:space="preserve"> County Court held a session which the parties did not attend. On the same day it dismissed the appeal as unfounded and upheld the first-instance judgment.</w:t>
      </w:r>
    </w:p>
    <w:p w:rsidRPr="00E55066" w:rsidR="00587FCD" w:rsidP="00E55066" w:rsidRDefault="00587FCD">
      <w:pPr>
        <w:pStyle w:val="ECHRPara"/>
      </w:pPr>
      <w:r w:rsidRPr="00E55066">
        <w:rPr>
          <w:lang w:eastAsia="fr-FR"/>
        </w:rPr>
        <w:t>13.  On 13 March 2012 the applicant, represented by lawyer V.D.L., lodged a constitutional complaint with the Constitutional Court (</w:t>
      </w:r>
      <w:proofErr w:type="spellStart"/>
      <w:r w:rsidRPr="00E55066">
        <w:rPr>
          <w:i/>
          <w:lang w:eastAsia="fr-FR"/>
        </w:rPr>
        <w:t>Ustavni</w:t>
      </w:r>
      <w:proofErr w:type="spellEnd"/>
      <w:r w:rsidRPr="00E55066">
        <w:rPr>
          <w:i/>
          <w:lang w:eastAsia="fr-FR"/>
        </w:rPr>
        <w:t xml:space="preserve"> </w:t>
      </w:r>
      <w:proofErr w:type="spellStart"/>
      <w:r w:rsidRPr="00E55066">
        <w:rPr>
          <w:i/>
          <w:lang w:eastAsia="fr-FR"/>
        </w:rPr>
        <w:t>sud</w:t>
      </w:r>
      <w:proofErr w:type="spellEnd"/>
      <w:r w:rsidRPr="00E55066">
        <w:rPr>
          <w:i/>
          <w:lang w:eastAsia="fr-FR"/>
        </w:rPr>
        <w:t xml:space="preserve"> </w:t>
      </w:r>
      <w:proofErr w:type="spellStart"/>
      <w:r w:rsidRPr="00E55066">
        <w:rPr>
          <w:i/>
          <w:lang w:eastAsia="fr-FR"/>
        </w:rPr>
        <w:t>Republike</w:t>
      </w:r>
      <w:proofErr w:type="spellEnd"/>
      <w:r w:rsidRPr="00E55066">
        <w:rPr>
          <w:i/>
          <w:lang w:eastAsia="fr-FR"/>
        </w:rPr>
        <w:t xml:space="preserve"> </w:t>
      </w:r>
      <w:proofErr w:type="spellStart"/>
      <w:r w:rsidRPr="00E55066">
        <w:rPr>
          <w:i/>
          <w:lang w:eastAsia="fr-FR"/>
        </w:rPr>
        <w:t>Hrvatske</w:t>
      </w:r>
      <w:proofErr w:type="spellEnd"/>
      <w:r w:rsidRPr="00E55066">
        <w:rPr>
          <w:lang w:eastAsia="fr-FR"/>
        </w:rPr>
        <w:t xml:space="preserve">) complaining, </w:t>
      </w:r>
      <w:r w:rsidRPr="00E55066">
        <w:rPr>
          <w:i/>
          <w:lang w:eastAsia="fr-FR"/>
        </w:rPr>
        <w:t>inter alia</w:t>
      </w:r>
      <w:r w:rsidRPr="00E55066">
        <w:rPr>
          <w:lang w:eastAsia="fr-FR"/>
        </w:rPr>
        <w:t xml:space="preserve">, </w:t>
      </w:r>
      <w:r w:rsidRPr="00E55066">
        <w:t>that his right to a fair trial had been violated because the submission of the Pula-</w:t>
      </w:r>
      <w:proofErr w:type="spellStart"/>
      <w:r w:rsidRPr="00E55066">
        <w:t>Pola</w:t>
      </w:r>
      <w:proofErr w:type="spellEnd"/>
      <w:r w:rsidRPr="00E55066">
        <w:t xml:space="preserve"> County State Attorney</w:t>
      </w:r>
      <w:r w:rsidRPr="00E55066" w:rsidR="00E55066">
        <w:t>’</w:t>
      </w:r>
      <w:r w:rsidRPr="00E55066">
        <w:t>s Office had not been communicated to the defence.</w:t>
      </w:r>
    </w:p>
    <w:p w:rsidRPr="00E55066" w:rsidR="00587FCD" w:rsidP="00E55066" w:rsidRDefault="00587FCD">
      <w:pPr>
        <w:pStyle w:val="ECHRPara"/>
        <w:rPr>
          <w:lang w:eastAsia="fr-FR"/>
        </w:rPr>
      </w:pPr>
      <w:r w:rsidRPr="00E55066">
        <w:rPr>
          <w:lang w:eastAsia="fr-FR"/>
        </w:rPr>
        <w:t>14.  On 14 January 2016 the Constitutional Court dismissed the applicant</w:t>
      </w:r>
      <w:r w:rsidRPr="00E55066" w:rsidR="00E55066">
        <w:rPr>
          <w:lang w:eastAsia="fr-FR"/>
        </w:rPr>
        <w:t>’</w:t>
      </w:r>
      <w:r w:rsidRPr="00E55066">
        <w:rPr>
          <w:lang w:eastAsia="fr-FR"/>
        </w:rPr>
        <w:t>s constitutional complaint as unfounded. It held that</w:t>
      </w:r>
      <w:r w:rsidRPr="00E55066">
        <w:t xml:space="preserve"> </w:t>
      </w:r>
      <w:r w:rsidRPr="00E55066">
        <w:rPr>
          <w:lang w:eastAsia="fr-FR"/>
        </w:rPr>
        <w:t>the fact that the Pula-</w:t>
      </w:r>
      <w:proofErr w:type="spellStart"/>
      <w:r w:rsidRPr="00E55066">
        <w:rPr>
          <w:lang w:eastAsia="fr-FR"/>
        </w:rPr>
        <w:t>Pola</w:t>
      </w:r>
      <w:proofErr w:type="spellEnd"/>
      <w:r w:rsidRPr="00E55066">
        <w:rPr>
          <w:lang w:eastAsia="fr-FR"/>
        </w:rPr>
        <w:t xml:space="preserve"> County State Attorney</w:t>
      </w:r>
      <w:r w:rsidRPr="00E55066" w:rsidR="00E55066">
        <w:rPr>
          <w:lang w:eastAsia="fr-FR"/>
        </w:rPr>
        <w:t>’</w:t>
      </w:r>
      <w:r w:rsidRPr="00E55066">
        <w:rPr>
          <w:lang w:eastAsia="fr-FR"/>
        </w:rPr>
        <w:t>s Office submission of 12 July 2013 had not been forwarded to the applicant had not breached his constitutional rights, having regard to the content of the submission, the fact that he had been tried in summary proceedings and that he had not asked that he or his lawyer be invited to the session of the appeal panel.</w:t>
      </w:r>
    </w:p>
    <w:p w:rsidRPr="00E55066" w:rsidR="00587FCD" w:rsidP="00E55066" w:rsidRDefault="00587FCD">
      <w:pPr>
        <w:pStyle w:val="ECHRPara"/>
        <w:rPr>
          <w:lang w:eastAsia="fr-FR"/>
        </w:rPr>
      </w:pPr>
      <w:r w:rsidRPr="00E55066">
        <w:rPr>
          <w:lang w:eastAsia="fr-FR"/>
        </w:rPr>
        <w:t>15.  The decision of the Constitutional Court was served on the applicant</w:t>
      </w:r>
      <w:r w:rsidRPr="00E55066" w:rsidR="00E55066">
        <w:rPr>
          <w:lang w:eastAsia="fr-FR"/>
        </w:rPr>
        <w:t>’</w:t>
      </w:r>
      <w:r w:rsidRPr="00E55066">
        <w:rPr>
          <w:lang w:eastAsia="fr-FR"/>
        </w:rPr>
        <w:t>s representative on 2 February 2016.</w:t>
      </w:r>
    </w:p>
    <w:p w:rsidRPr="00E55066" w:rsidR="00587FCD" w:rsidP="00E55066" w:rsidRDefault="00587FCD">
      <w:pPr>
        <w:pStyle w:val="ECHRHeading1"/>
      </w:pPr>
      <w:r w:rsidRPr="00E55066">
        <w:t>II.</w:t>
      </w:r>
      <w:proofErr w:type="gramStart"/>
      <w:r w:rsidRPr="00E55066">
        <w:t>  RELEVANT</w:t>
      </w:r>
      <w:proofErr w:type="gramEnd"/>
      <w:r w:rsidRPr="00E55066">
        <w:t xml:space="preserve"> DOMESTIC LAW AND PRACTICE</w:t>
      </w:r>
    </w:p>
    <w:p w:rsidRPr="00E55066" w:rsidR="00587FCD" w:rsidP="00E55066" w:rsidRDefault="00587FCD">
      <w:pPr>
        <w:pStyle w:val="ECHRPara"/>
      </w:pPr>
      <w:r w:rsidRPr="00E55066">
        <w:t>16.  </w:t>
      </w:r>
      <w:r w:rsidRPr="00E55066">
        <w:rPr>
          <w:lang w:eastAsia="fr-FR"/>
        </w:rPr>
        <w:t>The relevant domestic law in force at the material time, concerning the forwarding of a reasoned submission of the State Attorney</w:t>
      </w:r>
      <w:r w:rsidRPr="00E55066" w:rsidR="00E55066">
        <w:rPr>
          <w:lang w:eastAsia="fr-FR"/>
        </w:rPr>
        <w:t>’</w:t>
      </w:r>
      <w:r w:rsidRPr="00E55066">
        <w:rPr>
          <w:lang w:eastAsia="fr-FR"/>
        </w:rPr>
        <w:t xml:space="preserve">s Office in the course of appeal proceedings to the defence is set out in the cases of </w:t>
      </w:r>
      <w:proofErr w:type="spellStart"/>
      <w:r w:rsidRPr="00E55066">
        <w:rPr>
          <w:rFonts w:asciiTheme="majorHAnsi" w:hAnsiTheme="majorHAnsi" w:eastAsiaTheme="majorEastAsia" w:cstheme="majorBidi"/>
          <w:i/>
          <w:lang w:eastAsia="fr-FR"/>
        </w:rPr>
        <w:t>Zahirović</w:t>
      </w:r>
      <w:proofErr w:type="spellEnd"/>
      <w:r w:rsidRPr="00E55066">
        <w:rPr>
          <w:rFonts w:asciiTheme="majorHAnsi" w:hAnsiTheme="majorHAnsi" w:eastAsiaTheme="majorEastAsia" w:cstheme="majorBidi"/>
          <w:i/>
          <w:lang w:eastAsia="fr-FR"/>
        </w:rPr>
        <w:t xml:space="preserve"> v. Croatia</w:t>
      </w:r>
      <w:r w:rsidRPr="00E55066">
        <w:rPr>
          <w:lang w:eastAsia="fr-FR"/>
        </w:rPr>
        <w:t>, (no. 58590/11, §§ 23 and 25, 25 April 2013)</w:t>
      </w:r>
      <w:r w:rsidRPr="00E55066" w:rsidR="00FD09B8">
        <w:rPr>
          <w:lang w:eastAsia="fr-FR"/>
        </w:rPr>
        <w:t>,</w:t>
      </w:r>
      <w:r w:rsidRPr="00E55066">
        <w:rPr>
          <w:lang w:eastAsia="fr-FR"/>
        </w:rPr>
        <w:t xml:space="preserve"> and </w:t>
      </w:r>
      <w:proofErr w:type="spellStart"/>
      <w:r w:rsidRPr="00E55066">
        <w:rPr>
          <w:rFonts w:eastAsia="Times New Roman"/>
          <w:i/>
          <w:lang w:eastAsia="fr-FR"/>
        </w:rPr>
        <w:t>Lonić</w:t>
      </w:r>
      <w:proofErr w:type="spellEnd"/>
      <w:r w:rsidRPr="00E55066">
        <w:rPr>
          <w:rFonts w:eastAsia="Times New Roman"/>
          <w:i/>
          <w:lang w:eastAsia="fr-FR"/>
        </w:rPr>
        <w:t xml:space="preserve"> v. Croatia</w:t>
      </w:r>
      <w:r w:rsidRPr="00E55066">
        <w:rPr>
          <w:rFonts w:eastAsia="Times New Roman"/>
          <w:lang w:eastAsia="fr-FR"/>
        </w:rPr>
        <w:t>, (no. 8067/12, §§ 36 and 37, 4 December 2014).</w:t>
      </w:r>
    </w:p>
    <w:p w:rsidRPr="00E55066" w:rsidR="00587FCD" w:rsidP="00E55066" w:rsidRDefault="00587FCD">
      <w:pPr>
        <w:pStyle w:val="ECHRTitle1"/>
      </w:pPr>
      <w:r w:rsidRPr="00E55066">
        <w:t>THE LAW</w:t>
      </w:r>
    </w:p>
    <w:p w:rsidRPr="00E55066" w:rsidR="00587FCD" w:rsidP="00E55066" w:rsidRDefault="00587FCD">
      <w:pPr>
        <w:pStyle w:val="ECHRHeading1"/>
      </w:pPr>
      <w:r w:rsidRPr="00E55066">
        <w:t>I.  ALLEGED VIOLATION OF ARTICLE 6 § 1 OF THE CONVENTION</w:t>
      </w:r>
    </w:p>
    <w:p w:rsidRPr="00E55066" w:rsidR="00587FCD" w:rsidP="00E55066" w:rsidRDefault="00587FCD">
      <w:pPr>
        <w:pStyle w:val="ECHRPara"/>
        <w:rPr>
          <w:sz w:val="20"/>
        </w:rPr>
      </w:pPr>
      <w:r w:rsidRPr="00E55066">
        <w:t>17.  The applicant complained that he had not had a fair trial in that</w:t>
      </w:r>
      <w:r w:rsidRPr="00E55066">
        <w:rPr>
          <w:rFonts w:ascii="Times New Roman" w:hAnsi="Times New Roman" w:eastAsia="Times New Roman" w:cs="Times New Roman"/>
          <w:szCs w:val="20"/>
          <w:lang w:eastAsia="fr-FR"/>
        </w:rPr>
        <w:t xml:space="preserve"> the submission of the</w:t>
      </w:r>
      <w:r w:rsidRPr="00E55066">
        <w:t xml:space="preserve"> </w:t>
      </w:r>
      <w:r w:rsidRPr="00E55066">
        <w:rPr>
          <w:rFonts w:ascii="Times New Roman" w:hAnsi="Times New Roman" w:eastAsia="Times New Roman" w:cs="Times New Roman"/>
          <w:szCs w:val="20"/>
          <w:lang w:eastAsia="fr-FR"/>
        </w:rPr>
        <w:t>State Attorney</w:t>
      </w:r>
      <w:r w:rsidRPr="00E55066" w:rsidR="00E55066">
        <w:rPr>
          <w:rFonts w:ascii="Times New Roman" w:hAnsi="Times New Roman" w:eastAsia="Times New Roman" w:cs="Times New Roman"/>
          <w:szCs w:val="20"/>
          <w:lang w:eastAsia="fr-FR"/>
        </w:rPr>
        <w:t>’</w:t>
      </w:r>
      <w:r w:rsidRPr="00E55066">
        <w:rPr>
          <w:rFonts w:ascii="Times New Roman" w:hAnsi="Times New Roman" w:eastAsia="Times New Roman" w:cs="Times New Roman"/>
          <w:szCs w:val="20"/>
          <w:lang w:eastAsia="fr-FR"/>
        </w:rPr>
        <w:t>s Office</w:t>
      </w:r>
      <w:r w:rsidRPr="00E55066">
        <w:t xml:space="preserve"> </w:t>
      </w:r>
      <w:r w:rsidRPr="00E55066">
        <w:rPr>
          <w:rFonts w:ascii="Times New Roman" w:hAnsi="Times New Roman" w:eastAsia="Times New Roman" w:cs="Times New Roman"/>
          <w:szCs w:val="20"/>
          <w:lang w:eastAsia="fr-FR"/>
        </w:rPr>
        <w:t>to the appellate court in the criminal proceedings against him had not been communicated to the defence.</w:t>
      </w:r>
      <w:r w:rsidRPr="00E55066">
        <w:rPr>
          <w:lang w:eastAsia="fr-FR"/>
        </w:rPr>
        <w:t xml:space="preserve"> He relied on </w:t>
      </w:r>
      <w:r w:rsidRPr="00E55066">
        <w:t>Article 6 § 1 of the Convention, which in the relevant part reads as follows:</w:t>
      </w:r>
    </w:p>
    <w:p w:rsidRPr="00E55066" w:rsidR="00587FCD" w:rsidP="00E55066" w:rsidRDefault="00587FCD">
      <w:pPr>
        <w:pStyle w:val="ECHRParaQuote"/>
        <w:rPr>
          <w:rFonts w:eastAsia="Times New Roman"/>
          <w:lang w:eastAsia="fr-FR"/>
        </w:rPr>
      </w:pPr>
      <w:r w:rsidRPr="00E55066">
        <w:rPr>
          <w:rFonts w:eastAsia="Times New Roman"/>
          <w:lang w:eastAsia="fr-FR"/>
        </w:rPr>
        <w:t>“1.</w:t>
      </w:r>
      <w:proofErr w:type="gramStart"/>
      <w:r w:rsidRPr="00E55066">
        <w:rPr>
          <w:rFonts w:eastAsia="Times New Roman"/>
          <w:lang w:eastAsia="fr-FR"/>
        </w:rPr>
        <w:t>  In</w:t>
      </w:r>
      <w:proofErr w:type="gramEnd"/>
      <w:r w:rsidRPr="00E55066">
        <w:rPr>
          <w:rFonts w:eastAsia="Times New Roman"/>
          <w:lang w:eastAsia="fr-FR"/>
        </w:rPr>
        <w:t xml:space="preserve"> the determination of ... any criminal charge against him, everyone is entitled to a fair ... hearing ... by an ... impartial tribunal established by law. ...”</w:t>
      </w:r>
    </w:p>
    <w:p w:rsidRPr="00E55066" w:rsidR="00587FCD" w:rsidP="00E55066" w:rsidRDefault="00587FCD">
      <w:pPr>
        <w:pStyle w:val="ECHRHeading2"/>
      </w:pPr>
      <w:r w:rsidRPr="00E55066">
        <w:t>A.  Admissibility</w:t>
      </w:r>
    </w:p>
    <w:p w:rsidRPr="00E55066" w:rsidR="00587FCD" w:rsidP="00E55066" w:rsidRDefault="00587FCD">
      <w:pPr>
        <w:pStyle w:val="ECHRPara"/>
      </w:pPr>
      <w:r w:rsidRPr="00E55066">
        <w:t>18.  The Court notes that this complaint is not manifestly ill-founded within the meaning of Article 35 § 3 (a) of the Convention. It further notes that it is not inadmissible on any other grounds. It must therefore be declared admissible.</w:t>
      </w:r>
    </w:p>
    <w:p w:rsidRPr="00E55066" w:rsidR="00587FCD" w:rsidP="00E55066" w:rsidRDefault="00587FCD">
      <w:pPr>
        <w:pStyle w:val="ECHRHeading2"/>
      </w:pPr>
      <w:r w:rsidRPr="00E55066">
        <w:t>B.  Merits</w:t>
      </w:r>
    </w:p>
    <w:p w:rsidRPr="00E55066" w:rsidR="00587FCD" w:rsidP="00E55066" w:rsidRDefault="00587FCD">
      <w:pPr>
        <w:pStyle w:val="ECHRHeading3"/>
      </w:pPr>
      <w:r w:rsidRPr="00E55066">
        <w:t>1.  The parties</w:t>
      </w:r>
      <w:r w:rsidRPr="00E55066" w:rsidR="00E55066">
        <w:t>’</w:t>
      </w:r>
      <w:r w:rsidRPr="00E55066">
        <w:t xml:space="preserve"> arguments</w:t>
      </w:r>
    </w:p>
    <w:p w:rsidRPr="00E55066" w:rsidR="00587FCD" w:rsidP="00E55066" w:rsidRDefault="00587FCD">
      <w:pPr>
        <w:pStyle w:val="ECHRPara"/>
      </w:pPr>
      <w:r w:rsidRPr="00E55066">
        <w:t>19.  The applicant maintained that there had been a violation of his right to a fair trial.</w:t>
      </w:r>
    </w:p>
    <w:p w:rsidRPr="00E55066" w:rsidR="00587FCD" w:rsidP="00E55066" w:rsidRDefault="00587FCD">
      <w:pPr>
        <w:pStyle w:val="ECHRPara"/>
      </w:pPr>
      <w:r w:rsidRPr="00E55066">
        <w:t>20.  The Government contended that the Pula-</w:t>
      </w:r>
      <w:proofErr w:type="spellStart"/>
      <w:r w:rsidRPr="00E55066">
        <w:t>Pola</w:t>
      </w:r>
      <w:proofErr w:type="spellEnd"/>
      <w:r w:rsidRPr="00E55066">
        <w:t xml:space="preserve"> County State Attorney</w:t>
      </w:r>
      <w:r w:rsidRPr="00E55066" w:rsidR="00E55066">
        <w:t>’</w:t>
      </w:r>
      <w:r w:rsidRPr="00E55066">
        <w:t>s Office</w:t>
      </w:r>
      <w:r w:rsidRPr="00E55066" w:rsidR="00E55066">
        <w:t>’</w:t>
      </w:r>
      <w:r w:rsidRPr="00E55066">
        <w:t>s submission contained only general statements, and that it was not substantiated by the analysis of either factual or legal issues of the case. It could not have influenced the Pula-</w:t>
      </w:r>
      <w:proofErr w:type="spellStart"/>
      <w:r w:rsidRPr="00E55066">
        <w:t>Pola</w:t>
      </w:r>
      <w:proofErr w:type="spellEnd"/>
      <w:r w:rsidRPr="00E55066">
        <w:t xml:space="preserve"> County Court</w:t>
      </w:r>
      <w:r w:rsidRPr="00E55066" w:rsidR="00E55066">
        <w:t>’</w:t>
      </w:r>
      <w:r w:rsidRPr="00E55066">
        <w:t>s decision in any manner. There had therefore been no reason to communicate the submission in question to the defence.</w:t>
      </w:r>
    </w:p>
    <w:p w:rsidRPr="00E55066" w:rsidR="00587FCD" w:rsidP="00E55066" w:rsidRDefault="00587FCD">
      <w:pPr>
        <w:pStyle w:val="ECHRPara"/>
      </w:pPr>
      <w:r w:rsidRPr="00E55066">
        <w:t>21.  They further submitted that, in the proceedings before the first- and the second-instance courts, the applicant had been represented by an experienced lawyer, M.K., who ought to have known that the appeal submitted by the defence and the first-instance case file would be forwarded to the competent State Attorney</w:t>
      </w:r>
      <w:r w:rsidRPr="00E55066" w:rsidR="00E55066">
        <w:t>’</w:t>
      </w:r>
      <w:r w:rsidRPr="00E55066">
        <w:t>s Office for examination and opinion. The lawyer could therefore have asked to be granted access to the second</w:t>
      </w:r>
      <w:r w:rsidRPr="00E55066">
        <w:noBreakHyphen/>
        <w:t>instance case file, and for the State Attorney</w:t>
      </w:r>
      <w:r w:rsidRPr="00E55066" w:rsidR="00E55066">
        <w:t>’</w:t>
      </w:r>
      <w:r w:rsidRPr="00E55066">
        <w:t>s submission to be communicated to the defence. Moreover, neither the applicant nor his lawyer had asked to be present at the session of the appeal panel. Had they done so, they could have learned about the State Attorney</w:t>
      </w:r>
      <w:r w:rsidRPr="00E55066" w:rsidR="00E55066">
        <w:t>’</w:t>
      </w:r>
      <w:r w:rsidRPr="00E55066">
        <w:t>s submission and replied to it.</w:t>
      </w:r>
    </w:p>
    <w:p w:rsidRPr="00E55066" w:rsidR="00587FCD" w:rsidP="00E55066" w:rsidRDefault="00587FCD">
      <w:pPr>
        <w:pStyle w:val="ECHRHeading3"/>
      </w:pPr>
      <w:r w:rsidRPr="00E55066">
        <w:t>2.  The Court</w:t>
      </w:r>
      <w:r w:rsidRPr="00E55066" w:rsidR="00E55066">
        <w:t>’</w:t>
      </w:r>
      <w:r w:rsidRPr="00E55066">
        <w:t>s assessment</w:t>
      </w:r>
    </w:p>
    <w:p w:rsidRPr="00E55066" w:rsidR="00587FCD" w:rsidP="00E55066" w:rsidRDefault="00587FCD">
      <w:pPr>
        <w:pStyle w:val="ECHRPara"/>
      </w:pPr>
      <w:r w:rsidRPr="00E55066">
        <w:t xml:space="preserve">22.  In the cases of </w:t>
      </w:r>
      <w:proofErr w:type="spellStart"/>
      <w:r w:rsidRPr="00E55066">
        <w:rPr>
          <w:i/>
        </w:rPr>
        <w:t>Zahirović</w:t>
      </w:r>
      <w:proofErr w:type="spellEnd"/>
      <w:r w:rsidRPr="00E55066">
        <w:rPr>
          <w:i/>
        </w:rPr>
        <w:t xml:space="preserve"> </w:t>
      </w:r>
      <w:r w:rsidRPr="00E55066">
        <w:t xml:space="preserve">(cited above, §§ 44-50) and </w:t>
      </w:r>
      <w:proofErr w:type="spellStart"/>
      <w:r w:rsidRPr="00E55066">
        <w:rPr>
          <w:i/>
          <w:lang w:val="pt-PT"/>
        </w:rPr>
        <w:t>Lonić</w:t>
      </w:r>
      <w:proofErr w:type="spellEnd"/>
      <w:r w:rsidRPr="00E55066">
        <w:rPr>
          <w:lang w:val="pt-PT"/>
        </w:rPr>
        <w:t xml:space="preserve"> </w:t>
      </w:r>
      <w:r w:rsidRPr="00E55066">
        <w:rPr>
          <w:i/>
          <w:lang w:val="pt-PT"/>
        </w:rPr>
        <w:t>v. </w:t>
      </w:r>
      <w:proofErr w:type="spellStart"/>
      <w:r w:rsidRPr="00E55066">
        <w:rPr>
          <w:i/>
          <w:lang w:val="pt-PT"/>
        </w:rPr>
        <w:t>Croatia</w:t>
      </w:r>
      <w:proofErr w:type="spellEnd"/>
      <w:r w:rsidRPr="00E55066">
        <w:rPr>
          <w:lang w:val="pt-PT"/>
        </w:rPr>
        <w:t xml:space="preserve"> (no. 8067/12</w:t>
      </w:r>
      <w:r w:rsidRPr="00E55066">
        <w:rPr>
          <w:snapToGrid w:val="0"/>
          <w:lang w:val="pt-PT"/>
        </w:rPr>
        <w:t>, §§ 83-86, 4</w:t>
      </w:r>
      <w:r w:rsidRPr="00E55066">
        <w:rPr>
          <w:snapToGrid w:val="0"/>
        </w:rPr>
        <w:t xml:space="preserve"> December</w:t>
      </w:r>
      <w:r w:rsidRPr="00E55066">
        <w:rPr>
          <w:snapToGrid w:val="0"/>
          <w:lang w:val="pt-PT"/>
        </w:rPr>
        <w:t xml:space="preserve"> 2014), </w:t>
      </w:r>
      <w:r w:rsidRPr="00E55066">
        <w:t>the Court found a violation of the principle of equality of arms and the right to adversarial proceedings under Article 6 § 1 of the Convention on the grounds that a submission of the competent State Attorney</w:t>
      </w:r>
      <w:r w:rsidRPr="00E55066" w:rsidR="00E55066">
        <w:t>’</w:t>
      </w:r>
      <w:r w:rsidRPr="00E55066">
        <w:t>s Office to the appellate court had not been forwarded to the defence.</w:t>
      </w:r>
    </w:p>
    <w:p w:rsidRPr="00E55066" w:rsidR="00587FCD" w:rsidP="00E55066" w:rsidRDefault="00587FCD">
      <w:pPr>
        <w:pStyle w:val="ECHRPara"/>
        <w:rPr>
          <w:rFonts w:cstheme="minorHAnsi"/>
        </w:rPr>
      </w:pPr>
      <w:r w:rsidRPr="00E55066">
        <w:t>23.  </w:t>
      </w:r>
      <w:r w:rsidRPr="00E55066">
        <w:rPr>
          <w:rFonts w:cstheme="minorHAnsi"/>
        </w:rPr>
        <w:t xml:space="preserve">As in </w:t>
      </w:r>
      <w:proofErr w:type="spellStart"/>
      <w:r w:rsidRPr="00E55066">
        <w:rPr>
          <w:rFonts w:cstheme="minorHAnsi"/>
          <w:i/>
        </w:rPr>
        <w:t>Zahirović</w:t>
      </w:r>
      <w:proofErr w:type="spellEnd"/>
      <w:r w:rsidRPr="00E55066">
        <w:rPr>
          <w:rFonts w:cstheme="minorHAnsi"/>
          <w:i/>
        </w:rPr>
        <w:t>,</w:t>
      </w:r>
      <w:r w:rsidRPr="00E55066">
        <w:rPr>
          <w:rFonts w:cstheme="minorHAnsi"/>
        </w:rPr>
        <w:t xml:space="preserve"> under the relevant domestic law applicable at the material time, in the present case there was no obligation on the part of the courts to forward the opinion of the competent State Attorney to the defence (see paragraph 16 above, with further references to §§ 23 and 25 of the </w:t>
      </w:r>
      <w:proofErr w:type="spellStart"/>
      <w:r w:rsidRPr="00E55066">
        <w:rPr>
          <w:rFonts w:cstheme="minorHAnsi"/>
          <w:i/>
        </w:rPr>
        <w:t>Zahirović</w:t>
      </w:r>
      <w:proofErr w:type="spellEnd"/>
      <w:r w:rsidRPr="00E55066">
        <w:rPr>
          <w:rFonts w:cstheme="minorHAnsi"/>
          <w:i/>
        </w:rPr>
        <w:t xml:space="preserve"> </w:t>
      </w:r>
      <w:r w:rsidRPr="00E55066">
        <w:rPr>
          <w:rFonts w:cstheme="minorHAnsi"/>
        </w:rPr>
        <w:t>judgment, in particular Article 373 of the 1997 Code of Criminal Procedure).</w:t>
      </w:r>
    </w:p>
    <w:p w:rsidRPr="00E55066" w:rsidR="00587FCD" w:rsidP="00E55066" w:rsidRDefault="00587FCD">
      <w:pPr>
        <w:pStyle w:val="ECHRPara"/>
      </w:pPr>
      <w:r w:rsidRPr="00E55066">
        <w:t>24.  Referring to the Government</w:t>
      </w:r>
      <w:r w:rsidRPr="00E55066" w:rsidR="00E55066">
        <w:t>’</w:t>
      </w:r>
      <w:r w:rsidRPr="00E55066">
        <w:t>s argument that the prosecution</w:t>
      </w:r>
      <w:r w:rsidRPr="00E55066" w:rsidR="00E55066">
        <w:t>’</w:t>
      </w:r>
      <w:r w:rsidRPr="00E55066">
        <w:t>s submission in question contained only general statements and that it could not have influenced the appellate court</w:t>
      </w:r>
      <w:r w:rsidRPr="00E55066" w:rsidR="00E55066">
        <w:t>’</w:t>
      </w:r>
      <w:r w:rsidRPr="00E55066">
        <w:t>s decision in any manner (see</w:t>
      </w:r>
      <w:r w:rsidRPr="00E55066" w:rsidR="009E192D">
        <w:t> </w:t>
      </w:r>
      <w:r w:rsidRPr="00E55066">
        <w:t>paragraph 20 above), the Court notes that the submission constituted a reasoned opinion on the merits of the case, aiming to influence the appellate court</w:t>
      </w:r>
      <w:r w:rsidRPr="00E55066" w:rsidR="00E55066">
        <w:t>’</w:t>
      </w:r>
      <w:r w:rsidRPr="00E55066">
        <w:t xml:space="preserve">s decision by calling for the appeal to be dismissed (see paragraph 11 above). The Court reiterates that the principle of equality of arms does not depend on further, quantifiable unfairness flowing from a procedural inequality. It is a matter for the defence to assess whether a submission deserves a reaction. It is therefore unfair for the prosecution to make submissions to a court without the knowledge of the defence (see </w:t>
      </w:r>
      <w:proofErr w:type="spellStart"/>
      <w:r w:rsidRPr="00E55066">
        <w:rPr>
          <w:i/>
        </w:rPr>
        <w:t>Zahirović</w:t>
      </w:r>
      <w:proofErr w:type="spellEnd"/>
      <w:r w:rsidRPr="00E55066">
        <w:t xml:space="preserve">, cited above, §§ 43 and 48; </w:t>
      </w:r>
      <w:proofErr w:type="spellStart"/>
      <w:r w:rsidRPr="00E55066">
        <w:rPr>
          <w:i/>
        </w:rPr>
        <w:t>Lonić</w:t>
      </w:r>
      <w:proofErr w:type="spellEnd"/>
      <w:r w:rsidRPr="00E55066">
        <w:t xml:space="preserve">, cited above, § 84, and </w:t>
      </w:r>
      <w:proofErr w:type="spellStart"/>
      <w:r w:rsidRPr="00E55066">
        <w:rPr>
          <w:i/>
        </w:rPr>
        <w:t>Bulut</w:t>
      </w:r>
      <w:proofErr w:type="spellEnd"/>
      <w:r w:rsidRPr="00E55066">
        <w:rPr>
          <w:i/>
        </w:rPr>
        <w:t xml:space="preserve"> v. Austria</w:t>
      </w:r>
      <w:r w:rsidRPr="00E55066">
        <w:t>, 22</w:t>
      </w:r>
      <w:r w:rsidRPr="00E55066" w:rsidR="009E192D">
        <w:t> </w:t>
      </w:r>
      <w:r w:rsidRPr="00E55066">
        <w:t>February 1996, § 49, Reports of Judgments and Decisions 1996</w:t>
      </w:r>
      <w:r w:rsidRPr="00E55066">
        <w:rPr>
          <w:rFonts w:ascii="MS Mincho" w:hAnsi="MS Mincho" w:eastAsia="MS Mincho" w:cs="MS Mincho"/>
        </w:rPr>
        <w:t>‑</w:t>
      </w:r>
      <w:r w:rsidRPr="00E55066">
        <w:t>II).</w:t>
      </w:r>
    </w:p>
    <w:p w:rsidRPr="00E55066" w:rsidR="00587FCD" w:rsidP="00E55066" w:rsidRDefault="00587FCD">
      <w:pPr>
        <w:pStyle w:val="ECHRPara"/>
      </w:pPr>
      <w:r w:rsidRPr="00E55066">
        <w:t>25.  As to the Government</w:t>
      </w:r>
      <w:r w:rsidRPr="00E55066" w:rsidR="00E55066">
        <w:t>’</w:t>
      </w:r>
      <w:r w:rsidRPr="00E55066">
        <w:t>s argument that the applicant</w:t>
      </w:r>
      <w:r w:rsidRPr="00E55066" w:rsidR="00E55066">
        <w:t>’</w:t>
      </w:r>
      <w:r w:rsidRPr="00E55066">
        <w:t>s lawyer ought to have known that the appeal submitted by the defence and the first</w:t>
      </w:r>
      <w:r w:rsidRPr="00E55066">
        <w:noBreakHyphen/>
        <w:t>instance case file would be forwarded to the competent prosecutor for examination and opinion, and could therefore have asked to be granted access to the second-instance case file and for the prosecution</w:t>
      </w:r>
      <w:r w:rsidRPr="00E55066" w:rsidR="00E55066">
        <w:t>’</w:t>
      </w:r>
      <w:r w:rsidRPr="00E55066">
        <w:t xml:space="preserve">s submission to be communicated to the defence (see paragraph 21 above), the Court reiterates that it was for the domestic courts to inform the applicant that the opinion had been filed and that he could, if he so wished, comment on it in writing (see, for example, </w:t>
      </w:r>
      <w:proofErr w:type="spellStart"/>
      <w:r w:rsidRPr="00E55066">
        <w:rPr>
          <w:i/>
        </w:rPr>
        <w:t>Göç</w:t>
      </w:r>
      <w:proofErr w:type="spellEnd"/>
      <w:r w:rsidRPr="00E55066">
        <w:rPr>
          <w:i/>
        </w:rPr>
        <w:t xml:space="preserve"> v. Turkey</w:t>
      </w:r>
      <w:r w:rsidRPr="00E55066">
        <w:t xml:space="preserve"> [GC], no. 36590/97, § 57, ECHR</w:t>
      </w:r>
      <w:r w:rsidRPr="00E55066" w:rsidR="006462D5">
        <w:t> </w:t>
      </w:r>
      <w:r w:rsidRPr="00E55066">
        <w:t>2002 V). To require the applicant</w:t>
      </w:r>
      <w:r w:rsidRPr="00E55066" w:rsidR="00E55066">
        <w:t>’</w:t>
      </w:r>
      <w:r w:rsidRPr="00E55066">
        <w:t xml:space="preserve">s lawyer to take the initiative and inform himself periodically on whether any new elements have been included in the case file would amount to imposing a disproportionate burden on him and would not necessarily have guaranteed a real opportunity to comment on the opinion (ibid., and </w:t>
      </w:r>
      <w:proofErr w:type="spellStart"/>
      <w:r w:rsidRPr="00E55066">
        <w:rPr>
          <w:i/>
        </w:rPr>
        <w:t>Milatová</w:t>
      </w:r>
      <w:proofErr w:type="spellEnd"/>
      <w:r w:rsidRPr="00E55066">
        <w:rPr>
          <w:i/>
        </w:rPr>
        <w:t xml:space="preserve"> and Others v. the Czech Republic</w:t>
      </w:r>
      <w:r w:rsidRPr="00E55066">
        <w:t>, no.</w:t>
      </w:r>
      <w:r w:rsidRPr="00E55066" w:rsidR="009E192D">
        <w:t> </w:t>
      </w:r>
      <w:r w:rsidRPr="00E55066">
        <w:t>61811/00, § 61, ECHR 2005 V).</w:t>
      </w:r>
    </w:p>
    <w:p w:rsidRPr="00E55066" w:rsidR="00587FCD" w:rsidP="00E55066" w:rsidRDefault="00587FCD">
      <w:pPr>
        <w:pStyle w:val="ECHRPara"/>
        <w:rPr>
          <w:rFonts w:eastAsia="Calibri" w:cstheme="minorHAnsi"/>
          <w:bCs/>
          <w:szCs w:val="24"/>
        </w:rPr>
      </w:pPr>
      <w:r w:rsidRPr="00E55066">
        <w:t>26.  </w:t>
      </w:r>
      <w:r w:rsidRPr="00E55066">
        <w:rPr>
          <w:rFonts w:eastAsia="Calibri" w:cstheme="minorHAnsi"/>
          <w:bCs/>
          <w:szCs w:val="24"/>
        </w:rPr>
        <w:t>Lastly, the Government argued that had the applicant or his lawyer asked to be present at the session of the appeal panel they could have learned about the State Attorney</w:t>
      </w:r>
      <w:r w:rsidRPr="00E55066" w:rsidR="00E55066">
        <w:rPr>
          <w:rFonts w:eastAsia="Calibri" w:cstheme="minorHAnsi"/>
          <w:bCs/>
          <w:szCs w:val="24"/>
        </w:rPr>
        <w:t>’</w:t>
      </w:r>
      <w:r w:rsidRPr="00E55066">
        <w:rPr>
          <w:rFonts w:eastAsia="Calibri" w:cstheme="minorHAnsi"/>
          <w:bCs/>
          <w:szCs w:val="24"/>
        </w:rPr>
        <w:t>s submission and replied to it (see</w:t>
      </w:r>
      <w:r w:rsidRPr="00E55066" w:rsidR="009E192D">
        <w:rPr>
          <w:rFonts w:eastAsia="Calibri" w:cstheme="minorHAnsi"/>
          <w:bCs/>
          <w:szCs w:val="24"/>
        </w:rPr>
        <w:t> </w:t>
      </w:r>
      <w:r w:rsidRPr="00E55066">
        <w:rPr>
          <w:rFonts w:eastAsia="Calibri" w:cstheme="minorHAnsi"/>
          <w:bCs/>
          <w:szCs w:val="24"/>
        </w:rPr>
        <w:t xml:space="preserve">paragraph 21 above). The Court does not share this view since accepting that argument would in effect mean that the question of whether or not the defendant </w:t>
      </w:r>
      <w:r w:rsidRPr="00E55066">
        <w:rPr>
          <w:rFonts w:eastAsia="Calibri" w:cstheme="minorHAnsi"/>
          <w:bCs/>
          <w:color w:val="000000"/>
          <w:szCs w:val="24"/>
        </w:rPr>
        <w:t>would</w:t>
      </w:r>
      <w:r w:rsidRPr="00E55066">
        <w:rPr>
          <w:rFonts w:eastAsia="Calibri" w:cstheme="minorHAnsi"/>
          <w:bCs/>
          <w:szCs w:val="24"/>
        </w:rPr>
        <w:t xml:space="preserve"> be informed of the fact that observations regarding the merits of his case have been filed by the prosecution would entirely depend on the presence of the defence at the session of the appeal panel. This, in the Court</w:t>
      </w:r>
      <w:r w:rsidRPr="00E55066" w:rsidR="00E55066">
        <w:rPr>
          <w:rFonts w:eastAsia="Calibri" w:cstheme="minorHAnsi"/>
          <w:bCs/>
          <w:szCs w:val="24"/>
        </w:rPr>
        <w:t>’</w:t>
      </w:r>
      <w:r w:rsidRPr="00E55066">
        <w:rPr>
          <w:rFonts w:eastAsia="Calibri" w:cstheme="minorHAnsi"/>
          <w:bCs/>
          <w:szCs w:val="24"/>
        </w:rPr>
        <w:t>s assessment, would likewise amount to imposing a disproportionate burden on the defence and would render meaningless the right of the defence to have knowledge of, and to comment on, the prosecution</w:t>
      </w:r>
      <w:r w:rsidRPr="00E55066" w:rsidR="00E55066">
        <w:rPr>
          <w:rFonts w:eastAsia="Calibri" w:cstheme="minorHAnsi"/>
          <w:bCs/>
          <w:szCs w:val="24"/>
        </w:rPr>
        <w:t>’</w:t>
      </w:r>
      <w:r w:rsidRPr="00E55066">
        <w:rPr>
          <w:rFonts w:eastAsia="Calibri" w:cstheme="minorHAnsi"/>
          <w:bCs/>
          <w:szCs w:val="24"/>
        </w:rPr>
        <w:t>s submission in the appeal proceedings.</w:t>
      </w:r>
    </w:p>
    <w:p w:rsidRPr="00E55066" w:rsidR="00587FCD" w:rsidP="00E55066" w:rsidRDefault="00587FCD">
      <w:pPr>
        <w:pStyle w:val="ECHRPara"/>
      </w:pPr>
      <w:r w:rsidRPr="00E55066">
        <w:t>27.  Against the above background, the Court concludes that the principle of equality of arms and the right to adversarial proceedings have not been respected in the present case.</w:t>
      </w:r>
    </w:p>
    <w:p w:rsidRPr="00E55066" w:rsidR="00587FCD" w:rsidP="00E55066" w:rsidRDefault="00587FCD">
      <w:pPr>
        <w:pStyle w:val="ECHRPara"/>
      </w:pPr>
      <w:r w:rsidRPr="00E55066">
        <w:t>28.  There has accordingly been a violation of Article 6 § 1 of the Convention.</w:t>
      </w:r>
    </w:p>
    <w:p w:rsidRPr="00E55066" w:rsidR="00587FCD" w:rsidP="00E55066" w:rsidRDefault="00587FCD">
      <w:pPr>
        <w:pStyle w:val="ECHRHeading1"/>
      </w:pPr>
      <w:r w:rsidRPr="00E55066">
        <w:t>II.</w:t>
      </w:r>
      <w:proofErr w:type="gramStart"/>
      <w:r w:rsidRPr="00E55066">
        <w:t>  APPLICATION</w:t>
      </w:r>
      <w:proofErr w:type="gramEnd"/>
      <w:r w:rsidRPr="00E55066">
        <w:t xml:space="preserve"> OF ARTICLE 41 OF THE CONVENTION</w:t>
      </w:r>
    </w:p>
    <w:p w:rsidRPr="00E55066" w:rsidR="00587FCD" w:rsidP="00E55066" w:rsidRDefault="00587FCD">
      <w:pPr>
        <w:pStyle w:val="ECHRPara"/>
        <w:keepNext/>
        <w:keepLines/>
      </w:pPr>
      <w:r w:rsidRPr="00E55066">
        <w:t>29.  Article 41 of the Convention provides:</w:t>
      </w:r>
    </w:p>
    <w:p w:rsidRPr="00E55066" w:rsidR="00587FCD" w:rsidP="00E55066" w:rsidRDefault="00587FCD">
      <w:pPr>
        <w:pStyle w:val="ECHRParaQuote"/>
        <w:keepNext/>
        <w:keepLines/>
      </w:pPr>
      <w:r w:rsidRPr="00E5506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55066" w:rsidR="00587FCD" w:rsidP="00E55066" w:rsidRDefault="00587FCD">
      <w:pPr>
        <w:pStyle w:val="ECHRHeading2"/>
      </w:pPr>
      <w:r w:rsidRPr="00E55066">
        <w:t>A.  Damage</w:t>
      </w:r>
    </w:p>
    <w:p w:rsidRPr="00E55066" w:rsidR="00587FCD" w:rsidP="00E55066" w:rsidRDefault="00587FCD">
      <w:pPr>
        <w:pStyle w:val="ECHRPara"/>
      </w:pPr>
      <w:r w:rsidRPr="00E55066">
        <w:t xml:space="preserve">30.  The </w:t>
      </w:r>
      <w:r w:rsidRPr="00E55066">
        <w:rPr>
          <w:szCs w:val="24"/>
        </w:rPr>
        <w:t>applicant</w:t>
      </w:r>
      <w:r w:rsidRPr="00E55066">
        <w:t xml:space="preserve"> claimed 2,500 euros (EUR) in respect of non</w:t>
      </w:r>
      <w:r w:rsidRPr="00E55066">
        <w:noBreakHyphen/>
        <w:t>pecuniary damage.</w:t>
      </w:r>
    </w:p>
    <w:p w:rsidRPr="00E55066" w:rsidR="00587FCD" w:rsidP="00E55066" w:rsidRDefault="00587FCD">
      <w:pPr>
        <w:pStyle w:val="ECHRPara"/>
      </w:pPr>
      <w:r w:rsidRPr="00E55066">
        <w:t>31.  The Government deemed this claim excessive and unsubstantiated.</w:t>
      </w:r>
    </w:p>
    <w:p w:rsidRPr="00E55066" w:rsidR="00587FCD" w:rsidP="00E55066" w:rsidRDefault="00587FCD">
      <w:pPr>
        <w:pStyle w:val="ECHRPara"/>
      </w:pPr>
      <w:r w:rsidRPr="00E55066">
        <w:t>32.  Having given due consideration to all the circumstances of the present case, the Court accepts that the applicant has suffered non-pecuniary damage which cannot be compensated for solely by the finding of a violation. Making its assessment on an equitable basis, the Court awards the applicant EUR 1,500 in respect of non-pecuniary damage, plus any tax that may be chargeable to him.</w:t>
      </w:r>
    </w:p>
    <w:p w:rsidRPr="00E55066" w:rsidR="00587FCD" w:rsidP="00E55066" w:rsidRDefault="00587FCD">
      <w:pPr>
        <w:pStyle w:val="ECHRHeading2"/>
      </w:pPr>
      <w:r w:rsidRPr="00E55066">
        <w:t>B.  Costs and expenses</w:t>
      </w:r>
    </w:p>
    <w:p w:rsidRPr="00E55066" w:rsidR="00587FCD" w:rsidP="00E55066" w:rsidRDefault="00587FCD">
      <w:pPr>
        <w:pStyle w:val="ECHRPara"/>
      </w:pPr>
      <w:r w:rsidRPr="00E55066">
        <w:t xml:space="preserve">33.  The </w:t>
      </w:r>
      <w:r w:rsidRPr="00E55066">
        <w:rPr>
          <w:szCs w:val="24"/>
        </w:rPr>
        <w:t>applicant</w:t>
      </w:r>
      <w:r w:rsidRPr="00E55066">
        <w:t xml:space="preserve"> also claimed 10,000 Croatian </w:t>
      </w:r>
      <w:proofErr w:type="spellStart"/>
      <w:r w:rsidRPr="00E55066">
        <w:t>kunas</w:t>
      </w:r>
      <w:proofErr w:type="spellEnd"/>
      <w:r w:rsidRPr="00E55066">
        <w:t xml:space="preserve"> (HRK) (approximately EUR 1,345) for the costs and expenses incurred before the domestic courts and EUR 1,200 for those incurred before the Court.</w:t>
      </w:r>
    </w:p>
    <w:p w:rsidRPr="00E55066" w:rsidR="00587FCD" w:rsidP="00E55066" w:rsidRDefault="00587FCD">
      <w:pPr>
        <w:pStyle w:val="ECHRPara"/>
      </w:pPr>
      <w:r w:rsidRPr="00E55066">
        <w:t>34.  The Government contested these claims.</w:t>
      </w:r>
    </w:p>
    <w:p w:rsidRPr="00E55066" w:rsidR="00587FCD" w:rsidP="00E55066" w:rsidRDefault="00587FCD">
      <w:pPr>
        <w:pStyle w:val="ECHRPara"/>
      </w:pPr>
      <w:r w:rsidRPr="00E55066">
        <w:t>35.  According to the Court</w:t>
      </w:r>
      <w:r w:rsidRPr="00E55066" w:rsidR="00E55066">
        <w:t>’</w:t>
      </w:r>
      <w:r w:rsidRPr="00E55066">
        <w:t xml:space="preserve">s case-law, an applicant is entitled to the reimbursement of costs and expenses only in so far as it has been shown that these have been actually and necessarily incurred and </w:t>
      </w:r>
      <w:proofErr w:type="gramStart"/>
      <w:r w:rsidRPr="00E55066">
        <w:t>were</w:t>
      </w:r>
      <w:proofErr w:type="gramEnd"/>
      <w:r w:rsidRPr="00E55066">
        <w:t xml:space="preserve"> reasonable as to quantum.</w:t>
      </w:r>
    </w:p>
    <w:p w:rsidRPr="00E55066" w:rsidR="00587FCD" w:rsidP="00E55066" w:rsidRDefault="00587FCD">
      <w:pPr>
        <w:pStyle w:val="ECHRPara"/>
      </w:pPr>
      <w:r w:rsidRPr="00E55066">
        <w:t>36.  In the present case, regard being had to the documents in its possession and the above criteria, the Court considers it reasonable to award the applicant the sum of EUR 850 for costs and expenses incurred in the proceedings before the domestic courts and EUR 1,000 for those incurred before the Court, plus any tax that may be chargeable to the applicant.</w:t>
      </w:r>
    </w:p>
    <w:p w:rsidRPr="00E55066" w:rsidR="00587FCD" w:rsidP="00E55066" w:rsidRDefault="00587FCD">
      <w:pPr>
        <w:pStyle w:val="ECHRHeading2"/>
      </w:pPr>
      <w:r w:rsidRPr="00E55066">
        <w:t>C.  Default interest</w:t>
      </w:r>
    </w:p>
    <w:p w:rsidRPr="00E55066" w:rsidR="00587FCD" w:rsidP="00E55066" w:rsidRDefault="00587FCD">
      <w:pPr>
        <w:pStyle w:val="ECHRPara"/>
      </w:pPr>
      <w:r w:rsidRPr="00E55066">
        <w:t>37.  The Court considers it appropriate that the default interest rate should be based on the marginal lending rate of the European Central Bank, to which should be added three percentage points.</w:t>
      </w:r>
    </w:p>
    <w:p w:rsidRPr="00E55066" w:rsidR="00587FCD" w:rsidP="00E55066" w:rsidRDefault="00587FCD">
      <w:pPr>
        <w:pStyle w:val="ECHRTitle1"/>
      </w:pPr>
      <w:r w:rsidRPr="00E55066">
        <w:t>FOR THESE REASONS, THE COURT, UNANIMOUSLY,</w:t>
      </w:r>
    </w:p>
    <w:p w:rsidRPr="00E55066" w:rsidR="00587FCD" w:rsidP="00E55066" w:rsidRDefault="00587FCD">
      <w:pPr>
        <w:pStyle w:val="JuList"/>
        <w:ind w:left="0" w:firstLine="0"/>
      </w:pPr>
      <w:r w:rsidRPr="00E55066">
        <w:t>1.  </w:t>
      </w:r>
      <w:proofErr w:type="gramStart"/>
      <w:r w:rsidRPr="00E55066">
        <w:rPr>
          <w:i/>
        </w:rPr>
        <w:t>Declares</w:t>
      </w:r>
      <w:proofErr w:type="gramEnd"/>
      <w:r w:rsidRPr="00E55066">
        <w:rPr>
          <w:color w:val="000000"/>
        </w:rPr>
        <w:t xml:space="preserve"> </w:t>
      </w:r>
      <w:r w:rsidRPr="00E55066">
        <w:t>the application admissible;</w:t>
      </w:r>
    </w:p>
    <w:p w:rsidRPr="00E55066" w:rsidR="00587FCD" w:rsidP="00E55066" w:rsidRDefault="00587FCD">
      <w:pPr>
        <w:pStyle w:val="JuList"/>
        <w:ind w:left="0" w:firstLine="0"/>
      </w:pPr>
    </w:p>
    <w:p w:rsidRPr="00E55066" w:rsidR="00587FCD" w:rsidP="00E55066" w:rsidRDefault="00587FCD">
      <w:pPr>
        <w:pStyle w:val="JuList"/>
      </w:pPr>
      <w:r w:rsidRPr="00E55066">
        <w:t>2.</w:t>
      </w:r>
      <w:r w:rsidRPr="00E55066">
        <w:rPr>
          <w:i/>
        </w:rPr>
        <w:t>  Holds</w:t>
      </w:r>
      <w:r w:rsidRPr="00E55066">
        <w:rPr>
          <w:color w:val="000000"/>
        </w:rPr>
        <w:t xml:space="preserve"> </w:t>
      </w:r>
      <w:r w:rsidRPr="00E55066">
        <w:t>that there has been a violation of Article 6 § 1 of the Convention;</w:t>
      </w:r>
    </w:p>
    <w:p w:rsidRPr="00E55066" w:rsidR="00587FCD" w:rsidP="00E55066" w:rsidRDefault="00587FCD">
      <w:pPr>
        <w:pStyle w:val="JuList"/>
        <w:ind w:left="0" w:firstLine="0"/>
      </w:pPr>
    </w:p>
    <w:p w:rsidRPr="00E55066" w:rsidR="00587FCD" w:rsidP="00E55066" w:rsidRDefault="00587FCD">
      <w:pPr>
        <w:pStyle w:val="JuList"/>
      </w:pPr>
      <w:r w:rsidRPr="00E55066">
        <w:t>3.  </w:t>
      </w:r>
      <w:r w:rsidRPr="00E55066">
        <w:rPr>
          <w:i/>
        </w:rPr>
        <w:t>Holds</w:t>
      </w:r>
    </w:p>
    <w:p w:rsidRPr="00E55066" w:rsidR="00587FCD" w:rsidP="00E55066" w:rsidRDefault="00587FCD">
      <w:pPr>
        <w:pStyle w:val="JuLista"/>
      </w:pPr>
      <w:r w:rsidRPr="00E55066">
        <w:t>(a)  </w:t>
      </w:r>
      <w:proofErr w:type="gramStart"/>
      <w:r w:rsidRPr="00E55066">
        <w:t>that</w:t>
      </w:r>
      <w:proofErr w:type="gramEnd"/>
      <w:r w:rsidRPr="00E55066">
        <w:t xml:space="preserve"> the respondent State is to pay the </w:t>
      </w:r>
      <w:r w:rsidRPr="00E55066">
        <w:rPr>
          <w:szCs w:val="24"/>
        </w:rPr>
        <w:t>applicant</w:t>
      </w:r>
      <w:r w:rsidRPr="00E55066">
        <w:t>, within three months, the following amounts, to be converted into</w:t>
      </w:r>
      <w:r w:rsidRPr="00E55066">
        <w:rPr>
          <w:color w:val="000000"/>
        </w:rPr>
        <w:t xml:space="preserve"> Croatian </w:t>
      </w:r>
      <w:proofErr w:type="spellStart"/>
      <w:r w:rsidRPr="00E55066">
        <w:rPr>
          <w:color w:val="000000"/>
        </w:rPr>
        <w:t>kunas</w:t>
      </w:r>
      <w:proofErr w:type="spellEnd"/>
      <w:r w:rsidRPr="00E55066">
        <w:t xml:space="preserve"> at the rate applicable at the date of settlement:</w:t>
      </w:r>
    </w:p>
    <w:p w:rsidRPr="00E55066" w:rsidR="00587FCD" w:rsidP="00E55066" w:rsidRDefault="00587FCD">
      <w:pPr>
        <w:pStyle w:val="JuListi"/>
      </w:pPr>
      <w:r w:rsidRPr="00E55066">
        <w:t>(</w:t>
      </w:r>
      <w:proofErr w:type="spellStart"/>
      <w:r w:rsidRPr="00E55066">
        <w:t>i</w:t>
      </w:r>
      <w:proofErr w:type="spellEnd"/>
      <w:r w:rsidRPr="00E55066">
        <w:t>)  EUR 1,500 (one thousand five hundred euros), plus any tax that may be chargeable, in respect of non-pecuniary damage;</w:t>
      </w:r>
    </w:p>
    <w:p w:rsidRPr="00E55066" w:rsidR="00587FCD" w:rsidP="00E55066" w:rsidRDefault="00587FCD">
      <w:pPr>
        <w:pStyle w:val="JuListi"/>
      </w:pPr>
      <w:r w:rsidRPr="00E55066">
        <w:t xml:space="preserve">(ii)  EUR 1,850 (one thousand eight hundred and fifty euros), plus any tax that may be chargeable to the </w:t>
      </w:r>
      <w:r w:rsidRPr="00E55066">
        <w:rPr>
          <w:szCs w:val="24"/>
        </w:rPr>
        <w:t>applicant</w:t>
      </w:r>
      <w:r w:rsidRPr="00E55066">
        <w:t>, in respect of costs and expenses;</w:t>
      </w:r>
    </w:p>
    <w:p w:rsidRPr="00E55066" w:rsidR="00587FCD" w:rsidP="00E55066" w:rsidRDefault="00587FCD">
      <w:pPr>
        <w:pStyle w:val="JuLista"/>
      </w:pPr>
      <w:r w:rsidRPr="00E55066">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55066" w:rsidR="00587FCD" w:rsidP="00E55066" w:rsidRDefault="00587FCD">
      <w:pPr>
        <w:pStyle w:val="JuList"/>
      </w:pPr>
    </w:p>
    <w:p w:rsidRPr="00E55066" w:rsidR="004D0EC7" w:rsidP="00E55066" w:rsidRDefault="00587FCD">
      <w:pPr>
        <w:pStyle w:val="JuList"/>
      </w:pPr>
      <w:r w:rsidRPr="00E55066">
        <w:t>4.  </w:t>
      </w:r>
      <w:r w:rsidRPr="00E55066">
        <w:rPr>
          <w:i/>
        </w:rPr>
        <w:t>Dismisses</w:t>
      </w:r>
      <w:r w:rsidRPr="00E55066">
        <w:t xml:space="preserve"> the remainder of the applicant</w:t>
      </w:r>
      <w:r w:rsidRPr="00E55066" w:rsidR="00E55066">
        <w:t>’</w:t>
      </w:r>
      <w:r w:rsidRPr="00E55066">
        <w:t>s claim for just satisfaction.</w:t>
      </w:r>
    </w:p>
    <w:p w:rsidRPr="00E55066" w:rsidR="008E3A08" w:rsidP="00E55066" w:rsidRDefault="007E2C8C">
      <w:pPr>
        <w:pStyle w:val="JuParaLast"/>
      </w:pPr>
      <w:r w:rsidRPr="00E55066">
        <w:t xml:space="preserve">Done in English, and notified in writing on </w:t>
      </w:r>
      <w:r w:rsidRPr="00E55066" w:rsidR="00587FCD">
        <w:rPr>
          <w:rFonts w:ascii="Times New Roman" w:hAnsi="Times New Roman" w:cs="Times New Roman"/>
        </w:rPr>
        <w:t>18 April 2019</w:t>
      </w:r>
      <w:r w:rsidRPr="00E55066">
        <w:t>, pursuant to Rule 77 §§ 2 and 3 of the Rules of Court.</w:t>
      </w:r>
    </w:p>
    <w:p w:rsidRPr="00E55066" w:rsidR="002A613A" w:rsidP="00E55066" w:rsidRDefault="006462D5">
      <w:pPr>
        <w:pStyle w:val="JuSigned"/>
      </w:pPr>
      <w:r w:rsidRPr="00E55066">
        <w:tab/>
      </w:r>
      <w:r w:rsidRPr="00E55066" w:rsidR="00587FCD">
        <w:t xml:space="preserve">Renata </w:t>
      </w:r>
      <w:proofErr w:type="spellStart"/>
      <w:r w:rsidRPr="00E55066" w:rsidR="00587FCD">
        <w:t>Degener</w:t>
      </w:r>
      <w:proofErr w:type="spellEnd"/>
      <w:r w:rsidRPr="00E55066" w:rsidR="005879A2">
        <w:t xml:space="preserve"> </w:t>
      </w:r>
      <w:r w:rsidRPr="00E55066" w:rsidR="009F4C8F">
        <w:tab/>
      </w:r>
      <w:proofErr w:type="spellStart"/>
      <w:r w:rsidRPr="00E55066" w:rsidR="00587FCD">
        <w:rPr>
          <w:szCs w:val="24"/>
        </w:rPr>
        <w:t>Aleš</w:t>
      </w:r>
      <w:proofErr w:type="spellEnd"/>
      <w:r w:rsidRPr="00E55066" w:rsidR="00587FCD">
        <w:rPr>
          <w:szCs w:val="24"/>
        </w:rPr>
        <w:t xml:space="preserve"> </w:t>
      </w:r>
      <w:proofErr w:type="spellStart"/>
      <w:r w:rsidRPr="00E55066" w:rsidR="00587FCD">
        <w:rPr>
          <w:szCs w:val="24"/>
        </w:rPr>
        <w:t>Pejchal</w:t>
      </w:r>
      <w:proofErr w:type="spellEnd"/>
      <w:r w:rsidRPr="00E55066" w:rsidR="009F4C8F">
        <w:rPr>
          <w:szCs w:val="24"/>
        </w:rPr>
        <w:br/>
      </w:r>
      <w:r w:rsidRPr="00E55066" w:rsidR="009F4C8F">
        <w:tab/>
      </w:r>
      <w:r w:rsidRPr="00E55066" w:rsidR="00587FCD">
        <w:t xml:space="preserve">Deputy </w:t>
      </w:r>
      <w:r w:rsidRPr="00E55066" w:rsidR="00587FCD">
        <w:rPr>
          <w:iCs/>
        </w:rPr>
        <w:t>Registrar</w:t>
      </w:r>
      <w:r w:rsidRPr="00E55066" w:rsidR="009F4C8F">
        <w:tab/>
        <w:t>President</w:t>
      </w:r>
    </w:p>
    <w:sectPr w:rsidRPr="00E55066"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FCD" w:rsidRPr="00085457" w:rsidRDefault="00587FCD" w:rsidP="0098410D">
      <w:r w:rsidRPr="00085457">
        <w:separator/>
      </w:r>
    </w:p>
  </w:endnote>
  <w:endnote w:type="continuationSeparator" w:id="0">
    <w:p w:rsidR="00587FCD" w:rsidRPr="00085457" w:rsidRDefault="00587FCD"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FCD" w:rsidRPr="00150BFA" w:rsidRDefault="00587FCD" w:rsidP="0020718E">
    <w:pPr>
      <w:jc w:val="center"/>
    </w:pPr>
    <w:r>
      <w:rPr>
        <w:noProof/>
        <w:lang w:val="en-US" w:eastAsia="ja-JP"/>
      </w:rPr>
      <w:drawing>
        <wp:inline distT="0" distB="0" distL="0" distR="0" wp14:anchorId="61CFF252" wp14:editId="01902DDA">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D7F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D7FC6"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FCD" w:rsidRPr="00085457" w:rsidRDefault="00587FCD" w:rsidP="0098410D">
      <w:r w:rsidRPr="00085457">
        <w:separator/>
      </w:r>
    </w:p>
  </w:footnote>
  <w:footnote w:type="continuationSeparator" w:id="0">
    <w:p w:rsidR="00587FCD" w:rsidRPr="00085457" w:rsidRDefault="00587FCD"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FCD" w:rsidRPr="00A45145" w:rsidRDefault="00587FCD" w:rsidP="00A45145">
    <w:pPr>
      <w:jc w:val="center"/>
    </w:pPr>
    <w:r>
      <w:rPr>
        <w:noProof/>
        <w:lang w:val="en-US" w:eastAsia="ja-JP"/>
      </w:rPr>
      <w:drawing>
        <wp:inline distT="0" distB="0" distL="0" distR="0" wp14:anchorId="126A4E13" wp14:editId="1341E3E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FCD" w:rsidRPr="00A45145" w:rsidRDefault="00587FCD" w:rsidP="00A45145">
    <w:pPr>
      <w:jc w:val="center"/>
    </w:pPr>
    <w:r>
      <w:rPr>
        <w:noProof/>
        <w:lang w:val="en-US" w:eastAsia="ja-JP"/>
      </w:rPr>
      <w:drawing>
        <wp:inline distT="0" distB="0" distL="0" distR="0" wp14:anchorId="133BB38E" wp14:editId="7463FA44">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87FCD" w:rsidP="004D0EC7">
    <w:pPr>
      <w:pStyle w:val="ECHRHeader"/>
    </w:pPr>
    <w:r>
      <w:rPr>
        <w:rStyle w:val="PageNumber"/>
      </w:rPr>
      <w:fldChar w:fldCharType="begin"/>
    </w:r>
    <w:r>
      <w:rPr>
        <w:rStyle w:val="PageNumber"/>
      </w:rPr>
      <w:instrText xml:space="preserve"> PAGE </w:instrText>
    </w:r>
    <w:r>
      <w:rPr>
        <w:rStyle w:val="PageNumber"/>
      </w:rPr>
      <w:fldChar w:fldCharType="separate"/>
    </w:r>
    <w:r w:rsidR="00E55066">
      <w:rPr>
        <w:rStyle w:val="PageNumber"/>
        <w:noProof/>
      </w:rPr>
      <w:t>6</w:t>
    </w:r>
    <w:r>
      <w:rPr>
        <w:rStyle w:val="PageNumber"/>
      </w:rPr>
      <w:fldChar w:fldCharType="end"/>
    </w:r>
    <w:r w:rsidR="00882CD5" w:rsidRPr="004D0EC7">
      <w:tab/>
    </w:r>
    <w:r>
      <w:t>KLIBA v. CROATIA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587FCD">
      <w:t>KLIBA v. CROATIA</w:t>
    </w:r>
    <w:r w:rsidRPr="00882CD5">
      <w:t xml:space="preserve"> JUDGMENT</w:t>
    </w:r>
    <w:r w:rsidRPr="00882CD5">
      <w:tab/>
    </w:r>
    <w:r w:rsidR="00587FCD">
      <w:rPr>
        <w:rStyle w:val="PageNumber"/>
      </w:rPr>
      <w:fldChar w:fldCharType="begin"/>
    </w:r>
    <w:r w:rsidR="00587FCD">
      <w:rPr>
        <w:rStyle w:val="PageNumber"/>
      </w:rPr>
      <w:instrText xml:space="preserve"> PAGE </w:instrText>
    </w:r>
    <w:r w:rsidR="00587FCD">
      <w:rPr>
        <w:rStyle w:val="PageNumber"/>
      </w:rPr>
      <w:fldChar w:fldCharType="separate"/>
    </w:r>
    <w:r w:rsidR="00E55066">
      <w:rPr>
        <w:rStyle w:val="PageNumber"/>
        <w:noProof/>
      </w:rPr>
      <w:t>7</w:t>
    </w:r>
    <w:r w:rsidR="00587FC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87FCD"/>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41"/>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6CC2"/>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37DC"/>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87FCD"/>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3694"/>
    <w:rsid w:val="005F51E1"/>
    <w:rsid w:val="00611C80"/>
    <w:rsid w:val="00620692"/>
    <w:rsid w:val="006242CA"/>
    <w:rsid w:val="00627507"/>
    <w:rsid w:val="00633717"/>
    <w:rsid w:val="006344E1"/>
    <w:rsid w:val="00643524"/>
    <w:rsid w:val="0064393B"/>
    <w:rsid w:val="006462D5"/>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1527"/>
    <w:rsid w:val="00763602"/>
    <w:rsid w:val="00764D4E"/>
    <w:rsid w:val="00765A1F"/>
    <w:rsid w:val="00775B6D"/>
    <w:rsid w:val="00776D68"/>
    <w:rsid w:val="0078323E"/>
    <w:rsid w:val="007850EE"/>
    <w:rsid w:val="00785B95"/>
    <w:rsid w:val="00790E96"/>
    <w:rsid w:val="00792F1B"/>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92D"/>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5E22"/>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066"/>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09B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62D5"/>
    <w:pPr>
      <w:jc w:val="both"/>
    </w:pPr>
    <w:rPr>
      <w:rFonts w:eastAsiaTheme="minorEastAsia"/>
      <w:sz w:val="24"/>
      <w:lang w:val="en-GB"/>
    </w:rPr>
  </w:style>
  <w:style w:type="paragraph" w:styleId="Heading1">
    <w:name w:val="heading 1"/>
    <w:basedOn w:val="Normal"/>
    <w:next w:val="Normal"/>
    <w:link w:val="Heading1Char"/>
    <w:uiPriority w:val="99"/>
    <w:semiHidden/>
    <w:rsid w:val="006462D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62D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62D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62D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62D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462D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62D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462D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462D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62D5"/>
    <w:rPr>
      <w:rFonts w:ascii="Tahoma" w:hAnsi="Tahoma" w:cs="Tahoma"/>
      <w:sz w:val="16"/>
      <w:szCs w:val="16"/>
    </w:rPr>
  </w:style>
  <w:style w:type="character" w:customStyle="1" w:styleId="BalloonTextChar">
    <w:name w:val="Balloon Text Char"/>
    <w:basedOn w:val="DefaultParagraphFont"/>
    <w:link w:val="BalloonText"/>
    <w:uiPriority w:val="99"/>
    <w:semiHidden/>
    <w:rsid w:val="006462D5"/>
    <w:rPr>
      <w:rFonts w:ascii="Tahoma" w:eastAsiaTheme="minorEastAsia" w:hAnsi="Tahoma" w:cs="Tahoma"/>
      <w:sz w:val="16"/>
      <w:szCs w:val="16"/>
      <w:lang w:val="en-GB"/>
    </w:rPr>
  </w:style>
  <w:style w:type="character" w:styleId="BookTitle">
    <w:name w:val="Book Title"/>
    <w:uiPriority w:val="99"/>
    <w:semiHidden/>
    <w:qFormat/>
    <w:rsid w:val="006462D5"/>
    <w:rPr>
      <w:i/>
      <w:iCs/>
      <w:smallCaps/>
      <w:spacing w:val="5"/>
    </w:rPr>
  </w:style>
  <w:style w:type="paragraph" w:customStyle="1" w:styleId="ECHRHeader">
    <w:name w:val="ECHR_Header"/>
    <w:aliases w:val="Ju_Header"/>
    <w:basedOn w:val="Header"/>
    <w:uiPriority w:val="4"/>
    <w:qFormat/>
    <w:rsid w:val="006462D5"/>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6462D5"/>
  </w:style>
  <w:style w:type="character" w:styleId="Strong">
    <w:name w:val="Strong"/>
    <w:uiPriority w:val="99"/>
    <w:semiHidden/>
    <w:qFormat/>
    <w:rsid w:val="006462D5"/>
    <w:rPr>
      <w:b/>
      <w:bCs/>
    </w:rPr>
  </w:style>
  <w:style w:type="paragraph" w:styleId="NoSpacing">
    <w:name w:val="No Spacing"/>
    <w:basedOn w:val="Normal"/>
    <w:link w:val="NoSpacingChar"/>
    <w:semiHidden/>
    <w:qFormat/>
    <w:rsid w:val="006462D5"/>
    <w:rPr>
      <w:sz w:val="22"/>
      <w:lang w:val="en-US"/>
    </w:rPr>
  </w:style>
  <w:style w:type="character" w:customStyle="1" w:styleId="NoSpacingChar">
    <w:name w:val="No Spacing Char"/>
    <w:basedOn w:val="DefaultParagraphFont"/>
    <w:link w:val="NoSpacing"/>
    <w:semiHidden/>
    <w:rsid w:val="006462D5"/>
    <w:rPr>
      <w:rFonts w:eastAsiaTheme="minorEastAsia"/>
    </w:rPr>
  </w:style>
  <w:style w:type="paragraph" w:customStyle="1" w:styleId="ECHRParaQuote">
    <w:name w:val="ECHR_Para_Quote"/>
    <w:aliases w:val="Ju_Quot"/>
    <w:basedOn w:val="Normal"/>
    <w:uiPriority w:val="14"/>
    <w:qFormat/>
    <w:rsid w:val="006462D5"/>
    <w:pPr>
      <w:spacing w:before="120" w:after="120"/>
      <w:ind w:left="425" w:firstLine="142"/>
    </w:pPr>
    <w:rPr>
      <w:sz w:val="20"/>
    </w:rPr>
  </w:style>
  <w:style w:type="paragraph" w:customStyle="1" w:styleId="DecList">
    <w:name w:val="Dec_List"/>
    <w:basedOn w:val="Normal"/>
    <w:uiPriority w:val="9"/>
    <w:semiHidden/>
    <w:qFormat/>
    <w:rsid w:val="006462D5"/>
    <w:pPr>
      <w:spacing w:before="240"/>
      <w:ind w:left="284"/>
    </w:pPr>
  </w:style>
  <w:style w:type="paragraph" w:customStyle="1" w:styleId="DummyStyle">
    <w:name w:val="Dummy_Style"/>
    <w:basedOn w:val="Normal"/>
    <w:semiHidden/>
    <w:qFormat/>
    <w:rsid w:val="006462D5"/>
    <w:rPr>
      <w:color w:val="00B050"/>
    </w:rPr>
  </w:style>
  <w:style w:type="paragraph" w:customStyle="1" w:styleId="JuAppQuestion">
    <w:name w:val="Ju_App_Question"/>
    <w:basedOn w:val="Normal"/>
    <w:uiPriority w:val="5"/>
    <w:semiHidden/>
    <w:qFormat/>
    <w:rsid w:val="006462D5"/>
    <w:pPr>
      <w:numPr>
        <w:numId w:val="29"/>
      </w:numPr>
      <w:jc w:val="left"/>
    </w:pPr>
    <w:rPr>
      <w:b/>
    </w:rPr>
  </w:style>
  <w:style w:type="paragraph" w:customStyle="1" w:styleId="JuCourt">
    <w:name w:val="Ju_Court"/>
    <w:basedOn w:val="Normal"/>
    <w:next w:val="Normal"/>
    <w:uiPriority w:val="16"/>
    <w:qFormat/>
    <w:rsid w:val="006462D5"/>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6462D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62D5"/>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6462D5"/>
    <w:pPr>
      <w:tabs>
        <w:tab w:val="center" w:pos="6407"/>
      </w:tabs>
      <w:spacing w:before="720"/>
      <w:jc w:val="right"/>
    </w:pPr>
  </w:style>
  <w:style w:type="paragraph" w:customStyle="1" w:styleId="ECHRTitle1">
    <w:name w:val="ECHR_Title_1"/>
    <w:aliases w:val="Ju_H_Head"/>
    <w:basedOn w:val="Normal"/>
    <w:next w:val="ECHRPara"/>
    <w:uiPriority w:val="18"/>
    <w:qFormat/>
    <w:rsid w:val="006462D5"/>
    <w:pPr>
      <w:keepNext/>
      <w:keepLines/>
      <w:spacing w:before="720" w:after="240"/>
      <w:outlineLvl w:val="0"/>
    </w:pPr>
    <w:rPr>
      <w:rFonts w:asciiTheme="majorHAnsi" w:hAnsiTheme="majorHAnsi"/>
      <w:sz w:val="28"/>
    </w:rPr>
  </w:style>
  <w:style w:type="character" w:customStyle="1" w:styleId="JUNAMES">
    <w:name w:val="JU_NAMES"/>
    <w:uiPriority w:val="17"/>
    <w:qFormat/>
    <w:rsid w:val="006462D5"/>
    <w:rPr>
      <w:caps w:val="0"/>
      <w:smallCaps/>
    </w:rPr>
  </w:style>
  <w:style w:type="paragraph" w:customStyle="1" w:styleId="JuSigned">
    <w:name w:val="Ju_Signed"/>
    <w:basedOn w:val="Normal"/>
    <w:next w:val="JuParaLast"/>
    <w:uiPriority w:val="32"/>
    <w:qFormat/>
    <w:rsid w:val="006462D5"/>
    <w:pPr>
      <w:tabs>
        <w:tab w:val="center" w:pos="851"/>
        <w:tab w:val="center" w:pos="6407"/>
      </w:tabs>
      <w:spacing w:before="720"/>
      <w:jc w:val="left"/>
    </w:pPr>
  </w:style>
  <w:style w:type="paragraph" w:styleId="Title">
    <w:name w:val="Title"/>
    <w:basedOn w:val="Normal"/>
    <w:next w:val="Normal"/>
    <w:link w:val="TitleChar"/>
    <w:uiPriority w:val="99"/>
    <w:semiHidden/>
    <w:qFormat/>
    <w:rsid w:val="006462D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462D5"/>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6462D5"/>
    <w:pPr>
      <w:ind w:left="284"/>
    </w:pPr>
  </w:style>
  <w:style w:type="paragraph" w:customStyle="1" w:styleId="JuQuotSub">
    <w:name w:val="Ju_Quot_Sub"/>
    <w:basedOn w:val="ECHRParaQuote"/>
    <w:uiPriority w:val="15"/>
    <w:qFormat/>
    <w:rsid w:val="006462D5"/>
    <w:pPr>
      <w:ind w:left="567"/>
    </w:pPr>
  </w:style>
  <w:style w:type="character" w:customStyle="1" w:styleId="JuITMark">
    <w:name w:val="Ju_ITMark"/>
    <w:basedOn w:val="DefaultParagraphFont"/>
    <w:uiPriority w:val="38"/>
    <w:qFormat/>
    <w:rsid w:val="006462D5"/>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6462D5"/>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6462D5"/>
    <w:pPr>
      <w:ind w:left="635" w:hanging="357"/>
      <w:outlineLvl w:val="2"/>
    </w:pPr>
  </w:style>
  <w:style w:type="paragraph" w:customStyle="1" w:styleId="ECHRHeading1">
    <w:name w:val="ECHR_Heading_1"/>
    <w:aliases w:val="Ju_H_I_Roman"/>
    <w:basedOn w:val="Heading1"/>
    <w:next w:val="ECHRPara"/>
    <w:uiPriority w:val="19"/>
    <w:qFormat/>
    <w:rsid w:val="006462D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62D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62D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62D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62D5"/>
    <w:rPr>
      <w:sz w:val="24"/>
      <w:lang w:val="en-GB"/>
    </w:rPr>
  </w:style>
  <w:style w:type="character" w:customStyle="1" w:styleId="Heading1Char">
    <w:name w:val="Heading 1 Char"/>
    <w:basedOn w:val="DefaultParagraphFont"/>
    <w:link w:val="Heading1"/>
    <w:uiPriority w:val="99"/>
    <w:semiHidden/>
    <w:rsid w:val="006462D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6462D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62D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62D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6462D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62D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62D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6462D5"/>
    <w:pPr>
      <w:keepNext/>
      <w:keepLines/>
      <w:spacing w:before="240"/>
      <w:ind w:firstLine="284"/>
    </w:pPr>
  </w:style>
  <w:style w:type="paragraph" w:customStyle="1" w:styleId="ECHRDecisionBody">
    <w:name w:val="ECHR_Decision_Body"/>
    <w:aliases w:val="Ju_Judges"/>
    <w:basedOn w:val="Normal"/>
    <w:uiPriority w:val="11"/>
    <w:qFormat/>
    <w:rsid w:val="006462D5"/>
    <w:pPr>
      <w:tabs>
        <w:tab w:val="left" w:pos="567"/>
        <w:tab w:val="left" w:pos="1134"/>
      </w:tabs>
      <w:jc w:val="left"/>
    </w:pPr>
  </w:style>
  <w:style w:type="character" w:customStyle="1" w:styleId="Heading4Char">
    <w:name w:val="Heading 4 Char"/>
    <w:basedOn w:val="DefaultParagraphFont"/>
    <w:link w:val="Heading4"/>
    <w:uiPriority w:val="99"/>
    <w:semiHidden/>
    <w:rsid w:val="006462D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462D5"/>
    <w:pPr>
      <w:ind w:left="340" w:hanging="340"/>
    </w:pPr>
  </w:style>
  <w:style w:type="character" w:customStyle="1" w:styleId="Heading5Char">
    <w:name w:val="Heading 5 Char"/>
    <w:basedOn w:val="DefaultParagraphFont"/>
    <w:link w:val="Heading5"/>
    <w:uiPriority w:val="99"/>
    <w:semiHidden/>
    <w:rsid w:val="006462D5"/>
    <w:rPr>
      <w:rFonts w:asciiTheme="majorHAnsi" w:eastAsiaTheme="majorEastAsia" w:hAnsiTheme="majorHAnsi" w:cstheme="majorBidi"/>
      <w:b/>
      <w:bCs/>
      <w:color w:val="808080"/>
    </w:rPr>
  </w:style>
  <w:style w:type="paragraph" w:customStyle="1" w:styleId="JuLista">
    <w:name w:val="Ju_List_a"/>
    <w:basedOn w:val="JuList"/>
    <w:uiPriority w:val="28"/>
    <w:qFormat/>
    <w:rsid w:val="006462D5"/>
    <w:pPr>
      <w:ind w:left="346" w:firstLine="0"/>
    </w:pPr>
  </w:style>
  <w:style w:type="paragraph" w:customStyle="1" w:styleId="JuListi">
    <w:name w:val="Ju_List_i"/>
    <w:basedOn w:val="Normal"/>
    <w:next w:val="JuLista"/>
    <w:uiPriority w:val="28"/>
    <w:qFormat/>
    <w:rsid w:val="006462D5"/>
    <w:pPr>
      <w:ind w:left="794"/>
    </w:pPr>
  </w:style>
  <w:style w:type="character" w:styleId="SubtleEmphasis">
    <w:name w:val="Subtle Emphasis"/>
    <w:uiPriority w:val="99"/>
    <w:semiHidden/>
    <w:qFormat/>
    <w:rsid w:val="006462D5"/>
    <w:rPr>
      <w:i/>
      <w:iCs/>
    </w:rPr>
  </w:style>
  <w:style w:type="paragraph" w:customStyle="1" w:styleId="OpiHa">
    <w:name w:val="Opi_H_a"/>
    <w:basedOn w:val="ECHRHeading3"/>
    <w:uiPriority w:val="43"/>
    <w:qFormat/>
    <w:rsid w:val="006462D5"/>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6462D5"/>
    <w:pPr>
      <w:tabs>
        <w:tab w:val="clear" w:pos="357"/>
      </w:tabs>
      <w:outlineLvl w:val="1"/>
    </w:pPr>
    <w:rPr>
      <w:b/>
    </w:rPr>
  </w:style>
  <w:style w:type="paragraph" w:customStyle="1" w:styleId="OpiHi">
    <w:name w:val="Opi_H_i"/>
    <w:basedOn w:val="ECHRHeading4"/>
    <w:uiPriority w:val="44"/>
    <w:qFormat/>
    <w:rsid w:val="006462D5"/>
    <w:pPr>
      <w:ind w:left="1037" w:hanging="357"/>
      <w:outlineLvl w:val="4"/>
    </w:pPr>
    <w:rPr>
      <w:b w:val="0"/>
      <w:i/>
    </w:rPr>
  </w:style>
  <w:style w:type="paragraph" w:customStyle="1" w:styleId="OpiPara">
    <w:name w:val="Opi_Para"/>
    <w:basedOn w:val="ECHRPara"/>
    <w:uiPriority w:val="46"/>
    <w:qFormat/>
    <w:rsid w:val="006462D5"/>
  </w:style>
  <w:style w:type="character" w:styleId="Emphasis">
    <w:name w:val="Emphasis"/>
    <w:uiPriority w:val="99"/>
    <w:semiHidden/>
    <w:qFormat/>
    <w:rsid w:val="006462D5"/>
    <w:rPr>
      <w:b/>
      <w:bCs/>
      <w:i/>
      <w:iCs/>
      <w:spacing w:val="10"/>
      <w:bdr w:val="none" w:sz="0" w:space="0" w:color="auto"/>
      <w:shd w:val="clear" w:color="auto" w:fill="auto"/>
    </w:rPr>
  </w:style>
  <w:style w:type="paragraph" w:styleId="Footer">
    <w:name w:val="footer"/>
    <w:basedOn w:val="Normal"/>
    <w:link w:val="FooterChar"/>
    <w:uiPriority w:val="57"/>
    <w:semiHidden/>
    <w:rsid w:val="006462D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62D5"/>
    <w:rPr>
      <w:sz w:val="24"/>
      <w:lang w:val="en-GB"/>
    </w:rPr>
  </w:style>
  <w:style w:type="character" w:styleId="FootnoteReference">
    <w:name w:val="footnote reference"/>
    <w:basedOn w:val="DefaultParagraphFont"/>
    <w:uiPriority w:val="99"/>
    <w:semiHidden/>
    <w:rsid w:val="006462D5"/>
    <w:rPr>
      <w:vertAlign w:val="superscript"/>
    </w:rPr>
  </w:style>
  <w:style w:type="paragraph" w:styleId="FootnoteText">
    <w:name w:val="footnote text"/>
    <w:basedOn w:val="Normal"/>
    <w:link w:val="FootnoteTextChar"/>
    <w:uiPriority w:val="99"/>
    <w:semiHidden/>
    <w:rsid w:val="006462D5"/>
    <w:rPr>
      <w:sz w:val="20"/>
      <w:szCs w:val="20"/>
    </w:rPr>
  </w:style>
  <w:style w:type="character" w:customStyle="1" w:styleId="FootnoteTextChar">
    <w:name w:val="Footnote Text Char"/>
    <w:basedOn w:val="DefaultParagraphFont"/>
    <w:link w:val="FootnoteText"/>
    <w:uiPriority w:val="99"/>
    <w:semiHidden/>
    <w:rsid w:val="006462D5"/>
    <w:rPr>
      <w:rFonts w:eastAsiaTheme="minorEastAsia"/>
      <w:sz w:val="20"/>
      <w:szCs w:val="20"/>
      <w:lang w:val="en-GB"/>
    </w:rPr>
  </w:style>
  <w:style w:type="character" w:customStyle="1" w:styleId="Heading6Char">
    <w:name w:val="Heading 6 Char"/>
    <w:basedOn w:val="DefaultParagraphFont"/>
    <w:link w:val="Heading6"/>
    <w:uiPriority w:val="99"/>
    <w:semiHidden/>
    <w:rsid w:val="006462D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462D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462D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62D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62D5"/>
    <w:rPr>
      <w:color w:val="0072BC" w:themeColor="hyperlink"/>
      <w:u w:val="single"/>
    </w:rPr>
  </w:style>
  <w:style w:type="character" w:styleId="IntenseEmphasis">
    <w:name w:val="Intense Emphasis"/>
    <w:uiPriority w:val="99"/>
    <w:semiHidden/>
    <w:qFormat/>
    <w:rsid w:val="006462D5"/>
    <w:rPr>
      <w:b/>
      <w:bCs/>
    </w:rPr>
  </w:style>
  <w:style w:type="paragraph" w:styleId="IntenseQuote">
    <w:name w:val="Intense Quote"/>
    <w:basedOn w:val="Normal"/>
    <w:next w:val="Normal"/>
    <w:link w:val="IntenseQuoteChar"/>
    <w:uiPriority w:val="99"/>
    <w:semiHidden/>
    <w:qFormat/>
    <w:rsid w:val="006462D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462D5"/>
    <w:rPr>
      <w:rFonts w:eastAsiaTheme="minorEastAsia"/>
      <w:b/>
      <w:bCs/>
      <w:i/>
      <w:iCs/>
      <w:lang w:bidi="en-US"/>
    </w:rPr>
  </w:style>
  <w:style w:type="character" w:styleId="IntenseReference">
    <w:name w:val="Intense Reference"/>
    <w:uiPriority w:val="99"/>
    <w:semiHidden/>
    <w:qFormat/>
    <w:rsid w:val="006462D5"/>
    <w:rPr>
      <w:smallCaps/>
      <w:spacing w:val="5"/>
      <w:u w:val="single"/>
    </w:rPr>
  </w:style>
  <w:style w:type="paragraph" w:styleId="ListParagraph">
    <w:name w:val="List Paragraph"/>
    <w:basedOn w:val="Normal"/>
    <w:uiPriority w:val="99"/>
    <w:semiHidden/>
    <w:qFormat/>
    <w:rsid w:val="006462D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62D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462D5"/>
    <w:rPr>
      <w:rFonts w:eastAsiaTheme="minorEastAsia"/>
      <w:i/>
      <w:iCs/>
      <w:lang w:bidi="en-US"/>
    </w:rPr>
  </w:style>
  <w:style w:type="character" w:styleId="SubtleReference">
    <w:name w:val="Subtle Reference"/>
    <w:uiPriority w:val="99"/>
    <w:semiHidden/>
    <w:qFormat/>
    <w:rsid w:val="006462D5"/>
    <w:rPr>
      <w:smallCaps/>
    </w:rPr>
  </w:style>
  <w:style w:type="table" w:styleId="TableGrid">
    <w:name w:val="Table Grid"/>
    <w:basedOn w:val="TableNormal"/>
    <w:uiPriority w:val="59"/>
    <w:semiHidden/>
    <w:rsid w:val="006462D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62D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62D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62D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62D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62D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62D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62D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62D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462D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62D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62D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62D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462D5"/>
    <w:rPr>
      <w:vertAlign w:val="superscript"/>
    </w:rPr>
  </w:style>
  <w:style w:type="paragraph" w:styleId="EndnoteText">
    <w:name w:val="endnote text"/>
    <w:basedOn w:val="Normal"/>
    <w:link w:val="EndnoteTextChar"/>
    <w:uiPriority w:val="99"/>
    <w:semiHidden/>
    <w:rsid w:val="006462D5"/>
    <w:rPr>
      <w:sz w:val="20"/>
      <w:szCs w:val="20"/>
    </w:rPr>
  </w:style>
  <w:style w:type="character" w:customStyle="1" w:styleId="EndnoteTextChar">
    <w:name w:val="Endnote Text Char"/>
    <w:basedOn w:val="DefaultParagraphFont"/>
    <w:link w:val="EndnoteText"/>
    <w:uiPriority w:val="99"/>
    <w:semiHidden/>
    <w:rsid w:val="006462D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62D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62D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62D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6462D5"/>
  </w:style>
  <w:style w:type="paragraph" w:customStyle="1" w:styleId="OpiQuot">
    <w:name w:val="Opi_Quot"/>
    <w:basedOn w:val="ECHRParaQuote"/>
    <w:uiPriority w:val="48"/>
    <w:qFormat/>
    <w:rsid w:val="006462D5"/>
  </w:style>
  <w:style w:type="paragraph" w:customStyle="1" w:styleId="ECHRFooter">
    <w:name w:val="ECHR_Footer"/>
    <w:aliases w:val="Footer_ECHR"/>
    <w:basedOn w:val="Footer"/>
    <w:uiPriority w:val="57"/>
    <w:semiHidden/>
    <w:rsid w:val="006462D5"/>
    <w:pPr>
      <w:jc w:val="left"/>
    </w:pPr>
    <w:rPr>
      <w:sz w:val="8"/>
    </w:rPr>
  </w:style>
  <w:style w:type="paragraph" w:customStyle="1" w:styleId="ECHRFooterLine">
    <w:name w:val="ECHR_Footer_Line"/>
    <w:aliases w:val="Footer_Line"/>
    <w:basedOn w:val="Normal"/>
    <w:next w:val="ECHRFooter"/>
    <w:uiPriority w:val="57"/>
    <w:semiHidden/>
    <w:rsid w:val="006462D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62D5"/>
    <w:pPr>
      <w:spacing w:after="240"/>
      <w:jc w:val="center"/>
      <w:outlineLvl w:val="0"/>
    </w:pPr>
    <w:rPr>
      <w:rFonts w:asciiTheme="majorHAnsi" w:hAnsiTheme="majorHAnsi"/>
    </w:rPr>
  </w:style>
  <w:style w:type="paragraph" w:customStyle="1" w:styleId="OpiQuotSub">
    <w:name w:val="Opi_Quot_Sub"/>
    <w:basedOn w:val="JuQuotSub"/>
    <w:uiPriority w:val="49"/>
    <w:qFormat/>
    <w:rsid w:val="006462D5"/>
  </w:style>
  <w:style w:type="paragraph" w:customStyle="1" w:styleId="JuHeaderLandscape">
    <w:name w:val="Ju_Header_Landscape"/>
    <w:basedOn w:val="ECHRHeader"/>
    <w:uiPriority w:val="4"/>
    <w:qFormat/>
    <w:rsid w:val="006462D5"/>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6462D5"/>
    <w:pPr>
      <w:jc w:val="center"/>
      <w:outlineLvl w:val="0"/>
    </w:pPr>
    <w:rPr>
      <w:i/>
    </w:rPr>
  </w:style>
  <w:style w:type="character" w:customStyle="1" w:styleId="ECHRParaChar">
    <w:name w:val="ECHR_Para Char"/>
    <w:aliases w:val="Ju_Para Char"/>
    <w:link w:val="ECHRPara"/>
    <w:uiPriority w:val="12"/>
    <w:rsid w:val="00587FC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F40086-FE9D-4BC1-8252-762B6EC4D8BF}"/>
</file>

<file path=customXml/itemProps2.xml><?xml version="1.0" encoding="utf-8"?>
<ds:datastoreItem xmlns:ds="http://schemas.openxmlformats.org/officeDocument/2006/customXml" ds:itemID="{B82D44D5-6EDF-41F2-BD3E-32F5F5B47CD2}"/>
</file>

<file path=customXml/itemProps3.xml><?xml version="1.0" encoding="utf-8"?>
<ds:datastoreItem xmlns:ds="http://schemas.openxmlformats.org/officeDocument/2006/customXml" ds:itemID="{BDFC71E8-3C04-4BF0-93D5-A3FB52017371}"/>
</file>

<file path=customXml/itemProps4.xml><?xml version="1.0" encoding="utf-8"?>
<ds:datastoreItem xmlns:ds="http://schemas.openxmlformats.org/officeDocument/2006/customXml" ds:itemID="{E234003B-C3D8-4DD4-8EEB-EA9F139D8F1F}"/>
</file>

<file path=docProps/app.xml><?xml version="1.0" encoding="utf-8"?>
<Properties xmlns="http://schemas.openxmlformats.org/officeDocument/2006/extended-properties" xmlns:vt="http://schemas.openxmlformats.org/officeDocument/2006/docPropsVTypes">
  <Template>Normal.dotm</Template>
  <TotalTime>0</TotalTime>
  <Pages>1</Pages>
  <Words>2133</Words>
  <Characters>12161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2019-08-31T10:58:00Z</dcterms:created>
  <dcterms:modified xsi:type="dcterms:W3CDTF">2019-08-31T10:58:00Z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30375/16</vt:lpwstr>
  </property>
  <property fmtid="{D5CDD505-2E9C-101B-9397-08002B2CF9AE}" pid="4" name="CASEID">
    <vt:lpwstr>1203873</vt:lpwstr>
  </property>
  <property fmtid="{D5CDD505-2E9C-101B-9397-08002B2CF9AE}" pid="5" name="ContentTypeId">
    <vt:lpwstr>0x010100558EB02BDB9E204AB350EDD385B68E10</vt:lpwstr>
  </property>
</Properties>
</file>